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793A6" w14:textId="77777777" w:rsidR="00AB084C" w:rsidRPr="001A4E98" w:rsidRDefault="00AB084C" w:rsidP="001A4E98">
      <w:pPr>
        <w:spacing w:line="240" w:lineRule="auto"/>
        <w:jc w:val="both"/>
        <w:rPr>
          <w:rFonts w:ascii="Century Gothic" w:eastAsia="Arial" w:hAnsi="Century Gothic" w:cs="Arial"/>
          <w:b/>
          <w:bCs/>
          <w:color w:val="000000"/>
          <w:sz w:val="20"/>
          <w:szCs w:val="20"/>
          <w:lang w:val="es-MX" w:eastAsia="es-ES_tradnl"/>
        </w:rPr>
      </w:pPr>
      <w:bookmarkStart w:id="0" w:name="_Hlk29890381"/>
      <w:r w:rsidRPr="001A4E98">
        <w:rPr>
          <w:rFonts w:ascii="Century Gothic" w:eastAsia="Arial" w:hAnsi="Century Gothic" w:cs="Arial"/>
          <w:b/>
          <w:bCs/>
          <w:color w:val="000000"/>
          <w:sz w:val="20"/>
          <w:szCs w:val="20"/>
          <w:lang w:val="es-MX" w:eastAsia="es-ES_tradnl"/>
        </w:rPr>
        <w:t xml:space="preserve">PLIEGO DE CONDICIONES – Naturaleza </w:t>
      </w:r>
    </w:p>
    <w:p w14:paraId="46FFEB90" w14:textId="2D64242F" w:rsidR="00AB084C" w:rsidRPr="001A4E98" w:rsidRDefault="00AB084C" w:rsidP="001A4E98">
      <w:pPr>
        <w:spacing w:line="240" w:lineRule="auto"/>
        <w:jc w:val="both"/>
        <w:rPr>
          <w:rFonts w:ascii="Century Gothic" w:eastAsia="Arial" w:hAnsi="Century Gothic" w:cs="Arial"/>
          <w:b/>
          <w:bCs/>
          <w:color w:val="000000"/>
          <w:sz w:val="20"/>
          <w:szCs w:val="20"/>
          <w:lang w:val="es-MX" w:eastAsia="es-ES_tradnl"/>
        </w:rPr>
      </w:pPr>
      <w:r w:rsidRPr="001A4E98">
        <w:rPr>
          <w:rFonts w:ascii="Century Gothic" w:hAnsi="Century Gothic" w:cs="Arial"/>
          <w:color w:val="000000" w:themeColor="text1"/>
          <w:sz w:val="20"/>
          <w:szCs w:val="20"/>
        </w:rPr>
        <w:t>[E]</w:t>
      </w:r>
      <w:r w:rsidRPr="001A4E98">
        <w:rPr>
          <w:rFonts w:ascii="Century Gothic" w:hAnsi="Century Gothic"/>
          <w:sz w:val="20"/>
          <w:szCs w:val="20"/>
        </w:rPr>
        <w:t>l Consejo de Estado8 ha reiterado que el pliego de condiciones ostenta una doble naturaleza jurídica, pues, por un lado, antes de la celebración del contrato y de la expedición del acto administrativo de adjudicación se considera como un acto administrativo de carácter general que rige el desarrollo del proceso de selección, sin embargo, una vez se celebre el contrato, el pliego de condiciones pasa hacer parte del marco jurídico de la relación contractual determinando el contenido y el alcance del negocio jurídico.</w:t>
      </w:r>
    </w:p>
    <w:p w14:paraId="0E5818C5" w14:textId="029CA914" w:rsidR="00AB084C" w:rsidRPr="001A4E98" w:rsidRDefault="00AB084C" w:rsidP="7278C889">
      <w:pPr>
        <w:spacing w:line="240" w:lineRule="auto"/>
        <w:jc w:val="both"/>
        <w:rPr>
          <w:rFonts w:ascii="Century Gothic" w:eastAsia="Arial" w:hAnsi="Century Gothic" w:cs="Arial"/>
          <w:b/>
          <w:bCs/>
          <w:color w:val="000000"/>
          <w:sz w:val="20"/>
          <w:szCs w:val="20"/>
          <w:lang w:val="es-MX" w:eastAsia="es-ES"/>
        </w:rPr>
      </w:pPr>
      <w:r w:rsidRPr="7278C889">
        <w:rPr>
          <w:rFonts w:ascii="Century Gothic" w:eastAsia="Arial" w:hAnsi="Century Gothic" w:cs="Arial"/>
          <w:b/>
          <w:bCs/>
          <w:color w:val="000000" w:themeColor="text1"/>
          <w:sz w:val="20"/>
          <w:szCs w:val="20"/>
          <w:lang w:val="es-MX" w:eastAsia="es-ES"/>
        </w:rPr>
        <w:t>PLIEGO DE CONDICIONES - Claridad y precisión en su contenido</w:t>
      </w:r>
      <w:r w:rsidR="01E6DEE6" w:rsidRPr="7278C889">
        <w:rPr>
          <w:rFonts w:ascii="Century Gothic" w:eastAsia="Arial" w:hAnsi="Century Gothic" w:cs="Arial"/>
          <w:b/>
          <w:bCs/>
          <w:color w:val="000000" w:themeColor="text1"/>
          <w:sz w:val="20"/>
          <w:szCs w:val="20"/>
          <w:lang w:val="es-MX" w:eastAsia="es-ES"/>
        </w:rPr>
        <w:t xml:space="preserve"> -</w:t>
      </w:r>
      <w:r w:rsidRPr="7278C889">
        <w:rPr>
          <w:rFonts w:ascii="Century Gothic" w:eastAsia="Arial" w:hAnsi="Century Gothic" w:cs="Arial"/>
          <w:b/>
          <w:bCs/>
          <w:color w:val="000000" w:themeColor="text1"/>
          <w:sz w:val="20"/>
          <w:szCs w:val="20"/>
          <w:lang w:val="es-MX" w:eastAsia="es-ES"/>
        </w:rPr>
        <w:t xml:space="preserve"> </w:t>
      </w:r>
      <w:r w:rsidR="596BD7BB" w:rsidRPr="7278C889">
        <w:rPr>
          <w:rFonts w:ascii="Century Gothic" w:eastAsia="Arial" w:hAnsi="Century Gothic" w:cs="Arial"/>
          <w:b/>
          <w:bCs/>
          <w:color w:val="000000" w:themeColor="text1"/>
          <w:sz w:val="20"/>
          <w:szCs w:val="20"/>
          <w:lang w:val="es-MX" w:eastAsia="es-ES"/>
        </w:rPr>
        <w:t>I</w:t>
      </w:r>
      <w:r w:rsidRPr="7278C889">
        <w:rPr>
          <w:rFonts w:ascii="Century Gothic" w:eastAsia="Arial" w:hAnsi="Century Gothic" w:cs="Arial"/>
          <w:b/>
          <w:bCs/>
          <w:color w:val="000000" w:themeColor="text1"/>
          <w:sz w:val="20"/>
          <w:szCs w:val="20"/>
          <w:lang w:val="es-MX" w:eastAsia="es-ES"/>
        </w:rPr>
        <w:t>nterpretación contra estipulante</w:t>
      </w:r>
    </w:p>
    <w:p w14:paraId="5CB080D9" w14:textId="77777777" w:rsidR="00BF6DE4" w:rsidRPr="001A4E98" w:rsidRDefault="00BF6DE4" w:rsidP="001A4E98">
      <w:pPr>
        <w:spacing w:line="240" w:lineRule="auto"/>
        <w:jc w:val="both"/>
        <w:rPr>
          <w:rFonts w:ascii="Century Gothic" w:hAnsi="Century Gothic"/>
          <w:sz w:val="20"/>
          <w:szCs w:val="20"/>
        </w:rPr>
      </w:pPr>
      <w:r w:rsidRPr="001A4E98">
        <w:rPr>
          <w:rFonts w:ascii="Century Gothic" w:hAnsi="Century Gothic" w:cs="Arial"/>
          <w:color w:val="000000" w:themeColor="text1"/>
          <w:sz w:val="20"/>
          <w:szCs w:val="20"/>
        </w:rPr>
        <w:t>[L]</w:t>
      </w:r>
      <w:r w:rsidRPr="001A4E98">
        <w:rPr>
          <w:rFonts w:ascii="Century Gothic" w:hAnsi="Century Gothic"/>
          <w:sz w:val="20"/>
          <w:szCs w:val="20"/>
        </w:rPr>
        <w:t xml:space="preserve">as reglas de los pliegos de condiciones deben prevalecer sobre los demás documentos del contrato e incluso sobre la minuta, la cual se limita a formalizar el acuerdo de voluntades, por lo tanto, ha reiterado que las reglas contenidas en los pliegos de condiciones que adolecen de vacíos o contradicciones deben de interpretarse </w:t>
      </w:r>
      <w:r w:rsidRPr="001A4E98">
        <w:rPr>
          <w:rFonts w:ascii="Century Gothic" w:hAnsi="Century Gothic"/>
          <w:i/>
          <w:iCs/>
          <w:sz w:val="20"/>
          <w:szCs w:val="20"/>
        </w:rPr>
        <w:t>“con sujeción a los principios generales del derechos, a los de la función administrativa, a la finalidad del pliego y a la protección del interés general, de conformidad con lo previsto en el artículo 23 de la Ley 80 de 1993”.</w:t>
      </w:r>
      <w:r w:rsidRPr="001A4E98">
        <w:rPr>
          <w:rFonts w:ascii="Century Gothic" w:hAnsi="Century Gothic"/>
          <w:sz w:val="20"/>
          <w:szCs w:val="20"/>
        </w:rPr>
        <w:t xml:space="preserve"> </w:t>
      </w:r>
    </w:p>
    <w:p w14:paraId="4D340C70" w14:textId="66E93AA3" w:rsidR="00BF6DE4" w:rsidRPr="001A4E98" w:rsidRDefault="00AE34EB" w:rsidP="001A4E98">
      <w:pPr>
        <w:spacing w:line="240" w:lineRule="auto"/>
        <w:jc w:val="both"/>
        <w:rPr>
          <w:rFonts w:ascii="Century Gothic" w:hAnsi="Century Gothic"/>
          <w:sz w:val="20"/>
          <w:szCs w:val="20"/>
        </w:rPr>
      </w:pPr>
      <w:r w:rsidRPr="001A4E98">
        <w:rPr>
          <w:rFonts w:ascii="Century Gothic" w:hAnsi="Century Gothic"/>
          <w:sz w:val="20"/>
          <w:szCs w:val="20"/>
        </w:rPr>
        <w:t>(…)</w:t>
      </w:r>
    </w:p>
    <w:p w14:paraId="67521055" w14:textId="681D841D" w:rsidR="00BF6DE4" w:rsidRPr="001A4E98" w:rsidRDefault="00BF6DE4" w:rsidP="001A4E98">
      <w:pPr>
        <w:spacing w:line="240" w:lineRule="auto"/>
        <w:jc w:val="both"/>
        <w:rPr>
          <w:rFonts w:ascii="Century Gothic" w:hAnsi="Century Gothic"/>
          <w:sz w:val="20"/>
          <w:szCs w:val="20"/>
        </w:rPr>
      </w:pPr>
      <w:r w:rsidRPr="001A4E98">
        <w:rPr>
          <w:rFonts w:ascii="Century Gothic" w:hAnsi="Century Gothic"/>
          <w:sz w:val="20"/>
          <w:szCs w:val="20"/>
        </w:rPr>
        <w:t xml:space="preserve">Sin perjuicio de lo anterior, la entidad, proponentes o contratista podrán acudir, en lo pertinente, a las reglas de interpretación objetivas y subjetivas conforme a los artículos 1618 a 1624 del Código Civil. </w:t>
      </w:r>
      <w:r w:rsidR="00AE34EB" w:rsidRPr="001A4E98">
        <w:rPr>
          <w:rFonts w:ascii="Century Gothic" w:hAnsi="Century Gothic"/>
          <w:sz w:val="20"/>
          <w:szCs w:val="20"/>
        </w:rPr>
        <w:t xml:space="preserve"> (…)las reglas subjetivas de interpretación se refieren a las siguientes: vi) el sentido en que una cláusula pueda producir algún efecto deberá preferirse a aquel en que no produzca efecto alguno (artículo 1620 </w:t>
      </w:r>
      <w:proofErr w:type="spellStart"/>
      <w:r w:rsidR="00AE34EB" w:rsidRPr="001A4E98">
        <w:rPr>
          <w:rFonts w:ascii="Century Gothic" w:hAnsi="Century Gothic"/>
          <w:sz w:val="20"/>
          <w:szCs w:val="20"/>
        </w:rPr>
        <w:t>ibídem</w:t>
      </w:r>
      <w:proofErr w:type="spellEnd"/>
      <w:r w:rsidR="00AE34EB" w:rsidRPr="001A4E98">
        <w:rPr>
          <w:rFonts w:ascii="Century Gothic" w:hAnsi="Century Gothic"/>
          <w:sz w:val="20"/>
          <w:szCs w:val="20"/>
        </w:rPr>
        <w:t xml:space="preserve">); vii) deberá estarse a la interpretación que mejor cuadre con la naturaleza del contrato (artículo 1621 </w:t>
      </w:r>
      <w:proofErr w:type="spellStart"/>
      <w:r w:rsidR="00AE34EB" w:rsidRPr="001A4E98">
        <w:rPr>
          <w:rFonts w:ascii="Century Gothic" w:hAnsi="Century Gothic"/>
          <w:sz w:val="20"/>
          <w:szCs w:val="20"/>
        </w:rPr>
        <w:t>ibídem</w:t>
      </w:r>
      <w:proofErr w:type="spellEnd"/>
      <w:r w:rsidR="00AE34EB" w:rsidRPr="001A4E98">
        <w:rPr>
          <w:rFonts w:ascii="Century Gothic" w:hAnsi="Century Gothic"/>
          <w:sz w:val="20"/>
          <w:szCs w:val="20"/>
        </w:rPr>
        <w:t xml:space="preserve">); viii) las cláusulas ambiguas se interpretan a favor del deudor (artículo 1624, inciso 1 </w:t>
      </w:r>
      <w:proofErr w:type="spellStart"/>
      <w:r w:rsidR="00AE34EB" w:rsidRPr="001A4E98">
        <w:rPr>
          <w:rFonts w:ascii="Century Gothic" w:hAnsi="Century Gothic"/>
          <w:sz w:val="20"/>
          <w:szCs w:val="20"/>
        </w:rPr>
        <w:t>ibídem</w:t>
      </w:r>
      <w:proofErr w:type="spellEnd"/>
      <w:r w:rsidR="00AE34EB" w:rsidRPr="001A4E98">
        <w:rPr>
          <w:rFonts w:ascii="Century Gothic" w:hAnsi="Century Gothic"/>
          <w:sz w:val="20"/>
          <w:szCs w:val="20"/>
        </w:rPr>
        <w:t xml:space="preserve">); y </w:t>
      </w:r>
      <w:proofErr w:type="spellStart"/>
      <w:r w:rsidR="00AE34EB" w:rsidRPr="001A4E98">
        <w:rPr>
          <w:rFonts w:ascii="Century Gothic" w:hAnsi="Century Gothic"/>
          <w:sz w:val="20"/>
          <w:szCs w:val="20"/>
        </w:rPr>
        <w:t>ix</w:t>
      </w:r>
      <w:proofErr w:type="spellEnd"/>
      <w:r w:rsidR="00AE34EB" w:rsidRPr="001A4E98">
        <w:rPr>
          <w:rFonts w:ascii="Century Gothic" w:hAnsi="Century Gothic"/>
          <w:sz w:val="20"/>
          <w:szCs w:val="20"/>
        </w:rPr>
        <w:t xml:space="preserve">) </w:t>
      </w:r>
      <w:r w:rsidR="00AE34EB" w:rsidRPr="001A4E98">
        <w:rPr>
          <w:rFonts w:ascii="Century Gothic" w:hAnsi="Century Gothic"/>
          <w:i/>
          <w:iCs/>
          <w:sz w:val="20"/>
          <w:szCs w:val="20"/>
        </w:rPr>
        <w:t xml:space="preserve">las cláusulas oscuras que hayan sido extendidas o dictadas por una parte se interpretarán contra ella si la ambigüedad proviene de una explicación que ésta ha debido dar (artículo 1624, inciso 2 </w:t>
      </w:r>
      <w:proofErr w:type="spellStart"/>
      <w:r w:rsidR="00AE34EB" w:rsidRPr="001A4E98">
        <w:rPr>
          <w:rFonts w:ascii="Century Gothic" w:hAnsi="Century Gothic"/>
          <w:i/>
          <w:iCs/>
          <w:sz w:val="20"/>
          <w:szCs w:val="20"/>
        </w:rPr>
        <w:t>ibídem</w:t>
      </w:r>
      <w:proofErr w:type="spellEnd"/>
      <w:r w:rsidR="00AE34EB" w:rsidRPr="001A4E98">
        <w:rPr>
          <w:rFonts w:ascii="Century Gothic" w:hAnsi="Century Gothic"/>
          <w:i/>
          <w:iCs/>
          <w:sz w:val="20"/>
          <w:szCs w:val="20"/>
        </w:rPr>
        <w:t>).</w:t>
      </w:r>
    </w:p>
    <w:p w14:paraId="5072CB17" w14:textId="786ABC6B" w:rsidR="00AE34EB" w:rsidRPr="001A4E98" w:rsidRDefault="00AE34EB" w:rsidP="001A4E98">
      <w:pPr>
        <w:spacing w:line="240" w:lineRule="auto"/>
        <w:jc w:val="both"/>
        <w:rPr>
          <w:rFonts w:ascii="Century Gothic" w:hAnsi="Century Gothic"/>
          <w:sz w:val="20"/>
          <w:szCs w:val="20"/>
        </w:rPr>
      </w:pPr>
      <w:r w:rsidRPr="001A4E98">
        <w:rPr>
          <w:rFonts w:ascii="Century Gothic" w:hAnsi="Century Gothic"/>
          <w:sz w:val="20"/>
          <w:szCs w:val="20"/>
        </w:rPr>
        <w:t>(…)</w:t>
      </w:r>
    </w:p>
    <w:p w14:paraId="5FD673B8" w14:textId="435CDB02" w:rsidR="00AE34EB" w:rsidRPr="001A4E98" w:rsidRDefault="00AE34EB" w:rsidP="001A4E98">
      <w:pPr>
        <w:spacing w:line="240" w:lineRule="auto"/>
        <w:jc w:val="both"/>
        <w:rPr>
          <w:rFonts w:ascii="Century Gothic" w:eastAsia="Arial" w:hAnsi="Century Gothic" w:cs="Arial"/>
          <w:b/>
          <w:bCs/>
          <w:color w:val="000000"/>
          <w:sz w:val="20"/>
          <w:szCs w:val="20"/>
          <w:lang w:val="es-MX" w:eastAsia="es-ES_tradnl"/>
        </w:rPr>
      </w:pPr>
      <w:r w:rsidRPr="001A4E98">
        <w:rPr>
          <w:rFonts w:ascii="Century Gothic" w:hAnsi="Century Gothic"/>
          <w:sz w:val="20"/>
          <w:szCs w:val="20"/>
        </w:rPr>
        <w:t>Así las cosas, ante una contradicción entre la información contemplada en la información suministrada por la Entidad en el formulario de SECOP II o alguna de las respuestas a las observaciones presentadas en el curso del proceso y la información contenida en el respectivo pliego de condiciones, se analizará las circunstancias en concreto de cara a los principios de la contratación estatal, de manera que la entidad adoptará la decisión que más se ajuste a la finalidad del proceso de contratación teniendo en cuenta las pautas interpretativas expuestas previamente, resaltando que aquellas disposiciones o situaciones oscuras que hayan sido extendidas o dictadas por una parte se interpretarán contra ella si la ambigüedad proviene de una explicación que ésta ha debido dar de conformidad con el artículo 1624 del Código Civil, en ese sentido, dichas contradicciones o ambigüedades no pueden afectar a los proponentes o contratistas en el ejercicio de sus derechos.</w:t>
      </w:r>
    </w:p>
    <w:p w14:paraId="612AD491" w14:textId="77777777" w:rsidR="00AB084C" w:rsidRPr="001A4E98" w:rsidRDefault="00AB084C" w:rsidP="001A4E98">
      <w:pPr>
        <w:spacing w:line="240" w:lineRule="auto"/>
        <w:jc w:val="both"/>
        <w:rPr>
          <w:rFonts w:ascii="Century Gothic" w:eastAsia="Calibri" w:hAnsi="Century Gothic" w:cs="Arial"/>
          <w:b/>
          <w:bCs/>
          <w:sz w:val="20"/>
          <w:szCs w:val="20"/>
        </w:rPr>
      </w:pPr>
      <w:r w:rsidRPr="001A4E98">
        <w:rPr>
          <w:rFonts w:ascii="Century Gothic" w:eastAsia="Calibri" w:hAnsi="Century Gothic" w:cs="Arial"/>
          <w:b/>
          <w:bCs/>
          <w:sz w:val="20"/>
          <w:szCs w:val="20"/>
        </w:rPr>
        <w:t>SECOP II – Pliego de condiciones electrónico</w:t>
      </w:r>
    </w:p>
    <w:p w14:paraId="0E0DAD3A" w14:textId="77777777" w:rsidR="00AE34EB" w:rsidRPr="001A4E98" w:rsidRDefault="00AE34EB" w:rsidP="001A4E98">
      <w:pPr>
        <w:spacing w:line="240" w:lineRule="auto"/>
        <w:jc w:val="both"/>
        <w:rPr>
          <w:rFonts w:ascii="Century Gothic" w:hAnsi="Century Gothic"/>
          <w:sz w:val="20"/>
          <w:szCs w:val="20"/>
        </w:rPr>
      </w:pPr>
      <w:r w:rsidRPr="001A4E98">
        <w:rPr>
          <w:rFonts w:ascii="Century Gothic" w:hAnsi="Century Gothic" w:cs="Arial"/>
          <w:color w:val="000000" w:themeColor="text1"/>
          <w:sz w:val="20"/>
          <w:szCs w:val="20"/>
        </w:rPr>
        <w:lastRenderedPageBreak/>
        <w:t>[L]</w:t>
      </w:r>
      <w:r w:rsidRPr="001A4E98">
        <w:rPr>
          <w:rFonts w:ascii="Century Gothic" w:hAnsi="Century Gothic"/>
          <w:sz w:val="20"/>
          <w:szCs w:val="20"/>
        </w:rPr>
        <w:t xml:space="preserve">os procesos adelantados a través de la SECOP II en los cuales el pliego de condiciones es un documento electrónico el cual se produce, expide y publica al interior de esta versión de la plataforma, la cual tiene carácter transaccional y no meramente publicitario. Este pliego de condiciones electrónico está compuesto por: i) formulario y ii) documentos anexos que cargue la entidad. Después de elegir la modalidad de selección en el SECOP II la entidad crea el expediente electrónico del procedimiento y habilita la creación del pliego borrador electrónico. Este pliego electrónico es un formulario con seis secciones: i) información general, ii) configuración, iii) cuestionario, </w:t>
      </w:r>
      <w:proofErr w:type="spellStart"/>
      <w:r w:rsidRPr="001A4E98">
        <w:rPr>
          <w:rFonts w:ascii="Century Gothic" w:hAnsi="Century Gothic"/>
          <w:sz w:val="20"/>
          <w:szCs w:val="20"/>
        </w:rPr>
        <w:t>iv</w:t>
      </w:r>
      <w:proofErr w:type="spellEnd"/>
      <w:r w:rsidRPr="001A4E98">
        <w:rPr>
          <w:rFonts w:ascii="Century Gothic" w:hAnsi="Century Gothic"/>
          <w:sz w:val="20"/>
          <w:szCs w:val="20"/>
        </w:rPr>
        <w:t>) evaluación, v) documentos del proceso y vi) documentos de la oferta.</w:t>
      </w:r>
    </w:p>
    <w:p w14:paraId="13BF818F" w14:textId="77777777" w:rsidR="00AE34EB" w:rsidRPr="001A4E98" w:rsidRDefault="00AE34EB" w:rsidP="001A4E98">
      <w:pPr>
        <w:spacing w:line="240" w:lineRule="auto"/>
        <w:jc w:val="both"/>
        <w:rPr>
          <w:rFonts w:ascii="Century Gothic" w:hAnsi="Century Gothic"/>
          <w:sz w:val="20"/>
          <w:szCs w:val="20"/>
        </w:rPr>
      </w:pPr>
      <w:r w:rsidRPr="001A4E98">
        <w:rPr>
          <w:rFonts w:ascii="Century Gothic" w:hAnsi="Century Gothic"/>
          <w:sz w:val="20"/>
          <w:szCs w:val="20"/>
        </w:rPr>
        <w:t>Los formularios de los pliegos electrónicos incluyen la mayoría de los contenidos mínimos que debe contener un pliego de condiciones, con excepción de algunos temas como lo son el análisis de riesgos, las causales de rechazo, la minuta del contrato y la supervisión o interventoría, entre otros, los cuales, al igual que los demás componentes que la entidad considere conveniente incluir, en su autonomía contractual, pueden incluirse en la sección para adjuntar documentos.</w:t>
      </w:r>
    </w:p>
    <w:p w14:paraId="088E7E31" w14:textId="42FC8B6F" w:rsidR="00AE34EB" w:rsidRPr="001A4E98" w:rsidRDefault="00AE34EB" w:rsidP="001A4E98">
      <w:pPr>
        <w:spacing w:line="240" w:lineRule="auto"/>
        <w:jc w:val="both"/>
        <w:rPr>
          <w:rFonts w:ascii="Century Gothic" w:eastAsia="Calibri" w:hAnsi="Century Gothic" w:cs="Arial"/>
          <w:b/>
          <w:bCs/>
          <w:sz w:val="20"/>
          <w:szCs w:val="20"/>
        </w:rPr>
      </w:pPr>
      <w:r w:rsidRPr="001A4E98">
        <w:rPr>
          <w:rFonts w:ascii="Century Gothic" w:hAnsi="Century Gothic"/>
          <w:sz w:val="20"/>
          <w:szCs w:val="20"/>
        </w:rPr>
        <w:t>En consecuencia, por el funcionamiento de la plataforma no es posible que exista un pliego de condiciones físico y que no se diligencie el formulario dispuesto en la plataforma, ya que sin esto el SECOP II no habilita el botón “ir a publicar”, con el cual se crea formalmente el procedimiento y los interesados pueden conocerlo para presentar observaciones y su oferta. Esto significa que para que el proceso de contratación se realice a través de la plataforma SECOP II es necesario diligenciar dicho formulario en línea que debe contener los requisitos establecidos en el acto administrativo del pliego de condiciones, por lo tanto, esto no implica que las entidades no puedan adjuntar los documentos que sean necesarios y que complementen el pliego de condiciones electrónico en lo que el formulario no contemple su inclusión.</w:t>
      </w:r>
    </w:p>
    <w:p w14:paraId="3817ECF7" w14:textId="55E584F7" w:rsidR="00AB084C" w:rsidRPr="001A4E98" w:rsidRDefault="00AB084C" w:rsidP="001A4E98">
      <w:pPr>
        <w:spacing w:line="240" w:lineRule="auto"/>
        <w:jc w:val="both"/>
        <w:rPr>
          <w:rFonts w:ascii="Century Gothic" w:eastAsia="Arial" w:hAnsi="Century Gothic" w:cs="Arial"/>
          <w:b/>
          <w:bCs/>
          <w:color w:val="000000"/>
          <w:sz w:val="20"/>
          <w:szCs w:val="20"/>
          <w:lang w:val="es-MX" w:eastAsia="es-ES_tradnl"/>
        </w:rPr>
      </w:pPr>
      <w:r w:rsidRPr="001A4E98">
        <w:rPr>
          <w:rFonts w:ascii="Century Gothic" w:eastAsia="Arial" w:hAnsi="Century Gothic" w:cs="Arial"/>
          <w:b/>
          <w:bCs/>
          <w:color w:val="000000"/>
          <w:sz w:val="20"/>
          <w:szCs w:val="20"/>
          <w:lang w:val="es-MX" w:eastAsia="es-ES_tradnl"/>
        </w:rPr>
        <w:t>REVOCATORIA DIRECTA ACTO DE APERTURA – Selección objetiva</w:t>
      </w:r>
    </w:p>
    <w:p w14:paraId="6C000AE3" w14:textId="77777777" w:rsidR="00AE34EB" w:rsidRPr="001A4E98" w:rsidRDefault="00AE34EB" w:rsidP="001A4E98">
      <w:pPr>
        <w:spacing w:line="240" w:lineRule="auto"/>
        <w:jc w:val="both"/>
        <w:rPr>
          <w:rFonts w:ascii="Century Gothic" w:hAnsi="Century Gothic"/>
          <w:sz w:val="20"/>
          <w:szCs w:val="20"/>
        </w:rPr>
      </w:pPr>
      <w:r w:rsidRPr="001A4E98">
        <w:rPr>
          <w:rFonts w:ascii="Century Gothic" w:hAnsi="Century Gothic"/>
          <w:sz w:val="20"/>
          <w:szCs w:val="20"/>
        </w:rPr>
        <w:t xml:space="preserve">Teniendo en cuenta lo expuesto, por parte de esta Agencia se advierte que previo a la expedición del acto administrativo de adjudicación, no se consolidan derechos a favor de los proponentes, toda vez que hasta ese momento solo existen “meras expectativas” y, en algunas circunstancias, expectativas legítimas a favor de algún participante; conceptos jurídicos que alinderan tanto la existencia y alcance de un eventual derecho o expectativa, y el punto límite de proyección del atributo de la revocatoria del acto administrativo. </w:t>
      </w:r>
    </w:p>
    <w:p w14:paraId="3E6249B2" w14:textId="77777777" w:rsidR="00AE34EB" w:rsidRPr="001A4E98" w:rsidRDefault="00AE34EB" w:rsidP="001A4E98">
      <w:pPr>
        <w:spacing w:line="240" w:lineRule="auto"/>
        <w:jc w:val="both"/>
        <w:rPr>
          <w:rFonts w:ascii="Century Gothic" w:hAnsi="Century Gothic"/>
          <w:sz w:val="20"/>
          <w:szCs w:val="20"/>
        </w:rPr>
      </w:pPr>
      <w:r w:rsidRPr="001A4E98">
        <w:rPr>
          <w:rFonts w:ascii="Century Gothic" w:hAnsi="Century Gothic"/>
          <w:sz w:val="20"/>
          <w:szCs w:val="20"/>
        </w:rPr>
        <w:t>En ese orden de ideas, para la tesis primera y cuarta la naturaleza jurídica del acto de apertura es la de un acto administrativo general por lo que resulta posible revocarlo de manera unilateral. Se diferencian en que, para la primera, una vez se han presentado las ofertas y conforme avanza el proceso de elección, se irán consolidando “expectativas” jurídicas y económicas de los participantes; mientras que, para la tesis cuarta, previo a la expedición del acto administrativo de adjudicación, no se consolidan derechos a favor de los proponentes, toda vez que hasta ese momento solo existen meras expectativas que se consolidan una vez se selecciona la mejor oferta.</w:t>
      </w:r>
    </w:p>
    <w:p w14:paraId="74F0CFCA" w14:textId="77777777" w:rsidR="00AE34EB" w:rsidRPr="001A4E98" w:rsidRDefault="00AE34EB" w:rsidP="001A4E98">
      <w:pPr>
        <w:spacing w:line="240" w:lineRule="auto"/>
        <w:jc w:val="both"/>
        <w:rPr>
          <w:rFonts w:ascii="Century Gothic" w:hAnsi="Century Gothic"/>
          <w:sz w:val="20"/>
          <w:szCs w:val="20"/>
        </w:rPr>
      </w:pPr>
      <w:r w:rsidRPr="001A4E98">
        <w:rPr>
          <w:rFonts w:ascii="Century Gothic" w:hAnsi="Century Gothic"/>
          <w:sz w:val="20"/>
          <w:szCs w:val="20"/>
        </w:rPr>
        <w:t xml:space="preserve">Para la tesis segunda y tercera, una vez se presentan las propuestas en los procesos de selección, el acto de apertura se transforma en un acto administrativo de carácter particular, lo cual hace que adquiera el carácter de irrevocable. La diferencia está en que, para la tesis segunda, el acto se transforma en particular para todos los oferentes que presentaron propuesta en tiempo, razón por la cual se requiere de su aquiescencia para la revocatoria del acto de apertura; mientras que para la tesis tercera el acto de apertura se convierte en particular para el proponente que tenga la mejor oferta, razón por la cual se requiere de la aceptación de este último para poder proceder a la revocatoria del acto de apertura. </w:t>
      </w:r>
    </w:p>
    <w:p w14:paraId="25CC022B" w14:textId="2F06EF52" w:rsidR="00AB084C" w:rsidRPr="001A4E98" w:rsidRDefault="00AB084C" w:rsidP="001A4E98">
      <w:pPr>
        <w:spacing w:line="240" w:lineRule="auto"/>
        <w:jc w:val="both"/>
        <w:rPr>
          <w:rFonts w:ascii="Century Gothic" w:eastAsia="Calibri" w:hAnsi="Century Gothic" w:cs="Arial"/>
          <w:sz w:val="20"/>
          <w:szCs w:val="20"/>
        </w:rPr>
      </w:pPr>
      <w:r w:rsidRPr="001A4E98">
        <w:rPr>
          <w:rFonts w:ascii="Century Gothic" w:eastAsia="Calibri" w:hAnsi="Century Gothic" w:cs="Arial"/>
          <w:sz w:val="20"/>
          <w:szCs w:val="20"/>
        </w:rPr>
        <w:br w:type="page"/>
      </w:r>
    </w:p>
    <w:p w14:paraId="1B70DD5F" w14:textId="28858856" w:rsidR="008F68F0" w:rsidRPr="00443DEB" w:rsidRDefault="00AB084C" w:rsidP="00D10E43">
      <w:pPr>
        <w:rPr>
          <w:rFonts w:ascii="Century Gothic" w:eastAsia="Calibri" w:hAnsi="Century Gothic" w:cs="Arial"/>
        </w:rPr>
      </w:pPr>
      <w:r w:rsidRPr="00AB084C">
        <w:rPr>
          <w:rFonts w:ascii="Century Gothic" w:eastAsia="Calibri" w:hAnsi="Century Gothic" w:cs="Arial"/>
          <w:noProof/>
        </w:rPr>
        <w:drawing>
          <wp:anchor distT="0" distB="0" distL="114300" distR="114300" simplePos="0" relativeHeight="251658240" behindDoc="1" locked="0" layoutInCell="1" allowOverlap="1" wp14:anchorId="457F96D3" wp14:editId="3FC3566A">
            <wp:simplePos x="0" y="0"/>
            <wp:positionH relativeFrom="column">
              <wp:posOffset>3117215</wp:posOffset>
            </wp:positionH>
            <wp:positionV relativeFrom="paragraph">
              <wp:posOffset>-32385</wp:posOffset>
            </wp:positionV>
            <wp:extent cx="2578100" cy="730250"/>
            <wp:effectExtent l="0" t="0" r="0" b="0"/>
            <wp:wrapNone/>
            <wp:docPr id="6204499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449991" name=""/>
                    <pic:cNvPicPr/>
                  </pic:nvPicPr>
                  <pic:blipFill>
                    <a:blip r:embed="rId11">
                      <a:extLst>
                        <a:ext uri="{28A0092B-C50C-407E-A947-70E740481C1C}">
                          <a14:useLocalDpi xmlns:a14="http://schemas.microsoft.com/office/drawing/2010/main" val="0"/>
                        </a:ext>
                      </a:extLst>
                    </a:blip>
                    <a:stretch>
                      <a:fillRect/>
                    </a:stretch>
                  </pic:blipFill>
                  <pic:spPr>
                    <a:xfrm>
                      <a:off x="0" y="0"/>
                      <a:ext cx="2578100" cy="730250"/>
                    </a:xfrm>
                    <a:prstGeom prst="rect">
                      <a:avLst/>
                    </a:prstGeom>
                  </pic:spPr>
                </pic:pic>
              </a:graphicData>
            </a:graphic>
          </wp:anchor>
        </w:drawing>
      </w:r>
      <w:r w:rsidR="008F68F0" w:rsidRPr="00443DEB">
        <w:rPr>
          <w:rFonts w:ascii="Century Gothic" w:eastAsia="Calibri" w:hAnsi="Century Gothic" w:cs="Arial"/>
        </w:rPr>
        <w:t>Bogotá D.C.</w:t>
      </w:r>
      <w:r>
        <w:rPr>
          <w:rFonts w:ascii="Century Gothic" w:eastAsia="Calibri" w:hAnsi="Century Gothic" w:cs="Arial"/>
        </w:rPr>
        <w:t>, 25 de agosto de 2023</w:t>
      </w:r>
    </w:p>
    <w:p w14:paraId="03A0646D" w14:textId="77777777" w:rsidR="00552A02" w:rsidRPr="00443DEB" w:rsidRDefault="00552A02" w:rsidP="00552A02">
      <w:pPr>
        <w:spacing w:after="0"/>
        <w:rPr>
          <w:rFonts w:ascii="Century Gothic" w:eastAsia="Calibri" w:hAnsi="Century Gothic" w:cs="Arial"/>
        </w:rPr>
      </w:pPr>
    </w:p>
    <w:p w14:paraId="2453B02C" w14:textId="77777777" w:rsidR="001B1DAE" w:rsidRPr="00443DEB" w:rsidRDefault="001B1DAE" w:rsidP="00552A02">
      <w:pPr>
        <w:spacing w:after="0"/>
        <w:rPr>
          <w:rFonts w:ascii="Century Gothic" w:eastAsia="Calibri" w:hAnsi="Century Gothic" w:cs="Arial"/>
        </w:rPr>
      </w:pPr>
    </w:p>
    <w:p w14:paraId="1DA69161" w14:textId="55B88F06" w:rsidR="00D10E43" w:rsidRPr="00443DEB" w:rsidRDefault="00D10E43" w:rsidP="00552A02">
      <w:pPr>
        <w:spacing w:after="0"/>
        <w:rPr>
          <w:rFonts w:ascii="Century Gothic" w:eastAsia="Calibri" w:hAnsi="Century Gothic" w:cs="Arial"/>
        </w:rPr>
      </w:pPr>
      <w:r w:rsidRPr="00443DEB">
        <w:rPr>
          <w:rFonts w:ascii="Century Gothic" w:eastAsia="Calibri" w:hAnsi="Century Gothic" w:cs="Arial"/>
        </w:rPr>
        <w:t>Señor</w:t>
      </w:r>
    </w:p>
    <w:p w14:paraId="1A24000C" w14:textId="372B90C3" w:rsidR="00D10E43" w:rsidRPr="00450768" w:rsidRDefault="001E5E04" w:rsidP="00552A02">
      <w:pPr>
        <w:spacing w:after="0"/>
        <w:rPr>
          <w:rFonts w:ascii="Century Gothic" w:eastAsia="Calibri" w:hAnsi="Century Gothic" w:cs="Arial"/>
          <w:b/>
        </w:rPr>
      </w:pPr>
      <w:r w:rsidRPr="00450768">
        <w:rPr>
          <w:rFonts w:ascii="Century Gothic" w:eastAsia="Calibri" w:hAnsi="Century Gothic" w:cs="Arial"/>
          <w:b/>
        </w:rPr>
        <w:t>Diego Dorado</w:t>
      </w:r>
    </w:p>
    <w:p w14:paraId="72227C9C" w14:textId="4D087F84" w:rsidR="00D10E43" w:rsidRPr="00443DEB" w:rsidRDefault="00076B48" w:rsidP="00552A02">
      <w:pPr>
        <w:spacing w:after="0"/>
        <w:rPr>
          <w:rFonts w:ascii="Century Gothic" w:eastAsia="Calibri" w:hAnsi="Century Gothic" w:cs="Arial"/>
        </w:rPr>
      </w:pPr>
      <w:r w:rsidRPr="00443DEB">
        <w:rPr>
          <w:rFonts w:ascii="Century Gothic" w:eastAsia="Calibri" w:hAnsi="Century Gothic" w:cs="Arial"/>
        </w:rPr>
        <w:t>Arauca, Arauca</w:t>
      </w:r>
    </w:p>
    <w:p w14:paraId="30136BFA" w14:textId="77777777" w:rsidR="00D10E43" w:rsidRPr="00443DEB" w:rsidRDefault="00D10E43" w:rsidP="00D10E43">
      <w:pPr>
        <w:rPr>
          <w:rFonts w:ascii="Century Gothic" w:eastAsia="Calibri" w:hAnsi="Century Gothic" w:cs="Arial"/>
        </w:rPr>
      </w:pPr>
    </w:p>
    <w:p w14:paraId="742220AC" w14:textId="5DB1CEA7" w:rsidR="00D10E43" w:rsidRPr="00443DEB" w:rsidRDefault="00D10E43" w:rsidP="00D10E43">
      <w:pPr>
        <w:jc w:val="center"/>
        <w:rPr>
          <w:rFonts w:ascii="Century Gothic" w:eastAsia="Calibri" w:hAnsi="Century Gothic" w:cs="Arial"/>
          <w:b/>
        </w:rPr>
      </w:pPr>
      <w:r w:rsidRPr="00443DEB">
        <w:rPr>
          <w:rFonts w:ascii="Century Gothic" w:eastAsia="Calibri" w:hAnsi="Century Gothic" w:cs="Arial"/>
          <w:b/>
        </w:rPr>
        <w:t xml:space="preserve">Concepto C ─ </w:t>
      </w:r>
      <w:r w:rsidR="006F013F" w:rsidRPr="00443DEB">
        <w:rPr>
          <w:rFonts w:ascii="Century Gothic" w:eastAsia="Calibri" w:hAnsi="Century Gothic" w:cs="Arial"/>
          <w:b/>
        </w:rPr>
        <w:t>346</w:t>
      </w:r>
      <w:r w:rsidRPr="00443DEB">
        <w:rPr>
          <w:rFonts w:ascii="Century Gothic" w:eastAsia="Calibri" w:hAnsi="Century Gothic" w:cs="Arial"/>
          <w:b/>
        </w:rPr>
        <w:t xml:space="preserve"> de 202</w:t>
      </w:r>
      <w:r w:rsidR="006F013F" w:rsidRPr="00443DEB">
        <w:rPr>
          <w:rFonts w:ascii="Century Gothic" w:eastAsia="Calibri" w:hAnsi="Century Gothic" w:cs="Arial"/>
          <w:b/>
        </w:rPr>
        <w:t>3</w:t>
      </w:r>
    </w:p>
    <w:p w14:paraId="5C4C51EE" w14:textId="77777777" w:rsidR="00D10E43" w:rsidRPr="00443DEB" w:rsidRDefault="00D10E43" w:rsidP="00D10E43">
      <w:pPr>
        <w:rPr>
          <w:rFonts w:ascii="Century Gothic" w:eastAsia="Calibri" w:hAnsi="Century Gothic" w:cs="Aria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10E43" w:rsidRPr="00443DEB" w14:paraId="409A4B65" w14:textId="77777777" w:rsidTr="000A7F6A">
        <w:tc>
          <w:tcPr>
            <w:tcW w:w="2689" w:type="dxa"/>
            <w:hideMark/>
          </w:tcPr>
          <w:p w14:paraId="70C64916" w14:textId="39C8114E" w:rsidR="00D10E43" w:rsidRPr="00443DEB" w:rsidRDefault="00D10E43" w:rsidP="000A7F6A">
            <w:pPr>
              <w:rPr>
                <w:rFonts w:ascii="Century Gothic" w:eastAsia="Calibri" w:hAnsi="Century Gothic" w:cs="Arial"/>
              </w:rPr>
            </w:pPr>
            <w:r w:rsidRPr="00443DEB">
              <w:rPr>
                <w:rFonts w:ascii="Century Gothic" w:eastAsia="Calibri" w:hAnsi="Century Gothic" w:cs="Arial"/>
                <w:b/>
              </w:rPr>
              <w:t>Temas:</w:t>
            </w:r>
            <w:r w:rsidRPr="00443DEB">
              <w:rPr>
                <w:rFonts w:ascii="Century Gothic" w:eastAsia="Calibri" w:hAnsi="Century Gothic" w:cs="Arial"/>
              </w:rPr>
              <w:t xml:space="preserve">           </w:t>
            </w:r>
          </w:p>
        </w:tc>
        <w:tc>
          <w:tcPr>
            <w:tcW w:w="6237" w:type="dxa"/>
            <w:hideMark/>
          </w:tcPr>
          <w:p w14:paraId="01EEC8CF" w14:textId="57108218" w:rsidR="00D10E43" w:rsidRPr="00443DEB" w:rsidRDefault="007216E2" w:rsidP="007216E2">
            <w:pPr>
              <w:spacing w:line="276" w:lineRule="auto"/>
              <w:jc w:val="both"/>
              <w:rPr>
                <w:rFonts w:ascii="Century Gothic" w:eastAsia="Calibri" w:hAnsi="Century Gothic" w:cs="Arial"/>
                <w:highlight w:val="yellow"/>
              </w:rPr>
            </w:pPr>
            <w:r w:rsidRPr="00443DEB">
              <w:rPr>
                <w:rFonts w:ascii="Century Gothic" w:eastAsia="Arial" w:hAnsi="Century Gothic" w:cs="Arial"/>
                <w:color w:val="000000"/>
                <w:lang w:val="es-MX" w:eastAsia="es-ES_tradnl"/>
              </w:rPr>
              <w:t>PLIEGO DE CONDICIONES – Naturaleza – Claridad y precisión en su contenido – interpretación contra estipulante/</w:t>
            </w:r>
            <w:r w:rsidR="00D10E43" w:rsidRPr="00443DEB">
              <w:rPr>
                <w:rFonts w:ascii="Century Gothic" w:eastAsia="Calibri" w:hAnsi="Century Gothic" w:cs="Arial"/>
              </w:rPr>
              <w:t xml:space="preserve"> SECOP II – Pliego de condiciones electrónico</w:t>
            </w:r>
            <w:r w:rsidR="00544075" w:rsidRPr="00443DEB">
              <w:rPr>
                <w:rFonts w:ascii="Century Gothic" w:eastAsia="Calibri" w:hAnsi="Century Gothic" w:cs="Arial"/>
              </w:rPr>
              <w:t xml:space="preserve"> /</w:t>
            </w:r>
            <w:r w:rsidR="00544075" w:rsidRPr="00443DEB">
              <w:rPr>
                <w:rFonts w:ascii="Century Gothic" w:eastAsia="Arial" w:hAnsi="Century Gothic" w:cs="Arial"/>
                <w:color w:val="000000"/>
                <w:lang w:val="es-MX" w:eastAsia="es-ES_tradnl"/>
              </w:rPr>
              <w:t xml:space="preserve"> REVOCATORIA DIRECTA ACTO DE APERTURA –</w:t>
            </w:r>
            <w:r w:rsidR="003C7500">
              <w:rPr>
                <w:rFonts w:ascii="Century Gothic" w:eastAsia="Arial" w:hAnsi="Century Gothic" w:cs="Arial"/>
                <w:color w:val="000000"/>
                <w:lang w:val="es-MX" w:eastAsia="es-ES_tradnl"/>
              </w:rPr>
              <w:t xml:space="preserve"> </w:t>
            </w:r>
            <w:r w:rsidR="00544075" w:rsidRPr="00443DEB">
              <w:rPr>
                <w:rFonts w:ascii="Century Gothic" w:eastAsia="Arial" w:hAnsi="Century Gothic" w:cs="Arial"/>
                <w:color w:val="000000"/>
                <w:lang w:val="es-MX" w:eastAsia="es-ES_tradnl"/>
              </w:rPr>
              <w:t xml:space="preserve">Selección objetiva </w:t>
            </w:r>
          </w:p>
        </w:tc>
      </w:tr>
      <w:tr w:rsidR="00D10E43" w:rsidRPr="00443DEB" w14:paraId="5A18C5B0" w14:textId="77777777" w:rsidTr="000A7F6A">
        <w:tc>
          <w:tcPr>
            <w:tcW w:w="2689" w:type="dxa"/>
          </w:tcPr>
          <w:p w14:paraId="7A4B433F" w14:textId="77777777" w:rsidR="00D10E43" w:rsidRPr="00443DEB" w:rsidRDefault="00D10E43" w:rsidP="000A7F6A">
            <w:pPr>
              <w:rPr>
                <w:rFonts w:ascii="Century Gothic" w:eastAsia="Calibri" w:hAnsi="Century Gothic" w:cs="Arial"/>
                <w:b/>
              </w:rPr>
            </w:pPr>
            <w:r w:rsidRPr="00443DEB">
              <w:rPr>
                <w:rFonts w:ascii="Century Gothic" w:eastAsia="Calibri" w:hAnsi="Century Gothic" w:cs="Arial"/>
                <w:b/>
              </w:rPr>
              <w:t>Radicación:</w:t>
            </w:r>
            <w:r w:rsidRPr="00443DEB">
              <w:rPr>
                <w:rFonts w:ascii="Century Gothic" w:eastAsia="Calibri" w:hAnsi="Century Gothic" w:cs="Arial"/>
              </w:rPr>
              <w:t xml:space="preserve">                              </w:t>
            </w:r>
          </w:p>
        </w:tc>
        <w:tc>
          <w:tcPr>
            <w:tcW w:w="6237" w:type="dxa"/>
          </w:tcPr>
          <w:p w14:paraId="345FCBC3" w14:textId="5AB681CB" w:rsidR="00D10E43" w:rsidRPr="00443DEB" w:rsidRDefault="00D10E43" w:rsidP="000A7F6A">
            <w:pPr>
              <w:jc w:val="both"/>
              <w:rPr>
                <w:rFonts w:ascii="Century Gothic" w:eastAsia="Calibri" w:hAnsi="Century Gothic" w:cs="Arial"/>
              </w:rPr>
            </w:pPr>
            <w:r w:rsidRPr="00443DEB">
              <w:rPr>
                <w:rFonts w:ascii="Century Gothic" w:eastAsia="Calibri" w:hAnsi="Century Gothic" w:cs="Arial"/>
              </w:rPr>
              <w:t>Respuesta a consulta</w:t>
            </w:r>
            <w:r w:rsidR="00717FB4" w:rsidRPr="00443DEB">
              <w:rPr>
                <w:rFonts w:ascii="Century Gothic" w:eastAsia="Calibri" w:hAnsi="Century Gothic" w:cs="Arial"/>
              </w:rPr>
              <w:t xml:space="preserve"> No.</w:t>
            </w:r>
            <w:r w:rsidRPr="00443DEB">
              <w:rPr>
                <w:rFonts w:ascii="Century Gothic" w:eastAsia="Calibri" w:hAnsi="Century Gothic" w:cs="Arial"/>
              </w:rPr>
              <w:t xml:space="preserve"> </w:t>
            </w:r>
            <w:r w:rsidR="00717FB4" w:rsidRPr="00443DEB">
              <w:rPr>
                <w:rFonts w:ascii="Century Gothic" w:eastAsia="Calibri" w:hAnsi="Century Gothic" w:cs="Arial"/>
              </w:rPr>
              <w:t>P20230711013130</w:t>
            </w:r>
          </w:p>
        </w:tc>
      </w:tr>
    </w:tbl>
    <w:p w14:paraId="0364E694" w14:textId="77777777" w:rsidR="00D10E43" w:rsidRPr="00443DEB" w:rsidRDefault="00D10E43" w:rsidP="00D10E43">
      <w:pPr>
        <w:jc w:val="both"/>
        <w:rPr>
          <w:rFonts w:ascii="Century Gothic" w:eastAsia="Calibri" w:hAnsi="Century Gothic" w:cs="Arial"/>
        </w:rPr>
      </w:pPr>
    </w:p>
    <w:p w14:paraId="50EE75FC" w14:textId="05EB9EB5" w:rsidR="00D10E43" w:rsidRPr="00443DEB" w:rsidRDefault="00D10E43" w:rsidP="00D10E43">
      <w:pPr>
        <w:rPr>
          <w:rFonts w:ascii="Century Gothic" w:eastAsia="Calibri" w:hAnsi="Century Gothic" w:cs="Arial"/>
        </w:rPr>
      </w:pPr>
      <w:r w:rsidRPr="00443DEB">
        <w:rPr>
          <w:rFonts w:ascii="Century Gothic" w:eastAsia="Calibri" w:hAnsi="Century Gothic" w:cs="Arial"/>
        </w:rPr>
        <w:t xml:space="preserve">Estimado señor </w:t>
      </w:r>
      <w:r w:rsidR="00717FB4" w:rsidRPr="00443DEB">
        <w:rPr>
          <w:rFonts w:ascii="Century Gothic" w:eastAsia="Calibri" w:hAnsi="Century Gothic" w:cs="Arial"/>
        </w:rPr>
        <w:t>Dorado</w:t>
      </w:r>
      <w:r w:rsidRPr="00443DEB">
        <w:rPr>
          <w:rFonts w:ascii="Century Gothic" w:eastAsia="Calibri" w:hAnsi="Century Gothic" w:cs="Arial"/>
        </w:rPr>
        <w:t>,</w:t>
      </w:r>
    </w:p>
    <w:p w14:paraId="2BA79647" w14:textId="77777777" w:rsidR="006A5C9A" w:rsidRPr="00443DEB" w:rsidRDefault="006A5C9A" w:rsidP="00D10E43">
      <w:pPr>
        <w:spacing w:line="276" w:lineRule="auto"/>
        <w:ind w:right="49"/>
        <w:jc w:val="both"/>
        <w:rPr>
          <w:rFonts w:ascii="Century Gothic" w:eastAsia="Calibri" w:hAnsi="Century Gothic" w:cs="Arial"/>
        </w:rPr>
      </w:pPr>
    </w:p>
    <w:p w14:paraId="632DE4B6" w14:textId="22979122" w:rsidR="00D10E43" w:rsidRDefault="00776027" w:rsidP="00D10E43">
      <w:pPr>
        <w:spacing w:line="276" w:lineRule="auto"/>
        <w:ind w:right="49"/>
        <w:jc w:val="both"/>
        <w:rPr>
          <w:rFonts w:ascii="Century Gothic" w:eastAsia="Calibri" w:hAnsi="Century Gothic" w:cs="Arial"/>
        </w:rPr>
      </w:pPr>
      <w:r w:rsidRPr="00443DEB">
        <w:rPr>
          <w:rFonts w:ascii="Century Gothic" w:eastAsia="Calibri" w:hAnsi="Century Gothic" w:cs="Arial"/>
        </w:rPr>
        <w:t xml:space="preserve">En ejercicio de la competencia otorgada por el numeral 8 del artículo 11 y el numeral 5 del artículo 3 del Decreto Ley 4170 de 2011, la Agencia Nacional de Contratación Pública – Colombia Compra Eficiente responde la consulta realizada el </w:t>
      </w:r>
      <w:r w:rsidR="00D10E43" w:rsidRPr="00443DEB">
        <w:rPr>
          <w:rFonts w:ascii="Century Gothic" w:eastAsia="Calibri" w:hAnsi="Century Gothic" w:cs="Arial"/>
        </w:rPr>
        <w:t>1</w:t>
      </w:r>
      <w:r w:rsidR="0067086C" w:rsidRPr="00443DEB">
        <w:rPr>
          <w:rFonts w:ascii="Century Gothic" w:eastAsia="Calibri" w:hAnsi="Century Gothic" w:cs="Arial"/>
        </w:rPr>
        <w:t>1</w:t>
      </w:r>
      <w:r w:rsidR="00D10E43" w:rsidRPr="00443DEB">
        <w:rPr>
          <w:rFonts w:ascii="Century Gothic" w:eastAsia="Calibri" w:hAnsi="Century Gothic" w:cs="Arial"/>
        </w:rPr>
        <w:t xml:space="preserve"> de</w:t>
      </w:r>
      <w:r w:rsidR="001E340E" w:rsidRPr="00443DEB">
        <w:rPr>
          <w:rFonts w:ascii="Century Gothic" w:eastAsia="Calibri" w:hAnsi="Century Gothic" w:cs="Arial"/>
        </w:rPr>
        <w:t xml:space="preserve"> juli</w:t>
      </w:r>
      <w:r w:rsidR="00D10E43" w:rsidRPr="00443DEB">
        <w:rPr>
          <w:rFonts w:ascii="Century Gothic" w:eastAsia="Calibri" w:hAnsi="Century Gothic" w:cs="Arial"/>
        </w:rPr>
        <w:t>o de 202</w:t>
      </w:r>
      <w:r w:rsidR="001E340E" w:rsidRPr="00443DEB">
        <w:rPr>
          <w:rFonts w:ascii="Century Gothic" w:eastAsia="Calibri" w:hAnsi="Century Gothic" w:cs="Arial"/>
        </w:rPr>
        <w:t>3</w:t>
      </w:r>
      <w:r w:rsidRPr="00443DEB">
        <w:rPr>
          <w:rFonts w:ascii="Century Gothic" w:eastAsia="Calibri" w:hAnsi="Century Gothic" w:cs="Arial"/>
        </w:rPr>
        <w:t>.</w:t>
      </w:r>
    </w:p>
    <w:p w14:paraId="059C4D6E" w14:textId="77777777" w:rsidR="003C7500" w:rsidRPr="00443DEB" w:rsidRDefault="003C7500" w:rsidP="00D10E43">
      <w:pPr>
        <w:spacing w:line="276" w:lineRule="auto"/>
        <w:ind w:right="49"/>
        <w:jc w:val="both"/>
        <w:rPr>
          <w:rFonts w:ascii="Century Gothic" w:eastAsia="Calibri" w:hAnsi="Century Gothic" w:cs="Arial"/>
        </w:rPr>
      </w:pPr>
    </w:p>
    <w:p w14:paraId="4D0AC986" w14:textId="573CF2DD" w:rsidR="00D10E43" w:rsidRPr="00443DEB" w:rsidRDefault="00D10E43" w:rsidP="00D10E43">
      <w:pPr>
        <w:pStyle w:val="Prrafodelista"/>
        <w:tabs>
          <w:tab w:val="left" w:pos="284"/>
        </w:tabs>
        <w:spacing w:line="276" w:lineRule="auto"/>
        <w:ind w:left="0"/>
        <w:jc w:val="both"/>
        <w:rPr>
          <w:rFonts w:ascii="Century Gothic" w:eastAsia="Calibri" w:hAnsi="Century Gothic" w:cs="Arial"/>
          <w:b/>
        </w:rPr>
      </w:pPr>
      <w:r w:rsidRPr="00443DEB">
        <w:rPr>
          <w:rFonts w:ascii="Century Gothic" w:eastAsia="Calibri" w:hAnsi="Century Gothic" w:cs="Arial"/>
          <w:b/>
        </w:rPr>
        <w:t xml:space="preserve">1. Problemas planteados </w:t>
      </w:r>
    </w:p>
    <w:p w14:paraId="771C9EC2" w14:textId="42F53B81" w:rsidR="00BE082A" w:rsidRPr="00443DEB" w:rsidRDefault="00BE082A" w:rsidP="00D10E43">
      <w:pPr>
        <w:tabs>
          <w:tab w:val="left" w:pos="426"/>
        </w:tabs>
        <w:spacing w:line="276" w:lineRule="auto"/>
        <w:jc w:val="both"/>
        <w:rPr>
          <w:rFonts w:ascii="Century Gothic" w:eastAsia="Calibri" w:hAnsi="Century Gothic" w:cs="Arial"/>
        </w:rPr>
      </w:pPr>
      <w:r w:rsidRPr="00443DEB">
        <w:rPr>
          <w:rFonts w:ascii="Century Gothic" w:eastAsia="Calibri" w:hAnsi="Century Gothic" w:cs="Arial"/>
        </w:rPr>
        <w:t>En la consulta previamente</w:t>
      </w:r>
      <w:r w:rsidR="0075367A" w:rsidRPr="00443DEB">
        <w:rPr>
          <w:rFonts w:ascii="Century Gothic" w:eastAsia="Calibri" w:hAnsi="Century Gothic" w:cs="Arial"/>
        </w:rPr>
        <w:t xml:space="preserve"> identificada</w:t>
      </w:r>
      <w:r w:rsidRPr="00443DEB">
        <w:rPr>
          <w:rFonts w:ascii="Century Gothic" w:eastAsia="Calibri" w:hAnsi="Century Gothic" w:cs="Arial"/>
        </w:rPr>
        <w:t xml:space="preserve"> Usted solicita resolver los siguientes interrogantes, todos los cuales guardan relación con </w:t>
      </w:r>
      <w:r w:rsidR="004267AE" w:rsidRPr="00443DEB">
        <w:rPr>
          <w:rFonts w:ascii="Century Gothic" w:eastAsia="Calibri" w:hAnsi="Century Gothic" w:cs="Arial"/>
        </w:rPr>
        <w:t>los argumentos expuestos en el concepto C-295 de 2020 emitido por esta Agencia</w:t>
      </w:r>
      <w:r w:rsidRPr="00443DEB">
        <w:rPr>
          <w:rFonts w:ascii="Century Gothic" w:eastAsia="Calibri" w:hAnsi="Century Gothic" w:cs="Arial"/>
        </w:rPr>
        <w:t>. En particular, se formulan los siguientes interrogantes, junto con el siguiente contexto fáctico:</w:t>
      </w:r>
    </w:p>
    <w:p w14:paraId="709CA476" w14:textId="679F0735" w:rsidR="00D10E43" w:rsidRDefault="00B94F2C" w:rsidP="008F159A">
      <w:pPr>
        <w:tabs>
          <w:tab w:val="left" w:pos="426"/>
        </w:tabs>
        <w:spacing w:line="240" w:lineRule="auto"/>
        <w:ind w:left="709" w:right="709"/>
        <w:jc w:val="both"/>
        <w:rPr>
          <w:rFonts w:ascii="Century Gothic" w:eastAsia="Calibri" w:hAnsi="Century Gothic" w:cs="Arial"/>
          <w:sz w:val="21"/>
          <w:szCs w:val="21"/>
        </w:rPr>
      </w:pPr>
      <w:r w:rsidRPr="00443DEB">
        <w:rPr>
          <w:rFonts w:ascii="Century Gothic" w:eastAsia="Calibri" w:hAnsi="Century Gothic" w:cs="Arial"/>
          <w:sz w:val="21"/>
          <w:szCs w:val="21"/>
        </w:rPr>
        <w:t xml:space="preserve">“que sucede si UNA ENTIDAD PUBLICA en el SECOP 2 , crea y publica el pliego de condiciones electrónico que sabemos </w:t>
      </w:r>
      <w:proofErr w:type="spellStart"/>
      <w:r w:rsidRPr="00443DEB">
        <w:rPr>
          <w:rFonts w:ascii="Century Gothic" w:eastAsia="Calibri" w:hAnsi="Century Gothic" w:cs="Arial"/>
          <w:sz w:val="21"/>
          <w:szCs w:val="21"/>
        </w:rPr>
        <w:t>esta</w:t>
      </w:r>
      <w:proofErr w:type="spellEnd"/>
      <w:r w:rsidRPr="00443DEB">
        <w:rPr>
          <w:rFonts w:ascii="Century Gothic" w:eastAsia="Calibri" w:hAnsi="Century Gothic" w:cs="Arial"/>
          <w:sz w:val="21"/>
          <w:szCs w:val="21"/>
        </w:rPr>
        <w:t xml:space="preserve"> conformado por el cuestionario donde están las exigencias, y si en dichas exigencias no aparecen</w:t>
      </w:r>
      <w:r w:rsidR="00AA5058" w:rsidRPr="00443DEB">
        <w:rPr>
          <w:rFonts w:ascii="Century Gothic" w:eastAsia="Calibri" w:hAnsi="Century Gothic" w:cs="Arial"/>
          <w:sz w:val="21"/>
          <w:szCs w:val="21"/>
        </w:rPr>
        <w:t xml:space="preserve"> </w:t>
      </w:r>
      <w:r w:rsidRPr="00443DEB">
        <w:rPr>
          <w:rFonts w:ascii="Century Gothic" w:eastAsia="Calibri" w:hAnsi="Century Gothic" w:cs="Arial"/>
          <w:sz w:val="21"/>
          <w:szCs w:val="21"/>
        </w:rPr>
        <w:t>el numeral o condición para cargar por los oferentes los documentos para cumplir</w:t>
      </w:r>
      <w:r w:rsidR="00AA5058" w:rsidRPr="00443DEB">
        <w:rPr>
          <w:rFonts w:ascii="Century Gothic" w:eastAsia="Calibri" w:hAnsi="Century Gothic" w:cs="Arial"/>
          <w:sz w:val="21"/>
          <w:szCs w:val="21"/>
        </w:rPr>
        <w:t xml:space="preserve"> </w:t>
      </w:r>
      <w:r w:rsidRPr="00443DEB">
        <w:rPr>
          <w:rFonts w:ascii="Century Gothic" w:eastAsia="Calibri" w:hAnsi="Century Gothic" w:cs="Arial"/>
          <w:sz w:val="21"/>
          <w:szCs w:val="21"/>
        </w:rPr>
        <w:t>capacidad residual, ¿Los oferentes que por error de la entidad no carguen los</w:t>
      </w:r>
      <w:r w:rsidR="00AA5058" w:rsidRPr="00443DEB">
        <w:rPr>
          <w:rFonts w:ascii="Century Gothic" w:eastAsia="Calibri" w:hAnsi="Century Gothic" w:cs="Arial"/>
          <w:sz w:val="21"/>
          <w:szCs w:val="21"/>
        </w:rPr>
        <w:t xml:space="preserve"> </w:t>
      </w:r>
      <w:r w:rsidRPr="00443DEB">
        <w:rPr>
          <w:rFonts w:ascii="Century Gothic" w:eastAsia="Calibri" w:hAnsi="Century Gothic" w:cs="Arial"/>
          <w:sz w:val="21"/>
          <w:szCs w:val="21"/>
        </w:rPr>
        <w:t>documentos para calcular la capacidad residual se les debe permitir subsanar?, o ¿se</w:t>
      </w:r>
      <w:r w:rsidR="00AA5058" w:rsidRPr="00443DEB">
        <w:rPr>
          <w:rFonts w:ascii="Century Gothic" w:eastAsia="Calibri" w:hAnsi="Century Gothic" w:cs="Arial"/>
          <w:sz w:val="21"/>
          <w:szCs w:val="21"/>
        </w:rPr>
        <w:t xml:space="preserve"> </w:t>
      </w:r>
      <w:r w:rsidRPr="00443DEB">
        <w:rPr>
          <w:rFonts w:ascii="Century Gothic" w:eastAsia="Calibri" w:hAnsi="Century Gothic" w:cs="Arial"/>
          <w:sz w:val="21"/>
          <w:szCs w:val="21"/>
        </w:rPr>
        <w:t>debe revocar el proceso si antes del cierre para entrega de propuestas no se corrige el</w:t>
      </w:r>
      <w:r w:rsidR="00AA5058" w:rsidRPr="00443DEB">
        <w:rPr>
          <w:rFonts w:ascii="Century Gothic" w:eastAsia="Calibri" w:hAnsi="Century Gothic" w:cs="Arial"/>
          <w:sz w:val="21"/>
          <w:szCs w:val="21"/>
        </w:rPr>
        <w:t xml:space="preserve"> </w:t>
      </w:r>
      <w:r w:rsidRPr="00443DEB">
        <w:rPr>
          <w:rFonts w:ascii="Century Gothic" w:eastAsia="Calibri" w:hAnsi="Century Gothic" w:cs="Arial"/>
          <w:sz w:val="21"/>
          <w:szCs w:val="21"/>
        </w:rPr>
        <w:t>error por parte de la Entidad que no habilito el numeral para cargar los documentos que</w:t>
      </w:r>
      <w:r w:rsidR="00AA5058" w:rsidRPr="00443DEB">
        <w:rPr>
          <w:rFonts w:ascii="Century Gothic" w:eastAsia="Calibri" w:hAnsi="Century Gothic" w:cs="Arial"/>
          <w:sz w:val="21"/>
          <w:szCs w:val="21"/>
        </w:rPr>
        <w:t xml:space="preserve"> </w:t>
      </w:r>
      <w:r w:rsidRPr="00443DEB">
        <w:rPr>
          <w:rFonts w:ascii="Century Gothic" w:eastAsia="Calibri" w:hAnsi="Century Gothic" w:cs="Arial"/>
          <w:sz w:val="21"/>
          <w:szCs w:val="21"/>
        </w:rPr>
        <w:t>acreditan la capacidad residual?</w:t>
      </w:r>
      <w:r w:rsidR="008F159A" w:rsidRPr="00443DEB">
        <w:rPr>
          <w:rFonts w:ascii="Century Gothic" w:eastAsia="Calibri" w:hAnsi="Century Gothic" w:cs="Arial"/>
          <w:sz w:val="21"/>
          <w:szCs w:val="21"/>
        </w:rPr>
        <w:t>” (Sic).</w:t>
      </w:r>
    </w:p>
    <w:p w14:paraId="768404D4" w14:textId="77777777" w:rsidR="00E926CA" w:rsidRPr="00443DEB" w:rsidRDefault="00E926CA" w:rsidP="008F159A">
      <w:pPr>
        <w:tabs>
          <w:tab w:val="left" w:pos="426"/>
        </w:tabs>
        <w:spacing w:line="240" w:lineRule="auto"/>
        <w:ind w:left="709" w:right="709"/>
        <w:jc w:val="both"/>
        <w:rPr>
          <w:rFonts w:ascii="Century Gothic" w:eastAsia="Calibri" w:hAnsi="Century Gothic" w:cs="Arial"/>
          <w:sz w:val="21"/>
          <w:szCs w:val="21"/>
        </w:rPr>
      </w:pPr>
    </w:p>
    <w:p w14:paraId="445E246D" w14:textId="77777777" w:rsidR="00D10E43" w:rsidRPr="00443DEB" w:rsidRDefault="00D10E43" w:rsidP="00D10E43">
      <w:pPr>
        <w:tabs>
          <w:tab w:val="left" w:pos="426"/>
        </w:tabs>
        <w:spacing w:line="276" w:lineRule="auto"/>
        <w:jc w:val="both"/>
        <w:rPr>
          <w:rFonts w:ascii="Century Gothic" w:eastAsia="Calibri" w:hAnsi="Century Gothic" w:cs="Arial"/>
          <w:b/>
        </w:rPr>
      </w:pPr>
      <w:bookmarkStart w:id="1" w:name="_Hlk38500171"/>
      <w:r w:rsidRPr="00443DEB">
        <w:rPr>
          <w:rFonts w:ascii="Century Gothic" w:eastAsia="Calibri" w:hAnsi="Century Gothic" w:cs="Arial"/>
          <w:b/>
        </w:rPr>
        <w:t>2. Consideraciones</w:t>
      </w:r>
    </w:p>
    <w:p w14:paraId="534CC631" w14:textId="77777777" w:rsidR="00222D1A" w:rsidRPr="00443DEB" w:rsidRDefault="00222D1A" w:rsidP="00222D1A">
      <w:pPr>
        <w:shd w:val="clear" w:color="auto" w:fill="FFFFFF" w:themeFill="background1"/>
        <w:spacing w:line="276" w:lineRule="auto"/>
        <w:jc w:val="both"/>
        <w:rPr>
          <w:rFonts w:ascii="Century Gothic" w:eastAsia="Calibri" w:hAnsi="Century Gothic" w:cs="Arial"/>
          <w:color w:val="000000" w:themeColor="text1"/>
        </w:rPr>
      </w:pPr>
      <w:r w:rsidRPr="00443DEB">
        <w:rPr>
          <w:rFonts w:ascii="Century Gothic" w:eastAsia="Calibri" w:hAnsi="Century Gothic" w:cs="Arial"/>
          <w:color w:val="000000" w:themeColor="text1"/>
        </w:rPr>
        <w:t>La Agencia Nacional de Contratación Pública – Colombia Compra Eficiente resuelve consultas sobre 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 de todos los partícipes de la contratación estatal ni para interpretar el alcance de cualquier norma vigente en el ordenamiento jurídico.</w:t>
      </w:r>
    </w:p>
    <w:p w14:paraId="435C1945" w14:textId="77777777" w:rsidR="00222D1A" w:rsidRPr="00443DEB" w:rsidRDefault="00222D1A" w:rsidP="00222D1A">
      <w:pPr>
        <w:shd w:val="clear" w:color="auto" w:fill="FFFFFF" w:themeFill="background1"/>
        <w:spacing w:line="276" w:lineRule="auto"/>
        <w:ind w:firstLine="708"/>
        <w:jc w:val="both"/>
        <w:rPr>
          <w:rFonts w:ascii="Century Gothic" w:eastAsia="Calibri" w:hAnsi="Century Gothic" w:cs="Arial"/>
          <w:color w:val="000000" w:themeColor="text1"/>
        </w:rPr>
      </w:pPr>
      <w:r w:rsidRPr="00443DEB">
        <w:rPr>
          <w:rFonts w:ascii="Century Gothic" w:eastAsia="Calibri" w:hAnsi="Century Gothic" w:cs="Arial"/>
          <w:color w:val="000000" w:themeColor="text1"/>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brindar asesorías sobre casos puntuales ni interpretar normas ajenas al sistema de compras públicas. </w:t>
      </w:r>
    </w:p>
    <w:p w14:paraId="74BC82CE" w14:textId="4BCBCDF3" w:rsidR="00D10E43" w:rsidRPr="00443DEB" w:rsidRDefault="00222D1A" w:rsidP="00D10E43">
      <w:pPr>
        <w:spacing w:line="276" w:lineRule="auto"/>
        <w:jc w:val="both"/>
        <w:rPr>
          <w:rFonts w:ascii="Century Gothic" w:eastAsia="Calibri" w:hAnsi="Century Gothic" w:cs="Arial"/>
        </w:rPr>
      </w:pPr>
      <w:r w:rsidRPr="00443DEB">
        <w:rPr>
          <w:rFonts w:ascii="Century Gothic" w:eastAsia="Calibri" w:hAnsi="Century Gothic" w:cs="Arial"/>
          <w:color w:val="000000" w:themeColor="text1"/>
        </w:rPr>
        <w:tab/>
        <w:t>En este contexto, la Subdirección de Gestión Contractual, dentro de los límites de sus atribuciones, esto es, haciendo abstracción a las preguntas de casos particulares expuestos, resolverá la consulta conforme a las normas generales en materia de contratación estatal. Con este objetivo se analizarán</w:t>
      </w:r>
      <w:r w:rsidRPr="00443DEB">
        <w:rPr>
          <w:rFonts w:ascii="Century Gothic" w:eastAsia="Calibri" w:hAnsi="Century Gothic" w:cs="Arial"/>
          <w:color w:val="000000" w:themeColor="text1"/>
          <w:lang w:val="es-ES"/>
        </w:rPr>
        <w:t xml:space="preserve"> los siguientes temas</w:t>
      </w:r>
      <w:r w:rsidRPr="00443DEB">
        <w:rPr>
          <w:rFonts w:ascii="Century Gothic" w:hAnsi="Century Gothic" w:cs="Arial"/>
          <w:color w:val="000000" w:themeColor="text1"/>
          <w:lang w:val="es-ES"/>
        </w:rPr>
        <w:t>:</w:t>
      </w:r>
      <w:r w:rsidR="00A70439" w:rsidRPr="00443DEB">
        <w:rPr>
          <w:rFonts w:ascii="Century Gothic" w:hAnsi="Century Gothic" w:cs="Arial"/>
          <w:color w:val="000000" w:themeColor="text1"/>
          <w:lang w:val="es-ES"/>
        </w:rPr>
        <w:t xml:space="preserve"> </w:t>
      </w:r>
      <w:r w:rsidR="00A16797" w:rsidRPr="00443DEB">
        <w:rPr>
          <w:rFonts w:ascii="Century Gothic" w:hAnsi="Century Gothic" w:cs="Arial"/>
          <w:color w:val="000000" w:themeColor="text1"/>
          <w:lang w:val="es-ES"/>
        </w:rPr>
        <w:t xml:space="preserve">i) </w:t>
      </w:r>
      <w:r w:rsidR="00A07866" w:rsidRPr="00443DEB">
        <w:rPr>
          <w:rFonts w:ascii="Century Gothic" w:hAnsi="Century Gothic" w:cs="Arial"/>
          <w:color w:val="000000" w:themeColor="text1"/>
          <w:lang w:val="es-ES"/>
        </w:rPr>
        <w:t>n</w:t>
      </w:r>
      <w:r w:rsidR="007F632F" w:rsidRPr="00443DEB">
        <w:rPr>
          <w:rFonts w:ascii="Century Gothic" w:hAnsi="Century Gothic" w:cs="Arial"/>
          <w:color w:val="000000" w:themeColor="text1"/>
          <w:lang w:val="es-ES"/>
        </w:rPr>
        <w:t>aturaleza del pliego de condiciones e interpretación de su contenido</w:t>
      </w:r>
      <w:r w:rsidR="00A07866" w:rsidRPr="00443DEB">
        <w:rPr>
          <w:rFonts w:ascii="Century Gothic" w:hAnsi="Century Gothic" w:cs="Arial"/>
          <w:color w:val="000000" w:themeColor="text1"/>
          <w:lang w:val="es-ES"/>
        </w:rPr>
        <w:t xml:space="preserve">; ii) </w:t>
      </w:r>
      <w:r w:rsidR="00D10E43" w:rsidRPr="00443DEB">
        <w:rPr>
          <w:rFonts w:ascii="Century Gothic" w:eastAsia="Calibri" w:hAnsi="Century Gothic" w:cs="Arial"/>
        </w:rPr>
        <w:t>pliegos de condiciones electrónicos en el SECOP II</w:t>
      </w:r>
      <w:bookmarkEnd w:id="1"/>
      <w:r w:rsidR="004A1DB0" w:rsidRPr="00443DEB">
        <w:rPr>
          <w:rFonts w:ascii="Century Gothic" w:eastAsia="Calibri" w:hAnsi="Century Gothic" w:cs="Arial"/>
        </w:rPr>
        <w:t>; y, iii)</w:t>
      </w:r>
      <w:r w:rsidR="00810C91" w:rsidRPr="00443DEB">
        <w:rPr>
          <w:rFonts w:ascii="Century Gothic" w:eastAsia="Calibri" w:hAnsi="Century Gothic" w:cs="Arial"/>
        </w:rPr>
        <w:t xml:space="preserve"> revocatoria directa del acto de apertura.</w:t>
      </w:r>
    </w:p>
    <w:p w14:paraId="6988CF18" w14:textId="5CA62985" w:rsidR="00A07866" w:rsidRDefault="00BA7A9D" w:rsidP="00BA7A9D">
      <w:pPr>
        <w:spacing w:line="276" w:lineRule="auto"/>
        <w:ind w:firstLine="708"/>
        <w:jc w:val="both"/>
        <w:rPr>
          <w:rFonts w:ascii="Century Gothic" w:eastAsia="Calibri" w:hAnsi="Century Gothic" w:cs="Arial"/>
        </w:rPr>
      </w:pPr>
      <w:r w:rsidRPr="00443DEB">
        <w:rPr>
          <w:rFonts w:ascii="Century Gothic" w:eastAsia="Calibri" w:hAnsi="Century Gothic" w:cs="Arial"/>
        </w:rPr>
        <w:t xml:space="preserve">La Agencia Nacional de Contratación Pública – Colombia Compra Eficiente en los conceptos </w:t>
      </w:r>
      <w:r w:rsidR="0073101B" w:rsidRPr="00443DEB">
        <w:rPr>
          <w:rFonts w:ascii="Century Gothic" w:eastAsia="Calibri" w:hAnsi="Century Gothic" w:cs="Arial"/>
        </w:rPr>
        <w:t xml:space="preserve">C-295 de </w:t>
      </w:r>
      <w:r w:rsidR="00A00A72" w:rsidRPr="00443DEB">
        <w:rPr>
          <w:rFonts w:ascii="Century Gothic" w:eastAsia="Calibri" w:hAnsi="Century Gothic" w:cs="Arial"/>
        </w:rPr>
        <w:t xml:space="preserve">30 de abril de 2020, </w:t>
      </w:r>
      <w:r w:rsidRPr="00443DEB">
        <w:rPr>
          <w:rFonts w:ascii="Century Gothic" w:eastAsia="Calibri" w:hAnsi="Century Gothic" w:cs="Arial"/>
        </w:rPr>
        <w:t>C-306 del 4 de junio de 2020</w:t>
      </w:r>
      <w:r w:rsidR="0073101B" w:rsidRPr="00443DEB">
        <w:rPr>
          <w:rFonts w:ascii="Century Gothic" w:eastAsia="Calibri" w:hAnsi="Century Gothic" w:cs="Arial"/>
        </w:rPr>
        <w:t>,</w:t>
      </w:r>
      <w:r w:rsidRPr="00443DEB">
        <w:rPr>
          <w:rFonts w:ascii="Century Gothic" w:eastAsia="Calibri" w:hAnsi="Century Gothic" w:cs="Arial"/>
        </w:rPr>
        <w:t xml:space="preserve"> C-303 del 15 de junio de 2021</w:t>
      </w:r>
      <w:r w:rsidR="00A00A72" w:rsidRPr="00443DEB">
        <w:rPr>
          <w:rFonts w:ascii="Century Gothic" w:eastAsia="Calibri" w:hAnsi="Century Gothic" w:cs="Arial"/>
        </w:rPr>
        <w:t>,</w:t>
      </w:r>
      <w:r w:rsidRPr="00443DEB">
        <w:rPr>
          <w:rFonts w:ascii="Century Gothic" w:eastAsia="Calibri" w:hAnsi="Century Gothic" w:cs="Arial"/>
        </w:rPr>
        <w:t xml:space="preserve"> C-030 de</w:t>
      </w:r>
      <w:r w:rsidR="00D7041D">
        <w:rPr>
          <w:rFonts w:ascii="Century Gothic" w:eastAsia="Calibri" w:hAnsi="Century Gothic" w:cs="Arial"/>
        </w:rPr>
        <w:t xml:space="preserve"> 25 de febrero de</w:t>
      </w:r>
      <w:r w:rsidRPr="00443DEB">
        <w:rPr>
          <w:rFonts w:ascii="Century Gothic" w:eastAsia="Calibri" w:hAnsi="Century Gothic" w:cs="Arial"/>
        </w:rPr>
        <w:t xml:space="preserve"> </w:t>
      </w:r>
      <w:r w:rsidR="00A00A72" w:rsidRPr="00443DEB">
        <w:rPr>
          <w:rFonts w:ascii="Century Gothic" w:eastAsia="Calibri" w:hAnsi="Century Gothic" w:cs="Arial"/>
        </w:rPr>
        <w:t>2</w:t>
      </w:r>
      <w:r w:rsidRPr="00443DEB">
        <w:rPr>
          <w:rFonts w:ascii="Century Gothic" w:eastAsia="Calibri" w:hAnsi="Century Gothic" w:cs="Arial"/>
        </w:rPr>
        <w:t>022</w:t>
      </w:r>
      <w:r w:rsidR="00BA6DB2" w:rsidRPr="00443DEB">
        <w:rPr>
          <w:rFonts w:ascii="Century Gothic" w:eastAsia="Calibri" w:hAnsi="Century Gothic" w:cs="Arial"/>
        </w:rPr>
        <w:t xml:space="preserve"> y</w:t>
      </w:r>
      <w:r w:rsidR="00A00A72" w:rsidRPr="00443DEB">
        <w:rPr>
          <w:rFonts w:ascii="Century Gothic" w:eastAsia="Calibri" w:hAnsi="Century Gothic" w:cs="Arial"/>
        </w:rPr>
        <w:t xml:space="preserve"> C-</w:t>
      </w:r>
      <w:r w:rsidR="00C349BB" w:rsidRPr="00443DEB">
        <w:rPr>
          <w:rFonts w:ascii="Century Gothic" w:eastAsia="Calibri" w:hAnsi="Century Gothic" w:cs="Arial"/>
        </w:rPr>
        <w:t>693 de 24 de octubre de 2022,</w:t>
      </w:r>
      <w:r w:rsidRPr="00443DEB">
        <w:rPr>
          <w:rFonts w:ascii="Century Gothic" w:eastAsia="Calibri" w:hAnsi="Century Gothic" w:cs="Arial"/>
        </w:rPr>
        <w:t xml:space="preserve"> se pronunció sobre el tratamiento que debe dársele a los documentos electrónicos y manuscritos cuando la información contenida en estos es diferente. De otra parte, en el </w:t>
      </w:r>
      <w:r w:rsidR="001C294A">
        <w:rPr>
          <w:rFonts w:ascii="Century Gothic" w:eastAsia="Calibri" w:hAnsi="Century Gothic" w:cs="Arial"/>
        </w:rPr>
        <w:t>c</w:t>
      </w:r>
      <w:r w:rsidRPr="00443DEB">
        <w:rPr>
          <w:rFonts w:ascii="Century Gothic" w:eastAsia="Calibri" w:hAnsi="Century Gothic" w:cs="Arial"/>
        </w:rPr>
        <w:t>oncepto C – 524 de</w:t>
      </w:r>
      <w:r w:rsidR="006A4470">
        <w:rPr>
          <w:rFonts w:ascii="Century Gothic" w:eastAsia="Calibri" w:hAnsi="Century Gothic" w:cs="Arial"/>
        </w:rPr>
        <w:t xml:space="preserve"> 18 de agosto de</w:t>
      </w:r>
      <w:r w:rsidRPr="00443DEB">
        <w:rPr>
          <w:rFonts w:ascii="Century Gothic" w:eastAsia="Calibri" w:hAnsi="Century Gothic" w:cs="Arial"/>
        </w:rPr>
        <w:t xml:space="preserve"> 2020 </w:t>
      </w:r>
      <w:r w:rsidR="00E8428F">
        <w:rPr>
          <w:rFonts w:ascii="Century Gothic" w:eastAsia="Calibri" w:hAnsi="Century Gothic" w:cs="Arial"/>
        </w:rPr>
        <w:t>y C-633 d</w:t>
      </w:r>
      <w:r w:rsidR="00DB5A85">
        <w:rPr>
          <w:rFonts w:ascii="Century Gothic" w:eastAsia="Calibri" w:hAnsi="Century Gothic" w:cs="Arial"/>
        </w:rPr>
        <w:t xml:space="preserve">e 25 de octubre de 2022 </w:t>
      </w:r>
      <w:r w:rsidRPr="00443DEB">
        <w:rPr>
          <w:rFonts w:ascii="Century Gothic" w:eastAsia="Calibri" w:hAnsi="Century Gothic" w:cs="Arial"/>
        </w:rPr>
        <w:t>se pronunci</w:t>
      </w:r>
      <w:r w:rsidR="000A5DAA">
        <w:rPr>
          <w:rFonts w:ascii="Century Gothic" w:eastAsia="Calibri" w:hAnsi="Century Gothic" w:cs="Arial"/>
        </w:rPr>
        <w:t>ó</w:t>
      </w:r>
      <w:r w:rsidRPr="00443DEB">
        <w:rPr>
          <w:rFonts w:ascii="Century Gothic" w:eastAsia="Calibri" w:hAnsi="Century Gothic" w:cs="Arial"/>
        </w:rPr>
        <w:t xml:space="preserve"> acerca de la revocatoria directa de los actos administrativos de carácter particular</w:t>
      </w:r>
      <w:r w:rsidR="009002EC">
        <w:rPr>
          <w:rStyle w:val="Refdenotaalpie"/>
          <w:rFonts w:ascii="Century Gothic" w:eastAsia="Calibri" w:hAnsi="Century Gothic" w:cs="Arial"/>
        </w:rPr>
        <w:footnoteReference w:id="1"/>
      </w:r>
      <w:r w:rsidRPr="00443DEB">
        <w:rPr>
          <w:rFonts w:ascii="Century Gothic" w:eastAsia="Calibri" w:hAnsi="Century Gothic" w:cs="Arial"/>
        </w:rPr>
        <w:t>. La tesis y argumentos expuestos en dicho concepto se reiteran a continuación y se complementan en lo pertinente.</w:t>
      </w:r>
    </w:p>
    <w:p w14:paraId="566F1D4E" w14:textId="77777777" w:rsidR="001C294A" w:rsidRPr="00443DEB" w:rsidRDefault="001C294A" w:rsidP="00BA7A9D">
      <w:pPr>
        <w:spacing w:line="276" w:lineRule="auto"/>
        <w:ind w:firstLine="708"/>
        <w:jc w:val="both"/>
        <w:rPr>
          <w:rFonts w:ascii="Century Gothic" w:eastAsia="Calibri" w:hAnsi="Century Gothic" w:cs="Arial"/>
        </w:rPr>
      </w:pPr>
    </w:p>
    <w:p w14:paraId="0AC1F17B" w14:textId="4816FC9A" w:rsidR="00D10E43" w:rsidRPr="00443DEB" w:rsidRDefault="00080CCB" w:rsidP="00D10E43">
      <w:pPr>
        <w:spacing w:line="276" w:lineRule="auto"/>
        <w:jc w:val="both"/>
        <w:rPr>
          <w:rFonts w:ascii="Century Gothic" w:eastAsia="Calibri" w:hAnsi="Century Gothic" w:cs="Arial"/>
          <w:b/>
          <w:sz w:val="20"/>
          <w:szCs w:val="20"/>
        </w:rPr>
      </w:pPr>
      <w:r w:rsidRPr="00443DEB">
        <w:rPr>
          <w:rFonts w:ascii="Century Gothic" w:eastAsia="Calibri" w:hAnsi="Century Gothic" w:cs="Arial"/>
          <w:b/>
          <w:sz w:val="20"/>
          <w:szCs w:val="20"/>
        </w:rPr>
        <w:t xml:space="preserve">2.1. </w:t>
      </w:r>
      <w:r w:rsidR="000C5FA0" w:rsidRPr="00443DEB">
        <w:rPr>
          <w:rFonts w:ascii="Century Gothic" w:hAnsi="Century Gothic" w:cs="Arial"/>
          <w:b/>
          <w:bCs/>
          <w:color w:val="000000" w:themeColor="text1"/>
          <w:lang w:val="es-ES"/>
        </w:rPr>
        <w:t>Naturaleza del pliego de condiciones e interpretación de su contenido</w:t>
      </w:r>
    </w:p>
    <w:p w14:paraId="7F0425D3" w14:textId="77777777" w:rsidR="00080CCB" w:rsidRPr="00443DEB" w:rsidRDefault="00080CCB" w:rsidP="00080CCB">
      <w:pPr>
        <w:spacing w:line="276" w:lineRule="auto"/>
        <w:jc w:val="both"/>
        <w:rPr>
          <w:rFonts w:ascii="Century Gothic" w:eastAsia="Calibri" w:hAnsi="Century Gothic" w:cs="Arial"/>
          <w:color w:val="000000" w:themeColor="text1"/>
        </w:rPr>
      </w:pPr>
      <w:bookmarkStart w:id="2" w:name="_Hlk117498166"/>
      <w:r w:rsidRPr="00443DEB">
        <w:rPr>
          <w:rFonts w:ascii="Century Gothic" w:eastAsia="Calibri" w:hAnsi="Century Gothic" w:cs="Arial"/>
          <w:color w:val="000000" w:themeColor="text1"/>
        </w:rPr>
        <w:t>La contratación pública involucra, entre otras relaciones, la interacción entre la Administración y quienes buscan ofrecerle al Estado los bienes, obras o servicios que requiere para satisfacer sus necesidades, y en esa medida cumplir con el fin principal que es satisfacer el interés general. Por tanto, esa relación entre el Estado y los proveedores se enmarca en las reglas establecidas en la normativa de la contratación pública, con el fin de procurar un equilibrio y el cumplimiento de sus principios, entre otros objetivos.</w:t>
      </w:r>
    </w:p>
    <w:p w14:paraId="5D2C0151" w14:textId="77777777" w:rsidR="00080CCB" w:rsidRPr="00443DEB" w:rsidRDefault="00080CCB" w:rsidP="00080CCB">
      <w:pPr>
        <w:spacing w:before="120" w:line="276" w:lineRule="auto"/>
        <w:ind w:firstLine="708"/>
        <w:jc w:val="both"/>
        <w:rPr>
          <w:rFonts w:ascii="Century Gothic" w:eastAsia="Calibri" w:hAnsi="Century Gothic" w:cs="Arial"/>
          <w:color w:val="000000" w:themeColor="text1"/>
        </w:rPr>
      </w:pPr>
      <w:r w:rsidRPr="00443DEB">
        <w:rPr>
          <w:rFonts w:ascii="Century Gothic" w:eastAsia="Calibri" w:hAnsi="Century Gothic" w:cs="Arial"/>
          <w:color w:val="000000" w:themeColor="text1"/>
        </w:rPr>
        <w:t>Por consiguiente, la normativa contractual contiene disposiciones que le indican a la entidad las actividades y documentos que debe desarrollar en sus procedimientos contractuales, y con base en ello los proveedores pueden conocer los aspectos del objeto de la contratación para presentar sus ofertas, teniendo en cuenta los parámetros que define la entidad en la etapa de planeación del procedimiento, de acuerdo con las normas relacionadas con la adquisición de que se trate, y que quedan definidos en el pliego de condiciones</w:t>
      </w:r>
      <w:bookmarkEnd w:id="2"/>
      <w:r w:rsidRPr="00443DEB">
        <w:rPr>
          <w:rStyle w:val="Refdenotaalpie"/>
          <w:rFonts w:ascii="Century Gothic" w:eastAsia="Calibri" w:hAnsi="Century Gothic" w:cs="Arial"/>
          <w:color w:val="000000" w:themeColor="text1"/>
        </w:rPr>
        <w:footnoteReference w:id="2"/>
      </w:r>
      <w:r w:rsidRPr="00443DEB">
        <w:rPr>
          <w:rFonts w:ascii="Century Gothic" w:eastAsia="Calibri" w:hAnsi="Century Gothic" w:cs="Arial"/>
          <w:color w:val="000000" w:themeColor="text1"/>
        </w:rPr>
        <w:t>. La Ley 80 de 1993, en el artículo 24, regula el principio de transparencia, sobre el cual se indican reglas para el contenido del pliego de condiciones:</w:t>
      </w:r>
    </w:p>
    <w:p w14:paraId="0F2D4FE9" w14:textId="5FCEE3C4" w:rsidR="00080CCB" w:rsidRPr="00443DEB" w:rsidRDefault="00EA1F1D" w:rsidP="00717307">
      <w:pPr>
        <w:spacing w:line="240" w:lineRule="auto"/>
        <w:ind w:left="709" w:right="709"/>
        <w:jc w:val="both"/>
        <w:rPr>
          <w:rFonts w:ascii="Century Gothic" w:hAnsi="Century Gothic" w:cs="Arial"/>
          <w:color w:val="000000" w:themeColor="text1"/>
          <w:sz w:val="21"/>
          <w:szCs w:val="21"/>
        </w:rPr>
      </w:pPr>
      <w:r>
        <w:rPr>
          <w:rFonts w:ascii="Century Gothic" w:hAnsi="Century Gothic" w:cs="Arial"/>
          <w:color w:val="000000" w:themeColor="text1"/>
          <w:sz w:val="21"/>
          <w:szCs w:val="21"/>
        </w:rPr>
        <w:t>“</w:t>
      </w:r>
      <w:r w:rsidR="00080CCB" w:rsidRPr="00443DEB">
        <w:rPr>
          <w:rFonts w:ascii="Century Gothic" w:hAnsi="Century Gothic" w:cs="Arial"/>
          <w:color w:val="000000" w:themeColor="text1"/>
          <w:sz w:val="21"/>
          <w:szCs w:val="21"/>
        </w:rPr>
        <w:t>[...]</w:t>
      </w:r>
    </w:p>
    <w:p w14:paraId="585F456E" w14:textId="77777777" w:rsidR="00080CCB" w:rsidRPr="00443DEB" w:rsidRDefault="00080CCB" w:rsidP="00717307">
      <w:pPr>
        <w:spacing w:line="240" w:lineRule="auto"/>
        <w:ind w:left="709" w:right="709"/>
        <w:jc w:val="both"/>
        <w:rPr>
          <w:rFonts w:ascii="Century Gothic" w:hAnsi="Century Gothic" w:cs="Arial"/>
          <w:color w:val="000000" w:themeColor="text1"/>
          <w:sz w:val="21"/>
          <w:szCs w:val="21"/>
        </w:rPr>
      </w:pPr>
      <w:r w:rsidRPr="00443DEB">
        <w:rPr>
          <w:rFonts w:ascii="Century Gothic" w:hAnsi="Century Gothic" w:cs="Arial"/>
          <w:color w:val="000000" w:themeColor="text1"/>
          <w:sz w:val="21"/>
          <w:szCs w:val="21"/>
        </w:rPr>
        <w:t>5o. En los pliegos de condiciones:</w:t>
      </w:r>
    </w:p>
    <w:p w14:paraId="05C79A46" w14:textId="77777777" w:rsidR="00080CCB" w:rsidRPr="00443DEB" w:rsidRDefault="00080CCB" w:rsidP="00717307">
      <w:pPr>
        <w:pStyle w:val="Prrafodelista"/>
        <w:spacing w:line="240" w:lineRule="auto"/>
        <w:ind w:left="709" w:right="709"/>
        <w:jc w:val="both"/>
        <w:rPr>
          <w:rFonts w:ascii="Century Gothic" w:hAnsi="Century Gothic" w:cs="Arial"/>
          <w:color w:val="000000" w:themeColor="text1"/>
          <w:sz w:val="21"/>
          <w:szCs w:val="21"/>
        </w:rPr>
      </w:pPr>
      <w:r w:rsidRPr="00443DEB">
        <w:rPr>
          <w:rFonts w:ascii="Century Gothic" w:hAnsi="Century Gothic" w:cs="Arial"/>
          <w:color w:val="000000" w:themeColor="text1"/>
          <w:sz w:val="21"/>
          <w:szCs w:val="21"/>
        </w:rPr>
        <w:t>a) Se indicarán los requisitos objetivos necesarios para participar en el correspondiente proceso de selección.</w:t>
      </w:r>
    </w:p>
    <w:p w14:paraId="3125C472" w14:textId="77777777" w:rsidR="00080CCB" w:rsidRPr="00443DEB" w:rsidRDefault="00080CCB" w:rsidP="00717307">
      <w:pPr>
        <w:spacing w:line="240" w:lineRule="auto"/>
        <w:ind w:left="709" w:right="709"/>
        <w:jc w:val="both"/>
        <w:rPr>
          <w:rFonts w:ascii="Century Gothic" w:hAnsi="Century Gothic" w:cs="Arial"/>
          <w:color w:val="000000" w:themeColor="text1"/>
          <w:sz w:val="21"/>
          <w:szCs w:val="21"/>
        </w:rPr>
      </w:pPr>
      <w:r w:rsidRPr="00443DEB">
        <w:rPr>
          <w:rFonts w:ascii="Century Gothic" w:hAnsi="Century Gothic" w:cs="Arial"/>
          <w:color w:val="000000" w:themeColor="text1"/>
          <w:sz w:val="21"/>
          <w:szCs w:val="21"/>
        </w:rPr>
        <w:t>b) Se definirán reglas objetivas, justas, claras y completas que permitan la confección de ofrecimientos de la misma índole, aseguren una escogencia objetiva y eviten la declaratoria de desierta de la licitación.</w:t>
      </w:r>
    </w:p>
    <w:p w14:paraId="10EE0D4D" w14:textId="77777777" w:rsidR="00080CCB" w:rsidRPr="00443DEB" w:rsidRDefault="00080CCB" w:rsidP="00717307">
      <w:pPr>
        <w:spacing w:line="240" w:lineRule="auto"/>
        <w:ind w:left="709" w:right="709"/>
        <w:jc w:val="both"/>
        <w:rPr>
          <w:rFonts w:ascii="Century Gothic" w:hAnsi="Century Gothic" w:cs="Arial"/>
          <w:color w:val="000000" w:themeColor="text1"/>
          <w:sz w:val="21"/>
          <w:szCs w:val="21"/>
        </w:rPr>
      </w:pPr>
      <w:r w:rsidRPr="00443DEB">
        <w:rPr>
          <w:rFonts w:ascii="Century Gothic" w:hAnsi="Century Gothic" w:cs="Arial"/>
          <w:color w:val="000000" w:themeColor="text1"/>
          <w:sz w:val="21"/>
          <w:szCs w:val="21"/>
        </w:rPr>
        <w:t>[...]</w:t>
      </w:r>
    </w:p>
    <w:p w14:paraId="4CBD05F2" w14:textId="77777777" w:rsidR="00080CCB" w:rsidRPr="00443DEB" w:rsidRDefault="00080CCB" w:rsidP="00717307">
      <w:pPr>
        <w:spacing w:line="240" w:lineRule="auto"/>
        <w:ind w:left="709" w:right="709"/>
        <w:jc w:val="both"/>
        <w:rPr>
          <w:rFonts w:ascii="Century Gothic" w:hAnsi="Century Gothic" w:cs="Arial"/>
          <w:color w:val="000000" w:themeColor="text1"/>
          <w:sz w:val="21"/>
          <w:szCs w:val="21"/>
        </w:rPr>
      </w:pPr>
      <w:r w:rsidRPr="00443DEB">
        <w:rPr>
          <w:rFonts w:ascii="Century Gothic" w:hAnsi="Century Gothic" w:cs="Arial"/>
          <w:color w:val="000000" w:themeColor="text1"/>
          <w:sz w:val="21"/>
          <w:szCs w:val="21"/>
        </w:rPr>
        <w:t>d) No se incluirán condiciones y exigencias de imposible cumplimiento, ni exenciones de la responsabilidad derivada de los datos, informes y documentos que se suministren.</w:t>
      </w:r>
    </w:p>
    <w:p w14:paraId="05D9C099" w14:textId="0C466A82" w:rsidR="00080CCB" w:rsidRPr="00443DEB" w:rsidRDefault="00080CCB" w:rsidP="00717307">
      <w:pPr>
        <w:spacing w:line="240" w:lineRule="auto"/>
        <w:ind w:left="709" w:right="709"/>
        <w:jc w:val="both"/>
        <w:rPr>
          <w:rFonts w:ascii="Century Gothic" w:hAnsi="Century Gothic" w:cs="Arial"/>
          <w:color w:val="000000" w:themeColor="text1"/>
          <w:sz w:val="21"/>
          <w:szCs w:val="21"/>
        </w:rPr>
      </w:pPr>
      <w:r w:rsidRPr="00443DEB">
        <w:rPr>
          <w:rFonts w:ascii="Century Gothic" w:hAnsi="Century Gothic" w:cs="Arial"/>
          <w:color w:val="000000" w:themeColor="text1"/>
          <w:sz w:val="21"/>
          <w:szCs w:val="21"/>
        </w:rPr>
        <w:t xml:space="preserve">e) Se definirán reglas que no induzcan a error a los proponentes y contratistas y que impidan la formulación de ofrecimientos de extensión ilimitada o que dependan de la voluntad exclusiva de la </w:t>
      </w:r>
      <w:r w:rsidR="00717307" w:rsidRPr="00443DEB">
        <w:rPr>
          <w:rFonts w:ascii="Century Gothic" w:hAnsi="Century Gothic" w:cs="Arial"/>
          <w:color w:val="000000" w:themeColor="text1"/>
          <w:sz w:val="21"/>
          <w:szCs w:val="21"/>
        </w:rPr>
        <w:t>entidad. [...]</w:t>
      </w:r>
      <w:r w:rsidR="00334514">
        <w:rPr>
          <w:rFonts w:ascii="Century Gothic" w:hAnsi="Century Gothic" w:cs="Arial"/>
          <w:color w:val="000000" w:themeColor="text1"/>
          <w:sz w:val="21"/>
          <w:szCs w:val="21"/>
        </w:rPr>
        <w:t>”</w:t>
      </w:r>
    </w:p>
    <w:p w14:paraId="5AE93644" w14:textId="209339DB" w:rsidR="00080CCB" w:rsidRPr="00443DEB" w:rsidRDefault="00080CCB" w:rsidP="00080CCB">
      <w:pPr>
        <w:spacing w:line="276" w:lineRule="auto"/>
        <w:ind w:firstLine="708"/>
        <w:jc w:val="both"/>
        <w:rPr>
          <w:rFonts w:ascii="Century Gothic" w:hAnsi="Century Gothic" w:cs="Arial"/>
          <w:color w:val="000000" w:themeColor="text1"/>
          <w:sz w:val="20"/>
          <w:szCs w:val="20"/>
        </w:rPr>
      </w:pPr>
      <w:r w:rsidRPr="00443DEB">
        <w:rPr>
          <w:rFonts w:ascii="Century Gothic" w:eastAsia="Calibri" w:hAnsi="Century Gothic" w:cs="Arial"/>
          <w:color w:val="000000" w:themeColor="text1"/>
        </w:rPr>
        <w:t>Sumado a lo anterior, la Corte Constitucional ha señalado, frente a la selección objetiva, que la entidad no puede establecer reglas subjetivas, sino que deben ser razonables, de acuerdo con las normas que rigen la actividad contractual</w:t>
      </w:r>
      <w:r w:rsidRPr="00443DEB">
        <w:rPr>
          <w:rStyle w:val="Refdenotaalpie"/>
          <w:rFonts w:ascii="Century Gothic" w:eastAsia="Calibri" w:hAnsi="Century Gothic" w:cs="Arial"/>
          <w:color w:val="000000" w:themeColor="text1"/>
        </w:rPr>
        <w:footnoteReference w:id="3"/>
      </w:r>
      <w:r w:rsidRPr="00443DEB">
        <w:rPr>
          <w:rFonts w:ascii="Century Gothic" w:eastAsia="Calibri" w:hAnsi="Century Gothic" w:cs="Arial"/>
          <w:color w:val="000000" w:themeColor="text1"/>
        </w:rPr>
        <w:t>; y en otro pronunciamiento, el Consejo de Estado consideró que la autonomía que tienen las entidades frente a la configuración de los pliegos de condiciones y los criterios de selección de los procedimientos de contratación no es absoluta, y debe tener relación con los fines de la contratación estatal</w:t>
      </w:r>
      <w:r w:rsidR="00951CD9">
        <w:rPr>
          <w:rFonts w:ascii="Century Gothic" w:eastAsia="Calibri" w:hAnsi="Century Gothic" w:cs="Arial"/>
          <w:color w:val="000000" w:themeColor="text1"/>
        </w:rPr>
        <w:t xml:space="preserve"> de la siguiente forma:</w:t>
      </w:r>
    </w:p>
    <w:p w14:paraId="3A4E1C1F" w14:textId="53183C13" w:rsidR="00080CCB" w:rsidRPr="00443DEB" w:rsidRDefault="00951CD9" w:rsidP="00951CD9">
      <w:pPr>
        <w:spacing w:line="240" w:lineRule="auto"/>
        <w:ind w:left="709" w:right="709"/>
        <w:jc w:val="both"/>
        <w:rPr>
          <w:rFonts w:ascii="Century Gothic" w:hAnsi="Century Gothic" w:cs="Arial"/>
          <w:color w:val="000000" w:themeColor="text1"/>
          <w:sz w:val="21"/>
          <w:szCs w:val="21"/>
        </w:rPr>
      </w:pPr>
      <w:r>
        <w:rPr>
          <w:rFonts w:ascii="Century Gothic" w:hAnsi="Century Gothic" w:cs="Arial"/>
          <w:color w:val="000000" w:themeColor="text1"/>
          <w:sz w:val="21"/>
          <w:szCs w:val="21"/>
        </w:rPr>
        <w:t>“</w:t>
      </w:r>
      <w:r w:rsidR="00080CCB" w:rsidRPr="00443DEB">
        <w:rPr>
          <w:rFonts w:ascii="Century Gothic" w:hAnsi="Century Gothic" w:cs="Arial"/>
          <w:color w:val="000000" w:themeColor="text1"/>
          <w:sz w:val="21"/>
          <w:szCs w:val="21"/>
        </w:rPr>
        <w:t>Si bien la Administración goza de una amplia facultad de configuración en relación con los requisitos, las exigencias y, en general, con las reglas que se adopten mediante los pliegos de condiciones, de acuerdo con sus particulares necesidades, no es menos cierto que esa facultad de configuración está enmarcada por y para los fines de la contratación estatal y, por consiguiente, los criterios de selección susceptibles de calificación deben ser congruentes con ellos y comprender los elementos necesarios para llevar a cabo el contrato en las condiciones de modo, tiempo y lugar requeridas por ella. La objetividad que impone y reclama la Ley 80 en la contratación estatal, en varias de sus disposiciones, sólo se cumple a condición de que existan en los pliegos de condiciones o términos de referencia reglas necesarias, claras, objetivas y precisas de cara a la finalidad del contrato</w:t>
      </w:r>
      <w:r w:rsidR="00080CCB" w:rsidRPr="00443DEB">
        <w:rPr>
          <w:rStyle w:val="Refdenotaalpie"/>
          <w:rFonts w:ascii="Century Gothic" w:hAnsi="Century Gothic" w:cs="Arial"/>
          <w:color w:val="000000" w:themeColor="text1"/>
          <w:sz w:val="21"/>
          <w:szCs w:val="21"/>
        </w:rPr>
        <w:footnoteReference w:id="4"/>
      </w:r>
      <w:r w:rsidR="00080CCB" w:rsidRPr="00443DEB">
        <w:rPr>
          <w:rFonts w:ascii="Century Gothic" w:hAnsi="Century Gothic" w:cs="Arial"/>
          <w:color w:val="000000" w:themeColor="text1"/>
          <w:sz w:val="21"/>
          <w:szCs w:val="21"/>
        </w:rPr>
        <w:t>.</w:t>
      </w:r>
      <w:r>
        <w:rPr>
          <w:rFonts w:ascii="Century Gothic" w:hAnsi="Century Gothic" w:cs="Arial"/>
          <w:color w:val="000000" w:themeColor="text1"/>
          <w:sz w:val="21"/>
          <w:szCs w:val="21"/>
        </w:rPr>
        <w:t>”</w:t>
      </w:r>
    </w:p>
    <w:p w14:paraId="5BEA5CC9" w14:textId="77777777" w:rsidR="00080CCB" w:rsidRPr="00443DEB" w:rsidRDefault="00080CCB" w:rsidP="00080CCB">
      <w:pPr>
        <w:spacing w:after="120" w:line="276" w:lineRule="auto"/>
        <w:ind w:firstLine="709"/>
        <w:jc w:val="both"/>
        <w:rPr>
          <w:rFonts w:ascii="Century Gothic" w:eastAsia="Calibri" w:hAnsi="Century Gothic" w:cs="Arial"/>
          <w:color w:val="000000" w:themeColor="text1"/>
        </w:rPr>
      </w:pPr>
      <w:r w:rsidRPr="00443DEB">
        <w:rPr>
          <w:rFonts w:ascii="Century Gothic" w:eastAsia="Calibri" w:hAnsi="Century Gothic" w:cs="Arial"/>
          <w:color w:val="000000" w:themeColor="text1"/>
        </w:rPr>
        <w:t>También, el Consejo de Estado ha determinado que el pliego de condiciones es ley para las partes, y en él se debe establecer la regulación del procedimiento de contratación, conforme a la ley, garantizando la selección objetiva del contratista</w:t>
      </w:r>
      <w:r w:rsidRPr="00443DEB">
        <w:rPr>
          <w:rStyle w:val="Refdenotaalpie"/>
          <w:rFonts w:ascii="Century Gothic" w:eastAsia="Calibri" w:hAnsi="Century Gothic" w:cs="Arial"/>
          <w:color w:val="000000" w:themeColor="text1"/>
        </w:rPr>
        <w:footnoteReference w:id="5"/>
      </w:r>
      <w:r w:rsidRPr="00443DEB">
        <w:rPr>
          <w:rFonts w:ascii="Century Gothic" w:eastAsia="Calibri" w:hAnsi="Century Gothic" w:cs="Arial"/>
          <w:color w:val="000000" w:themeColor="text1"/>
        </w:rPr>
        <w:t xml:space="preserve">. El artículo 2.2.1.1.2.1.3. del Decreto 1082 de 2015 establece el contenido mínimo del pliego de condiciones, de acuerdo con lo que la entidad adquirirá para satisfacer sus necesidades de bienes, obras o servicios, el cual debe tener la información desagregada, principalmente en los siguientes ítems: i) identificación detallada del objeto contractual y con el clasificador de bienes y servicios, ii) modalidad y criterios de selección, iii) valoración económica del bien, obra o servicio, </w:t>
      </w:r>
      <w:proofErr w:type="spellStart"/>
      <w:r w:rsidRPr="00443DEB">
        <w:rPr>
          <w:rFonts w:ascii="Century Gothic" w:eastAsia="Calibri" w:hAnsi="Century Gothic" w:cs="Arial"/>
          <w:color w:val="000000" w:themeColor="text1"/>
        </w:rPr>
        <w:t>iv</w:t>
      </w:r>
      <w:proofErr w:type="spellEnd"/>
      <w:r w:rsidRPr="00443DEB">
        <w:rPr>
          <w:rFonts w:ascii="Century Gothic" w:eastAsia="Calibri" w:hAnsi="Century Gothic" w:cs="Arial"/>
          <w:color w:val="000000" w:themeColor="text1"/>
        </w:rPr>
        <w:t>) reglas de la presentación y manejo de las ofertas, v) riesgos y garantías, entre otros aspectos del contrato</w:t>
      </w:r>
      <w:r w:rsidRPr="00443DEB">
        <w:rPr>
          <w:rStyle w:val="Refdenotaalpie"/>
          <w:rFonts w:ascii="Century Gothic" w:eastAsia="Calibri" w:hAnsi="Century Gothic" w:cs="Arial"/>
          <w:color w:val="000000" w:themeColor="text1"/>
        </w:rPr>
        <w:footnoteReference w:id="6"/>
      </w:r>
      <w:r w:rsidRPr="00443DEB">
        <w:rPr>
          <w:rFonts w:ascii="Century Gothic" w:eastAsia="Calibri" w:hAnsi="Century Gothic" w:cs="Arial"/>
          <w:color w:val="000000" w:themeColor="text1"/>
        </w:rPr>
        <w:t>.</w:t>
      </w:r>
    </w:p>
    <w:p w14:paraId="48F668FB" w14:textId="46263A61" w:rsidR="00080CCB" w:rsidRPr="00443DEB" w:rsidRDefault="00080CCB" w:rsidP="00080CCB">
      <w:pPr>
        <w:spacing w:line="276" w:lineRule="auto"/>
        <w:ind w:firstLine="709"/>
        <w:jc w:val="both"/>
        <w:rPr>
          <w:rFonts w:ascii="Century Gothic" w:hAnsi="Century Gothic" w:cs="Arial"/>
        </w:rPr>
      </w:pPr>
      <w:r w:rsidRPr="00443DEB">
        <w:rPr>
          <w:rFonts w:ascii="Century Gothic" w:hAnsi="Century Gothic" w:cs="Arial"/>
        </w:rPr>
        <w:t>Conforme a lo anterior, el pliego de condiciones debe establecer las etapas del proceso de selección, así como las reglas, requisitos y condiciones aplicables en cada una de ellas. Entre estos aspectos se encuentran las causales de rechazo y factores de ponderación de las ofertas, así como los documentos que debe contener y las causas que impidan una selección objetiva. En ese orden, gran parte de la importancia del pliego de condiciones está determinada por el hecho que es el documento en el que se establecen las normas que van a regular etapa selección, a las que deberán sujetarse la administración y l</w:t>
      </w:r>
      <w:r w:rsidR="00310E98">
        <w:rPr>
          <w:rFonts w:ascii="Century Gothic" w:hAnsi="Century Gothic" w:cs="Arial"/>
        </w:rPr>
        <w:t>o</w:t>
      </w:r>
      <w:r w:rsidRPr="00443DEB">
        <w:rPr>
          <w:rFonts w:ascii="Century Gothic" w:hAnsi="Century Gothic" w:cs="Arial"/>
        </w:rPr>
        <w:t>s oferentes a efectos de lograr una selección objetiva</w:t>
      </w:r>
      <w:r w:rsidRPr="00443DEB">
        <w:rPr>
          <w:rStyle w:val="Refdenotaalpie"/>
          <w:rFonts w:ascii="Century Gothic" w:hAnsi="Century Gothic" w:cs="Arial"/>
        </w:rPr>
        <w:footnoteReference w:id="7"/>
      </w:r>
      <w:r w:rsidRPr="00443DEB">
        <w:rPr>
          <w:rFonts w:ascii="Century Gothic" w:hAnsi="Century Gothic" w:cs="Arial"/>
        </w:rPr>
        <w:t>.</w:t>
      </w:r>
    </w:p>
    <w:p w14:paraId="3026367B" w14:textId="3645DEAB" w:rsidR="00080CCB" w:rsidRPr="00CB5519" w:rsidRDefault="00CB5519" w:rsidP="00080CCB">
      <w:pPr>
        <w:spacing w:line="276" w:lineRule="auto"/>
        <w:jc w:val="both"/>
        <w:rPr>
          <w:rFonts w:ascii="Century Gothic" w:eastAsia="Calibri" w:hAnsi="Century Gothic" w:cs="Arial"/>
          <w:lang w:val="es-ES"/>
        </w:rPr>
      </w:pPr>
      <w:r>
        <w:rPr>
          <w:rFonts w:ascii="Century Gothic" w:eastAsia="Calibri" w:hAnsi="Century Gothic" w:cs="Arial"/>
          <w:b/>
          <w:bCs/>
          <w:lang w:val="es-ES"/>
        </w:rPr>
        <w:tab/>
      </w:r>
      <w:r>
        <w:rPr>
          <w:rFonts w:ascii="Century Gothic" w:eastAsia="Calibri" w:hAnsi="Century Gothic" w:cs="Arial"/>
          <w:lang w:val="es-ES"/>
        </w:rPr>
        <w:t xml:space="preserve">En ese orden de ideas, </w:t>
      </w:r>
      <w:r w:rsidR="000B12B4">
        <w:rPr>
          <w:rFonts w:ascii="Century Gothic" w:eastAsia="Calibri" w:hAnsi="Century Gothic" w:cs="Arial"/>
          <w:lang w:val="es-ES"/>
        </w:rPr>
        <w:t>el Consejo de Estado</w:t>
      </w:r>
      <w:r w:rsidR="00070A66">
        <w:rPr>
          <w:rStyle w:val="Refdenotaalpie"/>
          <w:rFonts w:ascii="Century Gothic" w:eastAsia="Calibri" w:hAnsi="Century Gothic" w:cs="Arial"/>
          <w:lang w:val="es-ES"/>
        </w:rPr>
        <w:footnoteReference w:id="8"/>
      </w:r>
      <w:r w:rsidR="00030222">
        <w:rPr>
          <w:rFonts w:ascii="Century Gothic" w:eastAsia="Calibri" w:hAnsi="Century Gothic" w:cs="Arial"/>
          <w:lang w:val="es-ES"/>
        </w:rPr>
        <w:t xml:space="preserve"> ha reiterado que el </w:t>
      </w:r>
      <w:r>
        <w:rPr>
          <w:rFonts w:ascii="Century Gothic" w:eastAsia="Calibri" w:hAnsi="Century Gothic" w:cs="Arial"/>
          <w:lang w:val="es-ES"/>
        </w:rPr>
        <w:t xml:space="preserve">pliego de condiciones ostenta una doble naturaleza jurídica, </w:t>
      </w:r>
      <w:r w:rsidR="000B12B4">
        <w:rPr>
          <w:rFonts w:ascii="Century Gothic" w:eastAsia="Calibri" w:hAnsi="Century Gothic" w:cs="Arial"/>
          <w:lang w:val="es-ES"/>
        </w:rPr>
        <w:t>pues,</w:t>
      </w:r>
      <w:r>
        <w:rPr>
          <w:rFonts w:ascii="Century Gothic" w:eastAsia="Calibri" w:hAnsi="Century Gothic" w:cs="Arial"/>
          <w:lang w:val="es-ES"/>
        </w:rPr>
        <w:t xml:space="preserve"> por un lado, </w:t>
      </w:r>
      <w:r w:rsidR="00EF1282">
        <w:rPr>
          <w:rFonts w:ascii="Century Gothic" w:eastAsia="Calibri" w:hAnsi="Century Gothic" w:cs="Arial"/>
          <w:lang w:val="es-ES"/>
        </w:rPr>
        <w:t xml:space="preserve">antes de la </w:t>
      </w:r>
      <w:r w:rsidR="00030222">
        <w:rPr>
          <w:rFonts w:ascii="Century Gothic" w:eastAsia="Calibri" w:hAnsi="Century Gothic" w:cs="Arial"/>
          <w:lang w:val="es-ES"/>
        </w:rPr>
        <w:t>celebración del</w:t>
      </w:r>
      <w:r w:rsidR="00EF1282">
        <w:rPr>
          <w:rFonts w:ascii="Century Gothic" w:eastAsia="Calibri" w:hAnsi="Century Gothic" w:cs="Arial"/>
          <w:lang w:val="es-ES"/>
        </w:rPr>
        <w:t xml:space="preserve"> contrato y de la expedición del acto administrativo de adjudicación se considera como un acto </w:t>
      </w:r>
      <w:r w:rsidR="00030222">
        <w:rPr>
          <w:rFonts w:ascii="Century Gothic" w:eastAsia="Calibri" w:hAnsi="Century Gothic" w:cs="Arial"/>
          <w:lang w:val="es-ES"/>
        </w:rPr>
        <w:t>administrativo</w:t>
      </w:r>
      <w:r w:rsidR="00EF1282">
        <w:rPr>
          <w:rFonts w:ascii="Century Gothic" w:eastAsia="Calibri" w:hAnsi="Century Gothic" w:cs="Arial"/>
          <w:lang w:val="es-ES"/>
        </w:rPr>
        <w:t xml:space="preserve"> de carácter general que rige el desarrollo del proceso de selección</w:t>
      </w:r>
      <w:r w:rsidR="00030222">
        <w:rPr>
          <w:rFonts w:ascii="Century Gothic" w:eastAsia="Calibri" w:hAnsi="Century Gothic" w:cs="Arial"/>
          <w:lang w:val="es-ES"/>
        </w:rPr>
        <w:t>, sin embargo</w:t>
      </w:r>
      <w:r w:rsidR="00EF1282">
        <w:rPr>
          <w:rFonts w:ascii="Century Gothic" w:eastAsia="Calibri" w:hAnsi="Century Gothic" w:cs="Arial"/>
          <w:lang w:val="es-ES"/>
        </w:rPr>
        <w:t xml:space="preserve">, una vez </w:t>
      </w:r>
      <w:r w:rsidR="00070A66">
        <w:rPr>
          <w:rFonts w:ascii="Century Gothic" w:eastAsia="Calibri" w:hAnsi="Century Gothic" w:cs="Arial"/>
          <w:lang w:val="es-ES"/>
        </w:rPr>
        <w:t xml:space="preserve">se </w:t>
      </w:r>
      <w:r w:rsidR="00EF1282">
        <w:rPr>
          <w:rFonts w:ascii="Century Gothic" w:eastAsia="Calibri" w:hAnsi="Century Gothic" w:cs="Arial"/>
          <w:lang w:val="es-ES"/>
        </w:rPr>
        <w:t>celebr</w:t>
      </w:r>
      <w:r w:rsidR="00070A66">
        <w:rPr>
          <w:rFonts w:ascii="Century Gothic" w:eastAsia="Calibri" w:hAnsi="Century Gothic" w:cs="Arial"/>
          <w:lang w:val="es-ES"/>
        </w:rPr>
        <w:t>e</w:t>
      </w:r>
      <w:r w:rsidR="00EF1282">
        <w:rPr>
          <w:rFonts w:ascii="Century Gothic" w:eastAsia="Calibri" w:hAnsi="Century Gothic" w:cs="Arial"/>
          <w:lang w:val="es-ES"/>
        </w:rPr>
        <w:t xml:space="preserve"> el contrato</w:t>
      </w:r>
      <w:r w:rsidR="00B20985">
        <w:rPr>
          <w:rFonts w:ascii="Century Gothic" w:eastAsia="Calibri" w:hAnsi="Century Gothic" w:cs="Arial"/>
          <w:lang w:val="es-ES"/>
        </w:rPr>
        <w:t xml:space="preserve">, el pliego de </w:t>
      </w:r>
      <w:r w:rsidR="00070A66">
        <w:rPr>
          <w:rFonts w:ascii="Century Gothic" w:eastAsia="Calibri" w:hAnsi="Century Gothic" w:cs="Arial"/>
          <w:lang w:val="es-ES"/>
        </w:rPr>
        <w:t>condiciones</w:t>
      </w:r>
      <w:r w:rsidR="00B20985">
        <w:rPr>
          <w:rFonts w:ascii="Century Gothic" w:eastAsia="Calibri" w:hAnsi="Century Gothic" w:cs="Arial"/>
          <w:lang w:val="es-ES"/>
        </w:rPr>
        <w:t xml:space="preserve"> pasa hacer parte del marco jurídico de la relación contractual determinando el contenido y el alcance del negocio jurídico </w:t>
      </w:r>
    </w:p>
    <w:p w14:paraId="4C001CAD" w14:textId="68DE2A2B" w:rsidR="00D155A3" w:rsidRDefault="00CB3574" w:rsidP="00D479B3">
      <w:pPr>
        <w:spacing w:line="276" w:lineRule="auto"/>
        <w:ind w:firstLine="708"/>
        <w:jc w:val="both"/>
        <w:rPr>
          <w:rFonts w:ascii="Century Gothic" w:eastAsia="Batang" w:hAnsi="Century Gothic" w:cs="Arial"/>
          <w:lang w:val="es-MX"/>
        </w:rPr>
      </w:pPr>
      <w:r>
        <w:rPr>
          <w:rFonts w:ascii="Century Gothic" w:eastAsia="Batang" w:hAnsi="Century Gothic" w:cs="Arial"/>
          <w:lang w:val="es-MX"/>
        </w:rPr>
        <w:t xml:space="preserve">Ahora bien, </w:t>
      </w:r>
      <w:r w:rsidR="008C6FA9">
        <w:rPr>
          <w:rFonts w:ascii="Century Gothic" w:eastAsia="Batang" w:hAnsi="Century Gothic" w:cs="Arial"/>
          <w:lang w:val="es-MX"/>
        </w:rPr>
        <w:t xml:space="preserve">de acuerdo con la jurisprudencia de la </w:t>
      </w:r>
      <w:r w:rsidR="00DA112C">
        <w:rPr>
          <w:rFonts w:ascii="Century Gothic" w:eastAsia="Batang" w:hAnsi="Century Gothic" w:cs="Arial"/>
          <w:lang w:val="es-MX"/>
        </w:rPr>
        <w:t>Sección Tercera del Consejo de estado, las reglas de los pliegos de condiciones deben prevalecer sobre los demás documentos del contrato</w:t>
      </w:r>
      <w:r w:rsidR="00EE7B75">
        <w:rPr>
          <w:rFonts w:ascii="Century Gothic" w:eastAsia="Batang" w:hAnsi="Century Gothic" w:cs="Arial"/>
          <w:lang w:val="es-MX"/>
        </w:rPr>
        <w:t xml:space="preserve"> e incluso sobre la minuta, la cual se limita a formalizar el acuerdo de voluntades</w:t>
      </w:r>
      <w:r w:rsidR="00BD09EA">
        <w:rPr>
          <w:rFonts w:ascii="Century Gothic" w:eastAsia="Batang" w:hAnsi="Century Gothic" w:cs="Arial"/>
          <w:lang w:val="es-MX"/>
        </w:rPr>
        <w:t>, por lo tanto,</w:t>
      </w:r>
      <w:r w:rsidR="00E726B3">
        <w:rPr>
          <w:rFonts w:ascii="Century Gothic" w:eastAsia="Batang" w:hAnsi="Century Gothic" w:cs="Arial"/>
          <w:lang w:val="es-MX"/>
        </w:rPr>
        <w:t xml:space="preserve"> ha reiterado que</w:t>
      </w:r>
      <w:r w:rsidR="00BD09EA">
        <w:rPr>
          <w:rFonts w:ascii="Century Gothic" w:eastAsia="Batang" w:hAnsi="Century Gothic" w:cs="Arial"/>
          <w:lang w:val="es-MX"/>
        </w:rPr>
        <w:t xml:space="preserve"> las reglas contenidas en los pliegos de condiciones que adolecen de vacíos o contradicciones deben de </w:t>
      </w:r>
      <w:r w:rsidR="00E726B3">
        <w:rPr>
          <w:rFonts w:ascii="Century Gothic" w:eastAsia="Batang" w:hAnsi="Century Gothic" w:cs="Arial"/>
          <w:lang w:val="es-MX"/>
        </w:rPr>
        <w:t xml:space="preserve">interpretarse </w:t>
      </w:r>
      <w:r w:rsidR="00E726B3" w:rsidRPr="00D4633F">
        <w:rPr>
          <w:rFonts w:ascii="Century Gothic" w:eastAsia="Batang" w:hAnsi="Century Gothic" w:cs="Arial"/>
          <w:i/>
          <w:iCs/>
          <w:lang w:val="es-MX"/>
        </w:rPr>
        <w:t>“con sujeción a los principios generales del derechos, a los de la función administrativa</w:t>
      </w:r>
      <w:r w:rsidR="00D4633F" w:rsidRPr="00D4633F">
        <w:rPr>
          <w:rFonts w:ascii="Century Gothic" w:eastAsia="Batang" w:hAnsi="Century Gothic" w:cs="Arial"/>
          <w:i/>
          <w:iCs/>
          <w:lang w:val="es-MX"/>
        </w:rPr>
        <w:t xml:space="preserve">, a la finalidad del pliego y a </w:t>
      </w:r>
      <w:r w:rsidR="005A21D2" w:rsidRPr="00D4633F">
        <w:rPr>
          <w:rFonts w:ascii="Century Gothic" w:eastAsia="Batang" w:hAnsi="Century Gothic" w:cs="Arial"/>
          <w:i/>
          <w:iCs/>
          <w:lang w:val="es-MX"/>
        </w:rPr>
        <w:t>la</w:t>
      </w:r>
      <w:r w:rsidR="00D4633F" w:rsidRPr="00D4633F">
        <w:rPr>
          <w:rFonts w:ascii="Century Gothic" w:eastAsia="Batang" w:hAnsi="Century Gothic" w:cs="Arial"/>
          <w:i/>
          <w:iCs/>
          <w:lang w:val="es-MX"/>
        </w:rPr>
        <w:t xml:space="preserve"> protección del interés general, de conformidad con lo previsto en el artículo 23 de la Ley 80 de 1993”</w:t>
      </w:r>
      <w:r w:rsidR="00D4633F">
        <w:rPr>
          <w:rFonts w:ascii="Century Gothic" w:eastAsia="Batang" w:hAnsi="Century Gothic" w:cs="Arial"/>
          <w:i/>
          <w:iCs/>
          <w:lang w:val="es-MX"/>
        </w:rPr>
        <w:t>.</w:t>
      </w:r>
      <w:r w:rsidR="00D4633F">
        <w:rPr>
          <w:rStyle w:val="Refdenotaalpie"/>
          <w:rFonts w:ascii="Century Gothic" w:eastAsia="Batang" w:hAnsi="Century Gothic" w:cs="Arial"/>
          <w:i/>
          <w:iCs/>
          <w:lang w:val="es-MX"/>
        </w:rPr>
        <w:footnoteReference w:id="9"/>
      </w:r>
    </w:p>
    <w:p w14:paraId="1D9BD633" w14:textId="4E6C02AD" w:rsidR="00D479B3" w:rsidRPr="00443DEB" w:rsidRDefault="00D479B3" w:rsidP="00D479B3">
      <w:pPr>
        <w:spacing w:line="276" w:lineRule="auto"/>
        <w:ind w:firstLine="708"/>
        <w:jc w:val="both"/>
        <w:rPr>
          <w:rFonts w:ascii="Century Gothic" w:eastAsia="Batang" w:hAnsi="Century Gothic" w:cs="Arial"/>
        </w:rPr>
      </w:pPr>
      <w:r w:rsidRPr="00443DEB">
        <w:rPr>
          <w:rFonts w:ascii="Century Gothic" w:eastAsia="Batang" w:hAnsi="Century Gothic" w:cs="Arial"/>
          <w:lang w:val="es-MX"/>
        </w:rPr>
        <w:t xml:space="preserve">De acuerdo con </w:t>
      </w:r>
      <w:r w:rsidR="005A21D2">
        <w:rPr>
          <w:rFonts w:ascii="Century Gothic" w:eastAsia="Batang" w:hAnsi="Century Gothic" w:cs="Arial"/>
          <w:lang w:val="es-MX"/>
        </w:rPr>
        <w:t>lo an</w:t>
      </w:r>
      <w:r w:rsidR="00302834">
        <w:rPr>
          <w:rFonts w:ascii="Century Gothic" w:eastAsia="Batang" w:hAnsi="Century Gothic" w:cs="Arial"/>
          <w:lang w:val="es-MX"/>
        </w:rPr>
        <w:t>terior</w:t>
      </w:r>
      <w:r w:rsidRPr="00443DEB">
        <w:rPr>
          <w:rFonts w:ascii="Century Gothic" w:eastAsia="Batang" w:hAnsi="Century Gothic" w:cs="Arial"/>
          <w:lang w:val="es-MX"/>
        </w:rPr>
        <w:t xml:space="preserve">, es posible establecer, por ejemplo, que </w:t>
      </w:r>
      <w:r w:rsidRPr="00443DEB">
        <w:rPr>
          <w:rFonts w:ascii="Century Gothic" w:eastAsia="Batang" w:hAnsi="Century Gothic" w:cs="Arial"/>
        </w:rPr>
        <w:t xml:space="preserve">en caso de contradicción entre el contenido establecido en </w:t>
      </w:r>
      <w:r w:rsidR="009849B3">
        <w:rPr>
          <w:rFonts w:ascii="Century Gothic" w:eastAsia="Batang" w:hAnsi="Century Gothic" w:cs="Arial"/>
        </w:rPr>
        <w:t xml:space="preserve">el pliego de condiciones </w:t>
      </w:r>
      <w:r w:rsidRPr="00443DEB">
        <w:rPr>
          <w:rFonts w:ascii="Century Gothic" w:eastAsia="Batang" w:hAnsi="Century Gothic" w:cs="Arial"/>
        </w:rPr>
        <w:t xml:space="preserve">y el incluido por la entidad, proponentes o contratista en los </w:t>
      </w:r>
      <w:r w:rsidR="001E1F0A">
        <w:rPr>
          <w:rFonts w:ascii="Century Gothic" w:eastAsia="Batang" w:hAnsi="Century Gothic" w:cs="Arial"/>
        </w:rPr>
        <w:t xml:space="preserve">demás </w:t>
      </w:r>
      <w:r w:rsidRPr="00443DEB">
        <w:rPr>
          <w:rFonts w:ascii="Century Gothic" w:eastAsia="Batang" w:hAnsi="Century Gothic" w:cs="Arial"/>
        </w:rPr>
        <w:t>documentos del proceso</w:t>
      </w:r>
      <w:r w:rsidR="001E1F0A">
        <w:rPr>
          <w:rFonts w:ascii="Century Gothic" w:eastAsia="Batang" w:hAnsi="Century Gothic" w:cs="Arial"/>
        </w:rPr>
        <w:t xml:space="preserve"> de contratación</w:t>
      </w:r>
      <w:r w:rsidRPr="00443DEB">
        <w:rPr>
          <w:rFonts w:ascii="Century Gothic" w:eastAsia="Batang" w:hAnsi="Century Gothic" w:cs="Arial"/>
        </w:rPr>
        <w:t>, primará lo señalado en</w:t>
      </w:r>
      <w:r w:rsidR="001E1F0A">
        <w:rPr>
          <w:rFonts w:ascii="Century Gothic" w:eastAsia="Batang" w:hAnsi="Century Gothic" w:cs="Arial"/>
        </w:rPr>
        <w:t xml:space="preserve"> el pliego de condiciones</w:t>
      </w:r>
      <w:r w:rsidRPr="00443DEB">
        <w:rPr>
          <w:rFonts w:ascii="Century Gothic" w:eastAsia="Batang" w:hAnsi="Century Gothic" w:cs="Arial"/>
        </w:rPr>
        <w:t xml:space="preserve">. </w:t>
      </w:r>
    </w:p>
    <w:p w14:paraId="319B4B25" w14:textId="77777777" w:rsidR="004552F4" w:rsidRDefault="00F76E9A" w:rsidP="00D479B3">
      <w:pPr>
        <w:spacing w:line="276" w:lineRule="auto"/>
        <w:ind w:firstLine="708"/>
        <w:jc w:val="both"/>
        <w:rPr>
          <w:rFonts w:ascii="Century Gothic" w:eastAsia="Batang" w:hAnsi="Century Gothic" w:cs="Arial"/>
        </w:rPr>
      </w:pPr>
      <w:r>
        <w:rPr>
          <w:rFonts w:ascii="Century Gothic" w:eastAsia="Batang" w:hAnsi="Century Gothic" w:cs="Arial"/>
        </w:rPr>
        <w:t xml:space="preserve">Sin perjuicio de lo anterior, </w:t>
      </w:r>
      <w:r w:rsidRPr="00443DEB">
        <w:rPr>
          <w:rFonts w:ascii="Century Gothic" w:eastAsia="Batang" w:hAnsi="Century Gothic" w:cs="Arial"/>
        </w:rPr>
        <w:t xml:space="preserve">la entidad, proponentes o contratista </w:t>
      </w:r>
      <w:r w:rsidR="00D479B3" w:rsidRPr="00443DEB">
        <w:rPr>
          <w:rFonts w:ascii="Century Gothic" w:eastAsia="Batang" w:hAnsi="Century Gothic" w:cs="Arial"/>
        </w:rPr>
        <w:t>podrá</w:t>
      </w:r>
      <w:r>
        <w:rPr>
          <w:rFonts w:ascii="Century Gothic" w:eastAsia="Batang" w:hAnsi="Century Gothic" w:cs="Arial"/>
        </w:rPr>
        <w:t>n</w:t>
      </w:r>
      <w:r w:rsidR="00D479B3" w:rsidRPr="00443DEB">
        <w:rPr>
          <w:rFonts w:ascii="Century Gothic" w:eastAsia="Batang" w:hAnsi="Century Gothic" w:cs="Arial"/>
        </w:rPr>
        <w:t xml:space="preserve"> acudir, en lo pertinente, a las reglas de interpretación </w:t>
      </w:r>
      <w:r w:rsidR="00D479B3" w:rsidRPr="00443DEB">
        <w:rPr>
          <w:rFonts w:ascii="Century Gothic" w:eastAsia="Batang" w:hAnsi="Century Gothic" w:cs="Arial"/>
          <w:lang w:val="es-MX"/>
        </w:rPr>
        <w:t>objetivas y subjetivas</w:t>
      </w:r>
      <w:r w:rsidR="00D479B3" w:rsidRPr="00443DEB">
        <w:rPr>
          <w:rFonts w:ascii="Century Gothic" w:eastAsia="Batang" w:hAnsi="Century Gothic" w:cs="Arial"/>
          <w:vertAlign w:val="superscript"/>
          <w:lang w:val="es-MX"/>
        </w:rPr>
        <w:footnoteReference w:id="10"/>
      </w:r>
      <w:r w:rsidR="00D479B3" w:rsidRPr="00443DEB">
        <w:rPr>
          <w:rFonts w:ascii="Century Gothic" w:eastAsia="Batang" w:hAnsi="Century Gothic" w:cs="Arial"/>
          <w:lang w:val="es-MX"/>
        </w:rPr>
        <w:t xml:space="preserve"> conforme a los artículos 1618 a 1624 del Código Civil. Las primeras son las siguientes: i) una vez conocida la intención de los contratantes ha de estarse más a ella que a lo literal de las palabras (artículo 1618 del Código Civil); ii) </w:t>
      </w:r>
      <w:r w:rsidR="00D479B3" w:rsidRPr="00443DEB">
        <w:rPr>
          <w:rFonts w:ascii="Century Gothic" w:eastAsia="Batang" w:hAnsi="Century Gothic" w:cs="Arial"/>
        </w:rPr>
        <w:t xml:space="preserve">las estipulaciones de un contrato pueden interpretarse por la de otro que las partes hayan celebrado sobre la misma materia o por la aplicación práctica que de ellas hayan hecho (artículo 1622, incisos 2 y 3 </w:t>
      </w:r>
      <w:proofErr w:type="spellStart"/>
      <w:r w:rsidR="00D479B3" w:rsidRPr="00443DEB">
        <w:rPr>
          <w:rFonts w:ascii="Century Gothic" w:eastAsia="Batang" w:hAnsi="Century Gothic" w:cs="Arial"/>
          <w:i/>
          <w:iCs/>
        </w:rPr>
        <w:t>ibídem</w:t>
      </w:r>
      <w:bookmarkStart w:id="3" w:name="_Hlk96265254"/>
      <w:proofErr w:type="spellEnd"/>
      <w:r w:rsidR="00D479B3" w:rsidRPr="00443DEB">
        <w:rPr>
          <w:rFonts w:ascii="Century Gothic" w:eastAsia="Batang" w:hAnsi="Century Gothic" w:cs="Arial"/>
        </w:rPr>
        <w:t xml:space="preserve">); iii) las cláusulas deben interpretarse unas por otras, dándole a cada una el sentido que más convenga al contrato en su totalidad (artículo 1622, inciso 1 </w:t>
      </w:r>
      <w:proofErr w:type="spellStart"/>
      <w:r w:rsidR="00D479B3" w:rsidRPr="00443DEB">
        <w:rPr>
          <w:rFonts w:ascii="Century Gothic" w:eastAsia="Batang" w:hAnsi="Century Gothic" w:cs="Arial"/>
          <w:i/>
          <w:iCs/>
        </w:rPr>
        <w:t>ibídem</w:t>
      </w:r>
      <w:proofErr w:type="spellEnd"/>
      <w:r w:rsidR="00D479B3" w:rsidRPr="00443DEB">
        <w:rPr>
          <w:rFonts w:ascii="Century Gothic" w:eastAsia="Batang" w:hAnsi="Century Gothic" w:cs="Arial"/>
        </w:rPr>
        <w:t xml:space="preserve">); </w:t>
      </w:r>
      <w:proofErr w:type="spellStart"/>
      <w:r w:rsidR="00D479B3" w:rsidRPr="00443DEB">
        <w:rPr>
          <w:rFonts w:ascii="Century Gothic" w:eastAsia="Batang" w:hAnsi="Century Gothic" w:cs="Arial"/>
        </w:rPr>
        <w:t>iv</w:t>
      </w:r>
      <w:proofErr w:type="spellEnd"/>
      <w:r w:rsidR="00D479B3" w:rsidRPr="00443DEB">
        <w:rPr>
          <w:rFonts w:ascii="Century Gothic" w:eastAsia="Batang" w:hAnsi="Century Gothic" w:cs="Arial"/>
        </w:rPr>
        <w:t xml:space="preserve">) si en un contrato se expresa un caso para explicar la obligación se entiende que esa mención no es restrictiva sino ejemplificativa (artículo 1623 </w:t>
      </w:r>
      <w:proofErr w:type="spellStart"/>
      <w:r w:rsidR="00D479B3" w:rsidRPr="00443DEB">
        <w:rPr>
          <w:rFonts w:ascii="Century Gothic" w:eastAsia="Batang" w:hAnsi="Century Gothic" w:cs="Arial"/>
          <w:i/>
          <w:iCs/>
        </w:rPr>
        <w:t>ibídem</w:t>
      </w:r>
      <w:proofErr w:type="spellEnd"/>
      <w:r w:rsidR="00D479B3" w:rsidRPr="00443DEB">
        <w:rPr>
          <w:rFonts w:ascii="Century Gothic" w:eastAsia="Batang" w:hAnsi="Century Gothic" w:cs="Arial"/>
        </w:rPr>
        <w:t xml:space="preserve">); y v) se entiende que las expresiones generales contenidas en el negocio únicamente se aplican a la materia sobre la que se ha contratado (artículo 1619, inciso 2 </w:t>
      </w:r>
      <w:proofErr w:type="spellStart"/>
      <w:r w:rsidR="00D479B3" w:rsidRPr="00443DEB">
        <w:rPr>
          <w:rFonts w:ascii="Century Gothic" w:eastAsia="Batang" w:hAnsi="Century Gothic" w:cs="Arial"/>
          <w:i/>
          <w:iCs/>
        </w:rPr>
        <w:t>ibídem</w:t>
      </w:r>
      <w:proofErr w:type="spellEnd"/>
      <w:r w:rsidR="00D479B3" w:rsidRPr="00443DEB">
        <w:rPr>
          <w:rFonts w:ascii="Century Gothic" w:eastAsia="Batang" w:hAnsi="Century Gothic" w:cs="Arial"/>
        </w:rPr>
        <w:t xml:space="preserve">). </w:t>
      </w:r>
    </w:p>
    <w:p w14:paraId="7E7534DF" w14:textId="55BC4236" w:rsidR="00D479B3" w:rsidRPr="00443DEB" w:rsidRDefault="004552F4" w:rsidP="00D479B3">
      <w:pPr>
        <w:spacing w:line="276" w:lineRule="auto"/>
        <w:ind w:firstLine="708"/>
        <w:jc w:val="both"/>
        <w:rPr>
          <w:rFonts w:ascii="Century Gothic" w:eastAsia="Batang" w:hAnsi="Century Gothic" w:cs="Arial"/>
          <w:lang w:val="es-MX"/>
        </w:rPr>
      </w:pPr>
      <w:r>
        <w:rPr>
          <w:rFonts w:ascii="Century Gothic" w:eastAsia="Batang" w:hAnsi="Century Gothic" w:cs="Arial"/>
        </w:rPr>
        <w:t>Por su parte, l</w:t>
      </w:r>
      <w:r w:rsidR="00D479B3" w:rsidRPr="00443DEB">
        <w:rPr>
          <w:rFonts w:ascii="Century Gothic" w:eastAsia="Batang" w:hAnsi="Century Gothic" w:cs="Arial"/>
        </w:rPr>
        <w:t xml:space="preserve">as </w:t>
      </w:r>
      <w:r w:rsidR="00643AE0">
        <w:rPr>
          <w:rFonts w:ascii="Century Gothic" w:eastAsia="Batang" w:hAnsi="Century Gothic" w:cs="Arial"/>
        </w:rPr>
        <w:t>reglas subjetivas de interpretación se refieren a las siguientes</w:t>
      </w:r>
      <w:r w:rsidR="00D479B3" w:rsidRPr="00443DEB">
        <w:rPr>
          <w:rFonts w:ascii="Century Gothic" w:eastAsia="Batang" w:hAnsi="Century Gothic" w:cs="Arial"/>
        </w:rPr>
        <w:t xml:space="preserve">: vi) </w:t>
      </w:r>
      <w:r w:rsidR="00D479B3" w:rsidRPr="00443DEB">
        <w:rPr>
          <w:rFonts w:ascii="Century Gothic" w:eastAsia="Batang" w:hAnsi="Century Gothic" w:cs="Arial"/>
          <w:lang w:val="es-MX"/>
        </w:rPr>
        <w:t xml:space="preserve">el sentido en que una cláusula pueda producir algún efecto deberá preferirse a aquel en que no produzca efecto alguno </w:t>
      </w:r>
      <w:r w:rsidR="00D479B3" w:rsidRPr="00443DEB">
        <w:rPr>
          <w:rFonts w:ascii="Century Gothic" w:eastAsia="Batang" w:hAnsi="Century Gothic" w:cs="Arial"/>
        </w:rPr>
        <w:t xml:space="preserve">(artículo 1620 </w:t>
      </w:r>
      <w:proofErr w:type="spellStart"/>
      <w:r w:rsidR="00D479B3" w:rsidRPr="00443DEB">
        <w:rPr>
          <w:rFonts w:ascii="Century Gothic" w:eastAsia="Batang" w:hAnsi="Century Gothic" w:cs="Arial"/>
          <w:i/>
          <w:iCs/>
        </w:rPr>
        <w:t>ibídem</w:t>
      </w:r>
      <w:proofErr w:type="spellEnd"/>
      <w:r w:rsidR="00D479B3" w:rsidRPr="00443DEB">
        <w:rPr>
          <w:rFonts w:ascii="Century Gothic" w:eastAsia="Batang" w:hAnsi="Century Gothic" w:cs="Arial"/>
        </w:rPr>
        <w:t>); vii)</w:t>
      </w:r>
      <w:r w:rsidR="00D479B3" w:rsidRPr="00443DEB">
        <w:rPr>
          <w:rFonts w:ascii="Century Gothic" w:eastAsia="Batang" w:hAnsi="Century Gothic" w:cs="Arial"/>
          <w:lang w:val="es-MX"/>
        </w:rPr>
        <w:t xml:space="preserve"> deberá estarse a la interpretación que mejor cuadre con la naturaleza del contrato </w:t>
      </w:r>
      <w:r w:rsidR="00D479B3" w:rsidRPr="00443DEB">
        <w:rPr>
          <w:rFonts w:ascii="Century Gothic" w:eastAsia="Batang" w:hAnsi="Century Gothic" w:cs="Arial"/>
        </w:rPr>
        <w:t xml:space="preserve">(artículo 1621 </w:t>
      </w:r>
      <w:proofErr w:type="spellStart"/>
      <w:r w:rsidR="00D479B3" w:rsidRPr="00443DEB">
        <w:rPr>
          <w:rFonts w:ascii="Century Gothic" w:eastAsia="Batang" w:hAnsi="Century Gothic" w:cs="Arial"/>
          <w:i/>
          <w:iCs/>
        </w:rPr>
        <w:t>ibídem</w:t>
      </w:r>
      <w:proofErr w:type="spellEnd"/>
      <w:r w:rsidR="00D479B3" w:rsidRPr="00443DEB">
        <w:rPr>
          <w:rFonts w:ascii="Century Gothic" w:eastAsia="Batang" w:hAnsi="Century Gothic" w:cs="Arial"/>
        </w:rPr>
        <w:t>)</w:t>
      </w:r>
      <w:r w:rsidR="00D479B3" w:rsidRPr="00443DEB">
        <w:rPr>
          <w:rFonts w:ascii="Century Gothic" w:eastAsia="Batang" w:hAnsi="Century Gothic" w:cs="Arial"/>
          <w:lang w:val="es-MX"/>
        </w:rPr>
        <w:t xml:space="preserve">; </w:t>
      </w:r>
      <w:r w:rsidR="00D479B3" w:rsidRPr="00242004">
        <w:rPr>
          <w:rFonts w:ascii="Century Gothic" w:eastAsia="Batang" w:hAnsi="Century Gothic" w:cs="Arial"/>
          <w:lang w:val="es-MX"/>
        </w:rPr>
        <w:t xml:space="preserve">viii) las cláusulas ambiguas se interpretan a favor del deudor </w:t>
      </w:r>
      <w:r w:rsidR="00D479B3" w:rsidRPr="00242004">
        <w:rPr>
          <w:rFonts w:ascii="Century Gothic" w:eastAsia="Batang" w:hAnsi="Century Gothic" w:cs="Arial"/>
        </w:rPr>
        <w:t xml:space="preserve">(artículo 1624, inciso 1 </w:t>
      </w:r>
      <w:proofErr w:type="spellStart"/>
      <w:r w:rsidR="00D479B3" w:rsidRPr="00242004">
        <w:rPr>
          <w:rFonts w:ascii="Century Gothic" w:eastAsia="Batang" w:hAnsi="Century Gothic" w:cs="Arial"/>
        </w:rPr>
        <w:t>ibídem</w:t>
      </w:r>
      <w:proofErr w:type="spellEnd"/>
      <w:r w:rsidR="00D479B3" w:rsidRPr="00443DEB">
        <w:rPr>
          <w:rFonts w:ascii="Century Gothic" w:eastAsia="Batang" w:hAnsi="Century Gothic" w:cs="Arial"/>
        </w:rPr>
        <w:t xml:space="preserve">); y </w:t>
      </w:r>
      <w:proofErr w:type="spellStart"/>
      <w:r w:rsidR="00D479B3" w:rsidRPr="00443DEB">
        <w:rPr>
          <w:rFonts w:ascii="Century Gothic" w:eastAsia="Batang" w:hAnsi="Century Gothic" w:cs="Arial"/>
        </w:rPr>
        <w:t>ix</w:t>
      </w:r>
      <w:proofErr w:type="spellEnd"/>
      <w:r w:rsidR="00D479B3" w:rsidRPr="00242004">
        <w:rPr>
          <w:rFonts w:ascii="Century Gothic" w:eastAsia="Batang" w:hAnsi="Century Gothic" w:cs="Arial"/>
          <w:i/>
          <w:iCs/>
        </w:rPr>
        <w:t>)</w:t>
      </w:r>
      <w:r w:rsidR="00D479B3" w:rsidRPr="00242004">
        <w:rPr>
          <w:rFonts w:ascii="Century Gothic" w:eastAsia="Batang" w:hAnsi="Century Gothic" w:cs="Arial"/>
          <w:i/>
          <w:iCs/>
          <w:lang w:val="es-MX"/>
        </w:rPr>
        <w:t xml:space="preserve"> las cláusulas oscuras que hayan sido extendidas o dictadas por una parte se interpretarán contra ella si la ambigüedad proviene de una explicación que ésta ha debido dar</w:t>
      </w:r>
      <w:r w:rsidR="00D479B3" w:rsidRPr="00443DEB">
        <w:rPr>
          <w:rFonts w:ascii="Century Gothic" w:eastAsia="Batang" w:hAnsi="Century Gothic" w:cs="Arial"/>
          <w:lang w:val="es-MX"/>
        </w:rPr>
        <w:t xml:space="preserve"> </w:t>
      </w:r>
      <w:r w:rsidR="00D479B3" w:rsidRPr="00443DEB">
        <w:rPr>
          <w:rFonts w:ascii="Century Gothic" w:eastAsia="Batang" w:hAnsi="Century Gothic" w:cs="Arial"/>
        </w:rPr>
        <w:t xml:space="preserve">(artículo 1624, inciso 2 </w:t>
      </w:r>
      <w:proofErr w:type="spellStart"/>
      <w:r w:rsidR="00D479B3" w:rsidRPr="00443DEB">
        <w:rPr>
          <w:rFonts w:ascii="Century Gothic" w:eastAsia="Batang" w:hAnsi="Century Gothic" w:cs="Arial"/>
          <w:i/>
          <w:iCs/>
        </w:rPr>
        <w:t>ibídem</w:t>
      </w:r>
      <w:proofErr w:type="spellEnd"/>
      <w:r w:rsidR="00D479B3" w:rsidRPr="00443DEB">
        <w:rPr>
          <w:rFonts w:ascii="Century Gothic" w:eastAsia="Batang" w:hAnsi="Century Gothic" w:cs="Arial"/>
        </w:rPr>
        <w:t>)</w:t>
      </w:r>
      <w:r w:rsidR="00D479B3" w:rsidRPr="00443DEB">
        <w:rPr>
          <w:rFonts w:ascii="Century Gothic" w:eastAsia="Batang" w:hAnsi="Century Gothic" w:cs="Arial"/>
          <w:lang w:val="es-MX"/>
        </w:rPr>
        <w:t xml:space="preserve">. </w:t>
      </w:r>
      <w:bookmarkEnd w:id="3"/>
    </w:p>
    <w:p w14:paraId="717A40C0" w14:textId="77777777" w:rsidR="00D479B3" w:rsidRPr="00443DEB" w:rsidRDefault="00D479B3" w:rsidP="00D479B3">
      <w:pPr>
        <w:spacing w:line="276" w:lineRule="auto"/>
        <w:ind w:firstLine="708"/>
        <w:jc w:val="both"/>
        <w:rPr>
          <w:rFonts w:ascii="Century Gothic" w:eastAsia="Batang" w:hAnsi="Century Gothic" w:cs="Arial"/>
          <w:lang w:val="es-MX"/>
        </w:rPr>
      </w:pPr>
    </w:p>
    <w:p w14:paraId="7A12FBC2" w14:textId="77777777" w:rsidR="00D479B3" w:rsidRPr="00443DEB" w:rsidRDefault="00D479B3" w:rsidP="00D479B3">
      <w:pPr>
        <w:spacing w:line="276" w:lineRule="auto"/>
        <w:ind w:firstLine="708"/>
        <w:jc w:val="both"/>
        <w:rPr>
          <w:rFonts w:ascii="Century Gothic" w:eastAsia="Batang" w:hAnsi="Century Gothic" w:cs="Arial"/>
          <w:lang w:val="es-MX"/>
        </w:rPr>
      </w:pPr>
      <w:r w:rsidRPr="00443DEB">
        <w:rPr>
          <w:rFonts w:ascii="Century Gothic" w:eastAsia="Batang" w:hAnsi="Century Gothic" w:cs="Arial"/>
        </w:rPr>
        <w:t xml:space="preserve">Sin embargo, </w:t>
      </w:r>
      <w:bookmarkStart w:id="4" w:name="_Hlk96265891"/>
      <w:r w:rsidRPr="00443DEB">
        <w:rPr>
          <w:rFonts w:ascii="Century Gothic" w:eastAsia="Batang" w:hAnsi="Century Gothic" w:cs="Arial"/>
        </w:rPr>
        <w:t xml:space="preserve">la aplicación de estos criterios siempre deberá tener en cuenta las circunstancias concretas de cada caso en particular, de manera que la entidad pueda optar por la interpretación que más se adecúe a la finalidad que persigue con el documento y sus anexos. </w:t>
      </w:r>
      <w:r w:rsidRPr="00443DEB">
        <w:rPr>
          <w:rFonts w:ascii="Century Gothic" w:eastAsia="Batang" w:hAnsi="Century Gothic" w:cs="Arial"/>
          <w:lang w:val="es-MX"/>
        </w:rPr>
        <w:t xml:space="preserve">De todos modos, en caso de que el desacuerdo sobre el sentido o alcance de los documentos del proceso de contratación persista una vez aplicada las pautas anteriores, corresponde a los jueces de lo contencioso administrativo interpretar cuál de los documentos prevalece. Por tanto, es necesario señalar en que no es posible establecer </w:t>
      </w:r>
      <w:r w:rsidRPr="00443DEB">
        <w:rPr>
          <w:rFonts w:ascii="Century Gothic" w:eastAsia="Batang" w:hAnsi="Century Gothic" w:cs="Arial"/>
          <w:i/>
          <w:iCs/>
          <w:lang w:val="es-MX"/>
        </w:rPr>
        <w:t xml:space="preserve">ex ante </w:t>
      </w:r>
      <w:r w:rsidRPr="00443DEB">
        <w:rPr>
          <w:rFonts w:ascii="Century Gothic" w:eastAsia="Batang" w:hAnsi="Century Gothic" w:cs="Arial"/>
          <w:lang w:val="es-MX"/>
        </w:rPr>
        <w:t>la validez o prevalencia jurídica de los documentos contractuales, pues estos deben valorarse integralmente, de acuerdo con las reglas anteriormente expuestas</w:t>
      </w:r>
      <w:bookmarkEnd w:id="4"/>
      <w:r w:rsidRPr="00443DEB">
        <w:rPr>
          <w:rFonts w:ascii="Century Gothic" w:eastAsia="Batang" w:hAnsi="Century Gothic" w:cs="Arial"/>
          <w:lang w:val="es-MX"/>
        </w:rPr>
        <w:t xml:space="preserve"> </w:t>
      </w:r>
      <w:r w:rsidRPr="00443DEB">
        <w:rPr>
          <w:rFonts w:ascii="Century Gothic" w:eastAsia="Calibri" w:hAnsi="Century Gothic" w:cs="Arial"/>
          <w:lang w:val="es-MX"/>
        </w:rPr>
        <w:t>y atendiendo a las circunstancias adicionales de cada proceso</w:t>
      </w:r>
      <w:r w:rsidRPr="00443DEB">
        <w:rPr>
          <w:rFonts w:ascii="Century Gothic" w:eastAsia="Batang" w:hAnsi="Century Gothic" w:cs="Arial"/>
          <w:vertAlign w:val="superscript"/>
          <w:lang w:val="es-MX"/>
        </w:rPr>
        <w:footnoteReference w:id="11"/>
      </w:r>
      <w:r w:rsidRPr="00443DEB">
        <w:rPr>
          <w:rFonts w:ascii="Century Gothic" w:eastAsia="Batang" w:hAnsi="Century Gothic" w:cs="Arial"/>
          <w:lang w:val="es-MX"/>
        </w:rPr>
        <w:t>.</w:t>
      </w:r>
    </w:p>
    <w:p w14:paraId="63F55F0A" w14:textId="470655CD" w:rsidR="00CD0CEF" w:rsidRPr="00443DEB" w:rsidRDefault="00D479B3" w:rsidP="006C293D">
      <w:pPr>
        <w:spacing w:line="276" w:lineRule="auto"/>
        <w:ind w:firstLine="708"/>
        <w:jc w:val="both"/>
        <w:rPr>
          <w:rFonts w:ascii="Century Gothic" w:eastAsia="Calibri" w:hAnsi="Century Gothic" w:cs="Arial"/>
          <w:b/>
          <w:bCs/>
          <w:lang w:val="es-ES"/>
        </w:rPr>
      </w:pPr>
      <w:r w:rsidRPr="00443DEB">
        <w:rPr>
          <w:rFonts w:ascii="Century Gothic" w:eastAsia="Calibri" w:hAnsi="Century Gothic" w:cs="Arial"/>
          <w:lang w:val="es-MX"/>
        </w:rPr>
        <w:t>Así las cosas, ante una contradicción entre la información contemplada en</w:t>
      </w:r>
      <w:r w:rsidRPr="00443DEB">
        <w:rPr>
          <w:rFonts w:ascii="Century Gothic" w:eastAsia="Calibri" w:hAnsi="Century Gothic" w:cs="Arial"/>
          <w:color w:val="000000"/>
          <w:lang w:val="es-ES" w:bidi="es-ES"/>
        </w:rPr>
        <w:t xml:space="preserve"> </w:t>
      </w:r>
      <w:r w:rsidRPr="00443DEB">
        <w:rPr>
          <w:rFonts w:ascii="Century Gothic" w:eastAsia="Calibri" w:hAnsi="Century Gothic" w:cs="Arial"/>
          <w:color w:val="000000"/>
          <w:lang w:val="es-MX"/>
        </w:rPr>
        <w:t xml:space="preserve">la información suministrada por la Entidad </w:t>
      </w:r>
      <w:r w:rsidR="000F7D55">
        <w:rPr>
          <w:rFonts w:ascii="Century Gothic" w:eastAsia="Calibri" w:hAnsi="Century Gothic" w:cs="Arial"/>
          <w:color w:val="000000"/>
          <w:lang w:val="es-MX"/>
        </w:rPr>
        <w:t xml:space="preserve">en el formulario de SECOP II </w:t>
      </w:r>
      <w:r w:rsidRPr="00443DEB">
        <w:rPr>
          <w:rFonts w:ascii="Century Gothic" w:eastAsia="Calibri" w:hAnsi="Century Gothic" w:cs="Arial"/>
          <w:color w:val="000000"/>
          <w:lang w:val="es-MX"/>
        </w:rPr>
        <w:t xml:space="preserve">o alguna de las respuestas a las observaciones presentadas en el curso del proceso </w:t>
      </w:r>
      <w:r w:rsidRPr="00443DEB">
        <w:rPr>
          <w:rFonts w:ascii="Century Gothic" w:eastAsia="Calibri" w:hAnsi="Century Gothic" w:cs="Arial"/>
          <w:lang w:val="es-MX"/>
        </w:rPr>
        <w:t xml:space="preserve">y la información contenida en el </w:t>
      </w:r>
      <w:r w:rsidR="000F7D55">
        <w:rPr>
          <w:rFonts w:ascii="Century Gothic" w:eastAsia="Calibri" w:hAnsi="Century Gothic" w:cs="Arial"/>
          <w:lang w:val="es-MX"/>
        </w:rPr>
        <w:t>respectivo pliego de condiciones</w:t>
      </w:r>
      <w:r w:rsidRPr="00443DEB">
        <w:rPr>
          <w:rFonts w:ascii="Century Gothic" w:eastAsia="Calibri" w:hAnsi="Century Gothic" w:cs="Arial"/>
          <w:lang w:val="es-MX"/>
        </w:rPr>
        <w:t xml:space="preserve">, se analizará las circunstancias en concreto de cara a los principios de la contratación estatal, de manera que la entidad adoptará la decisión que más se ajuste a la finalidad del proceso de contratación teniendo en cuenta las pautas interpretativas </w:t>
      </w:r>
      <w:r w:rsidR="006C293D">
        <w:rPr>
          <w:rFonts w:ascii="Century Gothic" w:eastAsia="Calibri" w:hAnsi="Century Gothic" w:cs="Arial"/>
          <w:lang w:val="es-MX"/>
        </w:rPr>
        <w:t>expuestas previamente</w:t>
      </w:r>
      <w:r w:rsidR="00D35126">
        <w:rPr>
          <w:rFonts w:ascii="Century Gothic" w:eastAsia="Calibri" w:hAnsi="Century Gothic" w:cs="Arial"/>
          <w:lang w:val="es-MX"/>
        </w:rPr>
        <w:t xml:space="preserve">, resaltando que aquellas disposiciones o situaciones </w:t>
      </w:r>
      <w:r w:rsidR="00D35126" w:rsidRPr="00D35126">
        <w:rPr>
          <w:rFonts w:ascii="Century Gothic" w:eastAsia="Batang" w:hAnsi="Century Gothic" w:cs="Arial"/>
        </w:rPr>
        <w:t xml:space="preserve">oscuras que hayan sido extendidas o dictadas por una parte se interpretarán contra ella si la ambigüedad proviene de una explicación que ésta ha debido dar </w:t>
      </w:r>
      <w:r w:rsidR="00513CC1">
        <w:rPr>
          <w:rFonts w:ascii="Century Gothic" w:eastAsia="Batang" w:hAnsi="Century Gothic" w:cs="Arial"/>
        </w:rPr>
        <w:t xml:space="preserve">de conformidad con el </w:t>
      </w:r>
      <w:r w:rsidR="00D35126" w:rsidRPr="00D35126">
        <w:rPr>
          <w:rFonts w:ascii="Century Gothic" w:eastAsia="Batang" w:hAnsi="Century Gothic" w:cs="Arial"/>
        </w:rPr>
        <w:t>artículo 1624</w:t>
      </w:r>
      <w:r w:rsidR="00513CC1">
        <w:rPr>
          <w:rFonts w:ascii="Century Gothic" w:eastAsia="Batang" w:hAnsi="Century Gothic" w:cs="Arial"/>
        </w:rPr>
        <w:t xml:space="preserve"> del Código Civil</w:t>
      </w:r>
      <w:r w:rsidR="007B25A6">
        <w:rPr>
          <w:rFonts w:ascii="Century Gothic" w:eastAsia="Batang" w:hAnsi="Century Gothic" w:cs="Arial"/>
        </w:rPr>
        <w:t xml:space="preserve">, en ese sentido, dichas contradicciones </w:t>
      </w:r>
      <w:r w:rsidR="00BF6F41">
        <w:rPr>
          <w:rFonts w:ascii="Century Gothic" w:eastAsia="Batang" w:hAnsi="Century Gothic" w:cs="Arial"/>
        </w:rPr>
        <w:t>o ambigüedades no pueden afectar a los proponentes o contratistas en el ejercicio de sus derechos.</w:t>
      </w:r>
      <w:r w:rsidR="00513CC1">
        <w:rPr>
          <w:rFonts w:ascii="Century Gothic" w:eastAsia="Batang" w:hAnsi="Century Gothic" w:cs="Arial"/>
        </w:rPr>
        <w:t xml:space="preserve"> </w:t>
      </w:r>
    </w:p>
    <w:p w14:paraId="4504E998" w14:textId="14340B12" w:rsidR="00080CCB" w:rsidRPr="00443DEB" w:rsidRDefault="00E51532" w:rsidP="00080CCB">
      <w:pPr>
        <w:pStyle w:val="xmsonospacing"/>
        <w:spacing w:before="0" w:beforeAutospacing="0" w:after="0" w:afterAutospacing="0" w:line="276" w:lineRule="auto"/>
        <w:jc w:val="both"/>
        <w:rPr>
          <w:rFonts w:ascii="Century Gothic" w:hAnsi="Century Gothic" w:cs="Arial"/>
          <w:b/>
          <w:bCs/>
          <w:color w:val="000000"/>
          <w:sz w:val="22"/>
          <w:szCs w:val="22"/>
          <w:bdr w:val="none" w:sz="0" w:space="0" w:color="auto" w:frame="1"/>
          <w:shd w:val="clear" w:color="auto" w:fill="FFFFFF"/>
        </w:rPr>
      </w:pPr>
      <w:r w:rsidRPr="00443DEB">
        <w:rPr>
          <w:rFonts w:ascii="Century Gothic" w:eastAsia="Calibri" w:hAnsi="Century Gothic" w:cs="Arial"/>
          <w:b/>
          <w:bCs/>
          <w:sz w:val="22"/>
          <w:lang w:val="es-ES"/>
        </w:rPr>
        <w:t xml:space="preserve">2.2. </w:t>
      </w:r>
      <w:r w:rsidR="00080CCB" w:rsidRPr="00443DEB">
        <w:rPr>
          <w:rFonts w:ascii="Century Gothic" w:eastAsia="Calibri" w:hAnsi="Century Gothic" w:cs="Arial"/>
          <w:b/>
          <w:bCs/>
          <w:sz w:val="22"/>
          <w:lang w:val="es-ES"/>
        </w:rPr>
        <w:t xml:space="preserve"> </w:t>
      </w:r>
      <w:r w:rsidRPr="00443DEB">
        <w:rPr>
          <w:rFonts w:ascii="Century Gothic" w:eastAsia="Calibri" w:hAnsi="Century Gothic" w:cs="Arial"/>
          <w:b/>
          <w:bCs/>
          <w:sz w:val="22"/>
        </w:rPr>
        <w:t>Pliegos de condiciones electrónicos en el SECOP II</w:t>
      </w:r>
    </w:p>
    <w:p w14:paraId="68824F0C" w14:textId="77777777" w:rsidR="00080CCB" w:rsidRPr="00443DEB" w:rsidRDefault="00080CCB" w:rsidP="00080CCB">
      <w:pPr>
        <w:pStyle w:val="xmsonospacing"/>
        <w:spacing w:before="0" w:beforeAutospacing="0" w:after="0" w:afterAutospacing="0"/>
        <w:jc w:val="both"/>
        <w:rPr>
          <w:rFonts w:ascii="Century Gothic" w:hAnsi="Century Gothic" w:cs="Arial"/>
          <w:b/>
          <w:bCs/>
          <w:color w:val="000000"/>
          <w:sz w:val="22"/>
          <w:szCs w:val="22"/>
          <w:bdr w:val="none" w:sz="0" w:space="0" w:color="auto" w:frame="1"/>
          <w:shd w:val="clear" w:color="auto" w:fill="FFFFFF"/>
        </w:rPr>
      </w:pPr>
    </w:p>
    <w:p w14:paraId="7625998F" w14:textId="7374A9E2" w:rsidR="0018114D" w:rsidRDefault="00080CCB" w:rsidP="0018114D">
      <w:pPr>
        <w:pStyle w:val="xmsonospacing"/>
        <w:spacing w:before="0" w:beforeAutospacing="0" w:after="240" w:afterAutospacing="0" w:line="276" w:lineRule="auto"/>
        <w:jc w:val="both"/>
        <w:rPr>
          <w:rFonts w:ascii="Century Gothic" w:hAnsi="Century Gothic" w:cs="Arial"/>
          <w:color w:val="000000"/>
          <w:sz w:val="22"/>
          <w:szCs w:val="22"/>
          <w:bdr w:val="none" w:sz="0" w:space="0" w:color="auto" w:frame="1"/>
          <w:shd w:val="clear" w:color="auto" w:fill="FFFFFF"/>
        </w:rPr>
      </w:pPr>
      <w:r w:rsidRPr="00443DEB">
        <w:rPr>
          <w:rFonts w:ascii="Century Gothic" w:hAnsi="Century Gothic" w:cs="Arial"/>
          <w:color w:val="000000"/>
          <w:sz w:val="22"/>
          <w:szCs w:val="22"/>
          <w:bdr w:val="none" w:sz="0" w:space="0" w:color="auto" w:frame="1"/>
          <w:shd w:val="clear" w:color="auto" w:fill="FFFFFF"/>
        </w:rPr>
        <w:t xml:space="preserve">Tradicionalmente, el pliego de condiciones es un documento escrito en medio físico o digital, que, como los demás documentos del proceso de contratación, se expide y luego se publica en el </w:t>
      </w:r>
      <w:r w:rsidR="003C497B">
        <w:rPr>
          <w:rFonts w:ascii="Century Gothic" w:hAnsi="Century Gothic" w:cs="Arial"/>
          <w:color w:val="000000"/>
          <w:sz w:val="22"/>
          <w:szCs w:val="22"/>
          <w:bdr w:val="none" w:sz="0" w:space="0" w:color="auto" w:frame="1"/>
          <w:shd w:val="clear" w:color="auto" w:fill="FFFFFF"/>
        </w:rPr>
        <w:t xml:space="preserve">Sistema de Compra Pública </w:t>
      </w:r>
      <w:r w:rsidR="0018114D">
        <w:rPr>
          <w:rFonts w:ascii="Century Gothic" w:hAnsi="Century Gothic" w:cs="Arial"/>
          <w:color w:val="000000"/>
          <w:sz w:val="22"/>
          <w:szCs w:val="22"/>
          <w:bdr w:val="none" w:sz="0" w:space="0" w:color="auto" w:frame="1"/>
          <w:shd w:val="clear" w:color="auto" w:fill="FFFFFF"/>
        </w:rPr>
        <w:t xml:space="preserve">– </w:t>
      </w:r>
      <w:r w:rsidRPr="00443DEB">
        <w:rPr>
          <w:rFonts w:ascii="Century Gothic" w:hAnsi="Century Gothic" w:cs="Arial"/>
          <w:color w:val="000000"/>
          <w:sz w:val="22"/>
          <w:szCs w:val="22"/>
          <w:bdr w:val="none" w:sz="0" w:space="0" w:color="auto" w:frame="1"/>
          <w:shd w:val="clear" w:color="auto" w:fill="FFFFFF"/>
        </w:rPr>
        <w:t>SECOP</w:t>
      </w:r>
      <w:r w:rsidR="00AF4FE4">
        <w:rPr>
          <w:rFonts w:ascii="Century Gothic" w:hAnsi="Century Gothic" w:cs="Arial"/>
          <w:color w:val="000000"/>
          <w:sz w:val="22"/>
          <w:szCs w:val="22"/>
          <w:bdr w:val="none" w:sz="0" w:space="0" w:color="auto" w:frame="1"/>
          <w:shd w:val="clear" w:color="auto" w:fill="FFFFFF"/>
        </w:rPr>
        <w:t xml:space="preserve"> I</w:t>
      </w:r>
      <w:r w:rsidR="0018114D">
        <w:rPr>
          <w:rFonts w:ascii="Century Gothic" w:hAnsi="Century Gothic" w:cs="Arial"/>
          <w:color w:val="000000"/>
          <w:sz w:val="22"/>
          <w:szCs w:val="22"/>
          <w:bdr w:val="none" w:sz="0" w:space="0" w:color="auto" w:frame="1"/>
          <w:shd w:val="clear" w:color="auto" w:fill="FFFFFF"/>
        </w:rPr>
        <w:t>,</w:t>
      </w:r>
      <w:r w:rsidRPr="00443DEB">
        <w:rPr>
          <w:rFonts w:ascii="Century Gothic" w:hAnsi="Century Gothic" w:cs="Arial"/>
          <w:color w:val="000000"/>
          <w:sz w:val="22"/>
          <w:szCs w:val="22"/>
          <w:bdr w:val="none" w:sz="0" w:space="0" w:color="auto" w:frame="1"/>
          <w:shd w:val="clear" w:color="auto" w:fill="FFFFFF"/>
        </w:rPr>
        <w:t xml:space="preserve"> en el término dispuesto en el artículo 2.2.1.1.1.7.1 del Decreto 1082 de 2015</w:t>
      </w:r>
      <w:r w:rsidRPr="00443DEB">
        <w:rPr>
          <w:rStyle w:val="Refdenotaalpie"/>
          <w:rFonts w:ascii="Century Gothic" w:hAnsi="Century Gothic" w:cs="Arial"/>
          <w:color w:val="000000"/>
          <w:sz w:val="22"/>
          <w:szCs w:val="22"/>
          <w:bdr w:val="none" w:sz="0" w:space="0" w:color="auto" w:frame="1"/>
          <w:shd w:val="clear" w:color="auto" w:fill="FFFFFF"/>
        </w:rPr>
        <w:footnoteReference w:id="12"/>
      </w:r>
      <w:r w:rsidRPr="00443DEB">
        <w:rPr>
          <w:rFonts w:ascii="Century Gothic" w:hAnsi="Century Gothic" w:cs="Arial"/>
          <w:color w:val="000000"/>
          <w:sz w:val="22"/>
          <w:szCs w:val="22"/>
          <w:bdr w:val="none" w:sz="0" w:space="0" w:color="auto" w:frame="1"/>
          <w:shd w:val="clear" w:color="auto" w:fill="FFFFFF"/>
        </w:rPr>
        <w:t>. De esta manera, el pliego de condiciones se produce por fuera de la plataforma y luego se car</w:t>
      </w:r>
      <w:r w:rsidR="0018114D">
        <w:rPr>
          <w:rFonts w:ascii="Century Gothic" w:hAnsi="Century Gothic" w:cs="Arial"/>
          <w:color w:val="000000"/>
          <w:sz w:val="22"/>
          <w:szCs w:val="22"/>
          <w:bdr w:val="none" w:sz="0" w:space="0" w:color="auto" w:frame="1"/>
          <w:shd w:val="clear" w:color="auto" w:fill="FFFFFF"/>
        </w:rPr>
        <w:t>g</w:t>
      </w:r>
      <w:r w:rsidRPr="00443DEB">
        <w:rPr>
          <w:rFonts w:ascii="Century Gothic" w:hAnsi="Century Gothic" w:cs="Arial"/>
          <w:color w:val="000000"/>
          <w:sz w:val="22"/>
          <w:szCs w:val="22"/>
          <w:bdr w:val="none" w:sz="0" w:space="0" w:color="auto" w:frame="1"/>
          <w:shd w:val="clear" w:color="auto" w:fill="FFFFFF"/>
        </w:rPr>
        <w:t xml:space="preserve">a para efectos de su publicidad. </w:t>
      </w:r>
    </w:p>
    <w:p w14:paraId="2596EA3A" w14:textId="3328805E" w:rsidR="00080CCB" w:rsidRPr="0018114D" w:rsidRDefault="00080CCB" w:rsidP="0018114D">
      <w:pPr>
        <w:pStyle w:val="xmsonospacing"/>
        <w:spacing w:before="0" w:beforeAutospacing="0" w:after="240" w:afterAutospacing="0" w:line="276" w:lineRule="auto"/>
        <w:ind w:firstLine="708"/>
        <w:jc w:val="both"/>
        <w:rPr>
          <w:rFonts w:ascii="Century Gothic" w:hAnsi="Century Gothic" w:cs="Arial"/>
          <w:color w:val="000000"/>
          <w:sz w:val="22"/>
          <w:szCs w:val="22"/>
          <w:bdr w:val="none" w:sz="0" w:space="0" w:color="auto" w:frame="1"/>
          <w:shd w:val="clear" w:color="auto" w:fill="FFFFFF"/>
        </w:rPr>
      </w:pPr>
      <w:r w:rsidRPr="00443DEB">
        <w:rPr>
          <w:rFonts w:ascii="Century Gothic" w:hAnsi="Century Gothic" w:cs="Arial"/>
          <w:color w:val="000000"/>
          <w:sz w:val="22"/>
          <w:szCs w:val="22"/>
          <w:bdr w:val="none" w:sz="0" w:space="0" w:color="auto" w:frame="1"/>
          <w:shd w:val="clear" w:color="auto" w:fill="FFFFFF"/>
        </w:rPr>
        <w:t xml:space="preserve">Lo anterior a diferencia de </w:t>
      </w:r>
      <w:bookmarkStart w:id="5" w:name="_Hlk117498261"/>
      <w:r w:rsidRPr="00443DEB">
        <w:rPr>
          <w:rFonts w:ascii="Century Gothic" w:hAnsi="Century Gothic" w:cs="Arial"/>
          <w:color w:val="000000"/>
          <w:sz w:val="22"/>
          <w:szCs w:val="22"/>
          <w:bdr w:val="none" w:sz="0" w:space="0" w:color="auto" w:frame="1"/>
          <w:shd w:val="clear" w:color="auto" w:fill="FFFFFF"/>
        </w:rPr>
        <w:t xml:space="preserve">los procesos adelantados a través de la SECOP II en los cuales el pliego de condiciones es un documento electrónico el cual se produce, expide y publica al interior de esta versión de la plataforma, la cual tiene carácter transaccional y no meramente publicitario. Este pliego de condiciones electrónico </w:t>
      </w:r>
      <w:r w:rsidRPr="00443DEB">
        <w:rPr>
          <w:rFonts w:ascii="Century Gothic" w:eastAsia="Calibri" w:hAnsi="Century Gothic" w:cs="Arial"/>
          <w:sz w:val="22"/>
          <w:lang w:val="es-ES"/>
        </w:rPr>
        <w:t>está compuesto por: i) formulario y ii) documentos anexos que cargue la entidad. Después de elegir la modalidad de selección</w:t>
      </w:r>
      <w:r w:rsidR="00A87B24">
        <w:rPr>
          <w:rFonts w:ascii="Century Gothic" w:eastAsia="Calibri" w:hAnsi="Century Gothic" w:cs="Arial"/>
          <w:sz w:val="22"/>
          <w:lang w:val="es-ES"/>
        </w:rPr>
        <w:t xml:space="preserve"> en</w:t>
      </w:r>
      <w:r w:rsidRPr="00443DEB">
        <w:rPr>
          <w:rFonts w:ascii="Century Gothic" w:eastAsia="Calibri" w:hAnsi="Century Gothic" w:cs="Arial"/>
          <w:sz w:val="22"/>
          <w:lang w:val="es-ES"/>
        </w:rPr>
        <w:t xml:space="preserve"> el SECOP II la entidad crea el expediente electrónico del procedimiento y habilita la creación del pliego </w:t>
      </w:r>
      <w:r w:rsidR="00F81C63" w:rsidRPr="00443DEB">
        <w:rPr>
          <w:rFonts w:ascii="Century Gothic" w:eastAsia="Calibri" w:hAnsi="Century Gothic" w:cs="Arial"/>
          <w:sz w:val="22"/>
          <w:lang w:val="es-ES"/>
        </w:rPr>
        <w:t>borrador</w:t>
      </w:r>
      <w:r w:rsidRPr="00443DEB">
        <w:rPr>
          <w:rFonts w:ascii="Century Gothic" w:eastAsia="Calibri" w:hAnsi="Century Gothic" w:cs="Arial"/>
          <w:sz w:val="22"/>
          <w:lang w:val="es-ES"/>
        </w:rPr>
        <w:t xml:space="preserve"> electrónico. Este pliego electrónico es un formulario con seis secciones: i) información general, ii) configuración, iii) cuestionario, </w:t>
      </w:r>
      <w:proofErr w:type="spellStart"/>
      <w:r w:rsidRPr="00443DEB">
        <w:rPr>
          <w:rFonts w:ascii="Century Gothic" w:eastAsia="Calibri" w:hAnsi="Century Gothic" w:cs="Arial"/>
          <w:sz w:val="22"/>
          <w:lang w:val="es-ES"/>
        </w:rPr>
        <w:t>iv</w:t>
      </w:r>
      <w:proofErr w:type="spellEnd"/>
      <w:r w:rsidRPr="00443DEB">
        <w:rPr>
          <w:rFonts w:ascii="Century Gothic" w:eastAsia="Calibri" w:hAnsi="Century Gothic" w:cs="Arial"/>
          <w:sz w:val="22"/>
          <w:lang w:val="es-ES"/>
        </w:rPr>
        <w:t>) evaluación, v) documentos del proceso y vi) documentos de la oferta.</w:t>
      </w:r>
    </w:p>
    <w:bookmarkEnd w:id="5"/>
    <w:p w14:paraId="29A47E3A" w14:textId="013C439B" w:rsidR="00080CCB" w:rsidRPr="00443DEB" w:rsidRDefault="00080CCB" w:rsidP="00080CCB">
      <w:pPr>
        <w:spacing w:before="120" w:after="120" w:line="276" w:lineRule="auto"/>
        <w:ind w:firstLine="709"/>
        <w:jc w:val="both"/>
        <w:rPr>
          <w:rFonts w:ascii="Century Gothic" w:eastAsia="Calibri" w:hAnsi="Century Gothic" w:cs="Arial"/>
          <w:lang w:val="es-ES"/>
        </w:rPr>
      </w:pPr>
      <w:r w:rsidRPr="00443DEB">
        <w:rPr>
          <w:rFonts w:ascii="Century Gothic" w:eastAsia="Calibri" w:hAnsi="Century Gothic" w:cs="Arial"/>
          <w:lang w:val="es-ES"/>
        </w:rPr>
        <w:t xml:space="preserve">Los formularios de los pliegos electrónicos incluyen la mayoría de los contenidos mínimos que debe contener un pliego de condiciones, con excepción </w:t>
      </w:r>
      <w:r w:rsidR="00276441">
        <w:rPr>
          <w:rFonts w:ascii="Century Gothic" w:eastAsia="Calibri" w:hAnsi="Century Gothic" w:cs="Arial"/>
          <w:lang w:val="es-ES"/>
        </w:rPr>
        <w:t>de algunos temas como lo son el</w:t>
      </w:r>
      <w:r w:rsidRPr="00443DEB">
        <w:rPr>
          <w:rFonts w:ascii="Century Gothic" w:eastAsia="Calibri" w:hAnsi="Century Gothic" w:cs="Arial"/>
          <w:lang w:val="es-ES"/>
        </w:rPr>
        <w:t xml:space="preserve"> análisis de riesgos, las causales de rechazo, la minuta del contrato y la supervisión o interventoría, entre otros, los cuales, al igual que los demás componentes que la entidad considere conveniente incluir, en su autonomía contractual, pueden incluirse en la sección para adjuntar documentos.</w:t>
      </w:r>
    </w:p>
    <w:p w14:paraId="268B31AB" w14:textId="58EDFD88" w:rsidR="00080CCB" w:rsidRPr="00443DEB" w:rsidRDefault="00080CCB" w:rsidP="00E8265D">
      <w:pPr>
        <w:spacing w:line="276" w:lineRule="auto"/>
        <w:ind w:firstLine="709"/>
        <w:jc w:val="both"/>
        <w:rPr>
          <w:rFonts w:ascii="Century Gothic" w:eastAsia="Calibri" w:hAnsi="Century Gothic" w:cs="Arial"/>
          <w:lang w:val="es-ES"/>
        </w:rPr>
      </w:pPr>
      <w:r w:rsidRPr="00443DEB">
        <w:rPr>
          <w:rFonts w:ascii="Century Gothic" w:eastAsia="Calibri" w:hAnsi="Century Gothic" w:cs="Arial"/>
          <w:lang w:val="es-ES"/>
        </w:rPr>
        <w:t xml:space="preserve">En consecuencia, por el funcionamiento de la plataforma no es posible que exista un pliego de condiciones físico y que no se diligencie el formulario dispuesto en la plataforma, ya que sin esto el SECOP II no habilita el botón </w:t>
      </w:r>
      <w:r w:rsidR="007422B1">
        <w:rPr>
          <w:rFonts w:ascii="Century Gothic" w:eastAsia="Calibri" w:hAnsi="Century Gothic" w:cs="Arial"/>
          <w:lang w:val="es-ES"/>
        </w:rPr>
        <w:t>“</w:t>
      </w:r>
      <w:r w:rsidRPr="00443DEB">
        <w:rPr>
          <w:rFonts w:ascii="Century Gothic" w:eastAsia="Calibri" w:hAnsi="Century Gothic" w:cs="Arial"/>
          <w:lang w:val="es-ES"/>
        </w:rPr>
        <w:t>ir a publicar</w:t>
      </w:r>
      <w:r w:rsidR="007422B1">
        <w:rPr>
          <w:rFonts w:ascii="Century Gothic" w:eastAsia="Calibri" w:hAnsi="Century Gothic" w:cs="Arial"/>
          <w:lang w:val="es-ES"/>
        </w:rPr>
        <w:t>”</w:t>
      </w:r>
      <w:r w:rsidRPr="00443DEB">
        <w:rPr>
          <w:rFonts w:ascii="Century Gothic" w:eastAsia="Calibri" w:hAnsi="Century Gothic" w:cs="Arial"/>
          <w:lang w:val="es-ES"/>
        </w:rPr>
        <w:t xml:space="preserve">, con el cual se crea formalmente el procedimiento y los interesados pueden conocerlo para presentar observaciones y su oferta. Esto significa que </w:t>
      </w:r>
      <w:r w:rsidR="001C46F4">
        <w:rPr>
          <w:rFonts w:ascii="Century Gothic" w:eastAsia="Calibri" w:hAnsi="Century Gothic" w:cs="Arial"/>
          <w:lang w:val="es-ES"/>
        </w:rPr>
        <w:t xml:space="preserve">para que el proceso de contratación se realice a </w:t>
      </w:r>
      <w:r w:rsidR="0091498F">
        <w:rPr>
          <w:rFonts w:ascii="Century Gothic" w:eastAsia="Calibri" w:hAnsi="Century Gothic" w:cs="Arial"/>
          <w:lang w:val="es-ES"/>
        </w:rPr>
        <w:t>través</w:t>
      </w:r>
      <w:r w:rsidR="001C46F4">
        <w:rPr>
          <w:rFonts w:ascii="Century Gothic" w:eastAsia="Calibri" w:hAnsi="Century Gothic" w:cs="Arial"/>
          <w:lang w:val="es-ES"/>
        </w:rPr>
        <w:t xml:space="preserve"> de</w:t>
      </w:r>
      <w:r w:rsidRPr="00443DEB">
        <w:rPr>
          <w:rFonts w:ascii="Century Gothic" w:eastAsia="Calibri" w:hAnsi="Century Gothic" w:cs="Arial"/>
          <w:lang w:val="es-ES"/>
        </w:rPr>
        <w:t xml:space="preserve"> la plataforma </w:t>
      </w:r>
      <w:r w:rsidR="0091498F">
        <w:rPr>
          <w:rFonts w:ascii="Century Gothic" w:eastAsia="Calibri" w:hAnsi="Century Gothic" w:cs="Arial"/>
          <w:lang w:val="es-ES"/>
        </w:rPr>
        <w:t xml:space="preserve">SECOP II </w:t>
      </w:r>
      <w:r w:rsidR="001C46F4">
        <w:rPr>
          <w:rFonts w:ascii="Century Gothic" w:eastAsia="Calibri" w:hAnsi="Century Gothic" w:cs="Arial"/>
          <w:lang w:val="es-ES"/>
        </w:rPr>
        <w:t xml:space="preserve">es necesario diligenciar dicho formulario </w:t>
      </w:r>
      <w:r w:rsidRPr="00443DEB">
        <w:rPr>
          <w:rFonts w:ascii="Century Gothic" w:eastAsia="Calibri" w:hAnsi="Century Gothic" w:cs="Arial"/>
          <w:lang w:val="es-ES"/>
        </w:rPr>
        <w:t>en línea</w:t>
      </w:r>
      <w:r w:rsidR="00E8265D">
        <w:rPr>
          <w:rFonts w:ascii="Century Gothic" w:eastAsia="Calibri" w:hAnsi="Century Gothic" w:cs="Arial"/>
          <w:lang w:val="es-ES"/>
        </w:rPr>
        <w:t xml:space="preserve"> que debe contener los requisitos establecidos en el acto administrativo del pliego de condiciones, por lo tanto, </w:t>
      </w:r>
      <w:r w:rsidRPr="00443DEB">
        <w:rPr>
          <w:rFonts w:ascii="Century Gothic" w:eastAsia="Calibri" w:hAnsi="Century Gothic" w:cs="Arial"/>
          <w:lang w:val="es-ES"/>
        </w:rPr>
        <w:t>esto no implica que las entidades no puedan adjuntar los documentos que sean necesarios y que complementen el pliego de condiciones electrónico</w:t>
      </w:r>
      <w:r w:rsidR="0091498F">
        <w:rPr>
          <w:rFonts w:ascii="Century Gothic" w:eastAsia="Calibri" w:hAnsi="Century Gothic" w:cs="Arial"/>
          <w:lang w:val="es-ES"/>
        </w:rPr>
        <w:t xml:space="preserve"> en lo que el formulario no contemple</w:t>
      </w:r>
      <w:r w:rsidR="00BE0360">
        <w:rPr>
          <w:rFonts w:ascii="Century Gothic" w:eastAsia="Calibri" w:hAnsi="Century Gothic" w:cs="Arial"/>
          <w:lang w:val="es-ES"/>
        </w:rPr>
        <w:t xml:space="preserve"> su inclusión</w:t>
      </w:r>
      <w:r w:rsidRPr="00443DEB">
        <w:rPr>
          <w:rFonts w:ascii="Century Gothic" w:eastAsia="Calibri" w:hAnsi="Century Gothic" w:cs="Arial"/>
          <w:lang w:val="es-ES"/>
        </w:rPr>
        <w:t>.</w:t>
      </w:r>
    </w:p>
    <w:p w14:paraId="06303506" w14:textId="72E7BE31" w:rsidR="002D0D16" w:rsidRDefault="00BE0360" w:rsidP="002D0D16">
      <w:pPr>
        <w:spacing w:line="276" w:lineRule="auto"/>
        <w:ind w:firstLine="709"/>
        <w:jc w:val="both"/>
        <w:rPr>
          <w:rFonts w:ascii="Century Gothic" w:eastAsia="Calibri" w:hAnsi="Century Gothic" w:cs="Arial"/>
          <w:lang w:val="es-ES"/>
        </w:rPr>
      </w:pPr>
      <w:r>
        <w:rPr>
          <w:rFonts w:ascii="Century Gothic" w:eastAsia="Calibri" w:hAnsi="Century Gothic" w:cs="Arial"/>
          <w:lang w:val="es-ES"/>
        </w:rPr>
        <w:t>En ese contexto, s</w:t>
      </w:r>
      <w:r w:rsidR="00D10E43" w:rsidRPr="00443DEB">
        <w:rPr>
          <w:rFonts w:ascii="Century Gothic" w:eastAsia="Calibri" w:hAnsi="Century Gothic" w:cs="Arial"/>
          <w:lang w:val="es-ES"/>
        </w:rPr>
        <w:t xml:space="preserve">e observa que su pregunta hace referencia </w:t>
      </w:r>
      <w:r w:rsidR="002C663D">
        <w:rPr>
          <w:rFonts w:ascii="Century Gothic" w:eastAsia="Calibri" w:hAnsi="Century Gothic" w:cs="Arial"/>
          <w:lang w:val="es-ES"/>
        </w:rPr>
        <w:t xml:space="preserve">a </w:t>
      </w:r>
      <w:r w:rsidR="00D10E43" w:rsidRPr="00443DEB">
        <w:rPr>
          <w:rFonts w:ascii="Century Gothic" w:eastAsia="Calibri" w:hAnsi="Century Gothic" w:cs="Arial"/>
        </w:rPr>
        <w:t xml:space="preserve">la posibilidad de que una entidad </w:t>
      </w:r>
      <w:r w:rsidR="00877855">
        <w:rPr>
          <w:rFonts w:ascii="Century Gothic" w:eastAsia="Calibri" w:hAnsi="Century Gothic" w:cs="Arial"/>
        </w:rPr>
        <w:t>omita</w:t>
      </w:r>
      <w:r w:rsidR="00B06EFD">
        <w:rPr>
          <w:rFonts w:ascii="Century Gothic" w:eastAsia="Calibri" w:hAnsi="Century Gothic" w:cs="Arial"/>
        </w:rPr>
        <w:t xml:space="preserve"> solicitar</w:t>
      </w:r>
      <w:r w:rsidR="00877855">
        <w:rPr>
          <w:rFonts w:ascii="Century Gothic" w:eastAsia="Calibri" w:hAnsi="Century Gothic" w:cs="Arial"/>
        </w:rPr>
        <w:t xml:space="preserve"> la presentación de </w:t>
      </w:r>
      <w:r w:rsidR="00D10E43" w:rsidRPr="00443DEB">
        <w:rPr>
          <w:rFonts w:ascii="Century Gothic" w:eastAsia="Calibri" w:hAnsi="Century Gothic" w:cs="Arial"/>
        </w:rPr>
        <w:t xml:space="preserve">documentos en </w:t>
      </w:r>
      <w:r w:rsidR="00877855">
        <w:rPr>
          <w:rFonts w:ascii="Century Gothic" w:eastAsia="Calibri" w:hAnsi="Century Gothic" w:cs="Arial"/>
        </w:rPr>
        <w:t xml:space="preserve">el </w:t>
      </w:r>
      <w:r w:rsidR="00561301">
        <w:rPr>
          <w:rFonts w:ascii="Century Gothic" w:eastAsia="Calibri" w:hAnsi="Century Gothic" w:cs="Arial"/>
        </w:rPr>
        <w:t xml:space="preserve">formulario </w:t>
      </w:r>
      <w:r w:rsidR="00877855">
        <w:rPr>
          <w:rFonts w:ascii="Century Gothic" w:eastAsia="Calibri" w:hAnsi="Century Gothic" w:cs="Arial"/>
        </w:rPr>
        <w:t>del pliego electrónico</w:t>
      </w:r>
      <w:r w:rsidR="00D10E43" w:rsidRPr="00443DEB">
        <w:rPr>
          <w:rFonts w:ascii="Century Gothic" w:eastAsia="Calibri" w:hAnsi="Century Gothic" w:cs="Arial"/>
        </w:rPr>
        <w:t xml:space="preserve">, que sean diferentes a los señalados en el pliego de condiciones y los </w:t>
      </w:r>
      <w:r w:rsidR="00877855">
        <w:rPr>
          <w:rFonts w:ascii="Century Gothic" w:eastAsia="Calibri" w:hAnsi="Century Gothic" w:cs="Arial"/>
        </w:rPr>
        <w:t xml:space="preserve">demás </w:t>
      </w:r>
      <w:r w:rsidR="00D10E43" w:rsidRPr="00443DEB">
        <w:rPr>
          <w:rFonts w:ascii="Century Gothic" w:eastAsia="Calibri" w:hAnsi="Century Gothic" w:cs="Arial"/>
        </w:rPr>
        <w:t xml:space="preserve">documentos establecidos en el SECOP II, </w:t>
      </w:r>
      <w:r w:rsidR="000E186E">
        <w:rPr>
          <w:rFonts w:ascii="Century Gothic" w:eastAsia="Calibri" w:hAnsi="Century Gothic" w:cs="Arial"/>
        </w:rPr>
        <w:t>configurándose una contradicción o falta de claridad sobre la presentación de algún requisito habilitant</w:t>
      </w:r>
      <w:r w:rsidR="00D467C9">
        <w:rPr>
          <w:rFonts w:ascii="Century Gothic" w:eastAsia="Calibri" w:hAnsi="Century Gothic" w:cs="Arial"/>
        </w:rPr>
        <w:t>e</w:t>
      </w:r>
      <w:r w:rsidR="00D0693B">
        <w:rPr>
          <w:rFonts w:ascii="Century Gothic" w:eastAsia="Calibri" w:hAnsi="Century Gothic" w:cs="Arial"/>
        </w:rPr>
        <w:t>, como lo es el de capacidad residual,</w:t>
      </w:r>
      <w:r w:rsidR="00813A50">
        <w:rPr>
          <w:rFonts w:ascii="Century Gothic" w:eastAsia="Calibri" w:hAnsi="Century Gothic" w:cs="Arial"/>
        </w:rPr>
        <w:t xml:space="preserve"> por parte de los proponentes</w:t>
      </w:r>
      <w:r w:rsidR="00815459">
        <w:rPr>
          <w:rFonts w:ascii="Century Gothic" w:eastAsia="Calibri" w:hAnsi="Century Gothic" w:cs="Arial"/>
        </w:rPr>
        <w:t>.</w:t>
      </w:r>
    </w:p>
    <w:p w14:paraId="104157C8" w14:textId="10605D84" w:rsidR="00842227" w:rsidRDefault="002D0D16" w:rsidP="002D0D16">
      <w:pPr>
        <w:spacing w:line="276" w:lineRule="auto"/>
        <w:ind w:firstLine="709"/>
        <w:jc w:val="both"/>
        <w:rPr>
          <w:rFonts w:ascii="Century Gothic" w:eastAsia="Calibri" w:hAnsi="Century Gothic" w:cs="Arial"/>
        </w:rPr>
      </w:pPr>
      <w:r>
        <w:rPr>
          <w:rFonts w:ascii="Century Gothic" w:eastAsia="Calibri" w:hAnsi="Century Gothic" w:cs="Arial"/>
          <w:lang w:val="es-ES"/>
        </w:rPr>
        <w:t xml:space="preserve">Al respecto, como bien se expuso en su consulta, esta Agencia en concepto </w:t>
      </w:r>
      <w:r w:rsidR="007C1865" w:rsidRPr="00443DEB">
        <w:rPr>
          <w:rFonts w:ascii="Century Gothic" w:eastAsia="Calibri" w:hAnsi="Century Gothic" w:cs="Arial"/>
        </w:rPr>
        <w:t xml:space="preserve">C-295 de 30 de abril de </w:t>
      </w:r>
      <w:r w:rsidR="00842227" w:rsidRPr="00443DEB">
        <w:rPr>
          <w:rFonts w:ascii="Century Gothic" w:eastAsia="Calibri" w:hAnsi="Century Gothic" w:cs="Arial"/>
        </w:rPr>
        <w:t>2020</w:t>
      </w:r>
      <w:r w:rsidR="00842227">
        <w:rPr>
          <w:rFonts w:ascii="Century Gothic" w:eastAsia="Calibri" w:hAnsi="Century Gothic" w:cs="Arial"/>
        </w:rPr>
        <w:t>, afirmó</w:t>
      </w:r>
      <w:r w:rsidR="007C1865">
        <w:rPr>
          <w:rFonts w:ascii="Century Gothic" w:eastAsia="Calibri" w:hAnsi="Century Gothic" w:cs="Arial"/>
        </w:rPr>
        <w:t xml:space="preserve"> que</w:t>
      </w:r>
      <w:r w:rsidR="00842227">
        <w:rPr>
          <w:rFonts w:ascii="Century Gothic" w:eastAsia="Calibri" w:hAnsi="Century Gothic" w:cs="Arial"/>
        </w:rPr>
        <w:t>:</w:t>
      </w:r>
    </w:p>
    <w:p w14:paraId="0BB2D70A" w14:textId="044411E3" w:rsidR="00D10E43" w:rsidRPr="000E5426" w:rsidRDefault="00842227" w:rsidP="000E5426">
      <w:pPr>
        <w:spacing w:line="240" w:lineRule="auto"/>
        <w:ind w:left="709" w:right="709"/>
        <w:jc w:val="both"/>
        <w:rPr>
          <w:rFonts w:ascii="Century Gothic" w:eastAsia="Calibri" w:hAnsi="Century Gothic" w:cs="Arial"/>
          <w:sz w:val="21"/>
          <w:szCs w:val="21"/>
          <w:lang w:val="es-ES"/>
        </w:rPr>
      </w:pPr>
      <w:r w:rsidRPr="000E5426">
        <w:rPr>
          <w:rFonts w:ascii="Century Gothic" w:eastAsia="Calibri" w:hAnsi="Century Gothic" w:cs="Arial"/>
          <w:sz w:val="21"/>
          <w:szCs w:val="21"/>
        </w:rPr>
        <w:t>“</w:t>
      </w:r>
      <w:r w:rsidR="00D10E43" w:rsidRPr="000E5426">
        <w:rPr>
          <w:rFonts w:ascii="Century Gothic" w:eastAsia="Calibri" w:hAnsi="Century Gothic" w:cs="Arial"/>
          <w:sz w:val="21"/>
          <w:szCs w:val="21"/>
          <w:lang w:val="es-ES"/>
        </w:rPr>
        <w:t>por el funcionamiento de la plataforma, no es posible que exista diferencia entre los documentos exigidos en el pliego de condiciones electrónico, y los señalados en el cuestionario de la oferta, ya que en el SECOP II hacen parte del mismo documento electrónico, por lo que los documentos requeridos en el cuestionario para la presentación de la oferta son los exigidos en el pliego de condiciones, ya que el cuestionario es parte del pliego de condiciones electrónico que es ley para las partes y los proponentes están en la obligación de cumplirlo.</w:t>
      </w:r>
    </w:p>
    <w:p w14:paraId="66F0566C" w14:textId="681B1715" w:rsidR="00D10E43" w:rsidRPr="000E5426" w:rsidRDefault="00D10E43" w:rsidP="000E5426">
      <w:pPr>
        <w:spacing w:after="120" w:line="240" w:lineRule="auto"/>
        <w:ind w:left="709" w:right="709" w:firstLine="709"/>
        <w:jc w:val="both"/>
        <w:rPr>
          <w:rFonts w:ascii="Century Gothic" w:eastAsia="Calibri" w:hAnsi="Century Gothic" w:cs="Arial"/>
          <w:sz w:val="21"/>
          <w:szCs w:val="21"/>
        </w:rPr>
      </w:pPr>
      <w:bookmarkStart w:id="6" w:name="_Hlk143791487"/>
      <w:r w:rsidRPr="000E5426">
        <w:rPr>
          <w:rFonts w:ascii="Century Gothic" w:eastAsia="Calibri" w:hAnsi="Century Gothic" w:cs="Arial"/>
          <w:sz w:val="21"/>
          <w:szCs w:val="21"/>
          <w:lang w:val="es-ES"/>
        </w:rPr>
        <w:t xml:space="preserve">Adicionalmente, sobre la posibilidad de que la entidad rechace una oferta por no presentar los documentos solicitados en el cuestionario, esto es, en el pliego de condiciones electrónico, ya que de acuerdo con lo anterior son un mismo documento, se </w:t>
      </w:r>
      <w:bookmarkEnd w:id="6"/>
      <w:r w:rsidRPr="000E5426">
        <w:rPr>
          <w:rFonts w:ascii="Century Gothic" w:eastAsia="Calibri" w:hAnsi="Century Gothic" w:cs="Arial"/>
          <w:sz w:val="21"/>
          <w:szCs w:val="21"/>
          <w:lang w:val="es-ES"/>
        </w:rPr>
        <w:t xml:space="preserve">debe tener en cuenta que </w:t>
      </w:r>
      <w:r w:rsidRPr="000E5426">
        <w:rPr>
          <w:rFonts w:ascii="Century Gothic" w:eastAsia="Arial" w:hAnsi="Century Gothic" w:cs="Arial"/>
          <w:sz w:val="21"/>
          <w:szCs w:val="21"/>
          <w:lang w:val="es-ES" w:eastAsia="es-ES" w:bidi="es-ES"/>
        </w:rPr>
        <w:t xml:space="preserve">el artículo 5 de la Ley 1882 de 2018 modificó el parágrafo 1 del artículo 5 de la Ley 1150 de 2007; sin embargo, no cambió sustancialmente el sentido original de la Ley 1150 de 2007, porque mantuvo el criterio para determinar si la falta de un documento o la ausencia de un requisito es o no subsanable, lo que depende de si el requisito afecta la asignación de puntaje, por lo que se mantuvo la regla general de que todo es subsanable, salvo los </w:t>
      </w:r>
      <w:r w:rsidRPr="000E5426">
        <w:rPr>
          <w:rFonts w:ascii="Century Gothic" w:eastAsia="Calibri" w:hAnsi="Century Gothic" w:cs="Arial"/>
          <w:sz w:val="21"/>
          <w:szCs w:val="21"/>
          <w:lang w:val="es-ES"/>
        </w:rPr>
        <w:t>requisitos</w:t>
      </w:r>
      <w:r w:rsidRPr="000E5426">
        <w:rPr>
          <w:rFonts w:ascii="Century Gothic" w:eastAsia="Arial" w:hAnsi="Century Gothic" w:cs="Arial"/>
          <w:sz w:val="21"/>
          <w:szCs w:val="21"/>
          <w:lang w:val="es-ES" w:eastAsia="es-ES" w:bidi="es-ES"/>
        </w:rPr>
        <w:t xml:space="preserve"> que inciden en la asignación de puntaje</w:t>
      </w:r>
      <w:r w:rsidRPr="000E5426">
        <w:rPr>
          <w:rFonts w:ascii="Century Gothic" w:eastAsia="Calibri" w:hAnsi="Century Gothic" w:cs="Arial"/>
          <w:sz w:val="21"/>
          <w:szCs w:val="21"/>
          <w:vertAlign w:val="superscript"/>
        </w:rPr>
        <w:footnoteReference w:id="13"/>
      </w:r>
      <w:r w:rsidRPr="000E5426">
        <w:rPr>
          <w:rFonts w:ascii="Century Gothic" w:eastAsia="Calibri" w:hAnsi="Century Gothic" w:cs="Arial"/>
          <w:sz w:val="21"/>
          <w:szCs w:val="21"/>
        </w:rPr>
        <w:t>.</w:t>
      </w:r>
      <w:r w:rsidR="000E5426" w:rsidRPr="000E5426">
        <w:rPr>
          <w:rFonts w:ascii="Century Gothic" w:eastAsia="Calibri" w:hAnsi="Century Gothic" w:cs="Arial"/>
          <w:sz w:val="21"/>
          <w:szCs w:val="21"/>
        </w:rPr>
        <w:t>”</w:t>
      </w:r>
    </w:p>
    <w:p w14:paraId="6EFEE055" w14:textId="59E02269" w:rsidR="00D90EF2" w:rsidRDefault="00D10E43" w:rsidP="00D90EF2">
      <w:pPr>
        <w:pStyle w:val="Textoindependiente"/>
        <w:spacing w:line="276" w:lineRule="auto"/>
        <w:ind w:firstLine="708"/>
        <w:jc w:val="both"/>
        <w:rPr>
          <w:rFonts w:ascii="Century Gothic" w:hAnsi="Century Gothic"/>
        </w:rPr>
      </w:pPr>
      <w:r w:rsidRPr="00443DEB">
        <w:rPr>
          <w:rFonts w:ascii="Century Gothic" w:eastAsia="Calibri" w:hAnsi="Century Gothic"/>
        </w:rPr>
        <w:t xml:space="preserve">En ese sentido, </w:t>
      </w:r>
      <w:r w:rsidR="00EE5BA9">
        <w:rPr>
          <w:rFonts w:ascii="Century Gothic" w:eastAsia="Calibri" w:hAnsi="Century Gothic"/>
        </w:rPr>
        <w:t xml:space="preserve">a criterio de esta Agencia, y teniendo en cuenta el criterio interpretativo según el cual  </w:t>
      </w:r>
      <w:r w:rsidR="00EE5BA9">
        <w:rPr>
          <w:rFonts w:ascii="Century Gothic" w:eastAsia="Calibri" w:hAnsi="Century Gothic"/>
          <w:lang w:val="es-MX"/>
        </w:rPr>
        <w:t xml:space="preserve">aquellas disposiciones o situaciones </w:t>
      </w:r>
      <w:r w:rsidR="00EE5BA9" w:rsidRPr="00D35126">
        <w:rPr>
          <w:rFonts w:ascii="Century Gothic" w:eastAsia="Batang" w:hAnsi="Century Gothic"/>
        </w:rPr>
        <w:t>oscuras que hayan sido extendidas o dictadas por una parte se interpretarán contra ella</w:t>
      </w:r>
      <w:r w:rsidR="00407DEB">
        <w:rPr>
          <w:rFonts w:ascii="Century Gothic" w:eastAsia="Batang" w:hAnsi="Century Gothic"/>
        </w:rPr>
        <w:t xml:space="preserve">, de conformidad con el </w:t>
      </w:r>
      <w:r w:rsidR="00407DEB" w:rsidRPr="00D35126">
        <w:rPr>
          <w:rFonts w:ascii="Century Gothic" w:eastAsia="Batang" w:hAnsi="Century Gothic"/>
        </w:rPr>
        <w:t>artículo 1624</w:t>
      </w:r>
      <w:r w:rsidR="00407DEB">
        <w:rPr>
          <w:rFonts w:ascii="Century Gothic" w:eastAsia="Batang" w:hAnsi="Century Gothic"/>
        </w:rPr>
        <w:t xml:space="preserve"> del Código Civil, más </w:t>
      </w:r>
      <w:r w:rsidR="00A13CF8">
        <w:rPr>
          <w:rFonts w:ascii="Century Gothic" w:eastAsia="Batang" w:hAnsi="Century Gothic"/>
        </w:rPr>
        <w:t xml:space="preserve">aún </w:t>
      </w:r>
      <w:r w:rsidR="00407DEB">
        <w:rPr>
          <w:rFonts w:ascii="Century Gothic" w:eastAsia="Batang" w:hAnsi="Century Gothic"/>
        </w:rPr>
        <w:t xml:space="preserve">cuando la Entidad Estatal es la que </w:t>
      </w:r>
      <w:r w:rsidR="00BB1CF6">
        <w:rPr>
          <w:rFonts w:ascii="Century Gothic" w:eastAsia="Batang" w:hAnsi="Century Gothic"/>
        </w:rPr>
        <w:t xml:space="preserve">carga y emite el respectivo pliego de condiciones electrónico, y dicha </w:t>
      </w:r>
      <w:r w:rsidR="00EE5BA9" w:rsidRPr="00D35126">
        <w:rPr>
          <w:rFonts w:ascii="Century Gothic" w:eastAsia="Batang" w:hAnsi="Century Gothic"/>
        </w:rPr>
        <w:t>ambigüedad proviene de una explicación que ésta ha debido dar</w:t>
      </w:r>
      <w:r w:rsidR="00D93720">
        <w:rPr>
          <w:rFonts w:ascii="Century Gothic" w:eastAsia="Batang" w:hAnsi="Century Gothic"/>
        </w:rPr>
        <w:t xml:space="preserve"> ya sea en una respuesta a observaciones o en una adenda al pliego de condiciones electrónico</w:t>
      </w:r>
      <w:r w:rsidR="00EE5BA9">
        <w:rPr>
          <w:rFonts w:ascii="Century Gothic" w:eastAsia="Batang" w:hAnsi="Century Gothic"/>
        </w:rPr>
        <w:t>, dicha</w:t>
      </w:r>
      <w:r w:rsidR="001B6615">
        <w:rPr>
          <w:rFonts w:ascii="Century Gothic" w:eastAsia="Batang" w:hAnsi="Century Gothic"/>
        </w:rPr>
        <w:t xml:space="preserve"> omisión en el formulario del SECOP II</w:t>
      </w:r>
      <w:r w:rsidR="00EC489E">
        <w:rPr>
          <w:rFonts w:ascii="Century Gothic" w:eastAsia="Batang" w:hAnsi="Century Gothic"/>
        </w:rPr>
        <w:t xml:space="preserve"> de</w:t>
      </w:r>
      <w:r w:rsidR="001B6615">
        <w:rPr>
          <w:rFonts w:ascii="Century Gothic" w:eastAsia="Batang" w:hAnsi="Century Gothic"/>
        </w:rPr>
        <w:t xml:space="preserve"> la presentación de un requisito habilitante, como lo es la capacidad residual, </w:t>
      </w:r>
      <w:r w:rsidR="00EC489E">
        <w:rPr>
          <w:rFonts w:ascii="Century Gothic" w:eastAsia="Batang" w:hAnsi="Century Gothic"/>
        </w:rPr>
        <w:t xml:space="preserve">implica que la Entidad Estatal </w:t>
      </w:r>
      <w:r w:rsidR="00EE5BA9">
        <w:rPr>
          <w:rFonts w:ascii="Century Gothic" w:eastAsia="Batang" w:hAnsi="Century Gothic"/>
        </w:rPr>
        <w:t xml:space="preserve">no </w:t>
      </w:r>
      <w:r w:rsidR="001B6615">
        <w:rPr>
          <w:rFonts w:ascii="Century Gothic" w:eastAsia="Batang" w:hAnsi="Century Gothic"/>
        </w:rPr>
        <w:t>puede</w:t>
      </w:r>
      <w:r w:rsidR="00EE5BA9">
        <w:rPr>
          <w:rFonts w:ascii="Century Gothic" w:eastAsia="Batang" w:hAnsi="Century Gothic"/>
        </w:rPr>
        <w:t xml:space="preserve"> afectar </w:t>
      </w:r>
      <w:r w:rsidR="00EC489E">
        <w:rPr>
          <w:rFonts w:ascii="Century Gothic" w:eastAsia="Batang" w:hAnsi="Century Gothic"/>
        </w:rPr>
        <w:t>la participación de</w:t>
      </w:r>
      <w:r w:rsidR="00EE5BA9">
        <w:rPr>
          <w:rFonts w:ascii="Century Gothic" w:eastAsia="Batang" w:hAnsi="Century Gothic"/>
        </w:rPr>
        <w:t xml:space="preserve"> los proponentes </w:t>
      </w:r>
      <w:r w:rsidR="00EC489E">
        <w:rPr>
          <w:rFonts w:ascii="Century Gothic" w:eastAsia="Batang" w:hAnsi="Century Gothic"/>
        </w:rPr>
        <w:t>en el proceso de selección</w:t>
      </w:r>
      <w:r w:rsidR="001B6615">
        <w:rPr>
          <w:rFonts w:ascii="Century Gothic" w:eastAsia="Batang" w:hAnsi="Century Gothic"/>
        </w:rPr>
        <w:t>,</w:t>
      </w:r>
      <w:r w:rsidR="00EC489E">
        <w:rPr>
          <w:rFonts w:ascii="Century Gothic" w:eastAsia="Batang" w:hAnsi="Century Gothic"/>
        </w:rPr>
        <w:t xml:space="preserve"> y</w:t>
      </w:r>
      <w:r w:rsidR="001B6615">
        <w:rPr>
          <w:rFonts w:ascii="Century Gothic" w:eastAsia="Batang" w:hAnsi="Century Gothic"/>
        </w:rPr>
        <w:t xml:space="preserve"> por lo tant</w:t>
      </w:r>
      <w:r w:rsidR="00EC489E">
        <w:rPr>
          <w:rFonts w:ascii="Century Gothic" w:eastAsia="Batang" w:hAnsi="Century Gothic"/>
        </w:rPr>
        <w:t>o,</w:t>
      </w:r>
      <w:r w:rsidR="001B6615">
        <w:rPr>
          <w:rFonts w:ascii="Century Gothic" w:eastAsia="Batang" w:hAnsi="Century Gothic"/>
        </w:rPr>
        <w:t xml:space="preserve"> la e</w:t>
      </w:r>
      <w:r w:rsidRPr="00443DEB">
        <w:rPr>
          <w:rFonts w:ascii="Century Gothic" w:eastAsia="Calibri" w:hAnsi="Century Gothic"/>
        </w:rPr>
        <w:t xml:space="preserve">ntidad </w:t>
      </w:r>
      <w:r w:rsidR="00D93720">
        <w:rPr>
          <w:rFonts w:ascii="Century Gothic" w:eastAsia="Calibri" w:hAnsi="Century Gothic"/>
        </w:rPr>
        <w:t>teniendo en cuenta la etapa en la que se encuentre el proceso de selección</w:t>
      </w:r>
      <w:r w:rsidR="00EC489E">
        <w:rPr>
          <w:rFonts w:ascii="Century Gothic" w:eastAsia="Calibri" w:hAnsi="Century Gothic"/>
        </w:rPr>
        <w:t xml:space="preserve">, podrá </w:t>
      </w:r>
      <w:r w:rsidR="003C425E">
        <w:rPr>
          <w:rFonts w:ascii="Century Gothic" w:eastAsia="Calibri" w:hAnsi="Century Gothic"/>
        </w:rPr>
        <w:t xml:space="preserve">determinar si es necesario revocar el acto administrativo de apertura del proceso de selección o </w:t>
      </w:r>
      <w:r w:rsidR="00233F97">
        <w:rPr>
          <w:rFonts w:ascii="Century Gothic" w:eastAsia="Calibri" w:hAnsi="Century Gothic"/>
        </w:rPr>
        <w:t>modificar el cronograma del pliego de condiciones para la presentación de dicho</w:t>
      </w:r>
      <w:r w:rsidR="00A04B7E">
        <w:rPr>
          <w:rFonts w:ascii="Century Gothic" w:eastAsia="Calibri" w:hAnsi="Century Gothic"/>
        </w:rPr>
        <w:t>s</w:t>
      </w:r>
      <w:r w:rsidR="00233F97">
        <w:rPr>
          <w:rFonts w:ascii="Century Gothic" w:eastAsia="Calibri" w:hAnsi="Century Gothic"/>
        </w:rPr>
        <w:t xml:space="preserve"> documentos</w:t>
      </w:r>
      <w:r w:rsidR="00CB4BC4">
        <w:rPr>
          <w:rFonts w:ascii="Century Gothic" w:eastAsia="Calibri" w:hAnsi="Century Gothic"/>
        </w:rPr>
        <w:t xml:space="preserve">, respetándoles además su derecho a la subsanación </w:t>
      </w:r>
      <w:r w:rsidR="0082066F">
        <w:rPr>
          <w:rFonts w:ascii="Century Gothic" w:eastAsia="Calibri" w:hAnsi="Century Gothic"/>
        </w:rPr>
        <w:t xml:space="preserve">a los proponentes </w:t>
      </w:r>
      <w:r w:rsidRPr="00443DEB">
        <w:rPr>
          <w:rFonts w:ascii="Century Gothic" w:eastAsia="Calibri" w:hAnsi="Century Gothic"/>
        </w:rPr>
        <w:t xml:space="preserve">de acuerdo con </w:t>
      </w:r>
      <w:r w:rsidRPr="00443DEB">
        <w:rPr>
          <w:rFonts w:ascii="Century Gothic" w:hAnsi="Century Gothic"/>
        </w:rPr>
        <w:t>el artículo 5 de la Ley 1882 de 2018, que modificó el parágrafo 1 del artículo 5 de la Ley 1150 de 2007</w:t>
      </w:r>
      <w:r w:rsidR="00E46F44">
        <w:rPr>
          <w:rFonts w:ascii="Century Gothic" w:hAnsi="Century Gothic"/>
        </w:rPr>
        <w:t>.</w:t>
      </w:r>
    </w:p>
    <w:p w14:paraId="34719D58" w14:textId="77777777" w:rsidR="00D90EF2" w:rsidRDefault="00D90EF2" w:rsidP="00D90EF2">
      <w:pPr>
        <w:pStyle w:val="Textoindependiente"/>
        <w:spacing w:line="276" w:lineRule="auto"/>
        <w:jc w:val="both"/>
        <w:rPr>
          <w:rFonts w:ascii="Century Gothic" w:hAnsi="Century Gothic"/>
        </w:rPr>
      </w:pPr>
    </w:p>
    <w:p w14:paraId="2CD001E0" w14:textId="03B925EC" w:rsidR="000C7911" w:rsidRPr="00D90EF2" w:rsidRDefault="000C7911" w:rsidP="002F5537">
      <w:pPr>
        <w:pStyle w:val="Textoindependiente"/>
        <w:spacing w:after="240" w:line="276" w:lineRule="auto"/>
        <w:jc w:val="both"/>
        <w:rPr>
          <w:rFonts w:ascii="Century Gothic" w:eastAsia="Calibri" w:hAnsi="Century Gothic"/>
        </w:rPr>
      </w:pPr>
      <w:r w:rsidRPr="00443DEB">
        <w:rPr>
          <w:rFonts w:ascii="Century Gothic" w:eastAsia="Calibri" w:hAnsi="Century Gothic"/>
          <w:b/>
          <w:bCs/>
          <w:color w:val="000000"/>
          <w:lang w:val="es-MX" w:eastAsia="en-US"/>
        </w:rPr>
        <w:t>2.</w:t>
      </w:r>
      <w:r w:rsidR="00D90EF2">
        <w:rPr>
          <w:rFonts w:ascii="Century Gothic" w:eastAsia="Calibri" w:hAnsi="Century Gothic"/>
          <w:b/>
          <w:bCs/>
          <w:color w:val="000000"/>
          <w:lang w:val="es-MX" w:eastAsia="en-US"/>
        </w:rPr>
        <w:t>3.</w:t>
      </w:r>
      <w:r w:rsidRPr="00443DEB">
        <w:rPr>
          <w:rFonts w:ascii="Century Gothic" w:eastAsia="Calibri" w:hAnsi="Century Gothic"/>
          <w:b/>
          <w:bCs/>
          <w:color w:val="000000"/>
          <w:lang w:val="es-MX" w:eastAsia="en-US"/>
        </w:rPr>
        <w:t xml:space="preserve"> Revocatoria Directa</w:t>
      </w:r>
      <w:r w:rsidR="00D90EF2">
        <w:rPr>
          <w:rFonts w:ascii="Century Gothic" w:eastAsia="Calibri" w:hAnsi="Century Gothic"/>
          <w:b/>
          <w:bCs/>
          <w:color w:val="000000"/>
          <w:lang w:val="es-MX" w:eastAsia="en-US"/>
        </w:rPr>
        <w:t xml:space="preserve"> del a</w:t>
      </w:r>
      <w:r w:rsidRPr="00443DEB">
        <w:rPr>
          <w:rFonts w:ascii="Century Gothic" w:eastAsia="Calibri" w:hAnsi="Century Gothic"/>
          <w:b/>
          <w:bCs/>
          <w:color w:val="000000"/>
          <w:lang w:val="es-MX" w:eastAsia="en-US"/>
        </w:rPr>
        <w:t xml:space="preserve">cto de </w:t>
      </w:r>
      <w:r w:rsidR="00D90EF2">
        <w:rPr>
          <w:rFonts w:ascii="Century Gothic" w:eastAsia="Calibri" w:hAnsi="Century Gothic"/>
          <w:b/>
          <w:bCs/>
          <w:color w:val="000000"/>
          <w:lang w:val="es-MX" w:eastAsia="en-US"/>
        </w:rPr>
        <w:t>a</w:t>
      </w:r>
      <w:r w:rsidRPr="00443DEB">
        <w:rPr>
          <w:rFonts w:ascii="Century Gothic" w:eastAsia="Calibri" w:hAnsi="Century Gothic"/>
          <w:b/>
          <w:bCs/>
          <w:color w:val="000000"/>
          <w:lang w:val="es-MX" w:eastAsia="en-US"/>
        </w:rPr>
        <w:t>pertura</w:t>
      </w:r>
      <w:r w:rsidR="00D90EF2">
        <w:rPr>
          <w:rFonts w:ascii="Century Gothic" w:eastAsia="Calibri" w:hAnsi="Century Gothic"/>
          <w:b/>
          <w:bCs/>
          <w:color w:val="000000"/>
          <w:lang w:val="es-MX" w:eastAsia="en-US"/>
        </w:rPr>
        <w:t xml:space="preserve"> del proceso de selección</w:t>
      </w:r>
    </w:p>
    <w:p w14:paraId="69E78BA9" w14:textId="4E4F1520" w:rsidR="000C7911" w:rsidRPr="00443DEB" w:rsidRDefault="000C7911" w:rsidP="0047034A">
      <w:pPr>
        <w:suppressAutoHyphens/>
        <w:spacing w:after="240" w:line="276" w:lineRule="auto"/>
        <w:jc w:val="both"/>
        <w:textDirection w:val="btLr"/>
        <w:textAlignment w:val="top"/>
        <w:rPr>
          <w:rFonts w:ascii="Century Gothic" w:hAnsi="Century Gothic" w:cs="Arial"/>
          <w:lang w:eastAsia="es-CO"/>
        </w:rPr>
      </w:pPr>
      <w:r w:rsidRPr="00443DEB">
        <w:rPr>
          <w:rFonts w:ascii="Century Gothic" w:hAnsi="Century Gothic" w:cs="Arial"/>
          <w:lang w:eastAsia="es-CO"/>
        </w:rPr>
        <w:t xml:space="preserve">El acto administrativo de apertura del proceso de </w:t>
      </w:r>
      <w:r w:rsidR="0003422E">
        <w:rPr>
          <w:rFonts w:ascii="Century Gothic" w:hAnsi="Century Gothic" w:cs="Arial"/>
          <w:lang w:eastAsia="es-CO"/>
        </w:rPr>
        <w:t xml:space="preserve">contratación estatal </w:t>
      </w:r>
      <w:r w:rsidRPr="00443DEB">
        <w:rPr>
          <w:rFonts w:ascii="Century Gothic" w:hAnsi="Century Gothic" w:cs="Arial"/>
          <w:lang w:eastAsia="es-CO"/>
        </w:rPr>
        <w:t xml:space="preserve">agota sus efectos con la adjudicación o la declaratoria de desierta del proceso, según lo previsto en el Estatuto General de Contratación. Sin embargo, este último cuerpo normativo guardó silencio respecto a la posibilidad de revocarlo. Teniendo en cuenta lo anterior, los Decretos Reglamentarios 066 de 2008, 2474 de 2008 y 734 de 2012 habían previsto la posibilidad de que las </w:t>
      </w:r>
      <w:r w:rsidR="00CB1CBF" w:rsidRPr="00443DEB">
        <w:rPr>
          <w:rFonts w:ascii="Century Gothic" w:hAnsi="Century Gothic" w:cs="Arial"/>
          <w:lang w:eastAsia="es-CO"/>
        </w:rPr>
        <w:t>Entidades revocaran</w:t>
      </w:r>
      <w:r w:rsidRPr="00443DEB">
        <w:rPr>
          <w:rFonts w:ascii="Century Gothic" w:hAnsi="Century Gothic" w:cs="Arial"/>
          <w:lang w:eastAsia="es-CO"/>
        </w:rPr>
        <w:t xml:space="preserve"> el acto administrativo de apertura bajo la condición de que se verificara alguna de las causales contempladas en el artículo 69 del Código Contencioso Administrativo.</w:t>
      </w:r>
    </w:p>
    <w:p w14:paraId="70946563" w14:textId="7FBF2BA5" w:rsidR="000C7911" w:rsidRPr="00443DEB" w:rsidRDefault="000C7911" w:rsidP="001A7712">
      <w:pPr>
        <w:suppressAutoHyphens/>
        <w:spacing w:line="276" w:lineRule="auto"/>
        <w:ind w:firstLine="708"/>
        <w:jc w:val="both"/>
        <w:textDirection w:val="btLr"/>
        <w:textAlignment w:val="top"/>
        <w:rPr>
          <w:rFonts w:ascii="Century Gothic" w:hAnsi="Century Gothic" w:cs="Arial"/>
          <w:color w:val="000000"/>
        </w:rPr>
      </w:pPr>
      <w:r w:rsidRPr="00443DEB">
        <w:rPr>
          <w:rFonts w:ascii="Century Gothic" w:hAnsi="Century Gothic" w:cs="Arial"/>
          <w:lang w:eastAsia="es-CO"/>
        </w:rPr>
        <w:t xml:space="preserve">Posteriormente con la expedición del Decreto 1510 de 2013, que derogó el </w:t>
      </w:r>
      <w:r w:rsidR="005A14B3">
        <w:rPr>
          <w:rFonts w:ascii="Century Gothic" w:hAnsi="Century Gothic" w:cs="Arial"/>
          <w:lang w:eastAsia="es-CO"/>
        </w:rPr>
        <w:t>D</w:t>
      </w:r>
      <w:r w:rsidRPr="00443DEB">
        <w:rPr>
          <w:rFonts w:ascii="Century Gothic" w:hAnsi="Century Gothic" w:cs="Arial"/>
          <w:lang w:eastAsia="es-CO"/>
        </w:rPr>
        <w:t xml:space="preserve">ecreto 734 de 2012 y actualmente se encuentra compilado en el Decreto 1082 de 2015, </w:t>
      </w:r>
      <w:r w:rsidRPr="00443DEB">
        <w:rPr>
          <w:rFonts w:ascii="Century Gothic" w:hAnsi="Century Gothic" w:cs="Arial"/>
          <w:color w:val="000000"/>
        </w:rPr>
        <w:t xml:space="preserve">no se reguló la revocatoria del acto de apertura, quedando el tema en estado de incertidumbre. </w:t>
      </w:r>
    </w:p>
    <w:p w14:paraId="5D874B1B" w14:textId="5F26688F" w:rsidR="00521C8B" w:rsidRDefault="0047034A" w:rsidP="0047034A">
      <w:pPr>
        <w:suppressAutoHyphens/>
        <w:spacing w:line="276" w:lineRule="auto"/>
        <w:ind w:firstLine="708"/>
        <w:jc w:val="both"/>
        <w:textDirection w:val="btLr"/>
        <w:textAlignment w:val="top"/>
        <w:outlineLvl w:val="0"/>
        <w:rPr>
          <w:rFonts w:ascii="Century Gothic" w:hAnsi="Century Gothic" w:cs="Arial"/>
          <w:color w:val="000000"/>
        </w:rPr>
      </w:pPr>
      <w:r>
        <w:rPr>
          <w:rFonts w:ascii="Century Gothic" w:hAnsi="Century Gothic" w:cs="Arial"/>
          <w:color w:val="000000"/>
        </w:rPr>
        <w:t>En ese contexto</w:t>
      </w:r>
      <w:r w:rsidR="000C7911" w:rsidRPr="00443DEB">
        <w:rPr>
          <w:rFonts w:ascii="Century Gothic" w:hAnsi="Century Gothic" w:cs="Arial"/>
          <w:color w:val="000000"/>
        </w:rPr>
        <w:t>, la jurisprudencia de la Sección Tercera del Consejo de Estado ha distinguido 2 momentos para efectos de examinar la posibilidad de revocar de manera unilateral el acto de apertura:</w:t>
      </w:r>
      <w:r w:rsidR="0082066F">
        <w:rPr>
          <w:rFonts w:ascii="Century Gothic" w:hAnsi="Century Gothic" w:cs="Arial"/>
          <w:color w:val="000000"/>
        </w:rPr>
        <w:t xml:space="preserve"> (i) e</w:t>
      </w:r>
      <w:r w:rsidR="000C7911" w:rsidRPr="00443DEB">
        <w:rPr>
          <w:rFonts w:ascii="Century Gothic" w:hAnsi="Century Gothic" w:cs="Arial"/>
          <w:color w:val="000000"/>
        </w:rPr>
        <w:t xml:space="preserve">l primer momento es antes de que se presenten ofertas, en el cual hay unanimidad de criterio respecto a la posibilidad de revocarlo unilateralmente, </w:t>
      </w:r>
      <w:r w:rsidR="000C7911" w:rsidRPr="00443DEB">
        <w:rPr>
          <w:rFonts w:ascii="Century Gothic" w:hAnsi="Century Gothic" w:cs="Arial"/>
          <w:color w:val="000000"/>
          <w:lang w:eastAsia="es-CO"/>
        </w:rPr>
        <w:t>porque no se ha configurado ninguna situación particular</w:t>
      </w:r>
      <w:r w:rsidR="0082066F">
        <w:rPr>
          <w:rFonts w:ascii="Century Gothic" w:hAnsi="Century Gothic" w:cs="Arial"/>
          <w:color w:val="000000"/>
        </w:rPr>
        <w:t>; y, ii) e</w:t>
      </w:r>
      <w:r w:rsidR="000C7911" w:rsidRPr="00443DEB">
        <w:rPr>
          <w:rFonts w:ascii="Century Gothic" w:hAnsi="Century Gothic" w:cs="Arial"/>
          <w:color w:val="000000"/>
        </w:rPr>
        <w:t>l segundo momento es cuando se presentan las ofertas en el proceso de selección, caso en el cual la jurisprudencia ha planteado 4 tesis, que resuelven el siguiente problema jurídico</w:t>
      </w:r>
      <w:r w:rsidR="00521C8B">
        <w:rPr>
          <w:rFonts w:ascii="Century Gothic" w:hAnsi="Century Gothic" w:cs="Arial"/>
          <w:color w:val="000000"/>
        </w:rPr>
        <w:t>.</w:t>
      </w:r>
    </w:p>
    <w:p w14:paraId="3D24350A" w14:textId="2ABC1875" w:rsidR="000C7911" w:rsidRPr="00443DEB" w:rsidRDefault="00521C8B" w:rsidP="0047034A">
      <w:pPr>
        <w:suppressAutoHyphens/>
        <w:spacing w:line="276" w:lineRule="auto"/>
        <w:ind w:firstLine="708"/>
        <w:jc w:val="both"/>
        <w:textDirection w:val="btLr"/>
        <w:textAlignment w:val="top"/>
        <w:outlineLvl w:val="0"/>
        <w:rPr>
          <w:rFonts w:ascii="Century Gothic" w:hAnsi="Century Gothic" w:cs="Arial"/>
        </w:rPr>
      </w:pPr>
      <w:r>
        <w:rPr>
          <w:rFonts w:ascii="Century Gothic" w:hAnsi="Century Gothic" w:cs="Arial"/>
          <w:color w:val="000000"/>
        </w:rPr>
        <w:t>La primera tesis dispone que a</w:t>
      </w:r>
      <w:r w:rsidR="000C7911" w:rsidRPr="00443DEB">
        <w:rPr>
          <w:rFonts w:ascii="Century Gothic" w:hAnsi="Century Gothic" w:cs="Arial"/>
          <w:color w:val="000000"/>
        </w:rPr>
        <w:t xml:space="preserve">ntes de adjudicar un proceso de contratación, es revocable de manera unilateral el acto de apertura, siempre </w:t>
      </w:r>
      <w:r w:rsidR="000C7911" w:rsidRPr="00443DEB">
        <w:rPr>
          <w:rFonts w:ascii="Century Gothic" w:hAnsi="Century Gothic" w:cs="Arial"/>
        </w:rPr>
        <w:t>que concurra alguna causal prevista en el C</w:t>
      </w:r>
      <w:r w:rsidR="00B67855">
        <w:rPr>
          <w:rFonts w:ascii="Century Gothic" w:hAnsi="Century Gothic" w:cs="Arial"/>
        </w:rPr>
        <w:t>PA</w:t>
      </w:r>
      <w:r w:rsidR="000C7911" w:rsidRPr="00443DEB">
        <w:rPr>
          <w:rFonts w:ascii="Century Gothic" w:hAnsi="Century Gothic" w:cs="Arial"/>
        </w:rPr>
        <w:t>CA</w:t>
      </w:r>
      <w:r w:rsidR="000C7911" w:rsidRPr="00443DEB">
        <w:rPr>
          <w:rFonts w:ascii="Century Gothic" w:hAnsi="Century Gothic" w:cs="Arial"/>
          <w:color w:val="000000"/>
        </w:rPr>
        <w:t>.</w:t>
      </w:r>
      <w:r w:rsidR="00B67855">
        <w:rPr>
          <w:rFonts w:ascii="Century Gothic" w:hAnsi="Century Gothic" w:cs="Arial"/>
          <w:color w:val="000000"/>
        </w:rPr>
        <w:t xml:space="preserve"> </w:t>
      </w:r>
      <w:r w:rsidR="000C7911" w:rsidRPr="00443DEB">
        <w:rPr>
          <w:rFonts w:ascii="Century Gothic" w:eastAsia="Arial" w:hAnsi="Century Gothic" w:cs="Arial"/>
        </w:rPr>
        <w:t xml:space="preserve">Lo anterior en atención a que, ante la falta de una norma que regule aspectos como la </w:t>
      </w:r>
      <w:r w:rsidR="000C7911" w:rsidRPr="00443DEB">
        <w:rPr>
          <w:rFonts w:ascii="Century Gothic" w:eastAsia="Arial" w:hAnsi="Century Gothic" w:cs="Arial"/>
          <w:lang w:val="es-ES"/>
        </w:rPr>
        <w:t xml:space="preserve">revocabilidad de los actos administrativos expedidos durante la etapa precontractual, contractual o </w:t>
      </w:r>
      <w:proofErr w:type="spellStart"/>
      <w:r w:rsidR="000C7911" w:rsidRPr="00443DEB">
        <w:rPr>
          <w:rFonts w:ascii="Century Gothic" w:eastAsia="Arial" w:hAnsi="Century Gothic" w:cs="Arial"/>
          <w:lang w:val="es-ES"/>
        </w:rPr>
        <w:t>pos-contractual</w:t>
      </w:r>
      <w:proofErr w:type="spellEnd"/>
      <w:r w:rsidR="000C7911" w:rsidRPr="00443DEB">
        <w:rPr>
          <w:rFonts w:ascii="Century Gothic" w:eastAsia="Arial" w:hAnsi="Century Gothic" w:cs="Arial"/>
        </w:rPr>
        <w:t xml:space="preserve"> -salvo el acto administrativo de adjudicación que sí tiene una norma expresa que determina su irrevocabilidad-, resulta aplicable el régimen general previsto en el C</w:t>
      </w:r>
      <w:r w:rsidR="00B012DB">
        <w:rPr>
          <w:rFonts w:ascii="Century Gothic" w:eastAsia="Arial" w:hAnsi="Century Gothic" w:cs="Arial"/>
        </w:rPr>
        <w:t>PA</w:t>
      </w:r>
      <w:r w:rsidR="000C7911" w:rsidRPr="00443DEB">
        <w:rPr>
          <w:rFonts w:ascii="Century Gothic" w:eastAsia="Arial" w:hAnsi="Century Gothic" w:cs="Arial"/>
        </w:rPr>
        <w:t xml:space="preserve">CA, por remisión expresa del artículo </w:t>
      </w:r>
      <w:r w:rsidR="000C7911" w:rsidRPr="00443DEB">
        <w:rPr>
          <w:rFonts w:ascii="Century Gothic" w:hAnsi="Century Gothic" w:cs="Arial"/>
          <w:lang w:eastAsia="es-CO"/>
        </w:rPr>
        <w:t xml:space="preserve">77 de la Ley 80 de 1993, el cual señala que: </w:t>
      </w:r>
      <w:r w:rsidR="000C7911" w:rsidRPr="00443DEB">
        <w:rPr>
          <w:rFonts w:ascii="Century Gothic" w:hAnsi="Century Gothic" w:cs="Arial"/>
          <w:i/>
        </w:rPr>
        <w:t>“En cuanto sean compatibles con la finalidad y los principios de esta ley, las normas que rigen los procedimientos y actuaciones en la función administrativa serán aplicables en las actuaciones contractuales. A falta de éstas, regirán las disposiciones del Código de Procedimiento Civil”</w:t>
      </w:r>
      <w:r w:rsidR="000C7911" w:rsidRPr="00443DEB">
        <w:rPr>
          <w:rStyle w:val="Refdenotaalpie"/>
          <w:rFonts w:ascii="Century Gothic" w:hAnsi="Century Gothic" w:cs="Arial"/>
          <w:i/>
        </w:rPr>
        <w:footnoteReference w:id="14"/>
      </w:r>
      <w:r w:rsidR="000C7911" w:rsidRPr="00443DEB">
        <w:rPr>
          <w:rFonts w:ascii="Century Gothic" w:hAnsi="Century Gothic" w:cs="Arial"/>
          <w:i/>
        </w:rPr>
        <w:t>.</w:t>
      </w:r>
      <w:r w:rsidR="000C7911" w:rsidRPr="00443DEB">
        <w:rPr>
          <w:rFonts w:ascii="Century Gothic" w:hAnsi="Century Gothic" w:cs="Arial"/>
        </w:rPr>
        <w:t xml:space="preserve"> </w:t>
      </w:r>
    </w:p>
    <w:p w14:paraId="57C0C9A3" w14:textId="77777777" w:rsidR="000C7911" w:rsidRPr="00443DEB" w:rsidRDefault="000C7911" w:rsidP="0047034A">
      <w:pPr>
        <w:suppressAutoHyphens/>
        <w:spacing w:line="276" w:lineRule="auto"/>
        <w:ind w:firstLine="708"/>
        <w:jc w:val="both"/>
        <w:textDirection w:val="btLr"/>
        <w:textAlignment w:val="top"/>
        <w:outlineLvl w:val="0"/>
        <w:rPr>
          <w:rFonts w:ascii="Century Gothic" w:hAnsi="Century Gothic" w:cs="Arial"/>
        </w:rPr>
      </w:pPr>
      <w:r w:rsidRPr="00443DEB">
        <w:rPr>
          <w:rFonts w:ascii="Century Gothic" w:hAnsi="Century Gothic" w:cs="Arial"/>
          <w:color w:val="000000"/>
        </w:rPr>
        <w:t>Sin embargo, en la medida en que esté más avanzado el proceso de selección se irán consolidando</w:t>
      </w:r>
      <w:r w:rsidRPr="00443DEB">
        <w:rPr>
          <w:rFonts w:ascii="Century Gothic" w:hAnsi="Century Gothic" w:cs="Arial"/>
          <w:b/>
          <w:bCs/>
          <w:color w:val="000000"/>
        </w:rPr>
        <w:t xml:space="preserve"> </w:t>
      </w:r>
      <w:r w:rsidRPr="00443DEB">
        <w:rPr>
          <w:rFonts w:ascii="Century Gothic" w:hAnsi="Century Gothic" w:cs="Arial"/>
        </w:rPr>
        <w:t>“expectativas” jurídicas y económicas de los participantes, y en esa misma medida se incrementan los riesgos de causar daños ciertos y personales, que en caso de proferirse una revocatoria, podrán ser objeto de indemnización por parte de la administración, siempre y cuando exista prueba de su configuración. Sin embargo, esta situación no afecta la validez del acto administrativo.</w:t>
      </w:r>
    </w:p>
    <w:p w14:paraId="24CEB8ED" w14:textId="5A65D567" w:rsidR="000C7911" w:rsidRPr="00443DEB" w:rsidRDefault="005871D7" w:rsidP="0047034A">
      <w:pPr>
        <w:suppressAutoHyphens/>
        <w:spacing w:line="276" w:lineRule="auto"/>
        <w:ind w:firstLine="708"/>
        <w:jc w:val="both"/>
        <w:textDirection w:val="btLr"/>
        <w:textAlignment w:val="top"/>
        <w:outlineLvl w:val="0"/>
        <w:rPr>
          <w:rFonts w:ascii="Century Gothic" w:hAnsi="Century Gothic" w:cs="Arial"/>
          <w:color w:val="000000"/>
          <w:lang w:eastAsia="es-CO"/>
        </w:rPr>
      </w:pPr>
      <w:r>
        <w:rPr>
          <w:rFonts w:ascii="Century Gothic" w:hAnsi="Century Gothic" w:cs="Arial"/>
          <w:color w:val="000000"/>
        </w:rPr>
        <w:t xml:space="preserve">La segunda </w:t>
      </w:r>
      <w:r w:rsidR="00AE2380">
        <w:rPr>
          <w:rFonts w:ascii="Century Gothic" w:hAnsi="Century Gothic" w:cs="Arial"/>
          <w:color w:val="000000"/>
        </w:rPr>
        <w:t>tesis plantea</w:t>
      </w:r>
      <w:r>
        <w:rPr>
          <w:rFonts w:ascii="Century Gothic" w:hAnsi="Century Gothic" w:cs="Arial"/>
          <w:color w:val="000000"/>
        </w:rPr>
        <w:t xml:space="preserve"> que n</w:t>
      </w:r>
      <w:r w:rsidR="000C7911" w:rsidRPr="00443DEB">
        <w:rPr>
          <w:rFonts w:ascii="Century Gothic" w:hAnsi="Century Gothic" w:cs="Arial"/>
          <w:color w:val="000000"/>
        </w:rPr>
        <w:t xml:space="preserve">o es posible revocar unilateralmente el acto de apertura, por cuanto la administración </w:t>
      </w:r>
      <w:r w:rsidR="000C7911" w:rsidRPr="00443DEB">
        <w:rPr>
          <w:rFonts w:ascii="Century Gothic" w:eastAsia="Arial" w:hAnsi="Century Gothic" w:cs="Arial"/>
          <w:bCs/>
        </w:rPr>
        <w:t>debe iniciar la actuación de que trata el artículo</w:t>
      </w:r>
      <w:r w:rsidR="00AE2380">
        <w:rPr>
          <w:rFonts w:ascii="Century Gothic" w:eastAsia="Arial" w:hAnsi="Century Gothic" w:cs="Arial"/>
          <w:bCs/>
        </w:rPr>
        <w:t xml:space="preserve"> 97</w:t>
      </w:r>
      <w:r w:rsidR="000C7911" w:rsidRPr="00443DEB">
        <w:rPr>
          <w:rFonts w:ascii="Century Gothic" w:eastAsia="Arial" w:hAnsi="Century Gothic" w:cs="Arial"/>
          <w:bCs/>
        </w:rPr>
        <w:t xml:space="preserve"> del C</w:t>
      </w:r>
      <w:r w:rsidR="00AE2380">
        <w:rPr>
          <w:rFonts w:ascii="Century Gothic" w:eastAsia="Arial" w:hAnsi="Century Gothic" w:cs="Arial"/>
          <w:bCs/>
        </w:rPr>
        <w:t>PACA</w:t>
      </w:r>
      <w:r w:rsidR="00EE7458">
        <w:rPr>
          <w:rFonts w:ascii="Century Gothic" w:eastAsia="Arial" w:hAnsi="Century Gothic" w:cs="Arial"/>
          <w:bCs/>
        </w:rPr>
        <w:t>,</w:t>
      </w:r>
      <w:r w:rsidR="000C7911" w:rsidRPr="00443DEB">
        <w:rPr>
          <w:rFonts w:ascii="Century Gothic" w:eastAsia="Arial" w:hAnsi="Century Gothic" w:cs="Arial"/>
          <w:bCs/>
        </w:rPr>
        <w:t xml:space="preserve"> y solicitar el consentimiento de quien o quienes hayan presentado ofertas dentro del plazo previsto en los pliegos de condiciones.</w:t>
      </w:r>
      <w:r w:rsidR="00AE2380">
        <w:rPr>
          <w:rFonts w:ascii="Century Gothic" w:eastAsia="Arial" w:hAnsi="Century Gothic" w:cs="Arial"/>
          <w:bCs/>
        </w:rPr>
        <w:t xml:space="preserve"> </w:t>
      </w:r>
      <w:r w:rsidR="000C7911" w:rsidRPr="00443DEB">
        <w:rPr>
          <w:rFonts w:ascii="Century Gothic" w:hAnsi="Century Gothic" w:cs="Arial"/>
          <w:color w:val="000000"/>
          <w:lang w:eastAsia="es-CO"/>
        </w:rPr>
        <w:t>Lo anterior por cuanto una vez los interesados presentan sus respectivas ofertas, se genera la legítima expectativa de que su propuesta sea considerada y, en ese momento, la oferta pública de la administración, contenida en el acto de apertura del proceso de selección, se particulariza y se convierte en irrevocable.</w:t>
      </w:r>
    </w:p>
    <w:p w14:paraId="73D13FB6" w14:textId="3D6A2354" w:rsidR="000C7911" w:rsidRPr="00443DEB" w:rsidRDefault="000C7911" w:rsidP="0047034A">
      <w:pPr>
        <w:suppressAutoHyphens/>
        <w:spacing w:line="276" w:lineRule="auto"/>
        <w:ind w:firstLine="708"/>
        <w:jc w:val="both"/>
        <w:textDirection w:val="btLr"/>
        <w:textAlignment w:val="top"/>
        <w:outlineLvl w:val="0"/>
        <w:rPr>
          <w:rFonts w:ascii="Century Gothic" w:hAnsi="Century Gothic" w:cs="Arial"/>
          <w:color w:val="000000"/>
          <w:lang w:eastAsia="es-CO"/>
        </w:rPr>
      </w:pPr>
      <w:r w:rsidRPr="00443DEB">
        <w:rPr>
          <w:rFonts w:ascii="Century Gothic" w:hAnsi="Century Gothic" w:cs="Arial"/>
          <w:color w:val="000000"/>
          <w:lang w:eastAsia="es-CO"/>
        </w:rPr>
        <w:t xml:space="preserve">De no contarse con tal consentimiento y si se produce la revocatoria, el acto surge viciado de nulidad por expedición irregular, a menos que se presente el supuesto previsto en la parte final del inciso </w:t>
      </w:r>
      <w:r w:rsidR="006B28AA">
        <w:rPr>
          <w:rFonts w:ascii="Century Gothic" w:hAnsi="Century Gothic" w:cs="Arial"/>
          <w:color w:val="000000"/>
          <w:lang w:eastAsia="es-CO"/>
        </w:rPr>
        <w:t xml:space="preserve">tercero </w:t>
      </w:r>
      <w:r w:rsidRPr="00443DEB">
        <w:rPr>
          <w:rFonts w:ascii="Century Gothic" w:hAnsi="Century Gothic" w:cs="Arial"/>
          <w:color w:val="000000"/>
          <w:lang w:eastAsia="es-CO"/>
        </w:rPr>
        <w:t xml:space="preserve">del artículo </w:t>
      </w:r>
      <w:r w:rsidR="006B28AA">
        <w:rPr>
          <w:rFonts w:ascii="Century Gothic" w:hAnsi="Century Gothic" w:cs="Arial"/>
          <w:color w:val="000000"/>
          <w:lang w:eastAsia="es-CO"/>
        </w:rPr>
        <w:t>97</w:t>
      </w:r>
      <w:r w:rsidRPr="00443DEB">
        <w:rPr>
          <w:rFonts w:ascii="Century Gothic" w:hAnsi="Century Gothic" w:cs="Arial"/>
          <w:color w:val="000000"/>
          <w:lang w:eastAsia="es-CO"/>
        </w:rPr>
        <w:t xml:space="preserve"> del C</w:t>
      </w:r>
      <w:r w:rsidR="006B28AA">
        <w:rPr>
          <w:rFonts w:ascii="Century Gothic" w:hAnsi="Century Gothic" w:cs="Arial"/>
          <w:color w:val="000000"/>
          <w:lang w:eastAsia="es-CO"/>
        </w:rPr>
        <w:t>PACA</w:t>
      </w:r>
      <w:r w:rsidRPr="00443DEB">
        <w:rPr>
          <w:rFonts w:ascii="Century Gothic" w:hAnsi="Century Gothic" w:cs="Arial"/>
          <w:color w:val="000000"/>
          <w:lang w:eastAsia="es-CO"/>
        </w:rPr>
        <w:t xml:space="preserve"> (que el acto haya ocurrido “por medios ilegales”), caso en el cual la administración puede revocarlo directamente, en cualquier estado del proceso de selección (hasta antes de la adjudicación o de la declaratoria de desierto), sin que entonces requiera el consentimiento expreso de los participantes</w:t>
      </w:r>
      <w:r w:rsidRPr="00443DEB">
        <w:rPr>
          <w:rStyle w:val="Refdenotaalpie"/>
          <w:rFonts w:ascii="Century Gothic" w:hAnsi="Century Gothic" w:cs="Arial"/>
          <w:color w:val="000000"/>
          <w:lang w:eastAsia="es-CO"/>
        </w:rPr>
        <w:footnoteReference w:id="15"/>
      </w:r>
      <w:r w:rsidRPr="00443DEB">
        <w:rPr>
          <w:rFonts w:ascii="Century Gothic" w:hAnsi="Century Gothic" w:cs="Arial"/>
          <w:color w:val="000000"/>
          <w:lang w:eastAsia="es-CO"/>
        </w:rPr>
        <w:t>.</w:t>
      </w:r>
    </w:p>
    <w:p w14:paraId="316CF901" w14:textId="0D184ADA" w:rsidR="000C7911" w:rsidRPr="00443DEB" w:rsidRDefault="002311DC" w:rsidP="0047034A">
      <w:pPr>
        <w:spacing w:line="276" w:lineRule="auto"/>
        <w:ind w:firstLine="708"/>
        <w:jc w:val="both"/>
        <w:rPr>
          <w:rFonts w:ascii="Century Gothic" w:hAnsi="Century Gothic" w:cs="Arial"/>
          <w:bCs/>
          <w:color w:val="000000"/>
        </w:rPr>
      </w:pPr>
      <w:r>
        <w:rPr>
          <w:rFonts w:ascii="Century Gothic" w:hAnsi="Century Gothic" w:cs="Arial"/>
          <w:iCs/>
        </w:rPr>
        <w:t xml:space="preserve">Por su parte, la tercera tesis plantea que una </w:t>
      </w:r>
      <w:r w:rsidR="000C7911" w:rsidRPr="00443DEB">
        <w:rPr>
          <w:rFonts w:ascii="Century Gothic" w:eastAsia="Arial" w:hAnsi="Century Gothic" w:cs="Arial"/>
          <w:bCs/>
          <w:iCs/>
          <w:lang w:val="es-ES"/>
        </w:rPr>
        <w:t>vez se han recibido las propuestas, el acto de apertura no puede ser objeto de revocatoria directa en forma unilateral por parte de la Administración, sin el consentimiento expreso del mejor proponente, toda vez que este tiene en su haber la posición jurídica que se deriva de las reglas de la propia convocatoria</w:t>
      </w:r>
      <w:r w:rsidR="00E34336">
        <w:rPr>
          <w:rFonts w:ascii="Century Gothic" w:eastAsia="Arial" w:hAnsi="Century Gothic" w:cs="Arial"/>
          <w:bCs/>
          <w:iCs/>
          <w:lang w:val="es-ES"/>
        </w:rPr>
        <w:t>,</w:t>
      </w:r>
      <w:r w:rsidR="000C7911" w:rsidRPr="00443DEB">
        <w:rPr>
          <w:rFonts w:ascii="Century Gothic" w:eastAsia="Arial" w:hAnsi="Century Gothic" w:cs="Arial"/>
          <w:bCs/>
          <w:iCs/>
          <w:lang w:val="es-ES"/>
        </w:rPr>
        <w:t xml:space="preserve"> que no es otra que la de la oferta mercantil aceptada</w:t>
      </w:r>
      <w:r w:rsidR="003F3AB8">
        <w:rPr>
          <w:rFonts w:ascii="Century Gothic" w:eastAsia="Arial" w:hAnsi="Century Gothic" w:cs="Arial"/>
          <w:bCs/>
          <w:iCs/>
          <w:lang w:val="es-ES"/>
        </w:rPr>
        <w:t xml:space="preserve">, </w:t>
      </w:r>
      <w:r w:rsidR="000C7911" w:rsidRPr="00443DEB">
        <w:rPr>
          <w:rFonts w:ascii="Century Gothic" w:eastAsia="Arial" w:hAnsi="Century Gothic" w:cs="Arial"/>
          <w:bCs/>
          <w:iCs/>
          <w:lang w:val="es-ES"/>
        </w:rPr>
        <w:t>la cual se concreta en el derecho a suscribir el contrato estatal.</w:t>
      </w:r>
      <w:r w:rsidR="003F3AB8">
        <w:rPr>
          <w:rFonts w:ascii="Century Gothic" w:eastAsia="Arial" w:hAnsi="Century Gothic" w:cs="Arial"/>
          <w:bCs/>
          <w:iCs/>
          <w:lang w:val="es-ES"/>
        </w:rPr>
        <w:t xml:space="preserve"> </w:t>
      </w:r>
      <w:r w:rsidR="000C7911" w:rsidRPr="00443DEB">
        <w:rPr>
          <w:rFonts w:ascii="Century Gothic" w:eastAsia="Arial" w:hAnsi="Century Gothic" w:cs="Arial"/>
          <w:bCs/>
          <w:lang w:val="es-ES"/>
        </w:rPr>
        <w:t xml:space="preserve">Lo anterior por cuanto </w:t>
      </w:r>
      <w:r w:rsidR="000C7911" w:rsidRPr="00443DEB">
        <w:rPr>
          <w:rFonts w:ascii="Century Gothic" w:hAnsi="Century Gothic" w:cs="Arial"/>
          <w:bCs/>
          <w:color w:val="000000"/>
        </w:rPr>
        <w:t>desde el momento en que la Administración recibe las ofertas de los proponentes y se cierra la presentación de propuestas, el pliego de condiciones -que en principio era un acto de carácter general- se convierte en un acto de alcance particular, del cual se genera dos derechos, uno para los proponentes de ser evaluados y otro para aquel que tenga la mejor propuesta el cual consiste en ser seleccionado y a ejecutar el contrato estatal que le debe ser adjudicado</w:t>
      </w:r>
      <w:r w:rsidR="000C7911" w:rsidRPr="00443DEB">
        <w:rPr>
          <w:rStyle w:val="Refdenotaalpie"/>
          <w:rFonts w:ascii="Century Gothic" w:hAnsi="Century Gothic" w:cs="Arial"/>
          <w:bCs/>
          <w:color w:val="000000"/>
        </w:rPr>
        <w:footnoteReference w:id="16"/>
      </w:r>
      <w:r w:rsidR="000C7911" w:rsidRPr="00443DEB">
        <w:rPr>
          <w:rFonts w:ascii="Century Gothic" w:hAnsi="Century Gothic" w:cs="Arial"/>
          <w:bCs/>
          <w:color w:val="000000"/>
        </w:rPr>
        <w:t>.</w:t>
      </w:r>
    </w:p>
    <w:p w14:paraId="65CD8216" w14:textId="7FBDF009" w:rsidR="000C7911" w:rsidRPr="00443DEB" w:rsidRDefault="00FF4E31" w:rsidP="0047034A">
      <w:pPr>
        <w:spacing w:line="276" w:lineRule="auto"/>
        <w:ind w:firstLine="708"/>
        <w:jc w:val="both"/>
        <w:rPr>
          <w:rFonts w:ascii="Century Gothic" w:eastAsia="Arial" w:hAnsi="Century Gothic" w:cs="Arial"/>
        </w:rPr>
      </w:pPr>
      <w:r>
        <w:rPr>
          <w:rFonts w:ascii="Century Gothic" w:hAnsi="Century Gothic" w:cs="Arial"/>
          <w:bCs/>
          <w:color w:val="000000"/>
        </w:rPr>
        <w:t>Finalmente, la cuarta tesis dispone que s</w:t>
      </w:r>
      <w:r w:rsidR="000C7911" w:rsidRPr="00443DEB">
        <w:rPr>
          <w:rFonts w:ascii="Century Gothic" w:eastAsia="Arial" w:hAnsi="Century Gothic" w:cs="Arial"/>
        </w:rPr>
        <w:t>e puede revocar unilateralmente el acto de apertura del proceso de selección, si se advierte la configuración de alguna de las causales y demás requisitos que dan paso a su procedencia, toda vez que al ser un acto administrativo de carácter general se torna evidente que la Administración no está condicionada a obtener el consentimiento previo y expreso de los proponentes o del mejor proponente para revocarlo; además, la revocabilidad procede por cuanto es primordial y tiene preferencia la constatación del interés de la contratación, que no es otro que la garantía de las necesidades públicas frente a las expectativas negociales que nacieron respecto de los proponentes.</w:t>
      </w:r>
    </w:p>
    <w:p w14:paraId="7F2A2E84" w14:textId="3B659313" w:rsidR="000C7911" w:rsidRPr="00443DEB" w:rsidRDefault="003C69C4" w:rsidP="001A7712">
      <w:pPr>
        <w:spacing w:line="276" w:lineRule="auto"/>
        <w:ind w:firstLine="360"/>
        <w:jc w:val="both"/>
        <w:rPr>
          <w:rFonts w:ascii="Century Gothic" w:eastAsia="Arial" w:hAnsi="Century Gothic" w:cs="Arial"/>
        </w:rPr>
      </w:pPr>
      <w:r>
        <w:rPr>
          <w:rFonts w:ascii="Century Gothic" w:eastAsia="Arial" w:hAnsi="Century Gothic" w:cs="Arial"/>
        </w:rPr>
        <w:t xml:space="preserve">Teniendo en cuenta </w:t>
      </w:r>
      <w:r w:rsidR="0047034A">
        <w:rPr>
          <w:rFonts w:ascii="Century Gothic" w:eastAsia="Arial" w:hAnsi="Century Gothic" w:cs="Arial"/>
        </w:rPr>
        <w:t>l</w:t>
      </w:r>
      <w:r w:rsidR="00F474AA">
        <w:rPr>
          <w:rFonts w:ascii="Century Gothic" w:eastAsia="Arial" w:hAnsi="Century Gothic" w:cs="Arial"/>
        </w:rPr>
        <w:t>o</w:t>
      </w:r>
      <w:r w:rsidR="0047034A">
        <w:rPr>
          <w:rFonts w:ascii="Century Gothic" w:eastAsia="Arial" w:hAnsi="Century Gothic" w:cs="Arial"/>
        </w:rPr>
        <w:t xml:space="preserve"> </w:t>
      </w:r>
      <w:r w:rsidR="00F474AA">
        <w:rPr>
          <w:rFonts w:ascii="Century Gothic" w:eastAsia="Arial" w:hAnsi="Century Gothic" w:cs="Arial"/>
        </w:rPr>
        <w:t>expuesto</w:t>
      </w:r>
      <w:r>
        <w:rPr>
          <w:rFonts w:ascii="Century Gothic" w:eastAsia="Arial" w:hAnsi="Century Gothic" w:cs="Arial"/>
        </w:rPr>
        <w:t xml:space="preserve">, por parte de esta Agencia se </w:t>
      </w:r>
      <w:r w:rsidR="000C7911" w:rsidRPr="00443DEB">
        <w:rPr>
          <w:rFonts w:ascii="Century Gothic" w:eastAsia="Arial" w:hAnsi="Century Gothic" w:cs="Arial"/>
        </w:rPr>
        <w:t>advierte que previo a la expedición del acto administrativo de adjudicación, no se consolidan derechos a favor de los proponentes, toda vez que hasta ese momento solo existen “</w:t>
      </w:r>
      <w:r w:rsidR="000C7911" w:rsidRPr="00443DEB">
        <w:rPr>
          <w:rFonts w:ascii="Century Gothic" w:eastAsia="Arial" w:hAnsi="Century Gothic" w:cs="Arial"/>
          <w:i/>
          <w:iCs/>
        </w:rPr>
        <w:t>meras expectativas”</w:t>
      </w:r>
      <w:r w:rsidR="000C7911" w:rsidRPr="00443DEB">
        <w:rPr>
          <w:rFonts w:ascii="Century Gothic" w:eastAsia="Arial" w:hAnsi="Century Gothic" w:cs="Arial"/>
        </w:rPr>
        <w:t xml:space="preserve"> y, en algunas circunstancias, </w:t>
      </w:r>
      <w:r w:rsidR="000C7911" w:rsidRPr="00443DEB">
        <w:rPr>
          <w:rFonts w:ascii="Century Gothic" w:eastAsia="Arial" w:hAnsi="Century Gothic" w:cs="Arial"/>
          <w:i/>
          <w:iCs/>
        </w:rPr>
        <w:t>expectativas legítimas</w:t>
      </w:r>
      <w:r w:rsidR="000C7911" w:rsidRPr="00443DEB">
        <w:rPr>
          <w:rFonts w:ascii="Century Gothic" w:eastAsia="Arial" w:hAnsi="Century Gothic" w:cs="Arial"/>
        </w:rPr>
        <w:t xml:space="preserve"> a favor de algún participante; conceptos jurídicos que alinderan tanto la existencia y alcance de un eventual derecho o expectativa, y el punto límite de proyección del atributo de la revocatoria del acto administrativo</w:t>
      </w:r>
      <w:r w:rsidR="000C7911" w:rsidRPr="00443DEB">
        <w:rPr>
          <w:rStyle w:val="Refdenotaalpie"/>
          <w:rFonts w:ascii="Century Gothic" w:eastAsia="Arial" w:hAnsi="Century Gothic" w:cs="Arial"/>
        </w:rPr>
        <w:footnoteReference w:id="17"/>
      </w:r>
      <w:r w:rsidR="000C7911" w:rsidRPr="00443DEB">
        <w:rPr>
          <w:rFonts w:ascii="Century Gothic" w:eastAsia="Arial" w:hAnsi="Century Gothic" w:cs="Arial"/>
        </w:rPr>
        <w:t>.</w:t>
      </w:r>
    </w:p>
    <w:p w14:paraId="20DC806C" w14:textId="40E33573" w:rsidR="000C7911" w:rsidRPr="00443DEB" w:rsidRDefault="001951C0" w:rsidP="001951C0">
      <w:pPr>
        <w:suppressAutoHyphens/>
        <w:spacing w:line="276" w:lineRule="auto"/>
        <w:ind w:firstLine="708"/>
        <w:jc w:val="both"/>
        <w:textDirection w:val="btLr"/>
        <w:textAlignment w:val="top"/>
        <w:outlineLvl w:val="0"/>
        <w:rPr>
          <w:rFonts w:ascii="Century Gothic" w:hAnsi="Century Gothic" w:cs="Arial"/>
          <w:shd w:val="clear" w:color="auto" w:fill="FFFFFF"/>
        </w:rPr>
      </w:pPr>
      <w:r>
        <w:rPr>
          <w:rFonts w:ascii="Century Gothic" w:hAnsi="Century Gothic" w:cs="Arial"/>
          <w:shd w:val="clear" w:color="auto" w:fill="FFFFFF"/>
        </w:rPr>
        <w:t>En ese orden de ideas, p</w:t>
      </w:r>
      <w:r w:rsidR="000C7911" w:rsidRPr="00443DEB">
        <w:rPr>
          <w:rFonts w:ascii="Century Gothic" w:hAnsi="Century Gothic" w:cs="Arial"/>
          <w:shd w:val="clear" w:color="auto" w:fill="FFFFFF"/>
        </w:rPr>
        <w:t xml:space="preserve">ara la tesis </w:t>
      </w:r>
      <w:r w:rsidR="005860AA">
        <w:rPr>
          <w:rFonts w:ascii="Century Gothic" w:hAnsi="Century Gothic" w:cs="Arial"/>
          <w:shd w:val="clear" w:color="auto" w:fill="FFFFFF"/>
        </w:rPr>
        <w:t>primera</w:t>
      </w:r>
      <w:r w:rsidR="000C7911" w:rsidRPr="00443DEB">
        <w:rPr>
          <w:rFonts w:ascii="Century Gothic" w:hAnsi="Century Gothic" w:cs="Arial"/>
          <w:shd w:val="clear" w:color="auto" w:fill="FFFFFF"/>
        </w:rPr>
        <w:t xml:space="preserve"> y </w:t>
      </w:r>
      <w:r w:rsidR="005860AA">
        <w:rPr>
          <w:rFonts w:ascii="Century Gothic" w:hAnsi="Century Gothic" w:cs="Arial"/>
          <w:shd w:val="clear" w:color="auto" w:fill="FFFFFF"/>
        </w:rPr>
        <w:t>cuarta</w:t>
      </w:r>
      <w:r w:rsidR="000C7911" w:rsidRPr="00443DEB">
        <w:rPr>
          <w:rFonts w:ascii="Century Gothic" w:hAnsi="Century Gothic" w:cs="Arial"/>
          <w:shd w:val="clear" w:color="auto" w:fill="FFFFFF"/>
        </w:rPr>
        <w:t xml:space="preserve"> la naturaleza jurídica del acto de apertura es la de un acto administrativo general por lo que resulta posible revocarlo de manera unilateral. Se diferencian en que, para la primera, una vez se han presentado las ofertas y conforme avanza el proceso de elección, se irán consolidando</w:t>
      </w:r>
      <w:r w:rsidR="000C7911" w:rsidRPr="00443DEB">
        <w:rPr>
          <w:rFonts w:ascii="Century Gothic" w:hAnsi="Century Gothic" w:cs="Arial"/>
          <w:color w:val="000000"/>
        </w:rPr>
        <w:t xml:space="preserve"> </w:t>
      </w:r>
      <w:r w:rsidR="000C7911" w:rsidRPr="00443DEB">
        <w:rPr>
          <w:rFonts w:ascii="Century Gothic" w:hAnsi="Century Gothic" w:cs="Arial"/>
        </w:rPr>
        <w:t xml:space="preserve">“expectativas” jurídicas y económicas de los participantes; mientras </w:t>
      </w:r>
      <w:r w:rsidR="005860AA" w:rsidRPr="00443DEB">
        <w:rPr>
          <w:rFonts w:ascii="Century Gothic" w:hAnsi="Century Gothic" w:cs="Arial"/>
        </w:rPr>
        <w:t>que,</w:t>
      </w:r>
      <w:r w:rsidR="000C7911" w:rsidRPr="00443DEB">
        <w:rPr>
          <w:rFonts w:ascii="Century Gothic" w:hAnsi="Century Gothic" w:cs="Arial"/>
        </w:rPr>
        <w:t xml:space="preserve"> para la tesis </w:t>
      </w:r>
      <w:r w:rsidR="005860AA">
        <w:rPr>
          <w:rFonts w:ascii="Century Gothic" w:hAnsi="Century Gothic" w:cs="Arial"/>
        </w:rPr>
        <w:t>cuarta</w:t>
      </w:r>
      <w:r w:rsidR="000C7911" w:rsidRPr="00443DEB">
        <w:rPr>
          <w:rFonts w:ascii="Century Gothic" w:hAnsi="Century Gothic" w:cs="Arial"/>
        </w:rPr>
        <w:t xml:space="preserve">, </w:t>
      </w:r>
      <w:r w:rsidR="000C7911" w:rsidRPr="00443DEB">
        <w:rPr>
          <w:rFonts w:ascii="Century Gothic" w:eastAsia="Arial" w:hAnsi="Century Gothic" w:cs="Arial"/>
        </w:rPr>
        <w:t>previo a la expedición del acto administrativo de adjudicación, no se consolidan derechos a favor de los proponentes, toda vez que hasta ese momento solo existen meras expectativas que se consolidan una vez se selecciona la mejor oferta.</w:t>
      </w:r>
    </w:p>
    <w:p w14:paraId="588D325D" w14:textId="678372BF" w:rsidR="000C7911" w:rsidRPr="00443DEB" w:rsidRDefault="000C7911" w:rsidP="005860AA">
      <w:pPr>
        <w:suppressAutoHyphens/>
        <w:spacing w:line="276" w:lineRule="auto"/>
        <w:ind w:firstLine="708"/>
        <w:jc w:val="both"/>
        <w:textDirection w:val="btLr"/>
        <w:textAlignment w:val="top"/>
        <w:outlineLvl w:val="0"/>
        <w:rPr>
          <w:rFonts w:ascii="Century Gothic" w:hAnsi="Century Gothic" w:cs="Arial"/>
          <w:shd w:val="clear" w:color="auto" w:fill="FFFFFF"/>
        </w:rPr>
      </w:pPr>
      <w:r w:rsidRPr="00443DEB">
        <w:rPr>
          <w:rFonts w:ascii="Century Gothic" w:hAnsi="Century Gothic" w:cs="Arial"/>
          <w:shd w:val="clear" w:color="auto" w:fill="FFFFFF"/>
        </w:rPr>
        <w:t xml:space="preserve">Para la tesis </w:t>
      </w:r>
      <w:r w:rsidR="005860AA">
        <w:rPr>
          <w:rFonts w:ascii="Century Gothic" w:hAnsi="Century Gothic" w:cs="Arial"/>
          <w:shd w:val="clear" w:color="auto" w:fill="FFFFFF"/>
        </w:rPr>
        <w:t>segunda</w:t>
      </w:r>
      <w:r w:rsidRPr="00443DEB">
        <w:rPr>
          <w:rFonts w:ascii="Century Gothic" w:hAnsi="Century Gothic" w:cs="Arial"/>
          <w:shd w:val="clear" w:color="auto" w:fill="FFFFFF"/>
        </w:rPr>
        <w:t xml:space="preserve"> y </w:t>
      </w:r>
      <w:r w:rsidR="005860AA">
        <w:rPr>
          <w:rFonts w:ascii="Century Gothic" w:hAnsi="Century Gothic" w:cs="Arial"/>
          <w:shd w:val="clear" w:color="auto" w:fill="FFFFFF"/>
        </w:rPr>
        <w:t>tercera</w:t>
      </w:r>
      <w:r w:rsidRPr="00443DEB">
        <w:rPr>
          <w:rFonts w:ascii="Century Gothic" w:hAnsi="Century Gothic" w:cs="Arial"/>
          <w:shd w:val="clear" w:color="auto" w:fill="FFFFFF"/>
        </w:rPr>
        <w:t xml:space="preserve">, una vez se presentan las propuestas en los procesos de selección, el acto de apertura se transforma en un acto administrativo de carácter particular, lo cual hace que adquiera el carácter de irrevocable. La diferencia está en </w:t>
      </w:r>
      <w:r w:rsidR="00C52DC1" w:rsidRPr="00443DEB">
        <w:rPr>
          <w:rFonts w:ascii="Century Gothic" w:hAnsi="Century Gothic" w:cs="Arial"/>
          <w:shd w:val="clear" w:color="auto" w:fill="FFFFFF"/>
        </w:rPr>
        <w:t>que,</w:t>
      </w:r>
      <w:r w:rsidRPr="00443DEB">
        <w:rPr>
          <w:rFonts w:ascii="Century Gothic" w:hAnsi="Century Gothic" w:cs="Arial"/>
          <w:shd w:val="clear" w:color="auto" w:fill="FFFFFF"/>
        </w:rPr>
        <w:t xml:space="preserve"> para la tesis </w:t>
      </w:r>
      <w:r w:rsidR="005860AA">
        <w:rPr>
          <w:rFonts w:ascii="Century Gothic" w:hAnsi="Century Gothic" w:cs="Arial"/>
          <w:shd w:val="clear" w:color="auto" w:fill="FFFFFF"/>
        </w:rPr>
        <w:t>segunda</w:t>
      </w:r>
      <w:r w:rsidRPr="00443DEB">
        <w:rPr>
          <w:rFonts w:ascii="Century Gothic" w:hAnsi="Century Gothic" w:cs="Arial"/>
          <w:shd w:val="clear" w:color="auto" w:fill="FFFFFF"/>
        </w:rPr>
        <w:t xml:space="preserve">, el acto se transforma en particular para todos los oferentes que presentaron propuesta en tiempo, razón por la cual se requiere de su aquiescencia para la revocatoria del acto de apertura; mientras que para la tesis </w:t>
      </w:r>
      <w:r w:rsidR="00C52DC1">
        <w:rPr>
          <w:rFonts w:ascii="Century Gothic" w:hAnsi="Century Gothic" w:cs="Arial"/>
          <w:shd w:val="clear" w:color="auto" w:fill="FFFFFF"/>
        </w:rPr>
        <w:t>tercera</w:t>
      </w:r>
      <w:r w:rsidRPr="00443DEB">
        <w:rPr>
          <w:rFonts w:ascii="Century Gothic" w:hAnsi="Century Gothic" w:cs="Arial"/>
          <w:shd w:val="clear" w:color="auto" w:fill="FFFFFF"/>
        </w:rPr>
        <w:t xml:space="preserve"> el acto de apertura se convierte en particular para el proponente que tenga la mejor oferta, razón por la cual se requiere de la aceptación de este último para poder proceder a la revocatoria del acto de apertura.</w:t>
      </w:r>
    </w:p>
    <w:p w14:paraId="7FD27A6C" w14:textId="04A26473" w:rsidR="000C7911" w:rsidRPr="00443DEB" w:rsidRDefault="000C7911" w:rsidP="00C52DC1">
      <w:pPr>
        <w:spacing w:line="276" w:lineRule="auto"/>
        <w:ind w:firstLine="708"/>
        <w:jc w:val="both"/>
        <w:rPr>
          <w:rFonts w:ascii="Century Gothic" w:hAnsi="Century Gothic" w:cs="Arial"/>
          <w:shd w:val="clear" w:color="auto" w:fill="FFFFFF"/>
        </w:rPr>
      </w:pPr>
      <w:r w:rsidRPr="00443DEB">
        <w:rPr>
          <w:rFonts w:ascii="Century Gothic" w:hAnsi="Century Gothic" w:cs="Arial"/>
          <w:shd w:val="clear" w:color="auto" w:fill="FFFFFF"/>
        </w:rPr>
        <w:t xml:space="preserve">En criterio </w:t>
      </w:r>
      <w:r w:rsidR="00C52DC1">
        <w:rPr>
          <w:rFonts w:ascii="Century Gothic" w:hAnsi="Century Gothic" w:cs="Arial"/>
          <w:shd w:val="clear" w:color="auto" w:fill="FFFFFF"/>
        </w:rPr>
        <w:t xml:space="preserve">adoptado por </w:t>
      </w:r>
      <w:r w:rsidRPr="00443DEB">
        <w:rPr>
          <w:rFonts w:ascii="Century Gothic" w:hAnsi="Century Gothic" w:cs="Arial"/>
          <w:shd w:val="clear" w:color="auto" w:fill="FFFFFF"/>
        </w:rPr>
        <w:t>esta Subdirección</w:t>
      </w:r>
      <w:r w:rsidR="00C52DC1">
        <w:rPr>
          <w:rFonts w:ascii="Century Gothic" w:hAnsi="Century Gothic" w:cs="Arial"/>
          <w:shd w:val="clear" w:color="auto" w:fill="FFFFFF"/>
        </w:rPr>
        <w:t xml:space="preserve"> en concepto </w:t>
      </w:r>
      <w:r w:rsidR="00C52DC1">
        <w:rPr>
          <w:rFonts w:ascii="Century Gothic" w:eastAsia="Calibri" w:hAnsi="Century Gothic" w:cs="Arial"/>
        </w:rPr>
        <w:t>C-633 de 25 de octubre de 2022</w:t>
      </w:r>
      <w:r w:rsidRPr="00443DEB">
        <w:rPr>
          <w:rFonts w:ascii="Century Gothic" w:hAnsi="Century Gothic" w:cs="Arial"/>
          <w:shd w:val="clear" w:color="auto" w:fill="FFFFFF"/>
        </w:rPr>
        <w:t xml:space="preserve">, la interpretación que mejor se ajusta al cumplimiento de los fines de la contratación estatal es la tesis </w:t>
      </w:r>
      <w:r w:rsidR="00987B00">
        <w:rPr>
          <w:rFonts w:ascii="Century Gothic" w:hAnsi="Century Gothic" w:cs="Arial"/>
          <w:shd w:val="clear" w:color="auto" w:fill="FFFFFF"/>
        </w:rPr>
        <w:t>cuarta</w:t>
      </w:r>
      <w:r w:rsidRPr="00443DEB">
        <w:rPr>
          <w:rFonts w:ascii="Century Gothic" w:hAnsi="Century Gothic" w:cs="Arial"/>
          <w:shd w:val="clear" w:color="auto" w:fill="FFFFFF"/>
        </w:rPr>
        <w:t>, en tanto que la presentación de las propuestas e incluso la publicación del informe de evaluación no muta ni transforma el carácter general que ostenta el acto de apertura del proceso de selección contractual, pues quien concurre al llamado a presentar una propuesta o manifestar interés en presentarla, reconoce que de por medio está la realización de los fines de la contratación esperada, sin poder esgrimir expectativa alguna que se oponga a esa realización del interés general derivada de su participación y el cumplimiento de los requisitos que le hagan merecedor de una determinación definitiva, y a sabiendas de ello presenta la propuesta, por lo tanto, la revocabilidad procede por cuanto es primordial y tiene preferencia la constatación del interés de la contratación, que no es otro que la garantía de las necesidades públicas frente a las expectativas negociales que nacieron respecto de los proponentes.</w:t>
      </w:r>
    </w:p>
    <w:p w14:paraId="11E581EA" w14:textId="77777777" w:rsidR="000C7911" w:rsidRPr="00443DEB" w:rsidRDefault="000C7911" w:rsidP="00987B00">
      <w:pPr>
        <w:spacing w:line="276" w:lineRule="auto"/>
        <w:ind w:firstLine="708"/>
        <w:jc w:val="both"/>
        <w:rPr>
          <w:rFonts w:ascii="Century Gothic" w:hAnsi="Century Gothic" w:cs="Arial"/>
          <w:shd w:val="clear" w:color="auto" w:fill="FFFFFF"/>
        </w:rPr>
      </w:pPr>
      <w:r w:rsidRPr="00443DEB">
        <w:rPr>
          <w:rFonts w:ascii="Century Gothic" w:hAnsi="Century Gothic" w:cs="Arial"/>
          <w:shd w:val="clear" w:color="auto" w:fill="FFFFFF"/>
        </w:rPr>
        <w:t>En ese orden de ideas las Entidades Estatales no están condicionadas a obtener el consentimiento previo y expreso de los proponentes o del mejor proponente para revocar el acto administrativo de apertura como la facultad que tiene la Administración, de oficio o a petición de parte, de modificar, reformar, sustituir o extinguir los efectos jurídicos del acto con miras a su enmienda o corrección, en tanto se advierta que la decisión administrativa representada en el acto trasgrede el ordenamiento jurídico o va en contra del interés general de conformidad con los requisitos dispuestos en el artículo 97 del CPACA, haciendo prevalecer el imperio de la ley, el interés público y la protección de los derechos.</w:t>
      </w:r>
    </w:p>
    <w:p w14:paraId="08141CAC" w14:textId="12251ED0" w:rsidR="000C7911" w:rsidRPr="00473009" w:rsidRDefault="000C7911" w:rsidP="000C7911">
      <w:pPr>
        <w:spacing w:line="276" w:lineRule="auto"/>
        <w:jc w:val="both"/>
        <w:rPr>
          <w:rFonts w:ascii="Century Gothic" w:hAnsi="Century Gothic" w:cs="Arial"/>
          <w:b/>
          <w:bCs/>
        </w:rPr>
      </w:pPr>
      <w:r w:rsidRPr="00473009">
        <w:rPr>
          <w:rFonts w:ascii="Century Gothic" w:hAnsi="Century Gothic" w:cs="Arial"/>
          <w:b/>
          <w:bCs/>
        </w:rPr>
        <w:t>3. Respuesta</w:t>
      </w:r>
    </w:p>
    <w:p w14:paraId="0EED112A" w14:textId="77777777" w:rsidR="000C7911" w:rsidRPr="00443DEB" w:rsidRDefault="000C7911" w:rsidP="000C7911">
      <w:pPr>
        <w:tabs>
          <w:tab w:val="left" w:pos="426"/>
        </w:tabs>
        <w:spacing w:line="240" w:lineRule="auto"/>
        <w:ind w:left="709" w:right="709"/>
        <w:jc w:val="both"/>
        <w:rPr>
          <w:rFonts w:ascii="Century Gothic" w:eastAsia="Calibri" w:hAnsi="Century Gothic" w:cs="Arial"/>
          <w:sz w:val="21"/>
          <w:szCs w:val="21"/>
        </w:rPr>
      </w:pPr>
      <w:r w:rsidRPr="00443DEB">
        <w:rPr>
          <w:rFonts w:ascii="Century Gothic" w:eastAsia="Calibri" w:hAnsi="Century Gothic" w:cs="Arial"/>
          <w:sz w:val="21"/>
          <w:szCs w:val="21"/>
        </w:rPr>
        <w:t xml:space="preserve">“que sucede si UNA ENTIDAD PUBLICA en el SECOP 2 , crea y publica el pliego de condiciones electrónico que sabemos </w:t>
      </w:r>
      <w:proofErr w:type="spellStart"/>
      <w:r w:rsidRPr="00443DEB">
        <w:rPr>
          <w:rFonts w:ascii="Century Gothic" w:eastAsia="Calibri" w:hAnsi="Century Gothic" w:cs="Arial"/>
          <w:sz w:val="21"/>
          <w:szCs w:val="21"/>
        </w:rPr>
        <w:t>esta</w:t>
      </w:r>
      <w:proofErr w:type="spellEnd"/>
      <w:r w:rsidRPr="00443DEB">
        <w:rPr>
          <w:rFonts w:ascii="Century Gothic" w:eastAsia="Calibri" w:hAnsi="Century Gothic" w:cs="Arial"/>
          <w:sz w:val="21"/>
          <w:szCs w:val="21"/>
        </w:rPr>
        <w:t xml:space="preserve"> conformado por el cuestionario donde están las exigencias, y si en dichas exigencias no aparecen el numeral o condición para cargar por los oferentes los documentos para cumplir capacidad residual, ¿Los oferentes que por error de la entidad no carguen los documentos para calcular la capacidad residual se les debe permitir subsanar?, o ¿se debe revocar el proceso si antes del cierre para entrega de propuestas no se corrige el error por parte de la Entidad que no habilito el numeral para cargar los documentos que acreditan la capacidad residual?” (Sic).</w:t>
      </w:r>
    </w:p>
    <w:p w14:paraId="5AEFFC41" w14:textId="26690CBE" w:rsidR="0039591C" w:rsidRDefault="00473009" w:rsidP="00473009">
      <w:pPr>
        <w:pStyle w:val="Textoindependiente"/>
        <w:spacing w:line="276" w:lineRule="auto"/>
        <w:jc w:val="both"/>
        <w:rPr>
          <w:rFonts w:ascii="Century Gothic" w:hAnsi="Century Gothic"/>
        </w:rPr>
      </w:pPr>
      <w:r>
        <w:rPr>
          <w:rFonts w:ascii="Century Gothic" w:eastAsia="Calibri" w:hAnsi="Century Gothic"/>
        </w:rPr>
        <w:t>De conformidad con lo expuesto en el presente concepto</w:t>
      </w:r>
      <w:r w:rsidR="00845F48">
        <w:rPr>
          <w:rFonts w:ascii="Century Gothic" w:eastAsia="Calibri" w:hAnsi="Century Gothic"/>
        </w:rPr>
        <w:t>, a criterio de esta Agencia</w:t>
      </w:r>
      <w:r w:rsidR="00AB556F">
        <w:rPr>
          <w:rFonts w:ascii="Century Gothic" w:eastAsia="Calibri" w:hAnsi="Century Gothic"/>
        </w:rPr>
        <w:t>,</w:t>
      </w:r>
      <w:r w:rsidR="00845F48">
        <w:rPr>
          <w:rFonts w:ascii="Century Gothic" w:eastAsia="Calibri" w:hAnsi="Century Gothic"/>
        </w:rPr>
        <w:t xml:space="preserve"> el formulario </w:t>
      </w:r>
      <w:r w:rsidR="00763913">
        <w:rPr>
          <w:rFonts w:ascii="Century Gothic" w:eastAsia="Calibri" w:hAnsi="Century Gothic"/>
        </w:rPr>
        <w:t xml:space="preserve">o requisitos de presentación de oferta </w:t>
      </w:r>
      <w:r w:rsidR="00AB556F">
        <w:rPr>
          <w:rFonts w:ascii="Century Gothic" w:eastAsia="Calibri" w:hAnsi="Century Gothic"/>
        </w:rPr>
        <w:t>del</w:t>
      </w:r>
      <w:r w:rsidR="00845F48" w:rsidRPr="00845F48">
        <w:rPr>
          <w:rFonts w:ascii="Century Gothic" w:eastAsia="Calibri" w:hAnsi="Century Gothic"/>
        </w:rPr>
        <w:t xml:space="preserve"> pliego de condiciones electrónico</w:t>
      </w:r>
      <w:r w:rsidR="00763913">
        <w:rPr>
          <w:rFonts w:ascii="Century Gothic" w:eastAsia="Calibri" w:hAnsi="Century Gothic"/>
        </w:rPr>
        <w:t xml:space="preserve"> en el SECOP II y el pliego de condiciones </w:t>
      </w:r>
      <w:r w:rsidR="00845F48" w:rsidRPr="00845F48">
        <w:rPr>
          <w:rFonts w:ascii="Century Gothic" w:eastAsia="Calibri" w:hAnsi="Century Gothic"/>
        </w:rPr>
        <w:t>son un mismo documento,</w:t>
      </w:r>
      <w:r w:rsidR="00E657D9">
        <w:rPr>
          <w:rFonts w:ascii="Century Gothic" w:eastAsia="Calibri" w:hAnsi="Century Gothic"/>
        </w:rPr>
        <w:t xml:space="preserve"> por lo tanto, en aplicación del </w:t>
      </w:r>
      <w:r w:rsidR="0039591C">
        <w:rPr>
          <w:rFonts w:ascii="Century Gothic" w:eastAsia="Calibri" w:hAnsi="Century Gothic"/>
        </w:rPr>
        <w:t xml:space="preserve">criterio interpretativo según el cual  </w:t>
      </w:r>
      <w:r w:rsidR="0039591C">
        <w:rPr>
          <w:rFonts w:ascii="Century Gothic" w:eastAsia="Calibri" w:hAnsi="Century Gothic"/>
          <w:lang w:val="es-MX"/>
        </w:rPr>
        <w:t xml:space="preserve">aquellas disposiciones o situaciones </w:t>
      </w:r>
      <w:r w:rsidR="0039591C" w:rsidRPr="00D35126">
        <w:rPr>
          <w:rFonts w:ascii="Century Gothic" w:eastAsia="Batang" w:hAnsi="Century Gothic"/>
        </w:rPr>
        <w:t>oscuras que hayan sido extendidas o dictadas por una parte se interpretarán contra ella</w:t>
      </w:r>
      <w:r w:rsidR="00A44459">
        <w:rPr>
          <w:rFonts w:ascii="Century Gothic" w:eastAsia="Batang" w:hAnsi="Century Gothic"/>
        </w:rPr>
        <w:t xml:space="preserve"> -</w:t>
      </w:r>
      <w:r w:rsidR="0039591C" w:rsidRPr="00D35126">
        <w:rPr>
          <w:rFonts w:ascii="Century Gothic" w:eastAsia="Batang" w:hAnsi="Century Gothic"/>
        </w:rPr>
        <w:t>artículo 1624</w:t>
      </w:r>
      <w:r w:rsidR="0039591C">
        <w:rPr>
          <w:rFonts w:ascii="Century Gothic" w:eastAsia="Batang" w:hAnsi="Century Gothic"/>
        </w:rPr>
        <w:t xml:space="preserve"> del Código Civil</w:t>
      </w:r>
      <w:r w:rsidR="00A44459">
        <w:rPr>
          <w:rFonts w:ascii="Century Gothic" w:eastAsia="Batang" w:hAnsi="Century Gothic"/>
        </w:rPr>
        <w:t>-,</w:t>
      </w:r>
      <w:r w:rsidR="00A71675">
        <w:rPr>
          <w:rFonts w:ascii="Century Gothic" w:eastAsia="Batang" w:hAnsi="Century Gothic"/>
        </w:rPr>
        <w:t xml:space="preserve"> </w:t>
      </w:r>
      <w:r w:rsidR="00A44459">
        <w:rPr>
          <w:rFonts w:ascii="Century Gothic" w:eastAsia="Batang" w:hAnsi="Century Gothic"/>
        </w:rPr>
        <w:t xml:space="preserve">si </w:t>
      </w:r>
      <w:r w:rsidR="00A71675">
        <w:rPr>
          <w:rFonts w:ascii="Century Gothic" w:eastAsia="Batang" w:hAnsi="Century Gothic"/>
        </w:rPr>
        <w:t>la Entidad Estatal al momento de crear o diligenciar el formulario</w:t>
      </w:r>
      <w:r w:rsidR="00C05B71">
        <w:rPr>
          <w:rFonts w:ascii="Century Gothic" w:eastAsia="Batang" w:hAnsi="Century Gothic"/>
        </w:rPr>
        <w:t xml:space="preserve"> en el SECOP </w:t>
      </w:r>
      <w:r w:rsidR="00DC1879">
        <w:rPr>
          <w:rFonts w:ascii="Century Gothic" w:eastAsia="Batang" w:hAnsi="Century Gothic"/>
        </w:rPr>
        <w:t>II</w:t>
      </w:r>
      <w:r w:rsidR="00A44459">
        <w:rPr>
          <w:rFonts w:ascii="Century Gothic" w:eastAsia="Batang" w:hAnsi="Century Gothic"/>
        </w:rPr>
        <w:t xml:space="preserve"> </w:t>
      </w:r>
      <w:r w:rsidR="00A71675">
        <w:rPr>
          <w:rFonts w:ascii="Century Gothic" w:eastAsia="Batang" w:hAnsi="Century Gothic"/>
        </w:rPr>
        <w:t>crea una</w:t>
      </w:r>
      <w:r w:rsidR="0039591C">
        <w:rPr>
          <w:rFonts w:ascii="Century Gothic" w:eastAsia="Batang" w:hAnsi="Century Gothic"/>
        </w:rPr>
        <w:t xml:space="preserve"> </w:t>
      </w:r>
      <w:r w:rsidR="0039591C" w:rsidRPr="00D35126">
        <w:rPr>
          <w:rFonts w:ascii="Century Gothic" w:eastAsia="Batang" w:hAnsi="Century Gothic"/>
        </w:rPr>
        <w:t>ambigüedad</w:t>
      </w:r>
      <w:r w:rsidR="005D3060">
        <w:rPr>
          <w:rFonts w:ascii="Century Gothic" w:eastAsia="Batang" w:hAnsi="Century Gothic"/>
        </w:rPr>
        <w:t xml:space="preserve"> sobre la cual debió dar una respectiva ex</w:t>
      </w:r>
      <w:r w:rsidR="0039591C" w:rsidRPr="00D35126">
        <w:rPr>
          <w:rFonts w:ascii="Century Gothic" w:eastAsia="Batang" w:hAnsi="Century Gothic"/>
        </w:rPr>
        <w:t>plicación</w:t>
      </w:r>
      <w:r w:rsidR="00F810BE">
        <w:rPr>
          <w:rFonts w:ascii="Century Gothic" w:eastAsia="Batang" w:hAnsi="Century Gothic"/>
        </w:rPr>
        <w:t xml:space="preserve"> a los proponentes</w:t>
      </w:r>
      <w:r w:rsidR="005D3060">
        <w:rPr>
          <w:rFonts w:ascii="Century Gothic" w:eastAsia="Batang" w:hAnsi="Century Gothic"/>
        </w:rPr>
        <w:t xml:space="preserve">, </w:t>
      </w:r>
      <w:r w:rsidR="0039591C">
        <w:rPr>
          <w:rFonts w:ascii="Century Gothic" w:eastAsia="Batang" w:hAnsi="Century Gothic"/>
        </w:rPr>
        <w:t xml:space="preserve">ya sea en una respuesta a observaciones o en una adenda al pliego de condiciones, dicha omisión </w:t>
      </w:r>
      <w:r w:rsidR="00DE3215">
        <w:rPr>
          <w:rFonts w:ascii="Century Gothic" w:eastAsia="Batang" w:hAnsi="Century Gothic"/>
        </w:rPr>
        <w:t xml:space="preserve">en </w:t>
      </w:r>
      <w:r w:rsidR="0039591C">
        <w:rPr>
          <w:rFonts w:ascii="Century Gothic" w:eastAsia="Batang" w:hAnsi="Century Gothic"/>
        </w:rPr>
        <w:t>la presentación de un requisito habilitante, como lo es la capacidad residual, implica que la Entidad Estatal no puede afectar la participación de los proponentes en el proceso de selección, y por lo tanto, la e</w:t>
      </w:r>
      <w:r w:rsidR="0039591C" w:rsidRPr="00443DEB">
        <w:rPr>
          <w:rFonts w:ascii="Century Gothic" w:eastAsia="Calibri" w:hAnsi="Century Gothic"/>
        </w:rPr>
        <w:t xml:space="preserve">ntidad </w:t>
      </w:r>
      <w:r w:rsidR="0039591C">
        <w:rPr>
          <w:rFonts w:ascii="Century Gothic" w:eastAsia="Calibri" w:hAnsi="Century Gothic"/>
        </w:rPr>
        <w:t xml:space="preserve">teniendo en cuenta la etapa en la que se encuentre el proceso de selección, podrá determinar si es necesario revocar el acto administrativo de apertura del proceso de selección o modificar el pliego de condiciones para la presentación </w:t>
      </w:r>
      <w:r w:rsidR="00793C86">
        <w:rPr>
          <w:rFonts w:ascii="Century Gothic" w:eastAsia="Calibri" w:hAnsi="Century Gothic"/>
        </w:rPr>
        <w:t>de los</w:t>
      </w:r>
      <w:r w:rsidR="0039591C">
        <w:rPr>
          <w:rFonts w:ascii="Century Gothic" w:eastAsia="Calibri" w:hAnsi="Century Gothic"/>
        </w:rPr>
        <w:t xml:space="preserve"> documento</w:t>
      </w:r>
      <w:r w:rsidR="00793C86">
        <w:rPr>
          <w:rFonts w:ascii="Century Gothic" w:eastAsia="Calibri" w:hAnsi="Century Gothic"/>
        </w:rPr>
        <w:t>s por parte de los proponentes para que acrediten dicho requisito</w:t>
      </w:r>
      <w:r w:rsidR="0039591C">
        <w:rPr>
          <w:rFonts w:ascii="Century Gothic" w:eastAsia="Calibri" w:hAnsi="Century Gothic"/>
        </w:rPr>
        <w:t>, respetándoles además</w:t>
      </w:r>
      <w:r w:rsidR="00793C86">
        <w:rPr>
          <w:rFonts w:ascii="Century Gothic" w:eastAsia="Calibri" w:hAnsi="Century Gothic"/>
        </w:rPr>
        <w:t xml:space="preserve">, </w:t>
      </w:r>
      <w:r w:rsidR="0039591C">
        <w:rPr>
          <w:rFonts w:ascii="Century Gothic" w:eastAsia="Calibri" w:hAnsi="Century Gothic"/>
        </w:rPr>
        <w:t>su derecho a la subsanación</w:t>
      </w:r>
      <w:r w:rsidR="00E657D9">
        <w:rPr>
          <w:rFonts w:ascii="Century Gothic" w:eastAsia="Calibri" w:hAnsi="Century Gothic"/>
        </w:rPr>
        <w:t xml:space="preserve">, </w:t>
      </w:r>
      <w:r w:rsidR="0039591C" w:rsidRPr="00443DEB">
        <w:rPr>
          <w:rFonts w:ascii="Century Gothic" w:eastAsia="Calibri" w:hAnsi="Century Gothic"/>
        </w:rPr>
        <w:t xml:space="preserve">de acuerdo con </w:t>
      </w:r>
      <w:r w:rsidR="0039591C" w:rsidRPr="00443DEB">
        <w:rPr>
          <w:rFonts w:ascii="Century Gothic" w:hAnsi="Century Gothic"/>
        </w:rPr>
        <w:t>el artículo 5 de la Ley 1882 de 2018, que modificó el parágrafo 1 del artículo 5 de la Ley 1150 de 2007</w:t>
      </w:r>
      <w:r w:rsidR="0039591C">
        <w:rPr>
          <w:rFonts w:ascii="Century Gothic" w:hAnsi="Century Gothic"/>
        </w:rPr>
        <w:t>.</w:t>
      </w:r>
    </w:p>
    <w:p w14:paraId="55E03BC9" w14:textId="77777777" w:rsidR="006F5C25" w:rsidRDefault="006F5C25" w:rsidP="00473009">
      <w:pPr>
        <w:pStyle w:val="Textoindependiente"/>
        <w:spacing w:line="276" w:lineRule="auto"/>
        <w:jc w:val="both"/>
        <w:rPr>
          <w:rFonts w:ascii="Century Gothic" w:hAnsi="Century Gothic"/>
        </w:rPr>
      </w:pPr>
    </w:p>
    <w:p w14:paraId="65E0C3D0" w14:textId="5DE0645E" w:rsidR="001601DD" w:rsidRPr="00443DEB" w:rsidRDefault="001601DD" w:rsidP="00E82834">
      <w:pPr>
        <w:shd w:val="clear" w:color="auto" w:fill="FFFFFF" w:themeFill="background1"/>
        <w:spacing w:after="0" w:line="276" w:lineRule="auto"/>
        <w:jc w:val="both"/>
        <w:textAlignment w:val="baseline"/>
        <w:rPr>
          <w:rFonts w:ascii="Century Gothic" w:hAnsi="Century Gothic" w:cs="Arial"/>
          <w:color w:val="000000" w:themeColor="text1"/>
          <w:lang w:eastAsia="es-MX"/>
        </w:rPr>
      </w:pPr>
      <w:r w:rsidRPr="00443DEB">
        <w:rPr>
          <w:rFonts w:ascii="Century Gothic" w:hAnsi="Century Gothic" w:cs="Arial"/>
          <w:color w:val="000000" w:themeColor="text1"/>
          <w:lang w:eastAsia="es-MX"/>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7AC4F187" w14:textId="77777777" w:rsidR="001601DD" w:rsidRPr="00443DEB" w:rsidRDefault="001601DD" w:rsidP="001601DD">
      <w:pPr>
        <w:spacing w:after="0" w:line="276" w:lineRule="auto"/>
        <w:contextualSpacing/>
        <w:jc w:val="both"/>
        <w:textAlignment w:val="baseline"/>
        <w:rPr>
          <w:rFonts w:ascii="Century Gothic" w:hAnsi="Century Gothic" w:cs="Arial"/>
          <w:lang w:val="es-ES"/>
        </w:rPr>
      </w:pPr>
    </w:p>
    <w:p w14:paraId="7072C89E" w14:textId="77777777" w:rsidR="001601DD" w:rsidRPr="00443DEB" w:rsidRDefault="001601DD" w:rsidP="001601DD">
      <w:pPr>
        <w:spacing w:after="0" w:line="276" w:lineRule="auto"/>
        <w:contextualSpacing/>
        <w:jc w:val="both"/>
        <w:textAlignment w:val="baseline"/>
        <w:rPr>
          <w:rFonts w:ascii="Century Gothic" w:eastAsia="Times New Roman" w:hAnsi="Century Gothic" w:cs="Arial"/>
          <w:lang w:eastAsia="es-CO"/>
        </w:rPr>
      </w:pPr>
      <w:r w:rsidRPr="7278C889">
        <w:rPr>
          <w:rFonts w:ascii="Century Gothic" w:hAnsi="Century Gothic" w:cs="Arial"/>
          <w:lang w:val="es-ES"/>
        </w:rPr>
        <w:t>Atentamente</w:t>
      </w:r>
      <w:r w:rsidRPr="7278C889">
        <w:rPr>
          <w:rFonts w:ascii="Century Gothic" w:eastAsia="Times New Roman" w:hAnsi="Century Gothic" w:cs="Arial"/>
          <w:lang w:val="es-MX" w:eastAsia="es-CO"/>
        </w:rPr>
        <w:t>,</w:t>
      </w:r>
      <w:r w:rsidRPr="7278C889">
        <w:rPr>
          <w:rFonts w:ascii="Century Gothic" w:eastAsia="Times New Roman" w:hAnsi="Century Gothic" w:cs="Arial"/>
          <w:lang w:eastAsia="es-CO"/>
        </w:rPr>
        <w:t> </w:t>
      </w:r>
    </w:p>
    <w:p w14:paraId="7E8749E9" w14:textId="476915D1" w:rsidR="001601DD" w:rsidRPr="00443DEB" w:rsidRDefault="2FAFB76D" w:rsidP="7278C889">
      <w:pPr>
        <w:spacing w:after="0" w:line="276" w:lineRule="auto"/>
        <w:jc w:val="center"/>
        <w:textAlignment w:val="baseline"/>
      </w:pPr>
      <w:r>
        <w:rPr>
          <w:noProof/>
        </w:rPr>
        <w:drawing>
          <wp:inline distT="0" distB="0" distL="0" distR="0" wp14:anchorId="738C2CBC" wp14:editId="20661B42">
            <wp:extent cx="2771775" cy="1066800"/>
            <wp:effectExtent l="0" t="0" r="0" b="0"/>
            <wp:docPr id="517959701" name="Imagen 517959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771775" cy="1066800"/>
                    </a:xfrm>
                    <a:prstGeom prst="rect">
                      <a:avLst/>
                    </a:prstGeom>
                  </pic:spPr>
                </pic:pic>
              </a:graphicData>
            </a:graphic>
          </wp:inline>
        </w:drawing>
      </w:r>
    </w:p>
    <w:p w14:paraId="272B5ADE" w14:textId="77777777" w:rsidR="001601DD" w:rsidRPr="00443DEB" w:rsidRDefault="001601DD" w:rsidP="001601DD">
      <w:pPr>
        <w:spacing w:after="0" w:line="276" w:lineRule="auto"/>
        <w:jc w:val="both"/>
        <w:textAlignment w:val="baseline"/>
        <w:rPr>
          <w:rFonts w:ascii="Century Gothic" w:eastAsia="Times New Roman" w:hAnsi="Century Gothic" w:cs="Arial"/>
          <w:sz w:val="16"/>
          <w:szCs w:val="16"/>
          <w:lang w:eastAsia="es-CO"/>
        </w:rPr>
      </w:pPr>
      <w:r w:rsidRPr="00443DEB">
        <w:rPr>
          <w:rFonts w:ascii="Century Gothic" w:eastAsia="Times New Roman" w:hAnsi="Century Gothic" w:cs="Arial"/>
          <w:sz w:val="16"/>
          <w:szCs w:val="16"/>
          <w:lang w:eastAsia="es-CO"/>
        </w:rPr>
        <w:t> </w:t>
      </w:r>
    </w:p>
    <w:tbl>
      <w:tblPr>
        <w:tblW w:w="740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2"/>
        <w:gridCol w:w="6287"/>
      </w:tblGrid>
      <w:tr w:rsidR="001601DD" w:rsidRPr="00443DEB" w14:paraId="17CBAEBF" w14:textId="77777777" w:rsidTr="000A7F6A">
        <w:trPr>
          <w:trHeight w:val="441"/>
        </w:trPr>
        <w:tc>
          <w:tcPr>
            <w:tcW w:w="1122" w:type="dxa"/>
            <w:tcBorders>
              <w:top w:val="nil"/>
              <w:left w:val="nil"/>
              <w:bottom w:val="nil"/>
              <w:right w:val="nil"/>
            </w:tcBorders>
            <w:vAlign w:val="center"/>
            <w:hideMark/>
          </w:tcPr>
          <w:p w14:paraId="4549CDCA" w14:textId="77777777" w:rsidR="001601DD" w:rsidRPr="00443DEB" w:rsidRDefault="001601DD" w:rsidP="000A7F6A">
            <w:pPr>
              <w:spacing w:after="0" w:line="276" w:lineRule="auto"/>
              <w:jc w:val="both"/>
              <w:textAlignment w:val="baseline"/>
              <w:rPr>
                <w:rFonts w:ascii="Century Gothic" w:eastAsia="Times New Roman" w:hAnsi="Century Gothic" w:cs="Arial"/>
                <w:sz w:val="18"/>
                <w:szCs w:val="18"/>
                <w:lang w:eastAsia="es-CO"/>
              </w:rPr>
            </w:pPr>
            <w:r w:rsidRPr="00443DEB">
              <w:rPr>
                <w:rFonts w:ascii="Century Gothic" w:eastAsia="Times New Roman" w:hAnsi="Century Gothic" w:cs="Arial"/>
                <w:sz w:val="18"/>
                <w:szCs w:val="18"/>
                <w:lang w:val="es-MX" w:eastAsia="es-CO"/>
              </w:rPr>
              <w:t>Elaboró:</w:t>
            </w:r>
            <w:r w:rsidRPr="00443DEB">
              <w:rPr>
                <w:rFonts w:ascii="Century Gothic" w:eastAsia="Times New Roman" w:hAnsi="Century Gothic" w:cs="Arial"/>
                <w:sz w:val="18"/>
                <w:szCs w:val="18"/>
                <w:lang w:eastAsia="es-CO"/>
              </w:rPr>
              <w:t> </w:t>
            </w:r>
          </w:p>
        </w:tc>
        <w:tc>
          <w:tcPr>
            <w:tcW w:w="6287" w:type="dxa"/>
            <w:tcBorders>
              <w:top w:val="nil"/>
              <w:left w:val="nil"/>
              <w:bottom w:val="dotted" w:sz="6" w:space="0" w:color="7F7F7F"/>
              <w:right w:val="nil"/>
            </w:tcBorders>
            <w:vAlign w:val="center"/>
            <w:hideMark/>
          </w:tcPr>
          <w:p w14:paraId="3B68A1BD" w14:textId="77777777" w:rsidR="001601DD" w:rsidRPr="00443DEB" w:rsidRDefault="001601DD" w:rsidP="000A7F6A">
            <w:pPr>
              <w:spacing w:after="0" w:line="240" w:lineRule="auto"/>
              <w:jc w:val="both"/>
              <w:textAlignment w:val="baseline"/>
              <w:rPr>
                <w:rFonts w:ascii="Century Gothic" w:eastAsia="Times New Roman" w:hAnsi="Century Gothic" w:cs="Arial"/>
                <w:sz w:val="18"/>
                <w:szCs w:val="18"/>
                <w:lang w:val="es-MX" w:eastAsia="es-CO"/>
              </w:rPr>
            </w:pPr>
            <w:proofErr w:type="spellStart"/>
            <w:r w:rsidRPr="00443DEB">
              <w:rPr>
                <w:rFonts w:ascii="Century Gothic" w:eastAsia="Times New Roman" w:hAnsi="Century Gothic" w:cs="Arial"/>
                <w:sz w:val="18"/>
                <w:szCs w:val="18"/>
                <w:lang w:val="es-MX" w:eastAsia="es-CO"/>
              </w:rPr>
              <w:t>Any</w:t>
            </w:r>
            <w:proofErr w:type="spellEnd"/>
            <w:r w:rsidRPr="00443DEB">
              <w:rPr>
                <w:rFonts w:ascii="Century Gothic" w:eastAsia="Times New Roman" w:hAnsi="Century Gothic" w:cs="Arial"/>
                <w:sz w:val="18"/>
                <w:szCs w:val="18"/>
                <w:lang w:val="es-MX" w:eastAsia="es-CO"/>
              </w:rPr>
              <w:t xml:space="preserve"> Alejandra Tovar Castillo</w:t>
            </w:r>
          </w:p>
          <w:p w14:paraId="3811A3F5" w14:textId="77777777" w:rsidR="001601DD" w:rsidRPr="00443DEB" w:rsidRDefault="001601DD" w:rsidP="000A7F6A">
            <w:pPr>
              <w:spacing w:after="0" w:line="240" w:lineRule="auto"/>
              <w:jc w:val="both"/>
              <w:textAlignment w:val="baseline"/>
              <w:rPr>
                <w:rFonts w:ascii="Century Gothic" w:eastAsia="Times New Roman" w:hAnsi="Century Gothic" w:cs="Arial"/>
                <w:sz w:val="18"/>
                <w:szCs w:val="18"/>
                <w:lang w:eastAsia="es-CO"/>
              </w:rPr>
            </w:pPr>
            <w:r w:rsidRPr="00443DEB">
              <w:rPr>
                <w:rFonts w:ascii="Century Gothic" w:eastAsia="Times New Roman" w:hAnsi="Century Gothic" w:cs="Arial"/>
                <w:sz w:val="18"/>
                <w:szCs w:val="18"/>
                <w:lang w:val="es-MX" w:eastAsia="es-CO"/>
              </w:rPr>
              <w:t xml:space="preserve">Contratista </w:t>
            </w:r>
            <w:r w:rsidRPr="00443DEB">
              <w:rPr>
                <w:rFonts w:ascii="Century Gothic" w:eastAsia="Times New Roman" w:hAnsi="Century Gothic" w:cs="Arial"/>
                <w:sz w:val="18"/>
                <w:szCs w:val="18"/>
                <w:lang w:eastAsia="es-CO"/>
              </w:rPr>
              <w:t>Subdirección de Gestión Contractual</w:t>
            </w:r>
          </w:p>
        </w:tc>
      </w:tr>
      <w:tr w:rsidR="001601DD" w:rsidRPr="00443DEB" w14:paraId="05A64940" w14:textId="77777777" w:rsidTr="000A7F6A">
        <w:trPr>
          <w:trHeight w:val="441"/>
        </w:trPr>
        <w:tc>
          <w:tcPr>
            <w:tcW w:w="1122" w:type="dxa"/>
            <w:tcBorders>
              <w:top w:val="nil"/>
              <w:left w:val="nil"/>
              <w:bottom w:val="nil"/>
              <w:right w:val="nil"/>
            </w:tcBorders>
            <w:vAlign w:val="center"/>
            <w:hideMark/>
          </w:tcPr>
          <w:p w14:paraId="7BFB8676" w14:textId="77777777" w:rsidR="001601DD" w:rsidRPr="00443DEB" w:rsidRDefault="001601DD" w:rsidP="000A7F6A">
            <w:pPr>
              <w:spacing w:after="0" w:line="276" w:lineRule="auto"/>
              <w:jc w:val="both"/>
              <w:textAlignment w:val="baseline"/>
              <w:rPr>
                <w:rFonts w:ascii="Century Gothic" w:eastAsia="Times New Roman" w:hAnsi="Century Gothic" w:cs="Arial"/>
                <w:sz w:val="18"/>
                <w:szCs w:val="18"/>
                <w:lang w:eastAsia="es-CO"/>
              </w:rPr>
            </w:pPr>
            <w:r w:rsidRPr="00443DEB">
              <w:rPr>
                <w:rFonts w:ascii="Century Gothic" w:eastAsia="Times New Roman" w:hAnsi="Century Gothic" w:cs="Arial"/>
                <w:sz w:val="18"/>
                <w:szCs w:val="18"/>
                <w:lang w:val="es-MX" w:eastAsia="es-CO"/>
              </w:rPr>
              <w:t>Revisó:</w:t>
            </w:r>
            <w:r w:rsidRPr="00443DEB">
              <w:rPr>
                <w:rFonts w:ascii="Century Gothic" w:eastAsia="Times New Roman" w:hAnsi="Century Gothic" w:cs="Arial"/>
                <w:sz w:val="18"/>
                <w:szCs w:val="18"/>
                <w:lang w:eastAsia="es-CO"/>
              </w:rPr>
              <w:t> </w:t>
            </w:r>
          </w:p>
        </w:tc>
        <w:tc>
          <w:tcPr>
            <w:tcW w:w="6287" w:type="dxa"/>
            <w:tcBorders>
              <w:top w:val="dotted" w:sz="6" w:space="0" w:color="7F7F7F"/>
              <w:left w:val="nil"/>
              <w:bottom w:val="dotted" w:sz="6" w:space="0" w:color="7F7F7F"/>
              <w:right w:val="nil"/>
            </w:tcBorders>
            <w:vAlign w:val="center"/>
            <w:hideMark/>
          </w:tcPr>
          <w:p w14:paraId="7B625C18" w14:textId="77777777" w:rsidR="001601DD" w:rsidRPr="00443DEB" w:rsidRDefault="001601DD" w:rsidP="000A7F6A">
            <w:pPr>
              <w:spacing w:after="0" w:line="276" w:lineRule="auto"/>
              <w:rPr>
                <w:rFonts w:ascii="Century Gothic" w:eastAsia="Times New Roman" w:hAnsi="Century Gothic" w:cs="Arial"/>
                <w:sz w:val="18"/>
                <w:szCs w:val="18"/>
                <w:lang w:eastAsia="es-ES"/>
              </w:rPr>
            </w:pPr>
            <w:r w:rsidRPr="00443DEB">
              <w:rPr>
                <w:rFonts w:ascii="Century Gothic" w:eastAsia="Times New Roman" w:hAnsi="Century Gothic" w:cs="Arial"/>
                <w:sz w:val="18"/>
                <w:szCs w:val="18"/>
                <w:lang w:eastAsia="es-ES"/>
              </w:rPr>
              <w:t>Ximena Ríos López</w:t>
            </w:r>
          </w:p>
          <w:p w14:paraId="0773EF0C" w14:textId="77777777" w:rsidR="001601DD" w:rsidRPr="00443DEB" w:rsidRDefault="001601DD" w:rsidP="000A7F6A">
            <w:pPr>
              <w:spacing w:after="0" w:line="276" w:lineRule="auto"/>
              <w:rPr>
                <w:rFonts w:ascii="Century Gothic" w:eastAsia="Times New Roman" w:hAnsi="Century Gothic" w:cs="Arial"/>
                <w:sz w:val="18"/>
                <w:szCs w:val="18"/>
                <w:lang w:eastAsia="es-CO"/>
              </w:rPr>
            </w:pPr>
            <w:r w:rsidRPr="00443DEB">
              <w:rPr>
                <w:rFonts w:ascii="Century Gothic" w:eastAsia="Times New Roman" w:hAnsi="Century Gothic" w:cs="Arial"/>
                <w:sz w:val="18"/>
                <w:szCs w:val="18"/>
                <w:lang w:eastAsia="es-ES"/>
              </w:rPr>
              <w:t>Gestor código T1 grado 11 de la Subdirección de Gestión Contractual</w:t>
            </w:r>
          </w:p>
        </w:tc>
      </w:tr>
      <w:tr w:rsidR="001601DD" w:rsidRPr="00443DEB" w14:paraId="2DC65A2E" w14:textId="77777777" w:rsidTr="000A7F6A">
        <w:trPr>
          <w:trHeight w:val="420"/>
        </w:trPr>
        <w:tc>
          <w:tcPr>
            <w:tcW w:w="1122" w:type="dxa"/>
            <w:tcBorders>
              <w:top w:val="nil"/>
              <w:left w:val="nil"/>
              <w:bottom w:val="nil"/>
              <w:right w:val="nil"/>
            </w:tcBorders>
            <w:vAlign w:val="center"/>
            <w:hideMark/>
          </w:tcPr>
          <w:p w14:paraId="5754BDF7" w14:textId="77777777" w:rsidR="001601DD" w:rsidRPr="00443DEB" w:rsidRDefault="001601DD" w:rsidP="000A7F6A">
            <w:pPr>
              <w:spacing w:after="0" w:line="276" w:lineRule="auto"/>
              <w:jc w:val="both"/>
              <w:textAlignment w:val="baseline"/>
              <w:rPr>
                <w:rFonts w:ascii="Century Gothic" w:eastAsia="Times New Roman" w:hAnsi="Century Gothic" w:cs="Arial"/>
                <w:sz w:val="18"/>
                <w:szCs w:val="18"/>
                <w:lang w:eastAsia="es-CO"/>
              </w:rPr>
            </w:pPr>
            <w:r w:rsidRPr="00443DEB">
              <w:rPr>
                <w:rFonts w:ascii="Century Gothic" w:eastAsia="Times New Roman" w:hAnsi="Century Gothic" w:cs="Arial"/>
                <w:sz w:val="18"/>
                <w:szCs w:val="18"/>
                <w:lang w:val="es-MX" w:eastAsia="es-CO"/>
              </w:rPr>
              <w:t>Aprobó:</w:t>
            </w:r>
            <w:r w:rsidRPr="00443DEB">
              <w:rPr>
                <w:rFonts w:ascii="Century Gothic" w:eastAsia="Times New Roman" w:hAnsi="Century Gothic" w:cs="Arial"/>
                <w:sz w:val="18"/>
                <w:szCs w:val="18"/>
                <w:lang w:eastAsia="es-CO"/>
              </w:rPr>
              <w:t> </w:t>
            </w:r>
          </w:p>
        </w:tc>
        <w:tc>
          <w:tcPr>
            <w:tcW w:w="6287" w:type="dxa"/>
            <w:tcBorders>
              <w:top w:val="dotted" w:sz="6" w:space="0" w:color="7F7F7F"/>
              <w:left w:val="nil"/>
              <w:bottom w:val="dotted" w:sz="6" w:space="0" w:color="7F7F7F"/>
              <w:right w:val="nil"/>
            </w:tcBorders>
            <w:vAlign w:val="center"/>
            <w:hideMark/>
          </w:tcPr>
          <w:p w14:paraId="6908A2E4" w14:textId="77777777" w:rsidR="001601DD" w:rsidRPr="00443DEB" w:rsidRDefault="001601DD" w:rsidP="000A7F6A">
            <w:pPr>
              <w:spacing w:after="0" w:line="240" w:lineRule="auto"/>
              <w:jc w:val="both"/>
              <w:textAlignment w:val="baseline"/>
              <w:rPr>
                <w:rFonts w:ascii="Century Gothic" w:eastAsia="Times New Roman" w:hAnsi="Century Gothic" w:cs="Arial"/>
                <w:sz w:val="18"/>
                <w:szCs w:val="18"/>
                <w:lang w:val="es-ES_tradnl" w:eastAsia="es-CO"/>
              </w:rPr>
            </w:pPr>
            <w:r w:rsidRPr="00443DEB">
              <w:rPr>
                <w:rFonts w:ascii="Century Gothic" w:eastAsia="Times New Roman" w:hAnsi="Century Gothic" w:cs="Arial"/>
                <w:sz w:val="18"/>
                <w:szCs w:val="18"/>
                <w:lang w:val="es-ES_tradnl" w:eastAsia="es-CO"/>
              </w:rPr>
              <w:t>Nohelia del Carmen Zawady Palacio</w:t>
            </w:r>
          </w:p>
          <w:p w14:paraId="0B5DEFD4" w14:textId="77777777" w:rsidR="001601DD" w:rsidRPr="00443DEB" w:rsidRDefault="001601DD" w:rsidP="000A7F6A">
            <w:pPr>
              <w:spacing w:after="0" w:line="240" w:lineRule="auto"/>
              <w:jc w:val="both"/>
              <w:textAlignment w:val="baseline"/>
              <w:rPr>
                <w:rFonts w:ascii="Century Gothic" w:eastAsia="Times New Roman" w:hAnsi="Century Gothic" w:cs="Arial"/>
                <w:sz w:val="18"/>
                <w:szCs w:val="18"/>
                <w:lang w:eastAsia="es-CO"/>
              </w:rPr>
            </w:pPr>
            <w:r w:rsidRPr="00443DEB">
              <w:rPr>
                <w:rFonts w:ascii="Century Gothic" w:eastAsia="Times New Roman" w:hAnsi="Century Gothic" w:cs="Arial"/>
                <w:sz w:val="18"/>
                <w:szCs w:val="18"/>
                <w:lang w:val="es-ES_tradnl" w:eastAsia="es-CO"/>
              </w:rPr>
              <w:t>Subdirectora de Gestión Contractual ANCP-CCE</w:t>
            </w:r>
          </w:p>
        </w:tc>
      </w:tr>
    </w:tbl>
    <w:p w14:paraId="5BBFB053" w14:textId="77777777" w:rsidR="00D10E43" w:rsidRPr="00443DEB" w:rsidRDefault="00D10E43" w:rsidP="00D10E43">
      <w:pPr>
        <w:jc w:val="both"/>
        <w:rPr>
          <w:rFonts w:ascii="Century Gothic" w:eastAsia="Calibri" w:hAnsi="Century Gothic" w:cs="Arial"/>
        </w:rPr>
      </w:pPr>
    </w:p>
    <w:p w14:paraId="63DC4035" w14:textId="77777777" w:rsidR="00D10E43" w:rsidRPr="00443DEB" w:rsidRDefault="00D10E43" w:rsidP="00D10E43">
      <w:pPr>
        <w:rPr>
          <w:rFonts w:ascii="Century Gothic" w:hAnsi="Century Gothic"/>
        </w:rPr>
      </w:pPr>
    </w:p>
    <w:bookmarkEnd w:id="0"/>
    <w:p w14:paraId="13982C37" w14:textId="77777777" w:rsidR="00D10E43" w:rsidRPr="00443DEB" w:rsidRDefault="00D10E43" w:rsidP="00D10E43">
      <w:pPr>
        <w:rPr>
          <w:rFonts w:ascii="Century Gothic" w:hAnsi="Century Gothic"/>
        </w:rPr>
      </w:pPr>
    </w:p>
    <w:p w14:paraId="4FE4F03A" w14:textId="77777777" w:rsidR="00D10E43" w:rsidRPr="00443DEB" w:rsidRDefault="00D10E43" w:rsidP="00D10E43">
      <w:pPr>
        <w:rPr>
          <w:rFonts w:ascii="Century Gothic" w:hAnsi="Century Gothic"/>
        </w:rPr>
      </w:pPr>
    </w:p>
    <w:p w14:paraId="0F293BF4" w14:textId="6E3CA41D" w:rsidR="00127233" w:rsidRPr="00443DEB" w:rsidRDefault="00127233" w:rsidP="00D10E43">
      <w:pPr>
        <w:rPr>
          <w:rFonts w:ascii="Century Gothic" w:hAnsi="Century Gothic"/>
        </w:rPr>
      </w:pPr>
    </w:p>
    <w:sectPr w:rsidR="00127233" w:rsidRPr="00443DEB" w:rsidSect="00923EEF">
      <w:headerReference w:type="default" r:id="rId13"/>
      <w:footerReference w:type="default" r:id="rId14"/>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56A45" w14:textId="77777777" w:rsidR="00F2584B" w:rsidRDefault="00F2584B" w:rsidP="004A1847">
      <w:pPr>
        <w:spacing w:after="0" w:line="240" w:lineRule="auto"/>
      </w:pPr>
      <w:r>
        <w:separator/>
      </w:r>
    </w:p>
  </w:endnote>
  <w:endnote w:type="continuationSeparator" w:id="0">
    <w:p w14:paraId="559DA277" w14:textId="77777777" w:rsidR="00F2584B" w:rsidRDefault="00F2584B"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2A942425"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2F9643A"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F613A2">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3EF9ACCC"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09410" w14:textId="77777777" w:rsidR="00F2584B" w:rsidRDefault="00F2584B" w:rsidP="004A1847">
      <w:pPr>
        <w:spacing w:after="0" w:line="240" w:lineRule="auto"/>
      </w:pPr>
      <w:r>
        <w:separator/>
      </w:r>
    </w:p>
  </w:footnote>
  <w:footnote w:type="continuationSeparator" w:id="0">
    <w:p w14:paraId="7AA6E63B" w14:textId="77777777" w:rsidR="00F2584B" w:rsidRDefault="00F2584B" w:rsidP="004A1847">
      <w:pPr>
        <w:spacing w:after="0" w:line="240" w:lineRule="auto"/>
      </w:pPr>
      <w:r>
        <w:continuationSeparator/>
      </w:r>
    </w:p>
  </w:footnote>
  <w:footnote w:id="1">
    <w:p w14:paraId="0A8E55AA" w14:textId="77777777" w:rsidR="009002EC" w:rsidRPr="005A21D2" w:rsidRDefault="009002EC" w:rsidP="005A21D2">
      <w:pPr>
        <w:pStyle w:val="Textonotapie"/>
        <w:ind w:firstLine="687"/>
        <w:jc w:val="both"/>
        <w:rPr>
          <w:rFonts w:ascii="Century Gothic" w:hAnsi="Century Gothic"/>
          <w:sz w:val="18"/>
          <w:szCs w:val="18"/>
        </w:rPr>
      </w:pPr>
      <w:r w:rsidRPr="005A21D2">
        <w:rPr>
          <w:rStyle w:val="Refdenotaalpie"/>
          <w:rFonts w:ascii="Century Gothic" w:hAnsi="Century Gothic"/>
          <w:sz w:val="18"/>
          <w:szCs w:val="18"/>
        </w:rPr>
        <w:footnoteRef/>
      </w:r>
      <w:r w:rsidRPr="005A21D2">
        <w:rPr>
          <w:rFonts w:ascii="Century Gothic" w:hAnsi="Century Gothic"/>
          <w:sz w:val="18"/>
          <w:szCs w:val="18"/>
        </w:rPr>
        <w:t xml:space="preserve"> </w:t>
      </w:r>
      <w:r w:rsidRPr="005A21D2">
        <w:rPr>
          <w:rFonts w:ascii="Century Gothic" w:hAnsi="Century Gothic" w:cs="Arial"/>
          <w:sz w:val="18"/>
          <w:szCs w:val="18"/>
        </w:rPr>
        <w:t xml:space="preserve">Los conceptos referenciados, así como otros expedidos por la Subdirección se encuentran disponibles para consulta pública en el portal de relatoría de la Agencia, al cual se puede acceder a través del siguiente enlace: </w:t>
      </w:r>
      <w:hyperlink r:id="rId1" w:history="1">
        <w:r w:rsidRPr="005A21D2">
          <w:rPr>
            <w:rStyle w:val="Hipervnculo"/>
            <w:rFonts w:ascii="Century Gothic" w:hAnsi="Century Gothic" w:cs="Arial"/>
            <w:sz w:val="18"/>
            <w:szCs w:val="18"/>
          </w:rPr>
          <w:t>https://relatoria.colombiacompra.gov.co/busqueda/conceptos</w:t>
        </w:r>
      </w:hyperlink>
    </w:p>
    <w:p w14:paraId="6EDEC9CC" w14:textId="11790026" w:rsidR="009002EC" w:rsidRPr="005A21D2" w:rsidRDefault="009002EC" w:rsidP="005A21D2">
      <w:pPr>
        <w:pStyle w:val="Textonotapie"/>
        <w:jc w:val="both"/>
        <w:rPr>
          <w:rFonts w:ascii="Century Gothic" w:hAnsi="Century Gothic"/>
          <w:sz w:val="18"/>
          <w:szCs w:val="18"/>
        </w:rPr>
      </w:pPr>
    </w:p>
  </w:footnote>
  <w:footnote w:id="2">
    <w:p w14:paraId="596B3E97" w14:textId="4A0D6373" w:rsidR="00080CCB" w:rsidRPr="005A21D2" w:rsidRDefault="00080CCB" w:rsidP="005A21D2">
      <w:pPr>
        <w:pStyle w:val="Textonotapie"/>
        <w:ind w:firstLine="708"/>
        <w:jc w:val="both"/>
        <w:rPr>
          <w:rFonts w:ascii="Century Gothic" w:hAnsi="Century Gothic" w:cs="Arial"/>
          <w:color w:val="000000" w:themeColor="text1"/>
          <w:sz w:val="18"/>
          <w:szCs w:val="18"/>
        </w:rPr>
      </w:pPr>
      <w:r w:rsidRPr="005A21D2">
        <w:rPr>
          <w:rStyle w:val="Refdenotaalpie"/>
          <w:rFonts w:ascii="Century Gothic" w:hAnsi="Century Gothic" w:cs="Arial"/>
          <w:color w:val="000000" w:themeColor="text1"/>
          <w:sz w:val="18"/>
          <w:szCs w:val="18"/>
        </w:rPr>
        <w:footnoteRef/>
      </w:r>
      <w:r w:rsidRPr="005A21D2">
        <w:rPr>
          <w:rFonts w:ascii="Century Gothic" w:hAnsi="Century Gothic" w:cs="Arial"/>
          <w:color w:val="000000" w:themeColor="text1"/>
          <w:sz w:val="18"/>
          <w:szCs w:val="18"/>
        </w:rPr>
        <w:t xml:space="preserve"> </w:t>
      </w:r>
      <w:r w:rsidR="004A2129" w:rsidRPr="005A21D2">
        <w:rPr>
          <w:rFonts w:ascii="Century Gothic" w:hAnsi="Century Gothic" w:cs="Arial"/>
          <w:color w:val="000000" w:themeColor="text1"/>
          <w:sz w:val="18"/>
          <w:szCs w:val="18"/>
        </w:rPr>
        <w:t>DECRETO 1082 DE 2015</w:t>
      </w:r>
      <w:r w:rsidRPr="005A21D2">
        <w:rPr>
          <w:rFonts w:ascii="Century Gothic" w:hAnsi="Century Gothic" w:cs="Arial"/>
          <w:color w:val="000000" w:themeColor="text1"/>
          <w:sz w:val="18"/>
          <w:szCs w:val="18"/>
        </w:rPr>
        <w:t xml:space="preserve">: </w:t>
      </w:r>
      <w:r w:rsidR="007422B1" w:rsidRPr="005A21D2">
        <w:rPr>
          <w:rFonts w:ascii="Century Gothic" w:hAnsi="Century Gothic" w:cs="Arial"/>
          <w:color w:val="000000" w:themeColor="text1"/>
          <w:sz w:val="18"/>
          <w:szCs w:val="18"/>
        </w:rPr>
        <w:t>“</w:t>
      </w:r>
      <w:r w:rsidRPr="005A21D2">
        <w:rPr>
          <w:rFonts w:ascii="Century Gothic" w:hAnsi="Century Gothic" w:cs="Arial"/>
          <w:color w:val="000000" w:themeColor="text1"/>
          <w:sz w:val="18"/>
          <w:szCs w:val="18"/>
        </w:rPr>
        <w:t>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024D0A97" w14:textId="52DC8A46" w:rsidR="00080CCB" w:rsidRPr="005A21D2" w:rsidRDefault="00080CCB" w:rsidP="005A21D2">
      <w:pPr>
        <w:pStyle w:val="Textonotapie"/>
        <w:ind w:firstLine="708"/>
        <w:jc w:val="both"/>
        <w:rPr>
          <w:rFonts w:ascii="Century Gothic" w:hAnsi="Century Gothic" w:cs="Arial"/>
          <w:color w:val="000000" w:themeColor="text1"/>
          <w:sz w:val="18"/>
          <w:szCs w:val="18"/>
        </w:rPr>
      </w:pPr>
      <w:r w:rsidRPr="005A21D2">
        <w:rPr>
          <w:rFonts w:ascii="Century Gothic" w:hAnsi="Century Gothic" w:cs="Arial"/>
          <w:color w:val="000000" w:themeColor="text1"/>
          <w:sz w:val="18"/>
          <w:szCs w:val="18"/>
        </w:rPr>
        <w:t>[...]</w:t>
      </w:r>
    </w:p>
    <w:p w14:paraId="609BED43" w14:textId="71B1743F" w:rsidR="00080CCB" w:rsidRPr="005A21D2" w:rsidRDefault="00080CCB" w:rsidP="005A21D2">
      <w:pPr>
        <w:pStyle w:val="Textonotapie"/>
        <w:ind w:firstLine="708"/>
        <w:jc w:val="both"/>
        <w:rPr>
          <w:rFonts w:ascii="Century Gothic" w:hAnsi="Century Gothic" w:cs="Arial"/>
          <w:color w:val="000000" w:themeColor="text1"/>
          <w:sz w:val="18"/>
          <w:szCs w:val="18"/>
        </w:rPr>
      </w:pPr>
      <w:r w:rsidRPr="005A21D2">
        <w:rPr>
          <w:rFonts w:ascii="Century Gothic" w:hAnsi="Century Gothic" w:cs="Arial"/>
          <w:color w:val="000000" w:themeColor="text1"/>
          <w:sz w:val="18"/>
          <w:szCs w:val="18"/>
        </w:rPr>
        <w:t>Documentos del Proceso son: (a) los estudios y documentos previos; (b) el aviso de convocatoria; (c) los pliegos de condiciones o la invitación; (d) las Adendas; (e) la oferta; (f) el informe de evaluación; (g) el contrato; y cualquier otro documento expedido por la Entidad Estatal durante el Proceso de Contratación.</w:t>
      </w:r>
    </w:p>
    <w:p w14:paraId="2848C0D9" w14:textId="4F511F32" w:rsidR="00080CCB" w:rsidRPr="005A21D2" w:rsidRDefault="00080CCB" w:rsidP="005A21D2">
      <w:pPr>
        <w:pStyle w:val="Textonotapie"/>
        <w:ind w:firstLine="708"/>
        <w:jc w:val="both"/>
        <w:rPr>
          <w:rFonts w:ascii="Century Gothic" w:hAnsi="Century Gothic" w:cs="Arial"/>
          <w:color w:val="000000" w:themeColor="text1"/>
          <w:sz w:val="18"/>
          <w:szCs w:val="18"/>
          <w:lang w:val="es-ES"/>
        </w:rPr>
      </w:pPr>
      <w:r w:rsidRPr="005A21D2">
        <w:rPr>
          <w:rFonts w:ascii="Century Gothic" w:hAnsi="Century Gothic" w:cs="Arial"/>
          <w:color w:val="000000" w:themeColor="text1"/>
          <w:sz w:val="18"/>
          <w:szCs w:val="18"/>
        </w:rPr>
        <w:t>[...]</w:t>
      </w:r>
      <w:r w:rsidR="007422B1" w:rsidRPr="005A21D2">
        <w:rPr>
          <w:rFonts w:ascii="Century Gothic" w:hAnsi="Century Gothic" w:cs="Arial"/>
          <w:color w:val="000000" w:themeColor="text1"/>
          <w:sz w:val="18"/>
          <w:szCs w:val="18"/>
        </w:rPr>
        <w:t>”</w:t>
      </w:r>
      <w:r w:rsidRPr="005A21D2">
        <w:rPr>
          <w:rFonts w:ascii="Century Gothic" w:hAnsi="Century Gothic" w:cs="Arial"/>
          <w:color w:val="000000" w:themeColor="text1"/>
          <w:sz w:val="18"/>
          <w:szCs w:val="18"/>
        </w:rPr>
        <w:t>.</w:t>
      </w:r>
    </w:p>
  </w:footnote>
  <w:footnote w:id="3">
    <w:p w14:paraId="494FCDE1" w14:textId="44B76C33" w:rsidR="00080CCB" w:rsidRPr="005A21D2" w:rsidRDefault="00080CCB" w:rsidP="005A21D2">
      <w:pPr>
        <w:pStyle w:val="Textonotapie"/>
        <w:ind w:firstLine="708"/>
        <w:jc w:val="both"/>
        <w:rPr>
          <w:rFonts w:ascii="Century Gothic" w:hAnsi="Century Gothic" w:cs="Arial"/>
          <w:color w:val="000000" w:themeColor="text1"/>
          <w:sz w:val="18"/>
          <w:szCs w:val="18"/>
          <w:lang w:val="es-ES"/>
        </w:rPr>
      </w:pPr>
      <w:r w:rsidRPr="005A21D2">
        <w:rPr>
          <w:rStyle w:val="Refdenotaalpie"/>
          <w:rFonts w:ascii="Century Gothic" w:hAnsi="Century Gothic" w:cs="Arial"/>
          <w:color w:val="000000" w:themeColor="text1"/>
          <w:sz w:val="18"/>
          <w:szCs w:val="18"/>
        </w:rPr>
        <w:footnoteRef/>
      </w:r>
      <w:r w:rsidRPr="005A21D2">
        <w:rPr>
          <w:rFonts w:ascii="Century Gothic" w:hAnsi="Century Gothic" w:cs="Arial"/>
          <w:color w:val="000000" w:themeColor="text1"/>
          <w:sz w:val="18"/>
          <w:szCs w:val="18"/>
        </w:rPr>
        <w:t xml:space="preserve"> CORTE CONSTITUCIONAL. Sentencia C-128 de 2003. M.P. Álvaro Tafur Galvis: </w:t>
      </w:r>
      <w:r w:rsidR="007422B1" w:rsidRPr="005A21D2">
        <w:rPr>
          <w:rFonts w:ascii="Century Gothic" w:hAnsi="Century Gothic" w:cs="Arial"/>
          <w:color w:val="000000" w:themeColor="text1"/>
          <w:sz w:val="18"/>
          <w:szCs w:val="18"/>
        </w:rPr>
        <w:t>“</w:t>
      </w:r>
      <w:r w:rsidRPr="005A21D2">
        <w:rPr>
          <w:rFonts w:ascii="Century Gothic" w:hAnsi="Century Gothic" w:cs="Arial"/>
          <w:color w:val="000000" w:themeColor="text1"/>
          <w:sz w:val="18"/>
          <w:szCs w:val="18"/>
        </w:rPr>
        <w:t>De dichos textos (artículos 24 y 29 derogado de la Ley 80 de 1993) se desprende claramente, en consecuencia, la voluntad del legislador de que el proceso de selección del contratista sea ajeno a cualquier consideración subjetiva o discriminatoria. Dicha voluntad, atendiendo los principios constitucionales y en particular los señalados en el artículo 209 superior, se extiende a todas las fases del contrato, desde su preparación hasta su liquidación, de manera que en todo su desarrollo se observen rigurosamente los parámetros establecidos por la ley y por los pliegos de condiciones en las diferentes etapas y actuaciones y se adopte una conducta leal, diáfana y veraz conforme al postulado de la buena fe y la mutua confianza entre quienes intervienen en la actividad contractual</w:t>
      </w:r>
      <w:r w:rsidR="007422B1" w:rsidRPr="005A21D2">
        <w:rPr>
          <w:rFonts w:ascii="Century Gothic" w:hAnsi="Century Gothic" w:cs="Arial"/>
          <w:color w:val="000000" w:themeColor="text1"/>
          <w:sz w:val="18"/>
          <w:szCs w:val="18"/>
        </w:rPr>
        <w:t>”</w:t>
      </w:r>
      <w:r w:rsidRPr="005A21D2">
        <w:rPr>
          <w:rFonts w:ascii="Century Gothic" w:hAnsi="Century Gothic" w:cs="Arial"/>
          <w:color w:val="000000" w:themeColor="text1"/>
          <w:sz w:val="18"/>
          <w:szCs w:val="18"/>
        </w:rPr>
        <w:t>.</w:t>
      </w:r>
    </w:p>
  </w:footnote>
  <w:footnote w:id="4">
    <w:p w14:paraId="1599FC45" w14:textId="77777777" w:rsidR="00080CCB" w:rsidRPr="005A21D2" w:rsidRDefault="00080CCB" w:rsidP="005A21D2">
      <w:pPr>
        <w:pStyle w:val="Textonotapie"/>
        <w:ind w:firstLine="708"/>
        <w:jc w:val="both"/>
        <w:rPr>
          <w:rFonts w:ascii="Century Gothic" w:hAnsi="Century Gothic" w:cs="Arial"/>
          <w:color w:val="000000" w:themeColor="text1"/>
          <w:sz w:val="18"/>
          <w:szCs w:val="18"/>
          <w:lang w:val="es-ES"/>
        </w:rPr>
      </w:pPr>
      <w:r w:rsidRPr="005A21D2">
        <w:rPr>
          <w:rStyle w:val="Refdenotaalpie"/>
          <w:rFonts w:ascii="Century Gothic" w:hAnsi="Century Gothic" w:cs="Arial"/>
          <w:color w:val="000000" w:themeColor="text1"/>
          <w:sz w:val="18"/>
          <w:szCs w:val="18"/>
        </w:rPr>
        <w:footnoteRef/>
      </w:r>
      <w:r w:rsidRPr="005A21D2">
        <w:rPr>
          <w:rFonts w:ascii="Century Gothic" w:hAnsi="Century Gothic" w:cs="Arial"/>
          <w:color w:val="000000" w:themeColor="text1"/>
          <w:sz w:val="18"/>
          <w:szCs w:val="18"/>
        </w:rPr>
        <w:t xml:space="preserve"> CONSEJO DE ESTADO. Sección Tercera. Sentencia del 11 de noviembre de 2009. Exp. 17.366. C.P. Mauricio Fajardo Gomez.</w:t>
      </w:r>
    </w:p>
  </w:footnote>
  <w:footnote w:id="5">
    <w:p w14:paraId="4F6F9A23" w14:textId="77777777" w:rsidR="00080CCB" w:rsidRPr="005A21D2" w:rsidRDefault="00080CCB" w:rsidP="005A21D2">
      <w:pPr>
        <w:pStyle w:val="Textonotapie"/>
        <w:ind w:firstLine="708"/>
        <w:jc w:val="both"/>
        <w:rPr>
          <w:rFonts w:ascii="Century Gothic" w:hAnsi="Century Gothic" w:cs="Arial"/>
          <w:color w:val="000000" w:themeColor="text1"/>
          <w:sz w:val="18"/>
          <w:szCs w:val="18"/>
        </w:rPr>
      </w:pPr>
    </w:p>
    <w:p w14:paraId="07791DF7" w14:textId="47E49230" w:rsidR="00080CCB" w:rsidRPr="005A21D2" w:rsidRDefault="00080CCB" w:rsidP="005A21D2">
      <w:pPr>
        <w:pStyle w:val="Textonotapie"/>
        <w:ind w:firstLine="708"/>
        <w:jc w:val="both"/>
        <w:rPr>
          <w:rFonts w:ascii="Century Gothic" w:hAnsi="Century Gothic" w:cs="Arial"/>
          <w:color w:val="000000" w:themeColor="text1"/>
          <w:sz w:val="18"/>
          <w:szCs w:val="18"/>
        </w:rPr>
      </w:pPr>
      <w:r w:rsidRPr="005A21D2">
        <w:rPr>
          <w:rStyle w:val="Refdenotaalpie"/>
          <w:rFonts w:ascii="Century Gothic" w:hAnsi="Century Gothic" w:cs="Arial"/>
          <w:color w:val="000000" w:themeColor="text1"/>
          <w:sz w:val="18"/>
          <w:szCs w:val="18"/>
        </w:rPr>
        <w:footnoteRef/>
      </w:r>
      <w:r w:rsidRPr="005A21D2">
        <w:rPr>
          <w:rFonts w:ascii="Century Gothic" w:hAnsi="Century Gothic" w:cs="Arial"/>
          <w:color w:val="000000" w:themeColor="text1"/>
          <w:sz w:val="18"/>
          <w:szCs w:val="18"/>
        </w:rPr>
        <w:t xml:space="preserve"> CONSEJO DE ESTADO. Sección Tercera. Sentencia del 24 de julio de 2013. Exp. 25.642. C.P. Enrique Gil Botero: </w:t>
      </w:r>
      <w:r w:rsidR="007422B1" w:rsidRPr="005A21D2">
        <w:rPr>
          <w:rFonts w:ascii="Century Gothic" w:hAnsi="Century Gothic" w:cs="Arial"/>
          <w:color w:val="000000" w:themeColor="text1"/>
          <w:sz w:val="18"/>
          <w:szCs w:val="18"/>
        </w:rPr>
        <w:t>“</w:t>
      </w:r>
      <w:r w:rsidRPr="005A21D2">
        <w:rPr>
          <w:rFonts w:ascii="Century Gothic" w:hAnsi="Century Gothic" w:cs="Arial"/>
          <w:color w:val="000000" w:themeColor="text1"/>
          <w:sz w:val="18"/>
          <w:szCs w:val="18"/>
        </w:rPr>
        <w:t>Concreta o materializa los principios de planeación contractual y de trasparencia, comoquiera que su adecuada formulación permite o garantiza la selección objetiva del contratista de acuerdo con los parámetros de calificación correspondientes para cada tipo de procedimiento (v.gr. licitación pública, selección abreviada, concurso de méritos, etc.), de acuerdo con el marco establecido en la ley (art. 29 de la ley 80 de 1993, derogado por el artículo 32 de la ley 1150 de 2007, y este último, modificado por el artículo 88 de la ley 1474 de 2011 (Estatuto Anticorrupción). En esa perspectiva, el pliego de condiciones constituye la ley tanto del procedimiento administrativo de selección del contratista, como del contrato a celebrar</w:t>
      </w:r>
      <w:r w:rsidR="007422B1" w:rsidRPr="005A21D2">
        <w:rPr>
          <w:rFonts w:ascii="Century Gothic" w:hAnsi="Century Gothic" w:cs="Arial"/>
          <w:color w:val="000000" w:themeColor="text1"/>
          <w:sz w:val="18"/>
          <w:szCs w:val="18"/>
        </w:rPr>
        <w:t>”</w:t>
      </w:r>
      <w:r w:rsidRPr="005A21D2">
        <w:rPr>
          <w:rFonts w:ascii="Century Gothic" w:hAnsi="Century Gothic" w:cs="Arial"/>
          <w:color w:val="000000" w:themeColor="text1"/>
          <w:sz w:val="18"/>
          <w:szCs w:val="18"/>
        </w:rPr>
        <w:t>.</w:t>
      </w:r>
    </w:p>
    <w:p w14:paraId="4C7F39C3" w14:textId="77777777" w:rsidR="00080CCB" w:rsidRPr="005A21D2" w:rsidRDefault="00080CCB" w:rsidP="005A21D2">
      <w:pPr>
        <w:pStyle w:val="Textonotapie"/>
        <w:ind w:firstLine="708"/>
        <w:jc w:val="both"/>
        <w:rPr>
          <w:rFonts w:ascii="Century Gothic" w:hAnsi="Century Gothic" w:cs="Arial"/>
          <w:color w:val="000000" w:themeColor="text1"/>
          <w:sz w:val="18"/>
          <w:szCs w:val="18"/>
          <w:lang w:val="es-ES"/>
        </w:rPr>
      </w:pPr>
    </w:p>
  </w:footnote>
  <w:footnote w:id="6">
    <w:p w14:paraId="47D7CE0C" w14:textId="4D7C9595" w:rsidR="00080CCB" w:rsidRPr="005A21D2" w:rsidRDefault="00080CCB" w:rsidP="005A21D2">
      <w:pPr>
        <w:pStyle w:val="Textonotapie"/>
        <w:ind w:firstLine="708"/>
        <w:jc w:val="both"/>
        <w:rPr>
          <w:rFonts w:ascii="Century Gothic" w:hAnsi="Century Gothic" w:cs="Arial"/>
          <w:color w:val="000000" w:themeColor="text1"/>
          <w:sz w:val="18"/>
          <w:szCs w:val="18"/>
        </w:rPr>
      </w:pPr>
      <w:r w:rsidRPr="005A21D2">
        <w:rPr>
          <w:rStyle w:val="Refdenotaalpie"/>
          <w:rFonts w:ascii="Century Gothic" w:hAnsi="Century Gothic" w:cs="Arial"/>
          <w:color w:val="000000" w:themeColor="text1"/>
          <w:sz w:val="18"/>
          <w:szCs w:val="18"/>
        </w:rPr>
        <w:footnoteRef/>
      </w:r>
      <w:r w:rsidRPr="005A21D2">
        <w:rPr>
          <w:rFonts w:ascii="Century Gothic" w:hAnsi="Century Gothic" w:cs="Arial"/>
          <w:color w:val="000000" w:themeColor="text1"/>
          <w:sz w:val="18"/>
          <w:szCs w:val="18"/>
        </w:rPr>
        <w:t xml:space="preserve"> </w:t>
      </w:r>
      <w:r w:rsidR="004A2129" w:rsidRPr="005A21D2">
        <w:rPr>
          <w:rFonts w:ascii="Century Gothic" w:hAnsi="Century Gothic" w:cs="Arial"/>
          <w:color w:val="000000" w:themeColor="text1"/>
          <w:sz w:val="18"/>
          <w:szCs w:val="18"/>
        </w:rPr>
        <w:t xml:space="preserve">DECRETO 1082 DE 2015: </w:t>
      </w:r>
      <w:r w:rsidR="007422B1" w:rsidRPr="005A21D2">
        <w:rPr>
          <w:rFonts w:ascii="Century Gothic" w:hAnsi="Century Gothic" w:cs="Arial"/>
          <w:color w:val="000000" w:themeColor="text1"/>
          <w:sz w:val="18"/>
          <w:szCs w:val="18"/>
        </w:rPr>
        <w:t>“</w:t>
      </w:r>
      <w:r w:rsidRPr="005A21D2">
        <w:rPr>
          <w:rFonts w:ascii="Century Gothic" w:hAnsi="Century Gothic" w:cs="Arial"/>
          <w:color w:val="000000" w:themeColor="text1"/>
          <w:sz w:val="18"/>
          <w:szCs w:val="18"/>
        </w:rPr>
        <w:t>Artículo 2.2.1.1.2.1.3. Pliegos de condiciones. Los pliegos de condiciones deben contener por lo menos la siguiente información:</w:t>
      </w:r>
    </w:p>
    <w:p w14:paraId="3D0884E4" w14:textId="74FF796D" w:rsidR="00080CCB" w:rsidRPr="005A21D2" w:rsidRDefault="007422B1" w:rsidP="005A21D2">
      <w:pPr>
        <w:pStyle w:val="Textonotapie"/>
        <w:ind w:firstLine="708"/>
        <w:jc w:val="both"/>
        <w:rPr>
          <w:rFonts w:ascii="Century Gothic" w:hAnsi="Century Gothic" w:cs="Arial"/>
          <w:color w:val="000000" w:themeColor="text1"/>
          <w:sz w:val="18"/>
          <w:szCs w:val="18"/>
        </w:rPr>
      </w:pPr>
      <w:r w:rsidRPr="005A21D2">
        <w:rPr>
          <w:rFonts w:ascii="Century Gothic" w:hAnsi="Century Gothic" w:cs="Arial"/>
          <w:color w:val="000000" w:themeColor="text1"/>
          <w:sz w:val="18"/>
          <w:szCs w:val="18"/>
        </w:rPr>
        <w:t>“</w:t>
      </w:r>
      <w:r w:rsidR="00080CCB" w:rsidRPr="005A21D2">
        <w:rPr>
          <w:rFonts w:ascii="Century Gothic" w:hAnsi="Century Gothic" w:cs="Arial"/>
          <w:color w:val="000000" w:themeColor="text1"/>
          <w:sz w:val="18"/>
          <w:szCs w:val="18"/>
        </w:rPr>
        <w:t>1. La descripción técnica, detallada y completa del bien o servicio objeto del contrato, identificado con el cuarto nivel del Clasificador de Bienes y Servicios, de ser posible o de lo contrario con el tercer nivel del mismo.</w:t>
      </w:r>
    </w:p>
    <w:p w14:paraId="0ADEF333" w14:textId="105EA262" w:rsidR="00080CCB" w:rsidRPr="005A21D2" w:rsidRDefault="00080CCB" w:rsidP="005A21D2">
      <w:pPr>
        <w:pStyle w:val="Textonotapie"/>
        <w:ind w:firstLine="708"/>
        <w:jc w:val="both"/>
        <w:rPr>
          <w:rFonts w:ascii="Century Gothic" w:hAnsi="Century Gothic" w:cs="Arial"/>
          <w:color w:val="000000" w:themeColor="text1"/>
          <w:sz w:val="18"/>
          <w:szCs w:val="18"/>
        </w:rPr>
      </w:pPr>
      <w:r w:rsidRPr="005A21D2">
        <w:rPr>
          <w:rFonts w:ascii="Century Gothic" w:hAnsi="Century Gothic" w:cs="Arial"/>
          <w:color w:val="000000" w:themeColor="text1"/>
          <w:sz w:val="18"/>
          <w:szCs w:val="18"/>
        </w:rPr>
        <w:t>2. La modalidad del proceso de selección y su justificación.</w:t>
      </w:r>
    </w:p>
    <w:p w14:paraId="2624B33C" w14:textId="1988440C" w:rsidR="00080CCB" w:rsidRPr="005A21D2" w:rsidRDefault="00080CCB" w:rsidP="005A21D2">
      <w:pPr>
        <w:pStyle w:val="Textonotapie"/>
        <w:ind w:firstLine="708"/>
        <w:jc w:val="both"/>
        <w:rPr>
          <w:rFonts w:ascii="Century Gothic" w:hAnsi="Century Gothic" w:cs="Arial"/>
          <w:color w:val="000000" w:themeColor="text1"/>
          <w:sz w:val="18"/>
          <w:szCs w:val="18"/>
        </w:rPr>
      </w:pPr>
      <w:r w:rsidRPr="005A21D2">
        <w:rPr>
          <w:rFonts w:ascii="Century Gothic" w:hAnsi="Century Gothic" w:cs="Arial"/>
          <w:color w:val="000000" w:themeColor="text1"/>
          <w:sz w:val="18"/>
          <w:szCs w:val="18"/>
        </w:rPr>
        <w:t>3. Los criterios de selección, incluyendo los factores de desempate y los incentivos cuando a ello haya lugar.</w:t>
      </w:r>
    </w:p>
    <w:p w14:paraId="68FCD81D" w14:textId="1BA74DEA" w:rsidR="00080CCB" w:rsidRPr="005A21D2" w:rsidRDefault="00080CCB" w:rsidP="005A21D2">
      <w:pPr>
        <w:pStyle w:val="Textonotapie"/>
        <w:ind w:firstLine="708"/>
        <w:jc w:val="both"/>
        <w:rPr>
          <w:rFonts w:ascii="Century Gothic" w:hAnsi="Century Gothic" w:cs="Arial"/>
          <w:color w:val="000000" w:themeColor="text1"/>
          <w:sz w:val="18"/>
          <w:szCs w:val="18"/>
        </w:rPr>
      </w:pPr>
      <w:r w:rsidRPr="005A21D2">
        <w:rPr>
          <w:rFonts w:ascii="Century Gothic" w:hAnsi="Century Gothic" w:cs="Arial"/>
          <w:color w:val="000000" w:themeColor="text1"/>
          <w:sz w:val="18"/>
          <w:szCs w:val="18"/>
        </w:rPr>
        <w:t>4. Las condiciones de costo y/o calidad que la Entidad Estatal debe tener en cuenta para la selección objetiva, de acuerdo con la modalidad de selección del contratista.</w:t>
      </w:r>
    </w:p>
    <w:p w14:paraId="46FBD023" w14:textId="72185EB0" w:rsidR="00080CCB" w:rsidRPr="005A21D2" w:rsidRDefault="00080CCB" w:rsidP="005A21D2">
      <w:pPr>
        <w:pStyle w:val="Textonotapie"/>
        <w:ind w:firstLine="708"/>
        <w:jc w:val="both"/>
        <w:rPr>
          <w:rFonts w:ascii="Century Gothic" w:hAnsi="Century Gothic" w:cs="Arial"/>
          <w:color w:val="000000" w:themeColor="text1"/>
          <w:sz w:val="18"/>
          <w:szCs w:val="18"/>
        </w:rPr>
      </w:pPr>
      <w:r w:rsidRPr="005A21D2">
        <w:rPr>
          <w:rFonts w:ascii="Century Gothic" w:hAnsi="Century Gothic" w:cs="Arial"/>
          <w:color w:val="000000" w:themeColor="text1"/>
          <w:sz w:val="18"/>
          <w:szCs w:val="18"/>
        </w:rPr>
        <w:t>5. Las reglas aplicables a la presentación de las ofertas, su evaluación y a la adjudicación del contrato.</w:t>
      </w:r>
    </w:p>
    <w:p w14:paraId="456CB55E" w14:textId="2BF57775" w:rsidR="00080CCB" w:rsidRPr="005A21D2" w:rsidRDefault="00080CCB" w:rsidP="005A21D2">
      <w:pPr>
        <w:pStyle w:val="Textonotapie"/>
        <w:ind w:firstLine="708"/>
        <w:jc w:val="both"/>
        <w:rPr>
          <w:rFonts w:ascii="Century Gothic" w:hAnsi="Century Gothic" w:cs="Arial"/>
          <w:color w:val="000000" w:themeColor="text1"/>
          <w:sz w:val="18"/>
          <w:szCs w:val="18"/>
        </w:rPr>
      </w:pPr>
      <w:r w:rsidRPr="005A21D2">
        <w:rPr>
          <w:rFonts w:ascii="Century Gothic" w:hAnsi="Century Gothic" w:cs="Arial"/>
          <w:color w:val="000000" w:themeColor="text1"/>
          <w:sz w:val="18"/>
          <w:szCs w:val="18"/>
        </w:rPr>
        <w:t>6. Las causas que dan lugar a rechazar una oferta.</w:t>
      </w:r>
    </w:p>
    <w:p w14:paraId="7676AB24" w14:textId="02F47E2D" w:rsidR="00080CCB" w:rsidRPr="005A21D2" w:rsidRDefault="00080CCB" w:rsidP="005A21D2">
      <w:pPr>
        <w:pStyle w:val="Textonotapie"/>
        <w:ind w:firstLine="708"/>
        <w:jc w:val="both"/>
        <w:rPr>
          <w:rFonts w:ascii="Century Gothic" w:hAnsi="Century Gothic" w:cs="Arial"/>
          <w:color w:val="000000" w:themeColor="text1"/>
          <w:sz w:val="18"/>
          <w:szCs w:val="18"/>
        </w:rPr>
      </w:pPr>
      <w:r w:rsidRPr="005A21D2">
        <w:rPr>
          <w:rFonts w:ascii="Century Gothic" w:hAnsi="Century Gothic" w:cs="Arial"/>
          <w:color w:val="000000" w:themeColor="text1"/>
          <w:sz w:val="18"/>
          <w:szCs w:val="18"/>
        </w:rPr>
        <w:t>7. El valor del contrato, el plazo, el cronograma de pagos y la determinación de si debe haber lugar a la entrega de anticipo, y si hubiere, indicar su valor, el cual debe tener en cuenta los rendimientos que este pueda generar.</w:t>
      </w:r>
    </w:p>
    <w:p w14:paraId="419075AB" w14:textId="78994070" w:rsidR="00080CCB" w:rsidRPr="005A21D2" w:rsidRDefault="00080CCB" w:rsidP="005A21D2">
      <w:pPr>
        <w:pStyle w:val="Textonotapie"/>
        <w:ind w:firstLine="708"/>
        <w:jc w:val="both"/>
        <w:rPr>
          <w:rFonts w:ascii="Century Gothic" w:hAnsi="Century Gothic" w:cs="Arial"/>
          <w:color w:val="000000" w:themeColor="text1"/>
          <w:sz w:val="18"/>
          <w:szCs w:val="18"/>
        </w:rPr>
      </w:pPr>
      <w:r w:rsidRPr="005A21D2">
        <w:rPr>
          <w:rFonts w:ascii="Century Gothic" w:hAnsi="Century Gothic" w:cs="Arial"/>
          <w:color w:val="000000" w:themeColor="text1"/>
          <w:sz w:val="18"/>
          <w:szCs w:val="18"/>
        </w:rPr>
        <w:t>8. Los Riesgos asociados al contrato, la forma de mitigarlos y la asignación del Riesgo entre las partes contratantes.</w:t>
      </w:r>
    </w:p>
    <w:p w14:paraId="5DFF090C" w14:textId="2A49FC75" w:rsidR="00080CCB" w:rsidRPr="005A21D2" w:rsidRDefault="00080CCB" w:rsidP="005A21D2">
      <w:pPr>
        <w:pStyle w:val="Textonotapie"/>
        <w:ind w:firstLine="708"/>
        <w:jc w:val="both"/>
        <w:rPr>
          <w:rFonts w:ascii="Century Gothic" w:hAnsi="Century Gothic" w:cs="Arial"/>
          <w:color w:val="000000" w:themeColor="text1"/>
          <w:sz w:val="18"/>
          <w:szCs w:val="18"/>
        </w:rPr>
      </w:pPr>
      <w:r w:rsidRPr="005A21D2">
        <w:rPr>
          <w:rFonts w:ascii="Century Gothic" w:hAnsi="Century Gothic" w:cs="Arial"/>
          <w:color w:val="000000" w:themeColor="text1"/>
          <w:sz w:val="18"/>
          <w:szCs w:val="18"/>
        </w:rPr>
        <w:t>9. Las garantías exigidas en el Proceso de Contratación y sus condiciones.</w:t>
      </w:r>
    </w:p>
    <w:p w14:paraId="1C0AE8BA" w14:textId="7366D0F8" w:rsidR="00080CCB" w:rsidRPr="005A21D2" w:rsidRDefault="00080CCB" w:rsidP="005A21D2">
      <w:pPr>
        <w:pStyle w:val="Textonotapie"/>
        <w:ind w:firstLine="708"/>
        <w:jc w:val="both"/>
        <w:rPr>
          <w:rFonts w:ascii="Century Gothic" w:hAnsi="Century Gothic" w:cs="Arial"/>
          <w:color w:val="000000" w:themeColor="text1"/>
          <w:sz w:val="18"/>
          <w:szCs w:val="18"/>
        </w:rPr>
      </w:pPr>
      <w:r w:rsidRPr="005A21D2">
        <w:rPr>
          <w:rFonts w:ascii="Century Gothic" w:hAnsi="Century Gothic" w:cs="Arial"/>
          <w:color w:val="000000" w:themeColor="text1"/>
          <w:sz w:val="18"/>
          <w:szCs w:val="18"/>
        </w:rPr>
        <w:t>10. La mención de si la Entidad Estatal y el contrato objeto de los pliegos de condiciones están cubiertos por un Acuerdo Comercial.</w:t>
      </w:r>
    </w:p>
    <w:p w14:paraId="698EF977" w14:textId="4A6BAA56" w:rsidR="00080CCB" w:rsidRPr="005A21D2" w:rsidRDefault="00080CCB" w:rsidP="005A21D2">
      <w:pPr>
        <w:pStyle w:val="Textonotapie"/>
        <w:ind w:firstLine="708"/>
        <w:jc w:val="both"/>
        <w:rPr>
          <w:rFonts w:ascii="Century Gothic" w:hAnsi="Century Gothic" w:cs="Arial"/>
          <w:color w:val="000000" w:themeColor="text1"/>
          <w:sz w:val="18"/>
          <w:szCs w:val="18"/>
        </w:rPr>
      </w:pPr>
      <w:r w:rsidRPr="005A21D2">
        <w:rPr>
          <w:rFonts w:ascii="Century Gothic" w:hAnsi="Century Gothic" w:cs="Arial"/>
          <w:color w:val="000000" w:themeColor="text1"/>
          <w:sz w:val="18"/>
          <w:szCs w:val="18"/>
        </w:rPr>
        <w:t>11. Los términos, condiciones y minuta del contrato.</w:t>
      </w:r>
    </w:p>
    <w:p w14:paraId="2D053887" w14:textId="1F7282FB" w:rsidR="00080CCB" w:rsidRPr="005A21D2" w:rsidRDefault="00080CCB" w:rsidP="005A21D2">
      <w:pPr>
        <w:pStyle w:val="Textonotapie"/>
        <w:ind w:firstLine="708"/>
        <w:jc w:val="both"/>
        <w:rPr>
          <w:rFonts w:ascii="Century Gothic" w:hAnsi="Century Gothic" w:cs="Arial"/>
          <w:color w:val="000000" w:themeColor="text1"/>
          <w:sz w:val="18"/>
          <w:szCs w:val="18"/>
        </w:rPr>
      </w:pPr>
      <w:r w:rsidRPr="005A21D2">
        <w:rPr>
          <w:rFonts w:ascii="Century Gothic" w:hAnsi="Century Gothic" w:cs="Arial"/>
          <w:color w:val="000000" w:themeColor="text1"/>
          <w:sz w:val="18"/>
          <w:szCs w:val="18"/>
        </w:rPr>
        <w:t>12. Los términos de la supervisión y/o de la interventoría del contrato.</w:t>
      </w:r>
    </w:p>
    <w:p w14:paraId="3C5654E8" w14:textId="07179394" w:rsidR="00080CCB" w:rsidRPr="005A21D2" w:rsidRDefault="00080CCB" w:rsidP="005A21D2">
      <w:pPr>
        <w:pStyle w:val="Textonotapie"/>
        <w:ind w:firstLine="708"/>
        <w:jc w:val="both"/>
        <w:rPr>
          <w:rFonts w:ascii="Century Gothic" w:hAnsi="Century Gothic" w:cs="Arial"/>
          <w:color w:val="000000" w:themeColor="text1"/>
          <w:sz w:val="18"/>
          <w:szCs w:val="18"/>
        </w:rPr>
      </w:pPr>
      <w:r w:rsidRPr="005A21D2">
        <w:rPr>
          <w:rFonts w:ascii="Century Gothic" w:hAnsi="Century Gothic" w:cs="Arial"/>
          <w:color w:val="000000" w:themeColor="text1"/>
          <w:sz w:val="18"/>
          <w:szCs w:val="18"/>
        </w:rPr>
        <w:t>13. El plazo dentro del cual la Entidad Estatal puede expedir Adendas.</w:t>
      </w:r>
    </w:p>
    <w:p w14:paraId="57041528" w14:textId="4C81698E" w:rsidR="00080CCB" w:rsidRPr="005A21D2" w:rsidRDefault="00080CCB" w:rsidP="005A21D2">
      <w:pPr>
        <w:pStyle w:val="Textonotapie"/>
        <w:ind w:firstLine="708"/>
        <w:jc w:val="both"/>
        <w:rPr>
          <w:rFonts w:ascii="Century Gothic" w:hAnsi="Century Gothic" w:cs="Arial"/>
          <w:color w:val="000000" w:themeColor="text1"/>
          <w:sz w:val="18"/>
          <w:szCs w:val="18"/>
        </w:rPr>
      </w:pPr>
      <w:r w:rsidRPr="005A21D2">
        <w:rPr>
          <w:rFonts w:ascii="Century Gothic" w:hAnsi="Century Gothic" w:cs="Arial"/>
          <w:color w:val="000000" w:themeColor="text1"/>
          <w:sz w:val="18"/>
          <w:szCs w:val="18"/>
        </w:rPr>
        <w:t>14. El Cronograma</w:t>
      </w:r>
      <w:r w:rsidR="007422B1" w:rsidRPr="005A21D2">
        <w:rPr>
          <w:rFonts w:ascii="Century Gothic" w:hAnsi="Century Gothic" w:cs="Arial"/>
          <w:color w:val="000000" w:themeColor="text1"/>
          <w:sz w:val="18"/>
          <w:szCs w:val="18"/>
        </w:rPr>
        <w:t>”</w:t>
      </w:r>
      <w:r w:rsidRPr="005A21D2">
        <w:rPr>
          <w:rFonts w:ascii="Century Gothic" w:hAnsi="Century Gothic" w:cs="Arial"/>
          <w:color w:val="000000" w:themeColor="text1"/>
          <w:sz w:val="18"/>
          <w:szCs w:val="18"/>
        </w:rPr>
        <w:t>.</w:t>
      </w:r>
    </w:p>
    <w:p w14:paraId="52AC874E" w14:textId="77777777" w:rsidR="00080CCB" w:rsidRPr="005A21D2" w:rsidRDefault="00080CCB" w:rsidP="005A21D2">
      <w:pPr>
        <w:pStyle w:val="Textonotapie"/>
        <w:jc w:val="both"/>
        <w:rPr>
          <w:rFonts w:ascii="Century Gothic" w:hAnsi="Century Gothic" w:cs="Arial"/>
          <w:color w:val="000000" w:themeColor="text1"/>
          <w:sz w:val="18"/>
          <w:szCs w:val="18"/>
        </w:rPr>
      </w:pPr>
    </w:p>
  </w:footnote>
  <w:footnote w:id="7">
    <w:p w14:paraId="3FCFAB21" w14:textId="77777777" w:rsidR="00080CCB" w:rsidRDefault="00080CCB" w:rsidP="005A21D2">
      <w:pPr>
        <w:pStyle w:val="Textonotapie"/>
        <w:ind w:firstLine="708"/>
        <w:jc w:val="both"/>
        <w:rPr>
          <w:rFonts w:ascii="Century Gothic" w:hAnsi="Century Gothic" w:cs="Arial"/>
          <w:sz w:val="18"/>
          <w:szCs w:val="18"/>
        </w:rPr>
      </w:pPr>
      <w:r w:rsidRPr="005A21D2">
        <w:rPr>
          <w:rStyle w:val="Refdenotaalpie"/>
          <w:rFonts w:ascii="Century Gothic" w:hAnsi="Century Gothic" w:cs="Arial"/>
          <w:sz w:val="18"/>
          <w:szCs w:val="18"/>
        </w:rPr>
        <w:footnoteRef/>
      </w:r>
      <w:r w:rsidRPr="005A21D2">
        <w:rPr>
          <w:rFonts w:ascii="Century Gothic" w:hAnsi="Century Gothic" w:cs="Arial"/>
          <w:sz w:val="18"/>
          <w:szCs w:val="18"/>
        </w:rPr>
        <w:t xml:space="preserve"> GONZÁLEZ LÓPEZ, Edgar</w:t>
      </w:r>
      <w:r w:rsidRPr="005A21D2">
        <w:rPr>
          <w:rFonts w:ascii="Century Gothic" w:hAnsi="Century Gothic" w:cs="Arial"/>
          <w:i/>
          <w:iCs/>
          <w:sz w:val="18"/>
          <w:szCs w:val="18"/>
        </w:rPr>
        <w:t xml:space="preserve">. </w:t>
      </w:r>
      <w:r w:rsidRPr="005A21D2">
        <w:rPr>
          <w:rFonts w:ascii="Century Gothic" w:hAnsi="Century Gothic" w:cs="Arial"/>
          <w:sz w:val="18"/>
          <w:szCs w:val="18"/>
        </w:rPr>
        <w:t xml:space="preserve">El pliego de condiciones en la contratación. La reforma consagrada en la Ley 1150 de 2007 y sus decretos reglamentarios. Universidad Externado de Colombia. Primera edición, 2010, pp. 64.  </w:t>
      </w:r>
    </w:p>
    <w:p w14:paraId="3170D0EB" w14:textId="77777777" w:rsidR="005A21D2" w:rsidRPr="005A21D2" w:rsidRDefault="005A21D2" w:rsidP="005A21D2">
      <w:pPr>
        <w:pStyle w:val="Textonotapie"/>
        <w:ind w:firstLine="708"/>
        <w:jc w:val="both"/>
        <w:rPr>
          <w:rFonts w:ascii="Century Gothic" w:hAnsi="Century Gothic" w:cs="Arial"/>
          <w:sz w:val="18"/>
          <w:szCs w:val="18"/>
        </w:rPr>
      </w:pPr>
    </w:p>
  </w:footnote>
  <w:footnote w:id="8">
    <w:p w14:paraId="317C2488" w14:textId="7225A934" w:rsidR="00070A66" w:rsidRPr="005A21D2" w:rsidRDefault="00070A66" w:rsidP="005A21D2">
      <w:pPr>
        <w:pStyle w:val="Textonotapie"/>
        <w:ind w:firstLine="708"/>
        <w:jc w:val="both"/>
        <w:rPr>
          <w:rFonts w:ascii="Century Gothic" w:hAnsi="Century Gothic"/>
          <w:sz w:val="18"/>
          <w:szCs w:val="18"/>
        </w:rPr>
      </w:pPr>
      <w:r w:rsidRPr="005A21D2">
        <w:rPr>
          <w:rStyle w:val="Refdenotaalpie"/>
          <w:rFonts w:ascii="Century Gothic" w:hAnsi="Century Gothic"/>
          <w:sz w:val="18"/>
          <w:szCs w:val="18"/>
        </w:rPr>
        <w:footnoteRef/>
      </w:r>
      <w:r w:rsidRPr="005A21D2">
        <w:rPr>
          <w:rFonts w:ascii="Century Gothic" w:hAnsi="Century Gothic"/>
          <w:sz w:val="18"/>
          <w:szCs w:val="18"/>
        </w:rPr>
        <w:t xml:space="preserve"> </w:t>
      </w:r>
      <w:r w:rsidR="004A2129" w:rsidRPr="005A21D2">
        <w:rPr>
          <w:rFonts w:ascii="Century Gothic" w:hAnsi="Century Gothic"/>
          <w:sz w:val="18"/>
          <w:szCs w:val="18"/>
        </w:rPr>
        <w:t xml:space="preserve">CONSEJO DE ESTADO, </w:t>
      </w:r>
      <w:r w:rsidR="003D63E6" w:rsidRPr="005A21D2">
        <w:rPr>
          <w:rFonts w:ascii="Century Gothic" w:hAnsi="Century Gothic"/>
          <w:sz w:val="18"/>
          <w:szCs w:val="18"/>
        </w:rPr>
        <w:t>Sala de lo Contencioso Administrativo</w:t>
      </w:r>
      <w:r w:rsidR="008E025D" w:rsidRPr="005A21D2">
        <w:rPr>
          <w:rFonts w:ascii="Century Gothic" w:hAnsi="Century Gothic"/>
          <w:sz w:val="18"/>
          <w:szCs w:val="18"/>
        </w:rPr>
        <w:t>, Sección Tercera, sentencia</w:t>
      </w:r>
      <w:r w:rsidR="00887353" w:rsidRPr="005A21D2">
        <w:rPr>
          <w:rFonts w:ascii="Century Gothic" w:hAnsi="Century Gothic"/>
          <w:sz w:val="18"/>
          <w:szCs w:val="18"/>
        </w:rPr>
        <w:t>s</w:t>
      </w:r>
      <w:r w:rsidR="008E025D" w:rsidRPr="005A21D2">
        <w:rPr>
          <w:rFonts w:ascii="Century Gothic" w:hAnsi="Century Gothic"/>
          <w:sz w:val="18"/>
          <w:szCs w:val="18"/>
        </w:rPr>
        <w:t xml:space="preserve"> de</w:t>
      </w:r>
      <w:r w:rsidR="00887353" w:rsidRPr="005A21D2">
        <w:rPr>
          <w:rFonts w:ascii="Century Gothic" w:hAnsi="Century Gothic"/>
          <w:sz w:val="18"/>
          <w:szCs w:val="18"/>
        </w:rPr>
        <w:t>l</w:t>
      </w:r>
      <w:r w:rsidR="008E025D" w:rsidRPr="005A21D2">
        <w:rPr>
          <w:rFonts w:ascii="Century Gothic" w:hAnsi="Century Gothic"/>
          <w:sz w:val="18"/>
          <w:szCs w:val="18"/>
        </w:rPr>
        <w:t xml:space="preserve"> 1 de junio de 2022</w:t>
      </w:r>
      <w:r w:rsidR="0004079C" w:rsidRPr="005A21D2">
        <w:rPr>
          <w:rFonts w:ascii="Century Gothic" w:hAnsi="Century Gothic"/>
          <w:sz w:val="18"/>
          <w:szCs w:val="18"/>
        </w:rPr>
        <w:t xml:space="preserve">, radicado 60248; </w:t>
      </w:r>
      <w:r w:rsidR="00887353" w:rsidRPr="005A21D2">
        <w:rPr>
          <w:rFonts w:ascii="Century Gothic" w:hAnsi="Century Gothic"/>
          <w:sz w:val="18"/>
          <w:szCs w:val="18"/>
        </w:rPr>
        <w:t>29 de julio de 2015, radicado 40660; y, del 26 de abril de 2006</w:t>
      </w:r>
      <w:r w:rsidR="002D0B44" w:rsidRPr="005A21D2">
        <w:rPr>
          <w:rFonts w:ascii="Century Gothic" w:hAnsi="Century Gothic"/>
          <w:sz w:val="18"/>
          <w:szCs w:val="18"/>
        </w:rPr>
        <w:t>, radicado 16041.</w:t>
      </w:r>
    </w:p>
  </w:footnote>
  <w:footnote w:id="9">
    <w:p w14:paraId="6464B4FD" w14:textId="3A505FEF" w:rsidR="00D4633F" w:rsidRDefault="00D4633F" w:rsidP="00744EE1">
      <w:pPr>
        <w:pStyle w:val="Textonotapie"/>
        <w:ind w:firstLine="708"/>
        <w:jc w:val="both"/>
        <w:rPr>
          <w:rFonts w:ascii="Century Gothic" w:hAnsi="Century Gothic"/>
          <w:sz w:val="18"/>
          <w:szCs w:val="18"/>
        </w:rPr>
      </w:pPr>
      <w:r w:rsidRPr="005A21D2">
        <w:rPr>
          <w:rStyle w:val="Refdenotaalpie"/>
          <w:rFonts w:ascii="Century Gothic" w:hAnsi="Century Gothic"/>
          <w:sz w:val="18"/>
          <w:szCs w:val="18"/>
        </w:rPr>
        <w:footnoteRef/>
      </w:r>
      <w:r w:rsidRPr="005A21D2">
        <w:rPr>
          <w:rFonts w:ascii="Century Gothic" w:hAnsi="Century Gothic"/>
          <w:sz w:val="18"/>
          <w:szCs w:val="18"/>
        </w:rPr>
        <w:t xml:space="preserve"> CONSEJO DE ESTADO, Sala de lo Contencioso Administrativo, </w:t>
      </w:r>
      <w:r w:rsidR="00D17D15" w:rsidRPr="005A21D2">
        <w:rPr>
          <w:rFonts w:ascii="Century Gothic" w:hAnsi="Century Gothic"/>
          <w:sz w:val="18"/>
          <w:szCs w:val="18"/>
        </w:rPr>
        <w:t>Sección Tercera, sentencias del 1 de junio de 2022, radicado 60248 y del 2 de julio de 2021</w:t>
      </w:r>
      <w:r w:rsidR="005A21D2" w:rsidRPr="005A21D2">
        <w:rPr>
          <w:rFonts w:ascii="Century Gothic" w:hAnsi="Century Gothic"/>
          <w:sz w:val="18"/>
          <w:szCs w:val="18"/>
        </w:rPr>
        <w:t>, radicado 51910.</w:t>
      </w:r>
    </w:p>
    <w:p w14:paraId="136D8C9D" w14:textId="77777777" w:rsidR="00744EE1" w:rsidRPr="005A21D2" w:rsidRDefault="00744EE1" w:rsidP="00744EE1">
      <w:pPr>
        <w:pStyle w:val="Textonotapie"/>
        <w:ind w:firstLine="708"/>
        <w:jc w:val="both"/>
        <w:rPr>
          <w:rFonts w:ascii="Century Gothic" w:hAnsi="Century Gothic"/>
          <w:sz w:val="18"/>
          <w:szCs w:val="18"/>
        </w:rPr>
      </w:pPr>
    </w:p>
  </w:footnote>
  <w:footnote w:id="10">
    <w:p w14:paraId="6CC94430" w14:textId="77777777" w:rsidR="00D479B3" w:rsidRPr="005A21D2" w:rsidRDefault="00D479B3" w:rsidP="005A21D2">
      <w:pPr>
        <w:pStyle w:val="Textonotapie"/>
        <w:ind w:firstLine="708"/>
        <w:jc w:val="both"/>
        <w:rPr>
          <w:rFonts w:ascii="Century Gothic" w:hAnsi="Century Gothic" w:cs="Arial"/>
          <w:sz w:val="18"/>
          <w:szCs w:val="18"/>
        </w:rPr>
      </w:pPr>
      <w:r w:rsidRPr="005A21D2">
        <w:rPr>
          <w:rStyle w:val="Refdenotaalpie"/>
          <w:rFonts w:ascii="Century Gothic" w:hAnsi="Century Gothic" w:cs="Arial"/>
          <w:sz w:val="18"/>
          <w:szCs w:val="18"/>
        </w:rPr>
        <w:footnoteRef/>
      </w:r>
      <w:r w:rsidRPr="005A21D2">
        <w:rPr>
          <w:rFonts w:ascii="Century Gothic" w:hAnsi="Century Gothic" w:cs="Arial"/>
          <w:sz w:val="18"/>
          <w:szCs w:val="18"/>
        </w:rPr>
        <w:t xml:space="preserve"> SANTOFIMIO GAMBÓA, Jaime Orlando. Compendio de Derecho Administrativo. Editorial Universidad Externado de Colombia. Págs. 672-673. Bogotá, 2017.</w:t>
      </w:r>
    </w:p>
    <w:p w14:paraId="0049E259" w14:textId="77777777" w:rsidR="00D479B3" w:rsidRPr="005A21D2" w:rsidRDefault="00D479B3" w:rsidP="005A21D2">
      <w:pPr>
        <w:pStyle w:val="Textonotapie"/>
        <w:ind w:firstLine="708"/>
        <w:jc w:val="both"/>
        <w:rPr>
          <w:rFonts w:ascii="Century Gothic" w:hAnsi="Century Gothic" w:cs="Arial"/>
          <w:sz w:val="18"/>
          <w:szCs w:val="18"/>
        </w:rPr>
      </w:pPr>
    </w:p>
  </w:footnote>
  <w:footnote w:id="11">
    <w:p w14:paraId="2D7D1C04" w14:textId="77777777" w:rsidR="00D479B3" w:rsidRPr="005A21D2" w:rsidRDefault="00D479B3" w:rsidP="005A21D2">
      <w:pPr>
        <w:pStyle w:val="Textonotapie"/>
        <w:ind w:firstLine="708"/>
        <w:jc w:val="both"/>
        <w:rPr>
          <w:rFonts w:ascii="Century Gothic" w:hAnsi="Century Gothic" w:cs="Arial"/>
          <w:sz w:val="18"/>
          <w:szCs w:val="18"/>
        </w:rPr>
      </w:pPr>
      <w:r w:rsidRPr="005A21D2">
        <w:rPr>
          <w:rStyle w:val="Refdenotaalpie"/>
          <w:rFonts w:ascii="Century Gothic" w:hAnsi="Century Gothic" w:cs="Arial"/>
          <w:sz w:val="18"/>
          <w:szCs w:val="18"/>
        </w:rPr>
        <w:footnoteRef/>
      </w:r>
      <w:r w:rsidRPr="005A21D2">
        <w:rPr>
          <w:rFonts w:ascii="Century Gothic" w:hAnsi="Century Gothic" w:cs="Arial"/>
          <w:sz w:val="18"/>
          <w:szCs w:val="18"/>
        </w:rPr>
        <w:t xml:space="preserve"> Concepto Colombia Compra Eficiente </w:t>
      </w:r>
      <w:r w:rsidRPr="005A21D2">
        <w:rPr>
          <w:rFonts w:ascii="Century Gothic" w:hAnsi="Century Gothic" w:cs="Arial"/>
          <w:bCs/>
          <w:color w:val="000000"/>
          <w:sz w:val="18"/>
          <w:szCs w:val="18"/>
          <w:lang w:val="es-ES"/>
        </w:rPr>
        <w:t>C-030 de 022</w:t>
      </w:r>
    </w:p>
    <w:p w14:paraId="33A89B53" w14:textId="77777777" w:rsidR="00D479B3" w:rsidRPr="005A21D2" w:rsidRDefault="00D479B3" w:rsidP="005A21D2">
      <w:pPr>
        <w:pStyle w:val="Textonotapie"/>
        <w:ind w:firstLine="708"/>
        <w:jc w:val="both"/>
        <w:rPr>
          <w:rFonts w:ascii="Century Gothic" w:hAnsi="Century Gothic" w:cs="Arial"/>
          <w:sz w:val="18"/>
          <w:szCs w:val="18"/>
        </w:rPr>
      </w:pPr>
    </w:p>
  </w:footnote>
  <w:footnote w:id="12">
    <w:p w14:paraId="1CE4EB21" w14:textId="45ECE8BB" w:rsidR="00080CCB" w:rsidRPr="005A21D2" w:rsidRDefault="00080CCB" w:rsidP="005A21D2">
      <w:pPr>
        <w:pStyle w:val="Textonotapie"/>
        <w:spacing w:after="120"/>
        <w:ind w:firstLine="709"/>
        <w:jc w:val="both"/>
        <w:rPr>
          <w:rFonts w:ascii="Century Gothic" w:hAnsi="Century Gothic" w:cs="Arial"/>
          <w:sz w:val="18"/>
          <w:szCs w:val="18"/>
        </w:rPr>
      </w:pPr>
      <w:r w:rsidRPr="005A21D2">
        <w:rPr>
          <w:rStyle w:val="Refdenotaalpie"/>
          <w:rFonts w:ascii="Century Gothic" w:hAnsi="Century Gothic" w:cs="Arial"/>
          <w:sz w:val="18"/>
          <w:szCs w:val="18"/>
        </w:rPr>
        <w:footnoteRef/>
      </w:r>
      <w:r w:rsidRPr="005A21D2">
        <w:rPr>
          <w:rFonts w:ascii="Century Gothic" w:hAnsi="Century Gothic" w:cs="Arial"/>
          <w:sz w:val="18"/>
          <w:szCs w:val="18"/>
        </w:rPr>
        <w:t xml:space="preserve"> Decreto 1082 de 2015: </w:t>
      </w:r>
      <w:r w:rsidR="007422B1" w:rsidRPr="005A21D2">
        <w:rPr>
          <w:rFonts w:ascii="Century Gothic" w:hAnsi="Century Gothic" w:cs="Arial"/>
          <w:sz w:val="18"/>
          <w:szCs w:val="18"/>
        </w:rPr>
        <w:t>“</w:t>
      </w:r>
      <w:r w:rsidRPr="005A21D2">
        <w:rPr>
          <w:rFonts w:ascii="Century Gothic" w:hAnsi="Century Gothic" w:cs="Arial"/>
          <w:sz w:val="18"/>
          <w:szCs w:val="18"/>
        </w:rPr>
        <w:t xml:space="preserve">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 </w:t>
      </w:r>
    </w:p>
    <w:p w14:paraId="151D182C" w14:textId="0912BBE5" w:rsidR="00080CCB" w:rsidRPr="005A21D2" w:rsidRDefault="007422B1" w:rsidP="005A21D2">
      <w:pPr>
        <w:pStyle w:val="Textonotapie"/>
        <w:ind w:firstLine="708"/>
        <w:jc w:val="both"/>
        <w:rPr>
          <w:rFonts w:ascii="Century Gothic" w:hAnsi="Century Gothic" w:cs="Arial"/>
          <w:sz w:val="18"/>
          <w:szCs w:val="18"/>
        </w:rPr>
      </w:pPr>
      <w:r w:rsidRPr="005A21D2">
        <w:rPr>
          <w:rFonts w:ascii="Century Gothic" w:hAnsi="Century Gothic" w:cs="Arial"/>
          <w:sz w:val="18"/>
          <w:szCs w:val="18"/>
        </w:rPr>
        <w:t>“</w:t>
      </w:r>
      <w:r w:rsidR="00080CCB" w:rsidRPr="005A21D2">
        <w:rPr>
          <w:rFonts w:ascii="Century Gothic" w:hAnsi="Century Gothic" w:cs="Arial"/>
          <w:sz w:val="18"/>
          <w:szCs w:val="18"/>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r w:rsidRPr="005A21D2">
        <w:rPr>
          <w:rFonts w:ascii="Century Gothic" w:hAnsi="Century Gothic" w:cs="Arial"/>
          <w:sz w:val="18"/>
          <w:szCs w:val="18"/>
        </w:rPr>
        <w:t>”</w:t>
      </w:r>
      <w:r w:rsidR="00080CCB" w:rsidRPr="005A21D2">
        <w:rPr>
          <w:rFonts w:ascii="Century Gothic" w:hAnsi="Century Gothic" w:cs="Arial"/>
          <w:sz w:val="18"/>
          <w:szCs w:val="18"/>
        </w:rPr>
        <w:t xml:space="preserve">.  </w:t>
      </w:r>
    </w:p>
  </w:footnote>
  <w:footnote w:id="13">
    <w:p w14:paraId="694C48EE" w14:textId="571529AD" w:rsidR="00D10E43" w:rsidRPr="005A21D2" w:rsidRDefault="00D10E43" w:rsidP="005A21D2">
      <w:pPr>
        <w:pStyle w:val="Textonotapie"/>
        <w:ind w:firstLine="708"/>
        <w:jc w:val="both"/>
        <w:rPr>
          <w:rFonts w:ascii="Century Gothic" w:hAnsi="Century Gothic" w:cs="Arial"/>
          <w:sz w:val="18"/>
          <w:szCs w:val="18"/>
        </w:rPr>
      </w:pPr>
      <w:r w:rsidRPr="005A21D2">
        <w:rPr>
          <w:rStyle w:val="Refdenotaalpie"/>
          <w:rFonts w:ascii="Century Gothic" w:hAnsi="Century Gothic" w:cs="Arial"/>
          <w:sz w:val="18"/>
          <w:szCs w:val="18"/>
        </w:rPr>
        <w:footnoteRef/>
      </w:r>
      <w:r w:rsidRPr="005A21D2">
        <w:rPr>
          <w:rFonts w:ascii="Century Gothic" w:hAnsi="Century Gothic" w:cs="Arial"/>
          <w:sz w:val="18"/>
          <w:szCs w:val="18"/>
        </w:rPr>
        <w:t xml:space="preserve"> Ley 1150 de 2007, artículo 5, parágrafo 1: </w:t>
      </w:r>
      <w:r w:rsidR="007422B1" w:rsidRPr="005A21D2">
        <w:rPr>
          <w:rFonts w:ascii="Century Gothic" w:hAnsi="Century Gothic" w:cs="Arial"/>
          <w:sz w:val="18"/>
          <w:szCs w:val="18"/>
          <w:lang w:val="es-CO"/>
        </w:rPr>
        <w:t>“</w:t>
      </w:r>
      <w:r w:rsidRPr="005A21D2">
        <w:rPr>
          <w:rFonts w:ascii="Century Gothic" w:hAnsi="Century Gothic" w:cs="Arial"/>
          <w:sz w:val="18"/>
          <w:szCs w:val="18"/>
        </w:rPr>
        <w:t>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w:t>
      </w:r>
    </w:p>
    <w:p w14:paraId="2E96B418" w14:textId="0C30F9FA" w:rsidR="00D10E43" w:rsidRPr="005A21D2" w:rsidRDefault="007422B1" w:rsidP="005A21D2">
      <w:pPr>
        <w:pStyle w:val="Textonotapie"/>
        <w:ind w:firstLine="708"/>
        <w:jc w:val="both"/>
        <w:rPr>
          <w:rFonts w:ascii="Century Gothic" w:hAnsi="Century Gothic" w:cs="Arial"/>
          <w:sz w:val="18"/>
          <w:szCs w:val="18"/>
        </w:rPr>
      </w:pPr>
      <w:r w:rsidRPr="005A21D2">
        <w:rPr>
          <w:rFonts w:ascii="Century Gothic" w:hAnsi="Century Gothic" w:cs="Arial"/>
          <w:sz w:val="18"/>
          <w:szCs w:val="18"/>
        </w:rPr>
        <w:t>“</w:t>
      </w:r>
      <w:r w:rsidR="00D10E43" w:rsidRPr="005A21D2">
        <w:rPr>
          <w:rFonts w:ascii="Century Gothic" w:hAnsi="Century Gothic" w:cs="Arial"/>
          <w:sz w:val="18"/>
          <w:szCs w:val="18"/>
        </w:rPr>
        <w:t>Durante el término otorgado para subsanar las ofertas, los proponentes no podrán acreditar circunstancias ocurridas con posterioridad al cierre del proceso</w:t>
      </w:r>
      <w:r w:rsidRPr="005A21D2">
        <w:rPr>
          <w:rFonts w:ascii="Century Gothic" w:hAnsi="Century Gothic" w:cs="Arial"/>
          <w:sz w:val="18"/>
          <w:szCs w:val="18"/>
        </w:rPr>
        <w:t>”</w:t>
      </w:r>
      <w:r w:rsidR="00D10E43" w:rsidRPr="005A21D2">
        <w:rPr>
          <w:rFonts w:ascii="Century Gothic" w:hAnsi="Century Gothic" w:cs="Arial"/>
          <w:sz w:val="18"/>
          <w:szCs w:val="18"/>
        </w:rPr>
        <w:t>.</w:t>
      </w:r>
    </w:p>
    <w:p w14:paraId="6687CA31" w14:textId="77777777" w:rsidR="00D10E43" w:rsidRPr="005A21D2" w:rsidRDefault="00D10E43" w:rsidP="005A21D2">
      <w:pPr>
        <w:pStyle w:val="Textonotapie"/>
        <w:ind w:firstLine="708"/>
        <w:jc w:val="both"/>
        <w:rPr>
          <w:rFonts w:ascii="Century Gothic" w:hAnsi="Century Gothic" w:cs="Arial"/>
          <w:sz w:val="18"/>
          <w:szCs w:val="18"/>
          <w:lang w:val="es-CO"/>
        </w:rPr>
      </w:pPr>
    </w:p>
  </w:footnote>
  <w:footnote w:id="14">
    <w:p w14:paraId="38A78BCB" w14:textId="77777777" w:rsidR="000C7911" w:rsidRPr="005A21D2" w:rsidRDefault="000C7911" w:rsidP="0093541B">
      <w:pPr>
        <w:pStyle w:val="Textonotapie"/>
        <w:ind w:firstLine="708"/>
        <w:jc w:val="both"/>
        <w:rPr>
          <w:rFonts w:ascii="Century Gothic" w:hAnsi="Century Gothic"/>
          <w:sz w:val="18"/>
          <w:szCs w:val="18"/>
        </w:rPr>
      </w:pPr>
      <w:r w:rsidRPr="005A21D2">
        <w:rPr>
          <w:rStyle w:val="Refdenotaalpie"/>
          <w:rFonts w:ascii="Century Gothic" w:hAnsi="Century Gothic"/>
          <w:sz w:val="18"/>
          <w:szCs w:val="18"/>
        </w:rPr>
        <w:footnoteRef/>
      </w:r>
      <w:r w:rsidRPr="005A21D2">
        <w:rPr>
          <w:rFonts w:ascii="Century Gothic" w:hAnsi="Century Gothic"/>
          <w:sz w:val="18"/>
          <w:szCs w:val="18"/>
        </w:rPr>
        <w:t xml:space="preserve"> </w:t>
      </w:r>
      <w:r w:rsidRPr="005A21D2">
        <w:rPr>
          <w:rFonts w:ascii="Century Gothic" w:hAnsi="Century Gothic" w:cs="Arial"/>
          <w:sz w:val="18"/>
          <w:szCs w:val="18"/>
          <w:lang w:val="es-ES_tradnl"/>
        </w:rPr>
        <w:t xml:space="preserve">Consejo de Estado, Sala de lo Contencioso Administrativo, Sección Tercera, Subsección C, sentencia del 26 de marzo de 2014, radicación </w:t>
      </w:r>
      <w:r w:rsidRPr="005A21D2">
        <w:rPr>
          <w:rFonts w:ascii="Century Gothic" w:hAnsi="Century Gothic" w:cs="Arial"/>
          <w:iCs/>
          <w:sz w:val="18"/>
          <w:szCs w:val="18"/>
        </w:rPr>
        <w:t>05001-23-31-000-1998-01503-01 (25.750).</w:t>
      </w:r>
    </w:p>
  </w:footnote>
  <w:footnote w:id="15">
    <w:p w14:paraId="0EAAAA10" w14:textId="77777777" w:rsidR="000C7911" w:rsidRPr="005A21D2" w:rsidRDefault="000C7911" w:rsidP="0093541B">
      <w:pPr>
        <w:ind w:firstLine="708"/>
        <w:jc w:val="both"/>
        <w:rPr>
          <w:rFonts w:ascii="Century Gothic" w:hAnsi="Century Gothic" w:cs="Arial"/>
          <w:iCs/>
          <w:sz w:val="18"/>
          <w:szCs w:val="18"/>
        </w:rPr>
      </w:pPr>
      <w:r w:rsidRPr="005A21D2">
        <w:rPr>
          <w:rStyle w:val="Refdenotaalpie"/>
          <w:rFonts w:ascii="Century Gothic" w:hAnsi="Century Gothic"/>
          <w:sz w:val="18"/>
          <w:szCs w:val="18"/>
        </w:rPr>
        <w:footnoteRef/>
      </w:r>
      <w:r w:rsidRPr="005A21D2">
        <w:rPr>
          <w:rFonts w:ascii="Century Gothic" w:hAnsi="Century Gothic"/>
          <w:sz w:val="18"/>
          <w:szCs w:val="18"/>
        </w:rPr>
        <w:t xml:space="preserve"> </w:t>
      </w:r>
      <w:r w:rsidRPr="005A21D2">
        <w:rPr>
          <w:rFonts w:ascii="Century Gothic" w:hAnsi="Century Gothic" w:cs="Arial"/>
          <w:sz w:val="18"/>
          <w:szCs w:val="18"/>
        </w:rPr>
        <w:t xml:space="preserve">Consejo de Estado, Sala de lo Contencioso Administrativo, Sección Tercera, Subsección A, sentencia del 26 de noviembre de 2014, radicación </w:t>
      </w:r>
      <w:r w:rsidRPr="005A21D2">
        <w:rPr>
          <w:rFonts w:ascii="Century Gothic" w:hAnsi="Century Gothic" w:cs="Arial"/>
          <w:bCs/>
          <w:sz w:val="18"/>
          <w:szCs w:val="18"/>
        </w:rPr>
        <w:t>760012331000199801093 01 (31.297).</w:t>
      </w:r>
    </w:p>
  </w:footnote>
  <w:footnote w:id="16">
    <w:p w14:paraId="444AEDF2" w14:textId="77777777" w:rsidR="000C7911" w:rsidRPr="005A21D2" w:rsidRDefault="000C7911" w:rsidP="0093541B">
      <w:pPr>
        <w:pStyle w:val="Textonotapie"/>
        <w:ind w:firstLine="708"/>
        <w:jc w:val="both"/>
        <w:rPr>
          <w:rFonts w:ascii="Century Gothic" w:hAnsi="Century Gothic"/>
          <w:sz w:val="18"/>
          <w:szCs w:val="18"/>
        </w:rPr>
      </w:pPr>
      <w:r w:rsidRPr="005A21D2">
        <w:rPr>
          <w:rStyle w:val="Refdenotaalpie"/>
          <w:rFonts w:ascii="Century Gothic" w:hAnsi="Century Gothic"/>
          <w:sz w:val="18"/>
          <w:szCs w:val="18"/>
        </w:rPr>
        <w:footnoteRef/>
      </w:r>
      <w:r w:rsidRPr="005A21D2">
        <w:rPr>
          <w:rFonts w:ascii="Century Gothic" w:hAnsi="Century Gothic"/>
          <w:sz w:val="18"/>
          <w:szCs w:val="18"/>
        </w:rPr>
        <w:t xml:space="preserve"> </w:t>
      </w:r>
      <w:r w:rsidRPr="005A21D2">
        <w:rPr>
          <w:rFonts w:ascii="Century Gothic" w:hAnsi="Century Gothic" w:cs="Arial"/>
          <w:sz w:val="18"/>
          <w:szCs w:val="18"/>
          <w:lang w:val="es-ES_tradnl"/>
        </w:rPr>
        <w:t xml:space="preserve">Consejo de Estado, Sala de lo Contencioso Administrativo, Sección Tercera, Subsección A, sentencia del 27 de abril de 2016, radicación </w:t>
      </w:r>
      <w:r w:rsidRPr="005A21D2">
        <w:rPr>
          <w:rFonts w:ascii="Century Gothic" w:hAnsi="Century Gothic" w:cs="Arial"/>
          <w:sz w:val="18"/>
          <w:szCs w:val="18"/>
        </w:rPr>
        <w:t>2500-23-26-000-2007-00664-01(46818),</w:t>
      </w:r>
    </w:p>
  </w:footnote>
  <w:footnote w:id="17">
    <w:p w14:paraId="0997375B" w14:textId="77777777" w:rsidR="000C7911" w:rsidRPr="005A21D2" w:rsidRDefault="000C7911" w:rsidP="0093541B">
      <w:pPr>
        <w:pStyle w:val="Textonotapie"/>
        <w:ind w:firstLine="708"/>
        <w:jc w:val="both"/>
        <w:rPr>
          <w:rFonts w:ascii="Century Gothic" w:hAnsi="Century Gothic" w:cs="Arial"/>
          <w:sz w:val="18"/>
          <w:szCs w:val="18"/>
        </w:rPr>
      </w:pPr>
      <w:r w:rsidRPr="005A21D2">
        <w:rPr>
          <w:rStyle w:val="Refdenotaalpie"/>
          <w:rFonts w:ascii="Century Gothic" w:hAnsi="Century Gothic" w:cs="Arial"/>
          <w:sz w:val="18"/>
          <w:szCs w:val="18"/>
        </w:rPr>
        <w:footnoteRef/>
      </w:r>
      <w:r w:rsidRPr="005A21D2">
        <w:rPr>
          <w:rFonts w:ascii="Century Gothic" w:hAnsi="Century Gothic" w:cs="Arial"/>
          <w:sz w:val="18"/>
          <w:szCs w:val="18"/>
        </w:rPr>
        <w:t xml:space="preserve"> </w:t>
      </w:r>
      <w:r w:rsidRPr="005A21D2">
        <w:rPr>
          <w:rFonts w:ascii="Century Gothic" w:eastAsia="Times New Roman" w:hAnsi="Century Gothic" w:cs="Arial"/>
          <w:color w:val="000000"/>
          <w:sz w:val="18"/>
          <w:szCs w:val="18"/>
        </w:rPr>
        <w:t>Consejo de Estado, Sala de lo Contencioso Administrativo, Sección Tercera, Subsección A, en sentencia del 2 de julio de 2021 de Exp. 58372.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B0E5F1B"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5B5D8B">
      <w:rPr>
        <w:rFonts w:ascii="Century Gothic" w:eastAsia="Geo" w:hAnsi="Century Gothic" w:cs="Geo"/>
        <w:bCs/>
        <w:color w:val="000000"/>
        <w:sz w:val="16"/>
        <w:szCs w:val="16"/>
        <w:lang w:eastAsia="es-CO"/>
      </w:rPr>
      <w:t>7</w:t>
    </w:r>
  </w:p>
  <w:p w14:paraId="1FD1C243" w14:textId="0C128675" w:rsidR="008A446D" w:rsidRDefault="004A305D" w:rsidP="005B5D8B">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005B5D8B" w:rsidRPr="004A305D">
      <w:rPr>
        <w:rFonts w:ascii="Century Gothic" w:eastAsia="Geo" w:hAnsi="Century Gothic" w:cs="Geo"/>
        <w:sz w:val="16"/>
        <w:szCs w:val="16"/>
        <w:lang w:eastAsia="es-CO"/>
      </w:rPr>
      <w:t>0</w:t>
    </w:r>
    <w:r w:rsidR="005B5D8B">
      <w:rPr>
        <w:rFonts w:ascii="Century Gothic" w:eastAsia="Geo" w:hAnsi="Century Gothic" w:cs="Geo"/>
        <w:sz w:val="16"/>
        <w:szCs w:val="16"/>
        <w:lang w:eastAsia="es-CO"/>
      </w:rPr>
      <w:t>2</w:t>
    </w:r>
    <w:r w:rsidR="005B5D8B" w:rsidRPr="004A305D">
      <w:rPr>
        <w:rFonts w:ascii="Century Gothic" w:eastAsia="Geo" w:hAnsi="Century Gothic" w:cs="Geo"/>
        <w:sz w:val="16"/>
        <w:szCs w:val="16"/>
        <w:lang w:eastAsia="es-CO"/>
      </w:rPr>
      <w:t xml:space="preserve"> DEL </w:t>
    </w:r>
    <w:r w:rsidR="005B5D8B">
      <w:rPr>
        <w:rFonts w:ascii="Century Gothic" w:eastAsia="Geo" w:hAnsi="Century Gothic" w:cs="Geo"/>
        <w:sz w:val="16"/>
        <w:szCs w:val="16"/>
        <w:lang w:eastAsia="es-CO"/>
      </w:rPr>
      <w:t xml:space="preserve">22 </w:t>
    </w:r>
    <w:r w:rsidR="005B5D8B" w:rsidRPr="004A305D">
      <w:rPr>
        <w:rFonts w:ascii="Century Gothic" w:eastAsia="Geo" w:hAnsi="Century Gothic" w:cs="Geo"/>
        <w:sz w:val="16"/>
        <w:szCs w:val="16"/>
        <w:lang w:eastAsia="es-CO"/>
      </w:rPr>
      <w:t xml:space="preserve">DE </w:t>
    </w:r>
    <w:r w:rsidR="005B5D8B">
      <w:rPr>
        <w:rFonts w:ascii="Century Gothic" w:eastAsia="Geo" w:hAnsi="Century Gothic" w:cs="Geo"/>
        <w:sz w:val="16"/>
        <w:szCs w:val="16"/>
        <w:lang w:eastAsia="es-CO"/>
      </w:rPr>
      <w:t>AGOSTO</w:t>
    </w:r>
    <w:r w:rsidR="005B5D8B" w:rsidRPr="004A305D">
      <w:rPr>
        <w:rFonts w:ascii="Century Gothic" w:eastAsia="Geo" w:hAnsi="Century Gothic" w:cs="Geo"/>
        <w:sz w:val="16"/>
        <w:szCs w:val="16"/>
        <w:lang w:eastAsia="es-CO"/>
      </w:rPr>
      <w:t xml:space="preserve"> DE 202</w:t>
    </w:r>
    <w:r w:rsidR="005B5D8B">
      <w:rPr>
        <w:rFonts w:ascii="Century Gothic" w:eastAsia="Geo" w:hAnsi="Century Gothic" w:cs="Geo"/>
        <w:sz w:val="16"/>
        <w:szCs w:val="16"/>
        <w:lang w:eastAsia="es-CO"/>
      </w:rPr>
      <w:t>3</w:t>
    </w:r>
  </w:p>
  <w:p w14:paraId="3DBCDD3E" w14:textId="77777777" w:rsidR="005B5D8B" w:rsidRPr="005B5D8B" w:rsidRDefault="005B5D8B" w:rsidP="005B5D8B">
    <w:pPr>
      <w:spacing w:after="0"/>
      <w:rPr>
        <w:rFonts w:ascii="Century Gothic" w:eastAsia="Geo" w:hAnsi="Century Gothic" w:cs="Geo"/>
        <w:sz w:val="16"/>
        <w:szCs w:val="16"/>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9584D70"/>
    <w:multiLevelType w:val="hybridMultilevel"/>
    <w:tmpl w:val="A8FC7D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E8731F6"/>
    <w:multiLevelType w:val="hybridMultilevel"/>
    <w:tmpl w:val="8528DC66"/>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num w:numId="1" w16cid:durableId="658116237">
    <w:abstractNumId w:val="2"/>
  </w:num>
  <w:num w:numId="2" w16cid:durableId="1998679036">
    <w:abstractNumId w:val="0"/>
  </w:num>
  <w:num w:numId="3" w16cid:durableId="1715040265">
    <w:abstractNumId w:val="1"/>
  </w:num>
  <w:num w:numId="4" w16cid:durableId="19474252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4487441">
    <w:abstractNumId w:val="0"/>
  </w:num>
  <w:num w:numId="6" w16cid:durableId="813837977">
    <w:abstractNumId w:val="4"/>
  </w:num>
  <w:num w:numId="7" w16cid:durableId="281155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30222"/>
    <w:rsid w:val="0003422E"/>
    <w:rsid w:val="0004079C"/>
    <w:rsid w:val="00070A66"/>
    <w:rsid w:val="00076B48"/>
    <w:rsid w:val="00080CCB"/>
    <w:rsid w:val="000A5DAA"/>
    <w:rsid w:val="000A683E"/>
    <w:rsid w:val="000B12B4"/>
    <w:rsid w:val="000B19B9"/>
    <w:rsid w:val="000C5FA0"/>
    <w:rsid w:val="000C7911"/>
    <w:rsid w:val="000D0334"/>
    <w:rsid w:val="000E186E"/>
    <w:rsid w:val="000E5426"/>
    <w:rsid w:val="000E7008"/>
    <w:rsid w:val="000F6486"/>
    <w:rsid w:val="000F7D55"/>
    <w:rsid w:val="00125105"/>
    <w:rsid w:val="00127233"/>
    <w:rsid w:val="00136CF2"/>
    <w:rsid w:val="00152823"/>
    <w:rsid w:val="00157F6D"/>
    <w:rsid w:val="001601DD"/>
    <w:rsid w:val="0018114D"/>
    <w:rsid w:val="001951C0"/>
    <w:rsid w:val="001A4E98"/>
    <w:rsid w:val="001A7712"/>
    <w:rsid w:val="001B1284"/>
    <w:rsid w:val="001B1DAE"/>
    <w:rsid w:val="001B606D"/>
    <w:rsid w:val="001B6615"/>
    <w:rsid w:val="001C294A"/>
    <w:rsid w:val="001C46F4"/>
    <w:rsid w:val="001C6F64"/>
    <w:rsid w:val="001D524C"/>
    <w:rsid w:val="001E1F0A"/>
    <w:rsid w:val="001E340E"/>
    <w:rsid w:val="001E4177"/>
    <w:rsid w:val="001E5E04"/>
    <w:rsid w:val="001F6146"/>
    <w:rsid w:val="00222D1A"/>
    <w:rsid w:val="002311DC"/>
    <w:rsid w:val="00233F97"/>
    <w:rsid w:val="00242004"/>
    <w:rsid w:val="00276441"/>
    <w:rsid w:val="002951A0"/>
    <w:rsid w:val="002962BC"/>
    <w:rsid w:val="002A093D"/>
    <w:rsid w:val="002A49AC"/>
    <w:rsid w:val="002A64FD"/>
    <w:rsid w:val="002B17A7"/>
    <w:rsid w:val="002C663D"/>
    <w:rsid w:val="002C7A84"/>
    <w:rsid w:val="002D0B44"/>
    <w:rsid w:val="002D0D16"/>
    <w:rsid w:val="002D567A"/>
    <w:rsid w:val="002F5537"/>
    <w:rsid w:val="00302834"/>
    <w:rsid w:val="00310E98"/>
    <w:rsid w:val="003110BA"/>
    <w:rsid w:val="00334514"/>
    <w:rsid w:val="003448F4"/>
    <w:rsid w:val="003877BE"/>
    <w:rsid w:val="003952C0"/>
    <w:rsid w:val="0039591C"/>
    <w:rsid w:val="003A4E05"/>
    <w:rsid w:val="003A779E"/>
    <w:rsid w:val="003C425E"/>
    <w:rsid w:val="003C497B"/>
    <w:rsid w:val="003C69C4"/>
    <w:rsid w:val="003C7500"/>
    <w:rsid w:val="003D0F4D"/>
    <w:rsid w:val="003D63E6"/>
    <w:rsid w:val="003E0029"/>
    <w:rsid w:val="003E0499"/>
    <w:rsid w:val="003F3941"/>
    <w:rsid w:val="003F3AB8"/>
    <w:rsid w:val="00400548"/>
    <w:rsid w:val="00407DEB"/>
    <w:rsid w:val="004267AE"/>
    <w:rsid w:val="00443DEB"/>
    <w:rsid w:val="00450768"/>
    <w:rsid w:val="004552F4"/>
    <w:rsid w:val="0045792C"/>
    <w:rsid w:val="0047034A"/>
    <w:rsid w:val="00470D57"/>
    <w:rsid w:val="00473009"/>
    <w:rsid w:val="004A1847"/>
    <w:rsid w:val="004A1DB0"/>
    <w:rsid w:val="004A2129"/>
    <w:rsid w:val="004A305D"/>
    <w:rsid w:val="004A73C6"/>
    <w:rsid w:val="004F21C4"/>
    <w:rsid w:val="004F685F"/>
    <w:rsid w:val="004F7CDC"/>
    <w:rsid w:val="00513CC1"/>
    <w:rsid w:val="00521C8B"/>
    <w:rsid w:val="00524C10"/>
    <w:rsid w:val="00533E8F"/>
    <w:rsid w:val="00544075"/>
    <w:rsid w:val="00552A02"/>
    <w:rsid w:val="005566E8"/>
    <w:rsid w:val="00561301"/>
    <w:rsid w:val="00574867"/>
    <w:rsid w:val="00576B60"/>
    <w:rsid w:val="005860AA"/>
    <w:rsid w:val="005871D7"/>
    <w:rsid w:val="00592A5B"/>
    <w:rsid w:val="005A14B3"/>
    <w:rsid w:val="005A21D2"/>
    <w:rsid w:val="005B5D8B"/>
    <w:rsid w:val="005C5CDC"/>
    <w:rsid w:val="005D3060"/>
    <w:rsid w:val="005D476C"/>
    <w:rsid w:val="006219F8"/>
    <w:rsid w:val="00643AE0"/>
    <w:rsid w:val="00646E40"/>
    <w:rsid w:val="00665D70"/>
    <w:rsid w:val="0067086C"/>
    <w:rsid w:val="00671943"/>
    <w:rsid w:val="00682258"/>
    <w:rsid w:val="006A0412"/>
    <w:rsid w:val="006A4470"/>
    <w:rsid w:val="006A5C9A"/>
    <w:rsid w:val="006A71C3"/>
    <w:rsid w:val="006B28AA"/>
    <w:rsid w:val="006B452F"/>
    <w:rsid w:val="006B7EA8"/>
    <w:rsid w:val="006C293D"/>
    <w:rsid w:val="006F013F"/>
    <w:rsid w:val="006F5C25"/>
    <w:rsid w:val="00706C16"/>
    <w:rsid w:val="00712D18"/>
    <w:rsid w:val="00717307"/>
    <w:rsid w:val="00717FB4"/>
    <w:rsid w:val="007216E2"/>
    <w:rsid w:val="0073101B"/>
    <w:rsid w:val="007422B1"/>
    <w:rsid w:val="00744EE1"/>
    <w:rsid w:val="0075367A"/>
    <w:rsid w:val="00756841"/>
    <w:rsid w:val="00763913"/>
    <w:rsid w:val="007649AB"/>
    <w:rsid w:val="00776027"/>
    <w:rsid w:val="007833AC"/>
    <w:rsid w:val="00793C86"/>
    <w:rsid w:val="007B25A6"/>
    <w:rsid w:val="007B7171"/>
    <w:rsid w:val="007C1865"/>
    <w:rsid w:val="007C3DC2"/>
    <w:rsid w:val="007E5497"/>
    <w:rsid w:val="007F632F"/>
    <w:rsid w:val="008061C7"/>
    <w:rsid w:val="00806F5F"/>
    <w:rsid w:val="00810C91"/>
    <w:rsid w:val="00813A50"/>
    <w:rsid w:val="00815459"/>
    <w:rsid w:val="00820278"/>
    <w:rsid w:val="0082066F"/>
    <w:rsid w:val="00842227"/>
    <w:rsid w:val="00845F48"/>
    <w:rsid w:val="00877855"/>
    <w:rsid w:val="008811A5"/>
    <w:rsid w:val="008843B6"/>
    <w:rsid w:val="00887353"/>
    <w:rsid w:val="00891928"/>
    <w:rsid w:val="008A446D"/>
    <w:rsid w:val="008C6FA9"/>
    <w:rsid w:val="008E025D"/>
    <w:rsid w:val="008F0EA7"/>
    <w:rsid w:val="008F159A"/>
    <w:rsid w:val="008F2D39"/>
    <w:rsid w:val="008F68F0"/>
    <w:rsid w:val="009002EC"/>
    <w:rsid w:val="0091498F"/>
    <w:rsid w:val="00923959"/>
    <w:rsid w:val="00923EEF"/>
    <w:rsid w:val="0093541B"/>
    <w:rsid w:val="00935E40"/>
    <w:rsid w:val="009419F9"/>
    <w:rsid w:val="00951CD9"/>
    <w:rsid w:val="00961B09"/>
    <w:rsid w:val="009620F6"/>
    <w:rsid w:val="00965334"/>
    <w:rsid w:val="0097093E"/>
    <w:rsid w:val="009849B3"/>
    <w:rsid w:val="00987B00"/>
    <w:rsid w:val="009C71FA"/>
    <w:rsid w:val="009C72E7"/>
    <w:rsid w:val="009C7DFF"/>
    <w:rsid w:val="00A00A72"/>
    <w:rsid w:val="00A04B7E"/>
    <w:rsid w:val="00A07866"/>
    <w:rsid w:val="00A13CF8"/>
    <w:rsid w:val="00A16797"/>
    <w:rsid w:val="00A17F13"/>
    <w:rsid w:val="00A20739"/>
    <w:rsid w:val="00A21FC5"/>
    <w:rsid w:val="00A25826"/>
    <w:rsid w:val="00A33C78"/>
    <w:rsid w:val="00A44459"/>
    <w:rsid w:val="00A70439"/>
    <w:rsid w:val="00A71675"/>
    <w:rsid w:val="00A87B24"/>
    <w:rsid w:val="00AA5058"/>
    <w:rsid w:val="00AB084C"/>
    <w:rsid w:val="00AB0ADB"/>
    <w:rsid w:val="00AB556F"/>
    <w:rsid w:val="00AC55AB"/>
    <w:rsid w:val="00AE2380"/>
    <w:rsid w:val="00AE34EB"/>
    <w:rsid w:val="00AE3D6E"/>
    <w:rsid w:val="00AE6B6C"/>
    <w:rsid w:val="00AF4FE4"/>
    <w:rsid w:val="00B012DB"/>
    <w:rsid w:val="00B06EFD"/>
    <w:rsid w:val="00B20985"/>
    <w:rsid w:val="00B67855"/>
    <w:rsid w:val="00B72CD3"/>
    <w:rsid w:val="00B72FFF"/>
    <w:rsid w:val="00B94F2C"/>
    <w:rsid w:val="00BA6DB2"/>
    <w:rsid w:val="00BA7A9D"/>
    <w:rsid w:val="00BB1CF6"/>
    <w:rsid w:val="00BD09EA"/>
    <w:rsid w:val="00BD2E7A"/>
    <w:rsid w:val="00BD7F72"/>
    <w:rsid w:val="00BE0360"/>
    <w:rsid w:val="00BE082A"/>
    <w:rsid w:val="00BF6DE4"/>
    <w:rsid w:val="00BF6F41"/>
    <w:rsid w:val="00C04FB3"/>
    <w:rsid w:val="00C05B71"/>
    <w:rsid w:val="00C330EB"/>
    <w:rsid w:val="00C349BB"/>
    <w:rsid w:val="00C52DC1"/>
    <w:rsid w:val="00C754BE"/>
    <w:rsid w:val="00CA2549"/>
    <w:rsid w:val="00CB1580"/>
    <w:rsid w:val="00CB1CBF"/>
    <w:rsid w:val="00CB3574"/>
    <w:rsid w:val="00CB4BC4"/>
    <w:rsid w:val="00CB5519"/>
    <w:rsid w:val="00CB6357"/>
    <w:rsid w:val="00CC1B26"/>
    <w:rsid w:val="00CD0CEF"/>
    <w:rsid w:val="00CF1883"/>
    <w:rsid w:val="00CF681A"/>
    <w:rsid w:val="00D0693B"/>
    <w:rsid w:val="00D10E43"/>
    <w:rsid w:val="00D155A3"/>
    <w:rsid w:val="00D17D15"/>
    <w:rsid w:val="00D35126"/>
    <w:rsid w:val="00D423A2"/>
    <w:rsid w:val="00D4633F"/>
    <w:rsid w:val="00D467C9"/>
    <w:rsid w:val="00D479B3"/>
    <w:rsid w:val="00D53E23"/>
    <w:rsid w:val="00D63AC2"/>
    <w:rsid w:val="00D7041D"/>
    <w:rsid w:val="00D73179"/>
    <w:rsid w:val="00D7383B"/>
    <w:rsid w:val="00D90EF2"/>
    <w:rsid w:val="00D93720"/>
    <w:rsid w:val="00DA0171"/>
    <w:rsid w:val="00DA112C"/>
    <w:rsid w:val="00DA231B"/>
    <w:rsid w:val="00DB5A85"/>
    <w:rsid w:val="00DC1879"/>
    <w:rsid w:val="00DE3215"/>
    <w:rsid w:val="00E16408"/>
    <w:rsid w:val="00E20894"/>
    <w:rsid w:val="00E245AB"/>
    <w:rsid w:val="00E34336"/>
    <w:rsid w:val="00E46F44"/>
    <w:rsid w:val="00E50AFE"/>
    <w:rsid w:val="00E51532"/>
    <w:rsid w:val="00E657D9"/>
    <w:rsid w:val="00E71A20"/>
    <w:rsid w:val="00E726B3"/>
    <w:rsid w:val="00E771DC"/>
    <w:rsid w:val="00E8265D"/>
    <w:rsid w:val="00E82834"/>
    <w:rsid w:val="00E8428F"/>
    <w:rsid w:val="00E8772A"/>
    <w:rsid w:val="00E90F6B"/>
    <w:rsid w:val="00E926CA"/>
    <w:rsid w:val="00E92C27"/>
    <w:rsid w:val="00EA0E3D"/>
    <w:rsid w:val="00EA1F1D"/>
    <w:rsid w:val="00EC489E"/>
    <w:rsid w:val="00EE1AA8"/>
    <w:rsid w:val="00EE5BA9"/>
    <w:rsid w:val="00EE7458"/>
    <w:rsid w:val="00EE7B75"/>
    <w:rsid w:val="00EF1282"/>
    <w:rsid w:val="00F204AB"/>
    <w:rsid w:val="00F2584B"/>
    <w:rsid w:val="00F31EDC"/>
    <w:rsid w:val="00F3719A"/>
    <w:rsid w:val="00F474AA"/>
    <w:rsid w:val="00F5664F"/>
    <w:rsid w:val="00F613A2"/>
    <w:rsid w:val="00F714FA"/>
    <w:rsid w:val="00F76AFC"/>
    <w:rsid w:val="00F76E9A"/>
    <w:rsid w:val="00F810BE"/>
    <w:rsid w:val="00F81C63"/>
    <w:rsid w:val="00F86CCF"/>
    <w:rsid w:val="00F9626A"/>
    <w:rsid w:val="00FA7423"/>
    <w:rsid w:val="00FB5DD1"/>
    <w:rsid w:val="00FC2B5D"/>
    <w:rsid w:val="00FD1E4E"/>
    <w:rsid w:val="00FF1449"/>
    <w:rsid w:val="00FF4E31"/>
    <w:rsid w:val="01E6DEE6"/>
    <w:rsid w:val="2FAFB76D"/>
    <w:rsid w:val="596BD7BB"/>
    <w:rsid w:val="687B05C8"/>
    <w:rsid w:val="6C113A55"/>
    <w:rsid w:val="7278C889"/>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semiHidden/>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10E43"/>
    <w:rPr>
      <w:rFonts w:ascii="Geomanist Light" w:hAnsi="Geomanist Light"/>
      <w:lang w:val="es-ES"/>
    </w:rPr>
  </w:style>
  <w:style w:type="paragraph" w:styleId="Textoindependiente">
    <w:name w:val="Body Text"/>
    <w:basedOn w:val="Normal"/>
    <w:link w:val="TextoindependienteCar"/>
    <w:uiPriority w:val="1"/>
    <w:unhideWhenUsed/>
    <w:qFormat/>
    <w:rsid w:val="00D10E43"/>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D10E43"/>
    <w:rPr>
      <w:rFonts w:ascii="Arial" w:eastAsia="Arial" w:hAnsi="Arial" w:cs="Arial"/>
      <w:lang w:val="es-ES" w:eastAsia="es-ES" w:bidi="es-ES"/>
    </w:rPr>
  </w:style>
  <w:style w:type="paragraph" w:customStyle="1" w:styleId="Appelnotedebasde">
    <w:name w:val="Appel note de bas de..."/>
    <w:basedOn w:val="Normal"/>
    <w:link w:val="Refdenotaalpie"/>
    <w:rsid w:val="00080CCB"/>
    <w:pPr>
      <w:spacing w:line="240" w:lineRule="exact"/>
    </w:pPr>
    <w:rPr>
      <w:vertAlign w:val="superscript"/>
    </w:rPr>
  </w:style>
  <w:style w:type="paragraph" w:customStyle="1" w:styleId="xmsonospacing">
    <w:name w:val="x_msonospacing"/>
    <w:basedOn w:val="Normal"/>
    <w:rsid w:val="00080CC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ED5858AD-6D65-45AB-B201-200B90BB6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D30244-1251-410C-8FC1-8FD751768180}">
  <ds:schemaRefs>
    <ds:schemaRef ds:uri="http://schemas.openxmlformats.org/officeDocument/2006/bibliography"/>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6062</Words>
  <Characters>33343</Characters>
  <Application>Microsoft Office Word</Application>
  <DocSecurity>0</DocSecurity>
  <Lines>277</Lines>
  <Paragraphs>78</Paragraphs>
  <ScaleCrop>false</ScaleCrop>
  <Company/>
  <LinksUpToDate>false</LinksUpToDate>
  <CharactersWithSpaces>39327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2024-01-03T20:39:00Z</dcterms:created>
  <dcterms:modified xsi:type="dcterms:W3CDTF">2024-01-03T20:39:00Z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