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50033" w14:textId="77777777" w:rsidR="005E70C7" w:rsidRPr="00D90815" w:rsidRDefault="005E70C7" w:rsidP="005E70C7">
      <w:pPr>
        <w:spacing w:after="0" w:line="240" w:lineRule="auto"/>
        <w:contextualSpacing/>
        <w:jc w:val="both"/>
        <w:rPr>
          <w:rFonts w:ascii="Arial" w:eastAsia="Calibri" w:hAnsi="Arial" w:cs="Arial"/>
          <w:b/>
          <w:noProof/>
          <w:lang w:val="es-ES_tradnl"/>
        </w:rPr>
      </w:pPr>
      <w:r w:rsidRPr="00D90815">
        <w:rPr>
          <w:rFonts w:ascii="Arial" w:eastAsia="Calibri" w:hAnsi="Arial" w:cs="Arial"/>
          <w:b/>
          <w:noProof/>
          <w:lang w:val="es-ES_tradnl"/>
        </w:rPr>
        <w:t xml:space="preserve">LEY DE GARANTÍAS ELECTORALES – Definición – Finalidad </w:t>
      </w:r>
    </w:p>
    <w:p w14:paraId="51358DF3" w14:textId="77777777" w:rsidR="005E70C7" w:rsidRPr="00D90815" w:rsidRDefault="005E70C7" w:rsidP="005E70C7">
      <w:pPr>
        <w:spacing w:after="0" w:line="240" w:lineRule="auto"/>
        <w:contextualSpacing/>
        <w:jc w:val="both"/>
        <w:rPr>
          <w:rFonts w:ascii="Arial" w:eastAsia="Calibri" w:hAnsi="Arial" w:cs="Arial"/>
          <w:b/>
          <w:noProof/>
          <w:sz w:val="20"/>
          <w:szCs w:val="20"/>
          <w:lang w:val="es-ES_tradnl"/>
        </w:rPr>
      </w:pPr>
    </w:p>
    <w:p w14:paraId="0E9392ED" w14:textId="77777777" w:rsidR="005E70C7" w:rsidRPr="00D90815" w:rsidRDefault="005E70C7" w:rsidP="005E70C7">
      <w:pPr>
        <w:spacing w:after="0" w:line="240" w:lineRule="auto"/>
        <w:contextualSpacing/>
        <w:jc w:val="both"/>
        <w:rPr>
          <w:rFonts w:ascii="Arial" w:eastAsia="Calibri" w:hAnsi="Arial" w:cs="Arial"/>
          <w:b/>
          <w:noProof/>
          <w:sz w:val="20"/>
          <w:szCs w:val="20"/>
          <w:lang w:val="es-ES_tradnl"/>
        </w:rPr>
      </w:pPr>
      <w:r w:rsidRPr="00D90815">
        <w:rPr>
          <w:rFonts w:ascii="Arial" w:eastAsia="Calibri" w:hAnsi="Arial" w:cs="Arial"/>
          <w:bCs/>
          <w:noProof/>
          <w:sz w:val="20"/>
          <w:szCs w:val="20"/>
          <w:lang w:val="es-ES_tradnl"/>
        </w:rPr>
        <w:t>[…]</w:t>
      </w:r>
      <w:r w:rsidRPr="00D90815">
        <w:rPr>
          <w:rFonts w:ascii="Arial" w:eastAsia="Calibri" w:hAnsi="Arial" w:cs="Arial"/>
          <w:b/>
          <w:noProof/>
          <w:sz w:val="20"/>
          <w:szCs w:val="20"/>
          <w:lang w:val="es-ES_tradnl"/>
        </w:rPr>
        <w:t xml:space="preserve"> </w:t>
      </w:r>
      <w:r w:rsidRPr="00D90815">
        <w:rPr>
          <w:rFonts w:ascii="Arial" w:hAnsi="Arial" w:cs="Arial"/>
          <w:bCs/>
          <w:sz w:val="20"/>
          <w:szCs w:val="20"/>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p>
    <w:p w14:paraId="4E7833F0" w14:textId="77777777" w:rsidR="005E70C7" w:rsidRPr="00D90815" w:rsidRDefault="005E70C7" w:rsidP="005E70C7">
      <w:pPr>
        <w:spacing w:after="0" w:line="240" w:lineRule="auto"/>
        <w:contextualSpacing/>
        <w:jc w:val="both"/>
        <w:rPr>
          <w:rFonts w:ascii="Arial" w:eastAsia="Calibri" w:hAnsi="Arial" w:cs="Arial"/>
          <w:b/>
          <w:noProof/>
          <w:sz w:val="20"/>
          <w:szCs w:val="20"/>
          <w:lang w:val="es-ES_tradnl"/>
        </w:rPr>
      </w:pPr>
      <w:r w:rsidRPr="00D90815">
        <w:rPr>
          <w:rFonts w:ascii="Arial" w:eastAsia="Calibri" w:hAnsi="Arial" w:cs="Arial"/>
          <w:b/>
          <w:noProof/>
          <w:sz w:val="20"/>
          <w:szCs w:val="20"/>
          <w:lang w:val="es-ES_tradnl"/>
        </w:rPr>
        <w:t xml:space="preserve"> </w:t>
      </w:r>
    </w:p>
    <w:p w14:paraId="746D4D9C" w14:textId="77777777" w:rsidR="005E70C7" w:rsidRPr="00D90815" w:rsidRDefault="005E70C7" w:rsidP="005E70C7">
      <w:pPr>
        <w:spacing w:after="0" w:line="240" w:lineRule="auto"/>
        <w:contextualSpacing/>
        <w:jc w:val="both"/>
        <w:rPr>
          <w:rFonts w:ascii="Arial" w:eastAsia="Calibri" w:hAnsi="Arial" w:cs="Arial"/>
          <w:bCs/>
          <w:noProof/>
          <w:sz w:val="20"/>
          <w:szCs w:val="20"/>
          <w:lang w:val="es-ES_tradnl"/>
        </w:rPr>
      </w:pPr>
      <w:r w:rsidRPr="00D90815">
        <w:rPr>
          <w:rFonts w:ascii="Arial" w:eastAsia="Calibri" w:hAnsi="Arial" w:cs="Arial"/>
          <w:bCs/>
          <w:noProof/>
          <w:sz w:val="20"/>
          <w:szCs w:val="20"/>
          <w:lang w:val="es-ES_tradnl"/>
        </w:rPr>
        <w:t>[…]</w:t>
      </w:r>
    </w:p>
    <w:p w14:paraId="20474832" w14:textId="77777777" w:rsidR="005E70C7" w:rsidRPr="00D90815" w:rsidRDefault="005E70C7" w:rsidP="005E70C7">
      <w:pPr>
        <w:spacing w:after="0" w:line="240" w:lineRule="auto"/>
        <w:contextualSpacing/>
        <w:jc w:val="both"/>
        <w:rPr>
          <w:rFonts w:ascii="Arial" w:eastAsia="Calibri" w:hAnsi="Arial" w:cs="Arial"/>
          <w:b/>
          <w:noProof/>
          <w:sz w:val="20"/>
          <w:szCs w:val="20"/>
          <w:lang w:val="es-ES_tradnl"/>
        </w:rPr>
      </w:pPr>
    </w:p>
    <w:p w14:paraId="69A956A4" w14:textId="77777777" w:rsidR="005E70C7" w:rsidRPr="00D90815" w:rsidRDefault="005E70C7" w:rsidP="005E70C7">
      <w:pPr>
        <w:spacing w:after="0" w:line="240" w:lineRule="auto"/>
        <w:contextualSpacing/>
        <w:jc w:val="both"/>
        <w:rPr>
          <w:rFonts w:ascii="Arial" w:eastAsia="Calibri" w:hAnsi="Arial" w:cs="Arial"/>
          <w:b/>
          <w:noProof/>
          <w:sz w:val="20"/>
          <w:szCs w:val="20"/>
          <w:lang w:val="es-ES_tradnl"/>
        </w:rPr>
      </w:pPr>
      <w:r w:rsidRPr="00D90815">
        <w:rPr>
          <w:rFonts w:ascii="Arial" w:hAnsi="Arial" w:cs="Arial"/>
          <w:bCs/>
          <w:sz w:val="20"/>
          <w:szCs w:val="20"/>
          <w:lang w:val="es-MX"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w:t>
      </w:r>
    </w:p>
    <w:p w14:paraId="206DBF6D" w14:textId="77777777" w:rsidR="005E70C7" w:rsidRPr="00D90815" w:rsidRDefault="005E70C7" w:rsidP="005E70C7">
      <w:pPr>
        <w:spacing w:after="0" w:line="240" w:lineRule="auto"/>
        <w:contextualSpacing/>
        <w:jc w:val="both"/>
        <w:rPr>
          <w:rFonts w:ascii="Arial" w:eastAsia="Calibri" w:hAnsi="Arial" w:cs="Arial"/>
          <w:b/>
          <w:noProof/>
          <w:sz w:val="20"/>
          <w:szCs w:val="20"/>
          <w:lang w:val="es-ES_tradnl"/>
        </w:rPr>
      </w:pPr>
    </w:p>
    <w:p w14:paraId="2D557704" w14:textId="77777777" w:rsidR="005E70C7" w:rsidRPr="00D90815" w:rsidRDefault="005E70C7" w:rsidP="005E70C7">
      <w:pPr>
        <w:spacing w:after="0" w:line="240" w:lineRule="auto"/>
        <w:contextualSpacing/>
        <w:jc w:val="both"/>
        <w:rPr>
          <w:rFonts w:ascii="Arial" w:eastAsia="Calibri" w:hAnsi="Arial" w:cs="Arial"/>
          <w:b/>
          <w:noProof/>
          <w:lang w:val="es-ES_tradnl"/>
        </w:rPr>
      </w:pPr>
      <w:r w:rsidRPr="00D90815">
        <w:rPr>
          <w:rFonts w:ascii="Arial" w:eastAsia="Calibri" w:hAnsi="Arial" w:cs="Arial"/>
          <w:b/>
          <w:noProof/>
          <w:lang w:val="es-ES_tradnl"/>
        </w:rPr>
        <w:t xml:space="preserve">LEY DE GARANTÍAS ELECTORALES – Restricciones </w:t>
      </w:r>
    </w:p>
    <w:p w14:paraId="42C393B1" w14:textId="77777777" w:rsidR="005E70C7" w:rsidRPr="00D90815" w:rsidRDefault="005E70C7" w:rsidP="005E70C7">
      <w:pPr>
        <w:spacing w:after="0" w:line="240" w:lineRule="auto"/>
        <w:contextualSpacing/>
        <w:jc w:val="both"/>
        <w:rPr>
          <w:rFonts w:ascii="Arial" w:eastAsia="Calibri" w:hAnsi="Arial" w:cs="Arial"/>
          <w:b/>
          <w:noProof/>
          <w:sz w:val="20"/>
          <w:szCs w:val="20"/>
          <w:lang w:val="es-ES_tradnl"/>
        </w:rPr>
      </w:pPr>
    </w:p>
    <w:p w14:paraId="6405D2D4" w14:textId="77777777" w:rsidR="005E70C7" w:rsidRPr="00D90815" w:rsidRDefault="005E70C7" w:rsidP="005E70C7">
      <w:pPr>
        <w:spacing w:after="0" w:line="240" w:lineRule="auto"/>
        <w:contextualSpacing/>
        <w:jc w:val="both"/>
        <w:rPr>
          <w:rFonts w:ascii="Arial" w:eastAsia="Arial" w:hAnsi="Arial" w:cs="Arial"/>
          <w:sz w:val="20"/>
          <w:szCs w:val="20"/>
          <w:lang w:val="es-ES" w:eastAsia="es-ES" w:bidi="es-ES"/>
        </w:rPr>
      </w:pPr>
      <w:r w:rsidRPr="00D90815">
        <w:rPr>
          <w:rFonts w:ascii="Arial" w:eastAsia="Arial" w:hAnsi="Arial" w:cs="Arial"/>
          <w:sz w:val="20"/>
          <w:szCs w:val="20"/>
          <w:lang w:val="es-ES" w:eastAsia="es-ES" w:bidi="es-ES"/>
        </w:rPr>
        <w:t xml:space="preserve">De conformidad con lo anterior, la Ley 996 de 2005 establece dos (2) tipos de restricciones en materia de contratación, las cuales coinciden parcialmente. </w:t>
      </w:r>
      <w:r w:rsidRPr="00D90815">
        <w:rPr>
          <w:rFonts w:ascii="Arial" w:eastAsia="Arial" w:hAnsi="Arial" w:cs="Arial"/>
          <w:i/>
          <w:iCs/>
          <w:sz w:val="20"/>
          <w:szCs w:val="20"/>
          <w:lang w:val="es-ES" w:eastAsia="es-ES" w:bidi="es-ES"/>
        </w:rPr>
        <w:t>En primer lugar</w:t>
      </w:r>
      <w:r w:rsidRPr="00D90815">
        <w:rPr>
          <w:rFonts w:ascii="Arial" w:eastAsia="Arial" w:hAnsi="Arial" w:cs="Arial"/>
          <w:sz w:val="20"/>
          <w:szCs w:val="20"/>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D90815">
        <w:rPr>
          <w:rFonts w:ascii="Arial" w:eastAsia="Arial" w:hAnsi="Arial" w:cs="Arial"/>
          <w:i/>
          <w:iCs/>
          <w:sz w:val="20"/>
          <w:szCs w:val="20"/>
          <w:lang w:val="es-ES" w:eastAsia="es-ES" w:bidi="es-ES"/>
        </w:rPr>
        <w:t>En segundo lugar</w:t>
      </w:r>
      <w:r w:rsidRPr="00D90815">
        <w:rPr>
          <w:rFonts w:ascii="Arial" w:eastAsia="Arial" w:hAnsi="Arial" w:cs="Arial"/>
          <w:sz w:val="20"/>
          <w:szCs w:val="20"/>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4E75ED93" w14:textId="77777777" w:rsidR="005E70C7" w:rsidRPr="00D90815" w:rsidRDefault="005E70C7" w:rsidP="005E70C7">
      <w:pPr>
        <w:spacing w:after="0" w:line="240" w:lineRule="auto"/>
        <w:contextualSpacing/>
        <w:jc w:val="both"/>
        <w:rPr>
          <w:rFonts w:ascii="Arial" w:eastAsia="Calibri" w:hAnsi="Arial" w:cs="Arial"/>
          <w:b/>
          <w:noProof/>
          <w:sz w:val="20"/>
          <w:szCs w:val="20"/>
          <w:lang w:val="es-ES_tradnl"/>
        </w:rPr>
      </w:pPr>
    </w:p>
    <w:p w14:paraId="1D280316" w14:textId="77777777" w:rsidR="005E70C7" w:rsidRPr="00D90815" w:rsidRDefault="005E70C7" w:rsidP="005E70C7">
      <w:pPr>
        <w:spacing w:after="0" w:line="240" w:lineRule="auto"/>
        <w:contextualSpacing/>
        <w:jc w:val="both"/>
        <w:rPr>
          <w:rFonts w:ascii="Arial" w:eastAsia="Calibri" w:hAnsi="Arial" w:cs="Arial"/>
          <w:b/>
          <w:noProof/>
          <w:lang w:val="es-ES_tradnl"/>
        </w:rPr>
      </w:pPr>
      <w:r w:rsidRPr="00D90815">
        <w:rPr>
          <w:rFonts w:ascii="Arial" w:eastAsia="Calibri" w:hAnsi="Arial" w:cs="Arial"/>
          <w:b/>
          <w:noProof/>
          <w:lang w:val="es-ES_tradnl"/>
        </w:rPr>
        <w:t xml:space="preserve">LEY DE GARANTÍAS ELECTORALES ‒ Prohibición por elección de cargos populares – Convenios y contratos interadministrativos – Alcance </w:t>
      </w:r>
    </w:p>
    <w:p w14:paraId="230B1EF0" w14:textId="77777777" w:rsidR="005E70C7" w:rsidRPr="00D90815" w:rsidRDefault="005E70C7" w:rsidP="005E70C7">
      <w:pPr>
        <w:spacing w:after="0" w:line="240" w:lineRule="auto"/>
        <w:contextualSpacing/>
        <w:jc w:val="both"/>
        <w:rPr>
          <w:rFonts w:ascii="Arial" w:eastAsia="Calibri" w:hAnsi="Arial" w:cs="Arial"/>
          <w:b/>
          <w:noProof/>
          <w:sz w:val="20"/>
          <w:szCs w:val="20"/>
          <w:lang w:val="es-ES_tradnl"/>
        </w:rPr>
      </w:pPr>
    </w:p>
    <w:p w14:paraId="7CAE9CA6" w14:textId="77777777" w:rsidR="005E70C7" w:rsidRPr="00D90815" w:rsidRDefault="005E70C7" w:rsidP="005E70C7">
      <w:pPr>
        <w:spacing w:after="0" w:line="240" w:lineRule="auto"/>
        <w:contextualSpacing/>
        <w:jc w:val="both"/>
        <w:rPr>
          <w:rFonts w:ascii="Arial" w:eastAsia="Calibri" w:hAnsi="Arial" w:cs="Arial"/>
          <w:b/>
          <w:noProof/>
          <w:sz w:val="20"/>
          <w:szCs w:val="20"/>
          <w:lang w:val="es-ES_tradnl"/>
        </w:rPr>
      </w:pPr>
      <w:r w:rsidRPr="00D90815">
        <w:rPr>
          <w:rFonts w:ascii="Arial" w:eastAsia="Calibri" w:hAnsi="Arial" w:cs="Arial"/>
          <w:bCs/>
          <w:sz w:val="20"/>
          <w:szCs w:val="20"/>
          <w:lang w:val="es-MX"/>
        </w:rPr>
        <w:t>En primer lugar, el inciso primero del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D90815">
        <w:rPr>
          <w:rFonts w:ascii="Arial" w:hAnsi="Arial" w:cs="Arial"/>
          <w:bCs/>
          <w:iCs/>
          <w:sz w:val="20"/>
          <w:szCs w:val="20"/>
          <w:lang w:val="es-MX"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 </w:t>
      </w:r>
    </w:p>
    <w:p w14:paraId="51BC86BD" w14:textId="77777777" w:rsidR="005E70C7" w:rsidRPr="00D90815" w:rsidRDefault="005E70C7" w:rsidP="005E70C7">
      <w:pPr>
        <w:spacing w:after="0" w:line="240" w:lineRule="auto"/>
        <w:contextualSpacing/>
        <w:jc w:val="both"/>
        <w:rPr>
          <w:rFonts w:ascii="Arial" w:eastAsia="Calibri" w:hAnsi="Arial" w:cs="Arial"/>
          <w:b/>
          <w:noProof/>
          <w:sz w:val="20"/>
          <w:szCs w:val="20"/>
          <w:lang w:val="es-ES_tradnl"/>
        </w:rPr>
      </w:pPr>
    </w:p>
    <w:p w14:paraId="4889D302" w14:textId="77777777" w:rsidR="005E70C7" w:rsidRPr="00D90815" w:rsidRDefault="005E70C7" w:rsidP="005E70C7">
      <w:pPr>
        <w:spacing w:after="0" w:line="240" w:lineRule="auto"/>
        <w:contextualSpacing/>
        <w:jc w:val="both"/>
        <w:rPr>
          <w:rFonts w:ascii="Arial" w:eastAsia="Calibri" w:hAnsi="Arial" w:cs="Arial"/>
          <w:b/>
          <w:noProof/>
          <w:lang w:val="es-ES_tradnl"/>
        </w:rPr>
      </w:pPr>
      <w:r w:rsidRPr="00D90815">
        <w:rPr>
          <w:rFonts w:ascii="Arial" w:eastAsia="Calibri" w:hAnsi="Arial" w:cs="Arial"/>
          <w:b/>
          <w:noProof/>
          <w:lang w:val="es-ES_tradnl"/>
        </w:rPr>
        <w:t xml:space="preserve">LEY DE GARANTÍAS ELECTORALES ‒ Prohibición por elección de cargos populares – Convenios y contratos interadministrativos – Definición – Criterio orgánico </w:t>
      </w:r>
    </w:p>
    <w:p w14:paraId="6A70BF1A" w14:textId="77777777" w:rsidR="005E70C7" w:rsidRPr="00D90815" w:rsidRDefault="005E70C7" w:rsidP="005E70C7">
      <w:pPr>
        <w:spacing w:after="0" w:line="240" w:lineRule="auto"/>
        <w:contextualSpacing/>
        <w:jc w:val="both"/>
        <w:rPr>
          <w:rFonts w:ascii="Arial" w:eastAsia="Calibri" w:hAnsi="Arial" w:cs="Arial"/>
          <w:b/>
          <w:noProof/>
          <w:sz w:val="20"/>
          <w:szCs w:val="20"/>
          <w:lang w:val="es-ES_tradnl"/>
        </w:rPr>
      </w:pPr>
    </w:p>
    <w:p w14:paraId="02603E50" w14:textId="77777777" w:rsidR="005E70C7" w:rsidRPr="00D90815" w:rsidRDefault="005E70C7" w:rsidP="005E70C7">
      <w:pPr>
        <w:widowControl w:val="0"/>
        <w:autoSpaceDE w:val="0"/>
        <w:autoSpaceDN w:val="0"/>
        <w:spacing w:after="0" w:line="240" w:lineRule="auto"/>
        <w:contextualSpacing/>
        <w:jc w:val="both"/>
        <w:rPr>
          <w:rFonts w:ascii="Arial" w:eastAsia="Arial" w:hAnsi="Arial" w:cs="Arial"/>
          <w:sz w:val="20"/>
          <w:szCs w:val="20"/>
          <w:lang w:val="es-ES" w:eastAsia="es-ES" w:bidi="es-ES"/>
        </w:rPr>
      </w:pPr>
      <w:r w:rsidRPr="00D90815">
        <w:rPr>
          <w:rFonts w:ascii="Arial" w:eastAsia="Calibri" w:hAnsi="Arial" w:cs="Arial"/>
          <w:bCs/>
          <w:noProof/>
          <w:sz w:val="20"/>
          <w:szCs w:val="20"/>
          <w:lang w:val="es-ES_tradnl"/>
        </w:rPr>
        <w:t>[…]</w:t>
      </w:r>
      <w:r w:rsidRPr="00D90815">
        <w:rPr>
          <w:rFonts w:ascii="Arial" w:eastAsia="Calibri" w:hAnsi="Arial" w:cs="Arial"/>
          <w:b/>
          <w:noProof/>
          <w:sz w:val="20"/>
          <w:szCs w:val="20"/>
          <w:lang w:val="es-ES_tradnl"/>
        </w:rPr>
        <w:t xml:space="preserve"> </w:t>
      </w:r>
      <w:r w:rsidRPr="00D90815">
        <w:rPr>
          <w:rFonts w:ascii="Arial" w:eastAsia="Arial" w:hAnsi="Arial" w:cs="Arial"/>
          <w:sz w:val="20"/>
          <w:szCs w:val="20"/>
          <w:lang w:val="es-ES" w:eastAsia="es-ES" w:bidi="es-ES"/>
        </w:rPr>
        <w:t xml:space="preserve">Aunque la ley no la definió ni desarrolló, el Decreto 1082 de 2015 califica a los convenios o contratos </w:t>
      </w:r>
      <w:r w:rsidRPr="00D90815">
        <w:rPr>
          <w:rFonts w:ascii="Arial" w:eastAsia="Arial" w:hAnsi="Arial" w:cs="Arial"/>
          <w:sz w:val="20"/>
          <w:szCs w:val="20"/>
          <w:lang w:val="es-ES" w:eastAsia="es-ES" w:bidi="es-ES"/>
        </w:rPr>
        <w:lastRenderedPageBreak/>
        <w:t>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D90815">
        <w:rPr>
          <w:rFonts w:ascii="Arial" w:eastAsia="Arial" w:hAnsi="Arial" w:cs="Arial"/>
          <w:spacing w:val="-6"/>
          <w:sz w:val="20"/>
          <w:szCs w:val="20"/>
          <w:lang w:val="es-ES" w:eastAsia="es-ES" w:bidi="es-ES"/>
        </w:rPr>
        <w:t xml:space="preserve"> </w:t>
      </w:r>
      <w:r w:rsidRPr="00D90815">
        <w:rPr>
          <w:rFonts w:ascii="Arial" w:eastAsia="Arial" w:hAnsi="Arial" w:cs="Arial"/>
          <w:sz w:val="20"/>
          <w:szCs w:val="20"/>
          <w:lang w:val="es-ES" w:eastAsia="es-ES" w:bidi="es-ES"/>
        </w:rPr>
        <w:t>estatales.</w:t>
      </w:r>
    </w:p>
    <w:p w14:paraId="41432BD3" w14:textId="77777777" w:rsidR="005E70C7" w:rsidRPr="00D90815" w:rsidRDefault="005E70C7" w:rsidP="005E70C7">
      <w:pPr>
        <w:spacing w:after="0" w:line="240" w:lineRule="auto"/>
        <w:contextualSpacing/>
        <w:jc w:val="both"/>
        <w:rPr>
          <w:rFonts w:ascii="Arial" w:eastAsia="Calibri" w:hAnsi="Arial" w:cs="Arial"/>
          <w:b/>
          <w:noProof/>
          <w:sz w:val="20"/>
          <w:szCs w:val="20"/>
          <w:lang w:val="es-ES_tradnl"/>
        </w:rPr>
      </w:pPr>
    </w:p>
    <w:p w14:paraId="48F5104D" w14:textId="77777777" w:rsidR="005E70C7" w:rsidRPr="00D90815" w:rsidRDefault="005E70C7" w:rsidP="005E70C7">
      <w:pPr>
        <w:spacing w:after="0" w:line="240" w:lineRule="auto"/>
        <w:contextualSpacing/>
        <w:jc w:val="both"/>
        <w:rPr>
          <w:rFonts w:ascii="Arial" w:eastAsia="Calibri" w:hAnsi="Arial" w:cs="Arial"/>
          <w:b/>
          <w:noProof/>
          <w:sz w:val="20"/>
          <w:szCs w:val="20"/>
          <w:lang w:val="es-ES_tradnl"/>
        </w:rPr>
      </w:pPr>
    </w:p>
    <w:p w14:paraId="7C7F31DC" w14:textId="77777777" w:rsidR="005E70C7" w:rsidRPr="00D90815" w:rsidRDefault="005E70C7" w:rsidP="005E70C7">
      <w:pPr>
        <w:spacing w:after="0" w:line="240" w:lineRule="auto"/>
        <w:contextualSpacing/>
        <w:jc w:val="both"/>
        <w:rPr>
          <w:rFonts w:ascii="Arial" w:hAnsi="Arial" w:cs="Arial"/>
          <w:b/>
          <w:lang w:val="es-MX"/>
        </w:rPr>
      </w:pPr>
      <w:r w:rsidRPr="00D90815">
        <w:rPr>
          <w:rFonts w:ascii="Arial" w:eastAsia="Calibri" w:hAnsi="Arial" w:cs="Arial"/>
          <w:b/>
          <w:noProof/>
          <w:lang w:val="es-ES_tradnl"/>
        </w:rPr>
        <w:t xml:space="preserve">LEY DE GARANTÍAS ELECTORALES ‒ Prohibición por elección de cargos populares – Periodo de aplicación </w:t>
      </w:r>
    </w:p>
    <w:p w14:paraId="36A8C799" w14:textId="77777777" w:rsidR="005E70C7" w:rsidRPr="00D90815" w:rsidRDefault="005E70C7" w:rsidP="005E70C7">
      <w:pPr>
        <w:spacing w:after="0" w:line="240" w:lineRule="auto"/>
        <w:contextualSpacing/>
        <w:rPr>
          <w:sz w:val="20"/>
          <w:szCs w:val="20"/>
        </w:rPr>
      </w:pPr>
    </w:p>
    <w:p w14:paraId="03FE0A08" w14:textId="77777777" w:rsidR="005E70C7" w:rsidRPr="00D90815" w:rsidRDefault="005E70C7" w:rsidP="005E70C7">
      <w:pPr>
        <w:spacing w:after="0" w:line="240" w:lineRule="auto"/>
        <w:contextualSpacing/>
        <w:jc w:val="both"/>
        <w:rPr>
          <w:rFonts w:ascii="Arial" w:hAnsi="Arial" w:cs="Arial"/>
          <w:sz w:val="20"/>
          <w:szCs w:val="20"/>
          <w:shd w:val="clear" w:color="auto" w:fill="FFFFFF"/>
          <w:lang w:val="es-MX"/>
        </w:rPr>
      </w:pPr>
      <w:r w:rsidRPr="00D90815">
        <w:rPr>
          <w:rFonts w:ascii="Arial" w:hAnsi="Arial" w:cs="Arial"/>
          <w:sz w:val="20"/>
          <w:szCs w:val="20"/>
          <w:shd w:val="clear" w:color="auto" w:fill="FFFFFF"/>
          <w:lang w:val="es-MX"/>
        </w:rPr>
        <w:t>La Ley 996 de 2005 establece que dichas prohibiciones se aplicarán durante los cuatro (4) meses anteriores a las elecciones. Con motivo de las elecciones de autoridades locales que se realizan el último domingo del mes de octubre, es decir el 29 de octubre de 2023, la mencionada ley entrará en vigencia desde el próximo 29 de junio y se extenderá hasta el día en el que se celebran las elecciones.</w:t>
      </w:r>
    </w:p>
    <w:p w14:paraId="43D39964" w14:textId="77777777" w:rsidR="005E70C7" w:rsidRDefault="005E70C7" w:rsidP="005E70C7">
      <w:pPr>
        <w:rPr>
          <w:rFonts w:ascii="Arial" w:hAnsi="Arial" w:cs="Arial"/>
          <w:bCs/>
          <w:lang w:val="es-ES_tradnl"/>
        </w:rPr>
      </w:pPr>
      <w:r>
        <w:rPr>
          <w:rFonts w:ascii="Arial" w:hAnsi="Arial" w:cs="Arial"/>
          <w:bCs/>
          <w:lang w:val="es-ES_tradnl"/>
        </w:rPr>
        <w:br w:type="page"/>
      </w:r>
    </w:p>
    <w:p w14:paraId="27B06BEB" w14:textId="77777777" w:rsidR="005E70C7" w:rsidRDefault="005E70C7" w:rsidP="005E70C7">
      <w:pPr>
        <w:spacing w:after="0" w:line="240" w:lineRule="auto"/>
        <w:contextualSpacing/>
        <w:jc w:val="both"/>
        <w:rPr>
          <w:rFonts w:ascii="Arial" w:hAnsi="Arial" w:cs="Arial"/>
          <w:bCs/>
          <w:lang w:val="es-ES_tradnl"/>
        </w:rPr>
      </w:pPr>
      <w:r>
        <w:rPr>
          <w:rFonts w:ascii="Arial" w:hAnsi="Arial" w:cs="Arial"/>
          <w:bCs/>
          <w:lang w:val="es-ES_tradnl"/>
        </w:rPr>
        <w:t>Bogotá D.C., 15</w:t>
      </w:r>
      <w:r w:rsidRPr="00551222">
        <w:rPr>
          <w:rFonts w:ascii="Arial" w:hAnsi="Arial" w:cs="Arial"/>
          <w:bCs/>
          <w:lang w:val="es-ES_tradnl"/>
        </w:rPr>
        <w:t xml:space="preserve"> de mayo de 2023.</w:t>
      </w:r>
    </w:p>
    <w:p w14:paraId="3628E100" w14:textId="77777777" w:rsidR="005E70C7" w:rsidRDefault="005E70C7" w:rsidP="005E70C7">
      <w:pPr>
        <w:spacing w:after="0" w:line="240" w:lineRule="auto"/>
        <w:contextualSpacing/>
        <w:jc w:val="both"/>
        <w:rPr>
          <w:rFonts w:ascii="Arial" w:hAnsi="Arial" w:cs="Arial"/>
          <w:bCs/>
          <w:lang w:val="es-ES_tradnl"/>
        </w:rPr>
      </w:pPr>
    </w:p>
    <w:p w14:paraId="594C938A" w14:textId="77777777" w:rsidR="005E70C7" w:rsidRPr="00551222" w:rsidRDefault="005E70C7" w:rsidP="005E70C7">
      <w:pPr>
        <w:spacing w:after="0" w:line="240" w:lineRule="auto"/>
        <w:contextualSpacing/>
        <w:jc w:val="right"/>
        <w:rPr>
          <w:rFonts w:ascii="Arial" w:hAnsi="Arial" w:cs="Arial"/>
          <w:bCs/>
          <w:lang w:val="es-ES_tradnl"/>
        </w:rPr>
      </w:pPr>
    </w:p>
    <w:p w14:paraId="69C50D77" w14:textId="66DB1E4D" w:rsidR="005E70C7" w:rsidRPr="00551222" w:rsidRDefault="00D85587" w:rsidP="005E70C7">
      <w:pPr>
        <w:spacing w:after="0" w:line="240" w:lineRule="auto"/>
        <w:contextualSpacing/>
        <w:jc w:val="right"/>
        <w:rPr>
          <w:rFonts w:ascii="Arial" w:hAnsi="Arial" w:cs="Arial"/>
          <w:bCs/>
          <w:lang w:val="es-ES_tradnl"/>
        </w:rPr>
      </w:pPr>
      <w:r w:rsidRPr="00D85587">
        <w:rPr>
          <w:rFonts w:ascii="Arial" w:hAnsi="Arial" w:cs="Arial"/>
          <w:b/>
          <w:noProof/>
          <w:lang w:val="es-ES_tradnl"/>
        </w:rPr>
        <w:drawing>
          <wp:anchor distT="0" distB="0" distL="114300" distR="114300" simplePos="0" relativeHeight="251658240" behindDoc="0" locked="0" layoutInCell="1" allowOverlap="1" wp14:anchorId="0F7C5B27" wp14:editId="540D6B08">
            <wp:simplePos x="0" y="0"/>
            <wp:positionH relativeFrom="column">
              <wp:posOffset>3019668</wp:posOffset>
            </wp:positionH>
            <wp:positionV relativeFrom="paragraph">
              <wp:posOffset>5579</wp:posOffset>
            </wp:positionV>
            <wp:extent cx="2409825" cy="666750"/>
            <wp:effectExtent l="0" t="0" r="9525" b="0"/>
            <wp:wrapNone/>
            <wp:docPr id="172122150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221509"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409825" cy="666750"/>
                    </a:xfrm>
                    <a:prstGeom prst="rect">
                      <a:avLst/>
                    </a:prstGeom>
                  </pic:spPr>
                </pic:pic>
              </a:graphicData>
            </a:graphic>
          </wp:anchor>
        </w:drawing>
      </w:r>
    </w:p>
    <w:p w14:paraId="47A2837E" w14:textId="7CAAD921" w:rsidR="005E70C7" w:rsidRPr="00551222" w:rsidRDefault="005E70C7" w:rsidP="005E70C7">
      <w:pPr>
        <w:spacing w:after="0" w:line="240" w:lineRule="auto"/>
        <w:contextualSpacing/>
        <w:rPr>
          <w:rFonts w:ascii="Arial" w:hAnsi="Arial" w:cs="Arial"/>
          <w:lang w:val="es-ES_tradnl"/>
        </w:rPr>
      </w:pPr>
      <w:bookmarkStart w:id="0" w:name="_Hlk70510939"/>
      <w:r w:rsidRPr="00551222">
        <w:rPr>
          <w:rFonts w:ascii="Arial" w:hAnsi="Arial" w:cs="Arial"/>
          <w:lang w:val="es-ES_tradnl"/>
        </w:rPr>
        <w:t>Señor</w:t>
      </w:r>
    </w:p>
    <w:p w14:paraId="409B5CE1" w14:textId="32439C97" w:rsidR="005E70C7" w:rsidRPr="00551222" w:rsidRDefault="00432C70" w:rsidP="005E70C7">
      <w:pPr>
        <w:spacing w:after="0" w:line="240" w:lineRule="auto"/>
        <w:contextualSpacing/>
        <w:jc w:val="both"/>
        <w:rPr>
          <w:rFonts w:ascii="Arial" w:hAnsi="Arial" w:cs="Arial"/>
          <w:b/>
          <w:lang w:val="es-ES_tradnl"/>
        </w:rPr>
      </w:pPr>
      <w:r>
        <w:rPr>
          <w:rFonts w:ascii="Arial" w:hAnsi="Arial" w:cs="Arial"/>
          <w:b/>
          <w:lang w:val="es-ES_tradnl"/>
        </w:rPr>
        <w:t>Juan Fernando Suarez Marín</w:t>
      </w:r>
    </w:p>
    <w:p w14:paraId="7397FE29" w14:textId="77777777" w:rsidR="005E70C7" w:rsidRPr="00551222" w:rsidRDefault="005E70C7" w:rsidP="005E70C7">
      <w:pPr>
        <w:spacing w:after="0" w:line="240" w:lineRule="auto"/>
        <w:contextualSpacing/>
        <w:rPr>
          <w:rFonts w:ascii="Arial" w:hAnsi="Arial" w:cs="Arial"/>
          <w:lang w:val="es-MX"/>
        </w:rPr>
      </w:pPr>
      <w:r w:rsidRPr="00551222">
        <w:rPr>
          <w:rFonts w:ascii="Arial" w:hAnsi="Arial" w:cs="Arial"/>
          <w:lang w:val="es-MX"/>
        </w:rPr>
        <w:t>Ciudad</w:t>
      </w:r>
    </w:p>
    <w:p w14:paraId="28FE6C73" w14:textId="77777777" w:rsidR="005E70C7" w:rsidRPr="00551222" w:rsidRDefault="005E70C7" w:rsidP="005E70C7">
      <w:pPr>
        <w:spacing w:after="0" w:line="240" w:lineRule="auto"/>
        <w:contextualSpacing/>
        <w:rPr>
          <w:rFonts w:ascii="Arial" w:hAnsi="Arial" w:cs="Arial"/>
          <w:lang w:val="es-MX"/>
        </w:rPr>
      </w:pPr>
    </w:p>
    <w:p w14:paraId="43932D80" w14:textId="77777777" w:rsidR="005E70C7" w:rsidRPr="00551222" w:rsidRDefault="005E70C7" w:rsidP="005E70C7">
      <w:pPr>
        <w:spacing w:after="0" w:line="240" w:lineRule="auto"/>
        <w:contextualSpacing/>
        <w:rPr>
          <w:rFonts w:ascii="Arial" w:hAnsi="Arial" w:cs="Arial"/>
          <w:b/>
          <w:bCs/>
          <w:lang w:val="es-ES_tradnl"/>
        </w:rPr>
      </w:pPr>
    </w:p>
    <w:p w14:paraId="00456A69" w14:textId="77777777" w:rsidR="005E70C7" w:rsidRPr="00551222" w:rsidRDefault="005E70C7" w:rsidP="005E70C7">
      <w:pPr>
        <w:spacing w:after="0" w:line="240" w:lineRule="auto"/>
        <w:ind w:left="2124" w:firstLine="708"/>
        <w:contextualSpacing/>
        <w:rPr>
          <w:rFonts w:ascii="Arial" w:hAnsi="Arial" w:cs="Arial"/>
          <w:b/>
          <w:bCs/>
          <w:lang w:val="es-ES_tradnl"/>
        </w:rPr>
      </w:pPr>
      <w:r w:rsidRPr="00551222">
        <w:rPr>
          <w:rFonts w:ascii="Arial" w:hAnsi="Arial" w:cs="Arial"/>
          <w:b/>
          <w:bCs/>
          <w:lang w:val="es-ES_tradnl"/>
        </w:rPr>
        <w:t>Concepto C – 1</w:t>
      </w:r>
      <w:r>
        <w:rPr>
          <w:rFonts w:ascii="Arial" w:hAnsi="Arial" w:cs="Arial"/>
          <w:b/>
          <w:bCs/>
          <w:lang w:val="es-ES_tradnl"/>
        </w:rPr>
        <w:t>27</w:t>
      </w:r>
      <w:r w:rsidRPr="00551222">
        <w:rPr>
          <w:rFonts w:ascii="Arial" w:hAnsi="Arial" w:cs="Arial"/>
          <w:b/>
          <w:bCs/>
          <w:lang w:val="es-ES_tradnl"/>
        </w:rPr>
        <w:t xml:space="preserve"> de 2023</w:t>
      </w:r>
    </w:p>
    <w:p w14:paraId="020FE8A2" w14:textId="77777777" w:rsidR="005E70C7" w:rsidRPr="00551222" w:rsidRDefault="005E70C7" w:rsidP="005E70C7">
      <w:pPr>
        <w:spacing w:after="0" w:line="240" w:lineRule="auto"/>
        <w:ind w:left="2824" w:hanging="2818"/>
        <w:contextualSpacing/>
        <w:jc w:val="both"/>
        <w:rPr>
          <w:rFonts w:ascii="Arial" w:eastAsia="Calibri" w:hAnsi="Arial" w:cs="Arial"/>
          <w:b/>
          <w:noProof/>
          <w:lang w:val="es-ES_tradnl"/>
        </w:rPr>
      </w:pPr>
    </w:p>
    <w:p w14:paraId="375C41F4" w14:textId="77777777" w:rsidR="005E70C7" w:rsidRPr="00F53757" w:rsidRDefault="005E70C7" w:rsidP="005E70C7">
      <w:pPr>
        <w:spacing w:after="0" w:line="240" w:lineRule="auto"/>
        <w:ind w:left="2832" w:hanging="2184"/>
        <w:contextualSpacing/>
        <w:jc w:val="both"/>
        <w:rPr>
          <w:rFonts w:ascii="Arial" w:eastAsia="Calibri" w:hAnsi="Arial" w:cs="Arial"/>
          <w:bCs/>
          <w:noProof/>
          <w:lang w:val="es-ES_tradnl"/>
        </w:rPr>
      </w:pPr>
      <w:r w:rsidRPr="00551222">
        <w:rPr>
          <w:rFonts w:ascii="Arial" w:eastAsia="Calibri" w:hAnsi="Arial" w:cs="Arial"/>
          <w:b/>
          <w:noProof/>
          <w:lang w:val="es-ES_tradnl"/>
        </w:rPr>
        <w:t>Temas</w:t>
      </w:r>
      <w:r w:rsidRPr="00551222">
        <w:rPr>
          <w:rFonts w:ascii="Arial" w:eastAsia="Calibri" w:hAnsi="Arial" w:cs="Arial"/>
          <w:bCs/>
          <w:noProof/>
          <w:lang w:val="es-ES_tradnl"/>
        </w:rPr>
        <w:t xml:space="preserve">: </w:t>
      </w:r>
      <w:r w:rsidRPr="00551222">
        <w:rPr>
          <w:rFonts w:ascii="Arial" w:eastAsia="Calibri" w:hAnsi="Arial" w:cs="Arial"/>
          <w:bCs/>
          <w:noProof/>
          <w:lang w:val="es-ES_tradnl"/>
        </w:rPr>
        <w:tab/>
        <w:t xml:space="preserve">LEY DE GARANTÍAS ELECTORALES – Definición – Finalidad / LEY DE GARANTÍAS ELECTORALES – Restricciones /  LEY DE GARANTÍAS ELECTORALES ‒ Prohibición por elección de cargos populares – Convenios y contratos interadministrativos – Alcance / LEY DE GARANTÍAS ELECTORALES ‒ Prohibición por elección de cargos populares – Convenios y contratos interadministrativos – Definición – Criterio orgánico / CONTRATOS Y CONVENIOS INTERADMINISTRATIVOS – Modalidad de selección / LEY DE GARANTÍAS ELECTORALES ‒ Prohibición por elección de cargos populares – Convenios y contratos interadministrativos – Tipologia contractual – Modalidad de selección / LEY DE GARANTÍAS ELECTORALES ‒ Prohibición por elección de cargos populares – Periodo de aplicación </w:t>
      </w:r>
    </w:p>
    <w:p w14:paraId="695B1135" w14:textId="77777777" w:rsidR="005E70C7" w:rsidRPr="00551222" w:rsidRDefault="005E70C7" w:rsidP="005E70C7">
      <w:pPr>
        <w:spacing w:after="0" w:line="240" w:lineRule="auto"/>
        <w:ind w:left="2835" w:hanging="2835"/>
        <w:contextualSpacing/>
        <w:jc w:val="both"/>
        <w:rPr>
          <w:rFonts w:ascii="Arial" w:eastAsia="Calibri" w:hAnsi="Arial" w:cs="Arial"/>
          <w:b/>
          <w:noProof/>
          <w:lang w:val="es-ES_tradnl"/>
        </w:rPr>
      </w:pPr>
    </w:p>
    <w:p w14:paraId="65B00787" w14:textId="77777777" w:rsidR="005E70C7" w:rsidRPr="00F53757" w:rsidRDefault="005E70C7" w:rsidP="005E70C7">
      <w:pPr>
        <w:spacing w:after="0" w:line="240" w:lineRule="auto"/>
        <w:ind w:left="2835" w:hanging="2835"/>
        <w:contextualSpacing/>
        <w:jc w:val="both"/>
        <w:rPr>
          <w:rFonts w:ascii="Arial" w:eastAsia="Calibri" w:hAnsi="Arial" w:cs="Arial"/>
          <w:bCs/>
          <w:noProof/>
          <w:lang w:val="es-ES_tradnl"/>
        </w:rPr>
      </w:pPr>
      <w:r w:rsidRPr="00551222">
        <w:rPr>
          <w:rFonts w:ascii="Arial" w:eastAsia="Calibri" w:hAnsi="Arial" w:cs="Arial"/>
          <w:b/>
          <w:noProof/>
          <w:lang w:val="es-ES_tradnl"/>
        </w:rPr>
        <w:t>Radicación</w:t>
      </w:r>
      <w:r w:rsidRPr="00551222">
        <w:rPr>
          <w:rFonts w:ascii="Arial" w:eastAsia="Calibri" w:hAnsi="Arial" w:cs="Arial"/>
          <w:bCs/>
          <w:noProof/>
          <w:lang w:val="es-ES_tradnl"/>
        </w:rPr>
        <w:t>:</w:t>
      </w:r>
      <w:r w:rsidRPr="00551222">
        <w:rPr>
          <w:rFonts w:ascii="Arial" w:eastAsia="Calibri" w:hAnsi="Arial" w:cs="Arial"/>
          <w:bCs/>
          <w:noProof/>
          <w:lang w:val="es-ES_tradnl"/>
        </w:rPr>
        <w:tab/>
        <w:t>Respuesta a consulta</w:t>
      </w:r>
      <w:r w:rsidRPr="00551222">
        <w:rPr>
          <w:sz w:val="24"/>
          <w:lang w:val="es-MX"/>
        </w:rPr>
        <w:t xml:space="preserve"> </w:t>
      </w:r>
      <w:r w:rsidRPr="00F53757">
        <w:rPr>
          <w:rFonts w:ascii="Arial" w:eastAsia="Calibri" w:hAnsi="Arial" w:cs="Arial"/>
          <w:bCs/>
          <w:noProof/>
          <w:lang w:val="es-ES_tradnl"/>
        </w:rPr>
        <w:t>P20230329002892</w:t>
      </w:r>
    </w:p>
    <w:p w14:paraId="2D1DA7C0" w14:textId="77777777" w:rsidR="005E70C7" w:rsidRPr="00551222" w:rsidRDefault="005E70C7" w:rsidP="005E70C7">
      <w:pPr>
        <w:spacing w:after="0" w:line="276" w:lineRule="auto"/>
        <w:contextualSpacing/>
        <w:rPr>
          <w:rFonts w:ascii="Arial" w:hAnsi="Arial" w:cs="Arial"/>
          <w:lang w:val="es-ES_tradnl"/>
        </w:rPr>
      </w:pPr>
    </w:p>
    <w:p w14:paraId="65B94531" w14:textId="77777777" w:rsidR="005E70C7" w:rsidRPr="00551222" w:rsidRDefault="005E70C7" w:rsidP="005E70C7">
      <w:pPr>
        <w:spacing w:after="0" w:line="276" w:lineRule="auto"/>
        <w:contextualSpacing/>
        <w:rPr>
          <w:rFonts w:ascii="Arial" w:hAnsi="Arial" w:cs="Arial"/>
          <w:lang w:val="es-ES_tradnl"/>
        </w:rPr>
      </w:pPr>
    </w:p>
    <w:p w14:paraId="0FA05DD8" w14:textId="77777777" w:rsidR="005E70C7" w:rsidRPr="00551222" w:rsidRDefault="005E70C7" w:rsidP="005E70C7">
      <w:pPr>
        <w:spacing w:after="0" w:line="276" w:lineRule="auto"/>
        <w:contextualSpacing/>
        <w:rPr>
          <w:rFonts w:ascii="Arial" w:hAnsi="Arial" w:cs="Arial"/>
          <w:lang w:val="es-ES_tradnl"/>
        </w:rPr>
      </w:pPr>
      <w:r w:rsidRPr="00551222">
        <w:rPr>
          <w:rFonts w:ascii="Arial" w:hAnsi="Arial" w:cs="Arial"/>
          <w:lang w:val="es-ES_tradnl"/>
        </w:rPr>
        <w:t xml:space="preserve">Estimada Señor </w:t>
      </w:r>
      <w:r>
        <w:rPr>
          <w:rFonts w:ascii="Arial" w:hAnsi="Arial" w:cs="Arial"/>
          <w:bCs/>
          <w:lang w:val="es-ES_tradnl"/>
        </w:rPr>
        <w:t>Juan Suarez</w:t>
      </w:r>
      <w:r w:rsidRPr="00551222">
        <w:rPr>
          <w:rFonts w:ascii="Arial" w:hAnsi="Arial" w:cs="Arial"/>
          <w:lang w:val="es-ES_tradnl"/>
        </w:rPr>
        <w:t xml:space="preserve">,   </w:t>
      </w:r>
    </w:p>
    <w:p w14:paraId="163CD04F" w14:textId="77777777" w:rsidR="005E70C7" w:rsidRPr="00551222" w:rsidRDefault="005E70C7" w:rsidP="005E70C7">
      <w:pPr>
        <w:spacing w:after="0" w:line="276" w:lineRule="auto"/>
        <w:contextualSpacing/>
        <w:rPr>
          <w:rFonts w:ascii="Arial" w:hAnsi="Arial" w:cs="Arial"/>
          <w:lang w:val="es-ES_tradnl"/>
        </w:rPr>
      </w:pPr>
    </w:p>
    <w:p w14:paraId="361019F3" w14:textId="77777777" w:rsidR="005E70C7" w:rsidRPr="00551222" w:rsidRDefault="005E70C7" w:rsidP="005E70C7">
      <w:pPr>
        <w:spacing w:after="0" w:line="276" w:lineRule="auto"/>
        <w:ind w:right="51"/>
        <w:contextualSpacing/>
        <w:jc w:val="both"/>
        <w:rPr>
          <w:rFonts w:ascii="Arial" w:eastAsia="Calibri" w:hAnsi="Arial" w:cs="Arial"/>
          <w:lang w:val="es-MX"/>
        </w:rPr>
      </w:pPr>
      <w:r w:rsidRPr="00551222">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su consulta del 27 de marzo de 2023. </w:t>
      </w:r>
      <w:r w:rsidRPr="00551222">
        <w:rPr>
          <w:rFonts w:ascii="Arial" w:eastAsia="Calibri" w:hAnsi="Arial" w:cs="Arial"/>
          <w:lang w:val="es-MX"/>
        </w:rPr>
        <w:t xml:space="preserve">     </w:t>
      </w:r>
    </w:p>
    <w:p w14:paraId="22C06269" w14:textId="77777777" w:rsidR="005E70C7" w:rsidRPr="00551222" w:rsidRDefault="005E70C7" w:rsidP="005E70C7">
      <w:pPr>
        <w:spacing w:after="0" w:line="276" w:lineRule="auto"/>
        <w:contextualSpacing/>
        <w:rPr>
          <w:rFonts w:ascii="Arial" w:hAnsi="Arial" w:cs="Arial"/>
          <w:b/>
          <w:lang w:val="es-ES_tradnl"/>
        </w:rPr>
      </w:pPr>
    </w:p>
    <w:p w14:paraId="498C1589" w14:textId="77777777" w:rsidR="005E70C7" w:rsidRPr="00551222" w:rsidRDefault="005E70C7" w:rsidP="005E70C7">
      <w:pPr>
        <w:spacing w:after="0" w:line="276" w:lineRule="auto"/>
        <w:contextualSpacing/>
        <w:rPr>
          <w:rFonts w:ascii="Arial" w:hAnsi="Arial" w:cs="Arial"/>
          <w:b/>
          <w:lang w:val="es-ES_tradnl"/>
        </w:rPr>
      </w:pPr>
      <w:r w:rsidRPr="00551222">
        <w:rPr>
          <w:rFonts w:ascii="Arial" w:hAnsi="Arial" w:cs="Arial"/>
          <w:b/>
          <w:lang w:val="es-ES_tradnl"/>
        </w:rPr>
        <w:t xml:space="preserve">1. Problema planteado </w:t>
      </w:r>
    </w:p>
    <w:p w14:paraId="1E22F5E0" w14:textId="77777777" w:rsidR="005E70C7" w:rsidRPr="00551222" w:rsidRDefault="005E70C7" w:rsidP="005E70C7">
      <w:pPr>
        <w:spacing w:after="0" w:line="276" w:lineRule="auto"/>
        <w:contextualSpacing/>
        <w:jc w:val="both"/>
        <w:rPr>
          <w:rFonts w:ascii="Arial" w:hAnsi="Arial" w:cs="Arial"/>
          <w:lang w:val="es-ES_tradnl"/>
        </w:rPr>
      </w:pPr>
    </w:p>
    <w:p w14:paraId="3E3F4254" w14:textId="77777777" w:rsidR="005E70C7" w:rsidRPr="00551222" w:rsidRDefault="005E70C7" w:rsidP="005E70C7">
      <w:pPr>
        <w:spacing w:after="0" w:line="276" w:lineRule="auto"/>
        <w:contextualSpacing/>
        <w:jc w:val="both"/>
        <w:rPr>
          <w:rFonts w:ascii="Arial" w:hAnsi="Arial" w:cs="Arial"/>
          <w:lang w:val="es-ES_tradnl"/>
        </w:rPr>
      </w:pPr>
      <w:r w:rsidRPr="00551222">
        <w:rPr>
          <w:rFonts w:ascii="Arial" w:hAnsi="Arial" w:cs="Arial"/>
          <w:lang w:val="es-ES_tradnl"/>
        </w:rPr>
        <w:t xml:space="preserve">Respecto de la Ley de Garantías Electorales, usted formula la siguiente consulta: </w:t>
      </w:r>
    </w:p>
    <w:p w14:paraId="1BE073F3" w14:textId="77777777" w:rsidR="005E70C7" w:rsidRPr="00551222" w:rsidRDefault="005E70C7" w:rsidP="005E70C7">
      <w:pPr>
        <w:spacing w:after="0" w:line="276" w:lineRule="auto"/>
        <w:contextualSpacing/>
        <w:jc w:val="both"/>
        <w:rPr>
          <w:rFonts w:ascii="Arial" w:hAnsi="Arial" w:cs="Arial"/>
          <w:lang w:val="es-ES_tradnl"/>
        </w:rPr>
      </w:pPr>
    </w:p>
    <w:p w14:paraId="0CCCE62E" w14:textId="77777777" w:rsidR="005E70C7" w:rsidRDefault="005E70C7" w:rsidP="005E70C7">
      <w:pPr>
        <w:spacing w:after="0" w:line="240" w:lineRule="auto"/>
        <w:ind w:left="709" w:right="709"/>
        <w:contextualSpacing/>
        <w:jc w:val="both"/>
        <w:rPr>
          <w:rFonts w:ascii="Arial" w:hAnsi="Arial" w:cs="Arial"/>
          <w:sz w:val="21"/>
          <w:szCs w:val="21"/>
          <w:lang w:val="es-ES_tradnl"/>
        </w:rPr>
      </w:pPr>
      <w:r w:rsidRPr="00551222">
        <w:rPr>
          <w:rFonts w:ascii="Arial" w:hAnsi="Arial" w:cs="Arial"/>
          <w:sz w:val="21"/>
          <w:szCs w:val="21"/>
          <w:lang w:val="es-ES_tradnl"/>
        </w:rPr>
        <w:t>“</w:t>
      </w:r>
      <w:r>
        <w:rPr>
          <w:rFonts w:ascii="Arial" w:hAnsi="Arial" w:cs="Arial"/>
          <w:sz w:val="21"/>
          <w:szCs w:val="21"/>
          <w:lang w:val="es-ES_tradnl"/>
        </w:rPr>
        <w:t>Consultar ante ustedes si el 29 de junio del presente año comenzará a regir ley de garantías, impidiendo que las instituciones públicas de orden territorial (departamentos, municipios y establecimientos públicos de sus respectivos ordenes) pueda contratar de manera directa a raíz de las elecciones regionales a celebrarse el próximo 29 de octubre; y de ser así ¿en qué términos funcionará la misma?</w:t>
      </w:r>
    </w:p>
    <w:p w14:paraId="2BA72F54" w14:textId="77777777" w:rsidR="005E70C7" w:rsidRDefault="005E70C7" w:rsidP="005E70C7">
      <w:pPr>
        <w:spacing w:after="0" w:line="240" w:lineRule="auto"/>
        <w:ind w:left="709" w:right="709"/>
        <w:contextualSpacing/>
        <w:jc w:val="both"/>
        <w:rPr>
          <w:rFonts w:ascii="Arial" w:hAnsi="Arial" w:cs="Arial"/>
          <w:sz w:val="21"/>
          <w:szCs w:val="21"/>
          <w:lang w:val="es-ES_tradnl"/>
        </w:rPr>
      </w:pPr>
    </w:p>
    <w:p w14:paraId="47CF8155" w14:textId="19BE38B1" w:rsidR="005E70C7" w:rsidRDefault="00982A39" w:rsidP="005E70C7">
      <w:pPr>
        <w:spacing w:after="0" w:line="240" w:lineRule="auto"/>
        <w:ind w:left="709" w:right="709"/>
        <w:contextualSpacing/>
        <w:jc w:val="both"/>
        <w:rPr>
          <w:rFonts w:ascii="Arial" w:hAnsi="Arial" w:cs="Arial"/>
          <w:sz w:val="21"/>
          <w:szCs w:val="21"/>
          <w:lang w:val="es-ES_tradnl"/>
        </w:rPr>
      </w:pPr>
      <w:r>
        <w:rPr>
          <w:rFonts w:ascii="Arial" w:hAnsi="Arial" w:cs="Arial"/>
          <w:sz w:val="21"/>
          <w:szCs w:val="21"/>
          <w:lang w:val="es-ES_tradnl"/>
        </w:rPr>
        <w:t>[…]</w:t>
      </w:r>
      <w:r w:rsidR="005E70C7">
        <w:rPr>
          <w:rFonts w:ascii="Arial" w:hAnsi="Arial" w:cs="Arial"/>
          <w:sz w:val="21"/>
          <w:szCs w:val="21"/>
          <w:lang w:val="es-ES_tradnl"/>
        </w:rPr>
        <w:t>Informarme si efectivamente existirá restricción a las entidades públicas (</w:t>
      </w:r>
      <w:r w:rsidR="005E70C7" w:rsidRPr="000F74FD">
        <w:rPr>
          <w:rFonts w:ascii="Arial" w:hAnsi="Arial" w:cs="Arial"/>
          <w:sz w:val="21"/>
          <w:szCs w:val="21"/>
          <w:u w:val="single"/>
          <w:lang w:val="es-ES_tradnl"/>
        </w:rPr>
        <w:t>departamentos, municipios y establecimientos públicos de sus respectivos ordenes</w:t>
      </w:r>
      <w:r w:rsidR="005E70C7">
        <w:rPr>
          <w:rFonts w:ascii="Arial" w:hAnsi="Arial" w:cs="Arial"/>
          <w:sz w:val="21"/>
          <w:szCs w:val="21"/>
          <w:lang w:val="es-ES_tradnl"/>
        </w:rPr>
        <w:t>) para contratar de manera directa a partir del 29 de junio de la presente vigencia, es decir, cuatro (4) meses antes de las elecciones regionales a alcaldías concejos municipales, gobernadores, asambleas departamentales y ediles comunales por concepto de ley de garantías.</w:t>
      </w:r>
    </w:p>
    <w:p w14:paraId="7EA16F38" w14:textId="77777777" w:rsidR="005E70C7" w:rsidRDefault="005E70C7" w:rsidP="005E70C7">
      <w:pPr>
        <w:spacing w:after="0" w:line="240" w:lineRule="auto"/>
        <w:ind w:left="709" w:right="709"/>
        <w:contextualSpacing/>
        <w:jc w:val="both"/>
        <w:rPr>
          <w:rFonts w:ascii="Arial" w:hAnsi="Arial" w:cs="Arial"/>
          <w:sz w:val="21"/>
          <w:szCs w:val="21"/>
          <w:lang w:val="es-ES_tradnl"/>
        </w:rPr>
      </w:pPr>
    </w:p>
    <w:p w14:paraId="1234B347" w14:textId="3F9567F1" w:rsidR="005E70C7" w:rsidRPr="00551222" w:rsidRDefault="00982A39" w:rsidP="005E70C7">
      <w:pPr>
        <w:spacing w:after="0" w:line="240" w:lineRule="auto"/>
        <w:ind w:left="709" w:right="709"/>
        <w:contextualSpacing/>
        <w:jc w:val="both"/>
        <w:rPr>
          <w:rFonts w:ascii="Arial" w:hAnsi="Arial" w:cs="Arial"/>
          <w:sz w:val="21"/>
          <w:szCs w:val="21"/>
          <w:lang w:val="es-ES_tradnl"/>
        </w:rPr>
      </w:pPr>
      <w:r>
        <w:rPr>
          <w:rFonts w:ascii="Arial" w:hAnsi="Arial" w:cs="Arial"/>
          <w:sz w:val="21"/>
          <w:szCs w:val="21"/>
          <w:lang w:val="es-ES_tradnl"/>
        </w:rPr>
        <w:t xml:space="preserve">[…] </w:t>
      </w:r>
      <w:r w:rsidR="005E70C7">
        <w:rPr>
          <w:rFonts w:ascii="Arial" w:hAnsi="Arial" w:cs="Arial"/>
          <w:sz w:val="21"/>
          <w:szCs w:val="21"/>
          <w:lang w:val="es-ES_tradnl"/>
        </w:rPr>
        <w:t>De ser positiva la realización de la ley de garantías, explicarme cómo funcionará, que tipo de mecanismo de contratación serán restringidos, por cuanto tiempo y bajo que normativa se ejecutará la contratación pública durante este periodo</w:t>
      </w:r>
      <w:r w:rsidR="005E70C7" w:rsidRPr="00551222">
        <w:rPr>
          <w:rFonts w:ascii="Arial" w:hAnsi="Arial" w:cs="Arial"/>
          <w:sz w:val="21"/>
          <w:szCs w:val="21"/>
          <w:lang w:val="es-ES_tradnl"/>
        </w:rPr>
        <w:t>”</w:t>
      </w:r>
      <w:r>
        <w:rPr>
          <w:rFonts w:ascii="Arial" w:hAnsi="Arial" w:cs="Arial"/>
          <w:sz w:val="21"/>
          <w:szCs w:val="21"/>
          <w:lang w:val="es-ES_tradnl"/>
        </w:rPr>
        <w:t>.</w:t>
      </w:r>
    </w:p>
    <w:p w14:paraId="0ACE6F0E" w14:textId="77777777" w:rsidR="005E70C7" w:rsidRPr="00551222" w:rsidRDefault="005E70C7" w:rsidP="005E70C7">
      <w:pPr>
        <w:spacing w:after="0" w:line="276" w:lineRule="auto"/>
        <w:ind w:left="567" w:right="788"/>
        <w:contextualSpacing/>
        <w:jc w:val="both"/>
        <w:rPr>
          <w:rFonts w:ascii="Arial" w:hAnsi="Arial" w:cs="Arial"/>
          <w:sz w:val="21"/>
          <w:szCs w:val="21"/>
          <w:lang w:val="es-ES_tradnl"/>
        </w:rPr>
      </w:pPr>
    </w:p>
    <w:p w14:paraId="2C8731C5" w14:textId="77777777" w:rsidR="005E70C7" w:rsidRPr="00551222" w:rsidRDefault="005E70C7" w:rsidP="005E70C7">
      <w:pPr>
        <w:spacing w:after="0" w:line="276" w:lineRule="auto"/>
        <w:contextualSpacing/>
        <w:rPr>
          <w:rFonts w:ascii="Arial" w:hAnsi="Arial" w:cs="Arial"/>
          <w:b/>
          <w:lang w:val="es-ES_tradnl"/>
        </w:rPr>
      </w:pPr>
      <w:r w:rsidRPr="00551222">
        <w:rPr>
          <w:rFonts w:ascii="Arial" w:hAnsi="Arial" w:cs="Arial"/>
          <w:b/>
          <w:lang w:val="es-ES_tradnl"/>
        </w:rPr>
        <w:t xml:space="preserve">2. Consideraciones </w:t>
      </w:r>
    </w:p>
    <w:p w14:paraId="598D298F" w14:textId="77777777" w:rsidR="005E70C7" w:rsidRPr="00551222" w:rsidRDefault="005E70C7" w:rsidP="005E70C7">
      <w:pPr>
        <w:spacing w:after="0" w:line="276" w:lineRule="auto"/>
        <w:contextualSpacing/>
        <w:jc w:val="both"/>
        <w:rPr>
          <w:rFonts w:ascii="Arial" w:hAnsi="Arial" w:cs="Arial"/>
          <w:bCs/>
          <w:lang w:val="es-ES"/>
        </w:rPr>
      </w:pPr>
    </w:p>
    <w:p w14:paraId="1780285F" w14:textId="77777777" w:rsidR="005E70C7" w:rsidRPr="00551222" w:rsidRDefault="005E70C7" w:rsidP="005E70C7">
      <w:pPr>
        <w:spacing w:after="120" w:line="276" w:lineRule="auto"/>
        <w:jc w:val="both"/>
        <w:rPr>
          <w:rFonts w:ascii="Arial" w:hAnsi="Arial" w:cs="Arial"/>
          <w:bCs/>
          <w:lang w:val="es-ES"/>
        </w:rPr>
      </w:pPr>
      <w:r w:rsidRPr="00551222">
        <w:rPr>
          <w:rFonts w:ascii="Arial" w:hAnsi="Arial" w:cs="Arial"/>
          <w:bCs/>
          <w:lang w:val="es-ES"/>
        </w:rPr>
        <w:t xml:space="preserve">Con el fin de atender su solicitud de consulta, esta Subdirección analizará los siguientes temas: </w:t>
      </w:r>
      <w:r w:rsidRPr="00551222">
        <w:rPr>
          <w:rFonts w:ascii="Arial" w:hAnsi="Arial" w:cs="Arial"/>
          <w:bCs/>
          <w:lang w:val="es-MX"/>
        </w:rPr>
        <w:t xml:space="preserve">i) definición y finalidad de la </w:t>
      </w:r>
      <w:r>
        <w:rPr>
          <w:rFonts w:ascii="Arial" w:hAnsi="Arial" w:cs="Arial"/>
          <w:bCs/>
          <w:lang w:val="es-MX"/>
        </w:rPr>
        <w:t>Ley de Garantías Electorales.</w:t>
      </w:r>
    </w:p>
    <w:p w14:paraId="2A997AB0" w14:textId="77777777" w:rsidR="005E70C7" w:rsidRPr="00551222" w:rsidRDefault="005E70C7" w:rsidP="005E70C7">
      <w:pPr>
        <w:tabs>
          <w:tab w:val="left" w:pos="426"/>
        </w:tabs>
        <w:spacing w:after="0" w:line="276" w:lineRule="auto"/>
        <w:ind w:firstLine="709"/>
        <w:jc w:val="both"/>
        <w:rPr>
          <w:rFonts w:ascii="Arial" w:eastAsia="Calibri" w:hAnsi="Arial" w:cs="Arial"/>
          <w:lang w:val="es-ES_tradnl"/>
        </w:rPr>
      </w:pPr>
      <w:bookmarkStart w:id="1" w:name="_Hlk96420693"/>
      <w:r w:rsidRPr="00551222">
        <w:rPr>
          <w:rFonts w:ascii="Arial" w:eastAsia="Calibri" w:hAnsi="Arial" w:cs="Arial"/>
          <w:lang w:val="es-ES_tradnl"/>
        </w:rPr>
        <w:t xml:space="preserve">La Agencia Nacional de Contratación Pública – Colombia Compra Eficiente ha impartido lineamientos sobre la aplicación de la Ley 996 de 2005, entre otros, mediante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C-674 del 6 de diciembre de 2021, C-677 del 4 de diciembre de 2021, C-695 del 22 de diciembre de 2021, C-699 del 6 de enero de 2022, C-700 del 6 de enero de 2021, C-723 del 28 de diciembre de 2021, </w:t>
      </w:r>
      <w:r w:rsidRPr="00551222">
        <w:rPr>
          <w:rFonts w:ascii="Arial" w:eastAsia="Calibri" w:hAnsi="Arial" w:cs="Arial"/>
          <w:bCs/>
          <w:lang w:val="es-MX"/>
        </w:rPr>
        <w:t>C-715 del 21 de enero de 2022, C-718 del 24 de enero de 2022 y C-726 del 24 de enero de 2022, C-002 del 15 de febrero de 2022, C005 del 16 de febrero de 2022, C-009 del 15 de febrero de 2022, C-014 del 18 de febrero de 2022, C-022 del 21 de febrero de 2022, C-023 del 22 de febrero de 2022, C-008 del 24 de febrero de 2022, C-045 del 3 de marzo de 2022, C-064 del 8 de marzo de 2022, C-072 del 11 de marzo de 2022, C-109 del 14 de marzo de 2022, C-073 del 14 de marzo de 2022, C-075 del 10 de marzo de 2022, C-077 del 17 de marzo de 2022, C-092 del 16 de marzo de 2022, C-094 del 16 de marzo de 2022, C-096 del 22 de marzo de 2022, C-097 del 18 de marzo de 2022, C-098 del 9 de marzo de 2022, C-099 del 22 de marzo de 2022, C-102 del 22 de marzo de 2022, C-107 del 18 de marzo de 2022, C-111 del 22 de marzo de 2022. C-115 del 22 de marzo de 2022, C-116 del 18 de marzo de 2022, C-127 del 22 de marzo de 2022, C-164 del 22 de marzo de 2022, C-608 del 23 de septiembre de 2022 y C-049 del 13 de abril de 2023</w:t>
      </w:r>
      <w:bookmarkEnd w:id="1"/>
      <w:r w:rsidRPr="00551222">
        <w:rPr>
          <w:rFonts w:ascii="Arial" w:eastAsia="Calibri" w:hAnsi="Arial" w:cs="Arial"/>
          <w:vertAlign w:val="superscript"/>
          <w:lang w:val="es-ES" w:eastAsia="es-ES"/>
        </w:rPr>
        <w:footnoteReference w:id="2"/>
      </w:r>
      <w:r w:rsidRPr="00551222">
        <w:rPr>
          <w:rFonts w:ascii="Arial" w:eastAsia="Calibri" w:hAnsi="Arial" w:cs="Arial"/>
          <w:lang w:val="es-ES" w:eastAsia="es-ES"/>
        </w:rPr>
        <w:t>. La tesis expuesta en estos conceptos se reitera y se complementa en lo pertinente en el presente escrito.</w:t>
      </w:r>
    </w:p>
    <w:p w14:paraId="5D0471ED" w14:textId="77777777" w:rsidR="005E70C7" w:rsidRPr="00551222" w:rsidRDefault="005E70C7" w:rsidP="005E70C7">
      <w:pPr>
        <w:tabs>
          <w:tab w:val="left" w:pos="426"/>
        </w:tabs>
        <w:spacing w:after="0" w:line="276" w:lineRule="auto"/>
        <w:contextualSpacing/>
        <w:jc w:val="both"/>
        <w:rPr>
          <w:rFonts w:ascii="Arial" w:eastAsia="Calibri" w:hAnsi="Arial" w:cs="Arial"/>
          <w:lang w:val="es-ES_tradnl"/>
        </w:rPr>
      </w:pPr>
    </w:p>
    <w:p w14:paraId="0E936F96" w14:textId="77777777" w:rsidR="005E70C7" w:rsidRPr="00551222" w:rsidRDefault="005E70C7" w:rsidP="005E70C7">
      <w:pPr>
        <w:tabs>
          <w:tab w:val="left" w:pos="426"/>
        </w:tabs>
        <w:spacing w:after="0" w:line="276" w:lineRule="auto"/>
        <w:contextualSpacing/>
        <w:jc w:val="both"/>
        <w:rPr>
          <w:rFonts w:ascii="Arial" w:eastAsia="Calibri" w:hAnsi="Arial" w:cs="Arial"/>
          <w:b/>
          <w:bCs/>
          <w:lang w:val="es-MX"/>
        </w:rPr>
      </w:pPr>
      <w:r w:rsidRPr="00551222">
        <w:rPr>
          <w:rFonts w:ascii="Arial" w:eastAsia="Calibri" w:hAnsi="Arial" w:cs="Arial"/>
          <w:b/>
          <w:bCs/>
          <w:lang w:val="es-MX"/>
        </w:rPr>
        <w:t>2.1. Definición y finalidad de la Ley de Garantías Electorales: alcance de las restricciones</w:t>
      </w:r>
    </w:p>
    <w:p w14:paraId="492C82D7" w14:textId="77777777" w:rsidR="005E70C7" w:rsidRPr="00551222" w:rsidRDefault="005E70C7" w:rsidP="005E70C7">
      <w:pPr>
        <w:tabs>
          <w:tab w:val="left" w:pos="426"/>
        </w:tabs>
        <w:spacing w:after="0" w:line="276" w:lineRule="auto"/>
        <w:ind w:firstLine="709"/>
        <w:contextualSpacing/>
        <w:jc w:val="both"/>
        <w:rPr>
          <w:rFonts w:ascii="Arial" w:eastAsia="Calibri" w:hAnsi="Arial" w:cs="Arial"/>
          <w:bCs/>
          <w:lang w:val="es-MX"/>
        </w:rPr>
      </w:pPr>
    </w:p>
    <w:p w14:paraId="4BA45888" w14:textId="77777777" w:rsidR="005E70C7" w:rsidRDefault="005E70C7" w:rsidP="004B046B">
      <w:pPr>
        <w:tabs>
          <w:tab w:val="left" w:pos="426"/>
        </w:tabs>
        <w:spacing w:after="120" w:line="276" w:lineRule="auto"/>
        <w:jc w:val="both"/>
        <w:rPr>
          <w:rFonts w:ascii="Arial" w:eastAsia="Calibri" w:hAnsi="Arial" w:cs="Arial"/>
          <w:bCs/>
          <w:lang w:val="es-MX"/>
        </w:rPr>
      </w:pPr>
      <w:r w:rsidRPr="00551222">
        <w:rPr>
          <w:rFonts w:ascii="Arial" w:eastAsia="Calibri" w:hAnsi="Arial" w:cs="Arial"/>
          <w:bCs/>
          <w:lang w:val="es-MX"/>
        </w:rPr>
        <w:t>El ordenamiento jurídico colombiano contempla previsiones claras para evitar la obtención de beneficios personales en asuntos propios de la administración pública</w:t>
      </w:r>
      <w:r w:rsidRPr="00551222">
        <w:rPr>
          <w:rFonts w:ascii="Arial" w:eastAsia="Calibri" w:hAnsi="Arial" w:cs="Arial"/>
          <w:bCs/>
          <w:i/>
          <w:iCs/>
          <w:lang w:val="es-MX"/>
        </w:rPr>
        <w:t xml:space="preserve">. </w:t>
      </w:r>
      <w:r w:rsidRPr="00551222">
        <w:rPr>
          <w:rFonts w:ascii="Arial" w:eastAsia="Calibri" w:hAnsi="Arial" w:cs="Arial"/>
          <w:bCs/>
          <w:lang w:val="es-MX"/>
        </w:rPr>
        <w:t>Por ejemplo, el artículo 127 de la Constitución Política establece una prohibición contractual a los servidores públicos y en cuanto a aspectos políticos consagra restricciones a ciertos empleados del Estado, incluso en época no electoral</w:t>
      </w:r>
      <w:r w:rsidRPr="00551222">
        <w:rPr>
          <w:rFonts w:ascii="Arial" w:eastAsia="Calibri" w:hAnsi="Arial" w:cs="Arial"/>
          <w:bCs/>
          <w:vertAlign w:val="superscript"/>
          <w:lang w:val="es-MX"/>
        </w:rPr>
        <w:footnoteReference w:id="3"/>
      </w:r>
      <w:r w:rsidRPr="00551222">
        <w:rPr>
          <w:rFonts w:ascii="Arial" w:eastAsia="Calibri" w:hAnsi="Arial" w:cs="Arial"/>
          <w:bCs/>
          <w:lang w:val="es-MX"/>
        </w:rPr>
        <w:t xml:space="preserve">. </w:t>
      </w:r>
    </w:p>
    <w:p w14:paraId="47A95583" w14:textId="77777777" w:rsidR="005E70C7" w:rsidRPr="00551222" w:rsidRDefault="005E70C7" w:rsidP="005E70C7">
      <w:pPr>
        <w:tabs>
          <w:tab w:val="left" w:pos="426"/>
        </w:tabs>
        <w:spacing w:after="0" w:line="276" w:lineRule="auto"/>
        <w:ind w:firstLine="709"/>
        <w:jc w:val="both"/>
        <w:rPr>
          <w:rFonts w:ascii="Arial" w:hAnsi="Arial" w:cs="Arial"/>
          <w:bCs/>
          <w:lang w:val="es-MX" w:eastAsia="es-CO"/>
        </w:rPr>
      </w:pPr>
      <w:r w:rsidRPr="00551222">
        <w:rPr>
          <w:rFonts w:ascii="Arial" w:hAnsi="Arial" w:cs="Arial"/>
          <w:bCs/>
          <w:lang w:val="es-MX" w:eastAsia="es-CO"/>
        </w:rPr>
        <w:t xml:space="preserve">En el mismo sentido, </w:t>
      </w:r>
      <w:bookmarkStart w:id="2" w:name="_Hlk99576829"/>
      <w:r w:rsidRPr="00551222">
        <w:rPr>
          <w:rFonts w:ascii="Arial" w:hAnsi="Arial" w:cs="Arial"/>
          <w:bCs/>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551222">
        <w:rPr>
          <w:rFonts w:ascii="Arial" w:hAnsi="Arial" w:cs="Arial"/>
          <w:bCs/>
          <w:vertAlign w:val="superscript"/>
          <w:lang w:val="es-MX" w:eastAsia="es-CO"/>
        </w:rPr>
        <w:footnoteReference w:id="4"/>
      </w:r>
      <w:r w:rsidRPr="00551222">
        <w:rPr>
          <w:rFonts w:ascii="Arial" w:hAnsi="Arial" w:cs="Arial"/>
          <w:bCs/>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551222">
        <w:rPr>
          <w:rFonts w:ascii="Arial" w:eastAsia="Calibri" w:hAnsi="Arial" w:cs="Arial"/>
          <w:noProof/>
          <w:lang w:val="es-ES_tradnl"/>
        </w:rPr>
        <w:t xml:space="preserve"> </w:t>
      </w:r>
      <w:bookmarkEnd w:id="2"/>
      <w:r w:rsidRPr="00551222">
        <w:rPr>
          <w:rFonts w:ascii="Arial" w:hAnsi="Arial" w:cs="Arial"/>
          <w:bCs/>
          <w:lang w:val="es-MX" w:eastAsia="es-CO"/>
        </w:rPr>
        <w:t>En armonía con lo anterior, la Corte Constitucional ha abordado la definición de la Ley de Garantías Electorales. De esta manera, explica que tiene como propósito:</w:t>
      </w:r>
    </w:p>
    <w:p w14:paraId="46426977" w14:textId="77777777" w:rsidR="005E70C7" w:rsidRPr="00551222" w:rsidRDefault="005E70C7" w:rsidP="005E70C7">
      <w:pPr>
        <w:spacing w:after="0" w:line="276" w:lineRule="auto"/>
        <w:ind w:right="709"/>
        <w:contextualSpacing/>
        <w:jc w:val="both"/>
        <w:rPr>
          <w:rFonts w:ascii="Arial" w:hAnsi="Arial" w:cs="Arial"/>
          <w:color w:val="FF0000"/>
          <w:lang w:val="es-ES" w:eastAsia="es-CO"/>
        </w:rPr>
      </w:pPr>
    </w:p>
    <w:p w14:paraId="7CD4E320" w14:textId="77777777" w:rsidR="005E70C7" w:rsidRPr="00551222" w:rsidRDefault="005E70C7" w:rsidP="005E70C7">
      <w:pPr>
        <w:spacing w:after="0" w:line="240" w:lineRule="auto"/>
        <w:ind w:left="709" w:right="709"/>
        <w:contextualSpacing/>
        <w:jc w:val="both"/>
        <w:rPr>
          <w:rFonts w:ascii="Arial" w:hAnsi="Arial" w:cs="Arial"/>
          <w:bCs/>
          <w:sz w:val="21"/>
          <w:szCs w:val="21"/>
          <w:lang w:val="es-MX" w:eastAsia="es-CO"/>
        </w:rPr>
      </w:pPr>
      <w:r w:rsidRPr="00551222">
        <w:rPr>
          <w:rFonts w:ascii="Arial" w:hAnsi="Arial" w:cs="Arial"/>
          <w:sz w:val="21"/>
          <w:szCs w:val="21"/>
          <w:lang w:val="es-ES" w:eastAsia="es-CO"/>
        </w:rPr>
        <w:t xml:space="preserve">“[…] </w:t>
      </w:r>
      <w:r w:rsidRPr="00551222">
        <w:rPr>
          <w:rFonts w:ascii="Arial"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0E1A4E38" w14:textId="77777777" w:rsidR="005E70C7" w:rsidRPr="00551222" w:rsidRDefault="005E70C7" w:rsidP="005E70C7">
      <w:pPr>
        <w:spacing w:after="0" w:line="240" w:lineRule="auto"/>
        <w:ind w:left="709" w:right="709"/>
        <w:contextualSpacing/>
        <w:jc w:val="both"/>
        <w:rPr>
          <w:rFonts w:ascii="Arial" w:hAnsi="Arial" w:cs="Arial"/>
          <w:bCs/>
          <w:sz w:val="21"/>
          <w:szCs w:val="21"/>
          <w:lang w:val="es-MX" w:eastAsia="es-CO"/>
        </w:rPr>
      </w:pPr>
    </w:p>
    <w:p w14:paraId="22377D1B" w14:textId="77777777" w:rsidR="005E70C7" w:rsidRPr="00551222" w:rsidRDefault="005E70C7" w:rsidP="005E70C7">
      <w:pPr>
        <w:spacing w:after="0" w:line="240" w:lineRule="auto"/>
        <w:ind w:left="709" w:right="709"/>
        <w:contextualSpacing/>
        <w:jc w:val="both"/>
        <w:rPr>
          <w:rFonts w:ascii="Arial" w:hAnsi="Arial" w:cs="Arial"/>
          <w:bCs/>
          <w:sz w:val="21"/>
          <w:szCs w:val="21"/>
          <w:lang w:val="es-MX" w:eastAsia="es-CO"/>
        </w:rPr>
      </w:pPr>
      <w:r w:rsidRPr="00551222">
        <w:rPr>
          <w:rFonts w:ascii="Arial" w:hAnsi="Arial" w:cs="Arial"/>
          <w:bCs/>
          <w:sz w:val="21"/>
          <w:szCs w:val="21"/>
          <w:lang w:val="es-MX" w:eastAsia="es-CO"/>
        </w:rPr>
        <w:t xml:space="preserve">[…] </w:t>
      </w:r>
    </w:p>
    <w:p w14:paraId="45C74894" w14:textId="77777777" w:rsidR="005E70C7" w:rsidRPr="00551222" w:rsidRDefault="005E70C7" w:rsidP="005E70C7">
      <w:pPr>
        <w:spacing w:after="0" w:line="240" w:lineRule="auto"/>
        <w:ind w:right="709"/>
        <w:contextualSpacing/>
        <w:jc w:val="both"/>
        <w:rPr>
          <w:rFonts w:ascii="Arial" w:hAnsi="Arial" w:cs="Arial"/>
          <w:bCs/>
          <w:sz w:val="21"/>
          <w:szCs w:val="21"/>
          <w:lang w:val="es-MX" w:eastAsia="es-CO"/>
        </w:rPr>
      </w:pPr>
    </w:p>
    <w:p w14:paraId="09383275" w14:textId="77777777" w:rsidR="005E70C7" w:rsidRPr="00551222" w:rsidRDefault="005E70C7" w:rsidP="005E70C7">
      <w:pPr>
        <w:spacing w:after="0" w:line="240" w:lineRule="auto"/>
        <w:ind w:left="709" w:right="709"/>
        <w:contextualSpacing/>
        <w:jc w:val="both"/>
        <w:rPr>
          <w:rFonts w:ascii="Arial" w:hAnsi="Arial" w:cs="Arial"/>
          <w:bCs/>
          <w:sz w:val="21"/>
          <w:szCs w:val="21"/>
          <w:lang w:val="es-MX" w:eastAsia="es-CO"/>
        </w:rPr>
      </w:pPr>
      <w:r w:rsidRPr="00551222">
        <w:rPr>
          <w:rFonts w:ascii="Arial" w:hAnsi="Arial" w:cs="Arial"/>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551222">
        <w:rPr>
          <w:rFonts w:ascii="Arial" w:eastAsia="Calibri" w:hAnsi="Arial" w:cs="Arial"/>
          <w:sz w:val="21"/>
          <w:szCs w:val="21"/>
          <w:vertAlign w:val="superscript"/>
          <w:lang w:val="es-MX"/>
        </w:rPr>
        <w:footnoteReference w:id="5"/>
      </w:r>
      <w:r w:rsidRPr="00551222">
        <w:rPr>
          <w:rFonts w:ascii="Arial" w:hAnsi="Arial" w:cs="Arial"/>
          <w:bCs/>
          <w:sz w:val="21"/>
          <w:szCs w:val="21"/>
          <w:lang w:val="es-MX" w:eastAsia="es-CO"/>
        </w:rPr>
        <w:t>.</w:t>
      </w:r>
    </w:p>
    <w:p w14:paraId="4BF45A11" w14:textId="77777777" w:rsidR="005E70C7" w:rsidRPr="00551222" w:rsidRDefault="005E70C7" w:rsidP="005E70C7">
      <w:pPr>
        <w:spacing w:after="0" w:line="276" w:lineRule="auto"/>
        <w:ind w:left="708" w:right="709"/>
        <w:contextualSpacing/>
        <w:jc w:val="both"/>
        <w:rPr>
          <w:rFonts w:ascii="Arial" w:hAnsi="Arial" w:cs="Arial"/>
          <w:bCs/>
          <w:lang w:val="es-MX" w:eastAsia="es-CO"/>
        </w:rPr>
      </w:pPr>
    </w:p>
    <w:p w14:paraId="7830146A" w14:textId="77777777" w:rsidR="005E70C7" w:rsidRPr="00551222" w:rsidRDefault="005E70C7" w:rsidP="005E70C7">
      <w:pPr>
        <w:spacing w:after="0" w:line="276" w:lineRule="auto"/>
        <w:ind w:firstLine="709"/>
        <w:contextualSpacing/>
        <w:jc w:val="both"/>
        <w:rPr>
          <w:rFonts w:ascii="Arial" w:hAnsi="Arial" w:cs="Arial"/>
          <w:bCs/>
          <w:lang w:val="es-MX" w:eastAsia="es-CO"/>
        </w:rPr>
      </w:pPr>
      <w:bookmarkStart w:id="3" w:name="_Hlk78818186"/>
      <w:r w:rsidRPr="00551222">
        <w:rPr>
          <w:rFonts w:ascii="Arial" w:hAnsi="Arial" w:cs="Arial"/>
          <w:bCs/>
          <w:lang w:val="es-MX"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3"/>
      <w:r w:rsidRPr="00551222">
        <w:rPr>
          <w:rFonts w:ascii="Arial" w:hAnsi="Arial" w:cs="Arial"/>
          <w:bCs/>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 precisó lo siguiente:</w:t>
      </w:r>
    </w:p>
    <w:p w14:paraId="678C2955" w14:textId="77777777" w:rsidR="005E70C7" w:rsidRPr="00551222" w:rsidRDefault="005E70C7" w:rsidP="005E70C7">
      <w:pPr>
        <w:spacing w:after="0" w:line="276" w:lineRule="auto"/>
        <w:ind w:firstLine="709"/>
        <w:contextualSpacing/>
        <w:jc w:val="both"/>
        <w:rPr>
          <w:rFonts w:ascii="Arial" w:hAnsi="Arial" w:cs="Arial"/>
          <w:bCs/>
          <w:lang w:val="es-MX" w:eastAsia="es-CO"/>
        </w:rPr>
      </w:pPr>
    </w:p>
    <w:p w14:paraId="071A816B" w14:textId="77777777" w:rsidR="005E70C7" w:rsidRPr="00551222" w:rsidRDefault="005E70C7" w:rsidP="005E70C7">
      <w:pPr>
        <w:spacing w:after="0" w:line="240" w:lineRule="auto"/>
        <w:ind w:left="709" w:right="709"/>
        <w:contextualSpacing/>
        <w:jc w:val="both"/>
        <w:rPr>
          <w:rFonts w:ascii="Arial" w:hAnsi="Arial" w:cs="Arial"/>
          <w:bCs/>
          <w:sz w:val="21"/>
          <w:szCs w:val="21"/>
          <w:lang w:val="es-MX" w:eastAsia="es-CO"/>
        </w:rPr>
      </w:pPr>
      <w:r w:rsidRPr="00551222">
        <w:rPr>
          <w:rFonts w:ascii="Arial" w:hAnsi="Arial" w:cs="Arial"/>
          <w:bCs/>
          <w:sz w:val="21"/>
          <w:szCs w:val="21"/>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551222">
        <w:rPr>
          <w:rFonts w:ascii="Arial" w:hAnsi="Arial" w:cs="Arial"/>
          <w:bCs/>
          <w:sz w:val="21"/>
          <w:szCs w:val="21"/>
          <w:lang w:val="es-MX" w:eastAsia="es-CO"/>
        </w:rPr>
        <w:t>legis</w:t>
      </w:r>
      <w:proofErr w:type="spellEnd"/>
      <w:r w:rsidRPr="00551222">
        <w:rPr>
          <w:rFonts w:ascii="Arial" w:hAnsi="Arial" w:cs="Arial"/>
          <w:bCs/>
          <w:sz w:val="21"/>
          <w:szCs w:val="21"/>
          <w:lang w:val="es-MX"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1EE389B0" w14:textId="77777777" w:rsidR="005E70C7" w:rsidRPr="00551222" w:rsidRDefault="005E70C7" w:rsidP="005E70C7">
      <w:pPr>
        <w:spacing w:after="0" w:line="240" w:lineRule="auto"/>
        <w:ind w:left="709" w:right="709"/>
        <w:contextualSpacing/>
        <w:jc w:val="both"/>
        <w:rPr>
          <w:rFonts w:ascii="Arial" w:hAnsi="Arial" w:cs="Arial"/>
          <w:bCs/>
          <w:sz w:val="21"/>
          <w:szCs w:val="21"/>
          <w:lang w:val="es-MX" w:eastAsia="es-CO"/>
        </w:rPr>
      </w:pPr>
    </w:p>
    <w:p w14:paraId="1A25F809" w14:textId="77777777" w:rsidR="005E70C7" w:rsidRPr="00551222" w:rsidRDefault="005E70C7" w:rsidP="005E70C7">
      <w:pPr>
        <w:spacing w:after="0" w:line="240" w:lineRule="auto"/>
        <w:ind w:left="709" w:right="709"/>
        <w:contextualSpacing/>
        <w:jc w:val="both"/>
        <w:rPr>
          <w:rFonts w:ascii="Arial" w:hAnsi="Arial" w:cs="Arial"/>
          <w:bCs/>
          <w:sz w:val="21"/>
          <w:szCs w:val="21"/>
          <w:lang w:val="es-MX" w:eastAsia="es-CO"/>
        </w:rPr>
      </w:pPr>
      <w:r w:rsidRPr="00551222">
        <w:rPr>
          <w:rFonts w:ascii="Arial" w:hAnsi="Arial" w:cs="Arial"/>
          <w:bCs/>
          <w:sz w:val="21"/>
          <w:szCs w:val="21"/>
          <w:lang w:val="es-MX" w:eastAsia="es-CO"/>
        </w:rPr>
        <w:t>La jurisprudencia de la Corte Constitucional</w:t>
      </w:r>
      <w:r w:rsidRPr="00551222">
        <w:rPr>
          <w:rFonts w:ascii="Arial" w:hAnsi="Arial" w:cs="Arial"/>
          <w:bCs/>
          <w:sz w:val="21"/>
          <w:szCs w:val="21"/>
          <w:vertAlign w:val="superscript"/>
          <w:lang w:val="es-MX" w:eastAsia="es-CO"/>
        </w:rPr>
        <w:footnoteReference w:id="6"/>
      </w:r>
      <w:r w:rsidRPr="00551222">
        <w:rPr>
          <w:rFonts w:ascii="Arial" w:hAnsi="Arial" w:cs="Arial"/>
          <w:bCs/>
          <w:sz w:val="21"/>
          <w:szCs w:val="21"/>
          <w:lang w:val="es-MX" w:eastAsia="es-CO"/>
        </w:rPr>
        <w:t> y del Consejo de Estado</w:t>
      </w:r>
      <w:r w:rsidRPr="00551222">
        <w:rPr>
          <w:rFonts w:ascii="Arial" w:hAnsi="Arial" w:cs="Arial"/>
          <w:bCs/>
          <w:sz w:val="21"/>
          <w:szCs w:val="21"/>
          <w:vertAlign w:val="superscript"/>
          <w:lang w:val="es-MX" w:eastAsia="es-CO"/>
        </w:rPr>
        <w:footnoteReference w:id="7"/>
      </w:r>
      <w:r w:rsidRPr="00551222">
        <w:rPr>
          <w:rFonts w:ascii="Arial" w:hAnsi="Arial" w:cs="Arial"/>
          <w:bCs/>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551222">
        <w:rPr>
          <w:rFonts w:ascii="Arial" w:hAnsi="Arial" w:cs="Arial"/>
          <w:bCs/>
          <w:sz w:val="21"/>
          <w:szCs w:val="21"/>
          <w:vertAlign w:val="superscript"/>
          <w:lang w:val="es-MX" w:eastAsia="es-CO"/>
        </w:rPr>
        <w:footnoteReference w:id="8"/>
      </w:r>
      <w:r w:rsidRPr="00551222">
        <w:rPr>
          <w:rFonts w:ascii="Arial" w:hAnsi="Arial" w:cs="Arial"/>
          <w:bCs/>
          <w:sz w:val="21"/>
          <w:szCs w:val="21"/>
          <w:lang w:val="es-MX" w:eastAsia="es-CO"/>
        </w:rPr>
        <w:t>.</w:t>
      </w:r>
    </w:p>
    <w:p w14:paraId="3DA9359B" w14:textId="77777777" w:rsidR="005E70C7" w:rsidRPr="00551222" w:rsidRDefault="005E70C7" w:rsidP="005E70C7">
      <w:pPr>
        <w:spacing w:after="0" w:line="276" w:lineRule="auto"/>
        <w:ind w:right="709"/>
        <w:jc w:val="both"/>
        <w:rPr>
          <w:rFonts w:ascii="Arial" w:hAnsi="Arial" w:cs="Arial"/>
          <w:bCs/>
          <w:color w:val="FF0000"/>
          <w:lang w:val="es-MX" w:eastAsia="es-CO"/>
        </w:rPr>
      </w:pPr>
    </w:p>
    <w:p w14:paraId="1F7A47F6" w14:textId="77777777" w:rsidR="005E70C7" w:rsidRDefault="005E70C7" w:rsidP="004B046B">
      <w:pPr>
        <w:spacing w:after="120" w:line="276" w:lineRule="auto"/>
        <w:jc w:val="both"/>
        <w:rPr>
          <w:rFonts w:ascii="Arial" w:eastAsia="Arial" w:hAnsi="Arial" w:cs="Arial"/>
          <w:lang w:val="es-ES" w:eastAsia="es-ES" w:bidi="es-ES"/>
        </w:rPr>
      </w:pPr>
      <w:r w:rsidRPr="00551222">
        <w:rPr>
          <w:rFonts w:ascii="Arial" w:hAnsi="Arial" w:cs="Arial"/>
          <w:bCs/>
          <w:color w:val="FF0000"/>
          <w:lang w:val="es-MX" w:eastAsia="es-CO"/>
        </w:rPr>
        <w:tab/>
      </w:r>
      <w:r w:rsidRPr="00551222">
        <w:rPr>
          <w:rFonts w:ascii="Arial" w:hAnsi="Arial" w:cs="Arial"/>
          <w:bCs/>
          <w:lang w:val="es-MX" w:eastAsia="es-CO"/>
        </w:rPr>
        <w:t>De</w:t>
      </w:r>
      <w:r w:rsidRPr="00551222">
        <w:rPr>
          <w:rFonts w:ascii="Arial" w:eastAsia="Arial" w:hAnsi="Arial" w:cs="Arial"/>
          <w:lang w:val="es-ES" w:eastAsia="es-ES" w:bidi="es-ES"/>
        </w:rPr>
        <w:t xml:space="preserve"> conformidad con lo anterior, </w:t>
      </w:r>
      <w:bookmarkStart w:id="4" w:name="_Hlk77236098"/>
      <w:r w:rsidRPr="00551222">
        <w:rPr>
          <w:rFonts w:ascii="Arial" w:eastAsia="Arial" w:hAnsi="Arial" w:cs="Arial"/>
          <w:lang w:val="es-ES" w:eastAsia="es-ES" w:bidi="es-ES"/>
        </w:rPr>
        <w:t>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alteren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bookmarkEnd w:id="4"/>
    </w:p>
    <w:p w14:paraId="52AFA8F4" w14:textId="77777777" w:rsidR="005E70C7" w:rsidRDefault="005E70C7" w:rsidP="004B046B">
      <w:pPr>
        <w:spacing w:after="120" w:line="276" w:lineRule="auto"/>
        <w:ind w:firstLine="708"/>
        <w:jc w:val="both"/>
        <w:rPr>
          <w:rFonts w:ascii="Arial" w:eastAsia="Calibri" w:hAnsi="Arial" w:cs="Arial"/>
          <w:lang w:val="es-MX"/>
        </w:rPr>
      </w:pPr>
      <w:r w:rsidRPr="00551222">
        <w:rPr>
          <w:rFonts w:ascii="Arial" w:eastAsia="Calibri" w:hAnsi="Arial" w:cs="Arial"/>
          <w:lang w:val="es-MX"/>
        </w:rPr>
        <w:t xml:space="preserve">Por un lado, el artículo 33 de la Ley 996 de 2005 prohíbe </w:t>
      </w:r>
      <w:r w:rsidRPr="00551222">
        <w:rPr>
          <w:rFonts w:ascii="Arial" w:eastAsia="Calibri" w:hAnsi="Arial" w:cs="Arial"/>
          <w:bCs/>
          <w:lang w:val="es-MX"/>
        </w:rPr>
        <w:t xml:space="preserve">“[…] </w:t>
      </w:r>
      <w:r w:rsidRPr="00551222">
        <w:rPr>
          <w:rFonts w:ascii="Arial" w:eastAsia="Calibri" w:hAnsi="Arial" w:cs="Arial"/>
          <w:lang w:val="es-MX"/>
        </w:rPr>
        <w:t>la contratación directa por parte de todos los entes del Estado</w:t>
      </w:r>
      <w:r w:rsidRPr="00551222">
        <w:rPr>
          <w:rFonts w:ascii="Arial" w:eastAsia="Calibri" w:hAnsi="Arial" w:cs="Arial"/>
          <w:bCs/>
          <w:lang w:val="es-MX"/>
        </w:rPr>
        <w:t>”</w:t>
      </w:r>
      <w:r w:rsidRPr="00551222">
        <w:rPr>
          <w:rFonts w:ascii="Arial" w:eastAsia="Calibri" w:hAnsi="Arial" w:cs="Arial"/>
          <w:lang w:val="es-MX"/>
        </w:rPr>
        <w:t xml:space="preserve"> durante los cuatro (4) meses anteriores a las elecciones presidenciales, salvo </w:t>
      </w:r>
      <w:r w:rsidRPr="00551222">
        <w:rPr>
          <w:rFonts w:ascii="Arial" w:eastAsia="Calibri" w:hAnsi="Arial" w:cs="Arial"/>
          <w:bCs/>
          <w:lang w:val="es-MX"/>
        </w:rPr>
        <w:t xml:space="preserve">“[…] </w:t>
      </w:r>
      <w:r w:rsidRPr="00551222">
        <w:rPr>
          <w:rFonts w:ascii="Arial" w:eastAsia="Calibri" w:hAnsi="Arial" w:cs="Arial"/>
          <w:lang w:val="es-MX"/>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551222">
        <w:rPr>
          <w:rFonts w:ascii="Arial" w:eastAsia="Calibri" w:hAnsi="Arial" w:cs="Arial"/>
          <w:bCs/>
          <w:lang w:val="es-MX"/>
        </w:rPr>
        <w:t>”</w:t>
      </w:r>
      <w:r w:rsidRPr="00551222">
        <w:rPr>
          <w:rFonts w:ascii="Arial" w:eastAsia="Calibri" w:hAnsi="Arial" w:cs="Arial"/>
          <w:bCs/>
          <w:vertAlign w:val="superscript"/>
          <w:lang w:val="es-MX"/>
        </w:rPr>
        <w:footnoteReference w:id="9"/>
      </w:r>
      <w:r w:rsidRPr="00551222">
        <w:rPr>
          <w:rFonts w:ascii="Arial" w:eastAsia="Calibri" w:hAnsi="Arial" w:cs="Arial"/>
          <w:lang w:val="es-MX"/>
        </w:rPr>
        <w:t>.</w:t>
      </w:r>
    </w:p>
    <w:p w14:paraId="44A20BC7" w14:textId="77777777" w:rsidR="005E70C7" w:rsidRDefault="005E70C7" w:rsidP="005E70C7">
      <w:pPr>
        <w:widowControl w:val="0"/>
        <w:autoSpaceDE w:val="0"/>
        <w:autoSpaceDN w:val="0"/>
        <w:spacing w:after="0" w:line="276" w:lineRule="auto"/>
        <w:ind w:right="113" w:firstLine="708"/>
        <w:jc w:val="both"/>
        <w:rPr>
          <w:rFonts w:ascii="Arial" w:eastAsia="Calibri" w:hAnsi="Arial" w:cs="Arial"/>
          <w:lang w:val="es-MX"/>
        </w:rPr>
      </w:pPr>
      <w:r w:rsidRPr="00551222">
        <w:rPr>
          <w:rFonts w:ascii="Arial" w:eastAsia="Calibri" w:hAnsi="Arial" w:cs="Arial"/>
          <w:lang w:val="es-MX"/>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551222">
        <w:rPr>
          <w:rFonts w:ascii="Arial" w:eastAsia="Calibri" w:hAnsi="Arial" w:cs="Arial"/>
          <w:bCs/>
          <w:lang w:val="es-MX"/>
        </w:rPr>
        <w:t xml:space="preserve">“[…] </w:t>
      </w:r>
      <w:r w:rsidRPr="00551222">
        <w:rPr>
          <w:rFonts w:ascii="Arial" w:eastAsia="Calibri" w:hAnsi="Arial" w:cs="Arial"/>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551222">
        <w:rPr>
          <w:rFonts w:ascii="Arial" w:eastAsia="Calibri" w:hAnsi="Arial" w:cs="Arial"/>
          <w:bCs/>
          <w:lang w:val="es-MX"/>
        </w:rPr>
        <w:t>”</w:t>
      </w:r>
      <w:r w:rsidRPr="00551222">
        <w:rPr>
          <w:rFonts w:ascii="Arial" w:eastAsia="Calibri" w:hAnsi="Arial" w:cs="Arial"/>
          <w:bCs/>
          <w:vertAlign w:val="superscript"/>
          <w:lang w:val="es-MX"/>
        </w:rPr>
        <w:footnoteReference w:id="10"/>
      </w:r>
      <w:r w:rsidRPr="00551222">
        <w:rPr>
          <w:rFonts w:ascii="Arial" w:eastAsia="Calibri" w:hAnsi="Arial" w:cs="Arial"/>
          <w:lang w:val="es-MX"/>
        </w:rPr>
        <w:t>.</w:t>
      </w:r>
    </w:p>
    <w:p w14:paraId="17AAB1A7" w14:textId="77777777" w:rsidR="005E70C7" w:rsidRPr="00551222" w:rsidRDefault="005E70C7" w:rsidP="005E70C7">
      <w:pPr>
        <w:widowControl w:val="0"/>
        <w:autoSpaceDE w:val="0"/>
        <w:autoSpaceDN w:val="0"/>
        <w:spacing w:after="0" w:line="276" w:lineRule="auto"/>
        <w:ind w:right="113" w:firstLine="708"/>
        <w:jc w:val="both"/>
        <w:rPr>
          <w:rFonts w:ascii="Arial" w:eastAsia="Arial" w:hAnsi="Arial" w:cs="Arial"/>
          <w:lang w:val="es-ES" w:eastAsia="es-ES" w:bidi="es-ES"/>
        </w:rPr>
      </w:pPr>
      <w:r w:rsidRPr="00551222">
        <w:rPr>
          <w:rFonts w:ascii="Arial" w:eastAsia="Arial" w:hAnsi="Arial" w:cs="Arial"/>
          <w:lang w:val="es-ES" w:eastAsia="es-ES" w:bidi="es-ES"/>
        </w:rPr>
        <w:t xml:space="preserve"> </w:t>
      </w:r>
    </w:p>
    <w:p w14:paraId="0A6E1DC7" w14:textId="77777777" w:rsidR="005E70C7" w:rsidRPr="00551222" w:rsidRDefault="005E70C7" w:rsidP="005E70C7">
      <w:pPr>
        <w:widowControl w:val="0"/>
        <w:autoSpaceDE w:val="0"/>
        <w:autoSpaceDN w:val="0"/>
        <w:spacing w:after="0" w:line="276" w:lineRule="auto"/>
        <w:ind w:right="113" w:firstLine="709"/>
        <w:contextualSpacing/>
        <w:jc w:val="both"/>
        <w:rPr>
          <w:rFonts w:ascii="Arial" w:eastAsia="Arial" w:hAnsi="Arial" w:cs="Arial"/>
          <w:lang w:val="es-ES" w:eastAsia="es-ES" w:bidi="es-ES"/>
        </w:rPr>
      </w:pPr>
      <w:r w:rsidRPr="00551222">
        <w:rPr>
          <w:rFonts w:ascii="Arial" w:eastAsia="Arial" w:hAnsi="Arial" w:cs="Arial"/>
          <w:lang w:val="es-ES" w:eastAsia="es-ES" w:bidi="es-ES"/>
        </w:rPr>
        <w:t>La Sala de Consulta y Servicio Civil del Consejo de Estado ha aclarado la distinción en la aplicación de las prohibiciones de la Ley 996 de 2005, dependiendo del tipo de elección que se trate. Al respecto, considera que:</w:t>
      </w:r>
    </w:p>
    <w:p w14:paraId="3D79010F" w14:textId="77777777" w:rsidR="005E70C7" w:rsidRPr="00551222" w:rsidRDefault="005E70C7" w:rsidP="005E70C7">
      <w:pPr>
        <w:widowControl w:val="0"/>
        <w:autoSpaceDE w:val="0"/>
        <w:autoSpaceDN w:val="0"/>
        <w:spacing w:after="0" w:line="276" w:lineRule="auto"/>
        <w:ind w:left="805" w:right="811"/>
        <w:contextualSpacing/>
        <w:jc w:val="both"/>
        <w:rPr>
          <w:rFonts w:ascii="Arial" w:eastAsia="Arial" w:hAnsi="Arial" w:cs="Arial"/>
          <w:lang w:val="es-ES" w:eastAsia="es-ES" w:bidi="es-ES"/>
        </w:rPr>
      </w:pPr>
    </w:p>
    <w:p w14:paraId="662A64E7" w14:textId="77777777" w:rsidR="005E70C7" w:rsidRPr="00551222" w:rsidRDefault="005E70C7" w:rsidP="005E70C7">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r w:rsidRPr="00551222">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7" w:name="_Hlk76109421"/>
      <w:r w:rsidRPr="00551222">
        <w:rPr>
          <w:rFonts w:ascii="Arial" w:eastAsia="Arial" w:hAnsi="Arial" w:cs="Arial"/>
          <w:sz w:val="21"/>
          <w:szCs w:val="21"/>
          <w:lang w:val="es-ES" w:eastAsia="es-ES" w:bidi="es-ES"/>
        </w:rPr>
        <w:t>se integran parcialmente</w:t>
      </w:r>
      <w:bookmarkEnd w:id="7"/>
      <w:r w:rsidRPr="00551222">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551222">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551222">
        <w:rPr>
          <w:rFonts w:ascii="Arial" w:eastAsia="Arial" w:hAnsi="Arial" w:cs="Arial"/>
          <w:sz w:val="21"/>
          <w:szCs w:val="21"/>
          <w:lang w:val="es-ES" w:eastAsia="es-ES" w:bidi="es-ES"/>
        </w:rPr>
        <w:t>”.</w:t>
      </w:r>
      <w:r w:rsidRPr="00551222">
        <w:rPr>
          <w:rFonts w:ascii="Arial" w:eastAsia="Arial" w:hAnsi="Arial" w:cs="Arial"/>
          <w:sz w:val="21"/>
          <w:szCs w:val="21"/>
          <w:vertAlign w:val="superscript"/>
          <w:lang w:val="es-ES" w:eastAsia="es-ES" w:bidi="es-ES"/>
        </w:rPr>
        <w:footnoteReference w:id="11"/>
      </w:r>
    </w:p>
    <w:p w14:paraId="036DE490" w14:textId="77777777" w:rsidR="005E70C7" w:rsidRPr="00551222" w:rsidRDefault="005E70C7" w:rsidP="005E70C7">
      <w:pPr>
        <w:widowControl w:val="0"/>
        <w:autoSpaceDE w:val="0"/>
        <w:autoSpaceDN w:val="0"/>
        <w:spacing w:after="0" w:line="276" w:lineRule="auto"/>
        <w:contextualSpacing/>
        <w:rPr>
          <w:rFonts w:ascii="Arial" w:eastAsia="Arial" w:hAnsi="Arial" w:cs="Arial"/>
          <w:lang w:val="es-ES" w:eastAsia="es-ES" w:bidi="es-ES"/>
        </w:rPr>
      </w:pPr>
    </w:p>
    <w:p w14:paraId="29E61858" w14:textId="77777777" w:rsidR="005E70C7" w:rsidRDefault="005E70C7" w:rsidP="004B046B">
      <w:pPr>
        <w:spacing w:after="120" w:line="276" w:lineRule="auto"/>
        <w:ind w:firstLine="709"/>
        <w:jc w:val="both"/>
        <w:rPr>
          <w:rFonts w:ascii="Arial" w:eastAsia="Arial" w:hAnsi="Arial" w:cs="Arial"/>
          <w:lang w:val="es-ES" w:eastAsia="es-ES" w:bidi="es-ES"/>
        </w:rPr>
      </w:pPr>
      <w:r w:rsidRPr="00551222">
        <w:rPr>
          <w:rFonts w:ascii="Arial" w:eastAsia="Arial" w:hAnsi="Arial" w:cs="Arial"/>
          <w:lang w:val="es-ES" w:eastAsia="es-ES" w:bidi="es-ES"/>
        </w:rPr>
        <w:t xml:space="preserve">De conformidad con lo anterior, </w:t>
      </w:r>
      <w:bookmarkStart w:id="8" w:name="_Hlk77236420"/>
      <w:bookmarkStart w:id="9" w:name="_Hlk78818435"/>
      <w:bookmarkStart w:id="10" w:name="_Hlk75780333"/>
      <w:r w:rsidRPr="00551222">
        <w:rPr>
          <w:rFonts w:ascii="Arial" w:eastAsia="Arial" w:hAnsi="Arial" w:cs="Arial"/>
          <w:lang w:val="es-ES" w:eastAsia="es-ES" w:bidi="es-ES"/>
        </w:rPr>
        <w:t xml:space="preserve">la Ley 996 de 2005 establece dos (2) tipos de restricciones en materia de contratación, las cuales coinciden parcialmente. </w:t>
      </w:r>
      <w:r w:rsidRPr="00551222">
        <w:rPr>
          <w:rFonts w:ascii="Arial" w:eastAsia="Arial" w:hAnsi="Arial" w:cs="Arial"/>
          <w:i/>
          <w:iCs/>
          <w:lang w:val="es-ES" w:eastAsia="es-ES" w:bidi="es-ES"/>
        </w:rPr>
        <w:t>En primer lugar</w:t>
      </w:r>
      <w:r w:rsidRPr="00551222">
        <w:rPr>
          <w:rFonts w:ascii="Arial" w:eastAsia="Arial" w:hAnsi="Arial" w:cs="Arial"/>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551222">
        <w:rPr>
          <w:rFonts w:ascii="Arial" w:eastAsia="Arial" w:hAnsi="Arial" w:cs="Arial"/>
          <w:i/>
          <w:iCs/>
          <w:lang w:val="es-ES" w:eastAsia="es-ES" w:bidi="es-ES"/>
        </w:rPr>
        <w:t>En segundo lugar</w:t>
      </w:r>
      <w:r w:rsidRPr="00551222">
        <w:rPr>
          <w:rFonts w:ascii="Arial" w:eastAsia="Arial" w:hAnsi="Arial" w:cs="Arial"/>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8"/>
    </w:p>
    <w:bookmarkEnd w:id="9"/>
    <w:p w14:paraId="7B137980" w14:textId="77777777" w:rsidR="005E70C7" w:rsidRDefault="005E70C7" w:rsidP="005E70C7">
      <w:pPr>
        <w:spacing w:after="0" w:line="276" w:lineRule="auto"/>
        <w:ind w:firstLine="709"/>
        <w:jc w:val="both"/>
        <w:rPr>
          <w:rFonts w:ascii="Arial" w:eastAsia="Arial" w:hAnsi="Arial" w:cs="Arial"/>
          <w:lang w:val="es-ES" w:eastAsia="es-ES" w:bidi="es-ES"/>
        </w:rPr>
      </w:pPr>
      <w:r w:rsidRPr="00551222">
        <w:rPr>
          <w:rFonts w:ascii="Arial" w:eastAsia="Arial" w:hAnsi="Arial" w:cs="Arial"/>
          <w:lang w:val="es-ES"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p w14:paraId="35292D4B" w14:textId="77777777" w:rsidR="005E70C7" w:rsidRPr="00551222" w:rsidRDefault="005E70C7" w:rsidP="005E70C7">
      <w:pPr>
        <w:spacing w:after="0" w:line="276" w:lineRule="auto"/>
        <w:ind w:firstLine="709"/>
        <w:jc w:val="both"/>
        <w:rPr>
          <w:rFonts w:ascii="Arial" w:eastAsia="Arial" w:hAnsi="Arial" w:cs="Arial"/>
          <w:lang w:val="es-ES" w:eastAsia="es-ES" w:bidi="es-ES"/>
        </w:rPr>
      </w:pPr>
    </w:p>
    <w:bookmarkEnd w:id="10"/>
    <w:p w14:paraId="07BB7196" w14:textId="77777777" w:rsidR="005E70C7" w:rsidRPr="00551222" w:rsidRDefault="005E70C7" w:rsidP="005E70C7">
      <w:pPr>
        <w:spacing w:after="0" w:line="276" w:lineRule="auto"/>
        <w:ind w:firstLine="709"/>
        <w:contextualSpacing/>
        <w:jc w:val="both"/>
        <w:rPr>
          <w:rFonts w:ascii="Arial" w:hAnsi="Arial" w:cs="Arial"/>
          <w:bCs/>
          <w:lang w:val="es-MX" w:eastAsia="x-none"/>
        </w:rPr>
      </w:pPr>
      <w:r w:rsidRPr="00551222">
        <w:rPr>
          <w:rFonts w:ascii="Arial" w:eastAsia="Arial" w:hAnsi="Arial" w:cs="Arial"/>
          <w:lang w:val="es-ES" w:eastAsia="es-ES" w:bidi="es-ES"/>
        </w:rPr>
        <w:t>Teniendo en cuenta el objeto de la consulta y que en e</w:t>
      </w:r>
      <w:r>
        <w:rPr>
          <w:rFonts w:ascii="Arial" w:eastAsia="Arial" w:hAnsi="Arial" w:cs="Arial"/>
          <w:lang w:val="es-ES" w:eastAsia="es-ES" w:bidi="es-ES"/>
        </w:rPr>
        <w:t>l</w:t>
      </w:r>
      <w:r w:rsidRPr="00551222">
        <w:rPr>
          <w:rFonts w:ascii="Arial" w:eastAsia="Arial" w:hAnsi="Arial" w:cs="Arial"/>
          <w:lang w:val="es-ES" w:eastAsia="es-ES" w:bidi="es-ES"/>
        </w:rPr>
        <w:t xml:space="preserve"> presente año se desarrollaran elecciones </w:t>
      </w:r>
      <w:r w:rsidRPr="00551222">
        <w:rPr>
          <w:rFonts w:ascii="Arial" w:hAnsi="Arial" w:cs="Arial"/>
          <w:lang w:val="es-ES_tradnl"/>
        </w:rPr>
        <w:t xml:space="preserve">de autoridades territoriales, tales como gobernadores, alcaldes, diputados, concejales, ediles y miembros de las juntas administradoras locales, a continuación, se analizará la prohibición contenida en el parágrafo del artículo 38 de la Ley de Garantías Electorales respecto a la celebración de contratos y convenios interadministrativos y la modificación de nóminas. </w:t>
      </w:r>
    </w:p>
    <w:p w14:paraId="3D014B14" w14:textId="77777777" w:rsidR="005E70C7" w:rsidRPr="00551222" w:rsidRDefault="005E70C7" w:rsidP="005E70C7">
      <w:pPr>
        <w:spacing w:after="0" w:line="276" w:lineRule="auto"/>
        <w:ind w:firstLine="709"/>
        <w:jc w:val="both"/>
        <w:rPr>
          <w:rFonts w:ascii="Arial" w:hAnsi="Arial" w:cs="Arial"/>
          <w:bCs/>
          <w:lang w:val="es-ES_tradnl" w:eastAsia="x-none"/>
        </w:rPr>
      </w:pPr>
      <w:bookmarkStart w:id="11" w:name="_Hlk75787147"/>
    </w:p>
    <w:p w14:paraId="75AA11F5" w14:textId="77777777" w:rsidR="005E70C7" w:rsidRPr="00551222" w:rsidRDefault="005E70C7" w:rsidP="005E70C7">
      <w:pPr>
        <w:spacing w:after="0" w:line="276" w:lineRule="auto"/>
        <w:jc w:val="both"/>
        <w:rPr>
          <w:rFonts w:ascii="Arial" w:eastAsia="Calibri" w:hAnsi="Arial" w:cs="Arial"/>
          <w:b/>
          <w:bCs/>
          <w:lang w:val="es-MX"/>
        </w:rPr>
      </w:pPr>
      <w:bookmarkStart w:id="12" w:name="_Hlk75784645"/>
      <w:bookmarkEnd w:id="11"/>
      <w:r w:rsidRPr="00551222">
        <w:rPr>
          <w:rFonts w:ascii="Arial" w:eastAsia="Calibri" w:hAnsi="Arial" w:cs="Arial"/>
          <w:b/>
          <w:bCs/>
          <w:lang w:val="es-MX"/>
        </w:rPr>
        <w:t xml:space="preserve">2.2. </w:t>
      </w:r>
      <w:bookmarkStart w:id="13" w:name="_Hlk77153296"/>
      <w:r>
        <w:rPr>
          <w:rFonts w:ascii="Arial" w:eastAsia="Calibri" w:hAnsi="Arial" w:cs="Arial"/>
          <w:b/>
          <w:bCs/>
          <w:lang w:val="es-MX"/>
        </w:rPr>
        <w:t xml:space="preserve">Limitaciones a la contratación estatal, </w:t>
      </w:r>
      <w:r w:rsidRPr="00055DEB">
        <w:rPr>
          <w:rFonts w:ascii="Arial" w:eastAsia="Calibri" w:hAnsi="Arial" w:cs="Arial"/>
          <w:b/>
          <w:bCs/>
          <w:lang w:val="es-MX"/>
        </w:rPr>
        <w:t>r</w:t>
      </w:r>
      <w:r w:rsidRPr="00055DEB">
        <w:rPr>
          <w:rFonts w:ascii="Arial" w:hAnsi="Arial" w:cs="Arial"/>
          <w:b/>
          <w:bCs/>
          <w:lang w:val="es-MX" w:eastAsia="es-CO"/>
        </w:rPr>
        <w:t xml:space="preserve">estricciones </w:t>
      </w:r>
      <w:bookmarkStart w:id="14" w:name="_Hlk75643279"/>
      <w:r w:rsidRPr="00055DEB">
        <w:rPr>
          <w:rFonts w:ascii="Arial" w:hAnsi="Arial" w:cs="Arial"/>
          <w:b/>
          <w:bCs/>
          <w:lang w:val="es-MX" w:eastAsia="es-CO"/>
        </w:rPr>
        <w:t>para la celebración de contratos y convenios interadministrativos</w:t>
      </w:r>
      <w:r w:rsidRPr="00551222">
        <w:rPr>
          <w:rFonts w:ascii="Arial" w:hAnsi="Arial" w:cs="Arial"/>
          <w:b/>
          <w:bCs/>
          <w:lang w:val="es-MX" w:eastAsia="es-CO"/>
        </w:rPr>
        <w:t xml:space="preserve"> </w:t>
      </w:r>
    </w:p>
    <w:p w14:paraId="187FE017" w14:textId="77777777" w:rsidR="005E70C7" w:rsidRPr="00551222" w:rsidRDefault="005E70C7" w:rsidP="005E70C7">
      <w:pPr>
        <w:tabs>
          <w:tab w:val="left" w:pos="426"/>
        </w:tabs>
        <w:spacing w:after="0" w:line="276" w:lineRule="auto"/>
        <w:jc w:val="both"/>
        <w:rPr>
          <w:rFonts w:ascii="Arial" w:eastAsia="Calibri" w:hAnsi="Arial" w:cs="Arial"/>
          <w:bCs/>
          <w:lang w:val="es-MX"/>
        </w:rPr>
      </w:pPr>
      <w:bookmarkStart w:id="15" w:name="_Hlk88210558"/>
      <w:bookmarkEnd w:id="13"/>
      <w:bookmarkEnd w:id="14"/>
    </w:p>
    <w:p w14:paraId="7CC47E09" w14:textId="77777777" w:rsidR="005E70C7" w:rsidRDefault="005E70C7" w:rsidP="004B046B">
      <w:pPr>
        <w:tabs>
          <w:tab w:val="left" w:pos="426"/>
        </w:tabs>
        <w:spacing w:after="120" w:line="276" w:lineRule="auto"/>
        <w:jc w:val="both"/>
        <w:rPr>
          <w:rFonts w:ascii="Arial" w:eastAsia="Calibri" w:hAnsi="Arial" w:cs="Arial"/>
          <w:bCs/>
          <w:lang w:val="es-MX"/>
        </w:rPr>
      </w:pPr>
      <w:bookmarkStart w:id="16" w:name="_Hlk114827887"/>
      <w:r w:rsidRPr="008A46F3">
        <w:rPr>
          <w:rFonts w:ascii="Arial" w:eastAsia="Calibri" w:hAnsi="Arial" w:cs="Arial"/>
          <w:bCs/>
          <w:lang w:val="es-MX"/>
        </w:rPr>
        <w:t>En materia de contratación estatal existen dos restricciones: La primera es para celebrar convenios interadministrativos para la ejecución de recursos públicos. La segunda es para celebrar contratos en la modalidad de contratación directa.</w:t>
      </w:r>
    </w:p>
    <w:p w14:paraId="193FDDA3" w14:textId="77777777" w:rsidR="005E70C7" w:rsidRDefault="005E70C7" w:rsidP="004B046B">
      <w:pPr>
        <w:tabs>
          <w:tab w:val="left" w:pos="426"/>
        </w:tabs>
        <w:spacing w:after="120" w:line="276" w:lineRule="auto"/>
        <w:jc w:val="both"/>
        <w:rPr>
          <w:rFonts w:ascii="Arial" w:eastAsia="Calibri" w:hAnsi="Arial" w:cs="Arial"/>
          <w:bCs/>
          <w:lang w:val="es-MX"/>
        </w:rPr>
      </w:pPr>
      <w:r>
        <w:rPr>
          <w:rFonts w:ascii="Arial" w:eastAsia="Calibri" w:hAnsi="Arial" w:cs="Arial"/>
          <w:bCs/>
          <w:lang w:val="es-MX"/>
        </w:rPr>
        <w:tab/>
      </w:r>
      <w:r>
        <w:rPr>
          <w:rFonts w:ascii="Arial" w:eastAsia="Calibri" w:hAnsi="Arial" w:cs="Arial"/>
          <w:bCs/>
          <w:lang w:val="es-MX"/>
        </w:rPr>
        <w:tab/>
      </w:r>
      <w:r w:rsidRPr="008A46F3">
        <w:rPr>
          <w:rFonts w:ascii="Arial" w:eastAsia="Calibri" w:hAnsi="Arial" w:cs="Arial"/>
          <w:bCs/>
          <w:lang w:val="es-MX"/>
        </w:rPr>
        <w:t>La Ley de Garantías prohíbe a las Entidades Estatales celebrar contratos en la modalidad de contratación directa durante los cuatro (4) meses anteriores a la elección presidencial y hasta la fecha en la cual el Presidente de la República sea elegido. A través de la modalidad de contratación directa se celebran, entre otros, los contratos de prestación de servicios profesionales y de apoyo a la gestión, arrendamiento de inmuebles y contratos con proveedor exclusivo.</w:t>
      </w:r>
    </w:p>
    <w:p w14:paraId="56F399FF" w14:textId="77777777" w:rsidR="005E70C7" w:rsidRDefault="005E70C7" w:rsidP="004B046B">
      <w:pPr>
        <w:tabs>
          <w:tab w:val="left" w:pos="426"/>
        </w:tabs>
        <w:spacing w:after="120" w:line="276" w:lineRule="auto"/>
        <w:jc w:val="both"/>
        <w:rPr>
          <w:rFonts w:ascii="Arial" w:eastAsia="Calibri" w:hAnsi="Arial" w:cs="Arial"/>
          <w:lang w:val="es-MX"/>
        </w:rPr>
      </w:pPr>
      <w:r>
        <w:rPr>
          <w:rFonts w:ascii="Arial" w:eastAsia="Calibri" w:hAnsi="Arial" w:cs="Arial"/>
          <w:bCs/>
          <w:lang w:val="es-MX"/>
        </w:rPr>
        <w:tab/>
      </w:r>
      <w:r>
        <w:rPr>
          <w:rFonts w:ascii="Arial" w:eastAsia="Calibri" w:hAnsi="Arial" w:cs="Arial"/>
          <w:bCs/>
          <w:lang w:val="es-MX"/>
        </w:rPr>
        <w:tab/>
        <w:t>E</w:t>
      </w:r>
      <w:r w:rsidRPr="00551222">
        <w:rPr>
          <w:rFonts w:ascii="Arial" w:eastAsia="Calibri" w:hAnsi="Arial" w:cs="Arial"/>
          <w:bCs/>
          <w:lang w:val="es-MX"/>
        </w:rPr>
        <w:t>l inciso primero del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551222">
        <w:rPr>
          <w:rFonts w:ascii="Arial" w:hAnsi="Arial" w:cs="Arial"/>
          <w:bCs/>
          <w:iCs/>
          <w:lang w:val="es-MX" w:eastAsia="x-none"/>
        </w:rPr>
        <w:t xml:space="preserve"> </w:t>
      </w:r>
      <w:bookmarkStart w:id="17" w:name="_Hlk99578153"/>
      <w:bookmarkEnd w:id="15"/>
      <w:r w:rsidRPr="00551222">
        <w:rPr>
          <w:rFonts w:ascii="Arial" w:hAnsi="Arial" w:cs="Arial"/>
          <w:bCs/>
          <w:iCs/>
          <w:lang w:val="es-MX"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bookmarkEnd w:id="16"/>
      <w:bookmarkEnd w:id="17"/>
      <w:r w:rsidRPr="00551222">
        <w:rPr>
          <w:rFonts w:ascii="Arial" w:hAnsi="Arial" w:cs="Arial"/>
          <w:bCs/>
          <w:iCs/>
          <w:vertAlign w:val="superscript"/>
          <w:lang w:val="es-MX" w:eastAsia="x-none"/>
        </w:rPr>
        <w:footnoteReference w:id="12"/>
      </w:r>
      <w:r w:rsidRPr="00551222">
        <w:rPr>
          <w:rFonts w:ascii="Arial" w:hAnsi="Arial" w:cs="Arial"/>
          <w:bCs/>
          <w:iCs/>
          <w:lang w:val="es-MX" w:eastAsia="x-none"/>
        </w:rPr>
        <w:t>.</w:t>
      </w:r>
      <w:r w:rsidRPr="00551222">
        <w:rPr>
          <w:rFonts w:ascii="Arial" w:eastAsia="Calibri" w:hAnsi="Arial" w:cs="Arial"/>
          <w:lang w:val="es-MX"/>
        </w:rPr>
        <w:t xml:space="preserve"> </w:t>
      </w:r>
    </w:p>
    <w:p w14:paraId="583DC8B8" w14:textId="77777777" w:rsidR="005E70C7" w:rsidRDefault="005E70C7" w:rsidP="005E70C7">
      <w:pPr>
        <w:widowControl w:val="0"/>
        <w:autoSpaceDE w:val="0"/>
        <w:autoSpaceDN w:val="0"/>
        <w:spacing w:after="0" w:line="276" w:lineRule="auto"/>
        <w:ind w:firstLine="707"/>
        <w:jc w:val="both"/>
        <w:rPr>
          <w:rFonts w:ascii="Arial" w:eastAsia="Arial" w:hAnsi="Arial" w:cs="Arial"/>
          <w:lang w:val="es-ES" w:eastAsia="es-ES" w:bidi="es-ES"/>
        </w:rPr>
      </w:pPr>
      <w:r w:rsidRPr="00551222">
        <w:rPr>
          <w:rFonts w:ascii="Arial" w:eastAsia="Calibri" w:hAnsi="Arial" w:cs="Arial"/>
          <w:bCs/>
          <w:lang w:val="es-MX" w:eastAsia="es-ES" w:bidi="es-ES"/>
        </w:rPr>
        <w:t xml:space="preserve">Ahora bien, </w:t>
      </w:r>
      <w:bookmarkStart w:id="18" w:name="_Hlk78820161"/>
      <w:r w:rsidRPr="00551222">
        <w:rPr>
          <w:rFonts w:ascii="Arial" w:eastAsia="Calibri" w:hAnsi="Arial" w:cs="Arial"/>
          <w:bCs/>
          <w:lang w:val="es-MX" w:eastAsia="es-ES" w:bidi="es-ES"/>
        </w:rPr>
        <w:t xml:space="preserve">para determinar el alcance de la prohibición consagrada por la Ley de Garantías Electorales, conviene precisar la tipología de convenios o contratos interadministrativos. </w:t>
      </w:r>
      <w:bookmarkStart w:id="19" w:name="_Hlk114827997"/>
      <w:r w:rsidRPr="00551222">
        <w:rPr>
          <w:rFonts w:ascii="Arial" w:eastAsia="Arial" w:hAnsi="Arial" w:cs="Arial"/>
          <w:lang w:val="es-ES" w:eastAsia="es-ES" w:bidi="es-ES"/>
        </w:rPr>
        <w:t>Aunque la ley no la definió ni desarrolló, el Decreto 1082 de 2015 califica a los convenios o contratos interadministrativos como aquella contratación entre entidades estatales</w:t>
      </w:r>
      <w:r w:rsidRPr="00551222">
        <w:rPr>
          <w:rFonts w:ascii="Arial" w:eastAsia="Arial" w:hAnsi="Arial" w:cs="Arial"/>
          <w:vertAlign w:val="superscript"/>
          <w:lang w:val="es-ES" w:eastAsia="es-ES" w:bidi="es-ES"/>
        </w:rPr>
        <w:footnoteReference w:id="13"/>
      </w:r>
      <w:r w:rsidRPr="00551222">
        <w:rPr>
          <w:rFonts w:ascii="Arial" w:eastAsia="Arial" w:hAnsi="Arial" w:cs="Arial"/>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551222">
        <w:rPr>
          <w:rFonts w:ascii="Arial" w:eastAsia="Arial" w:hAnsi="Arial" w:cs="Arial"/>
          <w:spacing w:val="-6"/>
          <w:lang w:val="es-ES" w:eastAsia="es-ES" w:bidi="es-ES"/>
        </w:rPr>
        <w:t xml:space="preserve"> </w:t>
      </w:r>
      <w:r w:rsidRPr="00551222">
        <w:rPr>
          <w:rFonts w:ascii="Arial" w:eastAsia="Arial" w:hAnsi="Arial" w:cs="Arial"/>
          <w:lang w:val="es-ES" w:eastAsia="es-ES" w:bidi="es-ES"/>
        </w:rPr>
        <w:t>estatales.</w:t>
      </w:r>
    </w:p>
    <w:p w14:paraId="1907CCB8" w14:textId="77777777" w:rsidR="005E70C7" w:rsidRDefault="005E70C7" w:rsidP="005E70C7">
      <w:pPr>
        <w:widowControl w:val="0"/>
        <w:autoSpaceDE w:val="0"/>
        <w:autoSpaceDN w:val="0"/>
        <w:spacing w:after="0" w:line="276" w:lineRule="auto"/>
        <w:ind w:firstLine="707"/>
        <w:jc w:val="both"/>
        <w:rPr>
          <w:rFonts w:ascii="Arial" w:eastAsia="Arial" w:hAnsi="Arial" w:cs="Arial"/>
          <w:lang w:val="es-ES" w:eastAsia="es-ES" w:bidi="es-ES"/>
        </w:rPr>
      </w:pPr>
      <w:bookmarkStart w:id="20" w:name="_Hlk78820654"/>
      <w:bookmarkEnd w:id="18"/>
      <w:bookmarkEnd w:id="19"/>
      <w:r w:rsidRPr="00551222">
        <w:rPr>
          <w:rFonts w:ascii="Arial" w:eastAsia="Arial" w:hAnsi="Arial" w:cs="Arial"/>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119D0129" w14:textId="77777777" w:rsidR="005E70C7" w:rsidRDefault="005E70C7" w:rsidP="005E70C7">
      <w:pPr>
        <w:widowControl w:val="0"/>
        <w:autoSpaceDE w:val="0"/>
        <w:autoSpaceDN w:val="0"/>
        <w:spacing w:after="0" w:line="276" w:lineRule="auto"/>
        <w:ind w:firstLine="707"/>
        <w:jc w:val="both"/>
        <w:rPr>
          <w:rFonts w:ascii="Arial" w:eastAsia="Arial" w:hAnsi="Arial" w:cs="Arial"/>
          <w:lang w:val="es-ES" w:eastAsia="es-ES" w:bidi="es-ES"/>
        </w:rPr>
      </w:pPr>
      <w:bookmarkStart w:id="21" w:name="_Hlk99578261"/>
      <w:bookmarkEnd w:id="20"/>
      <w:r w:rsidRPr="00551222">
        <w:rPr>
          <w:rFonts w:ascii="Arial" w:eastAsia="Arial" w:hAnsi="Arial" w:cs="Arial"/>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551222">
        <w:rPr>
          <w:rFonts w:ascii="Arial" w:eastAsia="Arial" w:hAnsi="Arial" w:cs="Arial"/>
          <w:vertAlign w:val="superscript"/>
          <w:lang w:val="es-ES" w:eastAsia="es-ES" w:bidi="es-ES"/>
        </w:rPr>
        <w:footnoteReference w:id="14"/>
      </w:r>
      <w:r w:rsidRPr="00551222">
        <w:rPr>
          <w:rFonts w:ascii="Arial" w:eastAsia="Arial" w:hAnsi="Arial" w:cs="Arial"/>
          <w:lang w:val="es-ES" w:eastAsia="es-ES" w:bidi="es-ES"/>
        </w:rPr>
        <w:t>. Nótese que, en este caso, lo que cambia es la modalidad de selección y no la naturaleza de contrato</w:t>
      </w:r>
      <w:r w:rsidRPr="00551222">
        <w:rPr>
          <w:rFonts w:ascii="Arial" w:eastAsia="Arial" w:hAnsi="Arial" w:cs="Arial"/>
          <w:spacing w:val="-18"/>
          <w:lang w:val="es-ES" w:eastAsia="es-ES" w:bidi="es-ES"/>
        </w:rPr>
        <w:t xml:space="preserve"> </w:t>
      </w:r>
      <w:r w:rsidRPr="00551222">
        <w:rPr>
          <w:rFonts w:ascii="Arial" w:eastAsia="Arial" w:hAnsi="Arial" w:cs="Arial"/>
          <w:lang w:val="es-ES" w:eastAsia="es-ES" w:bidi="es-ES"/>
        </w:rPr>
        <w:t>interadministrativo.</w:t>
      </w:r>
    </w:p>
    <w:bookmarkEnd w:id="21"/>
    <w:p w14:paraId="3ABB6709" w14:textId="77777777" w:rsidR="005E70C7" w:rsidRPr="00551222" w:rsidRDefault="005E70C7" w:rsidP="005E70C7">
      <w:pPr>
        <w:widowControl w:val="0"/>
        <w:autoSpaceDE w:val="0"/>
        <w:autoSpaceDN w:val="0"/>
        <w:spacing w:before="114" w:after="0" w:line="276" w:lineRule="auto"/>
        <w:ind w:firstLine="707"/>
        <w:jc w:val="both"/>
        <w:rPr>
          <w:rFonts w:ascii="Arial" w:eastAsia="Arial" w:hAnsi="Arial" w:cs="Arial"/>
          <w:lang w:val="es-ES" w:eastAsia="es-ES" w:bidi="es-ES"/>
        </w:rPr>
      </w:pPr>
      <w:r w:rsidRPr="00551222">
        <w:rPr>
          <w:rFonts w:ascii="Arial" w:eastAsia="Arial" w:hAnsi="Arial" w:cs="Arial"/>
          <w:lang w:val="es-ES"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551222">
        <w:rPr>
          <w:rFonts w:ascii="Arial" w:eastAsia="Arial" w:hAnsi="Arial" w:cs="Arial"/>
          <w:spacing w:val="-13"/>
          <w:lang w:val="es-ES" w:eastAsia="es-ES" w:bidi="es-ES"/>
        </w:rPr>
        <w:t xml:space="preserve"> </w:t>
      </w:r>
      <w:r w:rsidRPr="00551222">
        <w:rPr>
          <w:rFonts w:ascii="Arial" w:eastAsia="Arial" w:hAnsi="Arial" w:cs="Arial"/>
          <w:lang w:val="es-ES" w:eastAsia="es-ES" w:bidi="es-ES"/>
        </w:rPr>
        <w:t>que:</w:t>
      </w:r>
    </w:p>
    <w:p w14:paraId="426CA693" w14:textId="77777777" w:rsidR="005E70C7" w:rsidRPr="00551222" w:rsidRDefault="005E70C7" w:rsidP="005E70C7">
      <w:pPr>
        <w:widowControl w:val="0"/>
        <w:autoSpaceDE w:val="0"/>
        <w:autoSpaceDN w:val="0"/>
        <w:spacing w:after="0" w:line="276" w:lineRule="auto"/>
        <w:ind w:firstLine="707"/>
        <w:contextualSpacing/>
        <w:jc w:val="both"/>
        <w:rPr>
          <w:rFonts w:ascii="Arial" w:eastAsia="Arial" w:hAnsi="Arial" w:cs="Arial"/>
          <w:lang w:val="es-ES" w:eastAsia="es-ES" w:bidi="es-ES"/>
        </w:rPr>
      </w:pPr>
    </w:p>
    <w:p w14:paraId="5D3F3B3A" w14:textId="77777777" w:rsidR="005E70C7" w:rsidRPr="00551222" w:rsidRDefault="005E70C7" w:rsidP="005E70C7">
      <w:pPr>
        <w:spacing w:after="0" w:line="240" w:lineRule="auto"/>
        <w:ind w:left="709" w:right="709"/>
        <w:contextualSpacing/>
        <w:jc w:val="both"/>
        <w:rPr>
          <w:rFonts w:ascii="Arial" w:eastAsia="Calibri" w:hAnsi="Arial" w:cs="Arial"/>
          <w:sz w:val="21"/>
          <w:lang w:val="es-MX"/>
        </w:rPr>
      </w:pPr>
      <w:r w:rsidRPr="00551222">
        <w:rPr>
          <w:rFonts w:ascii="Arial" w:eastAsia="Calibri" w:hAnsi="Arial" w:cs="Arial"/>
          <w:sz w:val="21"/>
          <w:lang w:val="es-MX"/>
        </w:rPr>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w:t>
      </w:r>
      <w:proofErr w:type="spellStart"/>
      <w:r w:rsidRPr="00551222">
        <w:rPr>
          <w:rFonts w:ascii="Arial" w:eastAsia="Calibri" w:hAnsi="Arial" w:cs="Arial"/>
          <w:sz w:val="21"/>
          <w:lang w:val="es-MX"/>
        </w:rPr>
        <w:t>iv</w:t>
      </w:r>
      <w:proofErr w:type="spellEnd"/>
      <w:r w:rsidRPr="00551222">
        <w:rPr>
          <w:rFonts w:ascii="Arial" w:eastAsia="Calibri" w:hAnsi="Arial" w:cs="Arial"/>
          <w:sz w:val="21"/>
          <w:lang w:val="es-MX"/>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551222">
        <w:rPr>
          <w:rFonts w:ascii="Arial" w:eastAsia="Calibri" w:hAnsi="Arial" w:cs="Arial"/>
          <w:sz w:val="21"/>
          <w:vertAlign w:val="superscript"/>
          <w:lang w:val="es-MX"/>
        </w:rPr>
        <w:footnoteReference w:id="15"/>
      </w:r>
      <w:r w:rsidRPr="00551222">
        <w:rPr>
          <w:rFonts w:ascii="Arial" w:eastAsia="Calibri" w:hAnsi="Arial" w:cs="Arial"/>
          <w:sz w:val="21"/>
          <w:lang w:val="es-MX"/>
        </w:rPr>
        <w:t>.</w:t>
      </w:r>
    </w:p>
    <w:p w14:paraId="5DD01A80" w14:textId="77777777" w:rsidR="005E70C7" w:rsidRPr="00551222" w:rsidRDefault="005E70C7" w:rsidP="005E70C7">
      <w:pPr>
        <w:spacing w:after="0" w:line="276" w:lineRule="auto"/>
        <w:ind w:left="709" w:right="709"/>
        <w:contextualSpacing/>
        <w:jc w:val="both"/>
        <w:rPr>
          <w:rFonts w:ascii="Arial" w:eastAsia="Calibri" w:hAnsi="Arial" w:cs="Arial"/>
          <w:color w:val="FF0000"/>
          <w:lang w:val="es-MX"/>
        </w:rPr>
      </w:pPr>
    </w:p>
    <w:p w14:paraId="13959910" w14:textId="77777777" w:rsidR="005E70C7" w:rsidRDefault="005E70C7" w:rsidP="004B046B">
      <w:pPr>
        <w:widowControl w:val="0"/>
        <w:autoSpaceDE w:val="0"/>
        <w:autoSpaceDN w:val="0"/>
        <w:spacing w:after="120" w:line="276" w:lineRule="auto"/>
        <w:ind w:firstLine="707"/>
        <w:jc w:val="both"/>
        <w:rPr>
          <w:rFonts w:ascii="Arial" w:eastAsia="Arial" w:hAnsi="Arial" w:cs="Arial"/>
          <w:lang w:val="es-ES" w:eastAsia="es-ES" w:bidi="es-ES"/>
        </w:rPr>
      </w:pPr>
      <w:r w:rsidRPr="00551222">
        <w:rPr>
          <w:rFonts w:ascii="Arial" w:eastAsia="Arial" w:hAnsi="Arial" w:cs="Arial"/>
          <w:lang w:val="es-ES" w:eastAsia="es-ES" w:bidi="es-ES"/>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 en adelante EGCAP – establece la contratación directa como la modalidad de selección aplicable, por regla general, a la celebración de los contratos interadministrativos.</w:t>
      </w:r>
    </w:p>
    <w:p w14:paraId="28326D5B" w14:textId="77777777" w:rsidR="005E70C7" w:rsidRDefault="005E70C7" w:rsidP="004B046B">
      <w:pPr>
        <w:widowControl w:val="0"/>
        <w:autoSpaceDE w:val="0"/>
        <w:autoSpaceDN w:val="0"/>
        <w:spacing w:after="120" w:line="276" w:lineRule="auto"/>
        <w:ind w:firstLine="707"/>
        <w:jc w:val="both"/>
        <w:rPr>
          <w:rFonts w:ascii="Arial" w:eastAsia="Arial" w:hAnsi="Arial" w:cs="Arial"/>
          <w:lang w:val="es-ES" w:eastAsia="es-ES" w:bidi="es-ES"/>
        </w:rPr>
      </w:pPr>
      <w:r w:rsidRPr="00551222">
        <w:rPr>
          <w:rFonts w:ascii="Arial" w:eastAsia="Arial" w:hAnsi="Arial" w:cs="Arial"/>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551222">
        <w:rPr>
          <w:rFonts w:ascii="Arial" w:eastAsia="Arial" w:hAnsi="Arial" w:cs="Arial"/>
          <w:spacing w:val="-3"/>
          <w:lang w:val="es-ES" w:eastAsia="es-ES" w:bidi="es-ES"/>
        </w:rPr>
        <w:t xml:space="preserve"> </w:t>
      </w:r>
      <w:r w:rsidRPr="00551222">
        <w:rPr>
          <w:rFonts w:ascii="Arial" w:eastAsia="Arial" w:hAnsi="Arial" w:cs="Arial"/>
          <w:lang w:val="es-ES" w:eastAsia="es-ES" w:bidi="es-ES"/>
        </w:rPr>
        <w:t>estatales.</w:t>
      </w:r>
    </w:p>
    <w:p w14:paraId="7D91FDE1" w14:textId="77777777" w:rsidR="005E70C7" w:rsidRDefault="005E70C7" w:rsidP="004B046B">
      <w:pPr>
        <w:widowControl w:val="0"/>
        <w:autoSpaceDE w:val="0"/>
        <w:autoSpaceDN w:val="0"/>
        <w:spacing w:after="120" w:line="276" w:lineRule="auto"/>
        <w:ind w:firstLine="709"/>
        <w:jc w:val="both"/>
        <w:rPr>
          <w:rFonts w:ascii="Arial" w:eastAsia="Arial" w:hAnsi="Arial" w:cs="Arial"/>
          <w:lang w:val="es-ES" w:eastAsia="es-ES" w:bidi="es-ES"/>
        </w:rPr>
      </w:pPr>
      <w:r w:rsidRPr="00551222">
        <w:rPr>
          <w:rFonts w:ascii="Arial" w:eastAsia="Arial" w:hAnsi="Arial" w:cs="Arial"/>
          <w:lang w:val="es-ES" w:eastAsia="es-ES" w:bidi="es-ES"/>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551222">
        <w:rPr>
          <w:rFonts w:ascii="Arial" w:eastAsia="Arial" w:hAnsi="Arial" w:cs="Arial"/>
          <w:spacing w:val="-4"/>
          <w:lang w:val="es-ES" w:eastAsia="es-ES" w:bidi="es-ES"/>
        </w:rPr>
        <w:t xml:space="preserve"> </w:t>
      </w:r>
      <w:r w:rsidRPr="00551222">
        <w:rPr>
          <w:rFonts w:ascii="Arial" w:eastAsia="Arial" w:hAnsi="Arial" w:cs="Arial"/>
          <w:lang w:val="es-ES" w:eastAsia="es-ES" w:bidi="es-ES"/>
        </w:rPr>
        <w:t>estatales.</w:t>
      </w:r>
    </w:p>
    <w:p w14:paraId="0E8DBA5A" w14:textId="77777777" w:rsidR="005E70C7" w:rsidRDefault="005E70C7" w:rsidP="004B046B">
      <w:pPr>
        <w:widowControl w:val="0"/>
        <w:autoSpaceDE w:val="0"/>
        <w:autoSpaceDN w:val="0"/>
        <w:spacing w:after="120" w:line="276" w:lineRule="auto"/>
        <w:ind w:firstLine="708"/>
        <w:jc w:val="both"/>
        <w:rPr>
          <w:rFonts w:ascii="Arial" w:eastAsia="Arial" w:hAnsi="Arial" w:cs="Arial"/>
          <w:lang w:val="es-ES" w:eastAsia="es-ES" w:bidi="es-ES"/>
        </w:rPr>
      </w:pPr>
      <w:r w:rsidRPr="00551222">
        <w:rPr>
          <w:rFonts w:ascii="Arial" w:eastAsia="Arial" w:hAnsi="Arial" w:cs="Arial"/>
          <w:lang w:val="es-ES"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2AF9D30C" w14:textId="77777777" w:rsidR="005E70C7" w:rsidRDefault="005E70C7" w:rsidP="004B046B">
      <w:pPr>
        <w:widowControl w:val="0"/>
        <w:autoSpaceDE w:val="0"/>
        <w:autoSpaceDN w:val="0"/>
        <w:spacing w:after="120" w:line="276" w:lineRule="auto"/>
        <w:ind w:firstLine="708"/>
        <w:jc w:val="both"/>
        <w:rPr>
          <w:rFonts w:ascii="Arial" w:eastAsia="Arial" w:hAnsi="Arial" w:cs="Arial"/>
          <w:lang w:val="es-ES" w:eastAsia="es-ES" w:bidi="es-ES"/>
        </w:rPr>
      </w:pPr>
      <w:r w:rsidRPr="00551222">
        <w:rPr>
          <w:rFonts w:ascii="Arial" w:eastAsia="Arial" w:hAnsi="Arial" w:cs="Arial"/>
          <w:lang w:val="es-ES" w:eastAsia="es-ES"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EGCAP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551222">
        <w:rPr>
          <w:rFonts w:ascii="Arial" w:eastAsia="Arial" w:hAnsi="Arial" w:cs="Arial"/>
          <w:spacing w:val="-4"/>
          <w:lang w:val="es-ES" w:eastAsia="es-ES" w:bidi="es-ES"/>
        </w:rPr>
        <w:t xml:space="preserve"> </w:t>
      </w:r>
      <w:r w:rsidRPr="00551222">
        <w:rPr>
          <w:rFonts w:ascii="Arial" w:eastAsia="Arial" w:hAnsi="Arial" w:cs="Arial"/>
          <w:lang w:val="es-ES" w:eastAsia="es-ES" w:bidi="es-ES"/>
        </w:rPr>
        <w:t>[…]”</w:t>
      </w:r>
      <w:r w:rsidRPr="00551222">
        <w:rPr>
          <w:rFonts w:ascii="Arial" w:eastAsia="Arial" w:hAnsi="Arial" w:cs="Arial"/>
          <w:vertAlign w:val="superscript"/>
          <w:lang w:val="es-ES" w:eastAsia="es-ES" w:bidi="es-ES"/>
        </w:rPr>
        <w:footnoteReference w:id="16"/>
      </w:r>
      <w:r w:rsidRPr="00551222">
        <w:rPr>
          <w:rFonts w:ascii="Arial" w:eastAsia="Arial" w:hAnsi="Arial" w:cs="Arial"/>
          <w:lang w:val="es-ES" w:eastAsia="es-ES" w:bidi="es-ES"/>
        </w:rPr>
        <w:t>.</w:t>
      </w:r>
      <w:bookmarkStart w:id="22" w:name="_Hlk77171241"/>
    </w:p>
    <w:p w14:paraId="36AAFE34" w14:textId="77777777" w:rsidR="005E70C7" w:rsidRPr="00551222" w:rsidRDefault="005E70C7" w:rsidP="005E70C7">
      <w:pPr>
        <w:widowControl w:val="0"/>
        <w:autoSpaceDE w:val="0"/>
        <w:autoSpaceDN w:val="0"/>
        <w:spacing w:after="0" w:line="276" w:lineRule="auto"/>
        <w:ind w:firstLine="709"/>
        <w:contextualSpacing/>
        <w:jc w:val="both"/>
        <w:rPr>
          <w:rFonts w:ascii="Arial" w:eastAsia="Arial" w:hAnsi="Arial" w:cs="Arial"/>
          <w:lang w:val="es-ES" w:eastAsia="es-ES" w:bidi="es-ES"/>
        </w:rPr>
      </w:pPr>
      <w:r w:rsidRPr="00551222">
        <w:rPr>
          <w:rFonts w:ascii="Arial" w:eastAsia="Arial" w:hAnsi="Arial" w:cs="Arial"/>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58E6D599" w14:textId="77777777" w:rsidR="005E70C7" w:rsidRPr="00551222" w:rsidRDefault="005E70C7" w:rsidP="005E70C7">
      <w:pPr>
        <w:widowControl w:val="0"/>
        <w:autoSpaceDE w:val="0"/>
        <w:autoSpaceDN w:val="0"/>
        <w:spacing w:after="0" w:line="276" w:lineRule="auto"/>
        <w:ind w:firstLine="709"/>
        <w:contextualSpacing/>
        <w:jc w:val="both"/>
        <w:rPr>
          <w:rFonts w:ascii="Arial" w:eastAsia="Arial" w:hAnsi="Arial" w:cs="Arial"/>
          <w:lang w:val="es-ES" w:eastAsia="es-ES" w:bidi="es-ES"/>
        </w:rPr>
      </w:pPr>
    </w:p>
    <w:p w14:paraId="2A9D3E14" w14:textId="77777777" w:rsidR="005E70C7" w:rsidRPr="00551222" w:rsidRDefault="005E70C7" w:rsidP="005E70C7">
      <w:pPr>
        <w:spacing w:after="0" w:line="240" w:lineRule="auto"/>
        <w:ind w:left="709" w:right="709"/>
        <w:contextualSpacing/>
        <w:jc w:val="both"/>
        <w:rPr>
          <w:rFonts w:ascii="Arial" w:eastAsia="Calibri" w:hAnsi="Arial" w:cs="Arial"/>
          <w:sz w:val="21"/>
          <w:szCs w:val="21"/>
          <w:lang w:val="es-ES_tradnl"/>
        </w:rPr>
      </w:pPr>
      <w:r w:rsidRPr="00551222">
        <w:rPr>
          <w:rFonts w:ascii="Arial" w:eastAsia="Calibri" w:hAnsi="Arial" w:cs="Arial"/>
          <w:sz w:val="21"/>
          <w:szCs w:val="21"/>
          <w:lang w:val="es-ES_tradnl"/>
        </w:rPr>
        <w:t>“La Sala de Consulta y Servicio Civil</w:t>
      </w:r>
      <w:r w:rsidRPr="00551222">
        <w:rPr>
          <w:rFonts w:ascii="Arial" w:eastAsia="Calibri" w:hAnsi="Arial" w:cs="Arial"/>
          <w:sz w:val="21"/>
          <w:szCs w:val="21"/>
          <w:vertAlign w:val="superscript"/>
          <w:lang w:val="es-ES_tradnl"/>
        </w:rPr>
        <w:footnoteReference w:id="17"/>
      </w:r>
      <w:r w:rsidRPr="00551222">
        <w:rPr>
          <w:rFonts w:ascii="Arial" w:eastAsia="Calibri" w:hAnsi="Arial" w:cs="Arial"/>
          <w:sz w:val="21"/>
          <w:szCs w:val="21"/>
          <w:lang w:val="es-ES_tradnl"/>
        </w:rPr>
        <w:t xml:space="preserve"> de esta Corporación se ha referido a los </w:t>
      </w:r>
      <w:r w:rsidRPr="00551222">
        <w:rPr>
          <w:rFonts w:ascii="Arial" w:eastAsia="Calibri" w:hAnsi="Arial" w:cs="Arial"/>
          <w:i/>
          <w:sz w:val="21"/>
          <w:szCs w:val="21"/>
          <w:lang w:val="es-ES_tradnl"/>
        </w:rPr>
        <w:t>“convenios interadministrativos”</w:t>
      </w:r>
      <w:r w:rsidRPr="00551222">
        <w:rPr>
          <w:rFonts w:ascii="Arial" w:eastAsia="Calibri" w:hAnsi="Arial" w:cs="Arial"/>
          <w:sz w:val="21"/>
          <w:szCs w:val="21"/>
          <w:lang w:val="es-ES_tradnl"/>
        </w:rPr>
        <w:t xml:space="preserve"> a los cuales alude el artículo 95 de la Ley 489 de 1998, calificándolos de </w:t>
      </w:r>
      <w:r w:rsidRPr="00551222">
        <w:rPr>
          <w:rFonts w:ascii="Arial" w:eastAsia="Calibri" w:hAnsi="Arial" w:cs="Arial"/>
          <w:i/>
          <w:sz w:val="21"/>
          <w:szCs w:val="21"/>
          <w:lang w:val="es-ES_tradnl"/>
        </w:rPr>
        <w:t xml:space="preserve">“puros” </w:t>
      </w:r>
      <w:r w:rsidRPr="00551222">
        <w:rPr>
          <w:rFonts w:ascii="Arial" w:eastAsia="Calibri" w:hAnsi="Arial" w:cs="Arial"/>
          <w:sz w:val="21"/>
          <w:szCs w:val="21"/>
          <w:lang w:val="es-ES_tradnl"/>
        </w:rPr>
        <w:t xml:space="preserve">y entendiendo que estos, además de perseguir la finalidad de cooperación antes indicada, no implican intereses contrapuestos ni tampoco se circunscriben a un </w:t>
      </w:r>
      <w:r w:rsidRPr="00551222">
        <w:rPr>
          <w:rFonts w:ascii="Arial" w:eastAsia="Calibri" w:hAnsi="Arial" w:cs="Arial"/>
          <w:i/>
          <w:sz w:val="21"/>
          <w:szCs w:val="21"/>
          <w:lang w:val="es-ES_tradnl"/>
        </w:rPr>
        <w:t>“intercambio patrimonial”</w:t>
      </w:r>
      <w:r w:rsidRPr="00551222">
        <w:rPr>
          <w:rFonts w:ascii="Arial" w:eastAsia="Calibri" w:hAnsi="Arial" w:cs="Arial"/>
          <w:sz w:val="21"/>
          <w:szCs w:val="21"/>
          <w:lang w:val="es-ES_tradnl"/>
        </w:rPr>
        <w:t>. Sin perjuicio de lo anterior, en otra oportunidad, la misma Sala</w:t>
      </w:r>
      <w:r w:rsidRPr="00551222">
        <w:rPr>
          <w:rFonts w:ascii="Arial" w:eastAsia="Calibri" w:hAnsi="Arial" w:cs="Arial"/>
          <w:sz w:val="21"/>
          <w:szCs w:val="21"/>
          <w:vertAlign w:val="superscript"/>
          <w:lang w:val="es-ES_tradnl"/>
        </w:rPr>
        <w:footnoteReference w:id="18"/>
      </w:r>
      <w:r w:rsidRPr="00551222">
        <w:rPr>
          <w:rFonts w:ascii="Arial" w:eastAsia="Calibri" w:hAnsi="Arial" w:cs="Arial"/>
          <w:sz w:val="21"/>
          <w:szCs w:val="21"/>
          <w:lang w:val="es-ES_tradnl"/>
        </w:rPr>
        <w:t xml:space="preserve"> había indicado que, si bien en dichos convenios no se daba un </w:t>
      </w:r>
      <w:r w:rsidRPr="00551222">
        <w:rPr>
          <w:rFonts w:ascii="Arial" w:eastAsia="Calibri" w:hAnsi="Arial" w:cs="Arial"/>
          <w:i/>
          <w:sz w:val="21"/>
          <w:szCs w:val="21"/>
          <w:lang w:val="es-ES_tradnl"/>
        </w:rPr>
        <w:t>“verdadero intercambio de bienes o servicios (contrato conmutativo)”</w:t>
      </w:r>
      <w:r w:rsidRPr="00551222">
        <w:rPr>
          <w:rFonts w:ascii="Arial" w:eastAsia="Calibri" w:hAnsi="Arial" w:cs="Arial"/>
          <w:sz w:val="21"/>
          <w:szCs w:val="21"/>
          <w:lang w:val="es-ES_tradnl"/>
        </w:rPr>
        <w:t>, ello no impedía que se conviniera una remuneración a cargo de alguna(s) entidad(es).</w:t>
      </w:r>
    </w:p>
    <w:p w14:paraId="6D634387" w14:textId="77777777" w:rsidR="005E70C7" w:rsidRPr="00551222" w:rsidRDefault="005E70C7" w:rsidP="005E70C7">
      <w:pPr>
        <w:spacing w:after="0" w:line="240" w:lineRule="auto"/>
        <w:ind w:left="709" w:right="709"/>
        <w:contextualSpacing/>
        <w:jc w:val="both"/>
        <w:rPr>
          <w:rFonts w:ascii="Arial" w:eastAsia="Calibri" w:hAnsi="Arial" w:cs="Arial"/>
          <w:sz w:val="21"/>
          <w:szCs w:val="21"/>
          <w:lang w:val="es-ES_tradnl"/>
        </w:rPr>
      </w:pPr>
    </w:p>
    <w:p w14:paraId="14229013" w14:textId="77777777" w:rsidR="005E70C7" w:rsidRPr="00551222" w:rsidRDefault="005E70C7" w:rsidP="005E70C7">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r w:rsidRPr="00551222">
        <w:rPr>
          <w:rFonts w:ascii="Arial" w:eastAsia="Arial" w:hAnsi="Arial" w:cs="Arial"/>
          <w:sz w:val="21"/>
          <w:szCs w:val="21"/>
          <w:lang w:val="es-ES_tradnl" w:eastAsia="es-ES" w:bidi="es-ES"/>
        </w:rPr>
        <w:t xml:space="preserve">Lo expuesto evidencia que, en general, las interpretaciones en torno a los </w:t>
      </w:r>
      <w:r w:rsidRPr="00551222">
        <w:rPr>
          <w:rFonts w:ascii="Arial" w:eastAsia="Arial" w:hAnsi="Arial" w:cs="Arial"/>
          <w:i/>
          <w:sz w:val="21"/>
          <w:szCs w:val="21"/>
          <w:lang w:val="es-ES_tradnl" w:eastAsia="es-ES" w:bidi="es-ES"/>
        </w:rPr>
        <w:t>“convenios interadministrativos”</w:t>
      </w:r>
      <w:r w:rsidRPr="00551222">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551222">
        <w:rPr>
          <w:rFonts w:ascii="Arial" w:eastAsia="Arial" w:hAnsi="Arial" w:cs="Arial"/>
          <w:sz w:val="21"/>
          <w:szCs w:val="21"/>
          <w:vertAlign w:val="superscript"/>
          <w:lang w:val="es-ES_tradnl" w:eastAsia="es-ES" w:bidi="es-ES"/>
        </w:rPr>
        <w:footnoteReference w:id="19"/>
      </w:r>
      <w:r w:rsidRPr="00551222">
        <w:rPr>
          <w:rFonts w:ascii="Arial" w:eastAsia="Arial" w:hAnsi="Arial" w:cs="Arial"/>
          <w:sz w:val="21"/>
          <w:szCs w:val="21"/>
          <w:vertAlign w:val="superscript"/>
          <w:lang w:val="es-ES_tradnl" w:eastAsia="es-ES" w:bidi="es-ES"/>
        </w:rPr>
        <w:footnoteReference w:id="20"/>
      </w:r>
      <w:r w:rsidRPr="00551222">
        <w:rPr>
          <w:rFonts w:ascii="Arial" w:eastAsia="Arial" w:hAnsi="Arial" w:cs="Arial"/>
          <w:sz w:val="21"/>
          <w:szCs w:val="21"/>
          <w:lang w:val="es-ES_tradnl" w:eastAsia="es-ES" w:bidi="es-ES"/>
        </w:rPr>
        <w:t>.</w:t>
      </w:r>
    </w:p>
    <w:p w14:paraId="0CFDF076" w14:textId="77777777" w:rsidR="005E70C7" w:rsidRPr="00551222" w:rsidRDefault="005E70C7" w:rsidP="005E70C7">
      <w:pPr>
        <w:widowControl w:val="0"/>
        <w:autoSpaceDE w:val="0"/>
        <w:autoSpaceDN w:val="0"/>
        <w:spacing w:after="0" w:line="276" w:lineRule="auto"/>
        <w:contextualSpacing/>
        <w:jc w:val="both"/>
        <w:rPr>
          <w:rFonts w:ascii="Arial" w:eastAsia="Arial" w:hAnsi="Arial" w:cs="Arial"/>
          <w:lang w:val="es-ES" w:eastAsia="es-ES" w:bidi="es-ES"/>
        </w:rPr>
      </w:pPr>
    </w:p>
    <w:p w14:paraId="04FEA441" w14:textId="77777777" w:rsidR="005E70C7" w:rsidRDefault="005E70C7" w:rsidP="004B046B">
      <w:pPr>
        <w:widowControl w:val="0"/>
        <w:autoSpaceDE w:val="0"/>
        <w:autoSpaceDN w:val="0"/>
        <w:spacing w:after="120" w:line="276" w:lineRule="auto"/>
        <w:jc w:val="both"/>
        <w:rPr>
          <w:rFonts w:ascii="Arial" w:eastAsia="Arial" w:hAnsi="Arial" w:cs="Arial"/>
          <w:lang w:val="es-ES" w:eastAsia="es-ES" w:bidi="es-ES"/>
        </w:rPr>
      </w:pPr>
      <w:r w:rsidRPr="00551222">
        <w:rPr>
          <w:rFonts w:ascii="Arial" w:eastAsia="Arial" w:hAnsi="Arial" w:cs="Arial"/>
          <w:color w:val="FF0000"/>
          <w:lang w:val="es-ES" w:eastAsia="es-ES" w:bidi="es-ES"/>
        </w:rPr>
        <w:tab/>
      </w:r>
      <w:r w:rsidRPr="00551222">
        <w:rPr>
          <w:rFonts w:ascii="Arial" w:eastAsia="Arial" w:hAnsi="Arial" w:cs="Arial"/>
          <w:lang w:val="es-ES" w:eastAsia="es-ES" w:bidi="es-ES"/>
        </w:rPr>
        <w:t>Vale la pena reiterar que el legislador y el ordenamiento jurídico, en general, en distintas ocasiones utiliza de forma indistinta los conceptos de contrato o convenio para referirse a la misma institución jurídica</w:t>
      </w:r>
      <w:r w:rsidRPr="00551222">
        <w:rPr>
          <w:rFonts w:ascii="Arial" w:eastAsia="Arial" w:hAnsi="Arial" w:cs="Arial"/>
          <w:vertAlign w:val="superscript"/>
          <w:lang w:val="es-ES" w:eastAsia="es-ES" w:bidi="es-ES"/>
        </w:rPr>
        <w:footnoteReference w:id="21"/>
      </w:r>
      <w:r w:rsidRPr="00551222">
        <w:rPr>
          <w:rFonts w:ascii="Arial" w:eastAsia="Arial" w:hAnsi="Arial" w:cs="Arial"/>
          <w:lang w:val="es-ES" w:eastAsia="es-ES" w:bidi="es-ES"/>
        </w:rPr>
        <w:t>. Incluso, la Corte Constitucional fundamenta la posibilidad de celebrar convenios interadministrativos de forma directa, con fundamento en la causal establecida en la Ley 1150 de 2007 respecto a los contratos interadministrativos</w:t>
      </w:r>
      <w:r w:rsidRPr="00551222">
        <w:rPr>
          <w:rFonts w:ascii="Arial" w:eastAsia="Arial" w:hAnsi="Arial" w:cs="Arial"/>
          <w:vertAlign w:val="superscript"/>
          <w:lang w:val="es-ES" w:eastAsia="es-ES" w:bidi="es-ES"/>
        </w:rPr>
        <w:footnoteReference w:id="22"/>
      </w:r>
      <w:r w:rsidRPr="00551222">
        <w:rPr>
          <w:rFonts w:ascii="Arial" w:eastAsia="Arial" w:hAnsi="Arial" w:cs="Arial"/>
          <w:lang w:val="es-ES" w:eastAsia="es-ES" w:bidi="es-ES"/>
        </w:rPr>
        <w:t>.</w:t>
      </w:r>
    </w:p>
    <w:p w14:paraId="0F2547D7" w14:textId="77777777" w:rsidR="005E70C7" w:rsidRPr="00551222" w:rsidRDefault="005E70C7" w:rsidP="005E70C7">
      <w:pPr>
        <w:widowControl w:val="0"/>
        <w:autoSpaceDE w:val="0"/>
        <w:autoSpaceDN w:val="0"/>
        <w:spacing w:after="0" w:line="276" w:lineRule="auto"/>
        <w:contextualSpacing/>
        <w:jc w:val="both"/>
        <w:rPr>
          <w:rFonts w:ascii="Arial" w:eastAsia="Arial" w:hAnsi="Arial" w:cs="Arial"/>
          <w:lang w:val="es-ES" w:eastAsia="es-ES" w:bidi="es-ES"/>
        </w:rPr>
      </w:pPr>
      <w:r w:rsidRPr="00551222">
        <w:rPr>
          <w:rFonts w:ascii="Arial" w:eastAsia="Arial" w:hAnsi="Arial" w:cs="Arial"/>
          <w:color w:val="FF0000"/>
          <w:lang w:val="es-ES" w:eastAsia="es-ES" w:bidi="es-ES"/>
        </w:rPr>
        <w:tab/>
      </w:r>
      <w:r w:rsidRPr="00551222">
        <w:rPr>
          <w:rFonts w:ascii="Arial" w:eastAsia="Arial" w:hAnsi="Arial" w:cs="Arial"/>
          <w:lang w:val="es-ES" w:eastAsia="es-ES" w:bidi="es-ES"/>
        </w:rPr>
        <w:t>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Electorales. En este sentido, la Circular, refiriéndose al parágrafo del artículo 38 de la Ley 996 de 2005, expresa:</w:t>
      </w:r>
    </w:p>
    <w:p w14:paraId="2441B7C8" w14:textId="77777777" w:rsidR="005E70C7" w:rsidRPr="00551222" w:rsidRDefault="005E70C7" w:rsidP="005E70C7">
      <w:pPr>
        <w:widowControl w:val="0"/>
        <w:autoSpaceDE w:val="0"/>
        <w:autoSpaceDN w:val="0"/>
        <w:spacing w:after="0" w:line="276" w:lineRule="auto"/>
        <w:contextualSpacing/>
        <w:jc w:val="both"/>
        <w:rPr>
          <w:rFonts w:ascii="Arial" w:eastAsia="Arial" w:hAnsi="Arial" w:cs="Arial"/>
          <w:lang w:val="es-ES" w:eastAsia="es-ES" w:bidi="es-ES"/>
        </w:rPr>
      </w:pPr>
    </w:p>
    <w:p w14:paraId="083441BC" w14:textId="77777777" w:rsidR="005E70C7" w:rsidRPr="00551222" w:rsidRDefault="005E70C7" w:rsidP="005E70C7">
      <w:pPr>
        <w:spacing w:after="0" w:line="240" w:lineRule="auto"/>
        <w:ind w:left="709" w:right="709"/>
        <w:contextualSpacing/>
        <w:jc w:val="both"/>
        <w:rPr>
          <w:rFonts w:ascii="Arial" w:eastAsia="Calibri" w:hAnsi="Arial" w:cs="Arial"/>
          <w:sz w:val="21"/>
          <w:szCs w:val="21"/>
          <w:lang w:val="es-MX"/>
        </w:rPr>
      </w:pPr>
      <w:r w:rsidRPr="00551222">
        <w:rPr>
          <w:rFonts w:ascii="Arial" w:eastAsia="Calibri"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551222">
        <w:rPr>
          <w:rFonts w:ascii="Arial" w:eastAsia="Calibri" w:hAnsi="Arial" w:cs="Arial"/>
          <w:sz w:val="21"/>
          <w:szCs w:val="21"/>
          <w:lang w:val="es-MX"/>
        </w:rPr>
        <w:t>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w:t>
      </w:r>
    </w:p>
    <w:p w14:paraId="57CA871D" w14:textId="77777777" w:rsidR="005E70C7" w:rsidRPr="00551222" w:rsidRDefault="005E70C7" w:rsidP="005E70C7">
      <w:pPr>
        <w:spacing w:after="0" w:line="240" w:lineRule="auto"/>
        <w:ind w:left="709" w:right="709"/>
        <w:contextualSpacing/>
        <w:jc w:val="both"/>
        <w:rPr>
          <w:rFonts w:ascii="Arial" w:eastAsia="Calibri" w:hAnsi="Arial" w:cs="Arial"/>
          <w:sz w:val="21"/>
          <w:szCs w:val="21"/>
          <w:lang w:val="es-MX"/>
        </w:rPr>
      </w:pPr>
      <w:r w:rsidRPr="00551222">
        <w:rPr>
          <w:rFonts w:ascii="Arial" w:eastAsia="Calibri" w:hAnsi="Arial" w:cs="Arial"/>
          <w:sz w:val="21"/>
          <w:szCs w:val="21"/>
          <w:lang w:val="es-MX"/>
        </w:rPr>
        <w:t xml:space="preserve"> </w:t>
      </w:r>
    </w:p>
    <w:p w14:paraId="0FAE37C2" w14:textId="77777777" w:rsidR="005E70C7" w:rsidRPr="00551222" w:rsidRDefault="005E70C7" w:rsidP="005E70C7">
      <w:pPr>
        <w:spacing w:after="0" w:line="240" w:lineRule="auto"/>
        <w:ind w:left="709" w:right="709"/>
        <w:contextualSpacing/>
        <w:jc w:val="both"/>
        <w:rPr>
          <w:rFonts w:ascii="Arial" w:eastAsia="Calibri" w:hAnsi="Arial" w:cs="Arial"/>
          <w:sz w:val="21"/>
          <w:szCs w:val="21"/>
          <w:lang w:val="es-MX"/>
        </w:rPr>
      </w:pPr>
      <w:r w:rsidRPr="00551222">
        <w:rPr>
          <w:rFonts w:ascii="Arial" w:eastAsia="Calibri" w:hAnsi="Arial" w:cs="Arial"/>
          <w:sz w:val="21"/>
          <w:szCs w:val="21"/>
          <w:lang w:val="es-MX"/>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299DC73F" w14:textId="77777777" w:rsidR="005E70C7" w:rsidRPr="00551222" w:rsidRDefault="005E70C7" w:rsidP="005E70C7">
      <w:pPr>
        <w:spacing w:after="0" w:line="240" w:lineRule="auto"/>
        <w:ind w:left="709" w:right="709"/>
        <w:contextualSpacing/>
        <w:jc w:val="both"/>
        <w:rPr>
          <w:rFonts w:ascii="Arial" w:eastAsia="Calibri" w:hAnsi="Arial" w:cs="Arial"/>
          <w:sz w:val="21"/>
          <w:szCs w:val="21"/>
          <w:lang w:val="es-MX"/>
        </w:rPr>
      </w:pPr>
    </w:p>
    <w:p w14:paraId="24F19773" w14:textId="77777777" w:rsidR="005E70C7" w:rsidRPr="00551222" w:rsidRDefault="005E70C7" w:rsidP="005E70C7">
      <w:pPr>
        <w:spacing w:after="0" w:line="240" w:lineRule="auto"/>
        <w:ind w:left="709" w:right="709"/>
        <w:contextualSpacing/>
        <w:jc w:val="both"/>
        <w:rPr>
          <w:rFonts w:ascii="Calibri" w:eastAsia="Calibri" w:hAnsi="Calibri"/>
          <w:sz w:val="24"/>
          <w:lang w:val="es-MX"/>
        </w:rPr>
      </w:pPr>
      <w:r w:rsidRPr="00551222">
        <w:rPr>
          <w:rFonts w:ascii="Arial" w:eastAsia="Calibri" w:hAnsi="Arial" w:cs="Arial"/>
          <w:sz w:val="21"/>
          <w:szCs w:val="21"/>
          <w:lang w:val="es-MX"/>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634BEF44" w14:textId="77777777" w:rsidR="005E70C7" w:rsidRPr="00551222" w:rsidRDefault="005E70C7" w:rsidP="005E70C7">
      <w:pPr>
        <w:widowControl w:val="0"/>
        <w:autoSpaceDE w:val="0"/>
        <w:autoSpaceDN w:val="0"/>
        <w:spacing w:after="0" w:line="276" w:lineRule="auto"/>
        <w:contextualSpacing/>
        <w:jc w:val="both"/>
        <w:rPr>
          <w:rFonts w:ascii="Arial" w:eastAsia="Arial" w:hAnsi="Arial" w:cs="Arial"/>
          <w:lang w:val="es-ES" w:eastAsia="es-ES" w:bidi="es-ES"/>
        </w:rPr>
      </w:pPr>
    </w:p>
    <w:p w14:paraId="7326F165" w14:textId="77777777" w:rsidR="005E70C7" w:rsidRDefault="005E70C7" w:rsidP="004B046B">
      <w:pPr>
        <w:widowControl w:val="0"/>
        <w:autoSpaceDE w:val="0"/>
        <w:autoSpaceDN w:val="0"/>
        <w:spacing w:after="120" w:line="276" w:lineRule="auto"/>
        <w:jc w:val="both"/>
        <w:rPr>
          <w:rFonts w:ascii="Arial" w:eastAsia="Arial" w:hAnsi="Arial" w:cs="Arial"/>
          <w:lang w:val="es-ES" w:eastAsia="es-ES" w:bidi="es-ES"/>
        </w:rPr>
      </w:pPr>
      <w:r w:rsidRPr="00551222">
        <w:rPr>
          <w:rFonts w:ascii="Arial" w:eastAsia="Arial" w:hAnsi="Arial" w:cs="Arial"/>
          <w:color w:val="FF0000"/>
          <w:lang w:val="es-ES" w:eastAsia="es-ES" w:bidi="es-ES"/>
        </w:rPr>
        <w:tab/>
      </w:r>
      <w:r w:rsidRPr="00551222">
        <w:rPr>
          <w:rFonts w:ascii="Arial" w:eastAsia="Arial" w:hAnsi="Arial" w:cs="Arial"/>
          <w:lang w:val="es-ES" w:eastAsia="es-ES" w:bidi="es-ES"/>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Electorales.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22"/>
    </w:p>
    <w:p w14:paraId="1980BB1D" w14:textId="77777777" w:rsidR="005E70C7" w:rsidRDefault="005E70C7" w:rsidP="004B046B">
      <w:pPr>
        <w:tabs>
          <w:tab w:val="left" w:pos="426"/>
        </w:tabs>
        <w:spacing w:after="120" w:line="276" w:lineRule="auto"/>
        <w:ind w:firstLine="709"/>
        <w:jc w:val="both"/>
        <w:rPr>
          <w:rFonts w:ascii="Arial" w:eastAsia="Calibri" w:hAnsi="Arial" w:cs="Arial"/>
          <w:color w:val="000000" w:themeColor="text1"/>
          <w:lang w:val="es-MX"/>
        </w:rPr>
      </w:pPr>
      <w:r w:rsidRPr="00551222">
        <w:rPr>
          <w:rFonts w:ascii="Arial" w:hAnsi="Arial" w:cs="Arial"/>
          <w:bCs/>
          <w:lang w:val="es-MX" w:eastAsia="es-CO"/>
        </w:rPr>
        <w:t xml:space="preserve">Conforme a lo expuesto, debe señalarse que </w:t>
      </w:r>
      <w:bookmarkStart w:id="23" w:name="_Hlk114828165"/>
      <w:r w:rsidRPr="00551222">
        <w:rPr>
          <w:rFonts w:ascii="Arial" w:hAnsi="Arial" w:cs="Arial"/>
          <w:bCs/>
          <w:lang w:val="es-MX" w:eastAsia="es-CO"/>
        </w:rPr>
        <w:t>el inciso primero del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l</w:t>
      </w:r>
      <w:r w:rsidRPr="00551222">
        <w:rPr>
          <w:rFonts w:ascii="Arial" w:eastAsia="Calibri" w:hAnsi="Arial" w:cs="Arial"/>
          <w:bCs/>
          <w:lang w:val="es-MX"/>
        </w:rPr>
        <w:t>os gobernadores, alcaldes municipales y/o distritales, secretarios, gerentes y directores de entidades descentralizadas del orden municipal, departamental o distrital</w:t>
      </w:r>
      <w:r w:rsidRPr="00551222">
        <w:rPr>
          <w:rFonts w:ascii="Arial" w:hAnsi="Arial" w:cs="Arial"/>
          <w:bCs/>
          <w:lang w:val="es-MX" w:eastAsia="es-CO"/>
        </w:rPr>
        <w:t xml:space="preserve"> no se podrán celebrar tales convenios o contratos durante el periodo de aplicación de la Ley de Garantías Electorales, toda vez que la citada disposición hace referencia a dicha tipología contractual sin que el legislador hubiere contemplado excepción alguna frente a la modalidad de selección o naturaleza de su objeto.</w:t>
      </w:r>
      <w:r w:rsidRPr="00551222">
        <w:rPr>
          <w:rFonts w:ascii="Arial" w:eastAsia="Times New Roman" w:hAnsi="Arial" w:cs="Arial"/>
          <w:bCs/>
          <w:lang w:val="es-MX" w:eastAsia="es-CO"/>
        </w:rPr>
        <w:t xml:space="preserve"> De esta manera, la prohibición aplica a todos los contratos interadministrativos con independencia de que estén o no precedidos de un procedimiento de selección con pluralidad de oferentes. Esto por cuanto, como se indicó, el contrato o convenio interadministrativo no se define por la modalidad de selección, sino por la naturaleza pública de quienes lo celebran, es decir, por un criterio orgánico.</w:t>
      </w:r>
      <w:r w:rsidRPr="00551222">
        <w:rPr>
          <w:rFonts w:ascii="Arial" w:eastAsia="Calibri" w:hAnsi="Arial" w:cs="Arial"/>
          <w:color w:val="000000" w:themeColor="text1"/>
          <w:lang w:val="es-MX"/>
        </w:rPr>
        <w:t> </w:t>
      </w:r>
      <w:bookmarkEnd w:id="23"/>
    </w:p>
    <w:p w14:paraId="0FD774DB" w14:textId="77777777" w:rsidR="005E70C7" w:rsidRPr="00551222" w:rsidRDefault="005E70C7" w:rsidP="005E70C7">
      <w:pPr>
        <w:spacing w:after="0" w:line="276" w:lineRule="auto"/>
        <w:ind w:firstLine="708"/>
        <w:jc w:val="both"/>
        <w:rPr>
          <w:rFonts w:ascii="Arial" w:hAnsi="Arial" w:cs="Arial"/>
          <w:shd w:val="clear" w:color="auto" w:fill="FFFFFF"/>
          <w:lang w:val="es-MX"/>
        </w:rPr>
      </w:pPr>
      <w:r>
        <w:rPr>
          <w:rFonts w:ascii="Arial" w:hAnsi="Arial" w:cs="Arial"/>
          <w:lang w:val="es-MX"/>
        </w:rPr>
        <w:t>Así pues</w:t>
      </w:r>
      <w:r w:rsidRPr="00551222">
        <w:rPr>
          <w:rFonts w:ascii="Arial" w:hAnsi="Arial" w:cs="Arial"/>
          <w:lang w:val="es-MX"/>
        </w:rPr>
        <w:t xml:space="preserve">, una vez explicadas las restricciones para celebrar </w:t>
      </w:r>
      <w:r w:rsidRPr="00551222">
        <w:rPr>
          <w:rFonts w:ascii="Arial" w:hAnsi="Arial" w:cs="Arial"/>
          <w:lang w:val="es-MX" w:eastAsia="es-CO"/>
        </w:rPr>
        <w:t>celebración de contratos y</w:t>
      </w:r>
      <w:r>
        <w:rPr>
          <w:rFonts w:ascii="Arial" w:hAnsi="Arial" w:cs="Arial"/>
          <w:lang w:val="es-MX" w:eastAsia="es-CO"/>
        </w:rPr>
        <w:t xml:space="preserve"> convenios interadministrativos</w:t>
      </w:r>
      <w:r w:rsidRPr="00551222">
        <w:rPr>
          <w:rFonts w:ascii="Arial" w:hAnsi="Arial" w:cs="Arial"/>
          <w:lang w:val="es-MX" w:eastAsia="es-CO"/>
        </w:rPr>
        <w:t xml:space="preserve">, </w:t>
      </w:r>
      <w:r w:rsidRPr="00551222">
        <w:rPr>
          <w:rFonts w:ascii="Arial" w:hAnsi="Arial" w:cs="Arial"/>
          <w:lang w:val="es-MX"/>
        </w:rPr>
        <w:t xml:space="preserve">es imperioso referirse </w:t>
      </w:r>
      <w:r w:rsidRPr="00551222">
        <w:rPr>
          <w:rFonts w:ascii="Arial" w:hAnsi="Arial" w:cs="Arial"/>
          <w:shd w:val="clear" w:color="auto" w:fill="FFFFFF"/>
          <w:lang w:val="es-MX"/>
        </w:rPr>
        <w:t>al periodo de duración de la Ley de Garantías Electorales por elecciones de autoridades locales que se llevarán a cabo en el año en curso.</w:t>
      </w:r>
      <w:r w:rsidRPr="00551222">
        <w:rPr>
          <w:rFonts w:ascii="Arial" w:hAnsi="Arial" w:cs="Arial"/>
          <w:lang w:val="es-MX"/>
        </w:rPr>
        <w:t xml:space="preserve"> </w:t>
      </w:r>
      <w:r w:rsidRPr="00551222">
        <w:rPr>
          <w:rFonts w:ascii="Arial" w:hAnsi="Arial" w:cs="Arial"/>
          <w:shd w:val="clear" w:color="auto" w:fill="FFFFFF"/>
          <w:lang w:val="es-MX"/>
        </w:rPr>
        <w:t>La Ley 996 de 2005 establece que dichas prohibiciones se aplicarán durante los cuatro (4) meses anteriores a las elecciones. Con motivo de las elecciones de autoridades locales que se realizan el último domingo del mes de octubre, es decir el 29 de octubre de 2023, la mencionada ley entrará en vigencia desde el próximo 29 de junio y se extenderá hasta el día en el que se celebran las elecciones.</w:t>
      </w:r>
    </w:p>
    <w:bookmarkEnd w:id="12"/>
    <w:p w14:paraId="0C1337D4" w14:textId="77777777" w:rsidR="005E70C7" w:rsidRPr="00551222" w:rsidRDefault="005E70C7" w:rsidP="005E70C7">
      <w:pPr>
        <w:tabs>
          <w:tab w:val="left" w:pos="426"/>
        </w:tabs>
        <w:spacing w:after="0" w:line="276" w:lineRule="auto"/>
        <w:contextualSpacing/>
        <w:jc w:val="both"/>
        <w:rPr>
          <w:rFonts w:ascii="Arial" w:eastAsia="Calibri" w:hAnsi="Arial" w:cs="Arial"/>
          <w:lang w:val="es-MX"/>
        </w:rPr>
      </w:pPr>
    </w:p>
    <w:p w14:paraId="5851652E" w14:textId="77777777" w:rsidR="005E70C7" w:rsidRPr="00551222" w:rsidRDefault="005E70C7" w:rsidP="005E70C7">
      <w:pPr>
        <w:spacing w:after="0" w:line="276" w:lineRule="auto"/>
        <w:ind w:right="79"/>
        <w:contextualSpacing/>
        <w:jc w:val="both"/>
        <w:rPr>
          <w:rFonts w:ascii="Arial" w:eastAsia="Calibri" w:hAnsi="Arial" w:cs="Arial"/>
          <w:b/>
          <w:noProof/>
          <w:lang w:val="es-ES_tradnl"/>
        </w:rPr>
      </w:pPr>
      <w:bookmarkStart w:id="24" w:name="_1y810tw" w:colFirst="0" w:colLast="0"/>
      <w:bookmarkStart w:id="25" w:name="_2xcytpi" w:colFirst="0" w:colLast="0"/>
      <w:bookmarkStart w:id="26" w:name="_1ci93xb" w:colFirst="0" w:colLast="0"/>
      <w:bookmarkStart w:id="27" w:name="_3whwml4" w:colFirst="0" w:colLast="0"/>
      <w:bookmarkEnd w:id="24"/>
      <w:bookmarkEnd w:id="25"/>
      <w:bookmarkEnd w:id="26"/>
      <w:bookmarkEnd w:id="27"/>
      <w:r w:rsidRPr="00551222">
        <w:rPr>
          <w:rFonts w:ascii="Arial" w:eastAsia="Calibri" w:hAnsi="Arial" w:cs="Arial"/>
          <w:b/>
          <w:noProof/>
          <w:lang w:val="es-ES_tradnl"/>
        </w:rPr>
        <w:t>3. Respuesta</w:t>
      </w:r>
    </w:p>
    <w:p w14:paraId="45A37326" w14:textId="77777777" w:rsidR="005E70C7" w:rsidRPr="00551222" w:rsidRDefault="005E70C7" w:rsidP="005E70C7">
      <w:pPr>
        <w:spacing w:after="0" w:line="276" w:lineRule="auto"/>
        <w:ind w:right="79"/>
        <w:contextualSpacing/>
        <w:jc w:val="both"/>
        <w:rPr>
          <w:rFonts w:ascii="Arial" w:eastAsia="Calibri" w:hAnsi="Arial" w:cs="Arial"/>
          <w:b/>
          <w:noProof/>
          <w:lang w:val="es-ES_tradnl"/>
        </w:rPr>
      </w:pPr>
    </w:p>
    <w:p w14:paraId="1922AD47" w14:textId="77777777" w:rsidR="004577B4" w:rsidRDefault="004577B4" w:rsidP="004577B4">
      <w:pPr>
        <w:spacing w:after="0" w:line="240" w:lineRule="auto"/>
        <w:ind w:left="709" w:right="709"/>
        <w:contextualSpacing/>
        <w:jc w:val="both"/>
        <w:rPr>
          <w:rFonts w:ascii="Arial" w:hAnsi="Arial" w:cs="Arial"/>
          <w:sz w:val="21"/>
          <w:szCs w:val="21"/>
          <w:lang w:val="es-ES_tradnl"/>
        </w:rPr>
      </w:pPr>
      <w:r w:rsidRPr="00551222">
        <w:rPr>
          <w:rFonts w:ascii="Arial" w:hAnsi="Arial" w:cs="Arial"/>
          <w:sz w:val="21"/>
          <w:szCs w:val="21"/>
          <w:lang w:val="es-ES_tradnl"/>
        </w:rPr>
        <w:t>“</w:t>
      </w:r>
      <w:r>
        <w:rPr>
          <w:rFonts w:ascii="Arial" w:hAnsi="Arial" w:cs="Arial"/>
          <w:sz w:val="21"/>
          <w:szCs w:val="21"/>
          <w:lang w:val="es-ES_tradnl"/>
        </w:rPr>
        <w:t>Consultar ante ustedes si el 29 de junio del presente año comenzará a regir ley de garantías, impidiendo que las instituciones públicas de orden territorial (departamentos, municipios y establecimientos públicos de sus respectivos ordenes) pueda contratar de manera directa a raíz de las elecciones regionales a celebrarse el próximo 29 de octubre; y de ser así ¿en qué términos funcionará la misma?</w:t>
      </w:r>
    </w:p>
    <w:p w14:paraId="625E3450" w14:textId="77777777" w:rsidR="004577B4" w:rsidRDefault="004577B4" w:rsidP="004577B4">
      <w:pPr>
        <w:spacing w:after="0" w:line="240" w:lineRule="auto"/>
        <w:ind w:left="709" w:right="709"/>
        <w:contextualSpacing/>
        <w:jc w:val="both"/>
        <w:rPr>
          <w:rFonts w:ascii="Arial" w:hAnsi="Arial" w:cs="Arial"/>
          <w:sz w:val="21"/>
          <w:szCs w:val="21"/>
          <w:lang w:val="es-ES_tradnl"/>
        </w:rPr>
      </w:pPr>
    </w:p>
    <w:p w14:paraId="5309D1C1" w14:textId="77777777" w:rsidR="004577B4" w:rsidRDefault="004577B4" w:rsidP="004577B4">
      <w:pPr>
        <w:spacing w:after="0" w:line="240" w:lineRule="auto"/>
        <w:ind w:left="709" w:right="709"/>
        <w:contextualSpacing/>
        <w:jc w:val="both"/>
        <w:rPr>
          <w:rFonts w:ascii="Arial" w:hAnsi="Arial" w:cs="Arial"/>
          <w:sz w:val="21"/>
          <w:szCs w:val="21"/>
          <w:lang w:val="es-ES_tradnl"/>
        </w:rPr>
      </w:pPr>
      <w:r>
        <w:rPr>
          <w:rFonts w:ascii="Arial" w:hAnsi="Arial" w:cs="Arial"/>
          <w:sz w:val="21"/>
          <w:szCs w:val="21"/>
          <w:lang w:val="es-ES_tradnl"/>
        </w:rPr>
        <w:t>[…]Informarme si efectivamente existirá restricción a las entidades públicas (</w:t>
      </w:r>
      <w:r w:rsidRPr="000F74FD">
        <w:rPr>
          <w:rFonts w:ascii="Arial" w:hAnsi="Arial" w:cs="Arial"/>
          <w:sz w:val="21"/>
          <w:szCs w:val="21"/>
          <w:u w:val="single"/>
          <w:lang w:val="es-ES_tradnl"/>
        </w:rPr>
        <w:t>departamentos, municipios y establecimientos públicos de sus respectivos ordenes</w:t>
      </w:r>
      <w:r>
        <w:rPr>
          <w:rFonts w:ascii="Arial" w:hAnsi="Arial" w:cs="Arial"/>
          <w:sz w:val="21"/>
          <w:szCs w:val="21"/>
          <w:lang w:val="es-ES_tradnl"/>
        </w:rPr>
        <w:t>) para contratar de manera directa a partir del 29 de junio de la presente vigencia, es decir, cuatro (4) meses antes de las elecciones regionales a alcaldías concejos municipales, gobernadores, asambleas departamentales y ediles comunales por concepto de ley de garantías.</w:t>
      </w:r>
    </w:p>
    <w:p w14:paraId="3AC0BA25" w14:textId="77777777" w:rsidR="004577B4" w:rsidRDefault="004577B4" w:rsidP="004577B4">
      <w:pPr>
        <w:spacing w:after="0" w:line="240" w:lineRule="auto"/>
        <w:ind w:left="709" w:right="709"/>
        <w:contextualSpacing/>
        <w:jc w:val="both"/>
        <w:rPr>
          <w:rFonts w:ascii="Arial" w:hAnsi="Arial" w:cs="Arial"/>
          <w:sz w:val="21"/>
          <w:szCs w:val="21"/>
          <w:lang w:val="es-ES_tradnl"/>
        </w:rPr>
      </w:pPr>
    </w:p>
    <w:p w14:paraId="0EB1FFE7" w14:textId="77777777" w:rsidR="004577B4" w:rsidRPr="00551222" w:rsidRDefault="004577B4" w:rsidP="004577B4">
      <w:pPr>
        <w:spacing w:after="0" w:line="240" w:lineRule="auto"/>
        <w:ind w:left="709" w:right="709"/>
        <w:contextualSpacing/>
        <w:jc w:val="both"/>
        <w:rPr>
          <w:rFonts w:ascii="Arial" w:hAnsi="Arial" w:cs="Arial"/>
          <w:sz w:val="21"/>
          <w:szCs w:val="21"/>
          <w:lang w:val="es-ES_tradnl"/>
        </w:rPr>
      </w:pPr>
      <w:r>
        <w:rPr>
          <w:rFonts w:ascii="Arial" w:hAnsi="Arial" w:cs="Arial"/>
          <w:sz w:val="21"/>
          <w:szCs w:val="21"/>
          <w:lang w:val="es-ES_tradnl"/>
        </w:rPr>
        <w:t>[…] De ser positiva la realización de la ley de garantías, explicarme cómo funcionará, que tipo de mecanismo de contratación serán restringidos, por cuanto tiempo y bajo que normativa se ejecutará la contratación pública durante este periodo</w:t>
      </w:r>
      <w:r w:rsidRPr="00551222">
        <w:rPr>
          <w:rFonts w:ascii="Arial" w:hAnsi="Arial" w:cs="Arial"/>
          <w:sz w:val="21"/>
          <w:szCs w:val="21"/>
          <w:lang w:val="es-ES_tradnl"/>
        </w:rPr>
        <w:t>”</w:t>
      </w:r>
      <w:r>
        <w:rPr>
          <w:rFonts w:ascii="Arial" w:hAnsi="Arial" w:cs="Arial"/>
          <w:sz w:val="21"/>
          <w:szCs w:val="21"/>
          <w:lang w:val="es-ES_tradnl"/>
        </w:rPr>
        <w:t>.</w:t>
      </w:r>
    </w:p>
    <w:p w14:paraId="27908495" w14:textId="77777777" w:rsidR="005E70C7" w:rsidRPr="00551222" w:rsidRDefault="005E70C7" w:rsidP="005E70C7">
      <w:pPr>
        <w:spacing w:after="0" w:line="240" w:lineRule="auto"/>
        <w:ind w:left="567" w:right="786"/>
        <w:jc w:val="both"/>
        <w:rPr>
          <w:rFonts w:ascii="Arial" w:hAnsi="Arial" w:cs="Arial"/>
          <w:color w:val="FF0000"/>
          <w:lang w:val="es-ES_tradnl"/>
        </w:rPr>
      </w:pPr>
    </w:p>
    <w:p w14:paraId="2A9F603A" w14:textId="4C82D9C9" w:rsidR="00915D50" w:rsidRDefault="00915D50" w:rsidP="00915D50">
      <w:pPr>
        <w:spacing w:after="120" w:line="276" w:lineRule="auto"/>
        <w:jc w:val="both"/>
        <w:rPr>
          <w:rFonts w:ascii="Arial" w:hAnsi="Arial" w:cs="Arial"/>
          <w:bCs/>
          <w:lang w:val="es-MX" w:eastAsia="es-CO"/>
        </w:rPr>
      </w:pPr>
      <w:r w:rsidRPr="00551222">
        <w:rPr>
          <w:rFonts w:ascii="Arial" w:eastAsia="Arial" w:hAnsi="Arial" w:cs="Arial"/>
          <w:lang w:val="es-MX"/>
        </w:rPr>
        <w:t xml:space="preserve">De acuerdo con </w:t>
      </w:r>
      <w:proofErr w:type="gramStart"/>
      <w:r w:rsidRPr="00551222">
        <w:rPr>
          <w:rFonts w:ascii="Arial" w:eastAsia="Arial" w:hAnsi="Arial" w:cs="Arial"/>
          <w:lang w:val="es-MX"/>
        </w:rPr>
        <w:t>l</w:t>
      </w:r>
      <w:r w:rsidR="0037740B">
        <w:rPr>
          <w:rFonts w:ascii="Arial" w:eastAsia="Arial" w:hAnsi="Arial" w:cs="Arial"/>
          <w:lang w:val="es-MX"/>
        </w:rPr>
        <w:t xml:space="preserve">o </w:t>
      </w:r>
      <w:r w:rsidRPr="00551222">
        <w:rPr>
          <w:rFonts w:ascii="Arial" w:eastAsia="Arial" w:hAnsi="Arial" w:cs="Arial"/>
          <w:lang w:val="es-MX"/>
        </w:rPr>
        <w:t>,</w:t>
      </w:r>
      <w:proofErr w:type="gramEnd"/>
      <w:r w:rsidRPr="00551222">
        <w:rPr>
          <w:rFonts w:ascii="Arial" w:eastAsia="Arial" w:hAnsi="Arial" w:cs="Arial"/>
          <w:lang w:val="es-MX"/>
        </w:rPr>
        <w:t xml:space="preserve"> </w:t>
      </w:r>
      <w:r w:rsidRPr="00551222">
        <w:rPr>
          <w:rFonts w:ascii="Arial" w:eastAsia="Arial" w:hAnsi="Arial" w:cs="Arial"/>
          <w:lang w:val="es-ES" w:eastAsia="es-ES" w:bidi="es-ES"/>
        </w:rPr>
        <w:t>la Ley de Garantías Electorales consagra una serie de restricciones que se dirigen a dos (2) tipos de campañas electorales claramente diferenciadas: las presidenciales y las demás que se adelanten para la elección de los demás cargos de elección popular, tanto a nivel nacional como territorial.</w:t>
      </w:r>
      <w:r w:rsidR="00E809DA">
        <w:rPr>
          <w:rFonts w:ascii="Arial" w:eastAsia="Arial" w:hAnsi="Arial" w:cs="Arial"/>
          <w:lang w:val="es-ES" w:eastAsia="es-ES" w:bidi="es-ES"/>
        </w:rPr>
        <w:t xml:space="preserve"> </w:t>
      </w:r>
      <w:r w:rsidR="009635C9">
        <w:rPr>
          <w:rFonts w:ascii="Arial" w:eastAsia="Arial" w:hAnsi="Arial" w:cs="Arial"/>
          <w:lang w:val="es-ES" w:eastAsia="es-ES" w:bidi="es-ES"/>
        </w:rPr>
        <w:t>En materia de contratación existen dos (2) restricciones en particular, la primera de ellas que deriva</w:t>
      </w:r>
      <w:r w:rsidR="005942E9">
        <w:rPr>
          <w:rFonts w:ascii="Arial" w:eastAsia="Arial" w:hAnsi="Arial" w:cs="Arial"/>
          <w:lang w:val="es-ES" w:eastAsia="es-ES" w:bidi="es-ES"/>
        </w:rPr>
        <w:t xml:space="preserve"> del artículo 33</w:t>
      </w:r>
      <w:r w:rsidR="00E92A60">
        <w:rPr>
          <w:rFonts w:ascii="Arial" w:eastAsia="Arial" w:hAnsi="Arial" w:cs="Arial"/>
          <w:lang w:val="es-ES" w:eastAsia="es-ES" w:bidi="es-ES"/>
        </w:rPr>
        <w:t xml:space="preserve">, </w:t>
      </w:r>
      <w:r w:rsidR="009635C9">
        <w:rPr>
          <w:rFonts w:ascii="Arial" w:eastAsia="Arial" w:hAnsi="Arial" w:cs="Arial"/>
          <w:lang w:val="es-ES" w:eastAsia="es-ES" w:bidi="es-ES"/>
        </w:rPr>
        <w:t>consistente en una restricción general a la contracción directa</w:t>
      </w:r>
      <w:r w:rsidR="00E92A60">
        <w:rPr>
          <w:rFonts w:ascii="Arial" w:eastAsia="Arial" w:hAnsi="Arial" w:cs="Arial"/>
          <w:lang w:val="es-ES" w:eastAsia="es-ES" w:bidi="es-ES"/>
        </w:rPr>
        <w:t xml:space="preserve"> que rige durante los </w:t>
      </w:r>
      <w:r w:rsidR="00FA5972">
        <w:rPr>
          <w:rFonts w:ascii="Arial" w:eastAsia="Arial" w:hAnsi="Arial" w:cs="Arial"/>
          <w:lang w:val="es-ES" w:eastAsia="es-ES" w:bidi="es-ES"/>
        </w:rPr>
        <w:t>cuatro (4) meses anteriores a las elecciones presidenciales,</w:t>
      </w:r>
      <w:r w:rsidR="006A7D6E">
        <w:rPr>
          <w:rFonts w:ascii="Arial" w:eastAsia="Arial" w:hAnsi="Arial" w:cs="Arial"/>
          <w:lang w:val="es-ES" w:eastAsia="es-ES" w:bidi="es-ES"/>
        </w:rPr>
        <w:t xml:space="preserve"> y una segunda, impuesta por el parágrafo del artículo 38</w:t>
      </w:r>
      <w:r w:rsidR="00F2510D">
        <w:rPr>
          <w:rFonts w:ascii="Arial" w:eastAsia="Arial" w:hAnsi="Arial" w:cs="Arial"/>
          <w:lang w:val="es-ES" w:eastAsia="es-ES" w:bidi="es-ES"/>
        </w:rPr>
        <w:t xml:space="preserve">, </w:t>
      </w:r>
      <w:r w:rsidR="009B6124">
        <w:rPr>
          <w:rFonts w:ascii="Arial" w:eastAsia="Arial" w:hAnsi="Arial" w:cs="Arial"/>
          <w:lang w:val="es-ES" w:eastAsia="es-ES" w:bidi="es-ES"/>
        </w:rPr>
        <w:t xml:space="preserve">que </w:t>
      </w:r>
      <w:r w:rsidR="009451AC" w:rsidRPr="00551222">
        <w:rPr>
          <w:rFonts w:ascii="Arial" w:hAnsi="Arial" w:cs="Arial"/>
          <w:bCs/>
          <w:lang w:val="es-MX" w:eastAsia="es-CO"/>
        </w:rPr>
        <w:t>prohíbe a los alcaldes, gobernadores, secretarios, gerentes y directores de las entidades del orden municipal, departamental o distrital celebrar convenios y contratos interadministrativos</w:t>
      </w:r>
      <w:r w:rsidR="009B6124">
        <w:rPr>
          <w:rFonts w:ascii="Arial" w:hAnsi="Arial" w:cs="Arial"/>
          <w:bCs/>
          <w:lang w:val="es-MX" w:eastAsia="es-CO"/>
        </w:rPr>
        <w:t>.</w:t>
      </w:r>
    </w:p>
    <w:p w14:paraId="4166C6C8" w14:textId="77777777" w:rsidR="009B6124" w:rsidRPr="00551222" w:rsidRDefault="009B6124" w:rsidP="009B6124">
      <w:pPr>
        <w:spacing w:after="120" w:line="276" w:lineRule="auto"/>
        <w:ind w:firstLine="709"/>
        <w:jc w:val="both"/>
        <w:rPr>
          <w:rFonts w:ascii="Arial" w:hAnsi="Arial" w:cs="Arial"/>
          <w:shd w:val="clear" w:color="auto" w:fill="FFFFFF"/>
          <w:lang w:val="es-MX"/>
        </w:rPr>
      </w:pPr>
      <w:r w:rsidRPr="00551222">
        <w:rPr>
          <w:rFonts w:ascii="Arial" w:hAnsi="Arial" w:cs="Arial"/>
          <w:shd w:val="clear" w:color="auto" w:fill="FFFFFF"/>
          <w:lang w:val="es-MX"/>
        </w:rPr>
        <w:t>Respecto al periodo de duración de la Ley de Garantías Electorales por elecciones de autoridades locales que se llevarán a cabo en el año en curso, es menester indicar que, la Ley 996 de 2005 establece que dichas prohibiciones se aplicaran durante los cuatro (4) meses anteriores a las elecciones. Con motivo de las elecciones de autoridades locales que se realizan el último domingo del mes de octubre, es decir el 29 de octubre de 2023, la mencionada ley entrará en vigencia desde el próximo 29 de junio y se extenderá hasta el día en el que se celebran las elecciones.</w:t>
      </w:r>
    </w:p>
    <w:p w14:paraId="1EE4AB11" w14:textId="77777777" w:rsidR="009B6124" w:rsidRPr="00551222" w:rsidRDefault="009B6124" w:rsidP="009B6124">
      <w:pPr>
        <w:spacing w:after="0" w:line="276" w:lineRule="auto"/>
        <w:ind w:firstLine="709"/>
        <w:jc w:val="both"/>
        <w:rPr>
          <w:rFonts w:ascii="Arial" w:hAnsi="Arial" w:cs="Arial"/>
          <w:bCs/>
          <w:lang w:val="es-ES"/>
        </w:rPr>
      </w:pPr>
      <w:r w:rsidRPr="00551222">
        <w:rPr>
          <w:rFonts w:ascii="Arial" w:eastAsia="Calibri" w:hAnsi="Arial" w:cs="Arial"/>
          <w:bCs/>
          <w:lang w:val="es-MX" w:eastAsia="es-CO"/>
        </w:rPr>
        <w:t>Bajo estas consideraciones, corresponde a cada entidad pública, en ejercicio de su competencia y previa valoración de los elementos fácticos y jurídicos, determinar si es procedente o no la celebración de un determinado contrato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sidRPr="00551222">
        <w:rPr>
          <w:rFonts w:ascii="Arial" w:hAnsi="Arial" w:cs="Arial"/>
          <w:bCs/>
          <w:lang w:val="es-ES"/>
        </w:rPr>
        <w:t xml:space="preserve"> </w:t>
      </w:r>
    </w:p>
    <w:p w14:paraId="1BEEE785" w14:textId="77777777" w:rsidR="005E70C7" w:rsidRPr="00551222" w:rsidRDefault="005E70C7" w:rsidP="005E70C7">
      <w:pPr>
        <w:spacing w:after="0" w:line="276" w:lineRule="auto"/>
        <w:ind w:firstLine="709"/>
        <w:jc w:val="both"/>
        <w:rPr>
          <w:rFonts w:ascii="Arial" w:hAnsi="Arial" w:cs="Arial"/>
          <w:bCs/>
          <w:lang w:val="es-ES"/>
        </w:rPr>
      </w:pPr>
    </w:p>
    <w:p w14:paraId="373490EA" w14:textId="77777777" w:rsidR="005E70C7" w:rsidRPr="00551222" w:rsidRDefault="005E70C7" w:rsidP="004B046B">
      <w:pPr>
        <w:spacing w:after="0" w:line="276" w:lineRule="auto"/>
        <w:jc w:val="both"/>
        <w:rPr>
          <w:rFonts w:ascii="Arial" w:eastAsia="Calibri" w:hAnsi="Arial" w:cs="Arial"/>
        </w:rPr>
      </w:pPr>
      <w:r w:rsidRPr="00551222">
        <w:rPr>
          <w:rFonts w:ascii="Arial" w:eastAsia="Calibri" w:hAnsi="Arial" w:cs="Aria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76A8324D" w14:textId="77777777" w:rsidR="005E70C7" w:rsidRPr="00551222" w:rsidRDefault="005E70C7" w:rsidP="005E70C7">
      <w:pPr>
        <w:spacing w:after="0" w:line="276" w:lineRule="auto"/>
        <w:jc w:val="both"/>
        <w:rPr>
          <w:rFonts w:ascii="Times New Roman" w:eastAsia="Times New Roman" w:hAnsi="Times New Roman" w:cs="Times New Roman"/>
          <w:sz w:val="24"/>
          <w:szCs w:val="24"/>
          <w:lang w:eastAsia="es-ES_tradnl"/>
        </w:rPr>
      </w:pPr>
    </w:p>
    <w:p w14:paraId="2D9EB740" w14:textId="77777777" w:rsidR="005E70C7" w:rsidRPr="00551222" w:rsidRDefault="005E70C7" w:rsidP="005E70C7">
      <w:pPr>
        <w:spacing w:after="0" w:line="276" w:lineRule="auto"/>
        <w:jc w:val="both"/>
        <w:rPr>
          <w:rFonts w:ascii="Arial" w:hAnsi="Arial" w:cs="Arial"/>
          <w:lang w:val="es-ES_tradnl" w:eastAsia="es-CO"/>
        </w:rPr>
      </w:pPr>
      <w:bookmarkStart w:id="28" w:name="_Hlk50986665"/>
      <w:bookmarkStart w:id="29" w:name="_Hlk52766744"/>
      <w:r w:rsidRPr="00551222">
        <w:rPr>
          <w:rFonts w:ascii="Arial" w:hAnsi="Arial" w:cs="Arial"/>
          <w:lang w:val="es-ES_tradnl" w:eastAsia="es-CO"/>
        </w:rPr>
        <w:t>Atentamente,</w:t>
      </w:r>
    </w:p>
    <w:p w14:paraId="3CE8CEB8" w14:textId="77777777" w:rsidR="005E70C7" w:rsidRDefault="005E70C7" w:rsidP="005E70C7">
      <w:pPr>
        <w:spacing w:after="240" w:line="276" w:lineRule="auto"/>
        <w:jc w:val="center"/>
        <w:rPr>
          <w:rFonts w:ascii="Arial" w:hAnsi="Arial" w:cs="Arial"/>
          <w:noProof/>
          <w:sz w:val="16"/>
          <w:szCs w:val="16"/>
          <w:lang w:eastAsia="es-CO"/>
        </w:rPr>
      </w:pPr>
    </w:p>
    <w:p w14:paraId="5B59C0CB" w14:textId="3C9095B6" w:rsidR="005E70C7" w:rsidRPr="00551222" w:rsidRDefault="52DAE0AD" w:rsidP="22409F2A">
      <w:pPr>
        <w:spacing w:after="240" w:line="276" w:lineRule="auto"/>
        <w:jc w:val="center"/>
      </w:pPr>
      <w:r>
        <w:rPr>
          <w:noProof/>
        </w:rPr>
        <w:drawing>
          <wp:inline distT="0" distB="0" distL="0" distR="0" wp14:anchorId="1AF65A0B" wp14:editId="74534C71">
            <wp:extent cx="3152775" cy="1209675"/>
            <wp:effectExtent l="0" t="0" r="0" b="0"/>
            <wp:docPr id="166314439" name="Imagen 166314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152775" cy="120967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7"/>
        <w:gridCol w:w="5186"/>
      </w:tblGrid>
      <w:tr w:rsidR="005E70C7" w:rsidRPr="00551222" w14:paraId="629189F1" w14:textId="77777777" w:rsidTr="009B7BF1">
        <w:trPr>
          <w:trHeight w:val="111"/>
        </w:trPr>
        <w:tc>
          <w:tcPr>
            <w:tcW w:w="1107" w:type="dxa"/>
            <w:vAlign w:val="center"/>
            <w:hideMark/>
          </w:tcPr>
          <w:p w14:paraId="1D460091" w14:textId="77777777" w:rsidR="005E70C7" w:rsidRPr="00551222" w:rsidRDefault="005E70C7" w:rsidP="009B7BF1">
            <w:pPr>
              <w:jc w:val="both"/>
              <w:rPr>
                <w:rFonts w:ascii="Arial" w:eastAsia="Yu Gothic UI Semibold" w:hAnsi="Arial" w:cs="Arial"/>
                <w:color w:val="000000" w:themeColor="text1"/>
                <w:sz w:val="16"/>
                <w:szCs w:val="16"/>
                <w:lang w:val="es-ES_tradnl" w:eastAsia="es-ES"/>
              </w:rPr>
            </w:pPr>
            <w:r w:rsidRPr="00551222">
              <w:rPr>
                <w:rFonts w:ascii="Arial" w:eastAsia="Yu Gothic UI Semibold" w:hAnsi="Arial" w:cs="Arial"/>
                <w:color w:val="000000" w:themeColor="text1"/>
                <w:sz w:val="16"/>
                <w:szCs w:val="16"/>
                <w:lang w:val="es-ES_tradnl" w:eastAsia="es-ES"/>
              </w:rPr>
              <w:t>Elaboró:</w:t>
            </w:r>
          </w:p>
        </w:tc>
        <w:tc>
          <w:tcPr>
            <w:tcW w:w="5186" w:type="dxa"/>
            <w:tcBorders>
              <w:top w:val="nil"/>
              <w:left w:val="nil"/>
              <w:bottom w:val="dotted" w:sz="4" w:space="0" w:color="7F7F7F" w:themeColor="text1" w:themeTint="80"/>
              <w:right w:val="nil"/>
            </w:tcBorders>
            <w:vAlign w:val="center"/>
            <w:hideMark/>
          </w:tcPr>
          <w:p w14:paraId="219085D5" w14:textId="77777777" w:rsidR="005E70C7" w:rsidRPr="00551222" w:rsidRDefault="005E70C7" w:rsidP="009B7BF1">
            <w:pPr>
              <w:jc w:val="both"/>
              <w:rPr>
                <w:rFonts w:ascii="Arial" w:eastAsia="Yu Gothic UI Semibold" w:hAnsi="Arial" w:cs="Arial"/>
                <w:color w:val="000000" w:themeColor="text1"/>
                <w:sz w:val="16"/>
                <w:szCs w:val="16"/>
                <w:lang w:val="es-ES_tradnl" w:eastAsia="es-ES"/>
              </w:rPr>
            </w:pPr>
            <w:r>
              <w:rPr>
                <w:rFonts w:ascii="Arial" w:eastAsia="Yu Gothic UI Semibold" w:hAnsi="Arial" w:cs="Arial"/>
                <w:color w:val="000000" w:themeColor="text1"/>
                <w:sz w:val="16"/>
                <w:szCs w:val="16"/>
                <w:lang w:val="es-ES_tradnl" w:eastAsia="es-ES"/>
              </w:rPr>
              <w:t xml:space="preserve">Sergio Luis Mondragón Duarte. </w:t>
            </w:r>
          </w:p>
          <w:p w14:paraId="406AF6F9" w14:textId="77777777" w:rsidR="005E70C7" w:rsidRPr="00551222" w:rsidRDefault="005E70C7" w:rsidP="009B7BF1">
            <w:pPr>
              <w:jc w:val="both"/>
              <w:rPr>
                <w:rFonts w:ascii="Arial" w:eastAsia="Yu Gothic UI Semibold" w:hAnsi="Arial" w:cs="Arial"/>
                <w:color w:val="000000" w:themeColor="text1"/>
                <w:sz w:val="16"/>
                <w:szCs w:val="16"/>
                <w:lang w:val="es-ES_tradnl" w:eastAsia="es-ES"/>
              </w:rPr>
            </w:pPr>
            <w:r w:rsidRPr="00551222">
              <w:rPr>
                <w:rFonts w:ascii="Arial" w:eastAsia="Yu Gothic UI Semibold" w:hAnsi="Arial" w:cs="Arial"/>
                <w:color w:val="000000" w:themeColor="text1"/>
                <w:sz w:val="16"/>
                <w:szCs w:val="16"/>
                <w:lang w:val="es-ES_tradnl" w:eastAsia="es-ES"/>
              </w:rPr>
              <w:t xml:space="preserve">Contratista de la Subdirección de Gestión Contractual </w:t>
            </w:r>
          </w:p>
        </w:tc>
      </w:tr>
      <w:tr w:rsidR="005E70C7" w:rsidRPr="00551222" w14:paraId="084DAADE" w14:textId="77777777" w:rsidTr="009B7BF1">
        <w:trPr>
          <w:trHeight w:val="229"/>
        </w:trPr>
        <w:tc>
          <w:tcPr>
            <w:tcW w:w="1107" w:type="dxa"/>
            <w:vAlign w:val="center"/>
            <w:hideMark/>
          </w:tcPr>
          <w:p w14:paraId="0465DA71" w14:textId="77777777" w:rsidR="005E70C7" w:rsidRPr="00551222" w:rsidRDefault="005E70C7" w:rsidP="009B7BF1">
            <w:pPr>
              <w:jc w:val="both"/>
              <w:rPr>
                <w:rFonts w:ascii="Arial" w:eastAsia="Yu Gothic UI Semibold" w:hAnsi="Arial" w:cs="Arial"/>
                <w:color w:val="000000" w:themeColor="text1"/>
                <w:sz w:val="16"/>
                <w:szCs w:val="16"/>
                <w:lang w:val="es-ES_tradnl" w:eastAsia="es-ES"/>
              </w:rPr>
            </w:pPr>
            <w:r w:rsidRPr="00551222">
              <w:rPr>
                <w:rFonts w:ascii="Arial" w:eastAsia="Yu Gothic UI Semibold" w:hAnsi="Arial" w:cs="Arial"/>
                <w:color w:val="000000" w:themeColor="text1"/>
                <w:sz w:val="16"/>
                <w:szCs w:val="16"/>
                <w:lang w:val="es-ES_tradnl" w:eastAsia="es-ES"/>
              </w:rPr>
              <w:t>Revisó:</w:t>
            </w:r>
          </w:p>
        </w:tc>
        <w:tc>
          <w:tcPr>
            <w:tcW w:w="5186" w:type="dxa"/>
            <w:tcBorders>
              <w:top w:val="dotted" w:sz="4" w:space="0" w:color="7F7F7F" w:themeColor="text1" w:themeTint="80"/>
              <w:left w:val="nil"/>
              <w:bottom w:val="dotted" w:sz="4" w:space="0" w:color="7F7F7F" w:themeColor="text1" w:themeTint="80"/>
              <w:right w:val="nil"/>
            </w:tcBorders>
            <w:vAlign w:val="center"/>
            <w:hideMark/>
          </w:tcPr>
          <w:p w14:paraId="5279C624" w14:textId="77777777" w:rsidR="005E70C7" w:rsidRPr="00551222" w:rsidRDefault="005E70C7" w:rsidP="009B7BF1">
            <w:pPr>
              <w:jc w:val="both"/>
              <w:rPr>
                <w:rFonts w:ascii="Arial" w:hAnsi="Arial" w:cs="Arial"/>
                <w:sz w:val="16"/>
                <w:szCs w:val="16"/>
                <w:lang w:val="es-ES_tradnl" w:eastAsia="es-ES"/>
              </w:rPr>
            </w:pPr>
            <w:r w:rsidRPr="00551222">
              <w:rPr>
                <w:rFonts w:ascii="Arial" w:hAnsi="Arial" w:cs="Arial"/>
                <w:sz w:val="16"/>
                <w:szCs w:val="16"/>
                <w:lang w:val="es-ES_tradnl" w:eastAsia="es-ES"/>
              </w:rPr>
              <w:t xml:space="preserve">Alejandro Sarmiento Cantillo </w:t>
            </w:r>
          </w:p>
          <w:p w14:paraId="24B3298C" w14:textId="77777777" w:rsidR="005E70C7" w:rsidRPr="00551222" w:rsidRDefault="005E70C7" w:rsidP="009B7BF1">
            <w:pPr>
              <w:jc w:val="both"/>
              <w:rPr>
                <w:rFonts w:ascii="Arial" w:eastAsia="Yu Gothic UI Semibold" w:hAnsi="Arial" w:cs="Arial"/>
                <w:color w:val="000000" w:themeColor="text1"/>
                <w:sz w:val="16"/>
                <w:szCs w:val="16"/>
                <w:lang w:val="es-ES" w:eastAsia="es-ES"/>
              </w:rPr>
            </w:pPr>
            <w:r w:rsidRPr="00551222">
              <w:rPr>
                <w:rFonts w:ascii="Arial" w:hAnsi="Arial" w:cs="Arial"/>
                <w:sz w:val="16"/>
                <w:szCs w:val="16"/>
                <w:lang w:val="es-ES_tradnl" w:eastAsia="es-ES"/>
              </w:rPr>
              <w:t>Gestor T1-15 de la Subdirección de Gestión Contractual</w:t>
            </w:r>
          </w:p>
        </w:tc>
      </w:tr>
      <w:tr w:rsidR="005E70C7" w:rsidRPr="00551222" w14:paraId="64F95BEC" w14:textId="77777777" w:rsidTr="009B7BF1">
        <w:trPr>
          <w:trHeight w:val="208"/>
        </w:trPr>
        <w:tc>
          <w:tcPr>
            <w:tcW w:w="1107" w:type="dxa"/>
            <w:vAlign w:val="center"/>
            <w:hideMark/>
          </w:tcPr>
          <w:p w14:paraId="26A0B34F" w14:textId="77777777" w:rsidR="005E70C7" w:rsidRPr="00551222" w:rsidRDefault="005E70C7" w:rsidP="009B7BF1">
            <w:pPr>
              <w:jc w:val="both"/>
              <w:rPr>
                <w:rFonts w:ascii="Arial" w:eastAsia="Yu Gothic UI Semibold" w:hAnsi="Arial" w:cs="Arial"/>
                <w:sz w:val="16"/>
                <w:szCs w:val="16"/>
                <w:lang w:val="es-ES_tradnl" w:eastAsia="es-ES"/>
              </w:rPr>
            </w:pPr>
            <w:r w:rsidRPr="00551222">
              <w:rPr>
                <w:rFonts w:ascii="Arial" w:eastAsia="Yu Gothic UI Semibold" w:hAnsi="Arial" w:cs="Arial"/>
                <w:sz w:val="16"/>
                <w:szCs w:val="16"/>
                <w:lang w:val="es-ES_tradnl" w:eastAsia="es-ES"/>
              </w:rPr>
              <w:t>Aprobó:</w:t>
            </w:r>
          </w:p>
        </w:tc>
        <w:tc>
          <w:tcPr>
            <w:tcW w:w="5186" w:type="dxa"/>
            <w:tcBorders>
              <w:top w:val="dotted" w:sz="4" w:space="0" w:color="7F7F7F" w:themeColor="text1" w:themeTint="80"/>
              <w:left w:val="nil"/>
              <w:bottom w:val="dotted" w:sz="4" w:space="0" w:color="7F7F7F" w:themeColor="text1" w:themeTint="80"/>
              <w:right w:val="nil"/>
            </w:tcBorders>
            <w:vAlign w:val="center"/>
            <w:hideMark/>
          </w:tcPr>
          <w:p w14:paraId="7E0B9B10" w14:textId="77777777" w:rsidR="005E70C7" w:rsidRPr="00551222" w:rsidRDefault="005E70C7" w:rsidP="009B7BF1">
            <w:pPr>
              <w:rPr>
                <w:rFonts w:ascii="Arial" w:eastAsia="Yu Gothic UI Semibold" w:hAnsi="Arial" w:cs="Arial"/>
                <w:color w:val="000000"/>
                <w:sz w:val="16"/>
                <w:szCs w:val="16"/>
                <w:lang w:val="es-MX"/>
              </w:rPr>
            </w:pPr>
            <w:r w:rsidRPr="00551222">
              <w:rPr>
                <w:rFonts w:ascii="Arial" w:eastAsia="Yu Gothic UI Semibold" w:hAnsi="Arial" w:cs="Arial"/>
                <w:color w:val="000000"/>
                <w:sz w:val="16"/>
                <w:szCs w:val="16"/>
                <w:lang w:val="es-MX"/>
              </w:rPr>
              <w:t>Nohelia del Carmen Zawady Palacio</w:t>
            </w:r>
          </w:p>
          <w:p w14:paraId="1E48ABF3" w14:textId="77777777" w:rsidR="005E70C7" w:rsidRPr="00551222" w:rsidRDefault="005E70C7" w:rsidP="009B7BF1">
            <w:pPr>
              <w:jc w:val="both"/>
              <w:rPr>
                <w:rFonts w:ascii="Arial" w:eastAsia="Yu Gothic UI Semibold" w:hAnsi="Arial" w:cs="Arial"/>
                <w:color w:val="000000" w:themeColor="text1"/>
                <w:sz w:val="16"/>
                <w:szCs w:val="16"/>
                <w:lang w:val="es-ES_tradnl" w:eastAsia="es-ES"/>
              </w:rPr>
            </w:pPr>
            <w:r w:rsidRPr="00551222">
              <w:rPr>
                <w:rFonts w:ascii="Arial" w:eastAsia="Yu Gothic UI Semibold" w:hAnsi="Arial" w:cs="Arial"/>
                <w:color w:val="000000"/>
                <w:sz w:val="16"/>
                <w:szCs w:val="16"/>
                <w:lang w:val="es-MX"/>
              </w:rPr>
              <w:t>Subdirectora de Gestión Contractual ANCP – CCE</w:t>
            </w:r>
          </w:p>
        </w:tc>
      </w:tr>
      <w:bookmarkEnd w:id="0"/>
      <w:bookmarkEnd w:id="28"/>
      <w:bookmarkEnd w:id="29"/>
    </w:tbl>
    <w:p w14:paraId="0F293BF4" w14:textId="0F6FB6C1" w:rsidR="00127233" w:rsidRPr="005E70C7" w:rsidRDefault="00127233" w:rsidP="005E70C7"/>
    <w:sectPr w:rsidR="00127233" w:rsidRPr="005E70C7" w:rsidSect="003A0D2A">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06D78" w14:textId="77777777" w:rsidR="003A0D2A" w:rsidRDefault="003A0D2A" w:rsidP="004A1847">
      <w:pPr>
        <w:spacing w:after="0" w:line="240" w:lineRule="auto"/>
      </w:pPr>
      <w:r>
        <w:separator/>
      </w:r>
    </w:p>
  </w:endnote>
  <w:endnote w:type="continuationSeparator" w:id="0">
    <w:p w14:paraId="44605A6C" w14:textId="77777777" w:rsidR="003A0D2A" w:rsidRDefault="003A0D2A" w:rsidP="004A1847">
      <w:pPr>
        <w:spacing w:after="0" w:line="240" w:lineRule="auto"/>
      </w:pPr>
      <w:r>
        <w:continuationSeparator/>
      </w:r>
    </w:p>
  </w:endnote>
  <w:endnote w:type="continuationNotice" w:id="1">
    <w:p w14:paraId="39EE31E3" w14:textId="77777777" w:rsidR="003A0D2A" w:rsidRDefault="003A0D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00000001"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00000001"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lang w:eastAsia="es-CO"/>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31D479D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CA51DF">
            <w:rPr>
              <w:rFonts w:ascii="Geomanist Light" w:hAnsi="Geomanist Light"/>
              <w:b/>
              <w:bCs/>
              <w:noProof/>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CA51DF">
            <w:rPr>
              <w:rFonts w:ascii="Geomanist Light" w:hAnsi="Geomanist Light"/>
              <w:b/>
              <w:bCs/>
              <w:noProof/>
              <w:sz w:val="18"/>
              <w:szCs w:val="18"/>
            </w:rPr>
            <w:t>16</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92107" w14:textId="77777777" w:rsidR="003A0D2A" w:rsidRDefault="003A0D2A" w:rsidP="004A1847">
      <w:pPr>
        <w:spacing w:after="0" w:line="240" w:lineRule="auto"/>
      </w:pPr>
      <w:r>
        <w:separator/>
      </w:r>
    </w:p>
  </w:footnote>
  <w:footnote w:type="continuationSeparator" w:id="0">
    <w:p w14:paraId="7956B709" w14:textId="77777777" w:rsidR="003A0D2A" w:rsidRDefault="003A0D2A" w:rsidP="004A1847">
      <w:pPr>
        <w:spacing w:after="0" w:line="240" w:lineRule="auto"/>
      </w:pPr>
      <w:r>
        <w:continuationSeparator/>
      </w:r>
    </w:p>
  </w:footnote>
  <w:footnote w:type="continuationNotice" w:id="1">
    <w:p w14:paraId="602CC0C6" w14:textId="77777777" w:rsidR="003A0D2A" w:rsidRDefault="003A0D2A">
      <w:pPr>
        <w:spacing w:after="0" w:line="240" w:lineRule="auto"/>
      </w:pPr>
    </w:p>
  </w:footnote>
  <w:footnote w:id="2">
    <w:p w14:paraId="2D3E88C5" w14:textId="77777777" w:rsidR="005E70C7" w:rsidRPr="00C42017" w:rsidRDefault="005E70C7" w:rsidP="005E70C7">
      <w:pPr>
        <w:pStyle w:val="Textonotapie"/>
        <w:ind w:firstLine="708"/>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Los conceptos expedidos por la Subdirección de Gestión Contractual de la Agencia Nacional de Contratación Pública pueden ser consultados en plataforma de relatoría a la cual se puede acceder a través del siguiente enlace:  </w:t>
      </w:r>
      <w:hyperlink r:id="rId1" w:history="1">
        <w:r w:rsidRPr="00C42017">
          <w:rPr>
            <w:rStyle w:val="Hipervnculo"/>
            <w:rFonts w:ascii="Arial" w:hAnsi="Arial" w:cs="Arial"/>
            <w:sz w:val="16"/>
            <w:szCs w:val="16"/>
          </w:rPr>
          <w:t>https://relatoria.colombiacompra.gov.co/busqueda/conceptos</w:t>
        </w:r>
      </w:hyperlink>
    </w:p>
    <w:p w14:paraId="5311A8C3" w14:textId="77777777" w:rsidR="005E70C7" w:rsidRPr="00C42017" w:rsidRDefault="005E70C7" w:rsidP="005E70C7">
      <w:pPr>
        <w:pStyle w:val="Textonotapie"/>
        <w:ind w:firstLine="708"/>
        <w:contextualSpacing/>
        <w:jc w:val="both"/>
        <w:rPr>
          <w:rFonts w:ascii="Arial" w:hAnsi="Arial" w:cs="Arial"/>
          <w:sz w:val="16"/>
          <w:szCs w:val="16"/>
          <w:lang w:val="es-CO"/>
        </w:rPr>
      </w:pPr>
    </w:p>
  </w:footnote>
  <w:footnote w:id="3">
    <w:p w14:paraId="678412D9" w14:textId="77777777" w:rsidR="005E70C7" w:rsidRPr="00C42017" w:rsidRDefault="005E70C7" w:rsidP="005E70C7">
      <w:pPr>
        <w:pStyle w:val="Textonotapie"/>
        <w:ind w:firstLine="709"/>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50D3F46F" w14:textId="77777777" w:rsidR="005E70C7" w:rsidRPr="00C42017" w:rsidRDefault="005E70C7" w:rsidP="005E70C7">
      <w:pPr>
        <w:pStyle w:val="Textonotapie"/>
        <w:ind w:firstLine="709"/>
        <w:contextualSpacing/>
        <w:jc w:val="both"/>
        <w:rPr>
          <w:rFonts w:ascii="Arial" w:hAnsi="Arial" w:cs="Arial"/>
          <w:sz w:val="16"/>
          <w:szCs w:val="16"/>
        </w:rPr>
      </w:pPr>
    </w:p>
    <w:p w14:paraId="6E552BD9" w14:textId="77777777" w:rsidR="005E70C7" w:rsidRPr="00C42017" w:rsidRDefault="005E70C7" w:rsidP="005E70C7">
      <w:pPr>
        <w:pStyle w:val="Textonotapie"/>
        <w:ind w:firstLine="709"/>
        <w:contextualSpacing/>
        <w:jc w:val="both"/>
        <w:rPr>
          <w:rFonts w:ascii="Arial" w:hAnsi="Arial" w:cs="Arial"/>
          <w:sz w:val="16"/>
          <w:szCs w:val="16"/>
        </w:rPr>
      </w:pPr>
      <w:r w:rsidRPr="00C42017">
        <w:rPr>
          <w:rFonts w:ascii="Arial" w:hAnsi="Arial" w:cs="Arial"/>
          <w:sz w:val="16"/>
          <w:szCs w:val="16"/>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548028C1" w14:textId="77777777" w:rsidR="005E70C7" w:rsidRPr="00C42017" w:rsidRDefault="005E70C7" w:rsidP="005E70C7">
      <w:pPr>
        <w:pStyle w:val="Textonotapie"/>
        <w:ind w:firstLine="709"/>
        <w:contextualSpacing/>
        <w:jc w:val="both"/>
        <w:rPr>
          <w:rFonts w:ascii="Arial" w:hAnsi="Arial" w:cs="Arial"/>
          <w:sz w:val="16"/>
          <w:szCs w:val="16"/>
        </w:rPr>
      </w:pPr>
    </w:p>
  </w:footnote>
  <w:footnote w:id="4">
    <w:p w14:paraId="53A856F1" w14:textId="77777777" w:rsidR="005E70C7" w:rsidRPr="00C42017" w:rsidRDefault="005E70C7" w:rsidP="005E70C7">
      <w:pPr>
        <w:pStyle w:val="Textonotapie"/>
        <w:ind w:firstLine="709"/>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Gaceta del Congreso de la República No. 71 del 2005.</w:t>
      </w:r>
    </w:p>
  </w:footnote>
  <w:footnote w:id="5">
    <w:p w14:paraId="7C1C4BCA" w14:textId="77777777" w:rsidR="005E70C7" w:rsidRPr="00C42017" w:rsidRDefault="005E70C7" w:rsidP="005E70C7">
      <w:pPr>
        <w:pStyle w:val="Textonotapie"/>
        <w:ind w:firstLine="709"/>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Corte Constitucional, Sentencia C- 1153 de 2005, M.P. Marco Gerardo Monroy Cabra.</w:t>
      </w:r>
    </w:p>
  </w:footnote>
  <w:footnote w:id="6">
    <w:p w14:paraId="64948854" w14:textId="77777777" w:rsidR="005E70C7" w:rsidRPr="00C42017" w:rsidRDefault="005E70C7" w:rsidP="005E70C7">
      <w:pPr>
        <w:pStyle w:val="Textonotapie"/>
        <w:ind w:firstLine="709"/>
        <w:contextualSpacing/>
        <w:jc w:val="both"/>
        <w:rPr>
          <w:rFonts w:ascii="Arial" w:hAnsi="Arial" w:cs="Arial"/>
          <w:sz w:val="16"/>
          <w:szCs w:val="16"/>
        </w:rPr>
      </w:pPr>
    </w:p>
    <w:p w14:paraId="313EF9C6" w14:textId="77777777" w:rsidR="005E70C7" w:rsidRPr="00C42017" w:rsidRDefault="005E70C7" w:rsidP="005E70C7">
      <w:pPr>
        <w:pStyle w:val="Textonotapie"/>
        <w:ind w:firstLine="709"/>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7">
    <w:p w14:paraId="5800F30D" w14:textId="77777777" w:rsidR="005E70C7" w:rsidRPr="00C42017" w:rsidRDefault="005E70C7" w:rsidP="005E70C7">
      <w:pPr>
        <w:pStyle w:val="Textonotapie"/>
        <w:ind w:firstLine="709"/>
        <w:contextualSpacing/>
        <w:jc w:val="both"/>
        <w:rPr>
          <w:rFonts w:ascii="Arial" w:hAnsi="Arial" w:cs="Arial"/>
          <w:sz w:val="16"/>
          <w:szCs w:val="16"/>
          <w:lang w:val="es-CO"/>
        </w:rPr>
      </w:pPr>
    </w:p>
    <w:p w14:paraId="3779168F" w14:textId="77777777" w:rsidR="005E70C7" w:rsidRPr="00C42017" w:rsidRDefault="005E70C7" w:rsidP="005E70C7">
      <w:pPr>
        <w:pStyle w:val="Textonotapie"/>
        <w:ind w:firstLine="709"/>
        <w:contextualSpacing/>
        <w:jc w:val="both"/>
        <w:rPr>
          <w:rFonts w:ascii="Arial" w:hAnsi="Arial" w:cs="Arial"/>
          <w:sz w:val="16"/>
          <w:szCs w:val="16"/>
          <w:lang w:val="es-CO"/>
        </w:rPr>
      </w:pPr>
      <w:r w:rsidRPr="00C42017">
        <w:rPr>
          <w:rStyle w:val="Refdenotaalpie"/>
          <w:rFonts w:ascii="Arial" w:hAnsi="Arial" w:cs="Arial"/>
          <w:sz w:val="16"/>
          <w:szCs w:val="16"/>
        </w:rPr>
        <w:footnoteRef/>
      </w:r>
      <w:r w:rsidRPr="00C42017">
        <w:rPr>
          <w:rFonts w:ascii="Arial" w:hAnsi="Arial" w:cs="Arial"/>
          <w:sz w:val="16"/>
          <w:szCs w:val="16"/>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3B6347D0" w14:textId="77777777" w:rsidR="005E70C7" w:rsidRPr="00C42017" w:rsidRDefault="005E70C7" w:rsidP="005E70C7">
      <w:pPr>
        <w:pStyle w:val="Textonotapie"/>
        <w:ind w:firstLine="709"/>
        <w:contextualSpacing/>
        <w:jc w:val="both"/>
        <w:rPr>
          <w:rFonts w:ascii="Arial" w:hAnsi="Arial" w:cs="Arial"/>
          <w:sz w:val="16"/>
          <w:szCs w:val="16"/>
          <w:lang w:val="es-CO"/>
        </w:rPr>
      </w:pPr>
    </w:p>
  </w:footnote>
  <w:footnote w:id="8">
    <w:p w14:paraId="6AC6C490" w14:textId="77777777" w:rsidR="005E70C7" w:rsidRPr="00C42017" w:rsidRDefault="005E70C7" w:rsidP="005E70C7">
      <w:pPr>
        <w:pStyle w:val="Textonotapie"/>
        <w:ind w:firstLine="709"/>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Consejo de Estado, Sala de Consulta y Servicio Civil de fecha 24 de julio de 2013, radicado 2166, Consejero Ponente: Álvaro Namén Vargas.  </w:t>
      </w:r>
    </w:p>
    <w:p w14:paraId="666FA585" w14:textId="77777777" w:rsidR="005E70C7" w:rsidRPr="00C42017" w:rsidRDefault="005E70C7" w:rsidP="005E70C7">
      <w:pPr>
        <w:pStyle w:val="Textonotapie"/>
        <w:ind w:firstLine="709"/>
        <w:contextualSpacing/>
        <w:jc w:val="both"/>
        <w:rPr>
          <w:rFonts w:ascii="Arial" w:hAnsi="Arial" w:cs="Arial"/>
          <w:sz w:val="16"/>
          <w:szCs w:val="16"/>
        </w:rPr>
      </w:pPr>
    </w:p>
  </w:footnote>
  <w:footnote w:id="9">
    <w:p w14:paraId="642DDE05" w14:textId="77777777" w:rsidR="005E70C7" w:rsidRPr="00C42017" w:rsidRDefault="005E70C7" w:rsidP="005E70C7">
      <w:pPr>
        <w:spacing w:after="0" w:line="240" w:lineRule="auto"/>
        <w:ind w:firstLine="709"/>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w:t>
      </w:r>
      <w:bookmarkStart w:id="5" w:name="33"/>
      <w:r w:rsidRPr="00C42017">
        <w:rPr>
          <w:rFonts w:ascii="Arial" w:eastAsia="Calibri" w:hAnsi="Arial" w:cs="Arial"/>
          <w:color w:val="000000"/>
          <w:sz w:val="16"/>
          <w:szCs w:val="16"/>
        </w:rPr>
        <w:t>“</w:t>
      </w:r>
      <w:r w:rsidRPr="00C42017">
        <w:rPr>
          <w:rFonts w:ascii="Arial" w:hAnsi="Arial" w:cs="Arial"/>
          <w:sz w:val="16"/>
          <w:szCs w:val="16"/>
        </w:rPr>
        <w:t>Artículo 33. Restricciones a la contratación pública.</w:t>
      </w:r>
      <w:bookmarkEnd w:id="5"/>
      <w:r w:rsidRPr="00C42017">
        <w:rPr>
          <w:rFonts w:ascii="Arial" w:hAnsi="Arial" w:cs="Arial"/>
          <w:sz w:val="16"/>
          <w:szCs w:val="16"/>
        </w:rPr>
        <w:t> Durante los cuatro (4) meses anteriores a la elección presidencial y hasta la realización de la elección en la segunda vuelta, si fuere el caso, queda prohibida la contratación directa por parte de todos los entes del Estado.</w:t>
      </w:r>
    </w:p>
    <w:p w14:paraId="4EAB4593" w14:textId="77777777" w:rsidR="005E70C7" w:rsidRPr="00C42017" w:rsidRDefault="005E70C7" w:rsidP="005E70C7">
      <w:pPr>
        <w:spacing w:after="0" w:line="240" w:lineRule="auto"/>
        <w:ind w:firstLine="709"/>
        <w:contextualSpacing/>
        <w:jc w:val="both"/>
        <w:rPr>
          <w:rFonts w:ascii="Arial" w:hAnsi="Arial" w:cs="Arial"/>
          <w:sz w:val="16"/>
          <w:szCs w:val="16"/>
        </w:rPr>
      </w:pPr>
      <w:r w:rsidRPr="00C42017">
        <w:rPr>
          <w:rFonts w:ascii="Arial" w:eastAsia="Calibri" w:hAnsi="Arial" w:cs="Arial"/>
          <w:color w:val="000000"/>
          <w:sz w:val="16"/>
          <w:szCs w:val="16"/>
        </w:rPr>
        <w:t>»</w:t>
      </w:r>
      <w:r w:rsidRPr="00C42017">
        <w:rPr>
          <w:rFonts w:ascii="Arial" w:hAnsi="Arial" w:cs="Arial"/>
          <w:sz w:val="16"/>
          <w:szCs w:val="16"/>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C42017">
        <w:rPr>
          <w:rFonts w:ascii="Arial" w:eastAsia="Calibri" w:hAnsi="Arial" w:cs="Arial"/>
          <w:color w:val="000000"/>
          <w:sz w:val="16"/>
          <w:szCs w:val="16"/>
        </w:rPr>
        <w:t>”</w:t>
      </w:r>
      <w:r w:rsidRPr="00C42017">
        <w:rPr>
          <w:rFonts w:ascii="Arial" w:hAnsi="Arial" w:cs="Arial"/>
          <w:sz w:val="16"/>
          <w:szCs w:val="16"/>
        </w:rPr>
        <w:t>.</w:t>
      </w:r>
    </w:p>
    <w:p w14:paraId="1B98F77D" w14:textId="77777777" w:rsidR="005E70C7" w:rsidRPr="00C42017" w:rsidRDefault="005E70C7" w:rsidP="005E70C7">
      <w:pPr>
        <w:spacing w:after="0" w:line="240" w:lineRule="auto"/>
        <w:ind w:firstLine="709"/>
        <w:contextualSpacing/>
        <w:jc w:val="both"/>
        <w:rPr>
          <w:rFonts w:ascii="Arial" w:hAnsi="Arial" w:cs="Arial"/>
          <w:sz w:val="16"/>
          <w:szCs w:val="16"/>
        </w:rPr>
      </w:pPr>
    </w:p>
  </w:footnote>
  <w:footnote w:id="10">
    <w:p w14:paraId="565B3D24" w14:textId="77777777" w:rsidR="005E70C7" w:rsidRPr="00C42017" w:rsidRDefault="005E70C7" w:rsidP="005E70C7">
      <w:pPr>
        <w:pStyle w:val="NormalWeb"/>
        <w:spacing w:after="0" w:line="240" w:lineRule="auto"/>
        <w:ind w:firstLine="709"/>
        <w:contextualSpacing/>
        <w:rPr>
          <w:rFonts w:ascii="Arial" w:hAnsi="Arial" w:cs="Arial"/>
          <w:sz w:val="16"/>
          <w:szCs w:val="16"/>
          <w:lang w:val="es-MX"/>
        </w:rPr>
      </w:pPr>
      <w:r w:rsidRPr="00C42017">
        <w:rPr>
          <w:rStyle w:val="Refdenotaalpie"/>
          <w:rFonts w:ascii="Arial" w:hAnsi="Arial" w:cs="Arial"/>
          <w:sz w:val="16"/>
          <w:szCs w:val="16"/>
        </w:rPr>
        <w:footnoteRef/>
      </w:r>
      <w:r w:rsidRPr="00C42017">
        <w:rPr>
          <w:rFonts w:ascii="Arial" w:hAnsi="Arial" w:cs="Arial"/>
          <w:sz w:val="16"/>
          <w:szCs w:val="16"/>
        </w:rPr>
        <w:t xml:space="preserve"> </w:t>
      </w:r>
      <w:bookmarkStart w:id="6" w:name="38"/>
      <w:r w:rsidRPr="00C42017">
        <w:rPr>
          <w:rFonts w:ascii="Arial" w:hAnsi="Arial" w:cs="Arial"/>
          <w:sz w:val="16"/>
          <w:szCs w:val="16"/>
        </w:rPr>
        <w:t>“</w:t>
      </w:r>
      <w:r w:rsidRPr="00C42017">
        <w:rPr>
          <w:rFonts w:ascii="Arial" w:hAnsi="Arial" w:cs="Arial"/>
          <w:sz w:val="16"/>
          <w:szCs w:val="16"/>
          <w:lang w:val="es-MX"/>
        </w:rPr>
        <w:t>Artículo 38. Prohibiciones para los servidores públicos. A los empleados del Estado les está prohibido:</w:t>
      </w:r>
      <w:bookmarkEnd w:id="6"/>
    </w:p>
    <w:p w14:paraId="054579E7" w14:textId="77777777" w:rsidR="005E70C7" w:rsidRPr="00C42017" w:rsidRDefault="005E70C7" w:rsidP="005E70C7">
      <w:pPr>
        <w:pStyle w:val="NormalWeb"/>
        <w:spacing w:after="0" w:line="240" w:lineRule="auto"/>
        <w:ind w:firstLine="709"/>
        <w:contextualSpacing/>
        <w:rPr>
          <w:rFonts w:ascii="Arial" w:hAnsi="Arial" w:cs="Arial"/>
          <w:sz w:val="16"/>
          <w:szCs w:val="16"/>
          <w:lang w:val="es-MX"/>
        </w:rPr>
      </w:pPr>
      <w:r w:rsidRPr="00C42017">
        <w:rPr>
          <w:rFonts w:ascii="Arial" w:hAnsi="Arial" w:cs="Arial"/>
          <w:sz w:val="16"/>
          <w:szCs w:val="16"/>
          <w:lang w:val="es-MX"/>
        </w:rPr>
        <w:t>[…]</w:t>
      </w:r>
    </w:p>
    <w:p w14:paraId="55625501" w14:textId="77777777" w:rsidR="005E70C7" w:rsidRPr="00C42017" w:rsidRDefault="005E70C7" w:rsidP="005E70C7">
      <w:pPr>
        <w:pStyle w:val="NormalWeb"/>
        <w:spacing w:after="0" w:line="240" w:lineRule="auto"/>
        <w:ind w:firstLine="709"/>
        <w:contextualSpacing/>
        <w:rPr>
          <w:rFonts w:ascii="Arial" w:hAnsi="Arial" w:cs="Arial"/>
          <w:sz w:val="16"/>
          <w:szCs w:val="16"/>
          <w:lang w:val="es-MX"/>
        </w:rPr>
      </w:pPr>
      <w:r w:rsidRPr="00C42017">
        <w:rPr>
          <w:rStyle w:val="baj"/>
          <w:rFonts w:ascii="Arial" w:hAnsi="Arial" w:cs="Arial"/>
          <w:sz w:val="16"/>
          <w:szCs w:val="16"/>
          <w:lang w:val="es-MX"/>
        </w:rPr>
        <w:t>Parágrafo.</w:t>
      </w:r>
      <w:r w:rsidRPr="00C42017">
        <w:rPr>
          <w:rFonts w:ascii="Arial" w:hAnsi="Arial" w:cs="Arial"/>
          <w:sz w:val="16"/>
          <w:szCs w:val="16"/>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p>
  </w:footnote>
  <w:footnote w:id="11">
    <w:p w14:paraId="3863E925" w14:textId="77777777" w:rsidR="005E70C7" w:rsidRPr="00C42017" w:rsidRDefault="005E70C7" w:rsidP="005E70C7">
      <w:pPr>
        <w:spacing w:after="0" w:line="240" w:lineRule="auto"/>
        <w:ind w:left="100" w:right="244" w:firstLine="709"/>
        <w:contextualSpacing/>
        <w:jc w:val="both"/>
        <w:rPr>
          <w:rFonts w:ascii="Arial" w:hAnsi="Arial" w:cs="Arial"/>
          <w:sz w:val="16"/>
          <w:szCs w:val="16"/>
        </w:rPr>
      </w:pPr>
    </w:p>
    <w:p w14:paraId="6BF40BDA" w14:textId="77777777" w:rsidR="005E70C7" w:rsidRPr="00C42017" w:rsidRDefault="005E70C7" w:rsidP="005E70C7">
      <w:pPr>
        <w:spacing w:after="0" w:line="240" w:lineRule="auto"/>
        <w:ind w:left="100" w:right="244" w:firstLine="709"/>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Consejo de Estado. Sala de Consulta y Servicio Civil. Concepto del 17 de febrero de 2015. C.P. William Zambrano Cetina. Radicación No. 11001-03-06-000-2015-00164-00(2269).</w:t>
      </w:r>
    </w:p>
    <w:p w14:paraId="0C779B1E" w14:textId="77777777" w:rsidR="005E70C7" w:rsidRPr="00C42017" w:rsidRDefault="005E70C7" w:rsidP="005E70C7">
      <w:pPr>
        <w:spacing w:after="0" w:line="240" w:lineRule="auto"/>
        <w:ind w:left="100" w:right="244" w:firstLine="709"/>
        <w:contextualSpacing/>
        <w:jc w:val="both"/>
        <w:rPr>
          <w:rFonts w:ascii="Arial" w:hAnsi="Arial" w:cs="Arial"/>
          <w:sz w:val="16"/>
          <w:szCs w:val="16"/>
          <w:lang w:val="es-ES"/>
        </w:rPr>
      </w:pPr>
    </w:p>
  </w:footnote>
  <w:footnote w:id="12">
    <w:p w14:paraId="6386772F" w14:textId="77777777" w:rsidR="005E70C7" w:rsidRPr="00C42017" w:rsidRDefault="005E70C7" w:rsidP="005E70C7">
      <w:pPr>
        <w:pStyle w:val="Textonotapie"/>
        <w:ind w:firstLine="709"/>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Consejo de Estado. Sala de Consulta y Servicio Civil. Concepto de 20 de febrero de2006. Radicación 11001-03-06-000-2006-00023-00(1724). Consejero Ponente: Flavio Augusto Rodríguez Arce.</w:t>
      </w:r>
    </w:p>
    <w:p w14:paraId="38972323" w14:textId="77777777" w:rsidR="005E70C7" w:rsidRPr="00C42017" w:rsidRDefault="005E70C7" w:rsidP="005E70C7">
      <w:pPr>
        <w:pStyle w:val="Textonotapie"/>
        <w:ind w:firstLine="709"/>
        <w:contextualSpacing/>
        <w:jc w:val="both"/>
        <w:rPr>
          <w:rFonts w:ascii="Arial" w:hAnsi="Arial" w:cs="Arial"/>
          <w:sz w:val="16"/>
          <w:szCs w:val="16"/>
        </w:rPr>
      </w:pPr>
    </w:p>
  </w:footnote>
  <w:footnote w:id="13">
    <w:p w14:paraId="192BC01F" w14:textId="77777777" w:rsidR="005E70C7" w:rsidRPr="00C42017" w:rsidRDefault="005E70C7" w:rsidP="005E70C7">
      <w:pPr>
        <w:spacing w:after="0" w:line="240" w:lineRule="auto"/>
        <w:ind w:firstLine="709"/>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3E7626E6" w14:textId="77777777" w:rsidR="005E70C7" w:rsidRPr="00C42017" w:rsidRDefault="005E70C7" w:rsidP="005E70C7">
      <w:pPr>
        <w:spacing w:after="0" w:line="240" w:lineRule="auto"/>
        <w:ind w:firstLine="709"/>
        <w:contextualSpacing/>
        <w:jc w:val="both"/>
        <w:rPr>
          <w:rFonts w:ascii="Arial" w:hAnsi="Arial" w:cs="Arial"/>
          <w:sz w:val="16"/>
          <w:szCs w:val="16"/>
        </w:rPr>
      </w:pPr>
      <w:r w:rsidRPr="00C42017">
        <w:rPr>
          <w:rFonts w:ascii="Arial" w:hAnsi="Arial" w:cs="Arial"/>
          <w:sz w:val="16"/>
          <w:szCs w:val="16"/>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C42017">
        <w:rPr>
          <w:rFonts w:ascii="Arial" w:hAnsi="Arial" w:cs="Arial"/>
          <w:spacing w:val="-1"/>
          <w:sz w:val="16"/>
          <w:szCs w:val="16"/>
        </w:rPr>
        <w:t xml:space="preserve"> </w:t>
      </w:r>
      <w:r w:rsidRPr="00C42017">
        <w:rPr>
          <w:rFonts w:ascii="Arial" w:hAnsi="Arial" w:cs="Arial"/>
          <w:sz w:val="16"/>
          <w:szCs w:val="16"/>
        </w:rPr>
        <w:t>Estatales”.</w:t>
      </w:r>
    </w:p>
    <w:p w14:paraId="55BF23E3" w14:textId="77777777" w:rsidR="005E70C7" w:rsidRPr="00C42017" w:rsidRDefault="005E70C7" w:rsidP="005E70C7">
      <w:pPr>
        <w:spacing w:after="0" w:line="240" w:lineRule="auto"/>
        <w:ind w:firstLine="709"/>
        <w:contextualSpacing/>
        <w:jc w:val="both"/>
        <w:rPr>
          <w:rFonts w:ascii="Arial" w:hAnsi="Arial" w:cs="Arial"/>
          <w:sz w:val="16"/>
          <w:szCs w:val="16"/>
        </w:rPr>
      </w:pPr>
    </w:p>
  </w:footnote>
  <w:footnote w:id="14">
    <w:p w14:paraId="20D0AF9B" w14:textId="77777777" w:rsidR="005E70C7" w:rsidRPr="00C42017" w:rsidRDefault="005E70C7" w:rsidP="005E70C7">
      <w:pPr>
        <w:spacing w:after="0" w:line="240" w:lineRule="auto"/>
        <w:ind w:firstLine="709"/>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C42017">
        <w:rPr>
          <w:rFonts w:ascii="Arial" w:hAnsi="Arial" w:cs="Arial"/>
          <w:spacing w:val="-6"/>
          <w:sz w:val="16"/>
          <w:szCs w:val="16"/>
        </w:rPr>
        <w:t xml:space="preserve"> </w:t>
      </w:r>
      <w:r w:rsidRPr="00C42017">
        <w:rPr>
          <w:rFonts w:ascii="Arial" w:hAnsi="Arial" w:cs="Arial"/>
          <w:sz w:val="16"/>
          <w:szCs w:val="16"/>
        </w:rPr>
        <w:t>artículo”.</w:t>
      </w:r>
    </w:p>
    <w:p w14:paraId="00ED959E" w14:textId="77777777" w:rsidR="005E70C7" w:rsidRPr="00C42017" w:rsidRDefault="005E70C7" w:rsidP="005E70C7">
      <w:pPr>
        <w:spacing w:after="0" w:line="240" w:lineRule="auto"/>
        <w:ind w:firstLine="709"/>
        <w:contextualSpacing/>
        <w:jc w:val="both"/>
        <w:rPr>
          <w:rFonts w:ascii="Arial" w:hAnsi="Arial" w:cs="Arial"/>
          <w:sz w:val="16"/>
          <w:szCs w:val="16"/>
        </w:rPr>
      </w:pPr>
    </w:p>
  </w:footnote>
  <w:footnote w:id="15">
    <w:p w14:paraId="35918CBD" w14:textId="77777777" w:rsidR="005E70C7" w:rsidRPr="00C42017" w:rsidRDefault="005E70C7" w:rsidP="005E70C7">
      <w:pPr>
        <w:spacing w:after="0" w:line="240" w:lineRule="auto"/>
        <w:ind w:right="454" w:firstLine="709"/>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position w:val="7"/>
          <w:sz w:val="16"/>
          <w:szCs w:val="16"/>
        </w:rPr>
        <w:t xml:space="preserve"> </w:t>
      </w:r>
      <w:r w:rsidRPr="00C42017">
        <w:rPr>
          <w:rFonts w:ascii="Arial" w:hAnsi="Arial" w:cs="Arial"/>
          <w:sz w:val="16"/>
          <w:szCs w:val="16"/>
        </w:rPr>
        <w:t>Consejo de Estado. Sección Tercera. Sentencia del 23 de junio de 2010. Radicación No. 66001-23-31-000-1998-00261-01(17.860). Consejero Ponente: Mauricio Fajardo Gómez.</w:t>
      </w:r>
    </w:p>
    <w:p w14:paraId="2BD10D4C" w14:textId="77777777" w:rsidR="005E70C7" w:rsidRPr="00C42017" w:rsidRDefault="005E70C7" w:rsidP="005E70C7">
      <w:pPr>
        <w:spacing w:after="0" w:line="240" w:lineRule="auto"/>
        <w:ind w:right="454" w:firstLine="709"/>
        <w:contextualSpacing/>
        <w:jc w:val="both"/>
        <w:rPr>
          <w:rFonts w:ascii="Arial" w:hAnsi="Arial" w:cs="Arial"/>
          <w:sz w:val="16"/>
          <w:szCs w:val="16"/>
        </w:rPr>
      </w:pPr>
    </w:p>
  </w:footnote>
  <w:footnote w:id="16">
    <w:p w14:paraId="0DF7EB5D" w14:textId="77777777" w:rsidR="005E70C7" w:rsidRPr="00C42017" w:rsidRDefault="005E70C7" w:rsidP="005E70C7">
      <w:pPr>
        <w:spacing w:after="0" w:line="240" w:lineRule="auto"/>
        <w:ind w:firstLine="709"/>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Consejo de Estado. Sección Tercera. Subsección C. Sentencia del 11 de diciembre de 2019. Exp. 46.986. C.P. Jaime Enrique Rodríguez Navas.</w:t>
      </w:r>
    </w:p>
    <w:p w14:paraId="7B0CFE96" w14:textId="77777777" w:rsidR="005E70C7" w:rsidRPr="00C42017" w:rsidRDefault="005E70C7" w:rsidP="005E70C7">
      <w:pPr>
        <w:spacing w:after="0" w:line="240" w:lineRule="auto"/>
        <w:ind w:firstLine="709"/>
        <w:contextualSpacing/>
        <w:jc w:val="both"/>
        <w:rPr>
          <w:rFonts w:ascii="Arial" w:hAnsi="Arial" w:cs="Arial"/>
          <w:sz w:val="16"/>
          <w:szCs w:val="16"/>
        </w:rPr>
      </w:pPr>
    </w:p>
  </w:footnote>
  <w:footnote w:id="17">
    <w:p w14:paraId="3C8FBC59" w14:textId="77777777" w:rsidR="005E70C7" w:rsidRPr="00C42017" w:rsidRDefault="005E70C7" w:rsidP="005E70C7">
      <w:pPr>
        <w:pStyle w:val="Textonotapie"/>
        <w:ind w:firstLine="708"/>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[Referencia propia de la cita] “CE. SCSC. Concepto de 1 de noviembre de 2016 [Rad. 11001-03-06-000-2016-00125-00(2305)]. MP. Germán Alberto Bula Escobar”.</w:t>
      </w:r>
    </w:p>
  </w:footnote>
  <w:footnote w:id="18">
    <w:p w14:paraId="713985E9" w14:textId="77777777" w:rsidR="005E70C7" w:rsidRPr="00C42017" w:rsidRDefault="005E70C7" w:rsidP="005E70C7">
      <w:pPr>
        <w:pStyle w:val="Textonotapie"/>
        <w:ind w:firstLine="708"/>
        <w:contextualSpacing/>
        <w:jc w:val="both"/>
        <w:rPr>
          <w:rFonts w:ascii="Arial" w:hAnsi="Arial" w:cs="Arial"/>
          <w:sz w:val="16"/>
          <w:szCs w:val="16"/>
        </w:rPr>
      </w:pPr>
    </w:p>
    <w:p w14:paraId="46D324D8" w14:textId="77777777" w:rsidR="005E70C7" w:rsidRPr="00C42017" w:rsidRDefault="005E70C7" w:rsidP="005E70C7">
      <w:pPr>
        <w:pStyle w:val="Textonotapie"/>
        <w:ind w:firstLine="708"/>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[Referencia propia de la cita] “CE. SCSC. Concepto de 30 de abril de 2008 [Rad. 11001-03-06-000-2008-00013-00(1881)]. MP. Enrique José Arboleda Perdomo. En esta oportunidad, la Sala indicó que el contenido </w:t>
      </w:r>
      <w:r w:rsidRPr="00C42017">
        <w:rPr>
          <w:rFonts w:ascii="Arial" w:hAnsi="Arial" w:cs="Arial"/>
          <w:i/>
          <w:sz w:val="16"/>
          <w:szCs w:val="16"/>
        </w:rPr>
        <w:t>“obligacional”</w:t>
      </w:r>
      <w:r w:rsidRPr="00C42017">
        <w:rPr>
          <w:rFonts w:ascii="Arial" w:hAnsi="Arial" w:cs="Arial"/>
          <w:sz w:val="16"/>
          <w:szCs w:val="16"/>
        </w:rPr>
        <w:t xml:space="preserve"> de los convenios se estructura definiendo el resultado querido por las partes y los medios que cada entidad despliega para la obtención del respectivo objeto”.</w:t>
      </w:r>
    </w:p>
    <w:p w14:paraId="2D394D35" w14:textId="77777777" w:rsidR="005E70C7" w:rsidRPr="00C42017" w:rsidRDefault="005E70C7" w:rsidP="005E70C7">
      <w:pPr>
        <w:pStyle w:val="Textonotapie"/>
        <w:ind w:firstLine="708"/>
        <w:contextualSpacing/>
        <w:jc w:val="both"/>
        <w:rPr>
          <w:rFonts w:ascii="Arial" w:hAnsi="Arial" w:cs="Arial"/>
          <w:sz w:val="16"/>
          <w:szCs w:val="16"/>
        </w:rPr>
      </w:pPr>
    </w:p>
  </w:footnote>
  <w:footnote w:id="19">
    <w:p w14:paraId="0A53C2D3" w14:textId="77777777" w:rsidR="005E70C7" w:rsidRPr="00C42017" w:rsidRDefault="005E70C7" w:rsidP="005E70C7">
      <w:pPr>
        <w:pStyle w:val="Textonotapie"/>
        <w:ind w:firstLine="708"/>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[Referencia propia de la cita] “La normativa vigente del EGCAP </w:t>
      </w:r>
      <w:r w:rsidRPr="00C42017">
        <w:rPr>
          <w:rFonts w:ascii="Arial" w:hAnsi="Arial" w:cs="Arial"/>
          <w:i/>
          <w:sz w:val="16"/>
          <w:szCs w:val="16"/>
        </w:rPr>
        <w:t>[literal c) del numeral 4. del artículo 2 de la Ley 1150/07]</w:t>
      </w:r>
      <w:r w:rsidRPr="00C42017">
        <w:rPr>
          <w:rFonts w:ascii="Arial" w:hAnsi="Arial" w:cs="Arial"/>
          <w:sz w:val="16"/>
          <w:szCs w:val="16"/>
        </w:rPr>
        <w:t xml:space="preserve"> se refiere a </w:t>
      </w:r>
      <w:r w:rsidRPr="00C42017">
        <w:rPr>
          <w:rFonts w:ascii="Arial" w:hAnsi="Arial" w:cs="Arial"/>
          <w:i/>
          <w:sz w:val="16"/>
          <w:szCs w:val="16"/>
        </w:rPr>
        <w:t>“contratos interadministrativos”</w:t>
      </w:r>
      <w:r w:rsidRPr="00C42017">
        <w:rPr>
          <w:rFonts w:ascii="Arial" w:hAnsi="Arial" w:cs="Arial"/>
          <w:sz w:val="16"/>
          <w:szCs w:val="16"/>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4A65C097" w14:textId="77777777" w:rsidR="005E70C7" w:rsidRPr="00C42017" w:rsidRDefault="005E70C7" w:rsidP="005E70C7">
      <w:pPr>
        <w:pStyle w:val="Textonotapie"/>
        <w:ind w:firstLine="708"/>
        <w:contextualSpacing/>
        <w:jc w:val="both"/>
        <w:rPr>
          <w:rFonts w:ascii="Arial" w:hAnsi="Arial" w:cs="Arial"/>
          <w:sz w:val="16"/>
          <w:szCs w:val="16"/>
        </w:rPr>
      </w:pPr>
    </w:p>
  </w:footnote>
  <w:footnote w:id="20">
    <w:p w14:paraId="3C9A3394" w14:textId="77777777" w:rsidR="005E70C7" w:rsidRPr="00C42017" w:rsidRDefault="005E70C7" w:rsidP="005E70C7">
      <w:pPr>
        <w:pStyle w:val="Textonotapie"/>
        <w:ind w:firstLine="708"/>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p w14:paraId="02B97CA0" w14:textId="77777777" w:rsidR="005E70C7" w:rsidRPr="00C42017" w:rsidRDefault="005E70C7" w:rsidP="005E70C7">
      <w:pPr>
        <w:pStyle w:val="Textonotapie"/>
        <w:ind w:firstLine="708"/>
        <w:contextualSpacing/>
        <w:jc w:val="both"/>
        <w:rPr>
          <w:rFonts w:ascii="Arial" w:hAnsi="Arial" w:cs="Arial"/>
          <w:sz w:val="16"/>
          <w:szCs w:val="16"/>
        </w:rPr>
      </w:pPr>
    </w:p>
  </w:footnote>
  <w:footnote w:id="21">
    <w:p w14:paraId="20EEC105" w14:textId="77777777" w:rsidR="005E70C7" w:rsidRPr="00C42017" w:rsidRDefault="005E70C7" w:rsidP="005E70C7">
      <w:pPr>
        <w:pStyle w:val="Textonotapie"/>
        <w:ind w:firstLine="708"/>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Es lo que sucede, por ejemplo, con el Decreto 092 de 2017, que en su desarrollo hace referencia tanto a los “contratos” como a los “convenios”. </w:t>
      </w:r>
    </w:p>
  </w:footnote>
  <w:footnote w:id="22">
    <w:p w14:paraId="026FADD2" w14:textId="77777777" w:rsidR="005E70C7" w:rsidRPr="00C42017" w:rsidRDefault="005E70C7" w:rsidP="005E70C7">
      <w:pPr>
        <w:pStyle w:val="Textonotapie"/>
        <w:ind w:firstLine="708"/>
        <w:contextualSpacing/>
        <w:jc w:val="both"/>
        <w:rPr>
          <w:rFonts w:ascii="Arial" w:hAnsi="Arial" w:cs="Arial"/>
          <w:sz w:val="16"/>
          <w:szCs w:val="16"/>
        </w:rPr>
      </w:pPr>
    </w:p>
    <w:p w14:paraId="116C02F8" w14:textId="77777777" w:rsidR="005E70C7" w:rsidRPr="00C42017" w:rsidRDefault="005E70C7" w:rsidP="005E70C7">
      <w:pPr>
        <w:pStyle w:val="Textonotapie"/>
        <w:ind w:firstLine="708"/>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p w14:paraId="77BAA7FA" w14:textId="77777777" w:rsidR="005E70C7" w:rsidRPr="00C42017" w:rsidRDefault="005E70C7" w:rsidP="005E70C7">
      <w:pPr>
        <w:pStyle w:val="Textonotapie"/>
        <w:ind w:firstLine="708"/>
        <w:contextualSpacing/>
        <w:jc w:val="both"/>
        <w:rPr>
          <w:rFonts w:ascii="Arial" w:hAnsi="Arial" w:cs="Arial"/>
          <w:sz w:val="16"/>
          <w:szCs w:val="16"/>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48305867">
    <w:abstractNumId w:val="2"/>
  </w:num>
  <w:num w:numId="2" w16cid:durableId="478040967">
    <w:abstractNumId w:val="0"/>
  </w:num>
  <w:num w:numId="3" w16cid:durableId="2096785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83334"/>
    <w:rsid w:val="000956CF"/>
    <w:rsid w:val="000A683E"/>
    <w:rsid w:val="0011595A"/>
    <w:rsid w:val="001220C5"/>
    <w:rsid w:val="001267F7"/>
    <w:rsid w:val="00127233"/>
    <w:rsid w:val="00130999"/>
    <w:rsid w:val="00164D81"/>
    <w:rsid w:val="001A1011"/>
    <w:rsid w:val="001A48D0"/>
    <w:rsid w:val="001C3E5A"/>
    <w:rsid w:val="002653C1"/>
    <w:rsid w:val="0026611D"/>
    <w:rsid w:val="002951A0"/>
    <w:rsid w:val="002A64FD"/>
    <w:rsid w:val="002F0839"/>
    <w:rsid w:val="00301469"/>
    <w:rsid w:val="00306EE1"/>
    <w:rsid w:val="00310B9B"/>
    <w:rsid w:val="0036461C"/>
    <w:rsid w:val="00367884"/>
    <w:rsid w:val="0037740B"/>
    <w:rsid w:val="0039439C"/>
    <w:rsid w:val="003A0D2A"/>
    <w:rsid w:val="003B69E7"/>
    <w:rsid w:val="003C013B"/>
    <w:rsid w:val="003D0F4D"/>
    <w:rsid w:val="003F58A1"/>
    <w:rsid w:val="00410DD6"/>
    <w:rsid w:val="004134C9"/>
    <w:rsid w:val="0043138C"/>
    <w:rsid w:val="00432C70"/>
    <w:rsid w:val="004577B4"/>
    <w:rsid w:val="00462A59"/>
    <w:rsid w:val="004A1847"/>
    <w:rsid w:val="004B046B"/>
    <w:rsid w:val="004B6B0E"/>
    <w:rsid w:val="004D25B3"/>
    <w:rsid w:val="004D3045"/>
    <w:rsid w:val="00511405"/>
    <w:rsid w:val="00526E9D"/>
    <w:rsid w:val="00547856"/>
    <w:rsid w:val="00547A74"/>
    <w:rsid w:val="005566E8"/>
    <w:rsid w:val="005746AB"/>
    <w:rsid w:val="0059357F"/>
    <w:rsid w:val="005942E9"/>
    <w:rsid w:val="005A1130"/>
    <w:rsid w:val="005D65C8"/>
    <w:rsid w:val="005E70C7"/>
    <w:rsid w:val="006219F8"/>
    <w:rsid w:val="006370C8"/>
    <w:rsid w:val="00681FDB"/>
    <w:rsid w:val="006A7D6E"/>
    <w:rsid w:val="006A7DAD"/>
    <w:rsid w:val="006D70BA"/>
    <w:rsid w:val="0071631E"/>
    <w:rsid w:val="007566FE"/>
    <w:rsid w:val="0076726F"/>
    <w:rsid w:val="0077144B"/>
    <w:rsid w:val="00793403"/>
    <w:rsid w:val="007C0CDF"/>
    <w:rsid w:val="007E2A2F"/>
    <w:rsid w:val="007F2B7C"/>
    <w:rsid w:val="00811651"/>
    <w:rsid w:val="00820F5B"/>
    <w:rsid w:val="00833452"/>
    <w:rsid w:val="008614E5"/>
    <w:rsid w:val="008678EB"/>
    <w:rsid w:val="00875894"/>
    <w:rsid w:val="00881C10"/>
    <w:rsid w:val="00890411"/>
    <w:rsid w:val="008D5C70"/>
    <w:rsid w:val="009025AF"/>
    <w:rsid w:val="00904F23"/>
    <w:rsid w:val="00906B3C"/>
    <w:rsid w:val="00915D50"/>
    <w:rsid w:val="009451AC"/>
    <w:rsid w:val="0095342C"/>
    <w:rsid w:val="009635C9"/>
    <w:rsid w:val="00982A39"/>
    <w:rsid w:val="009A31AE"/>
    <w:rsid w:val="009B6124"/>
    <w:rsid w:val="009F33F2"/>
    <w:rsid w:val="009F6C77"/>
    <w:rsid w:val="00A07532"/>
    <w:rsid w:val="00A1085C"/>
    <w:rsid w:val="00A309E2"/>
    <w:rsid w:val="00A8066E"/>
    <w:rsid w:val="00AA4B8A"/>
    <w:rsid w:val="00AA6BF7"/>
    <w:rsid w:val="00B01ED6"/>
    <w:rsid w:val="00B06D09"/>
    <w:rsid w:val="00B771A9"/>
    <w:rsid w:val="00B809BB"/>
    <w:rsid w:val="00B8248A"/>
    <w:rsid w:val="00BB26F3"/>
    <w:rsid w:val="00BB7726"/>
    <w:rsid w:val="00C2329E"/>
    <w:rsid w:val="00C30461"/>
    <w:rsid w:val="00C754BE"/>
    <w:rsid w:val="00C87572"/>
    <w:rsid w:val="00C9405D"/>
    <w:rsid w:val="00CA51DF"/>
    <w:rsid w:val="00CC1B26"/>
    <w:rsid w:val="00CC7E5C"/>
    <w:rsid w:val="00CD284F"/>
    <w:rsid w:val="00CF23AA"/>
    <w:rsid w:val="00D01921"/>
    <w:rsid w:val="00D752B7"/>
    <w:rsid w:val="00D85587"/>
    <w:rsid w:val="00DA1854"/>
    <w:rsid w:val="00DB0887"/>
    <w:rsid w:val="00DF1E43"/>
    <w:rsid w:val="00E20894"/>
    <w:rsid w:val="00E26B7C"/>
    <w:rsid w:val="00E809DA"/>
    <w:rsid w:val="00E92A60"/>
    <w:rsid w:val="00EA3003"/>
    <w:rsid w:val="00EB3C91"/>
    <w:rsid w:val="00EB66DA"/>
    <w:rsid w:val="00F2510D"/>
    <w:rsid w:val="00F605F2"/>
    <w:rsid w:val="00F76AFC"/>
    <w:rsid w:val="00F8319B"/>
    <w:rsid w:val="00FA5516"/>
    <w:rsid w:val="00FA5972"/>
    <w:rsid w:val="00FD6F73"/>
    <w:rsid w:val="1CC63BF5"/>
    <w:rsid w:val="22409F2A"/>
    <w:rsid w:val="2F9951DC"/>
    <w:rsid w:val="3EA2D60F"/>
    <w:rsid w:val="52DAE0AD"/>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NormalWeb">
    <w:name w:val="Normal (Web)"/>
    <w:basedOn w:val="Normal"/>
    <w:uiPriority w:val="99"/>
    <w:semiHidden/>
    <w:unhideWhenUsed/>
    <w:rsid w:val="005E70C7"/>
    <w:rPr>
      <w:rFonts w:ascii="Times New Roman" w:hAnsi="Times New Roman" w:cs="Times New Roman"/>
      <w:sz w:val="24"/>
      <w:szCs w:val="24"/>
    </w:rPr>
  </w:style>
  <w:style w:type="paragraph" w:customStyle="1" w:styleId="Appelnotedebasde">
    <w:name w:val="Appel note de bas de..."/>
    <w:basedOn w:val="Normal"/>
    <w:link w:val="Refdenotaalpie"/>
    <w:uiPriority w:val="99"/>
    <w:rsid w:val="005E70C7"/>
    <w:pPr>
      <w:spacing w:line="240" w:lineRule="exact"/>
    </w:pPr>
    <w:rPr>
      <w:vertAlign w:val="superscript"/>
    </w:rPr>
  </w:style>
  <w:style w:type="character" w:customStyle="1" w:styleId="baj">
    <w:name w:val="b_aj"/>
    <w:basedOn w:val="Fuentedeprrafopredeter"/>
    <w:rsid w:val="005E70C7"/>
  </w:style>
  <w:style w:type="character" w:styleId="Hipervnculo">
    <w:name w:val="Hyperlink"/>
    <w:basedOn w:val="Fuentedeprrafopredeter"/>
    <w:uiPriority w:val="99"/>
    <w:unhideWhenUsed/>
    <w:rsid w:val="005E70C7"/>
    <w:rPr>
      <w:color w:val="0563C1" w:themeColor="hyperlink"/>
      <w:u w:val="single"/>
    </w:rPr>
  </w:style>
  <w:style w:type="paragraph" w:styleId="Textodeglobo">
    <w:name w:val="Balloon Text"/>
    <w:basedOn w:val="Normal"/>
    <w:link w:val="TextodegloboCar"/>
    <w:uiPriority w:val="99"/>
    <w:semiHidden/>
    <w:unhideWhenUsed/>
    <w:rsid w:val="004B04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04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3DB9C-D30D-4F71-A25F-0A32EFEDC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4.xml><?xml version="1.0" encoding="utf-8"?>
<ds:datastoreItem xmlns:ds="http://schemas.openxmlformats.org/officeDocument/2006/customXml" ds:itemID="{5A34D556-085D-4283-90E5-23AF37D25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6266</Words>
  <Characters>34468</Characters>
  <Application>Microsoft Office Word</Application>
  <DocSecurity>0</DocSecurity>
  <Lines>287</Lines>
  <Paragraphs>81</Paragraphs>
  <ScaleCrop>false</ScaleCrop>
  <Company/>
  <LinksUpToDate>false</LinksUpToDate>
  <CharactersWithSpaces>40653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dcterms:created xsi:type="dcterms:W3CDTF">2024-01-10T16:31:00Z</dcterms:created>
  <dcterms:modified xsi:type="dcterms:W3CDTF">2024-01-10T16:31:00Z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