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92A8" w14:textId="77777777" w:rsidR="0093725D" w:rsidRPr="0093725D" w:rsidRDefault="0093725D" w:rsidP="0093725D">
      <w:pPr>
        <w:spacing w:line="240" w:lineRule="auto"/>
        <w:jc w:val="both"/>
        <w:rPr>
          <w:rFonts w:ascii="Century Gothic" w:hAnsi="Century Gothic" w:cs="Arial"/>
          <w:b/>
          <w:bCs/>
          <w:sz w:val="20"/>
          <w:szCs w:val="20"/>
        </w:rPr>
      </w:pPr>
      <w:bookmarkStart w:id="0" w:name="_Hlk143780582"/>
      <w:r w:rsidRPr="0093725D">
        <w:rPr>
          <w:rFonts w:ascii="Century Gothic" w:hAnsi="Century Gothic" w:cs="Arial"/>
          <w:b/>
          <w:bCs/>
          <w:sz w:val="20"/>
          <w:szCs w:val="20"/>
        </w:rPr>
        <w:t>CERTAMEN DE SUBASTA - Definición – Objetiv</w:t>
      </w:r>
      <w:r w:rsidRPr="0093725D">
        <w:rPr>
          <w:rFonts w:ascii="Century Gothic" w:hAnsi="Century Gothic" w:cs="Arial"/>
          <w:b/>
          <w:bCs/>
          <w:sz w:val="20"/>
          <w:szCs w:val="20"/>
        </w:rPr>
        <w:t>o</w:t>
      </w:r>
    </w:p>
    <w:p w14:paraId="628972BC" w14:textId="068F7F6F" w:rsidR="0093725D" w:rsidRPr="0093725D" w:rsidRDefault="0093725D" w:rsidP="0093725D">
      <w:pPr>
        <w:spacing w:line="240" w:lineRule="auto"/>
        <w:jc w:val="both"/>
        <w:rPr>
          <w:rFonts w:ascii="Century Gothic" w:hAnsi="Century Gothic" w:cs="Arial"/>
          <w:b/>
          <w:bCs/>
          <w:sz w:val="20"/>
          <w:szCs w:val="20"/>
        </w:rPr>
      </w:pPr>
      <w:r w:rsidRPr="0093725D">
        <w:rPr>
          <w:rFonts w:ascii="Century Gothic" w:hAnsi="Century Gothic"/>
          <w:sz w:val="20"/>
          <w:szCs w:val="20"/>
        </w:rPr>
        <w:t xml:space="preserve">La subasta como metodología de selección de ofertas económicas en los Procesos de Contratación que adelantan las Entidades Estatales sometidas al Estatuto General de Contratación de la Administración Pública – EGCAP–, se ha contemplado en la Ley 1150 de 2007 para dos modalidades de selección a saber: i) selección abreviada y </w:t>
      </w:r>
      <w:proofErr w:type="spellStart"/>
      <w:r w:rsidRPr="0093725D">
        <w:rPr>
          <w:rFonts w:ascii="Century Gothic" w:hAnsi="Century Gothic"/>
          <w:sz w:val="20"/>
          <w:szCs w:val="20"/>
        </w:rPr>
        <w:t>ii</w:t>
      </w:r>
      <w:proofErr w:type="spellEnd"/>
      <w:r w:rsidRPr="0093725D">
        <w:rPr>
          <w:rFonts w:ascii="Century Gothic" w:hAnsi="Century Gothic"/>
          <w:sz w:val="20"/>
          <w:szCs w:val="20"/>
        </w:rPr>
        <w:t>) licitación pública. Esta metodología ha sido utilizada como un sistema mediante el cual se determina cual es la oferta económica más favorable en el marco de un proceso de selección, independientemente de los otros criterios de escogencia o puntuación que se hayan contemplado en los pliegos de condiciones, ya que estos pueden no reducirse únicamente a la oferta económica. En este certamen, cada oferente realizará sus ofrecimientos mediante “lances” los cuales fungen como manifestación de la voluntad de los oferentes y como ofertas económicas dinámicas, las cuáles variaran en el certamen, sin embargo, esta variabilidad no les quita su calidad de propuestas económicas.</w:t>
      </w:r>
    </w:p>
    <w:p w14:paraId="6773EB57" w14:textId="15813C08" w:rsidR="0093725D" w:rsidRPr="0093725D" w:rsidRDefault="0093725D" w:rsidP="0093725D">
      <w:pPr>
        <w:spacing w:line="240" w:lineRule="auto"/>
        <w:jc w:val="both"/>
        <w:rPr>
          <w:rFonts w:ascii="Century Gothic" w:hAnsi="Century Gothic" w:cs="Arial"/>
          <w:b/>
          <w:bCs/>
          <w:sz w:val="20"/>
          <w:szCs w:val="20"/>
        </w:rPr>
      </w:pPr>
      <w:r w:rsidRPr="0093725D">
        <w:rPr>
          <w:rFonts w:ascii="Century Gothic" w:hAnsi="Century Gothic" w:cs="Arial"/>
          <w:b/>
          <w:bCs/>
          <w:sz w:val="20"/>
          <w:szCs w:val="20"/>
        </w:rPr>
        <w:t xml:space="preserve"> PRECIO ARTIFICIALMENTE BAJO – Análisis – Subasta Inversa –Oportunidad - Precio</w:t>
      </w:r>
      <w:r w:rsidRPr="0093725D">
        <w:rPr>
          <w:rFonts w:ascii="Century Gothic" w:hAnsi="Century Gothic" w:cs="Arial"/>
          <w:b/>
          <w:bCs/>
          <w:sz w:val="20"/>
          <w:szCs w:val="20"/>
        </w:rPr>
        <w:t xml:space="preserve"> </w:t>
      </w:r>
    </w:p>
    <w:p w14:paraId="66558DB7" w14:textId="2C48B196" w:rsidR="0093725D" w:rsidRPr="0093725D" w:rsidRDefault="0093725D" w:rsidP="0093725D">
      <w:pPr>
        <w:spacing w:line="240" w:lineRule="auto"/>
        <w:jc w:val="both"/>
        <w:rPr>
          <w:rFonts w:ascii="Century Gothic" w:hAnsi="Century Gothic"/>
          <w:sz w:val="20"/>
          <w:szCs w:val="20"/>
        </w:rPr>
      </w:pPr>
      <w:r w:rsidRPr="0093725D">
        <w:rPr>
          <w:rFonts w:ascii="Century Gothic" w:hAnsi="Century Gothic"/>
          <w:sz w:val="20"/>
          <w:szCs w:val="20"/>
        </w:rPr>
        <w:t>E</w:t>
      </w:r>
      <w:r w:rsidRPr="0093725D">
        <w:rPr>
          <w:rFonts w:ascii="Century Gothic" w:hAnsi="Century Gothic"/>
          <w:sz w:val="20"/>
          <w:szCs w:val="20"/>
        </w:rPr>
        <w:t xml:space="preserve">l artículo 2.2.1.2.1.2.2. del Decreto 1082 de 2015 dispone que la Entidad Estatal deberá incorporar en el pliego de condiciones los requisitos de participación y reglas del evento de subasta inversa como tal, determinando como mínimo cual es la dinámica de ésta y como se desarrollará, por lo tanto, en el pliego de condiciones la entidad deberá determinar también cómo llevará a cabo el análisis las ofertas económicas resultantes de ella, especialmente en lo relacionado a la solicitud de aclaraciones ante presuntas ofertas con precios artificialmente bajos. </w:t>
      </w:r>
    </w:p>
    <w:p w14:paraId="22EF2949" w14:textId="7BD19663" w:rsidR="0093725D" w:rsidRPr="0093725D" w:rsidRDefault="0093725D" w:rsidP="0093725D">
      <w:pPr>
        <w:spacing w:line="240" w:lineRule="auto"/>
        <w:jc w:val="both"/>
        <w:rPr>
          <w:rFonts w:ascii="Century Gothic" w:hAnsi="Century Gothic"/>
          <w:sz w:val="20"/>
          <w:szCs w:val="20"/>
        </w:rPr>
      </w:pPr>
      <w:r w:rsidRPr="0093725D">
        <w:rPr>
          <w:rFonts w:ascii="Century Gothic" w:hAnsi="Century Gothic"/>
          <w:sz w:val="20"/>
          <w:szCs w:val="20"/>
        </w:rPr>
        <w:t>Para lo anterior, la Entidad Estatal deberá tener en cuenta lo dispuesto en el artículo 2.2.1.1.2.2.4. del Decreto 1082 de 2015, que indica que ante el precio de una oferta que parece ser artificialmente bajo, en el desarrollo de una subasta inversa, deberá requerir las explicaciones que del caso se requieran al proponente para determinar si rechaza o acepta la oferta, al finalizar el evento de subasta, sobre el precio obtenido al finalizar la misa, esto quiere decir, que el valor de la oferta económica a analizar por parte de la Entidad Estatal corresponde al último valor ofertado por cada uno de los proponentes, sea este, el correspondiente al último lance realizado o el presentado en su oferta, en caso tal que no haya realizado lances</w:t>
      </w:r>
      <w:r w:rsidRPr="0093725D">
        <w:rPr>
          <w:rFonts w:ascii="Century Gothic" w:hAnsi="Century Gothic"/>
          <w:sz w:val="20"/>
          <w:szCs w:val="20"/>
        </w:rPr>
        <w:t>.</w:t>
      </w:r>
    </w:p>
    <w:p w14:paraId="74CA9593" w14:textId="141D7B96" w:rsidR="0093725D" w:rsidRPr="0093725D" w:rsidRDefault="0093725D" w:rsidP="0093725D">
      <w:pPr>
        <w:spacing w:line="240" w:lineRule="auto"/>
        <w:jc w:val="both"/>
        <w:rPr>
          <w:rFonts w:ascii="Century Gothic" w:hAnsi="Century Gothic" w:cs="Arial"/>
          <w:b/>
          <w:bCs/>
          <w:sz w:val="20"/>
          <w:szCs w:val="20"/>
        </w:rPr>
      </w:pPr>
      <w:r w:rsidRPr="0093725D">
        <w:rPr>
          <w:rFonts w:ascii="Century Gothic" w:hAnsi="Century Gothic"/>
          <w:sz w:val="20"/>
          <w:szCs w:val="20"/>
        </w:rPr>
        <w:t>En todo caso se aclara, que las metodologías o herramientas establecidas por la Agencia en la “Guía para el manejo de ofertas artificialmente bajas en los Procesos de Contratación” para identificar ofertas que pueden ser artificialmente bajas son meramente enunciativas, por lo tanto, las entidades pueden justificar la utilización de otras metodologías o herramientas diferentes a la comparación absoluta o la relativa12 explicadas y utilizadas en la citada guía. Ahora bien, sobre los precios artificialmente bajos identificados en los procesos que se llevan a cabo bajo la subasta inversa, esta entidad ha recomendado la utilización de la comparación absoluta, esta es, solicitar explicaciones a los proponentes cuyas ofertas finales sean menores en un 20%, o un mayor porcentaje, al costo total estimado por la Entidad Estatal.</w:t>
      </w:r>
    </w:p>
    <w:p w14:paraId="0F7E9644" w14:textId="7133B356" w:rsidR="0093725D" w:rsidRPr="0093725D" w:rsidRDefault="0093725D" w:rsidP="0093725D">
      <w:pPr>
        <w:jc w:val="both"/>
        <w:rPr>
          <w:rFonts w:ascii="Century Gothic" w:hAnsi="Century Gothic" w:cs="Arial"/>
        </w:rPr>
      </w:pPr>
      <w:r w:rsidRPr="0093725D">
        <w:rPr>
          <w:rFonts w:ascii="Century Gothic" w:hAnsi="Century Gothic" w:cs="Arial"/>
        </w:rPr>
        <w:br w:type="page"/>
      </w:r>
    </w:p>
    <w:p w14:paraId="3FE2184B" w14:textId="288EF5F6" w:rsidR="00E245AB" w:rsidRPr="00E04FE0" w:rsidRDefault="0093725D" w:rsidP="00BE38B8">
      <w:pPr>
        <w:spacing w:after="120"/>
        <w:rPr>
          <w:rFonts w:ascii="Century Gothic" w:hAnsi="Century Gothic" w:cs="Arial"/>
        </w:rPr>
      </w:pPr>
      <w:r w:rsidRPr="0093725D">
        <w:rPr>
          <w:rFonts w:ascii="Century Gothic" w:hAnsi="Century Gothic" w:cs="Arial"/>
        </w:rPr>
        <w:lastRenderedPageBreak/>
        <w:drawing>
          <wp:anchor distT="0" distB="0" distL="114300" distR="114300" simplePos="0" relativeHeight="251658240" behindDoc="1" locked="0" layoutInCell="1" allowOverlap="1" wp14:anchorId="0A97D1B3" wp14:editId="50CCA150">
            <wp:simplePos x="0" y="0"/>
            <wp:positionH relativeFrom="margin">
              <wp:posOffset>3280850</wp:posOffset>
            </wp:positionH>
            <wp:positionV relativeFrom="paragraph">
              <wp:posOffset>-50605</wp:posOffset>
            </wp:positionV>
            <wp:extent cx="2320876" cy="692519"/>
            <wp:effectExtent l="0" t="0" r="3810" b="0"/>
            <wp:wrapNone/>
            <wp:docPr id="12152247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24740" name=""/>
                    <pic:cNvPicPr/>
                  </pic:nvPicPr>
                  <pic:blipFill>
                    <a:blip r:embed="rId11">
                      <a:extLst>
                        <a:ext uri="{28A0092B-C50C-407E-A947-70E740481C1C}">
                          <a14:useLocalDpi xmlns:a14="http://schemas.microsoft.com/office/drawing/2010/main" val="0"/>
                        </a:ext>
                      </a:extLst>
                    </a:blip>
                    <a:stretch>
                      <a:fillRect/>
                    </a:stretch>
                  </pic:blipFill>
                  <pic:spPr>
                    <a:xfrm>
                      <a:off x="0" y="0"/>
                      <a:ext cx="2325849" cy="694003"/>
                    </a:xfrm>
                    <a:prstGeom prst="rect">
                      <a:avLst/>
                    </a:prstGeom>
                  </pic:spPr>
                </pic:pic>
              </a:graphicData>
            </a:graphic>
            <wp14:sizeRelH relativeFrom="margin">
              <wp14:pctWidth>0</wp14:pctWidth>
            </wp14:sizeRelH>
            <wp14:sizeRelV relativeFrom="margin">
              <wp14:pctHeight>0</wp14:pctHeight>
            </wp14:sizeRelV>
          </wp:anchor>
        </w:drawing>
      </w:r>
      <w:r w:rsidR="00E245AB" w:rsidRPr="00E04FE0">
        <w:rPr>
          <w:rFonts w:ascii="Century Gothic" w:hAnsi="Century Gothic" w:cs="Arial"/>
        </w:rPr>
        <w:t xml:space="preserve">Bogotá D.C., </w:t>
      </w:r>
      <w:r>
        <w:rPr>
          <w:rFonts w:ascii="Century Gothic" w:hAnsi="Century Gothic" w:cs="Arial"/>
        </w:rPr>
        <w:t>18 de septiembre de 2023</w:t>
      </w:r>
    </w:p>
    <w:p w14:paraId="5FCADBF9" w14:textId="3ECA2E77" w:rsidR="00E245AB" w:rsidRPr="00E04FE0" w:rsidRDefault="00E245AB" w:rsidP="00BE38B8">
      <w:pPr>
        <w:spacing w:after="120"/>
        <w:rPr>
          <w:rFonts w:ascii="Century Gothic" w:hAnsi="Century Gothic" w:cs="Arial"/>
        </w:rPr>
      </w:pPr>
    </w:p>
    <w:p w14:paraId="0465BA6D" w14:textId="77777777" w:rsidR="00E245AB" w:rsidRPr="00E04FE0" w:rsidRDefault="00E245AB" w:rsidP="00BE38B8">
      <w:pPr>
        <w:spacing w:after="120"/>
        <w:rPr>
          <w:rFonts w:ascii="Century Gothic" w:hAnsi="Century Gothic" w:cs="Arial"/>
        </w:rPr>
      </w:pPr>
    </w:p>
    <w:bookmarkEnd w:id="0"/>
    <w:p w14:paraId="026BB2A1" w14:textId="2425A4CD" w:rsidR="006914BF" w:rsidRPr="00E04FE0" w:rsidRDefault="006914BF" w:rsidP="00E04FE0">
      <w:pPr>
        <w:spacing w:after="0" w:line="276" w:lineRule="auto"/>
        <w:jc w:val="both"/>
        <w:rPr>
          <w:rFonts w:ascii="Century Gothic" w:eastAsia="Calibri" w:hAnsi="Century Gothic" w:cs="Arial"/>
          <w:color w:val="000000" w:themeColor="text1"/>
          <w:lang w:val="es-ES_tradnl"/>
        </w:rPr>
      </w:pPr>
      <w:r w:rsidRPr="00E04FE0">
        <w:rPr>
          <w:rFonts w:ascii="Century Gothic" w:eastAsia="Calibri" w:hAnsi="Century Gothic" w:cs="Arial"/>
          <w:color w:val="000000" w:themeColor="text1"/>
          <w:lang w:val="es-ES_tradnl"/>
        </w:rPr>
        <w:t>Señor</w:t>
      </w:r>
      <w:r w:rsidR="00651E6E" w:rsidRPr="00E04FE0">
        <w:rPr>
          <w:rFonts w:ascii="Century Gothic" w:eastAsia="Calibri" w:hAnsi="Century Gothic" w:cs="Arial"/>
          <w:color w:val="000000" w:themeColor="text1"/>
          <w:lang w:val="es-ES_tradnl"/>
        </w:rPr>
        <w:t>a</w:t>
      </w:r>
    </w:p>
    <w:p w14:paraId="78B08933" w14:textId="4038319E" w:rsidR="006914BF" w:rsidRPr="00E04FE0" w:rsidRDefault="00651E6E" w:rsidP="00E04FE0">
      <w:pPr>
        <w:spacing w:after="0" w:line="276" w:lineRule="auto"/>
        <w:jc w:val="both"/>
        <w:rPr>
          <w:rFonts w:ascii="Century Gothic" w:hAnsi="Century Gothic" w:cs="Arial"/>
          <w:color w:val="000000" w:themeColor="text1"/>
          <w:lang w:val="pt-BR"/>
        </w:rPr>
      </w:pPr>
      <w:r w:rsidRPr="00E04FE0">
        <w:rPr>
          <w:rFonts w:ascii="Century Gothic" w:hAnsi="Century Gothic" w:cs="Arial"/>
          <w:color w:val="000000" w:themeColor="text1"/>
          <w:lang w:val="pt-BR"/>
        </w:rPr>
        <w:t>Marisol Olivera Garrido</w:t>
      </w:r>
    </w:p>
    <w:p w14:paraId="1192521F" w14:textId="580F7C60" w:rsidR="004F5FB5" w:rsidRPr="00E04FE0" w:rsidRDefault="004F5FB5" w:rsidP="00E04FE0">
      <w:pPr>
        <w:spacing w:after="0" w:line="276" w:lineRule="auto"/>
        <w:jc w:val="both"/>
        <w:rPr>
          <w:rFonts w:ascii="Century Gothic" w:hAnsi="Century Gothic" w:cs="Arial"/>
          <w:color w:val="000000" w:themeColor="text1"/>
          <w:lang w:val="pt-BR"/>
        </w:rPr>
      </w:pPr>
      <w:r w:rsidRPr="00E04FE0">
        <w:rPr>
          <w:rFonts w:ascii="Century Gothic" w:hAnsi="Century Gothic" w:cs="Arial"/>
          <w:color w:val="000000" w:themeColor="text1"/>
          <w:lang w:val="pt-BR"/>
        </w:rPr>
        <w:t xml:space="preserve">Departamento Nacional de </w:t>
      </w:r>
      <w:proofErr w:type="spellStart"/>
      <w:r w:rsidRPr="00E04FE0">
        <w:rPr>
          <w:rFonts w:ascii="Century Gothic" w:hAnsi="Century Gothic" w:cs="Arial"/>
          <w:color w:val="000000" w:themeColor="text1"/>
          <w:lang w:val="pt-BR"/>
        </w:rPr>
        <w:t>Planeación</w:t>
      </w:r>
      <w:proofErr w:type="spellEnd"/>
    </w:p>
    <w:p w14:paraId="50F1F17C" w14:textId="77777777" w:rsidR="006914BF" w:rsidRPr="00E04FE0" w:rsidRDefault="006914BF" w:rsidP="00E04FE0">
      <w:pPr>
        <w:spacing w:after="0" w:line="276" w:lineRule="auto"/>
        <w:jc w:val="both"/>
        <w:rPr>
          <w:rFonts w:ascii="Century Gothic" w:hAnsi="Century Gothic" w:cs="Arial"/>
          <w:noProof/>
          <w:color w:val="000000" w:themeColor="text1"/>
          <w:lang w:val="pt-BR"/>
        </w:rPr>
      </w:pPr>
      <w:r w:rsidRPr="00E04FE0">
        <w:rPr>
          <w:rFonts w:ascii="Century Gothic" w:hAnsi="Century Gothic" w:cs="Arial"/>
          <w:noProof/>
          <w:color w:val="000000" w:themeColor="text1"/>
          <w:lang w:val="pt-BR"/>
        </w:rPr>
        <w:t>Bogotá D.C.</w:t>
      </w:r>
    </w:p>
    <w:p w14:paraId="6CCA0001" w14:textId="77777777" w:rsidR="006914BF" w:rsidRPr="00E04FE0" w:rsidRDefault="006914BF" w:rsidP="00BE38B8">
      <w:pPr>
        <w:spacing w:after="120" w:line="276" w:lineRule="auto"/>
        <w:jc w:val="both"/>
        <w:rPr>
          <w:rFonts w:ascii="Century Gothic" w:eastAsia="Calibri" w:hAnsi="Century Gothic" w:cs="Arial"/>
          <w:color w:val="000000" w:themeColor="text1"/>
          <w:lang w:val="es-ES_tradnl"/>
        </w:rPr>
      </w:pPr>
    </w:p>
    <w:p w14:paraId="1C6F1E07" w14:textId="77DD8D70" w:rsidR="006914BF" w:rsidRPr="00E04FE0" w:rsidRDefault="006914BF" w:rsidP="00BE38B8">
      <w:pPr>
        <w:spacing w:after="120" w:line="276" w:lineRule="auto"/>
        <w:rPr>
          <w:rFonts w:ascii="Century Gothic" w:eastAsia="Calibri" w:hAnsi="Century Gothic" w:cs="Arial"/>
          <w:b/>
          <w:bCs/>
          <w:color w:val="000000" w:themeColor="text1"/>
          <w:lang w:val="es-ES_tradnl"/>
        </w:rPr>
      </w:pPr>
      <w:r w:rsidRPr="00E04FE0">
        <w:rPr>
          <w:rFonts w:ascii="Century Gothic" w:eastAsia="Calibri" w:hAnsi="Century Gothic" w:cs="Arial"/>
          <w:b/>
          <w:bCs/>
          <w:color w:val="000000" w:themeColor="text1"/>
          <w:lang w:val="es-ES_tradnl"/>
        </w:rPr>
        <w:t xml:space="preserve">                                      Concepto C–</w:t>
      </w:r>
      <w:r w:rsidR="00B03BC6" w:rsidRPr="00E04FE0">
        <w:rPr>
          <w:rFonts w:ascii="Century Gothic" w:eastAsia="Calibri" w:hAnsi="Century Gothic" w:cs="Arial"/>
          <w:b/>
          <w:bCs/>
          <w:color w:val="000000" w:themeColor="text1"/>
          <w:lang w:val="es-ES_tradnl"/>
        </w:rPr>
        <w:t>36</w:t>
      </w:r>
      <w:r w:rsidRPr="00E04FE0">
        <w:rPr>
          <w:rFonts w:ascii="Century Gothic" w:eastAsia="Calibri" w:hAnsi="Century Gothic" w:cs="Arial"/>
          <w:b/>
          <w:bCs/>
          <w:color w:val="000000" w:themeColor="text1"/>
          <w:lang w:val="es-ES_tradnl"/>
        </w:rPr>
        <w:t>2 de 2022</w:t>
      </w:r>
    </w:p>
    <w:tbl>
      <w:tblPr>
        <w:tblStyle w:val="Tablaconcuadrcula"/>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711"/>
      </w:tblGrid>
      <w:tr w:rsidR="006914BF" w:rsidRPr="00E04FE0" w14:paraId="4647F735" w14:textId="77777777" w:rsidTr="00D23EDB">
        <w:tc>
          <w:tcPr>
            <w:tcW w:w="2268" w:type="dxa"/>
          </w:tcPr>
          <w:p w14:paraId="6DDFA92A" w14:textId="77777777" w:rsidR="006914BF" w:rsidRPr="00E04FE0" w:rsidRDefault="006914BF" w:rsidP="00BE38B8">
            <w:pPr>
              <w:spacing w:after="120"/>
              <w:jc w:val="both"/>
              <w:rPr>
                <w:rFonts w:ascii="Century Gothic" w:eastAsia="Calibri" w:hAnsi="Century Gothic" w:cs="Arial"/>
                <w:color w:val="000000" w:themeColor="text1"/>
                <w:lang w:val="es-ES_tradnl"/>
              </w:rPr>
            </w:pPr>
            <w:r w:rsidRPr="00E04FE0">
              <w:rPr>
                <w:rFonts w:ascii="Century Gothic" w:eastAsia="Calibri" w:hAnsi="Century Gothic" w:cs="Arial"/>
                <w:b/>
                <w:color w:val="000000" w:themeColor="text1"/>
                <w:lang w:val="es-ES_tradnl"/>
              </w:rPr>
              <w:t>Temas:</w:t>
            </w:r>
            <w:r w:rsidRPr="00E04FE0">
              <w:rPr>
                <w:rFonts w:ascii="Century Gothic" w:eastAsia="Calibri" w:hAnsi="Century Gothic" w:cs="Arial"/>
                <w:color w:val="000000" w:themeColor="text1"/>
                <w:lang w:val="es-ES_tradnl"/>
              </w:rPr>
              <w:t xml:space="preserve">                                      </w:t>
            </w:r>
          </w:p>
        </w:tc>
        <w:tc>
          <w:tcPr>
            <w:tcW w:w="6711" w:type="dxa"/>
          </w:tcPr>
          <w:p w14:paraId="38699A0F" w14:textId="520344FA" w:rsidR="006914BF" w:rsidRPr="00E04FE0" w:rsidRDefault="006914BF" w:rsidP="00BE38B8">
            <w:pPr>
              <w:tabs>
                <w:tab w:val="left" w:pos="6551"/>
              </w:tabs>
              <w:spacing w:after="120"/>
              <w:jc w:val="both"/>
              <w:rPr>
                <w:rFonts w:ascii="Century Gothic" w:eastAsia="Calibri" w:hAnsi="Century Gothic" w:cs="Arial"/>
                <w:b/>
                <w:color w:val="000000" w:themeColor="text1"/>
                <w:lang w:val="es-ES_tradnl"/>
              </w:rPr>
            </w:pPr>
            <w:r w:rsidRPr="00E04FE0">
              <w:rPr>
                <w:rFonts w:ascii="Century Gothic" w:hAnsi="Century Gothic" w:cs="Arial"/>
              </w:rPr>
              <w:t xml:space="preserve">CERTAMEN DE SUBASTA - Definición – Objetivo/ PRECIO ARTIFICIALMENTE BAJO – Análisis – Subasta Inversa </w:t>
            </w:r>
            <w:r w:rsidR="00111CF6" w:rsidRPr="00E04FE0">
              <w:rPr>
                <w:rFonts w:ascii="Century Gothic" w:hAnsi="Century Gothic" w:cs="Arial"/>
              </w:rPr>
              <w:t>–</w:t>
            </w:r>
            <w:r w:rsidRPr="00E04FE0">
              <w:rPr>
                <w:rFonts w:ascii="Century Gothic" w:hAnsi="Century Gothic" w:cs="Arial"/>
              </w:rPr>
              <w:t xml:space="preserve"> Oportunidad</w:t>
            </w:r>
            <w:r w:rsidR="00111CF6" w:rsidRPr="00E04FE0">
              <w:rPr>
                <w:rFonts w:ascii="Century Gothic" w:hAnsi="Century Gothic" w:cs="Arial"/>
              </w:rPr>
              <w:t xml:space="preserve"> - </w:t>
            </w:r>
            <w:r w:rsidR="00A20A3B" w:rsidRPr="00E04FE0">
              <w:rPr>
                <w:rFonts w:ascii="Century Gothic" w:hAnsi="Century Gothic" w:cs="Arial"/>
              </w:rPr>
              <w:t>Precio</w:t>
            </w:r>
          </w:p>
        </w:tc>
      </w:tr>
      <w:tr w:rsidR="006914BF" w:rsidRPr="00E04FE0" w14:paraId="50814DB4" w14:textId="77777777" w:rsidTr="00D23EDB">
        <w:tc>
          <w:tcPr>
            <w:tcW w:w="2268" w:type="dxa"/>
          </w:tcPr>
          <w:p w14:paraId="51E38A37" w14:textId="77777777" w:rsidR="006914BF" w:rsidRPr="00E04FE0" w:rsidRDefault="006914BF" w:rsidP="00BE38B8">
            <w:pPr>
              <w:spacing w:after="120"/>
              <w:jc w:val="both"/>
              <w:rPr>
                <w:rFonts w:ascii="Century Gothic" w:eastAsia="Calibri" w:hAnsi="Century Gothic" w:cs="Arial"/>
                <w:b/>
                <w:color w:val="000000" w:themeColor="text1"/>
                <w:lang w:val="es-ES_tradnl"/>
              </w:rPr>
            </w:pPr>
            <w:r w:rsidRPr="00E04FE0">
              <w:rPr>
                <w:rFonts w:ascii="Century Gothic" w:eastAsia="Calibri" w:hAnsi="Century Gothic" w:cs="Arial"/>
                <w:b/>
                <w:color w:val="000000" w:themeColor="text1"/>
                <w:lang w:val="es-ES_tradnl"/>
              </w:rPr>
              <w:t>Radicación:</w:t>
            </w:r>
            <w:r w:rsidRPr="00E04FE0">
              <w:rPr>
                <w:rFonts w:ascii="Century Gothic" w:eastAsia="Calibri" w:hAnsi="Century Gothic" w:cs="Arial"/>
                <w:color w:val="000000" w:themeColor="text1"/>
                <w:lang w:val="es-ES_tradnl"/>
              </w:rPr>
              <w:t xml:space="preserve">                              </w:t>
            </w:r>
          </w:p>
        </w:tc>
        <w:tc>
          <w:tcPr>
            <w:tcW w:w="6711" w:type="dxa"/>
          </w:tcPr>
          <w:p w14:paraId="213A3148" w14:textId="54E571F1" w:rsidR="006914BF" w:rsidRPr="00E04FE0" w:rsidRDefault="006914BF" w:rsidP="00BE38B8">
            <w:pPr>
              <w:spacing w:after="120"/>
              <w:rPr>
                <w:rFonts w:ascii="Century Gothic" w:eastAsia="Calibri" w:hAnsi="Century Gothic" w:cs="Arial"/>
                <w:color w:val="000000" w:themeColor="text1"/>
                <w:lang w:val="es-ES_tradnl"/>
              </w:rPr>
            </w:pPr>
            <w:r w:rsidRPr="00E04FE0">
              <w:rPr>
                <w:rFonts w:ascii="Century Gothic" w:eastAsia="Calibri" w:hAnsi="Century Gothic" w:cs="Arial"/>
                <w:color w:val="000000" w:themeColor="text1"/>
                <w:lang w:val="es-ES_tradnl"/>
              </w:rPr>
              <w:t xml:space="preserve">Respuesta a la consulta </w:t>
            </w:r>
            <w:r w:rsidRPr="00E04FE0">
              <w:rPr>
                <w:rFonts w:ascii="Century Gothic" w:hAnsi="Century Gothic" w:cs="Arial"/>
              </w:rPr>
              <w:t>P2023</w:t>
            </w:r>
            <w:r w:rsidR="00A20A3B" w:rsidRPr="00E04FE0">
              <w:rPr>
                <w:rFonts w:ascii="Century Gothic" w:hAnsi="Century Gothic" w:cs="Arial"/>
              </w:rPr>
              <w:t>08040</w:t>
            </w:r>
            <w:r w:rsidR="007B11BC" w:rsidRPr="00E04FE0">
              <w:rPr>
                <w:rFonts w:ascii="Century Gothic" w:hAnsi="Century Gothic" w:cs="Arial"/>
              </w:rPr>
              <w:t>13979</w:t>
            </w:r>
          </w:p>
        </w:tc>
      </w:tr>
    </w:tbl>
    <w:p w14:paraId="3892C11C" w14:textId="77777777" w:rsidR="007B11BC" w:rsidRPr="00E04FE0" w:rsidRDefault="007B11BC" w:rsidP="00BE38B8">
      <w:pPr>
        <w:spacing w:after="120" w:line="276" w:lineRule="auto"/>
        <w:jc w:val="both"/>
        <w:rPr>
          <w:rFonts w:ascii="Century Gothic" w:eastAsia="Calibri" w:hAnsi="Century Gothic" w:cs="Arial"/>
          <w:color w:val="000000" w:themeColor="text1"/>
          <w:lang w:val="es-ES_tradnl"/>
        </w:rPr>
      </w:pPr>
    </w:p>
    <w:p w14:paraId="0196B597" w14:textId="7842A62B" w:rsidR="006914BF" w:rsidRPr="00E04FE0" w:rsidRDefault="006914BF" w:rsidP="00BE38B8">
      <w:pPr>
        <w:spacing w:after="120" w:line="276" w:lineRule="auto"/>
        <w:jc w:val="both"/>
        <w:rPr>
          <w:rFonts w:ascii="Century Gothic" w:eastAsia="Calibri" w:hAnsi="Century Gothic" w:cs="Arial"/>
          <w:color w:val="000000" w:themeColor="text1"/>
          <w:lang w:val="es-ES_tradnl"/>
        </w:rPr>
      </w:pPr>
      <w:r w:rsidRPr="00E04FE0">
        <w:rPr>
          <w:rFonts w:ascii="Century Gothic" w:eastAsia="Calibri" w:hAnsi="Century Gothic" w:cs="Arial"/>
          <w:color w:val="000000" w:themeColor="text1"/>
          <w:lang w:val="es-ES_tradnl"/>
        </w:rPr>
        <w:t>Estimad</w:t>
      </w:r>
      <w:r w:rsidR="007B11BC" w:rsidRPr="00E04FE0">
        <w:rPr>
          <w:rFonts w:ascii="Century Gothic" w:eastAsia="Calibri" w:hAnsi="Century Gothic" w:cs="Arial"/>
          <w:color w:val="000000" w:themeColor="text1"/>
          <w:lang w:val="es-ES_tradnl"/>
        </w:rPr>
        <w:t>a</w:t>
      </w:r>
      <w:r w:rsidRPr="00E04FE0">
        <w:rPr>
          <w:rFonts w:ascii="Century Gothic" w:eastAsia="Calibri" w:hAnsi="Century Gothic" w:cs="Arial"/>
          <w:color w:val="000000" w:themeColor="text1"/>
          <w:lang w:val="es-ES_tradnl"/>
        </w:rPr>
        <w:t xml:space="preserve"> </w:t>
      </w:r>
      <w:r w:rsidR="007B11BC" w:rsidRPr="00E04FE0">
        <w:rPr>
          <w:rFonts w:ascii="Century Gothic" w:eastAsia="Calibri" w:hAnsi="Century Gothic" w:cs="Arial"/>
          <w:color w:val="000000" w:themeColor="text1"/>
          <w:lang w:val="es-ES_tradnl"/>
        </w:rPr>
        <w:t>señora Garrido,</w:t>
      </w:r>
    </w:p>
    <w:p w14:paraId="0DC11915" w14:textId="05572F1D" w:rsidR="006914BF" w:rsidRPr="00E04FE0" w:rsidRDefault="006914BF" w:rsidP="00BE38B8">
      <w:pPr>
        <w:spacing w:after="120" w:line="276" w:lineRule="auto"/>
        <w:jc w:val="both"/>
        <w:rPr>
          <w:rFonts w:ascii="Century Gothic" w:eastAsia="Calibri" w:hAnsi="Century Gothic" w:cs="Arial"/>
          <w:color w:val="000000" w:themeColor="text1"/>
          <w:lang w:val="es-ES_tradnl"/>
        </w:rPr>
      </w:pPr>
      <w:r w:rsidRPr="00E04FE0">
        <w:rPr>
          <w:rFonts w:ascii="Century Gothic" w:eastAsia="Calibri" w:hAnsi="Century Gothic" w:cs="Arial"/>
          <w:color w:val="000000" w:themeColor="text1"/>
          <w:lang w:val="es-ES_tradnl"/>
        </w:rPr>
        <w:t xml:space="preserve">En ejercicio de la competencia otorgada por el numeral 8 del artículo 11 y el numeral 5 del artículo 3 del Decreto Ley 4170 de 2011, la Agencia Nacional de Contratación Pública ― Colombia Compra Eficiente, responde su consulta del 4 de </w:t>
      </w:r>
      <w:r w:rsidR="008B2180" w:rsidRPr="00E04FE0">
        <w:rPr>
          <w:rFonts w:ascii="Century Gothic" w:eastAsia="Calibri" w:hAnsi="Century Gothic" w:cs="Arial"/>
          <w:color w:val="000000" w:themeColor="text1"/>
          <w:lang w:val="es-ES_tradnl"/>
        </w:rPr>
        <w:t>agosto</w:t>
      </w:r>
      <w:r w:rsidRPr="00E04FE0">
        <w:rPr>
          <w:rFonts w:ascii="Century Gothic" w:eastAsia="Calibri" w:hAnsi="Century Gothic" w:cs="Arial"/>
          <w:color w:val="000000" w:themeColor="text1"/>
          <w:lang w:val="es-ES_tradnl"/>
        </w:rPr>
        <w:t xml:space="preserve"> de 2023, de la siguiente forma:</w:t>
      </w:r>
    </w:p>
    <w:p w14:paraId="43EBE916" w14:textId="77777777" w:rsidR="006914BF" w:rsidRPr="00E04FE0" w:rsidRDefault="006914BF" w:rsidP="00BE38B8">
      <w:pPr>
        <w:pStyle w:val="Prrafodelista"/>
        <w:numPr>
          <w:ilvl w:val="0"/>
          <w:numId w:val="16"/>
        </w:numPr>
        <w:tabs>
          <w:tab w:val="left" w:pos="0"/>
          <w:tab w:val="left" w:pos="142"/>
          <w:tab w:val="left" w:pos="284"/>
        </w:tabs>
        <w:spacing w:after="120" w:line="276" w:lineRule="auto"/>
        <w:ind w:left="0" w:firstLine="0"/>
        <w:jc w:val="both"/>
        <w:rPr>
          <w:rFonts w:ascii="Century Gothic" w:eastAsia="Calibri" w:hAnsi="Century Gothic" w:cs="Arial"/>
          <w:b/>
          <w:color w:val="000000" w:themeColor="text1"/>
          <w:lang w:val="es-ES_tradnl"/>
        </w:rPr>
      </w:pPr>
      <w:r w:rsidRPr="00E04FE0">
        <w:rPr>
          <w:rFonts w:ascii="Century Gothic" w:eastAsia="Calibri" w:hAnsi="Century Gothic" w:cs="Arial"/>
          <w:b/>
          <w:color w:val="000000" w:themeColor="text1"/>
          <w:lang w:val="es-ES_tradnl"/>
        </w:rPr>
        <w:t xml:space="preserve">Problema planteado </w:t>
      </w:r>
    </w:p>
    <w:p w14:paraId="4C59C7A5" w14:textId="0B8AC314" w:rsidR="006914BF" w:rsidRPr="00E04FE0" w:rsidRDefault="00042B12" w:rsidP="00BE38B8">
      <w:pPr>
        <w:spacing w:after="120" w:line="276" w:lineRule="auto"/>
        <w:jc w:val="both"/>
        <w:rPr>
          <w:rFonts w:ascii="Century Gothic" w:hAnsi="Century Gothic" w:cs="Arial"/>
          <w:color w:val="000000" w:themeColor="text1"/>
          <w:lang w:val="es-ES_tradnl"/>
        </w:rPr>
      </w:pPr>
      <w:r w:rsidRPr="00E04FE0">
        <w:rPr>
          <w:rFonts w:ascii="Century Gothic" w:hAnsi="Century Gothic" w:cs="Arial"/>
          <w:color w:val="000000" w:themeColor="text1"/>
          <w:lang w:val="es-ES_tradnl"/>
        </w:rPr>
        <w:t xml:space="preserve">Teniendo en cuenta </w:t>
      </w:r>
      <w:r w:rsidR="002E762E" w:rsidRPr="00E04FE0">
        <w:rPr>
          <w:rFonts w:ascii="Century Gothic" w:hAnsi="Century Gothic" w:cs="Arial"/>
          <w:color w:val="000000" w:themeColor="text1"/>
          <w:lang w:val="es-ES_tradnl"/>
        </w:rPr>
        <w:t>la</w:t>
      </w:r>
      <w:r w:rsidR="00433F03" w:rsidRPr="00E04FE0">
        <w:rPr>
          <w:rFonts w:ascii="Century Gothic" w:hAnsi="Century Gothic" w:cs="Arial"/>
          <w:color w:val="000000" w:themeColor="text1"/>
          <w:lang w:val="es-ES_tradnl"/>
        </w:rPr>
        <w:t>s</w:t>
      </w:r>
      <w:r w:rsidR="002E762E" w:rsidRPr="00E04FE0">
        <w:rPr>
          <w:rFonts w:ascii="Century Gothic" w:hAnsi="Century Gothic" w:cs="Arial"/>
          <w:color w:val="000000" w:themeColor="text1"/>
          <w:lang w:val="es-ES_tradnl"/>
        </w:rPr>
        <w:t xml:space="preserve"> metodología</w:t>
      </w:r>
      <w:r w:rsidR="00433F03" w:rsidRPr="00E04FE0">
        <w:rPr>
          <w:rFonts w:ascii="Century Gothic" w:hAnsi="Century Gothic" w:cs="Arial"/>
          <w:color w:val="000000" w:themeColor="text1"/>
          <w:lang w:val="es-ES_tradnl"/>
        </w:rPr>
        <w:t>s defini</w:t>
      </w:r>
      <w:r w:rsidR="00632DFB" w:rsidRPr="00E04FE0">
        <w:rPr>
          <w:rFonts w:ascii="Century Gothic" w:hAnsi="Century Gothic" w:cs="Arial"/>
          <w:color w:val="000000" w:themeColor="text1"/>
          <w:lang w:val="es-ES_tradnl"/>
        </w:rPr>
        <w:t xml:space="preserve">das en la </w:t>
      </w:r>
      <w:r w:rsidR="00FE51AF" w:rsidRPr="00E04FE0">
        <w:rPr>
          <w:rFonts w:ascii="Century Gothic" w:hAnsi="Century Gothic" w:cs="Arial"/>
          <w:i/>
          <w:iCs/>
          <w:color w:val="000000" w:themeColor="text1"/>
          <w:lang w:val="es-ES_tradnl"/>
        </w:rPr>
        <w:t>“</w:t>
      </w:r>
      <w:r w:rsidR="00632DFB" w:rsidRPr="00E04FE0">
        <w:rPr>
          <w:rFonts w:ascii="Century Gothic" w:hAnsi="Century Gothic" w:cs="Arial"/>
          <w:i/>
          <w:iCs/>
          <w:color w:val="000000" w:themeColor="text1"/>
          <w:lang w:val="es-ES_tradnl"/>
        </w:rPr>
        <w:t xml:space="preserve">Guía para el manejo de </w:t>
      </w:r>
      <w:r w:rsidR="00C31508" w:rsidRPr="00E04FE0">
        <w:rPr>
          <w:rFonts w:ascii="Century Gothic" w:hAnsi="Century Gothic" w:cs="Arial"/>
          <w:i/>
          <w:iCs/>
          <w:color w:val="000000" w:themeColor="text1"/>
          <w:lang w:val="es-ES_tradnl"/>
        </w:rPr>
        <w:t xml:space="preserve">ofertas </w:t>
      </w:r>
      <w:r w:rsidR="00E221A2" w:rsidRPr="00E04FE0">
        <w:rPr>
          <w:rFonts w:ascii="Century Gothic" w:hAnsi="Century Gothic" w:cs="Arial"/>
          <w:i/>
          <w:iCs/>
          <w:color w:val="000000" w:themeColor="text1"/>
          <w:lang w:val="es-ES_tradnl"/>
        </w:rPr>
        <w:t>artificialmente baj</w:t>
      </w:r>
      <w:r w:rsidR="00C31508" w:rsidRPr="00E04FE0">
        <w:rPr>
          <w:rFonts w:ascii="Century Gothic" w:hAnsi="Century Gothic" w:cs="Arial"/>
          <w:i/>
          <w:iCs/>
          <w:color w:val="000000" w:themeColor="text1"/>
          <w:lang w:val="es-ES_tradnl"/>
        </w:rPr>
        <w:t>a</w:t>
      </w:r>
      <w:r w:rsidR="00E221A2" w:rsidRPr="00E04FE0">
        <w:rPr>
          <w:rFonts w:ascii="Century Gothic" w:hAnsi="Century Gothic" w:cs="Arial"/>
          <w:i/>
          <w:iCs/>
          <w:color w:val="000000" w:themeColor="text1"/>
          <w:lang w:val="es-ES_tradnl"/>
        </w:rPr>
        <w:t>s</w:t>
      </w:r>
      <w:r w:rsidR="00FE51AF" w:rsidRPr="00E04FE0">
        <w:rPr>
          <w:rFonts w:ascii="Century Gothic" w:hAnsi="Century Gothic" w:cs="Arial"/>
          <w:i/>
          <w:iCs/>
          <w:color w:val="000000" w:themeColor="text1"/>
          <w:lang w:val="es-ES_tradnl"/>
        </w:rPr>
        <w:t xml:space="preserve"> en Procesos de Contratación</w:t>
      </w:r>
      <w:r w:rsidR="00FE51AF" w:rsidRPr="00E04FE0">
        <w:rPr>
          <w:rFonts w:ascii="Century Gothic" w:hAnsi="Century Gothic" w:cs="Arial"/>
          <w:color w:val="000000" w:themeColor="text1"/>
          <w:lang w:val="es-ES_tradnl"/>
        </w:rPr>
        <w:t>”</w:t>
      </w:r>
      <w:r w:rsidR="00EA602A" w:rsidRPr="00E04FE0">
        <w:rPr>
          <w:rFonts w:ascii="Century Gothic" w:hAnsi="Century Gothic" w:cs="Arial"/>
          <w:color w:val="000000" w:themeColor="text1"/>
          <w:lang w:val="es-ES_tradnl"/>
        </w:rPr>
        <w:t>,</w:t>
      </w:r>
      <w:r w:rsidR="00E221A2" w:rsidRPr="00E04FE0">
        <w:rPr>
          <w:rFonts w:ascii="Century Gothic" w:hAnsi="Century Gothic" w:cs="Arial"/>
          <w:color w:val="000000" w:themeColor="text1"/>
          <w:lang w:val="es-ES_tradnl"/>
        </w:rPr>
        <w:t xml:space="preserve"> dentro de un proceso de selección </w:t>
      </w:r>
      <w:r w:rsidR="003E52FE" w:rsidRPr="00E04FE0">
        <w:rPr>
          <w:rFonts w:ascii="Century Gothic" w:hAnsi="Century Gothic" w:cs="Arial"/>
          <w:color w:val="000000" w:themeColor="text1"/>
          <w:lang w:val="es-ES_tradnl"/>
        </w:rPr>
        <w:t>que utilice l</w:t>
      </w:r>
      <w:r w:rsidR="000C7D79" w:rsidRPr="00E04FE0">
        <w:rPr>
          <w:rFonts w:ascii="Century Gothic" w:hAnsi="Century Gothic" w:cs="Arial"/>
          <w:color w:val="000000" w:themeColor="text1"/>
          <w:lang w:val="es-ES_tradnl"/>
        </w:rPr>
        <w:t xml:space="preserve">a metodología de la </w:t>
      </w:r>
      <w:r w:rsidR="00E221A2" w:rsidRPr="00E04FE0">
        <w:rPr>
          <w:rFonts w:ascii="Century Gothic" w:hAnsi="Century Gothic" w:cs="Arial"/>
          <w:color w:val="000000" w:themeColor="text1"/>
          <w:lang w:val="es-ES_tradnl"/>
        </w:rPr>
        <w:t>subasta a la inversa,</w:t>
      </w:r>
      <w:r w:rsidR="002E762E" w:rsidRPr="00E04FE0">
        <w:rPr>
          <w:rFonts w:ascii="Century Gothic" w:hAnsi="Century Gothic" w:cs="Arial"/>
          <w:color w:val="000000" w:themeColor="text1"/>
          <w:lang w:val="es-ES_tradnl"/>
        </w:rPr>
        <w:t xml:space="preserve"> </w:t>
      </w:r>
      <w:r w:rsidR="006914BF" w:rsidRPr="00E04FE0">
        <w:rPr>
          <w:rFonts w:ascii="Century Gothic" w:hAnsi="Century Gothic" w:cs="Arial"/>
          <w:color w:val="000000" w:themeColor="text1"/>
          <w:lang w:val="es-ES_tradnl"/>
        </w:rPr>
        <w:t xml:space="preserve">Usted realiza la siguiente consulta: </w:t>
      </w:r>
    </w:p>
    <w:p w14:paraId="1B945556" w14:textId="3CD138D5" w:rsidR="005D1565" w:rsidRPr="00E04FE0" w:rsidRDefault="005C711C" w:rsidP="00BE38B8">
      <w:pPr>
        <w:spacing w:after="0" w:line="240" w:lineRule="auto"/>
        <w:ind w:left="709" w:right="709"/>
        <w:jc w:val="both"/>
        <w:rPr>
          <w:rFonts w:ascii="Century Gothic" w:hAnsi="Century Gothic" w:cs="Arial"/>
          <w:iCs/>
          <w:sz w:val="21"/>
          <w:szCs w:val="21"/>
          <w:lang w:eastAsia="es-MX"/>
        </w:rPr>
      </w:pPr>
      <w:r w:rsidRPr="00E04FE0">
        <w:rPr>
          <w:rFonts w:ascii="Century Gothic" w:hAnsi="Century Gothic" w:cs="Arial"/>
          <w:iCs/>
          <w:sz w:val="21"/>
          <w:szCs w:val="21"/>
          <w:lang w:eastAsia="es-MX"/>
        </w:rPr>
        <w:t>“</w:t>
      </w:r>
      <w:r w:rsidR="005D1565" w:rsidRPr="00E04FE0">
        <w:rPr>
          <w:rFonts w:ascii="Century Gothic" w:hAnsi="Century Gothic" w:cs="Arial"/>
          <w:iCs/>
          <w:sz w:val="21"/>
          <w:szCs w:val="21"/>
          <w:lang w:eastAsia="es-MX"/>
        </w:rPr>
        <w:t>La inquietud va dirigida en definir cuál es el conjunto de valores que se toman para aplicar la precitada metodología cuando se ha realizado el evento de subasta, teniendo</w:t>
      </w:r>
      <w:r w:rsidR="00EA602A" w:rsidRPr="00E04FE0">
        <w:rPr>
          <w:rFonts w:ascii="Century Gothic" w:hAnsi="Century Gothic" w:cs="Arial"/>
          <w:iCs/>
          <w:sz w:val="21"/>
          <w:szCs w:val="21"/>
          <w:lang w:eastAsia="es-MX"/>
        </w:rPr>
        <w:t xml:space="preserve"> </w:t>
      </w:r>
      <w:r w:rsidR="005D1565" w:rsidRPr="00E04FE0">
        <w:rPr>
          <w:rFonts w:ascii="Century Gothic" w:hAnsi="Century Gothic" w:cs="Arial"/>
          <w:iCs/>
          <w:sz w:val="21"/>
          <w:szCs w:val="21"/>
          <w:lang w:eastAsia="es-MX"/>
        </w:rPr>
        <w:t>en cuenta que la Guía para el manejo de ofertas artificialmente bajas en Procesos de</w:t>
      </w:r>
      <w:r w:rsidR="00EA602A" w:rsidRPr="00E04FE0">
        <w:rPr>
          <w:rFonts w:ascii="Century Gothic" w:hAnsi="Century Gothic" w:cs="Arial"/>
          <w:iCs/>
          <w:sz w:val="21"/>
          <w:szCs w:val="21"/>
          <w:lang w:eastAsia="es-MX"/>
        </w:rPr>
        <w:t xml:space="preserve"> </w:t>
      </w:r>
      <w:r w:rsidR="005D1565" w:rsidRPr="00E04FE0">
        <w:rPr>
          <w:rFonts w:ascii="Century Gothic" w:hAnsi="Century Gothic" w:cs="Arial"/>
          <w:iCs/>
          <w:sz w:val="21"/>
          <w:szCs w:val="21"/>
          <w:lang w:eastAsia="es-MX"/>
        </w:rPr>
        <w:t>Contratación menciona que el conjunto de valores corresponde al "valor ofertado", en</w:t>
      </w:r>
      <w:r w:rsidR="00791DDF" w:rsidRPr="00E04FE0">
        <w:rPr>
          <w:rFonts w:ascii="Century Gothic" w:hAnsi="Century Gothic" w:cs="Arial"/>
          <w:iCs/>
          <w:sz w:val="21"/>
          <w:szCs w:val="21"/>
          <w:lang w:eastAsia="es-MX"/>
        </w:rPr>
        <w:t xml:space="preserve"> </w:t>
      </w:r>
      <w:r w:rsidR="005D1565" w:rsidRPr="00E04FE0">
        <w:rPr>
          <w:rFonts w:ascii="Century Gothic" w:hAnsi="Century Gothic" w:cs="Arial"/>
          <w:iCs/>
          <w:sz w:val="21"/>
          <w:szCs w:val="21"/>
          <w:lang w:eastAsia="es-MX"/>
        </w:rPr>
        <w:t>ese sentido:</w:t>
      </w:r>
    </w:p>
    <w:p w14:paraId="1EE31721" w14:textId="35DC3EA3" w:rsidR="00791DDF" w:rsidRPr="00E04FE0" w:rsidRDefault="00BE38B8" w:rsidP="00BE38B8">
      <w:pPr>
        <w:tabs>
          <w:tab w:val="left" w:pos="2460"/>
        </w:tabs>
        <w:spacing w:after="0" w:line="240" w:lineRule="auto"/>
        <w:ind w:left="709" w:right="709"/>
        <w:jc w:val="both"/>
        <w:rPr>
          <w:rFonts w:ascii="Century Gothic" w:hAnsi="Century Gothic" w:cs="Arial"/>
          <w:iCs/>
          <w:sz w:val="21"/>
          <w:szCs w:val="21"/>
          <w:lang w:eastAsia="es-MX"/>
        </w:rPr>
      </w:pPr>
      <w:r w:rsidRPr="00E04FE0">
        <w:rPr>
          <w:rFonts w:ascii="Century Gothic" w:hAnsi="Century Gothic" w:cs="Arial"/>
          <w:iCs/>
          <w:sz w:val="21"/>
          <w:szCs w:val="21"/>
          <w:lang w:eastAsia="es-MX"/>
        </w:rPr>
        <w:tab/>
      </w:r>
    </w:p>
    <w:p w14:paraId="0DAF50E0" w14:textId="2A664C1D" w:rsidR="006914BF" w:rsidRPr="00E04FE0" w:rsidRDefault="005D1565" w:rsidP="00BE38B8">
      <w:pPr>
        <w:spacing w:after="120" w:line="240" w:lineRule="auto"/>
        <w:ind w:left="709" w:right="709"/>
        <w:jc w:val="both"/>
        <w:rPr>
          <w:rFonts w:ascii="Century Gothic" w:hAnsi="Century Gothic" w:cs="Arial"/>
          <w:iCs/>
          <w:sz w:val="21"/>
          <w:szCs w:val="21"/>
          <w:lang w:eastAsia="es-MX"/>
        </w:rPr>
      </w:pPr>
      <w:r w:rsidRPr="00E04FE0">
        <w:rPr>
          <w:rFonts w:ascii="Century Gothic" w:hAnsi="Century Gothic" w:cs="Arial"/>
          <w:iCs/>
          <w:sz w:val="21"/>
          <w:szCs w:val="21"/>
          <w:lang w:eastAsia="es-MX"/>
        </w:rPr>
        <w:t>¿</w:t>
      </w:r>
      <w:r w:rsidR="00791DDF" w:rsidRPr="00E04FE0">
        <w:rPr>
          <w:rFonts w:ascii="Century Gothic" w:hAnsi="Century Gothic" w:cs="Arial"/>
          <w:iCs/>
          <w:sz w:val="21"/>
          <w:szCs w:val="21"/>
          <w:lang w:eastAsia="es-MX"/>
        </w:rPr>
        <w:t>cuál</w:t>
      </w:r>
      <w:r w:rsidRPr="00E04FE0">
        <w:rPr>
          <w:rFonts w:ascii="Century Gothic" w:hAnsi="Century Gothic" w:cs="Arial"/>
          <w:iCs/>
          <w:sz w:val="21"/>
          <w:szCs w:val="21"/>
          <w:lang w:eastAsia="es-MX"/>
        </w:rPr>
        <w:t xml:space="preserve"> es el valor ofertado que se debe tener en cuenta en esta metodología, el último</w:t>
      </w:r>
      <w:r w:rsidR="00791DDF" w:rsidRPr="00E04FE0">
        <w:rPr>
          <w:rFonts w:ascii="Century Gothic" w:hAnsi="Century Gothic" w:cs="Arial"/>
          <w:iCs/>
          <w:sz w:val="21"/>
          <w:szCs w:val="21"/>
          <w:lang w:eastAsia="es-MX"/>
        </w:rPr>
        <w:t xml:space="preserve"> </w:t>
      </w:r>
      <w:r w:rsidRPr="00E04FE0">
        <w:rPr>
          <w:rFonts w:ascii="Century Gothic" w:hAnsi="Century Gothic" w:cs="Arial"/>
          <w:iCs/>
          <w:sz w:val="21"/>
          <w:szCs w:val="21"/>
          <w:lang w:eastAsia="es-MX"/>
        </w:rPr>
        <w:t>lance de cada proveedor o su ofrecimiento final?</w:t>
      </w:r>
      <w:r w:rsidR="00D57B50" w:rsidRPr="00E04FE0">
        <w:rPr>
          <w:rFonts w:ascii="Century Gothic" w:hAnsi="Century Gothic" w:cs="Arial"/>
          <w:iCs/>
          <w:sz w:val="21"/>
          <w:szCs w:val="21"/>
          <w:lang w:eastAsia="es-MX"/>
        </w:rPr>
        <w:t>”</w:t>
      </w:r>
      <w:r w:rsidR="006914BF" w:rsidRPr="00E04FE0">
        <w:rPr>
          <w:rFonts w:ascii="Century Gothic" w:hAnsi="Century Gothic" w:cs="Arial"/>
          <w:iCs/>
          <w:sz w:val="21"/>
          <w:szCs w:val="21"/>
          <w:lang w:eastAsia="es-MX"/>
        </w:rPr>
        <w:t xml:space="preserve"> (sic).</w:t>
      </w:r>
    </w:p>
    <w:p w14:paraId="19BE60D8" w14:textId="77777777" w:rsidR="006914BF" w:rsidRPr="00E04FE0" w:rsidRDefault="006914BF" w:rsidP="00BE38B8">
      <w:pPr>
        <w:spacing w:after="0" w:line="240" w:lineRule="auto"/>
        <w:ind w:left="709" w:right="709"/>
        <w:jc w:val="both"/>
        <w:rPr>
          <w:rFonts w:ascii="Century Gothic" w:hAnsi="Century Gothic" w:cs="Arial"/>
          <w:iCs/>
          <w:lang w:eastAsia="es-MX"/>
        </w:rPr>
      </w:pPr>
    </w:p>
    <w:p w14:paraId="3795EC2D" w14:textId="77777777" w:rsidR="006914BF" w:rsidRPr="00E04FE0" w:rsidRDefault="006914BF" w:rsidP="00BE38B8">
      <w:pPr>
        <w:pStyle w:val="NormalWeb"/>
        <w:numPr>
          <w:ilvl w:val="0"/>
          <w:numId w:val="16"/>
        </w:numPr>
        <w:spacing w:before="0" w:beforeAutospacing="0" w:after="120" w:afterAutospacing="0" w:line="276" w:lineRule="auto"/>
        <w:jc w:val="both"/>
        <w:rPr>
          <w:rFonts w:ascii="Century Gothic" w:hAnsi="Century Gothic" w:cs="Arial"/>
          <w:sz w:val="22"/>
          <w:szCs w:val="22"/>
        </w:rPr>
      </w:pPr>
      <w:r w:rsidRPr="00E04FE0">
        <w:rPr>
          <w:rFonts w:ascii="Century Gothic" w:eastAsia="Calibri" w:hAnsi="Century Gothic" w:cs="Arial"/>
          <w:b/>
          <w:color w:val="000000" w:themeColor="text1"/>
          <w:sz w:val="22"/>
          <w:szCs w:val="22"/>
          <w:lang w:val="es-ES_tradnl"/>
        </w:rPr>
        <w:t>Consideraciones</w:t>
      </w:r>
    </w:p>
    <w:p w14:paraId="0D924C8C" w14:textId="72727ECB" w:rsidR="006914BF" w:rsidRPr="00E04FE0" w:rsidRDefault="006914BF" w:rsidP="00BE38B8">
      <w:pPr>
        <w:spacing w:after="120" w:line="276" w:lineRule="auto"/>
        <w:jc w:val="both"/>
        <w:rPr>
          <w:rFonts w:ascii="Century Gothic" w:eastAsia="Calibri" w:hAnsi="Century Gothic" w:cs="Arial"/>
          <w:color w:val="000000" w:themeColor="text1"/>
          <w:lang w:val="es-ES"/>
        </w:rPr>
      </w:pPr>
      <w:r w:rsidRPr="00E04FE0">
        <w:rPr>
          <w:rFonts w:ascii="Century Gothic" w:eastAsia="Calibri" w:hAnsi="Century Gothic" w:cs="Arial"/>
          <w:color w:val="000000" w:themeColor="text1"/>
          <w:lang w:val="es-ES"/>
        </w:rPr>
        <w:t xml:space="preserve">La Subdirección de Gestión Contractual, dentro de los límites de su competencia, resolverá la consulta conforme a las normas generales en materia de contratación estatal. Con este objeto se analizará: i) el trámite del certamen de la subasta dentro de los procesos de selección abreviada y licitación pública; </w:t>
      </w:r>
      <w:r w:rsidR="008D7E7F" w:rsidRPr="00E04FE0">
        <w:rPr>
          <w:rFonts w:ascii="Century Gothic" w:eastAsia="Calibri" w:hAnsi="Century Gothic" w:cs="Arial"/>
          <w:color w:val="000000" w:themeColor="text1"/>
          <w:lang w:val="es-ES"/>
        </w:rPr>
        <w:t xml:space="preserve">y, </w:t>
      </w:r>
      <w:proofErr w:type="spellStart"/>
      <w:r w:rsidRPr="00E04FE0">
        <w:rPr>
          <w:rFonts w:ascii="Century Gothic" w:eastAsia="Calibri" w:hAnsi="Century Gothic" w:cs="Arial"/>
          <w:color w:val="000000" w:themeColor="text1"/>
          <w:lang w:val="es-ES"/>
        </w:rPr>
        <w:t>ii</w:t>
      </w:r>
      <w:proofErr w:type="spellEnd"/>
      <w:r w:rsidRPr="00E04FE0">
        <w:rPr>
          <w:rFonts w:ascii="Century Gothic" w:eastAsia="Calibri" w:hAnsi="Century Gothic" w:cs="Arial"/>
          <w:color w:val="000000" w:themeColor="text1"/>
          <w:lang w:val="es-ES"/>
        </w:rPr>
        <w:t>) análisis de ofertas con presunto precio artificialmente bajo presentadas en el marco de una subasta inversa.</w:t>
      </w:r>
    </w:p>
    <w:p w14:paraId="408F544D" w14:textId="1E2F88D1" w:rsidR="006914BF" w:rsidRPr="00E04FE0" w:rsidRDefault="006914BF" w:rsidP="00BE38B8">
      <w:pPr>
        <w:spacing w:after="120" w:line="276" w:lineRule="auto"/>
        <w:ind w:firstLine="708"/>
        <w:jc w:val="both"/>
        <w:rPr>
          <w:rStyle w:val="normaltextrun"/>
          <w:rFonts w:ascii="Century Gothic" w:hAnsi="Century Gothic" w:cs="Arial"/>
          <w:shd w:val="clear" w:color="auto" w:fill="FFFFFF"/>
        </w:rPr>
      </w:pPr>
      <w:r w:rsidRPr="00E04FE0">
        <w:rPr>
          <w:rFonts w:ascii="Century Gothic" w:hAnsi="Century Gothic" w:cs="Arial"/>
        </w:rPr>
        <w:t xml:space="preserve">La Agencia Nacional de Contratación Pública – Colombia Compra Eficiente, ha estudiado </w:t>
      </w:r>
      <w:r w:rsidRPr="00E04FE0">
        <w:rPr>
          <w:rFonts w:ascii="Century Gothic" w:eastAsia="Calibri" w:hAnsi="Century Gothic" w:cs="Arial"/>
        </w:rPr>
        <w:t xml:space="preserve">la naturaleza jurídica de la modalidad de selección por subasta, especialmente la inversa, y su procedimiento en los siguientes conceptos: </w:t>
      </w:r>
      <w:r w:rsidRPr="00E04FE0">
        <w:rPr>
          <w:rStyle w:val="normaltextrun"/>
          <w:rFonts w:ascii="Century Gothic" w:hAnsi="Century Gothic" w:cs="Arial"/>
          <w:shd w:val="clear" w:color="auto" w:fill="FFFFFF"/>
        </w:rPr>
        <w:t xml:space="preserve">C-008 del 14 de mayo de 2020; C-024 del 24 de febrero de 2021; C-123 del 5 de abril de 2021; C- 733 de 9 de noviembre de 2022; y, C-798 de 21 de noviembre de 2022, entre otros. Por su parte, frente </w:t>
      </w:r>
      <w:r w:rsidRPr="00E04FE0">
        <w:rPr>
          <w:rFonts w:ascii="Century Gothic" w:hAnsi="Century Gothic" w:cs="Arial"/>
        </w:rPr>
        <w:t>a la evaluación de ofertas con precio artificialmente bajo se analizó la noción y su alcance en los siguientes conceptos: 2201913000007853 del 21 de octubre de 2019; 2201913000008058 del 28 de octubre de 2019; 2201913000008288 del 7 de noviembre de 2019; 2201913000009110 del 11 de diciembre de 2019; 2201913000009489 del 20 de diciembre de 2019; 2202013000000038 del 7 de enero de 2020; C-012 del 28 de enero de 2020; C-163 del 31 de marzo de 2020; C-200 del 14 de abril de 2020; C-767 del 7 de enero de 2021, C-205 del 7 de mayo de 2021; C-299 del 14 de mayo de 2022; y, C – 952 de 2022 del 20 de enero de 2023</w:t>
      </w:r>
      <w:r w:rsidR="00D328DB" w:rsidRPr="00E04FE0">
        <w:rPr>
          <w:rFonts w:ascii="Century Gothic" w:hAnsi="Century Gothic" w:cs="Arial"/>
        </w:rPr>
        <w:t xml:space="preserve"> y C-022 de </w:t>
      </w:r>
      <w:r w:rsidR="00785787" w:rsidRPr="00E04FE0">
        <w:rPr>
          <w:rFonts w:ascii="Century Gothic" w:hAnsi="Century Gothic" w:cs="Arial"/>
        </w:rPr>
        <w:t>16 de febrero de 2023</w:t>
      </w:r>
      <w:r w:rsidRPr="00E04FE0">
        <w:rPr>
          <w:rFonts w:ascii="Century Gothic" w:hAnsi="Century Gothic" w:cs="Arial"/>
        </w:rPr>
        <w:t>, entre otros</w:t>
      </w:r>
      <w:r w:rsidRPr="00E04FE0">
        <w:rPr>
          <w:rStyle w:val="Refdenotaalpie"/>
          <w:rFonts w:ascii="Century Gothic" w:hAnsi="Century Gothic" w:cs="Arial"/>
          <w:shd w:val="clear" w:color="auto" w:fill="FFFFFF"/>
        </w:rPr>
        <w:footnoteReference w:id="1"/>
      </w:r>
      <w:r w:rsidRPr="00E04FE0">
        <w:rPr>
          <w:rFonts w:ascii="Century Gothic" w:hAnsi="Century Gothic" w:cs="Arial"/>
        </w:rPr>
        <w:t>. Las tesis propuestas se reiteran y complementan en lo pertinente a continuación.</w:t>
      </w:r>
    </w:p>
    <w:p w14:paraId="55A1E5B6" w14:textId="77777777" w:rsidR="006914BF" w:rsidRPr="00E04FE0" w:rsidRDefault="006914BF" w:rsidP="00BE38B8">
      <w:pPr>
        <w:spacing w:after="120" w:line="276" w:lineRule="auto"/>
        <w:jc w:val="both"/>
        <w:rPr>
          <w:rFonts w:ascii="Century Gothic" w:eastAsia="Calibri" w:hAnsi="Century Gothic" w:cs="Arial"/>
          <w:b/>
          <w:bCs/>
          <w:color w:val="000000" w:themeColor="text1"/>
          <w:lang w:val="es-ES"/>
        </w:rPr>
      </w:pPr>
      <w:r w:rsidRPr="00E04FE0">
        <w:rPr>
          <w:rFonts w:ascii="Century Gothic" w:hAnsi="Century Gothic" w:cs="Arial"/>
          <w:b/>
          <w:bCs/>
          <w:lang w:eastAsia="es-MX"/>
        </w:rPr>
        <w:t xml:space="preserve">2.1 </w:t>
      </w:r>
      <w:bookmarkStart w:id="1" w:name="_Hlk127442971"/>
      <w:r w:rsidRPr="00E04FE0">
        <w:rPr>
          <w:rFonts w:ascii="Century Gothic" w:eastAsia="Calibri" w:hAnsi="Century Gothic" w:cs="Arial"/>
          <w:b/>
          <w:bCs/>
          <w:color w:val="000000" w:themeColor="text1"/>
          <w:lang w:val="es-ES"/>
        </w:rPr>
        <w:t>El trámite del certamen de la subasta dentro de los procesos de selección abreviada y licitación pública</w:t>
      </w:r>
      <w:bookmarkEnd w:id="1"/>
    </w:p>
    <w:p w14:paraId="3EF66BDB" w14:textId="64C3763B" w:rsidR="006914BF" w:rsidRPr="00E04FE0" w:rsidRDefault="006914BF" w:rsidP="00BE38B8">
      <w:pPr>
        <w:spacing w:after="120" w:line="276" w:lineRule="auto"/>
        <w:jc w:val="both"/>
        <w:rPr>
          <w:rFonts w:ascii="Century Gothic" w:hAnsi="Century Gothic" w:cs="Arial"/>
          <w:shd w:val="clear" w:color="auto" w:fill="FFFFFF"/>
          <w:lang w:val="es-ES_tradnl"/>
        </w:rPr>
      </w:pPr>
      <w:r w:rsidRPr="00E04FE0">
        <w:rPr>
          <w:rFonts w:ascii="Century Gothic" w:hAnsi="Century Gothic" w:cs="Arial"/>
          <w:shd w:val="clear" w:color="auto" w:fill="FFFFFF"/>
          <w:lang w:val="es-ES_tradnl"/>
        </w:rPr>
        <w:t xml:space="preserve">La subasta como metodología de selección de ofertas económicas en los Procesos de Contratación que adelantan las Entidades Estatales sometidas al Estatuto General de Contratación de la Administración Pública – EGCAP–, se ha contemplado en la Ley 1150 de 2007 para dos modalidades de selección a saber: i) selección abreviada y </w:t>
      </w:r>
      <w:proofErr w:type="spellStart"/>
      <w:r w:rsidRPr="00E04FE0">
        <w:rPr>
          <w:rFonts w:ascii="Century Gothic" w:hAnsi="Century Gothic" w:cs="Arial"/>
          <w:shd w:val="clear" w:color="auto" w:fill="FFFFFF"/>
          <w:lang w:val="es-ES_tradnl"/>
        </w:rPr>
        <w:t>ii</w:t>
      </w:r>
      <w:proofErr w:type="spellEnd"/>
      <w:r w:rsidRPr="00E04FE0">
        <w:rPr>
          <w:rFonts w:ascii="Century Gothic" w:hAnsi="Century Gothic" w:cs="Arial"/>
          <w:shd w:val="clear" w:color="auto" w:fill="FFFFFF"/>
          <w:lang w:val="es-ES_tradnl"/>
        </w:rPr>
        <w:t xml:space="preserve">) licitación pública. Esta metodología ha sido utilizada como un sistema mediante el cual se determina cual es la oferta económica más favorable en el marco de un proceso de selección, independientemente de los otros criterios de escogencia o puntuación que se hayan contemplado en los pliegos de condiciones, ya que estos pueden no reducirse únicamente a la oferta económica. En este certamen, cada oferente realizará sus ofrecimientos mediante </w:t>
      </w:r>
      <w:r w:rsidR="005C711C" w:rsidRPr="00E04FE0">
        <w:rPr>
          <w:rFonts w:ascii="Century Gothic" w:hAnsi="Century Gothic" w:cs="Arial"/>
          <w:iCs/>
          <w:lang w:eastAsia="es-MX"/>
        </w:rPr>
        <w:t>“</w:t>
      </w:r>
      <w:r w:rsidRPr="00E04FE0">
        <w:rPr>
          <w:rFonts w:ascii="Century Gothic" w:hAnsi="Century Gothic" w:cs="Arial"/>
          <w:i/>
          <w:iCs/>
          <w:shd w:val="clear" w:color="auto" w:fill="FFFFFF"/>
          <w:lang w:val="es-ES_tradnl"/>
        </w:rPr>
        <w:t>lances</w:t>
      </w:r>
      <w:r w:rsidR="00D57B50" w:rsidRPr="00E04FE0">
        <w:rPr>
          <w:rFonts w:ascii="Century Gothic" w:hAnsi="Century Gothic" w:cs="Arial"/>
          <w:iCs/>
          <w:lang w:eastAsia="es-MX"/>
        </w:rPr>
        <w:t>”</w:t>
      </w:r>
      <w:r w:rsidRPr="00E04FE0">
        <w:rPr>
          <w:rFonts w:ascii="Century Gothic" w:hAnsi="Century Gothic" w:cs="Arial"/>
          <w:shd w:val="clear" w:color="auto" w:fill="FFFFFF"/>
          <w:lang w:val="es-ES_tradnl"/>
        </w:rPr>
        <w:t xml:space="preserve"> los cuales fungen como manifestación de la voluntad de los oferentes y como ofertas económicas dinámicas, las cuáles variaran en el certamen, sin embargo, esta variabilidad no les quita su calidad de propuestas económicas.</w:t>
      </w:r>
    </w:p>
    <w:p w14:paraId="0E948A40" w14:textId="10F8F4A2" w:rsidR="006914BF" w:rsidRPr="00E04FE0" w:rsidRDefault="006914BF" w:rsidP="00BE38B8">
      <w:pPr>
        <w:spacing w:after="120" w:line="276" w:lineRule="auto"/>
        <w:ind w:firstLine="709"/>
        <w:jc w:val="both"/>
        <w:rPr>
          <w:rFonts w:ascii="Century Gothic" w:hAnsi="Century Gothic" w:cs="Arial"/>
          <w:highlight w:val="yellow"/>
          <w:shd w:val="clear" w:color="auto" w:fill="FFFFFF"/>
          <w:lang w:val="es-ES_tradnl"/>
        </w:rPr>
      </w:pPr>
      <w:r w:rsidRPr="00E04FE0">
        <w:rPr>
          <w:rFonts w:ascii="Century Gothic" w:hAnsi="Century Gothic" w:cs="Arial"/>
          <w:shd w:val="clear" w:color="auto" w:fill="FFFFFF"/>
          <w:lang w:val="es-ES_tradnl"/>
        </w:rPr>
        <w:t>Es importante indicar que la subasta ordinaria, también conocida como subasta de avance, contempla una metodología donde los compradores compiten para obtener un bien o servicio, ofreciendo precios cada vez más altos, a través de los Lances, como podemos observar en los Procesos de Contratación</w:t>
      </w:r>
      <w:r w:rsidRPr="00E04FE0">
        <w:rPr>
          <w:rFonts w:ascii="Century Gothic" w:eastAsia="Calibri" w:hAnsi="Century Gothic" w:cs="Arial"/>
          <w:iCs/>
          <w:lang w:val="es-ES_tradnl"/>
        </w:rPr>
        <w:t xml:space="preserve"> de enajenación </w:t>
      </w:r>
      <w:r w:rsidRPr="00E04FE0">
        <w:rPr>
          <w:rFonts w:ascii="Century Gothic" w:eastAsia="Calibri" w:hAnsi="Century Gothic" w:cs="Arial"/>
          <w:iCs/>
        </w:rPr>
        <w:t>directa a través de subasta pública mediante la modalidad de selección abreviada, cuyo procedimiento se explica en el artículo 2.2.1.2.2.2.2</w:t>
      </w:r>
      <w:r w:rsidRPr="00E04FE0">
        <w:rPr>
          <w:rFonts w:ascii="Century Gothic" w:hAnsi="Century Gothic" w:cs="Arial"/>
          <w:shd w:val="clear" w:color="auto" w:fill="FFFFFF"/>
          <w:lang w:val="es-ES_tradnl"/>
        </w:rPr>
        <w:t xml:space="preserve"> del Decreto 1082 de 1025. Por otro lado, la subasta se puede clasificar a su vez como </w:t>
      </w:r>
      <w:r w:rsidRPr="00E04FE0">
        <w:rPr>
          <w:rFonts w:ascii="Century Gothic" w:hAnsi="Century Gothic" w:cs="Arial"/>
          <w:i/>
          <w:shd w:val="clear" w:color="auto" w:fill="FFFFFF"/>
          <w:lang w:val="es-ES_tradnl"/>
        </w:rPr>
        <w:t>inversa</w:t>
      </w:r>
      <w:r w:rsidRPr="00E04FE0">
        <w:rPr>
          <w:rFonts w:ascii="Century Gothic" w:hAnsi="Century Gothic" w:cs="Arial"/>
          <w:shd w:val="clear" w:color="auto" w:fill="FFFFFF"/>
          <w:lang w:val="es-ES_tradnl"/>
        </w:rPr>
        <w:t xml:space="preserve"> o </w:t>
      </w:r>
      <w:r w:rsidRPr="00E04FE0">
        <w:rPr>
          <w:rFonts w:ascii="Century Gothic" w:hAnsi="Century Gothic" w:cs="Arial"/>
          <w:i/>
          <w:shd w:val="clear" w:color="auto" w:fill="FFFFFF"/>
          <w:lang w:val="es-ES_tradnl"/>
        </w:rPr>
        <w:t>reversa</w:t>
      </w:r>
      <w:r w:rsidRPr="00E04FE0">
        <w:rPr>
          <w:rFonts w:ascii="Century Gothic" w:hAnsi="Century Gothic" w:cs="Arial"/>
          <w:shd w:val="clear" w:color="auto" w:fill="FFFFFF"/>
          <w:lang w:val="es-ES_tradnl"/>
        </w:rPr>
        <w:t>, cuya metodología invierte el procedimiento de la subasta ordinaria, puesto que los vendedores compiten para obtener un negocio del comprador, para ello los Lances realizados sobre la oferta económica tienen como objetivo disminuir los precios a medida que los vendedores socavan y compiten mutuamente, como</w:t>
      </w:r>
      <w:r w:rsidR="009C5BD7" w:rsidRPr="00E04FE0">
        <w:rPr>
          <w:rFonts w:ascii="Century Gothic" w:hAnsi="Century Gothic" w:cs="Arial"/>
          <w:shd w:val="clear" w:color="auto" w:fill="FFFFFF"/>
          <w:lang w:val="es-ES_tradnl"/>
        </w:rPr>
        <w:t>,</w:t>
      </w:r>
      <w:r w:rsidRPr="00E04FE0">
        <w:rPr>
          <w:rFonts w:ascii="Century Gothic" w:hAnsi="Century Gothic" w:cs="Arial"/>
          <w:shd w:val="clear" w:color="auto" w:fill="FFFFFF"/>
          <w:lang w:val="es-ES_tradnl"/>
        </w:rPr>
        <w:t xml:space="preserve"> </w:t>
      </w:r>
      <w:r w:rsidR="00AA0D7E" w:rsidRPr="00E04FE0">
        <w:rPr>
          <w:rFonts w:ascii="Century Gothic" w:hAnsi="Century Gothic" w:cs="Arial"/>
          <w:shd w:val="clear" w:color="auto" w:fill="FFFFFF"/>
          <w:lang w:val="es-ES_tradnl"/>
        </w:rPr>
        <w:t>por ejemplo</w:t>
      </w:r>
      <w:r w:rsidR="009C5BD7" w:rsidRPr="00E04FE0">
        <w:rPr>
          <w:rFonts w:ascii="Century Gothic" w:hAnsi="Century Gothic" w:cs="Arial"/>
          <w:shd w:val="clear" w:color="auto" w:fill="FFFFFF"/>
          <w:lang w:val="es-ES_tradnl"/>
        </w:rPr>
        <w:t>,</w:t>
      </w:r>
      <w:r w:rsidRPr="00E04FE0">
        <w:rPr>
          <w:rFonts w:ascii="Century Gothic" w:hAnsi="Century Gothic" w:cs="Arial"/>
          <w:shd w:val="clear" w:color="auto" w:fill="FFFFFF"/>
          <w:lang w:val="es-ES_tradnl"/>
        </w:rPr>
        <w:t xml:space="preserve"> en los Procesos de Contratación para la </w:t>
      </w:r>
      <w:r w:rsidRPr="00E04FE0">
        <w:rPr>
          <w:rFonts w:ascii="Century Gothic" w:hAnsi="Century Gothic" w:cs="Arial"/>
        </w:rPr>
        <w:t xml:space="preserve">adquisición o suministro de </w:t>
      </w:r>
      <w:r w:rsidR="00106CEA" w:rsidRPr="00E04FE0">
        <w:rPr>
          <w:rFonts w:ascii="Century Gothic" w:hAnsi="Century Gothic" w:cs="Arial"/>
        </w:rPr>
        <w:t>bienes y servicios de características técnicas uniformes y de común utilización</w:t>
      </w:r>
      <w:r w:rsidRPr="00E04FE0">
        <w:rPr>
          <w:rFonts w:ascii="Century Gothic" w:hAnsi="Century Gothic" w:cs="Arial"/>
        </w:rPr>
        <w:t xml:space="preserve"> por parte de las Entidades Estatales</w:t>
      </w:r>
      <w:r w:rsidR="00863DFF" w:rsidRPr="00E04FE0">
        <w:rPr>
          <w:rFonts w:ascii="Century Gothic" w:hAnsi="Century Gothic" w:cs="Arial"/>
        </w:rPr>
        <w:t>,</w:t>
      </w:r>
      <w:r w:rsidRPr="00E04FE0">
        <w:rPr>
          <w:rFonts w:ascii="Century Gothic" w:hAnsi="Century Gothic" w:cs="Arial"/>
        </w:rPr>
        <w:t xml:space="preserve"> que se realiza comúnmente bajo </w:t>
      </w:r>
      <w:r w:rsidR="00112928" w:rsidRPr="00E04FE0">
        <w:rPr>
          <w:rFonts w:ascii="Century Gothic" w:hAnsi="Century Gothic" w:cs="Arial"/>
        </w:rPr>
        <w:t>la modalidad</w:t>
      </w:r>
      <w:r w:rsidRPr="00E04FE0">
        <w:rPr>
          <w:rFonts w:ascii="Century Gothic" w:hAnsi="Century Gothic" w:cs="Arial"/>
        </w:rPr>
        <w:t xml:space="preserve"> de selección abreviada por subasta inversa</w:t>
      </w:r>
      <w:r w:rsidR="008D04DD" w:rsidRPr="00E04FE0">
        <w:rPr>
          <w:rFonts w:ascii="Century Gothic" w:hAnsi="Century Gothic" w:cs="Arial"/>
        </w:rPr>
        <w:t>. Otro ejemplo</w:t>
      </w:r>
      <w:r w:rsidR="00FB7148" w:rsidRPr="00E04FE0">
        <w:rPr>
          <w:rFonts w:ascii="Century Gothic" w:hAnsi="Century Gothic" w:cs="Arial"/>
        </w:rPr>
        <w:t>,</w:t>
      </w:r>
      <w:r w:rsidR="008D04DD" w:rsidRPr="00E04FE0">
        <w:rPr>
          <w:rFonts w:ascii="Century Gothic" w:hAnsi="Century Gothic" w:cs="Arial"/>
        </w:rPr>
        <w:t xml:space="preserve"> es la utilización de esta metodología </w:t>
      </w:r>
      <w:r w:rsidRPr="00E04FE0">
        <w:rPr>
          <w:rFonts w:ascii="Century Gothic" w:hAnsi="Century Gothic" w:cs="Arial"/>
        </w:rPr>
        <w:t>en los procesos</w:t>
      </w:r>
      <w:r w:rsidR="008D04DD" w:rsidRPr="00E04FE0">
        <w:rPr>
          <w:rFonts w:ascii="Century Gothic" w:hAnsi="Century Gothic" w:cs="Arial"/>
        </w:rPr>
        <w:t xml:space="preserve"> de selección </w:t>
      </w:r>
      <w:r w:rsidR="00CD3CF0" w:rsidRPr="00E04FE0">
        <w:rPr>
          <w:rFonts w:ascii="Century Gothic" w:hAnsi="Century Gothic" w:cs="Arial"/>
        </w:rPr>
        <w:t>adelantados</w:t>
      </w:r>
      <w:r w:rsidRPr="00E04FE0">
        <w:rPr>
          <w:rFonts w:ascii="Century Gothic" w:hAnsi="Century Gothic" w:cs="Arial"/>
        </w:rPr>
        <w:t xml:space="preserve"> bajo la modalidad de licitación pública que hayan contemplado</w:t>
      </w:r>
      <w:r w:rsidR="00CD3CF0" w:rsidRPr="00E04FE0">
        <w:rPr>
          <w:rFonts w:ascii="Century Gothic" w:hAnsi="Century Gothic" w:cs="Arial"/>
        </w:rPr>
        <w:t>,</w:t>
      </w:r>
      <w:r w:rsidRPr="00E04FE0">
        <w:rPr>
          <w:rFonts w:ascii="Century Gothic" w:hAnsi="Century Gothic" w:cs="Arial"/>
        </w:rPr>
        <w:t xml:space="preserve"> en sus pliegos de condiciones</w:t>
      </w:r>
      <w:r w:rsidR="00CD3CF0" w:rsidRPr="00E04FE0">
        <w:rPr>
          <w:rFonts w:ascii="Century Gothic" w:hAnsi="Century Gothic" w:cs="Arial"/>
        </w:rPr>
        <w:t>,</w:t>
      </w:r>
      <w:r w:rsidRPr="00E04FE0">
        <w:rPr>
          <w:rFonts w:ascii="Century Gothic" w:hAnsi="Century Gothic" w:cs="Arial"/>
        </w:rPr>
        <w:t xml:space="preserve"> que la oferta económica podrá ser presentada total o parcialmente de manera dinámica.</w:t>
      </w:r>
    </w:p>
    <w:p w14:paraId="73887CFB" w14:textId="316F66F8" w:rsidR="006914BF" w:rsidRPr="00E04FE0" w:rsidRDefault="006914BF" w:rsidP="00BE38B8">
      <w:pPr>
        <w:spacing w:after="120" w:line="276" w:lineRule="auto"/>
        <w:jc w:val="both"/>
        <w:rPr>
          <w:rFonts w:ascii="Century Gothic" w:hAnsi="Century Gothic" w:cs="Arial"/>
          <w:lang w:val="es-ES_tradnl" w:eastAsia="es-MX"/>
        </w:rPr>
      </w:pPr>
      <w:r w:rsidRPr="00E04FE0">
        <w:rPr>
          <w:rFonts w:ascii="Century Gothic" w:hAnsi="Century Gothic" w:cs="Arial"/>
          <w:b/>
          <w:bCs/>
          <w:lang w:val="es-ES_tradnl" w:eastAsia="es-MX"/>
        </w:rPr>
        <w:tab/>
      </w:r>
      <w:r w:rsidRPr="00E04FE0">
        <w:rPr>
          <w:rFonts w:ascii="Century Gothic" w:hAnsi="Century Gothic" w:cs="Arial"/>
          <w:lang w:val="es-ES_tradnl" w:eastAsia="es-MX"/>
        </w:rPr>
        <w:t>En ese orden de ideas, y teniendo en cuenta que su consulta no delimita la modalidad de selección en la que se está utilizando la metodología de subasta</w:t>
      </w:r>
      <w:r w:rsidR="00FB7148" w:rsidRPr="00E04FE0">
        <w:rPr>
          <w:rFonts w:ascii="Century Gothic" w:hAnsi="Century Gothic" w:cs="Arial"/>
          <w:lang w:val="es-ES_tradnl" w:eastAsia="es-MX"/>
        </w:rPr>
        <w:t xml:space="preserve"> a la </w:t>
      </w:r>
      <w:r w:rsidR="00676984" w:rsidRPr="00E04FE0">
        <w:rPr>
          <w:rFonts w:ascii="Century Gothic" w:hAnsi="Century Gothic" w:cs="Arial"/>
          <w:lang w:val="es-ES_tradnl" w:eastAsia="es-MX"/>
        </w:rPr>
        <w:t>inversa</w:t>
      </w:r>
      <w:r w:rsidRPr="00E04FE0">
        <w:rPr>
          <w:rFonts w:ascii="Century Gothic" w:hAnsi="Century Gothic" w:cs="Arial"/>
          <w:lang w:val="es-ES_tradnl" w:eastAsia="es-MX"/>
        </w:rPr>
        <w:t>, procederemos a explicar rápidamente el trámite que conlleva el certamen o la audiencia de subasta dentro de los procesos de selección abreviada y licitación pública, así:</w:t>
      </w:r>
    </w:p>
    <w:p w14:paraId="562FB12D" w14:textId="77777777" w:rsidR="006914BF" w:rsidRPr="00E04FE0" w:rsidRDefault="006914BF" w:rsidP="00BE38B8">
      <w:pPr>
        <w:spacing w:after="120" w:line="276" w:lineRule="auto"/>
        <w:ind w:firstLine="708"/>
        <w:jc w:val="both"/>
        <w:rPr>
          <w:rFonts w:ascii="Century Gothic" w:hAnsi="Century Gothic" w:cs="Arial"/>
          <w:lang w:eastAsia="es-MX"/>
        </w:rPr>
      </w:pPr>
      <w:r w:rsidRPr="00E04FE0">
        <w:rPr>
          <w:rFonts w:ascii="Century Gothic" w:hAnsi="Century Gothic" w:cs="Arial"/>
          <w:bCs/>
          <w:i/>
          <w:iCs/>
          <w:lang w:eastAsia="es-MX"/>
        </w:rPr>
        <w:t>i)</w:t>
      </w:r>
      <w:r w:rsidRPr="00E04FE0">
        <w:rPr>
          <w:rFonts w:ascii="Century Gothic" w:hAnsi="Century Gothic" w:cs="Arial"/>
          <w:bCs/>
          <w:lang w:eastAsia="es-MX"/>
        </w:rPr>
        <w:t xml:space="preserve"> </w:t>
      </w:r>
      <w:r w:rsidRPr="00E04FE0">
        <w:rPr>
          <w:rFonts w:ascii="Century Gothic" w:hAnsi="Century Gothic" w:cs="Arial"/>
          <w:i/>
          <w:lang w:eastAsia="es-MX"/>
        </w:rPr>
        <w:t>Selección abreviada por subasta inversa</w:t>
      </w:r>
      <w:r w:rsidRPr="00E04FE0">
        <w:rPr>
          <w:rFonts w:ascii="Century Gothic" w:hAnsi="Century Gothic" w:cs="Arial"/>
          <w:lang w:eastAsia="es-MX"/>
        </w:rPr>
        <w:t xml:space="preserve"> como procedimiento de selección de contratistas para la adquisición de bienes y servicios de características técnicas uniformes y de común utilización. Esta modalidad de selección fue un aporte incorporado al Estatuto General de la Contratación </w:t>
      </w:r>
      <w:r w:rsidRPr="00E04FE0">
        <w:rPr>
          <w:rFonts w:ascii="Century Gothic" w:hAnsi="Century Gothic" w:cs="Arial"/>
          <w:bCs/>
          <w:lang w:eastAsia="es-MX"/>
        </w:rPr>
        <w:t xml:space="preserve">de la Administración </w:t>
      </w:r>
      <w:r w:rsidRPr="00E04FE0">
        <w:rPr>
          <w:rFonts w:ascii="Century Gothic" w:hAnsi="Century Gothic" w:cs="Arial"/>
          <w:lang w:eastAsia="es-MX"/>
        </w:rPr>
        <w:t>Pública a partir de la vigencia de la Ley 1150 de 2007, específicamente en el literal a) del numeral 2 de su artículo 2, que pretendió ampliar el rígido paradigma contenido en la Ley 80 de 1993 que discriminaba la complejidad de los procesos de selección únicamente en razón a la cuantía. De ahí que la intención de la Ley 1150 de 2007 fue ajustar el esquema contractual colombiano a uno basado en experiencias internacionales, donde se había demostrado que el criterio que debía gobernar para modular los procesos de selección era uno basado en las características del objeto a contratar</w:t>
      </w:r>
      <w:r w:rsidRPr="00E04FE0">
        <w:rPr>
          <w:rFonts w:ascii="Century Gothic" w:hAnsi="Century Gothic" w:cs="Arial"/>
          <w:vertAlign w:val="superscript"/>
          <w:lang w:eastAsia="es-MX"/>
        </w:rPr>
        <w:footnoteReference w:id="2"/>
      </w:r>
      <w:r w:rsidRPr="00E04FE0">
        <w:rPr>
          <w:rFonts w:ascii="Century Gothic" w:hAnsi="Century Gothic" w:cs="Arial"/>
          <w:lang w:eastAsia="es-MX"/>
        </w:rPr>
        <w:t>.</w:t>
      </w:r>
    </w:p>
    <w:p w14:paraId="7EACFF42" w14:textId="77777777" w:rsidR="006914BF" w:rsidRPr="00E04FE0" w:rsidRDefault="006914BF" w:rsidP="00BE38B8">
      <w:pPr>
        <w:spacing w:after="120" w:line="276" w:lineRule="auto"/>
        <w:ind w:firstLine="709"/>
        <w:jc w:val="both"/>
        <w:rPr>
          <w:rFonts w:ascii="Century Gothic" w:hAnsi="Century Gothic" w:cs="Arial"/>
          <w:lang w:eastAsia="es-MX"/>
        </w:rPr>
      </w:pPr>
      <w:r w:rsidRPr="00E04FE0">
        <w:rPr>
          <w:rFonts w:ascii="Century Gothic" w:hAnsi="Century Gothic" w:cs="Arial"/>
          <w:lang w:eastAsia="es-MX"/>
        </w:rPr>
        <w:t>Para llevarlo a cabo, la Entidad Estatal deberá incorporar en el pliego de condiciones las especificaciones técnicas de los bienes o servicios a adquirir, los requisitos habilitantes y de participación y en el marco del documento en mención se determinarán las reglas del trámite de la subasta inversa, determinando cual es la dinámica de esta y como se desarrollará.</w:t>
      </w:r>
    </w:p>
    <w:p w14:paraId="4DC9871A" w14:textId="77777777" w:rsidR="006914BF" w:rsidRPr="00E04FE0" w:rsidRDefault="006914BF" w:rsidP="00BE38B8">
      <w:pPr>
        <w:spacing w:after="120" w:line="276" w:lineRule="auto"/>
        <w:ind w:firstLine="709"/>
        <w:jc w:val="both"/>
        <w:rPr>
          <w:rFonts w:ascii="Century Gothic" w:hAnsi="Century Gothic" w:cs="Arial"/>
          <w:bCs/>
          <w:lang w:val="es-ES" w:eastAsia="es-MX"/>
        </w:rPr>
      </w:pPr>
      <w:r w:rsidRPr="00E04FE0">
        <w:rPr>
          <w:rFonts w:ascii="Century Gothic" w:hAnsi="Century Gothic" w:cs="Arial"/>
          <w:bCs/>
          <w:lang w:val="es-ES" w:eastAsia="es-MX"/>
        </w:rPr>
        <w:t xml:space="preserve">Como se refirió el pliego de condiciones es el documento llamado a establecer las condiciones de participación de los oferentes en el proceso de selección abreviada por subasta inversa, por lo que en él se deben plasmar además de los requisitos habilitantes de los proponentes, las condiciones en las cuales se desarrollará el certamen o la audiencia de subasta inversa, determinando si la misma se realizará de manera presencial o virtual, el termino de duración, la dinámica y reglas para su desarrollo. </w:t>
      </w:r>
    </w:p>
    <w:p w14:paraId="4750E1A9" w14:textId="24E1C7E8" w:rsidR="006914BF" w:rsidRPr="00E04FE0" w:rsidRDefault="006914BF" w:rsidP="00BE38B8">
      <w:pPr>
        <w:spacing w:after="120" w:line="276" w:lineRule="auto"/>
        <w:ind w:firstLine="709"/>
        <w:jc w:val="both"/>
        <w:rPr>
          <w:rFonts w:ascii="Century Gothic" w:hAnsi="Century Gothic" w:cs="Arial"/>
          <w:bCs/>
          <w:lang w:val="es-ES" w:eastAsia="es-MX"/>
        </w:rPr>
      </w:pPr>
      <w:r w:rsidRPr="00E04FE0">
        <w:rPr>
          <w:rFonts w:ascii="Century Gothic" w:hAnsi="Century Gothic" w:cs="Arial"/>
          <w:bCs/>
          <w:lang w:val="es-ES" w:eastAsia="es-MX"/>
        </w:rPr>
        <w:t xml:space="preserve">Al respecto, es importante resaltar que toda Entidad Estatal en sus diferentes Procesos de Contratación deberán garantizar al menos: </w:t>
      </w:r>
      <w:r w:rsidRPr="00E04FE0">
        <w:rPr>
          <w:rFonts w:ascii="Century Gothic" w:hAnsi="Century Gothic" w:cs="Arial"/>
          <w:bCs/>
          <w:i/>
          <w:iCs/>
          <w:lang w:val="es-ES" w:eastAsia="es-MX"/>
        </w:rPr>
        <w:t>1</w:t>
      </w:r>
      <w:r w:rsidRPr="00E04FE0">
        <w:rPr>
          <w:rFonts w:ascii="Century Gothic" w:hAnsi="Century Gothic" w:cs="Arial"/>
          <w:i/>
          <w:lang w:val="es-ES" w:eastAsia="es-MX"/>
        </w:rPr>
        <w:t>)</w:t>
      </w:r>
      <w:r w:rsidRPr="00E04FE0">
        <w:rPr>
          <w:rFonts w:ascii="Century Gothic" w:hAnsi="Century Gothic" w:cs="Arial"/>
          <w:bCs/>
          <w:lang w:val="es-ES" w:eastAsia="es-MX"/>
        </w:rPr>
        <w:t xml:space="preserve"> que sus contratistas cuenten con la capacidad jurídica, financiera y técnica para asumir las obligaciones que se derivan del contrato a suscribir;</w:t>
      </w:r>
      <w:r w:rsidRPr="00E04FE0">
        <w:rPr>
          <w:rFonts w:ascii="Century Gothic" w:hAnsi="Century Gothic" w:cs="Arial"/>
          <w:i/>
          <w:lang w:val="es-ES" w:eastAsia="es-MX"/>
        </w:rPr>
        <w:t xml:space="preserve"> </w:t>
      </w:r>
      <w:r w:rsidRPr="00E04FE0">
        <w:rPr>
          <w:rFonts w:ascii="Century Gothic" w:hAnsi="Century Gothic" w:cs="Arial"/>
          <w:bCs/>
          <w:i/>
          <w:iCs/>
          <w:lang w:val="es-ES" w:eastAsia="es-MX"/>
        </w:rPr>
        <w:t>2</w:t>
      </w:r>
      <w:r w:rsidRPr="00E04FE0">
        <w:rPr>
          <w:rFonts w:ascii="Century Gothic" w:hAnsi="Century Gothic" w:cs="Arial"/>
          <w:i/>
          <w:lang w:val="es-ES" w:eastAsia="es-MX"/>
        </w:rPr>
        <w:t>)</w:t>
      </w:r>
      <w:r w:rsidRPr="00E04FE0">
        <w:rPr>
          <w:rFonts w:ascii="Century Gothic" w:hAnsi="Century Gothic" w:cs="Arial"/>
          <w:bCs/>
          <w:lang w:val="es-ES" w:eastAsia="es-MX"/>
        </w:rPr>
        <w:t xml:space="preserve"> deberá verificar además que su contratista no este inmerso en ninguna de las causales de inhabilidad e incompatibilidad y por consiguiente tenga capacidad para contratar con el Estado; y, finalmente </w:t>
      </w:r>
      <w:r w:rsidRPr="00E04FE0">
        <w:rPr>
          <w:rFonts w:ascii="Century Gothic" w:hAnsi="Century Gothic" w:cs="Arial"/>
          <w:bCs/>
          <w:i/>
          <w:iCs/>
          <w:lang w:val="es-ES" w:eastAsia="es-MX"/>
        </w:rPr>
        <w:t>3</w:t>
      </w:r>
      <w:r w:rsidRPr="00E04FE0">
        <w:rPr>
          <w:rFonts w:ascii="Century Gothic" w:hAnsi="Century Gothic" w:cs="Arial"/>
          <w:i/>
          <w:lang w:val="es-ES" w:eastAsia="es-MX"/>
        </w:rPr>
        <w:t>)</w:t>
      </w:r>
      <w:r w:rsidRPr="00E04FE0">
        <w:rPr>
          <w:rFonts w:ascii="Century Gothic" w:hAnsi="Century Gothic" w:cs="Arial"/>
          <w:bCs/>
          <w:lang w:val="es-ES" w:eastAsia="es-MX"/>
        </w:rPr>
        <w:t xml:space="preserve"> deberá revisar que su oferta sea acorde a la necesidad descrita por la entidad. Por esta razón, el Decreto 1082 de 2015 en su artículo 2.2.1.2.1.2.2. dispone que este proceso de selección: </w:t>
      </w:r>
      <w:r w:rsidR="005C711C" w:rsidRPr="00E04FE0">
        <w:rPr>
          <w:rFonts w:ascii="Century Gothic" w:eastAsia="Calibri" w:hAnsi="Century Gothic" w:cs="Arial"/>
        </w:rPr>
        <w:t>“</w:t>
      </w:r>
      <w:r w:rsidRPr="00E04FE0">
        <w:rPr>
          <w:rFonts w:ascii="Century Gothic" w:hAnsi="Century Gothic" w:cs="Arial"/>
          <w:bCs/>
          <w:lang w:val="es-ES" w:eastAsia="es-MX"/>
        </w:rPr>
        <w:t xml:space="preserve">La oferta debe contener dos partes, la primera en la cual el interesado acredite su capacidad de participar en el Proceso de Contratación y acredite el cumplimiento de la ficha técnica; </w:t>
      </w:r>
      <w:r w:rsidRPr="00E04FE0">
        <w:rPr>
          <w:rFonts w:ascii="Century Gothic" w:hAnsi="Century Gothic" w:cs="Arial"/>
          <w:bCs/>
          <w:i/>
          <w:iCs/>
          <w:lang w:val="es-ES" w:eastAsia="es-MX"/>
        </w:rPr>
        <w:t>y la segunda parle debe contener el precio inicial propuesto por el oferente</w:t>
      </w:r>
      <w:r w:rsidR="00D57B50" w:rsidRPr="00E04FE0">
        <w:rPr>
          <w:rFonts w:ascii="Century Gothic" w:eastAsia="Calibri" w:hAnsi="Century Gothic" w:cs="Arial"/>
        </w:rPr>
        <w:t>”</w:t>
      </w:r>
      <w:r w:rsidRPr="00E04FE0">
        <w:rPr>
          <w:rFonts w:ascii="Century Gothic" w:eastAsia="Calibri" w:hAnsi="Century Gothic" w:cs="Arial"/>
        </w:rPr>
        <w:t xml:space="preserve"> [Énfasis fuera de texto]</w:t>
      </w:r>
      <w:r w:rsidRPr="00E04FE0">
        <w:rPr>
          <w:rFonts w:ascii="Century Gothic" w:hAnsi="Century Gothic" w:cs="Arial"/>
          <w:bCs/>
          <w:lang w:val="es-ES" w:eastAsia="es-MX"/>
        </w:rPr>
        <w:t xml:space="preserve">. </w:t>
      </w:r>
    </w:p>
    <w:p w14:paraId="04EDFBD8" w14:textId="77777777" w:rsidR="006914BF" w:rsidRPr="00E04FE0" w:rsidRDefault="006914BF" w:rsidP="00BE38B8">
      <w:pPr>
        <w:spacing w:after="120" w:line="276" w:lineRule="auto"/>
        <w:ind w:firstLine="709"/>
        <w:jc w:val="both"/>
        <w:rPr>
          <w:rFonts w:ascii="Century Gothic" w:hAnsi="Century Gothic" w:cs="Arial"/>
          <w:bCs/>
          <w:lang w:eastAsia="es-MX"/>
        </w:rPr>
      </w:pPr>
      <w:r w:rsidRPr="00E04FE0">
        <w:rPr>
          <w:rFonts w:ascii="Century Gothic" w:hAnsi="Century Gothic" w:cs="Arial"/>
          <w:bCs/>
          <w:lang w:val="es-ES" w:eastAsia="es-MX"/>
        </w:rPr>
        <w:t xml:space="preserve">Es por ello que antes de la comparación de la propuesta económica y el trámite de subasta inversa la entidad deberá verificar si los oferentes en el marco del proceso de selección se encuentran habilitados, es decir si cuentan con la experiencia, capacidades jurídica, financiera y técnica para asumir las obligaciones derivadas del contrato a celebrar, ya que para dicha etapa de evaluación de ofertas económicas, deberán estar los oferentes que cuenten con la capacidad para ser contratistas de la entidad y ejecutar el objeto contractual. </w:t>
      </w:r>
    </w:p>
    <w:p w14:paraId="38E35314" w14:textId="77777777" w:rsidR="006914BF" w:rsidRPr="00E04FE0" w:rsidRDefault="006914BF" w:rsidP="00BE38B8">
      <w:pPr>
        <w:spacing w:after="120" w:line="276" w:lineRule="auto"/>
        <w:ind w:firstLine="708"/>
        <w:jc w:val="both"/>
        <w:rPr>
          <w:rFonts w:ascii="Century Gothic" w:hAnsi="Century Gothic" w:cs="Arial"/>
          <w:bCs/>
          <w:lang w:val="es-ES" w:eastAsia="es-MX"/>
        </w:rPr>
      </w:pPr>
      <w:r w:rsidRPr="00E04FE0">
        <w:rPr>
          <w:rFonts w:ascii="Century Gothic" w:hAnsi="Century Gothic" w:cs="Arial"/>
          <w:bCs/>
          <w:lang w:val="es-ES" w:eastAsia="es-MX"/>
        </w:rPr>
        <w:t xml:space="preserve">El Decreto 1082 del 2015 en su artículo 2.2.1.2.1.2.2 dispuso el procedimiento que debe seguir la Entidad Estatal para desarrollar la subasta inversa, de la siguiente forma: </w:t>
      </w:r>
    </w:p>
    <w:p w14:paraId="03F6F64B" w14:textId="0820813A" w:rsidR="006914BF" w:rsidRPr="00E04FE0" w:rsidRDefault="005C711C" w:rsidP="00BE38B8">
      <w:pPr>
        <w:spacing w:after="120" w:line="240" w:lineRule="auto"/>
        <w:ind w:left="709" w:right="709"/>
        <w:jc w:val="both"/>
        <w:rPr>
          <w:rFonts w:ascii="Century Gothic" w:hAnsi="Century Gothic" w:cs="Arial"/>
          <w:bCs/>
          <w:sz w:val="21"/>
          <w:szCs w:val="21"/>
          <w:lang w:eastAsia="es-MX"/>
        </w:rPr>
      </w:pPr>
      <w:r w:rsidRPr="00E04FE0">
        <w:rPr>
          <w:rFonts w:ascii="Century Gothic" w:hAnsi="Century Gothic" w:cs="Arial"/>
          <w:sz w:val="21"/>
          <w:szCs w:val="21"/>
          <w:lang w:eastAsia="es-MX"/>
        </w:rPr>
        <w:t>“</w:t>
      </w:r>
      <w:r w:rsidR="006914BF" w:rsidRPr="00E04FE0">
        <w:rPr>
          <w:rFonts w:ascii="Century Gothic" w:hAnsi="Century Gothic" w:cs="Arial"/>
          <w:sz w:val="21"/>
          <w:szCs w:val="21"/>
          <w:lang w:eastAsia="es-MX"/>
        </w:rPr>
        <w:t>Artículo 2.2.1.2.1.2.2. Procedimiento para la subasta inversa. </w:t>
      </w:r>
      <w:r w:rsidR="006914BF" w:rsidRPr="00E04FE0">
        <w:rPr>
          <w:rFonts w:ascii="Century Gothic" w:hAnsi="Century Gothic" w:cs="Arial"/>
          <w:bCs/>
          <w:sz w:val="21"/>
          <w:szCs w:val="21"/>
          <w:lang w:eastAsia="es-MX"/>
        </w:rPr>
        <w:t>Además de las reglas generales previstas en la ley y en el presente título, las siguientes reglas son aplicables a la subasta inversa:</w:t>
      </w:r>
      <w:r w:rsidR="006914BF" w:rsidRPr="00E04FE0">
        <w:rPr>
          <w:rFonts w:ascii="Arial" w:hAnsi="Arial" w:cs="Arial"/>
          <w:bCs/>
          <w:sz w:val="21"/>
          <w:szCs w:val="21"/>
          <w:lang w:eastAsia="es-MX"/>
        </w:rPr>
        <w:t>​</w:t>
      </w:r>
    </w:p>
    <w:p w14:paraId="34534E6C" w14:textId="77777777" w:rsidR="006914BF" w:rsidRPr="00E04FE0" w:rsidRDefault="006914BF" w:rsidP="00BE38B8">
      <w:pPr>
        <w:spacing w:after="0" w:line="240" w:lineRule="auto"/>
        <w:ind w:left="709" w:right="709"/>
        <w:jc w:val="both"/>
        <w:rPr>
          <w:rFonts w:ascii="Century Gothic" w:hAnsi="Century Gothic" w:cs="Arial"/>
          <w:bCs/>
          <w:sz w:val="21"/>
          <w:szCs w:val="21"/>
          <w:lang w:eastAsia="es-MX"/>
        </w:rPr>
      </w:pPr>
    </w:p>
    <w:p w14:paraId="7AF46165" w14:textId="77777777" w:rsidR="006914BF" w:rsidRPr="00E04FE0" w:rsidRDefault="006914BF" w:rsidP="00BE38B8">
      <w:pPr>
        <w:spacing w:after="120" w:line="240" w:lineRule="auto"/>
        <w:ind w:left="709" w:right="709"/>
        <w:jc w:val="both"/>
        <w:rPr>
          <w:rFonts w:ascii="Century Gothic" w:hAnsi="Century Gothic" w:cs="Arial"/>
          <w:bCs/>
          <w:sz w:val="21"/>
          <w:szCs w:val="21"/>
          <w:lang w:eastAsia="es-MX"/>
        </w:rPr>
      </w:pPr>
      <w:r w:rsidRPr="00E04FE0">
        <w:rPr>
          <w:rFonts w:ascii="Century Gothic" w:hAnsi="Century Gothic" w:cs="Arial"/>
          <w:bCs/>
          <w:sz w:val="21"/>
          <w:szCs w:val="21"/>
          <w:lang w:eastAsia="es-MX"/>
        </w:rPr>
        <w:t>1. Los pliegos de condiciones deben indicar: a) la fecha y hora de inicio de la subasta; b) la periodicidad de los Lances; y c) el Margen Mínimo para mejorar la oferta durante la subasta inversa.</w:t>
      </w:r>
    </w:p>
    <w:p w14:paraId="72980C79" w14:textId="77777777" w:rsidR="006914BF" w:rsidRPr="00E04FE0" w:rsidRDefault="006914BF" w:rsidP="00BE38B8">
      <w:pPr>
        <w:spacing w:after="120" w:line="240" w:lineRule="auto"/>
        <w:ind w:left="709" w:right="709"/>
        <w:jc w:val="both"/>
        <w:rPr>
          <w:rFonts w:ascii="Century Gothic" w:hAnsi="Century Gothic" w:cs="Arial"/>
          <w:bCs/>
          <w:sz w:val="21"/>
          <w:szCs w:val="21"/>
          <w:lang w:eastAsia="es-MX"/>
        </w:rPr>
      </w:pPr>
      <w:r w:rsidRPr="00E04FE0">
        <w:rPr>
          <w:rFonts w:ascii="Century Gothic" w:hAnsi="Century Gothic" w:cs="Arial"/>
          <w:bCs/>
          <w:sz w:val="21"/>
          <w:szCs w:val="21"/>
          <w:lang w:eastAsia="es-MX"/>
        </w:rPr>
        <w:t>2. La oferta debe contener dos parles, la primera en la cual el interesado acredite su capacidad de participar en el Proceso de Contratación y acredite el cumplimiento de la ficha técnica; y la segunda parle debe contener el precio inicial propuesto por el oferente.</w:t>
      </w:r>
    </w:p>
    <w:p w14:paraId="43B7108A" w14:textId="77777777" w:rsidR="006914BF" w:rsidRPr="00E04FE0" w:rsidRDefault="006914BF" w:rsidP="00BE38B8">
      <w:pPr>
        <w:spacing w:after="120" w:line="240" w:lineRule="auto"/>
        <w:ind w:left="709" w:right="709"/>
        <w:jc w:val="both"/>
        <w:rPr>
          <w:rFonts w:ascii="Century Gothic" w:hAnsi="Century Gothic" w:cs="Arial"/>
          <w:bCs/>
          <w:sz w:val="21"/>
          <w:szCs w:val="21"/>
          <w:lang w:eastAsia="es-MX"/>
        </w:rPr>
      </w:pPr>
      <w:r w:rsidRPr="00E04FE0">
        <w:rPr>
          <w:rFonts w:ascii="Century Gothic" w:hAnsi="Century Gothic" w:cs="Arial"/>
          <w:bCs/>
          <w:sz w:val="21"/>
          <w:szCs w:val="21"/>
          <w:lang w:eastAsia="es-MX"/>
        </w:rPr>
        <w:t>3. La Entidad Estatal debe publicar un informe de habilitación de los oferentes, en el cual debe indicar si los bienes o servicios ofrecidos por el interesado cumplen con la ficha técnica y si el oferente se encuentra habilitado.</w:t>
      </w:r>
    </w:p>
    <w:p w14:paraId="31F2DD42" w14:textId="77777777" w:rsidR="006914BF" w:rsidRPr="00E04FE0" w:rsidRDefault="006914BF" w:rsidP="00BE38B8">
      <w:pPr>
        <w:spacing w:after="120" w:line="240" w:lineRule="auto"/>
        <w:ind w:left="709" w:right="709"/>
        <w:jc w:val="both"/>
        <w:rPr>
          <w:rFonts w:ascii="Century Gothic" w:hAnsi="Century Gothic" w:cs="Arial"/>
          <w:bCs/>
          <w:sz w:val="21"/>
          <w:szCs w:val="21"/>
          <w:lang w:eastAsia="es-MX"/>
        </w:rPr>
      </w:pPr>
      <w:r w:rsidRPr="00E04FE0">
        <w:rPr>
          <w:rFonts w:ascii="Century Gothic" w:hAnsi="Century Gothic" w:cs="Arial"/>
          <w:bCs/>
          <w:sz w:val="21"/>
          <w:szCs w:val="21"/>
          <w:lang w:eastAsia="es-MX"/>
        </w:rPr>
        <w:t>4. Hay subasta inversa siempre que haya como mínimo dos oferentes habilitados cuyos bienes o servicios cumplen con la ficha técnica.</w:t>
      </w:r>
    </w:p>
    <w:p w14:paraId="3AE22B43" w14:textId="77777777" w:rsidR="006914BF" w:rsidRPr="00E04FE0" w:rsidRDefault="006914BF" w:rsidP="00BE38B8">
      <w:pPr>
        <w:spacing w:after="120" w:line="240" w:lineRule="auto"/>
        <w:ind w:left="709" w:right="709"/>
        <w:jc w:val="both"/>
        <w:rPr>
          <w:rFonts w:ascii="Century Gothic" w:hAnsi="Century Gothic" w:cs="Arial"/>
          <w:bCs/>
          <w:sz w:val="21"/>
          <w:szCs w:val="21"/>
          <w:lang w:eastAsia="es-MX"/>
        </w:rPr>
      </w:pPr>
      <w:r w:rsidRPr="00E04FE0">
        <w:rPr>
          <w:rFonts w:ascii="Century Gothic" w:hAnsi="Century Gothic" w:cs="Arial"/>
          <w:bCs/>
          <w:sz w:val="21"/>
          <w:szCs w:val="21"/>
          <w:lang w:eastAsia="es-MX"/>
        </w:rPr>
        <w:t>5. 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w:t>
      </w:r>
    </w:p>
    <w:p w14:paraId="20F9FF9F" w14:textId="77777777" w:rsidR="006914BF" w:rsidRPr="00E04FE0" w:rsidRDefault="006914BF" w:rsidP="00BE38B8">
      <w:pPr>
        <w:spacing w:after="120" w:line="240" w:lineRule="auto"/>
        <w:ind w:left="709" w:right="709"/>
        <w:jc w:val="both"/>
        <w:rPr>
          <w:rFonts w:ascii="Century Gothic" w:hAnsi="Century Gothic" w:cs="Arial"/>
          <w:bCs/>
          <w:sz w:val="21"/>
          <w:szCs w:val="21"/>
          <w:lang w:eastAsia="es-MX"/>
        </w:rPr>
      </w:pPr>
      <w:r w:rsidRPr="00E04FE0">
        <w:rPr>
          <w:rFonts w:ascii="Century Gothic" w:hAnsi="Century Gothic" w:cs="Arial"/>
          <w:bCs/>
          <w:sz w:val="21"/>
          <w:szCs w:val="21"/>
          <w:lang w:eastAsia="es-MX"/>
        </w:rPr>
        <w:t xml:space="preserve">6. La subasta debe iniciar con el precio más bajo indicado por los oferentes </w:t>
      </w:r>
      <w:proofErr w:type="gramStart"/>
      <w:r w:rsidRPr="00E04FE0">
        <w:rPr>
          <w:rFonts w:ascii="Century Gothic" w:hAnsi="Century Gothic" w:cs="Arial"/>
          <w:bCs/>
          <w:sz w:val="21"/>
          <w:szCs w:val="21"/>
          <w:lang w:eastAsia="es-MX"/>
        </w:rPr>
        <w:t>y</w:t>
      </w:r>
      <w:proofErr w:type="gramEnd"/>
      <w:r w:rsidRPr="00E04FE0">
        <w:rPr>
          <w:rFonts w:ascii="Century Gothic" w:hAnsi="Century Gothic" w:cs="Arial"/>
          <w:bCs/>
          <w:sz w:val="21"/>
          <w:szCs w:val="21"/>
          <w:lang w:eastAsia="es-MX"/>
        </w:rPr>
        <w:t xml:space="preserve"> en consecuencia, solamente serán válidos los Lances efectuados durante la subasta inversa en los cuales la oferta sea mejorada en por lo menos el Margen Mínimo establecido.</w:t>
      </w:r>
    </w:p>
    <w:p w14:paraId="1AB78EE9" w14:textId="77777777" w:rsidR="006914BF" w:rsidRPr="00E04FE0" w:rsidRDefault="006914BF" w:rsidP="00BE38B8">
      <w:pPr>
        <w:spacing w:after="120" w:line="240" w:lineRule="auto"/>
        <w:ind w:left="709" w:right="709"/>
        <w:jc w:val="both"/>
        <w:rPr>
          <w:rFonts w:ascii="Century Gothic" w:hAnsi="Century Gothic" w:cs="Arial"/>
          <w:bCs/>
          <w:sz w:val="21"/>
          <w:szCs w:val="21"/>
          <w:lang w:eastAsia="es-MX"/>
        </w:rPr>
      </w:pPr>
      <w:r w:rsidRPr="00E04FE0">
        <w:rPr>
          <w:rFonts w:ascii="Century Gothic" w:hAnsi="Century Gothic" w:cs="Arial"/>
          <w:bCs/>
          <w:sz w:val="21"/>
          <w:szCs w:val="21"/>
          <w:lang w:eastAsia="es-MX"/>
        </w:rPr>
        <w:t>7. Si los oferentes no presentan Lances durante la subasta, la Entidad Estatal debe adjudicar el contrato al oferente que haya presentado el precio inicial más bajo.</w:t>
      </w:r>
    </w:p>
    <w:p w14:paraId="001654C9" w14:textId="067F12EF" w:rsidR="006914BF" w:rsidRPr="00E04FE0" w:rsidRDefault="006914BF" w:rsidP="00BE38B8">
      <w:pPr>
        <w:spacing w:after="120" w:line="240" w:lineRule="auto"/>
        <w:ind w:left="709" w:right="709"/>
        <w:jc w:val="both"/>
        <w:rPr>
          <w:rFonts w:ascii="Century Gothic" w:hAnsi="Century Gothic" w:cs="Arial"/>
          <w:bCs/>
          <w:sz w:val="21"/>
          <w:szCs w:val="21"/>
          <w:lang w:eastAsia="es-MX"/>
        </w:rPr>
      </w:pPr>
      <w:r w:rsidRPr="00E04FE0">
        <w:rPr>
          <w:rFonts w:ascii="Century Gothic" w:hAnsi="Century Gothic" w:cs="Arial"/>
          <w:bCs/>
          <w:sz w:val="21"/>
          <w:szCs w:val="21"/>
          <w:lang w:eastAsia="es-MX"/>
        </w:rPr>
        <w:t>8. Al terminar la presentación de cada Lance, la Entidad Estatal debe informar el valor del Lance más bajo.</w:t>
      </w:r>
    </w:p>
    <w:p w14:paraId="73BF61F5" w14:textId="28FCB337" w:rsidR="006914BF" w:rsidRPr="00E04FE0" w:rsidRDefault="006914BF" w:rsidP="00BE38B8">
      <w:pPr>
        <w:spacing w:after="0" w:line="240" w:lineRule="auto"/>
        <w:ind w:left="709" w:right="709"/>
        <w:jc w:val="both"/>
        <w:rPr>
          <w:rFonts w:ascii="Century Gothic" w:hAnsi="Century Gothic" w:cs="Arial"/>
          <w:sz w:val="21"/>
          <w:szCs w:val="21"/>
          <w:vertAlign w:val="superscript"/>
          <w:lang w:eastAsia="es-MX"/>
        </w:rPr>
      </w:pPr>
      <w:r w:rsidRPr="00E04FE0">
        <w:rPr>
          <w:rFonts w:ascii="Century Gothic" w:hAnsi="Century Gothic" w:cs="Arial"/>
          <w:bCs/>
          <w:sz w:val="21"/>
          <w:szCs w:val="21"/>
          <w:lang w:eastAsia="es-MX"/>
        </w:rPr>
        <w:t>9. Si al terminar la subasta inversa hay empate, la Entidad Estatal debe aplicar los criterios del artículo </w:t>
      </w:r>
      <w:hyperlink r:id="rId12" w:anchor="35" w:history="1">
        <w:r w:rsidRPr="00E04FE0">
          <w:rPr>
            <w:rFonts w:ascii="Century Gothic" w:hAnsi="Century Gothic" w:cs="Arial"/>
            <w:sz w:val="21"/>
            <w:szCs w:val="21"/>
            <w:lang w:eastAsia="es-MX"/>
          </w:rPr>
          <w:t>35 </w:t>
        </w:r>
      </w:hyperlink>
      <w:r w:rsidRPr="00E04FE0">
        <w:rPr>
          <w:rFonts w:ascii="Century Gothic" w:hAnsi="Century Gothic" w:cs="Arial"/>
          <w:bCs/>
          <w:sz w:val="21"/>
          <w:szCs w:val="21"/>
          <w:lang w:eastAsia="es-MX"/>
        </w:rPr>
        <w:t>de la Ley 2069 de 2020 conforme con los medios de acreditación del artículo 2.2. 1.2.4.2 17 del presente Decreto</w:t>
      </w:r>
      <w:r w:rsidR="00D57B50" w:rsidRPr="00E04FE0">
        <w:rPr>
          <w:rFonts w:ascii="Century Gothic" w:hAnsi="Century Gothic" w:cs="Arial"/>
          <w:bCs/>
          <w:sz w:val="21"/>
          <w:szCs w:val="21"/>
          <w:lang w:eastAsia="es-MX"/>
        </w:rPr>
        <w:t>”</w:t>
      </w:r>
      <w:r w:rsidRPr="00E04FE0">
        <w:rPr>
          <w:rFonts w:ascii="Century Gothic" w:hAnsi="Century Gothic" w:cs="Arial"/>
          <w:bCs/>
          <w:sz w:val="21"/>
          <w:szCs w:val="21"/>
          <w:lang w:eastAsia="es-MX"/>
        </w:rPr>
        <w:t>.</w:t>
      </w:r>
      <w:r w:rsidRPr="00E04FE0">
        <w:rPr>
          <w:rFonts w:ascii="Century Gothic" w:hAnsi="Century Gothic" w:cs="Arial"/>
          <w:bCs/>
          <w:sz w:val="21"/>
          <w:szCs w:val="21"/>
          <w:vertAlign w:val="superscript"/>
          <w:lang w:eastAsia="es-MX"/>
        </w:rPr>
        <w:footnoteReference w:id="3"/>
      </w:r>
    </w:p>
    <w:p w14:paraId="393DB4D6" w14:textId="77777777" w:rsidR="00BE38B8" w:rsidRPr="00E04FE0" w:rsidRDefault="00BE38B8" w:rsidP="00BE38B8">
      <w:pPr>
        <w:spacing w:after="0" w:line="276" w:lineRule="auto"/>
        <w:ind w:firstLine="709"/>
        <w:jc w:val="both"/>
        <w:rPr>
          <w:rFonts w:ascii="Century Gothic" w:hAnsi="Century Gothic" w:cs="Arial"/>
          <w:bCs/>
          <w:i/>
          <w:lang w:val="es-ES" w:eastAsia="es-MX"/>
        </w:rPr>
      </w:pPr>
    </w:p>
    <w:p w14:paraId="65C19092" w14:textId="20CB7B16" w:rsidR="006914BF" w:rsidRPr="00E04FE0" w:rsidRDefault="006914BF" w:rsidP="00BE38B8">
      <w:pPr>
        <w:spacing w:after="120" w:line="276" w:lineRule="auto"/>
        <w:ind w:firstLine="709"/>
        <w:jc w:val="both"/>
        <w:rPr>
          <w:rFonts w:ascii="Century Gothic" w:hAnsi="Century Gothic" w:cs="Arial"/>
          <w:bCs/>
          <w:lang w:eastAsia="es-MX"/>
        </w:rPr>
      </w:pPr>
      <w:r w:rsidRPr="00E04FE0">
        <w:rPr>
          <w:rFonts w:ascii="Century Gothic" w:hAnsi="Century Gothic" w:cs="Arial"/>
          <w:bCs/>
          <w:i/>
          <w:lang w:val="es-ES" w:eastAsia="es-MX"/>
        </w:rPr>
        <w:t xml:space="preserve"> </w:t>
      </w:r>
      <w:r w:rsidRPr="00E04FE0">
        <w:rPr>
          <w:rFonts w:ascii="Century Gothic" w:hAnsi="Century Gothic" w:cs="Arial"/>
          <w:bCs/>
          <w:lang w:val="es-ES" w:eastAsia="es-MX"/>
        </w:rPr>
        <w:t>Como se puede observar el proceso de selección abreviada por subasta inversa busca que se</w:t>
      </w:r>
      <w:r w:rsidRPr="00E04FE0">
        <w:rPr>
          <w:rFonts w:ascii="Century Gothic" w:hAnsi="Century Gothic" w:cs="Arial"/>
          <w:bCs/>
          <w:lang w:eastAsia="es-MX"/>
        </w:rPr>
        <w:t xml:space="preserve"> adjudique el contrato a la persona natural o jurídica que ofrece el mejor precio.  Por esta razón, la dinámica propia de una subasta inversa consiste en reunir</w:t>
      </w:r>
      <w:r w:rsidRPr="00E04FE0">
        <w:rPr>
          <w:rFonts w:ascii="Century Gothic" w:hAnsi="Century Gothic" w:cs="Arial"/>
          <w:bCs/>
          <w:vertAlign w:val="superscript"/>
          <w:lang w:eastAsia="es-MX"/>
        </w:rPr>
        <w:footnoteReference w:id="4"/>
      </w:r>
      <w:r w:rsidRPr="00E04FE0">
        <w:rPr>
          <w:rFonts w:ascii="Century Gothic" w:hAnsi="Century Gothic" w:cs="Arial"/>
          <w:bCs/>
          <w:lang w:eastAsia="es-MX"/>
        </w:rPr>
        <w:t xml:space="preserve"> a los oferentes interesados en ejecutar el contrato en mención y otorgarle a cada uno de ellos la posibilidad de ofrecer una oferta económica y mejorarla conforme la oferta económica ofertada por sus contrincantes. </w:t>
      </w:r>
    </w:p>
    <w:p w14:paraId="4DD41B70" w14:textId="1D287291" w:rsidR="006914BF" w:rsidRPr="00E04FE0" w:rsidRDefault="006914BF" w:rsidP="00BE38B8">
      <w:pPr>
        <w:spacing w:after="120" w:line="276" w:lineRule="auto"/>
        <w:ind w:firstLine="709"/>
        <w:jc w:val="both"/>
        <w:rPr>
          <w:rFonts w:ascii="Century Gothic" w:hAnsi="Century Gothic" w:cs="Arial"/>
          <w:shd w:val="clear" w:color="auto" w:fill="FFFFFF"/>
        </w:rPr>
      </w:pPr>
      <w:r w:rsidRPr="00E04FE0">
        <w:rPr>
          <w:rFonts w:ascii="Century Gothic" w:hAnsi="Century Gothic" w:cs="Arial"/>
          <w:bCs/>
          <w:lang w:eastAsia="es-MX"/>
        </w:rPr>
        <w:t xml:space="preserve">En ese orden de ideas, cada oferente realizará sus ofrecimientos mediante </w:t>
      </w:r>
      <w:r w:rsidR="005C711C" w:rsidRPr="00E04FE0">
        <w:rPr>
          <w:rFonts w:ascii="Century Gothic" w:hAnsi="Century Gothic" w:cs="Arial"/>
          <w:bCs/>
          <w:i/>
          <w:iCs/>
          <w:lang w:eastAsia="es-MX"/>
        </w:rPr>
        <w:t>“</w:t>
      </w:r>
      <w:r w:rsidRPr="00E04FE0">
        <w:rPr>
          <w:rFonts w:ascii="Century Gothic" w:hAnsi="Century Gothic" w:cs="Arial"/>
          <w:bCs/>
          <w:i/>
          <w:iCs/>
          <w:lang w:eastAsia="es-MX"/>
        </w:rPr>
        <w:t>lances</w:t>
      </w:r>
      <w:r w:rsidR="00D57B50" w:rsidRPr="00E04FE0">
        <w:rPr>
          <w:rFonts w:ascii="Century Gothic" w:hAnsi="Century Gothic" w:cs="Arial"/>
          <w:bCs/>
          <w:i/>
          <w:iCs/>
          <w:lang w:eastAsia="es-MX"/>
        </w:rPr>
        <w:t>”</w:t>
      </w:r>
      <w:r w:rsidRPr="00E04FE0">
        <w:rPr>
          <w:rFonts w:ascii="Century Gothic" w:hAnsi="Century Gothic" w:cs="Arial"/>
          <w:bCs/>
          <w:lang w:eastAsia="es-MX"/>
        </w:rPr>
        <w:t xml:space="preserve"> que deberán estar reglados por la Entidad Estatal en el respectivo pliego de condiciones, especialmente en la forma, medio y periodicidad en el que podrán ser presentados, e incluso deberán limitar o regular el margen mínimo de mejora de la oferta. De igual forma, el numeral </w:t>
      </w:r>
      <w:r w:rsidRPr="00E04FE0">
        <w:rPr>
          <w:rFonts w:ascii="Century Gothic" w:eastAsia="Calibri" w:hAnsi="Century Gothic" w:cs="Arial"/>
        </w:rPr>
        <w:t>6 de</w:t>
      </w:r>
      <w:r w:rsidRPr="00E04FE0">
        <w:rPr>
          <w:rFonts w:ascii="Century Gothic" w:hAnsi="Century Gothic" w:cs="Arial"/>
          <w:bCs/>
          <w:lang w:eastAsia="es-MX"/>
        </w:rPr>
        <w:t xml:space="preserve"> articulo </w:t>
      </w:r>
      <w:r w:rsidRPr="00E04FE0">
        <w:rPr>
          <w:rFonts w:ascii="Century Gothic" w:hAnsi="Century Gothic" w:cs="Arial"/>
          <w:bCs/>
          <w:lang w:val="es-ES" w:eastAsia="es-MX"/>
        </w:rPr>
        <w:t>2.2.1.2.1.2.2 del Decreto 1082 de 2015 indica que l</w:t>
      </w:r>
      <w:r w:rsidRPr="00E04FE0">
        <w:rPr>
          <w:rFonts w:ascii="Century Gothic" w:hAnsi="Century Gothic" w:cs="Arial"/>
          <w:bCs/>
          <w:lang w:eastAsia="es-MX"/>
        </w:rPr>
        <w:t xml:space="preserve">a subasta debe iniciar con el precio más bajo indicado por los oferentes y en consecuencia, solamente serán válidos los </w:t>
      </w:r>
      <w:r w:rsidR="005C711C" w:rsidRPr="00E04FE0">
        <w:rPr>
          <w:rFonts w:ascii="Century Gothic" w:hAnsi="Century Gothic" w:cs="Arial"/>
          <w:bCs/>
          <w:lang w:eastAsia="es-MX"/>
        </w:rPr>
        <w:t>“</w:t>
      </w:r>
      <w:r w:rsidRPr="00E04FE0">
        <w:rPr>
          <w:rFonts w:ascii="Century Gothic" w:hAnsi="Century Gothic" w:cs="Arial"/>
          <w:bCs/>
          <w:lang w:eastAsia="es-MX"/>
        </w:rPr>
        <w:t>Lances</w:t>
      </w:r>
      <w:r w:rsidR="00D57B50" w:rsidRPr="00E04FE0">
        <w:rPr>
          <w:rFonts w:ascii="Century Gothic" w:hAnsi="Century Gothic" w:cs="Arial"/>
          <w:bCs/>
          <w:lang w:eastAsia="es-MX"/>
        </w:rPr>
        <w:t>”</w:t>
      </w:r>
      <w:r w:rsidRPr="00E04FE0">
        <w:rPr>
          <w:rFonts w:ascii="Century Gothic" w:hAnsi="Century Gothic" w:cs="Arial"/>
          <w:bCs/>
          <w:lang w:eastAsia="es-MX"/>
        </w:rPr>
        <w:t xml:space="preserve"> efectuados durante la subasta inversa en los cuales la oferta sea mejorada en por lo menos el </w:t>
      </w:r>
      <w:r w:rsidR="005C711C" w:rsidRPr="00E04FE0">
        <w:rPr>
          <w:rFonts w:ascii="Century Gothic" w:hAnsi="Century Gothic" w:cs="Arial"/>
          <w:bCs/>
          <w:lang w:eastAsia="es-MX"/>
        </w:rPr>
        <w:t>“</w:t>
      </w:r>
      <w:r w:rsidRPr="00E04FE0">
        <w:rPr>
          <w:rFonts w:ascii="Century Gothic" w:hAnsi="Century Gothic" w:cs="Arial"/>
          <w:bCs/>
          <w:lang w:eastAsia="es-MX"/>
        </w:rPr>
        <w:t>Margen Mínimo</w:t>
      </w:r>
      <w:r w:rsidR="00D57B50" w:rsidRPr="00E04FE0">
        <w:rPr>
          <w:rFonts w:ascii="Century Gothic" w:hAnsi="Century Gothic" w:cs="Arial"/>
          <w:bCs/>
          <w:lang w:eastAsia="es-MX"/>
        </w:rPr>
        <w:t>”</w:t>
      </w:r>
      <w:r w:rsidRPr="00E04FE0">
        <w:rPr>
          <w:rFonts w:ascii="Century Gothic" w:hAnsi="Century Gothic" w:cs="Arial"/>
          <w:bCs/>
          <w:lang w:eastAsia="es-MX"/>
        </w:rPr>
        <w:t xml:space="preserve"> establecido en el pliego de condiciones, que es aquel valor que el </w:t>
      </w:r>
      <w:r w:rsidRPr="00E04FE0">
        <w:rPr>
          <w:rFonts w:ascii="Century Gothic" w:hAnsi="Century Gothic" w:cs="Arial"/>
          <w:shd w:val="clear" w:color="auto" w:fill="FFFFFF"/>
        </w:rPr>
        <w:t xml:space="preserve">oferente en una subasta inversa debe reducir el valor </w:t>
      </w:r>
      <w:r w:rsidR="004517A0" w:rsidRPr="00E04FE0">
        <w:rPr>
          <w:rFonts w:ascii="Century Gothic" w:hAnsi="Century Gothic" w:cs="Arial"/>
          <w:shd w:val="clear" w:color="auto" w:fill="FFFFFF"/>
        </w:rPr>
        <w:t xml:space="preserve">a ofrecer en </w:t>
      </w:r>
      <w:r w:rsidRPr="00E04FE0">
        <w:rPr>
          <w:rFonts w:ascii="Century Gothic" w:hAnsi="Century Gothic" w:cs="Arial"/>
          <w:shd w:val="clear" w:color="auto" w:fill="FFFFFF"/>
        </w:rPr>
        <w:t>el Lance, el cual puede ser expresado en dinero o en un porcentaje del precio de inicio de la subasta.</w:t>
      </w:r>
    </w:p>
    <w:p w14:paraId="5D2D6ED4" w14:textId="5BEA82B2" w:rsidR="006914BF" w:rsidRPr="00E04FE0" w:rsidRDefault="006914BF" w:rsidP="00BE38B8">
      <w:pPr>
        <w:spacing w:after="120" w:line="276" w:lineRule="auto"/>
        <w:ind w:firstLine="709"/>
        <w:jc w:val="both"/>
        <w:rPr>
          <w:rFonts w:ascii="Century Gothic" w:eastAsia="Calibri" w:hAnsi="Century Gothic" w:cs="Arial"/>
          <w:iCs/>
        </w:rPr>
      </w:pPr>
      <w:r w:rsidRPr="00E04FE0">
        <w:rPr>
          <w:rFonts w:ascii="Century Gothic" w:hAnsi="Century Gothic" w:cs="Arial"/>
          <w:bCs/>
          <w:lang w:eastAsia="es-MX"/>
        </w:rPr>
        <w:t xml:space="preserve">Finalmente, el </w:t>
      </w:r>
      <w:r w:rsidRPr="00E04FE0">
        <w:rPr>
          <w:rFonts w:ascii="Century Gothic" w:eastAsia="Calibri" w:hAnsi="Century Gothic" w:cs="Arial"/>
          <w:bCs/>
          <w:iCs/>
        </w:rPr>
        <w:t>artículo 2.2.1.2.1.2.4.</w:t>
      </w:r>
      <w:r w:rsidRPr="00E04FE0">
        <w:rPr>
          <w:rFonts w:ascii="Century Gothic" w:eastAsia="Calibri" w:hAnsi="Century Gothic" w:cs="Arial"/>
          <w:b/>
          <w:i/>
        </w:rPr>
        <w:t xml:space="preserve"> </w:t>
      </w:r>
      <w:r w:rsidRPr="00E04FE0">
        <w:rPr>
          <w:rFonts w:ascii="Century Gothic" w:hAnsi="Century Gothic" w:cs="Arial"/>
          <w:bCs/>
          <w:lang w:eastAsia="es-MX"/>
        </w:rPr>
        <w:t xml:space="preserve">del Decreto 1082 de 2015 determina que la subasta termina cuando </w:t>
      </w:r>
      <w:r w:rsidR="005C711C" w:rsidRPr="00E04FE0">
        <w:rPr>
          <w:rFonts w:ascii="Century Gothic" w:hAnsi="Century Gothic" w:cs="Arial"/>
          <w:bCs/>
          <w:lang w:eastAsia="es-MX"/>
        </w:rPr>
        <w:t>“</w:t>
      </w:r>
      <w:r w:rsidRPr="00E04FE0">
        <w:rPr>
          <w:rFonts w:ascii="Century Gothic" w:eastAsia="Calibri" w:hAnsi="Century Gothic" w:cs="Arial"/>
        </w:rPr>
        <w:t>los oferentes no hagan Lances adicionales durante un período para la presentación de Lances. La Entidad Estatal debe adjudicar el contrato al oferente que haya presentado el Lance más bajo. […]</w:t>
      </w:r>
      <w:r w:rsidR="00D57B50" w:rsidRPr="00E04FE0">
        <w:rPr>
          <w:rFonts w:ascii="Century Gothic" w:eastAsia="Calibri" w:hAnsi="Century Gothic" w:cs="Arial"/>
        </w:rPr>
        <w:t>”</w:t>
      </w:r>
      <w:r w:rsidRPr="00E04FE0">
        <w:rPr>
          <w:rFonts w:ascii="Century Gothic" w:eastAsia="Calibri" w:hAnsi="Century Gothic" w:cs="Arial"/>
        </w:rPr>
        <w:t>.</w:t>
      </w:r>
      <w:r w:rsidRPr="00E04FE0">
        <w:rPr>
          <w:rFonts w:ascii="Century Gothic" w:eastAsia="Calibri" w:hAnsi="Century Gothic" w:cs="Arial"/>
          <w:i/>
        </w:rPr>
        <w:t xml:space="preserve"> </w:t>
      </w:r>
      <w:r w:rsidRPr="00E04FE0">
        <w:rPr>
          <w:rFonts w:ascii="Century Gothic" w:eastAsia="Calibri" w:hAnsi="Century Gothic" w:cs="Arial"/>
          <w:iCs/>
        </w:rPr>
        <w:t>Siendo claro que el criterio determinante para la adjudicación en los procesos de selección abreviada por subasta inversa es el valor más bajo de la oferta económica, ya sea producto de los Lances que realicen los proponentes o del valor inicial de la oferta económica presentada con la propuesta.</w:t>
      </w:r>
    </w:p>
    <w:p w14:paraId="602576CE" w14:textId="68646B3A" w:rsidR="006914BF" w:rsidRPr="00E04FE0" w:rsidRDefault="006914BF" w:rsidP="00BE38B8">
      <w:pPr>
        <w:spacing w:after="120" w:line="276" w:lineRule="auto"/>
        <w:jc w:val="both"/>
        <w:rPr>
          <w:rFonts w:ascii="Century Gothic" w:eastAsia="Calibri" w:hAnsi="Century Gothic" w:cs="Arial"/>
        </w:rPr>
      </w:pPr>
      <w:r w:rsidRPr="00E04FE0">
        <w:rPr>
          <w:rFonts w:ascii="Century Gothic" w:eastAsia="Calibri" w:hAnsi="Century Gothic" w:cs="Arial"/>
          <w:iCs/>
        </w:rPr>
        <w:tab/>
      </w:r>
      <w:proofErr w:type="spellStart"/>
      <w:r w:rsidRPr="00E04FE0">
        <w:rPr>
          <w:rFonts w:ascii="Century Gothic" w:eastAsia="Calibri" w:hAnsi="Century Gothic" w:cs="Arial"/>
          <w:i/>
        </w:rPr>
        <w:t>ii</w:t>
      </w:r>
      <w:proofErr w:type="spellEnd"/>
      <w:r w:rsidRPr="00E04FE0">
        <w:rPr>
          <w:rFonts w:ascii="Century Gothic" w:eastAsia="Calibri" w:hAnsi="Century Gothic" w:cs="Arial"/>
          <w:i/>
        </w:rPr>
        <w:t>) Presentación de la oferta de manera dinámica mediante subasta inversa en los procesos de Licitación pública</w:t>
      </w:r>
      <w:r w:rsidRPr="00E04FE0">
        <w:rPr>
          <w:rFonts w:ascii="Century Gothic" w:eastAsia="Calibri" w:hAnsi="Century Gothic" w:cs="Arial"/>
        </w:rPr>
        <w:t xml:space="preserve">. El numeral 1 del artículo 2 de la Ley 1150 de 2007 contempló que la licitación pública es la modalidad de selección que por regla general deben adelantar las Entidades Estatales para escoger a sus contratistas, salvo cuando se está en curso en una causal de contratación de las otras modalidades de selección contempladas en el </w:t>
      </w:r>
      <w:r w:rsidRPr="00E04FE0">
        <w:rPr>
          <w:rFonts w:ascii="Century Gothic" w:hAnsi="Century Gothic" w:cs="Arial"/>
          <w:lang w:eastAsia="es-MX"/>
        </w:rPr>
        <w:t>Estatuto General de la Contratación Pública Administrativa</w:t>
      </w:r>
      <w:r w:rsidRPr="00E04FE0">
        <w:rPr>
          <w:rFonts w:ascii="Century Gothic" w:eastAsia="Calibri" w:hAnsi="Century Gothic" w:cs="Arial"/>
        </w:rPr>
        <w:t xml:space="preserve">. Igualmente, el citado artículo mencionó que cuando la Entidad Estatal así lo determine, la oferta en un proceso de la licitación pública podrá </w:t>
      </w:r>
      <w:r w:rsidR="005C711C" w:rsidRPr="00E04FE0">
        <w:rPr>
          <w:rFonts w:ascii="Century Gothic" w:hAnsi="Century Gothic" w:cs="Arial"/>
          <w:lang w:eastAsia="es-MX"/>
        </w:rPr>
        <w:t>“</w:t>
      </w:r>
      <w:r w:rsidRPr="00E04FE0">
        <w:rPr>
          <w:rFonts w:ascii="Century Gothic" w:eastAsia="Calibri" w:hAnsi="Century Gothic" w:cs="Arial"/>
        </w:rPr>
        <w:t>ser presentada total o parcialmente de manera dinámica mediante subasta inversa, en las condiciones que fije el reglamento</w:t>
      </w:r>
      <w:r w:rsidR="00D57B50" w:rsidRPr="00E04FE0">
        <w:rPr>
          <w:rFonts w:ascii="Century Gothic" w:eastAsia="Calibri" w:hAnsi="Century Gothic" w:cs="Arial"/>
          <w:i/>
        </w:rPr>
        <w:t>”</w:t>
      </w:r>
      <w:r w:rsidRPr="00E04FE0">
        <w:rPr>
          <w:rFonts w:ascii="Century Gothic" w:eastAsia="Calibri" w:hAnsi="Century Gothic" w:cs="Arial"/>
        </w:rPr>
        <w:t>.</w:t>
      </w:r>
    </w:p>
    <w:p w14:paraId="184BA3F1" w14:textId="37B2ACFF" w:rsidR="006914BF" w:rsidRPr="00E04FE0" w:rsidRDefault="006914BF" w:rsidP="00BE38B8">
      <w:pPr>
        <w:spacing w:after="120" w:line="276" w:lineRule="auto"/>
        <w:ind w:firstLine="709"/>
        <w:jc w:val="both"/>
        <w:rPr>
          <w:rFonts w:ascii="Century Gothic" w:eastAsia="Calibri" w:hAnsi="Century Gothic" w:cs="Arial"/>
          <w:iCs/>
        </w:rPr>
      </w:pPr>
      <w:r w:rsidRPr="00E04FE0">
        <w:rPr>
          <w:rFonts w:ascii="Century Gothic" w:eastAsia="Calibri" w:hAnsi="Century Gothic" w:cs="Arial"/>
          <w:iCs/>
        </w:rPr>
        <w:t xml:space="preserve">En todo caso, al igual que como se expuso para la modalidad de selección abreviada, el parágrafo 4 del artículo 5 de la Ley 1150 de 2007, contempló que en aquellos procesos de selección en los que se utilice el mecanismo de subasta, </w:t>
      </w:r>
      <w:r w:rsidR="005C711C" w:rsidRPr="00E04FE0">
        <w:rPr>
          <w:rFonts w:ascii="Century Gothic" w:hAnsi="Century Gothic" w:cs="Arial"/>
          <w:bCs/>
          <w:lang w:eastAsia="es-MX"/>
        </w:rPr>
        <w:t>“</w:t>
      </w:r>
      <w:r w:rsidRPr="00E04FE0">
        <w:rPr>
          <w:rFonts w:ascii="Century Gothic" w:eastAsia="Calibri" w:hAnsi="Century Gothic" w:cs="Arial"/>
          <w:iCs/>
        </w:rPr>
        <w:t>los documentos referentes a la futura contratación o al proponente, no necesarios para la comparación de las propuestas, deberán ser solicitados hasta el momento previo a su realización</w:t>
      </w:r>
      <w:r w:rsidR="00D57B50" w:rsidRPr="00E04FE0">
        <w:rPr>
          <w:rFonts w:ascii="Century Gothic" w:eastAsia="Calibri" w:hAnsi="Century Gothic" w:cs="Arial"/>
          <w:i/>
        </w:rPr>
        <w:t>”</w:t>
      </w:r>
      <w:r w:rsidRPr="00E04FE0">
        <w:rPr>
          <w:rFonts w:ascii="Century Gothic" w:eastAsia="Calibri" w:hAnsi="Century Gothic" w:cs="Arial"/>
          <w:iCs/>
        </w:rPr>
        <w:t>.</w:t>
      </w:r>
    </w:p>
    <w:p w14:paraId="28DD05A1" w14:textId="6252C7FD" w:rsidR="006914BF" w:rsidRPr="00E04FE0" w:rsidRDefault="006914BF" w:rsidP="00BE38B8">
      <w:pPr>
        <w:spacing w:after="120" w:line="276" w:lineRule="auto"/>
        <w:ind w:firstLine="708"/>
        <w:jc w:val="both"/>
        <w:rPr>
          <w:rFonts w:ascii="Century Gothic" w:eastAsia="Calibri" w:hAnsi="Century Gothic" w:cs="Arial"/>
          <w:iCs/>
        </w:rPr>
      </w:pPr>
      <w:r w:rsidRPr="00E04FE0">
        <w:rPr>
          <w:rFonts w:ascii="Century Gothic" w:eastAsia="Calibri" w:hAnsi="Century Gothic" w:cs="Arial"/>
          <w:iCs/>
        </w:rPr>
        <w:t xml:space="preserve">Conforme a lo anterior, el artículo 2.2.1.2.1.1.1. del Decreto 1082 de 2015 contempló </w:t>
      </w:r>
      <w:r w:rsidR="008168ED" w:rsidRPr="00E04FE0">
        <w:rPr>
          <w:rFonts w:ascii="Century Gothic" w:eastAsia="Calibri" w:hAnsi="Century Gothic" w:cs="Arial"/>
          <w:iCs/>
        </w:rPr>
        <w:t>que,</w:t>
      </w:r>
      <w:r w:rsidRPr="00E04FE0">
        <w:rPr>
          <w:rFonts w:ascii="Century Gothic" w:eastAsia="Calibri" w:hAnsi="Century Gothic" w:cs="Arial"/>
          <w:iCs/>
        </w:rPr>
        <w:t xml:space="preserve"> para la presentación de la oferta de manera dinámica mediante subasta inversa, las Entidades Estatales deben señalar en los pliegos de condiciones las variables técnicas y económicas sobre las cuales los oferentes pueden realizar la puja. Por tal razón, el pliego de condiciones debe contener una fecha para que los oferentes presenten los documentos que acrediten los requisitos habilitantes requeridos por la Entidad Estatal y una segunda fecha para llevar a cabo la subasta inversa para la conformación de la oferta económica dinámica. En el caso de una conformación dinámica parcial de la oferta en artículo en cita, dispuso que los documentos señalados se acompañará el componente de la oferta que no es objeto de conformación dinámica, conforme al procedimiento que trae consigo el artículo citado que se expone a continuación:</w:t>
      </w:r>
    </w:p>
    <w:p w14:paraId="71B8C8DE" w14:textId="7DE88A50" w:rsidR="006914BF" w:rsidRPr="00E04FE0" w:rsidRDefault="005C711C" w:rsidP="00BE38B8">
      <w:pPr>
        <w:spacing w:after="120" w:line="240" w:lineRule="auto"/>
        <w:ind w:left="709" w:right="709"/>
        <w:jc w:val="both"/>
        <w:rPr>
          <w:rFonts w:ascii="Century Gothic" w:eastAsia="Calibri" w:hAnsi="Century Gothic" w:cs="Arial"/>
          <w:iCs/>
        </w:rPr>
      </w:pPr>
      <w:r w:rsidRPr="00E04FE0">
        <w:rPr>
          <w:rFonts w:ascii="Century Gothic" w:hAnsi="Century Gothic" w:cs="Arial"/>
          <w:lang w:eastAsia="es-MX"/>
        </w:rPr>
        <w:t>“</w:t>
      </w:r>
      <w:r w:rsidR="006914BF" w:rsidRPr="00E04FE0">
        <w:rPr>
          <w:rFonts w:ascii="Century Gothic" w:hAnsi="Century Gothic" w:cs="Arial"/>
          <w:i/>
          <w:iCs/>
          <w:lang w:eastAsia="es-MX"/>
        </w:rPr>
        <w:t>Artículo 2.2.1.2.1.1.1.</w:t>
      </w:r>
      <w:r w:rsidR="006914BF" w:rsidRPr="00E04FE0">
        <w:rPr>
          <w:rFonts w:ascii="Century Gothic" w:hAnsi="Century Gothic" w:cs="Arial"/>
          <w:i/>
          <w:iCs/>
          <w:color w:val="000000"/>
        </w:rPr>
        <w:t xml:space="preserve"> </w:t>
      </w:r>
      <w:r w:rsidR="006914BF" w:rsidRPr="00E04FE0">
        <w:rPr>
          <w:rStyle w:val="nfasis"/>
          <w:rFonts w:ascii="Century Gothic" w:hAnsi="Century Gothic" w:cs="Arial"/>
          <w:color w:val="000000"/>
        </w:rPr>
        <w:t>Presentación de la oferta de manera dinámica mediante subasta inversa en los procesos de licitación pública</w:t>
      </w:r>
      <w:r w:rsidR="006914BF" w:rsidRPr="00E04FE0">
        <w:rPr>
          <w:rStyle w:val="nfasis"/>
          <w:rFonts w:ascii="Century Gothic" w:hAnsi="Century Gothic" w:cs="Arial"/>
          <w:b/>
          <w:bCs/>
          <w:color w:val="000000"/>
        </w:rPr>
        <w:t>.</w:t>
      </w:r>
      <w:r w:rsidR="006914BF" w:rsidRPr="00E04FE0">
        <w:rPr>
          <w:rFonts w:ascii="Century Gothic" w:hAnsi="Century Gothic" w:cs="Arial"/>
          <w:b/>
          <w:bCs/>
          <w:lang w:eastAsia="es-MX"/>
        </w:rPr>
        <w:t xml:space="preserve"> </w:t>
      </w:r>
      <w:r w:rsidR="006914BF" w:rsidRPr="00E04FE0">
        <w:rPr>
          <w:rFonts w:ascii="Century Gothic" w:eastAsia="Calibri" w:hAnsi="Century Gothic" w:cs="Arial"/>
          <w:iCs/>
        </w:rPr>
        <w:t>La Entidad Estatal dentro del plazo previsto en los pliegos de condiciones debe verificar el cumplimiento de los requisitos habilitantes y de las condiciones adicionales si hay lugar a ello para determinar los oferentes que pueden continuar en el proceso de selección. La subasta inversa para la conformación dinámica de la oferta debe realizarse con los oferentes habilitados, en la fecha y hora previstas en los pliegos de condiciones. En la subasta, los oferentes deben presentar su oferta inicial con las variables dinámicas, de conformidad con los pliegos de condiciones, la cual puede ser mejorada con los Lances hasta la conformación de la oferta definitiva.</w:t>
      </w:r>
    </w:p>
    <w:p w14:paraId="58FED53F" w14:textId="77777777" w:rsidR="006914BF" w:rsidRPr="00E04FE0" w:rsidRDefault="006914BF" w:rsidP="00BE38B8">
      <w:pPr>
        <w:spacing w:after="120" w:line="240" w:lineRule="auto"/>
        <w:ind w:left="709" w:right="709"/>
        <w:jc w:val="both"/>
        <w:rPr>
          <w:rFonts w:ascii="Century Gothic" w:eastAsia="Calibri" w:hAnsi="Century Gothic" w:cs="Arial"/>
          <w:iCs/>
        </w:rPr>
      </w:pPr>
      <w:r w:rsidRPr="00E04FE0">
        <w:rPr>
          <w:rFonts w:ascii="Century Gothic" w:eastAsia="Calibri" w:hAnsi="Century Gothic" w:cs="Arial"/>
          <w:iCs/>
        </w:rPr>
        <w:t>Se tomará como definitiva la oferta inicial realizada por el oferente que no presente Lances en la subasta.</w:t>
      </w:r>
    </w:p>
    <w:p w14:paraId="32DB2A7B" w14:textId="77777777" w:rsidR="006914BF" w:rsidRPr="00E04FE0" w:rsidRDefault="006914BF" w:rsidP="00BE38B8">
      <w:pPr>
        <w:spacing w:after="120" w:line="240" w:lineRule="auto"/>
        <w:ind w:left="709" w:right="709"/>
        <w:jc w:val="both"/>
        <w:rPr>
          <w:rFonts w:ascii="Century Gothic" w:eastAsia="Calibri" w:hAnsi="Century Gothic" w:cs="Arial"/>
          <w:iCs/>
        </w:rPr>
      </w:pPr>
      <w:r w:rsidRPr="00E04FE0">
        <w:rPr>
          <w:rFonts w:ascii="Century Gothic" w:eastAsia="Calibri" w:hAnsi="Century Gothic" w:cs="Arial"/>
          <w:iCs/>
        </w:rPr>
        <w:t>En ningún caso el precio será la única variable sometida a conformación dinámica.</w:t>
      </w:r>
    </w:p>
    <w:p w14:paraId="2A166171" w14:textId="77777777" w:rsidR="006914BF" w:rsidRPr="00E04FE0" w:rsidRDefault="006914BF" w:rsidP="00BE38B8">
      <w:pPr>
        <w:spacing w:after="120" w:line="240" w:lineRule="auto"/>
        <w:ind w:left="709" w:right="709"/>
        <w:jc w:val="both"/>
        <w:rPr>
          <w:rFonts w:ascii="Century Gothic" w:eastAsia="Calibri" w:hAnsi="Century Gothic" w:cs="Arial"/>
          <w:iCs/>
        </w:rPr>
      </w:pPr>
      <w:r w:rsidRPr="00E04FE0">
        <w:rPr>
          <w:rFonts w:ascii="Century Gothic" w:eastAsia="Calibri" w:hAnsi="Century Gothic" w:cs="Arial"/>
          <w:iCs/>
        </w:rPr>
        <w:t>La herramienta electrónica usada para la subasta debe permitir que el oferente conozca su situación respecto de los demás competidores y únicamente en relación con el cálculo del menor costo evaluado. Si la subasta recae únicamente sobre algunas variables, las que no admiten mejora deben haber sido previamente evaluadas y alimentadas en el sistema, de manera que este pueda ante cualquier Lance efectuar el cálculo automático del menor costo evaluado.</w:t>
      </w:r>
    </w:p>
    <w:p w14:paraId="4CA71A83" w14:textId="4E400EFA" w:rsidR="006914BF" w:rsidRPr="00E04FE0" w:rsidRDefault="006914BF" w:rsidP="00BE38B8">
      <w:pPr>
        <w:spacing w:after="120" w:line="240" w:lineRule="auto"/>
        <w:ind w:left="709" w:right="709"/>
        <w:jc w:val="both"/>
        <w:rPr>
          <w:rFonts w:ascii="Century Gothic" w:hAnsi="Century Gothic" w:cs="Arial"/>
          <w:b/>
          <w:bCs/>
          <w:lang w:eastAsia="es-MX"/>
        </w:rPr>
      </w:pPr>
      <w:r w:rsidRPr="00E04FE0">
        <w:rPr>
          <w:rFonts w:ascii="Century Gothic" w:eastAsia="Calibri" w:hAnsi="Century Gothic" w:cs="Arial"/>
          <w:iCs/>
        </w:rPr>
        <w:t>De lo acontecido en la subasta, se levantará un acta donde se dejarán todas las constancias del caso</w:t>
      </w:r>
      <w:r w:rsidR="00D57B50" w:rsidRPr="00E04FE0">
        <w:rPr>
          <w:rFonts w:ascii="Century Gothic" w:eastAsia="Calibri" w:hAnsi="Century Gothic" w:cs="Arial"/>
          <w:i/>
        </w:rPr>
        <w:t>”</w:t>
      </w:r>
      <w:r w:rsidRPr="00E04FE0">
        <w:rPr>
          <w:rFonts w:ascii="Century Gothic" w:eastAsia="Calibri" w:hAnsi="Century Gothic" w:cs="Arial"/>
          <w:i/>
        </w:rPr>
        <w:t>.</w:t>
      </w:r>
    </w:p>
    <w:p w14:paraId="4B261E2B" w14:textId="0D72121C" w:rsidR="006914BF" w:rsidRPr="00E04FE0" w:rsidRDefault="006914BF" w:rsidP="00BE38B8">
      <w:pPr>
        <w:spacing w:after="120" w:line="276" w:lineRule="auto"/>
        <w:jc w:val="both"/>
        <w:rPr>
          <w:rFonts w:ascii="Century Gothic" w:eastAsia="Calibri" w:hAnsi="Century Gothic" w:cs="Arial"/>
          <w:b/>
          <w:color w:val="000000" w:themeColor="text1"/>
          <w:lang w:val="es-ES"/>
        </w:rPr>
      </w:pPr>
      <w:r w:rsidRPr="00E04FE0">
        <w:rPr>
          <w:rFonts w:ascii="Century Gothic" w:hAnsi="Century Gothic" w:cs="Arial"/>
          <w:b/>
          <w:bCs/>
          <w:lang w:eastAsia="es-MX"/>
        </w:rPr>
        <w:t xml:space="preserve">2.2. </w:t>
      </w:r>
      <w:r w:rsidRPr="00E04FE0">
        <w:rPr>
          <w:rFonts w:ascii="Century Gothic" w:eastAsia="Calibri" w:hAnsi="Century Gothic" w:cs="Arial"/>
          <w:b/>
          <w:bCs/>
          <w:color w:val="000000" w:themeColor="text1"/>
          <w:lang w:val="es-ES"/>
        </w:rPr>
        <w:t>Análisis de ofertas con presunto precio artificialmente bajo presentadas en el marco de una subasta inversa</w:t>
      </w:r>
    </w:p>
    <w:p w14:paraId="1C0A4083" w14:textId="39183CB7" w:rsidR="006914BF" w:rsidRPr="00E04FE0" w:rsidRDefault="006914BF" w:rsidP="00BE38B8">
      <w:pPr>
        <w:spacing w:after="120" w:line="276" w:lineRule="auto"/>
        <w:jc w:val="both"/>
        <w:rPr>
          <w:rFonts w:ascii="Century Gothic" w:hAnsi="Century Gothic" w:cs="Arial"/>
        </w:rPr>
      </w:pPr>
      <w:r w:rsidRPr="00E04FE0">
        <w:rPr>
          <w:rFonts w:ascii="Century Gothic" w:hAnsi="Century Gothic" w:cs="Arial"/>
        </w:rPr>
        <w:t xml:space="preserve">Es importante definir el concepto de </w:t>
      </w:r>
      <w:r w:rsidR="005C711C" w:rsidRPr="00E04FE0">
        <w:rPr>
          <w:rFonts w:ascii="Century Gothic" w:hAnsi="Century Gothic" w:cs="Arial"/>
          <w:i/>
        </w:rPr>
        <w:t>“</w:t>
      </w:r>
      <w:r w:rsidRPr="00E04FE0">
        <w:rPr>
          <w:rFonts w:ascii="Century Gothic" w:hAnsi="Century Gothic" w:cs="Arial"/>
          <w:i/>
        </w:rPr>
        <w:t>precio artificialmente bajo</w:t>
      </w:r>
      <w:r w:rsidR="00D57B50" w:rsidRPr="00E04FE0">
        <w:rPr>
          <w:rFonts w:ascii="Century Gothic" w:hAnsi="Century Gothic" w:cs="Arial"/>
          <w:i/>
        </w:rPr>
        <w:t>”</w:t>
      </w:r>
      <w:r w:rsidRPr="00E04FE0">
        <w:rPr>
          <w:rFonts w:ascii="Century Gothic" w:hAnsi="Century Gothic" w:cs="Arial"/>
          <w:i/>
        </w:rPr>
        <w:t>,</w:t>
      </w:r>
      <w:r w:rsidRPr="00E04FE0">
        <w:rPr>
          <w:rFonts w:ascii="Century Gothic" w:hAnsi="Century Gothic" w:cs="Arial"/>
        </w:rPr>
        <w:t xml:space="preserve"> para lo cual la jurisprudencia de la Sección Tercera del Consejo de Estado señala que es aquel que, por un lado, resulta artificioso, disimulado o falso y, por el otro, no tiene sustento o fundamento en relación con su estructuración dentro del tráfico comercial: </w:t>
      </w:r>
    </w:p>
    <w:p w14:paraId="19116F55" w14:textId="669E06CB" w:rsidR="006914BF" w:rsidRPr="00E04FE0" w:rsidRDefault="005C711C" w:rsidP="00BE38B8">
      <w:pPr>
        <w:spacing w:after="120" w:line="240" w:lineRule="auto"/>
        <w:ind w:left="709" w:right="709"/>
        <w:jc w:val="both"/>
        <w:rPr>
          <w:rFonts w:ascii="Century Gothic" w:hAnsi="Century Gothic" w:cs="Arial"/>
          <w:sz w:val="21"/>
          <w:szCs w:val="21"/>
        </w:rPr>
      </w:pPr>
      <w:r w:rsidRPr="00E04FE0">
        <w:rPr>
          <w:rFonts w:ascii="Century Gothic" w:hAnsi="Century Gothic" w:cs="Arial"/>
          <w:sz w:val="21"/>
          <w:szCs w:val="21"/>
          <w:lang w:eastAsia="es-MX"/>
        </w:rPr>
        <w:t>“</w:t>
      </w:r>
      <w:r w:rsidR="006914BF" w:rsidRPr="00E04FE0">
        <w:rPr>
          <w:rFonts w:ascii="Century Gothic" w:hAnsi="Century Gothic" w:cs="Arial"/>
          <w:sz w:val="21"/>
          <w:szCs w:val="21"/>
        </w:rPr>
        <w:t xml:space="preserve">El denominado </w:t>
      </w:r>
      <w:r w:rsidRPr="00E04FE0">
        <w:rPr>
          <w:rFonts w:ascii="Century Gothic" w:hAnsi="Century Gothic" w:cs="Arial"/>
          <w:sz w:val="21"/>
          <w:szCs w:val="21"/>
        </w:rPr>
        <w:t>“</w:t>
      </w:r>
      <w:r w:rsidR="006914BF" w:rsidRPr="00E04FE0">
        <w:rPr>
          <w:rFonts w:ascii="Century Gothic" w:hAnsi="Century Gothic" w:cs="Arial"/>
          <w:sz w:val="21"/>
          <w:szCs w:val="21"/>
        </w:rPr>
        <w:t>precio artificialmente bajo</w:t>
      </w:r>
      <w:r w:rsidR="00D57B50" w:rsidRPr="00E04FE0">
        <w:rPr>
          <w:rFonts w:ascii="Century Gothic" w:hAnsi="Century Gothic" w:cs="Arial"/>
          <w:sz w:val="21"/>
          <w:szCs w:val="21"/>
        </w:rPr>
        <w:t>”</w:t>
      </w:r>
      <w:r w:rsidR="006914BF" w:rsidRPr="00E04FE0">
        <w:rPr>
          <w:rFonts w:ascii="Century Gothic" w:hAnsi="Century Gothic" w:cs="Arial"/>
          <w:sz w:val="21"/>
          <w:szCs w:val="21"/>
        </w:rPr>
        <w:t xml:space="preserve">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00D57B50" w:rsidRPr="00E04FE0">
        <w:rPr>
          <w:rFonts w:ascii="Century Gothic" w:eastAsia="Calibri" w:hAnsi="Century Gothic" w:cs="Arial"/>
          <w:sz w:val="21"/>
          <w:szCs w:val="21"/>
        </w:rPr>
        <w:t>”</w:t>
      </w:r>
      <w:r w:rsidR="006914BF" w:rsidRPr="00E04FE0">
        <w:rPr>
          <w:rStyle w:val="Refdenotaalpie"/>
          <w:rFonts w:ascii="Century Gothic" w:hAnsi="Century Gothic" w:cs="Arial"/>
          <w:sz w:val="21"/>
          <w:szCs w:val="21"/>
        </w:rPr>
        <w:footnoteReference w:id="5"/>
      </w:r>
      <w:r w:rsidR="006914BF" w:rsidRPr="00E04FE0">
        <w:rPr>
          <w:rFonts w:ascii="Century Gothic" w:hAnsi="Century Gothic" w:cs="Arial"/>
          <w:sz w:val="21"/>
          <w:szCs w:val="21"/>
        </w:rPr>
        <w:t>.</w:t>
      </w:r>
    </w:p>
    <w:p w14:paraId="57779A3F" w14:textId="77777777" w:rsidR="00BE38B8" w:rsidRPr="00E04FE0" w:rsidRDefault="00BE38B8" w:rsidP="00BE38B8">
      <w:pPr>
        <w:spacing w:after="0" w:line="240" w:lineRule="auto"/>
        <w:ind w:left="709" w:right="709"/>
        <w:jc w:val="both"/>
        <w:rPr>
          <w:rFonts w:ascii="Century Gothic" w:hAnsi="Century Gothic" w:cs="Arial"/>
        </w:rPr>
      </w:pPr>
    </w:p>
    <w:p w14:paraId="4CE8C71A" w14:textId="77777777" w:rsidR="006914BF" w:rsidRPr="00E04FE0" w:rsidRDefault="006914BF" w:rsidP="00BE38B8">
      <w:pPr>
        <w:spacing w:after="120" w:line="276" w:lineRule="auto"/>
        <w:ind w:firstLine="709"/>
        <w:jc w:val="both"/>
        <w:rPr>
          <w:rFonts w:ascii="Century Gothic" w:hAnsi="Century Gothic" w:cs="Arial"/>
        </w:rPr>
      </w:pPr>
      <w:r w:rsidRPr="00E04FE0">
        <w:rPr>
          <w:rFonts w:ascii="Century Gothic" w:hAnsi="Century Gothic" w:cs="Arial"/>
        </w:rPr>
        <w:t>A partir de esta definición se expone el marco normativo del tema, cuyo origen se encuentra en la Ley 80 de 1993, que indica como una de las manifestaciones del principio de responsabilidad su relación con aquellos contratistas que cuando presentaron su oferta antes de ser adjudicatarios del contrato la estructuraron con una valoración económica del bien, obra o servicio inferior a otras ofertas, pero sin fundamento y con el fin de asegurar la adjudicación y ejecución del contrato</w:t>
      </w:r>
      <w:r w:rsidRPr="00E04FE0">
        <w:rPr>
          <w:rStyle w:val="Refdenotaalpie"/>
          <w:rFonts w:ascii="Century Gothic" w:hAnsi="Century Gothic" w:cs="Arial"/>
        </w:rPr>
        <w:footnoteReference w:id="6"/>
      </w:r>
      <w:r w:rsidRPr="00E04FE0">
        <w:rPr>
          <w:rFonts w:ascii="Century Gothic" w:hAnsi="Century Gothic" w:cs="Arial"/>
        </w:rPr>
        <w:t xml:space="preserve">. </w:t>
      </w:r>
    </w:p>
    <w:p w14:paraId="192B0544" w14:textId="2849FBE3" w:rsidR="006914BF" w:rsidRPr="00E04FE0" w:rsidRDefault="006914BF" w:rsidP="00BE38B8">
      <w:pPr>
        <w:spacing w:after="120" w:line="276" w:lineRule="auto"/>
        <w:ind w:firstLine="709"/>
        <w:jc w:val="both"/>
        <w:rPr>
          <w:rFonts w:ascii="Century Gothic" w:hAnsi="Century Gothic" w:cs="Arial"/>
        </w:rPr>
      </w:pPr>
      <w:r w:rsidRPr="00E04FE0">
        <w:rPr>
          <w:rFonts w:ascii="Century Gothic" w:hAnsi="Century Gothic" w:cs="Arial"/>
        </w:rPr>
        <w:t xml:space="preserve">Por ende, para que la entidad confirme que una oferta </w:t>
      </w:r>
      <w:r w:rsidR="00F05F5C" w:rsidRPr="00E04FE0">
        <w:rPr>
          <w:rFonts w:ascii="Century Gothic" w:hAnsi="Century Gothic" w:cs="Arial"/>
        </w:rPr>
        <w:t>propone</w:t>
      </w:r>
      <w:r w:rsidRPr="00E04FE0">
        <w:rPr>
          <w:rFonts w:ascii="Century Gothic" w:hAnsi="Century Gothic" w:cs="Arial"/>
        </w:rPr>
        <w:t xml:space="preserve"> precios ostensiblemente inferiores a otras, de forma artificiosa y sin sustento, lo cual se denomina </w:t>
      </w:r>
      <w:r w:rsidR="005C711C" w:rsidRPr="00E04FE0">
        <w:rPr>
          <w:rFonts w:ascii="Century Gothic" w:hAnsi="Century Gothic" w:cs="Arial"/>
        </w:rPr>
        <w:t>“</w:t>
      </w:r>
      <w:r w:rsidRPr="00E04FE0">
        <w:rPr>
          <w:rFonts w:ascii="Century Gothic" w:hAnsi="Century Gothic" w:cs="Arial"/>
        </w:rPr>
        <w:t>precios artificialmente bajos</w:t>
      </w:r>
      <w:r w:rsidR="00D57B50" w:rsidRPr="00E04FE0">
        <w:rPr>
          <w:rFonts w:ascii="Century Gothic" w:hAnsi="Century Gothic" w:cs="Arial"/>
        </w:rPr>
        <w:t>”</w:t>
      </w:r>
      <w:r w:rsidRPr="00E04FE0">
        <w:rPr>
          <w:rFonts w:ascii="Century Gothic" w:hAnsi="Century Gothic" w:cs="Arial"/>
        </w:rPr>
        <w:t xml:space="preserve">, tiene un deber, señalado en el artículo 5 de la Ley 1150 de 2007, que regula el principio de selección objetiva, que busca que las entidades seleccionen la oferta más favorable a sus necesidades, comparando lo ofrecido con los precios de mercado y demás estudios que realice la entidad. </w:t>
      </w:r>
    </w:p>
    <w:p w14:paraId="2275CCDC" w14:textId="77777777" w:rsidR="006914BF" w:rsidRPr="00E04FE0" w:rsidRDefault="006914BF" w:rsidP="00BE38B8">
      <w:pPr>
        <w:spacing w:after="120" w:line="276" w:lineRule="auto"/>
        <w:ind w:firstLine="709"/>
        <w:jc w:val="both"/>
        <w:rPr>
          <w:rFonts w:ascii="Century Gothic" w:hAnsi="Century Gothic" w:cs="Arial"/>
        </w:rPr>
      </w:pPr>
      <w:r w:rsidRPr="00E04FE0">
        <w:rPr>
          <w:rFonts w:ascii="Century Gothic" w:hAnsi="Century Gothic" w:cs="Arial"/>
        </w:rPr>
        <w:t>En concordancia con lo anterior, el Decreto 1082 de 2015 desarrolla el deber que tienen las entidades de analizar el mercado para conocer el valor del bien, obra o servicio que requieren para satisfacer su necesidad, lo cual les permitirá identificar y analizar si el precio que ofrece determinado proponente no corresponde con la estructura de costos y gastos de todos aquellos que fabrican, comercializan y distribuyen el mismo producto en condiciones normales de operación</w:t>
      </w:r>
      <w:r w:rsidRPr="00E04FE0">
        <w:rPr>
          <w:rStyle w:val="Refdenotaalpie"/>
          <w:rFonts w:ascii="Century Gothic" w:hAnsi="Century Gothic" w:cs="Arial"/>
        </w:rPr>
        <w:footnoteReference w:id="7"/>
      </w:r>
      <w:r w:rsidRPr="00E04FE0">
        <w:rPr>
          <w:rFonts w:ascii="Century Gothic" w:hAnsi="Century Gothic" w:cs="Arial"/>
        </w:rPr>
        <w:t xml:space="preserve">. Sin perjuicio de lo anterior, para continuar con la presentación del marco normativo del tema, el artículo 2.2.1.1.2.2.4. del Decreto 1082 de 2015 establece lo que debe hacer la entidad cuando el precio de una oferta parece ser artificialmente bajo: i) debe solicitar explicación al oferente, </w:t>
      </w:r>
      <w:proofErr w:type="spellStart"/>
      <w:r w:rsidRPr="00E04FE0">
        <w:rPr>
          <w:rFonts w:ascii="Century Gothic" w:hAnsi="Century Gothic" w:cs="Arial"/>
        </w:rPr>
        <w:t>ii</w:t>
      </w:r>
      <w:proofErr w:type="spellEnd"/>
      <w:r w:rsidRPr="00E04FE0">
        <w:rPr>
          <w:rFonts w:ascii="Century Gothic" w:hAnsi="Century Gothic" w:cs="Arial"/>
        </w:rPr>
        <w:t xml:space="preserve">) analizar las explicaciones del oferente, </w:t>
      </w:r>
      <w:proofErr w:type="spellStart"/>
      <w:r w:rsidRPr="00E04FE0">
        <w:rPr>
          <w:rFonts w:ascii="Century Gothic" w:hAnsi="Century Gothic" w:cs="Arial"/>
        </w:rPr>
        <w:t>iii</w:t>
      </w:r>
      <w:proofErr w:type="spellEnd"/>
      <w:r w:rsidRPr="00E04FE0">
        <w:rPr>
          <w:rFonts w:ascii="Century Gothic" w:hAnsi="Century Gothic" w:cs="Arial"/>
        </w:rPr>
        <w:t xml:space="preserve">) el responsable de la evaluación de las ofertas debe recomendar rechazar o continuar la evaluación de la oferta, y </w:t>
      </w:r>
      <w:proofErr w:type="spellStart"/>
      <w:r w:rsidRPr="00E04FE0">
        <w:rPr>
          <w:rFonts w:ascii="Century Gothic" w:hAnsi="Century Gothic" w:cs="Arial"/>
        </w:rPr>
        <w:t>iv</w:t>
      </w:r>
      <w:proofErr w:type="spellEnd"/>
      <w:r w:rsidRPr="00E04FE0">
        <w:rPr>
          <w:rFonts w:ascii="Century Gothic" w:hAnsi="Century Gothic" w:cs="Arial"/>
        </w:rPr>
        <w:t>) para los procesos en que se utilice la subasta inversa, lo anterior se debe hacer al finalizar el evento de subasta, de acuerdo con el precio ofrecido al final de la misma</w:t>
      </w:r>
      <w:r w:rsidRPr="00E04FE0">
        <w:rPr>
          <w:rStyle w:val="Refdenotaalpie"/>
          <w:rFonts w:ascii="Century Gothic" w:hAnsi="Century Gothic" w:cs="Arial"/>
        </w:rPr>
        <w:footnoteReference w:id="8"/>
      </w:r>
      <w:r w:rsidRPr="00E04FE0">
        <w:rPr>
          <w:rFonts w:ascii="Century Gothic" w:hAnsi="Century Gothic" w:cs="Arial"/>
        </w:rPr>
        <w:t xml:space="preserve">. </w:t>
      </w:r>
    </w:p>
    <w:p w14:paraId="1C40CE85" w14:textId="77777777" w:rsidR="006914BF" w:rsidRPr="00E04FE0" w:rsidRDefault="006914BF" w:rsidP="00BE38B8">
      <w:pPr>
        <w:spacing w:after="120" w:line="276" w:lineRule="auto"/>
        <w:ind w:firstLine="709"/>
        <w:jc w:val="both"/>
        <w:rPr>
          <w:rFonts w:ascii="Century Gothic" w:hAnsi="Century Gothic" w:cs="Arial"/>
        </w:rPr>
      </w:pPr>
      <w:r w:rsidRPr="00E04FE0">
        <w:rPr>
          <w:rFonts w:ascii="Century Gothic" w:hAnsi="Century Gothic" w:cs="Arial"/>
        </w:rPr>
        <w:t>El análisis de los precios de una oferta se hace en la fase de evaluación del procedimiento, que es la oportunidad para verificar, mediante el comité evaluador</w:t>
      </w:r>
      <w:r w:rsidRPr="00E04FE0">
        <w:rPr>
          <w:rStyle w:val="Refdenotaalpie"/>
          <w:rFonts w:ascii="Century Gothic" w:hAnsi="Century Gothic" w:cs="Arial"/>
        </w:rPr>
        <w:footnoteReference w:id="9"/>
      </w:r>
      <w:r w:rsidRPr="00E04FE0">
        <w:rPr>
          <w:rFonts w:ascii="Century Gothic" w:hAnsi="Century Gothic" w:cs="Arial"/>
        </w:rPr>
        <w:t xml:space="preserve"> , las reglas diseñadas en la estructuración del procedimiento y plasmadas en los pliegos de condiciones, con el fin de comprobar si las cumplen o no, calificar a los oferentes o rechazarlos para establecer un orden de elegibilidad.</w:t>
      </w:r>
    </w:p>
    <w:p w14:paraId="7D3F7970" w14:textId="56B85838" w:rsidR="006914BF" w:rsidRPr="00E04FE0" w:rsidRDefault="006914BF" w:rsidP="00BE38B8">
      <w:pPr>
        <w:spacing w:after="120" w:line="276" w:lineRule="auto"/>
        <w:ind w:firstLine="709"/>
        <w:jc w:val="both"/>
        <w:rPr>
          <w:rFonts w:ascii="Century Gothic" w:hAnsi="Century Gothic" w:cs="Arial"/>
        </w:rPr>
      </w:pPr>
      <w:r w:rsidRPr="00E04FE0">
        <w:rPr>
          <w:rFonts w:ascii="Century Gothic" w:hAnsi="Century Gothic" w:cs="Arial"/>
        </w:rPr>
        <w:t xml:space="preserve">En ese sentido, en la </w:t>
      </w:r>
      <w:r w:rsidR="00CC20EC" w:rsidRPr="00E04FE0">
        <w:rPr>
          <w:rFonts w:ascii="Century Gothic" w:hAnsi="Century Gothic" w:cs="Arial"/>
        </w:rPr>
        <w:t xml:space="preserve">etapa de </w:t>
      </w:r>
      <w:r w:rsidRPr="00E04FE0">
        <w:rPr>
          <w:rFonts w:ascii="Century Gothic" w:hAnsi="Century Gothic" w:cs="Arial"/>
        </w:rPr>
        <w:t xml:space="preserve">evaluación la entidad debe verificar la oferta y su componente económico, para determinar si corresponde con el resultado del análisis de la oferta en el estudio de mercado, o si los precios tienen un componente extraño que no se identificó al observar el comportamiento de los proveedores del bien, obra o servicio que se pretende contratar. En ese caso, la entidad podrá identificar las ofertas con precios que parecen artificialmente bajos, y seguir el procedimiento establecido en el Decreto 1082 de 2015. </w:t>
      </w:r>
    </w:p>
    <w:p w14:paraId="0722B594" w14:textId="77777777" w:rsidR="006914BF" w:rsidRPr="00E04FE0" w:rsidRDefault="006914BF" w:rsidP="00BE38B8">
      <w:pPr>
        <w:spacing w:after="120" w:line="276" w:lineRule="auto"/>
        <w:ind w:firstLine="709"/>
        <w:jc w:val="both"/>
        <w:rPr>
          <w:rFonts w:ascii="Century Gothic" w:hAnsi="Century Gothic" w:cs="Arial"/>
        </w:rPr>
      </w:pPr>
      <w:r w:rsidRPr="00E04FE0">
        <w:rPr>
          <w:rFonts w:ascii="Century Gothic" w:hAnsi="Century Gothic" w:cs="Arial"/>
        </w:rPr>
        <w:t xml:space="preserve">Finalmente, concluido ese análisis, es posible que a partir de las explicaciones ofrecidas por el proponente se determine que el valor responde a circunstancias objetivas que permitirían cumplir el contrato, por lo que la entidad debe continuar con el análisis de dicha oferta en la evaluación de estas, al no considerarla artificialmente baja, dadas las explicaciones realizadas por el proponente. Sin embargo, si las razones no logran desvirtuar que la oferta sea artificialmente baja procede el rechazo, de conformidad con el artículo 2.2.1.1.2.2.4. del Decreto 1082 de 2015. </w:t>
      </w:r>
    </w:p>
    <w:p w14:paraId="3C880219" w14:textId="43F62B0F" w:rsidR="002853E5" w:rsidRPr="00E04FE0" w:rsidRDefault="006914BF" w:rsidP="00BE38B8">
      <w:pPr>
        <w:spacing w:after="120" w:line="276" w:lineRule="auto"/>
        <w:ind w:firstLine="709"/>
        <w:jc w:val="both"/>
        <w:rPr>
          <w:rFonts w:ascii="Century Gothic" w:hAnsi="Century Gothic" w:cs="Arial"/>
        </w:rPr>
      </w:pPr>
      <w:r w:rsidRPr="00E04FE0">
        <w:rPr>
          <w:rFonts w:ascii="Century Gothic" w:hAnsi="Century Gothic" w:cs="Arial"/>
        </w:rPr>
        <w:t xml:space="preserve">Recogiendo la definición consagrada en la </w:t>
      </w:r>
      <w:r w:rsidR="004C30E8" w:rsidRPr="00E04FE0">
        <w:rPr>
          <w:rFonts w:ascii="Century Gothic" w:hAnsi="Century Gothic" w:cs="Arial"/>
          <w:i/>
          <w:iCs/>
        </w:rPr>
        <w:t>“</w:t>
      </w:r>
      <w:r w:rsidRPr="00E04FE0">
        <w:rPr>
          <w:rFonts w:ascii="Century Gothic" w:hAnsi="Century Gothic" w:cs="Arial"/>
          <w:i/>
          <w:iCs/>
        </w:rPr>
        <w:t>Guía para el manejo de ofertas artificialmente bajas en los Procesos de Contratación</w:t>
      </w:r>
      <w:r w:rsidR="004C30E8" w:rsidRPr="00E04FE0">
        <w:rPr>
          <w:rFonts w:ascii="Century Gothic" w:hAnsi="Century Gothic" w:cs="Arial"/>
          <w:i/>
          <w:iCs/>
        </w:rPr>
        <w:t>”</w:t>
      </w:r>
      <w:r w:rsidR="006D1124" w:rsidRPr="00E04FE0">
        <w:rPr>
          <w:rStyle w:val="Refdenotaalpie"/>
          <w:rFonts w:ascii="Century Gothic" w:hAnsi="Century Gothic" w:cs="Arial"/>
          <w:i/>
          <w:iCs/>
        </w:rPr>
        <w:footnoteReference w:id="10"/>
      </w:r>
      <w:r w:rsidRPr="00E04FE0">
        <w:rPr>
          <w:rFonts w:ascii="Century Gothic" w:hAnsi="Century Gothic" w:cs="Arial"/>
        </w:rPr>
        <w:t xml:space="preserve"> expedida por esta Agencia, </w:t>
      </w:r>
      <w:r w:rsidR="002853E5" w:rsidRPr="00E04FE0">
        <w:rPr>
          <w:rFonts w:ascii="Century Gothic" w:hAnsi="Century Gothic" w:cs="Arial"/>
        </w:rPr>
        <w:t>se tiene que:</w:t>
      </w:r>
    </w:p>
    <w:p w14:paraId="526D378A" w14:textId="77777777" w:rsidR="002853E5" w:rsidRPr="00E04FE0" w:rsidRDefault="005C711C" w:rsidP="00BE38B8">
      <w:pPr>
        <w:spacing w:after="120" w:line="240" w:lineRule="auto"/>
        <w:ind w:left="709" w:right="709"/>
        <w:jc w:val="both"/>
        <w:rPr>
          <w:rFonts w:ascii="Century Gothic" w:hAnsi="Century Gothic" w:cs="Arial"/>
          <w:sz w:val="21"/>
          <w:szCs w:val="21"/>
        </w:rPr>
      </w:pPr>
      <w:r w:rsidRPr="00E04FE0">
        <w:rPr>
          <w:rFonts w:ascii="Century Gothic" w:hAnsi="Century Gothic" w:cs="Arial"/>
          <w:sz w:val="21"/>
          <w:szCs w:val="21"/>
        </w:rPr>
        <w:t>“</w:t>
      </w:r>
      <w:r w:rsidR="006914BF" w:rsidRPr="00E04FE0">
        <w:rPr>
          <w:rFonts w:ascii="Century Gothic" w:hAnsi="Century Gothic" w:cs="Arial"/>
          <w:sz w:val="21"/>
          <w:szCs w:val="21"/>
        </w:rPr>
        <w:t>Una oferta es artificialmente baja cuando, a criterio de la Entidad Estatal, el precio no parece suficiente para garantizar una correcta ejecución del contrato, de acuerdo a la información recogida durante la etapa de planeación y particularmente durante el Estudio del Sector. Las ofertas artificialmente bajas llevan a: (a) los sobrecostos en que pueden incurrir las Entidades Estatales pues deben invertir tiempo y dinero adicional para gestionar el bajo desempeño del contratista con ocasión del precio artificialmente bajo o para encontrar un nuevo proveedor que entregue los bienes o servicios requeridos; y (b) distorsiones del mercado</w:t>
      </w:r>
      <w:r w:rsidR="00D57B50" w:rsidRPr="00E04FE0">
        <w:rPr>
          <w:rFonts w:ascii="Century Gothic" w:hAnsi="Century Gothic" w:cs="Arial"/>
          <w:sz w:val="21"/>
          <w:szCs w:val="21"/>
        </w:rPr>
        <w:t>”</w:t>
      </w:r>
      <w:r w:rsidR="006914BF" w:rsidRPr="00E04FE0">
        <w:rPr>
          <w:rFonts w:ascii="Century Gothic" w:hAnsi="Century Gothic" w:cs="Arial"/>
          <w:sz w:val="21"/>
          <w:szCs w:val="21"/>
        </w:rPr>
        <w:t xml:space="preserve">. </w:t>
      </w:r>
    </w:p>
    <w:p w14:paraId="599C93DB" w14:textId="06D50AC8" w:rsidR="006914BF" w:rsidRPr="00E04FE0" w:rsidRDefault="006914BF" w:rsidP="00BE38B8">
      <w:pPr>
        <w:spacing w:after="120" w:line="276" w:lineRule="auto"/>
        <w:ind w:firstLine="709"/>
        <w:jc w:val="both"/>
        <w:rPr>
          <w:rFonts w:ascii="Century Gothic" w:hAnsi="Century Gothic" w:cs="Arial"/>
        </w:rPr>
      </w:pPr>
      <w:r w:rsidRPr="00E04FE0">
        <w:rPr>
          <w:rFonts w:ascii="Century Gothic" w:hAnsi="Century Gothic" w:cs="Arial"/>
        </w:rPr>
        <w:t xml:space="preserve">A lo anterior debe agregarse, también, que, de acuerdo con este documento, </w:t>
      </w:r>
      <w:r w:rsidR="000A1809" w:rsidRPr="00E04FE0">
        <w:rPr>
          <w:rFonts w:ascii="Century Gothic" w:hAnsi="Century Gothic" w:cs="Arial"/>
        </w:rPr>
        <w:t>l</w:t>
      </w:r>
      <w:r w:rsidRPr="00E04FE0">
        <w:rPr>
          <w:rFonts w:ascii="Century Gothic" w:hAnsi="Century Gothic" w:cs="Arial"/>
        </w:rPr>
        <w:t>as ofertas artificialmente bajas no deben confundirse con ofertas competitivas</w:t>
      </w:r>
      <w:r w:rsidR="000A1809" w:rsidRPr="00E04FE0">
        <w:rPr>
          <w:rFonts w:ascii="Century Gothic" w:hAnsi="Century Gothic" w:cs="Arial"/>
        </w:rPr>
        <w:t>,</w:t>
      </w:r>
      <w:r w:rsidR="001C7427" w:rsidRPr="00E04FE0">
        <w:rPr>
          <w:rFonts w:ascii="Century Gothic" w:hAnsi="Century Gothic" w:cs="Arial"/>
        </w:rPr>
        <w:t xml:space="preserve"> toda vez que,</w:t>
      </w:r>
      <w:r w:rsidRPr="00E04FE0">
        <w:rPr>
          <w:rFonts w:ascii="Century Gothic" w:hAnsi="Century Gothic" w:cs="Arial"/>
        </w:rPr>
        <w:t xml:space="preserve"> </w:t>
      </w:r>
      <w:r w:rsidR="001C7427" w:rsidRPr="00E04FE0">
        <w:rPr>
          <w:rFonts w:ascii="Century Gothic" w:hAnsi="Century Gothic" w:cs="Arial"/>
        </w:rPr>
        <w:t>“</w:t>
      </w:r>
      <w:r w:rsidRPr="00E04FE0">
        <w:rPr>
          <w:rFonts w:ascii="Century Gothic" w:hAnsi="Century Gothic" w:cs="Arial"/>
          <w:i/>
          <w:iCs/>
        </w:rPr>
        <w:t>Los proponentes con ofertas competitivas tienen en su estructura de costos economías de escala o economías de alcance que permiten generar un bien o un servicio a menor costo que el resto de los proveedores en el mercado</w:t>
      </w:r>
      <w:r w:rsidR="001C7427" w:rsidRPr="00E04FE0">
        <w:rPr>
          <w:rFonts w:ascii="Century Gothic" w:hAnsi="Century Gothic" w:cs="Arial"/>
        </w:rPr>
        <w:t>”</w:t>
      </w:r>
      <w:r w:rsidRPr="00E04FE0">
        <w:rPr>
          <w:rFonts w:ascii="Century Gothic" w:hAnsi="Century Gothic" w:cs="Arial"/>
        </w:rPr>
        <w:t>.</w:t>
      </w:r>
      <w:r w:rsidR="001C7427" w:rsidRPr="00E04FE0">
        <w:rPr>
          <w:rFonts w:ascii="Century Gothic" w:hAnsi="Century Gothic" w:cs="Arial"/>
        </w:rPr>
        <w:t xml:space="preserve"> Por lo tanto, le corresponde a la </w:t>
      </w:r>
      <w:r w:rsidRPr="00E04FE0">
        <w:rPr>
          <w:rFonts w:ascii="Century Gothic" w:hAnsi="Century Gothic" w:cs="Arial"/>
        </w:rPr>
        <w:t>Entidad Estatal identificar la posible participación de este tipo de empresas en el Estudio del Sector asociado al Proceso de Contratación específico</w:t>
      </w:r>
      <w:r w:rsidR="007C590B" w:rsidRPr="00E04FE0">
        <w:rPr>
          <w:rFonts w:ascii="Century Gothic" w:hAnsi="Century Gothic" w:cs="Arial"/>
        </w:rPr>
        <w:t xml:space="preserve">, </w:t>
      </w:r>
      <w:r w:rsidR="00170127" w:rsidRPr="00E04FE0">
        <w:rPr>
          <w:rFonts w:ascii="Century Gothic" w:hAnsi="Century Gothic" w:cs="Arial"/>
        </w:rPr>
        <w:t xml:space="preserve">y descartar </w:t>
      </w:r>
      <w:r w:rsidR="004E1293" w:rsidRPr="00E04FE0">
        <w:rPr>
          <w:rFonts w:ascii="Century Gothic" w:hAnsi="Century Gothic" w:cs="Arial"/>
        </w:rPr>
        <w:t xml:space="preserve">si </w:t>
      </w:r>
      <w:r w:rsidR="00170127" w:rsidRPr="00E04FE0">
        <w:rPr>
          <w:rFonts w:ascii="Century Gothic" w:hAnsi="Century Gothic" w:cs="Arial"/>
        </w:rPr>
        <w:t>la oferta obedece a u</w:t>
      </w:r>
      <w:r w:rsidR="004E1293" w:rsidRPr="00E04FE0">
        <w:rPr>
          <w:rFonts w:ascii="Century Gothic" w:hAnsi="Century Gothic" w:cs="Arial"/>
        </w:rPr>
        <w:t>n</w:t>
      </w:r>
      <w:r w:rsidR="00170127" w:rsidRPr="00E04FE0">
        <w:rPr>
          <w:rFonts w:ascii="Century Gothic" w:hAnsi="Century Gothic" w:cs="Arial"/>
        </w:rPr>
        <w:t xml:space="preserve"> precio </w:t>
      </w:r>
      <w:r w:rsidR="004E1293" w:rsidRPr="00E04FE0">
        <w:rPr>
          <w:rFonts w:ascii="Century Gothic" w:hAnsi="Century Gothic" w:cs="Arial"/>
        </w:rPr>
        <w:t>artificialmente</w:t>
      </w:r>
      <w:r w:rsidR="00170127" w:rsidRPr="00E04FE0">
        <w:rPr>
          <w:rFonts w:ascii="Century Gothic" w:hAnsi="Century Gothic" w:cs="Arial"/>
        </w:rPr>
        <w:t xml:space="preserve"> b</w:t>
      </w:r>
      <w:r w:rsidR="004E1293" w:rsidRPr="00E04FE0">
        <w:rPr>
          <w:rFonts w:ascii="Century Gothic" w:hAnsi="Century Gothic" w:cs="Arial"/>
        </w:rPr>
        <w:t>ajo o a través de la respectiva</w:t>
      </w:r>
      <w:r w:rsidRPr="00E04FE0">
        <w:rPr>
          <w:rFonts w:ascii="Century Gothic" w:hAnsi="Century Gothic" w:cs="Arial"/>
        </w:rPr>
        <w:t xml:space="preserve"> solicit</w:t>
      </w:r>
      <w:r w:rsidR="004E1293" w:rsidRPr="00E04FE0">
        <w:rPr>
          <w:rFonts w:ascii="Century Gothic" w:hAnsi="Century Gothic" w:cs="Arial"/>
        </w:rPr>
        <w:t>ud de</w:t>
      </w:r>
      <w:r w:rsidRPr="00E04FE0">
        <w:rPr>
          <w:rFonts w:ascii="Century Gothic" w:hAnsi="Century Gothic" w:cs="Arial"/>
        </w:rPr>
        <w:t xml:space="preserve"> aclaraciones a los proponentes. </w:t>
      </w:r>
    </w:p>
    <w:p w14:paraId="66E10F06" w14:textId="77777777" w:rsidR="006914BF" w:rsidRPr="00E04FE0" w:rsidRDefault="006914BF" w:rsidP="00BE38B8">
      <w:pPr>
        <w:spacing w:after="120" w:line="276" w:lineRule="auto"/>
        <w:ind w:firstLine="709"/>
        <w:jc w:val="both"/>
        <w:rPr>
          <w:rFonts w:ascii="Century Gothic" w:hAnsi="Century Gothic" w:cs="Arial"/>
        </w:rPr>
      </w:pPr>
      <w:r w:rsidRPr="00E04FE0">
        <w:rPr>
          <w:rFonts w:ascii="Century Gothic" w:hAnsi="Century Gothic" w:cs="Arial"/>
        </w:rPr>
        <w:t xml:space="preserve">En este orden de ideas, el concepto de precio artificialmente bajo debe examinarse desde la perspectiva de lo que conviene a las entidades estatales como parte compradora de bienes y servicios en su interacción con el mercado, debiendo hacer las verificaciones que corresponden de acuerdo con lo establecido en el artículo 2.2.1.1.2.2.4 del Decreto 1082 de 2015, lo que implica partir de un análisis del sector económico serio y real de cara al mercado estudiado, para poder dar aplicación a la premisa establecida en esta misma norma de que 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 </w:t>
      </w:r>
    </w:p>
    <w:p w14:paraId="630A4A8B" w14:textId="77777777" w:rsidR="006914BF" w:rsidRPr="00E04FE0" w:rsidRDefault="006914BF" w:rsidP="00BE38B8">
      <w:pPr>
        <w:spacing w:after="120" w:line="276" w:lineRule="auto"/>
        <w:ind w:firstLine="709"/>
        <w:jc w:val="both"/>
        <w:rPr>
          <w:rFonts w:ascii="Century Gothic" w:hAnsi="Century Gothic" w:cs="Arial"/>
        </w:rPr>
      </w:pPr>
      <w:r w:rsidRPr="00E04FE0">
        <w:rPr>
          <w:rFonts w:ascii="Century Gothic" w:hAnsi="Century Gothic" w:cs="Arial"/>
        </w:rPr>
        <w:t xml:space="preserve">Teniendo en cuenta lo anterior, se recuerda que uno de los aspectos que deben ser explicados en los estudios y documentos previos, de acuerdo con lo establecido en el artículo 2.2.1.1.2.1.1 del Decreto 1082 de 2015, son los criterios para seleccionar la oferta más favorable, teniendo en cuenta que, de acuerdo con la misma norma, este insumo es el soporte para la elaborar los proyectos de pliegos, el pliego de condiciones y el contrato. Por lo tanto, con base en lo que reporte el análisis del sector económico de que trata el artículo 2.2.1.1.1.6.1 del mismo decreto 1082 de 2015, debe identificarse por parte de cada Entidad Estatal cuáles son los factores habilitantes y ponderables que deben establecerse para lograr la escogencia de la oferta más favorable a sus intereses y fines que persiguen, en cumplimiento del principio de selección objetiva. </w:t>
      </w:r>
    </w:p>
    <w:p w14:paraId="1CDAAFE2" w14:textId="77777777" w:rsidR="006914BF" w:rsidRPr="00E04FE0" w:rsidRDefault="006914BF" w:rsidP="00BE38B8">
      <w:pPr>
        <w:spacing w:after="120" w:line="276" w:lineRule="auto"/>
        <w:ind w:firstLine="709"/>
        <w:jc w:val="both"/>
        <w:rPr>
          <w:rFonts w:ascii="Century Gothic" w:hAnsi="Century Gothic" w:cs="Arial"/>
        </w:rPr>
      </w:pPr>
      <w:r w:rsidRPr="00E04FE0">
        <w:rPr>
          <w:rFonts w:ascii="Century Gothic" w:hAnsi="Century Gothic" w:cs="Arial"/>
        </w:rPr>
        <w:t xml:space="preserve">En consecuencia, para efectos de poder desincentivar los precios artificialmente bajos, y para poder identificar cuando ellos se presenten dentro del marco de procedimientos de selección, es indispensable que las Entidades Estatales identifiquen el segmento de mercado objetivo al cual deben dirigirse, de tal manera que se establezcan factores de escogencia que correspondan con el tipo de ejecutor que se espera contratar, para poder generar correspondencia con el precio que este puede cobrar, y con base en ello comparar con el presupuesto disponible para pagar el producto esperado. </w:t>
      </w:r>
    </w:p>
    <w:p w14:paraId="0C9A2E79" w14:textId="603E255C" w:rsidR="006914BF" w:rsidRPr="00E04FE0" w:rsidRDefault="006914BF" w:rsidP="00BE38B8">
      <w:pPr>
        <w:spacing w:after="120" w:line="276" w:lineRule="auto"/>
        <w:ind w:firstLine="708"/>
        <w:jc w:val="both"/>
        <w:rPr>
          <w:rFonts w:ascii="Century Gothic" w:hAnsi="Century Gothic" w:cs="Arial"/>
        </w:rPr>
      </w:pPr>
      <w:r w:rsidRPr="00E04FE0">
        <w:rPr>
          <w:rFonts w:ascii="Century Gothic" w:hAnsi="Century Gothic" w:cs="Arial"/>
        </w:rPr>
        <w:t xml:space="preserve">Por otra parte, y para el caso específico, el artículo 2.2.1.1.2.2.4. del Decreto 1082 de 2015 es claro que cuando una Entidad Estatal se encuentra frente a un precio de una oferta que parece ser artificialmente bajo, en el desarrollo de una subasta inversa, </w:t>
      </w:r>
      <w:r w:rsidR="0010543A" w:rsidRPr="00E04FE0">
        <w:rPr>
          <w:rFonts w:ascii="Century Gothic" w:hAnsi="Century Gothic" w:cs="Arial"/>
        </w:rPr>
        <w:t xml:space="preserve">la verificación </w:t>
      </w:r>
      <w:r w:rsidRPr="00E04FE0">
        <w:rPr>
          <w:rFonts w:ascii="Century Gothic" w:hAnsi="Century Gothic" w:cs="Arial"/>
        </w:rPr>
        <w:t>las explicaciones que del caso se requieran por parte de la entidad, para determinar si rechaza o acepta la oferta, deberán realizarse al finalizar el evento de subasta</w:t>
      </w:r>
      <w:r w:rsidR="009C6B19" w:rsidRPr="00E04FE0">
        <w:rPr>
          <w:rFonts w:ascii="Century Gothic" w:hAnsi="Century Gothic" w:cs="Arial"/>
        </w:rPr>
        <w:t xml:space="preserve">, sobre </w:t>
      </w:r>
      <w:r w:rsidR="00861E3B" w:rsidRPr="00E04FE0">
        <w:rPr>
          <w:rFonts w:ascii="Century Gothic" w:hAnsi="Century Gothic" w:cs="Arial"/>
          <w:i/>
          <w:iCs/>
        </w:rPr>
        <w:t>“el precio obtenido al final de la misma”</w:t>
      </w:r>
      <w:r w:rsidR="00861E3B" w:rsidRPr="00E04FE0">
        <w:rPr>
          <w:rStyle w:val="Refdenotaalpie"/>
          <w:rFonts w:ascii="Century Gothic" w:hAnsi="Century Gothic" w:cs="Arial"/>
          <w:i/>
          <w:iCs/>
        </w:rPr>
        <w:footnoteReference w:id="11"/>
      </w:r>
      <w:r w:rsidR="00861E3B" w:rsidRPr="00E04FE0">
        <w:rPr>
          <w:rFonts w:ascii="Century Gothic" w:hAnsi="Century Gothic" w:cs="Arial"/>
          <w:i/>
          <w:iCs/>
        </w:rPr>
        <w:t>.</w:t>
      </w:r>
      <w:r w:rsidR="0088666E" w:rsidRPr="00E04FE0">
        <w:rPr>
          <w:rFonts w:ascii="Century Gothic" w:hAnsi="Century Gothic" w:cs="Arial"/>
        </w:rPr>
        <w:t xml:space="preserve"> Esto quiere decir, que </w:t>
      </w:r>
      <w:r w:rsidR="00DD5298" w:rsidRPr="00E04FE0">
        <w:rPr>
          <w:rFonts w:ascii="Century Gothic" w:hAnsi="Century Gothic" w:cs="Arial"/>
        </w:rPr>
        <w:t xml:space="preserve">el valor de la oferta económica a analizar por parte de la Entidad Estatal corresponde al último valor ofertado por cada uno de los proponentes, </w:t>
      </w:r>
      <w:r w:rsidR="0076098B" w:rsidRPr="00E04FE0">
        <w:rPr>
          <w:rFonts w:ascii="Century Gothic" w:hAnsi="Century Gothic" w:cs="Arial"/>
        </w:rPr>
        <w:t xml:space="preserve">es decir, el </w:t>
      </w:r>
      <w:r w:rsidR="00DD5298" w:rsidRPr="00E04FE0">
        <w:rPr>
          <w:rFonts w:ascii="Century Gothic" w:hAnsi="Century Gothic" w:cs="Arial"/>
        </w:rPr>
        <w:t xml:space="preserve">correspondiente al último lance realizado por cada uno de los proponentes </w:t>
      </w:r>
      <w:r w:rsidR="008F7CEA" w:rsidRPr="00E04FE0">
        <w:rPr>
          <w:rFonts w:ascii="Century Gothic" w:hAnsi="Century Gothic" w:cs="Arial"/>
        </w:rPr>
        <w:t xml:space="preserve">o el presentado en su oferta, en </w:t>
      </w:r>
      <w:r w:rsidR="0076098B" w:rsidRPr="00E04FE0">
        <w:rPr>
          <w:rFonts w:ascii="Century Gothic" w:hAnsi="Century Gothic" w:cs="Arial"/>
        </w:rPr>
        <w:t>c</w:t>
      </w:r>
      <w:r w:rsidR="008F7CEA" w:rsidRPr="00E04FE0">
        <w:rPr>
          <w:rFonts w:ascii="Century Gothic" w:hAnsi="Century Gothic" w:cs="Arial"/>
        </w:rPr>
        <w:t xml:space="preserve">aso tal que no haya </w:t>
      </w:r>
      <w:r w:rsidR="0076098B" w:rsidRPr="00E04FE0">
        <w:rPr>
          <w:rFonts w:ascii="Century Gothic" w:hAnsi="Century Gothic" w:cs="Arial"/>
        </w:rPr>
        <w:t>realiz</w:t>
      </w:r>
      <w:r w:rsidR="00024075" w:rsidRPr="00E04FE0">
        <w:rPr>
          <w:rFonts w:ascii="Century Gothic" w:hAnsi="Century Gothic" w:cs="Arial"/>
        </w:rPr>
        <w:t>ad</w:t>
      </w:r>
      <w:r w:rsidR="008F7CEA" w:rsidRPr="00E04FE0">
        <w:rPr>
          <w:rFonts w:ascii="Century Gothic" w:hAnsi="Century Gothic" w:cs="Arial"/>
        </w:rPr>
        <w:t>o lances.</w:t>
      </w:r>
    </w:p>
    <w:p w14:paraId="5D6E10FC" w14:textId="0BAE3958" w:rsidR="009F543E" w:rsidRPr="00E04FE0" w:rsidRDefault="009F543E" w:rsidP="00BE38B8">
      <w:pPr>
        <w:spacing w:after="120" w:line="276" w:lineRule="auto"/>
        <w:ind w:firstLine="708"/>
        <w:jc w:val="both"/>
        <w:rPr>
          <w:rFonts w:ascii="Century Gothic" w:hAnsi="Century Gothic" w:cs="Arial"/>
        </w:rPr>
      </w:pPr>
      <w:r w:rsidRPr="00E04FE0">
        <w:rPr>
          <w:rFonts w:ascii="Century Gothic" w:hAnsi="Century Gothic" w:cs="Arial"/>
        </w:rPr>
        <w:t xml:space="preserve">Finalmente, es importante resaltar que </w:t>
      </w:r>
      <w:r w:rsidR="00554D18" w:rsidRPr="00E04FE0">
        <w:rPr>
          <w:rFonts w:ascii="Century Gothic" w:hAnsi="Century Gothic" w:cs="Arial"/>
        </w:rPr>
        <w:t xml:space="preserve">el capítulo cuarto de </w:t>
      </w:r>
      <w:r w:rsidRPr="00E04FE0">
        <w:rPr>
          <w:rFonts w:ascii="Century Gothic" w:hAnsi="Century Gothic" w:cs="Arial"/>
        </w:rPr>
        <w:t xml:space="preserve">la </w:t>
      </w:r>
      <w:r w:rsidRPr="00E04FE0">
        <w:rPr>
          <w:rFonts w:ascii="Century Gothic" w:hAnsi="Century Gothic" w:cs="Arial"/>
          <w:i/>
          <w:iCs/>
        </w:rPr>
        <w:t>“Guía para el manejo de ofertas artificialmente bajas en los Procesos de Contratación”</w:t>
      </w:r>
      <w:r w:rsidR="00554D18" w:rsidRPr="00E04FE0">
        <w:rPr>
          <w:rFonts w:ascii="Century Gothic" w:hAnsi="Century Gothic" w:cs="Arial"/>
        </w:rPr>
        <w:t xml:space="preserve"> </w:t>
      </w:r>
      <w:r w:rsidR="00A158B4" w:rsidRPr="00E04FE0">
        <w:rPr>
          <w:rFonts w:ascii="Century Gothic" w:hAnsi="Century Gothic" w:cs="Arial"/>
        </w:rPr>
        <w:t xml:space="preserve">se </w:t>
      </w:r>
      <w:r w:rsidR="00963226" w:rsidRPr="00E04FE0">
        <w:rPr>
          <w:rFonts w:ascii="Century Gothic" w:hAnsi="Century Gothic" w:cs="Arial"/>
        </w:rPr>
        <w:t xml:space="preserve">aclara que </w:t>
      </w:r>
      <w:r w:rsidR="00D0301A" w:rsidRPr="00E04FE0">
        <w:rPr>
          <w:rFonts w:ascii="Century Gothic" w:hAnsi="Century Gothic" w:cs="Arial"/>
        </w:rPr>
        <w:t xml:space="preserve">es común que las ofertas resultantes de </w:t>
      </w:r>
      <w:r w:rsidR="00CA6742" w:rsidRPr="00E04FE0">
        <w:rPr>
          <w:rFonts w:ascii="Century Gothic" w:hAnsi="Century Gothic" w:cs="Arial"/>
        </w:rPr>
        <w:t>las pujas competitivas</w:t>
      </w:r>
      <w:r w:rsidR="00D0301A" w:rsidRPr="00E04FE0">
        <w:rPr>
          <w:rFonts w:ascii="Century Gothic" w:hAnsi="Century Gothic" w:cs="Arial"/>
        </w:rPr>
        <w:t xml:space="preserve"> </w:t>
      </w:r>
      <w:r w:rsidR="00963226" w:rsidRPr="00E04FE0">
        <w:rPr>
          <w:rFonts w:ascii="Century Gothic" w:hAnsi="Century Gothic" w:cs="Arial"/>
        </w:rPr>
        <w:t>que se realizan en su</w:t>
      </w:r>
      <w:r w:rsidR="00F021D8" w:rsidRPr="00E04FE0">
        <w:rPr>
          <w:rFonts w:ascii="Century Gothic" w:hAnsi="Century Gothic" w:cs="Arial"/>
        </w:rPr>
        <w:t xml:space="preserve">bastas inversas correspondan a </w:t>
      </w:r>
      <w:r w:rsidR="00D0301A" w:rsidRPr="00E04FE0">
        <w:rPr>
          <w:rFonts w:ascii="Century Gothic" w:hAnsi="Century Gothic" w:cs="Arial"/>
        </w:rPr>
        <w:t>precios bajos</w:t>
      </w:r>
      <w:r w:rsidR="006724F5" w:rsidRPr="00E04FE0">
        <w:rPr>
          <w:rFonts w:ascii="Century Gothic" w:hAnsi="Century Gothic" w:cs="Arial"/>
        </w:rPr>
        <w:t>, pero por ell</w:t>
      </w:r>
      <w:r w:rsidR="00F021D8" w:rsidRPr="00E04FE0">
        <w:rPr>
          <w:rFonts w:ascii="Century Gothic" w:hAnsi="Century Gothic" w:cs="Arial"/>
        </w:rPr>
        <w:t>o no implica necesariamente que estas ofertas deban ser interpretadas como art</w:t>
      </w:r>
      <w:r w:rsidR="00CA6742" w:rsidRPr="00E04FE0">
        <w:rPr>
          <w:rFonts w:ascii="Century Gothic" w:hAnsi="Century Gothic" w:cs="Arial"/>
        </w:rPr>
        <w:t>ificialmente bajas, para tal efecto esta Agencia recomienda:</w:t>
      </w:r>
    </w:p>
    <w:p w14:paraId="6D61359F" w14:textId="26B2C5F3" w:rsidR="0001730D" w:rsidRPr="00E04FE0" w:rsidRDefault="00906955" w:rsidP="00BE38B8">
      <w:pPr>
        <w:spacing w:after="120" w:line="240" w:lineRule="auto"/>
        <w:ind w:left="709" w:right="709"/>
        <w:jc w:val="both"/>
        <w:rPr>
          <w:rFonts w:ascii="Century Gothic" w:hAnsi="Century Gothic" w:cs="Arial"/>
          <w:sz w:val="21"/>
          <w:szCs w:val="21"/>
        </w:rPr>
      </w:pPr>
      <w:r w:rsidRPr="00E04FE0">
        <w:rPr>
          <w:rFonts w:ascii="Century Gothic" w:hAnsi="Century Gothic" w:cs="Arial"/>
          <w:sz w:val="21"/>
          <w:szCs w:val="21"/>
        </w:rPr>
        <w:t>“</w:t>
      </w:r>
      <w:r w:rsidR="0001730D" w:rsidRPr="00E04FE0">
        <w:rPr>
          <w:rFonts w:ascii="Century Gothic" w:hAnsi="Century Gothic" w:cs="Arial"/>
          <w:sz w:val="21"/>
          <w:szCs w:val="21"/>
        </w:rPr>
        <w:t>1. Comparar el valor de cada oferta con el costo estimado de la provisión del bien o servicio de acuerdo con el Estudio del Sector elaborado por la Entidad Estatal. La verificación de las ofertas artificialmente bajas puede sustentarse en información adicional a la utilizada en el Estudio del Sector, como precios de fabricantes y otros factores económicos relevantes.</w:t>
      </w:r>
    </w:p>
    <w:p w14:paraId="240F2816" w14:textId="3360B6EC" w:rsidR="0001730D" w:rsidRPr="00E04FE0" w:rsidRDefault="0001730D" w:rsidP="00BE38B8">
      <w:pPr>
        <w:spacing w:after="120" w:line="240" w:lineRule="auto"/>
        <w:ind w:left="709" w:right="709"/>
        <w:jc w:val="both"/>
        <w:rPr>
          <w:rFonts w:ascii="Century Gothic" w:hAnsi="Century Gothic" w:cs="Arial"/>
          <w:sz w:val="21"/>
          <w:szCs w:val="21"/>
        </w:rPr>
      </w:pPr>
      <w:r w:rsidRPr="00E04FE0">
        <w:rPr>
          <w:rFonts w:ascii="Century Gothic" w:hAnsi="Century Gothic" w:cs="Arial"/>
          <w:sz w:val="21"/>
          <w:szCs w:val="21"/>
        </w:rPr>
        <w:t xml:space="preserve">2. Solicitar explicaciones a los proponentes cuyas ofertas sean menores en un 20%, o un mayor porcentaje, al costo total estimado por la Entidad Estatal (comparación absoluta, ver sección III). </w:t>
      </w:r>
    </w:p>
    <w:p w14:paraId="482F3F06" w14:textId="68B63F3F" w:rsidR="00CA6742" w:rsidRPr="00E04FE0" w:rsidRDefault="0001730D" w:rsidP="00BE38B8">
      <w:pPr>
        <w:spacing w:after="120" w:line="240" w:lineRule="auto"/>
        <w:ind w:left="709" w:right="709"/>
        <w:jc w:val="both"/>
        <w:rPr>
          <w:rFonts w:ascii="Century Gothic" w:hAnsi="Century Gothic" w:cs="Arial"/>
          <w:sz w:val="21"/>
          <w:szCs w:val="21"/>
        </w:rPr>
      </w:pPr>
      <w:r w:rsidRPr="00E04FE0">
        <w:rPr>
          <w:rFonts w:ascii="Century Gothic" w:hAnsi="Century Gothic" w:cs="Arial"/>
          <w:sz w:val="21"/>
          <w:szCs w:val="21"/>
        </w:rPr>
        <w:t>3. Analizar la información remitida por el proponente y considerar el rechazo de las ofertas que cumplan con alguna de las condiciones establecidas en la sección VII de la presente guía</w:t>
      </w:r>
      <w:r w:rsidR="005A633B" w:rsidRPr="00E04FE0">
        <w:rPr>
          <w:rFonts w:ascii="Century Gothic" w:hAnsi="Century Gothic" w:cs="Arial"/>
          <w:sz w:val="21"/>
          <w:szCs w:val="21"/>
        </w:rPr>
        <w:t>”</w:t>
      </w:r>
    </w:p>
    <w:p w14:paraId="11F5825F" w14:textId="77777777" w:rsidR="006914BF" w:rsidRPr="00E04FE0" w:rsidRDefault="006914BF" w:rsidP="00BE38B8">
      <w:pPr>
        <w:spacing w:after="120" w:line="276" w:lineRule="auto"/>
        <w:jc w:val="both"/>
        <w:rPr>
          <w:rFonts w:ascii="Century Gothic" w:hAnsi="Century Gothic" w:cs="Arial"/>
          <w:i/>
          <w:lang w:eastAsia="es-MX"/>
        </w:rPr>
      </w:pPr>
      <w:r w:rsidRPr="00E04FE0">
        <w:rPr>
          <w:rFonts w:ascii="Century Gothic" w:hAnsi="Century Gothic" w:cs="Arial"/>
          <w:b/>
          <w:bCs/>
          <w:lang w:val="es-ES" w:eastAsia="es-MX"/>
        </w:rPr>
        <w:t xml:space="preserve">3. Respuesta: </w:t>
      </w:r>
    </w:p>
    <w:p w14:paraId="01F04816" w14:textId="77777777" w:rsidR="00CB79A1" w:rsidRPr="00E04FE0" w:rsidRDefault="00CB79A1" w:rsidP="00BE38B8">
      <w:pPr>
        <w:spacing w:after="0" w:line="240" w:lineRule="auto"/>
        <w:ind w:left="709" w:right="709"/>
        <w:jc w:val="both"/>
        <w:rPr>
          <w:rFonts w:ascii="Century Gothic" w:hAnsi="Century Gothic" w:cs="Arial"/>
          <w:iCs/>
          <w:sz w:val="21"/>
          <w:szCs w:val="21"/>
          <w:lang w:eastAsia="es-MX"/>
        </w:rPr>
      </w:pPr>
      <w:r w:rsidRPr="00E04FE0">
        <w:rPr>
          <w:rFonts w:ascii="Century Gothic" w:hAnsi="Century Gothic" w:cs="Arial"/>
          <w:iCs/>
          <w:sz w:val="21"/>
          <w:szCs w:val="21"/>
          <w:lang w:eastAsia="es-MX"/>
        </w:rPr>
        <w:t>“La inquietud va dirigida en definir cuál es el conjunto de valores que se toman para aplicar la precitada metodología cuando se ha realizado el evento de subasta, teniendo en cuenta que la Guía para el manejo de ofertas artificialmente bajas en Procesos de Contratación menciona que el conjunto de valores corresponde al "valor ofertado", en ese sentido:</w:t>
      </w:r>
    </w:p>
    <w:p w14:paraId="7A0A35DA" w14:textId="77777777" w:rsidR="00CB79A1" w:rsidRPr="00E04FE0" w:rsidRDefault="00CB79A1" w:rsidP="00BE38B8">
      <w:pPr>
        <w:spacing w:after="0" w:line="240" w:lineRule="auto"/>
        <w:ind w:left="709" w:right="709"/>
        <w:jc w:val="both"/>
        <w:rPr>
          <w:rFonts w:ascii="Century Gothic" w:hAnsi="Century Gothic" w:cs="Arial"/>
          <w:iCs/>
          <w:sz w:val="21"/>
          <w:szCs w:val="21"/>
          <w:lang w:eastAsia="es-MX"/>
        </w:rPr>
      </w:pPr>
    </w:p>
    <w:p w14:paraId="74C0DF6F" w14:textId="77777777" w:rsidR="00CB79A1" w:rsidRPr="00E04FE0" w:rsidRDefault="00CB79A1" w:rsidP="00BE38B8">
      <w:pPr>
        <w:spacing w:after="0" w:line="240" w:lineRule="auto"/>
        <w:ind w:left="709" w:right="709"/>
        <w:jc w:val="both"/>
        <w:rPr>
          <w:rFonts w:ascii="Century Gothic" w:hAnsi="Century Gothic" w:cs="Arial"/>
          <w:iCs/>
          <w:sz w:val="21"/>
          <w:szCs w:val="21"/>
          <w:lang w:eastAsia="es-MX"/>
        </w:rPr>
      </w:pPr>
      <w:r w:rsidRPr="00E04FE0">
        <w:rPr>
          <w:rFonts w:ascii="Century Gothic" w:hAnsi="Century Gothic" w:cs="Arial"/>
          <w:iCs/>
          <w:sz w:val="21"/>
          <w:szCs w:val="21"/>
          <w:lang w:eastAsia="es-MX"/>
        </w:rPr>
        <w:t>¿cuál es el valor ofertado que se debe tener en cuenta en esta metodología, el último lance de cada proveedor o su ofrecimiento final?” (sic).</w:t>
      </w:r>
    </w:p>
    <w:p w14:paraId="003F01AD" w14:textId="77777777" w:rsidR="006914BF" w:rsidRPr="00E04FE0" w:rsidRDefault="006914BF" w:rsidP="00BE38B8">
      <w:pPr>
        <w:spacing w:after="0" w:line="240" w:lineRule="auto"/>
        <w:ind w:right="709"/>
        <w:jc w:val="both"/>
        <w:rPr>
          <w:rFonts w:ascii="Century Gothic" w:hAnsi="Century Gothic" w:cs="Arial"/>
          <w:iCs/>
          <w:lang w:eastAsia="es-MX"/>
        </w:rPr>
      </w:pPr>
    </w:p>
    <w:p w14:paraId="133BCC05" w14:textId="00828EF6" w:rsidR="00B310F6" w:rsidRPr="00E04FE0" w:rsidRDefault="006914BF" w:rsidP="00BE38B8">
      <w:pPr>
        <w:spacing w:after="120" w:line="276" w:lineRule="auto"/>
        <w:jc w:val="both"/>
        <w:rPr>
          <w:rFonts w:ascii="Century Gothic" w:hAnsi="Century Gothic" w:cs="Arial"/>
          <w:bCs/>
          <w:lang w:val="es-ES" w:eastAsia="es-MX"/>
        </w:rPr>
      </w:pPr>
      <w:r w:rsidRPr="00E04FE0">
        <w:rPr>
          <w:rFonts w:ascii="Century Gothic" w:eastAsia="Calibri" w:hAnsi="Century Gothic" w:cs="Arial"/>
          <w:iCs/>
        </w:rPr>
        <w:t xml:space="preserve">Como se manifestó en la parte considerativa, el artículo </w:t>
      </w:r>
      <w:r w:rsidRPr="00E04FE0">
        <w:rPr>
          <w:rFonts w:ascii="Century Gothic" w:hAnsi="Century Gothic" w:cs="Arial"/>
          <w:lang w:eastAsia="es-MX"/>
        </w:rPr>
        <w:t>2.2.1.2.1.2.2.</w:t>
      </w:r>
      <w:r w:rsidR="00D361CE" w:rsidRPr="00E04FE0">
        <w:rPr>
          <w:rFonts w:ascii="Century Gothic" w:hAnsi="Century Gothic" w:cs="Arial"/>
          <w:lang w:eastAsia="es-MX"/>
        </w:rPr>
        <w:t xml:space="preserve"> </w:t>
      </w:r>
      <w:r w:rsidRPr="00E04FE0">
        <w:rPr>
          <w:rFonts w:ascii="Century Gothic" w:hAnsi="Century Gothic" w:cs="Arial"/>
          <w:lang w:eastAsia="es-MX"/>
        </w:rPr>
        <w:t xml:space="preserve">del Decreto 1082 de 2015 dispone que </w:t>
      </w:r>
      <w:r w:rsidRPr="00E04FE0">
        <w:rPr>
          <w:rFonts w:ascii="Century Gothic" w:hAnsi="Century Gothic" w:cs="Arial"/>
          <w:bCs/>
          <w:lang w:eastAsia="es-MX"/>
        </w:rPr>
        <w:t xml:space="preserve">la </w:t>
      </w:r>
      <w:r w:rsidRPr="00E04FE0">
        <w:rPr>
          <w:rFonts w:ascii="Century Gothic" w:hAnsi="Century Gothic" w:cs="Arial"/>
          <w:bCs/>
          <w:lang w:val="es-ES" w:eastAsia="es-MX"/>
        </w:rPr>
        <w:t>Entidad Estatal deberá incorporar en el pliego de condiciones los requisitos de participación y reglas del evento de subasta</w:t>
      </w:r>
      <w:r w:rsidRPr="00E04FE0">
        <w:rPr>
          <w:rFonts w:ascii="Century Gothic" w:hAnsi="Century Gothic" w:cs="Arial"/>
          <w:bCs/>
          <w:lang w:eastAsia="es-MX"/>
        </w:rPr>
        <w:t xml:space="preserve"> </w:t>
      </w:r>
      <w:r w:rsidR="00607749" w:rsidRPr="00E04FE0">
        <w:rPr>
          <w:rFonts w:ascii="Century Gothic" w:hAnsi="Century Gothic" w:cs="Arial"/>
          <w:bCs/>
          <w:lang w:eastAsia="es-MX"/>
        </w:rPr>
        <w:t xml:space="preserve">inversa </w:t>
      </w:r>
      <w:r w:rsidRPr="00E04FE0">
        <w:rPr>
          <w:rFonts w:ascii="Century Gothic" w:hAnsi="Century Gothic" w:cs="Arial"/>
          <w:bCs/>
          <w:lang w:eastAsia="es-MX"/>
        </w:rPr>
        <w:t>como tal</w:t>
      </w:r>
      <w:r w:rsidRPr="00E04FE0">
        <w:rPr>
          <w:rFonts w:ascii="Century Gothic" w:hAnsi="Century Gothic" w:cs="Arial"/>
          <w:bCs/>
          <w:lang w:val="es-ES" w:eastAsia="es-MX"/>
        </w:rPr>
        <w:t>, determinando como mínimo cual es la dinámica de ésta y como se desarrollará</w:t>
      </w:r>
      <w:r w:rsidR="003279D9" w:rsidRPr="00E04FE0">
        <w:rPr>
          <w:rFonts w:ascii="Century Gothic" w:hAnsi="Century Gothic" w:cs="Arial"/>
          <w:bCs/>
          <w:lang w:val="es-ES" w:eastAsia="es-MX"/>
        </w:rPr>
        <w:t xml:space="preserve">, por lo tanto, en el pliego de condiciones la entidad deberá determinar </w:t>
      </w:r>
      <w:r w:rsidR="007823A9" w:rsidRPr="00E04FE0">
        <w:rPr>
          <w:rFonts w:ascii="Century Gothic" w:hAnsi="Century Gothic" w:cs="Arial"/>
          <w:bCs/>
          <w:lang w:val="es-ES" w:eastAsia="es-MX"/>
        </w:rPr>
        <w:t xml:space="preserve">también </w:t>
      </w:r>
      <w:r w:rsidR="003279D9" w:rsidRPr="00E04FE0">
        <w:rPr>
          <w:rFonts w:ascii="Century Gothic" w:hAnsi="Century Gothic" w:cs="Arial"/>
          <w:bCs/>
          <w:lang w:val="es-ES" w:eastAsia="es-MX"/>
        </w:rPr>
        <w:t xml:space="preserve">cómo llevará a cabo </w:t>
      </w:r>
      <w:r w:rsidR="00A24CAC" w:rsidRPr="00E04FE0">
        <w:rPr>
          <w:rFonts w:ascii="Century Gothic" w:hAnsi="Century Gothic" w:cs="Arial"/>
          <w:bCs/>
          <w:lang w:val="es-ES" w:eastAsia="es-MX"/>
        </w:rPr>
        <w:t xml:space="preserve">el análisis </w:t>
      </w:r>
      <w:r w:rsidR="003279D9" w:rsidRPr="00E04FE0">
        <w:rPr>
          <w:rFonts w:ascii="Century Gothic" w:hAnsi="Century Gothic" w:cs="Arial"/>
          <w:bCs/>
          <w:lang w:val="es-ES" w:eastAsia="es-MX"/>
        </w:rPr>
        <w:t xml:space="preserve">las ofertas </w:t>
      </w:r>
      <w:r w:rsidR="00A24CAC" w:rsidRPr="00E04FE0">
        <w:rPr>
          <w:rFonts w:ascii="Century Gothic" w:hAnsi="Century Gothic" w:cs="Arial"/>
          <w:bCs/>
          <w:lang w:val="es-ES" w:eastAsia="es-MX"/>
        </w:rPr>
        <w:t xml:space="preserve">económicas </w:t>
      </w:r>
      <w:r w:rsidR="003279D9" w:rsidRPr="00E04FE0">
        <w:rPr>
          <w:rFonts w:ascii="Century Gothic" w:hAnsi="Century Gothic" w:cs="Arial"/>
          <w:bCs/>
          <w:lang w:val="es-ES" w:eastAsia="es-MX"/>
        </w:rPr>
        <w:t>resultantes de ella</w:t>
      </w:r>
      <w:r w:rsidR="00301283" w:rsidRPr="00E04FE0">
        <w:rPr>
          <w:rFonts w:ascii="Century Gothic" w:hAnsi="Century Gothic" w:cs="Arial"/>
          <w:bCs/>
          <w:lang w:val="es-ES" w:eastAsia="es-MX"/>
        </w:rPr>
        <w:t>, especialmente en lo relacionado a la solicitud de aclaraciones ante presuntas ofertas con precios artificialmente baj</w:t>
      </w:r>
      <w:r w:rsidR="00607749" w:rsidRPr="00E04FE0">
        <w:rPr>
          <w:rFonts w:ascii="Century Gothic" w:hAnsi="Century Gothic" w:cs="Arial"/>
          <w:bCs/>
          <w:lang w:val="es-ES" w:eastAsia="es-MX"/>
        </w:rPr>
        <w:t>o</w:t>
      </w:r>
      <w:r w:rsidR="00301283" w:rsidRPr="00E04FE0">
        <w:rPr>
          <w:rFonts w:ascii="Century Gothic" w:hAnsi="Century Gothic" w:cs="Arial"/>
          <w:bCs/>
          <w:lang w:val="es-ES" w:eastAsia="es-MX"/>
        </w:rPr>
        <w:t xml:space="preserve">s. </w:t>
      </w:r>
    </w:p>
    <w:p w14:paraId="6540D35F" w14:textId="1294F22F" w:rsidR="00B310F6" w:rsidRPr="00E04FE0" w:rsidRDefault="00607749" w:rsidP="00BE38B8">
      <w:pPr>
        <w:spacing w:before="240" w:after="120" w:line="276" w:lineRule="auto"/>
        <w:ind w:firstLine="708"/>
        <w:jc w:val="both"/>
        <w:rPr>
          <w:rFonts w:ascii="Century Gothic" w:hAnsi="Century Gothic" w:cs="Arial"/>
        </w:rPr>
      </w:pPr>
      <w:r w:rsidRPr="00E04FE0">
        <w:rPr>
          <w:rFonts w:ascii="Century Gothic" w:hAnsi="Century Gothic" w:cs="Arial"/>
        </w:rPr>
        <w:t>Para lo anterior</w:t>
      </w:r>
      <w:r w:rsidR="004F65A6" w:rsidRPr="00E04FE0">
        <w:rPr>
          <w:rFonts w:ascii="Century Gothic" w:hAnsi="Century Gothic" w:cs="Arial"/>
        </w:rPr>
        <w:t xml:space="preserve">, </w:t>
      </w:r>
      <w:r w:rsidRPr="00E04FE0">
        <w:rPr>
          <w:rFonts w:ascii="Century Gothic" w:hAnsi="Century Gothic" w:cs="Arial"/>
        </w:rPr>
        <w:t>la En</w:t>
      </w:r>
      <w:r w:rsidR="00997CB4" w:rsidRPr="00E04FE0">
        <w:rPr>
          <w:rFonts w:ascii="Century Gothic" w:hAnsi="Century Gothic" w:cs="Arial"/>
        </w:rPr>
        <w:t>tidad Estatal deberá tener en cuenta</w:t>
      </w:r>
      <w:r w:rsidR="00333F36" w:rsidRPr="00E04FE0">
        <w:rPr>
          <w:rFonts w:ascii="Century Gothic" w:hAnsi="Century Gothic" w:cs="Arial"/>
        </w:rPr>
        <w:t xml:space="preserve"> </w:t>
      </w:r>
      <w:r w:rsidR="00997CB4" w:rsidRPr="00E04FE0">
        <w:rPr>
          <w:rFonts w:ascii="Century Gothic" w:hAnsi="Century Gothic" w:cs="Arial"/>
        </w:rPr>
        <w:t>lo dispuesto en el</w:t>
      </w:r>
      <w:r w:rsidR="006914BF" w:rsidRPr="00E04FE0">
        <w:rPr>
          <w:rFonts w:ascii="Century Gothic" w:hAnsi="Century Gothic" w:cs="Arial"/>
        </w:rPr>
        <w:t xml:space="preserve"> artículo 2.2.1.1.2.2.4. del Decreto 1082 de 2015</w:t>
      </w:r>
      <w:r w:rsidR="005C6131" w:rsidRPr="00E04FE0">
        <w:rPr>
          <w:rFonts w:ascii="Century Gothic" w:hAnsi="Century Gothic" w:cs="Arial"/>
        </w:rPr>
        <w:t>,</w:t>
      </w:r>
      <w:r w:rsidR="006914BF" w:rsidRPr="00E04FE0">
        <w:rPr>
          <w:rFonts w:ascii="Century Gothic" w:hAnsi="Century Gothic" w:cs="Arial"/>
        </w:rPr>
        <w:t xml:space="preserve"> </w:t>
      </w:r>
      <w:r w:rsidR="00294F05" w:rsidRPr="00E04FE0">
        <w:rPr>
          <w:rFonts w:ascii="Century Gothic" w:hAnsi="Century Gothic" w:cs="Arial"/>
        </w:rPr>
        <w:t>q</w:t>
      </w:r>
      <w:r w:rsidR="00B310F6" w:rsidRPr="00E04FE0">
        <w:rPr>
          <w:rFonts w:ascii="Century Gothic" w:hAnsi="Century Gothic" w:cs="Arial"/>
        </w:rPr>
        <w:t xml:space="preserve">ue indica </w:t>
      </w:r>
      <w:r w:rsidR="00470183" w:rsidRPr="00E04FE0">
        <w:rPr>
          <w:rFonts w:ascii="Century Gothic" w:hAnsi="Century Gothic" w:cs="Arial"/>
        </w:rPr>
        <w:t>que ante el</w:t>
      </w:r>
      <w:r w:rsidR="006914BF" w:rsidRPr="00E04FE0">
        <w:rPr>
          <w:rFonts w:ascii="Century Gothic" w:hAnsi="Century Gothic" w:cs="Arial"/>
        </w:rPr>
        <w:t xml:space="preserve"> precio de una oferta que parece ser artificialmente bajo, en el desarrollo de una subasta inversa, </w:t>
      </w:r>
      <w:r w:rsidR="004D335D" w:rsidRPr="00E04FE0">
        <w:rPr>
          <w:rFonts w:ascii="Century Gothic" w:hAnsi="Century Gothic" w:cs="Arial"/>
        </w:rPr>
        <w:t xml:space="preserve">deberá requerir </w:t>
      </w:r>
      <w:r w:rsidR="006914BF" w:rsidRPr="00E04FE0">
        <w:rPr>
          <w:rFonts w:ascii="Century Gothic" w:hAnsi="Century Gothic" w:cs="Arial"/>
        </w:rPr>
        <w:t xml:space="preserve">las explicaciones que del caso se requieran </w:t>
      </w:r>
      <w:r w:rsidR="00F060BB" w:rsidRPr="00E04FE0">
        <w:rPr>
          <w:rFonts w:ascii="Century Gothic" w:hAnsi="Century Gothic" w:cs="Arial"/>
        </w:rPr>
        <w:t>a</w:t>
      </w:r>
      <w:r w:rsidR="00746E8B" w:rsidRPr="00E04FE0">
        <w:rPr>
          <w:rFonts w:ascii="Century Gothic" w:hAnsi="Century Gothic" w:cs="Arial"/>
        </w:rPr>
        <w:t>l</w:t>
      </w:r>
      <w:r w:rsidR="00F060BB" w:rsidRPr="00E04FE0">
        <w:rPr>
          <w:rFonts w:ascii="Century Gothic" w:hAnsi="Century Gothic" w:cs="Arial"/>
        </w:rPr>
        <w:t xml:space="preserve"> proponent</w:t>
      </w:r>
      <w:r w:rsidR="00746E8B" w:rsidRPr="00E04FE0">
        <w:rPr>
          <w:rFonts w:ascii="Century Gothic" w:hAnsi="Century Gothic" w:cs="Arial"/>
        </w:rPr>
        <w:t>e</w:t>
      </w:r>
      <w:r w:rsidR="00F060BB" w:rsidRPr="00E04FE0">
        <w:rPr>
          <w:rFonts w:ascii="Century Gothic" w:hAnsi="Century Gothic" w:cs="Arial"/>
        </w:rPr>
        <w:t xml:space="preserve"> </w:t>
      </w:r>
      <w:r w:rsidR="006914BF" w:rsidRPr="00E04FE0">
        <w:rPr>
          <w:rFonts w:ascii="Century Gothic" w:hAnsi="Century Gothic" w:cs="Arial"/>
        </w:rPr>
        <w:t>para determinar si rechaza o acepta la oferta, al finalizar el evento de subasta,</w:t>
      </w:r>
      <w:r w:rsidR="00B310F6" w:rsidRPr="00E04FE0">
        <w:rPr>
          <w:rFonts w:ascii="Century Gothic" w:hAnsi="Century Gothic" w:cs="Arial"/>
        </w:rPr>
        <w:t xml:space="preserve"> sobre </w:t>
      </w:r>
      <w:r w:rsidR="000B6D40" w:rsidRPr="00E04FE0">
        <w:rPr>
          <w:rFonts w:ascii="Century Gothic" w:hAnsi="Century Gothic" w:cs="Arial"/>
        </w:rPr>
        <w:t xml:space="preserve">el precio obtenido al finalizar </w:t>
      </w:r>
      <w:r w:rsidR="00DE6218" w:rsidRPr="00E04FE0">
        <w:rPr>
          <w:rFonts w:ascii="Century Gothic" w:hAnsi="Century Gothic" w:cs="Arial"/>
        </w:rPr>
        <w:t>la misa,</w:t>
      </w:r>
      <w:r w:rsidR="00B310F6" w:rsidRPr="00E04FE0">
        <w:rPr>
          <w:rFonts w:ascii="Century Gothic" w:hAnsi="Century Gothic" w:cs="Arial"/>
        </w:rPr>
        <w:t xml:space="preserve"> </w:t>
      </w:r>
      <w:r w:rsidR="002F0986" w:rsidRPr="00E04FE0">
        <w:rPr>
          <w:rFonts w:ascii="Century Gothic" w:hAnsi="Century Gothic" w:cs="Arial"/>
        </w:rPr>
        <w:t>e</w:t>
      </w:r>
      <w:r w:rsidR="00B310F6" w:rsidRPr="00E04FE0">
        <w:rPr>
          <w:rFonts w:ascii="Century Gothic" w:hAnsi="Century Gothic" w:cs="Arial"/>
        </w:rPr>
        <w:t>sto quiere decir, que el valor de la oferta económica a analizar por parte de la Entidad Estatal corresponde al último valor ofertado por cada uno de los proponentes, sea este</w:t>
      </w:r>
      <w:r w:rsidR="002355C1" w:rsidRPr="00E04FE0">
        <w:rPr>
          <w:rFonts w:ascii="Century Gothic" w:hAnsi="Century Gothic" w:cs="Arial"/>
        </w:rPr>
        <w:t>,</w:t>
      </w:r>
      <w:r w:rsidR="00B310F6" w:rsidRPr="00E04FE0">
        <w:rPr>
          <w:rFonts w:ascii="Century Gothic" w:hAnsi="Century Gothic" w:cs="Arial"/>
        </w:rPr>
        <w:t xml:space="preserve"> el correspondiente </w:t>
      </w:r>
      <w:r w:rsidR="007E429D" w:rsidRPr="00E04FE0">
        <w:rPr>
          <w:rFonts w:ascii="Century Gothic" w:hAnsi="Century Gothic" w:cs="Arial"/>
        </w:rPr>
        <w:t>al</w:t>
      </w:r>
      <w:r w:rsidR="00B310F6" w:rsidRPr="00E04FE0">
        <w:rPr>
          <w:rFonts w:ascii="Century Gothic" w:hAnsi="Century Gothic" w:cs="Arial"/>
        </w:rPr>
        <w:t xml:space="preserve"> último lance realizado o el presentado en su oferta, en </w:t>
      </w:r>
      <w:r w:rsidR="007E429D" w:rsidRPr="00E04FE0">
        <w:rPr>
          <w:rFonts w:ascii="Century Gothic" w:hAnsi="Century Gothic" w:cs="Arial"/>
        </w:rPr>
        <w:t>c</w:t>
      </w:r>
      <w:r w:rsidR="00B310F6" w:rsidRPr="00E04FE0">
        <w:rPr>
          <w:rFonts w:ascii="Century Gothic" w:hAnsi="Century Gothic" w:cs="Arial"/>
        </w:rPr>
        <w:t xml:space="preserve">aso tal que no haya </w:t>
      </w:r>
      <w:r w:rsidR="007E429D" w:rsidRPr="00E04FE0">
        <w:rPr>
          <w:rFonts w:ascii="Century Gothic" w:hAnsi="Century Gothic" w:cs="Arial"/>
        </w:rPr>
        <w:t>realizado</w:t>
      </w:r>
      <w:r w:rsidR="00B310F6" w:rsidRPr="00E04FE0">
        <w:rPr>
          <w:rFonts w:ascii="Century Gothic" w:hAnsi="Century Gothic" w:cs="Arial"/>
        </w:rPr>
        <w:t xml:space="preserve"> lances.</w:t>
      </w:r>
    </w:p>
    <w:p w14:paraId="1DE1AA6F" w14:textId="5F5B4E2C" w:rsidR="00B310F6" w:rsidRPr="00E04FE0" w:rsidRDefault="007E429D" w:rsidP="00BE38B8">
      <w:pPr>
        <w:spacing w:after="120" w:line="276" w:lineRule="auto"/>
        <w:ind w:firstLine="708"/>
        <w:jc w:val="both"/>
        <w:rPr>
          <w:rFonts w:ascii="Century Gothic" w:hAnsi="Century Gothic" w:cs="Arial"/>
          <w:sz w:val="21"/>
          <w:szCs w:val="21"/>
        </w:rPr>
      </w:pPr>
      <w:r w:rsidRPr="00E04FE0">
        <w:rPr>
          <w:rFonts w:ascii="Century Gothic" w:hAnsi="Century Gothic" w:cs="Arial"/>
        </w:rPr>
        <w:t>En todo caso se aclara, que la</w:t>
      </w:r>
      <w:r w:rsidR="006320DC" w:rsidRPr="00E04FE0">
        <w:rPr>
          <w:rFonts w:ascii="Century Gothic" w:hAnsi="Century Gothic" w:cs="Arial"/>
        </w:rPr>
        <w:t xml:space="preserve">s metodologías </w:t>
      </w:r>
      <w:r w:rsidR="000A46EA" w:rsidRPr="00E04FE0">
        <w:rPr>
          <w:rFonts w:ascii="Century Gothic" w:hAnsi="Century Gothic" w:cs="Arial"/>
        </w:rPr>
        <w:t xml:space="preserve">o herramientas </w:t>
      </w:r>
      <w:r w:rsidR="006320DC" w:rsidRPr="00E04FE0">
        <w:rPr>
          <w:rFonts w:ascii="Century Gothic" w:hAnsi="Century Gothic" w:cs="Arial"/>
        </w:rPr>
        <w:t>establecidas por la Agencia en la</w:t>
      </w:r>
      <w:r w:rsidR="006232CE" w:rsidRPr="00E04FE0">
        <w:rPr>
          <w:rFonts w:ascii="Century Gothic" w:hAnsi="Century Gothic" w:cs="Arial"/>
        </w:rPr>
        <w:t xml:space="preserve"> </w:t>
      </w:r>
      <w:r w:rsidR="00B310F6" w:rsidRPr="00E04FE0">
        <w:rPr>
          <w:rFonts w:ascii="Century Gothic" w:hAnsi="Century Gothic" w:cs="Arial"/>
          <w:i/>
          <w:iCs/>
        </w:rPr>
        <w:t>“Guía para el manejo de ofertas artificialmente bajas en los Procesos de Contratación”</w:t>
      </w:r>
      <w:r w:rsidR="00B310F6" w:rsidRPr="00E04FE0">
        <w:rPr>
          <w:rFonts w:ascii="Century Gothic" w:hAnsi="Century Gothic" w:cs="Arial"/>
        </w:rPr>
        <w:t xml:space="preserve"> </w:t>
      </w:r>
      <w:r w:rsidR="006232CE" w:rsidRPr="00E04FE0">
        <w:rPr>
          <w:rFonts w:ascii="Century Gothic" w:hAnsi="Century Gothic" w:cs="Arial"/>
        </w:rPr>
        <w:t>para identificar ofertas que pueden ser artificialmente bajas son meramente enunciativas, por lo tanto</w:t>
      </w:r>
      <w:r w:rsidR="005A71BE" w:rsidRPr="00E04FE0">
        <w:rPr>
          <w:rFonts w:ascii="Century Gothic" w:hAnsi="Century Gothic" w:cs="Arial"/>
        </w:rPr>
        <w:t>,</w:t>
      </w:r>
      <w:r w:rsidR="009568C2" w:rsidRPr="00E04FE0">
        <w:rPr>
          <w:rFonts w:ascii="Century Gothic" w:hAnsi="Century Gothic" w:cs="Arial"/>
        </w:rPr>
        <w:t xml:space="preserve"> </w:t>
      </w:r>
      <w:r w:rsidR="00FD11FC" w:rsidRPr="00E04FE0">
        <w:rPr>
          <w:rFonts w:ascii="Century Gothic" w:hAnsi="Century Gothic" w:cs="Arial"/>
        </w:rPr>
        <w:t>las</w:t>
      </w:r>
      <w:r w:rsidR="009658C9" w:rsidRPr="00E04FE0">
        <w:rPr>
          <w:rFonts w:ascii="Century Gothic" w:hAnsi="Century Gothic" w:cs="Arial"/>
        </w:rPr>
        <w:t xml:space="preserve"> entidades pueden justificar la utilización de otras metodologías o</w:t>
      </w:r>
      <w:r w:rsidR="00FD11FC" w:rsidRPr="00E04FE0">
        <w:rPr>
          <w:rFonts w:ascii="Century Gothic" w:hAnsi="Century Gothic" w:cs="Arial"/>
        </w:rPr>
        <w:t xml:space="preserve"> herramientas </w:t>
      </w:r>
      <w:r w:rsidR="009658C9" w:rsidRPr="00E04FE0">
        <w:rPr>
          <w:rFonts w:ascii="Century Gothic" w:hAnsi="Century Gothic" w:cs="Arial"/>
        </w:rPr>
        <w:t>diferentes a la comparación</w:t>
      </w:r>
      <w:r w:rsidR="00FD11FC" w:rsidRPr="00E04FE0">
        <w:rPr>
          <w:rFonts w:ascii="Century Gothic" w:hAnsi="Century Gothic" w:cs="Arial"/>
        </w:rPr>
        <w:t xml:space="preserve"> absoluta</w:t>
      </w:r>
      <w:r w:rsidR="00E200AC" w:rsidRPr="00E04FE0">
        <w:rPr>
          <w:rFonts w:ascii="Century Gothic" w:hAnsi="Century Gothic" w:cs="Arial"/>
        </w:rPr>
        <w:t xml:space="preserve"> </w:t>
      </w:r>
      <w:r w:rsidR="00EE27B1" w:rsidRPr="00E04FE0">
        <w:rPr>
          <w:rFonts w:ascii="Century Gothic" w:hAnsi="Century Gothic" w:cs="Arial"/>
        </w:rPr>
        <w:t>o</w:t>
      </w:r>
      <w:r w:rsidR="00E200AC" w:rsidRPr="00E04FE0">
        <w:rPr>
          <w:rFonts w:ascii="Century Gothic" w:hAnsi="Century Gothic" w:cs="Arial"/>
        </w:rPr>
        <w:t xml:space="preserve"> la</w:t>
      </w:r>
      <w:r w:rsidR="00FD11FC" w:rsidRPr="00E04FE0">
        <w:rPr>
          <w:rFonts w:ascii="Century Gothic" w:hAnsi="Century Gothic" w:cs="Arial"/>
        </w:rPr>
        <w:t xml:space="preserve"> relativa</w:t>
      </w:r>
      <w:r w:rsidR="00AE16EE" w:rsidRPr="00E04FE0">
        <w:rPr>
          <w:rStyle w:val="Refdenotaalpie"/>
          <w:rFonts w:ascii="Century Gothic" w:hAnsi="Century Gothic" w:cs="Arial"/>
        </w:rPr>
        <w:footnoteReference w:id="12"/>
      </w:r>
      <w:r w:rsidR="00EE27B1" w:rsidRPr="00E04FE0">
        <w:rPr>
          <w:rFonts w:ascii="Century Gothic" w:hAnsi="Century Gothic" w:cs="Arial"/>
        </w:rPr>
        <w:t xml:space="preserve"> explicadas y utilizadas en la </w:t>
      </w:r>
      <w:r w:rsidR="002D4297" w:rsidRPr="00E04FE0">
        <w:rPr>
          <w:rFonts w:ascii="Century Gothic" w:hAnsi="Century Gothic" w:cs="Arial"/>
        </w:rPr>
        <w:t>citada guía</w:t>
      </w:r>
      <w:r w:rsidR="009658C9" w:rsidRPr="00E04FE0">
        <w:rPr>
          <w:rFonts w:ascii="Century Gothic" w:hAnsi="Century Gothic" w:cs="Arial"/>
        </w:rPr>
        <w:t>. Ahora bien, sobre l</w:t>
      </w:r>
      <w:r w:rsidR="00B866A2" w:rsidRPr="00E04FE0">
        <w:rPr>
          <w:rFonts w:ascii="Century Gothic" w:hAnsi="Century Gothic" w:cs="Arial"/>
        </w:rPr>
        <w:t>os precios artificialmente bajos identificados en los procesos que se llevan a cabo bajo la subasta inversa</w:t>
      </w:r>
      <w:r w:rsidR="00A70B47" w:rsidRPr="00E04FE0">
        <w:rPr>
          <w:rFonts w:ascii="Century Gothic" w:hAnsi="Century Gothic" w:cs="Arial"/>
        </w:rPr>
        <w:t>,</w:t>
      </w:r>
      <w:r w:rsidR="00FD11FC" w:rsidRPr="00E04FE0">
        <w:rPr>
          <w:rFonts w:ascii="Century Gothic" w:hAnsi="Century Gothic" w:cs="Arial"/>
        </w:rPr>
        <w:t xml:space="preserve"> </w:t>
      </w:r>
      <w:r w:rsidR="00E25E5F" w:rsidRPr="00E04FE0">
        <w:rPr>
          <w:rFonts w:ascii="Century Gothic" w:hAnsi="Century Gothic" w:cs="Arial"/>
        </w:rPr>
        <w:t xml:space="preserve">esta entidad ha recomendado la utilización de la comparación absoluta, esta es, solicitar </w:t>
      </w:r>
      <w:r w:rsidR="00B310F6" w:rsidRPr="00E04FE0">
        <w:rPr>
          <w:rFonts w:ascii="Century Gothic" w:hAnsi="Century Gothic" w:cs="Arial"/>
        </w:rPr>
        <w:t xml:space="preserve">explicaciones a los proponentes cuyas ofertas </w:t>
      </w:r>
      <w:r w:rsidR="002D4297" w:rsidRPr="00E04FE0">
        <w:rPr>
          <w:rFonts w:ascii="Century Gothic" w:hAnsi="Century Gothic" w:cs="Arial"/>
        </w:rPr>
        <w:t xml:space="preserve">finales </w:t>
      </w:r>
      <w:r w:rsidR="00B310F6" w:rsidRPr="00E04FE0">
        <w:rPr>
          <w:rFonts w:ascii="Century Gothic" w:hAnsi="Century Gothic" w:cs="Arial"/>
        </w:rPr>
        <w:t>sean menores en un 20%, o un mayor porcentaje, al costo total estimado por la Entidad Estatal</w:t>
      </w:r>
      <w:r w:rsidR="002D4297" w:rsidRPr="00E04FE0">
        <w:rPr>
          <w:rFonts w:ascii="Century Gothic" w:hAnsi="Century Gothic" w:cs="Arial"/>
        </w:rPr>
        <w:t>.</w:t>
      </w:r>
    </w:p>
    <w:p w14:paraId="489B3132" w14:textId="2F43D577" w:rsidR="006914BF" w:rsidRPr="00E04FE0" w:rsidRDefault="006914BF" w:rsidP="00BE38B8">
      <w:pPr>
        <w:spacing w:before="240" w:after="120" w:line="276" w:lineRule="auto"/>
        <w:ind w:firstLine="708"/>
        <w:jc w:val="both"/>
        <w:rPr>
          <w:rFonts w:ascii="Century Gothic" w:hAnsi="Century Gothic" w:cs="Arial"/>
          <w:bCs/>
          <w:lang w:val="es-ES" w:eastAsia="es-MX"/>
        </w:rPr>
      </w:pPr>
      <w:r w:rsidRPr="00E04FE0">
        <w:rPr>
          <w:rFonts w:ascii="Century Gothic" w:hAnsi="Century Gothic" w:cs="Arial"/>
          <w:lang w:val="es-ES_tradnl"/>
        </w:rPr>
        <w:t xml:space="preserve">Este concepto tiene el alcance previsto en el artículo 28 del Código de Procedimiento Administrativo y de lo Contencioso Administrativo y </w:t>
      </w:r>
      <w:r w:rsidRPr="00E04FE0">
        <w:rPr>
          <w:rFonts w:ascii="Century Gothic" w:eastAsia="Calibri" w:hAnsi="Century Gothic" w:cs="Arial"/>
          <w:lang w:val="es-MX"/>
        </w:rPr>
        <w:t>las expresiones utilizadas con mayúscula inicial deben ser entendidas con el significado que les otorga el artículo 2.2.1.1.1.3.1. del Decreto 1082 de 2015.</w:t>
      </w:r>
    </w:p>
    <w:p w14:paraId="04BB193E" w14:textId="7E75346B" w:rsidR="006914BF" w:rsidRPr="00E04FE0" w:rsidRDefault="006914BF" w:rsidP="00BE38B8">
      <w:pPr>
        <w:pStyle w:val="NormalWeb"/>
        <w:spacing w:after="120" w:afterAutospacing="0" w:line="276" w:lineRule="auto"/>
        <w:jc w:val="both"/>
        <w:rPr>
          <w:rFonts w:ascii="Century Gothic" w:hAnsi="Century Gothic" w:cs="Arial"/>
          <w:color w:val="000000" w:themeColor="text1"/>
          <w:sz w:val="22"/>
          <w:szCs w:val="22"/>
          <w:lang w:val="es-ES_tradnl"/>
        </w:rPr>
      </w:pPr>
      <w:r w:rsidRPr="00E04FE0">
        <w:rPr>
          <w:rFonts w:ascii="Century Gothic" w:hAnsi="Century Gothic" w:cs="Arial"/>
          <w:color w:val="000000" w:themeColor="text1"/>
          <w:sz w:val="22"/>
          <w:szCs w:val="22"/>
          <w:lang w:val="es-ES_tradnl"/>
        </w:rPr>
        <w:t>Atentamente</w:t>
      </w:r>
    </w:p>
    <w:p w14:paraId="0FAA4EE2" w14:textId="463FC5D5" w:rsidR="006914BF" w:rsidRPr="00E04FE0" w:rsidRDefault="00E96ED0" w:rsidP="00BE38B8">
      <w:pPr>
        <w:pStyle w:val="NormalWeb"/>
        <w:spacing w:after="120" w:afterAutospacing="0" w:line="276" w:lineRule="auto"/>
        <w:jc w:val="center"/>
        <w:rPr>
          <w:rFonts w:ascii="Century Gothic" w:hAnsi="Century Gothic" w:cs="Arial"/>
          <w:color w:val="000000" w:themeColor="text1"/>
          <w:sz w:val="22"/>
          <w:szCs w:val="22"/>
          <w:lang w:val="es-ES_tradnl"/>
        </w:rPr>
      </w:pPr>
      <w:r w:rsidRPr="001B7209">
        <w:rPr>
          <w:rFonts w:ascii="Century Gothic" w:hAnsi="Century Gothic"/>
          <w:noProof/>
        </w:rPr>
        <w:drawing>
          <wp:inline distT="0" distB="0" distL="0" distR="0" wp14:anchorId="17956608" wp14:editId="5977F8BA">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pPr w:leftFromText="141" w:rightFromText="141" w:vertAnchor="text" w:horzAnchor="margin" w:tblpY="48"/>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6914BF" w:rsidRPr="00E04FE0" w14:paraId="25E1CFCF" w14:textId="77777777" w:rsidTr="006914BF">
        <w:trPr>
          <w:trHeight w:val="409"/>
        </w:trPr>
        <w:tc>
          <w:tcPr>
            <w:tcW w:w="817" w:type="dxa"/>
            <w:tcBorders>
              <w:top w:val="nil"/>
              <w:left w:val="nil"/>
              <w:bottom w:val="nil"/>
              <w:right w:val="nil"/>
            </w:tcBorders>
            <w:vAlign w:val="center"/>
            <w:hideMark/>
          </w:tcPr>
          <w:p w14:paraId="14570390" w14:textId="77777777" w:rsidR="006914BF" w:rsidRPr="00E04FE0" w:rsidRDefault="006914BF" w:rsidP="00FC5ECD">
            <w:pPr>
              <w:spacing w:after="0" w:line="240" w:lineRule="auto"/>
              <w:jc w:val="both"/>
              <w:rPr>
                <w:rFonts w:ascii="Century Gothic" w:hAnsi="Century Gothic" w:cs="Arial"/>
                <w:sz w:val="14"/>
                <w:szCs w:val="14"/>
              </w:rPr>
            </w:pPr>
            <w:r w:rsidRPr="00E04FE0">
              <w:rPr>
                <w:rFonts w:ascii="Century Gothic" w:hAnsi="Century Gothic" w:cs="Arial"/>
                <w:sz w:val="14"/>
                <w:szCs w:val="14"/>
              </w:rPr>
              <w:t>Elaboró: </w:t>
            </w:r>
          </w:p>
        </w:tc>
        <w:tc>
          <w:tcPr>
            <w:tcW w:w="4937" w:type="dxa"/>
            <w:tcBorders>
              <w:top w:val="nil"/>
              <w:left w:val="nil"/>
              <w:bottom w:val="dotted" w:sz="6" w:space="0" w:color="7F7F7F"/>
              <w:right w:val="nil"/>
            </w:tcBorders>
            <w:vAlign w:val="center"/>
            <w:hideMark/>
          </w:tcPr>
          <w:p w14:paraId="69306827" w14:textId="77777777" w:rsidR="006914BF" w:rsidRPr="00E04FE0" w:rsidRDefault="006914BF" w:rsidP="00FC5ECD">
            <w:pPr>
              <w:spacing w:after="0" w:line="240" w:lineRule="auto"/>
              <w:jc w:val="both"/>
              <w:rPr>
                <w:rFonts w:ascii="Century Gothic" w:hAnsi="Century Gothic" w:cs="Arial"/>
                <w:sz w:val="14"/>
                <w:szCs w:val="14"/>
              </w:rPr>
            </w:pPr>
            <w:r w:rsidRPr="00E04FE0">
              <w:rPr>
                <w:rFonts w:ascii="Century Gothic" w:hAnsi="Century Gothic" w:cs="Arial"/>
                <w:sz w:val="14"/>
                <w:szCs w:val="14"/>
              </w:rPr>
              <w:t>Any Alejandra Tovar Castillo</w:t>
            </w:r>
          </w:p>
          <w:p w14:paraId="01188CE5" w14:textId="77777777" w:rsidR="006914BF" w:rsidRPr="00E04FE0" w:rsidRDefault="006914BF" w:rsidP="00FC5ECD">
            <w:pPr>
              <w:spacing w:after="0" w:line="240" w:lineRule="auto"/>
              <w:jc w:val="both"/>
              <w:rPr>
                <w:rFonts w:ascii="Century Gothic" w:hAnsi="Century Gothic" w:cs="Arial"/>
                <w:sz w:val="14"/>
                <w:szCs w:val="14"/>
              </w:rPr>
            </w:pPr>
            <w:r w:rsidRPr="00E04FE0">
              <w:rPr>
                <w:rFonts w:ascii="Century Gothic" w:hAnsi="Century Gothic" w:cs="Arial"/>
                <w:sz w:val="14"/>
                <w:szCs w:val="14"/>
              </w:rPr>
              <w:t>Contratista de la Subdirección de Gestión Contractual</w:t>
            </w:r>
          </w:p>
        </w:tc>
      </w:tr>
      <w:tr w:rsidR="006914BF" w:rsidRPr="00E04FE0" w14:paraId="2DDB4B90" w14:textId="77777777" w:rsidTr="006914BF">
        <w:trPr>
          <w:trHeight w:val="409"/>
        </w:trPr>
        <w:tc>
          <w:tcPr>
            <w:tcW w:w="817" w:type="dxa"/>
            <w:tcBorders>
              <w:top w:val="nil"/>
              <w:left w:val="nil"/>
              <w:bottom w:val="nil"/>
              <w:right w:val="nil"/>
            </w:tcBorders>
            <w:vAlign w:val="center"/>
            <w:hideMark/>
          </w:tcPr>
          <w:p w14:paraId="62EE0EE4" w14:textId="77777777" w:rsidR="006914BF" w:rsidRPr="00E04FE0" w:rsidRDefault="006914BF" w:rsidP="00FC5ECD">
            <w:pPr>
              <w:spacing w:after="0" w:line="240" w:lineRule="auto"/>
              <w:jc w:val="both"/>
              <w:rPr>
                <w:rFonts w:ascii="Century Gothic" w:hAnsi="Century Gothic" w:cs="Arial"/>
                <w:sz w:val="14"/>
                <w:szCs w:val="14"/>
              </w:rPr>
            </w:pPr>
            <w:r w:rsidRPr="00E04FE0">
              <w:rPr>
                <w:rFonts w:ascii="Century Gothic" w:hAnsi="Century Gothic" w:cs="Arial"/>
                <w:sz w:val="14"/>
                <w:szCs w:val="14"/>
              </w:rPr>
              <w:t>Revisó: </w:t>
            </w:r>
          </w:p>
        </w:tc>
        <w:tc>
          <w:tcPr>
            <w:tcW w:w="4937" w:type="dxa"/>
            <w:tcBorders>
              <w:top w:val="dotted" w:sz="6" w:space="0" w:color="7F7F7F"/>
              <w:left w:val="nil"/>
              <w:bottom w:val="dotted" w:sz="6" w:space="0" w:color="7F7F7F"/>
              <w:right w:val="nil"/>
            </w:tcBorders>
            <w:vAlign w:val="center"/>
            <w:hideMark/>
          </w:tcPr>
          <w:p w14:paraId="61BE2C3C" w14:textId="5B0410F4" w:rsidR="006914BF" w:rsidRPr="00E04FE0" w:rsidRDefault="00817039" w:rsidP="00FC5ECD">
            <w:pPr>
              <w:spacing w:after="0" w:line="240" w:lineRule="auto"/>
              <w:jc w:val="both"/>
              <w:rPr>
                <w:rFonts w:ascii="Century Gothic" w:hAnsi="Century Gothic" w:cs="Arial"/>
                <w:sz w:val="14"/>
                <w:szCs w:val="14"/>
              </w:rPr>
            </w:pPr>
            <w:r w:rsidRPr="00E04FE0">
              <w:rPr>
                <w:rFonts w:ascii="Century Gothic" w:hAnsi="Century Gothic" w:cs="Arial"/>
                <w:sz w:val="14"/>
                <w:szCs w:val="14"/>
              </w:rPr>
              <w:t>Juan David Cárdenas</w:t>
            </w:r>
            <w:r w:rsidR="00396A69" w:rsidRPr="00E04FE0">
              <w:rPr>
                <w:rFonts w:ascii="Century Gothic" w:hAnsi="Century Gothic" w:cs="Arial"/>
                <w:sz w:val="14"/>
                <w:szCs w:val="14"/>
              </w:rPr>
              <w:t xml:space="preserve"> Cabeza</w:t>
            </w:r>
          </w:p>
          <w:p w14:paraId="57B3F56D" w14:textId="750C8EC9" w:rsidR="006914BF" w:rsidRPr="00E04FE0" w:rsidRDefault="00941157" w:rsidP="00FC5ECD">
            <w:pPr>
              <w:spacing w:after="0" w:line="240" w:lineRule="auto"/>
              <w:jc w:val="both"/>
              <w:rPr>
                <w:rFonts w:ascii="Century Gothic" w:hAnsi="Century Gothic" w:cs="Arial"/>
                <w:sz w:val="14"/>
                <w:szCs w:val="14"/>
              </w:rPr>
            </w:pPr>
            <w:r w:rsidRPr="00E04FE0">
              <w:rPr>
                <w:rFonts w:ascii="Century Gothic" w:hAnsi="Century Gothic" w:cs="Arial"/>
                <w:sz w:val="14"/>
                <w:szCs w:val="14"/>
              </w:rPr>
              <w:t>Contratista de la Subdirección de Gestión Contractual</w:t>
            </w:r>
          </w:p>
        </w:tc>
      </w:tr>
      <w:tr w:rsidR="006914BF" w:rsidRPr="00E04FE0" w14:paraId="663475DC" w14:textId="77777777" w:rsidTr="006914BF">
        <w:trPr>
          <w:trHeight w:val="389"/>
        </w:trPr>
        <w:tc>
          <w:tcPr>
            <w:tcW w:w="817" w:type="dxa"/>
            <w:tcBorders>
              <w:top w:val="nil"/>
              <w:left w:val="nil"/>
              <w:bottom w:val="nil"/>
              <w:right w:val="nil"/>
            </w:tcBorders>
            <w:vAlign w:val="center"/>
            <w:hideMark/>
          </w:tcPr>
          <w:p w14:paraId="50EE9B8B" w14:textId="32257E6C" w:rsidR="006914BF" w:rsidRPr="00E04FE0" w:rsidRDefault="00941157" w:rsidP="00FC5ECD">
            <w:pPr>
              <w:spacing w:after="0" w:line="240" w:lineRule="auto"/>
              <w:jc w:val="both"/>
              <w:rPr>
                <w:rFonts w:ascii="Century Gothic" w:hAnsi="Century Gothic" w:cs="Arial"/>
                <w:sz w:val="14"/>
                <w:szCs w:val="14"/>
              </w:rPr>
            </w:pPr>
            <w:r w:rsidRPr="00E04FE0">
              <w:rPr>
                <w:rFonts w:ascii="Century Gothic" w:hAnsi="Century Gothic" w:cs="Arial"/>
                <w:sz w:val="14"/>
                <w:szCs w:val="14"/>
              </w:rPr>
              <w:t>Aprobó</w:t>
            </w:r>
          </w:p>
        </w:tc>
        <w:tc>
          <w:tcPr>
            <w:tcW w:w="4937" w:type="dxa"/>
            <w:tcBorders>
              <w:top w:val="dotted" w:sz="6" w:space="0" w:color="7F7F7F"/>
              <w:left w:val="nil"/>
              <w:bottom w:val="dotted" w:sz="6" w:space="0" w:color="7F7F7F"/>
              <w:right w:val="nil"/>
            </w:tcBorders>
            <w:vAlign w:val="center"/>
            <w:hideMark/>
          </w:tcPr>
          <w:p w14:paraId="6CD2013B" w14:textId="77777777" w:rsidR="006914BF" w:rsidRPr="00E04FE0" w:rsidRDefault="006914BF" w:rsidP="00FC5ECD">
            <w:pPr>
              <w:spacing w:after="0" w:line="240" w:lineRule="auto"/>
              <w:jc w:val="both"/>
              <w:rPr>
                <w:rFonts w:ascii="Century Gothic" w:hAnsi="Century Gothic" w:cs="Arial"/>
                <w:sz w:val="14"/>
                <w:szCs w:val="14"/>
              </w:rPr>
            </w:pPr>
            <w:r w:rsidRPr="00E04FE0">
              <w:rPr>
                <w:rFonts w:ascii="Century Gothic" w:hAnsi="Century Gothic" w:cs="Arial"/>
                <w:sz w:val="14"/>
                <w:szCs w:val="14"/>
              </w:rPr>
              <w:t xml:space="preserve">Nohelia del Carmen </w:t>
            </w:r>
            <w:proofErr w:type="spellStart"/>
            <w:r w:rsidRPr="00E04FE0">
              <w:rPr>
                <w:rFonts w:ascii="Century Gothic" w:hAnsi="Century Gothic" w:cs="Arial"/>
                <w:sz w:val="14"/>
                <w:szCs w:val="14"/>
              </w:rPr>
              <w:t>Zawady</w:t>
            </w:r>
            <w:proofErr w:type="spellEnd"/>
            <w:r w:rsidRPr="00E04FE0">
              <w:rPr>
                <w:rFonts w:ascii="Century Gothic" w:hAnsi="Century Gothic" w:cs="Arial"/>
                <w:sz w:val="14"/>
                <w:szCs w:val="14"/>
              </w:rPr>
              <w:t xml:space="preserve"> Palacio</w:t>
            </w:r>
          </w:p>
          <w:p w14:paraId="4F861730" w14:textId="77777777" w:rsidR="006914BF" w:rsidRPr="00E04FE0" w:rsidRDefault="006914BF" w:rsidP="00FC5ECD">
            <w:pPr>
              <w:spacing w:after="0" w:line="240" w:lineRule="auto"/>
              <w:jc w:val="both"/>
              <w:rPr>
                <w:rFonts w:ascii="Century Gothic" w:hAnsi="Century Gothic" w:cs="Arial"/>
                <w:sz w:val="14"/>
                <w:szCs w:val="14"/>
              </w:rPr>
            </w:pPr>
            <w:r w:rsidRPr="00E04FE0">
              <w:rPr>
                <w:rFonts w:ascii="Century Gothic" w:hAnsi="Century Gothic" w:cs="Arial"/>
                <w:sz w:val="14"/>
                <w:szCs w:val="14"/>
              </w:rPr>
              <w:t>Subdirectora de Gestión Contractual ANCP - CCE</w:t>
            </w:r>
          </w:p>
        </w:tc>
      </w:tr>
    </w:tbl>
    <w:p w14:paraId="5FACADF9" w14:textId="77777777" w:rsidR="006914BF" w:rsidRPr="00E04FE0" w:rsidRDefault="006914BF" w:rsidP="00BE38B8">
      <w:pPr>
        <w:pStyle w:val="NormalWeb"/>
        <w:spacing w:after="120" w:afterAutospacing="0" w:line="276" w:lineRule="auto"/>
        <w:jc w:val="both"/>
        <w:rPr>
          <w:rFonts w:ascii="Century Gothic" w:hAnsi="Century Gothic" w:cs="Arial"/>
          <w:color w:val="000000" w:themeColor="text1"/>
          <w:sz w:val="14"/>
          <w:szCs w:val="14"/>
          <w:lang w:val="es-ES_tradnl"/>
        </w:rPr>
      </w:pPr>
    </w:p>
    <w:p w14:paraId="20D692DD" w14:textId="77777777" w:rsidR="006914BF" w:rsidRPr="00E04FE0" w:rsidRDefault="006914BF" w:rsidP="00BE38B8">
      <w:pPr>
        <w:pStyle w:val="NormalWeb"/>
        <w:spacing w:after="120" w:afterAutospacing="0" w:line="276" w:lineRule="auto"/>
        <w:jc w:val="both"/>
        <w:rPr>
          <w:rFonts w:ascii="Century Gothic" w:hAnsi="Century Gothic" w:cs="Arial"/>
          <w:color w:val="000000" w:themeColor="text1"/>
          <w:sz w:val="22"/>
          <w:szCs w:val="22"/>
          <w:lang w:val="es-ES_tradnl"/>
        </w:rPr>
      </w:pPr>
    </w:p>
    <w:sectPr w:rsidR="006914BF" w:rsidRPr="00E04FE0" w:rsidSect="002E4FD9">
      <w:headerReference w:type="default" r:id="rId14"/>
      <w:footerReference w:type="default" r:id="rId15"/>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B38F" w14:textId="77777777" w:rsidR="00544AA6" w:rsidRDefault="00544AA6" w:rsidP="004A1847">
      <w:pPr>
        <w:spacing w:after="0" w:line="240" w:lineRule="auto"/>
      </w:pPr>
      <w:r>
        <w:separator/>
      </w:r>
    </w:p>
  </w:endnote>
  <w:endnote w:type="continuationSeparator" w:id="0">
    <w:p w14:paraId="2161789B" w14:textId="77777777" w:rsidR="00544AA6" w:rsidRDefault="00544AA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5800" w14:textId="77777777" w:rsidR="00544AA6" w:rsidRDefault="00544AA6" w:rsidP="004A1847">
      <w:pPr>
        <w:spacing w:after="0" w:line="240" w:lineRule="auto"/>
      </w:pPr>
      <w:r>
        <w:separator/>
      </w:r>
    </w:p>
  </w:footnote>
  <w:footnote w:type="continuationSeparator" w:id="0">
    <w:p w14:paraId="57B419E5" w14:textId="77777777" w:rsidR="00544AA6" w:rsidRDefault="00544AA6" w:rsidP="004A1847">
      <w:pPr>
        <w:spacing w:after="0" w:line="240" w:lineRule="auto"/>
      </w:pPr>
      <w:r>
        <w:continuationSeparator/>
      </w:r>
    </w:p>
  </w:footnote>
  <w:footnote w:id="1">
    <w:p w14:paraId="6F4005EB" w14:textId="77777777" w:rsidR="006914BF" w:rsidRPr="00E04FE0" w:rsidRDefault="006914BF" w:rsidP="00AE16EE">
      <w:pPr>
        <w:pStyle w:val="Textonotapie"/>
        <w:spacing w:after="240"/>
        <w:ind w:firstLine="708"/>
        <w:jc w:val="both"/>
        <w:rPr>
          <w:rFonts w:ascii="Century Gothic" w:hAnsi="Century Gothic" w:cs="Arial"/>
          <w:sz w:val="18"/>
          <w:szCs w:val="18"/>
          <w:lang w:val="es-ES"/>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Estos conceptos pueden ser consultados en la relatoría de Colombia Compra Eficiente en el siguiente enlace:  </w:t>
      </w:r>
      <w:hyperlink r:id="rId1" w:history="1">
        <w:r w:rsidRPr="00E04FE0">
          <w:rPr>
            <w:rStyle w:val="Hipervnculo"/>
            <w:rFonts w:ascii="Century Gothic" w:hAnsi="Century Gothic" w:cs="Arial"/>
            <w:sz w:val="18"/>
            <w:szCs w:val="18"/>
          </w:rPr>
          <w:t>http://relatoria.colombiacompra.gov.co/busqueda/conceptos</w:t>
        </w:r>
      </w:hyperlink>
    </w:p>
  </w:footnote>
  <w:footnote w:id="2">
    <w:p w14:paraId="062FF77E" w14:textId="77777777" w:rsidR="006914BF" w:rsidRPr="00E04FE0" w:rsidRDefault="006914BF" w:rsidP="00AE16EE">
      <w:pPr>
        <w:pStyle w:val="Textonotapie"/>
        <w:spacing w:after="240"/>
        <w:ind w:firstLine="708"/>
        <w:jc w:val="both"/>
        <w:rPr>
          <w:rFonts w:ascii="Century Gothic" w:hAnsi="Century Gothic" w:cs="Arial"/>
          <w:sz w:val="18"/>
          <w:szCs w:val="18"/>
          <w:lang w:val="es-CO"/>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Exposición de motivos de la Ley 1150 de 2007.</w:t>
      </w:r>
    </w:p>
  </w:footnote>
  <w:footnote w:id="3">
    <w:p w14:paraId="79365EA2" w14:textId="77777777" w:rsidR="006914BF" w:rsidRPr="00E04FE0" w:rsidRDefault="006914BF" w:rsidP="00AE16EE">
      <w:pPr>
        <w:pStyle w:val="Textonotapie"/>
        <w:ind w:firstLine="708"/>
        <w:jc w:val="both"/>
        <w:rPr>
          <w:rFonts w:ascii="Century Gothic" w:eastAsia="Times New Roman" w:hAnsi="Century Gothic" w:cs="Arial"/>
          <w:sz w:val="18"/>
          <w:szCs w:val="18"/>
          <w:lang w:val="es-CO" w:eastAsia="es-CO"/>
        </w:rPr>
      </w:pPr>
      <w:r w:rsidRPr="00E04FE0">
        <w:rPr>
          <w:rStyle w:val="Refdenotaalpie"/>
          <w:rFonts w:ascii="Century Gothic" w:hAnsi="Century Gothic" w:cs="Arial"/>
          <w:sz w:val="18"/>
          <w:szCs w:val="18"/>
        </w:rPr>
        <w:footnoteRef/>
      </w:r>
      <w:r w:rsidRPr="00E04FE0">
        <w:rPr>
          <w:rStyle w:val="Refdenotaalpie"/>
          <w:rFonts w:ascii="Century Gothic" w:hAnsi="Century Gothic" w:cs="Arial"/>
          <w:sz w:val="18"/>
          <w:szCs w:val="18"/>
        </w:rPr>
        <w:t xml:space="preserve"> </w:t>
      </w:r>
      <w:r w:rsidRPr="00E04FE0">
        <w:rPr>
          <w:rFonts w:ascii="Century Gothic" w:hAnsi="Century Gothic" w:cs="Arial"/>
          <w:sz w:val="18"/>
          <w:szCs w:val="18"/>
        </w:rPr>
        <w:t xml:space="preserve">Artículo 2.2.1.2.1.2.2 del </w:t>
      </w:r>
      <w:r w:rsidRPr="00E04FE0">
        <w:rPr>
          <w:rFonts w:ascii="Century Gothic" w:eastAsia="Times New Roman" w:hAnsi="Century Gothic" w:cs="Arial"/>
          <w:sz w:val="18"/>
          <w:szCs w:val="18"/>
          <w:lang w:val="es-CO" w:eastAsia="es-CO"/>
        </w:rPr>
        <w:t>Decreto 1082 del 2015.</w:t>
      </w:r>
    </w:p>
    <w:p w14:paraId="35D96018" w14:textId="77777777" w:rsidR="006914BF" w:rsidRPr="00E04FE0" w:rsidRDefault="006914BF" w:rsidP="00AE16EE">
      <w:pPr>
        <w:pStyle w:val="Textonotapie"/>
        <w:ind w:firstLine="708"/>
        <w:jc w:val="both"/>
        <w:rPr>
          <w:rFonts w:ascii="Century Gothic" w:hAnsi="Century Gothic" w:cs="Arial"/>
          <w:sz w:val="18"/>
          <w:szCs w:val="18"/>
          <w:lang w:val="es-CO"/>
        </w:rPr>
      </w:pPr>
    </w:p>
  </w:footnote>
  <w:footnote w:id="4">
    <w:p w14:paraId="6F483A47" w14:textId="77777777" w:rsidR="006914BF" w:rsidRPr="00E04FE0" w:rsidRDefault="006914BF" w:rsidP="00AE16EE">
      <w:pPr>
        <w:pStyle w:val="Textonotapie"/>
        <w:spacing w:after="240"/>
        <w:ind w:firstLine="708"/>
        <w:jc w:val="both"/>
        <w:rPr>
          <w:rFonts w:ascii="Century Gothic" w:hAnsi="Century Gothic" w:cs="Arial"/>
          <w:sz w:val="18"/>
          <w:szCs w:val="18"/>
          <w:lang w:val="es-CO"/>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w:t>
      </w:r>
      <w:r w:rsidRPr="00E04FE0">
        <w:rPr>
          <w:rFonts w:ascii="Century Gothic" w:hAnsi="Century Gothic" w:cs="Arial"/>
          <w:sz w:val="18"/>
          <w:szCs w:val="18"/>
          <w:lang w:val="es-CO"/>
        </w:rPr>
        <w:t xml:space="preserve">Cuando se refiere en el presente concepto a reunir, se incluye cualquier medio electrónico o presencial en el que las entidades puedas concentrar a los interesados para adelantar el trámite del certamen de subasta. </w:t>
      </w:r>
    </w:p>
  </w:footnote>
  <w:footnote w:id="5">
    <w:p w14:paraId="40F0B386" w14:textId="77777777" w:rsidR="006914BF" w:rsidRPr="00E04FE0" w:rsidRDefault="006914BF" w:rsidP="00AE16EE">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CONSEJO DE ESTADO. Sección Tercera. Sentencia del 4 de junio de 2008. </w:t>
      </w:r>
      <w:proofErr w:type="spellStart"/>
      <w:r w:rsidRPr="00E04FE0">
        <w:rPr>
          <w:rFonts w:ascii="Century Gothic" w:hAnsi="Century Gothic" w:cs="Arial"/>
          <w:sz w:val="18"/>
          <w:szCs w:val="18"/>
        </w:rPr>
        <w:t>Exp</w:t>
      </w:r>
      <w:proofErr w:type="spellEnd"/>
      <w:r w:rsidRPr="00E04FE0">
        <w:rPr>
          <w:rFonts w:ascii="Century Gothic" w:hAnsi="Century Gothic" w:cs="Arial"/>
          <w:sz w:val="18"/>
          <w:szCs w:val="18"/>
        </w:rPr>
        <w:t>. No. 17.783. C.P. Myriam Guerrero de Escobar</w:t>
      </w:r>
    </w:p>
    <w:p w14:paraId="23EFFC33" w14:textId="77777777" w:rsidR="009B14DA" w:rsidRPr="00E04FE0" w:rsidRDefault="009B14DA" w:rsidP="00AE16EE">
      <w:pPr>
        <w:pStyle w:val="Textonotapie"/>
        <w:ind w:firstLine="708"/>
        <w:jc w:val="both"/>
        <w:rPr>
          <w:rFonts w:ascii="Century Gothic" w:hAnsi="Century Gothic" w:cs="Arial"/>
          <w:sz w:val="18"/>
          <w:szCs w:val="18"/>
        </w:rPr>
      </w:pPr>
    </w:p>
  </w:footnote>
  <w:footnote w:id="6">
    <w:p w14:paraId="6D23EDB9" w14:textId="31BED467" w:rsidR="006914BF" w:rsidRPr="00E04FE0" w:rsidRDefault="006914BF" w:rsidP="00AE16EE">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Ley 80 de 1993: </w:t>
      </w:r>
      <w:r w:rsidR="00D57B50" w:rsidRPr="00E04FE0">
        <w:rPr>
          <w:rFonts w:ascii="Century Gothic" w:hAnsi="Century Gothic" w:cs="Arial"/>
          <w:sz w:val="18"/>
          <w:szCs w:val="18"/>
        </w:rPr>
        <w:t>“</w:t>
      </w:r>
      <w:r w:rsidRPr="00E04FE0">
        <w:rPr>
          <w:rFonts w:ascii="Century Gothic" w:hAnsi="Century Gothic" w:cs="Arial"/>
          <w:sz w:val="18"/>
          <w:szCs w:val="18"/>
        </w:rPr>
        <w:t>Artículo 26. Del Principio de Responsabilidad. En virtud de este principio:</w:t>
      </w:r>
    </w:p>
    <w:p w14:paraId="1663CE71" w14:textId="07D709C9" w:rsidR="006914BF" w:rsidRPr="00E04FE0" w:rsidRDefault="006914BF" w:rsidP="00AE16EE">
      <w:pPr>
        <w:pStyle w:val="Textonotapie"/>
        <w:ind w:firstLine="708"/>
        <w:jc w:val="both"/>
        <w:rPr>
          <w:rFonts w:ascii="Century Gothic" w:hAnsi="Century Gothic" w:cs="Arial"/>
          <w:sz w:val="18"/>
          <w:szCs w:val="18"/>
        </w:rPr>
      </w:pPr>
      <w:r w:rsidRPr="00E04FE0">
        <w:rPr>
          <w:rFonts w:ascii="Century Gothic" w:hAnsi="Century Gothic" w:cs="Arial"/>
          <w:sz w:val="18"/>
          <w:szCs w:val="18"/>
        </w:rPr>
        <w:t xml:space="preserve">[…] </w:t>
      </w:r>
    </w:p>
    <w:p w14:paraId="0DF37ED3" w14:textId="5F9F1C97" w:rsidR="006914BF" w:rsidRPr="00E04FE0" w:rsidRDefault="006914BF" w:rsidP="00AE16EE">
      <w:pPr>
        <w:pStyle w:val="Textonotapie"/>
        <w:ind w:firstLine="708"/>
        <w:jc w:val="both"/>
        <w:rPr>
          <w:rFonts w:ascii="Century Gothic" w:hAnsi="Century Gothic" w:cs="Arial"/>
          <w:sz w:val="18"/>
          <w:szCs w:val="18"/>
        </w:rPr>
      </w:pPr>
      <w:r w:rsidRPr="00E04FE0">
        <w:rPr>
          <w:rFonts w:ascii="Century Gothic" w:hAnsi="Century Gothic" w:cs="Arial"/>
          <w:sz w:val="18"/>
          <w:szCs w:val="18"/>
        </w:rPr>
        <w:t>6. Los contratistas responderán cuando formulen propuestas en las que se fijen condiciones económicas y de contratación artificialmente bajas con el propósito de obtener la adjudicación del contrato</w:t>
      </w:r>
      <w:r w:rsidR="00D57B50" w:rsidRPr="00E04FE0">
        <w:rPr>
          <w:rFonts w:ascii="Century Gothic" w:hAnsi="Century Gothic" w:cs="Arial"/>
          <w:sz w:val="18"/>
          <w:szCs w:val="18"/>
        </w:rPr>
        <w:t>”</w:t>
      </w:r>
      <w:r w:rsidRPr="00E04FE0">
        <w:rPr>
          <w:rFonts w:ascii="Century Gothic" w:hAnsi="Century Gothic" w:cs="Arial"/>
          <w:sz w:val="18"/>
          <w:szCs w:val="18"/>
        </w:rPr>
        <w:t>.</w:t>
      </w:r>
    </w:p>
    <w:p w14:paraId="4A7882EF" w14:textId="77777777" w:rsidR="009B14DA" w:rsidRPr="00E04FE0" w:rsidRDefault="009B14DA" w:rsidP="00AE16EE">
      <w:pPr>
        <w:pStyle w:val="Textonotapie"/>
        <w:ind w:firstLine="708"/>
        <w:jc w:val="both"/>
        <w:rPr>
          <w:rFonts w:ascii="Century Gothic" w:hAnsi="Century Gothic" w:cs="Arial"/>
          <w:sz w:val="18"/>
          <w:szCs w:val="18"/>
        </w:rPr>
      </w:pPr>
    </w:p>
  </w:footnote>
  <w:footnote w:id="7">
    <w:p w14:paraId="515519DA" w14:textId="4457F0FA" w:rsidR="006914BF" w:rsidRPr="00E04FE0" w:rsidRDefault="006914BF" w:rsidP="00AE16EE">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Decreto 1082 de 2015: </w:t>
      </w:r>
      <w:r w:rsidR="00D57B50" w:rsidRPr="00E04FE0">
        <w:rPr>
          <w:rFonts w:ascii="Century Gothic" w:hAnsi="Century Gothic" w:cs="Arial"/>
          <w:sz w:val="18"/>
          <w:szCs w:val="18"/>
        </w:rPr>
        <w:t>“</w:t>
      </w:r>
      <w:r w:rsidRPr="00E04FE0">
        <w:rPr>
          <w:rFonts w:ascii="Century Gothic" w:hAnsi="Century Gothic" w:cs="Arial"/>
          <w:sz w:val="18"/>
          <w:szCs w:val="18"/>
        </w:rPr>
        <w:t>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r w:rsidR="00D57B50" w:rsidRPr="00E04FE0">
        <w:rPr>
          <w:rFonts w:ascii="Century Gothic" w:hAnsi="Century Gothic" w:cs="Arial"/>
          <w:sz w:val="18"/>
          <w:szCs w:val="18"/>
        </w:rPr>
        <w:t>”</w:t>
      </w:r>
      <w:r w:rsidRPr="00E04FE0">
        <w:rPr>
          <w:rFonts w:ascii="Century Gothic" w:hAnsi="Century Gothic" w:cs="Arial"/>
          <w:sz w:val="18"/>
          <w:szCs w:val="18"/>
        </w:rPr>
        <w:t>.</w:t>
      </w:r>
    </w:p>
    <w:p w14:paraId="48CD98AF" w14:textId="77777777" w:rsidR="006914BF" w:rsidRPr="00E04FE0" w:rsidRDefault="006914BF" w:rsidP="00AE16EE">
      <w:pPr>
        <w:pStyle w:val="Textonotapie"/>
        <w:ind w:firstLine="708"/>
        <w:jc w:val="both"/>
        <w:rPr>
          <w:rFonts w:ascii="Century Gothic" w:hAnsi="Century Gothic" w:cs="Arial"/>
          <w:sz w:val="18"/>
          <w:szCs w:val="18"/>
        </w:rPr>
      </w:pPr>
    </w:p>
  </w:footnote>
  <w:footnote w:id="8">
    <w:p w14:paraId="12675F46" w14:textId="1915B5B5" w:rsidR="006914BF" w:rsidRPr="00E04FE0" w:rsidRDefault="006914BF" w:rsidP="00AE16EE">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Decreto 1082 de 2015: </w:t>
      </w:r>
      <w:r w:rsidR="00D57B50" w:rsidRPr="00E04FE0">
        <w:rPr>
          <w:rFonts w:ascii="Century Gothic" w:hAnsi="Century Gothic" w:cs="Arial"/>
          <w:sz w:val="18"/>
          <w:szCs w:val="18"/>
        </w:rPr>
        <w:t>“</w:t>
      </w:r>
      <w:r w:rsidRPr="00E04FE0">
        <w:rPr>
          <w:rFonts w:ascii="Century Gothic" w:hAnsi="Century Gothic" w:cs="Arial"/>
          <w:sz w:val="18"/>
          <w:szCs w:val="18"/>
        </w:rPr>
        <w:t>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22BEB0E9" w14:textId="5C5B3510" w:rsidR="006914BF" w:rsidRPr="00E04FE0" w:rsidRDefault="006914BF" w:rsidP="00AE16EE">
      <w:pPr>
        <w:pStyle w:val="Textonotapie"/>
        <w:ind w:firstLine="708"/>
        <w:jc w:val="both"/>
        <w:rPr>
          <w:rFonts w:ascii="Century Gothic" w:hAnsi="Century Gothic" w:cs="Arial"/>
          <w:sz w:val="18"/>
          <w:szCs w:val="18"/>
        </w:rPr>
      </w:pPr>
      <w:r w:rsidRPr="00E04FE0">
        <w:rPr>
          <w:rFonts w:ascii="Century Gothic" w:hAnsi="Century Gothic" w:cs="Arial"/>
          <w:sz w:val="18"/>
          <w:szCs w:val="18"/>
        </w:rPr>
        <w:t xml:space="preserve">Cuando el valor de la oferta sobre la cual la Entidad Estatal tuvo dudas sobre su </w:t>
      </w:r>
      <w:r w:rsidR="00E93F54" w:rsidRPr="00E04FE0">
        <w:rPr>
          <w:rFonts w:ascii="Century Gothic" w:hAnsi="Century Gothic" w:cs="Arial"/>
          <w:sz w:val="18"/>
          <w:szCs w:val="18"/>
        </w:rPr>
        <w:t>valor</w:t>
      </w:r>
      <w:r w:rsidRPr="00E04FE0">
        <w:rPr>
          <w:rFonts w:ascii="Century Gothic" w:hAnsi="Century Gothic" w:cs="Arial"/>
          <w:sz w:val="18"/>
          <w:szCs w:val="18"/>
        </w:rPr>
        <w:t xml:space="preserve"> responde a circunstancias objetivas del oferente y de su oferta que no ponen en riesgo el cumplimiento del contrato si este es adjudicado a tal oferta, la Entidad Estatal debe continuar con su análisis en el proceso de evaluación de ofertas. </w:t>
      </w:r>
    </w:p>
    <w:p w14:paraId="0895A221" w14:textId="6282D012" w:rsidR="006914BF" w:rsidRPr="00E04FE0" w:rsidRDefault="006914BF" w:rsidP="00AE16EE">
      <w:pPr>
        <w:pStyle w:val="Textonotapie"/>
        <w:ind w:firstLine="708"/>
        <w:jc w:val="both"/>
        <w:rPr>
          <w:rFonts w:ascii="Century Gothic" w:hAnsi="Century Gothic" w:cs="Arial"/>
          <w:sz w:val="18"/>
          <w:szCs w:val="18"/>
        </w:rPr>
      </w:pPr>
      <w:r w:rsidRPr="00E04FE0">
        <w:rPr>
          <w:rFonts w:ascii="Century Gothic" w:hAnsi="Century Gothic" w:cs="Arial"/>
          <w:sz w:val="18"/>
          <w:szCs w:val="18"/>
        </w:rPr>
        <w:t>En la subasta inversa esta disposición es aplicable sobre el precio obtenido al final de la misma</w:t>
      </w:r>
      <w:r w:rsidR="00D57B50" w:rsidRPr="00E04FE0">
        <w:rPr>
          <w:rFonts w:ascii="Century Gothic" w:hAnsi="Century Gothic" w:cs="Arial"/>
          <w:sz w:val="18"/>
          <w:szCs w:val="18"/>
        </w:rPr>
        <w:t>”</w:t>
      </w:r>
      <w:r w:rsidRPr="00E04FE0">
        <w:rPr>
          <w:rFonts w:ascii="Century Gothic" w:hAnsi="Century Gothic" w:cs="Arial"/>
          <w:sz w:val="18"/>
          <w:szCs w:val="18"/>
        </w:rPr>
        <w:t>.</w:t>
      </w:r>
    </w:p>
    <w:p w14:paraId="28BC557E" w14:textId="77777777" w:rsidR="005A633B" w:rsidRPr="00E04FE0" w:rsidRDefault="005A633B" w:rsidP="00AE16EE">
      <w:pPr>
        <w:pStyle w:val="Textonotapie"/>
        <w:ind w:firstLine="708"/>
        <w:jc w:val="both"/>
        <w:rPr>
          <w:rFonts w:ascii="Century Gothic" w:hAnsi="Century Gothic" w:cs="Arial"/>
          <w:sz w:val="18"/>
          <w:szCs w:val="18"/>
        </w:rPr>
      </w:pPr>
    </w:p>
  </w:footnote>
  <w:footnote w:id="9">
    <w:p w14:paraId="6F798A67" w14:textId="2DA8F716" w:rsidR="006914BF" w:rsidRPr="00E04FE0" w:rsidRDefault="006914BF" w:rsidP="00AE16EE">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Decreto 1082 de 2015: </w:t>
      </w:r>
      <w:r w:rsidR="00D57B50" w:rsidRPr="00E04FE0">
        <w:rPr>
          <w:rFonts w:ascii="Century Gothic" w:hAnsi="Century Gothic" w:cs="Arial"/>
          <w:sz w:val="18"/>
          <w:szCs w:val="18"/>
        </w:rPr>
        <w:t>“</w:t>
      </w:r>
      <w:r w:rsidRPr="00E04FE0">
        <w:rPr>
          <w:rFonts w:ascii="Century Gothic" w:hAnsi="Century Gothic" w:cs="Arial"/>
          <w:sz w:val="18"/>
          <w:szCs w:val="18"/>
        </w:rPr>
        <w:t>Artículo 2.2.1.1.2.2.3. Comité evaluador.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24BF7706" w14:textId="1BAE547D" w:rsidR="006914BF" w:rsidRPr="00E04FE0" w:rsidRDefault="006914BF" w:rsidP="00AE16EE">
      <w:pPr>
        <w:pStyle w:val="Textonotapie"/>
        <w:ind w:firstLine="708"/>
        <w:jc w:val="both"/>
        <w:rPr>
          <w:rFonts w:ascii="Century Gothic" w:hAnsi="Century Gothic" w:cs="Arial"/>
          <w:sz w:val="18"/>
          <w:szCs w:val="18"/>
        </w:rPr>
      </w:pPr>
      <w:r w:rsidRPr="00E04FE0">
        <w:rPr>
          <w:rFonts w:ascii="Century Gothic" w:hAnsi="Century Gothic" w:cs="Arial"/>
          <w:sz w:val="18"/>
          <w:szCs w:val="18"/>
        </w:rPr>
        <w:t>Los miembros del comité evaluador están sujetos al régimen de inhabilidades e incompatibilidades y conflicto de interés previstos en la Constitución y la ley.</w:t>
      </w:r>
    </w:p>
    <w:p w14:paraId="6045E058" w14:textId="3C5BB9EE" w:rsidR="006914BF" w:rsidRPr="00E04FE0" w:rsidRDefault="006914BF" w:rsidP="00AE16EE">
      <w:pPr>
        <w:pStyle w:val="Textonotapie"/>
        <w:ind w:firstLine="708"/>
        <w:jc w:val="both"/>
        <w:rPr>
          <w:rFonts w:ascii="Century Gothic" w:hAnsi="Century Gothic" w:cs="Arial"/>
          <w:sz w:val="18"/>
          <w:szCs w:val="18"/>
        </w:rPr>
      </w:pPr>
      <w:r w:rsidRPr="00E04FE0">
        <w:rPr>
          <w:rFonts w:ascii="Century Gothic" w:hAnsi="Century Gothic" w:cs="Arial"/>
          <w:sz w:val="18"/>
          <w:szCs w:val="18"/>
        </w:rPr>
        <w:t>La verificación y la evaluación de las ofertas para la mínima cuantía será adelantada por quien sea designado por el ordenador del gasto sin que se requiera un comité plural</w:t>
      </w:r>
      <w:r w:rsidR="00D57B50" w:rsidRPr="00E04FE0">
        <w:rPr>
          <w:rFonts w:ascii="Century Gothic" w:hAnsi="Century Gothic" w:cs="Arial"/>
          <w:sz w:val="18"/>
          <w:szCs w:val="18"/>
        </w:rPr>
        <w:t>”</w:t>
      </w:r>
    </w:p>
  </w:footnote>
  <w:footnote w:id="10">
    <w:p w14:paraId="55DEC147" w14:textId="2D3BACE2" w:rsidR="006D1124" w:rsidRPr="00E04FE0" w:rsidRDefault="006D1124" w:rsidP="00AE16EE">
      <w:pPr>
        <w:pStyle w:val="Textonotapie"/>
        <w:ind w:firstLine="708"/>
        <w:jc w:val="both"/>
        <w:rPr>
          <w:rFonts w:ascii="Century Gothic" w:hAnsi="Century Gothic" w:cs="Arial"/>
          <w:sz w:val="18"/>
          <w:szCs w:val="18"/>
        </w:rPr>
      </w:pPr>
      <w:r w:rsidRPr="00E04FE0">
        <w:rPr>
          <w:rFonts w:ascii="Century Gothic" w:hAnsi="Century Gothic" w:cs="Arial"/>
          <w:sz w:val="18"/>
          <w:szCs w:val="18"/>
        </w:rPr>
        <w:t xml:space="preserve"> </w:t>
      </w: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Ver en línea:</w:t>
      </w:r>
      <w:hyperlink r:id="rId2" w:history="1">
        <w:r w:rsidR="00ED7742" w:rsidRPr="00E04FE0">
          <w:rPr>
            <w:rStyle w:val="Hipervnculo"/>
            <w:rFonts w:ascii="Century Gothic" w:hAnsi="Century Gothic" w:cs="Arial"/>
            <w:sz w:val="18"/>
            <w:szCs w:val="18"/>
          </w:rPr>
          <w:t>https://www.colombiacompra.gov.co/sites/cce_public/files/cce_documents/cce_guia_artificialmente_bajas.pdf</w:t>
        </w:r>
      </w:hyperlink>
      <w:r w:rsidRPr="00E04FE0">
        <w:rPr>
          <w:rFonts w:ascii="Century Gothic" w:hAnsi="Century Gothic" w:cs="Arial"/>
          <w:sz w:val="18"/>
          <w:szCs w:val="18"/>
        </w:rPr>
        <w:t xml:space="preserve"> b</w:t>
      </w:r>
    </w:p>
  </w:footnote>
  <w:footnote w:id="11">
    <w:p w14:paraId="68762F9C" w14:textId="160E98CA" w:rsidR="00861E3B" w:rsidRPr="00E04FE0" w:rsidRDefault="00861E3B" w:rsidP="00AE16EE">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rPr>
        <w:t xml:space="preserve"> </w:t>
      </w:r>
      <w:r w:rsidR="00B5450C" w:rsidRPr="00E04FE0">
        <w:rPr>
          <w:rFonts w:ascii="Century Gothic" w:hAnsi="Century Gothic" w:cs="Arial"/>
          <w:sz w:val="18"/>
          <w:szCs w:val="18"/>
        </w:rPr>
        <w:t>“</w:t>
      </w:r>
      <w:r w:rsidR="008226E7" w:rsidRPr="00E04FE0">
        <w:rPr>
          <w:rFonts w:ascii="Century Gothic" w:hAnsi="Century Gothic" w:cs="Arial"/>
          <w:sz w:val="18"/>
          <w:szCs w:val="18"/>
        </w:rPr>
        <w:t>Artículo 2.2.1.1.2.2.4. Oferta con valor artificialmente bajo.</w:t>
      </w:r>
      <w:r w:rsidR="00B5450C" w:rsidRPr="00E04FE0">
        <w:rPr>
          <w:rFonts w:ascii="Century Gothic" w:hAnsi="Century Gothic" w:cs="Arial"/>
          <w:sz w:val="18"/>
          <w:szCs w:val="18"/>
        </w:rPr>
        <w:t xml:space="preserve"> (…) En la subasta inversa esta disposición es aplicable sobre el precio obtenido al final de la misma.”</w:t>
      </w:r>
    </w:p>
  </w:footnote>
  <w:footnote w:id="12">
    <w:p w14:paraId="78737616" w14:textId="19035DA3" w:rsidR="00AE16EE" w:rsidRPr="00E04FE0" w:rsidRDefault="00AE16EE" w:rsidP="00AE16EE">
      <w:pPr>
        <w:pStyle w:val="Textonotapie"/>
        <w:ind w:firstLine="708"/>
        <w:jc w:val="both"/>
        <w:rPr>
          <w:rFonts w:ascii="Century Gothic" w:hAnsi="Century Gothic" w:cs="Arial"/>
          <w:sz w:val="18"/>
          <w:szCs w:val="18"/>
        </w:rPr>
      </w:pPr>
      <w:r w:rsidRPr="00E04FE0">
        <w:rPr>
          <w:rStyle w:val="Refdenotaalpie"/>
          <w:rFonts w:ascii="Century Gothic" w:hAnsi="Century Gothic" w:cs="Arial"/>
          <w:sz w:val="18"/>
          <w:szCs w:val="18"/>
        </w:rPr>
        <w:footnoteRef/>
      </w:r>
      <w:r w:rsidRPr="00E04FE0">
        <w:rPr>
          <w:rFonts w:ascii="Century Gothic" w:hAnsi="Century Gothic" w:cs="Arial"/>
          <w:sz w:val="18"/>
          <w:szCs w:val="18"/>
          <w:lang w:val="en-US"/>
        </w:rPr>
        <w:t xml:space="preserve"> </w:t>
      </w:r>
      <w:proofErr w:type="spellStart"/>
      <w:r w:rsidRPr="00E04FE0">
        <w:rPr>
          <w:rFonts w:ascii="Century Gothic" w:hAnsi="Century Gothic" w:cs="Arial"/>
          <w:sz w:val="18"/>
          <w:szCs w:val="18"/>
          <w:lang w:val="en-US"/>
        </w:rPr>
        <w:t>Herramientas</w:t>
      </w:r>
      <w:proofErr w:type="spellEnd"/>
      <w:r w:rsidRPr="00E04FE0">
        <w:rPr>
          <w:rFonts w:ascii="Century Gothic" w:hAnsi="Century Gothic" w:cs="Arial"/>
          <w:sz w:val="18"/>
          <w:szCs w:val="18"/>
          <w:lang w:val="en-US"/>
        </w:rPr>
        <w:t xml:space="preserve"> </w:t>
      </w:r>
      <w:proofErr w:type="spellStart"/>
      <w:r w:rsidRPr="00E04FE0">
        <w:rPr>
          <w:rFonts w:ascii="Century Gothic" w:hAnsi="Century Gothic" w:cs="Arial"/>
          <w:sz w:val="18"/>
          <w:szCs w:val="18"/>
          <w:lang w:val="en-US"/>
        </w:rPr>
        <w:t>extraídas</w:t>
      </w:r>
      <w:proofErr w:type="spellEnd"/>
      <w:r w:rsidRPr="00E04FE0">
        <w:rPr>
          <w:rFonts w:ascii="Century Gothic" w:hAnsi="Century Gothic" w:cs="Arial"/>
          <w:sz w:val="18"/>
          <w:szCs w:val="18"/>
          <w:lang w:val="en-US"/>
        </w:rPr>
        <w:t xml:space="preserve"> de “Guide the identification and treatment of Abnormally Low Bids and Proposals”. </w:t>
      </w:r>
      <w:proofErr w:type="spellStart"/>
      <w:r w:rsidRPr="00E04FE0">
        <w:rPr>
          <w:rFonts w:ascii="Century Gothic" w:hAnsi="Century Gothic" w:cs="Arial"/>
          <w:sz w:val="18"/>
          <w:szCs w:val="18"/>
        </w:rPr>
        <w:t>World</w:t>
      </w:r>
      <w:proofErr w:type="spellEnd"/>
      <w:r w:rsidRPr="00E04FE0">
        <w:rPr>
          <w:rFonts w:ascii="Century Gothic" w:hAnsi="Century Gothic" w:cs="Arial"/>
          <w:sz w:val="18"/>
          <w:szCs w:val="18"/>
        </w:rPr>
        <w:t xml:space="preserve"> Bank. </w:t>
      </w:r>
      <w:proofErr w:type="spellStart"/>
      <w:r w:rsidRPr="00E04FE0">
        <w:rPr>
          <w:rFonts w:ascii="Century Gothic" w:hAnsi="Century Gothic" w:cs="Arial"/>
          <w:sz w:val="18"/>
          <w:szCs w:val="18"/>
        </w:rPr>
        <w:t>Abnormally</w:t>
      </w:r>
      <w:proofErr w:type="spellEnd"/>
      <w:r w:rsidRPr="00E04FE0">
        <w:rPr>
          <w:rFonts w:ascii="Century Gothic" w:hAnsi="Century Gothic" w:cs="Arial"/>
          <w:sz w:val="18"/>
          <w:szCs w:val="18"/>
        </w:rPr>
        <w:t xml:space="preserve"> Low </w:t>
      </w:r>
      <w:proofErr w:type="spellStart"/>
      <w:r w:rsidRPr="00E04FE0">
        <w:rPr>
          <w:rFonts w:ascii="Century Gothic" w:hAnsi="Century Gothic" w:cs="Arial"/>
          <w:sz w:val="18"/>
          <w:szCs w:val="18"/>
        </w:rPr>
        <w:t>Bids</w:t>
      </w:r>
      <w:proofErr w:type="spellEnd"/>
      <w:r w:rsidRPr="00E04FE0">
        <w:rPr>
          <w:rFonts w:ascii="Century Gothic" w:hAnsi="Century Gothic" w:cs="Arial"/>
          <w:sz w:val="18"/>
          <w:szCs w:val="18"/>
        </w:rPr>
        <w:t xml:space="preserve"> and </w:t>
      </w:r>
      <w:proofErr w:type="spellStart"/>
      <w:proofErr w:type="gramStart"/>
      <w:r w:rsidRPr="00E04FE0">
        <w:rPr>
          <w:rFonts w:ascii="Century Gothic" w:hAnsi="Century Gothic" w:cs="Arial"/>
          <w:sz w:val="18"/>
          <w:szCs w:val="18"/>
        </w:rPr>
        <w:t>Proposals</w:t>
      </w:r>
      <w:proofErr w:type="spellEnd"/>
      <w:r w:rsidRPr="00E04FE0">
        <w:rPr>
          <w:rFonts w:ascii="Century Gothic" w:hAnsi="Century Gothic" w:cs="Arial"/>
          <w:sz w:val="18"/>
          <w:szCs w:val="18"/>
        </w:rPr>
        <w:t xml:space="preserve">  (</w:t>
      </w:r>
      <w:proofErr w:type="gramEnd"/>
      <w:r w:rsidRPr="00E04FE0">
        <w:rPr>
          <w:rFonts w:ascii="Century Gothic" w:hAnsi="Century Gothic" w:cs="Arial"/>
          <w:sz w:val="18"/>
          <w:szCs w:val="18"/>
        </w:rPr>
        <w:t>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1.5pt;height:1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105248">
    <w:abstractNumId w:val="6"/>
  </w:num>
  <w:num w:numId="2" w16cid:durableId="1808083140">
    <w:abstractNumId w:val="2"/>
  </w:num>
  <w:num w:numId="3" w16cid:durableId="486438669">
    <w:abstractNumId w:val="4"/>
  </w:num>
  <w:num w:numId="4" w16cid:durableId="82457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5550527">
    <w:abstractNumId w:val="2"/>
  </w:num>
  <w:num w:numId="6" w16cid:durableId="1572499481">
    <w:abstractNumId w:val="12"/>
  </w:num>
  <w:num w:numId="7" w16cid:durableId="329987998">
    <w:abstractNumId w:val="5"/>
  </w:num>
  <w:num w:numId="8" w16cid:durableId="1651641130">
    <w:abstractNumId w:val="11"/>
  </w:num>
  <w:num w:numId="9" w16cid:durableId="1946689205">
    <w:abstractNumId w:val="7"/>
  </w:num>
  <w:num w:numId="10" w16cid:durableId="195001038">
    <w:abstractNumId w:val="10"/>
  </w:num>
  <w:num w:numId="11" w16cid:durableId="1569267861">
    <w:abstractNumId w:val="8"/>
  </w:num>
  <w:num w:numId="12" w16cid:durableId="600995541">
    <w:abstractNumId w:val="1"/>
  </w:num>
  <w:num w:numId="13" w16cid:durableId="1855221357">
    <w:abstractNumId w:val="3"/>
  </w:num>
  <w:num w:numId="14" w16cid:durableId="1991447877">
    <w:abstractNumId w:val="13"/>
  </w:num>
  <w:num w:numId="15" w16cid:durableId="1724409018">
    <w:abstractNumId w:val="9"/>
  </w:num>
  <w:num w:numId="16" w16cid:durableId="473839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1730D"/>
    <w:rsid w:val="00024075"/>
    <w:rsid w:val="00042B12"/>
    <w:rsid w:val="00061B2A"/>
    <w:rsid w:val="00082362"/>
    <w:rsid w:val="000A1809"/>
    <w:rsid w:val="000A46EA"/>
    <w:rsid w:val="000A683E"/>
    <w:rsid w:val="000B19B9"/>
    <w:rsid w:val="000B6D40"/>
    <w:rsid w:val="000B78E2"/>
    <w:rsid w:val="000C7D79"/>
    <w:rsid w:val="000D0334"/>
    <w:rsid w:val="000F6486"/>
    <w:rsid w:val="0010543A"/>
    <w:rsid w:val="00106CEA"/>
    <w:rsid w:val="00111CF6"/>
    <w:rsid w:val="00112928"/>
    <w:rsid w:val="00125105"/>
    <w:rsid w:val="00127233"/>
    <w:rsid w:val="00143963"/>
    <w:rsid w:val="00170127"/>
    <w:rsid w:val="00176933"/>
    <w:rsid w:val="001C7427"/>
    <w:rsid w:val="001E1309"/>
    <w:rsid w:val="001E4177"/>
    <w:rsid w:val="001F7DC6"/>
    <w:rsid w:val="002355C1"/>
    <w:rsid w:val="002421BB"/>
    <w:rsid w:val="00250DA4"/>
    <w:rsid w:val="002707A2"/>
    <w:rsid w:val="002853E5"/>
    <w:rsid w:val="00294F05"/>
    <w:rsid w:val="002951A0"/>
    <w:rsid w:val="002962BC"/>
    <w:rsid w:val="002A093D"/>
    <w:rsid w:val="002A0DD0"/>
    <w:rsid w:val="002A49AC"/>
    <w:rsid w:val="002A64FD"/>
    <w:rsid w:val="002C7A84"/>
    <w:rsid w:val="002D4297"/>
    <w:rsid w:val="002E4FD9"/>
    <w:rsid w:val="002E762E"/>
    <w:rsid w:val="002F0986"/>
    <w:rsid w:val="00301283"/>
    <w:rsid w:val="00310E00"/>
    <w:rsid w:val="00322A85"/>
    <w:rsid w:val="003279D9"/>
    <w:rsid w:val="00333F36"/>
    <w:rsid w:val="003448F4"/>
    <w:rsid w:val="00366178"/>
    <w:rsid w:val="00374F5E"/>
    <w:rsid w:val="00377E3E"/>
    <w:rsid w:val="0039446F"/>
    <w:rsid w:val="00396A69"/>
    <w:rsid w:val="003A1A7D"/>
    <w:rsid w:val="003A779E"/>
    <w:rsid w:val="003D0F4D"/>
    <w:rsid w:val="003D3BF2"/>
    <w:rsid w:val="003D5B0D"/>
    <w:rsid w:val="003D7305"/>
    <w:rsid w:val="003E0499"/>
    <w:rsid w:val="003E52FE"/>
    <w:rsid w:val="003F3941"/>
    <w:rsid w:val="00406575"/>
    <w:rsid w:val="0042722E"/>
    <w:rsid w:val="00433F03"/>
    <w:rsid w:val="004517A0"/>
    <w:rsid w:val="00470183"/>
    <w:rsid w:val="004A1847"/>
    <w:rsid w:val="004A305D"/>
    <w:rsid w:val="004C30E8"/>
    <w:rsid w:val="004D335D"/>
    <w:rsid w:val="004E1293"/>
    <w:rsid w:val="004F21C4"/>
    <w:rsid w:val="004F2C6B"/>
    <w:rsid w:val="004F5FB5"/>
    <w:rsid w:val="004F65A6"/>
    <w:rsid w:val="004F685F"/>
    <w:rsid w:val="00544AA6"/>
    <w:rsid w:val="00554D18"/>
    <w:rsid w:val="005566E8"/>
    <w:rsid w:val="00574867"/>
    <w:rsid w:val="00591460"/>
    <w:rsid w:val="005A2340"/>
    <w:rsid w:val="005A633B"/>
    <w:rsid w:val="005A71BE"/>
    <w:rsid w:val="005C3777"/>
    <w:rsid w:val="005C5CDC"/>
    <w:rsid w:val="005C6131"/>
    <w:rsid w:val="005C711C"/>
    <w:rsid w:val="005D1565"/>
    <w:rsid w:val="005D476C"/>
    <w:rsid w:val="00607749"/>
    <w:rsid w:val="006219F8"/>
    <w:rsid w:val="006232CE"/>
    <w:rsid w:val="006320DC"/>
    <w:rsid w:val="00632DFB"/>
    <w:rsid w:val="00651E6E"/>
    <w:rsid w:val="00665D70"/>
    <w:rsid w:val="006724F5"/>
    <w:rsid w:val="00676984"/>
    <w:rsid w:val="006900D9"/>
    <w:rsid w:val="006914BF"/>
    <w:rsid w:val="006D1124"/>
    <w:rsid w:val="006D5A6F"/>
    <w:rsid w:val="00706C16"/>
    <w:rsid w:val="00746E8B"/>
    <w:rsid w:val="00756841"/>
    <w:rsid w:val="007573DF"/>
    <w:rsid w:val="0076098B"/>
    <w:rsid w:val="007649AB"/>
    <w:rsid w:val="00771D0C"/>
    <w:rsid w:val="007748B4"/>
    <w:rsid w:val="007823A9"/>
    <w:rsid w:val="007833AC"/>
    <w:rsid w:val="00785787"/>
    <w:rsid w:val="00791DDF"/>
    <w:rsid w:val="007B11BC"/>
    <w:rsid w:val="007B268C"/>
    <w:rsid w:val="007B7171"/>
    <w:rsid w:val="007C3DC2"/>
    <w:rsid w:val="007C590B"/>
    <w:rsid w:val="007C6B62"/>
    <w:rsid w:val="007D303A"/>
    <w:rsid w:val="007E429D"/>
    <w:rsid w:val="007E5497"/>
    <w:rsid w:val="0080364E"/>
    <w:rsid w:val="00806F5F"/>
    <w:rsid w:val="008168ED"/>
    <w:rsid w:val="00817039"/>
    <w:rsid w:val="00820278"/>
    <w:rsid w:val="008226E7"/>
    <w:rsid w:val="00861E3B"/>
    <w:rsid w:val="00863DFF"/>
    <w:rsid w:val="008843B6"/>
    <w:rsid w:val="0088666E"/>
    <w:rsid w:val="00891928"/>
    <w:rsid w:val="008A446D"/>
    <w:rsid w:val="008B2180"/>
    <w:rsid w:val="008D04DD"/>
    <w:rsid w:val="008D180B"/>
    <w:rsid w:val="008D7E7F"/>
    <w:rsid w:val="008F0EA7"/>
    <w:rsid w:val="008F7CEA"/>
    <w:rsid w:val="00906955"/>
    <w:rsid w:val="00923EEF"/>
    <w:rsid w:val="0093725D"/>
    <w:rsid w:val="00941157"/>
    <w:rsid w:val="009419F9"/>
    <w:rsid w:val="009568C2"/>
    <w:rsid w:val="00961B09"/>
    <w:rsid w:val="00963226"/>
    <w:rsid w:val="00965334"/>
    <w:rsid w:val="009658C9"/>
    <w:rsid w:val="0097093E"/>
    <w:rsid w:val="00997CB4"/>
    <w:rsid w:val="009B14DA"/>
    <w:rsid w:val="009C5BD7"/>
    <w:rsid w:val="009C6B19"/>
    <w:rsid w:val="009C71FA"/>
    <w:rsid w:val="009C72E7"/>
    <w:rsid w:val="009D03D4"/>
    <w:rsid w:val="009F3A13"/>
    <w:rsid w:val="009F543E"/>
    <w:rsid w:val="00A122D3"/>
    <w:rsid w:val="00A158B4"/>
    <w:rsid w:val="00A17F13"/>
    <w:rsid w:val="00A20739"/>
    <w:rsid w:val="00A20A3B"/>
    <w:rsid w:val="00A24CAC"/>
    <w:rsid w:val="00A33C78"/>
    <w:rsid w:val="00A70B47"/>
    <w:rsid w:val="00AA0D7E"/>
    <w:rsid w:val="00AB02C6"/>
    <w:rsid w:val="00AB0ADB"/>
    <w:rsid w:val="00AE16EE"/>
    <w:rsid w:val="00B03BC6"/>
    <w:rsid w:val="00B310F6"/>
    <w:rsid w:val="00B5450C"/>
    <w:rsid w:val="00B72CD3"/>
    <w:rsid w:val="00B72FFF"/>
    <w:rsid w:val="00B866A2"/>
    <w:rsid w:val="00BC3D36"/>
    <w:rsid w:val="00BD7F72"/>
    <w:rsid w:val="00BE38B8"/>
    <w:rsid w:val="00C04FB3"/>
    <w:rsid w:val="00C31508"/>
    <w:rsid w:val="00C330EB"/>
    <w:rsid w:val="00C57126"/>
    <w:rsid w:val="00C754BE"/>
    <w:rsid w:val="00C76B1C"/>
    <w:rsid w:val="00CA6742"/>
    <w:rsid w:val="00CB6357"/>
    <w:rsid w:val="00CB79A1"/>
    <w:rsid w:val="00CC1B26"/>
    <w:rsid w:val="00CC20EC"/>
    <w:rsid w:val="00CD3CF0"/>
    <w:rsid w:val="00D0301A"/>
    <w:rsid w:val="00D328DB"/>
    <w:rsid w:val="00D361CE"/>
    <w:rsid w:val="00D423A2"/>
    <w:rsid w:val="00D57B50"/>
    <w:rsid w:val="00D63AC2"/>
    <w:rsid w:val="00D7383B"/>
    <w:rsid w:val="00D93C57"/>
    <w:rsid w:val="00DA231B"/>
    <w:rsid w:val="00DD5298"/>
    <w:rsid w:val="00DD6C68"/>
    <w:rsid w:val="00DE6218"/>
    <w:rsid w:val="00DF5254"/>
    <w:rsid w:val="00E04FE0"/>
    <w:rsid w:val="00E16408"/>
    <w:rsid w:val="00E200AC"/>
    <w:rsid w:val="00E2022E"/>
    <w:rsid w:val="00E20894"/>
    <w:rsid w:val="00E221A2"/>
    <w:rsid w:val="00E245AB"/>
    <w:rsid w:val="00E25E5F"/>
    <w:rsid w:val="00E2764C"/>
    <w:rsid w:val="00E27F2E"/>
    <w:rsid w:val="00E50AFE"/>
    <w:rsid w:val="00E771DC"/>
    <w:rsid w:val="00E8772A"/>
    <w:rsid w:val="00E90F6B"/>
    <w:rsid w:val="00E92C27"/>
    <w:rsid w:val="00E93F54"/>
    <w:rsid w:val="00E96ED0"/>
    <w:rsid w:val="00E97D30"/>
    <w:rsid w:val="00EA0E3D"/>
    <w:rsid w:val="00EA602A"/>
    <w:rsid w:val="00ED7742"/>
    <w:rsid w:val="00EE1AA8"/>
    <w:rsid w:val="00EE27B1"/>
    <w:rsid w:val="00F021D8"/>
    <w:rsid w:val="00F05F5C"/>
    <w:rsid w:val="00F060BB"/>
    <w:rsid w:val="00F25461"/>
    <w:rsid w:val="00F31EDC"/>
    <w:rsid w:val="00F462B3"/>
    <w:rsid w:val="00F5664F"/>
    <w:rsid w:val="00F666C4"/>
    <w:rsid w:val="00F76AFC"/>
    <w:rsid w:val="00FB5DD1"/>
    <w:rsid w:val="00FB7148"/>
    <w:rsid w:val="00FC2B5D"/>
    <w:rsid w:val="00FC5ECD"/>
    <w:rsid w:val="00FD11FC"/>
    <w:rsid w:val="00FE51AF"/>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914BF"/>
    <w:rPr>
      <w:rFonts w:ascii="Geomanist Light" w:hAnsi="Geomanist Light"/>
      <w:lang w:val="es-ES"/>
    </w:rPr>
  </w:style>
  <w:style w:type="paragraph" w:customStyle="1" w:styleId="Appelnotedebasde">
    <w:name w:val="Appel note de bas de..."/>
    <w:basedOn w:val="Normal"/>
    <w:link w:val="Refdenotaalpie"/>
    <w:uiPriority w:val="99"/>
    <w:rsid w:val="006914BF"/>
    <w:pPr>
      <w:spacing w:line="240" w:lineRule="exact"/>
    </w:pPr>
    <w:rPr>
      <w:vertAlign w:val="superscript"/>
    </w:rPr>
  </w:style>
  <w:style w:type="character" w:customStyle="1" w:styleId="NormalWebCar">
    <w:name w:val="Normal (Web) Car"/>
    <w:link w:val="NormalWeb"/>
    <w:uiPriority w:val="99"/>
    <w:rsid w:val="006914BF"/>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6914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1609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artificialmente_bajas.pdf" TargetMode="External"/><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24D47606-ECE3-4EB5-B09F-9D1C2F54859C}"/>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A0EC6937-D94B-461B-A4FD-119892E7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15</Pages>
  <Words>5300</Words>
  <Characters>29153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3</cp:revision>
  <cp:lastPrinted>2023-01-10T21:18:00Z</cp:lastPrinted>
  <dcterms:created xsi:type="dcterms:W3CDTF">2023-09-19T00:33:00Z</dcterms:created>
  <dcterms:modified xsi:type="dcterms:W3CDTF">2023-11-29T12:10:00Z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