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EEFB" w14:textId="77777777" w:rsidR="00CB603F" w:rsidRPr="00ED3CF9" w:rsidRDefault="00CB603F" w:rsidP="00CB603F">
      <w:pPr>
        <w:spacing w:after="0" w:line="240" w:lineRule="auto"/>
        <w:jc w:val="both"/>
        <w:rPr>
          <w:rFonts w:ascii="Arial" w:eastAsia="Calibri" w:hAnsi="Arial" w:cs="Arial"/>
          <w:b/>
          <w:sz w:val="20"/>
          <w:szCs w:val="20"/>
          <w:lang w:val="es-ES_tradnl" w:eastAsia="es-ES_tradnl"/>
        </w:rPr>
      </w:pPr>
      <w:bookmarkStart w:id="0" w:name="_Hlk143780582"/>
      <w:bookmarkStart w:id="1" w:name="_Hlk94281581"/>
      <w:bookmarkStart w:id="2" w:name="_Hlk102489058"/>
      <w:bookmarkStart w:id="3" w:name="_Hlk34951122"/>
    </w:p>
    <w:p w14:paraId="1BE10D52" w14:textId="588A1EF2" w:rsidR="00CB603F" w:rsidRPr="009E2695" w:rsidRDefault="00CB603F" w:rsidP="00CB603F">
      <w:pPr>
        <w:tabs>
          <w:tab w:val="left" w:pos="0"/>
        </w:tabs>
        <w:spacing w:after="0" w:line="276" w:lineRule="auto"/>
        <w:jc w:val="both"/>
        <w:rPr>
          <w:rFonts w:ascii="Arial" w:eastAsia="Calibri" w:hAnsi="Arial" w:cs="Arial"/>
          <w:b/>
          <w:bCs/>
          <w:lang w:val="es-ES" w:eastAsia="es-MX"/>
        </w:rPr>
      </w:pPr>
      <w:r w:rsidRPr="009E2695">
        <w:rPr>
          <w:rFonts w:ascii="Arial" w:eastAsia="Calibri" w:hAnsi="Arial" w:cs="Arial"/>
          <w:b/>
          <w:bCs/>
          <w:lang w:val="es-ES" w:eastAsia="es-MX"/>
        </w:rPr>
        <w:t xml:space="preserve">DOCUMENTO TIPO </w:t>
      </w:r>
      <w:r>
        <w:rPr>
          <w:rFonts w:ascii="Arial" w:eastAsia="Calibri" w:hAnsi="Arial" w:cs="Arial"/>
          <w:b/>
          <w:bCs/>
          <w:lang w:val="es-ES" w:eastAsia="es-MX"/>
        </w:rPr>
        <w:t xml:space="preserve">– Convenios solidarios </w:t>
      </w:r>
      <w:r w:rsidR="009304AB">
        <w:rPr>
          <w:rFonts w:ascii="Arial" w:eastAsia="Calibri" w:hAnsi="Arial" w:cs="Arial"/>
          <w:b/>
          <w:bCs/>
          <w:lang w:val="es-ES" w:eastAsia="es-MX"/>
        </w:rPr>
        <w:t xml:space="preserve">– </w:t>
      </w:r>
      <w:r>
        <w:rPr>
          <w:rFonts w:ascii="Arial" w:eastAsia="Calibri" w:hAnsi="Arial" w:cs="Arial"/>
          <w:b/>
          <w:bCs/>
          <w:lang w:val="es-ES" w:eastAsia="es-MX"/>
        </w:rPr>
        <w:t>C</w:t>
      </w:r>
      <w:r w:rsidRPr="009E2695">
        <w:rPr>
          <w:rFonts w:ascii="Arial" w:eastAsia="Calibri" w:hAnsi="Arial" w:cs="Arial"/>
          <w:b/>
          <w:bCs/>
          <w:lang w:val="es-ES" w:eastAsia="es-MX"/>
        </w:rPr>
        <w:t xml:space="preserve">ontratación directa </w:t>
      </w:r>
      <w:r w:rsidR="009304AB">
        <w:rPr>
          <w:rFonts w:ascii="Arial" w:eastAsia="Calibri" w:hAnsi="Arial" w:cs="Arial"/>
          <w:b/>
          <w:bCs/>
          <w:lang w:val="es-ES" w:eastAsia="es-MX"/>
        </w:rPr>
        <w:t>–</w:t>
      </w:r>
      <w:r>
        <w:rPr>
          <w:rFonts w:ascii="Arial" w:eastAsia="Calibri" w:hAnsi="Arial" w:cs="Arial"/>
          <w:b/>
          <w:bCs/>
          <w:lang w:val="es-ES" w:eastAsia="es-MX"/>
        </w:rPr>
        <w:t xml:space="preserve"> E</w:t>
      </w:r>
      <w:r w:rsidRPr="009E2695">
        <w:rPr>
          <w:rFonts w:ascii="Arial" w:eastAsia="Calibri" w:hAnsi="Arial" w:cs="Arial"/>
          <w:b/>
          <w:bCs/>
          <w:lang w:val="es-ES" w:eastAsia="es-MX"/>
        </w:rPr>
        <w:t xml:space="preserve">jecución de obras </w:t>
      </w:r>
      <w:r w:rsidR="009304AB">
        <w:rPr>
          <w:rFonts w:ascii="Arial" w:eastAsia="Calibri" w:hAnsi="Arial" w:cs="Arial"/>
          <w:b/>
          <w:bCs/>
          <w:lang w:val="es-ES" w:eastAsia="es-MX"/>
        </w:rPr>
        <w:t xml:space="preserve">– </w:t>
      </w:r>
      <w:r>
        <w:rPr>
          <w:rFonts w:ascii="Arial" w:eastAsia="Calibri" w:hAnsi="Arial" w:cs="Arial"/>
          <w:b/>
          <w:bCs/>
          <w:lang w:val="es-ES" w:eastAsia="es-MX"/>
        </w:rPr>
        <w:t>M</w:t>
      </w:r>
      <w:r w:rsidRPr="009E2695">
        <w:rPr>
          <w:rFonts w:ascii="Arial" w:eastAsia="Calibri" w:hAnsi="Arial" w:cs="Arial"/>
          <w:b/>
          <w:bCs/>
          <w:lang w:val="es-ES" w:eastAsia="es-MX"/>
        </w:rPr>
        <w:t xml:space="preserve">enor cuantía </w:t>
      </w:r>
      <w:r w:rsidR="009304AB">
        <w:rPr>
          <w:rFonts w:ascii="Arial" w:eastAsia="Calibri" w:hAnsi="Arial" w:cs="Arial"/>
          <w:b/>
          <w:bCs/>
          <w:lang w:val="es-ES" w:eastAsia="es-MX"/>
        </w:rPr>
        <w:t>–</w:t>
      </w:r>
      <w:r>
        <w:rPr>
          <w:rFonts w:ascii="Arial" w:eastAsia="Calibri" w:hAnsi="Arial" w:cs="Arial"/>
          <w:b/>
          <w:bCs/>
          <w:lang w:val="es-ES" w:eastAsia="es-MX"/>
        </w:rPr>
        <w:t xml:space="preserve"> O</w:t>
      </w:r>
      <w:r w:rsidRPr="009E2695">
        <w:rPr>
          <w:rFonts w:ascii="Arial" w:eastAsia="Calibri" w:hAnsi="Arial" w:cs="Arial"/>
          <w:b/>
          <w:bCs/>
          <w:lang w:val="es-ES" w:eastAsia="es-MX"/>
        </w:rPr>
        <w:t>rganismos de acción comunal</w:t>
      </w:r>
    </w:p>
    <w:p w14:paraId="23C8B944" w14:textId="77777777" w:rsidR="00CB603F" w:rsidRDefault="00CB603F" w:rsidP="00CB603F">
      <w:pPr>
        <w:tabs>
          <w:tab w:val="left" w:pos="0"/>
        </w:tabs>
        <w:spacing w:after="0" w:line="276" w:lineRule="auto"/>
        <w:jc w:val="both"/>
        <w:rPr>
          <w:rFonts w:ascii="Arial" w:eastAsia="Calibri" w:hAnsi="Arial" w:cs="Arial"/>
          <w:b/>
          <w:szCs w:val="24"/>
          <w:lang w:val="es-ES_tradnl" w:eastAsia="es-ES_tradnl"/>
        </w:rPr>
      </w:pPr>
    </w:p>
    <w:p w14:paraId="66781B33" w14:textId="38739FFE" w:rsidR="00CB603F" w:rsidRPr="009A4884" w:rsidRDefault="00CB603F" w:rsidP="00CB603F">
      <w:pPr>
        <w:tabs>
          <w:tab w:val="left" w:pos="0"/>
        </w:tabs>
        <w:spacing w:after="0" w:line="240" w:lineRule="auto"/>
        <w:jc w:val="both"/>
        <w:rPr>
          <w:rFonts w:ascii="Arial" w:hAnsi="Arial" w:cs="Arial"/>
          <w:spacing w:val="2"/>
          <w:sz w:val="20"/>
          <w:szCs w:val="20"/>
          <w:lang w:eastAsia="es-CO"/>
        </w:rPr>
      </w:pPr>
      <w:r w:rsidRPr="009A4884">
        <w:rPr>
          <w:rFonts w:ascii="Arial" w:hAnsi="Arial" w:cs="Arial"/>
          <w:spacing w:val="2"/>
          <w:sz w:val="20"/>
          <w:szCs w:val="20"/>
          <w:lang w:eastAsia="es-CO"/>
        </w:rPr>
        <w:t xml:space="preserve">[…] </w:t>
      </w:r>
      <w:r w:rsidR="00B42470" w:rsidRPr="00B42470">
        <w:rPr>
          <w:rFonts w:ascii="Arial" w:hAnsi="Arial" w:cs="Arial"/>
          <w:spacing w:val="2"/>
          <w:sz w:val="20"/>
          <w:szCs w:val="20"/>
          <w:lang w:eastAsia="es-CO"/>
        </w:rPr>
        <w:t>el pasado 30 de junio de 2023 la Agencia Nacional de Contratación Pública – Colombia Compra Eficiente expidió la Resolución 358 de 2023 “Por la cual se adopta el documento tipo para la contratación directa de convenios solidarios para la ejecución de obras hasta la menor cuantía con organismos de acción comunal”. La Resolución señalada, consta de cuatro artículos, el primero dispone que esta adopta los documentos tipo para la contratación directa de convenios solidarios para la ejecución de obras hasta la menor cuantía con Organismos de Acción Comunal.</w:t>
      </w:r>
    </w:p>
    <w:p w14:paraId="28B867E5" w14:textId="77777777" w:rsidR="00CB603F" w:rsidRPr="009A4884" w:rsidRDefault="00CB603F" w:rsidP="00CB603F">
      <w:pPr>
        <w:spacing w:after="0" w:line="240" w:lineRule="auto"/>
        <w:jc w:val="both"/>
        <w:rPr>
          <w:rFonts w:ascii="Arial" w:eastAsia="Calibri" w:hAnsi="Arial" w:cs="Arial"/>
          <w:b/>
          <w:lang w:eastAsia="es-ES_tradnl"/>
        </w:rPr>
      </w:pPr>
    </w:p>
    <w:p w14:paraId="4576730A" w14:textId="77777777" w:rsidR="00CB603F" w:rsidRPr="00A869AF" w:rsidRDefault="00CB603F" w:rsidP="00CB603F">
      <w:pPr>
        <w:spacing w:after="0" w:line="240" w:lineRule="auto"/>
        <w:jc w:val="both"/>
        <w:rPr>
          <w:rFonts w:ascii="Arial" w:eastAsia="Calibri" w:hAnsi="Arial" w:cs="Arial"/>
          <w:b/>
          <w:bCs/>
          <w:color w:val="000000" w:themeColor="text1"/>
        </w:rPr>
      </w:pPr>
      <w:r w:rsidRPr="009E2695">
        <w:rPr>
          <w:rFonts w:ascii="Arial" w:eastAsia="Calibri" w:hAnsi="Arial" w:cs="Arial"/>
          <w:b/>
          <w:bCs/>
          <w:lang w:val="es-ES" w:eastAsia="es-MX"/>
        </w:rPr>
        <w:t xml:space="preserve">DOCUMENTO TIPO </w:t>
      </w:r>
      <w:r>
        <w:rPr>
          <w:rFonts w:ascii="Arial" w:eastAsia="Calibri" w:hAnsi="Arial" w:cs="Arial"/>
          <w:b/>
          <w:bCs/>
          <w:lang w:val="es-ES" w:eastAsia="es-MX"/>
        </w:rPr>
        <w:t xml:space="preserve">– Convenios solidarios – Fundamento normativo – </w:t>
      </w:r>
      <w:r w:rsidRPr="00A869AF">
        <w:rPr>
          <w:rFonts w:ascii="Arial" w:eastAsia="Calibri" w:hAnsi="Arial" w:cs="Arial"/>
          <w:b/>
          <w:bCs/>
          <w:color w:val="000000" w:themeColor="text1"/>
        </w:rPr>
        <w:t xml:space="preserve">Artículo </w:t>
      </w:r>
      <w:r w:rsidRPr="008108D3">
        <w:rPr>
          <w:rFonts w:ascii="Arial" w:eastAsia="Calibri" w:hAnsi="Arial" w:cs="Arial"/>
          <w:b/>
          <w:bCs/>
          <w:color w:val="000000" w:themeColor="text1"/>
        </w:rPr>
        <w:t>95 –</w:t>
      </w:r>
      <w:r>
        <w:rPr>
          <w:rFonts w:ascii="Arial" w:eastAsia="Calibri" w:hAnsi="Arial" w:cs="Arial"/>
          <w:b/>
          <w:bCs/>
          <w:color w:val="000000" w:themeColor="text1"/>
        </w:rPr>
        <w:t xml:space="preserve">Ley 2166 de 2021 </w:t>
      </w:r>
      <w:r w:rsidRPr="008108D3">
        <w:rPr>
          <w:rFonts w:ascii="Arial" w:eastAsia="Calibri" w:hAnsi="Arial" w:cs="Arial"/>
          <w:b/>
          <w:bCs/>
          <w:color w:val="000000" w:themeColor="text1"/>
        </w:rPr>
        <w:t>–</w:t>
      </w:r>
      <w:r>
        <w:rPr>
          <w:rFonts w:ascii="Arial" w:eastAsia="Calibri" w:hAnsi="Arial" w:cs="Arial"/>
          <w:b/>
          <w:bCs/>
          <w:color w:val="000000" w:themeColor="text1"/>
        </w:rPr>
        <w:t xml:space="preserve"> Reglas</w:t>
      </w:r>
    </w:p>
    <w:p w14:paraId="6C281EF9" w14:textId="77777777" w:rsidR="00CB603F" w:rsidRPr="009A4884" w:rsidRDefault="00CB603F" w:rsidP="00CB603F">
      <w:pPr>
        <w:spacing w:after="0" w:line="240" w:lineRule="auto"/>
        <w:jc w:val="both"/>
        <w:rPr>
          <w:rFonts w:ascii="Arial" w:eastAsia="Calibri" w:hAnsi="Arial" w:cs="Arial"/>
          <w:b/>
          <w:bCs/>
          <w:color w:val="000000" w:themeColor="text1"/>
        </w:rPr>
      </w:pPr>
    </w:p>
    <w:p w14:paraId="5A391637" w14:textId="471F49DB" w:rsidR="00CB603F" w:rsidRPr="006E2BA3" w:rsidRDefault="00CB603F" w:rsidP="006E2BA3">
      <w:pPr>
        <w:spacing w:after="0" w:line="240" w:lineRule="auto"/>
        <w:jc w:val="both"/>
        <w:rPr>
          <w:rFonts w:ascii="Arial" w:eastAsia="Calibri" w:hAnsi="Arial" w:cs="Arial"/>
          <w:color w:val="000000" w:themeColor="text1"/>
          <w:sz w:val="20"/>
          <w:szCs w:val="20"/>
          <w:lang w:val="es-ES"/>
        </w:rPr>
      </w:pPr>
      <w:r w:rsidRPr="00504597">
        <w:rPr>
          <w:rFonts w:ascii="Arial" w:eastAsia="Calibri" w:hAnsi="Arial" w:cs="Arial"/>
          <w:color w:val="000000" w:themeColor="text1"/>
          <w:sz w:val="20"/>
          <w:szCs w:val="20"/>
          <w:lang w:val="es-ES"/>
        </w:rPr>
        <w:t xml:space="preserve">[…] </w:t>
      </w:r>
      <w:r w:rsidR="006E2BA3" w:rsidRPr="006E2BA3">
        <w:rPr>
          <w:rFonts w:ascii="Arial" w:eastAsia="Calibri" w:hAnsi="Arial" w:cs="Arial"/>
          <w:color w:val="000000" w:themeColor="text1"/>
          <w:sz w:val="20"/>
          <w:szCs w:val="20"/>
          <w:lang w:val="es-ES"/>
        </w:rPr>
        <w:t xml:space="preserve">esta norma desarrolla las siguientes reglas: i) Las “entidades del orden Nacional, Departamental, Distrital y municipal”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organismos de acción comunal. </w:t>
      </w:r>
      <w:proofErr w:type="spellStart"/>
      <w:r w:rsidR="006E2BA3" w:rsidRPr="006E2BA3">
        <w:rPr>
          <w:rFonts w:ascii="Arial" w:eastAsia="Calibri" w:hAnsi="Arial" w:cs="Arial"/>
          <w:color w:val="000000" w:themeColor="text1"/>
          <w:sz w:val="20"/>
          <w:szCs w:val="20"/>
          <w:lang w:val="es-ES"/>
        </w:rPr>
        <w:t>ii</w:t>
      </w:r>
      <w:proofErr w:type="spellEnd"/>
      <w:r w:rsidR="006E2BA3" w:rsidRPr="006E2BA3">
        <w:rPr>
          <w:rFonts w:ascii="Arial" w:eastAsia="Calibri" w:hAnsi="Arial" w:cs="Arial"/>
          <w:color w:val="000000" w:themeColor="text1"/>
          <w:sz w:val="20"/>
          <w:szCs w:val="20"/>
          <w:lang w:val="es-ES"/>
        </w:rPr>
        <w:t>) Estos convenios solidarios deben tener por objeto únicamente la ejecución de obras. Esto significa que no pueden desarrollarse otros objetos distintos a la obra con fundamento en este artículo.</w:t>
      </w:r>
      <w:r w:rsidR="006E2BA3">
        <w:rPr>
          <w:rFonts w:ascii="Arial" w:eastAsia="Calibri" w:hAnsi="Arial" w:cs="Arial"/>
          <w:color w:val="000000" w:themeColor="text1"/>
          <w:sz w:val="20"/>
          <w:szCs w:val="20"/>
          <w:lang w:val="es-ES"/>
        </w:rPr>
        <w:t xml:space="preserve"> </w:t>
      </w:r>
      <w:proofErr w:type="spellStart"/>
      <w:r w:rsidR="006E2BA3" w:rsidRPr="006E2BA3">
        <w:rPr>
          <w:rFonts w:ascii="Arial" w:eastAsia="Calibri" w:hAnsi="Arial" w:cs="Arial"/>
          <w:color w:val="000000" w:themeColor="text1"/>
          <w:sz w:val="20"/>
          <w:szCs w:val="20"/>
          <w:lang w:val="es-ES"/>
        </w:rPr>
        <w:t>iii</w:t>
      </w:r>
      <w:proofErr w:type="spellEnd"/>
      <w:r w:rsidR="006E2BA3" w:rsidRPr="006E2BA3">
        <w:rPr>
          <w:rFonts w:ascii="Arial" w:eastAsia="Calibri" w:hAnsi="Arial" w:cs="Arial"/>
          <w:color w:val="000000" w:themeColor="text1"/>
          <w:sz w:val="20"/>
          <w:szCs w:val="20"/>
          <w:lang w:val="es-ES"/>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roofErr w:type="spellStart"/>
      <w:r w:rsidR="006E2BA3" w:rsidRPr="006E2BA3">
        <w:rPr>
          <w:rFonts w:ascii="Arial" w:eastAsia="Calibri" w:hAnsi="Arial" w:cs="Arial"/>
          <w:color w:val="000000" w:themeColor="text1"/>
          <w:sz w:val="20"/>
          <w:szCs w:val="20"/>
          <w:lang w:val="es-ES"/>
        </w:rPr>
        <w:t>iv</w:t>
      </w:r>
      <w:proofErr w:type="spellEnd"/>
      <w:r w:rsidR="006E2BA3" w:rsidRPr="006E2BA3">
        <w:rPr>
          <w:rFonts w:ascii="Arial" w:eastAsia="Calibri" w:hAnsi="Arial" w:cs="Arial"/>
          <w:color w:val="000000" w:themeColor="text1"/>
          <w:sz w:val="20"/>
          <w:szCs w:val="20"/>
          <w:lang w:val="es-ES"/>
        </w:rPr>
        <w:t>) Para la ejecución de las obras se establece el deber de contratar con los habitantes de la comunidad.</w:t>
      </w:r>
      <w:r w:rsidR="006E2BA3">
        <w:rPr>
          <w:rFonts w:ascii="Arial" w:eastAsia="Calibri" w:hAnsi="Arial" w:cs="Arial"/>
          <w:color w:val="000000" w:themeColor="text1"/>
          <w:sz w:val="20"/>
          <w:szCs w:val="20"/>
          <w:lang w:val="es-ES"/>
        </w:rPr>
        <w:t xml:space="preserve"> </w:t>
      </w:r>
      <w:r w:rsidR="006E2BA3" w:rsidRPr="006E2BA3">
        <w:rPr>
          <w:rFonts w:ascii="Arial" w:eastAsia="Calibri" w:hAnsi="Arial" w:cs="Arial"/>
          <w:color w:val="000000" w:themeColor="text1"/>
          <w:sz w:val="20"/>
          <w:szCs w:val="20"/>
          <w:lang w:val="es-ES"/>
        </w:rPr>
        <w:t>v) En el valor total del convenio la entidad podrá incluir los costos directos, los costos administrativos y el subsidio al dignatario representante legal para transportes de que trata el literal c) del artículo 38 de la Ley 2166 de 2022. Estos costos deberán incluirse en el ejercicio de planeación que realice la entidad y estar debidamente justificados.</w:t>
      </w:r>
      <w:r w:rsidR="006E2BA3">
        <w:rPr>
          <w:rFonts w:ascii="Arial" w:eastAsia="Calibri" w:hAnsi="Arial" w:cs="Arial"/>
          <w:color w:val="000000" w:themeColor="text1"/>
          <w:sz w:val="20"/>
          <w:szCs w:val="20"/>
          <w:lang w:val="es-ES"/>
        </w:rPr>
        <w:t xml:space="preserve"> </w:t>
      </w:r>
      <w:r w:rsidR="006E2BA3" w:rsidRPr="006E2BA3">
        <w:rPr>
          <w:rFonts w:ascii="Arial" w:eastAsia="Calibri" w:hAnsi="Arial" w:cs="Arial"/>
          <w:color w:val="000000" w:themeColor="text1"/>
          <w:sz w:val="20"/>
          <w:szCs w:val="20"/>
          <w:lang w:val="es-ES"/>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5B161B37" w14:textId="77777777" w:rsidR="00CB603F" w:rsidRPr="009A4884" w:rsidRDefault="00CB603F" w:rsidP="00CB603F">
      <w:pPr>
        <w:spacing w:after="0" w:line="240" w:lineRule="auto"/>
        <w:jc w:val="both"/>
        <w:rPr>
          <w:rFonts w:ascii="Arial" w:eastAsia="Calibri" w:hAnsi="Arial" w:cs="Arial"/>
          <w:b/>
          <w:lang w:eastAsia="es-ES_tradnl"/>
        </w:rPr>
      </w:pPr>
    </w:p>
    <w:p w14:paraId="7A1EE1A5" w14:textId="77777777" w:rsidR="00CB603F" w:rsidRPr="00A869AF" w:rsidRDefault="00CB603F" w:rsidP="00CB603F">
      <w:pPr>
        <w:spacing w:after="0" w:line="240" w:lineRule="auto"/>
        <w:jc w:val="both"/>
        <w:rPr>
          <w:rFonts w:ascii="Arial" w:eastAsia="Calibri" w:hAnsi="Arial" w:cs="Arial"/>
          <w:b/>
          <w:bCs/>
          <w:color w:val="000000" w:themeColor="text1"/>
        </w:rPr>
      </w:pPr>
      <w:r w:rsidRPr="009E2695">
        <w:rPr>
          <w:rFonts w:ascii="Arial" w:eastAsia="Calibri" w:hAnsi="Arial" w:cs="Arial"/>
          <w:b/>
          <w:bCs/>
          <w:lang w:val="es-ES" w:eastAsia="es-MX"/>
        </w:rPr>
        <w:t xml:space="preserve">DOCUMENTO TIPO </w:t>
      </w:r>
      <w:r>
        <w:rPr>
          <w:rFonts w:ascii="Arial" w:eastAsia="Calibri" w:hAnsi="Arial" w:cs="Arial"/>
          <w:b/>
          <w:bCs/>
          <w:lang w:val="es-ES" w:eastAsia="es-MX"/>
        </w:rPr>
        <w:t xml:space="preserve">– Convenios solidarios – Fundamento normativo – </w:t>
      </w:r>
      <w:r w:rsidRPr="00A869AF">
        <w:rPr>
          <w:rFonts w:ascii="Arial" w:eastAsia="Calibri" w:hAnsi="Arial" w:cs="Arial"/>
          <w:b/>
          <w:bCs/>
          <w:color w:val="000000" w:themeColor="text1"/>
        </w:rPr>
        <w:t xml:space="preserve">Artículo </w:t>
      </w:r>
      <w:r w:rsidRPr="008108D3">
        <w:rPr>
          <w:rFonts w:ascii="Arial" w:eastAsia="Calibri" w:hAnsi="Arial" w:cs="Arial"/>
          <w:b/>
          <w:bCs/>
          <w:color w:val="000000" w:themeColor="text1"/>
        </w:rPr>
        <w:t>95 –</w:t>
      </w:r>
      <w:r>
        <w:rPr>
          <w:rFonts w:ascii="Arial" w:eastAsia="Calibri" w:hAnsi="Arial" w:cs="Arial"/>
          <w:b/>
          <w:bCs/>
          <w:color w:val="000000" w:themeColor="text1"/>
        </w:rPr>
        <w:t xml:space="preserve">Ley 2166 de 2021 </w:t>
      </w:r>
      <w:r w:rsidRPr="008108D3">
        <w:rPr>
          <w:rFonts w:ascii="Arial" w:eastAsia="Calibri" w:hAnsi="Arial" w:cs="Arial"/>
          <w:b/>
          <w:bCs/>
          <w:color w:val="000000" w:themeColor="text1"/>
        </w:rPr>
        <w:t>–</w:t>
      </w:r>
      <w:r>
        <w:rPr>
          <w:rFonts w:ascii="Arial" w:eastAsia="Calibri" w:hAnsi="Arial" w:cs="Arial"/>
          <w:b/>
          <w:bCs/>
          <w:color w:val="000000" w:themeColor="text1"/>
        </w:rPr>
        <w:t xml:space="preserve"> Menor cuantía </w:t>
      </w:r>
    </w:p>
    <w:p w14:paraId="0DC380E3" w14:textId="77777777" w:rsidR="00CB603F" w:rsidRPr="008E1F4D" w:rsidRDefault="00CB603F" w:rsidP="00CB603F">
      <w:pPr>
        <w:spacing w:after="0" w:line="240" w:lineRule="auto"/>
        <w:jc w:val="both"/>
        <w:rPr>
          <w:rFonts w:ascii="Arial" w:eastAsia="Calibri" w:hAnsi="Arial" w:cs="Arial"/>
          <w:b/>
          <w:lang w:eastAsia="es-ES_tradnl"/>
        </w:rPr>
      </w:pPr>
    </w:p>
    <w:p w14:paraId="20344761" w14:textId="16310B4F" w:rsidR="00CB603F" w:rsidRPr="008E1F4D" w:rsidRDefault="0085001B" w:rsidP="0085001B">
      <w:pPr>
        <w:shd w:val="clear" w:color="auto" w:fill="FFFFFF" w:themeFill="background1"/>
        <w:spacing w:after="0" w:line="240" w:lineRule="auto"/>
        <w:jc w:val="both"/>
        <w:rPr>
          <w:rFonts w:ascii="Arial" w:eastAsia="Calibri" w:hAnsi="Arial" w:cs="Arial"/>
          <w:color w:val="000000" w:themeColor="text1"/>
          <w:sz w:val="20"/>
          <w:szCs w:val="20"/>
          <w:lang w:val="es-ES_tradnl"/>
        </w:rPr>
      </w:pPr>
      <w:r w:rsidRPr="0085001B">
        <w:rPr>
          <w:rFonts w:ascii="Arial" w:hAnsi="Arial" w:cs="Arial"/>
          <w:bCs/>
          <w:color w:val="000000" w:themeColor="text1"/>
          <w:sz w:val="20"/>
          <w:szCs w:val="20"/>
          <w:lang w:eastAsia="es-MX"/>
        </w:rPr>
        <w:t>De acuerdo con lo señalado, el documento tipo adoptado por la Agencia Nacional de Contratación Pública</w:t>
      </w:r>
      <w:r w:rsidRPr="0085001B">
        <w:rPr>
          <w:rFonts w:ascii="Arial" w:eastAsia="Calibri" w:hAnsi="Arial" w:cs="Arial"/>
          <w:color w:val="000000"/>
          <w:sz w:val="20"/>
          <w:szCs w:val="20"/>
          <w:lang w:val="es-ES" w:eastAsia="es-ES"/>
        </w:rPr>
        <w:t>– Colombia Compra Eficiente</w:t>
      </w:r>
      <w:r w:rsidRPr="0085001B">
        <w:rPr>
          <w:rFonts w:ascii="Arial" w:hAnsi="Arial" w:cs="Arial"/>
          <w:spacing w:val="2"/>
          <w:sz w:val="20"/>
          <w:szCs w:val="20"/>
          <w:lang w:eastAsia="es-CO"/>
        </w:rPr>
        <w:t xml:space="preserve"> </w:t>
      </w:r>
      <w:r w:rsidRPr="0085001B">
        <w:rPr>
          <w:rFonts w:ascii="Arial" w:hAnsi="Arial" w:cs="Arial"/>
          <w:bCs/>
          <w:color w:val="000000" w:themeColor="text1"/>
          <w:sz w:val="20"/>
          <w:szCs w:val="20"/>
          <w:lang w:eastAsia="es-MX"/>
        </w:rPr>
        <w:t xml:space="preserve">mediante la Resolución 358 del 30 de junio de 2023, tiene como fundamento el régimen de contratación directa de los convenios solidarios señalado en el artículo 95 de la Ley 2166 de 2021, por lo que únicamente puede realizarse conforme a lo dispuesto en dicha norma, de manera que podrán celebrarse esos convenios </w:t>
      </w:r>
      <w:r w:rsidRPr="0085001B">
        <w:rPr>
          <w:rFonts w:ascii="Arial" w:eastAsia="Calibri" w:hAnsi="Arial" w:cs="Arial"/>
          <w:color w:val="000000" w:themeColor="text1"/>
          <w:sz w:val="20"/>
          <w:szCs w:val="20"/>
          <w:lang w:val="es-ES_tradnl"/>
        </w:rPr>
        <w:t xml:space="preserve">por la mínima o la menor cuantía de la entidad estatal sometida al Estatuto General de Contratación de la Administración Pública. Por lo anterior, los artículos 1, 2 y 4 de la Resolución señalada mencionan que estos aplican para la contratación directa de convenios solidarios para la ejecución de obras </w:t>
      </w:r>
      <w:r w:rsidRPr="0085001B">
        <w:rPr>
          <w:rFonts w:ascii="Arial" w:eastAsia="Calibri" w:hAnsi="Arial" w:cs="Arial"/>
          <w:i/>
          <w:iCs/>
          <w:color w:val="000000" w:themeColor="text1"/>
          <w:sz w:val="20"/>
          <w:szCs w:val="20"/>
          <w:u w:val="single"/>
          <w:lang w:val="es-ES_tradnl"/>
        </w:rPr>
        <w:t>hasta</w:t>
      </w:r>
      <w:r w:rsidRPr="0085001B">
        <w:rPr>
          <w:rFonts w:ascii="Arial" w:eastAsia="Calibri" w:hAnsi="Arial" w:cs="Arial"/>
          <w:color w:val="000000" w:themeColor="text1"/>
          <w:sz w:val="20"/>
          <w:szCs w:val="20"/>
          <w:lang w:val="es-ES_tradnl"/>
        </w:rPr>
        <w:t xml:space="preserve"> la menor cuantía con Organismos de Acción Comunal.</w:t>
      </w:r>
    </w:p>
    <w:p w14:paraId="10A30F96" w14:textId="77777777" w:rsidR="00CB603F" w:rsidRDefault="00CB603F" w:rsidP="00CB603F">
      <w:pPr>
        <w:spacing w:after="0" w:line="240" w:lineRule="auto"/>
        <w:jc w:val="both"/>
        <w:rPr>
          <w:rFonts w:ascii="Arial" w:eastAsia="Calibri" w:hAnsi="Arial" w:cs="Arial"/>
          <w:color w:val="000000" w:themeColor="text1"/>
          <w:lang w:val="es-ES_tradnl"/>
        </w:rPr>
      </w:pPr>
    </w:p>
    <w:p w14:paraId="5A999B92" w14:textId="77777777" w:rsidR="00CB603F" w:rsidRPr="008E1F4D" w:rsidRDefault="00CB603F" w:rsidP="00CB603F">
      <w:pPr>
        <w:spacing w:after="0" w:line="240" w:lineRule="auto"/>
        <w:jc w:val="both"/>
        <w:rPr>
          <w:rFonts w:ascii="Arial" w:eastAsia="Calibri" w:hAnsi="Arial" w:cs="Arial"/>
          <w:b/>
          <w:bCs/>
          <w:sz w:val="20"/>
          <w:szCs w:val="20"/>
          <w:lang w:eastAsia="es-ES_tradnl"/>
        </w:rPr>
      </w:pPr>
      <w:r w:rsidRPr="008E1F4D">
        <w:rPr>
          <w:rFonts w:ascii="Arial" w:eastAsia="Calibri" w:hAnsi="Arial" w:cs="Arial"/>
          <w:b/>
          <w:bCs/>
          <w:color w:val="000000" w:themeColor="text1"/>
          <w:lang w:val="es-ES_tradnl"/>
        </w:rPr>
        <w:t xml:space="preserve">DOCUMENTO TIPO DE CONVENIOS SOLIDARIOS – Giro y manejo de los recursos – Cláusulas 7 y 8 – Minuta Tipo – Alternativas – Administración de los recursos – Entidad financiera </w:t>
      </w:r>
    </w:p>
    <w:p w14:paraId="51F22514" w14:textId="77777777" w:rsidR="00CB603F" w:rsidRPr="00945FC3" w:rsidRDefault="00CB603F" w:rsidP="00CB603F">
      <w:pPr>
        <w:spacing w:after="0" w:line="240" w:lineRule="auto"/>
        <w:jc w:val="both"/>
        <w:rPr>
          <w:rFonts w:ascii="Arial" w:eastAsia="Calibri" w:hAnsi="Arial" w:cs="Arial"/>
          <w:b/>
          <w:lang w:val="es-ES_tradnl" w:eastAsia="es-ES_tradnl"/>
        </w:rPr>
      </w:pPr>
    </w:p>
    <w:p w14:paraId="14435A05" w14:textId="46D3F6A1" w:rsidR="00773C7B" w:rsidRPr="00773C7B" w:rsidRDefault="00773C7B" w:rsidP="00773C7B">
      <w:pPr>
        <w:shd w:val="clear" w:color="auto" w:fill="FFFFFF" w:themeFill="background1"/>
        <w:spacing w:after="0" w:line="240" w:lineRule="auto"/>
        <w:jc w:val="both"/>
        <w:rPr>
          <w:rFonts w:ascii="Arial" w:eastAsia="Calibri" w:hAnsi="Arial" w:cs="Arial"/>
          <w:color w:val="000000" w:themeColor="text1"/>
          <w:sz w:val="20"/>
          <w:szCs w:val="20"/>
          <w:lang w:val="es-ES_tradnl"/>
        </w:rPr>
      </w:pPr>
      <w:r w:rsidRPr="00773C7B">
        <w:rPr>
          <w:rFonts w:ascii="Arial" w:eastAsia="Calibri" w:hAnsi="Arial" w:cs="Arial"/>
          <w:color w:val="000000" w:themeColor="text1"/>
          <w:sz w:val="20"/>
          <w:szCs w:val="20"/>
          <w:lang w:val="es-ES_tradnl"/>
        </w:rPr>
        <w:t>El documento tipo para la contratación directa de convenios solidarios para la ejecución de obras hasta la menor cuantía con organismos de acción comunal, contempla tres [3] opciones para el giro de los recursos por parte de la Entidad Estatal, de acuerdo con la cláusula 7 de la Minuta Tipo. De esta manera, el giro de los recursos puede realizarse a una cuenta que se constituya a nombre del convenio o a un patrimonio autónomo, según corresponda:</w:t>
      </w:r>
    </w:p>
    <w:p w14:paraId="3E57D48A" w14:textId="77FC549C" w:rsidR="00773C7B" w:rsidRPr="00773C7B" w:rsidRDefault="00773C7B" w:rsidP="00773C7B">
      <w:pPr>
        <w:spacing w:after="0" w:line="240" w:lineRule="auto"/>
        <w:ind w:right="709"/>
        <w:jc w:val="both"/>
        <w:rPr>
          <w:rFonts w:ascii="Arial" w:hAnsi="Arial" w:cs="Arial"/>
          <w:sz w:val="20"/>
          <w:szCs w:val="20"/>
        </w:rPr>
      </w:pPr>
      <w:r w:rsidRPr="00773C7B">
        <w:rPr>
          <w:rFonts w:ascii="Arial" w:hAnsi="Arial" w:cs="Arial"/>
          <w:sz w:val="20"/>
          <w:szCs w:val="20"/>
        </w:rPr>
        <w:t>[…]</w:t>
      </w:r>
    </w:p>
    <w:p w14:paraId="4A819989" w14:textId="77777777" w:rsidR="00773C7B" w:rsidRPr="00773C7B" w:rsidRDefault="00773C7B" w:rsidP="00773C7B">
      <w:pPr>
        <w:spacing w:after="0" w:line="240" w:lineRule="auto"/>
        <w:jc w:val="both"/>
        <w:rPr>
          <w:rFonts w:ascii="Arial" w:hAnsi="Arial" w:cs="Arial"/>
          <w:sz w:val="20"/>
          <w:szCs w:val="20"/>
        </w:rPr>
      </w:pPr>
      <w:r w:rsidRPr="00773C7B">
        <w:rPr>
          <w:rFonts w:ascii="Arial" w:hAnsi="Arial" w:cs="Arial"/>
          <w:sz w:val="20"/>
          <w:szCs w:val="20"/>
        </w:rPr>
        <w:t>Por su parte, la cláusula 8 de la Minuta Tipo dispone de tres [3] alternativas para el manejo de los recursos, dependiendo de si se opta por la opción 1, 2 o 3 de la cláusula 7 para el giro de los recursos. Esto significa que la opción para el manejo de los recursos debe incluirse dependiendo de la opción de giro de recursos que se haya escogido. Estas opciones contienen unas condiciones que deben cumplirse y, en caso de que se opte por las opciones 1 o 3 de la cláusula 7 de la Minuta Tipo, que implican que se realicen giros de recursos a cuentas a nombre del convenio, es necesario tener en cuenta las reglas del parágrafo 1:</w:t>
      </w:r>
    </w:p>
    <w:p w14:paraId="06A0B498" w14:textId="12126ED6" w:rsidR="00773C7B" w:rsidRPr="00773C7B" w:rsidRDefault="00773C7B" w:rsidP="00773C7B">
      <w:pPr>
        <w:tabs>
          <w:tab w:val="left" w:pos="0"/>
        </w:tabs>
        <w:spacing w:after="0" w:line="240" w:lineRule="auto"/>
        <w:jc w:val="both"/>
        <w:rPr>
          <w:rFonts w:ascii="Arial" w:eastAsia="Calibri" w:hAnsi="Arial" w:cs="Arial"/>
          <w:bCs/>
          <w:sz w:val="20"/>
          <w:szCs w:val="20"/>
          <w:lang w:val="es-ES_tradnl" w:eastAsia="es-ES_tradnl"/>
        </w:rPr>
      </w:pPr>
      <w:r w:rsidRPr="00773C7B">
        <w:rPr>
          <w:rFonts w:ascii="Arial" w:eastAsia="Calibri" w:hAnsi="Arial" w:cs="Arial"/>
          <w:bCs/>
          <w:sz w:val="20"/>
          <w:szCs w:val="20"/>
          <w:lang w:val="es-ES_tradnl" w:eastAsia="es-ES_tradnl"/>
        </w:rPr>
        <w:t>[…]</w:t>
      </w:r>
    </w:p>
    <w:p w14:paraId="7AA21536" w14:textId="428E5291" w:rsidR="00CB603F" w:rsidRPr="00773C7B" w:rsidRDefault="00773C7B" w:rsidP="00773C7B">
      <w:pPr>
        <w:tabs>
          <w:tab w:val="left" w:pos="0"/>
        </w:tabs>
        <w:spacing w:after="0" w:line="240" w:lineRule="auto"/>
        <w:jc w:val="both"/>
        <w:rPr>
          <w:rFonts w:ascii="Arial" w:eastAsia="Calibri" w:hAnsi="Arial" w:cs="Arial"/>
          <w:bCs/>
          <w:sz w:val="20"/>
          <w:szCs w:val="20"/>
          <w:lang w:val="es-ES_tradnl" w:eastAsia="es-ES_tradnl"/>
        </w:rPr>
      </w:pPr>
      <w:r w:rsidRPr="00773C7B">
        <w:rPr>
          <w:rFonts w:ascii="Arial" w:eastAsia="Calibri" w:hAnsi="Arial" w:cs="Arial"/>
          <w:bCs/>
          <w:sz w:val="20"/>
          <w:szCs w:val="20"/>
          <w:lang w:val="es-ES_tradnl" w:eastAsia="es-ES_tradnl"/>
        </w:rPr>
        <w:t xml:space="preserve">Al respecto, es necesario advertir que se incurrió en una imprecisión en la digitación, por lo que la cuenta a la que se refiere el punto [I] del referido parágrafo 1, debe ser abierta en una </w:t>
      </w:r>
      <w:r w:rsidRPr="00773C7B">
        <w:rPr>
          <w:rFonts w:ascii="Arial" w:eastAsia="Calibri" w:hAnsi="Arial" w:cs="Arial"/>
          <w:bCs/>
          <w:i/>
          <w:iCs/>
          <w:sz w:val="20"/>
          <w:szCs w:val="20"/>
          <w:lang w:val="es-ES_tradnl" w:eastAsia="es-ES_tradnl"/>
        </w:rPr>
        <w:t>entidad financiera autorizada por la Superintendencia Financiera</w:t>
      </w:r>
      <w:r w:rsidRPr="00773C7B">
        <w:rPr>
          <w:rFonts w:ascii="Arial" w:eastAsia="Calibri" w:hAnsi="Arial" w:cs="Arial"/>
          <w:bCs/>
          <w:sz w:val="20"/>
          <w:szCs w:val="20"/>
          <w:lang w:val="es-ES_tradnl" w:eastAsia="es-ES_tradnl"/>
        </w:rPr>
        <w:t xml:space="preserve">, y no necesariamente en una </w:t>
      </w:r>
      <w:r w:rsidRPr="00773C7B">
        <w:rPr>
          <w:rFonts w:ascii="Arial" w:eastAsia="Calibri" w:hAnsi="Arial" w:cs="Arial"/>
          <w:bCs/>
          <w:i/>
          <w:iCs/>
          <w:sz w:val="20"/>
          <w:szCs w:val="20"/>
          <w:lang w:val="es-ES_tradnl" w:eastAsia="es-ES_tradnl"/>
        </w:rPr>
        <w:t>“Entidad Estatal financiera”</w:t>
      </w:r>
      <w:r w:rsidRPr="00773C7B">
        <w:rPr>
          <w:rFonts w:ascii="Arial" w:eastAsia="Calibri" w:hAnsi="Arial" w:cs="Arial"/>
          <w:bCs/>
          <w:sz w:val="20"/>
          <w:szCs w:val="20"/>
          <w:lang w:val="es-ES_tradnl" w:eastAsia="es-ES_tradnl"/>
        </w:rPr>
        <w:t xml:space="preserve">. En consecuencia, la entidad financiera que realizará la administración de los recursos puede ser seleccionada de forma discrecional, sin que medie si es de carácter público o privado. </w:t>
      </w:r>
    </w:p>
    <w:p w14:paraId="3714B12D" w14:textId="77777777" w:rsidR="00CB603F" w:rsidRPr="00945FC3" w:rsidRDefault="00CB603F" w:rsidP="00CB603F">
      <w:pPr>
        <w:spacing w:after="0" w:line="240" w:lineRule="auto"/>
        <w:jc w:val="both"/>
        <w:rPr>
          <w:rFonts w:ascii="Arial" w:hAnsi="Arial" w:cs="Arial"/>
        </w:rPr>
      </w:pPr>
    </w:p>
    <w:p w14:paraId="2FDDEF3A" w14:textId="77777777" w:rsidR="00CB603F" w:rsidRPr="00945FC3" w:rsidRDefault="00CB603F" w:rsidP="00CB603F">
      <w:pPr>
        <w:spacing w:after="0" w:line="240" w:lineRule="auto"/>
        <w:jc w:val="both"/>
        <w:rPr>
          <w:rFonts w:ascii="Arial" w:hAnsi="Arial" w:cs="Arial"/>
          <w:b/>
          <w:bCs/>
        </w:rPr>
      </w:pPr>
      <w:r w:rsidRPr="00945FC3">
        <w:rPr>
          <w:rFonts w:ascii="Arial" w:hAnsi="Arial" w:cs="Arial"/>
          <w:b/>
          <w:bCs/>
        </w:rPr>
        <w:t>DOCUMENTO TIPO DE CONVENIOS SOLIDARIOS – Garantías – Exigibilidad – Aspectos generales</w:t>
      </w:r>
    </w:p>
    <w:p w14:paraId="702F62C7" w14:textId="77777777" w:rsidR="00CB603F" w:rsidRPr="00945FC3" w:rsidRDefault="00CB603F" w:rsidP="00CB603F">
      <w:pPr>
        <w:spacing w:after="0" w:line="240" w:lineRule="auto"/>
        <w:jc w:val="both"/>
        <w:rPr>
          <w:rFonts w:ascii="Arial" w:hAnsi="Arial" w:cs="Arial"/>
        </w:rPr>
      </w:pPr>
    </w:p>
    <w:p w14:paraId="0A0C965B" w14:textId="4C3B8CC4" w:rsidR="00773C7B" w:rsidRDefault="00773C7B" w:rsidP="00773C7B">
      <w:pPr>
        <w:spacing w:after="0" w:line="240" w:lineRule="auto"/>
        <w:jc w:val="both"/>
        <w:rPr>
          <w:rFonts w:ascii="Arial" w:hAnsi="Arial" w:cs="Arial"/>
          <w:sz w:val="20"/>
          <w:szCs w:val="20"/>
        </w:rPr>
      </w:pPr>
      <w:r w:rsidRPr="00773C7B">
        <w:rPr>
          <w:rFonts w:ascii="Arial" w:hAnsi="Arial" w:cs="Arial"/>
          <w:sz w:val="20"/>
          <w:szCs w:val="20"/>
        </w:rPr>
        <w:t xml:space="preserve">Por otra parte, en este tipo de procesos, la inclusión de garantías no es obligatoria, ya que de conformidad con lo dispuesto en los artículos 7 de la Ley 1150 de 2007 y 2.2.1.2.1.4.5 del Decreto 1082 de 2015, las garantías no son obligatorias en la contratación directa. Así, en caso de que la Entidad Estatal considere procedente exigir garantías, de conformidad con los estudios previos y las características del Proceso de Contratación, deberá establecer las garantías exigibles, incluyendo sus amparos, montos y vigencias. </w:t>
      </w:r>
    </w:p>
    <w:p w14:paraId="061FD455" w14:textId="77777777" w:rsidR="00773C7B" w:rsidRPr="00773C7B" w:rsidRDefault="00773C7B" w:rsidP="00773C7B">
      <w:pPr>
        <w:spacing w:after="0" w:line="240" w:lineRule="auto"/>
        <w:jc w:val="both"/>
        <w:rPr>
          <w:rFonts w:ascii="Arial" w:hAnsi="Arial" w:cs="Arial"/>
          <w:sz w:val="20"/>
          <w:szCs w:val="20"/>
        </w:rPr>
      </w:pPr>
    </w:p>
    <w:p w14:paraId="64ED5CE9" w14:textId="1FF0CAF2" w:rsidR="00773C7B" w:rsidRPr="00ED3CF9" w:rsidRDefault="00773C7B" w:rsidP="00773C7B">
      <w:pPr>
        <w:spacing w:after="0" w:line="240" w:lineRule="auto"/>
        <w:jc w:val="both"/>
        <w:rPr>
          <w:rFonts w:ascii="Arial" w:hAnsi="Arial" w:cs="Arial"/>
          <w:sz w:val="20"/>
          <w:szCs w:val="20"/>
        </w:rPr>
      </w:pPr>
      <w:r w:rsidRPr="00773C7B">
        <w:rPr>
          <w:rFonts w:ascii="Arial" w:hAnsi="Arial" w:cs="Arial"/>
          <w:sz w:val="20"/>
          <w:szCs w:val="20"/>
        </w:rPr>
        <w:t xml:space="preserve">Una vez la Entidad Estatal determine si va a exigir garantías y cuáles va a requerir, debe tener en cuenta los parámetros señalados en la cláusula 17 de la Minuta Tipo, en la que se desarrollan las garantías de i) cumplimiento, </w:t>
      </w:r>
      <w:proofErr w:type="spellStart"/>
      <w:r w:rsidRPr="00773C7B">
        <w:rPr>
          <w:rFonts w:ascii="Arial" w:hAnsi="Arial" w:cs="Arial"/>
          <w:sz w:val="20"/>
          <w:szCs w:val="20"/>
        </w:rPr>
        <w:t>ii</w:t>
      </w:r>
      <w:proofErr w:type="spellEnd"/>
      <w:r w:rsidRPr="00773C7B">
        <w:rPr>
          <w:rFonts w:ascii="Arial" w:hAnsi="Arial" w:cs="Arial"/>
          <w:sz w:val="20"/>
          <w:szCs w:val="20"/>
        </w:rPr>
        <w:t xml:space="preserve">) estabilidad de la obra y </w:t>
      </w:r>
      <w:proofErr w:type="spellStart"/>
      <w:r w:rsidRPr="00773C7B">
        <w:rPr>
          <w:rFonts w:ascii="Arial" w:hAnsi="Arial" w:cs="Arial"/>
          <w:sz w:val="20"/>
          <w:szCs w:val="20"/>
        </w:rPr>
        <w:t>iii</w:t>
      </w:r>
      <w:proofErr w:type="spellEnd"/>
      <w:r w:rsidRPr="00773C7B">
        <w:rPr>
          <w:rFonts w:ascii="Arial" w:hAnsi="Arial" w:cs="Arial"/>
          <w:sz w:val="20"/>
          <w:szCs w:val="20"/>
        </w:rPr>
        <w:t>) responsabilidad civil extracontractual. De igual forma, el organismo de acción comunal deberá tener en cuenta las condiciones que se fijen para cada una de las garantías que deba presentar, como la clase, los asegurados, los beneficiarios, los valores, los amparos, la información necesaria dentro de la póliza, entre otros aspectos que señale la Entidad Estatal conforme a la Minuta Tipo.</w:t>
      </w:r>
    </w:p>
    <w:p w14:paraId="31E65634" w14:textId="2DF9627C" w:rsidR="00CB603F" w:rsidRPr="00D63460" w:rsidRDefault="00CB603F" w:rsidP="00CB603F">
      <w:pPr>
        <w:spacing w:after="0" w:line="240" w:lineRule="auto"/>
        <w:jc w:val="both"/>
        <w:rPr>
          <w:rFonts w:ascii="Arial" w:hAnsi="Arial" w:cs="Arial"/>
          <w:sz w:val="20"/>
          <w:szCs w:val="20"/>
        </w:rPr>
      </w:pPr>
      <w:r w:rsidRPr="00ED3CF9">
        <w:rPr>
          <w:rFonts w:ascii="Arial" w:hAnsi="Arial" w:cs="Arial"/>
          <w:sz w:val="20"/>
          <w:szCs w:val="20"/>
        </w:rPr>
        <w:br w:type="page"/>
      </w:r>
    </w:p>
    <w:p w14:paraId="64CE5A55" w14:textId="77777777" w:rsidR="00CB603F" w:rsidRDefault="00CB603F" w:rsidP="00CB603F">
      <w:pPr>
        <w:contextualSpacing/>
        <w:jc w:val="both"/>
        <w:rPr>
          <w:rFonts w:ascii="Arial" w:hAnsi="Arial" w:cs="Arial"/>
        </w:rPr>
      </w:pPr>
    </w:p>
    <w:p w14:paraId="59B74A23" w14:textId="1CCC5D59" w:rsidR="00724933" w:rsidRDefault="00724933" w:rsidP="00724933">
      <w:pPr>
        <w:contextualSpacing/>
        <w:jc w:val="right"/>
        <w:rPr>
          <w:rFonts w:ascii="Arial" w:eastAsia="Calibri" w:hAnsi="Arial" w:cs="Arial"/>
          <w:lang w:val="es-ES_tradnl" w:eastAsia="es-ES_tradnl"/>
        </w:rPr>
      </w:pPr>
      <w:r>
        <w:rPr>
          <w:rFonts w:ascii="Arial" w:eastAsia="Calibri" w:hAnsi="Arial" w:cs="Arial"/>
          <w:noProof/>
          <w:lang w:val="es-ES_tradnl" w:eastAsia="es-ES_tradnl"/>
        </w:rPr>
        <w:drawing>
          <wp:inline distT="0" distB="0" distL="0" distR="0" wp14:anchorId="6725F38D" wp14:editId="3A5319C9">
            <wp:extent cx="2952750" cy="817685"/>
            <wp:effectExtent l="0" t="0" r="0" b="1905"/>
            <wp:docPr id="1041778623"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78623" name="Imagen 1" descr="Interfaz de usuario gráfica, 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960092" cy="819718"/>
                    </a:xfrm>
                    <a:prstGeom prst="rect">
                      <a:avLst/>
                    </a:prstGeom>
                  </pic:spPr>
                </pic:pic>
              </a:graphicData>
            </a:graphic>
          </wp:inline>
        </w:drawing>
      </w:r>
    </w:p>
    <w:p w14:paraId="26955F5D" w14:textId="77777777" w:rsidR="00724933" w:rsidRDefault="00724933" w:rsidP="00CB603F">
      <w:pPr>
        <w:spacing w:line="240" w:lineRule="auto"/>
        <w:contextualSpacing/>
        <w:jc w:val="both"/>
        <w:rPr>
          <w:rFonts w:ascii="Arial" w:eastAsia="Calibri" w:hAnsi="Arial" w:cs="Arial"/>
          <w:lang w:val="es-ES_tradnl" w:eastAsia="es-ES_tradnl"/>
        </w:rPr>
      </w:pPr>
    </w:p>
    <w:p w14:paraId="5B6C6198" w14:textId="21110FBC" w:rsidR="00CB603F" w:rsidRDefault="00CB603F" w:rsidP="00CB603F">
      <w:pPr>
        <w:spacing w:line="240" w:lineRule="auto"/>
        <w:contextualSpacing/>
        <w:jc w:val="both"/>
        <w:rPr>
          <w:rFonts w:ascii="Arial" w:eastAsia="Calibri" w:hAnsi="Arial" w:cs="Arial"/>
          <w:lang w:val="es-ES_tradnl" w:eastAsia="es-ES_tradnl"/>
        </w:rPr>
      </w:pPr>
      <w:r w:rsidRPr="00ED3CF9">
        <w:rPr>
          <w:rFonts w:ascii="Arial" w:eastAsia="Calibri" w:hAnsi="Arial" w:cs="Arial"/>
          <w:lang w:val="es-ES_tradnl" w:eastAsia="es-ES_tradnl"/>
        </w:rPr>
        <w:t>Señora</w:t>
      </w:r>
      <w:r w:rsidRPr="007D5D34">
        <w:rPr>
          <w:noProof/>
        </w:rPr>
        <w:t xml:space="preserve"> </w:t>
      </w:r>
    </w:p>
    <w:p w14:paraId="67E8E194" w14:textId="77777777" w:rsidR="00CB603F" w:rsidRPr="00D50EFF" w:rsidRDefault="00CB603F" w:rsidP="00CB603F">
      <w:pPr>
        <w:spacing w:line="240" w:lineRule="auto"/>
        <w:contextualSpacing/>
        <w:jc w:val="both"/>
        <w:rPr>
          <w:rFonts w:ascii="Arial" w:eastAsia="Calibri" w:hAnsi="Arial" w:cs="Arial"/>
          <w:b/>
          <w:bCs/>
          <w:lang w:val="es-ES_tradnl" w:eastAsia="es-ES_tradnl"/>
        </w:rPr>
      </w:pPr>
      <w:r>
        <w:rPr>
          <w:rFonts w:ascii="Arial" w:eastAsia="Calibri" w:hAnsi="Arial" w:cs="Arial"/>
          <w:b/>
          <w:bCs/>
          <w:lang w:val="es-ES_tradnl" w:eastAsia="es-ES_tradnl"/>
        </w:rPr>
        <w:t>Bibiana Pan Merchán</w:t>
      </w:r>
    </w:p>
    <w:p w14:paraId="6C22D10A" w14:textId="77777777" w:rsidR="00CB603F" w:rsidRDefault="00CB603F" w:rsidP="00CB603F">
      <w:pPr>
        <w:spacing w:line="240" w:lineRule="auto"/>
        <w:contextualSpacing/>
        <w:rPr>
          <w:rFonts w:ascii="Arial" w:eastAsia="Times New Roman" w:hAnsi="Arial" w:cs="Arial"/>
          <w:lang w:eastAsia="es-ES_tradnl"/>
        </w:rPr>
      </w:pPr>
      <w:r>
        <w:rPr>
          <w:rFonts w:ascii="Arial" w:eastAsia="Times New Roman" w:hAnsi="Arial" w:cs="Arial"/>
          <w:lang w:eastAsia="es-ES_tradnl"/>
        </w:rPr>
        <w:t>Jefe Oficina de Planeación y Asuntos Administrativos</w:t>
      </w:r>
    </w:p>
    <w:p w14:paraId="0EBA6A84" w14:textId="77777777" w:rsidR="00CB603F" w:rsidRDefault="00CB603F" w:rsidP="00CB603F">
      <w:pPr>
        <w:spacing w:line="240" w:lineRule="auto"/>
        <w:contextualSpacing/>
        <w:rPr>
          <w:rFonts w:ascii="Arial" w:eastAsia="Times New Roman" w:hAnsi="Arial" w:cs="Arial"/>
          <w:lang w:eastAsia="es-ES_tradnl"/>
        </w:rPr>
      </w:pPr>
      <w:r>
        <w:rPr>
          <w:rFonts w:ascii="Arial" w:eastAsia="Times New Roman" w:hAnsi="Arial" w:cs="Arial"/>
          <w:lang w:eastAsia="es-ES_tradnl"/>
        </w:rPr>
        <w:t>Instituto de Deporte y Recreación del Meta</w:t>
      </w:r>
    </w:p>
    <w:p w14:paraId="2095036D" w14:textId="77777777" w:rsidR="00CB603F" w:rsidRPr="00D50EFF" w:rsidRDefault="00CB603F" w:rsidP="00CB603F">
      <w:pPr>
        <w:spacing w:line="240" w:lineRule="auto"/>
        <w:contextualSpacing/>
        <w:rPr>
          <w:rFonts w:ascii="Arial" w:eastAsia="Times New Roman" w:hAnsi="Arial" w:cs="Arial"/>
          <w:lang w:eastAsia="es-ES_tradnl"/>
        </w:rPr>
      </w:pPr>
      <w:r>
        <w:rPr>
          <w:rFonts w:ascii="Arial" w:eastAsia="Times New Roman" w:hAnsi="Arial" w:cs="Arial"/>
          <w:lang w:eastAsia="es-ES_tradnl"/>
        </w:rPr>
        <w:t>Villavicencio, Meta</w:t>
      </w:r>
    </w:p>
    <w:p w14:paraId="0FB12C4A" w14:textId="77777777" w:rsidR="00CB603F" w:rsidRPr="00ED3CF9" w:rsidRDefault="00CB603F" w:rsidP="00CB603F">
      <w:pPr>
        <w:contextualSpacing/>
        <w:jc w:val="both"/>
        <w:rPr>
          <w:rFonts w:ascii="Arial" w:eastAsia="Calibri" w:hAnsi="Arial" w:cs="Arial"/>
          <w:lang w:val="es-ES_tradnl" w:eastAsia="es-ES_tradnl"/>
        </w:rPr>
      </w:pPr>
    </w:p>
    <w:p w14:paraId="1AFCD57F" w14:textId="77777777" w:rsidR="00CB603F" w:rsidRPr="00ED3CF9" w:rsidRDefault="00CB603F" w:rsidP="00CB603F">
      <w:pPr>
        <w:contextualSpacing/>
        <w:jc w:val="both"/>
        <w:rPr>
          <w:rFonts w:ascii="Arial" w:eastAsia="Calibri" w:hAnsi="Arial" w:cs="Arial"/>
          <w:lang w:val="es-ES_tradnl" w:eastAsia="es-ES_tradnl"/>
        </w:rPr>
      </w:pPr>
    </w:p>
    <w:p w14:paraId="70972EF8" w14:textId="77777777" w:rsidR="00CB603F" w:rsidRDefault="00CB603F" w:rsidP="00CB603F">
      <w:pPr>
        <w:contextualSpacing/>
        <w:jc w:val="both"/>
        <w:rPr>
          <w:rFonts w:ascii="Arial" w:eastAsia="Calibri" w:hAnsi="Arial" w:cs="Arial"/>
          <w:lang w:val="es-ES" w:eastAsia="es-ES"/>
        </w:rPr>
      </w:pPr>
    </w:p>
    <w:p w14:paraId="72F1C505" w14:textId="77777777" w:rsidR="00CB603F" w:rsidRPr="00677258" w:rsidRDefault="00CB603F" w:rsidP="00CB603F">
      <w:pPr>
        <w:ind w:left="2124" w:firstLine="570"/>
        <w:contextualSpacing/>
        <w:rPr>
          <w:rFonts w:ascii="Arial" w:eastAsia="Calibri" w:hAnsi="Arial" w:cs="Arial"/>
          <w:b/>
          <w:bCs/>
          <w:lang w:val="es-ES_tradnl" w:eastAsia="es-ES_tradnl"/>
        </w:rPr>
      </w:pPr>
      <w:r w:rsidRPr="00677258">
        <w:rPr>
          <w:rFonts w:ascii="Arial" w:eastAsia="Calibri" w:hAnsi="Arial" w:cs="Arial"/>
          <w:b/>
          <w:bCs/>
          <w:lang w:val="es-ES_tradnl" w:eastAsia="es-ES_tradnl"/>
        </w:rPr>
        <w:t>Concepto C – 3</w:t>
      </w:r>
      <w:r>
        <w:rPr>
          <w:rFonts w:ascii="Arial" w:eastAsia="Calibri" w:hAnsi="Arial" w:cs="Arial"/>
          <w:b/>
          <w:bCs/>
          <w:lang w:val="es-ES_tradnl" w:eastAsia="es-ES_tradnl"/>
        </w:rPr>
        <w:t>70</w:t>
      </w:r>
      <w:r w:rsidRPr="00677258">
        <w:rPr>
          <w:rFonts w:ascii="Arial" w:eastAsia="Calibri" w:hAnsi="Arial" w:cs="Arial"/>
          <w:b/>
          <w:bCs/>
          <w:lang w:val="es-ES_tradnl" w:eastAsia="es-ES_tradnl"/>
        </w:rPr>
        <w:t xml:space="preserve"> de 2023</w:t>
      </w:r>
    </w:p>
    <w:p w14:paraId="4020446E" w14:textId="77777777" w:rsidR="00CB603F" w:rsidRPr="00677258" w:rsidRDefault="00CB603F" w:rsidP="00CB603F">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B603F" w:rsidRPr="00677258" w14:paraId="50B191B8" w14:textId="77777777" w:rsidTr="00E11C5F">
        <w:tc>
          <w:tcPr>
            <w:tcW w:w="2689" w:type="dxa"/>
          </w:tcPr>
          <w:p w14:paraId="30EE144B" w14:textId="77777777" w:rsidR="00CB603F" w:rsidRPr="00677258" w:rsidRDefault="00CB603F" w:rsidP="00E11C5F">
            <w:pPr>
              <w:contextualSpacing/>
              <w:jc w:val="both"/>
              <w:rPr>
                <w:rFonts w:ascii="Arial" w:eastAsia="Calibri" w:hAnsi="Arial" w:cs="Arial"/>
                <w:lang w:val="es-ES_tradnl" w:eastAsia="es-ES_tradnl"/>
              </w:rPr>
            </w:pPr>
            <w:r w:rsidRPr="00677258">
              <w:rPr>
                <w:rFonts w:ascii="Arial" w:eastAsia="Calibri" w:hAnsi="Arial" w:cs="Arial"/>
                <w:b/>
                <w:lang w:val="es-ES_tradnl" w:eastAsia="es-ES_tradnl"/>
              </w:rPr>
              <w:t>Temas:</w:t>
            </w:r>
            <w:r w:rsidRPr="00677258">
              <w:rPr>
                <w:rFonts w:ascii="Arial" w:eastAsia="Calibri" w:hAnsi="Arial" w:cs="Arial"/>
                <w:lang w:val="es-ES_tradnl" w:eastAsia="es-ES_tradnl"/>
              </w:rPr>
              <w:t xml:space="preserve">                                      </w:t>
            </w:r>
          </w:p>
        </w:tc>
        <w:tc>
          <w:tcPr>
            <w:tcW w:w="6237" w:type="dxa"/>
          </w:tcPr>
          <w:p w14:paraId="388D3D0A" w14:textId="77777777" w:rsidR="00CB603F" w:rsidRPr="00677258" w:rsidRDefault="00CB603F" w:rsidP="00E11C5F">
            <w:pPr>
              <w:spacing w:after="120"/>
              <w:contextualSpacing/>
              <w:jc w:val="both"/>
              <w:rPr>
                <w:rFonts w:ascii="Arial" w:eastAsia="Calibri" w:hAnsi="Arial" w:cs="Arial"/>
                <w:bCs/>
                <w:lang w:val="es-MX" w:eastAsia="es-ES_tradnl"/>
              </w:rPr>
            </w:pPr>
            <w:r w:rsidRPr="006F45F5">
              <w:rPr>
                <w:rFonts w:ascii="Arial" w:eastAsia="Calibri" w:hAnsi="Arial" w:cs="Arial"/>
                <w:bCs/>
                <w:lang w:val="es-MX" w:eastAsia="es-ES_tradnl"/>
              </w:rPr>
              <w:t>DOCUMENTO TIPO – Convenios solidarios - Contratación directa - Ejecución de obras - Menor cuantía - Organismos de acción comunal</w:t>
            </w:r>
            <w:r>
              <w:rPr>
                <w:rFonts w:ascii="Arial" w:eastAsia="Calibri" w:hAnsi="Arial" w:cs="Arial"/>
                <w:bCs/>
                <w:lang w:val="es-MX" w:eastAsia="es-ES_tradnl"/>
              </w:rPr>
              <w:t xml:space="preserve"> / </w:t>
            </w:r>
            <w:r w:rsidRPr="006F45F5">
              <w:rPr>
                <w:rFonts w:ascii="Arial" w:eastAsia="Calibri" w:hAnsi="Arial" w:cs="Arial"/>
                <w:bCs/>
                <w:lang w:val="es-MX" w:eastAsia="es-ES_tradnl"/>
              </w:rPr>
              <w:t>DOCUMENTO TIPO – Convenios solidarios – Fundamento normativo – Artículo 95 –Ley 2166 de 2021 – Reglas</w:t>
            </w:r>
            <w:r>
              <w:rPr>
                <w:rFonts w:ascii="Arial" w:eastAsia="Calibri" w:hAnsi="Arial" w:cs="Arial"/>
                <w:bCs/>
                <w:lang w:val="es-MX" w:eastAsia="es-ES_tradnl"/>
              </w:rPr>
              <w:t xml:space="preserve"> / </w:t>
            </w:r>
            <w:r w:rsidRPr="006F45F5">
              <w:rPr>
                <w:rFonts w:ascii="Arial" w:eastAsia="Calibri" w:hAnsi="Arial" w:cs="Arial"/>
                <w:bCs/>
                <w:lang w:val="es-MX" w:eastAsia="es-ES_tradnl"/>
              </w:rPr>
              <w:t>DOCUMENTO TIPO – Convenios solidarios – Fundamento normativo – Artículo 95 –Ley 2166 de 2021 – Menor cuantía</w:t>
            </w:r>
            <w:r>
              <w:rPr>
                <w:rFonts w:ascii="Arial" w:eastAsia="Calibri" w:hAnsi="Arial" w:cs="Arial"/>
                <w:bCs/>
                <w:lang w:val="es-MX" w:eastAsia="es-ES_tradnl"/>
              </w:rPr>
              <w:t xml:space="preserve"> / </w:t>
            </w:r>
            <w:r w:rsidRPr="00D64D85">
              <w:rPr>
                <w:rFonts w:ascii="Arial" w:eastAsia="Calibri" w:hAnsi="Arial" w:cs="Arial"/>
                <w:bCs/>
                <w:lang w:val="es-MX" w:eastAsia="es-ES_tradnl"/>
              </w:rPr>
              <w:t>DOCUMENTO TIPO DE CONVENIOS SOLIDARIOS – Giro y manejo de los recursos – Cláusulas 7 y 8 – Minuta Tipo – Alternativas – Administración de los recursos – Entidad financiera</w:t>
            </w:r>
            <w:r>
              <w:rPr>
                <w:rFonts w:ascii="Arial" w:eastAsia="Calibri" w:hAnsi="Arial" w:cs="Arial"/>
                <w:bCs/>
                <w:lang w:val="es-MX" w:eastAsia="es-ES_tradnl"/>
              </w:rPr>
              <w:t xml:space="preserve"> / </w:t>
            </w:r>
            <w:r w:rsidRPr="00D64D85">
              <w:rPr>
                <w:rFonts w:ascii="Arial" w:eastAsia="Calibri" w:hAnsi="Arial" w:cs="Arial"/>
                <w:bCs/>
                <w:lang w:val="es-MX" w:eastAsia="es-ES_tradnl"/>
              </w:rPr>
              <w:t>DOCUMENTO TIPO DE CONVENIOS SOLIDARIOS – Garantías – Exigibilidad – Aspectos generales</w:t>
            </w:r>
          </w:p>
          <w:p w14:paraId="1D6B8087" w14:textId="77777777" w:rsidR="00CB603F" w:rsidRPr="00677258" w:rsidRDefault="00CB603F" w:rsidP="00E11C5F">
            <w:pPr>
              <w:spacing w:after="120"/>
              <w:contextualSpacing/>
              <w:jc w:val="both"/>
              <w:rPr>
                <w:rFonts w:ascii="Arial" w:eastAsia="Calibri" w:hAnsi="Arial" w:cs="Arial"/>
                <w:bCs/>
                <w:sz w:val="12"/>
                <w:szCs w:val="12"/>
                <w:highlight w:val="yellow"/>
                <w:lang w:val="es-MX" w:eastAsia="es-ES_tradnl"/>
              </w:rPr>
            </w:pPr>
          </w:p>
          <w:p w14:paraId="402E70FE" w14:textId="77777777" w:rsidR="00CB603F" w:rsidRPr="00677258" w:rsidRDefault="00CB603F" w:rsidP="00E11C5F">
            <w:pPr>
              <w:spacing w:after="120"/>
              <w:contextualSpacing/>
              <w:jc w:val="both"/>
              <w:rPr>
                <w:rFonts w:ascii="Arial" w:eastAsia="Calibri" w:hAnsi="Arial" w:cs="Arial"/>
                <w:bCs/>
                <w:sz w:val="12"/>
                <w:szCs w:val="12"/>
                <w:highlight w:val="yellow"/>
                <w:lang w:val="es-ES_tradnl" w:eastAsia="es-ES_tradnl"/>
              </w:rPr>
            </w:pPr>
          </w:p>
        </w:tc>
      </w:tr>
      <w:tr w:rsidR="00CB603F" w:rsidRPr="00677258" w14:paraId="1A8FCF76" w14:textId="77777777" w:rsidTr="00E11C5F">
        <w:trPr>
          <w:trHeight w:val="227"/>
        </w:trPr>
        <w:tc>
          <w:tcPr>
            <w:tcW w:w="2689" w:type="dxa"/>
          </w:tcPr>
          <w:p w14:paraId="47302AB1" w14:textId="77777777" w:rsidR="00CB603F" w:rsidRPr="00677258" w:rsidRDefault="00CB603F" w:rsidP="00E11C5F">
            <w:pPr>
              <w:contextualSpacing/>
              <w:jc w:val="both"/>
              <w:rPr>
                <w:rFonts w:ascii="Arial" w:eastAsia="Calibri" w:hAnsi="Arial" w:cs="Arial"/>
                <w:b/>
                <w:lang w:val="es-ES_tradnl" w:eastAsia="es-ES_tradnl"/>
              </w:rPr>
            </w:pPr>
            <w:r w:rsidRPr="00677258">
              <w:rPr>
                <w:rFonts w:ascii="Arial" w:eastAsia="Calibri" w:hAnsi="Arial" w:cs="Arial"/>
                <w:b/>
                <w:lang w:val="es-ES_tradnl" w:eastAsia="es-ES_tradnl"/>
              </w:rPr>
              <w:t>Radicación:</w:t>
            </w:r>
            <w:r w:rsidRPr="00677258">
              <w:rPr>
                <w:rFonts w:ascii="Arial" w:eastAsia="Calibri" w:hAnsi="Arial" w:cs="Arial"/>
                <w:lang w:val="es-ES_tradnl" w:eastAsia="es-ES_tradnl"/>
              </w:rPr>
              <w:t xml:space="preserve">                             </w:t>
            </w:r>
          </w:p>
        </w:tc>
        <w:tc>
          <w:tcPr>
            <w:tcW w:w="6237" w:type="dxa"/>
          </w:tcPr>
          <w:p w14:paraId="1DE2A2E4" w14:textId="77777777" w:rsidR="00CB603F" w:rsidRPr="00677258" w:rsidRDefault="00CB603F" w:rsidP="00E11C5F">
            <w:pPr>
              <w:contextualSpacing/>
              <w:jc w:val="both"/>
              <w:rPr>
                <w:rFonts w:ascii="Arial" w:eastAsia="Calibri" w:hAnsi="Arial" w:cs="Arial"/>
                <w:lang w:val="es-ES_tradnl" w:eastAsia="es-ES_tradnl"/>
              </w:rPr>
            </w:pPr>
            <w:r w:rsidRPr="00677258">
              <w:rPr>
                <w:rFonts w:ascii="Arial" w:eastAsia="Calibri" w:hAnsi="Arial" w:cs="Arial"/>
                <w:lang w:val="es-ES_tradnl" w:eastAsia="es-ES_tradnl"/>
              </w:rPr>
              <w:t xml:space="preserve">Respuesta a consulta </w:t>
            </w:r>
            <w:r w:rsidRPr="00535AB2">
              <w:rPr>
                <w:rFonts w:ascii="Arial" w:eastAsia="Calibri" w:hAnsi="Arial" w:cs="Arial"/>
                <w:lang w:val="es-ES_tradnl" w:eastAsia="es-ES_tradnl"/>
              </w:rPr>
              <w:t>P20230728013740</w:t>
            </w:r>
          </w:p>
        </w:tc>
      </w:tr>
    </w:tbl>
    <w:p w14:paraId="1A16920C" w14:textId="77777777" w:rsidR="00CB603F" w:rsidRPr="00677258" w:rsidRDefault="00CB603F" w:rsidP="00CB603F">
      <w:pPr>
        <w:contextualSpacing/>
        <w:jc w:val="both"/>
        <w:rPr>
          <w:rFonts w:ascii="Arial" w:eastAsia="Calibri" w:hAnsi="Arial" w:cs="Arial"/>
          <w:lang w:val="es-ES_tradnl" w:eastAsia="es-ES_tradnl"/>
        </w:rPr>
      </w:pPr>
    </w:p>
    <w:p w14:paraId="6EEDA854" w14:textId="77777777" w:rsidR="00CB603F" w:rsidRDefault="00CB603F" w:rsidP="00CB603F">
      <w:pPr>
        <w:contextualSpacing/>
        <w:jc w:val="both"/>
        <w:rPr>
          <w:rFonts w:ascii="Arial" w:eastAsia="Calibri" w:hAnsi="Arial" w:cs="Arial"/>
          <w:lang w:val="es-ES" w:eastAsia="es-ES"/>
        </w:rPr>
      </w:pPr>
    </w:p>
    <w:p w14:paraId="2E5F93C8" w14:textId="77777777" w:rsidR="00CB603F" w:rsidRPr="00ED3CF9" w:rsidRDefault="00CB603F" w:rsidP="00CB603F">
      <w:pPr>
        <w:contextualSpacing/>
        <w:jc w:val="both"/>
        <w:rPr>
          <w:rFonts w:ascii="Arial" w:eastAsia="Calibri" w:hAnsi="Arial" w:cs="Arial"/>
          <w:lang w:val="es-ES" w:eastAsia="es-ES"/>
        </w:rPr>
      </w:pPr>
      <w:r>
        <w:rPr>
          <w:rFonts w:ascii="Arial" w:eastAsia="Calibri" w:hAnsi="Arial" w:cs="Arial"/>
          <w:lang w:val="es-ES" w:eastAsia="es-ES"/>
        </w:rPr>
        <w:t>Estimada señora Pan Merchán</w:t>
      </w:r>
      <w:r w:rsidRPr="00ED3CF9">
        <w:rPr>
          <w:rFonts w:ascii="Arial" w:eastAsia="Calibri" w:hAnsi="Arial" w:cs="Arial"/>
          <w:lang w:val="es-ES" w:eastAsia="es-ES"/>
        </w:rPr>
        <w:t>:</w:t>
      </w:r>
    </w:p>
    <w:p w14:paraId="23B51D79" w14:textId="77777777" w:rsidR="00CB603F" w:rsidRPr="00ED3CF9" w:rsidRDefault="00CB603F" w:rsidP="00CB603F">
      <w:pPr>
        <w:spacing w:line="276" w:lineRule="auto"/>
        <w:contextualSpacing/>
        <w:jc w:val="both"/>
        <w:rPr>
          <w:rFonts w:ascii="Arial" w:eastAsia="Calibri" w:hAnsi="Arial" w:cs="Arial"/>
          <w:szCs w:val="24"/>
          <w:lang w:val="es-ES_tradnl" w:eastAsia="es-ES_tradnl"/>
        </w:rPr>
      </w:pPr>
    </w:p>
    <w:p w14:paraId="76387F2C" w14:textId="77777777" w:rsidR="00CB603F" w:rsidRPr="00ED3CF9" w:rsidRDefault="00CB603F" w:rsidP="00CB603F">
      <w:pPr>
        <w:spacing w:line="276" w:lineRule="auto"/>
        <w:contextualSpacing/>
        <w:jc w:val="both"/>
        <w:rPr>
          <w:rFonts w:ascii="Arial" w:eastAsia="Calibri" w:hAnsi="Arial" w:cs="Arial"/>
          <w:lang w:val="es-ES" w:eastAsia="es-ES"/>
        </w:rPr>
      </w:pPr>
      <w:r w:rsidRPr="00ED3CF9">
        <w:rPr>
          <w:rFonts w:ascii="Arial" w:eastAsia="Calibri" w:hAnsi="Arial" w:cs="Arial"/>
          <w:lang w:val="es-ES" w:eastAsia="es-ES"/>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lang w:val="es-ES" w:eastAsia="es-ES"/>
        </w:rPr>
        <w:t>28</w:t>
      </w:r>
      <w:r w:rsidRPr="00ED3CF9">
        <w:rPr>
          <w:rFonts w:ascii="Arial" w:eastAsia="Calibri" w:hAnsi="Arial" w:cs="Arial"/>
          <w:lang w:val="es-ES" w:eastAsia="es-ES"/>
        </w:rPr>
        <w:t xml:space="preserve"> de ju</w:t>
      </w:r>
      <w:r>
        <w:rPr>
          <w:rFonts w:ascii="Arial" w:eastAsia="Calibri" w:hAnsi="Arial" w:cs="Arial"/>
          <w:lang w:val="es-ES" w:eastAsia="es-ES"/>
        </w:rPr>
        <w:t>l</w:t>
      </w:r>
      <w:r w:rsidRPr="00ED3CF9">
        <w:rPr>
          <w:rFonts w:ascii="Arial" w:eastAsia="Calibri" w:hAnsi="Arial" w:cs="Arial"/>
          <w:lang w:val="es-ES" w:eastAsia="es-ES"/>
        </w:rPr>
        <w:t>io de 2023</w:t>
      </w:r>
      <w:r>
        <w:rPr>
          <w:rFonts w:ascii="Arial" w:eastAsia="Calibri" w:hAnsi="Arial" w:cs="Arial"/>
          <w:lang w:val="es-ES" w:eastAsia="es-ES"/>
        </w:rPr>
        <w:t>.</w:t>
      </w:r>
    </w:p>
    <w:p w14:paraId="7073C17A" w14:textId="77777777" w:rsidR="00CB603F" w:rsidRPr="00ED3CF9" w:rsidRDefault="00CB603F" w:rsidP="00CB603F">
      <w:pPr>
        <w:spacing w:line="276" w:lineRule="auto"/>
        <w:contextualSpacing/>
        <w:jc w:val="both"/>
        <w:rPr>
          <w:rFonts w:ascii="Arial" w:eastAsia="Calibri" w:hAnsi="Arial" w:cs="Arial"/>
          <w:b/>
          <w:szCs w:val="24"/>
          <w:lang w:val="es-ES_tradnl" w:eastAsia="es-ES_tradnl"/>
        </w:rPr>
      </w:pPr>
    </w:p>
    <w:p w14:paraId="23D26753" w14:textId="77777777" w:rsidR="00CB603F" w:rsidRPr="00ED3CF9" w:rsidRDefault="00CB603F" w:rsidP="00CB603F">
      <w:pPr>
        <w:numPr>
          <w:ilvl w:val="0"/>
          <w:numId w:val="16"/>
        </w:numPr>
        <w:tabs>
          <w:tab w:val="left" w:pos="0"/>
          <w:tab w:val="left" w:pos="142"/>
          <w:tab w:val="left" w:pos="284"/>
        </w:tabs>
        <w:spacing w:after="0" w:line="240" w:lineRule="auto"/>
        <w:contextualSpacing/>
        <w:jc w:val="both"/>
        <w:rPr>
          <w:rFonts w:ascii="Arial" w:eastAsia="Calibri" w:hAnsi="Arial" w:cs="Arial"/>
          <w:b/>
          <w:lang w:val="es-ES_tradnl"/>
        </w:rPr>
      </w:pPr>
      <w:r w:rsidRPr="00ED3CF9">
        <w:rPr>
          <w:rFonts w:ascii="Arial" w:eastAsia="Calibri" w:hAnsi="Arial" w:cs="Arial"/>
          <w:b/>
          <w:lang w:val="es-ES_tradnl"/>
        </w:rPr>
        <w:t xml:space="preserve">Problema planteado </w:t>
      </w:r>
    </w:p>
    <w:p w14:paraId="59D29452" w14:textId="77777777" w:rsidR="00CB603F" w:rsidRPr="00ED3CF9" w:rsidRDefault="00CB603F" w:rsidP="00CB603F">
      <w:pPr>
        <w:tabs>
          <w:tab w:val="left" w:pos="426"/>
        </w:tabs>
        <w:contextualSpacing/>
        <w:jc w:val="both"/>
        <w:rPr>
          <w:rFonts w:ascii="Arial" w:eastAsia="Calibri" w:hAnsi="Arial" w:cs="Arial"/>
          <w:b/>
          <w:szCs w:val="24"/>
          <w:lang w:val="es-ES_tradnl" w:eastAsia="es-ES_tradnl"/>
        </w:rPr>
      </w:pPr>
    </w:p>
    <w:p w14:paraId="7E90FE54" w14:textId="77777777" w:rsidR="00CB603F" w:rsidRDefault="00CB603F" w:rsidP="00CB603F">
      <w:pPr>
        <w:tabs>
          <w:tab w:val="decimal" w:pos="765"/>
          <w:tab w:val="right" w:pos="7371"/>
        </w:tabs>
        <w:spacing w:before="240" w:after="0" w:line="276" w:lineRule="auto"/>
        <w:contextualSpacing/>
        <w:jc w:val="both"/>
        <w:rPr>
          <w:rFonts w:ascii="Arial" w:eastAsia="Times New Roman" w:hAnsi="Arial" w:cs="Arial"/>
          <w:szCs w:val="24"/>
          <w:lang w:val="es-ES_tradnl" w:eastAsia="es-ES_tradnl"/>
        </w:rPr>
      </w:pPr>
      <w:r>
        <w:rPr>
          <w:rFonts w:ascii="Arial" w:eastAsia="Times New Roman" w:hAnsi="Arial" w:cs="Arial"/>
          <w:szCs w:val="24"/>
          <w:lang w:val="es-ES_tradnl" w:eastAsia="es-ES_tradnl"/>
        </w:rPr>
        <w:t>Usted pone de presente algunas consideraciones en relación con las funciones y los objetivos del Instituto de Deporte y R</w:t>
      </w:r>
      <w:r>
        <w:rPr>
          <w:rFonts w:ascii="Arial" w:eastAsia="Times New Roman" w:hAnsi="Arial" w:cs="Arial"/>
          <w:szCs w:val="24"/>
          <w:lang w:val="es-ES_tradnl" w:eastAsia="es-ES_tradnl"/>
        </w:rPr>
        <w:tab/>
      </w:r>
      <w:proofErr w:type="spellStart"/>
      <w:r>
        <w:rPr>
          <w:rFonts w:ascii="Arial" w:eastAsia="Times New Roman" w:hAnsi="Arial" w:cs="Arial"/>
          <w:szCs w:val="24"/>
          <w:lang w:val="es-ES_tradnl" w:eastAsia="es-ES_tradnl"/>
        </w:rPr>
        <w:t>ecreación</w:t>
      </w:r>
      <w:proofErr w:type="spellEnd"/>
      <w:r>
        <w:rPr>
          <w:rFonts w:ascii="Arial" w:eastAsia="Times New Roman" w:hAnsi="Arial" w:cs="Arial"/>
          <w:szCs w:val="24"/>
          <w:lang w:val="es-ES_tradnl" w:eastAsia="es-ES_tradnl"/>
        </w:rPr>
        <w:t xml:space="preserve"> del Meta –IDERMETA–, y el Documento Tipo para la contratación directa de convenios solidarios para la ejecución de obras hasta </w:t>
      </w:r>
      <w:r>
        <w:rPr>
          <w:rFonts w:ascii="Arial" w:eastAsia="Times New Roman" w:hAnsi="Arial" w:cs="Arial"/>
          <w:szCs w:val="24"/>
          <w:lang w:val="es-ES_tradnl" w:eastAsia="es-ES_tradnl"/>
        </w:rPr>
        <w:lastRenderedPageBreak/>
        <w:t xml:space="preserve">la menor cuantía con organismos de acción comunal. Al respecto, realiza las siguientes preguntas: </w:t>
      </w:r>
    </w:p>
    <w:p w14:paraId="1B79D5FA" w14:textId="77777777" w:rsidR="00CB603F" w:rsidRDefault="00CB603F" w:rsidP="00CB603F">
      <w:pPr>
        <w:tabs>
          <w:tab w:val="decimal" w:pos="765"/>
          <w:tab w:val="right" w:pos="7371"/>
        </w:tabs>
        <w:spacing w:before="240" w:after="0" w:line="276" w:lineRule="auto"/>
        <w:contextualSpacing/>
        <w:jc w:val="both"/>
        <w:rPr>
          <w:rFonts w:ascii="Arial" w:eastAsia="Times New Roman" w:hAnsi="Arial" w:cs="Arial"/>
          <w:szCs w:val="24"/>
          <w:lang w:val="es-ES_tradnl" w:eastAsia="es-ES_tradnl"/>
        </w:rPr>
      </w:pPr>
    </w:p>
    <w:p w14:paraId="2C129C3B" w14:textId="77777777" w:rsidR="00CB603F"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r>
        <w:rPr>
          <w:rFonts w:ascii="Arial" w:eastAsia="Times New Roman" w:hAnsi="Arial" w:cs="Arial"/>
          <w:sz w:val="21"/>
          <w:szCs w:val="21"/>
          <w:lang w:val="es-ES_tradnl" w:eastAsia="es-ES_tradnl"/>
        </w:rPr>
        <w:t>“</w:t>
      </w:r>
      <w:r w:rsidRPr="000A6626">
        <w:rPr>
          <w:rFonts w:ascii="Arial" w:eastAsia="Times New Roman" w:hAnsi="Arial" w:cs="Arial"/>
          <w:sz w:val="21"/>
          <w:szCs w:val="21"/>
          <w:lang w:val="es-ES_tradnl" w:eastAsia="es-ES_tradnl"/>
        </w:rPr>
        <w:t xml:space="preserve">1. […] Se evidencia dentro de la minuta tipo, que se exige que la apertura de la cuenta, se genere en una entidad estatal financiera, para nuestro sentir quien tiene dichas cualidades seria el </w:t>
      </w:r>
      <w:r w:rsidRPr="000A6626">
        <w:rPr>
          <w:rFonts w:ascii="Arial" w:eastAsia="Times New Roman" w:hAnsi="Arial" w:cs="Arial"/>
          <w:b/>
          <w:bCs/>
          <w:sz w:val="21"/>
          <w:szCs w:val="21"/>
          <w:lang w:val="es-ES_tradnl" w:eastAsia="es-ES_tradnl"/>
        </w:rPr>
        <w:t xml:space="preserve">BANCO AGRARIO </w:t>
      </w:r>
      <w:r w:rsidRPr="000A6626">
        <w:rPr>
          <w:rFonts w:ascii="Arial" w:eastAsia="Times New Roman" w:hAnsi="Arial" w:cs="Arial"/>
          <w:sz w:val="21"/>
          <w:szCs w:val="21"/>
          <w:lang w:val="es-ES_tradnl" w:eastAsia="es-ES_tradnl"/>
        </w:rPr>
        <w:t xml:space="preserve">para el caso del departamento del Meta, con municipios y juntas de acción comunal, en los cuales no encontramos bancarización de su población, así las cosas, que opciones se deben tomar, de las únicas TRES (3), ¿con las que podemos contar según el documento denominado Minuta </w:t>
      </w:r>
      <w:proofErr w:type="gramStart"/>
      <w:r w:rsidRPr="000A6626">
        <w:rPr>
          <w:rFonts w:ascii="Arial" w:eastAsia="Times New Roman" w:hAnsi="Arial" w:cs="Arial"/>
          <w:sz w:val="21"/>
          <w:szCs w:val="21"/>
          <w:lang w:val="es-ES_tradnl" w:eastAsia="es-ES_tradnl"/>
        </w:rPr>
        <w:t>Tipo?.</w:t>
      </w:r>
      <w:proofErr w:type="gramEnd"/>
      <w:r w:rsidRPr="000A6626">
        <w:rPr>
          <w:rFonts w:ascii="Arial" w:eastAsia="Times New Roman" w:hAnsi="Arial" w:cs="Arial"/>
          <w:sz w:val="21"/>
          <w:szCs w:val="21"/>
          <w:lang w:val="es-ES_tradnl" w:eastAsia="es-ES_tradnl"/>
        </w:rPr>
        <w:t xml:space="preserve"> o la entidad en caso de que sea la responsable de </w:t>
      </w:r>
      <w:proofErr w:type="spellStart"/>
      <w:r w:rsidRPr="000A6626">
        <w:rPr>
          <w:rFonts w:ascii="Arial" w:eastAsia="Times New Roman" w:hAnsi="Arial" w:cs="Arial"/>
          <w:sz w:val="21"/>
          <w:szCs w:val="21"/>
          <w:lang w:val="es-ES_tradnl" w:eastAsia="es-ES_tradnl"/>
        </w:rPr>
        <w:t>aperturar</w:t>
      </w:r>
      <w:proofErr w:type="spellEnd"/>
      <w:r w:rsidRPr="000A6626">
        <w:rPr>
          <w:rFonts w:ascii="Arial" w:eastAsia="Times New Roman" w:hAnsi="Arial" w:cs="Arial"/>
          <w:sz w:val="21"/>
          <w:szCs w:val="21"/>
          <w:lang w:val="es-ES_tradnl" w:eastAsia="es-ES_tradnl"/>
        </w:rPr>
        <w:t xml:space="preserve"> la cuenta, pueda hacerlo a través del banco con quien actualmente tiene portafolio (Banco Bogotá, BBVA, u otro)</w:t>
      </w:r>
      <w:r>
        <w:rPr>
          <w:rFonts w:ascii="Arial" w:eastAsia="Times New Roman" w:hAnsi="Arial" w:cs="Arial"/>
          <w:sz w:val="21"/>
          <w:szCs w:val="21"/>
          <w:lang w:val="es-ES_tradnl" w:eastAsia="es-ES_tradnl"/>
        </w:rPr>
        <w:t>.</w:t>
      </w:r>
    </w:p>
    <w:p w14:paraId="6100570D" w14:textId="77777777" w:rsidR="00CB603F" w:rsidRPr="000A6626"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p>
    <w:p w14:paraId="651882D5" w14:textId="77777777" w:rsidR="00CB603F"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r w:rsidRPr="000A6626">
        <w:rPr>
          <w:rFonts w:ascii="Arial" w:eastAsia="Times New Roman" w:hAnsi="Arial" w:cs="Arial"/>
          <w:sz w:val="21"/>
          <w:szCs w:val="21"/>
          <w:lang w:val="es-ES_tradnl" w:eastAsia="es-ES_tradnl"/>
        </w:rPr>
        <w:t>2. El valor de la especie que aporten las Juntas de Acción Comunal, en cual la minuta tipo, ordena cuantificar, ¿debe estar sometido a garantía mediante póliza? […]</w:t>
      </w:r>
    </w:p>
    <w:p w14:paraId="786021E8" w14:textId="77777777" w:rsidR="00CB603F" w:rsidRPr="000A6626"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p>
    <w:p w14:paraId="1B01BD24" w14:textId="77777777" w:rsidR="00CB603F"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r w:rsidRPr="000A6626">
        <w:rPr>
          <w:rFonts w:ascii="Arial" w:eastAsia="Times New Roman" w:hAnsi="Arial" w:cs="Arial"/>
          <w:sz w:val="21"/>
          <w:szCs w:val="21"/>
          <w:lang w:val="es-ES_tradnl" w:eastAsia="es-ES_tradnl"/>
        </w:rPr>
        <w:t xml:space="preserve">3. De acuerdo a la cláusula 8 numeral primero, parágrafo primero, </w:t>
      </w:r>
      <w:r w:rsidRPr="000A6626">
        <w:rPr>
          <w:rFonts w:ascii="Arial" w:eastAsia="Times New Roman" w:hAnsi="Arial" w:cs="Arial"/>
          <w:b/>
          <w:bCs/>
          <w:sz w:val="21"/>
          <w:szCs w:val="21"/>
          <w:u w:val="single"/>
          <w:lang w:val="es-ES_tradnl" w:eastAsia="es-ES_tradnl"/>
        </w:rPr>
        <w:t>“La cuenta debe ser abierta en una Entidad Estatal financiera autorizada por la Superintendencia Financiera”</w:t>
      </w:r>
      <w:r w:rsidRPr="000A6626">
        <w:rPr>
          <w:rFonts w:ascii="Arial" w:eastAsia="Times New Roman" w:hAnsi="Arial" w:cs="Arial"/>
          <w:sz w:val="21"/>
          <w:szCs w:val="21"/>
          <w:lang w:val="es-ES_tradnl" w:eastAsia="es-ES_tradnl"/>
        </w:rPr>
        <w:t xml:space="preserve"> solicitamos aclaración de a quien le corresponde </w:t>
      </w:r>
      <w:proofErr w:type="spellStart"/>
      <w:r w:rsidRPr="000A6626">
        <w:rPr>
          <w:rFonts w:ascii="Arial" w:eastAsia="Times New Roman" w:hAnsi="Arial" w:cs="Arial"/>
          <w:sz w:val="21"/>
          <w:szCs w:val="21"/>
          <w:lang w:val="es-ES_tradnl" w:eastAsia="es-ES_tradnl"/>
        </w:rPr>
        <w:t>aperturar</w:t>
      </w:r>
      <w:proofErr w:type="spellEnd"/>
      <w:r w:rsidRPr="000A6626">
        <w:rPr>
          <w:rFonts w:ascii="Arial" w:eastAsia="Times New Roman" w:hAnsi="Arial" w:cs="Arial"/>
          <w:sz w:val="21"/>
          <w:szCs w:val="21"/>
          <w:lang w:val="es-ES_tradnl" w:eastAsia="es-ES_tradnl"/>
        </w:rPr>
        <w:t xml:space="preserve"> la cuenta, a la entidad estatal o a la JAC, de lo anterior se deriva, que en caso de que la apertura corresponda a la entidad estatal, como vincula al representante legal ¿mediante cual documento tendría un tercero ajeno a la entidad para vincularse con firma dual o conjunta y si es el caso supondríamos que la entidad tendría que adquirir una póliza de cobertura por el manejo de los recursos, la cual normalmente se adquiere para el persona que interviene en el área de tesorería.</w:t>
      </w:r>
    </w:p>
    <w:p w14:paraId="2CC1CB4C" w14:textId="77777777" w:rsidR="00CB603F" w:rsidRPr="000A6626"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p>
    <w:p w14:paraId="21A0E573" w14:textId="77777777" w:rsidR="00CB603F"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r w:rsidRPr="000A6626">
        <w:rPr>
          <w:rFonts w:ascii="Arial" w:eastAsia="Times New Roman" w:hAnsi="Arial" w:cs="Arial"/>
          <w:sz w:val="21"/>
          <w:szCs w:val="21"/>
          <w:lang w:val="es-ES_tradnl" w:eastAsia="es-ES_tradnl"/>
        </w:rPr>
        <w:t>4. En consecuencia del interrogante anterior, si la entidad estatal, para el caso anterior 50% representante legal (ajen a la entidad) y el 50% restante para el supervisor de la entidad, pasaría a cumplir labores de pagador (estas únicamente dentro del manual de funciones esta para tesorero y ordenador del gasto en los eventos que utilicen firmas conjuntas o pagos electrónicos con token) y al tener el Cincuenta por ciento (50%), estaría autorizado un desembolso de recursos, en este sentido, tendría que estar amparado, su manejo de recursos con una póliza de garantía.</w:t>
      </w:r>
    </w:p>
    <w:p w14:paraId="348F2127" w14:textId="77777777" w:rsidR="00CB603F" w:rsidRPr="000A6626"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p>
    <w:p w14:paraId="71F7ADBB" w14:textId="77777777" w:rsidR="00CB603F" w:rsidRPr="000A6626"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r w:rsidRPr="000A6626">
        <w:rPr>
          <w:rFonts w:ascii="Arial" w:eastAsia="Times New Roman" w:hAnsi="Arial" w:cs="Arial"/>
          <w:sz w:val="21"/>
          <w:szCs w:val="21"/>
          <w:lang w:val="es-ES_tradnl" w:eastAsia="es-ES_tradnl"/>
        </w:rPr>
        <w:t xml:space="preserve">5. […] en relación con la cláusula </w:t>
      </w:r>
      <w:r w:rsidRPr="000A6626">
        <w:rPr>
          <w:rFonts w:ascii="Arial" w:eastAsia="Times New Roman" w:hAnsi="Arial" w:cs="Arial"/>
          <w:sz w:val="21"/>
          <w:szCs w:val="21"/>
          <w:u w:val="single"/>
          <w:lang w:val="es-ES_tradnl" w:eastAsia="es-ES_tradnl"/>
        </w:rPr>
        <w:t>9 FORMA DE USO Y DISPOSICION DE LOS REURSOS…,</w:t>
      </w:r>
      <w:r w:rsidRPr="000A6626">
        <w:rPr>
          <w:rFonts w:ascii="Arial" w:eastAsia="Times New Roman" w:hAnsi="Arial" w:cs="Arial"/>
          <w:sz w:val="21"/>
          <w:szCs w:val="21"/>
          <w:lang w:val="es-ES_tradnl" w:eastAsia="es-ES_tradnl"/>
        </w:rPr>
        <w:t xml:space="preserve"> igualmente el decreto 442 de 2023, en su artículo 1.6.1.4.8, […] si bien es cierto, las OAC, son </w:t>
      </w:r>
      <w:proofErr w:type="gramStart"/>
      <w:r w:rsidRPr="000A6626">
        <w:rPr>
          <w:rFonts w:ascii="Arial" w:eastAsia="Times New Roman" w:hAnsi="Arial" w:cs="Arial"/>
          <w:sz w:val="21"/>
          <w:szCs w:val="21"/>
          <w:lang w:val="es-ES_tradnl" w:eastAsia="es-ES_tradnl"/>
        </w:rPr>
        <w:t>sujetos no obligados a expedir</w:t>
      </w:r>
      <w:proofErr w:type="gramEnd"/>
      <w:r w:rsidRPr="000A6626">
        <w:rPr>
          <w:rFonts w:ascii="Arial" w:eastAsia="Times New Roman" w:hAnsi="Arial" w:cs="Arial"/>
          <w:sz w:val="21"/>
          <w:szCs w:val="21"/>
          <w:lang w:val="es-ES_tradnl" w:eastAsia="es-ES_tradnl"/>
        </w:rPr>
        <w:t xml:space="preserve"> factura de venta o documento equivalente, al referirnos al anterior artículo indagamos si para la ejecución de un convenio con regalías estarían obligados a expedir facturas o documentos correspondientes?</w:t>
      </w:r>
      <w:r>
        <w:rPr>
          <w:rFonts w:ascii="Arial" w:eastAsia="Times New Roman" w:hAnsi="Arial" w:cs="Arial"/>
          <w:sz w:val="21"/>
          <w:szCs w:val="21"/>
          <w:lang w:val="es-ES_tradnl" w:eastAsia="es-ES_tradnl"/>
        </w:rPr>
        <w:t>” [SIC]</w:t>
      </w:r>
    </w:p>
    <w:p w14:paraId="45D0D399" w14:textId="77777777" w:rsidR="00CB603F" w:rsidRPr="00860F18" w:rsidRDefault="00CB603F" w:rsidP="00CB603F">
      <w:pPr>
        <w:tabs>
          <w:tab w:val="decimal" w:pos="765"/>
          <w:tab w:val="right" w:pos="7371"/>
        </w:tabs>
        <w:spacing w:after="0" w:line="240" w:lineRule="auto"/>
        <w:ind w:left="709" w:right="709"/>
        <w:jc w:val="both"/>
        <w:rPr>
          <w:rFonts w:ascii="Arial" w:eastAsia="Times New Roman" w:hAnsi="Arial" w:cs="Arial"/>
          <w:lang w:val="es-ES_tradnl" w:eastAsia="es-ES_tradnl"/>
        </w:rPr>
      </w:pPr>
    </w:p>
    <w:p w14:paraId="77526760" w14:textId="77777777" w:rsidR="00CB603F" w:rsidRPr="00ED3CF9" w:rsidRDefault="00CB603F" w:rsidP="00CB603F">
      <w:pPr>
        <w:numPr>
          <w:ilvl w:val="0"/>
          <w:numId w:val="16"/>
        </w:numPr>
        <w:tabs>
          <w:tab w:val="left" w:pos="0"/>
          <w:tab w:val="left" w:pos="284"/>
        </w:tabs>
        <w:spacing w:after="0" w:line="276" w:lineRule="auto"/>
        <w:contextualSpacing/>
        <w:jc w:val="both"/>
        <w:rPr>
          <w:rFonts w:ascii="Arial" w:eastAsia="Calibri" w:hAnsi="Arial" w:cs="Arial"/>
          <w:b/>
          <w:lang w:val="es-ES_tradnl"/>
        </w:rPr>
      </w:pPr>
      <w:r w:rsidRPr="00ED3CF9">
        <w:rPr>
          <w:rFonts w:ascii="Arial" w:eastAsia="Calibri" w:hAnsi="Arial" w:cs="Arial"/>
          <w:b/>
          <w:lang w:val="es-ES_tradnl"/>
        </w:rPr>
        <w:t>Consideraciones</w:t>
      </w:r>
      <w:bookmarkStart w:id="4" w:name="_Hlk100312295"/>
    </w:p>
    <w:p w14:paraId="2F54C310" w14:textId="77777777" w:rsidR="00CB603F" w:rsidRPr="00ED3CF9" w:rsidRDefault="00CB603F" w:rsidP="00CB603F">
      <w:pPr>
        <w:tabs>
          <w:tab w:val="left" w:pos="0"/>
          <w:tab w:val="left" w:pos="284"/>
        </w:tabs>
        <w:spacing w:after="0" w:line="276" w:lineRule="auto"/>
        <w:contextualSpacing/>
        <w:jc w:val="both"/>
        <w:rPr>
          <w:rFonts w:ascii="Arial" w:eastAsia="Calibri" w:hAnsi="Arial" w:cs="Arial"/>
          <w:b/>
          <w:lang w:val="es-ES_tradnl"/>
        </w:rPr>
      </w:pPr>
    </w:p>
    <w:bookmarkEnd w:id="4"/>
    <w:p w14:paraId="61CC19F2" w14:textId="77777777" w:rsidR="00CB603F" w:rsidRDefault="00CB603F" w:rsidP="00CB603F">
      <w:pPr>
        <w:spacing w:after="120" w:line="276" w:lineRule="auto"/>
        <w:jc w:val="both"/>
        <w:rPr>
          <w:rFonts w:ascii="Arial" w:eastAsia="Calibri" w:hAnsi="Arial" w:cs="Arial"/>
          <w:lang w:val="es-ES" w:eastAsia="es-ES"/>
        </w:rPr>
      </w:pPr>
      <w:r w:rsidRPr="6C2B77A5">
        <w:rPr>
          <w:rFonts w:ascii="Arial" w:eastAsia="Calibri" w:hAnsi="Arial" w:cs="Arial"/>
          <w:lang w:val="es-ES" w:eastAsia="es-ES"/>
        </w:rPr>
        <w:lastRenderedPageBreak/>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atribuciones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w:t>
      </w:r>
    </w:p>
    <w:p w14:paraId="6E0C50A6" w14:textId="77777777" w:rsidR="00CB603F" w:rsidRPr="00F76AB6" w:rsidRDefault="00CB603F" w:rsidP="00CB603F">
      <w:pPr>
        <w:spacing w:after="120" w:line="276" w:lineRule="auto"/>
        <w:ind w:firstLine="708"/>
        <w:jc w:val="both"/>
        <w:rPr>
          <w:rFonts w:ascii="Arial" w:hAnsi="Arial" w:cs="Arial"/>
          <w:lang w:val="es-ES_tradnl"/>
        </w:rPr>
      </w:pPr>
      <w:r w:rsidRPr="00F76AB6">
        <w:rPr>
          <w:rFonts w:ascii="Arial" w:hAnsi="Arial" w:cs="Arial"/>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F76AB6">
        <w:rPr>
          <w:rFonts w:ascii="Arial" w:hAnsi="Arial" w:cs="Arial"/>
          <w:vertAlign w:val="superscript"/>
          <w:lang w:val="es-ES_tradnl"/>
        </w:rPr>
        <w:footnoteReference w:id="1"/>
      </w:r>
      <w:r w:rsidRPr="00F76AB6">
        <w:rPr>
          <w:rFonts w:ascii="Arial" w:hAnsi="Arial" w:cs="Arial"/>
          <w:lang w:val="es-ES_tradnl"/>
        </w:rPr>
        <w:t xml:space="preserve">. Esta competencia de interpretación de normas generales, por definición, no puede extenderse a la resolución de controversias, ni a brindar asesorías sobre casos puntuales. </w:t>
      </w:r>
    </w:p>
    <w:p w14:paraId="697ED42F" w14:textId="77777777" w:rsidR="00CB603F" w:rsidRDefault="00CB603F" w:rsidP="00CB603F">
      <w:pPr>
        <w:spacing w:after="120" w:line="276" w:lineRule="auto"/>
        <w:ind w:firstLine="709"/>
        <w:jc w:val="both"/>
        <w:rPr>
          <w:rFonts w:ascii="Arial" w:hAnsi="Arial" w:cs="Arial"/>
          <w:lang w:val="es-ES_tradnl"/>
        </w:rPr>
      </w:pPr>
      <w:r w:rsidRPr="00F76AB6">
        <w:rPr>
          <w:rFonts w:ascii="Arial" w:hAnsi="Arial" w:cs="Arial"/>
          <w:lang w:val="es-ES_tradnl"/>
        </w:rPr>
        <w:t xml:space="preserve">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p w14:paraId="419EEDDC" w14:textId="60D93D64" w:rsidR="00CB603F" w:rsidRPr="00261917" w:rsidRDefault="00CB603F" w:rsidP="00CB603F">
      <w:pPr>
        <w:spacing w:after="120" w:line="276" w:lineRule="auto"/>
        <w:ind w:firstLine="709"/>
        <w:jc w:val="both"/>
        <w:rPr>
          <w:rFonts w:ascii="Arial" w:hAnsi="Arial" w:cs="Arial"/>
          <w:lang w:val="es-ES_tradnl"/>
        </w:rPr>
      </w:pPr>
      <w:r>
        <w:rPr>
          <w:rFonts w:ascii="Arial" w:hAnsi="Arial" w:cs="Arial"/>
          <w:lang w:val="es-ES_tradnl"/>
        </w:rPr>
        <w:t xml:space="preserve">Por ello, la Subdirección de Gestión Contractual </w:t>
      </w:r>
      <w:r w:rsidRPr="00ED06FB">
        <w:rPr>
          <w:rFonts w:ascii="Arial" w:eastAsia="Calibri" w:hAnsi="Arial" w:cs="Arial"/>
          <w:lang w:val="es-ES" w:eastAsia="es-MX"/>
        </w:rPr>
        <w:t>–dentro de los límites de sus atribuciones– resolverá la consulta planteada conforme a las normas generales en materia de contratación estatal</w:t>
      </w:r>
      <w:r>
        <w:rPr>
          <w:rFonts w:ascii="Arial" w:eastAsia="Calibri" w:hAnsi="Arial" w:cs="Arial"/>
          <w:lang w:val="es-ES" w:eastAsia="es-MX"/>
        </w:rPr>
        <w:t xml:space="preserve">. Con este objetivo, se analizarán </w:t>
      </w:r>
      <w:r w:rsidRPr="00DF7CFC">
        <w:rPr>
          <w:rFonts w:ascii="Arial" w:eastAsia="Calibri" w:hAnsi="Arial" w:cs="Arial"/>
          <w:lang w:val="es-ES" w:eastAsia="es-MX"/>
        </w:rPr>
        <w:t>los siguientes temas:</w:t>
      </w:r>
      <w:r w:rsidRPr="00DF7CFC">
        <w:rPr>
          <w:rFonts w:ascii="Arial" w:eastAsia="Arial" w:hAnsi="Arial" w:cs="Arial"/>
          <w:color w:val="000000"/>
          <w:szCs w:val="24"/>
          <w:lang w:val="es-ES_tradnl" w:eastAsia="es-ES_tradnl"/>
        </w:rPr>
        <w:t xml:space="preserve"> </w:t>
      </w:r>
      <w:r w:rsidRPr="00DF7CFC">
        <w:rPr>
          <w:rFonts w:ascii="Arial" w:eastAsia="Calibri" w:hAnsi="Arial" w:cs="Arial"/>
          <w:lang w:val="es-ES" w:eastAsia="es-MX"/>
        </w:rPr>
        <w:t xml:space="preserve">i) documento tipo para la contratación directa de convenios solidarios para la ejecución de obras hasta la menor cuantía con organismos de acción comunal, y </w:t>
      </w:r>
      <w:proofErr w:type="spellStart"/>
      <w:r w:rsidRPr="00DF7CFC">
        <w:rPr>
          <w:rFonts w:ascii="Arial" w:eastAsia="Calibri" w:hAnsi="Arial" w:cs="Arial"/>
          <w:lang w:val="es-ES" w:eastAsia="es-MX"/>
        </w:rPr>
        <w:t>ii</w:t>
      </w:r>
      <w:proofErr w:type="spellEnd"/>
      <w:r w:rsidRPr="00DF7CFC">
        <w:rPr>
          <w:rFonts w:ascii="Arial" w:eastAsia="Calibri" w:hAnsi="Arial" w:cs="Arial"/>
          <w:lang w:val="es-ES" w:eastAsia="es-MX"/>
        </w:rPr>
        <w:t>)</w:t>
      </w:r>
      <w:r w:rsidRPr="00DF7CFC">
        <w:t xml:space="preserve"> </w:t>
      </w:r>
      <w:r w:rsidRPr="00DF7CFC">
        <w:rPr>
          <w:rFonts w:ascii="Arial" w:eastAsia="Calibri" w:hAnsi="Arial" w:cs="Arial"/>
          <w:lang w:val="es-ES" w:eastAsia="es-MX"/>
        </w:rPr>
        <w:t>giro</w:t>
      </w:r>
      <w:r w:rsidR="00202EC7">
        <w:rPr>
          <w:rFonts w:ascii="Arial" w:eastAsia="Calibri" w:hAnsi="Arial" w:cs="Arial"/>
          <w:lang w:val="es-ES" w:eastAsia="es-MX"/>
        </w:rPr>
        <w:t xml:space="preserve">, </w:t>
      </w:r>
      <w:r w:rsidRPr="00DF7CFC">
        <w:rPr>
          <w:rFonts w:ascii="Arial" w:eastAsia="Calibri" w:hAnsi="Arial" w:cs="Arial"/>
          <w:lang w:val="es-ES" w:eastAsia="es-MX"/>
        </w:rPr>
        <w:t>manejo de los recursos, y exigibilidad de garantías en el documento tipo para la contratación directa de convenios solidarios.</w:t>
      </w:r>
    </w:p>
    <w:p w14:paraId="0917E226" w14:textId="77777777" w:rsidR="00CB603F" w:rsidRPr="00ED06FB" w:rsidRDefault="00CB603F" w:rsidP="00CB603F">
      <w:pPr>
        <w:spacing w:after="0" w:line="276" w:lineRule="auto"/>
        <w:ind w:firstLine="709"/>
        <w:jc w:val="both"/>
        <w:rPr>
          <w:rFonts w:ascii="Arial" w:eastAsia="Calibri" w:hAnsi="Arial" w:cs="Arial"/>
          <w:color w:val="FF0000"/>
          <w:lang w:val="es-ES" w:eastAsia="es-MX"/>
        </w:rPr>
      </w:pPr>
      <w:r w:rsidRPr="00ED06FB">
        <w:rPr>
          <w:rFonts w:ascii="Arial" w:eastAsia="Calibri" w:hAnsi="Arial" w:cs="Arial"/>
          <w:lang w:val="es-MX"/>
        </w:rPr>
        <w:t>La Agencia Nacional de Contratación Pública – Colombia Compra Eficiente analizó el fundamento normativo</w:t>
      </w:r>
      <w:r>
        <w:rPr>
          <w:rFonts w:ascii="Arial" w:eastAsia="Calibri" w:hAnsi="Arial" w:cs="Arial"/>
          <w:lang w:val="es-MX"/>
        </w:rPr>
        <w:t xml:space="preserve"> del documento tipo </w:t>
      </w:r>
      <w:r w:rsidRPr="00A35921">
        <w:rPr>
          <w:rFonts w:ascii="Arial" w:eastAsia="Calibri" w:hAnsi="Arial" w:cs="Arial"/>
          <w:lang w:val="es-MX"/>
        </w:rPr>
        <w:t xml:space="preserve">para la contratación directa de convenios </w:t>
      </w:r>
      <w:r w:rsidRPr="00A35921">
        <w:rPr>
          <w:rFonts w:ascii="Arial" w:eastAsia="Calibri" w:hAnsi="Arial" w:cs="Arial"/>
          <w:lang w:val="es-MX"/>
        </w:rPr>
        <w:lastRenderedPageBreak/>
        <w:t>solidarios para la ejecución de obras hasta la menor cuantía con organismos de acción comunal</w:t>
      </w:r>
      <w:r>
        <w:rPr>
          <w:rFonts w:ascii="Arial" w:eastAsia="Calibri" w:hAnsi="Arial" w:cs="Arial"/>
          <w:lang w:val="es-MX"/>
        </w:rPr>
        <w:t xml:space="preserve">, en el concepto C-340 del 15 de agosto de 2023. </w:t>
      </w:r>
      <w:r w:rsidRPr="00ED06FB">
        <w:rPr>
          <w:rFonts w:ascii="Arial" w:eastAsia="Calibri" w:hAnsi="Arial" w:cs="Arial"/>
          <w:lang w:val="es-ES_tradnl"/>
        </w:rPr>
        <w:t>Algunas de las consideraciones de est</w:t>
      </w:r>
      <w:r>
        <w:rPr>
          <w:rFonts w:ascii="Arial" w:eastAsia="Calibri" w:hAnsi="Arial" w:cs="Arial"/>
          <w:lang w:val="es-ES_tradnl"/>
        </w:rPr>
        <w:t>e</w:t>
      </w:r>
      <w:r w:rsidRPr="00ED06FB">
        <w:rPr>
          <w:rFonts w:ascii="Arial" w:eastAsia="Calibri" w:hAnsi="Arial" w:cs="Arial"/>
          <w:lang w:val="es-ES_tradnl"/>
        </w:rPr>
        <w:t xml:space="preserve"> concepto se reiteran y complementan en lo pertinente a continuación</w:t>
      </w:r>
      <w:r>
        <w:rPr>
          <w:rFonts w:ascii="Arial" w:eastAsia="Calibri" w:hAnsi="Arial" w:cs="Arial"/>
          <w:lang w:val="es-ES_tradnl"/>
        </w:rPr>
        <w:t>.</w:t>
      </w:r>
    </w:p>
    <w:p w14:paraId="744B7B62" w14:textId="77777777" w:rsidR="00CB603F" w:rsidRDefault="00CB603F" w:rsidP="00CB603F">
      <w:pPr>
        <w:tabs>
          <w:tab w:val="left" w:pos="0"/>
        </w:tabs>
        <w:spacing w:after="0" w:line="276" w:lineRule="auto"/>
        <w:jc w:val="both"/>
        <w:rPr>
          <w:rFonts w:ascii="Arial" w:eastAsia="Calibri" w:hAnsi="Arial" w:cs="Arial"/>
          <w:lang w:eastAsia="en-GB"/>
        </w:rPr>
      </w:pPr>
    </w:p>
    <w:p w14:paraId="0EC9458E" w14:textId="77777777" w:rsidR="00CB603F" w:rsidRPr="009E2695" w:rsidRDefault="00CB603F" w:rsidP="00CB603F">
      <w:pPr>
        <w:tabs>
          <w:tab w:val="left" w:pos="0"/>
        </w:tabs>
        <w:spacing w:after="0" w:line="276" w:lineRule="auto"/>
        <w:jc w:val="both"/>
        <w:rPr>
          <w:rFonts w:ascii="Arial" w:eastAsia="Calibri" w:hAnsi="Arial" w:cs="Arial"/>
          <w:b/>
          <w:bCs/>
          <w:lang w:val="es-ES" w:eastAsia="es-MX"/>
        </w:rPr>
      </w:pPr>
      <w:r w:rsidRPr="009E2695">
        <w:rPr>
          <w:rFonts w:ascii="Arial" w:eastAsia="Calibri" w:hAnsi="Arial" w:cs="Arial"/>
          <w:b/>
          <w:bCs/>
          <w:lang w:eastAsia="en-GB"/>
        </w:rPr>
        <w:t>2.</w:t>
      </w:r>
      <w:r>
        <w:rPr>
          <w:rFonts w:ascii="Arial" w:eastAsia="Calibri" w:hAnsi="Arial" w:cs="Arial"/>
          <w:b/>
          <w:bCs/>
          <w:lang w:eastAsia="en-GB"/>
        </w:rPr>
        <w:t>1.</w:t>
      </w:r>
      <w:r w:rsidRPr="009E2695">
        <w:rPr>
          <w:rFonts w:ascii="Arial" w:eastAsia="Calibri" w:hAnsi="Arial" w:cs="Arial"/>
          <w:b/>
          <w:bCs/>
          <w:lang w:eastAsia="en-GB"/>
        </w:rPr>
        <w:t xml:space="preserve"> </w:t>
      </w:r>
      <w:r w:rsidRPr="009E2695">
        <w:rPr>
          <w:rFonts w:ascii="Arial" w:eastAsia="Calibri" w:hAnsi="Arial" w:cs="Arial"/>
          <w:b/>
          <w:bCs/>
          <w:lang w:val="es-ES" w:eastAsia="es-MX"/>
        </w:rPr>
        <w:t>Documento tipo para la contratación directa de convenios solidarios para la ejecución de obras hasta la menor cuantía con organismos de acción comunal</w:t>
      </w:r>
    </w:p>
    <w:p w14:paraId="5A7E223D" w14:textId="77777777" w:rsidR="00CB603F" w:rsidRDefault="00CB603F" w:rsidP="00CB603F">
      <w:pPr>
        <w:tabs>
          <w:tab w:val="left" w:pos="0"/>
        </w:tabs>
        <w:spacing w:after="0" w:line="276" w:lineRule="auto"/>
        <w:jc w:val="both"/>
        <w:rPr>
          <w:rFonts w:ascii="Arial" w:eastAsia="Calibri" w:hAnsi="Arial" w:cs="Arial"/>
          <w:b/>
          <w:szCs w:val="24"/>
          <w:lang w:val="es-ES_tradnl" w:eastAsia="es-ES_tradnl"/>
        </w:rPr>
      </w:pPr>
    </w:p>
    <w:p w14:paraId="33F46D34" w14:textId="77777777" w:rsidR="00CB603F" w:rsidRDefault="00CB603F" w:rsidP="00CB603F">
      <w:pPr>
        <w:tabs>
          <w:tab w:val="left" w:pos="0"/>
        </w:tabs>
        <w:spacing w:after="120" w:line="276" w:lineRule="auto"/>
        <w:jc w:val="both"/>
        <w:rPr>
          <w:rFonts w:ascii="Arial" w:hAnsi="Arial" w:cs="Arial"/>
          <w:spacing w:val="2"/>
          <w:lang w:eastAsia="es-CO"/>
        </w:rPr>
      </w:pPr>
      <w:r>
        <w:rPr>
          <w:rFonts w:ascii="Arial" w:hAnsi="Arial" w:cs="Arial"/>
          <w:spacing w:val="2"/>
          <w:lang w:eastAsia="es-CO"/>
        </w:rPr>
        <w:t>Con fundamento en la competencia prevista en el artículo 1 de la Ley 2022 de 2020</w:t>
      </w:r>
      <w:r>
        <w:rPr>
          <w:rStyle w:val="Refdenotaalpie"/>
          <w:rFonts w:ascii="Arial" w:hAnsi="Arial" w:cs="Arial"/>
          <w:spacing w:val="2"/>
          <w:lang w:eastAsia="es-CO"/>
        </w:rPr>
        <w:footnoteReference w:id="2"/>
      </w:r>
      <w:r>
        <w:rPr>
          <w:rFonts w:ascii="Arial" w:hAnsi="Arial" w:cs="Arial"/>
          <w:spacing w:val="2"/>
          <w:lang w:eastAsia="es-CO"/>
        </w:rPr>
        <w:t xml:space="preserve">, </w:t>
      </w:r>
      <w:r w:rsidRPr="00ED3CF9">
        <w:rPr>
          <w:rFonts w:ascii="Arial" w:hAnsi="Arial" w:cs="Arial"/>
          <w:spacing w:val="2"/>
          <w:lang w:eastAsia="es-CO"/>
        </w:rPr>
        <w:t xml:space="preserve">el pasado 30 de junio de 2023 </w:t>
      </w:r>
      <w:r>
        <w:rPr>
          <w:rFonts w:ascii="Arial" w:hAnsi="Arial" w:cs="Arial"/>
          <w:spacing w:val="2"/>
          <w:lang w:eastAsia="es-CO"/>
        </w:rPr>
        <w:t xml:space="preserve">la Agencia Nacional de Contratación Pública </w:t>
      </w:r>
      <w:r w:rsidRPr="00ED3CF9">
        <w:rPr>
          <w:rFonts w:ascii="Arial" w:eastAsia="Calibri" w:hAnsi="Arial" w:cs="Arial"/>
          <w:color w:val="000000"/>
          <w:lang w:val="es-ES" w:eastAsia="es-ES"/>
        </w:rPr>
        <w:t xml:space="preserve">– </w:t>
      </w:r>
      <w:r>
        <w:rPr>
          <w:rFonts w:ascii="Arial" w:eastAsia="Calibri" w:hAnsi="Arial" w:cs="Arial"/>
          <w:color w:val="000000"/>
          <w:lang w:val="es-ES" w:eastAsia="es-ES"/>
        </w:rPr>
        <w:t>Colombia Compra Eficiente</w:t>
      </w:r>
      <w:r>
        <w:rPr>
          <w:rFonts w:ascii="Arial" w:hAnsi="Arial" w:cs="Arial"/>
          <w:spacing w:val="2"/>
          <w:lang w:eastAsia="es-CO"/>
        </w:rPr>
        <w:t xml:space="preserve"> </w:t>
      </w:r>
      <w:r w:rsidRPr="00ED3CF9">
        <w:rPr>
          <w:rFonts w:ascii="Arial" w:hAnsi="Arial" w:cs="Arial"/>
          <w:spacing w:val="2"/>
          <w:lang w:eastAsia="es-CO"/>
        </w:rPr>
        <w:t>expidió la Resolución 358 de 2023 “</w:t>
      </w:r>
      <w:hyperlink r:id="rId11" w:history="1">
        <w:r w:rsidRPr="00ED3CF9">
          <w:rPr>
            <w:rFonts w:ascii="Arial" w:hAnsi="Arial" w:cs="Arial"/>
            <w:spacing w:val="2"/>
            <w:lang w:eastAsia="es-CO"/>
          </w:rPr>
          <w:t>Por la cual se adopta el documento tipo para la contratación directa de convenios solidarios para la ejecución de obras hasta la menor cuantía con organismos de acción comunal”</w:t>
        </w:r>
        <w:r>
          <w:rPr>
            <w:rStyle w:val="Refdenotaalpie"/>
            <w:rFonts w:ascii="Arial" w:hAnsi="Arial" w:cs="Arial"/>
            <w:spacing w:val="2"/>
            <w:lang w:eastAsia="es-CO"/>
          </w:rPr>
          <w:footnoteReference w:id="3"/>
        </w:r>
        <w:r w:rsidRPr="00ED3CF9">
          <w:rPr>
            <w:rFonts w:ascii="Arial" w:hAnsi="Arial" w:cs="Arial"/>
            <w:spacing w:val="2"/>
            <w:lang w:eastAsia="es-CO"/>
          </w:rPr>
          <w:t>. </w:t>
        </w:r>
      </w:hyperlink>
      <w:r>
        <w:rPr>
          <w:rFonts w:ascii="Arial" w:hAnsi="Arial" w:cs="Arial"/>
          <w:spacing w:val="2"/>
          <w:lang w:eastAsia="es-CO"/>
        </w:rPr>
        <w:t xml:space="preserve">La Resolución señalada, consta de cuatro artículos, el primero dispone que esta adopta los documentos tipo para la contratación directa de convenios solidarios para la ejecución de obras hasta la menor cuantía con Organismos de Acción Comunal. </w:t>
      </w:r>
    </w:p>
    <w:p w14:paraId="430E4513" w14:textId="77777777" w:rsidR="00CB603F" w:rsidRDefault="00CB603F" w:rsidP="00CB603F">
      <w:pPr>
        <w:tabs>
          <w:tab w:val="left" w:pos="0"/>
        </w:tabs>
        <w:spacing w:after="120" w:line="276" w:lineRule="auto"/>
        <w:jc w:val="both"/>
        <w:rPr>
          <w:rFonts w:ascii="Arial" w:hAnsi="Arial" w:cs="Arial"/>
          <w:spacing w:val="2"/>
          <w:lang w:eastAsia="es-CO"/>
        </w:rPr>
      </w:pPr>
      <w:r>
        <w:rPr>
          <w:rFonts w:ascii="Arial" w:hAnsi="Arial" w:cs="Arial"/>
          <w:spacing w:val="2"/>
          <w:lang w:eastAsia="es-CO"/>
        </w:rPr>
        <w:tab/>
        <w:t xml:space="preserve">Por su parte, el artículo 2 consagra que los documentos que se adoptan por medio de la Resolución contienen parámetros obligatorios para las entidades sometidas al Estatuto General de Contratación de la Administración Pública que adelanten procesos de selección bajo la </w:t>
      </w:r>
      <w:r w:rsidRPr="00D706F3">
        <w:rPr>
          <w:rFonts w:ascii="Arial" w:hAnsi="Arial" w:cs="Arial"/>
          <w:spacing w:val="2"/>
          <w:lang w:eastAsia="es-CO"/>
        </w:rPr>
        <w:t>modalidad de contratación directa para la celebración de convenios solidarios con organismos de acción comunal para la ejecución de obras hasta el monto de la menor cuantía</w:t>
      </w:r>
      <w:r>
        <w:rPr>
          <w:rStyle w:val="Refdenotaalpie"/>
          <w:rFonts w:ascii="Arial" w:hAnsi="Arial" w:cs="Arial"/>
          <w:spacing w:val="2"/>
          <w:lang w:eastAsia="es-CO"/>
        </w:rPr>
        <w:footnoteReference w:id="4"/>
      </w:r>
      <w:r>
        <w:rPr>
          <w:rFonts w:ascii="Arial" w:hAnsi="Arial" w:cs="Arial"/>
          <w:spacing w:val="2"/>
          <w:lang w:eastAsia="es-CO"/>
        </w:rPr>
        <w:t xml:space="preserve">. Además, en este artículo se señala que componen ese documento tipo: i) Minuta tipo, </w:t>
      </w:r>
      <w:proofErr w:type="spellStart"/>
      <w:r>
        <w:rPr>
          <w:rFonts w:ascii="Arial" w:hAnsi="Arial" w:cs="Arial"/>
          <w:spacing w:val="2"/>
          <w:lang w:eastAsia="es-CO"/>
        </w:rPr>
        <w:t>ii</w:t>
      </w:r>
      <w:proofErr w:type="spellEnd"/>
      <w:r>
        <w:rPr>
          <w:rFonts w:ascii="Arial" w:hAnsi="Arial" w:cs="Arial"/>
          <w:spacing w:val="2"/>
          <w:lang w:eastAsia="es-CO"/>
        </w:rPr>
        <w:t xml:space="preserve">) Anexo1 – Especificaciones técnicas, </w:t>
      </w:r>
      <w:proofErr w:type="spellStart"/>
      <w:r>
        <w:rPr>
          <w:rFonts w:ascii="Arial" w:hAnsi="Arial" w:cs="Arial"/>
          <w:spacing w:val="2"/>
          <w:lang w:eastAsia="es-CO"/>
        </w:rPr>
        <w:t>iii</w:t>
      </w:r>
      <w:proofErr w:type="spellEnd"/>
      <w:r>
        <w:rPr>
          <w:rFonts w:ascii="Arial" w:hAnsi="Arial" w:cs="Arial"/>
          <w:spacing w:val="2"/>
          <w:lang w:eastAsia="es-CO"/>
        </w:rPr>
        <w:t xml:space="preserve">) Anexo 2 – Análisis del Sector y </w:t>
      </w:r>
      <w:proofErr w:type="spellStart"/>
      <w:r>
        <w:rPr>
          <w:rFonts w:ascii="Arial" w:hAnsi="Arial" w:cs="Arial"/>
          <w:spacing w:val="2"/>
          <w:lang w:eastAsia="es-CO"/>
        </w:rPr>
        <w:t>iv</w:t>
      </w:r>
      <w:proofErr w:type="spellEnd"/>
      <w:r>
        <w:rPr>
          <w:rFonts w:ascii="Arial" w:hAnsi="Arial" w:cs="Arial"/>
          <w:spacing w:val="2"/>
          <w:lang w:eastAsia="es-CO"/>
        </w:rPr>
        <w:t xml:space="preserve">) Matriz de Riesgos. </w:t>
      </w:r>
    </w:p>
    <w:p w14:paraId="157CB3EF" w14:textId="77777777" w:rsidR="00CB603F" w:rsidRDefault="00CB603F" w:rsidP="00CB603F">
      <w:pPr>
        <w:shd w:val="clear" w:color="auto" w:fill="FFFFFF"/>
        <w:spacing w:after="120" w:line="276" w:lineRule="auto"/>
        <w:jc w:val="both"/>
        <w:textAlignment w:val="baseline"/>
        <w:rPr>
          <w:rFonts w:ascii="Arial" w:hAnsi="Arial" w:cs="Arial"/>
          <w:bCs/>
          <w:lang w:val="es-ES_tradnl"/>
        </w:rPr>
      </w:pPr>
      <w:r>
        <w:rPr>
          <w:rFonts w:ascii="Arial" w:hAnsi="Arial" w:cs="Arial"/>
          <w:spacing w:val="2"/>
          <w:lang w:eastAsia="es-CO"/>
        </w:rPr>
        <w:tab/>
        <w:t xml:space="preserve">Seguidamente, el artículo 3 dispone </w:t>
      </w:r>
      <w:r>
        <w:rPr>
          <w:rFonts w:ascii="Arial" w:hAnsi="Arial" w:cs="Arial"/>
          <w:bCs/>
          <w:lang w:val="es-ES_tradnl"/>
        </w:rPr>
        <w:t xml:space="preserve">dispone la inalterabilidad de los documentos tipo </w:t>
      </w:r>
      <w:r w:rsidRPr="004F27EF">
        <w:rPr>
          <w:rFonts w:ascii="Arial" w:eastAsia="Calibri" w:hAnsi="Arial" w:cs="Arial"/>
          <w:lang w:val="es-ES" w:eastAsia="es-MX"/>
        </w:rPr>
        <w:t>para la contratación directa de convenios solidarios para la ejecución de obras hasta la menor cuantía con organismos de acción comunal</w:t>
      </w:r>
      <w:r>
        <w:rPr>
          <w:rFonts w:ascii="Arial" w:hAnsi="Arial" w:cs="Arial"/>
          <w:bCs/>
          <w:lang w:val="es-ES_tradnl"/>
        </w:rPr>
        <w:t>. En consecuencia</w:t>
      </w:r>
      <w:bookmarkStart w:id="5" w:name="_Hlk64290904"/>
      <w:r>
        <w:rPr>
          <w:rFonts w:ascii="Arial" w:hAnsi="Arial" w:cs="Arial"/>
          <w:bCs/>
          <w:lang w:val="es-ES_tradnl"/>
        </w:rPr>
        <w:t xml:space="preserve">, las condiciones establecidas en los documentos que adopte la Agencia, en ejercicio del mandato </w:t>
      </w:r>
      <w:r>
        <w:rPr>
          <w:rFonts w:ascii="Arial" w:hAnsi="Arial" w:cs="Arial"/>
          <w:bCs/>
          <w:lang w:val="es-ES_tradnl"/>
        </w:rPr>
        <w:lastRenderedPageBreak/>
        <w:t>establecido en el artículo 1 de la Ley 2022 de 2020, son de obligatorio cumplimiento para las entidades sometidas al Estatuto General de Contratación de la Administración Pública que adelanten procesos que deban regirse por su contenido y, salvo que se permita expresamente, podrán variarse algunos de los requisitos fijados en ellos.</w:t>
      </w:r>
      <w:bookmarkEnd w:id="5"/>
      <w:r>
        <w:rPr>
          <w:rFonts w:ascii="Arial" w:hAnsi="Arial" w:cs="Arial"/>
          <w:bCs/>
          <w:lang w:val="es-ES_tradnl"/>
        </w:rPr>
        <w:t xml:space="preserve"> </w:t>
      </w:r>
    </w:p>
    <w:p w14:paraId="6C0F9CFB" w14:textId="77777777" w:rsidR="00CB603F" w:rsidRDefault="00CB603F" w:rsidP="00CB603F">
      <w:pPr>
        <w:shd w:val="clear" w:color="auto" w:fill="FFFFFF"/>
        <w:spacing w:after="120" w:line="276" w:lineRule="auto"/>
        <w:ind w:firstLine="708"/>
        <w:jc w:val="both"/>
        <w:textAlignment w:val="baseline"/>
        <w:rPr>
          <w:rFonts w:ascii="Arial" w:eastAsia="Calibri" w:hAnsi="Arial" w:cs="Arial"/>
          <w:bCs/>
          <w:szCs w:val="24"/>
          <w:lang w:val="es-ES_tradnl" w:eastAsia="es-ES_tradnl"/>
        </w:rPr>
      </w:pPr>
      <w:r>
        <w:rPr>
          <w:rFonts w:ascii="Arial" w:eastAsia="Calibri" w:hAnsi="Arial" w:cs="Arial"/>
          <w:bCs/>
          <w:szCs w:val="24"/>
          <w:lang w:val="es-ES_tradnl" w:eastAsia="es-ES_tradnl"/>
        </w:rPr>
        <w:t xml:space="preserve">Finalmente, el artículo 4 consagra que la Resolución 358 del 30 de junio de 2023, rige a partir de su publicación y aplicará a la contratación directa de convenios solidarios para la ejecución de obras hasta la menor cuantía con Organismos de Acción Comunal. </w:t>
      </w:r>
    </w:p>
    <w:p w14:paraId="2E063C20" w14:textId="77777777" w:rsidR="00CB603F" w:rsidRDefault="00CB603F" w:rsidP="00CB603F">
      <w:pPr>
        <w:tabs>
          <w:tab w:val="left" w:pos="0"/>
        </w:tabs>
        <w:spacing w:after="120" w:line="276" w:lineRule="auto"/>
        <w:jc w:val="both"/>
        <w:rPr>
          <w:rFonts w:ascii="Arial" w:hAnsi="Arial" w:cs="Arial"/>
          <w:bCs/>
          <w:color w:val="000000" w:themeColor="text1"/>
          <w:lang w:eastAsia="es-MX"/>
        </w:rPr>
      </w:pPr>
      <w:r>
        <w:rPr>
          <w:rFonts w:ascii="Arial" w:eastAsia="Calibri" w:hAnsi="Arial" w:cs="Arial"/>
          <w:bCs/>
          <w:szCs w:val="24"/>
          <w:lang w:val="es-ES_tradnl" w:eastAsia="es-ES_tradnl"/>
        </w:rPr>
        <w:tab/>
        <w:t xml:space="preserve">Conforme al contenido de la Resolución 358 del 30 de junio de 2023, conviene precisar que los documentos tipo que se adoptan, son aquellos </w:t>
      </w:r>
      <w:r>
        <w:rPr>
          <w:rFonts w:ascii="Arial" w:hAnsi="Arial" w:cs="Arial"/>
          <w:spacing w:val="2"/>
          <w:lang w:eastAsia="es-CO"/>
        </w:rPr>
        <w:t>para la contratación directa de convenios solidarios para la ejecución de obras hasta la menor cuantía con Organismos de Acción Comunal, los cuales tiene como fundamento normativo el artículo 95 “Convenios solidarios” de la Ley 2166 de 20</w:t>
      </w:r>
      <w:r w:rsidRPr="007D69A7">
        <w:rPr>
          <w:rFonts w:ascii="Arial" w:hAnsi="Arial" w:cs="Arial"/>
          <w:spacing w:val="2"/>
          <w:lang w:eastAsia="es-CO"/>
        </w:rPr>
        <w:t>21</w:t>
      </w:r>
      <w:r w:rsidRPr="007D69A7">
        <w:rPr>
          <w:rStyle w:val="Refdenotaalpie"/>
          <w:rFonts w:ascii="Arial" w:hAnsi="Arial" w:cs="Arial"/>
          <w:spacing w:val="2"/>
          <w:lang w:eastAsia="es-CO"/>
        </w:rPr>
        <w:footnoteReference w:id="5"/>
      </w:r>
      <w:r w:rsidRPr="007D69A7">
        <w:rPr>
          <w:rFonts w:ascii="Arial" w:hAnsi="Arial" w:cs="Arial"/>
          <w:spacing w:val="2"/>
          <w:lang w:eastAsia="es-CO"/>
        </w:rPr>
        <w:t xml:space="preserve">, reglamentado en el artículo </w:t>
      </w:r>
      <w:r w:rsidRPr="007D69A7">
        <w:rPr>
          <w:rFonts w:ascii="Arial" w:hAnsi="Arial" w:cs="Arial"/>
          <w:color w:val="000000" w:themeColor="text1"/>
          <w:lang w:val="es-MX"/>
        </w:rPr>
        <w:t>15 del Decreto 142 de 2023</w:t>
      </w:r>
      <w:r w:rsidRPr="007D69A7">
        <w:rPr>
          <w:rStyle w:val="Refdenotaalpie"/>
          <w:rFonts w:ascii="Arial" w:hAnsi="Arial" w:cs="Arial"/>
          <w:color w:val="000000" w:themeColor="text1"/>
          <w:lang w:val="es-MX"/>
        </w:rPr>
        <w:footnoteReference w:id="6"/>
      </w:r>
      <w:r w:rsidRPr="007D69A7">
        <w:rPr>
          <w:rFonts w:ascii="Arial" w:hAnsi="Arial" w:cs="Arial"/>
          <w:color w:val="000000" w:themeColor="text1"/>
          <w:lang w:val="es-MX"/>
        </w:rPr>
        <w:t xml:space="preserve"> </w:t>
      </w:r>
      <w:r w:rsidRPr="007D69A7">
        <w:rPr>
          <w:rFonts w:ascii="Arial" w:hAnsi="Arial" w:cs="Arial"/>
          <w:bCs/>
          <w:color w:val="000000" w:themeColor="text1"/>
          <w:lang w:eastAsia="es-MX"/>
        </w:rPr>
        <w:t>el cual adiciona el artículo 2.2.15.1.2 del Decreto 1082 de 2015, en la forma que se señala a continuación.</w:t>
      </w:r>
    </w:p>
    <w:p w14:paraId="403D63AD" w14:textId="77777777" w:rsidR="00CB603F" w:rsidRPr="001777A9" w:rsidRDefault="00CB603F" w:rsidP="00CB603F">
      <w:pPr>
        <w:shd w:val="clear" w:color="auto" w:fill="FFFFFF" w:themeFill="background1"/>
        <w:spacing w:after="120" w:line="276" w:lineRule="auto"/>
        <w:jc w:val="both"/>
        <w:rPr>
          <w:rFonts w:ascii="Arial" w:hAnsi="Arial" w:cs="Arial"/>
          <w:bCs/>
          <w:color w:val="000000" w:themeColor="text1"/>
          <w:lang w:eastAsia="es-MX"/>
        </w:rPr>
      </w:pPr>
      <w:r>
        <w:rPr>
          <w:rFonts w:ascii="Arial" w:hAnsi="Arial" w:cs="Arial"/>
          <w:bCs/>
          <w:color w:val="000000" w:themeColor="text1"/>
          <w:lang w:eastAsia="es-MX"/>
        </w:rPr>
        <w:tab/>
      </w:r>
      <w:r w:rsidRPr="001777A9">
        <w:rPr>
          <w:rFonts w:ascii="Arial" w:hAnsi="Arial" w:cs="Arial"/>
          <w:bCs/>
          <w:color w:val="000000" w:themeColor="text1"/>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1777A9">
        <w:rPr>
          <w:rFonts w:ascii="Arial" w:eastAsia="Calibri" w:hAnsi="Arial" w:cs="Arial"/>
          <w:color w:val="000000" w:themeColor="text1"/>
          <w:lang w:val="es-ES_tradnl"/>
        </w:rPr>
        <w:t>“</w:t>
      </w:r>
      <w:r w:rsidRPr="001777A9">
        <w:rPr>
          <w:rFonts w:ascii="Arial" w:hAnsi="Arial" w:cs="Arial"/>
          <w:bCs/>
          <w:color w:val="000000" w:themeColor="text1"/>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1777A9">
        <w:rPr>
          <w:rFonts w:ascii="Arial" w:eastAsia="Calibri" w:hAnsi="Arial" w:cs="Arial"/>
          <w:color w:val="000000" w:themeColor="text1"/>
          <w:lang w:val="es-ES_tradnl"/>
        </w:rPr>
        <w:t>”</w:t>
      </w:r>
      <w:r w:rsidRPr="001777A9">
        <w:rPr>
          <w:rFonts w:ascii="Arial" w:hAnsi="Arial" w:cs="Arial"/>
          <w:bCs/>
          <w:color w:val="000000" w:themeColor="text1"/>
          <w:lang w:eastAsia="es-MX"/>
        </w:rPr>
        <w:t xml:space="preserve">. </w:t>
      </w:r>
    </w:p>
    <w:p w14:paraId="0E25CBB4" w14:textId="77777777" w:rsidR="00CB603F" w:rsidRPr="001777A9" w:rsidRDefault="00CB603F" w:rsidP="00CB603F">
      <w:pPr>
        <w:shd w:val="clear" w:color="auto" w:fill="FFFFFF" w:themeFill="background1"/>
        <w:spacing w:before="120" w:after="0" w:line="276" w:lineRule="auto"/>
        <w:ind w:firstLine="709"/>
        <w:jc w:val="both"/>
        <w:rPr>
          <w:rFonts w:ascii="Arial" w:hAnsi="Arial" w:cs="Arial"/>
          <w:bCs/>
          <w:color w:val="000000" w:themeColor="text1"/>
          <w:lang w:eastAsia="es-MX"/>
        </w:rPr>
      </w:pPr>
      <w:r w:rsidRPr="001777A9">
        <w:rPr>
          <w:rFonts w:ascii="Arial" w:hAnsi="Arial" w:cs="Arial"/>
          <w:bCs/>
          <w:color w:val="000000" w:themeColor="text1"/>
          <w:lang w:eastAsia="es-MX"/>
        </w:rPr>
        <w:t>En desarrollo de lo anterior, el artículo 95 de dicha ley contempla la celebración</w:t>
      </w:r>
      <w:r>
        <w:rPr>
          <w:rFonts w:ascii="Arial" w:hAnsi="Arial" w:cs="Arial"/>
          <w:bCs/>
          <w:color w:val="000000" w:themeColor="text1"/>
          <w:lang w:eastAsia="es-MX"/>
        </w:rPr>
        <w:t xml:space="preserve"> </w:t>
      </w:r>
      <w:r w:rsidRPr="001777A9">
        <w:rPr>
          <w:rFonts w:ascii="Arial" w:hAnsi="Arial" w:cs="Arial"/>
          <w:bCs/>
          <w:color w:val="000000" w:themeColor="text1"/>
          <w:lang w:eastAsia="es-MX"/>
        </w:rPr>
        <w:t>directa de convenios solidarios entre organismos de acción comunal y “los entes del orden Nacional, Departamental, Distrital y municipal”</w:t>
      </w:r>
      <w:r>
        <w:rPr>
          <w:rFonts w:ascii="Arial" w:hAnsi="Arial" w:cs="Arial"/>
          <w:bCs/>
          <w:color w:val="000000" w:themeColor="text1"/>
          <w:lang w:eastAsia="es-MX"/>
        </w:rPr>
        <w:t>,</w:t>
      </w:r>
      <w:r w:rsidRPr="001777A9">
        <w:rPr>
          <w:rFonts w:ascii="Arial" w:hAnsi="Arial" w:cs="Arial"/>
          <w:bCs/>
          <w:color w:val="000000" w:themeColor="text1"/>
          <w:lang w:eastAsia="es-MX"/>
        </w:rPr>
        <w:t xml:space="preserve"> prescribiendo lo siguiente: </w:t>
      </w:r>
    </w:p>
    <w:p w14:paraId="5B04626D" w14:textId="77777777" w:rsidR="00CB603F" w:rsidRPr="001777A9" w:rsidRDefault="00CB603F" w:rsidP="00CB603F">
      <w:pPr>
        <w:shd w:val="clear" w:color="auto" w:fill="FFFFFF" w:themeFill="background1"/>
        <w:spacing w:after="0" w:line="276" w:lineRule="auto"/>
        <w:ind w:firstLine="709"/>
        <w:jc w:val="both"/>
        <w:rPr>
          <w:rFonts w:ascii="Arial" w:hAnsi="Arial" w:cs="Arial"/>
          <w:bCs/>
          <w:color w:val="000000" w:themeColor="text1"/>
          <w:lang w:eastAsia="es-MX"/>
        </w:rPr>
      </w:pPr>
    </w:p>
    <w:p w14:paraId="5240C59D" w14:textId="77777777" w:rsidR="00CB603F" w:rsidRPr="001777A9" w:rsidRDefault="00CB603F" w:rsidP="00CB603F">
      <w:pPr>
        <w:shd w:val="clear" w:color="auto" w:fill="FFFFFF" w:themeFill="background1"/>
        <w:spacing w:after="120" w:line="240" w:lineRule="auto"/>
        <w:ind w:left="709" w:right="709"/>
        <w:jc w:val="both"/>
        <w:rPr>
          <w:rFonts w:ascii="Arial" w:hAnsi="Arial" w:cs="Arial"/>
          <w:color w:val="000000" w:themeColor="text1"/>
          <w:sz w:val="21"/>
          <w:szCs w:val="21"/>
        </w:rPr>
      </w:pPr>
      <w:r w:rsidRPr="001777A9">
        <w:rPr>
          <w:rFonts w:ascii="Arial" w:hAnsi="Arial" w:cs="Arial"/>
          <w:color w:val="000000" w:themeColor="text1"/>
          <w:sz w:val="21"/>
          <w:szCs w:val="21"/>
        </w:rPr>
        <w:t xml:space="preserve">“Artículo 95. Convenios Solidarios. Se autoriza a los entes del orden Nacional, Departamental, Distrital y municipal para celebrar directamente convenios solidarios con los Organismos de Acción Comunal con el fin de ejecutar obras </w:t>
      </w:r>
      <w:r w:rsidRPr="001777A9">
        <w:rPr>
          <w:rFonts w:ascii="Arial" w:hAnsi="Arial" w:cs="Arial"/>
          <w:color w:val="000000" w:themeColor="text1"/>
          <w:sz w:val="21"/>
          <w:szCs w:val="21"/>
        </w:rPr>
        <w:lastRenderedPageBreak/>
        <w:t>hasta por la menor cuantía. Para la ejecución de estas deberán contratar con los habitantes de la comunidad.</w:t>
      </w:r>
    </w:p>
    <w:p w14:paraId="19EA05F5" w14:textId="77777777" w:rsidR="00CB603F" w:rsidRPr="001777A9" w:rsidRDefault="00CB603F" w:rsidP="00CB603F">
      <w:pPr>
        <w:shd w:val="clear" w:color="auto" w:fill="FFFFFF" w:themeFill="background1"/>
        <w:spacing w:after="120" w:line="240" w:lineRule="auto"/>
        <w:ind w:left="709" w:right="709"/>
        <w:jc w:val="both"/>
        <w:rPr>
          <w:rFonts w:ascii="Arial" w:hAnsi="Arial" w:cs="Arial"/>
          <w:color w:val="000000" w:themeColor="text1"/>
          <w:sz w:val="21"/>
          <w:szCs w:val="21"/>
        </w:rPr>
      </w:pPr>
      <w:r w:rsidRPr="001777A9">
        <w:rPr>
          <w:rFonts w:ascii="Arial" w:hAnsi="Arial"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41F34D63" w14:textId="77777777" w:rsidR="00CB603F" w:rsidRPr="001777A9" w:rsidRDefault="00CB603F" w:rsidP="00CB603F">
      <w:pPr>
        <w:shd w:val="clear" w:color="auto" w:fill="FFFFFF" w:themeFill="background1"/>
        <w:spacing w:after="0" w:line="240" w:lineRule="auto"/>
        <w:ind w:left="709" w:right="709"/>
        <w:jc w:val="both"/>
        <w:rPr>
          <w:rFonts w:ascii="Arial" w:hAnsi="Arial" w:cs="Arial"/>
          <w:color w:val="000000" w:themeColor="text1"/>
          <w:sz w:val="21"/>
          <w:szCs w:val="21"/>
        </w:rPr>
      </w:pPr>
      <w:r w:rsidRPr="001777A9">
        <w:rPr>
          <w:rFonts w:ascii="Arial" w:hAnsi="Arial"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1777A9">
        <w:rPr>
          <w:rFonts w:ascii="Arial" w:hAnsi="Arial" w:cs="Arial"/>
          <w:color w:val="000000" w:themeColor="text1"/>
          <w:sz w:val="21"/>
          <w:szCs w:val="21"/>
          <w:vertAlign w:val="superscript"/>
        </w:rPr>
        <w:footnoteReference w:id="7"/>
      </w:r>
      <w:r w:rsidRPr="001777A9">
        <w:rPr>
          <w:rFonts w:ascii="Arial" w:hAnsi="Arial" w:cs="Arial"/>
          <w:color w:val="000000" w:themeColor="text1"/>
          <w:sz w:val="21"/>
          <w:szCs w:val="21"/>
        </w:rPr>
        <w:t>.</w:t>
      </w:r>
    </w:p>
    <w:p w14:paraId="2DECB073" w14:textId="77777777" w:rsidR="00CB603F" w:rsidRPr="001777A9" w:rsidRDefault="00CB603F" w:rsidP="00CB603F">
      <w:pPr>
        <w:shd w:val="clear" w:color="auto" w:fill="FFFFFF" w:themeFill="background1"/>
        <w:spacing w:after="0"/>
        <w:ind w:firstLine="709"/>
        <w:jc w:val="both"/>
        <w:rPr>
          <w:rFonts w:ascii="Arial" w:hAnsi="Arial" w:cs="Arial"/>
          <w:bCs/>
          <w:color w:val="000000" w:themeColor="text1"/>
          <w:lang w:eastAsia="es-MX"/>
        </w:rPr>
      </w:pPr>
    </w:p>
    <w:p w14:paraId="6C39EB50" w14:textId="77777777" w:rsidR="00CB603F" w:rsidRPr="001777A9" w:rsidRDefault="00CB603F" w:rsidP="00CB603F">
      <w:pPr>
        <w:shd w:val="clear" w:color="auto" w:fill="FFFFFF" w:themeFill="background1"/>
        <w:spacing w:after="120" w:line="276" w:lineRule="auto"/>
        <w:ind w:firstLine="709"/>
        <w:jc w:val="both"/>
        <w:rPr>
          <w:rFonts w:ascii="Arial" w:eastAsia="Calibri" w:hAnsi="Arial" w:cs="Arial"/>
          <w:color w:val="000000" w:themeColor="text1"/>
          <w:lang w:val="es-ES_tradnl"/>
        </w:rPr>
      </w:pPr>
      <w:r w:rsidRPr="001777A9">
        <w:rPr>
          <w:rFonts w:ascii="Arial" w:hAnsi="Arial" w:cs="Arial"/>
          <w:bCs/>
          <w:color w:val="000000" w:themeColor="text1"/>
          <w:lang w:eastAsia="es-MX"/>
        </w:rPr>
        <w:t xml:space="preserve">Según se evidencia, esta norma desarrolla las siguientes reglas: i) Las </w:t>
      </w:r>
      <w:r w:rsidRPr="001777A9">
        <w:rPr>
          <w:rFonts w:ascii="Arial" w:eastAsia="Calibri" w:hAnsi="Arial" w:cs="Arial"/>
          <w:color w:val="000000" w:themeColor="text1"/>
          <w:lang w:val="es-ES_tradnl"/>
        </w:rPr>
        <w:t>“</w:t>
      </w:r>
      <w:r w:rsidRPr="001777A9">
        <w:rPr>
          <w:rFonts w:ascii="Arial" w:hAnsi="Arial" w:cs="Arial"/>
          <w:bCs/>
          <w:color w:val="000000" w:themeColor="text1"/>
          <w:lang w:eastAsia="es-MX"/>
        </w:rPr>
        <w:t>entidades del</w:t>
      </w:r>
      <w:r w:rsidRPr="001777A9">
        <w:rPr>
          <w:rFonts w:ascii="Arial" w:eastAsia="Calibri" w:hAnsi="Arial" w:cs="Arial"/>
          <w:color w:val="000000" w:themeColor="text1"/>
          <w:lang w:val="es-ES_tradnl"/>
        </w:rPr>
        <w:t xml:space="preserve"> </w:t>
      </w:r>
      <w:r w:rsidRPr="001777A9">
        <w:rPr>
          <w:rFonts w:ascii="Arial" w:hAnsi="Arial" w:cs="Arial"/>
          <w:color w:val="000000" w:themeColor="text1"/>
        </w:rPr>
        <w:t>orden Nacional, Departamental, Distrital y municipal</w:t>
      </w:r>
      <w:r w:rsidRPr="001777A9">
        <w:rPr>
          <w:rFonts w:ascii="Arial" w:eastAsia="Calibri" w:hAnsi="Arial" w:cs="Arial"/>
          <w:color w:val="000000" w:themeColor="text1"/>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1777A9">
        <w:rPr>
          <w:rFonts w:ascii="Arial" w:eastAsia="Calibri" w:hAnsi="Arial" w:cs="Arial"/>
          <w:i/>
          <w:iCs/>
          <w:color w:val="000000" w:themeColor="text1"/>
          <w:lang w:val="es-ES_tradnl"/>
        </w:rPr>
        <w:t>organismos de acción comunal</w:t>
      </w:r>
      <w:r w:rsidRPr="001777A9">
        <w:rPr>
          <w:rFonts w:ascii="Arial" w:eastAsia="Calibri" w:hAnsi="Arial" w:cs="Arial"/>
          <w:color w:val="000000" w:themeColor="text1"/>
          <w:vertAlign w:val="superscript"/>
          <w:lang w:val="es-ES_tradnl"/>
        </w:rPr>
        <w:footnoteReference w:id="8"/>
      </w:r>
      <w:r w:rsidRPr="001777A9">
        <w:rPr>
          <w:rFonts w:ascii="Arial" w:eastAsia="Calibri" w:hAnsi="Arial" w:cs="Arial"/>
          <w:color w:val="000000" w:themeColor="text1"/>
          <w:lang w:val="es-ES_tradnl"/>
        </w:rPr>
        <w:t xml:space="preserve">.  </w:t>
      </w:r>
    </w:p>
    <w:p w14:paraId="05055D78" w14:textId="77777777" w:rsidR="00CB603F" w:rsidRPr="001777A9" w:rsidRDefault="00CB603F" w:rsidP="00CB603F">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proofErr w:type="spellStart"/>
      <w:r w:rsidRPr="001777A9">
        <w:rPr>
          <w:rFonts w:ascii="Arial" w:eastAsia="Calibri" w:hAnsi="Arial" w:cs="Arial"/>
          <w:color w:val="000000" w:themeColor="text1"/>
          <w:lang w:val="es-ES_tradnl"/>
        </w:rPr>
        <w:lastRenderedPageBreak/>
        <w:t>ii</w:t>
      </w:r>
      <w:proofErr w:type="spellEnd"/>
      <w:r w:rsidRPr="001777A9">
        <w:rPr>
          <w:rFonts w:ascii="Arial" w:eastAsia="Calibri" w:hAnsi="Arial" w:cs="Arial"/>
          <w:color w:val="000000" w:themeColor="text1"/>
          <w:lang w:val="es-ES_tradnl"/>
        </w:rPr>
        <w:t xml:space="preserve">) Estos convenios solidarios deben tener por objeto únicamente la ejecución de obras. Esto significa que no pueden desarrollarse otros objetos distintos a la obra con fundamento en este artículo. </w:t>
      </w:r>
    </w:p>
    <w:p w14:paraId="39DF6C62" w14:textId="77777777" w:rsidR="00CB603F" w:rsidRPr="001777A9" w:rsidRDefault="00CB603F" w:rsidP="00CB603F">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proofErr w:type="spellStart"/>
      <w:r w:rsidRPr="001777A9">
        <w:rPr>
          <w:rFonts w:ascii="Arial" w:eastAsia="Calibri" w:hAnsi="Arial" w:cs="Arial"/>
          <w:color w:val="000000" w:themeColor="text1"/>
          <w:lang w:val="es-ES_tradnl"/>
        </w:rPr>
        <w:t>iii</w:t>
      </w:r>
      <w:proofErr w:type="spellEnd"/>
      <w:r w:rsidRPr="001777A9">
        <w:rPr>
          <w:rFonts w:ascii="Arial" w:eastAsia="Calibri" w:hAnsi="Arial" w:cs="Arial"/>
          <w:color w:val="000000" w:themeColor="text1"/>
          <w:lang w:val="es-ES_tradnl"/>
        </w:rPr>
        <w:t xml:space="preserve">)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4B4DB063" w14:textId="77777777" w:rsidR="00CB603F" w:rsidRPr="001777A9" w:rsidRDefault="00CB603F" w:rsidP="00CB603F">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proofErr w:type="spellStart"/>
      <w:r w:rsidRPr="001777A9">
        <w:rPr>
          <w:rFonts w:ascii="Arial" w:eastAsia="Calibri" w:hAnsi="Arial" w:cs="Arial"/>
          <w:color w:val="000000" w:themeColor="text1"/>
          <w:lang w:val="es-ES_tradnl"/>
        </w:rPr>
        <w:t>iv</w:t>
      </w:r>
      <w:proofErr w:type="spellEnd"/>
      <w:r w:rsidRPr="001777A9">
        <w:rPr>
          <w:rFonts w:ascii="Arial" w:eastAsia="Calibri" w:hAnsi="Arial" w:cs="Arial"/>
          <w:color w:val="000000" w:themeColor="text1"/>
          <w:lang w:val="es-ES_tradnl"/>
        </w:rPr>
        <w:t>) Para la ejecución de las obras se establece el deber de contratar con los habitantes de la comunidad.</w:t>
      </w:r>
    </w:p>
    <w:p w14:paraId="7E74960F" w14:textId="77777777" w:rsidR="00CB603F" w:rsidRPr="001777A9" w:rsidRDefault="00CB603F" w:rsidP="00CB603F">
      <w:pPr>
        <w:shd w:val="clear" w:color="auto" w:fill="FFFFFF" w:themeFill="background1"/>
        <w:spacing w:before="120" w:after="120" w:line="276" w:lineRule="auto"/>
        <w:ind w:firstLine="709"/>
        <w:jc w:val="both"/>
        <w:rPr>
          <w:rFonts w:ascii="Arial" w:eastAsia="Calibri" w:hAnsi="Arial" w:cs="Arial"/>
          <w:color w:val="000000" w:themeColor="text1"/>
        </w:rPr>
      </w:pPr>
      <w:r w:rsidRPr="001777A9">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1777A9">
        <w:rPr>
          <w:rFonts w:ascii="Arial" w:eastAsia="Calibri" w:hAnsi="Arial"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59ADC452" w14:textId="77777777" w:rsidR="00CB603F" w:rsidRPr="001777A9" w:rsidRDefault="00CB603F" w:rsidP="00CB603F">
      <w:pPr>
        <w:shd w:val="clear" w:color="auto" w:fill="FFFFFF" w:themeFill="background1"/>
        <w:spacing w:before="120" w:after="120" w:line="276" w:lineRule="auto"/>
        <w:ind w:firstLine="709"/>
        <w:jc w:val="both"/>
        <w:rPr>
          <w:rFonts w:ascii="Arial" w:eastAsia="Calibri" w:hAnsi="Arial" w:cs="Arial"/>
          <w:color w:val="000000" w:themeColor="text1"/>
          <w:lang w:val="es-ES_tradnl"/>
        </w:rPr>
      </w:pPr>
      <w:r w:rsidRPr="001777A9">
        <w:rPr>
          <w:rFonts w:ascii="Arial" w:eastAsia="Calibri" w:hAnsi="Arial" w:cs="Arial"/>
          <w:color w:val="000000" w:themeColor="text1"/>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7A5155D4" w14:textId="77777777" w:rsidR="00CB603F" w:rsidRPr="001777A9" w:rsidRDefault="00CB603F" w:rsidP="00CB603F">
      <w:pPr>
        <w:shd w:val="clear" w:color="auto" w:fill="FFFFFF" w:themeFill="background1"/>
        <w:spacing w:after="0" w:line="276" w:lineRule="auto"/>
        <w:ind w:firstLine="709"/>
        <w:jc w:val="both"/>
        <w:rPr>
          <w:rFonts w:ascii="Arial" w:hAnsi="Arial" w:cs="Arial"/>
          <w:bCs/>
          <w:color w:val="000000" w:themeColor="text1"/>
          <w:lang w:eastAsia="es-MX"/>
        </w:rPr>
      </w:pPr>
      <w:r w:rsidRPr="001777A9">
        <w:rPr>
          <w:rFonts w:ascii="Arial" w:hAnsi="Arial" w:cs="Arial"/>
          <w:bCs/>
          <w:color w:val="000000" w:themeColor="text1"/>
          <w:lang w:eastAsia="es-MX"/>
        </w:rPr>
        <w:t>Como se observa, el artículo 95 de la Ley 2166 de 2021 determina la celebración por contratación directa de convenios solidarios. Este régimen de contratación</w:t>
      </w:r>
      <w:r>
        <w:rPr>
          <w:rFonts w:ascii="Arial" w:hAnsi="Arial" w:cs="Arial"/>
          <w:bCs/>
          <w:color w:val="000000" w:themeColor="text1"/>
          <w:lang w:eastAsia="es-MX"/>
        </w:rPr>
        <w:t xml:space="preserve"> </w:t>
      </w:r>
      <w:r w:rsidRPr="001777A9">
        <w:rPr>
          <w:rFonts w:ascii="Arial" w:hAnsi="Arial" w:cs="Arial"/>
          <w:bCs/>
          <w:color w:val="000000" w:themeColor="text1"/>
          <w:lang w:eastAsia="es-MX"/>
        </w:rPr>
        <w:t xml:space="preserve">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1777A9">
        <w:rPr>
          <w:rFonts w:ascii="Arial" w:eastAsia="Calibri" w:hAnsi="Arial" w:cs="Arial"/>
          <w:color w:val="000000" w:themeColor="text1"/>
          <w:lang w:val="es-ES_tradnl"/>
        </w:rPr>
        <w:t>“</w:t>
      </w:r>
      <w:r w:rsidRPr="001777A9">
        <w:rPr>
          <w:rFonts w:ascii="Arial" w:hAnsi="Arial" w:cs="Arial"/>
          <w:bCs/>
          <w:color w:val="000000" w:themeColor="text1"/>
          <w:lang w:eastAsia="es-MX"/>
        </w:rPr>
        <w:t>entes territoriales del</w:t>
      </w:r>
      <w:r w:rsidRPr="001777A9">
        <w:rPr>
          <w:rFonts w:ascii="Arial" w:eastAsia="Calibri" w:hAnsi="Arial" w:cs="Arial"/>
          <w:color w:val="000000" w:themeColor="text1"/>
          <w:lang w:val="es-ES_tradnl"/>
        </w:rPr>
        <w:t xml:space="preserve"> </w:t>
      </w:r>
      <w:r w:rsidRPr="001777A9">
        <w:rPr>
          <w:rFonts w:ascii="Arial" w:hAnsi="Arial" w:cs="Arial"/>
          <w:color w:val="000000" w:themeColor="text1"/>
        </w:rPr>
        <w:t>orden Nacional, Departamental, Distrital y municipal</w:t>
      </w:r>
      <w:r w:rsidRPr="001777A9">
        <w:rPr>
          <w:rFonts w:ascii="Arial" w:eastAsia="Calibri" w:hAnsi="Arial" w:cs="Arial"/>
          <w:color w:val="000000" w:themeColor="text1"/>
          <w:lang w:val="es-ES_tradnl"/>
        </w:rPr>
        <w:t xml:space="preserve">” y a los “organismos de acción comunal”. Es decir, </w:t>
      </w:r>
      <w:r w:rsidRPr="001777A9">
        <w:rPr>
          <w:rFonts w:ascii="Arial" w:hAnsi="Arial" w:cs="Arial"/>
          <w:bCs/>
          <w:color w:val="000000" w:themeColor="text1"/>
          <w:lang w:eastAsia="es-MX"/>
        </w:rPr>
        <w:t>conforme a esta Ley podrán celebrar convenios solidarios directamente</w:t>
      </w:r>
      <w:r>
        <w:rPr>
          <w:rFonts w:ascii="Arial" w:hAnsi="Arial" w:cs="Arial"/>
          <w:bCs/>
          <w:color w:val="000000" w:themeColor="text1"/>
          <w:lang w:eastAsia="es-MX"/>
        </w:rPr>
        <w:t>,</w:t>
      </w:r>
      <w:r w:rsidRPr="001777A9">
        <w:rPr>
          <w:rFonts w:ascii="Arial" w:hAnsi="Arial" w:cs="Arial"/>
          <w:bCs/>
          <w:color w:val="000000" w:themeColor="text1"/>
          <w:lang w:eastAsia="es-MX"/>
        </w:rPr>
        <w:t xml:space="preserve"> no solo los entes territoriales del orden departamental, municipal y distrital</w:t>
      </w:r>
      <w:r>
        <w:rPr>
          <w:rFonts w:ascii="Arial" w:hAnsi="Arial" w:cs="Arial"/>
          <w:bCs/>
          <w:color w:val="000000" w:themeColor="text1"/>
          <w:lang w:eastAsia="es-MX"/>
        </w:rPr>
        <w:t>,</w:t>
      </w:r>
      <w:r w:rsidRPr="001777A9">
        <w:rPr>
          <w:rFonts w:ascii="Arial" w:hAnsi="Arial" w:cs="Arial"/>
          <w:bCs/>
          <w:color w:val="000000" w:themeColor="text1"/>
          <w:lang w:eastAsia="es-MX"/>
        </w:rPr>
        <w:t xml:space="preserve"> sino también las entidades del orden nacional</w:t>
      </w:r>
      <w:r>
        <w:rPr>
          <w:rFonts w:ascii="Arial" w:hAnsi="Arial" w:cs="Arial"/>
          <w:bCs/>
          <w:color w:val="000000" w:themeColor="text1"/>
          <w:lang w:eastAsia="es-MX"/>
        </w:rPr>
        <w:t>,</w:t>
      </w:r>
      <w:r w:rsidRPr="001777A9">
        <w:rPr>
          <w:rFonts w:ascii="Arial" w:hAnsi="Arial" w:cs="Arial"/>
          <w:bCs/>
          <w:color w:val="000000" w:themeColor="text1"/>
          <w:lang w:eastAsia="es-MX"/>
        </w:rPr>
        <w:t xml:space="preserve">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w:t>
      </w:r>
      <w:r>
        <w:rPr>
          <w:rFonts w:ascii="Arial" w:hAnsi="Arial" w:cs="Arial"/>
          <w:bCs/>
          <w:color w:val="000000" w:themeColor="text1"/>
          <w:lang w:eastAsia="es-MX"/>
        </w:rPr>
        <w:t>2</w:t>
      </w:r>
      <w:r w:rsidRPr="001777A9">
        <w:rPr>
          <w:rFonts w:ascii="Arial" w:hAnsi="Arial" w:cs="Arial"/>
          <w:bCs/>
          <w:color w:val="000000" w:themeColor="text1"/>
          <w:lang w:eastAsia="es-MX"/>
        </w:rPr>
        <w:t>3, el cual adiciona el artículo 2.2.15.1.2 del Decreto 1082 de 2015 en los siguientes términos:</w:t>
      </w:r>
    </w:p>
    <w:p w14:paraId="1D569044" w14:textId="77777777" w:rsidR="00CB603F" w:rsidRPr="001777A9" w:rsidRDefault="00CB603F" w:rsidP="00CB603F">
      <w:pPr>
        <w:shd w:val="clear" w:color="auto" w:fill="FFFFFF" w:themeFill="background1"/>
        <w:spacing w:after="0" w:line="276" w:lineRule="auto"/>
        <w:ind w:left="709" w:right="709"/>
        <w:jc w:val="both"/>
        <w:rPr>
          <w:rFonts w:ascii="Arial" w:hAnsi="Arial" w:cs="Arial"/>
          <w:bCs/>
          <w:color w:val="000000" w:themeColor="text1"/>
          <w:lang w:eastAsia="es-MX"/>
        </w:rPr>
      </w:pPr>
    </w:p>
    <w:p w14:paraId="1CE94A0F" w14:textId="77777777" w:rsidR="00CB603F" w:rsidRPr="001777A9" w:rsidRDefault="00CB603F" w:rsidP="00CB603F">
      <w:pPr>
        <w:shd w:val="clear" w:color="auto" w:fill="FFFFFF" w:themeFill="background1"/>
        <w:spacing w:after="120" w:line="240" w:lineRule="auto"/>
        <w:ind w:left="709" w:right="709"/>
        <w:jc w:val="both"/>
        <w:rPr>
          <w:rFonts w:ascii="Arial" w:hAnsi="Arial" w:cs="Arial"/>
          <w:bCs/>
          <w:color w:val="000000" w:themeColor="text1"/>
          <w:sz w:val="21"/>
          <w:szCs w:val="21"/>
          <w:lang w:eastAsia="es-MX"/>
        </w:rPr>
      </w:pPr>
      <w:r w:rsidRPr="001777A9">
        <w:rPr>
          <w:rFonts w:ascii="Arial" w:hAnsi="Arial" w:cs="Arial"/>
          <w:bCs/>
          <w:color w:val="000000" w:themeColor="text1"/>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3CCAF49F" w14:textId="77777777" w:rsidR="00CB603F" w:rsidRPr="001777A9" w:rsidRDefault="00CB603F" w:rsidP="00CB603F">
      <w:pPr>
        <w:shd w:val="clear" w:color="auto" w:fill="FFFFFF" w:themeFill="background1"/>
        <w:spacing w:after="0" w:line="240" w:lineRule="auto"/>
        <w:ind w:left="709" w:right="709"/>
        <w:jc w:val="both"/>
        <w:rPr>
          <w:rFonts w:ascii="Arial" w:hAnsi="Arial" w:cs="Arial"/>
          <w:bCs/>
          <w:color w:val="000000" w:themeColor="text1"/>
          <w:sz w:val="21"/>
          <w:szCs w:val="21"/>
          <w:lang w:eastAsia="es-MX"/>
        </w:rPr>
      </w:pPr>
      <w:r w:rsidRPr="001777A9">
        <w:rPr>
          <w:rFonts w:ascii="Arial" w:hAnsi="Arial" w:cs="Arial"/>
          <w:bCs/>
          <w:color w:val="000000" w:themeColor="text1"/>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51174310" w14:textId="77777777" w:rsidR="00CB603F" w:rsidRPr="001777A9" w:rsidRDefault="00CB603F" w:rsidP="00CB603F">
      <w:pPr>
        <w:shd w:val="clear" w:color="auto" w:fill="FFFFFF" w:themeFill="background1"/>
        <w:spacing w:after="0" w:line="276" w:lineRule="auto"/>
        <w:ind w:left="709" w:right="709"/>
        <w:jc w:val="both"/>
        <w:rPr>
          <w:rFonts w:ascii="Arial" w:hAnsi="Arial" w:cs="Arial"/>
          <w:bCs/>
          <w:color w:val="000000" w:themeColor="text1"/>
          <w:lang w:eastAsia="es-MX"/>
        </w:rPr>
      </w:pPr>
    </w:p>
    <w:p w14:paraId="0474ABB6" w14:textId="77777777" w:rsidR="00CB603F" w:rsidRDefault="00CB603F" w:rsidP="00CB603F">
      <w:pPr>
        <w:shd w:val="clear" w:color="auto" w:fill="FFFFFF" w:themeFill="background1"/>
        <w:spacing w:after="0" w:line="276" w:lineRule="auto"/>
        <w:ind w:firstLine="709"/>
        <w:jc w:val="both"/>
        <w:rPr>
          <w:rFonts w:ascii="Arial" w:eastAsia="Calibri" w:hAnsi="Arial" w:cs="Arial"/>
          <w:color w:val="000000" w:themeColor="text1"/>
          <w:lang w:val="es-ES_tradnl"/>
        </w:rPr>
      </w:pPr>
      <w:r>
        <w:rPr>
          <w:rFonts w:ascii="Arial" w:hAnsi="Arial" w:cs="Arial"/>
          <w:bCs/>
          <w:color w:val="000000" w:themeColor="text1"/>
          <w:lang w:eastAsia="es-MX"/>
        </w:rPr>
        <w:t>De acuerdo con lo señalado</w:t>
      </w:r>
      <w:r w:rsidRPr="001777A9">
        <w:rPr>
          <w:rFonts w:ascii="Arial" w:hAnsi="Arial" w:cs="Arial"/>
          <w:bCs/>
          <w:color w:val="000000" w:themeColor="text1"/>
          <w:lang w:eastAsia="es-MX"/>
        </w:rPr>
        <w:t xml:space="preserve">, </w:t>
      </w:r>
      <w:r>
        <w:rPr>
          <w:rFonts w:ascii="Arial" w:hAnsi="Arial" w:cs="Arial"/>
          <w:bCs/>
          <w:color w:val="000000" w:themeColor="text1"/>
          <w:lang w:eastAsia="es-MX"/>
        </w:rPr>
        <w:t>el documento tipo adoptado por la Agencia Nacional de Contratación Pública</w:t>
      </w:r>
      <w:r w:rsidRPr="00ED3CF9">
        <w:rPr>
          <w:rFonts w:ascii="Arial" w:eastAsia="Calibri" w:hAnsi="Arial" w:cs="Arial"/>
          <w:color w:val="000000"/>
          <w:lang w:val="es-ES" w:eastAsia="es-ES"/>
        </w:rPr>
        <w:t xml:space="preserve">– </w:t>
      </w:r>
      <w:r>
        <w:rPr>
          <w:rFonts w:ascii="Arial" w:eastAsia="Calibri" w:hAnsi="Arial" w:cs="Arial"/>
          <w:color w:val="000000"/>
          <w:lang w:val="es-ES" w:eastAsia="es-ES"/>
        </w:rPr>
        <w:t>Colombia Compra Eficiente</w:t>
      </w:r>
      <w:r>
        <w:rPr>
          <w:rFonts w:ascii="Arial" w:hAnsi="Arial" w:cs="Arial"/>
          <w:spacing w:val="2"/>
          <w:lang w:eastAsia="es-CO"/>
        </w:rPr>
        <w:t xml:space="preserve"> </w:t>
      </w:r>
      <w:r>
        <w:rPr>
          <w:rFonts w:ascii="Arial" w:hAnsi="Arial" w:cs="Arial"/>
          <w:bCs/>
          <w:color w:val="000000" w:themeColor="text1"/>
          <w:lang w:eastAsia="es-MX"/>
        </w:rPr>
        <w:t xml:space="preserve">mediante la Resolución 358 del 30 de junio de 2023, tiene como fundamento el </w:t>
      </w:r>
      <w:r w:rsidRPr="001777A9">
        <w:rPr>
          <w:rFonts w:ascii="Arial" w:hAnsi="Arial" w:cs="Arial"/>
          <w:bCs/>
          <w:color w:val="000000" w:themeColor="text1"/>
          <w:lang w:eastAsia="es-MX"/>
        </w:rPr>
        <w:t>régimen de contratación directa de los convenios solidarios señalado en el artículo 95 de la Ley 2166 de 2021</w:t>
      </w:r>
      <w:r>
        <w:rPr>
          <w:rFonts w:ascii="Arial" w:hAnsi="Arial" w:cs="Arial"/>
          <w:bCs/>
          <w:color w:val="000000" w:themeColor="text1"/>
          <w:lang w:eastAsia="es-MX"/>
        </w:rPr>
        <w:t>, por lo que</w:t>
      </w:r>
      <w:r w:rsidRPr="001777A9">
        <w:rPr>
          <w:rFonts w:ascii="Arial" w:hAnsi="Arial" w:cs="Arial"/>
          <w:bCs/>
          <w:color w:val="000000" w:themeColor="text1"/>
          <w:lang w:eastAsia="es-MX"/>
        </w:rPr>
        <w:t xml:space="preserve"> únicamente puede realizarse conforme a lo dispuesto en dicha norma, de manera que podrá</w:t>
      </w:r>
      <w:r>
        <w:rPr>
          <w:rFonts w:ascii="Arial" w:hAnsi="Arial" w:cs="Arial"/>
          <w:bCs/>
          <w:color w:val="000000" w:themeColor="text1"/>
          <w:lang w:eastAsia="es-MX"/>
        </w:rPr>
        <w:t xml:space="preserve">n celebrarse esos convenios </w:t>
      </w:r>
      <w:r w:rsidRPr="001777A9">
        <w:rPr>
          <w:rFonts w:ascii="Arial" w:eastAsia="Calibri" w:hAnsi="Arial" w:cs="Arial"/>
          <w:color w:val="000000" w:themeColor="text1"/>
          <w:lang w:val="es-ES_tradnl"/>
        </w:rPr>
        <w:t>por la mínima o la menor cuantía de la entidad</w:t>
      </w:r>
      <w:r>
        <w:rPr>
          <w:rFonts w:ascii="Arial" w:eastAsia="Calibri" w:hAnsi="Arial" w:cs="Arial"/>
          <w:color w:val="000000" w:themeColor="text1"/>
          <w:lang w:val="es-ES_tradnl"/>
        </w:rPr>
        <w:t xml:space="preserve"> estatal sometida al Estatuto General de Contratación de la Administración Pública. Por lo anterior, los artículos 1, 2 y 4 de la Resolución señalada mencionan que estos aplican para la contratación directa </w:t>
      </w:r>
      <w:r w:rsidRPr="009E7DB8">
        <w:rPr>
          <w:rFonts w:ascii="Arial" w:eastAsia="Calibri" w:hAnsi="Arial" w:cs="Arial"/>
          <w:color w:val="000000" w:themeColor="text1"/>
          <w:lang w:val="es-ES_tradnl"/>
        </w:rPr>
        <w:t xml:space="preserve">de convenios solidarios para la ejecución de obras </w:t>
      </w:r>
      <w:r w:rsidRPr="009E7DB8">
        <w:rPr>
          <w:rFonts w:ascii="Arial" w:eastAsia="Calibri" w:hAnsi="Arial" w:cs="Arial"/>
          <w:i/>
          <w:iCs/>
          <w:color w:val="000000" w:themeColor="text1"/>
          <w:u w:val="single"/>
          <w:lang w:val="es-ES_tradnl"/>
        </w:rPr>
        <w:t>hasta</w:t>
      </w:r>
      <w:r w:rsidRPr="009E7DB8">
        <w:rPr>
          <w:rFonts w:ascii="Arial" w:eastAsia="Calibri" w:hAnsi="Arial" w:cs="Arial"/>
          <w:color w:val="000000" w:themeColor="text1"/>
          <w:lang w:val="es-ES_tradnl"/>
        </w:rPr>
        <w:t xml:space="preserve"> la menor cuantía con Organismos de Acción Comunal.</w:t>
      </w:r>
    </w:p>
    <w:p w14:paraId="0AEC1201" w14:textId="77777777" w:rsidR="00CB603F" w:rsidRDefault="00CB603F" w:rsidP="00CB603F">
      <w:pPr>
        <w:shd w:val="clear" w:color="auto" w:fill="FFFFFF" w:themeFill="background1"/>
        <w:spacing w:after="0" w:line="276" w:lineRule="auto"/>
        <w:jc w:val="both"/>
        <w:rPr>
          <w:rFonts w:ascii="Arial" w:eastAsia="Calibri" w:hAnsi="Arial" w:cs="Arial"/>
          <w:color w:val="000000" w:themeColor="text1"/>
          <w:lang w:val="es-ES_tradnl"/>
        </w:rPr>
      </w:pPr>
    </w:p>
    <w:p w14:paraId="1D7B5C46" w14:textId="4CEE6E7A" w:rsidR="00CB603F" w:rsidRPr="009244E2" w:rsidRDefault="00CB603F" w:rsidP="00CB603F">
      <w:pPr>
        <w:shd w:val="clear" w:color="auto" w:fill="FFFFFF" w:themeFill="background1"/>
        <w:spacing w:after="0" w:line="276" w:lineRule="auto"/>
        <w:jc w:val="both"/>
        <w:rPr>
          <w:rFonts w:ascii="Arial" w:eastAsia="Calibri" w:hAnsi="Arial" w:cs="Arial"/>
          <w:b/>
          <w:bCs/>
          <w:color w:val="000000" w:themeColor="text1"/>
          <w:lang w:val="es-ES_tradnl"/>
        </w:rPr>
      </w:pPr>
      <w:r w:rsidRPr="009244E2">
        <w:rPr>
          <w:rFonts w:ascii="Arial" w:eastAsia="Calibri" w:hAnsi="Arial" w:cs="Arial"/>
          <w:b/>
          <w:bCs/>
          <w:color w:val="000000" w:themeColor="text1"/>
          <w:lang w:val="es-ES_tradnl"/>
        </w:rPr>
        <w:t>2.</w:t>
      </w:r>
      <w:r>
        <w:rPr>
          <w:rFonts w:ascii="Arial" w:eastAsia="Calibri" w:hAnsi="Arial" w:cs="Arial"/>
          <w:b/>
          <w:bCs/>
          <w:color w:val="000000" w:themeColor="text1"/>
          <w:lang w:val="es-ES_tradnl"/>
        </w:rPr>
        <w:t>2</w:t>
      </w:r>
      <w:r w:rsidRPr="009244E2">
        <w:rPr>
          <w:rFonts w:ascii="Arial" w:eastAsia="Calibri" w:hAnsi="Arial" w:cs="Arial"/>
          <w:b/>
          <w:bCs/>
          <w:color w:val="000000" w:themeColor="text1"/>
          <w:lang w:val="es-ES_tradnl"/>
        </w:rPr>
        <w:t>. Giro</w:t>
      </w:r>
      <w:r w:rsidR="00DF4136">
        <w:rPr>
          <w:rFonts w:ascii="Arial" w:eastAsia="Calibri" w:hAnsi="Arial" w:cs="Arial"/>
          <w:b/>
          <w:bCs/>
          <w:color w:val="000000" w:themeColor="text1"/>
          <w:lang w:val="es-ES_tradnl"/>
        </w:rPr>
        <w:t>,</w:t>
      </w:r>
      <w:r w:rsidR="0031557F">
        <w:rPr>
          <w:rFonts w:ascii="Arial" w:eastAsia="Calibri" w:hAnsi="Arial" w:cs="Arial"/>
          <w:b/>
          <w:bCs/>
          <w:color w:val="000000" w:themeColor="text1"/>
          <w:lang w:val="es-ES_tradnl"/>
        </w:rPr>
        <w:t xml:space="preserve"> </w:t>
      </w:r>
      <w:r w:rsidRPr="009244E2">
        <w:rPr>
          <w:rFonts w:ascii="Arial" w:eastAsia="Calibri" w:hAnsi="Arial" w:cs="Arial"/>
          <w:b/>
          <w:bCs/>
          <w:color w:val="000000" w:themeColor="text1"/>
          <w:lang w:val="es-ES_tradnl"/>
        </w:rPr>
        <w:t xml:space="preserve">manejo de los recursos, y exigibilidad de garantías en </w:t>
      </w:r>
      <w:r>
        <w:rPr>
          <w:rFonts w:ascii="Arial" w:eastAsia="Calibri" w:hAnsi="Arial" w:cs="Arial"/>
          <w:b/>
          <w:bCs/>
          <w:color w:val="000000" w:themeColor="text1"/>
          <w:lang w:val="es-ES_tradnl"/>
        </w:rPr>
        <w:t>el documento</w:t>
      </w:r>
      <w:r w:rsidRPr="009244E2">
        <w:rPr>
          <w:rFonts w:ascii="Arial" w:eastAsia="Calibri" w:hAnsi="Arial" w:cs="Arial"/>
          <w:b/>
          <w:bCs/>
          <w:color w:val="000000" w:themeColor="text1"/>
          <w:lang w:val="es-ES_tradnl"/>
        </w:rPr>
        <w:t xml:space="preserve"> tipo para la contratación directa de convenios solidarios para la ejecución de obras hasta la menor cuantía con organismos de acción comunal</w:t>
      </w:r>
    </w:p>
    <w:p w14:paraId="208FADD7" w14:textId="77777777" w:rsidR="00CB603F" w:rsidRDefault="00CB603F" w:rsidP="00CB603F">
      <w:pPr>
        <w:shd w:val="clear" w:color="auto" w:fill="FFFFFF" w:themeFill="background1"/>
        <w:spacing w:after="0" w:line="276" w:lineRule="auto"/>
        <w:ind w:firstLine="709"/>
        <w:jc w:val="both"/>
        <w:rPr>
          <w:rFonts w:ascii="Arial" w:eastAsia="Calibri" w:hAnsi="Arial" w:cs="Arial"/>
          <w:color w:val="000000" w:themeColor="text1"/>
          <w:lang w:val="es-ES_tradnl"/>
        </w:rPr>
      </w:pPr>
    </w:p>
    <w:p w14:paraId="430CE4BA" w14:textId="77777777" w:rsidR="00CB603F" w:rsidRDefault="00CB603F" w:rsidP="00CB603F">
      <w:pPr>
        <w:shd w:val="clear" w:color="auto" w:fill="FFFFFF" w:themeFill="background1"/>
        <w:spacing w:after="0" w:line="276" w:lineRule="auto"/>
        <w:jc w:val="both"/>
        <w:rPr>
          <w:rFonts w:ascii="Arial" w:eastAsia="Calibri" w:hAnsi="Arial" w:cs="Arial"/>
          <w:color w:val="000000" w:themeColor="text1"/>
          <w:lang w:val="es-ES_tradnl"/>
        </w:rPr>
      </w:pPr>
      <w:r>
        <w:rPr>
          <w:rFonts w:ascii="Arial" w:eastAsia="Calibri" w:hAnsi="Arial" w:cs="Arial"/>
          <w:color w:val="000000" w:themeColor="text1"/>
          <w:lang w:val="es-ES_tradnl"/>
        </w:rPr>
        <w:t xml:space="preserve">El documento tipo para la </w:t>
      </w:r>
      <w:r w:rsidRPr="00B12646">
        <w:rPr>
          <w:rFonts w:ascii="Arial" w:eastAsia="Calibri" w:hAnsi="Arial" w:cs="Arial"/>
          <w:color w:val="000000" w:themeColor="text1"/>
          <w:lang w:val="es-ES_tradnl"/>
        </w:rPr>
        <w:t>contratación directa de convenios solidarios para la ejecución de obras hasta la menor cuantía con organismos de acción comunal</w:t>
      </w:r>
      <w:r>
        <w:rPr>
          <w:rFonts w:ascii="Arial" w:eastAsia="Calibri" w:hAnsi="Arial" w:cs="Arial"/>
          <w:color w:val="000000" w:themeColor="text1"/>
          <w:lang w:val="es-ES_tradnl"/>
        </w:rPr>
        <w:t xml:space="preserve">, </w:t>
      </w:r>
      <w:bookmarkStart w:id="7" w:name="_Hlk145072611"/>
      <w:r>
        <w:rPr>
          <w:rFonts w:ascii="Arial" w:eastAsia="Calibri" w:hAnsi="Arial" w:cs="Arial"/>
          <w:color w:val="000000" w:themeColor="text1"/>
          <w:lang w:val="es-ES_tradnl"/>
        </w:rPr>
        <w:t>contempla tres [3] opciones para el giro de los recursos por parte de la Entidad Estatal, de acuerdo con la cláusula 7 de la Minuta Tipo. De esta manera, el giro de los recursos puede realizarse a una cuenta que se constituya a nombre del convenio o a un patrimonio autónomo, según corresponda:</w:t>
      </w:r>
    </w:p>
    <w:bookmarkEnd w:id="7"/>
    <w:p w14:paraId="60AF8251" w14:textId="77777777" w:rsidR="00CB603F" w:rsidRPr="006A1017" w:rsidRDefault="00CB603F" w:rsidP="00CB603F">
      <w:pPr>
        <w:shd w:val="clear" w:color="auto" w:fill="FFFFFF" w:themeFill="background1"/>
        <w:spacing w:after="0" w:line="240" w:lineRule="auto"/>
        <w:ind w:left="709" w:right="709" w:firstLine="709"/>
        <w:jc w:val="both"/>
        <w:rPr>
          <w:rFonts w:ascii="Arial" w:eastAsia="Calibri" w:hAnsi="Arial" w:cs="Arial"/>
          <w:color w:val="000000" w:themeColor="text1"/>
          <w:sz w:val="21"/>
          <w:szCs w:val="21"/>
          <w:lang w:val="es-ES_tradnl"/>
        </w:rPr>
      </w:pPr>
    </w:p>
    <w:p w14:paraId="482759F5" w14:textId="77777777" w:rsidR="00CB603F" w:rsidRDefault="00CB603F" w:rsidP="00CB603F">
      <w:pPr>
        <w:spacing w:after="0" w:line="240" w:lineRule="auto"/>
        <w:ind w:left="709" w:right="709"/>
        <w:jc w:val="both"/>
        <w:rPr>
          <w:rFonts w:ascii="Arial" w:hAnsi="Arial" w:cs="Arial"/>
          <w:b/>
          <w:bCs/>
          <w:sz w:val="21"/>
          <w:szCs w:val="21"/>
        </w:rPr>
      </w:pPr>
      <w:r w:rsidRPr="006A1017">
        <w:rPr>
          <w:rFonts w:ascii="Arial" w:hAnsi="Arial" w:cs="Arial"/>
          <w:b/>
          <w:bCs/>
          <w:sz w:val="21"/>
          <w:szCs w:val="21"/>
        </w:rPr>
        <w:t>Opción 1</w:t>
      </w:r>
    </w:p>
    <w:p w14:paraId="28B2E180" w14:textId="77777777" w:rsidR="00CB603F" w:rsidRPr="00715BFD" w:rsidRDefault="00CB603F" w:rsidP="00CB603F">
      <w:pPr>
        <w:spacing w:after="0" w:line="240" w:lineRule="auto"/>
        <w:ind w:left="709" w:right="709"/>
        <w:jc w:val="both"/>
        <w:rPr>
          <w:rFonts w:ascii="Arial" w:hAnsi="Arial" w:cs="Arial"/>
          <w:sz w:val="21"/>
          <w:szCs w:val="21"/>
        </w:rPr>
      </w:pPr>
    </w:p>
    <w:p w14:paraId="7181A8A4" w14:textId="2ABA470F" w:rsidR="00CB603F" w:rsidRDefault="00746244" w:rsidP="00CB603F">
      <w:pPr>
        <w:spacing w:after="0" w:line="240" w:lineRule="auto"/>
        <w:ind w:left="709" w:right="709"/>
        <w:jc w:val="both"/>
        <w:rPr>
          <w:rFonts w:ascii="Arial" w:hAnsi="Arial" w:cs="Arial"/>
          <w:sz w:val="21"/>
          <w:szCs w:val="21"/>
        </w:rPr>
      </w:pPr>
      <w:r>
        <w:rPr>
          <w:rFonts w:ascii="Arial" w:hAnsi="Arial" w:cs="Arial"/>
          <w:sz w:val="21"/>
          <w:szCs w:val="21"/>
        </w:rPr>
        <w:t>“</w:t>
      </w:r>
      <w:r w:rsidR="00CB603F" w:rsidRPr="00715BFD">
        <w:rPr>
          <w:rFonts w:ascii="Arial" w:hAnsi="Arial" w:cs="Arial"/>
          <w:sz w:val="21"/>
          <w:szCs w:val="21"/>
        </w:rPr>
        <w:t>[Los giros de los recursos que realice la Entidad Estatal deberán realizarse a cuenta de manejo conjunto a nombre del convenio que genere rendimientos financieros y sin posibilidad de sobregiro, en la que no se podrá disponer de los recursos de manera electrónica por el OAC y que requiere para la disposición de los recursos allí depositados de la autorización del Representante Legal del OAC y del Interventor y/o Supervisor de la Entidad Estatal]</w:t>
      </w:r>
    </w:p>
    <w:p w14:paraId="162F7DD0" w14:textId="210C7074" w:rsidR="00CB603F" w:rsidRDefault="00CB603F" w:rsidP="00CB603F">
      <w:pPr>
        <w:spacing w:after="0" w:line="240" w:lineRule="auto"/>
        <w:ind w:left="709" w:right="709"/>
        <w:jc w:val="both"/>
        <w:rPr>
          <w:rFonts w:ascii="Arial" w:hAnsi="Arial" w:cs="Arial"/>
          <w:sz w:val="21"/>
          <w:szCs w:val="21"/>
        </w:rPr>
      </w:pPr>
      <w:r>
        <w:rPr>
          <w:rFonts w:ascii="Arial" w:hAnsi="Arial" w:cs="Arial"/>
          <w:sz w:val="21"/>
          <w:szCs w:val="21"/>
        </w:rPr>
        <w:t>[…]</w:t>
      </w:r>
    </w:p>
    <w:p w14:paraId="2EED0340" w14:textId="77777777" w:rsidR="00746244" w:rsidRPr="00715BFD" w:rsidRDefault="00746244" w:rsidP="00CB603F">
      <w:pPr>
        <w:spacing w:after="0" w:line="240" w:lineRule="auto"/>
        <w:ind w:left="709" w:right="709"/>
        <w:jc w:val="both"/>
        <w:rPr>
          <w:rFonts w:ascii="Arial" w:hAnsi="Arial" w:cs="Arial"/>
          <w:sz w:val="21"/>
          <w:szCs w:val="21"/>
        </w:rPr>
      </w:pPr>
    </w:p>
    <w:p w14:paraId="36FA4D22" w14:textId="77777777" w:rsidR="00CB603F" w:rsidRPr="00E821EC" w:rsidRDefault="00CB603F" w:rsidP="00CB603F">
      <w:pPr>
        <w:spacing w:after="0" w:line="240" w:lineRule="auto"/>
        <w:ind w:left="709" w:right="709"/>
        <w:jc w:val="both"/>
        <w:rPr>
          <w:rFonts w:ascii="Arial" w:hAnsi="Arial" w:cs="Arial"/>
          <w:b/>
          <w:bCs/>
          <w:sz w:val="21"/>
          <w:szCs w:val="21"/>
        </w:rPr>
      </w:pPr>
      <w:r w:rsidRPr="00E821EC">
        <w:rPr>
          <w:rFonts w:ascii="Arial" w:hAnsi="Arial" w:cs="Arial"/>
          <w:b/>
          <w:bCs/>
          <w:sz w:val="21"/>
          <w:szCs w:val="21"/>
        </w:rPr>
        <w:lastRenderedPageBreak/>
        <w:t>Opción 2</w:t>
      </w:r>
    </w:p>
    <w:p w14:paraId="3B6DF083" w14:textId="77777777" w:rsidR="00CB603F" w:rsidRPr="00E821EC" w:rsidRDefault="00CB603F" w:rsidP="00CB603F">
      <w:pPr>
        <w:spacing w:after="0" w:line="240" w:lineRule="auto"/>
        <w:ind w:left="709" w:right="709"/>
        <w:jc w:val="both"/>
        <w:rPr>
          <w:rFonts w:ascii="Arial" w:hAnsi="Arial" w:cs="Arial"/>
          <w:b/>
          <w:bCs/>
          <w:sz w:val="21"/>
          <w:szCs w:val="21"/>
        </w:rPr>
      </w:pPr>
    </w:p>
    <w:p w14:paraId="03B09F4B" w14:textId="6234DCEE" w:rsidR="00CB603F" w:rsidRPr="00E821EC" w:rsidRDefault="00CB603F" w:rsidP="00CB603F">
      <w:pPr>
        <w:spacing w:after="0" w:line="240" w:lineRule="auto"/>
        <w:ind w:left="709" w:right="709"/>
        <w:jc w:val="both"/>
        <w:rPr>
          <w:rFonts w:ascii="Arial" w:eastAsia="Arial" w:hAnsi="Arial" w:cs="Arial"/>
          <w:sz w:val="21"/>
          <w:szCs w:val="21"/>
        </w:rPr>
      </w:pPr>
      <w:r w:rsidRPr="00E821EC">
        <w:rPr>
          <w:rFonts w:ascii="Arial" w:eastAsia="Arial" w:hAnsi="Arial" w:cs="Arial"/>
          <w:sz w:val="21"/>
          <w:szCs w:val="21"/>
        </w:rPr>
        <w:t>[Para el giro de los recursos que la entidad destine como aporte, el OAC constituirá un patrimonio autónomo irrevocable a nombre del convenio, cuyo beneficiario sea [Nombre de la entidad], el cual será vigilado por el Interventor y/o Supervisor del contrato. Por consiguiente, ningún pago o gravamen que afecte el aporte realizado por la entidad podrá ser efectuado sin la autorización expresa y escrita del Interventor y/o Supervisor, quien velará así porque todo desembolso del aporte corresponda a gastos del convenio y que estén de acuerdo con el plan de ejecución aprobado por el Interventor y/o Supervisor. El costo de la comisión fiduciaria es asumido dentro de los costos administrativos del convenio. El OAC presentará la respectiva minuta del contrato de fiducia para aprobación previa del Interventor y/o Supervisor.]</w:t>
      </w:r>
    </w:p>
    <w:p w14:paraId="29DBC196" w14:textId="58B09A02" w:rsidR="00CB603F" w:rsidRDefault="00CB603F" w:rsidP="00CB603F">
      <w:pPr>
        <w:spacing w:after="0" w:line="240" w:lineRule="auto"/>
        <w:ind w:left="709" w:right="709"/>
        <w:jc w:val="both"/>
        <w:rPr>
          <w:rFonts w:ascii="Arial" w:hAnsi="Arial" w:cs="Arial"/>
          <w:sz w:val="21"/>
          <w:szCs w:val="21"/>
        </w:rPr>
      </w:pPr>
      <w:r w:rsidRPr="00E821EC">
        <w:rPr>
          <w:rFonts w:ascii="Arial" w:hAnsi="Arial" w:cs="Arial"/>
          <w:sz w:val="21"/>
          <w:szCs w:val="21"/>
        </w:rPr>
        <w:t>[…]</w:t>
      </w:r>
    </w:p>
    <w:p w14:paraId="246FF370" w14:textId="77777777" w:rsidR="00746244" w:rsidRPr="00715BFD" w:rsidRDefault="00746244" w:rsidP="00CB603F">
      <w:pPr>
        <w:spacing w:after="0" w:line="240" w:lineRule="auto"/>
        <w:ind w:left="709" w:right="709"/>
        <w:jc w:val="both"/>
        <w:rPr>
          <w:rFonts w:ascii="Arial" w:hAnsi="Arial" w:cs="Arial"/>
          <w:sz w:val="21"/>
          <w:szCs w:val="21"/>
        </w:rPr>
      </w:pPr>
    </w:p>
    <w:p w14:paraId="6E9E59F3" w14:textId="77777777" w:rsidR="00CB603F" w:rsidRDefault="00CB603F" w:rsidP="00CB603F">
      <w:pPr>
        <w:spacing w:after="0" w:line="240" w:lineRule="auto"/>
        <w:ind w:left="709" w:right="709"/>
        <w:jc w:val="both"/>
        <w:rPr>
          <w:rFonts w:ascii="Arial" w:hAnsi="Arial" w:cs="Arial"/>
          <w:b/>
          <w:bCs/>
          <w:sz w:val="21"/>
          <w:szCs w:val="21"/>
        </w:rPr>
      </w:pPr>
      <w:r w:rsidRPr="00E821EC">
        <w:rPr>
          <w:rFonts w:ascii="Arial" w:hAnsi="Arial" w:cs="Arial"/>
          <w:b/>
          <w:bCs/>
          <w:sz w:val="21"/>
          <w:szCs w:val="21"/>
        </w:rPr>
        <w:t>Opción 3</w:t>
      </w:r>
    </w:p>
    <w:p w14:paraId="4BEDC3E6" w14:textId="77777777" w:rsidR="00CB603F" w:rsidRDefault="00CB603F" w:rsidP="00CB603F">
      <w:pPr>
        <w:spacing w:after="0" w:line="240" w:lineRule="auto"/>
        <w:ind w:left="709" w:right="709"/>
        <w:jc w:val="both"/>
        <w:rPr>
          <w:rFonts w:ascii="Arial" w:hAnsi="Arial" w:cs="Arial"/>
          <w:b/>
          <w:bCs/>
          <w:sz w:val="21"/>
          <w:szCs w:val="21"/>
        </w:rPr>
      </w:pPr>
    </w:p>
    <w:p w14:paraId="7B813BDF" w14:textId="76C891FC" w:rsidR="00CB603F" w:rsidRPr="00A161B5" w:rsidRDefault="00CB603F" w:rsidP="00CB603F">
      <w:pPr>
        <w:spacing w:after="0" w:line="240" w:lineRule="auto"/>
        <w:ind w:left="709" w:right="709"/>
        <w:jc w:val="both"/>
        <w:rPr>
          <w:rFonts w:ascii="Arial" w:hAnsi="Arial" w:cs="Arial"/>
          <w:sz w:val="21"/>
          <w:szCs w:val="21"/>
        </w:rPr>
      </w:pPr>
      <w:r w:rsidRPr="00A161B5">
        <w:rPr>
          <w:rFonts w:ascii="Arial" w:hAnsi="Arial" w:cs="Arial"/>
          <w:sz w:val="21"/>
          <w:szCs w:val="21"/>
        </w:rPr>
        <w:t>[Los giros de los recursos que realice la Entidad Estatal deberán realizarse a cuenta bancaria a nombre del convenio que genere rendimientos financieros y sin posibilidad de sobregiro, en la que se dispondrá de los recursos únicamente de manera electrónica, por lo cual esta cuenta deberá contar con un mecanismo de autenticación dual, en el cual, el usuario preparador será asignado al OAC y el usuario aprobador será asignado al Interventor y/o Supervisor de la Entidad Estatal], por lo cual para cualquier disposición que se realice de los recursos se deberá contar siempre con la aprobación dual</w:t>
      </w:r>
      <w:r w:rsidR="00746244">
        <w:rPr>
          <w:rFonts w:ascii="Arial" w:hAnsi="Arial" w:cs="Arial"/>
          <w:sz w:val="21"/>
          <w:szCs w:val="21"/>
        </w:rPr>
        <w:t>.”</w:t>
      </w:r>
    </w:p>
    <w:p w14:paraId="27E2DABE" w14:textId="77777777" w:rsidR="00CB603F" w:rsidRPr="007D1513" w:rsidRDefault="00CB603F" w:rsidP="00CB603F">
      <w:pPr>
        <w:spacing w:after="0" w:line="240" w:lineRule="auto"/>
        <w:ind w:left="709" w:right="709"/>
        <w:jc w:val="both"/>
        <w:rPr>
          <w:rFonts w:ascii="Arial" w:hAnsi="Arial" w:cs="Arial"/>
        </w:rPr>
      </w:pPr>
    </w:p>
    <w:p w14:paraId="44EE60E6" w14:textId="77777777" w:rsidR="00CB603F" w:rsidRPr="00792062" w:rsidRDefault="00CB603F" w:rsidP="00CB603F">
      <w:pPr>
        <w:spacing w:after="0" w:line="276" w:lineRule="auto"/>
        <w:ind w:firstLine="709"/>
        <w:jc w:val="both"/>
        <w:rPr>
          <w:rFonts w:ascii="Arial" w:hAnsi="Arial" w:cs="Arial"/>
        </w:rPr>
      </w:pPr>
      <w:r w:rsidRPr="00792062">
        <w:rPr>
          <w:rFonts w:ascii="Arial" w:hAnsi="Arial" w:cs="Arial"/>
        </w:rPr>
        <w:t xml:space="preserve">Por su parte, la cláusula 8 de la Minuta Tipo dispone de tres [3] </w:t>
      </w:r>
      <w:r>
        <w:rPr>
          <w:rFonts w:ascii="Arial" w:hAnsi="Arial" w:cs="Arial"/>
        </w:rPr>
        <w:t>alternativas</w:t>
      </w:r>
      <w:r w:rsidRPr="00792062">
        <w:rPr>
          <w:rFonts w:ascii="Arial" w:hAnsi="Arial" w:cs="Arial"/>
        </w:rPr>
        <w:t xml:space="preserve"> para el manejo de los recursos, dependiendo de si se opta por la opción 1, 2 o 3 de la cláusula 7 </w:t>
      </w:r>
      <w:r>
        <w:rPr>
          <w:rFonts w:ascii="Arial" w:hAnsi="Arial" w:cs="Arial"/>
        </w:rPr>
        <w:t>para el</w:t>
      </w:r>
      <w:r w:rsidRPr="00792062">
        <w:rPr>
          <w:rFonts w:ascii="Arial" w:hAnsi="Arial" w:cs="Arial"/>
        </w:rPr>
        <w:t xml:space="preserve"> giro de los recursos. </w:t>
      </w:r>
      <w:r>
        <w:rPr>
          <w:rFonts w:ascii="Arial" w:hAnsi="Arial" w:cs="Arial"/>
        </w:rPr>
        <w:t xml:space="preserve">Esto significa que la opción para el manejo de los recursos debe incluirse dependiendo de la opción de giro de recursos que se haya escogido. </w:t>
      </w:r>
      <w:r w:rsidRPr="00792062">
        <w:rPr>
          <w:rFonts w:ascii="Arial" w:hAnsi="Arial" w:cs="Arial"/>
        </w:rPr>
        <w:t xml:space="preserve">Estas opciones contienen unas condiciones que deben cumplirse y, en caso de que se opte por las opciones 1 o 3 de la cláusula 7 de la Minuta Tipo, que </w:t>
      </w:r>
      <w:r>
        <w:rPr>
          <w:rFonts w:ascii="Arial" w:hAnsi="Arial" w:cs="Arial"/>
        </w:rPr>
        <w:t>implican que se realicen</w:t>
      </w:r>
      <w:r w:rsidRPr="00792062">
        <w:rPr>
          <w:rFonts w:ascii="Arial" w:hAnsi="Arial" w:cs="Arial"/>
        </w:rPr>
        <w:t xml:space="preserve"> giros de recursos a cuentas a nombre del convenio, es necesario tener en cuenta las reglas del parágrafo 1:</w:t>
      </w:r>
    </w:p>
    <w:p w14:paraId="0808220A" w14:textId="77777777" w:rsidR="00CB603F" w:rsidRDefault="00CB603F" w:rsidP="00CB603F">
      <w:pPr>
        <w:shd w:val="clear" w:color="auto" w:fill="FFFFFF" w:themeFill="background1"/>
        <w:spacing w:after="0" w:line="276" w:lineRule="auto"/>
        <w:jc w:val="both"/>
        <w:rPr>
          <w:rFonts w:ascii="Arial" w:eastAsia="Calibri" w:hAnsi="Arial" w:cs="Arial"/>
          <w:color w:val="000000" w:themeColor="text1"/>
          <w:lang w:val="es-ES_tradnl"/>
        </w:rPr>
      </w:pPr>
    </w:p>
    <w:p w14:paraId="3B0E7BE0" w14:textId="74CE8215" w:rsidR="00CB603F" w:rsidRPr="00792062" w:rsidRDefault="003E77B3" w:rsidP="00CB603F">
      <w:pPr>
        <w:ind w:left="709" w:right="709"/>
        <w:rPr>
          <w:rFonts w:ascii="Arial" w:eastAsia="Arial" w:hAnsi="Arial" w:cs="Arial"/>
          <w:sz w:val="21"/>
          <w:szCs w:val="21"/>
          <w:lang w:val="es-MX"/>
        </w:rPr>
      </w:pPr>
      <w:r>
        <w:rPr>
          <w:rFonts w:ascii="Arial" w:eastAsia="Arial" w:hAnsi="Arial" w:cs="Arial"/>
          <w:b/>
          <w:bCs/>
          <w:sz w:val="21"/>
          <w:szCs w:val="21"/>
          <w:lang w:val="es-MX"/>
        </w:rPr>
        <w:t>“</w:t>
      </w:r>
      <w:r w:rsidR="00CB603F" w:rsidRPr="00792062">
        <w:rPr>
          <w:rFonts w:ascii="Arial" w:eastAsia="Arial" w:hAnsi="Arial" w:cs="Arial"/>
          <w:b/>
          <w:bCs/>
          <w:sz w:val="21"/>
          <w:szCs w:val="21"/>
          <w:lang w:val="es-MX"/>
        </w:rPr>
        <w:t>Parágrafo 1.</w:t>
      </w:r>
      <w:r w:rsidR="00CB603F" w:rsidRPr="00792062">
        <w:rPr>
          <w:rFonts w:ascii="Arial" w:eastAsia="Arial" w:hAnsi="Arial" w:cs="Arial"/>
          <w:sz w:val="21"/>
          <w:szCs w:val="21"/>
          <w:lang w:val="es-MX"/>
        </w:rPr>
        <w:t xml:space="preserve"> Para la buena administración del giro o desembolso se tendrán en cuenta como mínimo las siguientes reglas: </w:t>
      </w:r>
    </w:p>
    <w:p w14:paraId="35B31A97" w14:textId="77777777" w:rsidR="00CB603F" w:rsidRPr="00792062" w:rsidRDefault="00CB603F" w:rsidP="00CB603F">
      <w:pPr>
        <w:numPr>
          <w:ilvl w:val="0"/>
          <w:numId w:val="17"/>
        </w:numPr>
        <w:spacing w:after="0" w:line="240" w:lineRule="auto"/>
        <w:ind w:left="1491" w:right="709" w:hanging="357"/>
        <w:jc w:val="both"/>
        <w:rPr>
          <w:rFonts w:ascii="Arial" w:eastAsia="Arial" w:hAnsi="Arial" w:cs="Arial"/>
          <w:color w:val="000000"/>
          <w:sz w:val="21"/>
          <w:szCs w:val="21"/>
          <w:lang w:val="es-MX"/>
        </w:rPr>
      </w:pPr>
      <w:r w:rsidRPr="00792062">
        <w:rPr>
          <w:rFonts w:ascii="Arial" w:eastAsia="Arial" w:hAnsi="Arial" w:cs="Arial"/>
          <w:color w:val="000000"/>
          <w:sz w:val="21"/>
          <w:szCs w:val="21"/>
          <w:lang w:val="es-MX"/>
        </w:rPr>
        <w:t>La cuenta debe ser abierta en una Entidad Estatal financiera autorizada por la Superintendencia Financiera. </w:t>
      </w:r>
    </w:p>
    <w:p w14:paraId="330FE102" w14:textId="37EE0206" w:rsidR="00CB603F" w:rsidRPr="00792062" w:rsidRDefault="00CB603F" w:rsidP="0031557F">
      <w:pPr>
        <w:pStyle w:val="Prrafodelista"/>
        <w:numPr>
          <w:ilvl w:val="0"/>
          <w:numId w:val="17"/>
        </w:numPr>
        <w:shd w:val="clear" w:color="auto" w:fill="FFFFFF" w:themeFill="background1"/>
        <w:spacing w:after="0" w:line="480" w:lineRule="auto"/>
        <w:ind w:left="1491" w:right="709" w:hanging="357"/>
        <w:contextualSpacing w:val="0"/>
        <w:jc w:val="both"/>
        <w:rPr>
          <w:rFonts w:ascii="Arial" w:hAnsi="Arial" w:cs="Arial"/>
          <w:bCs/>
          <w:color w:val="000000" w:themeColor="text1"/>
          <w:sz w:val="21"/>
          <w:szCs w:val="21"/>
          <w:lang w:eastAsia="es-MX"/>
        </w:rPr>
      </w:pPr>
      <w:r w:rsidRPr="00792062">
        <w:rPr>
          <w:rFonts w:ascii="Arial" w:eastAsia="Arial" w:hAnsi="Arial" w:cs="Arial"/>
          <w:color w:val="000000"/>
          <w:sz w:val="21"/>
          <w:szCs w:val="21"/>
          <w:lang w:val="es-MX"/>
        </w:rPr>
        <w:t>La cuenta deberá mantenerse activa y debe extenderse como mínimo hasta la utilización de la totalidad del recurso entregado a título de giro o desembolso.</w:t>
      </w:r>
      <w:r w:rsidR="003E77B3">
        <w:rPr>
          <w:rFonts w:ascii="Arial" w:eastAsia="Arial" w:hAnsi="Arial" w:cs="Arial"/>
          <w:color w:val="000000"/>
          <w:sz w:val="21"/>
          <w:szCs w:val="21"/>
          <w:lang w:val="es-MX"/>
        </w:rPr>
        <w:t>”</w:t>
      </w:r>
    </w:p>
    <w:p w14:paraId="0337CE84" w14:textId="77777777" w:rsidR="00CB603F" w:rsidRDefault="00CB603F" w:rsidP="00CB603F">
      <w:pPr>
        <w:tabs>
          <w:tab w:val="left" w:pos="0"/>
        </w:tabs>
        <w:spacing w:after="0" w:line="276" w:lineRule="auto"/>
        <w:jc w:val="both"/>
        <w:rPr>
          <w:rFonts w:ascii="Arial" w:eastAsia="Calibri" w:hAnsi="Arial" w:cs="Arial"/>
          <w:bCs/>
          <w:szCs w:val="24"/>
          <w:lang w:val="es-ES_tradnl" w:eastAsia="es-ES_tradnl"/>
        </w:rPr>
      </w:pPr>
    </w:p>
    <w:p w14:paraId="0EFA47B1" w14:textId="77777777" w:rsidR="00CB603F" w:rsidRDefault="00CB603F" w:rsidP="00CB603F">
      <w:pPr>
        <w:tabs>
          <w:tab w:val="left" w:pos="0"/>
        </w:tabs>
        <w:spacing w:after="120" w:line="276" w:lineRule="auto"/>
        <w:ind w:firstLine="709"/>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t xml:space="preserve">Al respecto, es necesario advertir que se incurrió en una imprecisión en la digitación, por lo que la cuenta a la que se refiere el punto [I] del referido parágrafo 1, debe ser abierta en una </w:t>
      </w:r>
      <w:r w:rsidRPr="007F24A8">
        <w:rPr>
          <w:rFonts w:ascii="Arial" w:eastAsia="Calibri" w:hAnsi="Arial" w:cs="Arial"/>
          <w:bCs/>
          <w:i/>
          <w:iCs/>
          <w:szCs w:val="24"/>
          <w:lang w:val="es-ES_tradnl" w:eastAsia="es-ES_tradnl"/>
        </w:rPr>
        <w:t>entidad financiera autorizada por la Superintendencia Financiera</w:t>
      </w:r>
      <w:r>
        <w:rPr>
          <w:rFonts w:ascii="Arial" w:eastAsia="Calibri" w:hAnsi="Arial" w:cs="Arial"/>
          <w:bCs/>
          <w:szCs w:val="24"/>
          <w:lang w:val="es-ES_tradnl" w:eastAsia="es-ES_tradnl"/>
        </w:rPr>
        <w:t xml:space="preserve">, y no necesariamente en una </w:t>
      </w:r>
      <w:r w:rsidRPr="007F24A8">
        <w:rPr>
          <w:rFonts w:ascii="Arial" w:eastAsia="Calibri" w:hAnsi="Arial" w:cs="Arial"/>
          <w:bCs/>
          <w:i/>
          <w:iCs/>
          <w:szCs w:val="24"/>
          <w:lang w:val="es-ES_tradnl" w:eastAsia="es-ES_tradnl"/>
        </w:rPr>
        <w:t>“Entidad Estatal financiera”</w:t>
      </w:r>
      <w:r>
        <w:rPr>
          <w:rFonts w:ascii="Arial" w:eastAsia="Calibri" w:hAnsi="Arial" w:cs="Arial"/>
          <w:bCs/>
          <w:szCs w:val="24"/>
          <w:lang w:val="es-ES_tradnl" w:eastAsia="es-ES_tradnl"/>
        </w:rPr>
        <w:t xml:space="preserve">. En consecuencia, la entidad financiera que realizará la administración de los recursos puede ser seleccionada de forma discrecional, sin que medie si es de carácter público o privado. </w:t>
      </w:r>
    </w:p>
    <w:p w14:paraId="329D0B73" w14:textId="77777777" w:rsidR="00CB603F" w:rsidRDefault="00CB603F" w:rsidP="00CB603F">
      <w:pPr>
        <w:tabs>
          <w:tab w:val="left" w:pos="0"/>
        </w:tabs>
        <w:spacing w:after="120" w:line="276" w:lineRule="auto"/>
        <w:ind w:firstLine="709"/>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t>Ahora bien, de acuerdo con la cláusula 9 de la Minuta Tipo sobre la forma de uso y disposición de los recursos por parte del organismo de acción comunal, este debe aportar como mínimo los siguientes documentos que, a su vez, deberán ser validados por el interventor y/o supervisor con el fin de que se autorice el uso de los recursos: i) c</w:t>
      </w:r>
      <w:r w:rsidRPr="002129E3">
        <w:rPr>
          <w:rFonts w:ascii="Arial" w:eastAsia="Calibri" w:hAnsi="Arial" w:cs="Arial"/>
          <w:bCs/>
          <w:szCs w:val="24"/>
          <w:lang w:val="es-ES_tradnl" w:eastAsia="es-ES_tradnl"/>
        </w:rPr>
        <w:t>uenta de cobro y/o factura emitida por el tercero que realizado el cobro</w:t>
      </w:r>
      <w:r>
        <w:rPr>
          <w:rFonts w:ascii="Arial" w:eastAsia="Calibri" w:hAnsi="Arial" w:cs="Arial"/>
          <w:bCs/>
          <w:szCs w:val="24"/>
          <w:lang w:val="es-ES_tradnl" w:eastAsia="es-ES_tradnl"/>
        </w:rPr>
        <w:t xml:space="preserve">; </w:t>
      </w:r>
      <w:proofErr w:type="spellStart"/>
      <w:r>
        <w:rPr>
          <w:rFonts w:ascii="Arial" w:eastAsia="Calibri" w:hAnsi="Arial" w:cs="Arial"/>
          <w:bCs/>
          <w:szCs w:val="24"/>
          <w:lang w:val="es-ES_tradnl" w:eastAsia="es-ES_tradnl"/>
        </w:rPr>
        <w:t>ii</w:t>
      </w:r>
      <w:proofErr w:type="spellEnd"/>
      <w:r>
        <w:rPr>
          <w:rFonts w:ascii="Arial" w:eastAsia="Calibri" w:hAnsi="Arial" w:cs="Arial"/>
          <w:bCs/>
          <w:szCs w:val="24"/>
          <w:lang w:val="es-ES_tradnl" w:eastAsia="es-ES_tradnl"/>
        </w:rPr>
        <w:t>) s</w:t>
      </w:r>
      <w:r w:rsidRPr="00D0279E">
        <w:rPr>
          <w:rFonts w:ascii="Arial" w:eastAsia="Calibri" w:hAnsi="Arial" w:cs="Arial"/>
          <w:bCs/>
          <w:szCs w:val="24"/>
          <w:lang w:val="es-ES_tradnl" w:eastAsia="es-ES_tradnl"/>
        </w:rPr>
        <w:t>oporte de pago de seguridad social del prestador del bien o servicio que presenta la cuenta de cobro y/o factura</w:t>
      </w:r>
      <w:r>
        <w:rPr>
          <w:rFonts w:ascii="Arial" w:eastAsia="Calibri" w:hAnsi="Arial" w:cs="Arial"/>
          <w:bCs/>
          <w:szCs w:val="24"/>
          <w:lang w:val="es-ES_tradnl" w:eastAsia="es-ES_tradnl"/>
        </w:rPr>
        <w:t xml:space="preserve">; </w:t>
      </w:r>
      <w:proofErr w:type="spellStart"/>
      <w:r>
        <w:rPr>
          <w:rFonts w:ascii="Arial" w:eastAsia="Calibri" w:hAnsi="Arial" w:cs="Arial"/>
          <w:bCs/>
          <w:szCs w:val="24"/>
          <w:lang w:val="es-ES_tradnl" w:eastAsia="es-ES_tradnl"/>
        </w:rPr>
        <w:t>iii</w:t>
      </w:r>
      <w:proofErr w:type="spellEnd"/>
      <w:r>
        <w:rPr>
          <w:rFonts w:ascii="Arial" w:eastAsia="Calibri" w:hAnsi="Arial" w:cs="Arial"/>
          <w:bCs/>
          <w:szCs w:val="24"/>
          <w:lang w:val="es-ES_tradnl" w:eastAsia="es-ES_tradnl"/>
        </w:rPr>
        <w:t>) i</w:t>
      </w:r>
      <w:r w:rsidRPr="001F7628">
        <w:rPr>
          <w:rFonts w:ascii="Arial" w:eastAsia="Calibri" w:hAnsi="Arial" w:cs="Arial"/>
          <w:bCs/>
          <w:szCs w:val="24"/>
          <w:lang w:val="es-ES_tradnl" w:eastAsia="es-ES_tradnl"/>
        </w:rPr>
        <w:t>nformes parciales o totales de ejecución de las actividades realizadas por el prestador del bien o servicio</w:t>
      </w:r>
      <w:r>
        <w:rPr>
          <w:rFonts w:ascii="Arial" w:eastAsia="Calibri" w:hAnsi="Arial" w:cs="Arial"/>
          <w:bCs/>
          <w:szCs w:val="24"/>
          <w:lang w:val="es-ES_tradnl" w:eastAsia="es-ES_tradnl"/>
        </w:rPr>
        <w:t xml:space="preserve">, y </w:t>
      </w:r>
      <w:proofErr w:type="spellStart"/>
      <w:r>
        <w:rPr>
          <w:rFonts w:ascii="Arial" w:eastAsia="Calibri" w:hAnsi="Arial" w:cs="Arial"/>
          <w:bCs/>
          <w:szCs w:val="24"/>
          <w:lang w:val="es-ES_tradnl" w:eastAsia="es-ES_tradnl"/>
        </w:rPr>
        <w:t>iv</w:t>
      </w:r>
      <w:proofErr w:type="spellEnd"/>
      <w:r>
        <w:rPr>
          <w:rFonts w:ascii="Arial" w:eastAsia="Calibri" w:hAnsi="Arial" w:cs="Arial"/>
          <w:bCs/>
          <w:szCs w:val="24"/>
          <w:lang w:val="es-ES_tradnl" w:eastAsia="es-ES_tradnl"/>
        </w:rPr>
        <w:t>) c</w:t>
      </w:r>
      <w:r w:rsidRPr="0081748D">
        <w:rPr>
          <w:rFonts w:ascii="Arial" w:eastAsia="Calibri" w:hAnsi="Arial" w:cs="Arial"/>
          <w:bCs/>
          <w:szCs w:val="24"/>
          <w:lang w:val="es-ES_tradnl" w:eastAsia="es-ES_tradnl"/>
        </w:rPr>
        <w:t>ertificación de cuenta bancaria o billetera digital a nombre del prestador del bien o servicio a donde se girará el pago</w:t>
      </w:r>
      <w:r>
        <w:rPr>
          <w:rFonts w:ascii="Arial" w:eastAsia="Calibri" w:hAnsi="Arial" w:cs="Arial"/>
          <w:bCs/>
          <w:szCs w:val="24"/>
          <w:lang w:val="es-ES_tradnl" w:eastAsia="es-ES_tradnl"/>
        </w:rPr>
        <w:t>.</w:t>
      </w:r>
    </w:p>
    <w:p w14:paraId="4DCD0375" w14:textId="0A234243" w:rsidR="00CB603F" w:rsidRDefault="00CB603F" w:rsidP="00CB603F">
      <w:pPr>
        <w:tabs>
          <w:tab w:val="left" w:pos="0"/>
        </w:tabs>
        <w:spacing w:after="120" w:line="276" w:lineRule="auto"/>
        <w:ind w:firstLine="709"/>
        <w:jc w:val="both"/>
        <w:rPr>
          <w:rFonts w:ascii="Arial" w:eastAsia="Calibri" w:hAnsi="Arial" w:cs="Arial"/>
          <w:bCs/>
          <w:szCs w:val="24"/>
          <w:lang w:val="es-ES_tradnl" w:eastAsia="es-ES_tradnl"/>
        </w:rPr>
      </w:pPr>
      <w:bookmarkStart w:id="8" w:name="_Hlk145073708"/>
      <w:r>
        <w:rPr>
          <w:rFonts w:ascii="Arial" w:eastAsia="Calibri" w:hAnsi="Arial" w:cs="Arial"/>
          <w:bCs/>
          <w:szCs w:val="24"/>
          <w:lang w:val="es-ES_tradnl" w:eastAsia="es-ES_tradnl"/>
        </w:rPr>
        <w:t>Por otra parte, en este tipo de procesos, la inclusión de garantías no es obligatoria, ya que d</w:t>
      </w:r>
      <w:r w:rsidRPr="00A8627D">
        <w:rPr>
          <w:rFonts w:ascii="Arial" w:eastAsia="Calibri" w:hAnsi="Arial" w:cs="Arial"/>
          <w:bCs/>
          <w:szCs w:val="24"/>
          <w:lang w:val="es-ES_tradnl" w:eastAsia="es-ES_tradnl"/>
        </w:rPr>
        <w:t xml:space="preserve">e conformidad con lo dispuesto en </w:t>
      </w:r>
      <w:r>
        <w:rPr>
          <w:rFonts w:ascii="Arial" w:eastAsia="Calibri" w:hAnsi="Arial" w:cs="Arial"/>
          <w:bCs/>
          <w:szCs w:val="24"/>
          <w:lang w:val="es-ES_tradnl" w:eastAsia="es-ES_tradnl"/>
        </w:rPr>
        <w:t>los</w:t>
      </w:r>
      <w:r w:rsidRPr="00A8627D">
        <w:rPr>
          <w:rFonts w:ascii="Arial" w:eastAsia="Calibri" w:hAnsi="Arial" w:cs="Arial"/>
          <w:bCs/>
          <w:szCs w:val="24"/>
          <w:lang w:val="es-ES_tradnl" w:eastAsia="es-ES_tradnl"/>
        </w:rPr>
        <w:t xml:space="preserve"> artículo</w:t>
      </w:r>
      <w:r>
        <w:rPr>
          <w:rFonts w:ascii="Arial" w:eastAsia="Calibri" w:hAnsi="Arial" w:cs="Arial"/>
          <w:bCs/>
          <w:szCs w:val="24"/>
          <w:lang w:val="es-ES_tradnl" w:eastAsia="es-ES_tradnl"/>
        </w:rPr>
        <w:t>s</w:t>
      </w:r>
      <w:r w:rsidRPr="00A8627D">
        <w:rPr>
          <w:rFonts w:ascii="Arial" w:eastAsia="Calibri" w:hAnsi="Arial" w:cs="Arial"/>
          <w:bCs/>
          <w:szCs w:val="24"/>
          <w:lang w:val="es-ES_tradnl" w:eastAsia="es-ES_tradnl"/>
        </w:rPr>
        <w:t xml:space="preserve"> 7 de la Ley 1150 de 2007 y 2.2.1.2.1.4.5 del Decreto 1082 de 2015, las garantías no </w:t>
      </w:r>
      <w:r>
        <w:rPr>
          <w:rFonts w:ascii="Arial" w:eastAsia="Calibri" w:hAnsi="Arial" w:cs="Arial"/>
          <w:bCs/>
          <w:szCs w:val="24"/>
          <w:lang w:val="es-ES_tradnl" w:eastAsia="es-ES_tradnl"/>
        </w:rPr>
        <w:t>son</w:t>
      </w:r>
      <w:r w:rsidRPr="00A8627D">
        <w:rPr>
          <w:rFonts w:ascii="Arial" w:eastAsia="Calibri" w:hAnsi="Arial" w:cs="Arial"/>
          <w:bCs/>
          <w:szCs w:val="24"/>
          <w:lang w:val="es-ES_tradnl" w:eastAsia="es-ES_tradnl"/>
        </w:rPr>
        <w:t xml:space="preserve"> obligatorias en la contratación directa</w:t>
      </w:r>
      <w:r>
        <w:rPr>
          <w:rFonts w:ascii="Arial" w:eastAsia="Calibri" w:hAnsi="Arial" w:cs="Arial"/>
          <w:bCs/>
          <w:szCs w:val="24"/>
          <w:lang w:val="es-ES_tradnl" w:eastAsia="es-ES_tradnl"/>
        </w:rPr>
        <w:t xml:space="preserve">. Así, en caso de que la Entidad Estatal considere procedente exigir garantías, de conformidad con los estudios previos y las características del </w:t>
      </w:r>
      <w:r w:rsidR="008F1B7C">
        <w:rPr>
          <w:rFonts w:ascii="Arial" w:eastAsia="Calibri" w:hAnsi="Arial" w:cs="Arial"/>
          <w:bCs/>
          <w:szCs w:val="24"/>
          <w:lang w:val="es-ES_tradnl" w:eastAsia="es-ES_tradnl"/>
        </w:rPr>
        <w:t>P</w:t>
      </w:r>
      <w:r>
        <w:rPr>
          <w:rFonts w:ascii="Arial" w:eastAsia="Calibri" w:hAnsi="Arial" w:cs="Arial"/>
          <w:bCs/>
          <w:szCs w:val="24"/>
          <w:lang w:val="es-ES_tradnl" w:eastAsia="es-ES_tradnl"/>
        </w:rPr>
        <w:t xml:space="preserve">roceso de </w:t>
      </w:r>
      <w:r w:rsidR="008F1B7C">
        <w:rPr>
          <w:rFonts w:ascii="Arial" w:eastAsia="Calibri" w:hAnsi="Arial" w:cs="Arial"/>
          <w:bCs/>
          <w:szCs w:val="24"/>
          <w:lang w:val="es-ES_tradnl" w:eastAsia="es-ES_tradnl"/>
        </w:rPr>
        <w:t>C</w:t>
      </w:r>
      <w:r>
        <w:rPr>
          <w:rFonts w:ascii="Arial" w:eastAsia="Calibri" w:hAnsi="Arial" w:cs="Arial"/>
          <w:bCs/>
          <w:szCs w:val="24"/>
          <w:lang w:val="es-ES_tradnl" w:eastAsia="es-ES_tradnl"/>
        </w:rPr>
        <w:t xml:space="preserve">ontratación, deberá establecer las garantías exigibles, incluyendo sus amparos, montos y vigencias. </w:t>
      </w:r>
    </w:p>
    <w:p w14:paraId="4D0A80AF" w14:textId="77777777" w:rsidR="00CB603F" w:rsidRDefault="00CB603F" w:rsidP="00CB603F">
      <w:pPr>
        <w:tabs>
          <w:tab w:val="left" w:pos="0"/>
        </w:tabs>
        <w:spacing w:after="0" w:line="276" w:lineRule="auto"/>
        <w:ind w:firstLine="709"/>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t xml:space="preserve">Una vez la Entidad Estatal determine si va a exigir garantías y cuáles va a requerir, debe tener en cuenta los parámetros señalados en la cláusula 17 de la Minuta Tipo, en la que se desarrollan las garantías de i) cumplimiento, </w:t>
      </w:r>
      <w:proofErr w:type="spellStart"/>
      <w:r>
        <w:rPr>
          <w:rFonts w:ascii="Arial" w:eastAsia="Calibri" w:hAnsi="Arial" w:cs="Arial"/>
          <w:bCs/>
          <w:szCs w:val="24"/>
          <w:lang w:val="es-ES_tradnl" w:eastAsia="es-ES_tradnl"/>
        </w:rPr>
        <w:t>ii</w:t>
      </w:r>
      <w:proofErr w:type="spellEnd"/>
      <w:r>
        <w:rPr>
          <w:rFonts w:ascii="Arial" w:eastAsia="Calibri" w:hAnsi="Arial" w:cs="Arial"/>
          <w:bCs/>
          <w:szCs w:val="24"/>
          <w:lang w:val="es-ES_tradnl" w:eastAsia="es-ES_tradnl"/>
        </w:rPr>
        <w:t xml:space="preserve">) estabilidad de la obra y </w:t>
      </w:r>
      <w:proofErr w:type="spellStart"/>
      <w:r>
        <w:rPr>
          <w:rFonts w:ascii="Arial" w:eastAsia="Calibri" w:hAnsi="Arial" w:cs="Arial"/>
          <w:bCs/>
          <w:szCs w:val="24"/>
          <w:lang w:val="es-ES_tradnl" w:eastAsia="es-ES_tradnl"/>
        </w:rPr>
        <w:t>iii</w:t>
      </w:r>
      <w:proofErr w:type="spellEnd"/>
      <w:r>
        <w:rPr>
          <w:rFonts w:ascii="Arial" w:eastAsia="Calibri" w:hAnsi="Arial" w:cs="Arial"/>
          <w:bCs/>
          <w:szCs w:val="24"/>
          <w:lang w:val="es-ES_tradnl" w:eastAsia="es-ES_tradnl"/>
        </w:rPr>
        <w:t xml:space="preserve">) responsabilidad civil extracontractual. De igual forma, el organismo de acción comunal deberá tener en cuenta las condiciones que se fijen para cada una de las garantías que deba presentar, como la clase, los asegurados, los beneficiarios, los valores, los amparos, la información necesaria dentro de la póliza, entre otros aspectos que señale la Entidad Estatal conforme a la Minuta Tipo. </w:t>
      </w:r>
    </w:p>
    <w:bookmarkEnd w:id="8"/>
    <w:p w14:paraId="26F7A9F8" w14:textId="77777777" w:rsidR="00CB603F" w:rsidRPr="004F27EF" w:rsidRDefault="00CB603F" w:rsidP="00CB603F">
      <w:pPr>
        <w:tabs>
          <w:tab w:val="left" w:pos="0"/>
        </w:tabs>
        <w:spacing w:after="0" w:line="276" w:lineRule="auto"/>
        <w:jc w:val="both"/>
        <w:rPr>
          <w:rFonts w:ascii="Arial" w:eastAsia="Calibri" w:hAnsi="Arial" w:cs="Arial"/>
          <w:bCs/>
          <w:szCs w:val="24"/>
          <w:lang w:val="es-ES_tradnl" w:eastAsia="es-ES_tradnl"/>
        </w:rPr>
      </w:pPr>
    </w:p>
    <w:p w14:paraId="06405442" w14:textId="77777777" w:rsidR="00CB603F" w:rsidRPr="00ED3CF9" w:rsidRDefault="00CB603F" w:rsidP="00CB603F">
      <w:pPr>
        <w:tabs>
          <w:tab w:val="left" w:pos="0"/>
        </w:tabs>
        <w:spacing w:after="0" w:line="276" w:lineRule="auto"/>
        <w:jc w:val="both"/>
        <w:rPr>
          <w:rFonts w:ascii="Arial" w:eastAsia="Calibri" w:hAnsi="Arial" w:cs="Arial"/>
          <w:b/>
          <w:szCs w:val="24"/>
          <w:lang w:val="es-ES_tradnl" w:eastAsia="es-ES_tradnl"/>
        </w:rPr>
      </w:pPr>
      <w:r w:rsidRPr="00ED3CF9">
        <w:rPr>
          <w:rFonts w:ascii="Arial" w:eastAsia="Calibri" w:hAnsi="Arial" w:cs="Arial"/>
          <w:b/>
          <w:szCs w:val="24"/>
          <w:lang w:val="es-ES_tradnl" w:eastAsia="es-ES_tradnl"/>
        </w:rPr>
        <w:t>3. Respuesta</w:t>
      </w:r>
    </w:p>
    <w:p w14:paraId="6CED0E30" w14:textId="77777777" w:rsidR="00CB603F" w:rsidRDefault="00CB603F" w:rsidP="00CB603F">
      <w:pPr>
        <w:tabs>
          <w:tab w:val="decimal" w:pos="765"/>
          <w:tab w:val="right" w:pos="7371"/>
        </w:tabs>
        <w:spacing w:after="0" w:line="276" w:lineRule="auto"/>
        <w:ind w:right="709"/>
        <w:jc w:val="both"/>
        <w:rPr>
          <w:rFonts w:ascii="Arial" w:eastAsia="Times New Roman" w:hAnsi="Arial" w:cs="Arial"/>
          <w:highlight w:val="yellow"/>
          <w:lang w:eastAsia="es-ES"/>
        </w:rPr>
      </w:pPr>
    </w:p>
    <w:p w14:paraId="5D4639B4" w14:textId="77777777" w:rsidR="00CB603F"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r>
        <w:rPr>
          <w:rFonts w:ascii="Arial" w:eastAsia="Times New Roman" w:hAnsi="Arial" w:cs="Arial"/>
          <w:sz w:val="21"/>
          <w:szCs w:val="21"/>
          <w:lang w:val="es-ES_tradnl" w:eastAsia="es-ES_tradnl"/>
        </w:rPr>
        <w:t>“</w:t>
      </w:r>
      <w:r w:rsidRPr="000A6626">
        <w:rPr>
          <w:rFonts w:ascii="Arial" w:eastAsia="Times New Roman" w:hAnsi="Arial" w:cs="Arial"/>
          <w:sz w:val="21"/>
          <w:szCs w:val="21"/>
          <w:lang w:val="es-ES_tradnl" w:eastAsia="es-ES_tradnl"/>
        </w:rPr>
        <w:t xml:space="preserve">1. […] Se evidencia dentro de la minuta tipo, que se exige que la apertura de la cuenta, se genere en una entidad estatal financiera, para nuestro sentir quien tiene dichas cualidades seria el </w:t>
      </w:r>
      <w:r w:rsidRPr="000A6626">
        <w:rPr>
          <w:rFonts w:ascii="Arial" w:eastAsia="Times New Roman" w:hAnsi="Arial" w:cs="Arial"/>
          <w:b/>
          <w:bCs/>
          <w:sz w:val="21"/>
          <w:szCs w:val="21"/>
          <w:lang w:val="es-ES_tradnl" w:eastAsia="es-ES_tradnl"/>
        </w:rPr>
        <w:t xml:space="preserve">BANCO AGRARIO </w:t>
      </w:r>
      <w:r w:rsidRPr="000A6626">
        <w:rPr>
          <w:rFonts w:ascii="Arial" w:eastAsia="Times New Roman" w:hAnsi="Arial" w:cs="Arial"/>
          <w:sz w:val="21"/>
          <w:szCs w:val="21"/>
          <w:lang w:val="es-ES_tradnl" w:eastAsia="es-ES_tradnl"/>
        </w:rPr>
        <w:t xml:space="preserve">para el caso del departamento del Meta, con municipios y juntas de acción comunal, en los cuales no encontramos bancarización de su población, así las cosas, que opciones se deben tomar, de las únicas TRES (3), ¿con las que podemos contar según el documento denominado Minuta </w:t>
      </w:r>
      <w:proofErr w:type="gramStart"/>
      <w:r w:rsidRPr="000A6626">
        <w:rPr>
          <w:rFonts w:ascii="Arial" w:eastAsia="Times New Roman" w:hAnsi="Arial" w:cs="Arial"/>
          <w:sz w:val="21"/>
          <w:szCs w:val="21"/>
          <w:lang w:val="es-ES_tradnl" w:eastAsia="es-ES_tradnl"/>
        </w:rPr>
        <w:t>Tipo?.</w:t>
      </w:r>
      <w:proofErr w:type="gramEnd"/>
      <w:r w:rsidRPr="000A6626">
        <w:rPr>
          <w:rFonts w:ascii="Arial" w:eastAsia="Times New Roman" w:hAnsi="Arial" w:cs="Arial"/>
          <w:sz w:val="21"/>
          <w:szCs w:val="21"/>
          <w:lang w:val="es-ES_tradnl" w:eastAsia="es-ES_tradnl"/>
        </w:rPr>
        <w:t xml:space="preserve"> o la entidad en caso de que sea </w:t>
      </w:r>
      <w:r w:rsidRPr="000A6626">
        <w:rPr>
          <w:rFonts w:ascii="Arial" w:eastAsia="Times New Roman" w:hAnsi="Arial" w:cs="Arial"/>
          <w:sz w:val="21"/>
          <w:szCs w:val="21"/>
          <w:lang w:val="es-ES_tradnl" w:eastAsia="es-ES_tradnl"/>
        </w:rPr>
        <w:lastRenderedPageBreak/>
        <w:t xml:space="preserve">la responsable de </w:t>
      </w:r>
      <w:proofErr w:type="spellStart"/>
      <w:r w:rsidRPr="000A6626">
        <w:rPr>
          <w:rFonts w:ascii="Arial" w:eastAsia="Times New Roman" w:hAnsi="Arial" w:cs="Arial"/>
          <w:sz w:val="21"/>
          <w:szCs w:val="21"/>
          <w:lang w:val="es-ES_tradnl" w:eastAsia="es-ES_tradnl"/>
        </w:rPr>
        <w:t>aperturar</w:t>
      </w:r>
      <w:proofErr w:type="spellEnd"/>
      <w:r w:rsidRPr="000A6626">
        <w:rPr>
          <w:rFonts w:ascii="Arial" w:eastAsia="Times New Roman" w:hAnsi="Arial" w:cs="Arial"/>
          <w:sz w:val="21"/>
          <w:szCs w:val="21"/>
          <w:lang w:val="es-ES_tradnl" w:eastAsia="es-ES_tradnl"/>
        </w:rPr>
        <w:t xml:space="preserve"> la cuenta, pueda hacerlo a través del banco con quien actualmente tiene portafolio (Banco Bogotá, BBVA, u otro)</w:t>
      </w:r>
      <w:r>
        <w:rPr>
          <w:rFonts w:ascii="Arial" w:eastAsia="Times New Roman" w:hAnsi="Arial" w:cs="Arial"/>
          <w:sz w:val="21"/>
          <w:szCs w:val="21"/>
          <w:lang w:val="es-ES_tradnl" w:eastAsia="es-ES_tradnl"/>
        </w:rPr>
        <w:t>.</w:t>
      </w:r>
    </w:p>
    <w:p w14:paraId="6A208861" w14:textId="77777777" w:rsidR="00CB603F" w:rsidRPr="000A6626"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p>
    <w:p w14:paraId="7D1CD0D8" w14:textId="77777777" w:rsidR="00CB603F"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r w:rsidRPr="000A6626">
        <w:rPr>
          <w:rFonts w:ascii="Arial" w:eastAsia="Times New Roman" w:hAnsi="Arial" w:cs="Arial"/>
          <w:sz w:val="21"/>
          <w:szCs w:val="21"/>
          <w:lang w:val="es-ES_tradnl" w:eastAsia="es-ES_tradnl"/>
        </w:rPr>
        <w:t>2. El valor de la especie que aporten las Juntas de Acción Comunal, en cual la minuta tipo, ordena cuantificar, ¿debe estar sometido a garantía mediante póliza? […]</w:t>
      </w:r>
    </w:p>
    <w:p w14:paraId="5584E5FA" w14:textId="77777777" w:rsidR="00CB603F" w:rsidRPr="000A6626"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p>
    <w:p w14:paraId="66779D3B" w14:textId="77777777" w:rsidR="00CB603F"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r w:rsidRPr="000A6626">
        <w:rPr>
          <w:rFonts w:ascii="Arial" w:eastAsia="Times New Roman" w:hAnsi="Arial" w:cs="Arial"/>
          <w:sz w:val="21"/>
          <w:szCs w:val="21"/>
          <w:lang w:val="es-ES_tradnl" w:eastAsia="es-ES_tradnl"/>
        </w:rPr>
        <w:t xml:space="preserve">3. De acuerdo a la cláusula 8 numeral primero, parágrafo primero, </w:t>
      </w:r>
      <w:r w:rsidRPr="000A6626">
        <w:rPr>
          <w:rFonts w:ascii="Arial" w:eastAsia="Times New Roman" w:hAnsi="Arial" w:cs="Arial"/>
          <w:b/>
          <w:bCs/>
          <w:sz w:val="21"/>
          <w:szCs w:val="21"/>
          <w:u w:val="single"/>
          <w:lang w:val="es-ES_tradnl" w:eastAsia="es-ES_tradnl"/>
        </w:rPr>
        <w:t>“La cuenta debe ser abierta en una Entidad Estatal financiera autorizada por la Superintendencia Financiera”</w:t>
      </w:r>
      <w:r w:rsidRPr="000A6626">
        <w:rPr>
          <w:rFonts w:ascii="Arial" w:eastAsia="Times New Roman" w:hAnsi="Arial" w:cs="Arial"/>
          <w:sz w:val="21"/>
          <w:szCs w:val="21"/>
          <w:lang w:val="es-ES_tradnl" w:eastAsia="es-ES_tradnl"/>
        </w:rPr>
        <w:t xml:space="preserve"> solicitamos aclaración de a quien le corresponde </w:t>
      </w:r>
      <w:proofErr w:type="spellStart"/>
      <w:r w:rsidRPr="000A6626">
        <w:rPr>
          <w:rFonts w:ascii="Arial" w:eastAsia="Times New Roman" w:hAnsi="Arial" w:cs="Arial"/>
          <w:sz w:val="21"/>
          <w:szCs w:val="21"/>
          <w:lang w:val="es-ES_tradnl" w:eastAsia="es-ES_tradnl"/>
        </w:rPr>
        <w:t>aperturar</w:t>
      </w:r>
      <w:proofErr w:type="spellEnd"/>
      <w:r w:rsidRPr="000A6626">
        <w:rPr>
          <w:rFonts w:ascii="Arial" w:eastAsia="Times New Roman" w:hAnsi="Arial" w:cs="Arial"/>
          <w:sz w:val="21"/>
          <w:szCs w:val="21"/>
          <w:lang w:val="es-ES_tradnl" w:eastAsia="es-ES_tradnl"/>
        </w:rPr>
        <w:t xml:space="preserve"> la cuenta, a la entidad estatal o a la JAC, de lo anterior se deriva, que en caso de que la apertura corresponda a la entidad estatal, como vincula al representante legal ¿mediante cual documento tendría un tercero ajeno a la entidad para vincularse con firma dual o conjunta y si es el caso supondríamos que la entidad tendría que adquirir una póliza de cobertura por el manejo de los recursos, la cual normalmente se adquiere para el persona que interviene en el área de tesorería.</w:t>
      </w:r>
    </w:p>
    <w:p w14:paraId="15D7D27A" w14:textId="77777777" w:rsidR="00CB603F" w:rsidRPr="000A6626"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p>
    <w:p w14:paraId="13B25755" w14:textId="77777777" w:rsidR="00CB603F"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r w:rsidRPr="000A6626">
        <w:rPr>
          <w:rFonts w:ascii="Arial" w:eastAsia="Times New Roman" w:hAnsi="Arial" w:cs="Arial"/>
          <w:sz w:val="21"/>
          <w:szCs w:val="21"/>
          <w:lang w:val="es-ES_tradnl" w:eastAsia="es-ES_tradnl"/>
        </w:rPr>
        <w:t>4. En consecuencia del interrogante anterior, si la entidad estatal, para el caso anterior 50% representante legal (ajen a la entidad) y el 50% restante para el supervisor de la entidad, pasaría a cumplir labores de pagador (estas únicamente dentro del manual de funciones esta para tesorero y ordenador del gasto en los eventos que utilicen firmas conjuntas o pagos electrónicos con token) y al tener el Cincuenta por ciento (50%), estaría autorizado un desembolso de recursos, en este sentido, tendría que estar amparado, su manejo de recursos con una póliza de garantía.</w:t>
      </w:r>
    </w:p>
    <w:p w14:paraId="3BCD1685" w14:textId="77777777" w:rsidR="00CB603F" w:rsidRPr="000A6626"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p>
    <w:p w14:paraId="45E5C076" w14:textId="77777777" w:rsidR="00CB603F" w:rsidRPr="000A6626" w:rsidRDefault="00CB603F" w:rsidP="00CB603F">
      <w:pPr>
        <w:tabs>
          <w:tab w:val="decimal" w:pos="765"/>
          <w:tab w:val="right" w:pos="7371"/>
        </w:tabs>
        <w:spacing w:after="0" w:line="240" w:lineRule="auto"/>
        <w:ind w:left="709" w:right="709"/>
        <w:jc w:val="both"/>
        <w:rPr>
          <w:rFonts w:ascii="Arial" w:eastAsia="Times New Roman" w:hAnsi="Arial" w:cs="Arial"/>
          <w:sz w:val="21"/>
          <w:szCs w:val="21"/>
          <w:lang w:val="es-ES_tradnl" w:eastAsia="es-ES_tradnl"/>
        </w:rPr>
      </w:pPr>
      <w:r w:rsidRPr="000A6626">
        <w:rPr>
          <w:rFonts w:ascii="Arial" w:eastAsia="Times New Roman" w:hAnsi="Arial" w:cs="Arial"/>
          <w:sz w:val="21"/>
          <w:szCs w:val="21"/>
          <w:lang w:val="es-ES_tradnl" w:eastAsia="es-ES_tradnl"/>
        </w:rPr>
        <w:t xml:space="preserve">5. […] en relación con la cláusula </w:t>
      </w:r>
      <w:r w:rsidRPr="000A6626">
        <w:rPr>
          <w:rFonts w:ascii="Arial" w:eastAsia="Times New Roman" w:hAnsi="Arial" w:cs="Arial"/>
          <w:sz w:val="21"/>
          <w:szCs w:val="21"/>
          <w:u w:val="single"/>
          <w:lang w:val="es-ES_tradnl" w:eastAsia="es-ES_tradnl"/>
        </w:rPr>
        <w:t>9 FORMA DE USO Y DISPOSICION DE LOS REURSOS…,</w:t>
      </w:r>
      <w:r w:rsidRPr="000A6626">
        <w:rPr>
          <w:rFonts w:ascii="Arial" w:eastAsia="Times New Roman" w:hAnsi="Arial" w:cs="Arial"/>
          <w:sz w:val="21"/>
          <w:szCs w:val="21"/>
          <w:lang w:val="es-ES_tradnl" w:eastAsia="es-ES_tradnl"/>
        </w:rPr>
        <w:t xml:space="preserve"> igualmente el decreto 442 de 2023, en su artículo 1.6.1.4.8, […] si bien es cierto, las OAC, son </w:t>
      </w:r>
      <w:proofErr w:type="gramStart"/>
      <w:r w:rsidRPr="000A6626">
        <w:rPr>
          <w:rFonts w:ascii="Arial" w:eastAsia="Times New Roman" w:hAnsi="Arial" w:cs="Arial"/>
          <w:sz w:val="21"/>
          <w:szCs w:val="21"/>
          <w:lang w:val="es-ES_tradnl" w:eastAsia="es-ES_tradnl"/>
        </w:rPr>
        <w:t>sujetos no obligados a expedir</w:t>
      </w:r>
      <w:proofErr w:type="gramEnd"/>
      <w:r w:rsidRPr="000A6626">
        <w:rPr>
          <w:rFonts w:ascii="Arial" w:eastAsia="Times New Roman" w:hAnsi="Arial" w:cs="Arial"/>
          <w:sz w:val="21"/>
          <w:szCs w:val="21"/>
          <w:lang w:val="es-ES_tradnl" w:eastAsia="es-ES_tradnl"/>
        </w:rPr>
        <w:t xml:space="preserve"> factura de venta o documento equivalente, al referirnos al anterior artículo indagamos si para la ejecución de un convenio con regalías estarían obligados a expedir facturas o documentos correspondientes?</w:t>
      </w:r>
      <w:r>
        <w:rPr>
          <w:rFonts w:ascii="Arial" w:eastAsia="Times New Roman" w:hAnsi="Arial" w:cs="Arial"/>
          <w:sz w:val="21"/>
          <w:szCs w:val="21"/>
          <w:lang w:val="es-ES_tradnl" w:eastAsia="es-ES_tradnl"/>
        </w:rPr>
        <w:t>” [SIC]</w:t>
      </w:r>
    </w:p>
    <w:p w14:paraId="1A154809" w14:textId="77777777" w:rsidR="00CB603F" w:rsidRDefault="00CB603F" w:rsidP="00CB603F">
      <w:pPr>
        <w:tabs>
          <w:tab w:val="decimal" w:pos="765"/>
          <w:tab w:val="right" w:pos="7371"/>
        </w:tabs>
        <w:spacing w:after="0" w:line="276" w:lineRule="auto"/>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tab/>
      </w:r>
    </w:p>
    <w:p w14:paraId="3D793A97" w14:textId="0E2D7B5E" w:rsidR="00CB603F" w:rsidRDefault="00CB603F" w:rsidP="00CB603F">
      <w:pPr>
        <w:shd w:val="clear" w:color="auto" w:fill="FFFFFF" w:themeFill="background1"/>
        <w:spacing w:after="120" w:line="276" w:lineRule="auto"/>
        <w:jc w:val="both"/>
        <w:rPr>
          <w:rFonts w:ascii="Arial" w:eastAsia="Calibri" w:hAnsi="Arial" w:cs="Arial"/>
          <w:color w:val="000000" w:themeColor="text1"/>
          <w:lang w:val="es-ES_tradnl"/>
        </w:rPr>
      </w:pPr>
      <w:r>
        <w:rPr>
          <w:rFonts w:ascii="Arial" w:hAnsi="Arial" w:cs="Arial"/>
          <w:bCs/>
          <w:color w:val="000000" w:themeColor="text1"/>
          <w:lang w:eastAsia="es-MX"/>
        </w:rPr>
        <w:t>El documento tipo adoptado por la Agencia Nacional de Contratación Pública</w:t>
      </w:r>
      <w:r w:rsidRPr="00ED3CF9">
        <w:rPr>
          <w:rFonts w:ascii="Arial" w:eastAsia="Calibri" w:hAnsi="Arial" w:cs="Arial"/>
          <w:color w:val="000000"/>
          <w:lang w:val="es-ES" w:eastAsia="es-ES"/>
        </w:rPr>
        <w:t xml:space="preserve">– </w:t>
      </w:r>
      <w:r>
        <w:rPr>
          <w:rFonts w:ascii="Arial" w:eastAsia="Calibri" w:hAnsi="Arial" w:cs="Arial"/>
          <w:color w:val="000000"/>
          <w:lang w:val="es-ES" w:eastAsia="es-ES"/>
        </w:rPr>
        <w:t>Colombia Compra Eficiente</w:t>
      </w:r>
      <w:r>
        <w:rPr>
          <w:rFonts w:ascii="Arial" w:hAnsi="Arial" w:cs="Arial"/>
          <w:spacing w:val="2"/>
          <w:lang w:eastAsia="es-CO"/>
        </w:rPr>
        <w:t xml:space="preserve"> </w:t>
      </w:r>
      <w:r>
        <w:rPr>
          <w:rFonts w:ascii="Arial" w:hAnsi="Arial" w:cs="Arial"/>
          <w:bCs/>
          <w:color w:val="000000" w:themeColor="text1"/>
          <w:lang w:eastAsia="es-MX"/>
        </w:rPr>
        <w:t xml:space="preserve">mediante la Resolución 358 del 30 de junio de 2023, tiene como fundamento el </w:t>
      </w:r>
      <w:r w:rsidRPr="001777A9">
        <w:rPr>
          <w:rFonts w:ascii="Arial" w:hAnsi="Arial" w:cs="Arial"/>
          <w:bCs/>
          <w:color w:val="000000" w:themeColor="text1"/>
          <w:lang w:eastAsia="es-MX"/>
        </w:rPr>
        <w:t>régimen de contratación directa de los convenios solidarios señalado en el artículo 95 de la Ley 2166 de 2021</w:t>
      </w:r>
      <w:r>
        <w:rPr>
          <w:rFonts w:ascii="Arial" w:hAnsi="Arial" w:cs="Arial"/>
          <w:bCs/>
          <w:color w:val="000000" w:themeColor="text1"/>
          <w:lang w:eastAsia="es-MX"/>
        </w:rPr>
        <w:t>, por lo que</w:t>
      </w:r>
      <w:r w:rsidRPr="001777A9">
        <w:rPr>
          <w:rFonts w:ascii="Arial" w:hAnsi="Arial" w:cs="Arial"/>
          <w:bCs/>
          <w:color w:val="000000" w:themeColor="text1"/>
          <w:lang w:eastAsia="es-MX"/>
        </w:rPr>
        <w:t xml:space="preserve"> únicamente puede realizarse conforme a lo dispuesto en dicha norma, de manera que podrá</w:t>
      </w:r>
      <w:r>
        <w:rPr>
          <w:rFonts w:ascii="Arial" w:hAnsi="Arial" w:cs="Arial"/>
          <w:bCs/>
          <w:color w:val="000000" w:themeColor="text1"/>
          <w:lang w:eastAsia="es-MX"/>
        </w:rPr>
        <w:t xml:space="preserve">n celebrarse esos convenios </w:t>
      </w:r>
      <w:r w:rsidRPr="001777A9">
        <w:rPr>
          <w:rFonts w:ascii="Arial" w:eastAsia="Calibri" w:hAnsi="Arial" w:cs="Arial"/>
          <w:color w:val="000000" w:themeColor="text1"/>
          <w:lang w:val="es-ES_tradnl"/>
        </w:rPr>
        <w:t xml:space="preserve">por la mínima o </w:t>
      </w:r>
      <w:r w:rsidR="009A12EB">
        <w:rPr>
          <w:rFonts w:ascii="Arial" w:eastAsia="Calibri" w:hAnsi="Arial" w:cs="Arial"/>
          <w:color w:val="000000" w:themeColor="text1"/>
          <w:lang w:val="es-ES_tradnl"/>
        </w:rPr>
        <w:t xml:space="preserve">hasta </w:t>
      </w:r>
      <w:r w:rsidRPr="001777A9">
        <w:rPr>
          <w:rFonts w:ascii="Arial" w:eastAsia="Calibri" w:hAnsi="Arial" w:cs="Arial"/>
          <w:color w:val="000000" w:themeColor="text1"/>
          <w:lang w:val="es-ES_tradnl"/>
        </w:rPr>
        <w:t xml:space="preserve">la menor cuantía de la </w:t>
      </w:r>
      <w:r w:rsidR="009A12EB">
        <w:rPr>
          <w:rFonts w:ascii="Arial" w:eastAsia="Calibri" w:hAnsi="Arial" w:cs="Arial"/>
          <w:color w:val="000000" w:themeColor="text1"/>
          <w:lang w:val="es-ES_tradnl"/>
        </w:rPr>
        <w:t>E</w:t>
      </w:r>
      <w:r w:rsidRPr="001777A9">
        <w:rPr>
          <w:rFonts w:ascii="Arial" w:eastAsia="Calibri" w:hAnsi="Arial" w:cs="Arial"/>
          <w:color w:val="000000" w:themeColor="text1"/>
          <w:lang w:val="es-ES_tradnl"/>
        </w:rPr>
        <w:t>ntidad</w:t>
      </w:r>
      <w:r>
        <w:rPr>
          <w:rFonts w:ascii="Arial" w:eastAsia="Calibri" w:hAnsi="Arial" w:cs="Arial"/>
          <w:color w:val="000000" w:themeColor="text1"/>
          <w:lang w:val="es-ES_tradnl"/>
        </w:rPr>
        <w:t xml:space="preserve"> </w:t>
      </w:r>
      <w:r w:rsidR="009A12EB">
        <w:rPr>
          <w:rFonts w:ascii="Arial" w:eastAsia="Calibri" w:hAnsi="Arial" w:cs="Arial"/>
          <w:color w:val="000000" w:themeColor="text1"/>
          <w:lang w:val="es-ES_tradnl"/>
        </w:rPr>
        <w:t>E</w:t>
      </w:r>
      <w:r>
        <w:rPr>
          <w:rFonts w:ascii="Arial" w:eastAsia="Calibri" w:hAnsi="Arial" w:cs="Arial"/>
          <w:color w:val="000000" w:themeColor="text1"/>
          <w:lang w:val="es-ES_tradnl"/>
        </w:rPr>
        <w:t xml:space="preserve">statal sometida al Estatuto General de Contratación de la Administración Pública. Por lo anterior, los artículos 1, 2 y 4 de la Resolución señalada mencionan que estos aplican para la contratación directa </w:t>
      </w:r>
      <w:r w:rsidRPr="009E7DB8">
        <w:rPr>
          <w:rFonts w:ascii="Arial" w:eastAsia="Calibri" w:hAnsi="Arial" w:cs="Arial"/>
          <w:color w:val="000000" w:themeColor="text1"/>
          <w:lang w:val="es-ES_tradnl"/>
        </w:rPr>
        <w:t xml:space="preserve">de convenios solidarios para la ejecución de obras </w:t>
      </w:r>
      <w:r w:rsidRPr="009E7DB8">
        <w:rPr>
          <w:rFonts w:ascii="Arial" w:eastAsia="Calibri" w:hAnsi="Arial" w:cs="Arial"/>
          <w:i/>
          <w:iCs/>
          <w:color w:val="000000" w:themeColor="text1"/>
          <w:u w:val="single"/>
          <w:lang w:val="es-ES_tradnl"/>
        </w:rPr>
        <w:t>hasta</w:t>
      </w:r>
      <w:r w:rsidRPr="009E7DB8">
        <w:rPr>
          <w:rFonts w:ascii="Arial" w:eastAsia="Calibri" w:hAnsi="Arial" w:cs="Arial"/>
          <w:color w:val="000000" w:themeColor="text1"/>
          <w:lang w:val="es-ES_tradnl"/>
        </w:rPr>
        <w:t xml:space="preserve"> la menor cuantía con Organismos de Acción Comunal.</w:t>
      </w:r>
    </w:p>
    <w:p w14:paraId="6EC98AF8" w14:textId="01E2843E" w:rsidR="00CB603F" w:rsidRDefault="009A3C86" w:rsidP="00CB603F">
      <w:pPr>
        <w:shd w:val="clear" w:color="auto" w:fill="FFFFFF" w:themeFill="background1"/>
        <w:spacing w:after="12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t>Ahora bien, es necesario resaltar que e</w:t>
      </w:r>
      <w:r w:rsidR="00CB603F">
        <w:rPr>
          <w:rFonts w:ascii="Arial" w:eastAsia="Calibri" w:hAnsi="Arial" w:cs="Arial"/>
          <w:color w:val="000000" w:themeColor="text1"/>
          <w:lang w:val="es-ES_tradnl"/>
        </w:rPr>
        <w:t xml:space="preserve">ste documento tipo contempla tres [3] opciones para el giro de los recursos por parte de la Entidad Estatal, de acuerdo con la </w:t>
      </w:r>
      <w:r w:rsidR="00CB603F">
        <w:rPr>
          <w:rFonts w:ascii="Arial" w:eastAsia="Calibri" w:hAnsi="Arial" w:cs="Arial"/>
          <w:color w:val="000000" w:themeColor="text1"/>
          <w:lang w:val="es-ES_tradnl"/>
        </w:rPr>
        <w:lastRenderedPageBreak/>
        <w:t xml:space="preserve">cláusula 7 de la Minuta Tipo. De esta manera, el giro de los recursos puede realizarse a una cuenta que se constituya a nombre del convenio o a un patrimonio autónomo, según corresponda. </w:t>
      </w:r>
    </w:p>
    <w:p w14:paraId="44E53D4F" w14:textId="77777777" w:rsidR="00CB603F" w:rsidRPr="004C10BD" w:rsidRDefault="00CB603F" w:rsidP="00CB603F">
      <w:pPr>
        <w:shd w:val="clear" w:color="auto" w:fill="FFFFFF" w:themeFill="background1"/>
        <w:spacing w:after="120" w:line="276" w:lineRule="auto"/>
        <w:ind w:firstLine="709"/>
        <w:jc w:val="both"/>
        <w:rPr>
          <w:rFonts w:ascii="Arial" w:eastAsia="Calibri" w:hAnsi="Arial" w:cs="Arial"/>
          <w:color w:val="000000" w:themeColor="text1"/>
          <w:lang w:val="es-ES_tradnl"/>
        </w:rPr>
      </w:pPr>
      <w:r>
        <w:rPr>
          <w:rFonts w:ascii="Arial" w:eastAsia="Calibri" w:hAnsi="Arial" w:cs="Arial"/>
          <w:color w:val="000000" w:themeColor="text1"/>
          <w:lang w:val="es-ES_tradnl"/>
        </w:rPr>
        <w:t>En línea con lo anterior</w:t>
      </w:r>
      <w:r w:rsidRPr="00792062">
        <w:rPr>
          <w:rFonts w:ascii="Arial" w:hAnsi="Arial" w:cs="Arial"/>
        </w:rPr>
        <w:t xml:space="preserve">, la cláusula 8 de la Minuta Tipo dispone de tres [3] </w:t>
      </w:r>
      <w:r>
        <w:rPr>
          <w:rFonts w:ascii="Arial" w:hAnsi="Arial" w:cs="Arial"/>
        </w:rPr>
        <w:t>alternativas</w:t>
      </w:r>
      <w:r w:rsidRPr="00792062">
        <w:rPr>
          <w:rFonts w:ascii="Arial" w:hAnsi="Arial" w:cs="Arial"/>
        </w:rPr>
        <w:t xml:space="preserve"> para el manejo de los recursos, dependiendo de si se opta por la opción 1, 2 o 3 de la cláusula 7 </w:t>
      </w:r>
      <w:r>
        <w:rPr>
          <w:rFonts w:ascii="Arial" w:hAnsi="Arial" w:cs="Arial"/>
        </w:rPr>
        <w:t>para el</w:t>
      </w:r>
      <w:r w:rsidRPr="00792062">
        <w:rPr>
          <w:rFonts w:ascii="Arial" w:hAnsi="Arial" w:cs="Arial"/>
        </w:rPr>
        <w:t xml:space="preserve"> giro de los recursos. </w:t>
      </w:r>
      <w:r>
        <w:rPr>
          <w:rFonts w:ascii="Arial" w:hAnsi="Arial" w:cs="Arial"/>
        </w:rPr>
        <w:t xml:space="preserve">Esto significa que la opción para el manejo de los recursos debe incluirse dependiendo de la opción de giro de recursos que se haya escogido. </w:t>
      </w:r>
      <w:r w:rsidRPr="00792062">
        <w:rPr>
          <w:rFonts w:ascii="Arial" w:hAnsi="Arial" w:cs="Arial"/>
        </w:rPr>
        <w:t xml:space="preserve">Estas opciones contienen unas condiciones que deben cumplirse y, en caso de que se opte por las opciones 1 o 3 de la cláusula 7 de la Minuta Tipo, que </w:t>
      </w:r>
      <w:r>
        <w:rPr>
          <w:rFonts w:ascii="Arial" w:hAnsi="Arial" w:cs="Arial"/>
        </w:rPr>
        <w:t>implican que se realicen</w:t>
      </w:r>
      <w:r w:rsidRPr="00792062">
        <w:rPr>
          <w:rFonts w:ascii="Arial" w:hAnsi="Arial" w:cs="Arial"/>
        </w:rPr>
        <w:t xml:space="preserve"> giros de recursos a cuentas a nombre del convenio, es necesario tener en cuenta las reglas del parágrafo 1</w:t>
      </w:r>
      <w:r>
        <w:rPr>
          <w:rFonts w:ascii="Arial" w:hAnsi="Arial" w:cs="Arial"/>
        </w:rPr>
        <w:t xml:space="preserve">, el cual señala que, para la buena administración del giro o desembolso de los recursos, se deberá tener en cuenta lo siguiente: “I. </w:t>
      </w:r>
      <w:r w:rsidRPr="005106B4">
        <w:rPr>
          <w:rFonts w:ascii="Arial" w:hAnsi="Arial" w:cs="Arial"/>
        </w:rPr>
        <w:t>La cuenta debe ser abierta en una Entidad Estatal financiera autorizada por la Superintendencia Financiera</w:t>
      </w:r>
      <w:r>
        <w:rPr>
          <w:rFonts w:ascii="Arial" w:hAnsi="Arial" w:cs="Arial"/>
        </w:rPr>
        <w:t xml:space="preserve">”, y “II. </w:t>
      </w:r>
      <w:r w:rsidRPr="005106B4">
        <w:rPr>
          <w:rFonts w:ascii="Arial" w:hAnsi="Arial" w:cs="Arial"/>
        </w:rPr>
        <w:t>La cuenta deberá mantenerse activa y debe extenderse como mínimo hasta la utilización de la totalidad del recurso entregado a título de giro o desembolso</w:t>
      </w:r>
      <w:r>
        <w:rPr>
          <w:rFonts w:ascii="Arial" w:hAnsi="Arial" w:cs="Arial"/>
        </w:rPr>
        <w:t>”.</w:t>
      </w:r>
    </w:p>
    <w:p w14:paraId="296DEB39" w14:textId="77777777" w:rsidR="00CB603F" w:rsidRDefault="00CB603F" w:rsidP="00CB603F">
      <w:pPr>
        <w:tabs>
          <w:tab w:val="left" w:pos="0"/>
        </w:tabs>
        <w:spacing w:after="120" w:line="276" w:lineRule="auto"/>
        <w:ind w:firstLine="709"/>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t xml:space="preserve">Al respecto, es necesario advertir que se incurrió en una imprecisión en la digitación, por lo que la cuenta a la que se refiere el punto [I] del referido parágrafo 1, debe ser abierta en una </w:t>
      </w:r>
      <w:r w:rsidRPr="007F24A8">
        <w:rPr>
          <w:rFonts w:ascii="Arial" w:eastAsia="Calibri" w:hAnsi="Arial" w:cs="Arial"/>
          <w:bCs/>
          <w:i/>
          <w:iCs/>
          <w:szCs w:val="24"/>
          <w:lang w:val="es-ES_tradnl" w:eastAsia="es-ES_tradnl"/>
        </w:rPr>
        <w:t>entidad financiera autorizada por la Superintendencia Financiera</w:t>
      </w:r>
      <w:r>
        <w:rPr>
          <w:rFonts w:ascii="Arial" w:eastAsia="Calibri" w:hAnsi="Arial" w:cs="Arial"/>
          <w:bCs/>
          <w:szCs w:val="24"/>
          <w:lang w:val="es-ES_tradnl" w:eastAsia="es-ES_tradnl"/>
        </w:rPr>
        <w:t xml:space="preserve">, y no necesariamente en una </w:t>
      </w:r>
      <w:r w:rsidRPr="007F24A8">
        <w:rPr>
          <w:rFonts w:ascii="Arial" w:eastAsia="Calibri" w:hAnsi="Arial" w:cs="Arial"/>
          <w:bCs/>
          <w:i/>
          <w:iCs/>
          <w:szCs w:val="24"/>
          <w:lang w:val="es-ES_tradnl" w:eastAsia="es-ES_tradnl"/>
        </w:rPr>
        <w:t>“Entidad Estatal financiera”</w:t>
      </w:r>
      <w:r>
        <w:rPr>
          <w:rFonts w:ascii="Arial" w:eastAsia="Calibri" w:hAnsi="Arial" w:cs="Arial"/>
          <w:bCs/>
          <w:szCs w:val="24"/>
          <w:lang w:val="es-ES_tradnl" w:eastAsia="es-ES_tradnl"/>
        </w:rPr>
        <w:t xml:space="preserve">. En consecuencia, la entidad financiera que realizará la administración de los recursos puede ser seleccionada de forma discrecional, sin que medie si es de carácter público o privado. </w:t>
      </w:r>
    </w:p>
    <w:p w14:paraId="78E5B648" w14:textId="69F7EFC0" w:rsidR="00CB603F" w:rsidRDefault="00CB603F" w:rsidP="00CB603F">
      <w:pPr>
        <w:tabs>
          <w:tab w:val="left" w:pos="0"/>
        </w:tabs>
        <w:spacing w:after="120" w:line="276" w:lineRule="auto"/>
        <w:ind w:firstLine="709"/>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t>Ahora bien, de acuerdo con la cláusula 9 de la Minuta Tipo sobre la forma de uso y disposición de los recursos por parte del organismo de acción comunal, este debe aportar como mínimo los siguientes documentos que, a su vez, deberán ser validados por el interventor y/o supervisor con el fin de que se autorice el uso de los recursos: i) c</w:t>
      </w:r>
      <w:r w:rsidRPr="002129E3">
        <w:rPr>
          <w:rFonts w:ascii="Arial" w:eastAsia="Calibri" w:hAnsi="Arial" w:cs="Arial"/>
          <w:bCs/>
          <w:szCs w:val="24"/>
          <w:lang w:val="es-ES_tradnl" w:eastAsia="es-ES_tradnl"/>
        </w:rPr>
        <w:t>uenta de cobro y/o factura emitida por el tercero que realiza el cobro</w:t>
      </w:r>
      <w:r>
        <w:rPr>
          <w:rFonts w:ascii="Arial" w:eastAsia="Calibri" w:hAnsi="Arial" w:cs="Arial"/>
          <w:bCs/>
          <w:szCs w:val="24"/>
          <w:lang w:val="es-ES_tradnl" w:eastAsia="es-ES_tradnl"/>
        </w:rPr>
        <w:t xml:space="preserve">; </w:t>
      </w:r>
      <w:proofErr w:type="spellStart"/>
      <w:r>
        <w:rPr>
          <w:rFonts w:ascii="Arial" w:eastAsia="Calibri" w:hAnsi="Arial" w:cs="Arial"/>
          <w:bCs/>
          <w:szCs w:val="24"/>
          <w:lang w:val="es-ES_tradnl" w:eastAsia="es-ES_tradnl"/>
        </w:rPr>
        <w:t>ii</w:t>
      </w:r>
      <w:proofErr w:type="spellEnd"/>
      <w:r>
        <w:rPr>
          <w:rFonts w:ascii="Arial" w:eastAsia="Calibri" w:hAnsi="Arial" w:cs="Arial"/>
          <w:bCs/>
          <w:szCs w:val="24"/>
          <w:lang w:val="es-ES_tradnl" w:eastAsia="es-ES_tradnl"/>
        </w:rPr>
        <w:t>) s</w:t>
      </w:r>
      <w:r w:rsidRPr="00D0279E">
        <w:rPr>
          <w:rFonts w:ascii="Arial" w:eastAsia="Calibri" w:hAnsi="Arial" w:cs="Arial"/>
          <w:bCs/>
          <w:szCs w:val="24"/>
          <w:lang w:val="es-ES_tradnl" w:eastAsia="es-ES_tradnl"/>
        </w:rPr>
        <w:t>oporte de pago de seguridad social del prestador del bien o servicio que presenta la cuenta de cobro y/o factura</w:t>
      </w:r>
      <w:r>
        <w:rPr>
          <w:rFonts w:ascii="Arial" w:eastAsia="Calibri" w:hAnsi="Arial" w:cs="Arial"/>
          <w:bCs/>
          <w:szCs w:val="24"/>
          <w:lang w:val="es-ES_tradnl" w:eastAsia="es-ES_tradnl"/>
        </w:rPr>
        <w:t xml:space="preserve">; </w:t>
      </w:r>
      <w:proofErr w:type="spellStart"/>
      <w:r>
        <w:rPr>
          <w:rFonts w:ascii="Arial" w:eastAsia="Calibri" w:hAnsi="Arial" w:cs="Arial"/>
          <w:bCs/>
          <w:szCs w:val="24"/>
          <w:lang w:val="es-ES_tradnl" w:eastAsia="es-ES_tradnl"/>
        </w:rPr>
        <w:t>iii</w:t>
      </w:r>
      <w:proofErr w:type="spellEnd"/>
      <w:r>
        <w:rPr>
          <w:rFonts w:ascii="Arial" w:eastAsia="Calibri" w:hAnsi="Arial" w:cs="Arial"/>
          <w:bCs/>
          <w:szCs w:val="24"/>
          <w:lang w:val="es-ES_tradnl" w:eastAsia="es-ES_tradnl"/>
        </w:rPr>
        <w:t>) i</w:t>
      </w:r>
      <w:r w:rsidRPr="001F7628">
        <w:rPr>
          <w:rFonts w:ascii="Arial" w:eastAsia="Calibri" w:hAnsi="Arial" w:cs="Arial"/>
          <w:bCs/>
          <w:szCs w:val="24"/>
          <w:lang w:val="es-ES_tradnl" w:eastAsia="es-ES_tradnl"/>
        </w:rPr>
        <w:t>nformes parciales o totales de ejecución de las actividades realizadas por el prestador del bien o servicio</w:t>
      </w:r>
      <w:r>
        <w:rPr>
          <w:rFonts w:ascii="Arial" w:eastAsia="Calibri" w:hAnsi="Arial" w:cs="Arial"/>
          <w:bCs/>
          <w:szCs w:val="24"/>
          <w:lang w:val="es-ES_tradnl" w:eastAsia="es-ES_tradnl"/>
        </w:rPr>
        <w:t xml:space="preserve">, y </w:t>
      </w:r>
      <w:proofErr w:type="spellStart"/>
      <w:r>
        <w:rPr>
          <w:rFonts w:ascii="Arial" w:eastAsia="Calibri" w:hAnsi="Arial" w:cs="Arial"/>
          <w:bCs/>
          <w:szCs w:val="24"/>
          <w:lang w:val="es-ES_tradnl" w:eastAsia="es-ES_tradnl"/>
        </w:rPr>
        <w:t>iv</w:t>
      </w:r>
      <w:proofErr w:type="spellEnd"/>
      <w:r>
        <w:rPr>
          <w:rFonts w:ascii="Arial" w:eastAsia="Calibri" w:hAnsi="Arial" w:cs="Arial"/>
          <w:bCs/>
          <w:szCs w:val="24"/>
          <w:lang w:val="es-ES_tradnl" w:eastAsia="es-ES_tradnl"/>
        </w:rPr>
        <w:t>) c</w:t>
      </w:r>
      <w:r w:rsidRPr="0081748D">
        <w:rPr>
          <w:rFonts w:ascii="Arial" w:eastAsia="Calibri" w:hAnsi="Arial" w:cs="Arial"/>
          <w:bCs/>
          <w:szCs w:val="24"/>
          <w:lang w:val="es-ES_tradnl" w:eastAsia="es-ES_tradnl"/>
        </w:rPr>
        <w:t>ertificación de cuenta bancaria o billetera digital a nombre del prestador del bien o servicio a donde se girará el pago</w:t>
      </w:r>
      <w:r>
        <w:rPr>
          <w:rFonts w:ascii="Arial" w:eastAsia="Calibri" w:hAnsi="Arial" w:cs="Arial"/>
          <w:bCs/>
          <w:szCs w:val="24"/>
          <w:lang w:val="es-ES_tradnl" w:eastAsia="es-ES_tradnl"/>
        </w:rPr>
        <w:t>.</w:t>
      </w:r>
    </w:p>
    <w:p w14:paraId="1F8EDA6D" w14:textId="02275611" w:rsidR="00CB603F" w:rsidRDefault="00CB603F" w:rsidP="00CB603F">
      <w:pPr>
        <w:tabs>
          <w:tab w:val="left" w:pos="0"/>
        </w:tabs>
        <w:spacing w:after="120" w:line="276" w:lineRule="auto"/>
        <w:ind w:firstLine="709"/>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t xml:space="preserve">Por otra parte, en este tipo de procesos, la </w:t>
      </w:r>
      <w:r w:rsidR="003728B8">
        <w:rPr>
          <w:rFonts w:ascii="Arial" w:eastAsia="Calibri" w:hAnsi="Arial" w:cs="Arial"/>
          <w:bCs/>
          <w:szCs w:val="24"/>
          <w:lang w:val="es-ES_tradnl" w:eastAsia="es-ES_tradnl"/>
        </w:rPr>
        <w:t xml:space="preserve">estipulación </w:t>
      </w:r>
      <w:r>
        <w:rPr>
          <w:rFonts w:ascii="Arial" w:eastAsia="Calibri" w:hAnsi="Arial" w:cs="Arial"/>
          <w:bCs/>
          <w:szCs w:val="24"/>
          <w:lang w:val="es-ES_tradnl" w:eastAsia="es-ES_tradnl"/>
        </w:rPr>
        <w:t xml:space="preserve">de garantías no es obligatoria, </w:t>
      </w:r>
      <w:r w:rsidR="00AB2376">
        <w:rPr>
          <w:rFonts w:ascii="Arial" w:eastAsia="Calibri" w:hAnsi="Arial" w:cs="Arial"/>
          <w:bCs/>
          <w:szCs w:val="24"/>
          <w:lang w:val="es-ES_tradnl" w:eastAsia="es-ES_tradnl"/>
        </w:rPr>
        <w:t xml:space="preserve">teniendo en </w:t>
      </w:r>
      <w:proofErr w:type="gramStart"/>
      <w:r w:rsidR="00AB2376">
        <w:rPr>
          <w:rFonts w:ascii="Arial" w:eastAsia="Calibri" w:hAnsi="Arial" w:cs="Arial"/>
          <w:bCs/>
          <w:szCs w:val="24"/>
          <w:lang w:val="es-ES_tradnl" w:eastAsia="es-ES_tradnl"/>
        </w:rPr>
        <w:t xml:space="preserve">cuenta </w:t>
      </w:r>
      <w:r>
        <w:rPr>
          <w:rFonts w:ascii="Arial" w:eastAsia="Calibri" w:hAnsi="Arial" w:cs="Arial"/>
          <w:bCs/>
          <w:szCs w:val="24"/>
          <w:lang w:val="es-ES_tradnl" w:eastAsia="es-ES_tradnl"/>
        </w:rPr>
        <w:t xml:space="preserve"> que</w:t>
      </w:r>
      <w:proofErr w:type="gramEnd"/>
      <w:r>
        <w:rPr>
          <w:rFonts w:ascii="Arial" w:eastAsia="Calibri" w:hAnsi="Arial" w:cs="Arial"/>
          <w:bCs/>
          <w:szCs w:val="24"/>
          <w:lang w:val="es-ES_tradnl" w:eastAsia="es-ES_tradnl"/>
        </w:rPr>
        <w:t xml:space="preserve"> d</w:t>
      </w:r>
      <w:r w:rsidRPr="00A8627D">
        <w:rPr>
          <w:rFonts w:ascii="Arial" w:eastAsia="Calibri" w:hAnsi="Arial" w:cs="Arial"/>
          <w:bCs/>
          <w:szCs w:val="24"/>
          <w:lang w:val="es-ES_tradnl" w:eastAsia="es-ES_tradnl"/>
        </w:rPr>
        <w:t xml:space="preserve">e conformidad con lo dispuesto en </w:t>
      </w:r>
      <w:r>
        <w:rPr>
          <w:rFonts w:ascii="Arial" w:eastAsia="Calibri" w:hAnsi="Arial" w:cs="Arial"/>
          <w:bCs/>
          <w:szCs w:val="24"/>
          <w:lang w:val="es-ES_tradnl" w:eastAsia="es-ES_tradnl"/>
        </w:rPr>
        <w:t>los</w:t>
      </w:r>
      <w:r w:rsidRPr="00A8627D">
        <w:rPr>
          <w:rFonts w:ascii="Arial" w:eastAsia="Calibri" w:hAnsi="Arial" w:cs="Arial"/>
          <w:bCs/>
          <w:szCs w:val="24"/>
          <w:lang w:val="es-ES_tradnl" w:eastAsia="es-ES_tradnl"/>
        </w:rPr>
        <w:t xml:space="preserve"> artículo</w:t>
      </w:r>
      <w:r>
        <w:rPr>
          <w:rFonts w:ascii="Arial" w:eastAsia="Calibri" w:hAnsi="Arial" w:cs="Arial"/>
          <w:bCs/>
          <w:szCs w:val="24"/>
          <w:lang w:val="es-ES_tradnl" w:eastAsia="es-ES_tradnl"/>
        </w:rPr>
        <w:t>s</w:t>
      </w:r>
      <w:r w:rsidRPr="00A8627D">
        <w:rPr>
          <w:rFonts w:ascii="Arial" w:eastAsia="Calibri" w:hAnsi="Arial" w:cs="Arial"/>
          <w:bCs/>
          <w:szCs w:val="24"/>
          <w:lang w:val="es-ES_tradnl" w:eastAsia="es-ES_tradnl"/>
        </w:rPr>
        <w:t xml:space="preserve"> 7 de la Ley 1150 de 2007 y 2.2.1.2.1.4.5 del Decreto 1082 de 2015, las garantías no </w:t>
      </w:r>
      <w:r>
        <w:rPr>
          <w:rFonts w:ascii="Arial" w:eastAsia="Calibri" w:hAnsi="Arial" w:cs="Arial"/>
          <w:bCs/>
          <w:szCs w:val="24"/>
          <w:lang w:val="es-ES_tradnl" w:eastAsia="es-ES_tradnl"/>
        </w:rPr>
        <w:t>son</w:t>
      </w:r>
      <w:r w:rsidRPr="00A8627D">
        <w:rPr>
          <w:rFonts w:ascii="Arial" w:eastAsia="Calibri" w:hAnsi="Arial" w:cs="Arial"/>
          <w:bCs/>
          <w:szCs w:val="24"/>
          <w:lang w:val="es-ES_tradnl" w:eastAsia="es-ES_tradnl"/>
        </w:rPr>
        <w:t xml:space="preserve"> obligatorias en la contratación directa</w:t>
      </w:r>
      <w:r>
        <w:rPr>
          <w:rFonts w:ascii="Arial" w:eastAsia="Calibri" w:hAnsi="Arial" w:cs="Arial"/>
          <w:bCs/>
          <w:szCs w:val="24"/>
          <w:lang w:val="es-ES_tradnl" w:eastAsia="es-ES_tradnl"/>
        </w:rPr>
        <w:t xml:space="preserve">. Así, en caso de que la Entidad Estatal considere procedente exigir garantías, de conformidad con los estudios previos y las características del </w:t>
      </w:r>
      <w:r w:rsidR="00AB2376">
        <w:rPr>
          <w:rFonts w:ascii="Arial" w:eastAsia="Calibri" w:hAnsi="Arial" w:cs="Arial"/>
          <w:bCs/>
          <w:szCs w:val="24"/>
          <w:lang w:val="es-ES_tradnl" w:eastAsia="es-ES_tradnl"/>
        </w:rPr>
        <w:t>P</w:t>
      </w:r>
      <w:r>
        <w:rPr>
          <w:rFonts w:ascii="Arial" w:eastAsia="Calibri" w:hAnsi="Arial" w:cs="Arial"/>
          <w:bCs/>
          <w:szCs w:val="24"/>
          <w:lang w:val="es-ES_tradnl" w:eastAsia="es-ES_tradnl"/>
        </w:rPr>
        <w:t xml:space="preserve">roceso de </w:t>
      </w:r>
      <w:r w:rsidR="00AB2376">
        <w:rPr>
          <w:rFonts w:ascii="Arial" w:eastAsia="Calibri" w:hAnsi="Arial" w:cs="Arial"/>
          <w:bCs/>
          <w:szCs w:val="24"/>
          <w:lang w:val="es-ES_tradnl" w:eastAsia="es-ES_tradnl"/>
        </w:rPr>
        <w:t>C</w:t>
      </w:r>
      <w:r>
        <w:rPr>
          <w:rFonts w:ascii="Arial" w:eastAsia="Calibri" w:hAnsi="Arial" w:cs="Arial"/>
          <w:bCs/>
          <w:szCs w:val="24"/>
          <w:lang w:val="es-ES_tradnl" w:eastAsia="es-ES_tradnl"/>
        </w:rPr>
        <w:t xml:space="preserve">ontratación, deberá </w:t>
      </w:r>
      <w:r w:rsidR="00AB2376">
        <w:rPr>
          <w:rFonts w:ascii="Arial" w:eastAsia="Calibri" w:hAnsi="Arial" w:cs="Arial"/>
          <w:bCs/>
          <w:szCs w:val="24"/>
          <w:lang w:val="es-ES_tradnl" w:eastAsia="es-ES_tradnl"/>
        </w:rPr>
        <w:t>establecerlas</w:t>
      </w:r>
      <w:r>
        <w:rPr>
          <w:rFonts w:ascii="Arial" w:eastAsia="Calibri" w:hAnsi="Arial" w:cs="Arial"/>
          <w:bCs/>
          <w:szCs w:val="24"/>
          <w:lang w:val="es-ES_tradnl" w:eastAsia="es-ES_tradnl"/>
        </w:rPr>
        <w:t xml:space="preserve">, incluyendo sus amparos, montos y vigencias. </w:t>
      </w:r>
    </w:p>
    <w:p w14:paraId="465E3B39" w14:textId="5D5C601A" w:rsidR="00CB603F" w:rsidRDefault="00CB603F" w:rsidP="00CB603F">
      <w:pPr>
        <w:tabs>
          <w:tab w:val="left" w:pos="0"/>
        </w:tabs>
        <w:spacing w:after="0" w:line="276" w:lineRule="auto"/>
        <w:ind w:firstLine="709"/>
        <w:jc w:val="both"/>
        <w:rPr>
          <w:rFonts w:ascii="Arial" w:eastAsia="Calibri" w:hAnsi="Arial" w:cs="Arial"/>
          <w:bCs/>
          <w:szCs w:val="24"/>
          <w:lang w:val="es-ES_tradnl" w:eastAsia="es-ES_tradnl"/>
        </w:rPr>
      </w:pPr>
      <w:r>
        <w:rPr>
          <w:rFonts w:ascii="Arial" w:eastAsia="Calibri" w:hAnsi="Arial" w:cs="Arial"/>
          <w:bCs/>
          <w:szCs w:val="24"/>
          <w:lang w:val="es-ES_tradnl" w:eastAsia="es-ES_tradnl"/>
        </w:rPr>
        <w:lastRenderedPageBreak/>
        <w:t xml:space="preserve">Una vez la Entidad Estatal determine si va a exigir garantías y cuáles va a requerir, debe tener en cuenta los parámetros señalados en la cláusula 17 de la Minuta Tipo, en la que se desarrollan las garantías de i) cumplimiento, </w:t>
      </w:r>
      <w:proofErr w:type="spellStart"/>
      <w:r>
        <w:rPr>
          <w:rFonts w:ascii="Arial" w:eastAsia="Calibri" w:hAnsi="Arial" w:cs="Arial"/>
          <w:bCs/>
          <w:szCs w:val="24"/>
          <w:lang w:val="es-ES_tradnl" w:eastAsia="es-ES_tradnl"/>
        </w:rPr>
        <w:t>ii</w:t>
      </w:r>
      <w:proofErr w:type="spellEnd"/>
      <w:r>
        <w:rPr>
          <w:rFonts w:ascii="Arial" w:eastAsia="Calibri" w:hAnsi="Arial" w:cs="Arial"/>
          <w:bCs/>
          <w:szCs w:val="24"/>
          <w:lang w:val="es-ES_tradnl" w:eastAsia="es-ES_tradnl"/>
        </w:rPr>
        <w:t xml:space="preserve">) estabilidad de la obra y </w:t>
      </w:r>
      <w:proofErr w:type="spellStart"/>
      <w:r>
        <w:rPr>
          <w:rFonts w:ascii="Arial" w:eastAsia="Calibri" w:hAnsi="Arial" w:cs="Arial"/>
          <w:bCs/>
          <w:szCs w:val="24"/>
          <w:lang w:val="es-ES_tradnl" w:eastAsia="es-ES_tradnl"/>
        </w:rPr>
        <w:t>iii</w:t>
      </w:r>
      <w:proofErr w:type="spellEnd"/>
      <w:r>
        <w:rPr>
          <w:rFonts w:ascii="Arial" w:eastAsia="Calibri" w:hAnsi="Arial" w:cs="Arial"/>
          <w:bCs/>
          <w:szCs w:val="24"/>
          <w:lang w:val="es-ES_tradnl" w:eastAsia="es-ES_tradnl"/>
        </w:rPr>
        <w:t xml:space="preserve">) responsabilidad civil extracontractual. De igual forma, el organismo de acción comunal deberá tener en cuenta las condiciones que se fijen para cada una de las garantías que deba presentar, como la clase, asegurados, beneficiarios, valores, amparos, la información necesaria dentro de la póliza, entre otros aspectos que señale la Entidad Estatal conforme a la Minuta Tipo. </w:t>
      </w:r>
    </w:p>
    <w:p w14:paraId="2812D951" w14:textId="77777777" w:rsidR="00CB603F" w:rsidRPr="00ED3CF9" w:rsidRDefault="00CB603F" w:rsidP="00CB603F">
      <w:pPr>
        <w:tabs>
          <w:tab w:val="decimal" w:pos="765"/>
          <w:tab w:val="right" w:pos="7371"/>
        </w:tabs>
        <w:spacing w:after="0" w:line="276" w:lineRule="auto"/>
        <w:ind w:right="709"/>
        <w:jc w:val="both"/>
        <w:rPr>
          <w:rFonts w:ascii="Arial" w:eastAsia="Times New Roman" w:hAnsi="Arial" w:cs="Arial"/>
          <w:highlight w:val="yellow"/>
          <w:lang w:eastAsia="es-ES"/>
        </w:rPr>
      </w:pPr>
    </w:p>
    <w:bookmarkEnd w:id="1"/>
    <w:bookmarkEnd w:id="2"/>
    <w:p w14:paraId="7627C992" w14:textId="77777777" w:rsidR="00CB603F" w:rsidRPr="00ED3CF9" w:rsidRDefault="00CB603F" w:rsidP="00CB603F">
      <w:pPr>
        <w:spacing w:after="0" w:line="276" w:lineRule="auto"/>
        <w:jc w:val="both"/>
        <w:rPr>
          <w:rFonts w:ascii="Arial" w:hAnsi="Arial" w:cs="Arial"/>
          <w:lang w:val="es-ES_tradnl"/>
        </w:rPr>
      </w:pPr>
      <w:r w:rsidRPr="00ED3CF9">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6F6CDB60" w14:textId="77777777" w:rsidR="00CB603F" w:rsidRPr="00ED3CF9" w:rsidRDefault="00CB603F" w:rsidP="00CB603F">
      <w:pPr>
        <w:spacing w:after="0" w:line="276" w:lineRule="auto"/>
        <w:jc w:val="both"/>
        <w:rPr>
          <w:rFonts w:ascii="Arial" w:hAnsi="Arial" w:cs="Arial"/>
          <w:lang w:val="es-ES_tradnl"/>
        </w:rPr>
      </w:pPr>
    </w:p>
    <w:p w14:paraId="3E28DD19" w14:textId="77777777" w:rsidR="00CB603F" w:rsidRPr="00ED3CF9" w:rsidRDefault="00CB603F" w:rsidP="00CB603F">
      <w:pPr>
        <w:tabs>
          <w:tab w:val="left" w:pos="426"/>
        </w:tabs>
        <w:spacing w:after="0" w:line="276" w:lineRule="auto"/>
        <w:jc w:val="both"/>
        <w:rPr>
          <w:rFonts w:ascii="Arial" w:eastAsia="Times New Roman" w:hAnsi="Arial" w:cs="Arial"/>
          <w:color w:val="000000" w:themeColor="text1"/>
        </w:rPr>
      </w:pPr>
      <w:r w:rsidRPr="00ED3CF9">
        <w:rPr>
          <w:rFonts w:ascii="Arial" w:eastAsia="Times New Roman" w:hAnsi="Arial" w:cs="Arial"/>
          <w:color w:val="000000" w:themeColor="text1"/>
        </w:rPr>
        <w:t>Atentamente,</w:t>
      </w:r>
    </w:p>
    <w:bookmarkEnd w:id="3"/>
    <w:p w14:paraId="40B6DF39" w14:textId="77777777" w:rsidR="00CB603F" w:rsidRPr="00ED3CF9" w:rsidRDefault="00CB603F" w:rsidP="00CB603F">
      <w:pPr>
        <w:tabs>
          <w:tab w:val="left" w:pos="0"/>
        </w:tabs>
        <w:spacing w:line="276" w:lineRule="auto"/>
        <w:contextualSpacing/>
        <w:jc w:val="both"/>
        <w:rPr>
          <w:rFonts w:ascii="Arial" w:hAnsi="Arial" w:cs="Arial"/>
          <w:lang w:val="es-MX"/>
        </w:rPr>
      </w:pPr>
    </w:p>
    <w:p w14:paraId="429E7110" w14:textId="77777777" w:rsidR="00CB603F" w:rsidRPr="00ED3CF9" w:rsidRDefault="00CB603F" w:rsidP="00CB603F">
      <w:pPr>
        <w:spacing w:after="0"/>
        <w:rPr>
          <w:rFonts w:ascii="Arial" w:eastAsia="Times New Roman" w:hAnsi="Arial" w:cs="Arial"/>
          <w:kern w:val="2"/>
          <w:lang w:eastAsia="es-CO"/>
          <w14:ligatures w14:val="standardContextual"/>
        </w:rPr>
      </w:pPr>
    </w:p>
    <w:p w14:paraId="5364471B" w14:textId="012DC1AD" w:rsidR="00CB603F" w:rsidRPr="00ED3CF9" w:rsidRDefault="002C487E" w:rsidP="00CB603F">
      <w:pPr>
        <w:tabs>
          <w:tab w:val="left" w:pos="1524"/>
          <w:tab w:val="center" w:pos="4702"/>
        </w:tabs>
        <w:spacing w:line="276" w:lineRule="auto"/>
        <w:jc w:val="center"/>
        <w:rPr>
          <w:rFonts w:ascii="Arial" w:eastAsia="Times New Roman" w:hAnsi="Arial" w:cs="Arial"/>
          <w:color w:val="000000" w:themeColor="text1"/>
          <w:kern w:val="2"/>
          <w:lang w:val="es-ES_tradnl" w:eastAsia="es-CO"/>
          <w14:ligatures w14:val="standardContextual"/>
        </w:rPr>
      </w:pPr>
      <w:r>
        <w:rPr>
          <w:rFonts w:ascii="Arial" w:hAnsi="Arial" w:cs="Arial"/>
          <w:noProof/>
          <w:color w:val="000000"/>
          <w:lang w:val="es-ES_tradnl"/>
        </w:rPr>
        <w:drawing>
          <wp:inline distT="0" distB="0" distL="0" distR="0" wp14:anchorId="536BAD4A" wp14:editId="64E3C680">
            <wp:extent cx="3057525" cy="1170521"/>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0752" cy="1171756"/>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4656"/>
      </w:tblGrid>
      <w:tr w:rsidR="00CB603F" w:rsidRPr="00ED3CF9" w14:paraId="35EFD2E2" w14:textId="77777777" w:rsidTr="3F126EC9">
        <w:trPr>
          <w:trHeight w:val="449"/>
        </w:trPr>
        <w:tc>
          <w:tcPr>
            <w:tcW w:w="855" w:type="dxa"/>
            <w:vAlign w:val="center"/>
            <w:hideMark/>
          </w:tcPr>
          <w:p w14:paraId="4908BDE9" w14:textId="77777777" w:rsidR="00CB603F" w:rsidRPr="00ED3CF9" w:rsidRDefault="00CB603F" w:rsidP="00E11C5F">
            <w:pPr>
              <w:rPr>
                <w:rFonts w:ascii="Arial" w:eastAsia="Times New Roman" w:hAnsi="Arial" w:cs="Arial"/>
                <w:sz w:val="16"/>
                <w:szCs w:val="16"/>
                <w:lang w:eastAsia="es-ES"/>
              </w:rPr>
            </w:pPr>
            <w:r w:rsidRPr="00ED3CF9">
              <w:rPr>
                <w:rFonts w:ascii="Arial" w:eastAsia="Times New Roman" w:hAnsi="Arial" w:cs="Arial"/>
                <w:sz w:val="16"/>
                <w:szCs w:val="16"/>
                <w:lang w:eastAsia="es-ES"/>
              </w:rPr>
              <w:t>Elaboró:</w:t>
            </w:r>
          </w:p>
        </w:tc>
        <w:tc>
          <w:tcPr>
            <w:tcW w:w="4656" w:type="dxa"/>
            <w:tcBorders>
              <w:top w:val="nil"/>
              <w:left w:val="nil"/>
              <w:bottom w:val="dotted" w:sz="4" w:space="0" w:color="7F7F7F" w:themeColor="text1" w:themeTint="80"/>
              <w:right w:val="nil"/>
            </w:tcBorders>
            <w:vAlign w:val="center"/>
            <w:hideMark/>
          </w:tcPr>
          <w:p w14:paraId="6F6A6B15" w14:textId="77777777" w:rsidR="00CB603F" w:rsidRPr="00ED3CF9" w:rsidRDefault="00CB603F" w:rsidP="00E11C5F">
            <w:pPr>
              <w:rPr>
                <w:rFonts w:ascii="Arial" w:eastAsia="Times New Roman" w:hAnsi="Arial" w:cs="Arial"/>
                <w:sz w:val="16"/>
                <w:szCs w:val="16"/>
                <w:lang w:eastAsia="es-ES"/>
              </w:rPr>
            </w:pPr>
            <w:r>
              <w:rPr>
                <w:rFonts w:ascii="Arial" w:eastAsia="Times New Roman" w:hAnsi="Arial" w:cs="Arial"/>
                <w:sz w:val="16"/>
                <w:szCs w:val="16"/>
                <w:lang w:eastAsia="es-ES"/>
              </w:rPr>
              <w:t>Kevin Arlid Herrera Santa</w:t>
            </w:r>
            <w:r w:rsidRPr="00ED3CF9">
              <w:rPr>
                <w:rFonts w:ascii="Arial" w:eastAsia="Times New Roman" w:hAnsi="Arial" w:cs="Arial"/>
                <w:sz w:val="16"/>
                <w:szCs w:val="16"/>
                <w:lang w:eastAsia="es-ES"/>
              </w:rPr>
              <w:t xml:space="preserve"> </w:t>
            </w:r>
          </w:p>
          <w:p w14:paraId="609B03DB" w14:textId="77777777" w:rsidR="00CB603F" w:rsidRPr="00ED3CF9" w:rsidRDefault="00CB603F" w:rsidP="00E11C5F">
            <w:pPr>
              <w:rPr>
                <w:rFonts w:ascii="Arial" w:eastAsia="Times New Roman" w:hAnsi="Arial" w:cs="Arial"/>
                <w:sz w:val="16"/>
                <w:szCs w:val="16"/>
                <w:lang w:eastAsia="es-ES"/>
              </w:rPr>
            </w:pPr>
            <w:r w:rsidRPr="00ED3CF9">
              <w:rPr>
                <w:rFonts w:ascii="Arial" w:eastAsia="Times New Roman" w:hAnsi="Arial" w:cs="Arial"/>
                <w:sz w:val="16"/>
                <w:szCs w:val="16"/>
                <w:lang w:eastAsia="es-ES"/>
              </w:rPr>
              <w:t>Contratista de la Subdirección de Gestión Contractual</w:t>
            </w:r>
          </w:p>
        </w:tc>
      </w:tr>
      <w:tr w:rsidR="00CB603F" w:rsidRPr="00ED3CF9" w14:paraId="62422326" w14:textId="77777777" w:rsidTr="3F126EC9">
        <w:trPr>
          <w:trHeight w:val="340"/>
        </w:trPr>
        <w:tc>
          <w:tcPr>
            <w:tcW w:w="855" w:type="dxa"/>
            <w:vAlign w:val="center"/>
            <w:hideMark/>
          </w:tcPr>
          <w:p w14:paraId="4C79F846" w14:textId="77777777" w:rsidR="00CB603F" w:rsidRPr="00ED3CF9" w:rsidRDefault="00CB603F" w:rsidP="00E11C5F">
            <w:pPr>
              <w:rPr>
                <w:rFonts w:ascii="Arial" w:eastAsia="Times New Roman" w:hAnsi="Arial" w:cs="Arial"/>
                <w:sz w:val="16"/>
                <w:szCs w:val="16"/>
                <w:lang w:eastAsia="es-ES"/>
              </w:rPr>
            </w:pPr>
            <w:r w:rsidRPr="00ED3CF9">
              <w:rPr>
                <w:rFonts w:ascii="Arial" w:eastAsia="Times New Roman" w:hAnsi="Arial" w:cs="Arial"/>
                <w:sz w:val="16"/>
                <w:szCs w:val="16"/>
                <w:lang w:eastAsia="es-ES"/>
              </w:rPr>
              <w:t>Revisó:</w:t>
            </w:r>
          </w:p>
        </w:tc>
        <w:tc>
          <w:tcPr>
            <w:tcW w:w="4656" w:type="dxa"/>
            <w:tcBorders>
              <w:top w:val="dotted" w:sz="4" w:space="0" w:color="7F7F7F" w:themeColor="text1" w:themeTint="80"/>
              <w:left w:val="nil"/>
              <w:bottom w:val="dotted" w:sz="4" w:space="0" w:color="7F7F7F" w:themeColor="text1" w:themeTint="80"/>
              <w:right w:val="nil"/>
            </w:tcBorders>
            <w:vAlign w:val="center"/>
            <w:hideMark/>
          </w:tcPr>
          <w:p w14:paraId="7E367CE7" w14:textId="77777777" w:rsidR="00CB603F" w:rsidRDefault="00CB603F" w:rsidP="00E11C5F">
            <w:pPr>
              <w:rPr>
                <w:rFonts w:ascii="Arial" w:eastAsia="Calibri" w:hAnsi="Arial" w:cs="Arial"/>
                <w:sz w:val="16"/>
                <w:szCs w:val="16"/>
                <w:lang w:eastAsia="es-ES"/>
              </w:rPr>
            </w:pPr>
            <w:r>
              <w:rPr>
                <w:rFonts w:ascii="Arial" w:eastAsia="Calibri" w:hAnsi="Arial" w:cs="Arial"/>
                <w:sz w:val="16"/>
                <w:szCs w:val="16"/>
                <w:lang w:eastAsia="es-ES"/>
              </w:rPr>
              <w:t>Martha Alicia Romero Vargas</w:t>
            </w:r>
          </w:p>
          <w:p w14:paraId="5ED40BE2" w14:textId="672C7A8A" w:rsidR="00CB603F" w:rsidRPr="00535AB2" w:rsidRDefault="00CB603F" w:rsidP="3F126EC9">
            <w:pPr>
              <w:rPr>
                <w:rFonts w:ascii="Arial" w:eastAsia="Calibri" w:hAnsi="Arial" w:cs="Arial"/>
                <w:sz w:val="16"/>
                <w:szCs w:val="16"/>
                <w:lang w:eastAsia="es-ES"/>
              </w:rPr>
            </w:pPr>
            <w:r w:rsidRPr="3F126EC9">
              <w:rPr>
                <w:rFonts w:ascii="Arial" w:eastAsia="Calibri" w:hAnsi="Arial" w:cs="Arial"/>
                <w:sz w:val="16"/>
                <w:szCs w:val="16"/>
                <w:lang w:eastAsia="es-ES"/>
              </w:rPr>
              <w:t xml:space="preserve">Gestor T1-15 de </w:t>
            </w:r>
            <w:r w:rsidRPr="3F126EC9">
              <w:rPr>
                <w:rFonts w:ascii="Arial" w:eastAsia="Times New Roman" w:hAnsi="Arial" w:cs="Arial"/>
                <w:sz w:val="16"/>
                <w:szCs w:val="16"/>
                <w:lang w:eastAsia="es-ES"/>
              </w:rPr>
              <w:t>la Subdirección de Gestión Contractual</w:t>
            </w:r>
          </w:p>
          <w:p w14:paraId="7A7E368D" w14:textId="148BA8E4" w:rsidR="00CB603F" w:rsidRPr="00535AB2" w:rsidRDefault="534A8C1D" w:rsidP="3F126EC9">
            <w:pPr>
              <w:rPr>
                <w:rFonts w:ascii="Arial" w:eastAsia="Times New Roman" w:hAnsi="Arial" w:cs="Arial"/>
                <w:sz w:val="16"/>
                <w:szCs w:val="16"/>
                <w:lang w:eastAsia="es-ES"/>
              </w:rPr>
            </w:pPr>
            <w:r w:rsidRPr="3F126EC9">
              <w:rPr>
                <w:rFonts w:ascii="Arial" w:eastAsia="Times New Roman" w:hAnsi="Arial" w:cs="Arial"/>
                <w:sz w:val="16"/>
                <w:szCs w:val="16"/>
                <w:lang w:eastAsia="es-ES"/>
              </w:rPr>
              <w:t>Gabriel Mendoza</w:t>
            </w:r>
          </w:p>
          <w:p w14:paraId="0B62A434" w14:textId="3DE0F2A8" w:rsidR="00CB603F" w:rsidRPr="00535AB2" w:rsidRDefault="534A8C1D" w:rsidP="3F126EC9">
            <w:pPr>
              <w:rPr>
                <w:rFonts w:ascii="Arial" w:eastAsia="Times New Roman" w:hAnsi="Arial" w:cs="Arial"/>
                <w:sz w:val="16"/>
                <w:szCs w:val="16"/>
                <w:lang w:eastAsia="es-ES"/>
              </w:rPr>
            </w:pPr>
            <w:r w:rsidRPr="3F126EC9">
              <w:rPr>
                <w:rFonts w:ascii="Arial" w:eastAsia="Times New Roman" w:hAnsi="Arial" w:cs="Arial"/>
                <w:sz w:val="16"/>
                <w:szCs w:val="16"/>
                <w:lang w:eastAsia="es-ES"/>
              </w:rPr>
              <w:t>Contratista de la Subdirección de Gestión Contractual</w:t>
            </w:r>
          </w:p>
        </w:tc>
      </w:tr>
      <w:tr w:rsidR="00CB603F" w:rsidRPr="00ED3CF9" w14:paraId="05259219" w14:textId="77777777" w:rsidTr="3F126EC9">
        <w:trPr>
          <w:trHeight w:val="310"/>
        </w:trPr>
        <w:tc>
          <w:tcPr>
            <w:tcW w:w="855" w:type="dxa"/>
            <w:vAlign w:val="center"/>
            <w:hideMark/>
          </w:tcPr>
          <w:p w14:paraId="1E4B54DB" w14:textId="77777777" w:rsidR="00CB603F" w:rsidRPr="00ED3CF9" w:rsidRDefault="00CB603F" w:rsidP="00E11C5F">
            <w:pPr>
              <w:rPr>
                <w:rFonts w:ascii="Arial" w:eastAsia="Times New Roman" w:hAnsi="Arial" w:cs="Arial"/>
                <w:sz w:val="16"/>
                <w:szCs w:val="16"/>
                <w:lang w:eastAsia="es-ES"/>
              </w:rPr>
            </w:pPr>
            <w:r w:rsidRPr="00ED3CF9">
              <w:rPr>
                <w:rFonts w:ascii="Arial" w:eastAsia="Times New Roman" w:hAnsi="Arial" w:cs="Arial"/>
                <w:sz w:val="16"/>
                <w:szCs w:val="16"/>
                <w:lang w:eastAsia="es-ES"/>
              </w:rPr>
              <w:t>Aprobó:</w:t>
            </w:r>
          </w:p>
        </w:tc>
        <w:tc>
          <w:tcPr>
            <w:tcW w:w="4656" w:type="dxa"/>
            <w:tcBorders>
              <w:top w:val="dotted" w:sz="4" w:space="0" w:color="7F7F7F" w:themeColor="text1" w:themeTint="80"/>
              <w:left w:val="nil"/>
              <w:bottom w:val="dotted" w:sz="4" w:space="0" w:color="7F7F7F" w:themeColor="text1" w:themeTint="80"/>
              <w:right w:val="nil"/>
            </w:tcBorders>
            <w:vAlign w:val="center"/>
            <w:hideMark/>
          </w:tcPr>
          <w:p w14:paraId="4B030630" w14:textId="77777777" w:rsidR="00CB603F" w:rsidRPr="00ED3CF9" w:rsidRDefault="00CB603F" w:rsidP="00E11C5F">
            <w:pPr>
              <w:rPr>
                <w:rFonts w:ascii="Arial" w:eastAsia="Calibri" w:hAnsi="Arial" w:cs="Arial"/>
                <w:sz w:val="16"/>
                <w:szCs w:val="16"/>
                <w:lang w:val="pt-BR" w:eastAsia="es-ES"/>
              </w:rPr>
            </w:pPr>
            <w:proofErr w:type="spellStart"/>
            <w:r w:rsidRPr="00ED3CF9">
              <w:rPr>
                <w:rFonts w:ascii="Arial" w:eastAsia="Calibri" w:hAnsi="Arial" w:cs="Arial"/>
                <w:sz w:val="16"/>
                <w:szCs w:val="16"/>
                <w:lang w:val="pt-BR" w:eastAsia="es-ES"/>
              </w:rPr>
              <w:t>Nohelia</w:t>
            </w:r>
            <w:proofErr w:type="spellEnd"/>
            <w:r w:rsidRPr="00ED3CF9">
              <w:rPr>
                <w:rFonts w:ascii="Arial" w:eastAsia="Calibri" w:hAnsi="Arial" w:cs="Arial"/>
                <w:sz w:val="16"/>
                <w:szCs w:val="16"/>
                <w:lang w:val="pt-BR" w:eastAsia="es-ES"/>
              </w:rPr>
              <w:t xml:space="preserve"> </w:t>
            </w:r>
            <w:proofErr w:type="spellStart"/>
            <w:r w:rsidRPr="00ED3CF9">
              <w:rPr>
                <w:rFonts w:ascii="Arial" w:eastAsia="Calibri" w:hAnsi="Arial" w:cs="Arial"/>
                <w:sz w:val="16"/>
                <w:szCs w:val="16"/>
                <w:lang w:val="pt-BR" w:eastAsia="es-ES"/>
              </w:rPr>
              <w:t>del</w:t>
            </w:r>
            <w:proofErr w:type="spellEnd"/>
            <w:r w:rsidRPr="00ED3CF9">
              <w:rPr>
                <w:rFonts w:ascii="Arial" w:eastAsia="Calibri" w:hAnsi="Arial" w:cs="Arial"/>
                <w:sz w:val="16"/>
                <w:szCs w:val="16"/>
                <w:lang w:val="pt-BR" w:eastAsia="es-ES"/>
              </w:rPr>
              <w:t xml:space="preserve"> Carmen </w:t>
            </w:r>
            <w:proofErr w:type="spellStart"/>
            <w:r w:rsidRPr="00ED3CF9">
              <w:rPr>
                <w:rFonts w:ascii="Arial" w:eastAsia="Calibri" w:hAnsi="Arial" w:cs="Arial"/>
                <w:sz w:val="16"/>
                <w:szCs w:val="16"/>
                <w:lang w:val="pt-BR" w:eastAsia="es-ES"/>
              </w:rPr>
              <w:t>Zawady</w:t>
            </w:r>
            <w:proofErr w:type="spellEnd"/>
            <w:r w:rsidRPr="00ED3CF9">
              <w:rPr>
                <w:rFonts w:ascii="Arial" w:eastAsia="Calibri" w:hAnsi="Arial" w:cs="Arial"/>
                <w:sz w:val="16"/>
                <w:szCs w:val="16"/>
                <w:lang w:val="pt-BR" w:eastAsia="es-ES"/>
              </w:rPr>
              <w:t xml:space="preserve"> Palacio</w:t>
            </w:r>
          </w:p>
          <w:p w14:paraId="4E1134DB" w14:textId="77777777" w:rsidR="00CB603F" w:rsidRPr="00ED3CF9" w:rsidRDefault="00CB603F" w:rsidP="00E11C5F">
            <w:pPr>
              <w:rPr>
                <w:rFonts w:ascii="Arial" w:eastAsia="Times New Roman" w:hAnsi="Arial" w:cs="Arial"/>
                <w:sz w:val="16"/>
                <w:szCs w:val="16"/>
                <w:lang w:eastAsia="es-ES"/>
              </w:rPr>
            </w:pPr>
            <w:proofErr w:type="spellStart"/>
            <w:r w:rsidRPr="00ED3CF9">
              <w:rPr>
                <w:rFonts w:ascii="Arial" w:eastAsia="Calibri" w:hAnsi="Arial" w:cs="Arial"/>
                <w:sz w:val="16"/>
                <w:szCs w:val="16"/>
                <w:lang w:val="pt-BR" w:eastAsia="es-ES"/>
              </w:rPr>
              <w:t>Subdirectora</w:t>
            </w:r>
            <w:proofErr w:type="spellEnd"/>
            <w:r w:rsidRPr="00ED3CF9">
              <w:rPr>
                <w:rFonts w:ascii="Arial" w:eastAsia="Calibri" w:hAnsi="Arial" w:cs="Arial"/>
                <w:sz w:val="16"/>
                <w:szCs w:val="16"/>
                <w:lang w:val="pt-BR" w:eastAsia="es-ES"/>
              </w:rPr>
              <w:t xml:space="preserve"> de Gestión </w:t>
            </w:r>
            <w:proofErr w:type="spellStart"/>
            <w:r w:rsidRPr="00ED3CF9">
              <w:rPr>
                <w:rFonts w:ascii="Arial" w:eastAsia="Calibri" w:hAnsi="Arial" w:cs="Arial"/>
                <w:sz w:val="16"/>
                <w:szCs w:val="16"/>
                <w:lang w:val="pt-BR" w:eastAsia="es-ES"/>
              </w:rPr>
              <w:t>Contractual</w:t>
            </w:r>
            <w:proofErr w:type="spellEnd"/>
            <w:r w:rsidRPr="00ED3CF9">
              <w:rPr>
                <w:rFonts w:ascii="Arial" w:eastAsia="Calibri" w:hAnsi="Arial" w:cs="Arial"/>
                <w:sz w:val="16"/>
                <w:szCs w:val="16"/>
                <w:lang w:val="pt-BR" w:eastAsia="es-ES"/>
              </w:rPr>
              <w:t xml:space="preserve"> ANCP – CCE </w:t>
            </w:r>
          </w:p>
        </w:tc>
      </w:tr>
    </w:tbl>
    <w:p w14:paraId="0D628913" w14:textId="77777777" w:rsidR="00CB603F" w:rsidRPr="00ED3CF9" w:rsidRDefault="00CB603F" w:rsidP="00CB603F">
      <w:pPr>
        <w:spacing w:after="0" w:line="240" w:lineRule="auto"/>
        <w:rPr>
          <w:rFonts w:ascii="Arial" w:hAnsi="Arial" w:cs="Arial"/>
          <w:b/>
          <w:color w:val="404040" w:themeColor="text1" w:themeTint="BF"/>
          <w:kern w:val="2"/>
          <w:lang w:val="es-ES"/>
          <w14:ligatures w14:val="standardContextual"/>
        </w:rPr>
      </w:pPr>
    </w:p>
    <w:p w14:paraId="18315607" w14:textId="77777777" w:rsidR="00CB603F" w:rsidRPr="00ED3CF9" w:rsidRDefault="00CB603F" w:rsidP="00CB603F">
      <w:pPr>
        <w:rPr>
          <w:rFonts w:ascii="Arial" w:hAnsi="Arial" w:cs="Arial"/>
          <w:kern w:val="2"/>
          <w14:ligatures w14:val="standardContextual"/>
        </w:rPr>
      </w:pPr>
    </w:p>
    <w:p w14:paraId="37BDFFE5" w14:textId="77777777" w:rsidR="00CB603F" w:rsidRPr="00ED3CF9" w:rsidRDefault="00CB603F" w:rsidP="00CB603F">
      <w:pPr>
        <w:rPr>
          <w:rFonts w:ascii="Arial" w:hAnsi="Arial" w:cs="Arial"/>
        </w:rPr>
      </w:pPr>
    </w:p>
    <w:p w14:paraId="0F0EB442" w14:textId="77777777" w:rsidR="00CB603F" w:rsidRPr="007E2F24" w:rsidRDefault="00CB603F" w:rsidP="00CB603F"/>
    <w:bookmarkEnd w:id="0"/>
    <w:p w14:paraId="0465BA6D" w14:textId="77777777" w:rsidR="00E245AB" w:rsidRPr="00322A85" w:rsidRDefault="00E245AB" w:rsidP="00E245AB">
      <w:pPr>
        <w:spacing w:after="0"/>
        <w:rPr>
          <w:rFonts w:ascii="Century Gothic" w:hAnsi="Century Gothic"/>
        </w:rPr>
      </w:pPr>
    </w:p>
    <w:sectPr w:rsidR="00E245AB" w:rsidRPr="00322A85" w:rsidSect="002E4FD9">
      <w:headerReference w:type="default" r:id="rId13"/>
      <w:footerReference w:type="default" r:id="rId14"/>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C005" w14:textId="77777777" w:rsidR="00123A35" w:rsidRDefault="00123A35" w:rsidP="004A1847">
      <w:pPr>
        <w:spacing w:after="0" w:line="240" w:lineRule="auto"/>
      </w:pPr>
      <w:r>
        <w:separator/>
      </w:r>
    </w:p>
  </w:endnote>
  <w:endnote w:type="continuationSeparator" w:id="0">
    <w:p w14:paraId="28B5E8EA" w14:textId="77777777" w:rsidR="00123A35" w:rsidRDefault="00123A35"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8219" w14:textId="77777777" w:rsidR="00123A35" w:rsidRDefault="00123A35" w:rsidP="004A1847">
      <w:pPr>
        <w:spacing w:after="0" w:line="240" w:lineRule="auto"/>
      </w:pPr>
      <w:r>
        <w:separator/>
      </w:r>
    </w:p>
  </w:footnote>
  <w:footnote w:type="continuationSeparator" w:id="0">
    <w:p w14:paraId="6EDEE000" w14:textId="77777777" w:rsidR="00123A35" w:rsidRDefault="00123A35" w:rsidP="004A1847">
      <w:pPr>
        <w:spacing w:after="0" w:line="240" w:lineRule="auto"/>
      </w:pPr>
      <w:r>
        <w:continuationSeparator/>
      </w:r>
    </w:p>
  </w:footnote>
  <w:footnote w:id="1">
    <w:p w14:paraId="7479BC00" w14:textId="77777777" w:rsidR="00CB603F" w:rsidRPr="006105B6" w:rsidRDefault="00CB603F" w:rsidP="00CB603F">
      <w:pPr>
        <w:pStyle w:val="Textonotapie"/>
        <w:ind w:firstLine="709"/>
        <w:jc w:val="both"/>
        <w:rPr>
          <w:rFonts w:ascii="Arial" w:hAnsi="Arial" w:cs="Arial"/>
          <w:sz w:val="19"/>
          <w:szCs w:val="19"/>
          <w:lang w:val="es-ES"/>
        </w:rPr>
      </w:pPr>
      <w:r w:rsidRPr="006105B6">
        <w:rPr>
          <w:rStyle w:val="Refdenotaalpie"/>
          <w:rFonts w:ascii="Arial" w:hAnsi="Arial" w:cs="Arial"/>
          <w:sz w:val="19"/>
          <w:szCs w:val="19"/>
        </w:rPr>
        <w:footnoteRef/>
      </w:r>
      <w:r w:rsidRPr="006105B6">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6105B6">
        <w:rPr>
          <w:rFonts w:ascii="Arial" w:hAnsi="Arial" w:cs="Arial"/>
          <w:i/>
          <w:iCs/>
          <w:sz w:val="19"/>
          <w:szCs w:val="19"/>
        </w:rPr>
        <w:t xml:space="preserve">ibidem </w:t>
      </w:r>
      <w:r w:rsidRPr="006105B6">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7D2E544B" w14:textId="77777777" w:rsidR="00CB603F" w:rsidRPr="006105B6" w:rsidRDefault="00CB603F" w:rsidP="00CB603F">
      <w:pPr>
        <w:pStyle w:val="Textonotapie"/>
        <w:ind w:firstLine="709"/>
        <w:jc w:val="both"/>
        <w:rPr>
          <w:rFonts w:ascii="Arial" w:hAnsi="Arial" w:cs="Arial"/>
          <w:sz w:val="19"/>
          <w:szCs w:val="19"/>
        </w:rPr>
      </w:pPr>
      <w:r w:rsidRPr="006105B6">
        <w:rPr>
          <w:rStyle w:val="Refdenotaalpie"/>
          <w:rFonts w:ascii="Arial" w:hAnsi="Arial" w:cs="Arial"/>
          <w:sz w:val="19"/>
          <w:szCs w:val="19"/>
        </w:rPr>
        <w:footnoteRef/>
      </w:r>
      <w:r w:rsidRPr="006105B6">
        <w:rPr>
          <w:rFonts w:ascii="Arial" w:hAnsi="Arial" w:cs="Arial"/>
          <w:sz w:val="19"/>
          <w:szCs w:val="19"/>
        </w:rPr>
        <w:t xml:space="preserve"> Es importante señalar que los documentos tipo adoptados son obligatorios para las entidades estatales regidas por el</w:t>
      </w:r>
      <w:r>
        <w:rPr>
          <w:rFonts w:ascii="Arial" w:hAnsi="Arial" w:cs="Arial"/>
          <w:sz w:val="19"/>
          <w:szCs w:val="19"/>
        </w:rPr>
        <w:t xml:space="preserve"> Estatuto General de Contratación de la Administración Pública –</w:t>
      </w:r>
      <w:r w:rsidRPr="006105B6">
        <w:rPr>
          <w:rFonts w:ascii="Arial" w:hAnsi="Arial" w:cs="Arial"/>
          <w:sz w:val="19"/>
          <w:szCs w:val="19"/>
        </w:rPr>
        <w:t>EGCAP</w:t>
      </w:r>
      <w:r>
        <w:rPr>
          <w:rFonts w:ascii="Arial" w:hAnsi="Arial" w:cs="Arial"/>
          <w:sz w:val="19"/>
          <w:szCs w:val="19"/>
        </w:rPr>
        <w:t>–</w:t>
      </w:r>
      <w:r w:rsidRPr="006105B6">
        <w:rPr>
          <w:rFonts w:ascii="Arial" w:hAnsi="Arial" w:cs="Arial"/>
          <w:sz w:val="19"/>
          <w:szCs w:val="19"/>
        </w:rPr>
        <w:t xml:space="preserve"> que adelanten procesos de contratación mediante las modalidades de selección y objetos contractuales cobijados por alguno de los documentos tipo vigentes en los diferentes sectores. La obligatoriedad del contenido de los documentos tipo implica que las entidades estatales tengan que adelantar los procesos de contratación ciñéndose a las condiciones establecidas en los documentos tipo, sin que puedan variarse los requisitos fijados en ellos.</w:t>
      </w:r>
    </w:p>
  </w:footnote>
  <w:footnote w:id="3">
    <w:p w14:paraId="7564AAAB" w14:textId="77777777" w:rsidR="00CB603F" w:rsidRPr="006105B6" w:rsidRDefault="00CB603F" w:rsidP="00CB603F">
      <w:pPr>
        <w:pStyle w:val="Textonotapie"/>
        <w:ind w:firstLine="709"/>
        <w:jc w:val="both"/>
        <w:rPr>
          <w:rFonts w:ascii="Arial" w:hAnsi="Arial" w:cs="Arial"/>
          <w:sz w:val="19"/>
          <w:szCs w:val="19"/>
          <w:lang w:val="es-CO"/>
        </w:rPr>
      </w:pPr>
      <w:r w:rsidRPr="006105B6">
        <w:rPr>
          <w:rStyle w:val="Refdenotaalpie"/>
          <w:rFonts w:ascii="Arial" w:hAnsi="Arial" w:cs="Arial"/>
          <w:sz w:val="19"/>
          <w:szCs w:val="19"/>
        </w:rPr>
        <w:footnoteRef/>
      </w:r>
      <w:r w:rsidRPr="006105B6">
        <w:rPr>
          <w:rFonts w:ascii="Arial" w:hAnsi="Arial" w:cs="Arial"/>
          <w:sz w:val="19"/>
          <w:szCs w:val="19"/>
        </w:rPr>
        <w:t xml:space="preserve"> Esta resolución puede consultarse en la página web de la Agencia Nacional de Contratación Pública </w:t>
      </w:r>
      <w:r w:rsidRPr="006105B6">
        <w:rPr>
          <w:rFonts w:ascii="Arial" w:eastAsia="Calibri" w:hAnsi="Arial" w:cs="Arial"/>
          <w:sz w:val="19"/>
          <w:szCs w:val="19"/>
          <w:lang w:val="es-ES" w:eastAsia="es-ES"/>
        </w:rPr>
        <w:t xml:space="preserve">– Colombia Compra Eficiente en el siguiente enlace: </w:t>
      </w:r>
      <w:hyperlink r:id="rId1" w:history="1">
        <w:r w:rsidRPr="006105B6">
          <w:rPr>
            <w:rStyle w:val="Hipervnculo"/>
            <w:rFonts w:ascii="Arial" w:eastAsia="Calibri" w:hAnsi="Arial" w:cs="Arial"/>
            <w:color w:val="auto"/>
            <w:sz w:val="19"/>
            <w:szCs w:val="19"/>
            <w:lang w:val="es-ES" w:eastAsia="es-ES"/>
          </w:rPr>
          <w:t>https://www.colombiacompra.gov.co/content/documento-tipo-para-la-contratacion-directa-de-convenios-solidarios-para-la-ejecucion-de</w:t>
        </w:r>
      </w:hyperlink>
      <w:r w:rsidRPr="006105B6">
        <w:rPr>
          <w:rFonts w:ascii="Arial" w:eastAsia="Calibri" w:hAnsi="Arial" w:cs="Arial"/>
          <w:sz w:val="19"/>
          <w:szCs w:val="19"/>
          <w:lang w:val="es-ES" w:eastAsia="es-ES"/>
        </w:rPr>
        <w:t xml:space="preserve"> </w:t>
      </w:r>
    </w:p>
  </w:footnote>
  <w:footnote w:id="4">
    <w:p w14:paraId="31F451D7" w14:textId="77777777" w:rsidR="00CB603F" w:rsidRPr="006105B6" w:rsidRDefault="00CB603F" w:rsidP="00CB603F">
      <w:pPr>
        <w:pStyle w:val="Textonotapie"/>
        <w:ind w:firstLine="709"/>
        <w:jc w:val="both"/>
        <w:rPr>
          <w:rFonts w:ascii="Arial" w:hAnsi="Arial" w:cs="Arial"/>
          <w:sz w:val="19"/>
          <w:szCs w:val="19"/>
          <w:lang w:val="es-CO"/>
        </w:rPr>
      </w:pPr>
      <w:r w:rsidRPr="006105B6">
        <w:rPr>
          <w:rStyle w:val="Refdenotaalpie"/>
          <w:rFonts w:ascii="Arial" w:hAnsi="Arial" w:cs="Arial"/>
          <w:sz w:val="19"/>
          <w:szCs w:val="19"/>
        </w:rPr>
        <w:footnoteRef/>
      </w:r>
      <w:r w:rsidRPr="006105B6">
        <w:rPr>
          <w:rFonts w:ascii="Arial" w:hAnsi="Arial" w:cs="Arial"/>
          <w:sz w:val="19"/>
          <w:szCs w:val="19"/>
        </w:rPr>
        <w:t xml:space="preserve"> En relación con el artículo 2. “Desarrollo e implementación de los documentos tipo” contenido en la Resolución 358 del 30 de junio de 2023, debe aclararse que respecto a la palabra subrayada </w:t>
      </w:r>
      <w:r>
        <w:rPr>
          <w:rFonts w:ascii="Arial" w:hAnsi="Arial" w:cs="Arial"/>
          <w:sz w:val="19"/>
          <w:szCs w:val="19"/>
        </w:rPr>
        <w:t xml:space="preserve">“[…] </w:t>
      </w:r>
      <w:r w:rsidRPr="006105B6">
        <w:rPr>
          <w:rFonts w:ascii="Arial" w:hAnsi="Arial" w:cs="Arial"/>
          <w:sz w:val="19"/>
          <w:szCs w:val="19"/>
        </w:rPr>
        <w:t xml:space="preserve">la ejecución de obras hasta el </w:t>
      </w:r>
      <w:r w:rsidRPr="006105B6">
        <w:rPr>
          <w:rFonts w:ascii="Arial" w:hAnsi="Arial" w:cs="Arial"/>
          <w:i/>
          <w:iCs/>
          <w:sz w:val="19"/>
          <w:szCs w:val="19"/>
          <w:u w:val="single"/>
        </w:rPr>
        <w:t>momento</w:t>
      </w:r>
      <w:r w:rsidRPr="006105B6">
        <w:rPr>
          <w:rFonts w:ascii="Arial" w:hAnsi="Arial" w:cs="Arial"/>
          <w:sz w:val="19"/>
          <w:szCs w:val="19"/>
        </w:rPr>
        <w:t xml:space="preserve"> de la menor cuantía”, se cometió una impresión en la digitación, y esta palabra debe entenderse como </w:t>
      </w:r>
      <w:r w:rsidRPr="006105B6">
        <w:rPr>
          <w:rFonts w:ascii="Arial" w:hAnsi="Arial" w:cs="Arial"/>
          <w:i/>
          <w:iCs/>
          <w:sz w:val="19"/>
          <w:szCs w:val="19"/>
          <w:u w:val="single"/>
        </w:rPr>
        <w:t>monto</w:t>
      </w:r>
      <w:r w:rsidRPr="006105B6">
        <w:rPr>
          <w:rFonts w:ascii="Arial" w:hAnsi="Arial" w:cs="Arial"/>
          <w:sz w:val="19"/>
          <w:szCs w:val="19"/>
        </w:rPr>
        <w:t xml:space="preserve">. </w:t>
      </w:r>
    </w:p>
  </w:footnote>
  <w:footnote w:id="5">
    <w:p w14:paraId="04F4785B" w14:textId="77777777" w:rsidR="00CB603F" w:rsidRPr="00C64B71" w:rsidRDefault="00CB603F" w:rsidP="00CB603F">
      <w:pPr>
        <w:pStyle w:val="Textonotapie"/>
        <w:ind w:firstLine="709"/>
        <w:jc w:val="both"/>
        <w:rPr>
          <w:rFonts w:ascii="Arial" w:hAnsi="Arial" w:cs="Arial"/>
          <w:b/>
          <w:bCs/>
          <w:sz w:val="19"/>
          <w:szCs w:val="19"/>
          <w:lang w:val="es-CO"/>
        </w:rPr>
      </w:pPr>
      <w:r w:rsidRPr="00C64B71">
        <w:rPr>
          <w:rStyle w:val="Refdenotaalpie"/>
          <w:rFonts w:ascii="Arial" w:hAnsi="Arial" w:cs="Arial"/>
          <w:b/>
          <w:bCs/>
          <w:sz w:val="19"/>
          <w:szCs w:val="19"/>
        </w:rPr>
        <w:footnoteRef/>
      </w:r>
      <w:r w:rsidRPr="00C64B71">
        <w:rPr>
          <w:rFonts w:ascii="Arial" w:hAnsi="Arial" w:cs="Arial"/>
          <w:b/>
          <w:bCs/>
          <w:sz w:val="19"/>
          <w:szCs w:val="19"/>
        </w:rPr>
        <w:t xml:space="preserve"> “</w:t>
      </w:r>
      <w:r w:rsidRPr="00C64B71">
        <w:rPr>
          <w:rStyle w:val="Textoennegrita"/>
          <w:rFonts w:ascii="Arial" w:hAnsi="Arial" w:cs="Arial"/>
          <w:b w:val="0"/>
          <w:bCs w:val="0"/>
          <w:sz w:val="19"/>
          <w:szCs w:val="19"/>
          <w:shd w:val="clear" w:color="auto" w:fill="FFFFFF"/>
        </w:rPr>
        <w:t>Por la cual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y se dictan otras disposiciones”.</w:t>
      </w:r>
    </w:p>
  </w:footnote>
  <w:footnote w:id="6">
    <w:p w14:paraId="31B9E6F8" w14:textId="77777777" w:rsidR="00CB603F" w:rsidRPr="006105B6" w:rsidRDefault="00CB603F" w:rsidP="00CB603F">
      <w:pPr>
        <w:pStyle w:val="Textonotapie"/>
        <w:ind w:firstLine="709"/>
        <w:jc w:val="both"/>
        <w:rPr>
          <w:rFonts w:ascii="Arial" w:hAnsi="Arial" w:cs="Arial"/>
          <w:sz w:val="19"/>
          <w:szCs w:val="19"/>
          <w:lang w:val="es-CO"/>
        </w:rPr>
      </w:pPr>
      <w:r w:rsidRPr="006105B6">
        <w:rPr>
          <w:rStyle w:val="Refdenotaalpie"/>
          <w:rFonts w:ascii="Arial" w:hAnsi="Arial" w:cs="Arial"/>
          <w:sz w:val="19"/>
          <w:szCs w:val="19"/>
        </w:rPr>
        <w:footnoteRef/>
      </w:r>
      <w:r w:rsidRPr="006105B6">
        <w:rPr>
          <w:rFonts w:ascii="Arial" w:hAnsi="Arial" w:cs="Arial"/>
          <w:sz w:val="19"/>
          <w:szCs w:val="19"/>
        </w:rPr>
        <w:t xml:space="preserve"> “Por el cual se modifica y adiciona el Decreto 1082 de 2015, Único Reglamentario del Sector Administrativo de Planeación Nacional para promover el acceso al sistema de Compras Públicas de las Mipymes, las Cooperativas y demás entidades de la economía solidaria, se incorporan criterios sociales y ambientales en los Procesos de Contratación de las Entidades Estatales, se incluye el Título de emprendimiento comunal y se dictan otras disposiciones”. </w:t>
      </w:r>
    </w:p>
  </w:footnote>
  <w:footnote w:id="7">
    <w:p w14:paraId="43DE7C81" w14:textId="77777777" w:rsidR="00CB603F" w:rsidRPr="006105B6" w:rsidRDefault="00CB603F" w:rsidP="00CB603F">
      <w:pPr>
        <w:pStyle w:val="Textonotapie"/>
        <w:ind w:firstLine="709"/>
        <w:jc w:val="both"/>
        <w:rPr>
          <w:rFonts w:ascii="Arial" w:hAnsi="Arial" w:cs="Arial"/>
          <w:color w:val="000000" w:themeColor="text1"/>
          <w:sz w:val="19"/>
          <w:szCs w:val="19"/>
          <w:lang w:val="es-CO"/>
        </w:rPr>
      </w:pPr>
      <w:r w:rsidRPr="006105B6">
        <w:rPr>
          <w:rStyle w:val="Refdenotaalpie"/>
          <w:rFonts w:ascii="Arial" w:hAnsi="Arial" w:cs="Arial"/>
          <w:sz w:val="19"/>
          <w:szCs w:val="19"/>
        </w:rPr>
        <w:footnoteRef/>
      </w:r>
      <w:r w:rsidRPr="006105B6">
        <w:rPr>
          <w:rFonts w:ascii="Arial" w:hAnsi="Arial" w:cs="Arial"/>
          <w:sz w:val="19"/>
          <w:szCs w:val="19"/>
        </w:rPr>
        <w:t xml:space="preserve"> Texto tomado de la ley sancionada y publicada en la página web de la </w:t>
      </w:r>
      <w:r>
        <w:rPr>
          <w:rFonts w:ascii="Arial" w:hAnsi="Arial" w:cs="Arial"/>
          <w:sz w:val="19"/>
          <w:szCs w:val="19"/>
        </w:rPr>
        <w:t>P</w:t>
      </w:r>
      <w:r w:rsidRPr="006105B6">
        <w:rPr>
          <w:rFonts w:ascii="Arial" w:hAnsi="Arial" w:cs="Arial"/>
          <w:sz w:val="19"/>
          <w:szCs w:val="19"/>
        </w:rPr>
        <w:t xml:space="preserve">residencia de la </w:t>
      </w:r>
      <w:r>
        <w:rPr>
          <w:rFonts w:ascii="Arial" w:hAnsi="Arial" w:cs="Arial"/>
          <w:sz w:val="19"/>
          <w:szCs w:val="19"/>
        </w:rPr>
        <w:t>R</w:t>
      </w:r>
      <w:r w:rsidRPr="006105B6">
        <w:rPr>
          <w:rFonts w:ascii="Arial" w:hAnsi="Arial" w:cs="Arial"/>
          <w:sz w:val="19"/>
          <w:szCs w:val="19"/>
        </w:rPr>
        <w:t>epública, disponible en el siguiente enlace</w:t>
      </w:r>
      <w:r w:rsidRPr="006105B6">
        <w:rPr>
          <w:rFonts w:ascii="Arial" w:hAnsi="Arial" w:cs="Arial"/>
          <w:color w:val="000000" w:themeColor="text1"/>
          <w:sz w:val="19"/>
          <w:szCs w:val="19"/>
        </w:rPr>
        <w:t xml:space="preserve">: </w:t>
      </w:r>
      <w:hyperlink r:id="rId2" w:history="1">
        <w:r w:rsidRPr="006105B6">
          <w:rPr>
            <w:rStyle w:val="Hipervnculo"/>
            <w:rFonts w:ascii="Arial" w:hAnsi="Arial" w:cs="Arial"/>
            <w:color w:val="000000" w:themeColor="text1"/>
            <w:sz w:val="19"/>
            <w:szCs w:val="19"/>
          </w:rPr>
          <w:t>https://dapre.presidencia.gov.co/normativa/leyes</w:t>
        </w:r>
      </w:hyperlink>
      <w:r w:rsidRPr="006105B6">
        <w:rPr>
          <w:rFonts w:ascii="Arial" w:hAnsi="Arial" w:cs="Arial"/>
          <w:color w:val="000000" w:themeColor="text1"/>
          <w:sz w:val="19"/>
          <w:szCs w:val="19"/>
        </w:rPr>
        <w:t xml:space="preserve">. </w:t>
      </w:r>
    </w:p>
  </w:footnote>
  <w:footnote w:id="8">
    <w:p w14:paraId="495B347C" w14:textId="77777777" w:rsidR="00CB603F" w:rsidRPr="006105B6" w:rsidRDefault="00CB603F" w:rsidP="00CB603F">
      <w:pPr>
        <w:pStyle w:val="Textonotapie"/>
        <w:ind w:firstLine="709"/>
        <w:jc w:val="both"/>
        <w:rPr>
          <w:rFonts w:ascii="Arial" w:hAnsi="Arial" w:cs="Arial"/>
          <w:sz w:val="19"/>
          <w:szCs w:val="19"/>
          <w:lang w:val="es-CO"/>
        </w:rPr>
      </w:pPr>
      <w:r w:rsidRPr="006105B6">
        <w:rPr>
          <w:rStyle w:val="Refdenotaalpie"/>
          <w:rFonts w:ascii="Arial" w:hAnsi="Arial" w:cs="Arial"/>
          <w:sz w:val="19"/>
          <w:szCs w:val="19"/>
        </w:rPr>
        <w:footnoteRef/>
      </w:r>
      <w:r w:rsidRPr="006105B6">
        <w:rPr>
          <w:rFonts w:ascii="Arial" w:hAnsi="Arial" w:cs="Arial"/>
          <w:sz w:val="19"/>
          <w:szCs w:val="19"/>
        </w:rPr>
        <w:t xml:space="preserve"> </w:t>
      </w:r>
      <w:bookmarkStart w:id="6" w:name="7"/>
      <w:r w:rsidRPr="006105B6">
        <w:rPr>
          <w:rFonts w:ascii="Arial" w:eastAsia="Calibri" w:hAnsi="Arial" w:cs="Arial"/>
          <w:color w:val="000000" w:themeColor="text1"/>
          <w:sz w:val="19"/>
          <w:szCs w:val="19"/>
          <w:lang w:val="es-ES_tradnl"/>
        </w:rPr>
        <w:t>“</w:t>
      </w:r>
      <w:r w:rsidRPr="006105B6">
        <w:rPr>
          <w:rFonts w:ascii="Arial" w:hAnsi="Arial" w:cs="Arial"/>
          <w:sz w:val="19"/>
          <w:szCs w:val="19"/>
          <w:lang w:val="es-CO"/>
        </w:rPr>
        <w:t>Artículo 7. Organismos de la Acción Comunal.</w:t>
      </w:r>
      <w:bookmarkEnd w:id="6"/>
    </w:p>
    <w:p w14:paraId="4AF947CC" w14:textId="77777777" w:rsidR="00CB603F" w:rsidRPr="006105B6" w:rsidRDefault="00CB603F" w:rsidP="00CB603F">
      <w:pPr>
        <w:pStyle w:val="Textonotapie"/>
        <w:ind w:firstLine="709"/>
        <w:jc w:val="both"/>
        <w:rPr>
          <w:rFonts w:ascii="Arial" w:hAnsi="Arial" w:cs="Arial"/>
          <w:sz w:val="19"/>
          <w:szCs w:val="19"/>
          <w:lang w:val="es-CO"/>
        </w:rPr>
      </w:pPr>
      <w:r w:rsidRPr="006105B6">
        <w:rPr>
          <w:rFonts w:ascii="Arial" w:hAnsi="Arial" w:cs="Arial"/>
          <w:sz w:val="19"/>
          <w:szCs w:val="19"/>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58443347" w14:textId="77777777" w:rsidR="00CB603F" w:rsidRPr="006105B6" w:rsidRDefault="00CB603F" w:rsidP="00CB603F">
      <w:pPr>
        <w:pStyle w:val="Textonotapie"/>
        <w:ind w:firstLine="709"/>
        <w:jc w:val="both"/>
        <w:rPr>
          <w:rFonts w:ascii="Arial" w:hAnsi="Arial" w:cs="Arial"/>
          <w:sz w:val="19"/>
          <w:szCs w:val="19"/>
          <w:lang w:val="es-CO"/>
        </w:rPr>
      </w:pPr>
      <w:r w:rsidRPr="006105B6">
        <w:rPr>
          <w:rFonts w:ascii="Arial" w:hAnsi="Arial" w:cs="Arial"/>
          <w:sz w:val="19"/>
          <w:szCs w:val="19"/>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4B700049" w14:textId="77777777" w:rsidR="00CB603F" w:rsidRPr="006105B6" w:rsidRDefault="00CB603F" w:rsidP="00CB603F">
      <w:pPr>
        <w:pStyle w:val="Textonotapie"/>
        <w:ind w:firstLine="709"/>
        <w:jc w:val="both"/>
        <w:rPr>
          <w:rFonts w:ascii="Arial" w:hAnsi="Arial" w:cs="Arial"/>
          <w:sz w:val="19"/>
          <w:szCs w:val="19"/>
          <w:lang w:val="es-CO"/>
        </w:rPr>
      </w:pPr>
      <w:r w:rsidRPr="006105B6">
        <w:rPr>
          <w:rFonts w:ascii="Arial" w:hAnsi="Arial" w:cs="Arial"/>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22C7D407" w14:textId="77777777" w:rsidR="00CB603F" w:rsidRPr="006105B6" w:rsidRDefault="00CB603F" w:rsidP="00CB603F">
      <w:pPr>
        <w:pStyle w:val="Textonotapie"/>
        <w:ind w:firstLine="709"/>
        <w:jc w:val="both"/>
        <w:rPr>
          <w:rFonts w:ascii="Arial" w:hAnsi="Arial" w:cs="Arial"/>
          <w:sz w:val="19"/>
          <w:szCs w:val="19"/>
          <w:lang w:val="es-CO"/>
        </w:rPr>
      </w:pPr>
      <w:r w:rsidRPr="006105B6">
        <w:rPr>
          <w:rFonts w:ascii="Arial" w:hAnsi="Arial" w:cs="Arial"/>
          <w:sz w:val="19"/>
          <w:szCs w:val="19"/>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671DCC69" w14:textId="77777777" w:rsidR="00CB603F" w:rsidRPr="006105B6" w:rsidRDefault="00CB603F" w:rsidP="00CB603F">
      <w:pPr>
        <w:pStyle w:val="Textonotapie"/>
        <w:ind w:firstLine="709"/>
        <w:jc w:val="both"/>
        <w:rPr>
          <w:rFonts w:ascii="Arial" w:hAnsi="Arial" w:cs="Arial"/>
          <w:sz w:val="19"/>
          <w:szCs w:val="19"/>
          <w:lang w:val="es-CO"/>
        </w:rPr>
      </w:pPr>
      <w:r w:rsidRPr="006105B6">
        <w:rPr>
          <w:rFonts w:ascii="Arial" w:hAnsi="Arial" w:cs="Arial"/>
          <w:sz w:val="19"/>
          <w:szCs w:val="19"/>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7D37B700" w14:textId="77777777" w:rsidR="00CB603F" w:rsidRPr="006105B6" w:rsidRDefault="00CB603F" w:rsidP="00CB603F">
      <w:pPr>
        <w:pStyle w:val="Textonotapie"/>
        <w:ind w:firstLine="709"/>
        <w:jc w:val="both"/>
        <w:rPr>
          <w:rFonts w:ascii="Arial" w:hAnsi="Arial" w:cs="Arial"/>
          <w:sz w:val="19"/>
          <w:szCs w:val="19"/>
          <w:lang w:val="es-CO"/>
        </w:rPr>
      </w:pPr>
      <w:r w:rsidRPr="006105B6">
        <w:rPr>
          <w:rFonts w:ascii="Arial" w:hAnsi="Arial" w:cs="Arial"/>
          <w:sz w:val="19"/>
          <w:szCs w:val="19"/>
          <w:lang w:val="es-CO"/>
        </w:rPr>
        <w:t>PARÁGRAFO 1o. Cada organismo de acción comunal, se dará su propio reglamento conforme al marco brindado por esta ley enunciado en el artículo 1 y las normas que le sucedan.</w:t>
      </w:r>
    </w:p>
    <w:p w14:paraId="5D74798D" w14:textId="77777777" w:rsidR="00CB603F" w:rsidRPr="006105B6" w:rsidRDefault="00CB603F" w:rsidP="00CB603F">
      <w:pPr>
        <w:pStyle w:val="Textonotapie"/>
        <w:ind w:firstLine="709"/>
        <w:jc w:val="both"/>
        <w:rPr>
          <w:rFonts w:ascii="Arial" w:hAnsi="Arial" w:cs="Arial"/>
          <w:sz w:val="19"/>
          <w:szCs w:val="19"/>
          <w:lang w:val="es-CO"/>
        </w:rPr>
      </w:pPr>
      <w:r w:rsidRPr="006105B6">
        <w:rPr>
          <w:rFonts w:ascii="Arial" w:hAnsi="Arial" w:cs="Arial"/>
          <w:sz w:val="19"/>
          <w:szCs w:val="19"/>
          <w:lang w:val="es-CO"/>
        </w:rPr>
        <w:t>PARÁGRAFO 2o. Dentro del año siguiente a la expedición de la presente Ley en concertación con la organización social de la Acción Comunal, el Gobierno nacional expedirá una reglamentación para las Juntas de Vivienda Comunal</w:t>
      </w:r>
      <w:r w:rsidRPr="006105B6">
        <w:rPr>
          <w:rFonts w:ascii="Arial" w:eastAsia="Calibri" w:hAnsi="Arial" w:cs="Arial"/>
          <w:color w:val="000000" w:themeColor="text1"/>
          <w:sz w:val="19"/>
          <w:szCs w:val="19"/>
          <w:lang w:val="es-ES_tradnl"/>
        </w:rPr>
        <w:t>”.</w:t>
      </w:r>
    </w:p>
    <w:p w14:paraId="58680E7B" w14:textId="77777777" w:rsidR="00CB603F" w:rsidRPr="006105B6" w:rsidRDefault="00CB603F" w:rsidP="00CB603F">
      <w:pPr>
        <w:pStyle w:val="Textonotapie"/>
        <w:ind w:firstLine="709"/>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89A21EE"/>
    <w:multiLevelType w:val="hybridMultilevel"/>
    <w:tmpl w:val="22660470"/>
    <w:lvl w:ilvl="0" w:tplc="8218391C">
      <w:start w:val="1"/>
      <w:numFmt w:val="upperRoman"/>
      <w:lvlText w:val="%1."/>
      <w:lvlJc w:val="right"/>
      <w:pPr>
        <w:ind w:left="3947" w:hanging="360"/>
      </w:pPr>
    </w:lvl>
    <w:lvl w:ilvl="1" w:tplc="5AC6E5E4">
      <w:start w:val="1"/>
      <w:numFmt w:val="lowerLetter"/>
      <w:lvlText w:val="%2."/>
      <w:lvlJc w:val="left"/>
      <w:pPr>
        <w:ind w:left="4667" w:hanging="360"/>
      </w:pPr>
    </w:lvl>
    <w:lvl w:ilvl="2" w:tplc="0D8891FA">
      <w:start w:val="1"/>
      <w:numFmt w:val="lowerRoman"/>
      <w:lvlText w:val="%3."/>
      <w:lvlJc w:val="right"/>
      <w:pPr>
        <w:ind w:left="5387" w:hanging="180"/>
      </w:pPr>
    </w:lvl>
    <w:lvl w:ilvl="3" w:tplc="96D024E2">
      <w:start w:val="1"/>
      <w:numFmt w:val="decimal"/>
      <w:lvlText w:val="%4."/>
      <w:lvlJc w:val="left"/>
      <w:pPr>
        <w:ind w:left="6107" w:hanging="360"/>
      </w:pPr>
    </w:lvl>
    <w:lvl w:ilvl="4" w:tplc="638451E2">
      <w:start w:val="1"/>
      <w:numFmt w:val="lowerLetter"/>
      <w:lvlText w:val="%5."/>
      <w:lvlJc w:val="left"/>
      <w:pPr>
        <w:ind w:left="6827" w:hanging="360"/>
      </w:pPr>
    </w:lvl>
    <w:lvl w:ilvl="5" w:tplc="B28AEC54">
      <w:start w:val="1"/>
      <w:numFmt w:val="lowerRoman"/>
      <w:lvlText w:val="%6."/>
      <w:lvlJc w:val="right"/>
      <w:pPr>
        <w:ind w:left="7547" w:hanging="180"/>
      </w:pPr>
    </w:lvl>
    <w:lvl w:ilvl="6" w:tplc="F8AA5DD0">
      <w:start w:val="1"/>
      <w:numFmt w:val="decimal"/>
      <w:lvlText w:val="%7."/>
      <w:lvlJc w:val="left"/>
      <w:pPr>
        <w:ind w:left="8267" w:hanging="360"/>
      </w:pPr>
    </w:lvl>
    <w:lvl w:ilvl="7" w:tplc="48902712">
      <w:start w:val="1"/>
      <w:numFmt w:val="lowerLetter"/>
      <w:lvlText w:val="%8."/>
      <w:lvlJc w:val="left"/>
      <w:pPr>
        <w:ind w:left="8987" w:hanging="360"/>
      </w:pPr>
    </w:lvl>
    <w:lvl w:ilvl="8" w:tplc="63BE044A">
      <w:start w:val="1"/>
      <w:numFmt w:val="lowerRoman"/>
      <w:lvlText w:val="%9."/>
      <w:lvlJc w:val="right"/>
      <w:pPr>
        <w:ind w:left="9707" w:hanging="180"/>
      </w:p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9"/>
  </w:num>
  <w:num w:numId="16" w16cid:durableId="2058504384">
    <w:abstractNumId w:val="0"/>
  </w:num>
  <w:num w:numId="17" w16cid:durableId="744571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A683E"/>
    <w:rsid w:val="000B19B9"/>
    <w:rsid w:val="000D0334"/>
    <w:rsid w:val="000F6486"/>
    <w:rsid w:val="00123A35"/>
    <w:rsid w:val="00125105"/>
    <w:rsid w:val="00127233"/>
    <w:rsid w:val="001E4177"/>
    <w:rsid w:val="001F7DC6"/>
    <w:rsid w:val="00202EC7"/>
    <w:rsid w:val="002421BB"/>
    <w:rsid w:val="002707A2"/>
    <w:rsid w:val="002951A0"/>
    <w:rsid w:val="002962BC"/>
    <w:rsid w:val="002A093D"/>
    <w:rsid w:val="002A0DD0"/>
    <w:rsid w:val="002A49AC"/>
    <w:rsid w:val="002A64FD"/>
    <w:rsid w:val="002C487E"/>
    <w:rsid w:val="002C7A84"/>
    <w:rsid w:val="002E4FD9"/>
    <w:rsid w:val="0031557F"/>
    <w:rsid w:val="00322A85"/>
    <w:rsid w:val="003448F4"/>
    <w:rsid w:val="003728B8"/>
    <w:rsid w:val="00374F5E"/>
    <w:rsid w:val="00377E3E"/>
    <w:rsid w:val="003A779E"/>
    <w:rsid w:val="003D0F4D"/>
    <w:rsid w:val="003D5B0D"/>
    <w:rsid w:val="003E0499"/>
    <w:rsid w:val="003E77B3"/>
    <w:rsid w:val="003F3941"/>
    <w:rsid w:val="00406575"/>
    <w:rsid w:val="0042722E"/>
    <w:rsid w:val="004A1847"/>
    <w:rsid w:val="004A305D"/>
    <w:rsid w:val="004F21C4"/>
    <w:rsid w:val="004F685F"/>
    <w:rsid w:val="005566E8"/>
    <w:rsid w:val="00574867"/>
    <w:rsid w:val="00591460"/>
    <w:rsid w:val="005A2340"/>
    <w:rsid w:val="005C3777"/>
    <w:rsid w:val="005C5CDC"/>
    <w:rsid w:val="005D476C"/>
    <w:rsid w:val="006219F8"/>
    <w:rsid w:val="0064026A"/>
    <w:rsid w:val="00665D70"/>
    <w:rsid w:val="00675674"/>
    <w:rsid w:val="006900D9"/>
    <w:rsid w:val="006E2BA3"/>
    <w:rsid w:val="00706C16"/>
    <w:rsid w:val="00724933"/>
    <w:rsid w:val="00743024"/>
    <w:rsid w:val="00746244"/>
    <w:rsid w:val="00756841"/>
    <w:rsid w:val="007649AB"/>
    <w:rsid w:val="00771D0C"/>
    <w:rsid w:val="00773C7B"/>
    <w:rsid w:val="007833AC"/>
    <w:rsid w:val="007A3A7A"/>
    <w:rsid w:val="007B268C"/>
    <w:rsid w:val="007B7171"/>
    <w:rsid w:val="007C3DC2"/>
    <w:rsid w:val="007E5497"/>
    <w:rsid w:val="00806F5F"/>
    <w:rsid w:val="00820278"/>
    <w:rsid w:val="0085001B"/>
    <w:rsid w:val="008843B6"/>
    <w:rsid w:val="00891928"/>
    <w:rsid w:val="008A446D"/>
    <w:rsid w:val="008D180B"/>
    <w:rsid w:val="008F0EA7"/>
    <w:rsid w:val="008F1B7C"/>
    <w:rsid w:val="00923EEF"/>
    <w:rsid w:val="009304AB"/>
    <w:rsid w:val="009419F9"/>
    <w:rsid w:val="00954CB3"/>
    <w:rsid w:val="00961B09"/>
    <w:rsid w:val="00965334"/>
    <w:rsid w:val="0097093E"/>
    <w:rsid w:val="009A12EB"/>
    <w:rsid w:val="009A3C86"/>
    <w:rsid w:val="009C71FA"/>
    <w:rsid w:val="009C72E7"/>
    <w:rsid w:val="009E48F5"/>
    <w:rsid w:val="009F3A13"/>
    <w:rsid w:val="00A122D3"/>
    <w:rsid w:val="00A17F13"/>
    <w:rsid w:val="00A20739"/>
    <w:rsid w:val="00A33C78"/>
    <w:rsid w:val="00AA5B8E"/>
    <w:rsid w:val="00AB02C6"/>
    <w:rsid w:val="00AB0ADB"/>
    <w:rsid w:val="00AB2376"/>
    <w:rsid w:val="00B30DD2"/>
    <w:rsid w:val="00B42470"/>
    <w:rsid w:val="00B72CD3"/>
    <w:rsid w:val="00B72FFF"/>
    <w:rsid w:val="00BC3D36"/>
    <w:rsid w:val="00BD7F72"/>
    <w:rsid w:val="00C04FB3"/>
    <w:rsid w:val="00C330EB"/>
    <w:rsid w:val="00C64B71"/>
    <w:rsid w:val="00C754BE"/>
    <w:rsid w:val="00C76B1C"/>
    <w:rsid w:val="00CB603F"/>
    <w:rsid w:val="00CB6357"/>
    <w:rsid w:val="00CB7C01"/>
    <w:rsid w:val="00CC1B26"/>
    <w:rsid w:val="00D423A2"/>
    <w:rsid w:val="00D63AC2"/>
    <w:rsid w:val="00D7383B"/>
    <w:rsid w:val="00DA231B"/>
    <w:rsid w:val="00DF4136"/>
    <w:rsid w:val="00DF5254"/>
    <w:rsid w:val="00E16408"/>
    <w:rsid w:val="00E20894"/>
    <w:rsid w:val="00E245AB"/>
    <w:rsid w:val="00E2764C"/>
    <w:rsid w:val="00E27F2E"/>
    <w:rsid w:val="00E50AFE"/>
    <w:rsid w:val="00E771DC"/>
    <w:rsid w:val="00E8772A"/>
    <w:rsid w:val="00E90F6B"/>
    <w:rsid w:val="00E92C27"/>
    <w:rsid w:val="00E97D30"/>
    <w:rsid w:val="00EA0E3D"/>
    <w:rsid w:val="00EE1AA8"/>
    <w:rsid w:val="00F31EDC"/>
    <w:rsid w:val="00F462B3"/>
    <w:rsid w:val="00F5664F"/>
    <w:rsid w:val="00F666C4"/>
    <w:rsid w:val="00F76AFC"/>
    <w:rsid w:val="00FB5DD1"/>
    <w:rsid w:val="00FC2B5D"/>
    <w:rsid w:val="00FF1449"/>
    <w:rsid w:val="3F126EC9"/>
    <w:rsid w:val="534A8C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styleId="Textoennegrita">
    <w:name w:val="Strong"/>
    <w:basedOn w:val="Fuentedeprrafopredeter"/>
    <w:uiPriority w:val="22"/>
    <w:qFormat/>
    <w:rsid w:val="00CB603F"/>
    <w:rPr>
      <w:b/>
      <w:bCs/>
    </w:rPr>
  </w:style>
  <w:style w:type="paragraph" w:customStyle="1" w:styleId="Appelnotedebasde">
    <w:name w:val="Appel note de bas de..."/>
    <w:basedOn w:val="Normal"/>
    <w:link w:val="Refdenotaalpie"/>
    <w:uiPriority w:val="99"/>
    <w:rsid w:val="00CB603F"/>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mbiacompra.gov.co/sites/cce_public/files/files_2020/02._resolucion_358_de_2023_dt_-_convenios_solidario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dapre.presidencia.gov.co/normativa/leyes" TargetMode="External"/><Relationship Id="rId1" Type="http://schemas.openxmlformats.org/officeDocument/2006/relationships/hyperlink" Target="https://www.colombiacompra.gov.co/content/documento-tipo-para-la-contratacion-directa-de-convenios-solidarios-para-la-ejecucion-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7693CA77-AD47-4C7A-A8E8-EB835D852995}"/>
</file>

<file path=docProps/app.xml><?xml version="1.0" encoding="utf-8"?>
<Properties xmlns="http://schemas.openxmlformats.org/officeDocument/2006/extended-properties" xmlns:vt="http://schemas.openxmlformats.org/officeDocument/2006/docPropsVTypes">
  <Template>Normal</Template>
  <TotalTime>5</TotalTime>
  <Pages>15</Pages>
  <Words>5773</Words>
  <Characters>31754</Characters>
  <Application>Microsoft Office Word</Application>
  <DocSecurity>0</DocSecurity>
  <Lines>264</Lines>
  <Paragraphs>74</Paragraphs>
  <ScaleCrop>false</ScaleCrop>
  <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Kevin Arlid Herrera Santa</cp:lastModifiedBy>
  <cp:revision>5</cp:revision>
  <cp:lastPrinted>2023-01-10T21:18:00Z</cp:lastPrinted>
  <dcterms:created xsi:type="dcterms:W3CDTF">2023-09-28T21:59:00Z</dcterms:created>
  <dcterms:modified xsi:type="dcterms:W3CDTF">2023-09-28T22:04:00Z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