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53E3" w14:textId="77777777" w:rsidR="00C340D9" w:rsidRPr="001B137F" w:rsidRDefault="00C340D9" w:rsidP="001B137F">
      <w:pPr>
        <w:spacing w:line="240" w:lineRule="auto"/>
        <w:contextualSpacing/>
        <w:jc w:val="both"/>
        <w:rPr>
          <w:rFonts w:ascii="Century Gothic" w:eastAsia="Calibri" w:hAnsi="Century Gothic" w:cs="Arial"/>
          <w:b/>
          <w:bCs/>
          <w:sz w:val="20"/>
          <w:szCs w:val="20"/>
        </w:rPr>
      </w:pPr>
      <w:bookmarkStart w:id="0" w:name="_Hlk143780582"/>
      <w:r w:rsidRPr="001B137F">
        <w:rPr>
          <w:rFonts w:ascii="Century Gothic" w:eastAsia="Calibri" w:hAnsi="Century Gothic" w:cs="Arial"/>
          <w:b/>
          <w:bCs/>
          <w:sz w:val="20"/>
          <w:szCs w:val="20"/>
        </w:rPr>
        <w:t>SUBSANACIÓN – Requisitos Habilitantes – Reglas</w:t>
      </w:r>
    </w:p>
    <w:p w14:paraId="1350F950" w14:textId="77777777" w:rsidR="001B137F" w:rsidRDefault="001B137F" w:rsidP="001B137F">
      <w:pPr>
        <w:spacing w:before="240"/>
        <w:contextualSpacing/>
        <w:jc w:val="both"/>
        <w:rPr>
          <w:rFonts w:ascii="Century Gothic" w:hAnsi="Century Gothic"/>
          <w:sz w:val="20"/>
          <w:szCs w:val="20"/>
        </w:rPr>
      </w:pPr>
    </w:p>
    <w:p w14:paraId="1EDFD12C" w14:textId="3D58D0D9" w:rsidR="00C340D9" w:rsidRPr="001B137F" w:rsidRDefault="00C340D9" w:rsidP="001B137F">
      <w:pPr>
        <w:spacing w:before="240" w:line="240" w:lineRule="auto"/>
        <w:contextualSpacing/>
        <w:jc w:val="both"/>
        <w:rPr>
          <w:rFonts w:ascii="Century Gothic" w:hAnsi="Century Gothic"/>
          <w:sz w:val="20"/>
          <w:szCs w:val="20"/>
        </w:rPr>
      </w:pPr>
      <w:r w:rsidRPr="001B137F">
        <w:rPr>
          <w:rFonts w:ascii="Century Gothic" w:hAnsi="Century Gothic"/>
          <w:sz w:val="20"/>
          <w:szCs w:val="20"/>
        </w:rPr>
        <w:t>En consecuencia, una vez verificada la ausencia de requisitos y/o documentos de la oferta, para efectos de saber si se pueden subsanar, la Entidad Estatal se debe preguntar, en primer lugar, si lo que hace falta o debe corregirse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w:t>
      </w:r>
    </w:p>
    <w:p w14:paraId="59F7AA65" w14:textId="77777777" w:rsidR="001B137F" w:rsidRDefault="001B137F" w:rsidP="001B137F">
      <w:pPr>
        <w:contextualSpacing/>
        <w:jc w:val="both"/>
        <w:rPr>
          <w:rFonts w:ascii="Century Gothic" w:eastAsia="Calibri" w:hAnsi="Century Gothic" w:cs="Arial"/>
          <w:b/>
          <w:bCs/>
          <w:sz w:val="20"/>
          <w:szCs w:val="20"/>
        </w:rPr>
      </w:pPr>
    </w:p>
    <w:p w14:paraId="19488F6D" w14:textId="24793BCB" w:rsidR="00C340D9" w:rsidRPr="001B137F" w:rsidRDefault="00C340D9" w:rsidP="001B137F">
      <w:pPr>
        <w:spacing w:line="240" w:lineRule="auto"/>
        <w:contextualSpacing/>
        <w:jc w:val="both"/>
        <w:rPr>
          <w:rFonts w:ascii="Century Gothic" w:eastAsia="Calibri" w:hAnsi="Century Gothic" w:cs="Arial"/>
          <w:b/>
          <w:bCs/>
          <w:sz w:val="20"/>
          <w:szCs w:val="20"/>
        </w:rPr>
      </w:pPr>
      <w:r w:rsidRPr="001B137F">
        <w:rPr>
          <w:rFonts w:ascii="Century Gothic" w:eastAsia="Calibri" w:hAnsi="Century Gothic" w:cs="Arial"/>
          <w:b/>
          <w:bCs/>
          <w:sz w:val="20"/>
          <w:szCs w:val="20"/>
        </w:rPr>
        <w:t>MÍNIMA CUANTÍA</w:t>
      </w:r>
      <w:r w:rsidR="001B137F" w:rsidRPr="001B137F">
        <w:rPr>
          <w:rFonts w:ascii="Century Gothic" w:eastAsia="Calibri" w:hAnsi="Century Gothic" w:cs="Arial"/>
          <w:b/>
          <w:bCs/>
          <w:sz w:val="20"/>
          <w:szCs w:val="20"/>
        </w:rPr>
        <w:t xml:space="preserve"> </w:t>
      </w:r>
      <w:r w:rsidRPr="001B137F">
        <w:rPr>
          <w:rFonts w:ascii="Century Gothic" w:eastAsia="Calibri" w:hAnsi="Century Gothic" w:cs="Arial"/>
          <w:b/>
          <w:bCs/>
          <w:sz w:val="20"/>
          <w:szCs w:val="20"/>
        </w:rPr>
        <w:t xml:space="preserve">- Subsanación </w:t>
      </w:r>
    </w:p>
    <w:p w14:paraId="6E25D384" w14:textId="77777777" w:rsidR="001B137F" w:rsidRDefault="001B137F" w:rsidP="001B137F">
      <w:pPr>
        <w:spacing w:after="0" w:line="240" w:lineRule="auto"/>
        <w:jc w:val="both"/>
        <w:rPr>
          <w:rFonts w:ascii="Century Gothic" w:hAnsi="Century Gothic"/>
          <w:sz w:val="20"/>
          <w:szCs w:val="20"/>
        </w:rPr>
      </w:pPr>
    </w:p>
    <w:p w14:paraId="2584ACFA" w14:textId="77777777" w:rsidR="001B137F" w:rsidRDefault="001B137F" w:rsidP="001B137F">
      <w:pPr>
        <w:spacing w:after="0" w:line="240" w:lineRule="auto"/>
        <w:jc w:val="both"/>
        <w:rPr>
          <w:rFonts w:ascii="Century Gothic" w:hAnsi="Century Gothic"/>
          <w:sz w:val="20"/>
          <w:szCs w:val="20"/>
        </w:rPr>
      </w:pPr>
      <w:r w:rsidRPr="001B137F">
        <w:rPr>
          <w:rFonts w:ascii="Century Gothic" w:hAnsi="Century Gothic"/>
          <w:sz w:val="20"/>
          <w:szCs w:val="20"/>
        </w:rPr>
        <w:t xml:space="preserve">Ahora bien, </w:t>
      </w:r>
      <w:r w:rsidR="00C340D9" w:rsidRPr="001B137F">
        <w:rPr>
          <w:rFonts w:ascii="Century Gothic" w:hAnsi="Century Gothic"/>
          <w:sz w:val="20"/>
          <w:szCs w:val="20"/>
        </w:rPr>
        <w:t xml:space="preserve">en relación con el término para subsanar ofertas en los procesos de selección por mínima cuantía, previo a la expedición del Decreto 1860 de 2021, surgían tres posibles interpretaciones: i) que en la mínima cuantía no se permite la </w:t>
      </w:r>
      <w:proofErr w:type="spellStart"/>
      <w:r w:rsidR="00C340D9" w:rsidRPr="001B137F">
        <w:rPr>
          <w:rFonts w:ascii="Century Gothic" w:hAnsi="Century Gothic"/>
          <w:sz w:val="20"/>
          <w:szCs w:val="20"/>
        </w:rPr>
        <w:t>subsanabilidad</w:t>
      </w:r>
      <w:proofErr w:type="spellEnd"/>
      <w:r w:rsidR="00C340D9" w:rsidRPr="001B137F">
        <w:rPr>
          <w:rFonts w:ascii="Century Gothic" w:hAnsi="Century Gothic"/>
          <w:sz w:val="20"/>
          <w:szCs w:val="20"/>
        </w:rPr>
        <w:t xml:space="preserve"> –</w:t>
      </w:r>
      <w:r w:rsidR="00C340D9" w:rsidRPr="001B137F">
        <w:rPr>
          <w:rFonts w:ascii="Century Gothic" w:hAnsi="Century Gothic"/>
          <w:sz w:val="20"/>
          <w:szCs w:val="20"/>
        </w:rPr>
        <w:t xml:space="preserve"> </w:t>
      </w:r>
      <w:proofErr w:type="spellStart"/>
      <w:r w:rsidR="00C340D9" w:rsidRPr="001B137F">
        <w:rPr>
          <w:rFonts w:ascii="Century Gothic" w:hAnsi="Century Gothic"/>
          <w:sz w:val="20"/>
          <w:szCs w:val="20"/>
        </w:rPr>
        <w:t>nterpretación</w:t>
      </w:r>
      <w:proofErr w:type="spellEnd"/>
      <w:r w:rsidR="00C340D9" w:rsidRPr="001B137F">
        <w:rPr>
          <w:rFonts w:ascii="Century Gothic" w:hAnsi="Century Gothic"/>
          <w:sz w:val="20"/>
          <w:szCs w:val="20"/>
        </w:rPr>
        <w:t xml:space="preserve"> que no es acorde con el principio de la prevalencia de lo sustancial sobre lo formal–, </w:t>
      </w:r>
      <w:proofErr w:type="spellStart"/>
      <w:r w:rsidR="00C340D9" w:rsidRPr="001B137F">
        <w:rPr>
          <w:rFonts w:ascii="Century Gothic" w:hAnsi="Century Gothic"/>
          <w:sz w:val="20"/>
          <w:szCs w:val="20"/>
        </w:rPr>
        <w:t>ii</w:t>
      </w:r>
      <w:proofErr w:type="spellEnd"/>
      <w:r w:rsidR="00C340D9" w:rsidRPr="001B137F">
        <w:rPr>
          <w:rFonts w:ascii="Century Gothic" w:hAnsi="Century Gothic"/>
          <w:sz w:val="20"/>
          <w:szCs w:val="20"/>
        </w:rPr>
        <w:t xml:space="preserve">) que el término para presentar los requisitos subsanados es el mismo de publicación del informe de evaluación, es decir, un (1) día hábil, </w:t>
      </w:r>
      <w:proofErr w:type="spellStart"/>
      <w:r w:rsidR="00C340D9" w:rsidRPr="001B137F">
        <w:rPr>
          <w:rFonts w:ascii="Century Gothic" w:hAnsi="Century Gothic"/>
          <w:sz w:val="20"/>
          <w:szCs w:val="20"/>
        </w:rPr>
        <w:t>iii</w:t>
      </w:r>
      <w:proofErr w:type="spellEnd"/>
      <w:r w:rsidR="00C340D9" w:rsidRPr="001B137F">
        <w:rPr>
          <w:rFonts w:ascii="Century Gothic" w:hAnsi="Century Gothic"/>
          <w:sz w:val="20"/>
          <w:szCs w:val="20"/>
        </w:rPr>
        <w:t xml:space="preserve">) que existe un vacío y que este puede llenarse discrecionalmente por la entidad estatal, disponiendo de un término razonable de </w:t>
      </w:r>
      <w:proofErr w:type="spellStart"/>
      <w:r w:rsidR="00C340D9" w:rsidRPr="001B137F">
        <w:rPr>
          <w:rFonts w:ascii="Century Gothic" w:hAnsi="Century Gothic"/>
          <w:sz w:val="20"/>
          <w:szCs w:val="20"/>
        </w:rPr>
        <w:t>subsanabilidad</w:t>
      </w:r>
      <w:proofErr w:type="spellEnd"/>
      <w:r w:rsidR="00C340D9" w:rsidRPr="001B137F">
        <w:rPr>
          <w:rFonts w:ascii="Century Gothic" w:hAnsi="Century Gothic"/>
          <w:sz w:val="20"/>
          <w:szCs w:val="20"/>
        </w:rPr>
        <w:t xml:space="preserve">. </w:t>
      </w:r>
    </w:p>
    <w:p w14:paraId="2EA575E4" w14:textId="77777777" w:rsidR="001B137F" w:rsidRDefault="001B137F" w:rsidP="001B137F">
      <w:pPr>
        <w:spacing w:after="0" w:line="240" w:lineRule="auto"/>
        <w:jc w:val="both"/>
        <w:rPr>
          <w:rFonts w:ascii="Century Gothic" w:hAnsi="Century Gothic"/>
          <w:sz w:val="20"/>
          <w:szCs w:val="20"/>
        </w:rPr>
      </w:pPr>
    </w:p>
    <w:p w14:paraId="0400B221" w14:textId="77777777" w:rsidR="001B137F" w:rsidRDefault="00C340D9" w:rsidP="001B137F">
      <w:pPr>
        <w:spacing w:after="0" w:line="240" w:lineRule="auto"/>
        <w:jc w:val="both"/>
        <w:rPr>
          <w:rFonts w:ascii="Century Gothic" w:hAnsi="Century Gothic"/>
          <w:sz w:val="20"/>
          <w:szCs w:val="20"/>
        </w:rPr>
      </w:pPr>
      <w:r w:rsidRPr="001B137F">
        <w:rPr>
          <w:rFonts w:ascii="Century Gothic" w:hAnsi="Century Gothic"/>
          <w:sz w:val="20"/>
          <w:szCs w:val="20"/>
        </w:rPr>
        <w:t>Esta Subdirección acogió hasta la expedición del Decreto 1860 de 2021 la tercera opción, en concordancia con el numeral 6.1. de la Circular Externa Única de la Agencia Nacional de Contratación Pública – Colombia Compra Eficiente, que atiende a la discrecionalidad administrativa, respetando los principios de proporcionalidad y razonabilidad. Sin embargo, esto evidenció la necesidad que a través de la facultad reglamentaria el Gobierno Nacional limitara estos criterios interpretativos en los procesos de mínima cuantía, y se establezca un plazo límite para recibir los documentos subsanables, so pena de verificar la oferta con el siguiente proponente que ofrezca el mejor precio.</w:t>
      </w:r>
    </w:p>
    <w:p w14:paraId="06BBC5BB" w14:textId="77777777" w:rsidR="001B137F" w:rsidRDefault="001B137F" w:rsidP="001B137F">
      <w:pPr>
        <w:spacing w:after="0" w:line="240" w:lineRule="auto"/>
        <w:jc w:val="both"/>
        <w:rPr>
          <w:rFonts w:ascii="Century Gothic" w:hAnsi="Century Gothic"/>
          <w:sz w:val="20"/>
          <w:szCs w:val="20"/>
        </w:rPr>
      </w:pPr>
    </w:p>
    <w:p w14:paraId="230F4D6A" w14:textId="77777777" w:rsidR="001B137F" w:rsidRDefault="00C340D9" w:rsidP="001B137F">
      <w:pPr>
        <w:spacing w:after="0" w:line="240" w:lineRule="auto"/>
        <w:jc w:val="both"/>
        <w:rPr>
          <w:rFonts w:ascii="Century Gothic" w:hAnsi="Century Gothic"/>
          <w:sz w:val="20"/>
          <w:szCs w:val="20"/>
        </w:rPr>
      </w:pPr>
      <w:r w:rsidRPr="001B137F">
        <w:rPr>
          <w:rFonts w:ascii="Century Gothic" w:hAnsi="Century Gothic"/>
          <w:sz w:val="20"/>
          <w:szCs w:val="20"/>
        </w:rPr>
        <w:t xml:space="preserve">En ese contexto, en virtud de garantizar: i)una prevalencia de lo sustancial sobre lo formal; </w:t>
      </w:r>
      <w:proofErr w:type="spellStart"/>
      <w:r w:rsidRPr="001B137F">
        <w:rPr>
          <w:rFonts w:ascii="Century Gothic" w:hAnsi="Century Gothic"/>
          <w:sz w:val="20"/>
          <w:szCs w:val="20"/>
        </w:rPr>
        <w:t>ii</w:t>
      </w:r>
      <w:proofErr w:type="spellEnd"/>
      <w:r w:rsidRPr="001B137F">
        <w:rPr>
          <w:rFonts w:ascii="Century Gothic" w:hAnsi="Century Gothic"/>
          <w:sz w:val="20"/>
          <w:szCs w:val="20"/>
        </w:rPr>
        <w:t xml:space="preserve">) una mayor concurrencia real en los procedimientos de selección; </w:t>
      </w:r>
      <w:proofErr w:type="spellStart"/>
      <w:r w:rsidRPr="001B137F">
        <w:rPr>
          <w:rFonts w:ascii="Century Gothic" w:hAnsi="Century Gothic"/>
          <w:sz w:val="20"/>
          <w:szCs w:val="20"/>
        </w:rPr>
        <w:t>iii</w:t>
      </w:r>
      <w:proofErr w:type="spellEnd"/>
      <w:r w:rsidRPr="001B137F">
        <w:rPr>
          <w:rFonts w:ascii="Century Gothic" w:hAnsi="Century Gothic"/>
          <w:sz w:val="20"/>
          <w:szCs w:val="20"/>
        </w:rPr>
        <w:t>) una mayor posibilidad de que las entidades estatales se beneficien al poder seleccionar entre un abanico más amplio la oferta que le resulte materialmente más favorable a sus intereses, se contempló en el Decreto 1860 de 2021, la posibilidad de que las entidades estatales establecieran, a su criterio, términos preclusivos para la subsanación de ofertas, y a su vez, se contempló un término supletorio para ello a falta de regulación en la invitación, inclusión que beneficia y robustece el principio de selección objetiva.</w:t>
      </w:r>
    </w:p>
    <w:p w14:paraId="7D7192F5" w14:textId="77777777" w:rsidR="001B137F" w:rsidRDefault="001B137F" w:rsidP="001B137F">
      <w:pPr>
        <w:spacing w:after="0" w:line="240" w:lineRule="auto"/>
        <w:jc w:val="both"/>
        <w:rPr>
          <w:rFonts w:ascii="Century Gothic" w:hAnsi="Century Gothic"/>
          <w:sz w:val="20"/>
          <w:szCs w:val="20"/>
        </w:rPr>
      </w:pPr>
    </w:p>
    <w:p w14:paraId="05E339AE" w14:textId="79EAFAAC" w:rsidR="001B137F" w:rsidRDefault="001B137F" w:rsidP="001B137F">
      <w:pPr>
        <w:spacing w:after="0" w:line="240" w:lineRule="auto"/>
        <w:jc w:val="both"/>
        <w:rPr>
          <w:rFonts w:ascii="Century Gothic" w:eastAsia="Calibri" w:hAnsi="Century Gothic" w:cs="Arial"/>
          <w:b/>
          <w:bCs/>
          <w:sz w:val="20"/>
          <w:szCs w:val="20"/>
        </w:rPr>
      </w:pPr>
      <w:r w:rsidRPr="001B137F">
        <w:rPr>
          <w:rFonts w:ascii="Century Gothic" w:eastAsia="Calibri" w:hAnsi="Century Gothic" w:cs="Arial"/>
          <w:b/>
          <w:bCs/>
          <w:sz w:val="20"/>
          <w:szCs w:val="20"/>
        </w:rPr>
        <w:t>MÍNIMA CUANTÍA - Término de traslado del informe de evaluación</w:t>
      </w:r>
    </w:p>
    <w:p w14:paraId="597F34DB" w14:textId="77777777" w:rsidR="001B137F" w:rsidRDefault="001B137F" w:rsidP="001B137F">
      <w:pPr>
        <w:spacing w:after="0" w:line="240" w:lineRule="auto"/>
        <w:jc w:val="both"/>
        <w:rPr>
          <w:rFonts w:ascii="Century Gothic" w:eastAsia="Calibri" w:hAnsi="Century Gothic" w:cs="Arial"/>
          <w:b/>
          <w:bCs/>
          <w:sz w:val="20"/>
          <w:szCs w:val="20"/>
        </w:rPr>
      </w:pPr>
    </w:p>
    <w:p w14:paraId="0A0A4265" w14:textId="77777777" w:rsidR="001B137F" w:rsidRDefault="001B137F" w:rsidP="001B137F">
      <w:pPr>
        <w:spacing w:after="0" w:line="240" w:lineRule="auto"/>
        <w:jc w:val="both"/>
        <w:rPr>
          <w:rFonts w:ascii="Century Gothic" w:hAnsi="Century Gothic"/>
          <w:sz w:val="20"/>
          <w:szCs w:val="20"/>
        </w:rPr>
      </w:pPr>
      <w:r w:rsidRPr="001B137F">
        <w:rPr>
          <w:rFonts w:ascii="Century Gothic" w:hAnsi="Century Gothic"/>
          <w:sz w:val="20"/>
          <w:szCs w:val="20"/>
        </w:rPr>
        <w:t xml:space="preserve">Sobre la subsanación de las ofertas en el marco del procedimiento de selección de mínima cuantía, la norma contempla que cada Entidad Estatal, a su discrecionalidad, establecerá el término preclusivo para recibir los documentos subsanables a los proponentes, para ello </w:t>
      </w:r>
      <w:r w:rsidRPr="001B137F">
        <w:rPr>
          <w:rFonts w:ascii="Century Gothic" w:hAnsi="Century Gothic"/>
          <w:sz w:val="20"/>
          <w:szCs w:val="20"/>
        </w:rPr>
        <w:lastRenderedPageBreak/>
        <w:t>podrá determinar en el cronograma de la invitación dicho plazo. Sin embargo, en caso de que la Entidad Estatal no determine el término preclusivo para la subsanación de ofertas en la invitación, la norma contempla que los proponentes podrán subsanar sus ofertas hasta antes de que finalice el traslado del informe de evaluación, el cual corresponde al termino regulado en el numeral 6 del artículo 2.2.1.2.1.5.2. del Decreto 1082 de 2015, modificado por el artículo 2 del Decreto 1860 de 2021, es decir, por un término mínimo de un (1) día hábil a partir de la publicación del informe de evaluación.</w:t>
      </w:r>
    </w:p>
    <w:p w14:paraId="493A4D9A" w14:textId="77777777" w:rsidR="001B137F" w:rsidRDefault="001B137F" w:rsidP="001B137F">
      <w:pPr>
        <w:spacing w:after="0" w:line="240" w:lineRule="auto"/>
        <w:jc w:val="both"/>
        <w:rPr>
          <w:rFonts w:ascii="Century Gothic" w:hAnsi="Century Gothic"/>
          <w:sz w:val="20"/>
          <w:szCs w:val="20"/>
        </w:rPr>
      </w:pPr>
    </w:p>
    <w:p w14:paraId="2BB5930A" w14:textId="77777777" w:rsidR="001B137F" w:rsidRDefault="001B137F" w:rsidP="001B137F">
      <w:pPr>
        <w:spacing w:after="0" w:line="240" w:lineRule="auto"/>
        <w:jc w:val="both"/>
        <w:rPr>
          <w:rFonts w:ascii="Century Gothic" w:hAnsi="Century Gothic"/>
          <w:sz w:val="20"/>
          <w:szCs w:val="20"/>
        </w:rPr>
      </w:pPr>
      <w:r w:rsidRPr="001B137F">
        <w:rPr>
          <w:rFonts w:ascii="Century Gothic" w:hAnsi="Century Gothic"/>
          <w:sz w:val="20"/>
          <w:szCs w:val="20"/>
        </w:rPr>
        <w:t xml:space="preserve">Por lo tanto, si bien la norma contempló que el término de traslado al informe de evaluación podría utilizarse subsidiariamente por la Entidad Estatal y los proponentes para la subsanación de ofertas, en estricto sentido, no necesariamente corresponden a un mismo término o plazo, por lo tanto, como se expresó previamente, la Entidad Estatal podrá determinar en su invitación, si así bien lo considera, un término diferente al de traslado del informe de evaluación para la subsanación de ofertas por parte de los proponentes. La anterior interpretación se sustenta en que el numeral 5 del artículo 2.2.1.2.1.5.2. contempló expresamente que las entidades estatales “establecerán un término preclusivo en la invitación para recibir los documentos subsanables, frente a cada uno de los requerimientos” (énfasis fuera de texto), en ese sentido, cuando la norma contempla que se puede establecer un término frente a cada uno de los requerimientos, da paso a la posibilidad de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p>
    <w:p w14:paraId="1CAB533E" w14:textId="77777777" w:rsidR="001B137F" w:rsidRDefault="001B137F" w:rsidP="001B137F">
      <w:pPr>
        <w:spacing w:after="0" w:line="240" w:lineRule="auto"/>
        <w:jc w:val="both"/>
        <w:rPr>
          <w:rFonts w:ascii="Century Gothic" w:hAnsi="Century Gothic"/>
          <w:sz w:val="20"/>
          <w:szCs w:val="20"/>
        </w:rPr>
      </w:pPr>
    </w:p>
    <w:p w14:paraId="3660B53D" w14:textId="77777777" w:rsidR="00C340D9" w:rsidRPr="001B137F" w:rsidRDefault="00C340D9" w:rsidP="001B137F">
      <w:pPr>
        <w:spacing w:line="240" w:lineRule="auto"/>
        <w:jc w:val="both"/>
        <w:rPr>
          <w:rFonts w:ascii="Century Gothic" w:hAnsi="Century Gothic"/>
          <w:sz w:val="20"/>
          <w:szCs w:val="20"/>
        </w:rPr>
      </w:pPr>
      <w:r w:rsidRPr="001B137F">
        <w:rPr>
          <w:rFonts w:ascii="Century Gothic" w:hAnsi="Century Gothic"/>
          <w:sz w:val="20"/>
          <w:szCs w:val="20"/>
        </w:rPr>
        <w:br w:type="page"/>
      </w:r>
    </w:p>
    <w:p w14:paraId="5FCADBF9" w14:textId="2FB4B454" w:rsidR="00E245AB" w:rsidRPr="00322A85" w:rsidRDefault="00C340D9" w:rsidP="00E245AB">
      <w:pPr>
        <w:spacing w:after="0"/>
        <w:rPr>
          <w:rFonts w:ascii="Century Gothic" w:hAnsi="Century Gothic"/>
        </w:rPr>
      </w:pPr>
      <w:r w:rsidRPr="00C340D9">
        <w:rPr>
          <w:rFonts w:ascii="Century Gothic" w:hAnsi="Century Gothic" w:cs="Arial"/>
        </w:rPr>
        <w:drawing>
          <wp:anchor distT="0" distB="0" distL="114300" distR="114300" simplePos="0" relativeHeight="251660288" behindDoc="1" locked="0" layoutInCell="1" allowOverlap="1" wp14:anchorId="5DB1015A" wp14:editId="53228139">
            <wp:simplePos x="0" y="0"/>
            <wp:positionH relativeFrom="column">
              <wp:posOffset>3364718</wp:posOffset>
            </wp:positionH>
            <wp:positionV relativeFrom="paragraph">
              <wp:posOffset>5763</wp:posOffset>
            </wp:positionV>
            <wp:extent cx="2616259" cy="731520"/>
            <wp:effectExtent l="0" t="0" r="0" b="0"/>
            <wp:wrapNone/>
            <wp:docPr id="815044996" name="Imagen 81504499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44996" name="Imagen 815044996"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616259" cy="731520"/>
                    </a:xfrm>
                    <a:prstGeom prst="rect">
                      <a:avLst/>
                    </a:prstGeom>
                  </pic:spPr>
                </pic:pic>
              </a:graphicData>
            </a:graphic>
            <wp14:sizeRelH relativeFrom="margin">
              <wp14:pctWidth>0</wp14:pctWidth>
            </wp14:sizeRelH>
            <wp14:sizeRelV relativeFrom="margin">
              <wp14:pctHeight>0</wp14:pctHeight>
            </wp14:sizeRelV>
          </wp:anchor>
        </w:drawing>
      </w:r>
      <w:r w:rsidR="00E245AB" w:rsidRPr="00322A85">
        <w:rPr>
          <w:rFonts w:ascii="Century Gothic" w:hAnsi="Century Gothic"/>
        </w:rPr>
        <w:t xml:space="preserve">Bogotá D.C., </w:t>
      </w:r>
      <w:r>
        <w:rPr>
          <w:rFonts w:ascii="Century Gothic" w:hAnsi="Century Gothic"/>
        </w:rPr>
        <w:t>12 de septiembre de 2023</w:t>
      </w:r>
    </w:p>
    <w:bookmarkEnd w:id="0"/>
    <w:p w14:paraId="6F32713D" w14:textId="139E01B8" w:rsidR="00FA6E3E" w:rsidRPr="0029340D" w:rsidRDefault="00FA6E3E" w:rsidP="00FA6E3E">
      <w:pPr>
        <w:spacing w:after="0"/>
        <w:jc w:val="both"/>
        <w:rPr>
          <w:rFonts w:ascii="Century Gothic" w:hAnsi="Century Gothic" w:cs="Arial"/>
        </w:rPr>
      </w:pPr>
    </w:p>
    <w:p w14:paraId="7D2F2346" w14:textId="77777777" w:rsidR="00FA6E3E" w:rsidRPr="0029340D" w:rsidRDefault="00FA6E3E" w:rsidP="00FA6E3E">
      <w:pPr>
        <w:spacing w:after="0"/>
        <w:jc w:val="both"/>
        <w:rPr>
          <w:rFonts w:ascii="Century Gothic" w:hAnsi="Century Gothic" w:cs="Arial"/>
          <w:lang w:val="es-MX"/>
        </w:rPr>
      </w:pPr>
      <w:r w:rsidRPr="0029340D">
        <w:rPr>
          <w:rFonts w:ascii="Century Gothic" w:hAnsi="Century Gothic" w:cs="Arial"/>
          <w:lang w:val="es-MX"/>
        </w:rPr>
        <w:t xml:space="preserve">Señor </w:t>
      </w:r>
    </w:p>
    <w:p w14:paraId="146926D9" w14:textId="32668C93" w:rsidR="00FA6E3E" w:rsidRPr="00337410" w:rsidRDefault="00CB65ED" w:rsidP="00FA6E3E">
      <w:pPr>
        <w:spacing w:after="0"/>
        <w:rPr>
          <w:rFonts w:ascii="Century Gothic" w:hAnsi="Century Gothic" w:cs="Arial"/>
          <w:b/>
        </w:rPr>
      </w:pPr>
      <w:r w:rsidRPr="48A203BF">
        <w:rPr>
          <w:rFonts w:ascii="Century Gothic" w:hAnsi="Century Gothic" w:cs="Arial"/>
          <w:b/>
        </w:rPr>
        <w:t>Deivy Yamid Bejarano Ver</w:t>
      </w:r>
      <w:r w:rsidR="001E2E67" w:rsidRPr="48A203BF">
        <w:rPr>
          <w:rFonts w:ascii="Century Gothic" w:hAnsi="Century Gothic" w:cs="Arial"/>
          <w:b/>
        </w:rPr>
        <w:t>gara</w:t>
      </w:r>
    </w:p>
    <w:p w14:paraId="06A5D0DA" w14:textId="10E90C8B" w:rsidR="0036265E" w:rsidRDefault="007452FB" w:rsidP="00FA6E3E">
      <w:pPr>
        <w:spacing w:after="0"/>
        <w:rPr>
          <w:rFonts w:ascii="Century Gothic" w:hAnsi="Century Gothic" w:cs="Arial"/>
        </w:rPr>
      </w:pPr>
      <w:r w:rsidRPr="00337410">
        <w:rPr>
          <w:rFonts w:ascii="Century Gothic" w:hAnsi="Century Gothic" w:cs="Arial"/>
        </w:rPr>
        <w:t>Departamento Administrativo del Espacio Público</w:t>
      </w:r>
    </w:p>
    <w:p w14:paraId="4F421F60" w14:textId="4EC74CF6" w:rsidR="00337410" w:rsidRPr="00F549DB" w:rsidRDefault="00337410" w:rsidP="00FA6E3E">
      <w:pPr>
        <w:spacing w:after="0"/>
        <w:rPr>
          <w:rFonts w:ascii="Century Gothic" w:hAnsi="Century Gothic" w:cs="Arial"/>
        </w:rPr>
      </w:pPr>
      <w:r w:rsidRPr="00F549DB">
        <w:rPr>
          <w:rFonts w:ascii="Century Gothic" w:hAnsi="Century Gothic" w:cs="Arial"/>
        </w:rPr>
        <w:t>Distrito Mayo</w:t>
      </w:r>
      <w:r w:rsidR="00463667" w:rsidRPr="00F549DB">
        <w:rPr>
          <w:rFonts w:ascii="Century Gothic" w:hAnsi="Century Gothic" w:cs="Arial"/>
        </w:rPr>
        <w:t>r</w:t>
      </w:r>
      <w:r w:rsidRPr="00F549DB">
        <w:rPr>
          <w:rFonts w:ascii="Century Gothic" w:hAnsi="Century Gothic" w:cs="Arial"/>
        </w:rPr>
        <w:t xml:space="preserve"> de Bogotá</w:t>
      </w:r>
    </w:p>
    <w:p w14:paraId="348F3E0F" w14:textId="6094EB83" w:rsidR="00FA6E3E" w:rsidRPr="00F549DB" w:rsidRDefault="001E2E67" w:rsidP="00FA6E3E">
      <w:pPr>
        <w:spacing w:after="0"/>
        <w:rPr>
          <w:rFonts w:ascii="Century Gothic" w:hAnsi="Century Gothic" w:cs="Arial"/>
        </w:rPr>
      </w:pPr>
      <w:r w:rsidRPr="00F549DB">
        <w:rPr>
          <w:rFonts w:ascii="Century Gothic" w:hAnsi="Century Gothic" w:cs="Arial"/>
        </w:rPr>
        <w:t xml:space="preserve">Bogotá, D.C. </w:t>
      </w:r>
    </w:p>
    <w:p w14:paraId="764C9758" w14:textId="77777777" w:rsidR="00FA6E3E" w:rsidRPr="00F549DB" w:rsidRDefault="00FA6E3E" w:rsidP="00FA6E3E">
      <w:pPr>
        <w:spacing w:after="0"/>
        <w:jc w:val="both"/>
        <w:rPr>
          <w:rFonts w:ascii="Century Gothic" w:hAnsi="Century Gothic" w:cs="Arial"/>
        </w:rPr>
      </w:pPr>
    </w:p>
    <w:p w14:paraId="7356F943" w14:textId="1D4A0C5A" w:rsidR="00FA6E3E" w:rsidRPr="0029340D" w:rsidRDefault="00FA6E3E" w:rsidP="00FA6E3E">
      <w:pPr>
        <w:spacing w:after="0" w:line="276" w:lineRule="auto"/>
        <w:contextualSpacing/>
        <w:jc w:val="both"/>
        <w:rPr>
          <w:rFonts w:ascii="Century Gothic" w:eastAsia="Calibri" w:hAnsi="Century Gothic" w:cs="Arial"/>
          <w:b/>
          <w:color w:val="000000" w:themeColor="text1"/>
        </w:rPr>
      </w:pPr>
      <w:bookmarkStart w:id="1" w:name="_Hlk137525426"/>
      <w:r w:rsidRPr="00F549DB">
        <w:rPr>
          <w:rFonts w:ascii="Century Gothic" w:eastAsia="Calibri" w:hAnsi="Century Gothic" w:cs="Arial"/>
          <w:b/>
          <w:color w:val="000000" w:themeColor="text1"/>
        </w:rPr>
        <w:t xml:space="preserve">                                </w:t>
      </w:r>
      <w:r w:rsidRPr="00F549DB">
        <w:rPr>
          <w:rFonts w:ascii="Century Gothic" w:eastAsia="Calibri" w:hAnsi="Century Gothic" w:cs="Arial"/>
          <w:b/>
          <w:color w:val="000000" w:themeColor="text1"/>
        </w:rPr>
        <w:tab/>
      </w:r>
      <w:r w:rsidRPr="00F549DB">
        <w:rPr>
          <w:rFonts w:ascii="Century Gothic" w:eastAsia="Calibri" w:hAnsi="Century Gothic" w:cs="Arial"/>
          <w:b/>
          <w:color w:val="000000" w:themeColor="text1"/>
        </w:rPr>
        <w:tab/>
      </w:r>
      <w:r w:rsidRPr="0029340D">
        <w:rPr>
          <w:rFonts w:ascii="Century Gothic" w:eastAsia="Calibri" w:hAnsi="Century Gothic" w:cs="Arial"/>
          <w:b/>
          <w:color w:val="000000" w:themeColor="text1"/>
        </w:rPr>
        <w:t xml:space="preserve">Concepto C – </w:t>
      </w:r>
      <w:r>
        <w:rPr>
          <w:rFonts w:ascii="Century Gothic" w:eastAsia="Calibri" w:hAnsi="Century Gothic" w:cs="Arial"/>
          <w:b/>
          <w:color w:val="000000" w:themeColor="text1"/>
        </w:rPr>
        <w:t>3</w:t>
      </w:r>
      <w:r w:rsidR="00D26924">
        <w:rPr>
          <w:rFonts w:ascii="Century Gothic" w:eastAsia="Calibri" w:hAnsi="Century Gothic" w:cs="Arial"/>
          <w:b/>
          <w:color w:val="000000" w:themeColor="text1"/>
        </w:rPr>
        <w:t>7</w:t>
      </w:r>
      <w:r>
        <w:rPr>
          <w:rFonts w:ascii="Century Gothic" w:eastAsia="Calibri" w:hAnsi="Century Gothic" w:cs="Arial"/>
          <w:b/>
          <w:color w:val="000000" w:themeColor="text1"/>
        </w:rPr>
        <w:t>3</w:t>
      </w:r>
      <w:r w:rsidRPr="0029340D">
        <w:rPr>
          <w:rFonts w:ascii="Century Gothic" w:eastAsia="Calibri" w:hAnsi="Century Gothic" w:cs="Arial"/>
          <w:b/>
          <w:color w:val="000000" w:themeColor="text1"/>
        </w:rPr>
        <w:t xml:space="preserve"> de 2023 </w:t>
      </w:r>
    </w:p>
    <w:p w14:paraId="6AA56790" w14:textId="77777777" w:rsidR="00FA6E3E" w:rsidRPr="0029340D" w:rsidRDefault="00FA6E3E" w:rsidP="00FA6E3E">
      <w:pPr>
        <w:spacing w:after="0" w:line="276" w:lineRule="auto"/>
        <w:contextualSpacing/>
        <w:jc w:val="both"/>
        <w:rPr>
          <w:rFonts w:ascii="Century Gothic" w:eastAsia="Calibri" w:hAnsi="Century Gothic" w:cs="Arial"/>
          <w:b/>
          <w:color w:val="000000" w:themeColor="text1"/>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5949"/>
      </w:tblGrid>
      <w:tr w:rsidR="00FA6E3E" w:rsidRPr="0029340D" w14:paraId="034A7E4E" w14:textId="77777777" w:rsidTr="00DB3871">
        <w:trPr>
          <w:trHeight w:val="822"/>
        </w:trPr>
        <w:tc>
          <w:tcPr>
            <w:tcW w:w="2835" w:type="dxa"/>
          </w:tcPr>
          <w:p w14:paraId="6682F2A0" w14:textId="77777777" w:rsidR="00FA6E3E" w:rsidRPr="0029340D" w:rsidRDefault="00FA6E3E" w:rsidP="00DB3871">
            <w:pPr>
              <w:pStyle w:val="Textoindependiente"/>
              <w:spacing w:line="276" w:lineRule="auto"/>
              <w:contextualSpacing/>
              <w:jc w:val="both"/>
              <w:rPr>
                <w:rFonts w:ascii="Century Gothic" w:eastAsia="Calibri" w:hAnsi="Century Gothic"/>
                <w:b/>
                <w:sz w:val="22"/>
                <w:szCs w:val="22"/>
                <w:lang w:val="es-CO"/>
              </w:rPr>
            </w:pPr>
            <w:r w:rsidRPr="0029340D">
              <w:rPr>
                <w:rFonts w:ascii="Century Gothic" w:eastAsia="Calibri" w:hAnsi="Century Gothic"/>
                <w:b/>
                <w:color w:val="000000" w:themeColor="text1"/>
                <w:sz w:val="22"/>
                <w:szCs w:val="22"/>
              </w:rPr>
              <w:t>Temas:</w:t>
            </w:r>
          </w:p>
          <w:p w14:paraId="48A2D2DE" w14:textId="77777777" w:rsidR="00FA6E3E" w:rsidRPr="0029340D" w:rsidRDefault="00FA6E3E" w:rsidP="00DB3871">
            <w:pPr>
              <w:pStyle w:val="Textoindependiente"/>
              <w:spacing w:line="276" w:lineRule="auto"/>
              <w:contextualSpacing/>
              <w:jc w:val="both"/>
              <w:rPr>
                <w:rFonts w:ascii="Century Gothic" w:eastAsia="Calibri" w:hAnsi="Century Gothic"/>
                <w:b/>
                <w:sz w:val="22"/>
                <w:szCs w:val="22"/>
                <w:lang w:val="es-CO"/>
              </w:rPr>
            </w:pPr>
          </w:p>
          <w:p w14:paraId="29807A52" w14:textId="77777777" w:rsidR="00FA6E3E" w:rsidRPr="0029340D" w:rsidRDefault="00FA6E3E" w:rsidP="00DB3871">
            <w:pPr>
              <w:spacing w:line="276" w:lineRule="auto"/>
              <w:contextualSpacing/>
              <w:jc w:val="both"/>
              <w:rPr>
                <w:rFonts w:ascii="Century Gothic" w:eastAsia="Calibri" w:hAnsi="Century Gothic" w:cs="Arial"/>
                <w:color w:val="000000" w:themeColor="text1"/>
              </w:rPr>
            </w:pPr>
            <w:r w:rsidRPr="0029340D">
              <w:rPr>
                <w:rFonts w:ascii="Century Gothic" w:eastAsia="Calibri" w:hAnsi="Century Gothic" w:cs="Arial"/>
                <w:color w:val="000000" w:themeColor="text1"/>
              </w:rPr>
              <w:t xml:space="preserve">        </w:t>
            </w:r>
          </w:p>
        </w:tc>
        <w:tc>
          <w:tcPr>
            <w:tcW w:w="5949" w:type="dxa"/>
          </w:tcPr>
          <w:p w14:paraId="40E1764D" w14:textId="24388CE3" w:rsidR="00FA6E3E" w:rsidRPr="0029340D" w:rsidRDefault="00FA6E3E" w:rsidP="00DB3871">
            <w:pPr>
              <w:spacing w:line="276" w:lineRule="auto"/>
              <w:contextualSpacing/>
              <w:jc w:val="both"/>
              <w:rPr>
                <w:rFonts w:ascii="Century Gothic" w:eastAsia="Calibri" w:hAnsi="Century Gothic" w:cs="Arial"/>
              </w:rPr>
            </w:pPr>
            <w:r>
              <w:rPr>
                <w:rFonts w:ascii="Century Gothic" w:eastAsia="Calibri" w:hAnsi="Century Gothic" w:cs="Arial"/>
              </w:rPr>
              <w:t xml:space="preserve">MÍNIMA CUANTÍA </w:t>
            </w:r>
            <w:r w:rsidRPr="0029340D">
              <w:rPr>
                <w:rFonts w:ascii="Century Gothic" w:eastAsia="Calibri" w:hAnsi="Century Gothic" w:cs="Arial"/>
              </w:rPr>
              <w:t>–</w:t>
            </w:r>
            <w:r>
              <w:rPr>
                <w:rFonts w:ascii="Century Gothic" w:eastAsia="Calibri" w:hAnsi="Century Gothic" w:cs="Arial"/>
              </w:rPr>
              <w:t xml:space="preserve"> </w:t>
            </w:r>
            <w:r w:rsidR="005974EE">
              <w:rPr>
                <w:rFonts w:ascii="Century Gothic" w:eastAsia="Calibri" w:hAnsi="Century Gothic" w:cs="Arial"/>
              </w:rPr>
              <w:t>T</w:t>
            </w:r>
            <w:r w:rsidR="00464A5C">
              <w:rPr>
                <w:rFonts w:ascii="Century Gothic" w:eastAsia="Calibri" w:hAnsi="Century Gothic" w:cs="Arial"/>
              </w:rPr>
              <w:t>é</w:t>
            </w:r>
            <w:r w:rsidR="005974EE">
              <w:rPr>
                <w:rFonts w:ascii="Century Gothic" w:eastAsia="Calibri" w:hAnsi="Century Gothic" w:cs="Arial"/>
              </w:rPr>
              <w:t xml:space="preserve">rmino de traslado </w:t>
            </w:r>
            <w:r w:rsidR="00F20005">
              <w:rPr>
                <w:rFonts w:ascii="Century Gothic" w:eastAsia="Calibri" w:hAnsi="Century Gothic" w:cs="Arial"/>
              </w:rPr>
              <w:t xml:space="preserve">del </w:t>
            </w:r>
            <w:r w:rsidR="005974EE">
              <w:rPr>
                <w:rFonts w:ascii="Century Gothic" w:eastAsia="Calibri" w:hAnsi="Century Gothic" w:cs="Arial"/>
              </w:rPr>
              <w:t xml:space="preserve">informe de evaluación - </w:t>
            </w:r>
            <w:r>
              <w:rPr>
                <w:rFonts w:ascii="Century Gothic" w:eastAsia="Calibri" w:hAnsi="Century Gothic" w:cs="Arial"/>
              </w:rPr>
              <w:t>Subsanación</w:t>
            </w:r>
            <w:r w:rsidR="008D114F">
              <w:rPr>
                <w:rFonts w:ascii="Century Gothic" w:eastAsia="Calibri" w:hAnsi="Century Gothic" w:cs="Arial"/>
              </w:rPr>
              <w:t xml:space="preserve"> /</w:t>
            </w:r>
            <w:r w:rsidR="008D114F" w:rsidRPr="0029340D">
              <w:rPr>
                <w:rFonts w:ascii="Century Gothic" w:eastAsia="Calibri" w:hAnsi="Century Gothic" w:cs="Arial"/>
              </w:rPr>
              <w:t xml:space="preserve"> SUBSANACIÓN – Requisitos Habilitantes – Reglas</w:t>
            </w:r>
          </w:p>
          <w:p w14:paraId="24845200" w14:textId="77777777" w:rsidR="00FA6E3E" w:rsidRPr="0029340D" w:rsidRDefault="00FA6E3E" w:rsidP="00DB3871">
            <w:pPr>
              <w:spacing w:line="276" w:lineRule="auto"/>
              <w:contextualSpacing/>
              <w:jc w:val="both"/>
              <w:rPr>
                <w:rFonts w:ascii="Century Gothic" w:eastAsia="Calibri" w:hAnsi="Century Gothic" w:cs="Arial"/>
                <w:color w:val="000000" w:themeColor="text1"/>
                <w:highlight w:val="yellow"/>
              </w:rPr>
            </w:pPr>
          </w:p>
        </w:tc>
      </w:tr>
      <w:tr w:rsidR="00FA6E3E" w:rsidRPr="0029340D" w14:paraId="607E8837" w14:textId="77777777" w:rsidTr="00DB3871">
        <w:tc>
          <w:tcPr>
            <w:tcW w:w="2835" w:type="dxa"/>
          </w:tcPr>
          <w:p w14:paraId="5BDC2191" w14:textId="77777777" w:rsidR="00FA6E3E" w:rsidRPr="0029340D" w:rsidRDefault="00FA6E3E" w:rsidP="00DB3871">
            <w:pPr>
              <w:spacing w:line="276" w:lineRule="auto"/>
              <w:contextualSpacing/>
              <w:jc w:val="both"/>
              <w:rPr>
                <w:rFonts w:ascii="Century Gothic" w:eastAsia="Calibri" w:hAnsi="Century Gothic" w:cs="Arial"/>
                <w:color w:val="000000" w:themeColor="text1"/>
              </w:rPr>
            </w:pPr>
            <w:r w:rsidRPr="0029340D">
              <w:rPr>
                <w:rFonts w:ascii="Century Gothic" w:eastAsia="Calibri" w:hAnsi="Century Gothic" w:cs="Arial"/>
                <w:b/>
                <w:color w:val="000000" w:themeColor="text1"/>
              </w:rPr>
              <w:t>Radicación:</w:t>
            </w:r>
            <w:r w:rsidRPr="0029340D">
              <w:rPr>
                <w:rFonts w:ascii="Century Gothic" w:eastAsia="Calibri" w:hAnsi="Century Gothic" w:cs="Arial"/>
                <w:color w:val="000000" w:themeColor="text1"/>
              </w:rPr>
              <w:t xml:space="preserve">                              </w:t>
            </w:r>
          </w:p>
        </w:tc>
        <w:tc>
          <w:tcPr>
            <w:tcW w:w="5949" w:type="dxa"/>
          </w:tcPr>
          <w:p w14:paraId="2700B077" w14:textId="29448CC7" w:rsidR="00FA6E3E" w:rsidRPr="0029340D" w:rsidRDefault="00FA6E3E" w:rsidP="00DB3871">
            <w:pPr>
              <w:spacing w:line="276" w:lineRule="auto"/>
              <w:contextualSpacing/>
              <w:jc w:val="both"/>
              <w:rPr>
                <w:rFonts w:ascii="Century Gothic" w:eastAsia="Calibri" w:hAnsi="Century Gothic" w:cs="Arial"/>
                <w:color w:val="000000" w:themeColor="text1"/>
              </w:rPr>
            </w:pPr>
            <w:r w:rsidRPr="0029340D">
              <w:rPr>
                <w:rFonts w:ascii="Century Gothic" w:eastAsia="Calibri" w:hAnsi="Century Gothic" w:cs="Arial"/>
                <w:color w:val="000000" w:themeColor="text1"/>
              </w:rPr>
              <w:t xml:space="preserve">Respuesta a la consulta No. </w:t>
            </w:r>
            <w:r>
              <w:rPr>
                <w:rFonts w:ascii="Century Gothic" w:eastAsia="Calibri" w:hAnsi="Century Gothic" w:cs="Arial"/>
                <w:color w:val="000000" w:themeColor="text1"/>
              </w:rPr>
              <w:t>P202307</w:t>
            </w:r>
            <w:r w:rsidR="006C242A">
              <w:rPr>
                <w:rFonts w:ascii="Century Gothic" w:eastAsia="Calibri" w:hAnsi="Century Gothic" w:cs="Arial"/>
                <w:color w:val="000000" w:themeColor="text1"/>
              </w:rPr>
              <w:t>29013764</w:t>
            </w:r>
          </w:p>
        </w:tc>
      </w:tr>
    </w:tbl>
    <w:p w14:paraId="713C8EA7" w14:textId="77777777" w:rsidR="00FA6E3E" w:rsidRPr="0029340D" w:rsidRDefault="00FA6E3E" w:rsidP="00FA6E3E">
      <w:pPr>
        <w:spacing w:after="0" w:line="276" w:lineRule="auto"/>
        <w:contextualSpacing/>
        <w:jc w:val="both"/>
        <w:rPr>
          <w:rFonts w:ascii="Century Gothic" w:eastAsia="Calibri" w:hAnsi="Century Gothic" w:cs="Arial"/>
          <w:color w:val="000000" w:themeColor="text1"/>
        </w:rPr>
      </w:pPr>
    </w:p>
    <w:p w14:paraId="3B39935B" w14:textId="0EB2DCA0" w:rsidR="00FA6E3E" w:rsidRPr="0029340D" w:rsidRDefault="00FA6E3E" w:rsidP="00FA6E3E">
      <w:pPr>
        <w:spacing w:after="0"/>
        <w:jc w:val="both"/>
        <w:rPr>
          <w:rFonts w:ascii="Century Gothic" w:hAnsi="Century Gothic" w:cs="Arial"/>
          <w:lang w:val="es-MX"/>
        </w:rPr>
      </w:pPr>
      <w:r w:rsidRPr="0029340D">
        <w:rPr>
          <w:rFonts w:ascii="Century Gothic" w:eastAsia="Calibri" w:hAnsi="Century Gothic" w:cs="Arial"/>
          <w:color w:val="000000" w:themeColor="text1"/>
        </w:rPr>
        <w:t xml:space="preserve">Respetado </w:t>
      </w:r>
      <w:r w:rsidRPr="0029340D">
        <w:rPr>
          <w:rFonts w:ascii="Century Gothic" w:hAnsi="Century Gothic" w:cs="Arial"/>
          <w:lang w:val="es-MX"/>
        </w:rPr>
        <w:t>Señor</w:t>
      </w:r>
      <w:r>
        <w:rPr>
          <w:rFonts w:ascii="Century Gothic" w:hAnsi="Century Gothic" w:cs="Arial"/>
          <w:lang w:val="es-MX"/>
        </w:rPr>
        <w:t xml:space="preserve"> </w:t>
      </w:r>
      <w:r w:rsidR="006C242A">
        <w:rPr>
          <w:rFonts w:ascii="Century Gothic" w:hAnsi="Century Gothic" w:cs="Arial"/>
          <w:lang w:val="es-MX"/>
        </w:rPr>
        <w:t>Bejarano</w:t>
      </w:r>
      <w:r w:rsidRPr="0029340D">
        <w:rPr>
          <w:rFonts w:ascii="Century Gothic" w:hAnsi="Century Gothic" w:cs="Arial"/>
          <w:lang w:val="es-MX"/>
        </w:rPr>
        <w:t>,</w:t>
      </w:r>
    </w:p>
    <w:p w14:paraId="2AD6D91C" w14:textId="77777777" w:rsidR="00FA6E3E" w:rsidRPr="0029340D" w:rsidRDefault="00FA6E3E" w:rsidP="00FA6E3E">
      <w:pPr>
        <w:spacing w:after="0"/>
        <w:jc w:val="both"/>
        <w:rPr>
          <w:rFonts w:ascii="Century Gothic" w:eastAsia="Calibri" w:hAnsi="Century Gothic" w:cs="Arial"/>
          <w:color w:val="000000" w:themeColor="text1"/>
        </w:rPr>
      </w:pPr>
    </w:p>
    <w:p w14:paraId="0F53D2DA" w14:textId="3D966180" w:rsidR="00FA6E3E" w:rsidRPr="0029340D" w:rsidRDefault="00FA6E3E" w:rsidP="00FA6E3E">
      <w:pPr>
        <w:pStyle w:val="Prrafodelista"/>
        <w:spacing w:after="0" w:line="276" w:lineRule="auto"/>
        <w:ind w:left="0"/>
        <w:jc w:val="both"/>
        <w:rPr>
          <w:rFonts w:ascii="Century Gothic" w:eastAsia="Calibri" w:hAnsi="Century Gothic" w:cs="Arial"/>
          <w:lang w:val="es-ES_tradnl"/>
        </w:rPr>
      </w:pPr>
      <w:r w:rsidRPr="0029340D">
        <w:rPr>
          <w:rFonts w:ascii="Century Gothic" w:eastAsia="Calibri" w:hAnsi="Century Gothic" w:cs="Arial"/>
          <w:lang w:val="es-ES_tradnl"/>
        </w:rPr>
        <w:t xml:space="preserve">En ejercicio de la competencia otorgada por </w:t>
      </w:r>
      <w:r w:rsidRPr="0029340D">
        <w:rPr>
          <w:rFonts w:ascii="Century Gothic" w:eastAsia="Calibri" w:hAnsi="Century Gothic" w:cs="Arial"/>
          <w:color w:val="000000" w:themeColor="text1"/>
          <w:lang w:val="es-ES_tradnl"/>
        </w:rPr>
        <w:t>el numeral 8 del artículo 11 y el numeral 5 del artículo 3 del Decreto Ley 4170 de 2011</w:t>
      </w:r>
      <w:r w:rsidRPr="0029340D">
        <w:rPr>
          <w:rFonts w:ascii="Century Gothic" w:eastAsia="Calibri" w:hAnsi="Century Gothic" w:cs="Arial"/>
          <w:lang w:val="es-ES_tradnl"/>
        </w:rPr>
        <w:t xml:space="preserve">, la Agencia Nacional de Contratación Pública − Colombia Compra Eficiente responde su consulta </w:t>
      </w:r>
      <w:r>
        <w:rPr>
          <w:rFonts w:ascii="Century Gothic" w:eastAsia="Calibri" w:hAnsi="Century Gothic" w:cs="Arial"/>
          <w:lang w:val="es-ES_tradnl"/>
        </w:rPr>
        <w:t>d</w:t>
      </w:r>
      <w:r w:rsidRPr="0029340D">
        <w:rPr>
          <w:rFonts w:ascii="Century Gothic" w:eastAsia="Calibri" w:hAnsi="Century Gothic" w:cs="Arial"/>
          <w:lang w:val="es-CO"/>
        </w:rPr>
        <w:t>el</w:t>
      </w:r>
      <w:r w:rsidR="000B6284">
        <w:rPr>
          <w:rFonts w:ascii="Century Gothic" w:eastAsia="Calibri" w:hAnsi="Century Gothic" w:cs="Arial"/>
          <w:lang w:val="es-CO"/>
        </w:rPr>
        <w:t xml:space="preserve"> 28</w:t>
      </w:r>
      <w:r>
        <w:rPr>
          <w:rFonts w:ascii="Century Gothic" w:eastAsia="Calibri" w:hAnsi="Century Gothic" w:cs="Arial"/>
          <w:lang w:val="es-CO"/>
        </w:rPr>
        <w:t xml:space="preserve"> de juli</w:t>
      </w:r>
      <w:r w:rsidRPr="0029340D">
        <w:rPr>
          <w:rFonts w:ascii="Century Gothic" w:eastAsia="Calibri" w:hAnsi="Century Gothic" w:cs="Arial"/>
          <w:lang w:val="es-CO"/>
        </w:rPr>
        <w:t xml:space="preserve">o de 2023. </w:t>
      </w:r>
    </w:p>
    <w:p w14:paraId="1DCCBA35" w14:textId="77777777" w:rsidR="00FA6E3E" w:rsidRPr="0029340D" w:rsidRDefault="00FA6E3E" w:rsidP="00FA6E3E">
      <w:pPr>
        <w:pStyle w:val="Prrafodelista"/>
        <w:spacing w:after="0" w:line="276" w:lineRule="auto"/>
        <w:ind w:left="0"/>
        <w:jc w:val="both"/>
        <w:rPr>
          <w:rFonts w:ascii="Century Gothic" w:eastAsia="Calibri" w:hAnsi="Century Gothic" w:cs="Arial"/>
          <w:color w:val="000000" w:themeColor="text1"/>
          <w:lang w:val="es-ES_tradnl"/>
        </w:rPr>
      </w:pPr>
    </w:p>
    <w:p w14:paraId="521041E5" w14:textId="77777777" w:rsidR="00FA6E3E" w:rsidRPr="0029340D" w:rsidRDefault="00FA6E3E" w:rsidP="00FA6E3E">
      <w:pPr>
        <w:tabs>
          <w:tab w:val="left" w:pos="0"/>
        </w:tabs>
        <w:spacing w:after="0" w:line="276" w:lineRule="auto"/>
        <w:contextualSpacing/>
        <w:jc w:val="both"/>
        <w:rPr>
          <w:rFonts w:ascii="Century Gothic" w:eastAsia="Calibri" w:hAnsi="Century Gothic" w:cs="Arial"/>
          <w:b/>
          <w:color w:val="000000" w:themeColor="text1"/>
        </w:rPr>
      </w:pPr>
      <w:r w:rsidRPr="0029340D">
        <w:rPr>
          <w:rFonts w:ascii="Century Gothic" w:eastAsia="Calibri" w:hAnsi="Century Gothic" w:cs="Arial"/>
          <w:b/>
          <w:color w:val="000000" w:themeColor="text1"/>
        </w:rPr>
        <w:t>1. Problema planteado</w:t>
      </w:r>
    </w:p>
    <w:p w14:paraId="54BCC256" w14:textId="77777777" w:rsidR="00FA6E3E" w:rsidRPr="0029340D" w:rsidRDefault="00FA6E3E" w:rsidP="00FA6E3E">
      <w:pPr>
        <w:spacing w:after="0" w:line="276" w:lineRule="auto"/>
        <w:contextualSpacing/>
        <w:jc w:val="both"/>
        <w:rPr>
          <w:rFonts w:ascii="Century Gothic" w:eastAsia="Calibri" w:hAnsi="Century Gothic" w:cs="Arial"/>
          <w:color w:val="000000" w:themeColor="text1"/>
        </w:rPr>
      </w:pPr>
    </w:p>
    <w:p w14:paraId="68783668" w14:textId="6D7FDB7C" w:rsidR="00FA6E3E" w:rsidRPr="0029340D" w:rsidRDefault="00FA6E3E" w:rsidP="00FA6E3E">
      <w:pPr>
        <w:spacing w:after="0" w:line="276" w:lineRule="auto"/>
        <w:contextualSpacing/>
        <w:jc w:val="both"/>
        <w:rPr>
          <w:rFonts w:ascii="Century Gothic" w:eastAsia="Calibri" w:hAnsi="Century Gothic" w:cs="Arial"/>
        </w:rPr>
      </w:pPr>
      <w:r w:rsidRPr="0029340D">
        <w:rPr>
          <w:rFonts w:ascii="Century Gothic" w:eastAsia="Calibri" w:hAnsi="Century Gothic" w:cs="Arial"/>
        </w:rPr>
        <w:t>Usted realiza la</w:t>
      </w:r>
      <w:r w:rsidR="002F0D3F">
        <w:rPr>
          <w:rFonts w:ascii="Century Gothic" w:eastAsia="Calibri" w:hAnsi="Century Gothic" w:cs="Arial"/>
        </w:rPr>
        <w:t>s siguientes preguntas con base a</w:t>
      </w:r>
      <w:r w:rsidR="00231A72">
        <w:rPr>
          <w:rFonts w:ascii="Century Gothic" w:eastAsia="Calibri" w:hAnsi="Century Gothic" w:cs="Arial"/>
        </w:rPr>
        <w:t xml:space="preserve"> los numerales 5 y 6 del artículo 2.2.1.2.1.5.2. del Decreto 1082 de 2015, sobre el procedimiento de mínima cuantía:</w:t>
      </w:r>
    </w:p>
    <w:p w14:paraId="398F2B0E" w14:textId="77777777" w:rsidR="00E6147B" w:rsidRPr="00E6147B" w:rsidRDefault="00FA6E3E" w:rsidP="00E6147B">
      <w:pPr>
        <w:pStyle w:val="NormalWeb"/>
        <w:ind w:left="709" w:right="709"/>
        <w:jc w:val="both"/>
        <w:rPr>
          <w:rFonts w:ascii="Century Gothic" w:hAnsi="Century Gothic"/>
          <w:sz w:val="21"/>
          <w:szCs w:val="21"/>
        </w:rPr>
      </w:pPr>
      <w:bookmarkStart w:id="2" w:name="_Hlk136419030"/>
      <w:r w:rsidRPr="00E6147B">
        <w:rPr>
          <w:rFonts w:ascii="Century Gothic" w:hAnsi="Century Gothic" w:cs="Arial"/>
          <w:i/>
          <w:sz w:val="21"/>
          <w:szCs w:val="21"/>
        </w:rPr>
        <w:t>“</w:t>
      </w:r>
      <w:r w:rsidR="00E6147B" w:rsidRPr="00E6147B">
        <w:rPr>
          <w:rFonts w:ascii="Century Gothic" w:hAnsi="Century Gothic"/>
          <w:sz w:val="21"/>
          <w:szCs w:val="21"/>
        </w:rPr>
        <w:t xml:space="preserve">¿Puede entenderse y/o aplicarse que el termino preclusivo de que habla el numeral 5, es el mismo traslado del informe de evaluación del numeral 6? Y sin son distintos, ¿cómo es su aplicación en la práctica? </w:t>
      </w:r>
    </w:p>
    <w:p w14:paraId="3E139459" w14:textId="3671CC4F" w:rsidR="00FA6E3E" w:rsidRPr="00E6147B" w:rsidRDefault="00343D4B" w:rsidP="00E6147B">
      <w:pPr>
        <w:pStyle w:val="NormalWeb"/>
        <w:ind w:left="709" w:right="709"/>
        <w:jc w:val="both"/>
        <w:rPr>
          <w:rFonts w:ascii="Century Gothic" w:hAnsi="Century Gothic" w:cs="Arial"/>
          <w:i/>
          <w:sz w:val="21"/>
          <w:szCs w:val="21"/>
        </w:rPr>
      </w:pPr>
      <w:r w:rsidRPr="00E6147B">
        <w:rPr>
          <w:rFonts w:ascii="Century Gothic" w:hAnsi="Century Gothic"/>
          <w:sz w:val="21"/>
          <w:szCs w:val="21"/>
        </w:rPr>
        <w:t>¿Si</w:t>
      </w:r>
      <w:r w:rsidR="00E6147B" w:rsidRPr="00E6147B">
        <w:rPr>
          <w:rFonts w:ascii="Century Gothic" w:hAnsi="Century Gothic"/>
          <w:sz w:val="21"/>
          <w:szCs w:val="21"/>
        </w:rPr>
        <w:t xml:space="preserve"> al oferta de menor precio no cumple, se deben evaluar de una vez, es decir, en el mismo informe, las ofertas que le siguen a la de menor precio, para posteriormente concederle un traslado común a todas? o si por el contrario; ¿una vez evaluada la oferta de menor precio, si esta no cumple, se le debe otorgar un término solo a este proponente, para que subsane, y de no subsanar y ser descartado, ahí si se seguiría con la evaluación con el segundo mejor precio</w:t>
      </w:r>
      <w:proofErr w:type="gramStart"/>
      <w:r w:rsidR="00E6147B" w:rsidRPr="00E6147B">
        <w:rPr>
          <w:rFonts w:ascii="Century Gothic" w:hAnsi="Century Gothic"/>
          <w:sz w:val="21"/>
          <w:szCs w:val="21"/>
        </w:rPr>
        <w:t xml:space="preserve">? </w:t>
      </w:r>
      <w:r w:rsidR="00FA6E3E" w:rsidRPr="00E6147B">
        <w:rPr>
          <w:rFonts w:ascii="Century Gothic" w:hAnsi="Century Gothic" w:cs="Arial"/>
          <w:i/>
          <w:sz w:val="21"/>
          <w:szCs w:val="21"/>
        </w:rPr>
        <w:t>”</w:t>
      </w:r>
      <w:proofErr w:type="gramEnd"/>
      <w:r w:rsidR="00FA6E3E" w:rsidRPr="00E6147B">
        <w:rPr>
          <w:rFonts w:ascii="Century Gothic" w:hAnsi="Century Gothic" w:cs="Arial"/>
          <w:i/>
          <w:sz w:val="21"/>
          <w:szCs w:val="21"/>
        </w:rPr>
        <w:t xml:space="preserve"> (sic)</w:t>
      </w:r>
    </w:p>
    <w:p w14:paraId="102EE530" w14:textId="77777777" w:rsidR="00FA6E3E" w:rsidRPr="0029340D" w:rsidRDefault="00FA6E3E" w:rsidP="00FA6E3E">
      <w:pPr>
        <w:autoSpaceDE w:val="0"/>
        <w:autoSpaceDN w:val="0"/>
        <w:adjustRightInd w:val="0"/>
        <w:spacing w:after="0" w:line="240" w:lineRule="auto"/>
        <w:ind w:left="709" w:right="709"/>
        <w:jc w:val="both"/>
        <w:rPr>
          <w:rFonts w:ascii="Century Gothic" w:eastAsia="Calibri" w:hAnsi="Century Gothic" w:cs="Arial"/>
          <w:sz w:val="21"/>
          <w:szCs w:val="21"/>
        </w:rPr>
      </w:pPr>
    </w:p>
    <w:bookmarkEnd w:id="2"/>
    <w:p w14:paraId="721B2785" w14:textId="77777777" w:rsidR="00FA6E3E" w:rsidRPr="0029340D" w:rsidRDefault="00FA6E3E" w:rsidP="00FA6E3E">
      <w:pPr>
        <w:spacing w:after="0" w:line="276" w:lineRule="auto"/>
        <w:contextualSpacing/>
        <w:jc w:val="both"/>
        <w:rPr>
          <w:rFonts w:ascii="Century Gothic" w:eastAsia="Calibri" w:hAnsi="Century Gothic" w:cs="Arial"/>
          <w:color w:val="000000" w:themeColor="text1"/>
        </w:rPr>
      </w:pPr>
      <w:r w:rsidRPr="0029340D">
        <w:rPr>
          <w:rFonts w:ascii="Century Gothic" w:eastAsia="Calibri" w:hAnsi="Century Gothic" w:cs="Arial"/>
          <w:b/>
          <w:color w:val="000000" w:themeColor="text1"/>
        </w:rPr>
        <w:t>2. Consideraciones</w:t>
      </w:r>
    </w:p>
    <w:p w14:paraId="1C39AB0A" w14:textId="676F7367" w:rsidR="006203DD" w:rsidRDefault="00FA6E3E" w:rsidP="006203DD">
      <w:pPr>
        <w:spacing w:before="120" w:after="120"/>
        <w:jc w:val="both"/>
        <w:rPr>
          <w:rFonts w:ascii="Century Gothic" w:eastAsia="Calibri" w:hAnsi="Century Gothic" w:cs="Arial"/>
          <w:color w:val="000000" w:themeColor="text1"/>
          <w:lang w:val="es-ES"/>
        </w:rPr>
      </w:pPr>
      <w:r>
        <w:rPr>
          <w:rFonts w:ascii="Century Gothic" w:eastAsia="Calibri" w:hAnsi="Century Gothic" w:cs="Arial"/>
          <w:color w:val="000000"/>
          <w:szCs w:val="24"/>
          <w:lang w:val="es-ES_tradnl" w:eastAsia="es-ES_tradnl"/>
        </w:rPr>
        <w:t>L</w:t>
      </w:r>
      <w:r w:rsidRPr="00FE1B85">
        <w:rPr>
          <w:rFonts w:ascii="Century Gothic" w:eastAsia="Calibri" w:hAnsi="Century Gothic" w:cs="Arial"/>
          <w:color w:val="000000"/>
          <w:szCs w:val="24"/>
          <w:lang w:val="es-ES_tradnl" w:eastAsia="es-ES_tradnl"/>
        </w:rPr>
        <w:t>a Agencia Nacional de Contratación Pública – Colombia Compra Eficiente, resuelve consultas sobre la aplicación de normas de carácter general en materia de compras y contratación pública relacionadas en los artículos previamente citados</w:t>
      </w:r>
      <w:r w:rsidRPr="00FE1B85">
        <w:rPr>
          <w:rStyle w:val="Refdenotaalpie"/>
          <w:rFonts w:ascii="Century Gothic" w:hAnsi="Century Gothic" w:cs="Arial"/>
          <w:lang w:val="es-ES_tradnl"/>
        </w:rPr>
        <w:footnoteReference w:id="2"/>
      </w:r>
      <w:r w:rsidRPr="00FE1B85">
        <w:rPr>
          <w:rFonts w:ascii="Century Gothic" w:eastAsia="Calibri" w:hAnsi="Century Gothic" w:cs="Arial"/>
          <w:color w:val="000000"/>
          <w:szCs w:val="24"/>
          <w:lang w:val="es-ES_tradnl" w:eastAsia="es-ES_tradnl"/>
        </w:rPr>
        <w:t>. En ese sentido</w:t>
      </w:r>
      <w:r w:rsidRPr="00FE1B85">
        <w:rPr>
          <w:rFonts w:ascii="Century Gothic" w:eastAsia="Calibri" w:hAnsi="Century Gothic" w:cs="Arial"/>
          <w:color w:val="000000" w:themeColor="text1"/>
          <w:lang w:val="es-ES"/>
        </w:rPr>
        <w:t>, esta Subdirección dentro de los límites de sus atribuciones resolverá su consulta previ</w:t>
      </w:r>
      <w:r>
        <w:rPr>
          <w:rFonts w:ascii="Century Gothic" w:eastAsia="Calibri" w:hAnsi="Century Gothic" w:cs="Arial"/>
          <w:color w:val="000000" w:themeColor="text1"/>
          <w:lang w:val="es-ES"/>
        </w:rPr>
        <w:t>o</w:t>
      </w:r>
      <w:r w:rsidRPr="00FE1B85">
        <w:rPr>
          <w:rFonts w:ascii="Century Gothic" w:eastAsia="Calibri" w:hAnsi="Century Gothic" w:cs="Arial"/>
          <w:color w:val="000000" w:themeColor="text1"/>
          <w:lang w:val="es-ES"/>
        </w:rPr>
        <w:t xml:space="preserve"> análisis de </w:t>
      </w:r>
      <w:r w:rsidRPr="0029340D">
        <w:rPr>
          <w:rFonts w:ascii="Century Gothic" w:hAnsi="Century Gothic" w:cs="Arial"/>
          <w:color w:val="000000" w:themeColor="text1"/>
          <w:lang w:eastAsia="es-MX"/>
        </w:rPr>
        <w:t>los siguientes temas: i)</w:t>
      </w:r>
      <w:r w:rsidR="00202CF7">
        <w:rPr>
          <w:rFonts w:ascii="Century Gothic" w:hAnsi="Century Gothic" w:cs="Arial"/>
          <w:color w:val="000000" w:themeColor="text1"/>
          <w:lang w:eastAsia="es-MX"/>
        </w:rPr>
        <w:t xml:space="preserve"> Subsanación de ofertas</w:t>
      </w:r>
      <w:r w:rsidR="006E29BF">
        <w:rPr>
          <w:rFonts w:ascii="Century Gothic" w:eastAsia="Calibri" w:hAnsi="Century Gothic" w:cs="Arial"/>
        </w:rPr>
        <w:t>,</w:t>
      </w:r>
      <w:r w:rsidR="006E29BF">
        <w:rPr>
          <w:rFonts w:ascii="Century Gothic" w:eastAsia="Calibri" w:hAnsi="Century Gothic" w:cs="Arial"/>
          <w:color w:val="000000" w:themeColor="text1"/>
          <w:lang w:val="es-ES" w:eastAsia="es-MX"/>
        </w:rPr>
        <w:t xml:space="preserve"> y</w:t>
      </w:r>
      <w:r w:rsidR="004F2907">
        <w:rPr>
          <w:rFonts w:ascii="Century Gothic" w:eastAsia="Calibri" w:hAnsi="Century Gothic" w:cs="Arial"/>
          <w:color w:val="000000" w:themeColor="text1"/>
          <w:lang w:val="es-ES" w:eastAsia="es-MX"/>
        </w:rPr>
        <w:t>,</w:t>
      </w:r>
      <w:r w:rsidR="00FF3840">
        <w:rPr>
          <w:rFonts w:ascii="Century Gothic" w:eastAsia="Calibri" w:hAnsi="Century Gothic" w:cs="Arial"/>
          <w:color w:val="000000" w:themeColor="text1"/>
          <w:lang w:val="es-ES" w:eastAsia="es-MX"/>
        </w:rPr>
        <w:t xml:space="preserve"> </w:t>
      </w:r>
      <w:proofErr w:type="spellStart"/>
      <w:r w:rsidRPr="0029340D">
        <w:rPr>
          <w:rFonts w:ascii="Century Gothic" w:eastAsia="Calibri" w:hAnsi="Century Gothic" w:cs="Arial"/>
          <w:color w:val="000000" w:themeColor="text1"/>
          <w:lang w:val="es-ES" w:eastAsia="es-MX"/>
        </w:rPr>
        <w:t>ii</w:t>
      </w:r>
      <w:proofErr w:type="spellEnd"/>
      <w:r w:rsidRPr="0029340D">
        <w:rPr>
          <w:rFonts w:ascii="Century Gothic" w:eastAsia="Calibri" w:hAnsi="Century Gothic" w:cs="Arial"/>
          <w:color w:val="000000" w:themeColor="text1"/>
          <w:lang w:val="es-ES" w:eastAsia="es-MX"/>
        </w:rPr>
        <w:t>)</w:t>
      </w:r>
      <w:r>
        <w:rPr>
          <w:rFonts w:ascii="Century Gothic" w:eastAsia="Calibri" w:hAnsi="Century Gothic" w:cs="Arial"/>
          <w:color w:val="000000" w:themeColor="text1"/>
          <w:lang w:val="es-ES" w:eastAsia="es-MX"/>
        </w:rPr>
        <w:t xml:space="preserve"> </w:t>
      </w:r>
      <w:r w:rsidR="006203DD">
        <w:rPr>
          <w:rFonts w:ascii="Century Gothic" w:hAnsi="Century Gothic" w:cs="Arial"/>
          <w:color w:val="000000" w:themeColor="text1"/>
          <w:lang w:eastAsia="es-MX"/>
        </w:rPr>
        <w:t>el t</w:t>
      </w:r>
      <w:r w:rsidR="006203DD">
        <w:rPr>
          <w:rFonts w:ascii="Century Gothic" w:eastAsia="Calibri" w:hAnsi="Century Gothic" w:cs="Arial"/>
        </w:rPr>
        <w:t>érmino de traslado del informe de evaluación y subsanación en los procesos de selección por mínima cuantía</w:t>
      </w:r>
      <w:r w:rsidR="00825CFB">
        <w:rPr>
          <w:rFonts w:ascii="Century Gothic" w:eastAsia="Calibri" w:hAnsi="Century Gothic" w:cs="Arial"/>
        </w:rPr>
        <w:t>.</w:t>
      </w:r>
      <w:r w:rsidR="006203DD" w:rsidRPr="0029340D">
        <w:rPr>
          <w:rFonts w:ascii="Century Gothic" w:eastAsia="Calibri" w:hAnsi="Century Gothic" w:cs="Arial"/>
          <w:color w:val="000000" w:themeColor="text1"/>
          <w:lang w:val="es-ES"/>
        </w:rPr>
        <w:t xml:space="preserve"> </w:t>
      </w:r>
    </w:p>
    <w:p w14:paraId="127FB7FC" w14:textId="7F2DD462" w:rsidR="00FA6E3E" w:rsidRDefault="00FA6E3E" w:rsidP="006203DD">
      <w:pPr>
        <w:spacing w:before="120" w:after="120"/>
        <w:ind w:firstLine="708"/>
        <w:jc w:val="both"/>
        <w:rPr>
          <w:rFonts w:ascii="Century Gothic" w:hAnsi="Century Gothic" w:cs="Arial"/>
          <w:color w:val="000000" w:themeColor="text1"/>
          <w:lang w:val="es-ES"/>
        </w:rPr>
      </w:pPr>
      <w:r w:rsidRPr="0029340D">
        <w:rPr>
          <w:rFonts w:ascii="Century Gothic" w:eastAsia="Calibri" w:hAnsi="Century Gothic" w:cs="Arial"/>
          <w:color w:val="000000" w:themeColor="text1"/>
          <w:lang w:val="es-ES"/>
        </w:rPr>
        <w:t xml:space="preserve">Sobre </w:t>
      </w:r>
      <w:r w:rsidRPr="0029340D">
        <w:rPr>
          <w:rFonts w:ascii="Century Gothic" w:hAnsi="Century Gothic" w:cs="Arial"/>
          <w:lang w:val="es-ES_tradnl"/>
        </w:rPr>
        <w:t xml:space="preserve">la regla de </w:t>
      </w:r>
      <w:proofErr w:type="spellStart"/>
      <w:r w:rsidRPr="0029340D">
        <w:rPr>
          <w:rFonts w:ascii="Century Gothic" w:hAnsi="Century Gothic" w:cs="Arial"/>
          <w:lang w:val="es-ES_tradnl"/>
        </w:rPr>
        <w:t>subsanabilida</w:t>
      </w:r>
      <w:r w:rsidR="006E29BF">
        <w:rPr>
          <w:rFonts w:ascii="Century Gothic" w:hAnsi="Century Gothic" w:cs="Arial"/>
          <w:lang w:val="es-ES_tradnl"/>
        </w:rPr>
        <w:t>d</w:t>
      </w:r>
      <w:proofErr w:type="spellEnd"/>
      <w:r w:rsidRPr="0029340D">
        <w:rPr>
          <w:rFonts w:ascii="Century Gothic" w:hAnsi="Century Gothic" w:cs="Arial"/>
          <w:lang w:val="es-ES_tradnl"/>
        </w:rPr>
        <w:t xml:space="preserve"> de la oferta esta entidad unificó </w:t>
      </w:r>
      <w:r w:rsidRPr="0029340D">
        <w:rPr>
          <w:rFonts w:ascii="Century Gothic" w:hAnsi="Century Gothic" w:cs="Arial"/>
        </w:rPr>
        <w:t>concepto CU — 060 de 16 de enero de 2020, posición que ha sido reiterada en los 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C-250 del 2 de junio de 2021 C-568 del 11 de octubre de 2021, C-728 del 25 de enero de 2022, C-140 del 28 de marzo de 2022, C-285 del 20 de mayo de 2022, C-416 del 30 de junio de 2022, C-431 del 7 de julio de 2022, C-470 del 25 de julio de 2022, C-505 de 8 de agosto de 2022, C-681 de 19 de octubre de 2022</w:t>
      </w:r>
      <w:r>
        <w:rPr>
          <w:rFonts w:ascii="Century Gothic" w:hAnsi="Century Gothic" w:cs="Arial"/>
        </w:rPr>
        <w:t xml:space="preserve">, C-793 del 21 de noviembre de 2022, C-882 de 21 de diciembre de 2022, </w:t>
      </w:r>
      <w:r w:rsidRPr="0029340D">
        <w:rPr>
          <w:rFonts w:ascii="Century Gothic" w:hAnsi="Century Gothic" w:cs="Arial"/>
        </w:rPr>
        <w:t>C-216 de 6 de junio de 2023,</w:t>
      </w:r>
      <w:r>
        <w:rPr>
          <w:rFonts w:ascii="Century Gothic" w:hAnsi="Century Gothic" w:cs="Arial"/>
        </w:rPr>
        <w:t xml:space="preserve"> y C-261de 13 de julio de 2023,</w:t>
      </w:r>
      <w:r w:rsidRPr="0029340D">
        <w:rPr>
          <w:rFonts w:ascii="Century Gothic" w:hAnsi="Century Gothic" w:cs="Arial"/>
        </w:rPr>
        <w:t xml:space="preserve"> entre otros</w:t>
      </w:r>
      <w:r>
        <w:rPr>
          <w:rStyle w:val="Refdenotaalpie"/>
          <w:rFonts w:ascii="Century Gothic" w:hAnsi="Century Gothic" w:cs="Arial"/>
        </w:rPr>
        <w:footnoteReference w:id="3"/>
      </w:r>
      <w:r w:rsidRPr="0029340D">
        <w:rPr>
          <w:rFonts w:ascii="Century Gothic" w:hAnsi="Century Gothic" w:cs="Arial"/>
        </w:rPr>
        <w:t>.</w:t>
      </w:r>
      <w:r>
        <w:rPr>
          <w:rFonts w:ascii="Century Gothic" w:hAnsi="Century Gothic" w:cs="Arial"/>
        </w:rPr>
        <w:t xml:space="preserve"> Por su parte, frente a la subsanación en procesos de mínima cuantía, la Agencia emitió el concepto C-877 del 26 de diciembre de 202</w:t>
      </w:r>
      <w:r w:rsidR="00E0744B">
        <w:rPr>
          <w:rFonts w:ascii="Century Gothic" w:hAnsi="Century Gothic" w:cs="Arial"/>
        </w:rPr>
        <w:t>2,</w:t>
      </w:r>
      <w:r>
        <w:rPr>
          <w:rFonts w:ascii="Century Gothic" w:hAnsi="Century Gothic" w:cs="Arial"/>
        </w:rPr>
        <w:t xml:space="preserve"> la respuesta con radicado de salida RS20230623006465 del 22 de junio de 2023</w:t>
      </w:r>
      <w:r w:rsidR="00E0744B">
        <w:rPr>
          <w:rFonts w:ascii="Century Gothic" w:hAnsi="Century Gothic" w:cs="Arial"/>
        </w:rPr>
        <w:t xml:space="preserve"> y el concepto c-333 de 16 de julio de 2023</w:t>
      </w:r>
      <w:r>
        <w:rPr>
          <w:rFonts w:ascii="Century Gothic" w:hAnsi="Century Gothic" w:cs="Arial"/>
        </w:rPr>
        <w:t xml:space="preserve">. </w:t>
      </w:r>
      <w:r w:rsidRPr="0029340D">
        <w:rPr>
          <w:rFonts w:ascii="Century Gothic" w:hAnsi="Century Gothic" w:cs="Arial"/>
          <w:color w:val="000000" w:themeColor="text1"/>
          <w:lang w:val="es-ES"/>
        </w:rPr>
        <w:t xml:space="preserve">La tesis propuesta en estos conceptos </w:t>
      </w:r>
      <w:r>
        <w:rPr>
          <w:rFonts w:ascii="Century Gothic" w:hAnsi="Century Gothic" w:cs="Arial"/>
          <w:color w:val="000000" w:themeColor="text1"/>
          <w:lang w:val="es-ES"/>
        </w:rPr>
        <w:t xml:space="preserve">se </w:t>
      </w:r>
      <w:r w:rsidRPr="0029340D">
        <w:rPr>
          <w:rFonts w:ascii="Century Gothic" w:hAnsi="Century Gothic" w:cs="Arial"/>
          <w:color w:val="000000" w:themeColor="text1"/>
          <w:lang w:val="es-ES"/>
        </w:rPr>
        <w:t>expone a continuación y se complementa en lo pertinente:</w:t>
      </w:r>
    </w:p>
    <w:p w14:paraId="48C1F8B1" w14:textId="77777777" w:rsidR="00FA6E3E" w:rsidRPr="0029340D" w:rsidRDefault="00FA6E3E" w:rsidP="00FA6E3E">
      <w:pPr>
        <w:spacing w:line="276" w:lineRule="auto"/>
        <w:ind w:firstLine="708"/>
        <w:jc w:val="both"/>
        <w:rPr>
          <w:rFonts w:ascii="Century Gothic" w:hAnsi="Century Gothic" w:cs="Arial"/>
          <w:color w:val="000000" w:themeColor="text1"/>
          <w:lang w:val="es-ES"/>
        </w:rPr>
      </w:pPr>
    </w:p>
    <w:p w14:paraId="3E8C6575" w14:textId="530433A2" w:rsidR="00FA6E3E" w:rsidRPr="0029340D" w:rsidRDefault="00FA6E3E" w:rsidP="00FA6E3E">
      <w:pPr>
        <w:spacing w:before="120" w:line="276" w:lineRule="auto"/>
        <w:ind w:firstLine="708"/>
        <w:jc w:val="both"/>
        <w:rPr>
          <w:rFonts w:ascii="Century Gothic" w:eastAsia="Calibri" w:hAnsi="Century Gothic" w:cs="Arial"/>
          <w:color w:val="000000" w:themeColor="text1"/>
        </w:rPr>
      </w:pPr>
      <w:r w:rsidRPr="0029340D">
        <w:rPr>
          <w:rFonts w:ascii="Century Gothic" w:eastAsia="Calibri" w:hAnsi="Century Gothic" w:cs="Arial"/>
          <w:color w:val="000000" w:themeColor="text1"/>
        </w:rPr>
        <w:t>.</w:t>
      </w:r>
    </w:p>
    <w:p w14:paraId="2B1CFD04" w14:textId="77777777" w:rsidR="00FA6E3E" w:rsidRPr="00A5540E" w:rsidRDefault="00FA6E3E" w:rsidP="00FA6E3E">
      <w:pPr>
        <w:pStyle w:val="Prrafodelista"/>
        <w:numPr>
          <w:ilvl w:val="1"/>
          <w:numId w:val="16"/>
        </w:numPr>
        <w:tabs>
          <w:tab w:val="left" w:pos="426"/>
        </w:tabs>
        <w:spacing w:after="0" w:line="276" w:lineRule="auto"/>
        <w:ind w:right="49"/>
        <w:jc w:val="both"/>
        <w:rPr>
          <w:rFonts w:ascii="Century Gothic" w:eastAsia="Calibri" w:hAnsi="Century Gothic" w:cs="Arial"/>
          <w:b/>
        </w:rPr>
      </w:pPr>
      <w:bookmarkStart w:id="3" w:name="_Hlk136958112"/>
      <w:r w:rsidRPr="00A5540E">
        <w:rPr>
          <w:rFonts w:ascii="Century Gothic" w:hAnsi="Century Gothic" w:cs="Arial"/>
          <w:b/>
        </w:rPr>
        <w:t xml:space="preserve">     </w:t>
      </w:r>
      <w:bookmarkEnd w:id="3"/>
      <w:r w:rsidRPr="00A5540E">
        <w:rPr>
          <w:rFonts w:ascii="Century Gothic" w:eastAsia="Calibri" w:hAnsi="Century Gothic" w:cs="Arial"/>
          <w:b/>
          <w:color w:val="000000" w:themeColor="text1"/>
          <w:lang w:eastAsia="es-MX"/>
        </w:rPr>
        <w:t>Subsana</w:t>
      </w:r>
      <w:r>
        <w:rPr>
          <w:rFonts w:ascii="Century Gothic" w:eastAsia="Calibri" w:hAnsi="Century Gothic" w:cs="Arial"/>
          <w:b/>
          <w:color w:val="000000" w:themeColor="text1"/>
          <w:lang w:eastAsia="es-MX"/>
        </w:rPr>
        <w:t>ción</w:t>
      </w:r>
      <w:r w:rsidRPr="00A5540E">
        <w:rPr>
          <w:rFonts w:ascii="Century Gothic" w:eastAsia="Calibri" w:hAnsi="Century Gothic" w:cs="Arial"/>
          <w:b/>
          <w:color w:val="000000" w:themeColor="text1"/>
          <w:lang w:eastAsia="es-MX"/>
        </w:rPr>
        <w:t xml:space="preserve"> de las ofertas</w:t>
      </w:r>
    </w:p>
    <w:p w14:paraId="12234F2F" w14:textId="77777777" w:rsidR="00FA6E3E" w:rsidRPr="0029340D" w:rsidRDefault="00FA6E3E" w:rsidP="00FA6E3E">
      <w:pPr>
        <w:tabs>
          <w:tab w:val="left" w:pos="709"/>
        </w:tabs>
        <w:spacing w:after="0" w:line="276" w:lineRule="auto"/>
        <w:jc w:val="both"/>
        <w:rPr>
          <w:rFonts w:ascii="Century Gothic" w:eastAsia="Calibri" w:hAnsi="Century Gothic" w:cs="Arial"/>
          <w:b/>
        </w:rPr>
      </w:pPr>
    </w:p>
    <w:p w14:paraId="6FA1718C" w14:textId="1F17C819" w:rsidR="00FA6E3E" w:rsidRPr="0029340D" w:rsidRDefault="00FA6E3E" w:rsidP="00FA6E3E">
      <w:pPr>
        <w:spacing w:line="276" w:lineRule="auto"/>
        <w:jc w:val="both"/>
        <w:rPr>
          <w:rFonts w:ascii="Century Gothic" w:hAnsi="Century Gothic" w:cs="Arial"/>
          <w:lang w:val="es-ES_tradnl"/>
        </w:rPr>
      </w:pPr>
      <w:r w:rsidRPr="0029340D">
        <w:rPr>
          <w:rFonts w:ascii="Century Gothic" w:hAnsi="Century Gothic" w:cs="Arial"/>
          <w:lang w:val="es-ES_tradnl"/>
        </w:rPr>
        <w:t xml:space="preserve">Por regla general, la falta de entrega y los defectos, en la acreditación de los requisitos habilitantes de la oferta presentada por los proponentes son aspectos subsanables. La excepción se encuentra en los casos, previstos en la ley, que limitan la </w:t>
      </w:r>
      <w:proofErr w:type="spellStart"/>
      <w:r w:rsidRPr="0029340D">
        <w:rPr>
          <w:rFonts w:ascii="Century Gothic" w:hAnsi="Century Gothic" w:cs="Arial"/>
          <w:lang w:val="es-ES_tradnl"/>
        </w:rPr>
        <w:t>subsanabilidad</w:t>
      </w:r>
      <w:proofErr w:type="spellEnd"/>
      <w:r w:rsidRPr="0029340D">
        <w:rPr>
          <w:rFonts w:ascii="Century Gothic" w:hAnsi="Century Gothic" w:cs="Arial"/>
          <w:lang w:val="es-ES_tradnl"/>
        </w:rPr>
        <w:t xml:space="preserve">, por ejemplo, en la prohibición de permitir la entrega de la garantía de seriedad de la oferta que no fue aportada con la propuesta </w:t>
      </w:r>
      <w:r w:rsidR="006F1A2D">
        <w:rPr>
          <w:rFonts w:ascii="Century Gothic" w:hAnsi="Century Gothic" w:cs="Arial"/>
          <w:lang w:val="es-ES_tradnl"/>
        </w:rPr>
        <w:t>o</w:t>
      </w:r>
      <w:r w:rsidRPr="0029340D">
        <w:rPr>
          <w:rFonts w:ascii="Century Gothic" w:hAnsi="Century Gothic" w:cs="Arial"/>
          <w:lang w:val="es-ES_tradnl"/>
        </w:rPr>
        <w:t xml:space="preserve"> de valer la acreditación de circunstancias ocurridas con posterioridad al cierre del proceso</w:t>
      </w:r>
      <w:r w:rsidR="006F1A2D">
        <w:rPr>
          <w:rFonts w:ascii="Century Gothic" w:hAnsi="Century Gothic" w:cs="Arial"/>
          <w:lang w:val="es-ES_tradnl"/>
        </w:rPr>
        <w:t>, entre otros</w:t>
      </w:r>
      <w:r w:rsidRPr="0029340D">
        <w:rPr>
          <w:rFonts w:ascii="Century Gothic" w:hAnsi="Century Gothic" w:cs="Arial"/>
          <w:lang w:val="es-ES_tradnl"/>
        </w:rPr>
        <w:t xml:space="preserve">. En esta línea, la posibilidad de enmendar, corregir o subsanar los errores en los que se incurre en los documentos contentivos de la oferta es un tema que ha tenido diferentes momentos o etapas en el ordenamiento jurídico colombiano. </w:t>
      </w:r>
    </w:p>
    <w:p w14:paraId="1F8DFFE6" w14:textId="77777777" w:rsidR="00FA6E3E" w:rsidRPr="0029340D" w:rsidRDefault="00FA6E3E" w:rsidP="00FA6E3E">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En un </w:t>
      </w:r>
      <w:r w:rsidRPr="0029340D">
        <w:rPr>
          <w:rFonts w:ascii="Century Gothic" w:hAnsi="Century Gothic" w:cs="Arial"/>
          <w:i/>
          <w:lang w:val="es-ES_tradnl"/>
        </w:rPr>
        <w:t>primer momento</w:t>
      </w:r>
      <w:r w:rsidRPr="0029340D">
        <w:rPr>
          <w:rFonts w:ascii="Century Gothic" w:hAnsi="Century Gothic" w:cs="Arial"/>
          <w:lang w:val="es-ES_tradnl"/>
        </w:rPr>
        <w:t xml:space="preserve">, antes de la entrada en vigor de la Constitución Política de 1991, el régimen jurídico de la </w:t>
      </w:r>
      <w:proofErr w:type="spellStart"/>
      <w:r w:rsidRPr="0029340D">
        <w:rPr>
          <w:rFonts w:ascii="Century Gothic" w:hAnsi="Century Gothic" w:cs="Arial"/>
          <w:lang w:val="es-ES_tradnl"/>
        </w:rPr>
        <w:t>subsanabilidad</w:t>
      </w:r>
      <w:proofErr w:type="spellEnd"/>
      <w:r w:rsidRPr="0029340D">
        <w:rPr>
          <w:rFonts w:ascii="Century Gothic" w:hAnsi="Century Gothic" w:cs="Arial"/>
          <w:lang w:val="es-ES_tradnl"/>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259ECDBC" w14:textId="77777777" w:rsidR="00FA6E3E" w:rsidRPr="0029340D" w:rsidRDefault="00FA6E3E" w:rsidP="00FA6E3E">
      <w:pPr>
        <w:spacing w:before="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En un </w:t>
      </w:r>
      <w:r w:rsidRPr="0029340D">
        <w:rPr>
          <w:rFonts w:ascii="Century Gothic" w:hAnsi="Century Gothic" w:cs="Arial"/>
          <w:i/>
          <w:lang w:val="es-ES_tradnl"/>
        </w:rPr>
        <w:t>segundo momento</w:t>
      </w:r>
      <w:r w:rsidRPr="0029340D">
        <w:rPr>
          <w:rFonts w:ascii="Century Gothic" w:hAnsi="Century Gothic" w:cs="Arial"/>
          <w:lang w:val="es-ES_tradnl"/>
        </w:rPr>
        <w:t xml:space="preserve"> se expidió la Ley 80 de 1993, bajo el nuevo paradigma que supuso la Constitución de 1991, particularmente en la forma como se relaciona lo formal y lo sustancial en las actuaciones judiciales y administrativas. Este cambio quedó consignado en el artículo 228, que introdujo un principio de supremacía o prevalencia del derecho sustancial sobre lo procedimental. En este nuevo escenario constitucional, el numeral 15 del artículo 25 de la Ley 80 de 1993 dispuso lo siguiente: </w:t>
      </w:r>
    </w:p>
    <w:p w14:paraId="58475B18" w14:textId="77777777" w:rsidR="00FA6E3E" w:rsidRPr="0029340D" w:rsidRDefault="00FA6E3E" w:rsidP="00FA6E3E">
      <w:pPr>
        <w:spacing w:after="120" w:line="240" w:lineRule="auto"/>
        <w:ind w:left="709" w:right="709"/>
        <w:jc w:val="both"/>
        <w:rPr>
          <w:rFonts w:ascii="Century Gothic" w:hAnsi="Century Gothic" w:cs="Arial"/>
          <w:sz w:val="21"/>
          <w:szCs w:val="21"/>
          <w:lang w:val="es-ES_tradnl"/>
        </w:rPr>
      </w:pPr>
      <w:r w:rsidRPr="0029340D">
        <w:rPr>
          <w:rFonts w:ascii="Century Gothic" w:eastAsia="Arial" w:hAnsi="Century Gothic" w:cs="Arial"/>
          <w:color w:val="000000"/>
          <w:sz w:val="21"/>
          <w:szCs w:val="21"/>
        </w:rPr>
        <w:t>“</w:t>
      </w:r>
      <w:r w:rsidRPr="0029340D">
        <w:rPr>
          <w:rFonts w:ascii="Century Gothic" w:hAnsi="Century Gothic" w:cs="Arial"/>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447E9198" w14:textId="77777777" w:rsidR="00FA6E3E" w:rsidRPr="0029340D" w:rsidRDefault="00FA6E3E" w:rsidP="00FA6E3E">
      <w:pPr>
        <w:spacing w:before="120" w:line="240" w:lineRule="auto"/>
        <w:ind w:left="709" w:right="709"/>
        <w:jc w:val="both"/>
        <w:rPr>
          <w:rFonts w:ascii="Century Gothic" w:hAnsi="Century Gothic" w:cs="Arial"/>
          <w:sz w:val="21"/>
          <w:szCs w:val="21"/>
          <w:lang w:val="es-ES_tradnl"/>
        </w:rPr>
      </w:pPr>
      <w:r w:rsidRPr="0029340D">
        <w:rPr>
          <w:rFonts w:ascii="Century Gothic" w:hAnsi="Century Gothic" w:cs="Arial"/>
          <w:sz w:val="21"/>
          <w:szCs w:val="21"/>
          <w:lang w:val="es-ES_tradnl"/>
        </w:rPr>
        <w:t>La ausencia de requisitos o la falta de documentos referentes a la futura contratación o al proponente, no necesarios para la comparación de propuestas, no servirá de título suficiente para el rechazo de los ofrecimientos hechos.</w:t>
      </w:r>
      <w:r w:rsidRPr="0029340D">
        <w:rPr>
          <w:rFonts w:ascii="Century Gothic" w:eastAsia="Arial" w:hAnsi="Century Gothic" w:cs="Arial"/>
          <w:i/>
          <w:color w:val="000000"/>
          <w:sz w:val="21"/>
          <w:szCs w:val="21"/>
        </w:rPr>
        <w:t>”</w:t>
      </w:r>
      <w:r w:rsidRPr="0029340D">
        <w:rPr>
          <w:rFonts w:ascii="Century Gothic" w:hAnsi="Century Gothic" w:cs="Arial"/>
          <w:sz w:val="21"/>
          <w:szCs w:val="21"/>
          <w:lang w:val="es-ES_tradnl"/>
        </w:rPr>
        <w:t xml:space="preserve"> </w:t>
      </w:r>
    </w:p>
    <w:p w14:paraId="46A440F2" w14:textId="77777777" w:rsidR="00FA6E3E" w:rsidRPr="0029340D" w:rsidRDefault="00FA6E3E" w:rsidP="00FA6E3E">
      <w:pPr>
        <w:spacing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Bajo el amparo de esta norma, el régimen jurídico de </w:t>
      </w:r>
      <w:proofErr w:type="spellStart"/>
      <w:r w:rsidRPr="0029340D">
        <w:rPr>
          <w:rFonts w:ascii="Century Gothic" w:hAnsi="Century Gothic" w:cs="Arial"/>
          <w:lang w:val="es-ES_tradnl"/>
        </w:rPr>
        <w:t>subsanabilidad</w:t>
      </w:r>
      <w:proofErr w:type="spellEnd"/>
      <w:r w:rsidRPr="0029340D">
        <w:rPr>
          <w:rFonts w:ascii="Century Gothic" w:hAnsi="Century Gothic" w:cs="Arial"/>
          <w:lang w:val="es-ES_tradnl"/>
        </w:rPr>
        <w:t xml:space="preserve"> de las ofertas sufre un cambio fundamental, pues ya no era posible rechazar las ofertas por falta de requisitos o documentos que no fueran “</w:t>
      </w:r>
      <w:r w:rsidRPr="0029340D">
        <w:rPr>
          <w:rFonts w:ascii="Century Gothic" w:hAnsi="Century Gothic" w:cs="Arial"/>
          <w:i/>
          <w:lang w:val="es-ES_tradnl"/>
        </w:rPr>
        <w:t>necesarios para la comparación de propuestas”.</w:t>
      </w:r>
      <w:r w:rsidRPr="0029340D">
        <w:rPr>
          <w:rFonts w:ascii="Century Gothic" w:hAnsi="Century Gothic" w:cs="Arial"/>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265C5DC1" w14:textId="7F9A2C88" w:rsidR="00FA6E3E" w:rsidRPr="0029340D" w:rsidRDefault="00FA6E3E" w:rsidP="00FA6E3E">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Esta norma debía leerse en conjunto con otras de la Ley 80 de 1993, particularmente con el artículo 30.7</w:t>
      </w:r>
      <w:r w:rsidRPr="0029340D">
        <w:rPr>
          <w:rFonts w:ascii="Century Gothic" w:hAnsi="Century Gothic" w:cs="Arial"/>
          <w:vertAlign w:val="superscript"/>
          <w:lang w:val="es-ES_tradnl"/>
        </w:rPr>
        <w:footnoteReference w:id="4"/>
      </w:r>
      <w:r w:rsidRPr="0029340D">
        <w:rPr>
          <w:rFonts w:ascii="Century Gothic" w:hAnsi="Century Gothic" w:cs="Arial"/>
          <w:lang w:val="es-ES_tradnl"/>
        </w:rPr>
        <w:t>, que ordena a la entidad señalar un plazo razonable para evaluar las propuestas y para pedir a los proponentes, de ser necesario, que aclaren o expliquen aspectos que ofrezcan dudas y resulten indispensables para llevar a cabo la evaluación; y con el artículo 30.8</w:t>
      </w:r>
      <w:r w:rsidRPr="0029340D">
        <w:rPr>
          <w:rFonts w:ascii="Century Gothic" w:hAnsi="Century Gothic" w:cs="Arial"/>
          <w:vertAlign w:val="superscript"/>
          <w:lang w:val="es-ES_tradnl"/>
        </w:rPr>
        <w:footnoteReference w:id="5"/>
      </w:r>
      <w:r w:rsidRPr="0029340D">
        <w:rPr>
          <w:rFonts w:ascii="Century Gothic" w:hAnsi="Century Gothic" w:cs="Arial"/>
          <w:lang w:val="es-ES_tradnl"/>
        </w:rPr>
        <w:t>, que consagró el término de 5 días hábiles</w:t>
      </w:r>
      <w:r w:rsidR="00B81924">
        <w:rPr>
          <w:rFonts w:ascii="Century Gothic" w:hAnsi="Century Gothic" w:cs="Arial"/>
          <w:lang w:val="es-ES_tradnl"/>
        </w:rPr>
        <w:t>,</w:t>
      </w:r>
      <w:r w:rsidRPr="0029340D">
        <w:rPr>
          <w:rFonts w:ascii="Century Gothic" w:hAnsi="Century Gothic" w:cs="Arial"/>
          <w:lang w:val="es-ES_tradnl"/>
        </w:rPr>
        <w:t xml:space="preserve"> para que los oferentes presenten observaciones al informe de evaluación de las propuestas, sin que sea posible completar, adicionar, modificar o mejorar su oferta.  </w:t>
      </w:r>
    </w:p>
    <w:p w14:paraId="408586C9" w14:textId="77777777" w:rsidR="00FA6E3E" w:rsidRPr="0029340D" w:rsidRDefault="00FA6E3E" w:rsidP="00FA6E3E">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14:paraId="5D90A668" w14:textId="77777777" w:rsidR="00FA6E3E" w:rsidRPr="0029340D" w:rsidRDefault="00FA6E3E" w:rsidP="00FA6E3E">
      <w:pPr>
        <w:spacing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En un </w:t>
      </w:r>
      <w:r w:rsidRPr="0029340D">
        <w:rPr>
          <w:rFonts w:ascii="Century Gothic" w:hAnsi="Century Gothic" w:cs="Arial"/>
          <w:i/>
          <w:lang w:val="es-ES_tradnl"/>
        </w:rPr>
        <w:t>tercer momento</w:t>
      </w:r>
      <w:r w:rsidRPr="0029340D">
        <w:rPr>
          <w:rFonts w:ascii="Century Gothic" w:hAnsi="Century Gothic" w:cs="Arial"/>
          <w:lang w:val="es-ES_tradnl"/>
        </w:rPr>
        <w:t xml:space="preserve">, siguiendo la línea trazada por la Ley 80 de 1993, el legislador expidió la Ley 1150 de 2007, que, en el parágrafo 1º del artículo 5, determinó lo siguiente: </w:t>
      </w:r>
    </w:p>
    <w:p w14:paraId="114CD85F" w14:textId="77777777" w:rsidR="00FA6E3E" w:rsidRPr="0029340D" w:rsidRDefault="00FA6E3E" w:rsidP="00FA6E3E">
      <w:pPr>
        <w:spacing w:line="240" w:lineRule="auto"/>
        <w:ind w:left="709" w:right="709"/>
        <w:jc w:val="both"/>
        <w:rPr>
          <w:rFonts w:ascii="Century Gothic" w:hAnsi="Century Gothic" w:cs="Arial"/>
          <w:sz w:val="21"/>
          <w:szCs w:val="21"/>
          <w:lang w:val="es-ES_tradnl"/>
        </w:rPr>
      </w:pPr>
      <w:r w:rsidRPr="0029340D">
        <w:rPr>
          <w:rFonts w:ascii="Century Gothic" w:eastAsia="Arial" w:hAnsi="Century Gothic" w:cs="Arial"/>
          <w:color w:val="000000"/>
        </w:rPr>
        <w:t>“</w:t>
      </w:r>
      <w:r w:rsidRPr="0029340D">
        <w:rPr>
          <w:rFonts w:ascii="Century Gothic" w:hAnsi="Century Gothic" w:cs="Arial"/>
          <w:sz w:val="21"/>
          <w:szCs w:val="21"/>
          <w:lang w:val="es-ES_tradnl"/>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29340D">
        <w:rPr>
          <w:rFonts w:ascii="Century Gothic" w:hAnsi="Century Gothic" w:cs="Arial"/>
          <w:b/>
          <w:sz w:val="21"/>
          <w:szCs w:val="21"/>
          <w:lang w:val="es-ES_tradnl"/>
        </w:rPr>
        <w:t xml:space="preserve">, </w:t>
      </w:r>
      <w:r w:rsidRPr="0029340D">
        <w:rPr>
          <w:rFonts w:ascii="Century Gothic" w:hAnsi="Century Gothic" w:cs="Arial"/>
          <w:sz w:val="21"/>
          <w:szCs w:val="21"/>
          <w:lang w:val="es-ES_tradnl"/>
        </w:rPr>
        <w:t xml:space="preserve">todos aquellos requisitos de la propuesta que no afecten la asignación de </w:t>
      </w:r>
      <w:proofErr w:type="gramStart"/>
      <w:r w:rsidRPr="0029340D">
        <w:rPr>
          <w:rFonts w:ascii="Century Gothic" w:hAnsi="Century Gothic" w:cs="Arial"/>
          <w:sz w:val="21"/>
          <w:szCs w:val="21"/>
          <w:lang w:val="es-ES_tradnl"/>
        </w:rPr>
        <w:t>puntaje,</w:t>
      </w:r>
      <w:proofErr w:type="gramEnd"/>
      <w:r w:rsidRPr="0029340D">
        <w:rPr>
          <w:rFonts w:ascii="Century Gothic" w:hAnsi="Century Gothic" w:cs="Arial"/>
          <w:sz w:val="21"/>
          <w:szCs w:val="21"/>
          <w:lang w:val="es-ES_tradnl"/>
        </w:rPr>
        <w:t xml:space="preserve"> podrán ser solicitados por las entidades en cualquier momento, hasta la adjudicación. No </w:t>
      </w:r>
      <w:proofErr w:type="gramStart"/>
      <w:r w:rsidRPr="0029340D">
        <w:rPr>
          <w:rFonts w:ascii="Century Gothic" w:hAnsi="Century Gothic" w:cs="Arial"/>
          <w:sz w:val="21"/>
          <w:szCs w:val="21"/>
          <w:lang w:val="es-ES_tradnl"/>
        </w:rPr>
        <w:t>obstante</w:t>
      </w:r>
      <w:proofErr w:type="gramEnd"/>
      <w:r w:rsidRPr="0029340D">
        <w:rPr>
          <w:rFonts w:ascii="Century Gothic" w:hAnsi="Century Gothic" w:cs="Arial"/>
          <w:sz w:val="21"/>
          <w:szCs w:val="21"/>
          <w:lang w:val="es-ES_tradnl"/>
        </w:rPr>
        <w:t xml:space="preserve"> lo anterior, en aquellos procesos de selección en los que se utilice el mecanismo de subasta, deberán ser solicitados hasta el momento previo a su realización.</w:t>
      </w:r>
      <w:r w:rsidRPr="0029340D">
        <w:rPr>
          <w:rFonts w:ascii="Century Gothic" w:eastAsia="Arial" w:hAnsi="Century Gothic" w:cs="Arial"/>
          <w:i/>
          <w:color w:val="000000"/>
        </w:rPr>
        <w:t>”</w:t>
      </w:r>
      <w:r w:rsidRPr="0029340D">
        <w:rPr>
          <w:rFonts w:ascii="Century Gothic" w:hAnsi="Century Gothic" w:cs="Arial"/>
          <w:sz w:val="21"/>
          <w:szCs w:val="21"/>
          <w:lang w:val="es-ES_tradnl"/>
        </w:rPr>
        <w:t xml:space="preserve"> </w:t>
      </w:r>
    </w:p>
    <w:p w14:paraId="4C158044" w14:textId="77777777" w:rsidR="00FA6E3E" w:rsidRPr="0029340D" w:rsidRDefault="00FA6E3E" w:rsidP="00FA6E3E">
      <w:pPr>
        <w:spacing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6FE67CAE" w14:textId="77777777" w:rsidR="00FA6E3E" w:rsidRPr="0029340D" w:rsidRDefault="00FA6E3E" w:rsidP="00FA6E3E">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784A0017" w14:textId="77777777" w:rsidR="00FA6E3E" w:rsidRPr="0029340D" w:rsidRDefault="00FA6E3E" w:rsidP="00FA6E3E">
      <w:pPr>
        <w:spacing w:before="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El artículo 5 de la Ley 1150 de 2007, además de consagrar un criterio más claro, y, de paso, reducir la discrecionalidad de la Administración, fijó un ámbito temporal para que las entidades requirieran la 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49F26D50" w14:textId="77777777" w:rsidR="00FA6E3E" w:rsidRPr="0029340D" w:rsidRDefault="00FA6E3E" w:rsidP="00FA6E3E">
      <w:pPr>
        <w:spacing w:line="240" w:lineRule="auto"/>
        <w:ind w:left="709" w:right="709"/>
        <w:jc w:val="both"/>
        <w:rPr>
          <w:rFonts w:ascii="Century Gothic" w:hAnsi="Century Gothic" w:cs="Arial"/>
          <w:sz w:val="21"/>
          <w:szCs w:val="21"/>
          <w:lang w:val="es-ES_tradnl"/>
        </w:rPr>
      </w:pPr>
      <w:r w:rsidRPr="0029340D">
        <w:rPr>
          <w:rFonts w:ascii="Century Gothic" w:eastAsia="Arial" w:hAnsi="Century Gothic" w:cs="Arial"/>
          <w:color w:val="000000"/>
        </w:rPr>
        <w:t>“</w:t>
      </w:r>
      <w:r w:rsidRPr="0029340D">
        <w:rPr>
          <w:rFonts w:ascii="Century Gothic" w:hAnsi="Century Gothic" w:cs="Arial"/>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29340D">
        <w:rPr>
          <w:rFonts w:ascii="Century Gothic" w:hAnsi="Century Gothic" w:cs="Arial"/>
          <w:sz w:val="21"/>
          <w:szCs w:val="21"/>
          <w:vertAlign w:val="superscript"/>
          <w:lang w:val="es-ES_tradnl"/>
        </w:rPr>
        <w:footnoteReference w:id="6"/>
      </w:r>
      <w:r w:rsidRPr="0029340D">
        <w:rPr>
          <w:rFonts w:ascii="Century Gothic" w:hAnsi="Century Gothic" w:cs="Arial"/>
          <w:sz w:val="21"/>
          <w:szCs w:val="21"/>
          <w:lang w:val="es-ES_tradnl"/>
        </w:rPr>
        <w:t>.</w:t>
      </w:r>
      <w:r w:rsidRPr="0029340D">
        <w:rPr>
          <w:rFonts w:ascii="Century Gothic" w:eastAsia="Arial" w:hAnsi="Century Gothic" w:cs="Arial"/>
          <w:i/>
          <w:color w:val="000000"/>
        </w:rPr>
        <w:t>”</w:t>
      </w:r>
    </w:p>
    <w:p w14:paraId="745872BF" w14:textId="77777777" w:rsidR="00FA6E3E" w:rsidRPr="0029340D" w:rsidRDefault="00FA6E3E" w:rsidP="00FA6E3E">
      <w:pPr>
        <w:tabs>
          <w:tab w:val="left" w:pos="284"/>
        </w:tabs>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Esa interpretación fue compartida por la </w:t>
      </w:r>
      <w:r w:rsidRPr="0029340D">
        <w:rPr>
          <w:rFonts w:ascii="Century Gothic" w:eastAsia="Times New Roman" w:hAnsi="Century Gothic" w:cs="Arial"/>
          <w:lang w:val="es-ES_tradnl" w:eastAsia="es-CO"/>
        </w:rPr>
        <w:t>Agencia Nacional de Contratación Pública – Colombia Compra Eficiente</w:t>
      </w:r>
      <w:r w:rsidRPr="0029340D">
        <w:rPr>
          <w:rFonts w:ascii="Century Gothic" w:hAnsi="Century Gothic" w:cs="Arial"/>
          <w:lang w:val="es-ES_tradnl"/>
        </w:rPr>
        <w:t>, pues en la Circular Externa Única</w:t>
      </w:r>
      <w:r w:rsidRPr="0029340D">
        <w:rPr>
          <w:rStyle w:val="Refdenotaalpie"/>
          <w:rFonts w:ascii="Century Gothic" w:hAnsi="Century Gothic" w:cs="Arial"/>
          <w:lang w:val="es-ES_tradnl"/>
        </w:rPr>
        <w:footnoteReference w:id="7"/>
      </w:r>
      <w:r w:rsidRPr="0029340D">
        <w:rPr>
          <w:rFonts w:ascii="Century Gothic" w:hAnsi="Century Gothic" w:cs="Arial"/>
          <w:lang w:val="es-ES_tradnl"/>
        </w:rPr>
        <w:t xml:space="preserve"> se precisó que, si durante un Proceso de Contratación hay proponentes que no acreditaron en sus ofertas requisitos que no afectan la asignación de puntaje, la Entidad Estatal deberá indicarlo en el informe de evaluación y advertir que la correspondiente oferta puede ser subsanada.</w:t>
      </w:r>
    </w:p>
    <w:p w14:paraId="0036FDAE" w14:textId="77777777" w:rsidR="00FA6E3E" w:rsidRPr="0029340D" w:rsidRDefault="00FA6E3E" w:rsidP="00FA6E3E">
      <w:pPr>
        <w:tabs>
          <w:tab w:val="left" w:pos="284"/>
        </w:tabs>
        <w:spacing w:line="276" w:lineRule="auto"/>
        <w:ind w:firstLine="709"/>
        <w:jc w:val="both"/>
        <w:rPr>
          <w:rFonts w:ascii="Century Gothic" w:eastAsia="Times New Roman" w:hAnsi="Century Gothic" w:cs="Arial"/>
          <w:lang w:val="es-ES_tradnl" w:eastAsia="es-CO"/>
        </w:rPr>
      </w:pPr>
      <w:r w:rsidRPr="0029340D">
        <w:rPr>
          <w:rFonts w:ascii="Century Gothic" w:eastAsia="Times New Roman" w:hAnsi="Century Gothic" w:cs="Arial"/>
          <w:lang w:val="es-ES_tradnl" w:eastAsia="es-CO"/>
        </w:rPr>
        <w:t xml:space="preserve">Finalmente, en un </w:t>
      </w:r>
      <w:r w:rsidRPr="0029340D">
        <w:rPr>
          <w:rFonts w:ascii="Century Gothic" w:eastAsia="Times New Roman" w:hAnsi="Century Gothic" w:cs="Arial"/>
          <w:i/>
          <w:lang w:val="es-ES_tradnl" w:eastAsia="es-CO"/>
        </w:rPr>
        <w:t>cuarto momento</w:t>
      </w:r>
      <w:r w:rsidRPr="0029340D">
        <w:rPr>
          <w:rFonts w:ascii="Century Gothic" w:eastAsia="Times New Roman" w:hAnsi="Century Gothic" w:cs="Arial"/>
          <w:lang w:val="es-ES_tradnl" w:eastAsia="es-CO"/>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58AEAC17" w14:textId="77777777" w:rsidR="00FA6E3E" w:rsidRPr="0029340D" w:rsidRDefault="00FA6E3E" w:rsidP="00FA6E3E">
      <w:pPr>
        <w:spacing w:line="240" w:lineRule="auto"/>
        <w:ind w:left="709" w:right="709"/>
        <w:jc w:val="both"/>
        <w:rPr>
          <w:rFonts w:ascii="Century Gothic" w:hAnsi="Century Gothic" w:cs="Arial"/>
          <w:sz w:val="21"/>
          <w:szCs w:val="21"/>
          <w:lang w:val="es-ES_tradnl"/>
        </w:rPr>
      </w:pPr>
      <w:r w:rsidRPr="0029340D">
        <w:rPr>
          <w:rFonts w:ascii="Century Gothic" w:eastAsia="Arial" w:hAnsi="Century Gothic" w:cs="Arial"/>
          <w:color w:val="000000"/>
          <w:sz w:val="21"/>
          <w:szCs w:val="21"/>
        </w:rPr>
        <w:t>“</w:t>
      </w:r>
      <w:r w:rsidRPr="0029340D">
        <w:rPr>
          <w:rFonts w:ascii="Century Gothic" w:hAnsi="Century Gothic" w:cs="Arial"/>
          <w:sz w:val="21"/>
          <w:szCs w:val="21"/>
          <w:lang w:val="es-ES_tradnl"/>
        </w:rPr>
        <w:t xml:space="preserve">Artículo 5°. De la selección objetiva. </w:t>
      </w:r>
    </w:p>
    <w:p w14:paraId="400CCAD2" w14:textId="77777777" w:rsidR="00FA6E3E" w:rsidRPr="0029340D" w:rsidRDefault="00FA6E3E" w:rsidP="00FA6E3E">
      <w:pPr>
        <w:spacing w:before="120" w:after="120" w:line="240" w:lineRule="auto"/>
        <w:ind w:left="709" w:right="709"/>
        <w:jc w:val="both"/>
        <w:rPr>
          <w:rFonts w:ascii="Century Gothic" w:hAnsi="Century Gothic" w:cs="Arial"/>
          <w:sz w:val="21"/>
          <w:szCs w:val="21"/>
          <w:lang w:val="es-ES_tradnl"/>
        </w:rPr>
      </w:pPr>
      <w:r w:rsidRPr="0029340D">
        <w:rPr>
          <w:rFonts w:ascii="Century Gothic" w:hAnsi="Century Gothic" w:cs="Arial"/>
          <w:sz w:val="21"/>
          <w:szCs w:val="21"/>
          <w:lang w:val="es-ES_tradnl"/>
        </w:rPr>
        <w:t>[... ]</w:t>
      </w:r>
    </w:p>
    <w:p w14:paraId="45CDA1B2" w14:textId="77777777" w:rsidR="00FA6E3E" w:rsidRPr="0029340D" w:rsidRDefault="00FA6E3E" w:rsidP="00FA6E3E">
      <w:pPr>
        <w:spacing w:line="240" w:lineRule="auto"/>
        <w:ind w:left="709" w:right="709"/>
        <w:jc w:val="both"/>
        <w:rPr>
          <w:rFonts w:ascii="Century Gothic" w:hAnsi="Century Gothic" w:cs="Arial"/>
          <w:sz w:val="21"/>
          <w:szCs w:val="21"/>
          <w:lang w:val="es-ES_tradnl"/>
        </w:rPr>
      </w:pPr>
      <w:r w:rsidRPr="0029340D">
        <w:rPr>
          <w:rFonts w:ascii="Century Gothic" w:hAnsi="Century Gothic" w:cs="Arial"/>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29340D">
        <w:rPr>
          <w:rFonts w:ascii="Century Gothic" w:hAnsi="Century Gothic" w:cs="Arial"/>
          <w:sz w:val="21"/>
          <w:szCs w:val="21"/>
          <w:lang w:val="es-ES_tradnl"/>
        </w:rPr>
        <w:t>puntaje,</w:t>
      </w:r>
      <w:proofErr w:type="gramEnd"/>
      <w:r w:rsidRPr="0029340D">
        <w:rPr>
          <w:rFonts w:ascii="Century Gothic" w:hAnsi="Century Gothic" w:cs="Arial"/>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r w:rsidRPr="0029340D">
        <w:rPr>
          <w:rFonts w:ascii="Century Gothic" w:eastAsia="Arial" w:hAnsi="Century Gothic" w:cs="Arial"/>
          <w:i/>
          <w:color w:val="000000"/>
          <w:sz w:val="21"/>
          <w:szCs w:val="21"/>
        </w:rPr>
        <w:t>”</w:t>
      </w:r>
      <w:r w:rsidRPr="0029340D">
        <w:rPr>
          <w:rFonts w:ascii="Century Gothic" w:hAnsi="Century Gothic" w:cs="Arial"/>
          <w:sz w:val="21"/>
          <w:szCs w:val="21"/>
          <w:lang w:val="es-ES_tradnl"/>
        </w:rPr>
        <w:t xml:space="preserve"> </w:t>
      </w:r>
    </w:p>
    <w:p w14:paraId="7CC10779" w14:textId="77777777" w:rsidR="00FA6E3E" w:rsidRPr="0029340D" w:rsidRDefault="00FA6E3E" w:rsidP="00FA6E3E">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Como puede observarse, la Ley 1882 de 2018: i) mantiene el criterio de la Ley 80 de 1993, relativo a que todo lo que no sea necesario para la comparación de propuestas no es título suficiente para su rechazo; </w:t>
      </w:r>
      <w:proofErr w:type="spellStart"/>
      <w:r w:rsidRPr="0029340D">
        <w:rPr>
          <w:rFonts w:ascii="Century Gothic" w:hAnsi="Century Gothic" w:cs="Arial"/>
          <w:lang w:val="es-ES_tradnl"/>
        </w:rPr>
        <w:t>ii</w:t>
      </w:r>
      <w:proofErr w:type="spellEnd"/>
      <w:r w:rsidRPr="0029340D">
        <w:rPr>
          <w:rFonts w:ascii="Century Gothic" w:hAnsi="Century Gothic" w:cs="Arial"/>
          <w:lang w:val="es-ES_tradnl"/>
        </w:rPr>
        <w:t xml:space="preserve">) mantiene el criterio aclaratorio de la Ley 1150 de 2007, según el cual todo lo que no afecte la asignación de puntaje puede subsanarse; y, </w:t>
      </w:r>
      <w:proofErr w:type="spellStart"/>
      <w:r w:rsidRPr="0029340D">
        <w:rPr>
          <w:rFonts w:ascii="Century Gothic" w:hAnsi="Century Gothic" w:cs="Arial"/>
          <w:lang w:val="es-ES_tradnl"/>
        </w:rPr>
        <w:t>iii</w:t>
      </w:r>
      <w:proofErr w:type="spellEnd"/>
      <w:r w:rsidRPr="0029340D">
        <w:rPr>
          <w:rFonts w:ascii="Century Gothic" w:hAnsi="Century Gothic" w:cs="Arial"/>
          <w:lang w:val="es-ES_tradnl"/>
        </w:rPr>
        <w:t xml:space="preserve">) introduce modificaciones en relación con algunos aspectos que se analizarán a continuación. </w:t>
      </w:r>
    </w:p>
    <w:p w14:paraId="144896AF" w14:textId="704C6097" w:rsidR="00FA6E3E" w:rsidRPr="0029340D" w:rsidRDefault="00FA6E3E" w:rsidP="00FA6E3E">
      <w:pPr>
        <w:spacing w:after="120" w:line="276" w:lineRule="auto"/>
        <w:ind w:right="51" w:firstLine="709"/>
        <w:jc w:val="both"/>
        <w:rPr>
          <w:rFonts w:ascii="Century Gothic" w:hAnsi="Century Gothic" w:cs="Arial"/>
          <w:lang w:val="es-ES_tradnl"/>
        </w:rPr>
      </w:pPr>
      <w:r w:rsidRPr="0029340D">
        <w:rPr>
          <w:rFonts w:ascii="Century Gothic" w:hAnsi="Century Gothic" w:cs="Arial"/>
          <w:i/>
          <w:lang w:val="es-ES_tradnl"/>
        </w:rPr>
        <w:t>El primero</w:t>
      </w:r>
      <w:r w:rsidRPr="0029340D">
        <w:rPr>
          <w:rFonts w:ascii="Century Gothic" w:hAnsi="Century Gothic" w:cs="Arial"/>
          <w:lang w:val="es-ES_tradn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 y para el proceso de selección a través del sistema de subasta</w:t>
      </w:r>
      <w:r w:rsidRPr="0029340D">
        <w:rPr>
          <w:rFonts w:ascii="Century Gothic" w:hAnsi="Century Gothic" w:cs="Arial"/>
          <w:vertAlign w:val="superscript"/>
          <w:lang w:val="es-ES_tradnl"/>
        </w:rPr>
        <w:footnoteReference w:id="8"/>
      </w:r>
      <w:r w:rsidRPr="0029340D">
        <w:rPr>
          <w:rFonts w:ascii="Century Gothic" w:hAnsi="Century Gothic" w:cs="Arial"/>
          <w:lang w:val="es-ES_tradnl"/>
        </w:rPr>
        <w:t>; en el último los documentos o requisitos subsanables pueden y deben solicitarse hasta el momento previo a la celebración de la audiencia. En cuanto al proceso</w:t>
      </w:r>
      <w:r w:rsidR="005B45C9">
        <w:rPr>
          <w:rFonts w:ascii="Century Gothic" w:hAnsi="Century Gothic" w:cs="Arial"/>
          <w:lang w:val="es-ES_tradnl"/>
        </w:rPr>
        <w:t xml:space="preserve"> de selección por </w:t>
      </w:r>
      <w:r w:rsidRPr="0029340D">
        <w:rPr>
          <w:rFonts w:ascii="Century Gothic" w:hAnsi="Century Gothic" w:cs="Arial"/>
          <w:lang w:val="es-ES_tradnl"/>
        </w:rPr>
        <w:t>mínima cuantía, el Decreto 1860 de 2021 que modifica el Decreto 1082 de 2015, en su artículo 2.2.1.2.1.5.2., numeral 5° dispone que</w:t>
      </w:r>
      <w:r w:rsidR="00333657">
        <w:rPr>
          <w:rFonts w:ascii="Century Gothic" w:hAnsi="Century Gothic" w:cs="Arial"/>
          <w:lang w:val="es-ES_tradnl"/>
        </w:rPr>
        <w:t>,</w:t>
      </w:r>
      <w:r w:rsidRPr="0029340D">
        <w:rPr>
          <w:rFonts w:ascii="Century Gothic" w:hAnsi="Century Gothic" w:cs="Arial"/>
          <w:lang w:val="es-ES_tradnl"/>
        </w:rPr>
        <w:t xml:space="preserve"> sin perjuicio de la oportunidad que deben otorgar las Entidades para subsanar las ofertas, de acuerdo con el artículo 5 de la Ley 1150 de 2007, </w:t>
      </w:r>
      <w:r w:rsidR="00DB6216">
        <w:rPr>
          <w:rFonts w:ascii="Century Gothic" w:hAnsi="Century Gothic" w:cs="Arial"/>
          <w:lang w:val="es-ES_tradnl"/>
        </w:rPr>
        <w:t xml:space="preserve">las entidades estatales en el cronograma de la invitación podrán establecer </w:t>
      </w:r>
      <w:r w:rsidRPr="0029340D">
        <w:rPr>
          <w:rFonts w:ascii="Century Gothic" w:hAnsi="Century Gothic" w:cs="Arial"/>
          <w:lang w:val="es-ES_tradnl"/>
        </w:rPr>
        <w:t>un término preclusivo para recibir los documentos subsanables. En el evento que no se regule este término los proponentes podrán subsanar sus ofertas hasta antes que finalice el traslado del informe de evaluación</w:t>
      </w:r>
      <w:r w:rsidRPr="0029340D">
        <w:rPr>
          <w:rFonts w:ascii="Century Gothic" w:hAnsi="Century Gothic" w:cs="Arial"/>
          <w:vertAlign w:val="superscript"/>
          <w:lang w:val="es-ES_tradnl"/>
        </w:rPr>
        <w:footnoteReference w:id="9"/>
      </w:r>
      <w:r w:rsidRPr="0029340D">
        <w:rPr>
          <w:rFonts w:ascii="Century Gothic" w:hAnsi="Century Gothic" w:cs="Arial"/>
          <w:lang w:val="es-ES_tradnl"/>
        </w:rPr>
        <w:t xml:space="preserve">. </w:t>
      </w:r>
    </w:p>
    <w:p w14:paraId="3FC97670" w14:textId="77777777" w:rsidR="00FA6E3E" w:rsidRPr="0029340D" w:rsidRDefault="00FA6E3E" w:rsidP="00FA6E3E">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29340D">
        <w:rPr>
          <w:rFonts w:ascii="Century Gothic" w:hAnsi="Century Gothic" w:cs="Arial"/>
          <w:i/>
          <w:lang w:val="es-ES_tradnl"/>
        </w:rPr>
        <w:t>deberán ser solicitados por las entidades estatales y deberán ser entregados por los proponentes hasta el término de traslado del informe de evaluación que corresponda a cada modalidad de selección”.</w:t>
      </w:r>
      <w:r w:rsidRPr="0029340D">
        <w:rPr>
          <w:rFonts w:ascii="Century Gothic" w:hAnsi="Century Gothic" w:cs="Arial"/>
          <w:lang w:val="es-ES_tradnl"/>
        </w:rPr>
        <w:t xml:space="preserve"> </w:t>
      </w:r>
    </w:p>
    <w:p w14:paraId="2ED18FBD" w14:textId="77777777" w:rsidR="00FA6E3E" w:rsidRPr="0029340D" w:rsidRDefault="00FA6E3E" w:rsidP="00FA6E3E">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El segundo cambio importante de la Ley 1882 de 2018 fue la introducción de un criterio material, directamente relacionado con los aspectos subsanables: </w:t>
      </w:r>
      <w:r w:rsidRPr="0029340D">
        <w:rPr>
          <w:rFonts w:ascii="Century Gothic" w:hAnsi="Century Gothic" w:cs="Arial"/>
          <w:i/>
          <w:lang w:val="es-ES_tradnl"/>
        </w:rPr>
        <w:t>“los proponentes no podrán acreditar circunstancias ocurridas con posterioridad al cierre del proceso”.</w:t>
      </w:r>
      <w:r w:rsidRPr="0029340D">
        <w:rPr>
          <w:rFonts w:ascii="Century Gothic" w:hAnsi="Century Gothic" w:cs="Arial"/>
          <w:lang w:val="es-ES_tradnl"/>
        </w:rPr>
        <w:t xml:space="preserve"> Lo anterior ofrece dos aspectos que merecen clarificación; primero, qué debe entenderse por circunstancias ocurridas con posterioridad; y segundo, qué es el cierre del proceso. </w:t>
      </w:r>
    </w:p>
    <w:p w14:paraId="38841276" w14:textId="77777777" w:rsidR="00FA6E3E" w:rsidRPr="0029340D" w:rsidRDefault="00FA6E3E" w:rsidP="00FA6E3E">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La Sala de Consulta y Servicio Civil del Consejo de Estado ya había tenido la oportunidad de precisar estas expresiones, a propósito de un concepto en el que se refirió al artículo 10 del derogado Decreto 2474 de 2008,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29340D">
        <w:rPr>
          <w:rFonts w:ascii="Century Gothic" w:hAnsi="Century Gothic" w:cs="Arial"/>
          <w:vertAlign w:val="superscript"/>
          <w:lang w:val="es-ES_tradnl"/>
        </w:rPr>
        <w:footnoteReference w:id="10"/>
      </w:r>
      <w:r w:rsidRPr="0029340D">
        <w:rPr>
          <w:rFonts w:ascii="Century Gothic" w:hAnsi="Century Gothic" w:cs="Arial"/>
          <w:lang w:val="es-ES_tradnl"/>
        </w:rPr>
        <w:t>.</w:t>
      </w:r>
    </w:p>
    <w:p w14:paraId="3DC519AD" w14:textId="77777777" w:rsidR="00FA6E3E" w:rsidRPr="0029340D" w:rsidRDefault="00FA6E3E" w:rsidP="00FA6E3E">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4D76CF66" w14:textId="77777777" w:rsidR="00FA6E3E" w:rsidRPr="0029340D" w:rsidRDefault="00FA6E3E" w:rsidP="00FA6E3E">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Un mejor entendimiento del significado de la expresión </w:t>
      </w:r>
      <w:r w:rsidRPr="0029340D">
        <w:rPr>
          <w:rFonts w:ascii="Century Gothic" w:hAnsi="Century Gothic" w:cs="Arial"/>
          <w:i/>
          <w:lang w:val="es-ES_tradnl"/>
        </w:rPr>
        <w:t>“circunstancias ocurridas con posterioridad al cierre del proceso”</w:t>
      </w:r>
      <w:r w:rsidRPr="0029340D">
        <w:rPr>
          <w:rFonts w:ascii="Century Gothic" w:hAnsi="Century Gothic" w:cs="Arial"/>
          <w:lang w:val="es-ES_tradnl"/>
        </w:rPr>
        <w:t xml:space="preserve"> implica distinguir entre la prueba de un hecho y el hecho mismo. En el caso de la </w:t>
      </w:r>
      <w:proofErr w:type="spellStart"/>
      <w:r w:rsidRPr="0029340D">
        <w:rPr>
          <w:rFonts w:ascii="Century Gothic" w:hAnsi="Century Gothic" w:cs="Arial"/>
          <w:lang w:val="es-ES_tradnl"/>
        </w:rPr>
        <w:t>subsanabilidad</w:t>
      </w:r>
      <w:proofErr w:type="spellEnd"/>
      <w:r w:rsidRPr="0029340D">
        <w:rPr>
          <w:rFonts w:ascii="Century Gothic" w:hAnsi="Century Gothic" w:cs="Arial"/>
          <w:lang w:val="es-ES_tradnl"/>
        </w:rPr>
        <w:t xml:space="preserve">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29340D">
        <w:rPr>
          <w:rFonts w:ascii="Century Gothic" w:hAnsi="Century Gothic" w:cs="Arial"/>
          <w:vertAlign w:val="superscript"/>
          <w:lang w:val="es-ES_tradnl"/>
        </w:rPr>
        <w:footnoteReference w:id="11"/>
      </w:r>
      <w:r w:rsidRPr="0029340D">
        <w:rPr>
          <w:rFonts w:ascii="Century Gothic" w:hAnsi="Century Gothic" w:cs="Arial"/>
          <w:lang w:val="es-ES_tradnl"/>
        </w:rPr>
        <w:t xml:space="preserve">. </w:t>
      </w:r>
    </w:p>
    <w:p w14:paraId="61FF55D1" w14:textId="4A86E1F7" w:rsidR="00FA6E3E" w:rsidRPr="0029340D" w:rsidRDefault="00FA6E3E" w:rsidP="00FA6E3E">
      <w:pPr>
        <w:spacing w:before="120" w:after="120" w:line="276" w:lineRule="auto"/>
        <w:ind w:firstLine="709"/>
        <w:jc w:val="both"/>
        <w:rPr>
          <w:rFonts w:ascii="Century Gothic" w:hAnsi="Century Gothic" w:cs="Arial"/>
          <w:lang w:val="es-ES_tradnl"/>
        </w:rPr>
      </w:pPr>
      <w:r w:rsidRPr="0029340D">
        <w:rPr>
          <w:rFonts w:ascii="Century Gothic" w:hAnsi="Century Gothic" w:cs="Arial"/>
          <w:lang w:val="es-ES_tradnl"/>
        </w:rPr>
        <w:t xml:space="preserve">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w:t>
      </w:r>
      <w:proofErr w:type="spellStart"/>
      <w:r w:rsidRPr="0029340D">
        <w:rPr>
          <w:rFonts w:ascii="Century Gothic" w:hAnsi="Century Gothic" w:cs="Arial"/>
          <w:lang w:val="es-ES_tradnl"/>
        </w:rPr>
        <w:t>ii</w:t>
      </w:r>
      <w:proofErr w:type="spellEnd"/>
      <w:r w:rsidRPr="0029340D">
        <w:rPr>
          <w:rFonts w:ascii="Century Gothic" w:hAnsi="Century Gothic" w:cs="Arial"/>
          <w:lang w:val="es-ES_tradnl"/>
        </w:rPr>
        <w:t>)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29340D">
        <w:rPr>
          <w:rFonts w:ascii="Century Gothic" w:hAnsi="Century Gothic" w:cs="Arial"/>
          <w:vertAlign w:val="superscript"/>
          <w:lang w:val="es-ES_tradnl"/>
        </w:rPr>
        <w:footnoteReference w:id="12"/>
      </w:r>
      <w:r w:rsidRPr="0029340D">
        <w:rPr>
          <w:rFonts w:ascii="Century Gothic" w:hAnsi="Century Gothic" w:cs="Arial"/>
          <w:lang w:val="es-ES_tradnl"/>
        </w:rPr>
        <w:t xml:space="preserve">; </w:t>
      </w:r>
      <w:proofErr w:type="spellStart"/>
      <w:r w:rsidRPr="0029340D">
        <w:rPr>
          <w:rFonts w:ascii="Century Gothic" w:hAnsi="Century Gothic" w:cs="Arial"/>
          <w:lang w:val="es-ES_tradnl"/>
        </w:rPr>
        <w:t>iii</w:t>
      </w:r>
      <w:proofErr w:type="spellEnd"/>
      <w:r w:rsidRPr="0029340D">
        <w:rPr>
          <w:rFonts w:ascii="Century Gothic" w:hAnsi="Century Gothic" w:cs="Arial"/>
          <w:lang w:val="es-ES_tradnl"/>
        </w:rPr>
        <w:t>) si un oferente no anexó el Certificado de existencia y representación legal, el documento aportado con posterioridad debe dar cuenta de que la sociedad existía antes del cierre del proceso</w:t>
      </w:r>
      <w:r w:rsidRPr="0029340D">
        <w:rPr>
          <w:rFonts w:ascii="Century Gothic" w:hAnsi="Century Gothic" w:cs="Arial"/>
          <w:vertAlign w:val="superscript"/>
          <w:lang w:val="es-ES_tradnl"/>
        </w:rPr>
        <w:footnoteReference w:id="13"/>
      </w:r>
      <w:r w:rsidRPr="0029340D">
        <w:rPr>
          <w:rFonts w:ascii="Century Gothic" w:hAnsi="Century Gothic" w:cs="Arial"/>
          <w:lang w:val="es-ES_tradnl"/>
        </w:rPr>
        <w:t xml:space="preserve">; </w:t>
      </w:r>
      <w:proofErr w:type="spellStart"/>
      <w:r w:rsidRPr="0029340D">
        <w:rPr>
          <w:rFonts w:ascii="Century Gothic" w:hAnsi="Century Gothic" w:cs="Arial"/>
          <w:lang w:val="es-ES_tradnl"/>
        </w:rPr>
        <w:t>iv</w:t>
      </w:r>
      <w:proofErr w:type="spellEnd"/>
      <w:r w:rsidRPr="0029340D">
        <w:rPr>
          <w:rFonts w:ascii="Century Gothic" w:hAnsi="Century Gothic" w:cs="Arial"/>
          <w:lang w:val="es-ES_tradnl"/>
        </w:rPr>
        <w:t>)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w:t>
      </w:r>
      <w:r w:rsidR="00074718">
        <w:rPr>
          <w:rFonts w:ascii="Century Gothic" w:hAnsi="Century Gothic" w:cs="Arial"/>
          <w:lang w:val="es-ES_tradnl"/>
        </w:rPr>
        <w:t>, así entre otras circunstancias que pueden ser utilizadas a manera de ejemplo.</w:t>
      </w:r>
    </w:p>
    <w:p w14:paraId="1B8C23FF" w14:textId="77777777" w:rsidR="00FA6E3E" w:rsidRPr="0029340D" w:rsidRDefault="00FA6E3E" w:rsidP="00FA6E3E">
      <w:pPr>
        <w:spacing w:before="120" w:after="120" w:line="276" w:lineRule="auto"/>
        <w:ind w:firstLine="709"/>
        <w:jc w:val="both"/>
        <w:rPr>
          <w:rFonts w:ascii="Century Gothic" w:hAnsi="Century Gothic" w:cs="Arial"/>
          <w:i/>
          <w:lang w:val="es-ES_tradnl"/>
        </w:rPr>
      </w:pPr>
      <w:r w:rsidRPr="0029340D">
        <w:rPr>
          <w:rFonts w:ascii="Century Gothic" w:hAnsi="Century Gothic" w:cs="Arial"/>
          <w:lang w:val="es-ES_tradnl"/>
        </w:rPr>
        <w:t>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por lo que el Consejo de Estado sostiene que “</w:t>
      </w:r>
      <w:r w:rsidRPr="0029340D">
        <w:rPr>
          <w:rFonts w:ascii="Century Gothic" w:hAnsi="Century Gothic" w:cs="Arial"/>
          <w:i/>
          <w:lang w:val="es-ES_tradnl"/>
        </w:rPr>
        <w:t>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29340D">
        <w:rPr>
          <w:rFonts w:ascii="Century Gothic" w:hAnsi="Century Gothic" w:cs="Arial"/>
          <w:i/>
          <w:vertAlign w:val="superscript"/>
          <w:lang w:val="es-ES_tradnl"/>
        </w:rPr>
        <w:footnoteReference w:id="14"/>
      </w:r>
      <w:r w:rsidRPr="0029340D">
        <w:rPr>
          <w:rFonts w:ascii="Century Gothic" w:hAnsi="Century Gothic" w:cs="Arial"/>
          <w:i/>
          <w:lang w:val="es-ES_tradnl"/>
        </w:rPr>
        <w:t xml:space="preserve">. </w:t>
      </w:r>
    </w:p>
    <w:p w14:paraId="6A4DA4C8" w14:textId="77777777" w:rsidR="00FA6E3E" w:rsidRPr="0029340D" w:rsidRDefault="00FA6E3E" w:rsidP="00FA6E3E">
      <w:pPr>
        <w:spacing w:before="120" w:line="276" w:lineRule="auto"/>
        <w:ind w:firstLine="709"/>
        <w:jc w:val="both"/>
        <w:rPr>
          <w:rFonts w:ascii="Century Gothic" w:hAnsi="Century Gothic" w:cs="Arial"/>
          <w:lang w:val="es-ES"/>
        </w:rPr>
      </w:pPr>
      <w:r w:rsidRPr="0029340D">
        <w:rPr>
          <w:rFonts w:ascii="Century Gothic" w:hAnsi="Century Gothic" w:cs="Arial"/>
          <w:lang w:val="es-ES"/>
        </w:rPr>
        <w:t xml:space="preserve">En consecuencia, una vez verificada la ausencia de requisitos y/o documentos de la oferta, para efectos de saber si se pueden subsanar, la Entidad Estatal se debe preguntar, en primer lugar, si lo que hace falta o debe corregirse es un documento que afecte la asignación de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afecte la asignación de puntaje y la respuesta al segundo interrogante debe dar cuenta de que lo omitido sea la prueba de una circunstancia o hecho que ocurrió con anterioridad al cierre del proceso. </w:t>
      </w:r>
    </w:p>
    <w:p w14:paraId="7DD7BA48" w14:textId="345EAA3C" w:rsidR="00FA6E3E" w:rsidRPr="00825CFB" w:rsidRDefault="00825CFB" w:rsidP="00825CFB">
      <w:pPr>
        <w:pStyle w:val="Prrafodelista"/>
        <w:numPr>
          <w:ilvl w:val="1"/>
          <w:numId w:val="16"/>
        </w:numPr>
        <w:tabs>
          <w:tab w:val="left" w:pos="709"/>
        </w:tabs>
        <w:spacing w:after="0" w:line="276" w:lineRule="auto"/>
        <w:jc w:val="both"/>
        <w:rPr>
          <w:rFonts w:ascii="Century Gothic" w:eastAsia="Calibri" w:hAnsi="Century Gothic" w:cs="Arial"/>
          <w:b/>
          <w:bCs/>
        </w:rPr>
      </w:pPr>
      <w:r w:rsidRPr="00825CFB">
        <w:rPr>
          <w:rFonts w:ascii="Century Gothic" w:hAnsi="Century Gothic" w:cs="Arial"/>
          <w:b/>
          <w:bCs/>
          <w:color w:val="000000" w:themeColor="text1"/>
          <w:lang w:eastAsia="es-MX"/>
        </w:rPr>
        <w:t>El t</w:t>
      </w:r>
      <w:r w:rsidRPr="00825CFB">
        <w:rPr>
          <w:rFonts w:ascii="Century Gothic" w:eastAsia="Calibri" w:hAnsi="Century Gothic" w:cs="Arial"/>
          <w:b/>
          <w:bCs/>
        </w:rPr>
        <w:t>érmino de traslado del informe de evaluación y subsanación en los procesos de selección por mínima cuantía</w:t>
      </w:r>
    </w:p>
    <w:p w14:paraId="3AD9B90E" w14:textId="77777777" w:rsidR="00825CFB" w:rsidRDefault="00825CFB" w:rsidP="00FA6E3E">
      <w:pPr>
        <w:spacing w:line="276" w:lineRule="auto"/>
        <w:jc w:val="both"/>
        <w:rPr>
          <w:rFonts w:ascii="Century Gothic" w:eastAsia="Arial" w:hAnsi="Century Gothic" w:cs="Arial"/>
          <w:szCs w:val="24"/>
          <w:lang w:eastAsia="es-MX"/>
        </w:rPr>
      </w:pPr>
    </w:p>
    <w:p w14:paraId="5812631A" w14:textId="179B4604" w:rsidR="00FA6E3E" w:rsidRDefault="00FA6E3E" w:rsidP="00FA6E3E">
      <w:pPr>
        <w:spacing w:line="276" w:lineRule="auto"/>
        <w:jc w:val="both"/>
        <w:rPr>
          <w:rFonts w:ascii="Century Gothic" w:eastAsia="Calibri" w:hAnsi="Century Gothic" w:cs="Arial"/>
          <w:color w:val="000000" w:themeColor="text1"/>
        </w:rPr>
      </w:pPr>
      <w:r>
        <w:rPr>
          <w:rFonts w:ascii="Century Gothic" w:eastAsia="Arial" w:hAnsi="Century Gothic" w:cs="Arial"/>
          <w:szCs w:val="24"/>
          <w:lang w:eastAsia="es-MX"/>
        </w:rPr>
        <w:t xml:space="preserve">La </w:t>
      </w:r>
      <w:r w:rsidRPr="00FE1B85">
        <w:rPr>
          <w:rFonts w:ascii="Century Gothic" w:eastAsia="Calibri" w:hAnsi="Century Gothic" w:cs="Arial"/>
          <w:color w:val="000000" w:themeColor="text1"/>
          <w:lang w:val="es-ES"/>
        </w:rPr>
        <w:t xml:space="preserve">memoria </w:t>
      </w:r>
      <w:r w:rsidRPr="00FE1B85">
        <w:rPr>
          <w:rFonts w:ascii="Century Gothic" w:eastAsia="Calibri" w:hAnsi="Century Gothic" w:cs="Arial"/>
          <w:color w:val="000000" w:themeColor="text1"/>
        </w:rPr>
        <w:t>justificativa del Decreto 1860 de 2021</w:t>
      </w:r>
      <w:r w:rsidRPr="00FE1B85">
        <w:rPr>
          <w:rStyle w:val="Refdenotaalpie"/>
          <w:rFonts w:ascii="Century Gothic" w:eastAsia="Calibri" w:hAnsi="Century Gothic" w:cs="Arial"/>
          <w:color w:val="000000" w:themeColor="text1"/>
        </w:rPr>
        <w:footnoteReference w:id="15"/>
      </w:r>
      <w:r w:rsidRPr="00FE1B85">
        <w:rPr>
          <w:rFonts w:ascii="Century Gothic" w:eastAsia="Calibri" w:hAnsi="Century Gothic" w:cs="Arial"/>
          <w:color w:val="000000" w:themeColor="text1"/>
        </w:rPr>
        <w:t xml:space="preserve"> informa que a través de esta norma se da paso a la reglamentación de los artículos 30, 31, 32, 34 y 35 de la Ley 2069 de 2020 por medio de la cual </w:t>
      </w:r>
      <w:r w:rsidRPr="00FE1B85">
        <w:rPr>
          <w:rFonts w:ascii="Century Gothic" w:eastAsia="Calibri" w:hAnsi="Century Gothic" w:cs="Arial"/>
          <w:i/>
          <w:iCs/>
          <w:color w:val="000000" w:themeColor="text1"/>
        </w:rPr>
        <w:t>“se impulsa el emprendimiento en Colombia”</w:t>
      </w:r>
      <w:r w:rsidRPr="00FE1B85">
        <w:rPr>
          <w:rFonts w:ascii="Century Gothic" w:eastAsia="Calibri" w:hAnsi="Century Gothic" w:cs="Arial"/>
          <w:color w:val="000000" w:themeColor="text1"/>
        </w:rPr>
        <w:t xml:space="preserve">. Las razones de oportunidad y conveniencia de su reglamentación se justifican en señalar que el Capítulo III del Título I de la Ley 2069 de 2020 creó una serie de incentivos para las </w:t>
      </w:r>
      <w:proofErr w:type="spellStart"/>
      <w:r w:rsidRPr="00FE1B85">
        <w:rPr>
          <w:rFonts w:ascii="Century Gothic" w:eastAsia="Calibri" w:hAnsi="Century Gothic" w:cs="Arial"/>
          <w:color w:val="000000" w:themeColor="text1"/>
        </w:rPr>
        <w:t>Mipymes</w:t>
      </w:r>
      <w:proofErr w:type="spellEnd"/>
      <w:r w:rsidRPr="00FE1B85">
        <w:rPr>
          <w:rFonts w:ascii="Century Gothic" w:eastAsia="Calibri" w:hAnsi="Century Gothic" w:cs="Arial"/>
          <w:color w:val="000000" w:themeColor="text1"/>
        </w:rPr>
        <w:t>, los emprendimientos y empresas de mujeres interesadas en celebrar contratos con el Estado</w:t>
      </w:r>
      <w:r>
        <w:rPr>
          <w:rFonts w:ascii="Century Gothic" w:eastAsia="Calibri" w:hAnsi="Century Gothic" w:cs="Arial"/>
          <w:color w:val="000000" w:themeColor="text1"/>
        </w:rPr>
        <w:t>,</w:t>
      </w:r>
      <w:r w:rsidRPr="00FE1B85">
        <w:rPr>
          <w:rFonts w:ascii="Century Gothic" w:eastAsia="Calibri" w:hAnsi="Century Gothic" w:cs="Arial"/>
          <w:color w:val="000000" w:themeColor="text1"/>
        </w:rPr>
        <w:t xml:space="preserve"> y el fomento en la ejecución de contratos de la provisión de bienes y servicios por parte de sujetos de especial protección constitucional, que requieren de reglamentación para poder introducir estos incentivos en el sistema de compra</w:t>
      </w:r>
      <w:r>
        <w:rPr>
          <w:rFonts w:ascii="Century Gothic" w:eastAsia="Calibri" w:hAnsi="Century Gothic" w:cs="Arial"/>
          <w:color w:val="000000" w:themeColor="text1"/>
        </w:rPr>
        <w:t xml:space="preserve">s </w:t>
      </w:r>
      <w:r w:rsidRPr="00FE1B85">
        <w:rPr>
          <w:rFonts w:ascii="Century Gothic" w:eastAsia="Calibri" w:hAnsi="Century Gothic" w:cs="Arial"/>
          <w:color w:val="000000" w:themeColor="text1"/>
        </w:rPr>
        <w:t xml:space="preserve">y contratación pública. </w:t>
      </w:r>
    </w:p>
    <w:p w14:paraId="5470BB87" w14:textId="41040686" w:rsidR="00FA6E3E" w:rsidRPr="00FE1B85" w:rsidRDefault="00FA6E3E" w:rsidP="00FA6E3E">
      <w:pPr>
        <w:spacing w:line="276" w:lineRule="auto"/>
        <w:ind w:firstLine="708"/>
        <w:jc w:val="both"/>
        <w:rPr>
          <w:rFonts w:ascii="Century Gothic" w:eastAsia="Calibri" w:hAnsi="Century Gothic" w:cs="Arial"/>
          <w:color w:val="000000" w:themeColor="text1"/>
        </w:rPr>
      </w:pPr>
      <w:r w:rsidRPr="00FE1B85">
        <w:rPr>
          <w:rFonts w:ascii="Century Gothic" w:eastAsia="Calibri" w:hAnsi="Century Gothic" w:cs="Arial"/>
          <w:color w:val="000000" w:themeColor="text1"/>
        </w:rPr>
        <w:t>Aunado a ello, informa que, al modificarse varias disposiciones legales es necesario hacer las respectivas modificaciones en las normas reglamentarias, de tal modo que, a través de dicho decreto</w:t>
      </w:r>
      <w:r w:rsidR="00461B1C">
        <w:rPr>
          <w:rFonts w:ascii="Century Gothic" w:eastAsia="Calibri" w:hAnsi="Century Gothic" w:cs="Arial"/>
          <w:color w:val="000000" w:themeColor="text1"/>
        </w:rPr>
        <w:t>,</w:t>
      </w:r>
      <w:r w:rsidRPr="00FE1B85">
        <w:rPr>
          <w:rFonts w:ascii="Century Gothic" w:eastAsia="Calibri" w:hAnsi="Century Gothic" w:cs="Arial"/>
          <w:color w:val="000000" w:themeColor="text1"/>
        </w:rPr>
        <w:t xml:space="preserve"> se ajuste la reglamentación a través de la cual las entidades estatales desarrollan los procedimientos con los que </w:t>
      </w:r>
      <w:r>
        <w:rPr>
          <w:rFonts w:ascii="Century Gothic" w:eastAsia="Calibri" w:hAnsi="Century Gothic" w:cs="Arial"/>
          <w:color w:val="000000" w:themeColor="text1"/>
        </w:rPr>
        <w:t>suplen</w:t>
      </w:r>
      <w:r w:rsidRPr="00FE1B85">
        <w:rPr>
          <w:rFonts w:ascii="Century Gothic" w:eastAsia="Calibri" w:hAnsi="Century Gothic" w:cs="Arial"/>
          <w:color w:val="000000" w:themeColor="text1"/>
        </w:rPr>
        <w:t xml:space="preserve"> sus necesidades de bienes y servicios, y se contemple a detalle la reglamentación de la introducción de nuevos incentivos contractuales, garantizando la efectividad de la </w:t>
      </w:r>
      <w:r w:rsidRPr="007247A9">
        <w:rPr>
          <w:rFonts w:ascii="Century Gothic" w:eastAsia="Calibri" w:hAnsi="Century Gothic" w:cs="Arial"/>
          <w:i/>
          <w:iCs/>
          <w:color w:val="000000" w:themeColor="text1"/>
        </w:rPr>
        <w:t>Ley de Emprendimiento</w:t>
      </w:r>
      <w:r w:rsidRPr="00FE1B85">
        <w:rPr>
          <w:rFonts w:ascii="Century Gothic" w:eastAsia="Calibri" w:hAnsi="Century Gothic" w:cs="Arial"/>
          <w:color w:val="000000" w:themeColor="text1"/>
        </w:rPr>
        <w:t>, además de “incluir algunas disposiciones adicionales para la reglamentación efectiva de la citada Ley”. Igualmente, dicho documento indic</w:t>
      </w:r>
      <w:r>
        <w:rPr>
          <w:rFonts w:ascii="Century Gothic" w:eastAsia="Calibri" w:hAnsi="Century Gothic" w:cs="Arial"/>
          <w:color w:val="000000" w:themeColor="text1"/>
        </w:rPr>
        <w:t>ó</w:t>
      </w:r>
      <w:r w:rsidRPr="00FE1B85">
        <w:rPr>
          <w:rFonts w:ascii="Century Gothic" w:eastAsia="Calibri" w:hAnsi="Century Gothic" w:cs="Arial"/>
          <w:color w:val="000000" w:themeColor="text1"/>
        </w:rPr>
        <w:t xml:space="preserve"> que:</w:t>
      </w:r>
    </w:p>
    <w:p w14:paraId="03D71724" w14:textId="77777777" w:rsidR="00FA6E3E" w:rsidRPr="00FE1B85" w:rsidRDefault="00FA6E3E" w:rsidP="00FA6E3E">
      <w:pPr>
        <w:spacing w:after="120" w:line="240" w:lineRule="auto"/>
        <w:ind w:left="709" w:right="709"/>
        <w:jc w:val="both"/>
        <w:rPr>
          <w:rFonts w:ascii="Century Gothic" w:eastAsia="Calibri" w:hAnsi="Century Gothic" w:cs="Arial"/>
          <w:color w:val="000000" w:themeColor="text1"/>
          <w:sz w:val="21"/>
          <w:szCs w:val="21"/>
        </w:rPr>
      </w:pPr>
      <w:r w:rsidRPr="00FE1B85">
        <w:rPr>
          <w:rFonts w:ascii="Century Gothic" w:eastAsia="Calibri" w:hAnsi="Century Gothic" w:cs="Arial"/>
          <w:color w:val="000000" w:themeColor="text1"/>
          <w:sz w:val="21"/>
          <w:szCs w:val="21"/>
        </w:rPr>
        <w:t xml:space="preserve">“La expedición de estas normas reglamentarias no solo se fundamenta en las atribuciones realizadas al Gobierno nacional en el articulado de la Ley 2069 de 2020, sino también en el numeral 11 del artículo 189 de la Constitución Política, según el cual corresponde al </w:t>
      </w:r>
      <w:proofErr w:type="gramStart"/>
      <w:r w:rsidRPr="00FE1B85">
        <w:rPr>
          <w:rFonts w:ascii="Century Gothic" w:eastAsia="Calibri" w:hAnsi="Century Gothic" w:cs="Arial"/>
          <w:color w:val="000000" w:themeColor="text1"/>
          <w:sz w:val="21"/>
          <w:szCs w:val="21"/>
        </w:rPr>
        <w:t>Presidente</w:t>
      </w:r>
      <w:proofErr w:type="gramEnd"/>
      <w:r w:rsidRPr="00FE1B85">
        <w:rPr>
          <w:rFonts w:ascii="Century Gothic" w:eastAsia="Calibri" w:hAnsi="Century Gothic" w:cs="Arial"/>
          <w:color w:val="000000" w:themeColor="text1"/>
          <w:sz w:val="21"/>
          <w:szCs w:val="21"/>
        </w:rPr>
        <w:t xml:space="preserve"> de la República ejercer la potestad reglamentaria, mediante la expedición de los decretos, resoluciones y órdenes necesarios para la cumplida ejecución de las leyes” (Sic).</w:t>
      </w:r>
    </w:p>
    <w:p w14:paraId="6D9F8589" w14:textId="77777777" w:rsidR="00FA6E3E" w:rsidRDefault="00FA6E3E" w:rsidP="00FA6E3E">
      <w:pPr>
        <w:spacing w:after="120" w:line="276" w:lineRule="auto"/>
        <w:ind w:firstLine="708"/>
        <w:jc w:val="both"/>
        <w:rPr>
          <w:rFonts w:ascii="Century Gothic" w:eastAsia="Calibri" w:hAnsi="Century Gothic" w:cs="Arial"/>
          <w:color w:val="000000" w:themeColor="text1"/>
        </w:rPr>
      </w:pPr>
      <w:r w:rsidRPr="00FE1B85">
        <w:rPr>
          <w:rFonts w:ascii="Century Gothic" w:eastAsia="Calibri" w:hAnsi="Century Gothic" w:cs="Arial"/>
          <w:color w:val="000000" w:themeColor="text1"/>
        </w:rPr>
        <w:t xml:space="preserve">Al respecto, sobre el ejercicio de la potestad reglamentaria, esta Agencia </w:t>
      </w:r>
      <w:r>
        <w:rPr>
          <w:rFonts w:ascii="Century Gothic" w:eastAsia="Calibri" w:hAnsi="Century Gothic" w:cs="Arial"/>
          <w:color w:val="000000" w:themeColor="text1"/>
        </w:rPr>
        <w:t>h</w:t>
      </w:r>
      <w:r w:rsidRPr="00FE1B85">
        <w:rPr>
          <w:rFonts w:ascii="Century Gothic" w:eastAsia="Calibri" w:hAnsi="Century Gothic" w:cs="Arial"/>
          <w:color w:val="000000" w:themeColor="text1"/>
        </w:rPr>
        <w:t xml:space="preserve">a </w:t>
      </w:r>
      <w:r>
        <w:rPr>
          <w:rFonts w:ascii="Century Gothic" w:eastAsia="Calibri" w:hAnsi="Century Gothic" w:cs="Arial"/>
          <w:color w:val="000000" w:themeColor="text1"/>
        </w:rPr>
        <w:t>reiterado</w:t>
      </w:r>
      <w:r w:rsidRPr="00FE1B85">
        <w:rPr>
          <w:rFonts w:ascii="Century Gothic" w:eastAsia="Calibri" w:hAnsi="Century Gothic" w:cs="Arial"/>
          <w:color w:val="000000" w:themeColor="text1"/>
        </w:rPr>
        <w:t xml:space="preserve"> lo señalado por la Corte Constitucional en sentencia C-1005 de 2008</w:t>
      </w:r>
      <w:r w:rsidRPr="00FE1B85">
        <w:rPr>
          <w:rStyle w:val="Refdenotaalpie"/>
          <w:rFonts w:ascii="Century Gothic" w:eastAsia="Calibri" w:hAnsi="Century Gothic" w:cs="Arial"/>
          <w:color w:val="000000" w:themeColor="text1"/>
        </w:rPr>
        <w:footnoteReference w:id="16"/>
      </w:r>
      <w:r w:rsidRPr="00FE1B85">
        <w:rPr>
          <w:rFonts w:ascii="Century Gothic" w:eastAsia="Calibri" w:hAnsi="Century Gothic" w:cs="Arial"/>
          <w:color w:val="000000" w:themeColor="text1"/>
        </w:rPr>
        <w:t xml:space="preserve"> y por el Consejo de Estado en sentencia del 20 de noviembre de 2014</w:t>
      </w:r>
      <w:r w:rsidRPr="00FE1B85">
        <w:rPr>
          <w:rStyle w:val="Refdenotaalpie"/>
          <w:rFonts w:ascii="Century Gothic" w:eastAsia="Calibri" w:hAnsi="Century Gothic" w:cs="Arial"/>
          <w:color w:val="000000" w:themeColor="text1"/>
        </w:rPr>
        <w:footnoteReference w:id="17"/>
      </w:r>
      <w:r>
        <w:rPr>
          <w:rFonts w:ascii="Century Gothic" w:eastAsia="Calibri" w:hAnsi="Century Gothic" w:cs="Arial"/>
          <w:color w:val="000000" w:themeColor="text1"/>
        </w:rPr>
        <w:t>,</w:t>
      </w:r>
      <w:r w:rsidRPr="00FE1B85">
        <w:rPr>
          <w:rFonts w:ascii="Century Gothic" w:eastAsia="Calibri" w:hAnsi="Century Gothic" w:cs="Arial"/>
          <w:color w:val="000000" w:themeColor="text1"/>
        </w:rPr>
        <w:t xml:space="preserve"> que coinciden en afirmar que </w:t>
      </w:r>
      <w:r>
        <w:rPr>
          <w:rFonts w:ascii="Century Gothic" w:eastAsia="Calibri" w:hAnsi="Century Gothic" w:cs="Arial"/>
          <w:color w:val="000000" w:themeColor="text1"/>
        </w:rPr>
        <w:t>aquella</w:t>
      </w:r>
      <w:r w:rsidRPr="00FE1B85">
        <w:rPr>
          <w:rFonts w:ascii="Century Gothic" w:eastAsia="Calibri" w:hAnsi="Century Gothic" w:cs="Arial"/>
          <w:color w:val="000000" w:themeColor="text1"/>
        </w:rPr>
        <w:t xml:space="preserve"> tiene dos elementos fundamentales, a saber, el primero de ellos es la necesidad</w:t>
      </w:r>
      <w:r>
        <w:rPr>
          <w:rFonts w:ascii="Century Gothic" w:eastAsia="Calibri" w:hAnsi="Century Gothic" w:cs="Arial"/>
          <w:color w:val="000000" w:themeColor="text1"/>
        </w:rPr>
        <w:t>,</w:t>
      </w:r>
      <w:r w:rsidRPr="00FE1B85">
        <w:rPr>
          <w:rFonts w:ascii="Century Gothic" w:eastAsia="Calibri" w:hAnsi="Century Gothic" w:cs="Arial"/>
          <w:color w:val="000000" w:themeColor="text1"/>
        </w:rPr>
        <w:t xml:space="preserve"> </w:t>
      </w:r>
      <w:r>
        <w:rPr>
          <w:rFonts w:ascii="Century Gothic" w:eastAsia="Calibri" w:hAnsi="Century Gothic" w:cs="Arial"/>
          <w:color w:val="000000" w:themeColor="text1"/>
        </w:rPr>
        <w:t>consistente en</w:t>
      </w:r>
      <w:r w:rsidRPr="00FE1B85">
        <w:rPr>
          <w:rFonts w:ascii="Century Gothic" w:eastAsia="Calibri" w:hAnsi="Century Gothic" w:cs="Arial"/>
          <w:color w:val="000000" w:themeColor="text1"/>
        </w:rPr>
        <w:t xml:space="preserve"> que el ejercicio de la potestad reglamentaria se justifica en la medida en que la ley deje espacios de regulación que necesitan llenarse para la ejecución de esta</w:t>
      </w:r>
      <w:r>
        <w:rPr>
          <w:rFonts w:ascii="Century Gothic" w:eastAsia="Calibri" w:hAnsi="Century Gothic" w:cs="Arial"/>
          <w:color w:val="000000" w:themeColor="text1"/>
        </w:rPr>
        <w:t>,</w:t>
      </w:r>
      <w:r w:rsidRPr="00FE1B85">
        <w:rPr>
          <w:rFonts w:ascii="Century Gothic" w:eastAsia="Calibri" w:hAnsi="Century Gothic" w:cs="Arial"/>
          <w:color w:val="000000" w:themeColor="text1"/>
        </w:rPr>
        <w:t xml:space="preserve"> mediante la expedición de actos jurídicos de contenido normativo, y el segundo, consistente en la finalidad</w:t>
      </w:r>
      <w:r>
        <w:rPr>
          <w:rFonts w:ascii="Century Gothic" w:eastAsia="Calibri" w:hAnsi="Century Gothic" w:cs="Arial"/>
          <w:color w:val="000000" w:themeColor="text1"/>
        </w:rPr>
        <w:t>,</w:t>
      </w:r>
      <w:r w:rsidRPr="00FE1B85">
        <w:rPr>
          <w:rFonts w:ascii="Century Gothic" w:eastAsia="Calibri" w:hAnsi="Century Gothic" w:cs="Arial"/>
          <w:color w:val="000000" w:themeColor="text1"/>
        </w:rPr>
        <w:t xml:space="preserve"> que se refiere a que el contenido de estas normas reglamentarias no pueden ni ampliar ni restringir los efectos de la Ley. </w:t>
      </w:r>
    </w:p>
    <w:p w14:paraId="1BD2C139" w14:textId="61F4F5BB" w:rsidR="00FA6E3E" w:rsidRDefault="00FA6E3E" w:rsidP="00FA6E3E">
      <w:pPr>
        <w:spacing w:after="120" w:line="276" w:lineRule="auto"/>
        <w:ind w:firstLine="708"/>
        <w:jc w:val="both"/>
        <w:rPr>
          <w:rFonts w:ascii="Century Gothic" w:eastAsia="Calibri" w:hAnsi="Century Gothic" w:cs="Arial"/>
          <w:color w:val="000000" w:themeColor="text1"/>
        </w:rPr>
      </w:pPr>
      <w:r w:rsidRPr="00FE1B85">
        <w:rPr>
          <w:rFonts w:ascii="Century Gothic" w:eastAsia="Calibri" w:hAnsi="Century Gothic" w:cs="Arial"/>
          <w:color w:val="000000" w:themeColor="text1"/>
        </w:rPr>
        <w:t xml:space="preserve">En efecto, </w:t>
      </w:r>
      <w:r>
        <w:rPr>
          <w:rFonts w:ascii="Century Gothic" w:eastAsia="Calibri" w:hAnsi="Century Gothic" w:cs="Arial"/>
          <w:color w:val="000000" w:themeColor="text1"/>
        </w:rPr>
        <w:t xml:space="preserve">en la memoria justificativa del Decreto 1860 de 2021 se informa que la norma reglamentaria cumple con los dos elementos fundamentales de regulación, y, en esa medida, indicó que era </w:t>
      </w:r>
      <w:r w:rsidRPr="00847562">
        <w:rPr>
          <w:rFonts w:ascii="Century Gothic" w:eastAsia="Calibri" w:hAnsi="Century Gothic" w:cs="Arial"/>
          <w:color w:val="000000" w:themeColor="text1"/>
        </w:rPr>
        <w:t>proced</w:t>
      </w:r>
      <w:r>
        <w:rPr>
          <w:rFonts w:ascii="Century Gothic" w:eastAsia="Calibri" w:hAnsi="Century Gothic" w:cs="Arial"/>
          <w:color w:val="000000" w:themeColor="text1"/>
        </w:rPr>
        <w:t xml:space="preserve">ente </w:t>
      </w:r>
      <w:r w:rsidRPr="00847562">
        <w:rPr>
          <w:rFonts w:ascii="Century Gothic" w:eastAsia="Calibri" w:hAnsi="Century Gothic" w:cs="Arial"/>
          <w:color w:val="000000" w:themeColor="text1"/>
        </w:rPr>
        <w:t>reglamentar la Ley de 2069 de 2020 por dicha vía</w:t>
      </w:r>
      <w:r>
        <w:rPr>
          <w:rFonts w:ascii="Century Gothic" w:eastAsia="Calibri" w:hAnsi="Century Gothic" w:cs="Arial"/>
          <w:color w:val="000000" w:themeColor="text1"/>
        </w:rPr>
        <w:t xml:space="preserve">, pues con </w:t>
      </w:r>
      <w:r w:rsidR="004C38ED">
        <w:rPr>
          <w:rFonts w:ascii="Century Gothic" w:eastAsia="Calibri" w:hAnsi="Century Gothic" w:cs="Arial"/>
          <w:color w:val="000000" w:themeColor="text1"/>
        </w:rPr>
        <w:t>la expedición del</w:t>
      </w:r>
      <w:r>
        <w:rPr>
          <w:rFonts w:ascii="Century Gothic" w:eastAsia="Calibri" w:hAnsi="Century Gothic" w:cs="Arial"/>
          <w:color w:val="000000" w:themeColor="text1"/>
        </w:rPr>
        <w:t xml:space="preserve"> Decreto </w:t>
      </w:r>
      <w:r w:rsidR="004C38ED">
        <w:rPr>
          <w:rFonts w:ascii="Century Gothic" w:eastAsia="Calibri" w:hAnsi="Century Gothic" w:cs="Arial"/>
          <w:color w:val="000000" w:themeColor="text1"/>
        </w:rPr>
        <w:t xml:space="preserve">1860 de 2021 </w:t>
      </w:r>
      <w:r>
        <w:rPr>
          <w:rFonts w:ascii="Century Gothic" w:eastAsia="Calibri" w:hAnsi="Century Gothic" w:cs="Arial"/>
          <w:color w:val="000000" w:themeColor="text1"/>
        </w:rPr>
        <w:t xml:space="preserve">no se está contraviniendo ni dando mayor alcance a la </w:t>
      </w:r>
      <w:r w:rsidRPr="00BB1EDE">
        <w:rPr>
          <w:rFonts w:ascii="Century Gothic" w:eastAsia="Calibri" w:hAnsi="Century Gothic" w:cs="Arial"/>
          <w:color w:val="000000" w:themeColor="text1"/>
        </w:rPr>
        <w:t>extensión de la ley</w:t>
      </w:r>
      <w:r>
        <w:rPr>
          <w:rFonts w:ascii="Century Gothic" w:eastAsia="Calibri" w:hAnsi="Century Gothic" w:cs="Arial"/>
          <w:color w:val="000000" w:themeColor="text1"/>
        </w:rPr>
        <w:t xml:space="preserve">, ni mucho menos se está desfigurando la </w:t>
      </w:r>
      <w:r w:rsidRPr="00BB1EDE">
        <w:rPr>
          <w:rFonts w:ascii="Century Gothic" w:eastAsia="Calibri" w:hAnsi="Century Gothic" w:cs="Arial"/>
          <w:color w:val="000000" w:themeColor="text1"/>
        </w:rPr>
        <w:t>situación</w:t>
      </w:r>
      <w:r>
        <w:rPr>
          <w:rFonts w:ascii="Century Gothic" w:eastAsia="Calibri" w:hAnsi="Century Gothic" w:cs="Arial"/>
          <w:color w:val="000000" w:themeColor="text1"/>
        </w:rPr>
        <w:t xml:space="preserve"> </w:t>
      </w:r>
      <w:r w:rsidRPr="00BB1EDE">
        <w:rPr>
          <w:rFonts w:ascii="Century Gothic" w:eastAsia="Calibri" w:hAnsi="Century Gothic" w:cs="Arial"/>
          <w:color w:val="000000" w:themeColor="text1"/>
        </w:rPr>
        <w:t>regulada</w:t>
      </w:r>
      <w:r>
        <w:rPr>
          <w:rFonts w:ascii="Century Gothic" w:eastAsia="Calibri" w:hAnsi="Century Gothic" w:cs="Arial"/>
          <w:color w:val="000000" w:themeColor="text1"/>
        </w:rPr>
        <w:t xml:space="preserve">, </w:t>
      </w:r>
      <w:r w:rsidRPr="00BB1EDE">
        <w:rPr>
          <w:rFonts w:ascii="Century Gothic" w:eastAsia="Calibri" w:hAnsi="Century Gothic" w:cs="Arial"/>
          <w:color w:val="000000" w:themeColor="text1"/>
        </w:rPr>
        <w:t xml:space="preserve">ni </w:t>
      </w:r>
      <w:r>
        <w:rPr>
          <w:rFonts w:ascii="Century Gothic" w:eastAsia="Calibri" w:hAnsi="Century Gothic" w:cs="Arial"/>
          <w:color w:val="000000" w:themeColor="text1"/>
        </w:rPr>
        <w:t xml:space="preserve">tampoco la </w:t>
      </w:r>
      <w:r w:rsidRPr="00BB1EDE">
        <w:rPr>
          <w:rFonts w:ascii="Century Gothic" w:eastAsia="Calibri" w:hAnsi="Century Gothic" w:cs="Arial"/>
          <w:color w:val="000000" w:themeColor="text1"/>
        </w:rPr>
        <w:t>hace nugatoria.</w:t>
      </w:r>
      <w:r w:rsidRPr="000A79DF">
        <w:rPr>
          <w:rFonts w:ascii="Century Gothic" w:eastAsia="Calibri" w:hAnsi="Century Gothic" w:cs="Arial"/>
          <w:color w:val="000000" w:themeColor="text1"/>
        </w:rPr>
        <w:t xml:space="preserve"> </w:t>
      </w:r>
    </w:p>
    <w:p w14:paraId="7F4B6346" w14:textId="77777777" w:rsidR="00FA6E3E" w:rsidRPr="00BB1EDE" w:rsidRDefault="00FA6E3E" w:rsidP="00FA6E3E">
      <w:pPr>
        <w:spacing w:after="120" w:line="276" w:lineRule="auto"/>
        <w:ind w:firstLine="708"/>
        <w:jc w:val="both"/>
        <w:rPr>
          <w:rFonts w:ascii="Century Gothic" w:eastAsia="Calibri" w:hAnsi="Century Gothic" w:cs="Arial"/>
          <w:color w:val="000000" w:themeColor="text1"/>
        </w:rPr>
      </w:pPr>
      <w:r>
        <w:rPr>
          <w:rFonts w:ascii="Century Gothic" w:eastAsia="Calibri" w:hAnsi="Century Gothic" w:cs="Arial"/>
          <w:color w:val="000000" w:themeColor="text1"/>
        </w:rPr>
        <w:t>Conforme a lo anterior, en lo que respecta a los artículos 30 y 35 de la Ley 2069 de 2020, la memoria justificativa indicó que estas son</w:t>
      </w:r>
      <w:r w:rsidRPr="00FE1B85">
        <w:rPr>
          <w:rFonts w:ascii="Century Gothic" w:eastAsia="Calibri" w:hAnsi="Century Gothic" w:cs="Arial"/>
          <w:color w:val="000000" w:themeColor="text1"/>
        </w:rPr>
        <w:t xml:space="preserve"> normas de aplicación directa, por lo que, en principio, la intervención del</w:t>
      </w:r>
      <w:r>
        <w:rPr>
          <w:rFonts w:ascii="Century Gothic" w:eastAsia="Calibri" w:hAnsi="Century Gothic" w:cs="Arial"/>
          <w:color w:val="000000" w:themeColor="text1"/>
        </w:rPr>
        <w:t xml:space="preserve"> </w:t>
      </w:r>
      <w:r w:rsidRPr="00FE1B85">
        <w:rPr>
          <w:rFonts w:ascii="Century Gothic" w:eastAsia="Calibri" w:hAnsi="Century Gothic" w:cs="Arial"/>
          <w:color w:val="000000" w:themeColor="text1"/>
        </w:rPr>
        <w:t xml:space="preserve">reglamento es accesoria, más no necesaria para su aplicación. </w:t>
      </w:r>
      <w:r>
        <w:rPr>
          <w:rFonts w:ascii="Century Gothic" w:eastAsia="Calibri" w:hAnsi="Century Gothic" w:cs="Arial"/>
          <w:color w:val="000000" w:themeColor="text1"/>
        </w:rPr>
        <w:t xml:space="preserve">Sin embargo, resaltó que su reglamentación resultaba ser necesaria puesto que </w:t>
      </w:r>
      <w:r w:rsidRPr="00FE1B85">
        <w:rPr>
          <w:rFonts w:ascii="Century Gothic" w:eastAsia="Calibri" w:hAnsi="Century Gothic" w:cs="Arial"/>
          <w:color w:val="000000" w:themeColor="text1"/>
        </w:rPr>
        <w:t>cualquier espacio abierto de decisión, siempre</w:t>
      </w:r>
      <w:r>
        <w:rPr>
          <w:rFonts w:ascii="Century Gothic" w:eastAsia="Calibri" w:hAnsi="Century Gothic" w:cs="Arial"/>
          <w:color w:val="000000" w:themeColor="text1"/>
        </w:rPr>
        <w:t xml:space="preserve"> </w:t>
      </w:r>
      <w:r w:rsidRPr="00FE1B85">
        <w:rPr>
          <w:rFonts w:ascii="Century Gothic" w:eastAsia="Calibri" w:hAnsi="Century Gothic" w:cs="Arial"/>
          <w:color w:val="000000" w:themeColor="text1"/>
        </w:rPr>
        <w:t>que no esté sometido a reserva, habilita el ejercicio de potestades discrecionales por parte de las</w:t>
      </w:r>
      <w:r>
        <w:rPr>
          <w:rFonts w:ascii="Century Gothic" w:eastAsia="Calibri" w:hAnsi="Century Gothic" w:cs="Arial"/>
          <w:color w:val="000000" w:themeColor="text1"/>
        </w:rPr>
        <w:t xml:space="preserve"> </w:t>
      </w:r>
      <w:r w:rsidRPr="00FE1B85">
        <w:rPr>
          <w:rFonts w:ascii="Century Gothic" w:eastAsia="Calibri" w:hAnsi="Century Gothic" w:cs="Arial"/>
          <w:color w:val="000000" w:themeColor="text1"/>
        </w:rPr>
        <w:t>entidades estatales y demás sujetos que deben aplicar tales normas, salvo que el reglamento</w:t>
      </w:r>
      <w:r>
        <w:rPr>
          <w:rFonts w:ascii="Century Gothic" w:eastAsia="Calibri" w:hAnsi="Century Gothic" w:cs="Arial"/>
          <w:color w:val="000000" w:themeColor="text1"/>
        </w:rPr>
        <w:t xml:space="preserve"> </w:t>
      </w:r>
      <w:r w:rsidRPr="00FE1B85">
        <w:rPr>
          <w:rFonts w:ascii="Century Gothic" w:eastAsia="Calibri" w:hAnsi="Century Gothic" w:cs="Arial"/>
          <w:color w:val="000000" w:themeColor="text1"/>
        </w:rPr>
        <w:t>eventualmente los limite</w:t>
      </w:r>
      <w:r>
        <w:rPr>
          <w:rFonts w:ascii="Century Gothic" w:eastAsia="Calibri" w:hAnsi="Century Gothic" w:cs="Arial"/>
          <w:color w:val="000000" w:themeColor="text1"/>
        </w:rPr>
        <w:t>, lo que podría afectar los principios de transparencia y de selección objetiva que operan en la contratación estatal.</w:t>
      </w:r>
    </w:p>
    <w:p w14:paraId="0A2C5DC8" w14:textId="77777777" w:rsidR="00FA6E3E" w:rsidRPr="00F95D49" w:rsidRDefault="00FA6E3E" w:rsidP="00FA6E3E">
      <w:pPr>
        <w:pStyle w:val="Textoindependiente"/>
        <w:spacing w:line="276" w:lineRule="auto"/>
        <w:ind w:firstLine="708"/>
        <w:contextualSpacing/>
        <w:jc w:val="both"/>
        <w:rPr>
          <w:rFonts w:ascii="Century Gothic" w:eastAsia="Calibri" w:hAnsi="Century Gothic"/>
          <w:color w:val="000000" w:themeColor="text1"/>
          <w:sz w:val="22"/>
          <w:szCs w:val="22"/>
        </w:rPr>
      </w:pPr>
      <w:r w:rsidRPr="00F95D49">
        <w:rPr>
          <w:rFonts w:ascii="Century Gothic" w:eastAsia="Calibri" w:hAnsi="Century Gothic"/>
          <w:color w:val="000000" w:themeColor="text1"/>
          <w:sz w:val="22"/>
          <w:szCs w:val="22"/>
        </w:rPr>
        <w:t xml:space="preserve">Por tal razón, y teniendo en cuenta el objeto de su consulta, la memoria justificativa del Decreto 1860 de 2021 indicó que, en relación con las </w:t>
      </w:r>
      <w:proofErr w:type="spellStart"/>
      <w:r w:rsidRPr="00F95D49">
        <w:rPr>
          <w:rFonts w:ascii="Century Gothic" w:eastAsia="Calibri" w:hAnsi="Century Gothic"/>
          <w:color w:val="000000" w:themeColor="text1"/>
          <w:sz w:val="22"/>
          <w:szCs w:val="22"/>
        </w:rPr>
        <w:t>Mipymes</w:t>
      </w:r>
      <w:proofErr w:type="spellEnd"/>
      <w:r w:rsidRPr="00F95D49">
        <w:rPr>
          <w:rFonts w:ascii="Century Gothic" w:eastAsia="Calibri" w:hAnsi="Century Gothic"/>
          <w:color w:val="000000" w:themeColor="text1"/>
          <w:sz w:val="22"/>
          <w:szCs w:val="22"/>
        </w:rPr>
        <w:t xml:space="preserve"> y el procedimiento de mínima cuantía, el artículo 30 de la Ley 2069 de 2020 reguló aspectos como: i) el término mínimo para publicar la invitación, </w:t>
      </w:r>
      <w:proofErr w:type="spellStart"/>
      <w:r w:rsidRPr="00F95D49">
        <w:rPr>
          <w:rFonts w:ascii="Century Gothic" w:eastAsia="Calibri" w:hAnsi="Century Gothic"/>
          <w:color w:val="000000" w:themeColor="text1"/>
          <w:sz w:val="22"/>
          <w:szCs w:val="22"/>
        </w:rPr>
        <w:t>ii</w:t>
      </w:r>
      <w:proofErr w:type="spellEnd"/>
      <w:r w:rsidRPr="00F95D49">
        <w:rPr>
          <w:rFonts w:ascii="Century Gothic" w:eastAsia="Calibri" w:hAnsi="Century Gothic"/>
          <w:color w:val="000000" w:themeColor="text1"/>
          <w:sz w:val="22"/>
          <w:szCs w:val="22"/>
        </w:rPr>
        <w:t xml:space="preserve">) el plazo mínimo de recepción de las ofertas, </w:t>
      </w:r>
      <w:proofErr w:type="spellStart"/>
      <w:r w:rsidRPr="00F95D49">
        <w:rPr>
          <w:rFonts w:ascii="Century Gothic" w:eastAsia="Calibri" w:hAnsi="Century Gothic"/>
          <w:color w:val="000000" w:themeColor="text1"/>
          <w:sz w:val="22"/>
          <w:szCs w:val="22"/>
        </w:rPr>
        <w:t>iii</w:t>
      </w:r>
      <w:proofErr w:type="spellEnd"/>
      <w:r w:rsidRPr="00F95D49">
        <w:rPr>
          <w:rFonts w:ascii="Century Gothic" w:eastAsia="Calibri" w:hAnsi="Century Gothic"/>
          <w:color w:val="000000" w:themeColor="text1"/>
          <w:sz w:val="22"/>
          <w:szCs w:val="22"/>
        </w:rPr>
        <w:t xml:space="preserve">) el factor de evaluación que define la selección del proponente y </w:t>
      </w:r>
      <w:proofErr w:type="spellStart"/>
      <w:r w:rsidRPr="00F95D49">
        <w:rPr>
          <w:rFonts w:ascii="Century Gothic" w:eastAsia="Calibri" w:hAnsi="Century Gothic"/>
          <w:color w:val="000000" w:themeColor="text1"/>
          <w:sz w:val="22"/>
          <w:szCs w:val="22"/>
        </w:rPr>
        <w:t>iv</w:t>
      </w:r>
      <w:proofErr w:type="spellEnd"/>
      <w:r w:rsidRPr="00F95D49">
        <w:rPr>
          <w:rFonts w:ascii="Century Gothic" w:eastAsia="Calibri" w:hAnsi="Century Gothic"/>
          <w:color w:val="000000" w:themeColor="text1"/>
          <w:sz w:val="22"/>
          <w:szCs w:val="22"/>
        </w:rPr>
        <w:t xml:space="preserve">) el perfeccionamiento del contrato. Con los anteriores parámetros las entidades podían estructurar sus procedimientos de selección, sin embargo, señaló que “en virtud de lo dispuesto en el parágrafo 1 del citado artículo, el Gobierno nacional puede ejercer su potestad reglamentaria para regular tanto las particularidades del procedimiento de selección como la posibilidad de realizar estas adquisiciones a </w:t>
      </w:r>
      <w:proofErr w:type="spellStart"/>
      <w:r w:rsidRPr="00F95D49">
        <w:rPr>
          <w:rFonts w:ascii="Century Gothic" w:eastAsia="Calibri" w:hAnsi="Century Gothic"/>
          <w:color w:val="000000" w:themeColor="text1"/>
          <w:sz w:val="22"/>
          <w:szCs w:val="22"/>
        </w:rPr>
        <w:t>Mipymes</w:t>
      </w:r>
      <w:proofErr w:type="spellEnd"/>
      <w:r w:rsidRPr="00F95D49">
        <w:rPr>
          <w:rFonts w:ascii="Century Gothic" w:eastAsia="Calibri" w:hAnsi="Century Gothic"/>
          <w:color w:val="000000" w:themeColor="text1"/>
          <w:sz w:val="22"/>
          <w:szCs w:val="22"/>
        </w:rPr>
        <w:t xml:space="preserve"> o establecimientos que correspondan a la definición de “gran almacén”.”</w:t>
      </w:r>
    </w:p>
    <w:p w14:paraId="6316841E" w14:textId="77777777" w:rsidR="00FA6E3E" w:rsidRDefault="00FA6E3E" w:rsidP="00FA6E3E">
      <w:pPr>
        <w:pStyle w:val="Textoindependiente"/>
        <w:ind w:firstLine="708"/>
        <w:contextualSpacing/>
        <w:jc w:val="both"/>
        <w:rPr>
          <w:rFonts w:ascii="Century Gothic" w:eastAsia="Calibri" w:hAnsi="Century Gothic"/>
          <w:color w:val="000000" w:themeColor="text1"/>
        </w:rPr>
      </w:pPr>
    </w:p>
    <w:p w14:paraId="71D75128" w14:textId="77777777" w:rsidR="00FA6E3E" w:rsidRDefault="00FA6E3E" w:rsidP="00FA6E3E">
      <w:pPr>
        <w:spacing w:after="120" w:line="276" w:lineRule="auto"/>
        <w:jc w:val="both"/>
        <w:rPr>
          <w:rFonts w:ascii="Century Gothic" w:eastAsia="Calibri" w:hAnsi="Century Gothic" w:cs="Arial"/>
          <w:color w:val="000000" w:themeColor="text1"/>
        </w:rPr>
      </w:pPr>
      <w:r>
        <w:rPr>
          <w:rFonts w:ascii="Century Gothic" w:eastAsia="Calibri" w:hAnsi="Century Gothic" w:cs="Arial"/>
          <w:color w:val="000000" w:themeColor="text1"/>
        </w:rPr>
        <w:tab/>
      </w:r>
      <w:r w:rsidRPr="00FE1B85">
        <w:rPr>
          <w:rFonts w:ascii="Century Gothic" w:eastAsia="Calibri" w:hAnsi="Century Gothic" w:cs="Arial"/>
          <w:color w:val="000000" w:themeColor="text1"/>
        </w:rPr>
        <w:t xml:space="preserve">Adicionalmente, </w:t>
      </w:r>
      <w:r>
        <w:rPr>
          <w:rFonts w:ascii="Century Gothic" w:eastAsia="Calibri" w:hAnsi="Century Gothic" w:cs="Arial"/>
          <w:color w:val="000000" w:themeColor="text1"/>
        </w:rPr>
        <w:t xml:space="preserve">se indicó que era necesario reglamentar </w:t>
      </w:r>
      <w:r w:rsidRPr="000C69C2">
        <w:rPr>
          <w:rFonts w:ascii="Century Gothic" w:eastAsia="Calibri" w:hAnsi="Century Gothic" w:cs="Arial"/>
          <w:color w:val="000000" w:themeColor="text1"/>
        </w:rPr>
        <w:t xml:space="preserve">la </w:t>
      </w:r>
      <w:proofErr w:type="spellStart"/>
      <w:r w:rsidRPr="000C69C2">
        <w:rPr>
          <w:rFonts w:ascii="Century Gothic" w:eastAsia="Calibri" w:hAnsi="Century Gothic" w:cs="Arial"/>
          <w:color w:val="000000" w:themeColor="text1"/>
        </w:rPr>
        <w:t>subsanabilidad</w:t>
      </w:r>
      <w:proofErr w:type="spellEnd"/>
      <w:r>
        <w:rPr>
          <w:rFonts w:ascii="Century Gothic" w:eastAsia="Calibri" w:hAnsi="Century Gothic" w:cs="Arial"/>
          <w:color w:val="000000" w:themeColor="text1"/>
        </w:rPr>
        <w:t xml:space="preserve"> </w:t>
      </w:r>
      <w:r w:rsidRPr="000C69C2">
        <w:rPr>
          <w:rFonts w:ascii="Century Gothic" w:eastAsia="Calibri" w:hAnsi="Century Gothic" w:cs="Arial"/>
          <w:color w:val="000000" w:themeColor="text1"/>
        </w:rPr>
        <w:t>de las ofertas y la aplicación</w:t>
      </w:r>
      <w:r>
        <w:rPr>
          <w:rFonts w:ascii="Century Gothic" w:eastAsia="Calibri" w:hAnsi="Century Gothic" w:cs="Arial"/>
          <w:color w:val="000000" w:themeColor="text1"/>
        </w:rPr>
        <w:t xml:space="preserve"> </w:t>
      </w:r>
      <w:r w:rsidRPr="000C69C2">
        <w:rPr>
          <w:rFonts w:ascii="Century Gothic" w:eastAsia="Calibri" w:hAnsi="Century Gothic" w:cs="Arial"/>
          <w:color w:val="000000" w:themeColor="text1"/>
        </w:rPr>
        <w:t>de los factores de desempate</w:t>
      </w:r>
      <w:r>
        <w:rPr>
          <w:rFonts w:ascii="Century Gothic" w:eastAsia="Calibri" w:hAnsi="Century Gothic" w:cs="Arial"/>
          <w:color w:val="000000" w:themeColor="text1"/>
        </w:rPr>
        <w:t xml:space="preserve"> dentro del proceso de selección de mínima cuantía, considerando que</w:t>
      </w:r>
      <w:r w:rsidRPr="000C69C2">
        <w:rPr>
          <w:rFonts w:ascii="Century Gothic" w:eastAsia="Calibri" w:hAnsi="Century Gothic" w:cs="Arial"/>
          <w:color w:val="000000" w:themeColor="text1"/>
        </w:rPr>
        <w:t xml:space="preserve"> las entidades “(…) establecerán un término</w:t>
      </w:r>
      <w:r>
        <w:rPr>
          <w:rFonts w:ascii="Century Gothic" w:eastAsia="Calibri" w:hAnsi="Century Gothic" w:cs="Arial"/>
          <w:color w:val="000000" w:themeColor="text1"/>
        </w:rPr>
        <w:t xml:space="preserve"> </w:t>
      </w:r>
      <w:r w:rsidRPr="000C69C2">
        <w:rPr>
          <w:rFonts w:ascii="Century Gothic" w:eastAsia="Calibri" w:hAnsi="Century Gothic" w:cs="Arial"/>
          <w:color w:val="000000" w:themeColor="text1"/>
        </w:rPr>
        <w:t>preclusivo en la invitación para recibir los documentos subsanables, frente a cada uno de los</w:t>
      </w:r>
      <w:r>
        <w:rPr>
          <w:rFonts w:ascii="Century Gothic" w:eastAsia="Calibri" w:hAnsi="Century Gothic" w:cs="Arial"/>
          <w:color w:val="000000" w:themeColor="text1"/>
        </w:rPr>
        <w:t xml:space="preserve"> </w:t>
      </w:r>
      <w:r w:rsidRPr="000C69C2">
        <w:rPr>
          <w:rFonts w:ascii="Century Gothic" w:eastAsia="Calibri" w:hAnsi="Century Gothic" w:cs="Arial"/>
          <w:color w:val="000000" w:themeColor="text1"/>
        </w:rPr>
        <w:t>requerimientos. En caso de que no se establezca este término, los proponentes podrán subsanar sus</w:t>
      </w:r>
      <w:r>
        <w:rPr>
          <w:rFonts w:ascii="Century Gothic" w:eastAsia="Calibri" w:hAnsi="Century Gothic" w:cs="Arial"/>
          <w:color w:val="000000" w:themeColor="text1"/>
        </w:rPr>
        <w:t xml:space="preserve"> </w:t>
      </w:r>
      <w:r w:rsidRPr="000C69C2">
        <w:rPr>
          <w:rFonts w:ascii="Century Gothic" w:eastAsia="Calibri" w:hAnsi="Century Gothic" w:cs="Arial"/>
          <w:color w:val="000000" w:themeColor="text1"/>
        </w:rPr>
        <w:t xml:space="preserve">ofertas hasta antes de que finalice el traslado del informe de evaluación”. </w:t>
      </w:r>
    </w:p>
    <w:p w14:paraId="6C5158B3" w14:textId="77777777" w:rsidR="00FA6E3E" w:rsidRDefault="00FA6E3E" w:rsidP="00FA6E3E">
      <w:pPr>
        <w:spacing w:after="120" w:line="276" w:lineRule="auto"/>
        <w:jc w:val="both"/>
        <w:rPr>
          <w:rFonts w:ascii="Century Gothic" w:eastAsia="Calibri" w:hAnsi="Century Gothic" w:cs="Arial"/>
          <w:color w:val="000000" w:themeColor="text1"/>
        </w:rPr>
      </w:pPr>
      <w:r>
        <w:rPr>
          <w:rFonts w:ascii="Century Gothic" w:eastAsia="Calibri" w:hAnsi="Century Gothic" w:cs="Arial"/>
          <w:color w:val="000000" w:themeColor="text1"/>
        </w:rPr>
        <w:tab/>
      </w:r>
      <w:r w:rsidRPr="007247A9">
        <w:rPr>
          <w:rFonts w:ascii="Century Gothic" w:eastAsia="Calibri" w:hAnsi="Century Gothic" w:cs="Arial"/>
          <w:color w:val="000000" w:themeColor="text1"/>
        </w:rPr>
        <w:t xml:space="preserve">Ahora bien, </w:t>
      </w:r>
      <w:r w:rsidRPr="007247A9">
        <w:rPr>
          <w:rFonts w:ascii="Century Gothic" w:hAnsi="Century Gothic"/>
        </w:rPr>
        <w:t xml:space="preserve">en cuanto al alcance de la reglamentación de límites temporales para la subsanación de ofertas en la modalidad de mínima cuantía, dicha reglamentación </w:t>
      </w:r>
      <w:r w:rsidRPr="007247A9">
        <w:rPr>
          <w:rFonts w:ascii="Century Gothic" w:eastAsia="Calibri" w:hAnsi="Century Gothic" w:cs="Arial"/>
          <w:color w:val="000000" w:themeColor="text1"/>
        </w:rPr>
        <w:t xml:space="preserve">se justificó con el fin de acotar criterios discrecionales en el mencionado proceso de selección por parte de las entidades estatales y demás personas intervinientes en los Procesos de Contratación, más aún cuando </w:t>
      </w:r>
      <w:r>
        <w:rPr>
          <w:rFonts w:ascii="Century Gothic" w:eastAsia="Calibri" w:hAnsi="Century Gothic" w:cs="Arial"/>
          <w:color w:val="000000" w:themeColor="text1"/>
        </w:rPr>
        <w:t>se ha establecido por vía jurisprudencial y doctrinaria el derecho a la subsanación de las ofertas, en virtud de lo cual no pueden rechazarse a proponentes por aspectos meramente formales.</w:t>
      </w:r>
    </w:p>
    <w:p w14:paraId="07C4BDE5" w14:textId="77777777" w:rsidR="00FA6E3E" w:rsidRPr="007247A9" w:rsidRDefault="00FA6E3E" w:rsidP="00FA6E3E">
      <w:pPr>
        <w:spacing w:after="120" w:line="276" w:lineRule="auto"/>
        <w:jc w:val="both"/>
        <w:rPr>
          <w:rFonts w:ascii="Century Gothic" w:eastAsia="Calibri" w:hAnsi="Century Gothic" w:cs="Arial"/>
          <w:color w:val="000000" w:themeColor="text1"/>
          <w:lang w:val="es-ES"/>
        </w:rPr>
      </w:pPr>
      <w:r>
        <w:rPr>
          <w:rFonts w:ascii="Century Gothic" w:eastAsia="Calibri" w:hAnsi="Century Gothic" w:cs="Arial"/>
          <w:color w:val="000000" w:themeColor="text1"/>
        </w:rPr>
        <w:tab/>
        <w:t>Sobre este tema, l</w:t>
      </w:r>
      <w:r w:rsidRPr="007247A9">
        <w:rPr>
          <w:rFonts w:ascii="Century Gothic" w:eastAsia="Calibri" w:hAnsi="Century Gothic" w:cs="Arial"/>
          <w:color w:val="000000" w:themeColor="text1"/>
        </w:rPr>
        <w:t xml:space="preserve">a Agencia se ha pronunciado en desarrollo del principio de selección objetiva en los conceptos </w:t>
      </w:r>
      <w:r w:rsidRPr="007247A9">
        <w:rPr>
          <w:rFonts w:ascii="Century Gothic" w:hAnsi="Century Gothic" w:cs="Arial"/>
          <w:color w:val="000000" w:themeColor="text1"/>
          <w:lang w:val="es-MX"/>
        </w:rPr>
        <w:t>con radicado</w:t>
      </w:r>
      <w:r>
        <w:rPr>
          <w:rFonts w:ascii="Century Gothic" w:hAnsi="Century Gothic" w:cs="Arial"/>
          <w:color w:val="000000" w:themeColor="text1"/>
          <w:lang w:val="es-MX"/>
        </w:rPr>
        <w:t>s</w:t>
      </w:r>
      <w:r w:rsidRPr="007247A9">
        <w:rPr>
          <w:rFonts w:ascii="Century Gothic" w:hAnsi="Century Gothic" w:cs="Arial"/>
          <w:color w:val="000000" w:themeColor="text1"/>
          <w:lang w:val="es-MX"/>
        </w:rPr>
        <w:t xml:space="preserve"> No: 4201913000006471 del 28 de octubre de 2019, 4201912000006711 del 12 de noviembre de 2019 y 4201912000006496 del 15 de noviembre de 2019, l</w:t>
      </w:r>
      <w:r>
        <w:rPr>
          <w:rFonts w:ascii="Century Gothic" w:hAnsi="Century Gothic" w:cs="Arial"/>
          <w:color w:val="000000" w:themeColor="text1"/>
          <w:lang w:val="es-MX"/>
        </w:rPr>
        <w:t>o</w:t>
      </w:r>
      <w:r w:rsidRPr="007247A9">
        <w:rPr>
          <w:rFonts w:ascii="Century Gothic" w:hAnsi="Century Gothic" w:cs="Arial"/>
          <w:color w:val="000000" w:themeColor="text1"/>
          <w:lang w:val="es-MX"/>
        </w:rPr>
        <w:t>s cuales se unificaron en el Concepto CU–060 del 24 de febrero de 2020, que se reitera en forma pacífica, entre otros, en los conceptos: C-121 del 3 de marzo de 2020, C-160 del 3 de abril de 2020,  C-013 del 17 de abril de 2020,  C-465 del 27 de julio de 2020,  C-557 del 21 de agosto de 2020, C-573 del 27 de agosto de 2020, C-595 del 21 de septiembre de 2020, C-634 de 21 de noviembre de 2020, C–779 del 18 de enero de 2021, C–802 del 1 de febrero de 2021, C–010 del 16 de febrero de 2021, C–217 del 14 de mayo de 2021</w:t>
      </w:r>
      <w:r>
        <w:rPr>
          <w:rFonts w:ascii="Century Gothic" w:hAnsi="Century Gothic" w:cs="Arial"/>
          <w:color w:val="000000" w:themeColor="text1"/>
          <w:lang w:val="es-MX"/>
        </w:rPr>
        <w:t xml:space="preserve"> y</w:t>
      </w:r>
      <w:r w:rsidRPr="007247A9">
        <w:rPr>
          <w:rFonts w:ascii="Century Gothic" w:hAnsi="Century Gothic" w:cs="Arial"/>
          <w:color w:val="000000" w:themeColor="text1"/>
          <w:lang w:val="es-MX"/>
        </w:rPr>
        <w:t xml:space="preserve"> C–250 del 2 </w:t>
      </w:r>
      <w:r w:rsidRPr="000658FD">
        <w:rPr>
          <w:rFonts w:ascii="Century Gothic" w:eastAsia="Calibri" w:hAnsi="Century Gothic" w:cs="Arial"/>
          <w:color w:val="000000" w:themeColor="text1"/>
        </w:rPr>
        <w:t>de</w:t>
      </w:r>
      <w:r w:rsidRPr="007247A9">
        <w:rPr>
          <w:rFonts w:ascii="Century Gothic" w:hAnsi="Century Gothic" w:cs="Arial"/>
          <w:color w:val="000000" w:themeColor="text1"/>
          <w:lang w:val="es-MX"/>
        </w:rPr>
        <w:t xml:space="preserve"> junio de 202</w:t>
      </w:r>
      <w:r>
        <w:rPr>
          <w:rFonts w:ascii="Century Gothic" w:hAnsi="Century Gothic" w:cs="Arial"/>
          <w:color w:val="000000" w:themeColor="text1"/>
          <w:lang w:val="es-MX"/>
        </w:rPr>
        <w:t>2</w:t>
      </w:r>
      <w:r w:rsidRPr="007247A9">
        <w:rPr>
          <w:rStyle w:val="Refdenotaalpie"/>
          <w:rFonts w:ascii="Century Gothic" w:eastAsia="Calibri" w:hAnsi="Century Gothic" w:cs="Arial"/>
          <w:color w:val="000000" w:themeColor="text1"/>
        </w:rPr>
        <w:footnoteReference w:id="18"/>
      </w:r>
      <w:r w:rsidRPr="007247A9">
        <w:rPr>
          <w:rFonts w:ascii="Century Gothic" w:eastAsia="Calibri" w:hAnsi="Century Gothic" w:cs="Arial"/>
          <w:color w:val="000000" w:themeColor="text1"/>
        </w:rPr>
        <w:t>.</w:t>
      </w:r>
    </w:p>
    <w:p w14:paraId="21B5BF34" w14:textId="77777777" w:rsidR="00FA6E3E" w:rsidRPr="00FE1B85" w:rsidRDefault="00FA6E3E" w:rsidP="00FA6E3E">
      <w:pPr>
        <w:spacing w:after="120" w:line="276" w:lineRule="auto"/>
        <w:jc w:val="both"/>
        <w:rPr>
          <w:rFonts w:ascii="Century Gothic" w:eastAsia="Calibri" w:hAnsi="Century Gothic" w:cs="Arial"/>
          <w:color w:val="000000" w:themeColor="text1"/>
          <w:lang w:val="es-ES_tradnl"/>
        </w:rPr>
      </w:pPr>
      <w:r>
        <w:rPr>
          <w:rFonts w:ascii="Century Gothic" w:eastAsia="Calibri" w:hAnsi="Century Gothic" w:cs="Arial"/>
          <w:color w:val="000000" w:themeColor="text1"/>
          <w:lang w:val="es-ES"/>
        </w:rPr>
        <w:tab/>
      </w:r>
      <w:r>
        <w:rPr>
          <w:rFonts w:ascii="Century Gothic" w:eastAsia="Calibri" w:hAnsi="Century Gothic" w:cs="Arial"/>
          <w:color w:val="000000" w:themeColor="text1"/>
          <w:lang w:val="es-ES_tradnl"/>
        </w:rPr>
        <w:t>En los mencionados conceptos se ha indicado que u</w:t>
      </w:r>
      <w:r w:rsidRPr="00FE1B85">
        <w:rPr>
          <w:rFonts w:ascii="Century Gothic" w:eastAsia="Calibri" w:hAnsi="Century Gothic" w:cs="Arial"/>
          <w:color w:val="000000" w:themeColor="text1"/>
          <w:lang w:val="es-ES_tradnl"/>
        </w:rPr>
        <w:t xml:space="preserve">no de los principios transversales de los procedimientos de selección es el de </w:t>
      </w:r>
      <w:r w:rsidRPr="00FE1B85">
        <w:rPr>
          <w:rFonts w:ascii="Century Gothic" w:eastAsia="Calibri" w:hAnsi="Century Gothic" w:cs="Arial"/>
          <w:i/>
          <w:color w:val="000000" w:themeColor="text1"/>
          <w:lang w:val="es-ES_tradnl"/>
        </w:rPr>
        <w:t>selección objetiva</w:t>
      </w:r>
      <w:r>
        <w:rPr>
          <w:rFonts w:ascii="Century Gothic" w:eastAsia="Calibri" w:hAnsi="Century Gothic" w:cs="Arial"/>
          <w:color w:val="000000" w:themeColor="text1"/>
          <w:lang w:val="es-ES_tradnl"/>
        </w:rPr>
        <w:t>, que</w:t>
      </w:r>
      <w:r w:rsidRPr="00FE1B85">
        <w:rPr>
          <w:rFonts w:ascii="Century Gothic" w:eastAsia="Calibri" w:hAnsi="Century Gothic" w:cs="Arial"/>
          <w:color w:val="000000" w:themeColor="text1"/>
          <w:lang w:val="es-ES_tradnl"/>
        </w:rPr>
        <w:t xml:space="preserve"> exige que la escogencia de la oferta ganadora se debe fundamentar en factores objetivos, de carácter técnico, jurídico y financiero, y no en criterios subjetivos, como el afecto, la amistad, el ánimo de ayuda, el interés personal, etc. Si bien dentro de la historia de la contratación pública en Colombia, se vislumbran antecedentes normativos que consagraban dicho principio</w:t>
      </w:r>
      <w:r w:rsidRPr="00FE1B85">
        <w:rPr>
          <w:rStyle w:val="Refdenotaalpie"/>
          <w:rFonts w:ascii="Century Gothic" w:eastAsia="Calibri" w:hAnsi="Century Gothic" w:cs="Arial"/>
          <w:color w:val="000000" w:themeColor="text1"/>
          <w:lang w:val="es-ES_tradnl"/>
        </w:rPr>
        <w:footnoteReference w:id="19"/>
      </w:r>
      <w:r w:rsidRPr="00FE1B85">
        <w:rPr>
          <w:rFonts w:ascii="Century Gothic" w:eastAsia="Calibri" w:hAnsi="Century Gothic" w:cs="Arial"/>
          <w:color w:val="000000" w:themeColor="text1"/>
          <w:lang w:val="es-ES_tradnl"/>
        </w:rPr>
        <w:t xml:space="preserve">, en la actualidad la disposición legal que lo prevé de manera más clara y contundente es el artículo 5 de la Ley 1150 de 2007, modificado por el artículo 88 de la Ley 1474 de 2011 y por el artículo 5 de la Ley </w:t>
      </w:r>
      <w:r w:rsidRPr="000658FD">
        <w:rPr>
          <w:rFonts w:ascii="Century Gothic" w:hAnsi="Century Gothic" w:cs="Arial"/>
          <w:color w:val="000000" w:themeColor="text1"/>
          <w:lang w:val="es-MX"/>
        </w:rPr>
        <w:t>1882</w:t>
      </w:r>
      <w:r w:rsidRPr="00FE1B85">
        <w:rPr>
          <w:rFonts w:ascii="Century Gothic" w:eastAsia="Calibri" w:hAnsi="Century Gothic" w:cs="Arial"/>
          <w:color w:val="000000" w:themeColor="text1"/>
          <w:lang w:val="es-ES_tradnl"/>
        </w:rPr>
        <w:t xml:space="preserve"> de 2018</w:t>
      </w:r>
      <w:r>
        <w:rPr>
          <w:rFonts w:ascii="Century Gothic" w:eastAsia="Calibri" w:hAnsi="Century Gothic" w:cs="Arial"/>
          <w:color w:val="000000" w:themeColor="text1"/>
          <w:lang w:val="es-ES_tradnl"/>
        </w:rPr>
        <w:t xml:space="preserve">. </w:t>
      </w:r>
    </w:p>
    <w:p w14:paraId="5474EC88" w14:textId="77777777" w:rsidR="00FA6E3E" w:rsidRPr="00FE1B85" w:rsidRDefault="00FA6E3E" w:rsidP="00FA6E3E">
      <w:pPr>
        <w:tabs>
          <w:tab w:val="left" w:pos="0"/>
        </w:tabs>
        <w:spacing w:after="120" w:line="276" w:lineRule="auto"/>
        <w:jc w:val="both"/>
        <w:rPr>
          <w:rFonts w:ascii="Century Gothic" w:eastAsia="Calibri" w:hAnsi="Century Gothic" w:cs="Arial"/>
        </w:rPr>
      </w:pPr>
      <w:r w:rsidRPr="00FE1B85">
        <w:rPr>
          <w:rFonts w:ascii="Century Gothic" w:eastAsia="Calibri" w:hAnsi="Century Gothic" w:cs="Arial"/>
          <w:bCs/>
        </w:rPr>
        <w:tab/>
      </w:r>
      <w:r w:rsidRPr="00FE1B85">
        <w:rPr>
          <w:rFonts w:ascii="Century Gothic" w:eastAsia="Calibri" w:hAnsi="Century Gothic" w:cs="Arial"/>
        </w:rPr>
        <w:t xml:space="preserve">De acuerdo con el artículo 5 de la Ley 1150 de 2007, y conforme con lo expresado en el concepto C–166 del 23 de abril de 2021, </w:t>
      </w:r>
      <w:r>
        <w:rPr>
          <w:rFonts w:ascii="Century Gothic" w:eastAsia="Calibri" w:hAnsi="Century Gothic" w:cs="Arial"/>
        </w:rPr>
        <w:t xml:space="preserve">emitido por esta Agencia, el </w:t>
      </w:r>
      <w:r w:rsidRPr="00FE1B85">
        <w:rPr>
          <w:rFonts w:ascii="Century Gothic" w:eastAsia="Calibri" w:hAnsi="Century Gothic" w:cs="Arial"/>
        </w:rPr>
        <w:t xml:space="preserve">deber de selección objetiva supone que las entidades escojan en los </w:t>
      </w:r>
      <w:r w:rsidRPr="00FE1B85">
        <w:rPr>
          <w:rFonts w:ascii="Century Gothic" w:eastAsia="Calibri" w:hAnsi="Century Gothic" w:cs="Arial"/>
          <w:bCs/>
        </w:rPr>
        <w:t>Procesos</w:t>
      </w:r>
      <w:r w:rsidRPr="00FE1B85">
        <w:rPr>
          <w:rFonts w:ascii="Century Gothic" w:eastAsia="Calibri" w:hAnsi="Century Gothic" w:cs="Arial"/>
        </w:rPr>
        <w:t xml:space="preserve"> de </w:t>
      </w:r>
      <w:r w:rsidRPr="00FE1B85">
        <w:rPr>
          <w:rFonts w:ascii="Century Gothic" w:eastAsia="Calibri" w:hAnsi="Century Gothic" w:cs="Arial"/>
          <w:bCs/>
        </w:rPr>
        <w:t xml:space="preserve">Contratación </w:t>
      </w:r>
      <w:r w:rsidRPr="00FE1B85">
        <w:rPr>
          <w:rFonts w:ascii="Century Gothic" w:eastAsia="Calibri" w:hAnsi="Century Gothic" w:cs="Arial"/>
        </w:rPr>
        <w:t xml:space="preserve">el “[…] ofrecimiento más favorable a la entidad y a los fines que ella busca </w:t>
      </w:r>
      <w:r w:rsidRPr="00FE1B85">
        <w:rPr>
          <w:rFonts w:ascii="Century Gothic" w:hAnsi="Century Gothic" w:cs="Arial"/>
        </w:rPr>
        <w:t>[…]</w:t>
      </w:r>
      <w:r w:rsidRPr="00FE1B85">
        <w:rPr>
          <w:rFonts w:ascii="Century Gothic" w:eastAsia="Calibri" w:hAnsi="Century Gothic" w:cs="Arial"/>
        </w:rPr>
        <w:t xml:space="preserve">”. Tal favorabilidad debe determinarse a partir de criterios que pueden variar de acuerdo con el objeto contractual o la modalidad de selección aplicable, los cuales, en todo caso, para que la selección sea objetiva, deben estar señalados en el pliego de condiciones o documento equivalente. </w:t>
      </w:r>
    </w:p>
    <w:p w14:paraId="24A2F18D" w14:textId="77777777" w:rsidR="00FA6E3E" w:rsidRDefault="00FA6E3E" w:rsidP="00FA6E3E">
      <w:pPr>
        <w:tabs>
          <w:tab w:val="left" w:pos="0"/>
        </w:tabs>
        <w:spacing w:after="120" w:line="276" w:lineRule="auto"/>
        <w:jc w:val="both"/>
        <w:rPr>
          <w:rFonts w:ascii="Century Gothic" w:eastAsia="Calibri" w:hAnsi="Century Gothic" w:cs="Arial"/>
          <w:color w:val="000000" w:themeColor="text1"/>
          <w:lang w:val="es-ES_tradnl"/>
        </w:rPr>
      </w:pPr>
      <w:r w:rsidRPr="00FE1B85">
        <w:rPr>
          <w:rFonts w:ascii="Century Gothic" w:eastAsia="Calibri" w:hAnsi="Century Gothic" w:cs="Arial"/>
        </w:rPr>
        <w:tab/>
      </w:r>
      <w:r>
        <w:rPr>
          <w:rFonts w:ascii="Century Gothic" w:eastAsia="Calibri" w:hAnsi="Century Gothic" w:cs="Arial"/>
        </w:rPr>
        <w:t xml:space="preserve">Por su parte, </w:t>
      </w:r>
      <w:r>
        <w:rPr>
          <w:rFonts w:ascii="Century Gothic" w:eastAsia="Calibri" w:hAnsi="Century Gothic" w:cs="Arial"/>
          <w:color w:val="000000" w:themeColor="text1"/>
          <w:lang w:val="es-ES_tradnl"/>
        </w:rPr>
        <w:t xml:space="preserve">en virtud de dicho principio se ha indicado que las entidades estatales deben </w:t>
      </w:r>
      <w:r w:rsidRPr="00FE1B85">
        <w:rPr>
          <w:rFonts w:ascii="Century Gothic" w:eastAsia="Calibri" w:hAnsi="Century Gothic" w:cs="Arial"/>
          <w:color w:val="000000" w:themeColor="text1"/>
          <w:lang w:val="es-ES_tradnl"/>
        </w:rPr>
        <w:t>garantizar la participación de los oferentes de bienes y servicios de origen nacional</w:t>
      </w:r>
      <w:r>
        <w:rPr>
          <w:rFonts w:ascii="Century Gothic" w:eastAsia="Calibri" w:hAnsi="Century Gothic" w:cs="Arial"/>
          <w:color w:val="000000" w:themeColor="text1"/>
          <w:lang w:val="es-ES_tradnl"/>
        </w:rPr>
        <w:t xml:space="preserve"> y para ello </w:t>
      </w:r>
      <w:r w:rsidRPr="00FE1B85">
        <w:rPr>
          <w:rFonts w:ascii="Century Gothic" w:eastAsia="Calibri" w:hAnsi="Century Gothic" w:cs="Arial"/>
          <w:color w:val="000000" w:themeColor="text1"/>
          <w:lang w:val="es-ES_tradnl"/>
        </w:rPr>
        <w:t>deben definir</w:t>
      </w:r>
      <w:r>
        <w:rPr>
          <w:rFonts w:ascii="Century Gothic" w:eastAsia="Calibri" w:hAnsi="Century Gothic" w:cs="Arial"/>
          <w:color w:val="000000" w:themeColor="text1"/>
          <w:lang w:val="es-ES_tradnl"/>
        </w:rPr>
        <w:t xml:space="preserve"> </w:t>
      </w:r>
      <w:r w:rsidRPr="00FE1B85">
        <w:rPr>
          <w:rFonts w:ascii="Century Gothic" w:eastAsia="Calibri" w:hAnsi="Century Gothic" w:cs="Arial"/>
          <w:color w:val="000000" w:themeColor="text1"/>
          <w:lang w:val="es-ES_tradnl"/>
        </w:rPr>
        <w:t>reglas objetivas, justas, claras y completas que permitan la confección de ofrecimientos de la misma índole,</w:t>
      </w:r>
      <w:r>
        <w:rPr>
          <w:rFonts w:ascii="Century Gothic" w:eastAsia="Calibri" w:hAnsi="Century Gothic" w:cs="Arial"/>
          <w:color w:val="000000" w:themeColor="text1"/>
          <w:lang w:val="es-ES_tradnl"/>
        </w:rPr>
        <w:t xml:space="preserve"> </w:t>
      </w:r>
      <w:r w:rsidRPr="00FE1B85">
        <w:rPr>
          <w:rFonts w:ascii="Century Gothic" w:eastAsia="Calibri" w:hAnsi="Century Gothic" w:cs="Arial"/>
          <w:color w:val="000000" w:themeColor="text1"/>
          <w:lang w:val="es-ES_tradnl"/>
        </w:rPr>
        <w:t>aseguren una escogencia objetiva</w:t>
      </w:r>
      <w:r>
        <w:rPr>
          <w:rFonts w:ascii="Century Gothic" w:eastAsia="Calibri" w:hAnsi="Century Gothic" w:cs="Arial"/>
          <w:color w:val="000000" w:themeColor="text1"/>
          <w:lang w:val="es-ES_tradnl"/>
        </w:rPr>
        <w:t xml:space="preserve"> y </w:t>
      </w:r>
      <w:r w:rsidRPr="00FE1B85">
        <w:rPr>
          <w:rFonts w:ascii="Century Gothic" w:eastAsia="Calibri" w:hAnsi="Century Gothic" w:cs="Arial"/>
          <w:color w:val="000000" w:themeColor="text1"/>
          <w:lang w:val="es-ES_tradnl"/>
        </w:rPr>
        <w:t>eviten la declaratoria de desierta de la licitación</w:t>
      </w:r>
      <w:r>
        <w:rPr>
          <w:rFonts w:ascii="Century Gothic" w:eastAsia="Calibri" w:hAnsi="Century Gothic" w:cs="Arial"/>
          <w:color w:val="000000" w:themeColor="text1"/>
          <w:lang w:val="es-ES_tradnl"/>
        </w:rPr>
        <w:t xml:space="preserve">. Asimismo, </w:t>
      </w:r>
      <w:r w:rsidRPr="00FE1B85">
        <w:rPr>
          <w:rFonts w:ascii="Century Gothic" w:eastAsia="Calibri" w:hAnsi="Century Gothic" w:cs="Arial"/>
          <w:color w:val="000000" w:themeColor="text1"/>
          <w:lang w:val="es-ES_tradnl"/>
        </w:rPr>
        <w:t>la Sección Tercera del Consejo de Estado ha dicho que</w:t>
      </w:r>
      <w:r>
        <w:rPr>
          <w:rFonts w:ascii="Century Gothic" w:eastAsia="Calibri" w:hAnsi="Century Gothic" w:cs="Arial"/>
          <w:color w:val="000000" w:themeColor="text1"/>
          <w:lang w:val="es-ES_tradnl"/>
        </w:rPr>
        <w:t>:</w:t>
      </w:r>
    </w:p>
    <w:p w14:paraId="1A198764" w14:textId="77777777" w:rsidR="00FA6E3E" w:rsidRPr="008D7C4B" w:rsidRDefault="00FA6E3E" w:rsidP="00FA6E3E">
      <w:pPr>
        <w:tabs>
          <w:tab w:val="left" w:pos="0"/>
        </w:tabs>
        <w:spacing w:after="120" w:line="240" w:lineRule="auto"/>
        <w:ind w:left="709" w:right="709"/>
        <w:jc w:val="both"/>
        <w:rPr>
          <w:rFonts w:ascii="Century Gothic" w:eastAsia="Calibri" w:hAnsi="Century Gothic" w:cs="Arial"/>
          <w:color w:val="000000" w:themeColor="text1"/>
          <w:sz w:val="21"/>
          <w:szCs w:val="21"/>
          <w:lang w:val="es-ES_tradnl"/>
        </w:rPr>
      </w:pPr>
      <w:r w:rsidRPr="008D7C4B">
        <w:rPr>
          <w:rFonts w:ascii="Century Gothic" w:eastAsia="Calibri" w:hAnsi="Century Gothic" w:cs="Arial"/>
          <w:color w:val="000000" w:themeColor="text1"/>
          <w:sz w:val="21"/>
          <w:szCs w:val="21"/>
          <w:lang w:val="es-ES_tradnl"/>
        </w:rPr>
        <w:t>“la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8D7C4B">
        <w:rPr>
          <w:rStyle w:val="Refdenotaalpie"/>
          <w:rFonts w:ascii="Century Gothic" w:eastAsia="Calibri" w:hAnsi="Century Gothic" w:cs="Arial"/>
          <w:color w:val="000000" w:themeColor="text1"/>
          <w:sz w:val="21"/>
          <w:szCs w:val="21"/>
          <w:lang w:val="es-ES_tradnl"/>
        </w:rPr>
        <w:footnoteReference w:id="20"/>
      </w:r>
      <w:r w:rsidRPr="008D7C4B">
        <w:rPr>
          <w:rFonts w:ascii="Century Gothic" w:eastAsia="Calibri" w:hAnsi="Century Gothic" w:cs="Arial"/>
          <w:color w:val="000000" w:themeColor="text1"/>
          <w:sz w:val="21"/>
          <w:szCs w:val="21"/>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8D7C4B">
        <w:rPr>
          <w:rStyle w:val="Refdenotaalpie"/>
          <w:rFonts w:ascii="Century Gothic" w:eastAsia="Calibri" w:hAnsi="Century Gothic" w:cs="Arial"/>
          <w:color w:val="000000" w:themeColor="text1"/>
          <w:sz w:val="21"/>
          <w:szCs w:val="21"/>
          <w:lang w:val="es-ES_tradnl"/>
        </w:rPr>
        <w:footnoteReference w:id="21"/>
      </w:r>
      <w:r w:rsidRPr="008D7C4B">
        <w:rPr>
          <w:rFonts w:ascii="Century Gothic" w:eastAsia="Calibri" w:hAnsi="Century Gothic" w:cs="Arial"/>
          <w:color w:val="000000" w:themeColor="text1"/>
          <w:sz w:val="21"/>
          <w:szCs w:val="21"/>
          <w:lang w:val="es-ES_tradnl"/>
        </w:rPr>
        <w:t>.</w:t>
      </w:r>
    </w:p>
    <w:p w14:paraId="606BC0A6" w14:textId="77777777" w:rsidR="00FA6E3E" w:rsidRDefault="00FA6E3E" w:rsidP="00FA6E3E">
      <w:pPr>
        <w:tabs>
          <w:tab w:val="left" w:pos="0"/>
        </w:tabs>
        <w:spacing w:after="120" w:line="276" w:lineRule="auto"/>
        <w:jc w:val="both"/>
        <w:rPr>
          <w:rFonts w:ascii="Century Gothic" w:eastAsia="Calibri" w:hAnsi="Century Gothic" w:cs="Arial"/>
          <w:color w:val="000000" w:themeColor="text1"/>
          <w:lang w:val="es-ES_tradnl"/>
        </w:rPr>
      </w:pPr>
      <w:r>
        <w:rPr>
          <w:rFonts w:ascii="Century Gothic" w:eastAsia="Calibri" w:hAnsi="Century Gothic" w:cs="Arial"/>
          <w:color w:val="000000" w:themeColor="text1"/>
          <w:lang w:val="es-ES_tradnl"/>
        </w:rPr>
        <w:tab/>
      </w:r>
      <w:r w:rsidRPr="00FE1B85">
        <w:rPr>
          <w:rFonts w:ascii="Century Gothic" w:eastAsia="Calibri" w:hAnsi="Century Gothic" w:cs="Arial"/>
          <w:color w:val="000000" w:themeColor="text1"/>
          <w:lang w:val="es-ES_tradnl"/>
        </w:rPr>
        <w:t xml:space="preserve">Ahora bien, para garantizar el principio de selección objetiva, </w:t>
      </w:r>
      <w:r>
        <w:rPr>
          <w:rFonts w:ascii="Century Gothic" w:eastAsia="Calibri" w:hAnsi="Century Gothic" w:cs="Arial"/>
          <w:color w:val="000000" w:themeColor="text1"/>
          <w:lang w:val="es-ES_tradnl"/>
        </w:rPr>
        <w:t xml:space="preserve">se ha indicado que </w:t>
      </w:r>
      <w:r w:rsidRPr="00FE1B85">
        <w:rPr>
          <w:rFonts w:ascii="Century Gothic" w:eastAsia="Calibri" w:hAnsi="Century Gothic" w:cs="Arial"/>
          <w:color w:val="000000" w:themeColor="text1"/>
          <w:lang w:val="es-ES_tradnl"/>
        </w:rPr>
        <w:t xml:space="preserve">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permitir la subsanación de los requisitos de participación, bajo las condiciones indicadas en la ley, antes de tomar la decisión de rechazar las propuestas que hayan omitido la observancia de los requisitos habilitantes. </w:t>
      </w:r>
    </w:p>
    <w:p w14:paraId="20CA786C" w14:textId="37D1457D" w:rsidR="00FA6E3E" w:rsidRPr="00FE1B85" w:rsidRDefault="00FA6E3E" w:rsidP="00FA6E3E">
      <w:pPr>
        <w:tabs>
          <w:tab w:val="left" w:pos="0"/>
        </w:tabs>
        <w:spacing w:after="120" w:line="276" w:lineRule="auto"/>
        <w:jc w:val="both"/>
        <w:rPr>
          <w:rFonts w:ascii="Century Gothic" w:hAnsi="Century Gothic" w:cs="Arial"/>
          <w:color w:val="000000" w:themeColor="text1"/>
        </w:rPr>
      </w:pPr>
      <w:r>
        <w:rPr>
          <w:rFonts w:ascii="Century Gothic" w:eastAsia="Calibri" w:hAnsi="Century Gothic" w:cs="Arial"/>
          <w:color w:val="000000" w:themeColor="text1"/>
          <w:lang w:val="es-ES_tradnl"/>
        </w:rPr>
        <w:tab/>
      </w:r>
      <w:r w:rsidRPr="00FE1B85">
        <w:rPr>
          <w:rFonts w:ascii="Century Gothic" w:hAnsi="Century Gothic" w:cs="Arial"/>
          <w:color w:val="000000" w:themeColor="text1"/>
          <w:lang w:val="es-ES_tradnl"/>
        </w:rPr>
        <w:t xml:space="preserve">En este sentido, la postura que se reitera en el presente concepto es la siguiente: por regla general, i) la falta de entrega o </w:t>
      </w:r>
      <w:proofErr w:type="spellStart"/>
      <w:r w:rsidRPr="00FE1B85">
        <w:rPr>
          <w:rFonts w:ascii="Century Gothic" w:hAnsi="Century Gothic" w:cs="Arial"/>
          <w:color w:val="000000" w:themeColor="text1"/>
          <w:lang w:val="es-ES_tradnl"/>
        </w:rPr>
        <w:t>ii</w:t>
      </w:r>
      <w:proofErr w:type="spellEnd"/>
      <w:r w:rsidRPr="00FE1B85">
        <w:rPr>
          <w:rFonts w:ascii="Century Gothic" w:hAnsi="Century Gothic" w:cs="Arial"/>
          <w:color w:val="000000" w:themeColor="text1"/>
          <w:lang w:val="es-ES_tradnl"/>
        </w:rPr>
        <w:t xml:space="preserve">) los defectos, de los requisitos habilitantes, son subsanables. La excepción se encuentra en los casos, previstos en la ley, que limitan la </w:t>
      </w:r>
      <w:proofErr w:type="spellStart"/>
      <w:r w:rsidRPr="00FE1B85">
        <w:rPr>
          <w:rFonts w:ascii="Century Gothic" w:hAnsi="Century Gothic" w:cs="Arial"/>
          <w:color w:val="000000" w:themeColor="text1"/>
          <w:lang w:val="es-ES_tradnl"/>
        </w:rPr>
        <w:t>subsanabilidad</w:t>
      </w:r>
      <w:proofErr w:type="spellEnd"/>
      <w:r w:rsidRPr="00FE1B85">
        <w:rPr>
          <w:rFonts w:ascii="Century Gothic" w:hAnsi="Century Gothic" w:cs="Arial"/>
          <w:color w:val="000000" w:themeColor="text1"/>
          <w:lang w:val="es-ES_tradnl"/>
        </w:rPr>
        <w:t xml:space="preserve">, </w:t>
      </w:r>
      <w:r w:rsidR="00EC529F">
        <w:rPr>
          <w:rFonts w:ascii="Century Gothic" w:hAnsi="Century Gothic" w:cs="Arial"/>
          <w:color w:val="000000" w:themeColor="text1"/>
          <w:lang w:val="es-ES_tradnl"/>
        </w:rPr>
        <w:t>por ejemplo,</w:t>
      </w:r>
      <w:r w:rsidRPr="00FE1B85">
        <w:rPr>
          <w:rFonts w:ascii="Century Gothic" w:hAnsi="Century Gothic" w:cs="Arial"/>
          <w:color w:val="000000" w:themeColor="text1"/>
          <w:lang w:val="es-ES_tradnl"/>
        </w:rPr>
        <w:t xml:space="preserve"> en la prohibición de permitir la entrega de la garantía de seriedad de la oferta que no fue aportada con la propuesta</w:t>
      </w:r>
      <w:r w:rsidR="00EC529F">
        <w:rPr>
          <w:rFonts w:ascii="Century Gothic" w:hAnsi="Century Gothic" w:cs="Arial"/>
          <w:color w:val="000000" w:themeColor="text1"/>
          <w:lang w:val="es-ES_tradnl"/>
        </w:rPr>
        <w:t>, entre otros.</w:t>
      </w:r>
    </w:p>
    <w:p w14:paraId="127A9217" w14:textId="35974AAF" w:rsidR="00FA6E3E" w:rsidRPr="00FE1B85" w:rsidRDefault="009F32B3" w:rsidP="00FA6E3E">
      <w:pPr>
        <w:spacing w:after="120" w:line="276" w:lineRule="auto"/>
        <w:ind w:firstLine="709"/>
        <w:jc w:val="both"/>
        <w:rPr>
          <w:rFonts w:ascii="Century Gothic" w:hAnsi="Century Gothic" w:cs="Arial"/>
          <w:color w:val="000000" w:themeColor="text1"/>
          <w:lang w:val="es-ES_tradnl"/>
        </w:rPr>
      </w:pPr>
      <w:r>
        <w:rPr>
          <w:rFonts w:ascii="Century Gothic" w:hAnsi="Century Gothic" w:cs="Arial"/>
          <w:color w:val="000000" w:themeColor="text1"/>
          <w:lang w:val="es-ES_tradnl"/>
        </w:rPr>
        <w:t>Ahora bien</w:t>
      </w:r>
      <w:r w:rsidR="00FA6E3E" w:rsidRPr="00FE1B85">
        <w:rPr>
          <w:rFonts w:ascii="Century Gothic" w:hAnsi="Century Gothic" w:cs="Arial"/>
          <w:color w:val="000000" w:themeColor="text1"/>
          <w:lang w:val="es-ES_tradnl"/>
        </w:rPr>
        <w:t>, en relación con el término para subsanar ofertas</w:t>
      </w:r>
      <w:r>
        <w:rPr>
          <w:rFonts w:ascii="Century Gothic" w:hAnsi="Century Gothic" w:cs="Arial"/>
          <w:color w:val="000000" w:themeColor="text1"/>
          <w:lang w:val="es-ES_tradnl"/>
        </w:rPr>
        <w:t xml:space="preserve"> </w:t>
      </w:r>
      <w:r w:rsidR="00FA6E3E">
        <w:rPr>
          <w:rFonts w:ascii="Century Gothic" w:hAnsi="Century Gothic" w:cs="Arial"/>
          <w:color w:val="000000" w:themeColor="text1"/>
          <w:lang w:val="es-ES_tradnl"/>
        </w:rPr>
        <w:t>en los procesos de selección por mínima cuantía</w:t>
      </w:r>
      <w:r w:rsidR="00FA6E3E" w:rsidRPr="00FE1B85">
        <w:rPr>
          <w:rFonts w:ascii="Century Gothic" w:hAnsi="Century Gothic" w:cs="Arial"/>
          <w:color w:val="000000" w:themeColor="text1"/>
          <w:lang w:val="es-ES_tradnl"/>
        </w:rPr>
        <w:t>,</w:t>
      </w:r>
      <w:r w:rsidR="00FA6E3E">
        <w:rPr>
          <w:rFonts w:ascii="Century Gothic" w:hAnsi="Century Gothic" w:cs="Arial"/>
          <w:color w:val="000000" w:themeColor="text1"/>
          <w:lang w:val="es-ES_tradnl"/>
        </w:rPr>
        <w:t xml:space="preserve"> previo a la expedición del Decreto 1860 de 2021, </w:t>
      </w:r>
      <w:r w:rsidR="00FA6E3E" w:rsidRPr="00FE1B85">
        <w:rPr>
          <w:rFonts w:ascii="Century Gothic" w:hAnsi="Century Gothic" w:cs="Arial"/>
          <w:color w:val="000000" w:themeColor="text1"/>
          <w:lang w:val="es-ES_tradnl"/>
        </w:rPr>
        <w:t>surg</w:t>
      </w:r>
      <w:r w:rsidR="00FA6E3E">
        <w:rPr>
          <w:rFonts w:ascii="Century Gothic" w:hAnsi="Century Gothic" w:cs="Arial"/>
          <w:color w:val="000000" w:themeColor="text1"/>
          <w:lang w:val="es-ES_tradnl"/>
        </w:rPr>
        <w:t>ía</w:t>
      </w:r>
      <w:r w:rsidR="00FA6E3E" w:rsidRPr="00FE1B85">
        <w:rPr>
          <w:rFonts w:ascii="Century Gothic" w:hAnsi="Century Gothic" w:cs="Arial"/>
          <w:color w:val="000000" w:themeColor="text1"/>
          <w:lang w:val="es-ES_tradnl"/>
        </w:rPr>
        <w:t xml:space="preserve">n tres posibles interpretaciones: i) que en la mínima cuantía no se permite la </w:t>
      </w:r>
      <w:proofErr w:type="spellStart"/>
      <w:r w:rsidR="00FA6E3E" w:rsidRPr="00FE1B85">
        <w:rPr>
          <w:rFonts w:ascii="Century Gothic" w:hAnsi="Century Gothic" w:cs="Arial"/>
          <w:color w:val="000000" w:themeColor="text1"/>
          <w:lang w:val="es-ES_tradnl"/>
        </w:rPr>
        <w:t>subsanabilidad</w:t>
      </w:r>
      <w:proofErr w:type="spellEnd"/>
      <w:r w:rsidR="00FA6E3E" w:rsidRPr="00FE1B85">
        <w:rPr>
          <w:rFonts w:ascii="Century Gothic" w:hAnsi="Century Gothic" w:cs="Arial"/>
          <w:color w:val="000000" w:themeColor="text1"/>
          <w:lang w:val="es-ES_tradnl"/>
        </w:rPr>
        <w:t xml:space="preserve"> –interpretación que no es acorde con el principio de la prevalencia de lo sustancial sobre lo formal–, </w:t>
      </w:r>
      <w:proofErr w:type="spellStart"/>
      <w:r w:rsidR="00FA6E3E" w:rsidRPr="00FE1B85">
        <w:rPr>
          <w:rFonts w:ascii="Century Gothic" w:hAnsi="Century Gothic" w:cs="Arial"/>
          <w:color w:val="000000" w:themeColor="text1"/>
          <w:lang w:val="es-ES_tradnl"/>
        </w:rPr>
        <w:t>ii</w:t>
      </w:r>
      <w:proofErr w:type="spellEnd"/>
      <w:r w:rsidR="00FA6E3E" w:rsidRPr="00FE1B85">
        <w:rPr>
          <w:rFonts w:ascii="Century Gothic" w:hAnsi="Century Gothic" w:cs="Arial"/>
          <w:color w:val="000000" w:themeColor="text1"/>
          <w:lang w:val="es-ES_tradnl"/>
        </w:rPr>
        <w:t xml:space="preserve">) que el término para presentar los requisitos subsanados es el mismo de publicación del informe de evaluación, es decir, un (1) día hábil, </w:t>
      </w:r>
      <w:proofErr w:type="spellStart"/>
      <w:r w:rsidR="00FA6E3E" w:rsidRPr="00FE1B85">
        <w:rPr>
          <w:rFonts w:ascii="Century Gothic" w:hAnsi="Century Gothic" w:cs="Arial"/>
          <w:color w:val="000000" w:themeColor="text1"/>
          <w:lang w:val="es-ES_tradnl"/>
        </w:rPr>
        <w:t>iii</w:t>
      </w:r>
      <w:proofErr w:type="spellEnd"/>
      <w:r w:rsidR="00FA6E3E" w:rsidRPr="00FE1B85">
        <w:rPr>
          <w:rFonts w:ascii="Century Gothic" w:hAnsi="Century Gothic" w:cs="Arial"/>
          <w:color w:val="000000" w:themeColor="text1"/>
          <w:lang w:val="es-ES_tradnl"/>
        </w:rPr>
        <w:t xml:space="preserve">) que existe un vacío y que este puede llenarse discrecionalmente por la entidad estatal, disponiendo de un término razonable de </w:t>
      </w:r>
      <w:proofErr w:type="spellStart"/>
      <w:r w:rsidR="00FA6E3E">
        <w:rPr>
          <w:rFonts w:ascii="Century Gothic" w:hAnsi="Century Gothic" w:cs="Arial"/>
          <w:color w:val="000000" w:themeColor="text1"/>
          <w:lang w:val="es-ES_tradnl"/>
        </w:rPr>
        <w:t>s</w:t>
      </w:r>
      <w:r w:rsidR="00FA6E3E" w:rsidRPr="00FE1B85">
        <w:rPr>
          <w:rFonts w:ascii="Century Gothic" w:hAnsi="Century Gothic" w:cs="Arial"/>
          <w:color w:val="000000" w:themeColor="text1"/>
          <w:lang w:val="es-ES_tradnl"/>
        </w:rPr>
        <w:t>ubsanabilidad</w:t>
      </w:r>
      <w:proofErr w:type="spellEnd"/>
      <w:r w:rsidR="00FA6E3E" w:rsidRPr="00FE1B85">
        <w:rPr>
          <w:rFonts w:ascii="Century Gothic" w:hAnsi="Century Gothic" w:cs="Arial"/>
          <w:color w:val="000000" w:themeColor="text1"/>
          <w:lang w:val="es-ES_tradnl"/>
        </w:rPr>
        <w:t>.</w:t>
      </w:r>
      <w:r w:rsidR="00FA6E3E">
        <w:rPr>
          <w:rFonts w:ascii="Century Gothic" w:hAnsi="Century Gothic" w:cs="Arial"/>
          <w:color w:val="000000" w:themeColor="text1"/>
          <w:lang w:val="es-ES_tradnl"/>
        </w:rPr>
        <w:t xml:space="preserve"> </w:t>
      </w:r>
    </w:p>
    <w:p w14:paraId="03434172" w14:textId="77777777" w:rsidR="00FA6E3E" w:rsidRPr="00FE1B85" w:rsidRDefault="00FA6E3E" w:rsidP="00FA6E3E">
      <w:pPr>
        <w:spacing w:after="120" w:line="276" w:lineRule="auto"/>
        <w:ind w:firstLine="709"/>
        <w:jc w:val="both"/>
        <w:rPr>
          <w:rFonts w:ascii="Century Gothic" w:eastAsia="Calibri" w:hAnsi="Century Gothic" w:cs="Arial"/>
          <w:color w:val="000000" w:themeColor="text1"/>
          <w:lang w:val="es-ES_tradnl"/>
        </w:rPr>
      </w:pPr>
      <w:r w:rsidRPr="00FE1B85">
        <w:rPr>
          <w:rFonts w:ascii="Century Gothic" w:hAnsi="Century Gothic" w:cs="Arial"/>
          <w:color w:val="000000" w:themeColor="text1"/>
          <w:lang w:val="es-ES_tradnl"/>
        </w:rPr>
        <w:t>Esta Subdirección acog</w:t>
      </w:r>
      <w:r>
        <w:rPr>
          <w:rFonts w:ascii="Century Gothic" w:hAnsi="Century Gothic" w:cs="Arial"/>
          <w:color w:val="000000" w:themeColor="text1"/>
          <w:lang w:val="es-ES_tradnl"/>
        </w:rPr>
        <w:t xml:space="preserve">ió hasta la expedición del Decreto 1860 de 2021 </w:t>
      </w:r>
      <w:r w:rsidRPr="00FE1B85">
        <w:rPr>
          <w:rFonts w:ascii="Century Gothic" w:hAnsi="Century Gothic" w:cs="Arial"/>
          <w:color w:val="000000" w:themeColor="text1"/>
          <w:lang w:val="es-ES_tradnl"/>
        </w:rPr>
        <w:t xml:space="preserve">la tercera opción, en concordancia con el numeral 6.1. de la Circular Externa Única de la Agencia Nacional de Contratación Pública – Colombia Compra Eficiente, que atiende a la discrecionalidad administrativa, respetando los principios de proporcionalidad y razonabilidad. </w:t>
      </w:r>
      <w:r>
        <w:rPr>
          <w:rFonts w:ascii="Century Gothic" w:hAnsi="Century Gothic" w:cs="Arial"/>
          <w:color w:val="000000" w:themeColor="text1"/>
          <w:lang w:val="es-ES_tradnl"/>
        </w:rPr>
        <w:t xml:space="preserve">Sin embargo, esto evidenció la necesidad que a través de la facultad reglamentaria el Gobierno Nacional limitara estos criterios interpretativos </w:t>
      </w:r>
      <w:r w:rsidRPr="00FE1B85">
        <w:rPr>
          <w:rFonts w:ascii="Century Gothic" w:hAnsi="Century Gothic" w:cs="Arial"/>
          <w:color w:val="000000" w:themeColor="text1"/>
          <w:lang w:val="es-ES_tradnl"/>
        </w:rPr>
        <w:t>en los procesos de mínima cuantía</w:t>
      </w:r>
      <w:r>
        <w:rPr>
          <w:rFonts w:ascii="Century Gothic" w:hAnsi="Century Gothic" w:cs="Arial"/>
          <w:color w:val="000000" w:themeColor="text1"/>
          <w:lang w:val="es-ES_tradnl"/>
        </w:rPr>
        <w:t xml:space="preserve">, y se establezca un plazo límite para </w:t>
      </w:r>
      <w:r w:rsidRPr="00FE1B85">
        <w:rPr>
          <w:rFonts w:ascii="Century Gothic" w:hAnsi="Century Gothic" w:cs="Arial"/>
          <w:color w:val="000000" w:themeColor="text1"/>
          <w:lang w:val="es-ES_tradnl"/>
        </w:rPr>
        <w:t>recibir los documentos subsanables, so pena de verificar la oferta con el siguiente proponente que ofrezca el mejor precio.</w:t>
      </w:r>
    </w:p>
    <w:p w14:paraId="463251A9" w14:textId="20B99DFC" w:rsidR="00FA6E3E" w:rsidRPr="00FE1B85" w:rsidRDefault="00502C09" w:rsidP="00FA6E3E">
      <w:pPr>
        <w:spacing w:after="120" w:line="276" w:lineRule="auto"/>
        <w:ind w:firstLine="709"/>
        <w:jc w:val="both"/>
        <w:rPr>
          <w:rFonts w:ascii="Century Gothic" w:eastAsia="Calibri" w:hAnsi="Century Gothic" w:cs="Arial"/>
          <w:color w:val="000000" w:themeColor="text1"/>
          <w:lang w:val="es-ES"/>
        </w:rPr>
      </w:pPr>
      <w:r>
        <w:rPr>
          <w:rFonts w:ascii="Century Gothic" w:eastAsia="Calibri" w:hAnsi="Century Gothic" w:cs="Arial"/>
          <w:color w:val="000000" w:themeColor="text1"/>
          <w:lang w:val="es-ES"/>
        </w:rPr>
        <w:t xml:space="preserve">En ese contexto, </w:t>
      </w:r>
      <w:r w:rsidR="00FA6E3E">
        <w:rPr>
          <w:rFonts w:ascii="Century Gothic" w:eastAsia="Calibri" w:hAnsi="Century Gothic" w:cs="Arial"/>
          <w:color w:val="000000" w:themeColor="text1"/>
          <w:lang w:val="es-ES"/>
        </w:rPr>
        <w:t xml:space="preserve">en virtud de </w:t>
      </w:r>
      <w:r w:rsidR="00FA6E3E" w:rsidRPr="417329F9">
        <w:rPr>
          <w:rFonts w:ascii="Century Gothic" w:eastAsia="Calibri" w:hAnsi="Century Gothic" w:cs="Arial"/>
          <w:color w:val="000000" w:themeColor="text1"/>
          <w:lang w:val="es-ES"/>
        </w:rPr>
        <w:t>garantizar</w:t>
      </w:r>
      <w:r w:rsidR="00FA6E3E">
        <w:rPr>
          <w:rFonts w:ascii="Century Gothic" w:eastAsia="Calibri" w:hAnsi="Century Gothic" w:cs="Arial"/>
          <w:color w:val="000000" w:themeColor="text1"/>
          <w:lang w:val="es-ES"/>
        </w:rPr>
        <w:t xml:space="preserve">: </w:t>
      </w:r>
      <w:r w:rsidR="00FA6E3E" w:rsidRPr="417329F9">
        <w:rPr>
          <w:rFonts w:ascii="Century Gothic" w:eastAsia="Calibri" w:hAnsi="Century Gothic" w:cs="Arial"/>
          <w:color w:val="000000" w:themeColor="text1"/>
          <w:lang w:val="es-ES"/>
        </w:rPr>
        <w:t xml:space="preserve"> </w:t>
      </w:r>
      <w:r w:rsidR="00FA6E3E">
        <w:rPr>
          <w:rFonts w:ascii="Century Gothic" w:eastAsia="Calibri" w:hAnsi="Century Gothic" w:cs="Arial"/>
          <w:color w:val="000000" w:themeColor="text1"/>
          <w:lang w:val="es-ES"/>
        </w:rPr>
        <w:t>i)</w:t>
      </w:r>
      <w:r w:rsidR="00FA6E3E" w:rsidRPr="417329F9">
        <w:rPr>
          <w:rFonts w:ascii="Century Gothic" w:eastAsia="Calibri" w:hAnsi="Century Gothic" w:cs="Arial"/>
          <w:color w:val="000000" w:themeColor="text1"/>
          <w:lang w:val="es-ES"/>
        </w:rPr>
        <w:t>una prevalencia de lo sustancial sobre lo formal</w:t>
      </w:r>
      <w:r w:rsidR="00FA6E3E">
        <w:rPr>
          <w:rFonts w:ascii="Century Gothic" w:eastAsia="Calibri" w:hAnsi="Century Gothic" w:cs="Arial"/>
          <w:color w:val="000000" w:themeColor="text1"/>
          <w:lang w:val="es-ES"/>
        </w:rPr>
        <w:t xml:space="preserve">; </w:t>
      </w:r>
      <w:proofErr w:type="spellStart"/>
      <w:r w:rsidR="00FA6E3E">
        <w:rPr>
          <w:rFonts w:ascii="Century Gothic" w:eastAsia="Calibri" w:hAnsi="Century Gothic" w:cs="Arial"/>
          <w:color w:val="000000" w:themeColor="text1"/>
          <w:lang w:val="es-ES"/>
        </w:rPr>
        <w:t>ii</w:t>
      </w:r>
      <w:proofErr w:type="spellEnd"/>
      <w:r w:rsidR="00FA6E3E">
        <w:rPr>
          <w:rFonts w:ascii="Century Gothic" w:eastAsia="Calibri" w:hAnsi="Century Gothic" w:cs="Arial"/>
          <w:color w:val="000000" w:themeColor="text1"/>
          <w:lang w:val="es-ES"/>
        </w:rPr>
        <w:t xml:space="preserve">) </w:t>
      </w:r>
      <w:r w:rsidR="00FA6E3E" w:rsidRPr="417329F9">
        <w:rPr>
          <w:rFonts w:ascii="Century Gothic" w:eastAsia="Calibri" w:hAnsi="Century Gothic" w:cs="Arial"/>
          <w:color w:val="000000" w:themeColor="text1"/>
          <w:lang w:val="es-ES"/>
        </w:rPr>
        <w:t>una mayor concurrencia real en los procedimientos de selección</w:t>
      </w:r>
      <w:r w:rsidR="00FA6E3E">
        <w:rPr>
          <w:rFonts w:ascii="Century Gothic" w:eastAsia="Calibri" w:hAnsi="Century Gothic" w:cs="Arial"/>
          <w:color w:val="000000" w:themeColor="text1"/>
          <w:lang w:val="es-ES"/>
        </w:rPr>
        <w:t xml:space="preserve">; </w:t>
      </w:r>
      <w:proofErr w:type="spellStart"/>
      <w:r w:rsidR="00FA6E3E">
        <w:rPr>
          <w:rFonts w:ascii="Century Gothic" w:eastAsia="Calibri" w:hAnsi="Century Gothic" w:cs="Arial"/>
          <w:color w:val="000000" w:themeColor="text1"/>
          <w:lang w:val="es-ES"/>
        </w:rPr>
        <w:t>iii</w:t>
      </w:r>
      <w:proofErr w:type="spellEnd"/>
      <w:r w:rsidR="00FA6E3E">
        <w:rPr>
          <w:rFonts w:ascii="Century Gothic" w:eastAsia="Calibri" w:hAnsi="Century Gothic" w:cs="Arial"/>
          <w:color w:val="000000" w:themeColor="text1"/>
          <w:lang w:val="es-ES"/>
        </w:rPr>
        <w:t>)</w:t>
      </w:r>
      <w:r w:rsidR="00FA6E3E" w:rsidRPr="417329F9">
        <w:rPr>
          <w:rFonts w:ascii="Century Gothic" w:eastAsia="Calibri" w:hAnsi="Century Gothic" w:cs="Arial"/>
          <w:color w:val="000000" w:themeColor="text1"/>
          <w:lang w:val="es-ES"/>
        </w:rPr>
        <w:t xml:space="preserve"> una mayor posibilidad de que las entidades estatales se beneficien al poder seleccionar entre un abanico más amplio la oferta que le resulte materialmente más </w:t>
      </w:r>
      <w:r w:rsidR="00FA6E3E" w:rsidRPr="00101B1F">
        <w:rPr>
          <w:rFonts w:ascii="Century Gothic" w:eastAsia="Calibri" w:hAnsi="Century Gothic" w:cs="Arial"/>
          <w:color w:val="000000" w:themeColor="text1"/>
          <w:lang w:val="es-ES"/>
        </w:rPr>
        <w:t>favorable</w:t>
      </w:r>
      <w:r w:rsidR="00FA6E3E" w:rsidRPr="417329F9">
        <w:rPr>
          <w:rFonts w:ascii="Century Gothic" w:eastAsia="Calibri" w:hAnsi="Century Gothic" w:cs="Arial"/>
          <w:color w:val="000000" w:themeColor="text1"/>
          <w:lang w:val="es-ES"/>
        </w:rPr>
        <w:t xml:space="preserve"> a sus intereses, </w:t>
      </w:r>
      <w:r w:rsidR="006A4E2A">
        <w:rPr>
          <w:rFonts w:ascii="Century Gothic" w:eastAsia="Calibri" w:hAnsi="Century Gothic" w:cs="Arial"/>
          <w:color w:val="000000" w:themeColor="text1"/>
          <w:lang w:val="es-ES"/>
        </w:rPr>
        <w:t xml:space="preserve">se contempló en el </w:t>
      </w:r>
      <w:r w:rsidR="006A4E2A" w:rsidRPr="417329F9">
        <w:rPr>
          <w:rFonts w:ascii="Century Gothic" w:eastAsia="Calibri" w:hAnsi="Century Gothic" w:cs="Arial"/>
          <w:color w:val="000000" w:themeColor="text1"/>
          <w:lang w:val="es-ES"/>
        </w:rPr>
        <w:t>Decreto 1860 de 2021</w:t>
      </w:r>
      <w:r w:rsidR="006A4E2A">
        <w:rPr>
          <w:rFonts w:ascii="Century Gothic" w:eastAsia="Calibri" w:hAnsi="Century Gothic" w:cs="Arial"/>
          <w:color w:val="000000" w:themeColor="text1"/>
          <w:lang w:val="es-ES"/>
        </w:rPr>
        <w:t>, la posibilidad de que las entidades estatales establecieran</w:t>
      </w:r>
      <w:r w:rsidR="000B55C8">
        <w:rPr>
          <w:rFonts w:ascii="Century Gothic" w:eastAsia="Calibri" w:hAnsi="Century Gothic" w:cs="Arial"/>
          <w:color w:val="000000" w:themeColor="text1"/>
          <w:lang w:val="es-ES"/>
        </w:rPr>
        <w:t>,</w:t>
      </w:r>
      <w:r w:rsidR="006A4E2A">
        <w:rPr>
          <w:rFonts w:ascii="Century Gothic" w:eastAsia="Calibri" w:hAnsi="Century Gothic" w:cs="Arial"/>
          <w:color w:val="000000" w:themeColor="text1"/>
          <w:lang w:val="es-ES"/>
        </w:rPr>
        <w:t xml:space="preserve"> a su criterio</w:t>
      </w:r>
      <w:r w:rsidR="000B55C8">
        <w:rPr>
          <w:rFonts w:ascii="Century Gothic" w:eastAsia="Calibri" w:hAnsi="Century Gothic" w:cs="Arial"/>
          <w:color w:val="000000" w:themeColor="text1"/>
          <w:lang w:val="es-ES"/>
        </w:rPr>
        <w:t>,</w:t>
      </w:r>
      <w:r w:rsidR="006A4E2A">
        <w:rPr>
          <w:rFonts w:ascii="Century Gothic" w:eastAsia="Calibri" w:hAnsi="Century Gothic" w:cs="Arial"/>
          <w:color w:val="000000" w:themeColor="text1"/>
          <w:lang w:val="es-ES"/>
        </w:rPr>
        <w:t xml:space="preserve"> términos preclusivos para la subsanación de ofertas</w:t>
      </w:r>
      <w:r w:rsidR="000B55C8">
        <w:rPr>
          <w:rFonts w:ascii="Century Gothic" w:eastAsia="Calibri" w:hAnsi="Century Gothic" w:cs="Arial"/>
          <w:color w:val="000000" w:themeColor="text1"/>
          <w:lang w:val="es-ES"/>
        </w:rPr>
        <w:t>,</w:t>
      </w:r>
      <w:r w:rsidR="006A4E2A">
        <w:rPr>
          <w:rFonts w:ascii="Century Gothic" w:eastAsia="Calibri" w:hAnsi="Century Gothic" w:cs="Arial"/>
          <w:color w:val="000000" w:themeColor="text1"/>
          <w:lang w:val="es-ES"/>
        </w:rPr>
        <w:t xml:space="preserve"> y</w:t>
      </w:r>
      <w:r w:rsidR="000B55C8">
        <w:rPr>
          <w:rFonts w:ascii="Century Gothic" w:eastAsia="Calibri" w:hAnsi="Century Gothic" w:cs="Arial"/>
          <w:color w:val="000000" w:themeColor="text1"/>
          <w:lang w:val="es-ES"/>
        </w:rPr>
        <w:t xml:space="preserve"> a</w:t>
      </w:r>
      <w:r w:rsidR="00CB0A12">
        <w:rPr>
          <w:rFonts w:ascii="Century Gothic" w:eastAsia="Calibri" w:hAnsi="Century Gothic" w:cs="Arial"/>
          <w:color w:val="000000" w:themeColor="text1"/>
          <w:lang w:val="es-ES"/>
        </w:rPr>
        <w:t xml:space="preserve"> </w:t>
      </w:r>
      <w:r w:rsidR="000B55C8">
        <w:rPr>
          <w:rFonts w:ascii="Century Gothic" w:eastAsia="Calibri" w:hAnsi="Century Gothic" w:cs="Arial"/>
          <w:color w:val="000000" w:themeColor="text1"/>
          <w:lang w:val="es-ES"/>
        </w:rPr>
        <w:t>su ve</w:t>
      </w:r>
      <w:r w:rsidR="00CB0A12">
        <w:rPr>
          <w:rFonts w:ascii="Century Gothic" w:eastAsia="Calibri" w:hAnsi="Century Gothic" w:cs="Arial"/>
          <w:color w:val="000000" w:themeColor="text1"/>
          <w:lang w:val="es-ES"/>
        </w:rPr>
        <w:t>z, se</w:t>
      </w:r>
      <w:r w:rsidR="000B55C8">
        <w:rPr>
          <w:rFonts w:ascii="Century Gothic" w:eastAsia="Calibri" w:hAnsi="Century Gothic" w:cs="Arial"/>
          <w:color w:val="000000" w:themeColor="text1"/>
          <w:lang w:val="es-ES"/>
        </w:rPr>
        <w:t xml:space="preserve"> contempló un término supletorio para ello a falta de regulación en la invitación, </w:t>
      </w:r>
      <w:r w:rsidR="006D45F9">
        <w:rPr>
          <w:rFonts w:ascii="Century Gothic" w:eastAsia="Calibri" w:hAnsi="Century Gothic" w:cs="Arial"/>
          <w:color w:val="000000" w:themeColor="text1"/>
          <w:lang w:val="es-ES"/>
        </w:rPr>
        <w:t xml:space="preserve">inclusión que </w:t>
      </w:r>
      <w:r w:rsidR="00FA6E3E" w:rsidRPr="00101B1F">
        <w:rPr>
          <w:rFonts w:ascii="Century Gothic" w:eastAsia="Calibri" w:hAnsi="Century Gothic" w:cs="Arial"/>
          <w:color w:val="000000" w:themeColor="text1"/>
          <w:lang w:val="es-ES"/>
        </w:rPr>
        <w:t>beneficia y robustece el principio de selección objetiva.</w:t>
      </w:r>
    </w:p>
    <w:p w14:paraId="10DEE2EF" w14:textId="45974875" w:rsidR="00EF2A05" w:rsidRDefault="00207F74" w:rsidP="00553E4A">
      <w:pPr>
        <w:spacing w:after="0" w:line="276" w:lineRule="auto"/>
        <w:ind w:firstLine="709"/>
        <w:jc w:val="both"/>
        <w:rPr>
          <w:rFonts w:ascii="Century Gothic" w:eastAsia="Calibri" w:hAnsi="Century Gothic" w:cs="Arial"/>
          <w:color w:val="000000" w:themeColor="text1"/>
          <w:lang w:val="es-ES"/>
        </w:rPr>
      </w:pPr>
      <w:r>
        <w:rPr>
          <w:rFonts w:ascii="Century Gothic" w:eastAsia="Calibri" w:hAnsi="Century Gothic" w:cs="Arial"/>
          <w:color w:val="000000" w:themeColor="text1"/>
          <w:lang w:val="es-ES"/>
        </w:rPr>
        <w:t>En ese orden de ideas</w:t>
      </w:r>
      <w:r w:rsidR="00FF4C79">
        <w:rPr>
          <w:rFonts w:ascii="Century Gothic" w:eastAsia="Calibri" w:hAnsi="Century Gothic" w:cs="Arial"/>
          <w:color w:val="000000" w:themeColor="text1"/>
          <w:lang w:val="es-ES"/>
        </w:rPr>
        <w:t xml:space="preserve">, </w:t>
      </w:r>
      <w:r w:rsidR="00ED3DC8">
        <w:rPr>
          <w:rFonts w:ascii="Century Gothic" w:eastAsia="Calibri" w:hAnsi="Century Gothic" w:cs="Arial"/>
          <w:color w:val="000000" w:themeColor="text1"/>
          <w:lang w:val="es-ES"/>
        </w:rPr>
        <w:t xml:space="preserve">el </w:t>
      </w:r>
      <w:r w:rsidR="00FF4C79">
        <w:rPr>
          <w:rFonts w:ascii="Century Gothic" w:eastAsia="Calibri" w:hAnsi="Century Gothic" w:cs="Arial"/>
          <w:color w:val="000000" w:themeColor="text1"/>
          <w:lang w:val="es-ES"/>
        </w:rPr>
        <w:t xml:space="preserve">numeral 5 del artículo 2.2.1.2.1.5.2. del Decreto 1082 de </w:t>
      </w:r>
      <w:r w:rsidR="00D96E25">
        <w:rPr>
          <w:rFonts w:ascii="Century Gothic" w:eastAsia="Calibri" w:hAnsi="Century Gothic" w:cs="Arial"/>
          <w:color w:val="000000" w:themeColor="text1"/>
          <w:lang w:val="es-ES"/>
        </w:rPr>
        <w:t>2015</w:t>
      </w:r>
      <w:r w:rsidR="00D64681">
        <w:rPr>
          <w:rFonts w:ascii="Century Gothic" w:eastAsia="Calibri" w:hAnsi="Century Gothic" w:cs="Arial"/>
          <w:color w:val="000000" w:themeColor="text1"/>
          <w:lang w:val="es-ES"/>
        </w:rPr>
        <w:t>, modificado por el artículo 2 del Decreto 1860 de 2021</w:t>
      </w:r>
      <w:r w:rsidR="00197374">
        <w:rPr>
          <w:rFonts w:ascii="Century Gothic" w:eastAsia="Calibri" w:hAnsi="Century Gothic" w:cs="Arial"/>
          <w:color w:val="000000" w:themeColor="text1"/>
          <w:lang w:val="es-ES"/>
        </w:rPr>
        <w:t xml:space="preserve">, </w:t>
      </w:r>
      <w:r w:rsidR="00A73052">
        <w:rPr>
          <w:rFonts w:ascii="Century Gothic" w:eastAsia="Calibri" w:hAnsi="Century Gothic" w:cs="Arial"/>
          <w:color w:val="000000" w:themeColor="text1"/>
          <w:lang w:val="es-ES"/>
        </w:rPr>
        <w:t xml:space="preserve">dispuso </w:t>
      </w:r>
      <w:r w:rsidR="00D96E25">
        <w:rPr>
          <w:rFonts w:ascii="Century Gothic" w:eastAsia="Calibri" w:hAnsi="Century Gothic" w:cs="Arial"/>
          <w:color w:val="000000" w:themeColor="text1"/>
          <w:lang w:val="es-ES"/>
        </w:rPr>
        <w:t xml:space="preserve">que la Entidad Estatal al momento </w:t>
      </w:r>
      <w:r w:rsidR="008E28B8">
        <w:rPr>
          <w:rFonts w:ascii="Century Gothic" w:eastAsia="Calibri" w:hAnsi="Century Gothic" w:cs="Arial"/>
          <w:color w:val="000000" w:themeColor="text1"/>
          <w:lang w:val="es-ES"/>
        </w:rPr>
        <w:t xml:space="preserve">de evaluar las ofertas </w:t>
      </w:r>
      <w:r w:rsidR="00A73052">
        <w:rPr>
          <w:rFonts w:ascii="Century Gothic" w:eastAsia="Calibri" w:hAnsi="Century Gothic" w:cs="Arial"/>
          <w:color w:val="000000" w:themeColor="text1"/>
          <w:lang w:val="es-ES"/>
        </w:rPr>
        <w:t xml:space="preserve">presentadas dentro de un procedimiento para la contratación de mínima cuantía, </w:t>
      </w:r>
      <w:r w:rsidR="008E28B8">
        <w:rPr>
          <w:rFonts w:ascii="Century Gothic" w:eastAsia="Calibri" w:hAnsi="Century Gothic" w:cs="Arial"/>
          <w:color w:val="000000" w:themeColor="text1"/>
          <w:lang w:val="es-ES"/>
        </w:rPr>
        <w:t>deberá determinar un orden de evaluación que estará determinado</w:t>
      </w:r>
      <w:r w:rsidR="00A27BA1">
        <w:rPr>
          <w:rFonts w:ascii="Century Gothic" w:eastAsia="Calibri" w:hAnsi="Century Gothic" w:cs="Arial"/>
          <w:color w:val="000000" w:themeColor="text1"/>
          <w:lang w:val="es-ES"/>
        </w:rPr>
        <w:t xml:space="preserve"> por el</w:t>
      </w:r>
      <w:r w:rsidR="008E28B8">
        <w:rPr>
          <w:rFonts w:ascii="Century Gothic" w:eastAsia="Calibri" w:hAnsi="Century Gothic" w:cs="Arial"/>
          <w:color w:val="000000" w:themeColor="text1"/>
          <w:lang w:val="es-ES"/>
        </w:rPr>
        <w:t xml:space="preserve"> valor de las ofertas económicas, siendo el primer orden </w:t>
      </w:r>
      <w:r w:rsidR="00A27BA1">
        <w:rPr>
          <w:rFonts w:ascii="Century Gothic" w:eastAsia="Calibri" w:hAnsi="Century Gothic" w:cs="Arial"/>
          <w:color w:val="000000" w:themeColor="text1"/>
          <w:lang w:val="es-ES"/>
        </w:rPr>
        <w:t xml:space="preserve">de elegibilidad </w:t>
      </w:r>
      <w:r w:rsidR="008E28B8">
        <w:rPr>
          <w:rFonts w:ascii="Century Gothic" w:eastAsia="Calibri" w:hAnsi="Century Gothic" w:cs="Arial"/>
          <w:color w:val="000000" w:themeColor="text1"/>
          <w:lang w:val="es-ES"/>
        </w:rPr>
        <w:t>la oferta que contenga un menor precio</w:t>
      </w:r>
      <w:r w:rsidR="00D64681">
        <w:rPr>
          <w:rFonts w:ascii="Century Gothic" w:eastAsia="Calibri" w:hAnsi="Century Gothic" w:cs="Arial"/>
          <w:color w:val="000000" w:themeColor="text1"/>
          <w:lang w:val="es-ES"/>
        </w:rPr>
        <w:t xml:space="preserve">. </w:t>
      </w:r>
      <w:r w:rsidR="00AA490C">
        <w:rPr>
          <w:rFonts w:ascii="Century Gothic" w:eastAsia="Calibri" w:hAnsi="Century Gothic" w:cs="Arial"/>
          <w:color w:val="000000" w:themeColor="text1"/>
          <w:lang w:val="es-ES"/>
        </w:rPr>
        <w:t xml:space="preserve">En ese sentido, la </w:t>
      </w:r>
      <w:r w:rsidR="00F852EA">
        <w:rPr>
          <w:rFonts w:ascii="Century Gothic" w:eastAsia="Calibri" w:hAnsi="Century Gothic" w:cs="Arial"/>
          <w:color w:val="000000" w:themeColor="text1"/>
          <w:lang w:val="es-ES"/>
        </w:rPr>
        <w:t>Entidad Estatal deberá verificar si dicha oferta cumple con los requisitos de la invitación</w:t>
      </w:r>
      <w:r w:rsidR="00DC7FF2">
        <w:rPr>
          <w:rFonts w:ascii="Century Gothic" w:eastAsia="Calibri" w:hAnsi="Century Gothic" w:cs="Arial"/>
          <w:color w:val="000000" w:themeColor="text1"/>
          <w:lang w:val="es-ES"/>
        </w:rPr>
        <w:t xml:space="preserve">, en caso de que </w:t>
      </w:r>
      <w:r w:rsidR="008B415F">
        <w:rPr>
          <w:rFonts w:ascii="Century Gothic" w:eastAsia="Calibri" w:hAnsi="Century Gothic" w:cs="Arial"/>
          <w:color w:val="000000" w:themeColor="text1"/>
          <w:lang w:val="es-ES"/>
        </w:rPr>
        <w:t>no cumpliera con ello, deberá proceder a evaluar la oferta con el segundo mejor precio, y así sucesivamente</w:t>
      </w:r>
      <w:r w:rsidR="00C90F4C">
        <w:rPr>
          <w:rFonts w:ascii="Century Gothic" w:eastAsia="Calibri" w:hAnsi="Century Gothic" w:cs="Arial"/>
          <w:color w:val="000000" w:themeColor="text1"/>
          <w:lang w:val="es-ES"/>
        </w:rPr>
        <w:t xml:space="preserve"> hasta llegar a la oferta que cumpl</w:t>
      </w:r>
      <w:r w:rsidR="00553E4A">
        <w:rPr>
          <w:rFonts w:ascii="Century Gothic" w:eastAsia="Calibri" w:hAnsi="Century Gothic" w:cs="Arial"/>
          <w:color w:val="000000" w:themeColor="text1"/>
          <w:lang w:val="es-ES"/>
        </w:rPr>
        <w:t>iera con los requisitos de la invitación</w:t>
      </w:r>
      <w:r w:rsidR="00E42867">
        <w:rPr>
          <w:rFonts w:ascii="Century Gothic" w:eastAsia="Calibri" w:hAnsi="Century Gothic" w:cs="Arial"/>
          <w:color w:val="000000" w:themeColor="text1"/>
          <w:lang w:val="es-ES"/>
        </w:rPr>
        <w:t>,</w:t>
      </w:r>
      <w:r w:rsidR="00CE4581">
        <w:rPr>
          <w:rFonts w:ascii="Century Gothic" w:eastAsia="Calibri" w:hAnsi="Century Gothic" w:cs="Arial"/>
          <w:color w:val="000000" w:themeColor="text1"/>
          <w:lang w:val="es-ES"/>
        </w:rPr>
        <w:t xml:space="preserve"> </w:t>
      </w:r>
      <w:r w:rsidR="004412A1">
        <w:rPr>
          <w:rFonts w:ascii="Century Gothic" w:eastAsia="Calibri" w:hAnsi="Century Gothic" w:cs="Arial"/>
          <w:color w:val="000000" w:themeColor="text1"/>
          <w:lang w:val="es-ES"/>
        </w:rPr>
        <w:t xml:space="preserve">sin perjuicio de que en </w:t>
      </w:r>
      <w:r w:rsidR="00F52B7A">
        <w:rPr>
          <w:rFonts w:ascii="Century Gothic" w:eastAsia="Calibri" w:hAnsi="Century Gothic" w:cs="Arial"/>
          <w:color w:val="000000" w:themeColor="text1"/>
          <w:lang w:val="es-ES"/>
        </w:rPr>
        <w:t xml:space="preserve">ejercicio del </w:t>
      </w:r>
      <w:r w:rsidR="00CE4581">
        <w:rPr>
          <w:rFonts w:ascii="Century Gothic" w:eastAsia="Calibri" w:hAnsi="Century Gothic" w:cs="Arial"/>
          <w:color w:val="000000" w:themeColor="text1"/>
          <w:lang w:val="es-ES"/>
        </w:rPr>
        <w:t xml:space="preserve">derecho </w:t>
      </w:r>
      <w:r w:rsidR="00F52B7A">
        <w:rPr>
          <w:rFonts w:ascii="Century Gothic" w:eastAsia="Calibri" w:hAnsi="Century Gothic" w:cs="Arial"/>
          <w:color w:val="000000" w:themeColor="text1"/>
          <w:lang w:val="es-ES"/>
        </w:rPr>
        <w:t>a la subsanación de ofertas</w:t>
      </w:r>
      <w:r w:rsidR="00CE4581">
        <w:rPr>
          <w:rFonts w:ascii="Century Gothic" w:eastAsia="Calibri" w:hAnsi="Century Gothic" w:cs="Arial"/>
          <w:color w:val="000000" w:themeColor="text1"/>
          <w:lang w:val="es-ES"/>
        </w:rPr>
        <w:t>,</w:t>
      </w:r>
      <w:r w:rsidR="00F52B7A">
        <w:rPr>
          <w:rFonts w:ascii="Century Gothic" w:eastAsia="Calibri" w:hAnsi="Century Gothic" w:cs="Arial"/>
          <w:color w:val="000000" w:themeColor="text1"/>
          <w:lang w:val="es-ES"/>
        </w:rPr>
        <w:t xml:space="preserve"> </w:t>
      </w:r>
      <w:r w:rsidR="00732E5F">
        <w:rPr>
          <w:rFonts w:ascii="Century Gothic" w:eastAsia="Calibri" w:hAnsi="Century Gothic" w:cs="Arial"/>
          <w:color w:val="000000" w:themeColor="text1"/>
          <w:lang w:val="es-ES"/>
        </w:rPr>
        <w:t>los proponentes</w:t>
      </w:r>
      <w:r w:rsidR="00150B88">
        <w:rPr>
          <w:rFonts w:ascii="Century Gothic" w:eastAsia="Calibri" w:hAnsi="Century Gothic" w:cs="Arial"/>
          <w:color w:val="000000" w:themeColor="text1"/>
          <w:lang w:val="es-ES"/>
        </w:rPr>
        <w:t xml:space="preserve"> en primer orden de elegibilidad y siguientes, puedan subsanar su oferta, </w:t>
      </w:r>
      <w:r w:rsidR="00553E4A">
        <w:rPr>
          <w:rFonts w:ascii="Century Gothic" w:eastAsia="Calibri" w:hAnsi="Century Gothic" w:cs="Arial"/>
          <w:color w:val="000000" w:themeColor="text1"/>
          <w:lang w:val="es-ES"/>
        </w:rPr>
        <w:t xml:space="preserve">y en ese orden de ideas, pueda la Entidad Estatal aceptar la oferta conforme el orden de elegibilidad. </w:t>
      </w:r>
    </w:p>
    <w:p w14:paraId="1BADA4AE" w14:textId="77777777" w:rsidR="00EF2A05" w:rsidRDefault="00EF2A05" w:rsidP="00553E4A">
      <w:pPr>
        <w:spacing w:after="0" w:line="276" w:lineRule="auto"/>
        <w:ind w:firstLine="709"/>
        <w:jc w:val="both"/>
        <w:rPr>
          <w:rFonts w:ascii="Century Gothic" w:eastAsia="Calibri" w:hAnsi="Century Gothic" w:cs="Arial"/>
          <w:color w:val="000000" w:themeColor="text1"/>
          <w:lang w:val="es-ES"/>
        </w:rPr>
      </w:pPr>
    </w:p>
    <w:p w14:paraId="14B3EFF4" w14:textId="07DCA281" w:rsidR="00D9073C" w:rsidRDefault="00553E4A" w:rsidP="00D9073C">
      <w:pPr>
        <w:spacing w:after="0" w:line="276" w:lineRule="auto"/>
        <w:ind w:firstLine="709"/>
        <w:jc w:val="both"/>
        <w:rPr>
          <w:rFonts w:ascii="Century Gothic" w:eastAsia="Calibri" w:hAnsi="Century Gothic" w:cs="Arial"/>
          <w:color w:val="000000" w:themeColor="text1"/>
          <w:lang w:val="es-ES"/>
        </w:rPr>
      </w:pPr>
      <w:r>
        <w:rPr>
          <w:rFonts w:ascii="Century Gothic" w:eastAsia="Calibri" w:hAnsi="Century Gothic" w:cs="Arial"/>
          <w:color w:val="000000" w:themeColor="text1"/>
          <w:lang w:val="es-ES"/>
        </w:rPr>
        <w:t xml:space="preserve">Sobre la subsanación de </w:t>
      </w:r>
      <w:r w:rsidR="00C042D6">
        <w:rPr>
          <w:rFonts w:ascii="Century Gothic" w:eastAsia="Calibri" w:hAnsi="Century Gothic" w:cs="Arial"/>
          <w:color w:val="000000" w:themeColor="text1"/>
          <w:lang w:val="es-ES"/>
        </w:rPr>
        <w:t xml:space="preserve">las </w:t>
      </w:r>
      <w:r>
        <w:rPr>
          <w:rFonts w:ascii="Century Gothic" w:eastAsia="Calibri" w:hAnsi="Century Gothic" w:cs="Arial"/>
          <w:color w:val="000000" w:themeColor="text1"/>
          <w:lang w:val="es-ES"/>
        </w:rPr>
        <w:t>ofertas</w:t>
      </w:r>
      <w:r w:rsidR="00EF2A05">
        <w:rPr>
          <w:rFonts w:ascii="Century Gothic" w:eastAsia="Calibri" w:hAnsi="Century Gothic" w:cs="Arial"/>
          <w:color w:val="000000" w:themeColor="text1"/>
          <w:lang w:val="es-ES"/>
        </w:rPr>
        <w:t xml:space="preserve"> en el</w:t>
      </w:r>
      <w:r w:rsidR="00C042D6">
        <w:rPr>
          <w:rFonts w:ascii="Century Gothic" w:eastAsia="Calibri" w:hAnsi="Century Gothic" w:cs="Arial"/>
          <w:color w:val="000000" w:themeColor="text1"/>
          <w:lang w:val="es-ES"/>
        </w:rPr>
        <w:t xml:space="preserve"> marco del</w:t>
      </w:r>
      <w:r w:rsidR="00EF2A05">
        <w:rPr>
          <w:rFonts w:ascii="Century Gothic" w:eastAsia="Calibri" w:hAnsi="Century Gothic" w:cs="Arial"/>
          <w:color w:val="000000" w:themeColor="text1"/>
          <w:lang w:val="es-ES"/>
        </w:rPr>
        <w:t xml:space="preserve"> procedimiento de selección de mínima cuantía</w:t>
      </w:r>
      <w:r w:rsidR="00CE4581">
        <w:rPr>
          <w:rFonts w:ascii="Century Gothic" w:eastAsia="Calibri" w:hAnsi="Century Gothic" w:cs="Arial"/>
          <w:color w:val="000000" w:themeColor="text1"/>
          <w:lang w:val="es-ES"/>
        </w:rPr>
        <w:t xml:space="preserve">, </w:t>
      </w:r>
      <w:r w:rsidR="003D7AD6">
        <w:rPr>
          <w:rFonts w:ascii="Century Gothic" w:eastAsia="Calibri" w:hAnsi="Century Gothic" w:cs="Arial"/>
          <w:color w:val="000000" w:themeColor="text1"/>
          <w:lang w:val="es-ES"/>
        </w:rPr>
        <w:t xml:space="preserve">la norma contempla que </w:t>
      </w:r>
      <w:r w:rsidR="00EF2A05">
        <w:rPr>
          <w:rFonts w:ascii="Century Gothic" w:eastAsia="Calibri" w:hAnsi="Century Gothic" w:cs="Arial"/>
          <w:color w:val="000000" w:themeColor="text1"/>
          <w:lang w:val="es-ES"/>
        </w:rPr>
        <w:t xml:space="preserve">cada </w:t>
      </w:r>
      <w:r w:rsidR="00CE4581">
        <w:rPr>
          <w:rFonts w:ascii="Century Gothic" w:eastAsia="Calibri" w:hAnsi="Century Gothic" w:cs="Arial"/>
          <w:color w:val="000000" w:themeColor="text1"/>
          <w:lang w:val="es-ES"/>
        </w:rPr>
        <w:t>Entidad Estatal</w:t>
      </w:r>
      <w:r w:rsidR="00892C0E">
        <w:rPr>
          <w:rFonts w:ascii="Century Gothic" w:eastAsia="Calibri" w:hAnsi="Century Gothic" w:cs="Arial"/>
          <w:color w:val="000000" w:themeColor="text1"/>
          <w:lang w:val="es-ES"/>
        </w:rPr>
        <w:t>,</w:t>
      </w:r>
      <w:r w:rsidR="00CE4581">
        <w:rPr>
          <w:rFonts w:ascii="Century Gothic" w:eastAsia="Calibri" w:hAnsi="Century Gothic" w:cs="Arial"/>
          <w:color w:val="000000" w:themeColor="text1"/>
          <w:lang w:val="es-ES"/>
        </w:rPr>
        <w:t xml:space="preserve"> </w:t>
      </w:r>
      <w:r w:rsidR="003D7AD6">
        <w:rPr>
          <w:rFonts w:ascii="Century Gothic" w:eastAsia="Calibri" w:hAnsi="Century Gothic" w:cs="Arial"/>
          <w:color w:val="000000" w:themeColor="text1"/>
          <w:lang w:val="es-ES"/>
        </w:rPr>
        <w:t>a su</w:t>
      </w:r>
      <w:r w:rsidR="002D548B">
        <w:rPr>
          <w:rFonts w:ascii="Century Gothic" w:eastAsia="Calibri" w:hAnsi="Century Gothic" w:cs="Arial"/>
          <w:color w:val="000000" w:themeColor="text1"/>
          <w:lang w:val="es-ES"/>
        </w:rPr>
        <w:t xml:space="preserve"> discrecionalidad</w:t>
      </w:r>
      <w:r w:rsidR="00892C0E">
        <w:rPr>
          <w:rFonts w:ascii="Century Gothic" w:eastAsia="Calibri" w:hAnsi="Century Gothic" w:cs="Arial"/>
          <w:color w:val="000000" w:themeColor="text1"/>
          <w:lang w:val="es-ES"/>
        </w:rPr>
        <w:t>,</w:t>
      </w:r>
      <w:r w:rsidR="002D548B">
        <w:rPr>
          <w:rFonts w:ascii="Century Gothic" w:eastAsia="Calibri" w:hAnsi="Century Gothic" w:cs="Arial"/>
          <w:color w:val="000000" w:themeColor="text1"/>
          <w:lang w:val="es-ES"/>
        </w:rPr>
        <w:t xml:space="preserve"> </w:t>
      </w:r>
      <w:r w:rsidR="003D7AD6">
        <w:rPr>
          <w:rFonts w:ascii="Century Gothic" w:eastAsia="Calibri" w:hAnsi="Century Gothic" w:cs="Arial"/>
          <w:color w:val="000000" w:themeColor="text1"/>
          <w:lang w:val="es-ES"/>
        </w:rPr>
        <w:t>establec</w:t>
      </w:r>
      <w:r w:rsidR="0065736D">
        <w:rPr>
          <w:rFonts w:ascii="Century Gothic" w:eastAsia="Calibri" w:hAnsi="Century Gothic" w:cs="Arial"/>
          <w:color w:val="000000" w:themeColor="text1"/>
          <w:lang w:val="es-ES"/>
        </w:rPr>
        <w:t>erá</w:t>
      </w:r>
      <w:r w:rsidR="003D7AD6">
        <w:rPr>
          <w:rFonts w:ascii="Century Gothic" w:eastAsia="Calibri" w:hAnsi="Century Gothic" w:cs="Arial"/>
          <w:color w:val="000000" w:themeColor="text1"/>
          <w:lang w:val="es-ES"/>
        </w:rPr>
        <w:t xml:space="preserve"> </w:t>
      </w:r>
      <w:r w:rsidR="002D548B">
        <w:rPr>
          <w:rFonts w:ascii="Century Gothic" w:eastAsia="Calibri" w:hAnsi="Century Gothic" w:cs="Arial"/>
          <w:color w:val="000000" w:themeColor="text1"/>
          <w:lang w:val="es-ES"/>
        </w:rPr>
        <w:t xml:space="preserve">el término preclusivo para recibir los documentos subsanables </w:t>
      </w:r>
      <w:r w:rsidR="00EC41B9">
        <w:rPr>
          <w:rFonts w:ascii="Century Gothic" w:eastAsia="Calibri" w:hAnsi="Century Gothic" w:cs="Arial"/>
          <w:color w:val="000000" w:themeColor="text1"/>
          <w:lang w:val="es-ES"/>
        </w:rPr>
        <w:t>a los</w:t>
      </w:r>
      <w:r w:rsidR="002D548B">
        <w:rPr>
          <w:rFonts w:ascii="Century Gothic" w:eastAsia="Calibri" w:hAnsi="Century Gothic" w:cs="Arial"/>
          <w:color w:val="000000" w:themeColor="text1"/>
          <w:lang w:val="es-ES"/>
        </w:rPr>
        <w:t xml:space="preserve"> proponentes</w:t>
      </w:r>
      <w:r w:rsidR="00EC41B9">
        <w:rPr>
          <w:rFonts w:ascii="Century Gothic" w:eastAsia="Calibri" w:hAnsi="Century Gothic" w:cs="Arial"/>
          <w:color w:val="000000" w:themeColor="text1"/>
          <w:lang w:val="es-ES"/>
        </w:rPr>
        <w:t>, para ello podrá determinar</w:t>
      </w:r>
      <w:r w:rsidR="00C83511">
        <w:rPr>
          <w:rFonts w:ascii="Century Gothic" w:eastAsia="Calibri" w:hAnsi="Century Gothic" w:cs="Arial"/>
          <w:color w:val="000000" w:themeColor="text1"/>
          <w:lang w:val="es-ES"/>
        </w:rPr>
        <w:t xml:space="preserve"> en el cronograma de la invitación</w:t>
      </w:r>
      <w:r w:rsidR="00EC41B9">
        <w:rPr>
          <w:rFonts w:ascii="Century Gothic" w:eastAsia="Calibri" w:hAnsi="Century Gothic" w:cs="Arial"/>
          <w:color w:val="000000" w:themeColor="text1"/>
          <w:lang w:val="es-ES"/>
        </w:rPr>
        <w:t xml:space="preserve"> dicho plazo</w:t>
      </w:r>
      <w:r w:rsidR="00C83511">
        <w:rPr>
          <w:rFonts w:ascii="Century Gothic" w:eastAsia="Calibri" w:hAnsi="Century Gothic" w:cs="Arial"/>
          <w:color w:val="000000" w:themeColor="text1"/>
          <w:lang w:val="es-ES"/>
        </w:rPr>
        <w:t>.</w:t>
      </w:r>
      <w:r w:rsidR="00EC41B9">
        <w:rPr>
          <w:rFonts w:ascii="Century Gothic" w:eastAsia="Calibri" w:hAnsi="Century Gothic" w:cs="Arial"/>
          <w:color w:val="000000" w:themeColor="text1"/>
          <w:lang w:val="es-ES"/>
        </w:rPr>
        <w:t xml:space="preserve"> Sin embargo, en caso de que </w:t>
      </w:r>
      <w:r w:rsidR="00B56883">
        <w:rPr>
          <w:rFonts w:ascii="Century Gothic" w:eastAsia="Calibri" w:hAnsi="Century Gothic" w:cs="Arial"/>
          <w:color w:val="000000" w:themeColor="text1"/>
          <w:lang w:val="es-ES"/>
        </w:rPr>
        <w:t xml:space="preserve">la Entidad Estatal </w:t>
      </w:r>
      <w:r w:rsidR="003060BA">
        <w:rPr>
          <w:rFonts w:ascii="Century Gothic" w:eastAsia="Calibri" w:hAnsi="Century Gothic" w:cs="Arial"/>
          <w:color w:val="000000" w:themeColor="text1"/>
          <w:lang w:val="es-ES"/>
        </w:rPr>
        <w:t xml:space="preserve">no determine </w:t>
      </w:r>
      <w:r w:rsidR="00B56883">
        <w:rPr>
          <w:rFonts w:ascii="Century Gothic" w:eastAsia="Calibri" w:hAnsi="Century Gothic" w:cs="Arial"/>
          <w:color w:val="000000" w:themeColor="text1"/>
          <w:lang w:val="es-ES"/>
        </w:rPr>
        <w:t>el</w:t>
      </w:r>
      <w:r w:rsidR="003060BA">
        <w:rPr>
          <w:rFonts w:ascii="Century Gothic" w:eastAsia="Calibri" w:hAnsi="Century Gothic" w:cs="Arial"/>
          <w:color w:val="000000" w:themeColor="text1"/>
          <w:lang w:val="es-ES"/>
        </w:rPr>
        <w:t xml:space="preserve"> término p</w:t>
      </w:r>
      <w:r w:rsidR="00473F05">
        <w:rPr>
          <w:rFonts w:ascii="Century Gothic" w:eastAsia="Calibri" w:hAnsi="Century Gothic" w:cs="Arial"/>
          <w:color w:val="000000" w:themeColor="text1"/>
          <w:lang w:val="es-ES"/>
        </w:rPr>
        <w:t xml:space="preserve">reclusivo </w:t>
      </w:r>
      <w:r w:rsidR="00B56883">
        <w:rPr>
          <w:rFonts w:ascii="Century Gothic" w:eastAsia="Calibri" w:hAnsi="Century Gothic" w:cs="Arial"/>
          <w:color w:val="000000" w:themeColor="text1"/>
          <w:lang w:val="es-ES"/>
        </w:rPr>
        <w:t xml:space="preserve">para la subsanación de ofertas </w:t>
      </w:r>
      <w:r w:rsidR="00473F05">
        <w:rPr>
          <w:rFonts w:ascii="Century Gothic" w:eastAsia="Calibri" w:hAnsi="Century Gothic" w:cs="Arial"/>
          <w:color w:val="000000" w:themeColor="text1"/>
          <w:lang w:val="es-ES"/>
        </w:rPr>
        <w:t>en la invitación</w:t>
      </w:r>
      <w:r w:rsidR="00B56883">
        <w:rPr>
          <w:rFonts w:ascii="Century Gothic" w:eastAsia="Calibri" w:hAnsi="Century Gothic" w:cs="Arial"/>
          <w:color w:val="000000" w:themeColor="text1"/>
          <w:lang w:val="es-ES"/>
        </w:rPr>
        <w:t>,</w:t>
      </w:r>
      <w:r w:rsidR="00892C0E">
        <w:rPr>
          <w:rFonts w:ascii="Century Gothic" w:eastAsia="Calibri" w:hAnsi="Century Gothic" w:cs="Arial"/>
          <w:color w:val="000000" w:themeColor="text1"/>
          <w:lang w:val="es-ES"/>
        </w:rPr>
        <w:t xml:space="preserve"> la norma contempla que</w:t>
      </w:r>
      <w:r w:rsidR="00473F05">
        <w:rPr>
          <w:rFonts w:ascii="Century Gothic" w:eastAsia="Calibri" w:hAnsi="Century Gothic" w:cs="Arial"/>
          <w:color w:val="000000" w:themeColor="text1"/>
          <w:lang w:val="es-ES"/>
        </w:rPr>
        <w:t xml:space="preserve"> </w:t>
      </w:r>
      <w:r w:rsidR="003A0239" w:rsidRPr="003A0239">
        <w:rPr>
          <w:rFonts w:ascii="Century Gothic" w:eastAsia="Calibri" w:hAnsi="Century Gothic" w:cs="Arial"/>
          <w:color w:val="000000" w:themeColor="text1"/>
          <w:lang w:val="es-ES"/>
        </w:rPr>
        <w:t>los proponentes podrán subsanar sus ofertas hasta antes de que finalice el traslado del informe de evaluación</w:t>
      </w:r>
      <w:r w:rsidR="003A0239">
        <w:rPr>
          <w:rFonts w:ascii="Century Gothic" w:eastAsia="Calibri" w:hAnsi="Century Gothic" w:cs="Arial"/>
          <w:color w:val="000000" w:themeColor="text1"/>
          <w:lang w:val="es-ES"/>
        </w:rPr>
        <w:t xml:space="preserve">, el cual corresponde al termino regulado en el numeral 6 del artículo 2.2.1.2.1.5.2. del Decreto 1082 de 2015, modificado por el artículo 2 del Decreto 1860 de 2021, </w:t>
      </w:r>
      <w:r w:rsidR="0085157E">
        <w:rPr>
          <w:rFonts w:ascii="Century Gothic" w:eastAsia="Calibri" w:hAnsi="Century Gothic" w:cs="Arial"/>
          <w:color w:val="000000" w:themeColor="text1"/>
          <w:lang w:val="es-ES"/>
        </w:rPr>
        <w:t>es decir, por un término</w:t>
      </w:r>
      <w:r w:rsidR="000427AC">
        <w:rPr>
          <w:rFonts w:ascii="Century Gothic" w:eastAsia="Calibri" w:hAnsi="Century Gothic" w:cs="Arial"/>
          <w:color w:val="000000" w:themeColor="text1"/>
          <w:lang w:val="es-ES"/>
        </w:rPr>
        <w:t xml:space="preserve"> mínimo de u</w:t>
      </w:r>
      <w:r w:rsidR="00914901">
        <w:rPr>
          <w:rFonts w:ascii="Century Gothic" w:eastAsia="Calibri" w:hAnsi="Century Gothic" w:cs="Arial"/>
          <w:color w:val="000000" w:themeColor="text1"/>
          <w:lang w:val="es-ES"/>
        </w:rPr>
        <w:t>n (1) día hábil a partir de la publicación del informe de evaluación</w:t>
      </w:r>
      <w:r w:rsidR="00912431">
        <w:rPr>
          <w:rFonts w:ascii="Century Gothic" w:eastAsia="Calibri" w:hAnsi="Century Gothic" w:cs="Arial"/>
          <w:color w:val="000000" w:themeColor="text1"/>
          <w:lang w:val="es-ES"/>
        </w:rPr>
        <w:t>.</w:t>
      </w:r>
    </w:p>
    <w:p w14:paraId="3901A674" w14:textId="77777777" w:rsidR="00D9073C" w:rsidRDefault="00D9073C" w:rsidP="00D9073C">
      <w:pPr>
        <w:spacing w:after="0" w:line="276" w:lineRule="auto"/>
        <w:ind w:firstLine="709"/>
        <w:jc w:val="both"/>
        <w:rPr>
          <w:rFonts w:ascii="Century Gothic" w:eastAsia="Calibri" w:hAnsi="Century Gothic" w:cs="Arial"/>
          <w:color w:val="000000" w:themeColor="text1"/>
          <w:lang w:val="es-ES"/>
        </w:rPr>
      </w:pPr>
    </w:p>
    <w:p w14:paraId="12A7CCA1" w14:textId="2A77DED8" w:rsidR="00A4002B" w:rsidRDefault="00ED1BF9" w:rsidP="005F077D">
      <w:pPr>
        <w:spacing w:after="0" w:line="276" w:lineRule="auto"/>
        <w:ind w:firstLine="709"/>
        <w:jc w:val="both"/>
        <w:rPr>
          <w:rFonts w:ascii="Century Gothic" w:hAnsi="Century Gothic" w:cs="Arial"/>
          <w:lang w:val="es-ES_tradnl"/>
        </w:rPr>
      </w:pPr>
      <w:r>
        <w:rPr>
          <w:rFonts w:ascii="Century Gothic" w:hAnsi="Century Gothic" w:cs="Arial"/>
          <w:lang w:val="es-ES"/>
        </w:rPr>
        <w:t>Por</w:t>
      </w:r>
      <w:r w:rsidR="00D3197A">
        <w:rPr>
          <w:rFonts w:ascii="Century Gothic" w:hAnsi="Century Gothic" w:cs="Arial"/>
          <w:lang w:val="es-ES"/>
        </w:rPr>
        <w:t xml:space="preserve"> lo tanto, si bien la norma contempló que el término de traslado </w:t>
      </w:r>
      <w:r w:rsidR="006D6C13">
        <w:rPr>
          <w:rFonts w:ascii="Century Gothic" w:hAnsi="Century Gothic" w:cs="Arial"/>
          <w:lang w:val="es-ES"/>
        </w:rPr>
        <w:t>a</w:t>
      </w:r>
      <w:r w:rsidR="00D3197A">
        <w:rPr>
          <w:rFonts w:ascii="Century Gothic" w:hAnsi="Century Gothic" w:cs="Arial"/>
          <w:lang w:val="es-ES"/>
        </w:rPr>
        <w:t xml:space="preserve">l informe de evaluación podría utilizarse </w:t>
      </w:r>
      <w:r w:rsidR="00F3154A">
        <w:rPr>
          <w:rFonts w:ascii="Century Gothic" w:hAnsi="Century Gothic" w:cs="Arial"/>
          <w:lang w:val="es-ES"/>
        </w:rPr>
        <w:t xml:space="preserve">subsidiariamente por la Entidad Estatal y los proponentes para la subsanación de ofertas, en estricto sentido, no </w:t>
      </w:r>
      <w:r w:rsidR="0043155C">
        <w:rPr>
          <w:rFonts w:ascii="Century Gothic" w:hAnsi="Century Gothic" w:cs="Arial"/>
          <w:lang w:val="es-ES"/>
        </w:rPr>
        <w:t xml:space="preserve">necesariamente </w:t>
      </w:r>
      <w:r w:rsidR="00301855">
        <w:rPr>
          <w:rFonts w:ascii="Century Gothic" w:hAnsi="Century Gothic" w:cs="Arial"/>
          <w:lang w:val="es-ES"/>
        </w:rPr>
        <w:t>corresponden a un mismo término o plazo, por lo tanto, como se expresó previamente</w:t>
      </w:r>
      <w:r w:rsidR="00B87BBE">
        <w:rPr>
          <w:rFonts w:ascii="Century Gothic" w:hAnsi="Century Gothic" w:cs="Arial"/>
          <w:lang w:val="es-ES"/>
        </w:rPr>
        <w:t>,</w:t>
      </w:r>
      <w:r w:rsidR="00301855">
        <w:rPr>
          <w:rFonts w:ascii="Century Gothic" w:hAnsi="Century Gothic" w:cs="Arial"/>
          <w:lang w:val="es-ES"/>
        </w:rPr>
        <w:t xml:space="preserve"> la Entidad Estatal </w:t>
      </w:r>
      <w:r w:rsidR="00B87BBE">
        <w:rPr>
          <w:rFonts w:ascii="Century Gothic" w:hAnsi="Century Gothic" w:cs="Arial"/>
          <w:lang w:val="es-ES"/>
        </w:rPr>
        <w:t>podrá determinar en su invitación</w:t>
      </w:r>
      <w:r w:rsidR="002A1323">
        <w:rPr>
          <w:rFonts w:ascii="Century Gothic" w:hAnsi="Century Gothic" w:cs="Arial"/>
          <w:lang w:val="es-ES"/>
        </w:rPr>
        <w:t>, si así bien lo considera,</w:t>
      </w:r>
      <w:r w:rsidR="00B87BBE">
        <w:rPr>
          <w:rFonts w:ascii="Century Gothic" w:hAnsi="Century Gothic" w:cs="Arial"/>
          <w:lang w:val="es-ES"/>
        </w:rPr>
        <w:t xml:space="preserve"> un término diferente al de traslado del informe de evaluación para la subsanación de ofertas por parte de los proponentes</w:t>
      </w:r>
      <w:r w:rsidR="004B2864">
        <w:rPr>
          <w:rFonts w:ascii="Century Gothic" w:hAnsi="Century Gothic" w:cs="Arial"/>
          <w:lang w:val="es-ES"/>
        </w:rPr>
        <w:t>. La anterior interpretación se sustenta en que el numeral 5 del artículo 2.2.1.2.1.5.2. contempl</w:t>
      </w:r>
      <w:r w:rsidR="00D96551">
        <w:rPr>
          <w:rFonts w:ascii="Century Gothic" w:hAnsi="Century Gothic" w:cs="Arial"/>
          <w:lang w:val="es-ES"/>
        </w:rPr>
        <w:t>ó</w:t>
      </w:r>
      <w:r w:rsidR="004B2864">
        <w:rPr>
          <w:rFonts w:ascii="Century Gothic" w:hAnsi="Century Gothic" w:cs="Arial"/>
          <w:lang w:val="es-ES"/>
        </w:rPr>
        <w:t xml:space="preserve"> expresamente que </w:t>
      </w:r>
      <w:r w:rsidR="003C6613">
        <w:rPr>
          <w:rFonts w:ascii="Century Gothic" w:hAnsi="Century Gothic" w:cs="Arial"/>
          <w:lang w:val="es-ES"/>
        </w:rPr>
        <w:t>las entidades estatales</w:t>
      </w:r>
      <w:r w:rsidR="00F76560" w:rsidRPr="00F76560">
        <w:rPr>
          <w:rFonts w:ascii="Century Gothic" w:hAnsi="Century Gothic" w:cs="Arial"/>
          <w:lang w:val="es-ES_tradnl"/>
        </w:rPr>
        <w:t xml:space="preserve"> </w:t>
      </w:r>
      <w:r w:rsidR="003C6613">
        <w:rPr>
          <w:rFonts w:ascii="Century Gothic" w:hAnsi="Century Gothic" w:cs="Arial"/>
          <w:lang w:val="es-ES_tradnl"/>
        </w:rPr>
        <w:t>“</w:t>
      </w:r>
      <w:r w:rsidR="003C6613" w:rsidRPr="003C6613">
        <w:rPr>
          <w:rFonts w:ascii="Century Gothic" w:hAnsi="Century Gothic" w:cs="Arial"/>
          <w:lang w:val="es-ES_tradnl"/>
        </w:rPr>
        <w:t xml:space="preserve">establecerán un término preclusivo en la invitación para recibir los documentos subsanables, </w:t>
      </w:r>
      <w:r w:rsidR="003C6613" w:rsidRPr="003C6613">
        <w:rPr>
          <w:rFonts w:ascii="Century Gothic" w:hAnsi="Century Gothic" w:cs="Arial"/>
          <w:i/>
          <w:iCs/>
          <w:lang w:val="es-ES_tradnl"/>
        </w:rPr>
        <w:t>frente a cada uno de los requerimientos</w:t>
      </w:r>
      <w:r w:rsidR="003C6613">
        <w:rPr>
          <w:rFonts w:ascii="Century Gothic" w:hAnsi="Century Gothic" w:cs="Arial"/>
          <w:lang w:val="es-ES_tradnl"/>
        </w:rPr>
        <w:t>” (énfasis fuera de texto)</w:t>
      </w:r>
      <w:r w:rsidR="00B83704">
        <w:rPr>
          <w:rFonts w:ascii="Century Gothic" w:hAnsi="Century Gothic" w:cs="Arial"/>
          <w:lang w:val="es-ES_tradnl"/>
        </w:rPr>
        <w:t>,</w:t>
      </w:r>
      <w:r w:rsidR="003C6613">
        <w:rPr>
          <w:rFonts w:ascii="Century Gothic" w:hAnsi="Century Gothic" w:cs="Arial"/>
          <w:lang w:val="es-ES_tradnl"/>
        </w:rPr>
        <w:t xml:space="preserve"> en </w:t>
      </w:r>
      <w:r w:rsidR="00A4002B">
        <w:rPr>
          <w:rFonts w:ascii="Century Gothic" w:hAnsi="Century Gothic" w:cs="Arial"/>
          <w:lang w:val="es-ES_tradnl"/>
        </w:rPr>
        <w:t xml:space="preserve">ese sentido, cuando la norma contempla que se puede establecer un </w:t>
      </w:r>
      <w:r w:rsidR="00D96551">
        <w:rPr>
          <w:rFonts w:ascii="Century Gothic" w:hAnsi="Century Gothic" w:cs="Arial"/>
          <w:lang w:val="es-ES_tradnl"/>
        </w:rPr>
        <w:t>término</w:t>
      </w:r>
      <w:r w:rsidR="00A4002B">
        <w:rPr>
          <w:rFonts w:ascii="Century Gothic" w:hAnsi="Century Gothic" w:cs="Arial"/>
          <w:lang w:val="es-ES_tradnl"/>
        </w:rPr>
        <w:t xml:space="preserve"> frente a cada uno de los requerimientos, da</w:t>
      </w:r>
      <w:r w:rsidR="00D96551">
        <w:rPr>
          <w:rFonts w:ascii="Century Gothic" w:hAnsi="Century Gothic" w:cs="Arial"/>
          <w:lang w:val="es-ES_tradnl"/>
        </w:rPr>
        <w:t xml:space="preserve"> paso a la posibilidad de que </w:t>
      </w:r>
      <w:r w:rsidR="00A4002B" w:rsidRPr="0029340D">
        <w:rPr>
          <w:rFonts w:ascii="Century Gothic" w:hAnsi="Century Gothic" w:cs="Arial"/>
          <w:lang w:val="es-ES_tradnl"/>
        </w:rPr>
        <w:t>la Administración requiera al proponente antes de publicar el informe de evaluación. En efecto, la redacción de la norma permite que la Administración solicite a los oferentes subsanar y que estos lo hagan hasta antes del término del traslado del informe de evaluación</w:t>
      </w:r>
      <w:r w:rsidR="00926822">
        <w:rPr>
          <w:rFonts w:ascii="Century Gothic" w:hAnsi="Century Gothic" w:cs="Arial"/>
          <w:lang w:val="es-ES_tradnl"/>
        </w:rPr>
        <w:t>.</w:t>
      </w:r>
    </w:p>
    <w:p w14:paraId="296C134A" w14:textId="77777777" w:rsidR="00926822" w:rsidRDefault="00926822" w:rsidP="005F077D">
      <w:pPr>
        <w:spacing w:after="0" w:line="276" w:lineRule="auto"/>
        <w:ind w:firstLine="709"/>
        <w:jc w:val="both"/>
        <w:rPr>
          <w:rFonts w:ascii="Century Gothic" w:hAnsi="Century Gothic" w:cs="Arial"/>
          <w:lang w:val="es-ES_tradnl"/>
        </w:rPr>
      </w:pPr>
    </w:p>
    <w:p w14:paraId="7804636F" w14:textId="4529710D" w:rsidR="00926822" w:rsidRDefault="00926822" w:rsidP="005F077D">
      <w:pPr>
        <w:spacing w:after="0" w:line="276" w:lineRule="auto"/>
        <w:ind w:firstLine="709"/>
        <w:jc w:val="both"/>
        <w:rPr>
          <w:rFonts w:ascii="Century Gothic" w:eastAsia="Calibri" w:hAnsi="Century Gothic" w:cs="Arial"/>
          <w:color w:val="000000" w:themeColor="text1"/>
          <w:lang w:val="es-ES"/>
        </w:rPr>
      </w:pPr>
      <w:r w:rsidRPr="00753288">
        <w:rPr>
          <w:rFonts w:ascii="Century Gothic" w:hAnsi="Century Gothic" w:cs="Arial"/>
          <w:lang w:val="es-ES_tradnl"/>
        </w:rPr>
        <w:t xml:space="preserve">Sin perjuicio de dicha posibilidad, la Agencia </w:t>
      </w:r>
      <w:r w:rsidR="00F7744C" w:rsidRPr="00753288">
        <w:rPr>
          <w:rFonts w:ascii="Century Gothic" w:hAnsi="Century Gothic" w:cs="Arial"/>
          <w:lang w:val="es-ES_tradnl"/>
        </w:rPr>
        <w:t>recomienda</w:t>
      </w:r>
      <w:r w:rsidR="00753288">
        <w:rPr>
          <w:rFonts w:ascii="Century Gothic" w:hAnsi="Century Gothic" w:cs="Arial"/>
          <w:lang w:val="es-ES_tradnl"/>
        </w:rPr>
        <w:t>,</w:t>
      </w:r>
      <w:r w:rsidR="00F7744C" w:rsidRPr="00753288">
        <w:rPr>
          <w:rFonts w:ascii="Century Gothic" w:hAnsi="Century Gothic" w:cs="Arial"/>
          <w:lang w:val="es-ES_tradnl"/>
        </w:rPr>
        <w:t xml:space="preserve"> teniendo en cuenta </w:t>
      </w:r>
      <w:r w:rsidR="00466AB4" w:rsidRPr="00753288">
        <w:rPr>
          <w:rFonts w:ascii="Century Gothic" w:hAnsi="Century Gothic" w:cs="Arial"/>
          <w:lang w:val="es-ES_tradnl"/>
        </w:rPr>
        <w:t xml:space="preserve">el principio de economía contenido en </w:t>
      </w:r>
      <w:r w:rsidR="00492CF5" w:rsidRPr="00753288">
        <w:rPr>
          <w:rFonts w:ascii="Century Gothic" w:hAnsi="Century Gothic" w:cs="Arial"/>
          <w:lang w:val="es-ES_tradnl"/>
        </w:rPr>
        <w:t>artículo 25 de la Ley 80 de 1993</w:t>
      </w:r>
      <w:r w:rsidR="00CB67CA">
        <w:rPr>
          <w:rFonts w:ascii="Century Gothic" w:hAnsi="Century Gothic" w:cs="Arial"/>
          <w:lang w:val="es-ES_tradnl"/>
        </w:rPr>
        <w:t xml:space="preserve">, </w:t>
      </w:r>
      <w:r w:rsidR="007C20FC">
        <w:rPr>
          <w:rFonts w:ascii="Century Gothic" w:hAnsi="Century Gothic" w:cs="Arial"/>
          <w:lang w:val="es-ES_tradnl"/>
        </w:rPr>
        <w:t>que</w:t>
      </w:r>
      <w:r w:rsidR="00CB67CA">
        <w:rPr>
          <w:rFonts w:ascii="Century Gothic" w:hAnsi="Century Gothic" w:cs="Arial"/>
          <w:lang w:val="es-ES_tradnl"/>
        </w:rPr>
        <w:t xml:space="preserve"> la Entidad Estatal cumpla</w:t>
      </w:r>
      <w:r w:rsidR="002F77BB">
        <w:rPr>
          <w:rFonts w:ascii="Century Gothic" w:hAnsi="Century Gothic" w:cs="Arial"/>
          <w:lang w:val="es-ES_tradnl"/>
        </w:rPr>
        <w:t xml:space="preserve"> y </w:t>
      </w:r>
      <w:r w:rsidR="00CB67CA">
        <w:rPr>
          <w:rFonts w:ascii="Century Gothic" w:hAnsi="Century Gothic" w:cs="Arial"/>
          <w:lang w:val="es-ES_tradnl"/>
        </w:rPr>
        <w:t xml:space="preserve">establezca procedimientos y etapas </w:t>
      </w:r>
      <w:r w:rsidR="002F77BB">
        <w:rPr>
          <w:rFonts w:ascii="Century Gothic" w:hAnsi="Century Gothic" w:cs="Arial"/>
          <w:lang w:val="es-ES_tradnl"/>
        </w:rPr>
        <w:t xml:space="preserve">en sus procesos de selección de contratistas </w:t>
      </w:r>
      <w:r w:rsidR="00CB67CA">
        <w:rPr>
          <w:rFonts w:ascii="Century Gothic" w:hAnsi="Century Gothic" w:cs="Arial"/>
          <w:lang w:val="es-ES_tradnl"/>
        </w:rPr>
        <w:t xml:space="preserve">que sean estrictamente </w:t>
      </w:r>
      <w:r w:rsidR="00254D55">
        <w:rPr>
          <w:rFonts w:ascii="Century Gothic" w:hAnsi="Century Gothic" w:cs="Arial"/>
          <w:lang w:val="es-ES_tradnl"/>
        </w:rPr>
        <w:t xml:space="preserve">necesarios </w:t>
      </w:r>
      <w:r w:rsidR="00580FDC" w:rsidRPr="00753288">
        <w:rPr>
          <w:rFonts w:ascii="Century Gothic" w:hAnsi="Century Gothic"/>
        </w:rPr>
        <w:t>para asegurar la selección objetiva de la propuesta más favorable</w:t>
      </w:r>
      <w:r w:rsidR="00254D55">
        <w:rPr>
          <w:rFonts w:ascii="Century Gothic" w:hAnsi="Century Gothic"/>
        </w:rPr>
        <w:t>, con austeridad de tiempo, medios y gastos,</w:t>
      </w:r>
      <w:r w:rsidR="00970097">
        <w:rPr>
          <w:rFonts w:ascii="Century Gothic" w:hAnsi="Century Gothic"/>
        </w:rPr>
        <w:t xml:space="preserve"> por lo que </w:t>
      </w:r>
      <w:r w:rsidR="00FA65F1">
        <w:rPr>
          <w:rFonts w:ascii="Century Gothic" w:hAnsi="Century Gothic"/>
        </w:rPr>
        <w:t>resultará</w:t>
      </w:r>
      <w:r w:rsidR="008C11D0">
        <w:rPr>
          <w:rFonts w:ascii="Century Gothic" w:hAnsi="Century Gothic"/>
        </w:rPr>
        <w:t xml:space="preserve">, </w:t>
      </w:r>
      <w:r w:rsidR="008C11D0" w:rsidRPr="00BB40CA">
        <w:rPr>
          <w:rFonts w:ascii="Century Gothic" w:hAnsi="Century Gothic"/>
          <w:i/>
          <w:iCs/>
        </w:rPr>
        <w:t>según el caso en concreto</w:t>
      </w:r>
      <w:r w:rsidR="008C11D0">
        <w:rPr>
          <w:rFonts w:ascii="Century Gothic" w:hAnsi="Century Gothic"/>
        </w:rPr>
        <w:t>,</w:t>
      </w:r>
      <w:r w:rsidR="00A8093E">
        <w:rPr>
          <w:rFonts w:ascii="Century Gothic" w:hAnsi="Century Gothic"/>
        </w:rPr>
        <w:t xml:space="preserve"> un procedimiento más sencillo y rápido para escoger contratistas bajo el procedimiento de</w:t>
      </w:r>
      <w:r w:rsidR="00EB345A">
        <w:rPr>
          <w:rFonts w:ascii="Century Gothic" w:hAnsi="Century Gothic"/>
        </w:rPr>
        <w:t xml:space="preserve"> selección de</w:t>
      </w:r>
      <w:r w:rsidR="00A8093E">
        <w:rPr>
          <w:rFonts w:ascii="Century Gothic" w:hAnsi="Century Gothic"/>
        </w:rPr>
        <w:t xml:space="preserve"> mínima </w:t>
      </w:r>
      <w:r w:rsidR="00EB345A">
        <w:rPr>
          <w:rFonts w:ascii="Century Gothic" w:hAnsi="Century Gothic"/>
        </w:rPr>
        <w:t>cuantía, que la Entidad Estatal realice una sola evaluación en orden de elegibilidad</w:t>
      </w:r>
      <w:r w:rsidR="00691FF1">
        <w:rPr>
          <w:rFonts w:ascii="Century Gothic" w:hAnsi="Century Gothic"/>
        </w:rPr>
        <w:t xml:space="preserve">, esto es, en orden ascendente </w:t>
      </w:r>
      <w:r w:rsidR="00B97988">
        <w:rPr>
          <w:rFonts w:ascii="Century Gothic" w:hAnsi="Century Gothic"/>
        </w:rPr>
        <w:t xml:space="preserve">el valor de la oferta económica, </w:t>
      </w:r>
      <w:r w:rsidR="00B97988">
        <w:rPr>
          <w:rFonts w:ascii="Century Gothic" w:eastAsia="Calibri" w:hAnsi="Century Gothic" w:cs="Arial"/>
          <w:color w:val="000000" w:themeColor="text1"/>
          <w:lang w:val="es-ES"/>
        </w:rPr>
        <w:t>en el que se verifique si las</w:t>
      </w:r>
      <w:r w:rsidR="00EB345A">
        <w:rPr>
          <w:rFonts w:ascii="Century Gothic" w:eastAsia="Calibri" w:hAnsi="Century Gothic" w:cs="Arial"/>
          <w:color w:val="000000" w:themeColor="text1"/>
          <w:lang w:val="es-ES"/>
        </w:rPr>
        <w:t xml:space="preserve"> oferta</w:t>
      </w:r>
      <w:r w:rsidR="00B97988">
        <w:rPr>
          <w:rFonts w:ascii="Century Gothic" w:eastAsia="Calibri" w:hAnsi="Century Gothic" w:cs="Arial"/>
          <w:color w:val="000000" w:themeColor="text1"/>
          <w:lang w:val="es-ES"/>
        </w:rPr>
        <w:t>s</w:t>
      </w:r>
      <w:r w:rsidR="00EB345A">
        <w:rPr>
          <w:rFonts w:ascii="Century Gothic" w:eastAsia="Calibri" w:hAnsi="Century Gothic" w:cs="Arial"/>
          <w:color w:val="000000" w:themeColor="text1"/>
          <w:lang w:val="es-ES"/>
        </w:rPr>
        <w:t xml:space="preserve"> cumple</w:t>
      </w:r>
      <w:r w:rsidR="00B97988">
        <w:rPr>
          <w:rFonts w:ascii="Century Gothic" w:eastAsia="Calibri" w:hAnsi="Century Gothic" w:cs="Arial"/>
          <w:color w:val="000000" w:themeColor="text1"/>
          <w:lang w:val="es-ES"/>
        </w:rPr>
        <w:t>n</w:t>
      </w:r>
      <w:r w:rsidR="00EB345A">
        <w:rPr>
          <w:rFonts w:ascii="Century Gothic" w:eastAsia="Calibri" w:hAnsi="Century Gothic" w:cs="Arial"/>
          <w:color w:val="000000" w:themeColor="text1"/>
          <w:lang w:val="es-ES"/>
        </w:rPr>
        <w:t xml:space="preserve"> con los requisitos de la </w:t>
      </w:r>
      <w:r w:rsidR="00B97988">
        <w:rPr>
          <w:rFonts w:ascii="Century Gothic" w:eastAsia="Calibri" w:hAnsi="Century Gothic" w:cs="Arial"/>
          <w:color w:val="000000" w:themeColor="text1"/>
          <w:lang w:val="es-ES"/>
        </w:rPr>
        <w:t>invitación, y</w:t>
      </w:r>
      <w:r w:rsidR="00EB345A">
        <w:rPr>
          <w:rFonts w:ascii="Century Gothic" w:eastAsia="Calibri" w:hAnsi="Century Gothic" w:cs="Arial"/>
          <w:color w:val="000000" w:themeColor="text1"/>
          <w:lang w:val="es-ES"/>
        </w:rPr>
        <w:t xml:space="preserve"> así sucesivamente</w:t>
      </w:r>
      <w:r w:rsidR="00B97988">
        <w:rPr>
          <w:rFonts w:ascii="Century Gothic" w:eastAsia="Calibri" w:hAnsi="Century Gothic" w:cs="Arial"/>
          <w:color w:val="000000" w:themeColor="text1"/>
          <w:lang w:val="es-ES"/>
        </w:rPr>
        <w:t>,</w:t>
      </w:r>
      <w:r w:rsidR="00EB345A">
        <w:rPr>
          <w:rFonts w:ascii="Century Gothic" w:eastAsia="Calibri" w:hAnsi="Century Gothic" w:cs="Arial"/>
          <w:color w:val="000000" w:themeColor="text1"/>
          <w:lang w:val="es-ES"/>
        </w:rPr>
        <w:t xml:space="preserve"> hasta llegar a la oferta que cumpliera con </w:t>
      </w:r>
      <w:r w:rsidR="00B97988">
        <w:rPr>
          <w:rFonts w:ascii="Century Gothic" w:eastAsia="Calibri" w:hAnsi="Century Gothic" w:cs="Arial"/>
          <w:color w:val="000000" w:themeColor="text1"/>
          <w:lang w:val="es-ES"/>
        </w:rPr>
        <w:t>dichos requisitos o hasta evaluar la totalidad de ofertas, para que posteriormente, p</w:t>
      </w:r>
      <w:r w:rsidR="00673410">
        <w:rPr>
          <w:rFonts w:ascii="Century Gothic" w:eastAsia="Calibri" w:hAnsi="Century Gothic" w:cs="Arial"/>
          <w:color w:val="000000" w:themeColor="text1"/>
          <w:lang w:val="es-ES"/>
        </w:rPr>
        <w:t xml:space="preserve">ublique dicho informe </w:t>
      </w:r>
      <w:r w:rsidR="002639DF">
        <w:rPr>
          <w:rFonts w:ascii="Century Gothic" w:eastAsia="Calibri" w:hAnsi="Century Gothic" w:cs="Arial"/>
          <w:color w:val="000000" w:themeColor="text1"/>
          <w:lang w:val="es-ES"/>
        </w:rPr>
        <w:t xml:space="preserve">de evaluación </w:t>
      </w:r>
      <w:r w:rsidR="00673410">
        <w:rPr>
          <w:rFonts w:ascii="Century Gothic" w:eastAsia="Calibri" w:hAnsi="Century Gothic" w:cs="Arial"/>
          <w:color w:val="000000" w:themeColor="text1"/>
          <w:lang w:val="es-ES"/>
        </w:rPr>
        <w:t>y se establezca</w:t>
      </w:r>
      <w:r w:rsidR="00F846D4">
        <w:rPr>
          <w:rFonts w:ascii="Century Gothic" w:eastAsia="Calibri" w:hAnsi="Century Gothic" w:cs="Arial"/>
          <w:color w:val="000000" w:themeColor="text1"/>
          <w:lang w:val="es-ES"/>
        </w:rPr>
        <w:t>,</w:t>
      </w:r>
      <w:r w:rsidR="00673410">
        <w:rPr>
          <w:rFonts w:ascii="Century Gothic" w:eastAsia="Calibri" w:hAnsi="Century Gothic" w:cs="Arial"/>
          <w:color w:val="000000" w:themeColor="text1"/>
          <w:lang w:val="es-ES"/>
        </w:rPr>
        <w:t xml:space="preserve"> por parte de la </w:t>
      </w:r>
      <w:r w:rsidR="00F846D4">
        <w:rPr>
          <w:rFonts w:ascii="Century Gothic" w:eastAsia="Calibri" w:hAnsi="Century Gothic" w:cs="Arial"/>
          <w:color w:val="000000" w:themeColor="text1"/>
          <w:lang w:val="es-ES"/>
        </w:rPr>
        <w:t>Entidad Estatal</w:t>
      </w:r>
      <w:r w:rsidR="00673410">
        <w:rPr>
          <w:rFonts w:ascii="Century Gothic" w:eastAsia="Calibri" w:hAnsi="Century Gothic" w:cs="Arial"/>
          <w:color w:val="000000" w:themeColor="text1"/>
          <w:lang w:val="es-ES"/>
        </w:rPr>
        <w:t>, el mismo t</w:t>
      </w:r>
      <w:r w:rsidR="00F846D4">
        <w:rPr>
          <w:rFonts w:ascii="Century Gothic" w:eastAsia="Calibri" w:hAnsi="Century Gothic" w:cs="Arial"/>
          <w:color w:val="000000" w:themeColor="text1"/>
          <w:lang w:val="es-ES"/>
        </w:rPr>
        <w:t>érmino</w:t>
      </w:r>
      <w:r w:rsidR="00673410">
        <w:rPr>
          <w:rFonts w:ascii="Century Gothic" w:eastAsia="Calibri" w:hAnsi="Century Gothic" w:cs="Arial"/>
          <w:color w:val="000000" w:themeColor="text1"/>
          <w:lang w:val="es-ES"/>
        </w:rPr>
        <w:t xml:space="preserve"> de traslado del informe de evaluación para el de subsanación de ofertas. </w:t>
      </w:r>
    </w:p>
    <w:p w14:paraId="3D962735" w14:textId="77777777" w:rsidR="00673410" w:rsidRDefault="00673410" w:rsidP="005F077D">
      <w:pPr>
        <w:spacing w:after="0" w:line="276" w:lineRule="auto"/>
        <w:ind w:firstLine="709"/>
        <w:jc w:val="both"/>
        <w:rPr>
          <w:rFonts w:ascii="Century Gothic" w:eastAsia="Calibri" w:hAnsi="Century Gothic" w:cs="Arial"/>
          <w:color w:val="000000" w:themeColor="text1"/>
          <w:lang w:val="es-ES"/>
        </w:rPr>
      </w:pPr>
    </w:p>
    <w:p w14:paraId="1373906C" w14:textId="7DB93684" w:rsidR="00FA6E3E" w:rsidRPr="00FE1B85" w:rsidRDefault="00FA6E3E" w:rsidP="00FA6E3E">
      <w:pPr>
        <w:spacing w:after="0" w:line="276" w:lineRule="auto"/>
        <w:ind w:firstLine="709"/>
        <w:jc w:val="both"/>
        <w:rPr>
          <w:rFonts w:ascii="Century Gothic" w:eastAsia="Calibri" w:hAnsi="Century Gothic" w:cs="Arial"/>
          <w:color w:val="000000" w:themeColor="text1"/>
          <w:lang w:val="es-ES"/>
        </w:rPr>
      </w:pPr>
      <w:r w:rsidRPr="417329F9">
        <w:rPr>
          <w:rFonts w:ascii="Century Gothic" w:eastAsia="Calibri" w:hAnsi="Century Gothic" w:cs="Arial"/>
          <w:color w:val="000000" w:themeColor="text1"/>
          <w:lang w:val="es-ES"/>
        </w:rPr>
        <w:t xml:space="preserve">Finalmente, es importante señalar que las ideas </w:t>
      </w:r>
      <w:r w:rsidRPr="00FD4E08">
        <w:rPr>
          <w:rFonts w:ascii="Century Gothic" w:eastAsia="Calibri" w:hAnsi="Century Gothic" w:cs="Arial"/>
          <w:color w:val="000000" w:themeColor="text1"/>
          <w:lang w:val="es-ES"/>
        </w:rPr>
        <w:t>desarrolladas en este concepto y en otros anteriores, se basa exclusivamente en la interpretación del ordenamiento jurídico, particularmente, de lo establecido</w:t>
      </w:r>
      <w:r w:rsidRPr="417329F9">
        <w:rPr>
          <w:rFonts w:ascii="Century Gothic" w:eastAsia="Calibri" w:hAnsi="Century Gothic" w:cs="Arial"/>
          <w:color w:val="000000" w:themeColor="text1"/>
          <w:lang w:val="es-ES"/>
        </w:rPr>
        <w:t xml:space="preserve"> por el legislador.</w:t>
      </w:r>
    </w:p>
    <w:p w14:paraId="5378496A" w14:textId="77777777" w:rsidR="00FA6E3E" w:rsidRPr="0029340D" w:rsidRDefault="00FA6E3E" w:rsidP="00FA6E3E">
      <w:pPr>
        <w:spacing w:after="0" w:line="276" w:lineRule="auto"/>
        <w:jc w:val="both"/>
        <w:rPr>
          <w:rFonts w:ascii="Century Gothic" w:eastAsia="Calibri" w:hAnsi="Century Gothic" w:cs="Arial"/>
          <w:color w:val="000000"/>
          <w:szCs w:val="24"/>
          <w:lang w:val="es-ES" w:eastAsia="es-ES_tradnl"/>
        </w:rPr>
      </w:pPr>
    </w:p>
    <w:p w14:paraId="48A53A9A" w14:textId="77777777" w:rsidR="00FA6E3E" w:rsidRPr="0029340D" w:rsidRDefault="00FA6E3E" w:rsidP="00FA6E3E">
      <w:pPr>
        <w:tabs>
          <w:tab w:val="left" w:pos="709"/>
        </w:tabs>
        <w:spacing w:after="0" w:line="276" w:lineRule="auto"/>
        <w:contextualSpacing/>
        <w:jc w:val="both"/>
        <w:rPr>
          <w:rFonts w:ascii="Century Gothic" w:eastAsia="Calibri" w:hAnsi="Century Gothic" w:cs="Arial"/>
          <w:b/>
          <w:lang w:val="es-ES_tradnl"/>
        </w:rPr>
      </w:pPr>
      <w:r w:rsidRPr="0029340D">
        <w:rPr>
          <w:rFonts w:ascii="Century Gothic" w:eastAsia="Calibri" w:hAnsi="Century Gothic" w:cs="Arial"/>
          <w:b/>
          <w:lang w:val="es-ES_tradnl"/>
        </w:rPr>
        <w:t>3. Respuesta:</w:t>
      </w:r>
    </w:p>
    <w:p w14:paraId="6C07C115" w14:textId="77777777" w:rsidR="005463A0" w:rsidRPr="00E6147B" w:rsidRDefault="005463A0" w:rsidP="005463A0">
      <w:pPr>
        <w:pStyle w:val="NormalWeb"/>
        <w:ind w:left="709" w:right="709"/>
        <w:jc w:val="both"/>
        <w:rPr>
          <w:rFonts w:ascii="Century Gothic" w:hAnsi="Century Gothic"/>
          <w:sz w:val="21"/>
          <w:szCs w:val="21"/>
        </w:rPr>
      </w:pPr>
      <w:r w:rsidRPr="00E6147B">
        <w:rPr>
          <w:rFonts w:ascii="Century Gothic" w:hAnsi="Century Gothic" w:cs="Arial"/>
          <w:i/>
          <w:sz w:val="21"/>
          <w:szCs w:val="21"/>
        </w:rPr>
        <w:t>“</w:t>
      </w:r>
      <w:r w:rsidRPr="00E6147B">
        <w:rPr>
          <w:rFonts w:ascii="Century Gothic" w:hAnsi="Century Gothic"/>
          <w:sz w:val="21"/>
          <w:szCs w:val="21"/>
        </w:rPr>
        <w:t xml:space="preserve">¿Puede entenderse y/o aplicarse que el termino preclusivo de que habla el numeral 5, es el mismo traslado del informe de evaluación del numeral 6? Y sin son distintos, ¿cómo es su aplicación en la práctica? </w:t>
      </w:r>
    </w:p>
    <w:p w14:paraId="008734AD" w14:textId="05052AB7" w:rsidR="005463A0" w:rsidRPr="00E6147B" w:rsidRDefault="005463A0" w:rsidP="005463A0">
      <w:pPr>
        <w:pStyle w:val="NormalWeb"/>
        <w:ind w:left="709" w:right="709"/>
        <w:jc w:val="both"/>
        <w:rPr>
          <w:rFonts w:ascii="Century Gothic" w:hAnsi="Century Gothic" w:cs="Arial"/>
          <w:i/>
          <w:sz w:val="21"/>
          <w:szCs w:val="21"/>
        </w:rPr>
      </w:pPr>
      <w:r w:rsidRPr="00E6147B">
        <w:rPr>
          <w:rFonts w:ascii="Century Gothic" w:hAnsi="Century Gothic"/>
          <w:sz w:val="21"/>
          <w:szCs w:val="21"/>
        </w:rPr>
        <w:t xml:space="preserve">¿Si al oferta de menor precio no cumple, se deben evaluar de una vez, es decir, en el mismo informe, las ofertas que le siguen a la de menor precio, para posteriormente concederle un traslado común a todas? o </w:t>
      </w:r>
      <w:proofErr w:type="gramStart"/>
      <w:r w:rsidRPr="00E6147B">
        <w:rPr>
          <w:rFonts w:ascii="Century Gothic" w:hAnsi="Century Gothic"/>
          <w:sz w:val="21"/>
          <w:szCs w:val="21"/>
        </w:rPr>
        <w:t>si</w:t>
      </w:r>
      <w:proofErr w:type="gramEnd"/>
      <w:r w:rsidRPr="00E6147B">
        <w:rPr>
          <w:rFonts w:ascii="Century Gothic" w:hAnsi="Century Gothic"/>
          <w:sz w:val="21"/>
          <w:szCs w:val="21"/>
        </w:rPr>
        <w:t xml:space="preserve"> por el contrario; ¿una vez evaluada la oferta de menor precio, si esta no cumple, se le debe otorgar un término solo a este proponente, para que subsane, y de no subsanar y ser descartado, ahí si se seguiría con la evaluación con el segundo mejor precio?</w:t>
      </w:r>
      <w:r w:rsidRPr="00E6147B">
        <w:rPr>
          <w:rFonts w:ascii="Century Gothic" w:hAnsi="Century Gothic" w:cs="Arial"/>
          <w:i/>
          <w:sz w:val="21"/>
          <w:szCs w:val="21"/>
        </w:rPr>
        <w:t>” (sic)</w:t>
      </w:r>
    </w:p>
    <w:p w14:paraId="19F71506" w14:textId="5F40EEE9" w:rsidR="00BB40CA" w:rsidRDefault="00FA6E3E" w:rsidP="00D735F8">
      <w:pPr>
        <w:spacing w:after="0" w:line="276" w:lineRule="auto"/>
        <w:jc w:val="both"/>
        <w:rPr>
          <w:rFonts w:ascii="Century Gothic" w:eastAsia="Calibri" w:hAnsi="Century Gothic" w:cs="Arial"/>
          <w:color w:val="000000" w:themeColor="text1"/>
          <w:lang w:val="es-ES"/>
        </w:rPr>
      </w:pPr>
      <w:r w:rsidRPr="0029340D">
        <w:rPr>
          <w:rFonts w:ascii="Century Gothic" w:hAnsi="Century Gothic" w:cs="Arial"/>
          <w:color w:val="000000" w:themeColor="text1"/>
          <w:lang w:val="es-ES" w:eastAsia="es-MX"/>
        </w:rPr>
        <w:t xml:space="preserve">De acuerdo con lo expuesto, </w:t>
      </w:r>
      <w:r w:rsidR="00BB40CA">
        <w:rPr>
          <w:rFonts w:ascii="Century Gothic" w:eastAsia="Calibri" w:hAnsi="Century Gothic" w:cs="Arial"/>
          <w:color w:val="000000" w:themeColor="text1"/>
          <w:lang w:val="es-ES"/>
        </w:rPr>
        <w:t>el numeral 5 del artículo 2.2.1.2.1.5.2. del Decreto 1082 de 2015, modificado por el artículo 2 del Decreto 1860 de 2021, dispuso que cada Entidad Estatal, a su discrecionalidad, establecerá el término preclusivo para recibir los documentos subsanables a los proponentes</w:t>
      </w:r>
      <w:r w:rsidR="0024524E">
        <w:rPr>
          <w:rFonts w:ascii="Century Gothic" w:eastAsia="Calibri" w:hAnsi="Century Gothic" w:cs="Arial"/>
          <w:color w:val="000000" w:themeColor="text1"/>
          <w:lang w:val="es-ES"/>
        </w:rPr>
        <w:t xml:space="preserve"> en el desarrollo del proceso de selección por mínima cuantía</w:t>
      </w:r>
      <w:r w:rsidR="009D5E77">
        <w:rPr>
          <w:rFonts w:ascii="Century Gothic" w:eastAsia="Calibri" w:hAnsi="Century Gothic" w:cs="Arial"/>
          <w:color w:val="000000" w:themeColor="text1"/>
          <w:lang w:val="es-ES"/>
        </w:rPr>
        <w:t xml:space="preserve">. </w:t>
      </w:r>
      <w:r w:rsidR="00BB40CA">
        <w:rPr>
          <w:rFonts w:ascii="Century Gothic" w:eastAsia="Calibri" w:hAnsi="Century Gothic" w:cs="Arial"/>
          <w:color w:val="000000" w:themeColor="text1"/>
          <w:lang w:val="es-ES"/>
        </w:rPr>
        <w:t>Sin embargo, en caso de que la Entidad Estatal no determin</w:t>
      </w:r>
      <w:r w:rsidR="00BE23CD">
        <w:rPr>
          <w:rFonts w:ascii="Century Gothic" w:eastAsia="Calibri" w:hAnsi="Century Gothic" w:cs="Arial"/>
          <w:color w:val="000000" w:themeColor="text1"/>
          <w:lang w:val="es-ES"/>
        </w:rPr>
        <w:t>ara</w:t>
      </w:r>
      <w:r w:rsidR="00BB40CA">
        <w:rPr>
          <w:rFonts w:ascii="Century Gothic" w:eastAsia="Calibri" w:hAnsi="Century Gothic" w:cs="Arial"/>
          <w:color w:val="000000" w:themeColor="text1"/>
          <w:lang w:val="es-ES"/>
        </w:rPr>
        <w:t xml:space="preserve"> el término preclusivo para la subsanación de ofertas en la invitación, la norma contempl</w:t>
      </w:r>
      <w:r w:rsidR="00BE23CD">
        <w:rPr>
          <w:rFonts w:ascii="Century Gothic" w:eastAsia="Calibri" w:hAnsi="Century Gothic" w:cs="Arial"/>
          <w:color w:val="000000" w:themeColor="text1"/>
          <w:lang w:val="es-ES"/>
        </w:rPr>
        <w:t>ó</w:t>
      </w:r>
      <w:r w:rsidR="00BB40CA">
        <w:rPr>
          <w:rFonts w:ascii="Century Gothic" w:eastAsia="Calibri" w:hAnsi="Century Gothic" w:cs="Arial"/>
          <w:color w:val="000000" w:themeColor="text1"/>
          <w:lang w:val="es-ES"/>
        </w:rPr>
        <w:t xml:space="preserve"> que </w:t>
      </w:r>
      <w:r w:rsidR="00BB40CA" w:rsidRPr="003A0239">
        <w:rPr>
          <w:rFonts w:ascii="Century Gothic" w:eastAsia="Calibri" w:hAnsi="Century Gothic" w:cs="Arial"/>
          <w:color w:val="000000" w:themeColor="text1"/>
          <w:lang w:val="es-ES"/>
        </w:rPr>
        <w:t>los proponentes podrán subsanar sus ofertas hasta antes de que finalice el traslado del informe de evaluación</w:t>
      </w:r>
      <w:r w:rsidR="00BB40CA">
        <w:rPr>
          <w:rFonts w:ascii="Century Gothic" w:eastAsia="Calibri" w:hAnsi="Century Gothic" w:cs="Arial"/>
          <w:color w:val="000000" w:themeColor="text1"/>
          <w:lang w:val="es-ES"/>
        </w:rPr>
        <w:t>, el cual corresponde al termino regulado en el numeral 6 del artículo 2.2.1.2.1.5.2. del Decreto 1082 de 2015, modificado por el artículo 2 del Decreto 1860 de 2021, es decir, por un término mínimo de un (1) día hábil a partir de la publicación del informe de evaluación.</w:t>
      </w:r>
    </w:p>
    <w:p w14:paraId="36EE3842" w14:textId="77777777" w:rsidR="00BB40CA" w:rsidRDefault="00BB40CA" w:rsidP="00BB40CA">
      <w:pPr>
        <w:spacing w:after="0" w:line="276" w:lineRule="auto"/>
        <w:ind w:firstLine="709"/>
        <w:jc w:val="both"/>
        <w:rPr>
          <w:rFonts w:ascii="Century Gothic" w:eastAsia="Calibri" w:hAnsi="Century Gothic" w:cs="Arial"/>
          <w:color w:val="000000" w:themeColor="text1"/>
          <w:lang w:val="es-ES"/>
        </w:rPr>
      </w:pPr>
    </w:p>
    <w:p w14:paraId="6BF114D7" w14:textId="6DC9F28D" w:rsidR="00BB40CA" w:rsidRDefault="003021B2" w:rsidP="00BB40CA">
      <w:pPr>
        <w:spacing w:after="0" w:line="276" w:lineRule="auto"/>
        <w:ind w:firstLine="709"/>
        <w:jc w:val="both"/>
        <w:rPr>
          <w:rFonts w:ascii="Century Gothic" w:hAnsi="Century Gothic" w:cs="Arial"/>
          <w:lang w:val="es-ES_tradnl"/>
        </w:rPr>
      </w:pPr>
      <w:r>
        <w:rPr>
          <w:rFonts w:ascii="Century Gothic" w:hAnsi="Century Gothic" w:cs="Arial"/>
          <w:lang w:val="es-ES"/>
        </w:rPr>
        <w:t>Así las cosas</w:t>
      </w:r>
      <w:r w:rsidR="00BB40CA">
        <w:rPr>
          <w:rFonts w:ascii="Century Gothic" w:hAnsi="Century Gothic" w:cs="Arial"/>
          <w:lang w:val="es-ES"/>
        </w:rPr>
        <w:t xml:space="preserve">, si bien la norma contempló que el término de traslado al informe de evaluación podría utilizarse subsidiariamente por la Entidad Estatal y los proponentes para la subsanación de ofertas, en estricto sentido, no necesariamente corresponden a un mismo término o plazo, </w:t>
      </w:r>
      <w:r w:rsidR="0059686D">
        <w:rPr>
          <w:rFonts w:ascii="Century Gothic" w:hAnsi="Century Gothic" w:cs="Arial"/>
          <w:lang w:val="es-ES"/>
        </w:rPr>
        <w:t>puesto que</w:t>
      </w:r>
      <w:r w:rsidR="00BB40CA">
        <w:rPr>
          <w:rFonts w:ascii="Century Gothic" w:hAnsi="Century Gothic" w:cs="Arial"/>
          <w:lang w:val="es-ES"/>
        </w:rPr>
        <w:t>, como se expresó previamente, la Entidad Estatal podrá determinar en su invitación, si así bien lo considera, un término diferente al de traslado del informe de evaluación para la subsanación de ofertas por parte de los proponentes. La anterior interpretación se sustenta en que el numeral 5 del artículo 2.2.1.2.1.5.2. contempló expresamente que las entidades estatales</w:t>
      </w:r>
      <w:r w:rsidR="00BB40CA" w:rsidRPr="00F76560">
        <w:rPr>
          <w:rFonts w:ascii="Century Gothic" w:hAnsi="Century Gothic" w:cs="Arial"/>
          <w:lang w:val="es-ES_tradnl"/>
        </w:rPr>
        <w:t xml:space="preserve"> </w:t>
      </w:r>
      <w:r w:rsidR="00BB40CA">
        <w:rPr>
          <w:rFonts w:ascii="Century Gothic" w:hAnsi="Century Gothic" w:cs="Arial"/>
          <w:lang w:val="es-ES_tradnl"/>
        </w:rPr>
        <w:t>“</w:t>
      </w:r>
      <w:r w:rsidR="00BB40CA" w:rsidRPr="003C6613">
        <w:rPr>
          <w:rFonts w:ascii="Century Gothic" w:hAnsi="Century Gothic" w:cs="Arial"/>
          <w:lang w:val="es-ES_tradnl"/>
        </w:rPr>
        <w:t xml:space="preserve">establecerán un término preclusivo en la invitación para recibir los documentos subsanables, </w:t>
      </w:r>
      <w:r w:rsidR="00BB40CA" w:rsidRPr="003C6613">
        <w:rPr>
          <w:rFonts w:ascii="Century Gothic" w:hAnsi="Century Gothic" w:cs="Arial"/>
          <w:i/>
          <w:iCs/>
          <w:lang w:val="es-ES_tradnl"/>
        </w:rPr>
        <w:t>frente a cada uno de los requerimientos</w:t>
      </w:r>
      <w:r w:rsidR="00BB40CA">
        <w:rPr>
          <w:rFonts w:ascii="Century Gothic" w:hAnsi="Century Gothic" w:cs="Arial"/>
          <w:lang w:val="es-ES_tradnl"/>
        </w:rPr>
        <w:t xml:space="preserve">” (énfasis fuera de texto), en ese sentido, cuando la norma contempla que se puede establecer un término frente a cada uno de los requerimientos, da paso a la posibilidad de que </w:t>
      </w:r>
      <w:r w:rsidR="00BB40CA" w:rsidRPr="0029340D">
        <w:rPr>
          <w:rFonts w:ascii="Century Gothic" w:hAnsi="Century Gothic" w:cs="Arial"/>
          <w:lang w:val="es-ES_tradnl"/>
        </w:rPr>
        <w:t>la Administración requiera al proponente antes de publicar el informe de evaluación. En efecto, la redacción de la norma permite que la Administración solicite a los oferentes subsanar y que estos lo hagan hasta antes del término del traslado del informe de evaluación</w:t>
      </w:r>
      <w:r w:rsidR="00BB40CA">
        <w:rPr>
          <w:rFonts w:ascii="Century Gothic" w:hAnsi="Century Gothic" w:cs="Arial"/>
          <w:lang w:val="es-ES_tradnl"/>
        </w:rPr>
        <w:t>.</w:t>
      </w:r>
    </w:p>
    <w:p w14:paraId="1AB96648" w14:textId="77777777" w:rsidR="00BB40CA" w:rsidRDefault="00BB40CA" w:rsidP="00BB40CA">
      <w:pPr>
        <w:spacing w:after="0" w:line="276" w:lineRule="auto"/>
        <w:ind w:firstLine="709"/>
        <w:jc w:val="both"/>
        <w:rPr>
          <w:rFonts w:ascii="Century Gothic" w:hAnsi="Century Gothic" w:cs="Arial"/>
          <w:lang w:val="es-ES_tradnl"/>
        </w:rPr>
      </w:pPr>
    </w:p>
    <w:p w14:paraId="55959A78" w14:textId="77777777" w:rsidR="00BB40CA" w:rsidRDefault="00BB40CA" w:rsidP="00BB40CA">
      <w:pPr>
        <w:spacing w:after="0" w:line="276" w:lineRule="auto"/>
        <w:ind w:firstLine="709"/>
        <w:jc w:val="both"/>
        <w:rPr>
          <w:rFonts w:ascii="Century Gothic" w:eastAsia="Calibri" w:hAnsi="Century Gothic" w:cs="Arial"/>
          <w:color w:val="000000" w:themeColor="text1"/>
          <w:lang w:val="es-ES"/>
        </w:rPr>
      </w:pPr>
      <w:r w:rsidRPr="00753288">
        <w:rPr>
          <w:rFonts w:ascii="Century Gothic" w:hAnsi="Century Gothic" w:cs="Arial"/>
          <w:lang w:val="es-ES_tradnl"/>
        </w:rPr>
        <w:t>Sin perjuicio de dicha posibilidad, la Agencia recomienda</w:t>
      </w:r>
      <w:r>
        <w:rPr>
          <w:rFonts w:ascii="Century Gothic" w:hAnsi="Century Gothic" w:cs="Arial"/>
          <w:lang w:val="es-ES_tradnl"/>
        </w:rPr>
        <w:t>,</w:t>
      </w:r>
      <w:r w:rsidRPr="00753288">
        <w:rPr>
          <w:rFonts w:ascii="Century Gothic" w:hAnsi="Century Gothic" w:cs="Arial"/>
          <w:lang w:val="es-ES_tradnl"/>
        </w:rPr>
        <w:t xml:space="preserve"> teniendo en cuenta el principio de economía contenido en artículo 25 de la Ley 80 de 1993</w:t>
      </w:r>
      <w:r>
        <w:rPr>
          <w:rFonts w:ascii="Century Gothic" w:hAnsi="Century Gothic" w:cs="Arial"/>
          <w:lang w:val="es-ES_tradnl"/>
        </w:rPr>
        <w:t xml:space="preserve">, que la Entidad Estatal cumpla y establezca procedimientos y etapas en sus procesos de selección de contratistas que sean estrictamente necesarios </w:t>
      </w:r>
      <w:r w:rsidRPr="00753288">
        <w:rPr>
          <w:rFonts w:ascii="Century Gothic" w:hAnsi="Century Gothic"/>
        </w:rPr>
        <w:t>para asegurar la selección objetiva de la propuesta más favorable</w:t>
      </w:r>
      <w:r>
        <w:rPr>
          <w:rFonts w:ascii="Century Gothic" w:hAnsi="Century Gothic"/>
        </w:rPr>
        <w:t xml:space="preserve">, con austeridad de tiempo, medios y gastos, por lo que resultará, </w:t>
      </w:r>
      <w:r w:rsidRPr="00BB40CA">
        <w:rPr>
          <w:rFonts w:ascii="Century Gothic" w:hAnsi="Century Gothic"/>
          <w:i/>
          <w:iCs/>
        </w:rPr>
        <w:t>según el caso en concreto</w:t>
      </w:r>
      <w:r>
        <w:rPr>
          <w:rFonts w:ascii="Century Gothic" w:hAnsi="Century Gothic"/>
        </w:rPr>
        <w:t xml:space="preserve">, un procedimiento más sencillo y rápido para escoger contratistas bajo el procedimiento de selección de mínima cuantía, que la Entidad Estatal realice una sola evaluación en orden de elegibilidad, esto es, en orden ascendente el valor de la oferta económica, </w:t>
      </w:r>
      <w:r>
        <w:rPr>
          <w:rFonts w:ascii="Century Gothic" w:eastAsia="Calibri" w:hAnsi="Century Gothic" w:cs="Arial"/>
          <w:color w:val="000000" w:themeColor="text1"/>
          <w:lang w:val="es-ES"/>
        </w:rPr>
        <w:t xml:space="preserve">en el que se verifique si las ofertas cumplen con los requisitos de la invitación, y así sucesivamente, hasta llegar a la oferta que cumpliera con dichos requisitos o hasta evaluar la totalidad de ofertas, para que posteriormente, publique dicho informe de evaluación y se establezca, por parte de la Entidad Estatal, el mismo término de traslado del informe de evaluación para el de subsanación de ofertas. </w:t>
      </w:r>
    </w:p>
    <w:p w14:paraId="5C572388" w14:textId="77777777" w:rsidR="000017DA" w:rsidRDefault="000017DA" w:rsidP="00BB40CA">
      <w:pPr>
        <w:spacing w:after="0" w:line="276" w:lineRule="auto"/>
        <w:ind w:firstLine="709"/>
        <w:jc w:val="both"/>
        <w:rPr>
          <w:rFonts w:ascii="Century Gothic" w:eastAsia="Calibri" w:hAnsi="Century Gothic" w:cs="Arial"/>
          <w:color w:val="000000" w:themeColor="text1"/>
          <w:lang w:val="es-ES"/>
        </w:rPr>
      </w:pPr>
    </w:p>
    <w:p w14:paraId="6E0B69B3" w14:textId="1C297802" w:rsidR="000017DA" w:rsidRPr="00FE1B85" w:rsidRDefault="00F1507B" w:rsidP="000017DA">
      <w:pPr>
        <w:spacing w:after="0" w:line="276" w:lineRule="auto"/>
        <w:ind w:firstLine="709"/>
        <w:jc w:val="both"/>
        <w:rPr>
          <w:rFonts w:ascii="Century Gothic" w:eastAsia="Calibri" w:hAnsi="Century Gothic" w:cs="Arial"/>
          <w:color w:val="000000" w:themeColor="text1"/>
          <w:lang w:val="es-ES"/>
        </w:rPr>
      </w:pPr>
      <w:r>
        <w:rPr>
          <w:rFonts w:ascii="Century Gothic" w:eastAsia="Calibri" w:hAnsi="Century Gothic" w:cs="Arial"/>
          <w:color w:val="000000" w:themeColor="text1"/>
          <w:lang w:val="es-ES"/>
        </w:rPr>
        <w:t xml:space="preserve">Sin </w:t>
      </w:r>
      <w:r w:rsidR="008A33DE">
        <w:rPr>
          <w:rFonts w:ascii="Century Gothic" w:eastAsia="Calibri" w:hAnsi="Century Gothic" w:cs="Arial"/>
          <w:color w:val="000000" w:themeColor="text1"/>
          <w:lang w:val="es-ES"/>
        </w:rPr>
        <w:t>embargo,</w:t>
      </w:r>
      <w:r w:rsidR="008A33DE" w:rsidRPr="417329F9">
        <w:rPr>
          <w:rFonts w:ascii="Century Gothic" w:eastAsia="Calibri" w:hAnsi="Century Gothic" w:cs="Arial"/>
          <w:color w:val="000000" w:themeColor="text1"/>
          <w:lang w:val="es-ES"/>
        </w:rPr>
        <w:t xml:space="preserve"> es</w:t>
      </w:r>
      <w:r w:rsidR="000017DA" w:rsidRPr="417329F9">
        <w:rPr>
          <w:rFonts w:ascii="Century Gothic" w:eastAsia="Calibri" w:hAnsi="Century Gothic" w:cs="Arial"/>
          <w:color w:val="000000" w:themeColor="text1"/>
          <w:lang w:val="es-ES"/>
        </w:rPr>
        <w:t xml:space="preserve"> importante señalar que </w:t>
      </w:r>
      <w:r w:rsidR="008A33DE">
        <w:rPr>
          <w:rFonts w:ascii="Century Gothic" w:eastAsia="Calibri" w:hAnsi="Century Gothic" w:cs="Arial"/>
          <w:color w:val="000000" w:themeColor="text1"/>
          <w:lang w:val="es-ES"/>
        </w:rPr>
        <w:t xml:space="preserve">cada Entidad Estatal cuenta con discrecionalidad para configurar en </w:t>
      </w:r>
      <w:r w:rsidR="0077511B">
        <w:rPr>
          <w:rFonts w:ascii="Century Gothic" w:eastAsia="Calibri" w:hAnsi="Century Gothic" w:cs="Arial"/>
          <w:color w:val="000000" w:themeColor="text1"/>
          <w:lang w:val="es-ES"/>
        </w:rPr>
        <w:t>la</w:t>
      </w:r>
      <w:r w:rsidR="008A33DE">
        <w:rPr>
          <w:rFonts w:ascii="Century Gothic" w:eastAsia="Calibri" w:hAnsi="Century Gothic" w:cs="Arial"/>
          <w:color w:val="000000" w:themeColor="text1"/>
          <w:lang w:val="es-ES"/>
        </w:rPr>
        <w:t xml:space="preserve"> invitación el </w:t>
      </w:r>
      <w:r w:rsidR="00CF67FE">
        <w:rPr>
          <w:rFonts w:ascii="Century Gothic" w:eastAsia="Calibri" w:hAnsi="Century Gothic" w:cs="Arial"/>
          <w:color w:val="000000" w:themeColor="text1"/>
          <w:lang w:val="es-ES"/>
        </w:rPr>
        <w:t>plazo para la subsanación de</w:t>
      </w:r>
      <w:r w:rsidR="00E77544">
        <w:rPr>
          <w:rFonts w:ascii="Century Gothic" w:eastAsia="Calibri" w:hAnsi="Century Gothic" w:cs="Arial"/>
          <w:color w:val="000000" w:themeColor="text1"/>
          <w:lang w:val="es-ES"/>
        </w:rPr>
        <w:t xml:space="preserve"> las</w:t>
      </w:r>
      <w:r w:rsidR="00CF67FE">
        <w:rPr>
          <w:rFonts w:ascii="Century Gothic" w:eastAsia="Calibri" w:hAnsi="Century Gothic" w:cs="Arial"/>
          <w:color w:val="000000" w:themeColor="text1"/>
          <w:lang w:val="es-ES"/>
        </w:rPr>
        <w:t xml:space="preserve"> ofertas </w:t>
      </w:r>
      <w:r w:rsidR="0094492E">
        <w:rPr>
          <w:rFonts w:ascii="Century Gothic" w:eastAsia="Calibri" w:hAnsi="Century Gothic" w:cs="Arial"/>
          <w:color w:val="000000" w:themeColor="text1"/>
          <w:lang w:val="es-ES"/>
        </w:rPr>
        <w:t>en</w:t>
      </w:r>
      <w:r w:rsidR="00CF67FE">
        <w:rPr>
          <w:rFonts w:ascii="Century Gothic" w:eastAsia="Calibri" w:hAnsi="Century Gothic" w:cs="Arial"/>
          <w:color w:val="000000" w:themeColor="text1"/>
          <w:lang w:val="es-ES"/>
        </w:rPr>
        <w:t xml:space="preserve"> los procesos de selección de mínima cuantía</w:t>
      </w:r>
      <w:r w:rsidR="000E68ED">
        <w:rPr>
          <w:rFonts w:ascii="Century Gothic" w:eastAsia="Calibri" w:hAnsi="Century Gothic" w:cs="Arial"/>
          <w:color w:val="000000" w:themeColor="text1"/>
          <w:lang w:val="es-ES"/>
        </w:rPr>
        <w:t xml:space="preserve"> frente a cada requerimiento que realice la Entidad Estatal</w:t>
      </w:r>
      <w:r w:rsidR="0094492E">
        <w:rPr>
          <w:rFonts w:ascii="Century Gothic" w:eastAsia="Calibri" w:hAnsi="Century Gothic" w:cs="Arial"/>
          <w:color w:val="000000" w:themeColor="text1"/>
          <w:lang w:val="es-ES"/>
        </w:rPr>
        <w:t>,</w:t>
      </w:r>
      <w:r w:rsidR="008722AC">
        <w:rPr>
          <w:rFonts w:ascii="Century Gothic" w:eastAsia="Calibri" w:hAnsi="Century Gothic" w:cs="Arial"/>
          <w:color w:val="000000" w:themeColor="text1"/>
          <w:lang w:val="es-ES"/>
        </w:rPr>
        <w:t xml:space="preserve"> </w:t>
      </w:r>
      <w:r w:rsidR="000E68ED">
        <w:rPr>
          <w:rFonts w:ascii="Century Gothic" w:eastAsia="Calibri" w:hAnsi="Century Gothic" w:cs="Arial"/>
          <w:color w:val="000000" w:themeColor="text1"/>
          <w:lang w:val="es-ES"/>
        </w:rPr>
        <w:t xml:space="preserve">y </w:t>
      </w:r>
      <w:r w:rsidR="008722AC">
        <w:rPr>
          <w:rFonts w:ascii="Century Gothic" w:eastAsia="Calibri" w:hAnsi="Century Gothic" w:cs="Arial"/>
          <w:color w:val="000000" w:themeColor="text1"/>
          <w:lang w:val="es-ES"/>
        </w:rPr>
        <w:t>a su vez</w:t>
      </w:r>
      <w:r w:rsidR="000E68ED">
        <w:rPr>
          <w:rFonts w:ascii="Century Gothic" w:eastAsia="Calibri" w:hAnsi="Century Gothic" w:cs="Arial"/>
          <w:color w:val="000000" w:themeColor="text1"/>
          <w:lang w:val="es-ES"/>
        </w:rPr>
        <w:t>,</w:t>
      </w:r>
      <w:r w:rsidR="008722AC">
        <w:rPr>
          <w:rFonts w:ascii="Century Gothic" w:eastAsia="Calibri" w:hAnsi="Century Gothic" w:cs="Arial"/>
          <w:color w:val="000000" w:themeColor="text1"/>
          <w:lang w:val="es-ES"/>
        </w:rPr>
        <w:t xml:space="preserve"> podrá considerar</w:t>
      </w:r>
      <w:r w:rsidR="000E68ED">
        <w:rPr>
          <w:rFonts w:ascii="Century Gothic" w:eastAsia="Calibri" w:hAnsi="Century Gothic" w:cs="Arial"/>
          <w:color w:val="000000" w:themeColor="text1"/>
          <w:lang w:val="es-ES"/>
        </w:rPr>
        <w:t>, ya sea</w:t>
      </w:r>
      <w:r w:rsidR="008722AC">
        <w:rPr>
          <w:rFonts w:ascii="Century Gothic" w:eastAsia="Calibri" w:hAnsi="Century Gothic" w:cs="Arial"/>
          <w:color w:val="000000" w:themeColor="text1"/>
          <w:lang w:val="es-ES"/>
        </w:rPr>
        <w:t xml:space="preserve"> </w:t>
      </w:r>
      <w:r w:rsidR="000E68ED">
        <w:rPr>
          <w:rFonts w:ascii="Century Gothic" w:eastAsia="Calibri" w:hAnsi="Century Gothic" w:cs="Arial"/>
          <w:color w:val="000000" w:themeColor="text1"/>
          <w:lang w:val="es-ES"/>
        </w:rPr>
        <w:t>por omisión en su estructuración en la invitación o porque así lo determine</w:t>
      </w:r>
      <w:r w:rsidR="0094492E">
        <w:rPr>
          <w:rFonts w:ascii="Century Gothic" w:eastAsia="Calibri" w:hAnsi="Century Gothic" w:cs="Arial"/>
          <w:color w:val="000000" w:themeColor="text1"/>
          <w:lang w:val="es-ES"/>
        </w:rPr>
        <w:t xml:space="preserve"> </w:t>
      </w:r>
      <w:r w:rsidR="000E68ED">
        <w:rPr>
          <w:rFonts w:ascii="Century Gothic" w:eastAsia="Calibri" w:hAnsi="Century Gothic" w:cs="Arial"/>
          <w:color w:val="000000" w:themeColor="text1"/>
          <w:lang w:val="es-ES"/>
        </w:rPr>
        <w:t xml:space="preserve">en ella, que dicho plazo corresponderé al del traslado del informe de evaluación de las ofertas, no obstante, en caso de optar por esta última opción se reitera que el plazo no podrá ser menor a un (1) día hábil, </w:t>
      </w:r>
      <w:r w:rsidR="001E6E6D">
        <w:rPr>
          <w:rFonts w:ascii="Century Gothic" w:eastAsia="Calibri" w:hAnsi="Century Gothic" w:cs="Arial"/>
          <w:color w:val="000000" w:themeColor="text1"/>
          <w:lang w:val="es-ES"/>
        </w:rPr>
        <w:t>conforme lo estipulado en el numeral 6 del artículo 2.2.1.2.1.5.2. del Decreto 1082 de 2015.</w:t>
      </w:r>
    </w:p>
    <w:p w14:paraId="58C73A10" w14:textId="77777777" w:rsidR="000017DA" w:rsidRDefault="000017DA" w:rsidP="00BB40CA">
      <w:pPr>
        <w:spacing w:after="0" w:line="276" w:lineRule="auto"/>
        <w:ind w:firstLine="709"/>
        <w:jc w:val="both"/>
        <w:rPr>
          <w:rFonts w:ascii="Century Gothic" w:eastAsia="Calibri" w:hAnsi="Century Gothic" w:cs="Arial"/>
          <w:color w:val="000000" w:themeColor="text1"/>
          <w:lang w:val="es-ES"/>
        </w:rPr>
      </w:pPr>
    </w:p>
    <w:p w14:paraId="58A635A0" w14:textId="77D71E25" w:rsidR="00FA6E3E" w:rsidRPr="0029340D" w:rsidRDefault="00FA6E3E" w:rsidP="00FA6E3E">
      <w:pPr>
        <w:shd w:val="clear" w:color="auto" w:fill="FFFFFF" w:themeFill="background1"/>
        <w:spacing w:after="0" w:line="276" w:lineRule="auto"/>
        <w:ind w:firstLine="708"/>
        <w:jc w:val="both"/>
        <w:textAlignment w:val="baseline"/>
        <w:rPr>
          <w:rFonts w:ascii="Century Gothic" w:hAnsi="Century Gothic" w:cs="Arial"/>
          <w:color w:val="000000" w:themeColor="text1"/>
          <w:lang w:eastAsia="es-MX"/>
        </w:rPr>
      </w:pPr>
      <w:r w:rsidRPr="0029340D">
        <w:rPr>
          <w:rFonts w:ascii="Century Gothic" w:hAnsi="Century Gothic"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B642B97" w14:textId="77777777" w:rsidR="00FA6E3E" w:rsidRPr="0029340D" w:rsidRDefault="00FA6E3E" w:rsidP="00FA6E3E">
      <w:pPr>
        <w:spacing w:after="0" w:line="276" w:lineRule="auto"/>
        <w:contextualSpacing/>
        <w:jc w:val="both"/>
        <w:textAlignment w:val="baseline"/>
        <w:rPr>
          <w:rFonts w:ascii="Century Gothic" w:hAnsi="Century Gothic" w:cs="Arial"/>
          <w:lang w:val="es-ES"/>
        </w:rPr>
      </w:pPr>
    </w:p>
    <w:p w14:paraId="4CE93258" w14:textId="77777777" w:rsidR="00FA6E3E" w:rsidRPr="0029340D" w:rsidRDefault="00FA6E3E" w:rsidP="00FA6E3E">
      <w:pPr>
        <w:spacing w:after="0" w:line="276" w:lineRule="auto"/>
        <w:contextualSpacing/>
        <w:jc w:val="both"/>
        <w:textAlignment w:val="baseline"/>
        <w:rPr>
          <w:rFonts w:ascii="Century Gothic" w:eastAsia="Times New Roman" w:hAnsi="Century Gothic" w:cs="Arial"/>
          <w:lang w:eastAsia="es-CO"/>
        </w:rPr>
      </w:pPr>
      <w:r w:rsidRPr="0029340D">
        <w:rPr>
          <w:rFonts w:ascii="Century Gothic" w:hAnsi="Century Gothic" w:cs="Arial"/>
          <w:lang w:val="es-ES"/>
        </w:rPr>
        <w:t>Atentamente</w:t>
      </w:r>
      <w:r w:rsidRPr="0029340D">
        <w:rPr>
          <w:rFonts w:ascii="Century Gothic" w:eastAsia="Times New Roman" w:hAnsi="Century Gothic" w:cs="Arial"/>
          <w:lang w:val="es-MX" w:eastAsia="es-CO"/>
        </w:rPr>
        <w:t>,</w:t>
      </w:r>
      <w:r w:rsidRPr="0029340D">
        <w:rPr>
          <w:rFonts w:ascii="Century Gothic" w:eastAsia="Times New Roman" w:hAnsi="Century Gothic" w:cs="Arial"/>
          <w:lang w:eastAsia="es-CO"/>
        </w:rPr>
        <w:t> </w:t>
      </w:r>
    </w:p>
    <w:p w14:paraId="293D48CA" w14:textId="565BBACF" w:rsidR="00FA6E3E" w:rsidRPr="0029340D" w:rsidRDefault="00C340D9" w:rsidP="00FA6E3E">
      <w:pPr>
        <w:spacing w:after="0" w:line="276" w:lineRule="auto"/>
        <w:jc w:val="center"/>
        <w:textAlignment w:val="baseline"/>
        <w:rPr>
          <w:rFonts w:ascii="Century Gothic" w:eastAsia="Times New Roman" w:hAnsi="Century Gothic" w:cs="Arial"/>
          <w:sz w:val="18"/>
          <w:szCs w:val="18"/>
          <w:lang w:eastAsia="es-CO"/>
        </w:rPr>
      </w:pPr>
      <w:r w:rsidRPr="001B7209">
        <w:rPr>
          <w:rFonts w:ascii="Century Gothic" w:hAnsi="Century Gothic"/>
          <w:noProof/>
        </w:rPr>
        <w:drawing>
          <wp:inline distT="0" distB="0" distL="0" distR="0" wp14:anchorId="181A716A" wp14:editId="497DBDA8">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1"/>
                    <a:stretch>
                      <a:fillRect/>
                    </a:stretch>
                  </pic:blipFill>
                  <pic:spPr>
                    <a:xfrm>
                      <a:off x="0" y="0"/>
                      <a:ext cx="2785707" cy="1068836"/>
                    </a:xfrm>
                    <a:prstGeom prst="rect">
                      <a:avLst/>
                    </a:prstGeom>
                  </pic:spPr>
                </pic:pic>
              </a:graphicData>
            </a:graphic>
          </wp:inline>
        </w:drawing>
      </w:r>
    </w:p>
    <w:p w14:paraId="2F1E39A9" w14:textId="77777777" w:rsidR="00FA6E3E" w:rsidRPr="0029340D" w:rsidRDefault="00FA6E3E" w:rsidP="00FA6E3E">
      <w:pPr>
        <w:spacing w:after="0" w:line="276" w:lineRule="auto"/>
        <w:jc w:val="both"/>
        <w:textAlignment w:val="baseline"/>
        <w:rPr>
          <w:rFonts w:ascii="Century Gothic" w:eastAsia="Times New Roman" w:hAnsi="Century Gothic" w:cs="Arial"/>
          <w:sz w:val="16"/>
          <w:szCs w:val="16"/>
          <w:lang w:eastAsia="es-CO"/>
        </w:rPr>
      </w:pPr>
      <w:r w:rsidRPr="0029340D">
        <w:rPr>
          <w:rFonts w:ascii="Century Gothic" w:eastAsia="Times New Roman" w:hAnsi="Century Gothic" w:cs="Arial"/>
          <w:sz w:val="16"/>
          <w:szCs w:val="16"/>
          <w:lang w:eastAsia="es-CO"/>
        </w:rPr>
        <w:t> </w:t>
      </w:r>
    </w:p>
    <w:tbl>
      <w:tblPr>
        <w:tblW w:w="74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2"/>
        <w:gridCol w:w="6287"/>
      </w:tblGrid>
      <w:tr w:rsidR="00FA6E3E" w:rsidRPr="0029340D" w14:paraId="729C1D84" w14:textId="77777777" w:rsidTr="00DB3871">
        <w:trPr>
          <w:trHeight w:val="441"/>
        </w:trPr>
        <w:tc>
          <w:tcPr>
            <w:tcW w:w="1122" w:type="dxa"/>
            <w:tcBorders>
              <w:top w:val="nil"/>
              <w:left w:val="nil"/>
              <w:bottom w:val="nil"/>
              <w:right w:val="nil"/>
            </w:tcBorders>
            <w:vAlign w:val="center"/>
            <w:hideMark/>
          </w:tcPr>
          <w:p w14:paraId="3596DECA" w14:textId="77777777" w:rsidR="00FA6E3E" w:rsidRPr="0029340D" w:rsidRDefault="00FA6E3E" w:rsidP="00DB3871">
            <w:pPr>
              <w:spacing w:after="0" w:line="276" w:lineRule="auto"/>
              <w:jc w:val="both"/>
              <w:textAlignment w:val="baseline"/>
              <w:rPr>
                <w:rFonts w:ascii="Century Gothic" w:eastAsia="Times New Roman" w:hAnsi="Century Gothic" w:cs="Arial"/>
                <w:sz w:val="18"/>
                <w:szCs w:val="18"/>
                <w:lang w:eastAsia="es-CO"/>
              </w:rPr>
            </w:pPr>
            <w:r w:rsidRPr="0029340D">
              <w:rPr>
                <w:rFonts w:ascii="Century Gothic" w:eastAsia="Times New Roman" w:hAnsi="Century Gothic" w:cs="Arial"/>
                <w:sz w:val="18"/>
                <w:szCs w:val="18"/>
                <w:lang w:val="es-MX" w:eastAsia="es-CO"/>
              </w:rPr>
              <w:t>Elaboró:</w:t>
            </w:r>
            <w:r w:rsidRPr="0029340D">
              <w:rPr>
                <w:rFonts w:ascii="Century Gothic" w:eastAsia="Times New Roman" w:hAnsi="Century Gothic" w:cs="Arial"/>
                <w:sz w:val="18"/>
                <w:szCs w:val="18"/>
                <w:lang w:eastAsia="es-CO"/>
              </w:rPr>
              <w:t> </w:t>
            </w:r>
          </w:p>
        </w:tc>
        <w:tc>
          <w:tcPr>
            <w:tcW w:w="6287" w:type="dxa"/>
            <w:tcBorders>
              <w:top w:val="nil"/>
              <w:left w:val="nil"/>
              <w:bottom w:val="dotted" w:sz="6" w:space="0" w:color="7F7F7F"/>
              <w:right w:val="nil"/>
            </w:tcBorders>
            <w:vAlign w:val="center"/>
            <w:hideMark/>
          </w:tcPr>
          <w:p w14:paraId="77EDAF6A" w14:textId="77777777" w:rsidR="00FA6E3E" w:rsidRPr="0029340D" w:rsidRDefault="00FA6E3E" w:rsidP="00DB3871">
            <w:pPr>
              <w:spacing w:after="0" w:line="240" w:lineRule="auto"/>
              <w:jc w:val="both"/>
              <w:textAlignment w:val="baseline"/>
              <w:rPr>
                <w:rFonts w:ascii="Century Gothic" w:eastAsia="Times New Roman" w:hAnsi="Century Gothic" w:cs="Arial"/>
                <w:sz w:val="18"/>
                <w:szCs w:val="18"/>
                <w:lang w:val="es-MX" w:eastAsia="es-CO"/>
              </w:rPr>
            </w:pPr>
            <w:r w:rsidRPr="0029340D">
              <w:rPr>
                <w:rFonts w:ascii="Century Gothic" w:eastAsia="Times New Roman" w:hAnsi="Century Gothic" w:cs="Arial"/>
                <w:sz w:val="18"/>
                <w:szCs w:val="18"/>
                <w:lang w:val="es-MX" w:eastAsia="es-CO"/>
              </w:rPr>
              <w:t>Any Alejandra Tovar Castillo</w:t>
            </w:r>
          </w:p>
          <w:p w14:paraId="746F7303" w14:textId="77777777" w:rsidR="00FA6E3E" w:rsidRPr="0029340D" w:rsidRDefault="00FA6E3E" w:rsidP="00DB3871">
            <w:pPr>
              <w:spacing w:after="0" w:line="240" w:lineRule="auto"/>
              <w:jc w:val="both"/>
              <w:textAlignment w:val="baseline"/>
              <w:rPr>
                <w:rFonts w:ascii="Century Gothic" w:eastAsia="Times New Roman" w:hAnsi="Century Gothic" w:cs="Arial"/>
                <w:sz w:val="18"/>
                <w:szCs w:val="18"/>
                <w:lang w:eastAsia="es-CO"/>
              </w:rPr>
            </w:pPr>
            <w:r w:rsidRPr="0029340D">
              <w:rPr>
                <w:rFonts w:ascii="Century Gothic" w:eastAsia="Times New Roman" w:hAnsi="Century Gothic" w:cs="Arial"/>
                <w:sz w:val="18"/>
                <w:szCs w:val="18"/>
                <w:lang w:val="es-MX" w:eastAsia="es-CO"/>
              </w:rPr>
              <w:t xml:space="preserve">Contratista </w:t>
            </w:r>
            <w:r w:rsidRPr="0029340D">
              <w:rPr>
                <w:rFonts w:ascii="Century Gothic" w:eastAsia="Times New Roman" w:hAnsi="Century Gothic" w:cs="Arial"/>
                <w:sz w:val="18"/>
                <w:szCs w:val="18"/>
                <w:lang w:eastAsia="es-CO"/>
              </w:rPr>
              <w:t>Subdirección de Gestión Contractual</w:t>
            </w:r>
          </w:p>
        </w:tc>
      </w:tr>
      <w:tr w:rsidR="00FA6E3E" w:rsidRPr="0029340D" w14:paraId="0483BF55" w14:textId="77777777" w:rsidTr="00DB3871">
        <w:trPr>
          <w:trHeight w:val="441"/>
        </w:trPr>
        <w:tc>
          <w:tcPr>
            <w:tcW w:w="1122" w:type="dxa"/>
            <w:tcBorders>
              <w:top w:val="nil"/>
              <w:left w:val="nil"/>
              <w:bottom w:val="nil"/>
              <w:right w:val="nil"/>
            </w:tcBorders>
            <w:vAlign w:val="center"/>
            <w:hideMark/>
          </w:tcPr>
          <w:p w14:paraId="6A2552A7" w14:textId="77777777" w:rsidR="00FA6E3E" w:rsidRPr="0029340D" w:rsidRDefault="00FA6E3E" w:rsidP="00DB3871">
            <w:pPr>
              <w:spacing w:after="0" w:line="276" w:lineRule="auto"/>
              <w:jc w:val="both"/>
              <w:textAlignment w:val="baseline"/>
              <w:rPr>
                <w:rFonts w:ascii="Century Gothic" w:eastAsia="Times New Roman" w:hAnsi="Century Gothic" w:cs="Arial"/>
                <w:sz w:val="18"/>
                <w:szCs w:val="18"/>
                <w:lang w:eastAsia="es-CO"/>
              </w:rPr>
            </w:pPr>
            <w:r w:rsidRPr="0029340D">
              <w:rPr>
                <w:rFonts w:ascii="Century Gothic" w:eastAsia="Times New Roman" w:hAnsi="Century Gothic" w:cs="Arial"/>
                <w:sz w:val="18"/>
                <w:szCs w:val="18"/>
                <w:lang w:val="es-MX" w:eastAsia="es-CO"/>
              </w:rPr>
              <w:t>Revisó:</w:t>
            </w:r>
            <w:r w:rsidRPr="0029340D">
              <w:rPr>
                <w:rFonts w:ascii="Century Gothic" w:eastAsia="Times New Roman" w:hAnsi="Century Gothic" w:cs="Arial"/>
                <w:sz w:val="18"/>
                <w:szCs w:val="18"/>
                <w:lang w:eastAsia="es-CO"/>
              </w:rPr>
              <w:t> </w:t>
            </w:r>
          </w:p>
        </w:tc>
        <w:tc>
          <w:tcPr>
            <w:tcW w:w="6287" w:type="dxa"/>
            <w:tcBorders>
              <w:top w:val="dotted" w:sz="6" w:space="0" w:color="7F7F7F"/>
              <w:left w:val="nil"/>
              <w:bottom w:val="dotted" w:sz="6" w:space="0" w:color="7F7F7F"/>
              <w:right w:val="nil"/>
            </w:tcBorders>
            <w:vAlign w:val="center"/>
            <w:hideMark/>
          </w:tcPr>
          <w:p w14:paraId="34E0BAB1" w14:textId="12265B4A" w:rsidR="00FA6E3E" w:rsidRPr="0029340D" w:rsidRDefault="00E87690" w:rsidP="00DB3871">
            <w:pPr>
              <w:spacing w:after="0" w:line="276" w:lineRule="auto"/>
              <w:rPr>
                <w:rFonts w:ascii="Century Gothic" w:eastAsia="Times New Roman" w:hAnsi="Century Gothic" w:cs="Arial"/>
                <w:sz w:val="18"/>
                <w:szCs w:val="18"/>
                <w:lang w:eastAsia="es-ES"/>
              </w:rPr>
            </w:pPr>
            <w:r>
              <w:rPr>
                <w:rFonts w:ascii="Century Gothic" w:eastAsia="Times New Roman" w:hAnsi="Century Gothic" w:cs="Arial"/>
                <w:sz w:val="18"/>
                <w:szCs w:val="18"/>
                <w:lang w:eastAsia="es-ES"/>
              </w:rPr>
              <w:t xml:space="preserve">Martha </w:t>
            </w:r>
            <w:r w:rsidR="00ED55D4">
              <w:rPr>
                <w:rFonts w:ascii="Century Gothic" w:eastAsia="Times New Roman" w:hAnsi="Century Gothic" w:cs="Arial"/>
                <w:sz w:val="18"/>
                <w:szCs w:val="18"/>
                <w:lang w:eastAsia="es-ES"/>
              </w:rPr>
              <w:t xml:space="preserve">Alicia </w:t>
            </w:r>
            <w:r>
              <w:rPr>
                <w:rFonts w:ascii="Century Gothic" w:eastAsia="Times New Roman" w:hAnsi="Century Gothic" w:cs="Arial"/>
                <w:sz w:val="18"/>
                <w:szCs w:val="18"/>
                <w:lang w:eastAsia="es-ES"/>
              </w:rPr>
              <w:t>Romero Vargas</w:t>
            </w:r>
          </w:p>
          <w:p w14:paraId="2C66F2F7" w14:textId="5129952B" w:rsidR="00FA6E3E" w:rsidRPr="0029340D" w:rsidRDefault="00FA6E3E" w:rsidP="00DB3871">
            <w:pPr>
              <w:spacing w:after="0" w:line="276" w:lineRule="auto"/>
              <w:rPr>
                <w:rFonts w:ascii="Century Gothic" w:eastAsia="Times New Roman" w:hAnsi="Century Gothic" w:cs="Arial"/>
                <w:sz w:val="18"/>
                <w:szCs w:val="18"/>
                <w:lang w:eastAsia="es-CO"/>
              </w:rPr>
            </w:pPr>
            <w:r w:rsidRPr="0029340D">
              <w:rPr>
                <w:rFonts w:ascii="Century Gothic" w:eastAsia="Times New Roman" w:hAnsi="Century Gothic" w:cs="Arial"/>
                <w:sz w:val="18"/>
                <w:szCs w:val="18"/>
                <w:lang w:eastAsia="es-ES"/>
              </w:rPr>
              <w:t>Gestor código T1 grado 1</w:t>
            </w:r>
            <w:r w:rsidR="00E87690">
              <w:rPr>
                <w:rFonts w:ascii="Century Gothic" w:eastAsia="Times New Roman" w:hAnsi="Century Gothic" w:cs="Arial"/>
                <w:sz w:val="18"/>
                <w:szCs w:val="18"/>
                <w:lang w:eastAsia="es-ES"/>
              </w:rPr>
              <w:t>5</w:t>
            </w:r>
            <w:r w:rsidRPr="0029340D">
              <w:rPr>
                <w:rFonts w:ascii="Century Gothic" w:eastAsia="Times New Roman" w:hAnsi="Century Gothic" w:cs="Arial"/>
                <w:sz w:val="18"/>
                <w:szCs w:val="18"/>
                <w:lang w:eastAsia="es-ES"/>
              </w:rPr>
              <w:t xml:space="preserve"> de la Subdirección de Gestión Contractual</w:t>
            </w:r>
          </w:p>
        </w:tc>
      </w:tr>
      <w:tr w:rsidR="00FA6E3E" w:rsidRPr="0029340D" w14:paraId="6759704D" w14:textId="77777777" w:rsidTr="00DB3871">
        <w:trPr>
          <w:trHeight w:val="420"/>
        </w:trPr>
        <w:tc>
          <w:tcPr>
            <w:tcW w:w="1122" w:type="dxa"/>
            <w:tcBorders>
              <w:top w:val="nil"/>
              <w:left w:val="nil"/>
              <w:bottom w:val="nil"/>
              <w:right w:val="nil"/>
            </w:tcBorders>
            <w:vAlign w:val="center"/>
            <w:hideMark/>
          </w:tcPr>
          <w:p w14:paraId="4D4FCBF0" w14:textId="77777777" w:rsidR="00FA6E3E" w:rsidRPr="0029340D" w:rsidRDefault="00FA6E3E" w:rsidP="00DB3871">
            <w:pPr>
              <w:spacing w:after="0" w:line="276" w:lineRule="auto"/>
              <w:jc w:val="both"/>
              <w:textAlignment w:val="baseline"/>
              <w:rPr>
                <w:rFonts w:ascii="Century Gothic" w:eastAsia="Times New Roman" w:hAnsi="Century Gothic" w:cs="Arial"/>
                <w:sz w:val="18"/>
                <w:szCs w:val="18"/>
                <w:lang w:eastAsia="es-CO"/>
              </w:rPr>
            </w:pPr>
            <w:r w:rsidRPr="0029340D">
              <w:rPr>
                <w:rFonts w:ascii="Century Gothic" w:eastAsia="Times New Roman" w:hAnsi="Century Gothic" w:cs="Arial"/>
                <w:sz w:val="18"/>
                <w:szCs w:val="18"/>
                <w:lang w:val="es-MX" w:eastAsia="es-CO"/>
              </w:rPr>
              <w:t>Aprobó:</w:t>
            </w:r>
            <w:r w:rsidRPr="0029340D">
              <w:rPr>
                <w:rFonts w:ascii="Century Gothic" w:eastAsia="Times New Roman" w:hAnsi="Century Gothic" w:cs="Arial"/>
                <w:sz w:val="18"/>
                <w:szCs w:val="18"/>
                <w:lang w:eastAsia="es-CO"/>
              </w:rPr>
              <w:t> </w:t>
            </w:r>
          </w:p>
        </w:tc>
        <w:tc>
          <w:tcPr>
            <w:tcW w:w="6287" w:type="dxa"/>
            <w:tcBorders>
              <w:top w:val="dotted" w:sz="6" w:space="0" w:color="7F7F7F"/>
              <w:left w:val="nil"/>
              <w:bottom w:val="dotted" w:sz="6" w:space="0" w:color="7F7F7F"/>
              <w:right w:val="nil"/>
            </w:tcBorders>
            <w:vAlign w:val="center"/>
            <w:hideMark/>
          </w:tcPr>
          <w:p w14:paraId="094F888A" w14:textId="77777777" w:rsidR="00FA6E3E" w:rsidRPr="0029340D" w:rsidRDefault="00FA6E3E" w:rsidP="00DB3871">
            <w:pPr>
              <w:spacing w:after="0" w:line="240" w:lineRule="auto"/>
              <w:jc w:val="both"/>
              <w:textAlignment w:val="baseline"/>
              <w:rPr>
                <w:rFonts w:ascii="Century Gothic" w:eastAsia="Times New Roman" w:hAnsi="Century Gothic" w:cs="Arial"/>
                <w:sz w:val="18"/>
                <w:szCs w:val="18"/>
                <w:lang w:val="es-ES_tradnl" w:eastAsia="es-CO"/>
              </w:rPr>
            </w:pPr>
            <w:r w:rsidRPr="0029340D">
              <w:rPr>
                <w:rFonts w:ascii="Century Gothic" w:eastAsia="Times New Roman" w:hAnsi="Century Gothic" w:cs="Arial"/>
                <w:sz w:val="18"/>
                <w:szCs w:val="18"/>
                <w:lang w:val="es-ES_tradnl" w:eastAsia="es-CO"/>
              </w:rPr>
              <w:t xml:space="preserve">Nohelia del Carmen </w:t>
            </w:r>
            <w:proofErr w:type="spellStart"/>
            <w:r w:rsidRPr="0029340D">
              <w:rPr>
                <w:rFonts w:ascii="Century Gothic" w:eastAsia="Times New Roman" w:hAnsi="Century Gothic" w:cs="Arial"/>
                <w:sz w:val="18"/>
                <w:szCs w:val="18"/>
                <w:lang w:val="es-ES_tradnl" w:eastAsia="es-CO"/>
              </w:rPr>
              <w:t>Zawady</w:t>
            </w:r>
            <w:proofErr w:type="spellEnd"/>
            <w:r w:rsidRPr="0029340D">
              <w:rPr>
                <w:rFonts w:ascii="Century Gothic" w:eastAsia="Times New Roman" w:hAnsi="Century Gothic" w:cs="Arial"/>
                <w:sz w:val="18"/>
                <w:szCs w:val="18"/>
                <w:lang w:val="es-ES_tradnl" w:eastAsia="es-CO"/>
              </w:rPr>
              <w:t xml:space="preserve"> Palacio</w:t>
            </w:r>
          </w:p>
          <w:p w14:paraId="4B35BB26" w14:textId="77777777" w:rsidR="00FA6E3E" w:rsidRPr="0029340D" w:rsidRDefault="00FA6E3E" w:rsidP="00DB3871">
            <w:pPr>
              <w:spacing w:after="0" w:line="240" w:lineRule="auto"/>
              <w:jc w:val="both"/>
              <w:textAlignment w:val="baseline"/>
              <w:rPr>
                <w:rFonts w:ascii="Century Gothic" w:eastAsia="Times New Roman" w:hAnsi="Century Gothic" w:cs="Arial"/>
                <w:sz w:val="18"/>
                <w:szCs w:val="18"/>
                <w:lang w:eastAsia="es-CO"/>
              </w:rPr>
            </w:pPr>
            <w:r w:rsidRPr="0029340D">
              <w:rPr>
                <w:rFonts w:ascii="Century Gothic" w:eastAsia="Times New Roman" w:hAnsi="Century Gothic" w:cs="Arial"/>
                <w:sz w:val="18"/>
                <w:szCs w:val="18"/>
                <w:lang w:val="es-ES_tradnl" w:eastAsia="es-CO"/>
              </w:rPr>
              <w:t>Subdirectora de Gestión Contractual ANCP-CCE</w:t>
            </w:r>
          </w:p>
        </w:tc>
      </w:tr>
      <w:bookmarkEnd w:id="1"/>
    </w:tbl>
    <w:p w14:paraId="6D362F75" w14:textId="77777777" w:rsidR="00FA6E3E" w:rsidRPr="0029340D" w:rsidRDefault="00FA6E3E" w:rsidP="00FA6E3E">
      <w:pPr>
        <w:rPr>
          <w:rFonts w:ascii="Century Gothic" w:hAnsi="Century Gothic" w:cs="Arial"/>
        </w:rPr>
      </w:pPr>
    </w:p>
    <w:p w14:paraId="52C79483" w14:textId="77777777" w:rsidR="00FA6E3E" w:rsidRPr="0029340D" w:rsidRDefault="00FA6E3E" w:rsidP="00FA6E3E">
      <w:pPr>
        <w:rPr>
          <w:rFonts w:ascii="Century Gothic" w:hAnsi="Century Gothic"/>
        </w:rPr>
      </w:pPr>
      <w:r w:rsidRPr="0029340D">
        <w:rPr>
          <w:rFonts w:ascii="Century Gothic" w:hAnsi="Century Gothic"/>
        </w:rPr>
        <w:t xml:space="preserve"> </w:t>
      </w:r>
    </w:p>
    <w:p w14:paraId="0F293BF4" w14:textId="7BBFAB11" w:rsidR="00127233" w:rsidRPr="00322A85" w:rsidRDefault="00127233" w:rsidP="00FA6E3E">
      <w:pPr>
        <w:spacing w:after="0"/>
        <w:rPr>
          <w:rFonts w:ascii="Century Gothic" w:hAnsi="Century Gothic"/>
        </w:rPr>
      </w:pPr>
    </w:p>
    <w:sectPr w:rsidR="00127233" w:rsidRPr="00322A85" w:rsidSect="002E4FD9">
      <w:headerReference w:type="default" r:id="rId12"/>
      <w:footerReference w:type="default" r:id="rId13"/>
      <w:pgSz w:w="12240" w:h="15840" w:code="1"/>
      <w:pgMar w:top="1418"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90E4" w14:textId="77777777" w:rsidR="003C343C" w:rsidRDefault="003C343C" w:rsidP="004A1847">
      <w:pPr>
        <w:spacing w:after="0" w:line="240" w:lineRule="auto"/>
      </w:pPr>
      <w:r>
        <w:separator/>
      </w:r>
    </w:p>
  </w:endnote>
  <w:endnote w:type="continuationSeparator" w:id="0">
    <w:p w14:paraId="1DDC926F" w14:textId="77777777" w:rsidR="003C343C" w:rsidRDefault="003C343C" w:rsidP="004A1847">
      <w:pPr>
        <w:spacing w:after="0" w:line="240" w:lineRule="auto"/>
      </w:pPr>
      <w:r>
        <w:continuationSeparator/>
      </w:r>
    </w:p>
  </w:endnote>
  <w:endnote w:type="continuationNotice" w:id="1">
    <w:p w14:paraId="0BA89C43" w14:textId="77777777" w:rsidR="003C343C" w:rsidRDefault="003C3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56C74A82" w:rsidR="00322A85" w:rsidRPr="003F3941" w:rsidRDefault="003F3941" w:rsidP="00322A85">
          <w:pPr>
            <w:pStyle w:val="Piedepgina"/>
            <w:jc w:val="center"/>
            <w:rPr>
              <w:rFonts w:ascii="Century Gothic" w:hAnsi="Century Gothic"/>
              <w:sz w:val="16"/>
              <w:szCs w:val="16"/>
            </w:rPr>
          </w:pPr>
          <w:r w:rsidRPr="003F3941">
            <w:rPr>
              <w:rFonts w:ascii="Century Gothic" w:hAnsi="Century Gothic"/>
              <w:sz w:val="16"/>
              <w:szCs w:val="16"/>
            </w:rPr>
            <w:t>VERSIÓN: 0</w:t>
          </w:r>
          <w:r w:rsidR="00322A85">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415501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061B2A">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F4E4C24"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2E4FD9">
            <w:rPr>
              <w:rFonts w:ascii="Century Gothic" w:hAnsi="Century Gothic"/>
              <w:sz w:val="16"/>
              <w:szCs w:val="16"/>
            </w:rPr>
            <w:t>31</w:t>
          </w:r>
          <w:r w:rsidRPr="003F3941">
            <w:rPr>
              <w:rFonts w:ascii="Century Gothic" w:hAnsi="Century Gothic"/>
              <w:sz w:val="16"/>
              <w:szCs w:val="16"/>
            </w:rPr>
            <w:t xml:space="preserve"> DE </w:t>
          </w:r>
          <w:r w:rsidR="00322A85">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5EDF" w14:textId="77777777" w:rsidR="003C343C" w:rsidRDefault="003C343C" w:rsidP="004A1847">
      <w:pPr>
        <w:spacing w:after="0" w:line="240" w:lineRule="auto"/>
      </w:pPr>
      <w:r>
        <w:separator/>
      </w:r>
    </w:p>
  </w:footnote>
  <w:footnote w:type="continuationSeparator" w:id="0">
    <w:p w14:paraId="3162A5AB" w14:textId="77777777" w:rsidR="003C343C" w:rsidRDefault="003C343C" w:rsidP="004A1847">
      <w:pPr>
        <w:spacing w:after="0" w:line="240" w:lineRule="auto"/>
      </w:pPr>
      <w:r>
        <w:continuationSeparator/>
      </w:r>
    </w:p>
  </w:footnote>
  <w:footnote w:type="continuationNotice" w:id="1">
    <w:p w14:paraId="5EE2A507" w14:textId="77777777" w:rsidR="003C343C" w:rsidRDefault="003C343C">
      <w:pPr>
        <w:spacing w:after="0" w:line="240" w:lineRule="auto"/>
      </w:pPr>
    </w:p>
  </w:footnote>
  <w:footnote w:id="2">
    <w:p w14:paraId="6990048F" w14:textId="77777777" w:rsidR="00FA6E3E" w:rsidRPr="007247A9" w:rsidRDefault="00FA6E3E" w:rsidP="00FA6E3E">
      <w:pPr>
        <w:pStyle w:val="Textonotapie"/>
        <w:ind w:firstLine="709"/>
        <w:contextualSpacing/>
        <w:jc w:val="both"/>
        <w:rPr>
          <w:rFonts w:ascii="Century Gothic" w:hAnsi="Century Gothic" w:cs="Arial"/>
          <w:sz w:val="18"/>
          <w:szCs w:val="18"/>
        </w:rPr>
      </w:pPr>
      <w:r w:rsidRPr="007247A9">
        <w:rPr>
          <w:rStyle w:val="Refdenotaalpie"/>
          <w:rFonts w:ascii="Century Gothic" w:hAnsi="Century Gothic" w:cs="Arial"/>
          <w:sz w:val="18"/>
          <w:szCs w:val="18"/>
        </w:rPr>
        <w:footnoteRef/>
      </w:r>
      <w:r w:rsidRPr="007247A9">
        <w:rPr>
          <w:rFonts w:ascii="Century Gothic" w:hAnsi="Century Gothic" w:cs="Arial"/>
          <w:sz w:val="18"/>
          <w:szCs w:val="18"/>
        </w:rPr>
        <w:t xml:space="preserve"> “Artículo 3°. Funciones. La Agencia Nacional de Contratación Pública –Colombia Compra Eficiente– ejercerá las siguientes funciones: </w:t>
      </w:r>
    </w:p>
    <w:p w14:paraId="550BCD3F" w14:textId="77777777" w:rsidR="00FA6E3E" w:rsidRPr="007247A9" w:rsidRDefault="00FA6E3E" w:rsidP="00FA6E3E">
      <w:pPr>
        <w:pStyle w:val="Textonotapie"/>
        <w:ind w:firstLine="709"/>
        <w:contextualSpacing/>
        <w:jc w:val="both"/>
        <w:rPr>
          <w:rFonts w:ascii="Century Gothic" w:hAnsi="Century Gothic" w:cs="Arial"/>
          <w:sz w:val="18"/>
          <w:szCs w:val="18"/>
          <w:lang w:val="es-ES"/>
        </w:rPr>
      </w:pPr>
      <w:r w:rsidRPr="007247A9">
        <w:rPr>
          <w:rFonts w:ascii="Century Gothic" w:hAnsi="Century Gothic" w:cs="Arial"/>
          <w:sz w:val="18"/>
          <w:szCs w:val="18"/>
          <w:lang w:val="es-ES"/>
        </w:rPr>
        <w:t xml:space="preserve">“[...] </w:t>
      </w:r>
    </w:p>
    <w:p w14:paraId="40CDC7EC" w14:textId="77777777" w:rsidR="00FA6E3E" w:rsidRPr="007247A9" w:rsidRDefault="00FA6E3E" w:rsidP="00FA6E3E">
      <w:pPr>
        <w:pStyle w:val="Textonotapie"/>
        <w:ind w:firstLine="709"/>
        <w:contextualSpacing/>
        <w:jc w:val="both"/>
        <w:rPr>
          <w:rFonts w:ascii="Century Gothic" w:hAnsi="Century Gothic" w:cs="Arial"/>
          <w:sz w:val="18"/>
          <w:szCs w:val="18"/>
          <w:lang w:val="es-ES"/>
        </w:rPr>
      </w:pPr>
      <w:r w:rsidRPr="007247A9">
        <w:rPr>
          <w:rFonts w:ascii="Century Gothic" w:hAnsi="Century Gothic" w:cs="Arial"/>
          <w:sz w:val="18"/>
          <w:szCs w:val="18"/>
          <w:lang w:val="es-ES"/>
        </w:rPr>
        <w:t>“5. Absolver consultas sobre la aplicación de normas de carácter general y expedir circulares externas en materia de compras y contratación pública”.</w:t>
      </w:r>
    </w:p>
    <w:p w14:paraId="317B8100" w14:textId="77777777" w:rsidR="00FA6E3E" w:rsidRPr="007247A9" w:rsidRDefault="00FA6E3E" w:rsidP="00FA6E3E">
      <w:pPr>
        <w:pStyle w:val="Textonotapie"/>
        <w:ind w:firstLine="709"/>
        <w:contextualSpacing/>
        <w:jc w:val="both"/>
        <w:rPr>
          <w:rFonts w:ascii="Century Gothic" w:hAnsi="Century Gothic" w:cs="Arial"/>
          <w:sz w:val="18"/>
          <w:szCs w:val="18"/>
          <w:lang w:val="es-ES"/>
        </w:rPr>
      </w:pPr>
      <w:r w:rsidRPr="007247A9">
        <w:rPr>
          <w:rFonts w:ascii="Century Gothic" w:eastAsia="Times New Roman" w:hAnsi="Century Gothic" w:cs="Arial"/>
          <w:sz w:val="18"/>
          <w:szCs w:val="18"/>
          <w:lang w:val="es-CO" w:eastAsia="es-ES_tradnl"/>
        </w:rPr>
        <w:t>“</w:t>
      </w:r>
      <w:r w:rsidRPr="007247A9">
        <w:rPr>
          <w:rFonts w:ascii="Century Gothic" w:hAnsi="Century Gothic" w:cs="Arial"/>
          <w:sz w:val="18"/>
          <w:szCs w:val="18"/>
          <w:lang w:val="es-ES"/>
        </w:rPr>
        <w:t xml:space="preserve">Artículo 11. Subdirección de Gestión Contractual. Son funciones de la Subdirección de Gestión Contractual las siguientes: </w:t>
      </w:r>
    </w:p>
    <w:p w14:paraId="6A10B5CA" w14:textId="77777777" w:rsidR="00FA6E3E" w:rsidRPr="007247A9" w:rsidRDefault="00FA6E3E" w:rsidP="00FA6E3E">
      <w:pPr>
        <w:pStyle w:val="Textonotapie"/>
        <w:ind w:firstLine="709"/>
        <w:contextualSpacing/>
        <w:jc w:val="both"/>
        <w:rPr>
          <w:rFonts w:ascii="Century Gothic" w:hAnsi="Century Gothic" w:cs="Arial"/>
          <w:sz w:val="18"/>
          <w:szCs w:val="18"/>
          <w:lang w:val="es-ES"/>
        </w:rPr>
      </w:pPr>
      <w:r w:rsidRPr="007247A9">
        <w:rPr>
          <w:rFonts w:ascii="Century Gothic" w:hAnsi="Century Gothic" w:cs="Arial"/>
          <w:sz w:val="18"/>
          <w:szCs w:val="18"/>
          <w:lang w:val="es-ES"/>
        </w:rPr>
        <w:t xml:space="preserve">“[...] </w:t>
      </w:r>
    </w:p>
    <w:p w14:paraId="1E1AE997" w14:textId="77777777" w:rsidR="00FA6E3E" w:rsidRDefault="00FA6E3E" w:rsidP="00FA6E3E">
      <w:pPr>
        <w:pStyle w:val="Textonotapie"/>
        <w:ind w:firstLine="709"/>
        <w:contextualSpacing/>
        <w:jc w:val="both"/>
        <w:rPr>
          <w:rFonts w:ascii="Century Gothic" w:hAnsi="Century Gothic" w:cs="Arial"/>
          <w:sz w:val="18"/>
          <w:szCs w:val="18"/>
          <w:lang w:val="es-ES"/>
        </w:rPr>
      </w:pPr>
      <w:r w:rsidRPr="007247A9">
        <w:rPr>
          <w:rFonts w:ascii="Century Gothic" w:eastAsia="Times New Roman" w:hAnsi="Century Gothic" w:cs="Arial"/>
          <w:sz w:val="18"/>
          <w:szCs w:val="18"/>
          <w:lang w:val="es-CO" w:eastAsia="es-ES_tradnl"/>
        </w:rPr>
        <w:t>“</w:t>
      </w:r>
      <w:r w:rsidRPr="007247A9">
        <w:rPr>
          <w:rFonts w:ascii="Century Gothic" w:hAnsi="Century Gothic" w:cs="Arial"/>
          <w:sz w:val="18"/>
          <w:szCs w:val="18"/>
          <w:lang w:val="es-ES"/>
        </w:rPr>
        <w:t>8. Absolver consultas sobre la aplicación de normas de carácter general”.</w:t>
      </w:r>
    </w:p>
    <w:p w14:paraId="09800C37" w14:textId="77777777" w:rsidR="00FA6E3E" w:rsidRPr="007247A9" w:rsidRDefault="00FA6E3E" w:rsidP="00FA6E3E">
      <w:pPr>
        <w:pStyle w:val="Textonotapie"/>
        <w:ind w:firstLine="709"/>
        <w:contextualSpacing/>
        <w:jc w:val="both"/>
        <w:rPr>
          <w:rFonts w:ascii="Century Gothic" w:hAnsi="Century Gothic" w:cs="Arial"/>
          <w:sz w:val="18"/>
          <w:szCs w:val="18"/>
        </w:rPr>
      </w:pPr>
    </w:p>
  </w:footnote>
  <w:footnote w:id="3">
    <w:p w14:paraId="106162F7" w14:textId="77777777" w:rsidR="00FA6E3E" w:rsidRDefault="00FA6E3E" w:rsidP="00FA6E3E">
      <w:pPr>
        <w:pStyle w:val="Textonotapie"/>
        <w:ind w:firstLine="708"/>
      </w:pPr>
      <w:r>
        <w:rPr>
          <w:rStyle w:val="Refdenotaalpie"/>
        </w:rPr>
        <w:footnoteRef/>
      </w:r>
      <w:r>
        <w:t xml:space="preserve"> </w:t>
      </w:r>
      <w:r w:rsidRPr="00480D1F">
        <w:rPr>
          <w:rFonts w:ascii="Century Gothic" w:hAnsi="Century Gothic" w:cs="Arial"/>
          <w:sz w:val="18"/>
          <w:szCs w:val="18"/>
        </w:rPr>
        <w:t xml:space="preserve">Los conceptos referenciados, así como otros expedidos por la Subdirección se encuentran disponibles para consulta pública en el portal de relatoría de la Agencia, al cual se puede acceder a través del siguiente enlace: </w:t>
      </w:r>
      <w:hyperlink r:id="rId1" w:history="1">
        <w:r w:rsidRPr="00480D1F">
          <w:rPr>
            <w:rStyle w:val="Hipervnculo"/>
            <w:rFonts w:ascii="Century Gothic" w:hAnsi="Century Gothic" w:cs="Arial"/>
            <w:sz w:val="18"/>
            <w:szCs w:val="18"/>
          </w:rPr>
          <w:t>https://relatoria.colombiacompra.gov.co/busqueda/conceptos</w:t>
        </w:r>
      </w:hyperlink>
      <w:r w:rsidRPr="00480D1F">
        <w:rPr>
          <w:rStyle w:val="Hipervnculo"/>
          <w:rFonts w:ascii="Century Gothic" w:hAnsi="Century Gothic" w:cs="Arial"/>
          <w:sz w:val="18"/>
          <w:szCs w:val="18"/>
        </w:rPr>
        <w:t>.</w:t>
      </w:r>
    </w:p>
  </w:footnote>
  <w:footnote w:id="4">
    <w:p w14:paraId="4D170299" w14:textId="77777777" w:rsidR="00FA6E3E" w:rsidRDefault="00FA6E3E" w:rsidP="00FA6E3E">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Fonts w:ascii="Century Gothic" w:hAnsi="Century Gothic" w:cs="Arial"/>
          <w:color w:val="000000"/>
          <w:sz w:val="18"/>
          <w:szCs w:val="18"/>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06CB8386" w14:textId="77777777" w:rsidR="00FA6E3E" w:rsidRPr="0029340D" w:rsidRDefault="00FA6E3E" w:rsidP="00FA6E3E">
      <w:pPr>
        <w:pStyle w:val="Textonotapie"/>
        <w:ind w:firstLine="709"/>
        <w:jc w:val="both"/>
        <w:rPr>
          <w:rFonts w:ascii="Century Gothic" w:hAnsi="Century Gothic" w:cs="Arial"/>
          <w:color w:val="000000"/>
          <w:sz w:val="18"/>
          <w:szCs w:val="18"/>
        </w:rPr>
      </w:pPr>
    </w:p>
  </w:footnote>
  <w:footnote w:id="5">
    <w:p w14:paraId="48815A49" w14:textId="77777777" w:rsidR="00FA6E3E" w:rsidRPr="0029340D" w:rsidRDefault="00FA6E3E" w:rsidP="00FA6E3E">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Fonts w:ascii="Century Gothic" w:hAnsi="Century Gothic" w:cs="Arial"/>
          <w:color w:val="000000"/>
          <w:sz w:val="18"/>
          <w:szCs w:val="18"/>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6">
    <w:p w14:paraId="25717B9C" w14:textId="77777777" w:rsidR="00FA6E3E" w:rsidRPr="0029340D" w:rsidRDefault="00FA6E3E" w:rsidP="00FA6E3E">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Fonts w:ascii="Century Gothic" w:hAnsi="Century Gothic" w:cs="Arial"/>
          <w:color w:val="000000"/>
          <w:sz w:val="18"/>
          <w:szCs w:val="18"/>
        </w:rPr>
        <w:t xml:space="preserve"> CONSEJO DE ESTADO. Sección Tercera. Subsección C. Sentencia del 26 de febrero de 2014. Expediente: 25.804. Consejero Ponente: Enrique Gil Botero.</w:t>
      </w:r>
    </w:p>
  </w:footnote>
  <w:footnote w:id="7">
    <w:p w14:paraId="0D9FE864" w14:textId="77777777" w:rsidR="00FA6E3E" w:rsidRPr="0029340D" w:rsidRDefault="00FA6E3E" w:rsidP="00FA6E3E">
      <w:pPr>
        <w:pStyle w:val="Textonotapie"/>
        <w:ind w:firstLine="708"/>
        <w:jc w:val="both"/>
        <w:rPr>
          <w:rFonts w:ascii="Century Gothic" w:hAnsi="Century Gothic"/>
          <w:sz w:val="18"/>
          <w:szCs w:val="18"/>
        </w:rPr>
      </w:pPr>
      <w:r w:rsidRPr="0029340D">
        <w:rPr>
          <w:rStyle w:val="Refdenotaalpie"/>
          <w:rFonts w:ascii="Century Gothic" w:hAnsi="Century Gothic"/>
          <w:sz w:val="18"/>
          <w:szCs w:val="18"/>
        </w:rPr>
        <w:footnoteRef/>
      </w:r>
      <w:r w:rsidRPr="0029340D">
        <w:rPr>
          <w:rFonts w:ascii="Century Gothic" w:hAnsi="Century Gothic"/>
          <w:sz w:val="18"/>
          <w:szCs w:val="18"/>
        </w:rPr>
        <w:t xml:space="preserve"> Ver en el siguiente </w:t>
      </w:r>
      <w:proofErr w:type="gramStart"/>
      <w:r w:rsidRPr="0029340D">
        <w:rPr>
          <w:rFonts w:ascii="Century Gothic" w:hAnsi="Century Gothic"/>
          <w:sz w:val="18"/>
          <w:szCs w:val="18"/>
        </w:rPr>
        <w:t>link</w:t>
      </w:r>
      <w:proofErr w:type="gramEnd"/>
      <w:r w:rsidRPr="0029340D">
        <w:rPr>
          <w:rFonts w:ascii="Century Gothic" w:hAnsi="Century Gothic"/>
          <w:sz w:val="18"/>
          <w:szCs w:val="18"/>
        </w:rPr>
        <w:t xml:space="preserve">: </w:t>
      </w:r>
      <w:hyperlink r:id="rId2" w:history="1">
        <w:r w:rsidRPr="0029340D">
          <w:rPr>
            <w:rStyle w:val="Hipervnculo"/>
            <w:rFonts w:ascii="Century Gothic" w:hAnsi="Century Gothic"/>
            <w:sz w:val="18"/>
            <w:szCs w:val="18"/>
          </w:rPr>
          <w:t>https://colombiacompra.gov.co/sites/cce_public/files/cce_circulares/cce-eicp-ma-06_circular_externa_con_comentarios_de_ciudadanos-_v2f_002.pdf</w:t>
        </w:r>
      </w:hyperlink>
      <w:r w:rsidRPr="0029340D">
        <w:rPr>
          <w:rFonts w:ascii="Century Gothic" w:hAnsi="Century Gothic"/>
          <w:sz w:val="18"/>
          <w:szCs w:val="18"/>
        </w:rPr>
        <w:t xml:space="preserve"> </w:t>
      </w:r>
    </w:p>
  </w:footnote>
  <w:footnote w:id="8">
    <w:p w14:paraId="4AA2FA34" w14:textId="77777777" w:rsidR="00FA6E3E" w:rsidRDefault="00FA6E3E" w:rsidP="00FA6E3E">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Style w:val="Refdenotaalpie"/>
          <w:rFonts w:ascii="Century Gothic" w:hAnsi="Century Gothic"/>
          <w:color w:val="000000"/>
          <w:sz w:val="18"/>
          <w:szCs w:val="18"/>
        </w:rPr>
        <w:t xml:space="preserve"> </w:t>
      </w:r>
      <w:r w:rsidRPr="0029340D">
        <w:rPr>
          <w:rFonts w:ascii="Century Gothic" w:hAnsi="Century Gothic" w:cs="Arial"/>
          <w:color w:val="000000"/>
          <w:sz w:val="18"/>
          <w:szCs w:val="18"/>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p w14:paraId="6965675E" w14:textId="77777777" w:rsidR="00FA6E3E" w:rsidRPr="0029340D" w:rsidRDefault="00FA6E3E" w:rsidP="00FA6E3E">
      <w:pPr>
        <w:pStyle w:val="Textonotapie"/>
        <w:ind w:firstLine="709"/>
        <w:jc w:val="both"/>
        <w:rPr>
          <w:rFonts w:ascii="Century Gothic" w:hAnsi="Century Gothic" w:cs="Arial"/>
          <w:color w:val="000000"/>
          <w:sz w:val="18"/>
          <w:szCs w:val="18"/>
        </w:rPr>
      </w:pPr>
    </w:p>
  </w:footnote>
  <w:footnote w:id="9">
    <w:p w14:paraId="723B701D" w14:textId="77777777" w:rsidR="00FA6E3E" w:rsidRDefault="00FA6E3E" w:rsidP="00FA6E3E">
      <w:pPr>
        <w:pStyle w:val="NormalWeb"/>
        <w:shd w:val="clear" w:color="auto" w:fill="FFFFFF"/>
        <w:spacing w:before="0" w:beforeAutospacing="0" w:after="0" w:afterAutospacing="0"/>
        <w:ind w:firstLine="708"/>
        <w:jc w:val="both"/>
        <w:rPr>
          <w:rFonts w:ascii="Century Gothic" w:hAnsi="Century Gothic" w:cs="Arial"/>
          <w:sz w:val="18"/>
          <w:szCs w:val="18"/>
          <w:lang w:val="es-ES"/>
        </w:rPr>
      </w:pPr>
      <w:r w:rsidRPr="0029340D">
        <w:rPr>
          <w:rStyle w:val="Refdenotaalpie"/>
          <w:rFonts w:ascii="Century Gothic" w:eastAsia="Arial" w:hAnsi="Century Gothic"/>
          <w:sz w:val="18"/>
          <w:szCs w:val="18"/>
        </w:rPr>
        <w:footnoteRef/>
      </w:r>
      <w:r w:rsidRPr="0029340D">
        <w:rPr>
          <w:rFonts w:ascii="Century Gothic" w:hAnsi="Century Gothic" w:cs="Arial"/>
          <w:sz w:val="18"/>
          <w:szCs w:val="18"/>
        </w:rPr>
        <w:t xml:space="preserve"> “</w:t>
      </w:r>
      <w:r w:rsidRPr="0029340D">
        <w:rPr>
          <w:rFonts w:ascii="Century Gothic" w:hAnsi="Century Gothic" w:cs="Arial"/>
          <w:bCs/>
          <w:sz w:val="18"/>
          <w:szCs w:val="18"/>
          <w:shd w:val="clear" w:color="auto" w:fill="FFFFFF"/>
        </w:rPr>
        <w:t>2.2.1.2.1.5.2</w:t>
      </w:r>
      <w:r w:rsidRPr="0029340D">
        <w:rPr>
          <w:rFonts w:ascii="Century Gothic" w:hAnsi="Century Gothic" w:cs="Arial"/>
          <w:sz w:val="18"/>
          <w:szCs w:val="18"/>
          <w:lang w:val="es-ES"/>
        </w:rPr>
        <w:t xml:space="preserve">5. </w:t>
      </w:r>
      <w:r w:rsidRPr="0029340D">
        <w:rPr>
          <w:rFonts w:ascii="Century Gothic" w:hAnsi="Century Gothic" w:cs="Arial"/>
          <w:bCs/>
          <w:sz w:val="18"/>
          <w:szCs w:val="18"/>
          <w:lang w:val="es-ES"/>
        </w:rPr>
        <w:t>Procedimiento para la contratación de mínima cuantía.</w:t>
      </w:r>
      <w:r w:rsidRPr="0029340D">
        <w:rPr>
          <w:rFonts w:ascii="Century Gothic" w:hAnsi="Century Gothic" w:cs="Arial"/>
          <w:sz w:val="18"/>
          <w:szCs w:val="18"/>
          <w:lang w:val="es-ES"/>
        </w:rPr>
        <w:t> Las siguientes reglas son aplicables a la contratación cuyo valor no excede del diez por ciento (10%) de la menor cuantía de la Entidad Estatal, independientemente de su objeto: […]</w:t>
      </w:r>
    </w:p>
    <w:p w14:paraId="6D49091C" w14:textId="77777777" w:rsidR="00FA6E3E" w:rsidRPr="0029340D" w:rsidRDefault="00FA6E3E" w:rsidP="00FA6E3E">
      <w:pPr>
        <w:pStyle w:val="NormalWeb"/>
        <w:shd w:val="clear" w:color="auto" w:fill="FFFFFF"/>
        <w:spacing w:before="0" w:beforeAutospacing="0" w:after="0" w:afterAutospacing="0"/>
        <w:ind w:firstLine="708"/>
        <w:jc w:val="both"/>
        <w:rPr>
          <w:rFonts w:ascii="Century Gothic" w:hAnsi="Century Gothic" w:cs="Arial"/>
          <w:sz w:val="18"/>
          <w:szCs w:val="18"/>
          <w:lang w:val="es-ES"/>
        </w:rPr>
      </w:pPr>
      <w:r w:rsidRPr="0029340D">
        <w:rPr>
          <w:rFonts w:ascii="Century Gothic" w:hAnsi="Century Gothic" w:cs="Arial"/>
          <w:sz w:val="18"/>
          <w:szCs w:val="18"/>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3" w:anchor="5" w:history="1">
        <w:r w:rsidRPr="0029340D">
          <w:rPr>
            <w:rFonts w:ascii="Century Gothic" w:hAnsi="Century Gothic" w:cs="Arial"/>
            <w:sz w:val="18"/>
            <w:szCs w:val="18"/>
            <w:u w:val="single"/>
            <w:lang w:val="es-ES"/>
          </w:rPr>
          <w:t>5 </w:t>
        </w:r>
      </w:hyperlink>
      <w:r w:rsidRPr="0029340D">
        <w:rPr>
          <w:rFonts w:ascii="Century Gothic" w:hAnsi="Century Gothic" w:cs="Arial"/>
          <w:sz w:val="18"/>
          <w:szCs w:val="18"/>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Pr="0029340D">
        <w:rPr>
          <w:rFonts w:ascii="Century Gothic" w:hAnsi="Century Gothic" w:cs="Arial"/>
          <w:sz w:val="18"/>
          <w:szCs w:val="18"/>
        </w:rPr>
        <w:t>”</w:t>
      </w:r>
      <w:r w:rsidRPr="0029340D">
        <w:rPr>
          <w:rFonts w:ascii="Century Gothic" w:hAnsi="Century Gothic" w:cs="Arial"/>
          <w:sz w:val="18"/>
          <w:szCs w:val="18"/>
          <w:lang w:val="es-ES"/>
        </w:rPr>
        <w:t>.</w:t>
      </w:r>
    </w:p>
  </w:footnote>
  <w:footnote w:id="10">
    <w:p w14:paraId="25EF6BB0" w14:textId="77777777" w:rsidR="00FA6E3E" w:rsidRPr="0029340D" w:rsidRDefault="00FA6E3E" w:rsidP="00FA6E3E">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Fonts w:ascii="Century Gothic" w:hAnsi="Century Gothic" w:cs="Arial"/>
          <w:color w:val="000000"/>
          <w:sz w:val="18"/>
          <w:szCs w:val="18"/>
        </w:rPr>
        <w:t xml:space="preserve"> “Sin embargo, debe tenerse en cuenta que la última norma en cita -Decreto 2474 de 2008, aparte subrayado-, establece un límite a la </w:t>
      </w:r>
      <w:proofErr w:type="spellStart"/>
      <w:r w:rsidRPr="0029340D">
        <w:rPr>
          <w:rFonts w:ascii="Century Gothic" w:hAnsi="Century Gothic" w:cs="Arial"/>
          <w:color w:val="000000"/>
          <w:sz w:val="18"/>
          <w:szCs w:val="18"/>
        </w:rPr>
        <w:t>subsanabilidad</w:t>
      </w:r>
      <w:proofErr w:type="spellEnd"/>
      <w:r w:rsidRPr="0029340D">
        <w:rPr>
          <w:rFonts w:ascii="Century Gothic" w:hAnsi="Century Gothic" w:cs="Arial"/>
          <w:color w:val="000000"/>
          <w:sz w:val="18"/>
          <w:szCs w:val="18"/>
        </w:rPr>
        <w:t>, puesto que en cualquier caso debe referirse o recaer sobre circunstancias ocurridas antes del cierre del respectivo proceso, esto es, del vencimiento del plazo para presentar ofertas.</w:t>
      </w:r>
    </w:p>
    <w:p w14:paraId="6D0303CB" w14:textId="77777777" w:rsidR="00FA6E3E" w:rsidRPr="0029340D" w:rsidRDefault="00FA6E3E" w:rsidP="00FA6E3E">
      <w:pPr>
        <w:pStyle w:val="Textonotapie"/>
        <w:ind w:firstLine="709"/>
        <w:jc w:val="both"/>
        <w:rPr>
          <w:rFonts w:ascii="Century Gothic" w:hAnsi="Century Gothic" w:cs="Arial"/>
          <w:color w:val="000000"/>
          <w:sz w:val="18"/>
          <w:szCs w:val="18"/>
        </w:rPr>
      </w:pPr>
      <w:r w:rsidRPr="0029340D">
        <w:rPr>
          <w:rFonts w:ascii="Century Gothic" w:hAnsi="Century Gothic" w:cs="Arial"/>
          <w:color w:val="000000"/>
          <w:sz w:val="18"/>
          <w:szCs w:val="18"/>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footnote>
  <w:footnote w:id="11">
    <w:p w14:paraId="27B5802E" w14:textId="77777777" w:rsidR="00FA6E3E" w:rsidRPr="0029340D" w:rsidRDefault="00FA6E3E" w:rsidP="00FA6E3E">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sz w:val="18"/>
          <w:szCs w:val="18"/>
        </w:rPr>
        <w:footnoteRef/>
      </w:r>
      <w:r w:rsidRPr="0029340D">
        <w:rPr>
          <w:rFonts w:ascii="Century Gothic" w:hAnsi="Century Gothic" w:cs="Arial"/>
          <w:sz w:val="18"/>
          <w:szCs w:val="18"/>
        </w:rPr>
        <w:t xml:space="preserve"> </w:t>
      </w:r>
      <w:r w:rsidRPr="0029340D">
        <w:rPr>
          <w:rFonts w:ascii="Century Gothic" w:hAnsi="Century Gothic" w:cs="Arial"/>
          <w:color w:val="000000"/>
          <w:sz w:val="18"/>
          <w:szCs w:val="18"/>
        </w:rPr>
        <w:t xml:space="preserve">En armonía con lo anterior, actualmente la Circular Externa Única de Colombia Compra Eficiente señala lo siguiente: “De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79031AE2" w14:textId="77777777" w:rsidR="00FA6E3E" w:rsidRDefault="00FA6E3E" w:rsidP="00FA6E3E">
      <w:pPr>
        <w:pStyle w:val="Textonotapie"/>
        <w:ind w:firstLine="709"/>
        <w:jc w:val="both"/>
        <w:rPr>
          <w:rFonts w:ascii="Century Gothic" w:hAnsi="Century Gothic" w:cs="Arial"/>
          <w:color w:val="000000"/>
          <w:sz w:val="18"/>
          <w:szCs w:val="18"/>
        </w:rPr>
      </w:pPr>
      <w:r w:rsidRPr="0029340D">
        <w:rPr>
          <w:rFonts w:ascii="Century Gothic" w:hAnsi="Century Gothic" w:cs="Arial"/>
          <w:color w:val="000000"/>
          <w:sz w:val="18"/>
          <w:szCs w:val="18"/>
        </w:rPr>
        <w:t xml:space="preserve">Lo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“circunstancias ocurridas con posterioridad al cierre del proceso” implica distinguir entre la prueba de un hecho y el hecho mismo. En el caso de la </w:t>
      </w:r>
      <w:proofErr w:type="spellStart"/>
      <w:r w:rsidRPr="0029340D">
        <w:rPr>
          <w:rFonts w:ascii="Century Gothic" w:hAnsi="Century Gothic" w:cs="Arial"/>
          <w:color w:val="000000"/>
          <w:sz w:val="18"/>
          <w:szCs w:val="18"/>
        </w:rPr>
        <w:t>subsanabilidad</w:t>
      </w:r>
      <w:proofErr w:type="spellEnd"/>
      <w:r w:rsidRPr="0029340D">
        <w:rPr>
          <w:rFonts w:ascii="Century Gothic" w:hAnsi="Century Gothic" w:cs="Arial"/>
          <w:color w:val="000000"/>
          <w:sz w:val="18"/>
          <w:szCs w:val="18"/>
        </w:rPr>
        <w:t xml:space="preserve">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 Disponible en: </w:t>
      </w:r>
      <w:hyperlink r:id="rId4" w:history="1">
        <w:r w:rsidRPr="0029340D">
          <w:rPr>
            <w:rStyle w:val="Hipervnculo"/>
            <w:rFonts w:ascii="Century Gothic" w:hAnsi="Century Gothic" w:cs="Arial"/>
            <w:color w:val="000000"/>
            <w:sz w:val="18"/>
            <w:szCs w:val="18"/>
          </w:rPr>
          <w:t>https://www.colombiacompra.gov.co/content/circular-unica-externa</w:t>
        </w:r>
      </w:hyperlink>
    </w:p>
    <w:p w14:paraId="072B3675" w14:textId="77777777" w:rsidR="00FA6E3E" w:rsidRPr="0029340D" w:rsidRDefault="00FA6E3E" w:rsidP="00FA6E3E">
      <w:pPr>
        <w:pStyle w:val="Textonotapie"/>
        <w:ind w:firstLine="709"/>
        <w:jc w:val="both"/>
        <w:rPr>
          <w:rFonts w:ascii="Century Gothic" w:hAnsi="Century Gothic" w:cs="Arial"/>
          <w:sz w:val="18"/>
          <w:szCs w:val="18"/>
        </w:rPr>
      </w:pPr>
    </w:p>
  </w:footnote>
  <w:footnote w:id="12">
    <w:p w14:paraId="1FD4DEC7" w14:textId="77777777" w:rsidR="00FA6E3E" w:rsidRPr="0029340D" w:rsidRDefault="00FA6E3E" w:rsidP="00FA6E3E">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Fonts w:ascii="Century Gothic" w:hAnsi="Century Gothic" w:cs="Arial"/>
          <w:color w:val="000000"/>
          <w:sz w:val="18"/>
          <w:szCs w:val="18"/>
        </w:rPr>
        <w:t xml:space="preserve"> Ver CONSEJO DE ESTADO, Sección Tercera, Subsección C. Sentencia del 26 de febrero de 2011. C.P. Jaime Orlando Santofimio. Rad. 36.408. </w:t>
      </w:r>
    </w:p>
  </w:footnote>
  <w:footnote w:id="13">
    <w:p w14:paraId="44733B94" w14:textId="77777777" w:rsidR="00FA6E3E" w:rsidRDefault="00FA6E3E" w:rsidP="00FA6E3E">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Fonts w:ascii="Century Gothic" w:hAnsi="Century Gothic" w:cs="Arial"/>
          <w:color w:val="000000"/>
          <w:sz w:val="18"/>
          <w:szCs w:val="18"/>
        </w:rPr>
        <w:t xml:space="preserve"> Ver CONSEJO DE ESTADO, Sección Tercera, Subsección C. Sentencia del 26 de febrero de 2014. C.P. Enrique Gil Botero. Rad. 25.804. </w:t>
      </w:r>
    </w:p>
    <w:p w14:paraId="13C17AF4" w14:textId="77777777" w:rsidR="00FA6E3E" w:rsidRPr="0029340D" w:rsidRDefault="00FA6E3E" w:rsidP="00FA6E3E">
      <w:pPr>
        <w:pStyle w:val="Textonotapie"/>
        <w:ind w:firstLine="709"/>
        <w:jc w:val="both"/>
        <w:rPr>
          <w:rFonts w:ascii="Century Gothic" w:hAnsi="Century Gothic" w:cs="Arial"/>
          <w:color w:val="000000"/>
          <w:sz w:val="18"/>
          <w:szCs w:val="18"/>
        </w:rPr>
      </w:pPr>
    </w:p>
  </w:footnote>
  <w:footnote w:id="14">
    <w:p w14:paraId="0096A27C" w14:textId="77777777" w:rsidR="00FA6E3E" w:rsidRPr="0029340D" w:rsidRDefault="00FA6E3E" w:rsidP="00FA6E3E">
      <w:pPr>
        <w:pStyle w:val="Textonotapie"/>
        <w:ind w:firstLine="709"/>
        <w:jc w:val="both"/>
        <w:rPr>
          <w:rFonts w:ascii="Century Gothic" w:hAnsi="Century Gothic" w:cs="Arial"/>
          <w:color w:val="000000"/>
          <w:sz w:val="18"/>
          <w:szCs w:val="18"/>
        </w:rPr>
      </w:pPr>
      <w:r w:rsidRPr="0029340D">
        <w:rPr>
          <w:rStyle w:val="Refdenotaalpie"/>
          <w:rFonts w:ascii="Century Gothic" w:hAnsi="Century Gothic"/>
          <w:color w:val="000000"/>
          <w:sz w:val="18"/>
          <w:szCs w:val="18"/>
        </w:rPr>
        <w:footnoteRef/>
      </w:r>
      <w:r w:rsidRPr="0029340D">
        <w:rPr>
          <w:rFonts w:ascii="Century Gothic" w:hAnsi="Century Gothic" w:cs="Arial"/>
          <w:color w:val="000000"/>
          <w:sz w:val="18"/>
          <w:szCs w:val="18"/>
        </w:rPr>
        <w:t xml:space="preserve"> CONSEJO DE ESTADO. Sala de Consulta y Servicio Civil. Concepto del 20 de mayo de 2010. Expediente: 1992. Consejero Ponente: Enrique José Arboleda Perdomo.</w:t>
      </w:r>
    </w:p>
  </w:footnote>
  <w:footnote w:id="15">
    <w:p w14:paraId="2DE4193C" w14:textId="77777777" w:rsidR="00FA6E3E" w:rsidRDefault="00FA6E3E" w:rsidP="00FA6E3E">
      <w:pPr>
        <w:pStyle w:val="Textonotapie"/>
        <w:ind w:firstLine="708"/>
        <w:jc w:val="both"/>
        <w:rPr>
          <w:rFonts w:ascii="Century Gothic" w:hAnsi="Century Gothic"/>
          <w:sz w:val="18"/>
          <w:szCs w:val="18"/>
        </w:rPr>
      </w:pPr>
      <w:r w:rsidRPr="007247A9">
        <w:rPr>
          <w:rStyle w:val="Refdenotaalpie"/>
          <w:rFonts w:ascii="Century Gothic" w:hAnsi="Century Gothic"/>
          <w:sz w:val="18"/>
          <w:szCs w:val="18"/>
        </w:rPr>
        <w:footnoteRef/>
      </w:r>
      <w:r w:rsidRPr="007247A9">
        <w:rPr>
          <w:rFonts w:ascii="Century Gothic" w:hAnsi="Century Gothic"/>
          <w:sz w:val="18"/>
          <w:szCs w:val="18"/>
        </w:rPr>
        <w:t xml:space="preserve"> Ver en línea </w:t>
      </w:r>
      <w:hyperlink r:id="rId5" w:history="1">
        <w:r w:rsidRPr="007247A9">
          <w:rPr>
            <w:rStyle w:val="Hipervnculo"/>
            <w:rFonts w:ascii="Century Gothic" w:hAnsi="Century Gothic"/>
            <w:sz w:val="18"/>
            <w:szCs w:val="18"/>
          </w:rPr>
          <w:t>https://colaboracion.dnp.gov.co/CDT/Normatividad/Memoria%20justificativa%20-%20Compras%20publicas.pdfm</w:t>
        </w:r>
      </w:hyperlink>
      <w:r w:rsidRPr="007247A9">
        <w:rPr>
          <w:rFonts w:ascii="Century Gothic" w:hAnsi="Century Gothic"/>
          <w:sz w:val="18"/>
          <w:szCs w:val="18"/>
        </w:rPr>
        <w:t xml:space="preserve"> </w:t>
      </w:r>
    </w:p>
    <w:p w14:paraId="22A8D064" w14:textId="77777777" w:rsidR="00FA6E3E" w:rsidRPr="007247A9" w:rsidRDefault="00FA6E3E" w:rsidP="00FA6E3E">
      <w:pPr>
        <w:pStyle w:val="Textonotapie"/>
        <w:ind w:firstLine="708"/>
        <w:jc w:val="both"/>
        <w:rPr>
          <w:rFonts w:ascii="Century Gothic" w:hAnsi="Century Gothic"/>
          <w:sz w:val="18"/>
          <w:szCs w:val="18"/>
        </w:rPr>
      </w:pPr>
    </w:p>
  </w:footnote>
  <w:footnote w:id="16">
    <w:p w14:paraId="414F5725" w14:textId="77777777" w:rsidR="00FA6E3E" w:rsidRDefault="00FA6E3E" w:rsidP="00FA6E3E">
      <w:pPr>
        <w:pStyle w:val="Textonotapie"/>
        <w:ind w:firstLine="708"/>
        <w:jc w:val="both"/>
        <w:rPr>
          <w:rFonts w:ascii="Century Gothic" w:hAnsi="Century Gothic"/>
          <w:sz w:val="18"/>
          <w:szCs w:val="18"/>
        </w:rPr>
      </w:pPr>
      <w:r w:rsidRPr="007247A9">
        <w:rPr>
          <w:rStyle w:val="Refdenotaalpie"/>
          <w:rFonts w:ascii="Century Gothic" w:hAnsi="Century Gothic"/>
          <w:sz w:val="18"/>
          <w:szCs w:val="18"/>
        </w:rPr>
        <w:footnoteRef/>
      </w:r>
      <w:r w:rsidRPr="007247A9">
        <w:rPr>
          <w:rFonts w:ascii="Century Gothic" w:hAnsi="Century Gothic"/>
          <w:sz w:val="18"/>
          <w:szCs w:val="18"/>
        </w:rPr>
        <w:t xml:space="preserve"> Corte Constitucional, Sentencia de constitucionalidad C-1005 de 2008. M.P. Humberto Antonio Sierra Porto.</w:t>
      </w:r>
    </w:p>
    <w:p w14:paraId="1BCEFB3A" w14:textId="77777777" w:rsidR="00FA6E3E" w:rsidRPr="007247A9" w:rsidRDefault="00FA6E3E" w:rsidP="00FA6E3E">
      <w:pPr>
        <w:pStyle w:val="Textonotapie"/>
        <w:ind w:firstLine="708"/>
        <w:jc w:val="both"/>
        <w:rPr>
          <w:rFonts w:ascii="Century Gothic" w:hAnsi="Century Gothic"/>
          <w:sz w:val="18"/>
          <w:szCs w:val="18"/>
        </w:rPr>
      </w:pPr>
    </w:p>
  </w:footnote>
  <w:footnote w:id="17">
    <w:p w14:paraId="6E889485" w14:textId="77777777" w:rsidR="00FA6E3E" w:rsidRDefault="00FA6E3E" w:rsidP="00FA6E3E">
      <w:pPr>
        <w:pStyle w:val="Textonotapie"/>
        <w:ind w:firstLine="708"/>
        <w:jc w:val="both"/>
        <w:rPr>
          <w:rFonts w:ascii="Century Gothic" w:hAnsi="Century Gothic"/>
          <w:sz w:val="18"/>
          <w:szCs w:val="18"/>
        </w:rPr>
      </w:pPr>
      <w:r w:rsidRPr="007247A9">
        <w:rPr>
          <w:rStyle w:val="Refdenotaalpie"/>
          <w:rFonts w:ascii="Century Gothic" w:hAnsi="Century Gothic"/>
          <w:sz w:val="18"/>
          <w:szCs w:val="18"/>
        </w:rPr>
        <w:footnoteRef/>
      </w:r>
      <w:r w:rsidRPr="007247A9">
        <w:rPr>
          <w:rFonts w:ascii="Century Gothic" w:hAnsi="Century Gothic"/>
          <w:sz w:val="18"/>
          <w:szCs w:val="18"/>
        </w:rPr>
        <w:t xml:space="preserve"> Consejo de Estado. Sección Primera. Sentencia del 20 de noviembre de 2014. Rad. 1101-03-24-000-2010-00119-00.</w:t>
      </w:r>
    </w:p>
    <w:p w14:paraId="08B691DB" w14:textId="77777777" w:rsidR="00FA6E3E" w:rsidRPr="007247A9" w:rsidRDefault="00FA6E3E" w:rsidP="00FA6E3E">
      <w:pPr>
        <w:pStyle w:val="Textonotapie"/>
        <w:ind w:firstLine="708"/>
        <w:jc w:val="both"/>
        <w:rPr>
          <w:rFonts w:ascii="Century Gothic" w:hAnsi="Century Gothic"/>
          <w:sz w:val="18"/>
          <w:szCs w:val="18"/>
        </w:rPr>
      </w:pPr>
    </w:p>
  </w:footnote>
  <w:footnote w:id="18">
    <w:p w14:paraId="5F062273" w14:textId="77777777" w:rsidR="00FA6E3E" w:rsidRPr="007247A9" w:rsidRDefault="00FA6E3E" w:rsidP="00FA6E3E">
      <w:pPr>
        <w:pStyle w:val="Textonotapie"/>
        <w:ind w:firstLine="708"/>
        <w:contextualSpacing/>
        <w:jc w:val="both"/>
        <w:rPr>
          <w:rFonts w:ascii="Century Gothic" w:hAnsi="Century Gothic" w:cs="Arial"/>
          <w:sz w:val="18"/>
          <w:szCs w:val="18"/>
        </w:rPr>
      </w:pPr>
      <w:r w:rsidRPr="007247A9">
        <w:rPr>
          <w:rStyle w:val="Refdenotaalpie"/>
          <w:rFonts w:ascii="Century Gothic" w:hAnsi="Century Gothic" w:cs="Arial"/>
          <w:sz w:val="18"/>
          <w:szCs w:val="18"/>
        </w:rPr>
        <w:footnoteRef/>
      </w:r>
      <w:r w:rsidRPr="007247A9">
        <w:rPr>
          <w:rFonts w:ascii="Century Gothic" w:hAnsi="Century Gothic"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6" w:history="1">
        <w:r w:rsidRPr="007247A9">
          <w:rPr>
            <w:rStyle w:val="Hipervnculo"/>
            <w:rFonts w:ascii="Century Gothic" w:hAnsi="Century Gothic"/>
            <w:sz w:val="18"/>
            <w:szCs w:val="18"/>
          </w:rPr>
          <w:t>https://relatoria.colombiacompra.gov.co/busqueda/conceptos</w:t>
        </w:r>
      </w:hyperlink>
      <w:r w:rsidRPr="007247A9">
        <w:rPr>
          <w:rStyle w:val="Hipervnculo"/>
          <w:rFonts w:ascii="Century Gothic" w:hAnsi="Century Gothic"/>
          <w:sz w:val="18"/>
          <w:szCs w:val="18"/>
        </w:rPr>
        <w:t xml:space="preserve">. </w:t>
      </w:r>
      <w:r w:rsidRPr="007247A9">
        <w:rPr>
          <w:rFonts w:ascii="Century Gothic" w:hAnsi="Century Gothic" w:cs="Arial"/>
          <w:sz w:val="18"/>
          <w:szCs w:val="18"/>
          <w:shd w:val="clear" w:color="auto" w:fill="E6E6E6"/>
        </w:rPr>
        <w:t xml:space="preserve"> </w:t>
      </w:r>
    </w:p>
    <w:p w14:paraId="09646FD8" w14:textId="77777777" w:rsidR="00FA6E3E" w:rsidRPr="007247A9" w:rsidRDefault="00FA6E3E" w:rsidP="00FA6E3E">
      <w:pPr>
        <w:pStyle w:val="Textonotapie"/>
        <w:ind w:firstLine="708"/>
        <w:contextualSpacing/>
        <w:jc w:val="both"/>
        <w:rPr>
          <w:rFonts w:ascii="Century Gothic" w:hAnsi="Century Gothic" w:cs="Arial"/>
          <w:sz w:val="18"/>
          <w:szCs w:val="18"/>
          <w:lang w:val="es-CO"/>
        </w:rPr>
      </w:pPr>
    </w:p>
  </w:footnote>
  <w:footnote w:id="19">
    <w:p w14:paraId="6D2371AE" w14:textId="77777777" w:rsidR="00FA6E3E" w:rsidRPr="007247A9" w:rsidRDefault="00FA6E3E" w:rsidP="00FA6E3E">
      <w:pPr>
        <w:pStyle w:val="Textonotapie"/>
        <w:ind w:firstLine="709"/>
        <w:contextualSpacing/>
        <w:jc w:val="both"/>
        <w:rPr>
          <w:rFonts w:ascii="Century Gothic" w:hAnsi="Century Gothic" w:cs="Arial"/>
          <w:color w:val="000000" w:themeColor="text1"/>
          <w:sz w:val="18"/>
          <w:szCs w:val="18"/>
          <w:lang w:val="es-ES"/>
        </w:rPr>
      </w:pPr>
      <w:r w:rsidRPr="007247A9">
        <w:rPr>
          <w:rStyle w:val="Refdenotaalpie"/>
          <w:rFonts w:ascii="Century Gothic" w:hAnsi="Century Gothic" w:cs="Arial"/>
          <w:color w:val="000000" w:themeColor="text1"/>
          <w:sz w:val="18"/>
          <w:szCs w:val="18"/>
        </w:rPr>
        <w:footnoteRef/>
      </w:r>
      <w:r w:rsidRPr="007247A9">
        <w:rPr>
          <w:rFonts w:ascii="Century Gothic" w:hAnsi="Century Gothic" w:cs="Arial"/>
          <w:color w:val="000000" w:themeColor="text1"/>
          <w:sz w:val="18"/>
          <w:szCs w:val="18"/>
        </w:rPr>
        <w:t xml:space="preserve"> </w:t>
      </w:r>
      <w:r w:rsidRPr="007247A9">
        <w:rPr>
          <w:rFonts w:ascii="Century Gothic" w:hAnsi="Century Gothic" w:cs="Arial"/>
          <w:color w:val="000000" w:themeColor="text1"/>
          <w:sz w:val="18"/>
          <w:szCs w:val="18"/>
          <w:lang w:val="es-ES"/>
        </w:rPr>
        <w:t>Al respecto, conviene recordar el artículo 29 de la Ley 80 de 1993, derogado por el artículo 32 de la Ley 1150 de 2007, que establecía: “La selección de contratistas será objetiva.</w:t>
      </w:r>
    </w:p>
    <w:p w14:paraId="03CD139B" w14:textId="77777777" w:rsidR="00FA6E3E" w:rsidRPr="007247A9" w:rsidRDefault="00FA6E3E" w:rsidP="00FA6E3E">
      <w:pPr>
        <w:pStyle w:val="Textonotapie"/>
        <w:ind w:firstLine="709"/>
        <w:contextualSpacing/>
        <w:jc w:val="both"/>
        <w:rPr>
          <w:rFonts w:ascii="Century Gothic" w:hAnsi="Century Gothic" w:cs="Arial"/>
          <w:color w:val="000000" w:themeColor="text1"/>
          <w:sz w:val="18"/>
          <w:szCs w:val="18"/>
          <w:lang w:val="es-ES"/>
        </w:rPr>
      </w:pPr>
      <w:r w:rsidRPr="007247A9">
        <w:rPr>
          <w:rFonts w:ascii="Century Gothic" w:hAnsi="Century Gothic" w:cs="Arial"/>
          <w:color w:val="000000" w:themeColor="text1"/>
          <w:sz w:val="18"/>
          <w:szCs w:val="18"/>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6D75CA4B" w14:textId="77777777" w:rsidR="00FA6E3E" w:rsidRPr="007247A9" w:rsidRDefault="00FA6E3E" w:rsidP="00FA6E3E">
      <w:pPr>
        <w:pStyle w:val="Textonotapie"/>
        <w:ind w:firstLine="709"/>
        <w:contextualSpacing/>
        <w:jc w:val="both"/>
        <w:rPr>
          <w:rFonts w:ascii="Century Gothic" w:hAnsi="Century Gothic" w:cs="Arial"/>
          <w:color w:val="000000" w:themeColor="text1"/>
          <w:sz w:val="18"/>
          <w:szCs w:val="18"/>
          <w:lang w:val="es-ES"/>
        </w:rPr>
      </w:pPr>
      <w:r w:rsidRPr="007247A9">
        <w:rPr>
          <w:rFonts w:ascii="Century Gothic" w:hAnsi="Century Gothic" w:cs="Arial"/>
          <w:color w:val="000000" w:themeColor="text1"/>
          <w:sz w:val="18"/>
          <w:szCs w:val="18"/>
          <w:lang w:val="es-ES"/>
        </w:rPr>
        <w:t xml:space="preserve">“Ofrecimiento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w:t>
      </w:r>
      <w:proofErr w:type="gramStart"/>
      <w:r w:rsidRPr="007247A9">
        <w:rPr>
          <w:rFonts w:ascii="Century Gothic" w:hAnsi="Century Gothic" w:cs="Arial"/>
          <w:color w:val="000000" w:themeColor="text1"/>
          <w:sz w:val="18"/>
          <w:szCs w:val="18"/>
          <w:lang w:val="es-ES"/>
        </w:rPr>
        <w:t>pliegos,</w:t>
      </w:r>
      <w:proofErr w:type="gramEnd"/>
      <w:r w:rsidRPr="007247A9">
        <w:rPr>
          <w:rFonts w:ascii="Century Gothic" w:hAnsi="Century Gothic" w:cs="Arial"/>
          <w:color w:val="000000" w:themeColor="text1"/>
          <w:sz w:val="18"/>
          <w:szCs w:val="18"/>
          <w:lang w:val="es-ES"/>
        </w:rPr>
        <w:t xml:space="preserve"> no será objeto de evaluación”.</w:t>
      </w:r>
    </w:p>
    <w:p w14:paraId="5ADE86CC" w14:textId="77777777" w:rsidR="00FA6E3E" w:rsidRPr="007247A9" w:rsidRDefault="00FA6E3E" w:rsidP="00FA6E3E">
      <w:pPr>
        <w:pStyle w:val="Textonotapie"/>
        <w:ind w:firstLine="709"/>
        <w:contextualSpacing/>
        <w:jc w:val="both"/>
        <w:rPr>
          <w:rFonts w:ascii="Century Gothic" w:hAnsi="Century Gothic" w:cs="Arial"/>
          <w:color w:val="000000" w:themeColor="text1"/>
          <w:sz w:val="18"/>
          <w:szCs w:val="18"/>
          <w:lang w:val="es-ES"/>
        </w:rPr>
      </w:pPr>
      <w:r w:rsidRPr="007247A9">
        <w:rPr>
          <w:rFonts w:ascii="Century Gothic" w:hAnsi="Century Gothic" w:cs="Arial"/>
          <w:color w:val="000000" w:themeColor="text1"/>
          <w:sz w:val="18"/>
          <w:szCs w:val="18"/>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25E61B26" w14:textId="77777777" w:rsidR="00FA6E3E" w:rsidRPr="007247A9" w:rsidRDefault="00FA6E3E" w:rsidP="00FA6E3E">
      <w:pPr>
        <w:pStyle w:val="Textonotapie"/>
        <w:ind w:firstLine="709"/>
        <w:contextualSpacing/>
        <w:jc w:val="both"/>
        <w:rPr>
          <w:rFonts w:ascii="Century Gothic" w:hAnsi="Century Gothic" w:cs="Arial"/>
          <w:color w:val="000000" w:themeColor="text1"/>
          <w:sz w:val="18"/>
          <w:szCs w:val="18"/>
          <w:lang w:val="es-ES"/>
        </w:rPr>
      </w:pPr>
      <w:r w:rsidRPr="007247A9">
        <w:rPr>
          <w:rFonts w:ascii="Century Gothic" w:hAnsi="Century Gothic" w:cs="Arial"/>
          <w:color w:val="000000" w:themeColor="text1"/>
          <w:sz w:val="18"/>
          <w:szCs w:val="18"/>
          <w:lang w:val="es-ES"/>
        </w:rPr>
        <w:t>“En caso de comparación de propuestas nacionales y extranjeras, se incluirán los costos necesarios para la entrega del producto terminado en el lugar de su utilización”.</w:t>
      </w:r>
    </w:p>
  </w:footnote>
  <w:footnote w:id="20">
    <w:p w14:paraId="07AC4EE2" w14:textId="77777777" w:rsidR="00FA6E3E" w:rsidRPr="007247A9" w:rsidRDefault="00FA6E3E" w:rsidP="00FA6E3E">
      <w:pPr>
        <w:pStyle w:val="Textonotapie"/>
        <w:ind w:firstLine="709"/>
        <w:contextualSpacing/>
        <w:jc w:val="both"/>
        <w:rPr>
          <w:rFonts w:ascii="Century Gothic" w:hAnsi="Century Gothic" w:cs="Arial"/>
          <w:color w:val="000000" w:themeColor="text1"/>
          <w:sz w:val="18"/>
          <w:szCs w:val="18"/>
          <w:lang w:val="es-ES"/>
        </w:rPr>
      </w:pPr>
      <w:r w:rsidRPr="007247A9">
        <w:rPr>
          <w:rStyle w:val="Refdenotaalpie"/>
          <w:rFonts w:ascii="Century Gothic" w:hAnsi="Century Gothic" w:cs="Arial"/>
          <w:color w:val="000000" w:themeColor="text1"/>
          <w:sz w:val="18"/>
          <w:szCs w:val="18"/>
        </w:rPr>
        <w:footnoteRef/>
      </w:r>
      <w:r w:rsidRPr="007247A9">
        <w:rPr>
          <w:rFonts w:ascii="Century Gothic" w:hAnsi="Century Gothic" w:cs="Arial"/>
          <w:color w:val="000000" w:themeColor="text1"/>
          <w:sz w:val="18"/>
          <w:szCs w:val="18"/>
        </w:rPr>
        <w:t xml:space="preserve"> Consejo de Estado. Sección Tercera. Subsección A. Sentencia del 25 de octubre de 2019. </w:t>
      </w:r>
      <w:proofErr w:type="spellStart"/>
      <w:r w:rsidRPr="007247A9">
        <w:rPr>
          <w:rFonts w:ascii="Century Gothic" w:hAnsi="Century Gothic" w:cs="Arial"/>
          <w:color w:val="000000" w:themeColor="text1"/>
          <w:sz w:val="18"/>
          <w:szCs w:val="18"/>
        </w:rPr>
        <w:t>Exp</w:t>
      </w:r>
      <w:proofErr w:type="spellEnd"/>
      <w:r w:rsidRPr="007247A9">
        <w:rPr>
          <w:rFonts w:ascii="Century Gothic" w:hAnsi="Century Gothic" w:cs="Arial"/>
          <w:color w:val="000000" w:themeColor="text1"/>
          <w:sz w:val="18"/>
          <w:szCs w:val="18"/>
        </w:rPr>
        <w:t>. 39.945. Consejera Ponente: María Adriana Marín.</w:t>
      </w:r>
    </w:p>
  </w:footnote>
  <w:footnote w:id="21">
    <w:p w14:paraId="785AF1EA" w14:textId="77777777" w:rsidR="00FA6E3E" w:rsidRPr="007247A9" w:rsidRDefault="00FA6E3E" w:rsidP="00FA6E3E">
      <w:pPr>
        <w:pStyle w:val="Textonotapie"/>
        <w:ind w:firstLine="709"/>
        <w:contextualSpacing/>
        <w:jc w:val="both"/>
        <w:rPr>
          <w:rFonts w:ascii="Century Gothic" w:hAnsi="Century Gothic" w:cs="Arial"/>
          <w:color w:val="000000" w:themeColor="text1"/>
          <w:sz w:val="18"/>
          <w:szCs w:val="18"/>
          <w:lang w:val="es-ES"/>
        </w:rPr>
      </w:pPr>
      <w:r w:rsidRPr="007247A9">
        <w:rPr>
          <w:rStyle w:val="Refdenotaalpie"/>
          <w:rFonts w:ascii="Century Gothic" w:hAnsi="Century Gothic" w:cs="Arial"/>
          <w:color w:val="000000" w:themeColor="text1"/>
          <w:sz w:val="18"/>
          <w:szCs w:val="18"/>
        </w:rPr>
        <w:footnoteRef/>
      </w:r>
      <w:r w:rsidRPr="007247A9">
        <w:rPr>
          <w:rStyle w:val="Refdenotaalpie"/>
          <w:rFonts w:ascii="Century Gothic" w:hAnsi="Century Gothic" w:cs="Arial"/>
          <w:color w:val="000000" w:themeColor="text1"/>
          <w:sz w:val="18"/>
          <w:szCs w:val="18"/>
        </w:rPr>
        <w:t xml:space="preserve"> </w:t>
      </w:r>
      <w:r w:rsidRPr="007247A9">
        <w:rPr>
          <w:rFonts w:ascii="Century Gothic" w:hAnsi="Century Gothic" w:cs="Arial"/>
          <w:color w:val="000000" w:themeColor="text1"/>
          <w:sz w:val="18"/>
          <w:szCs w:val="18"/>
        </w:rPr>
        <w:t xml:space="preserve">Consejo de Estado. Sección Tercera. Subsección A. Sentencia del 5 de julio de 2018. </w:t>
      </w:r>
      <w:proofErr w:type="spellStart"/>
      <w:r w:rsidRPr="007247A9">
        <w:rPr>
          <w:rFonts w:ascii="Century Gothic" w:hAnsi="Century Gothic" w:cs="Arial"/>
          <w:color w:val="000000" w:themeColor="text1"/>
          <w:sz w:val="18"/>
          <w:szCs w:val="18"/>
        </w:rPr>
        <w:t>Exp</w:t>
      </w:r>
      <w:proofErr w:type="spellEnd"/>
      <w:r w:rsidRPr="007247A9">
        <w:rPr>
          <w:rFonts w:ascii="Century Gothic" w:hAnsi="Century Gothic" w:cs="Arial"/>
          <w:color w:val="000000" w:themeColor="text1"/>
          <w:sz w:val="18"/>
          <w:szCs w:val="18"/>
        </w:rPr>
        <w:t>. 37.834. Consejero Ponente: Carlos Alberto Zambrano Barrera.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D6F55FC"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061B2A">
      <w:rPr>
        <w:rFonts w:ascii="Century Gothic" w:eastAsia="Geo" w:hAnsi="Century Gothic" w:cs="Geo"/>
        <w:bCs/>
        <w:color w:val="000000"/>
        <w:sz w:val="16"/>
        <w:szCs w:val="16"/>
        <w:lang w:eastAsia="es-CO"/>
      </w:rPr>
      <w:t>7</w:t>
    </w:r>
  </w:p>
  <w:p w14:paraId="5E18350A" w14:textId="39FD735C"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322A85">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sidR="002E4FD9">
      <w:rPr>
        <w:rFonts w:ascii="Century Gothic" w:eastAsia="Geo" w:hAnsi="Century Gothic" w:cs="Geo"/>
        <w:sz w:val="16"/>
        <w:szCs w:val="16"/>
        <w:lang w:eastAsia="es-CO"/>
      </w:rPr>
      <w:t>31</w:t>
    </w:r>
    <w:r w:rsidR="00CB6357">
      <w:rPr>
        <w:rFonts w:ascii="Century Gothic" w:eastAsia="Geo" w:hAnsi="Century Gothic" w:cs="Geo"/>
        <w:sz w:val="16"/>
        <w:szCs w:val="16"/>
        <w:lang w:eastAsia="es-CO"/>
      </w:rPr>
      <w:t xml:space="preserve"> </w:t>
    </w:r>
    <w:r w:rsidRPr="004A305D">
      <w:rPr>
        <w:rFonts w:ascii="Century Gothic" w:eastAsia="Geo" w:hAnsi="Century Gothic" w:cs="Geo"/>
        <w:sz w:val="16"/>
        <w:szCs w:val="16"/>
        <w:lang w:eastAsia="es-CO"/>
      </w:rPr>
      <w:t xml:space="preserve">DE </w:t>
    </w:r>
    <w:r w:rsidR="00322A85">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25pt;height:11.25pt" o:bullet="t">
        <v:imagedata r:id="rId1" o:title="mso1B13"/>
      </v:shape>
    </w:pict>
  </w:numPicBullet>
  <w:abstractNum w:abstractNumId="0"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9"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CD0A55"/>
    <w:multiLevelType w:val="multilevel"/>
    <w:tmpl w:val="05701A6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48779781">
    <w:abstractNumId w:val="5"/>
  </w:num>
  <w:num w:numId="2" w16cid:durableId="19822139">
    <w:abstractNumId w:val="1"/>
  </w:num>
  <w:num w:numId="3" w16cid:durableId="876742304">
    <w:abstractNumId w:val="3"/>
  </w:num>
  <w:num w:numId="4" w16cid:durableId="245186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316692925">
    <w:abstractNumId w:val="11"/>
  </w:num>
  <w:num w:numId="7" w16cid:durableId="1946422806">
    <w:abstractNumId w:val="4"/>
  </w:num>
  <w:num w:numId="8" w16cid:durableId="152644682">
    <w:abstractNumId w:val="10"/>
  </w:num>
  <w:num w:numId="9" w16cid:durableId="1317221377">
    <w:abstractNumId w:val="6"/>
  </w:num>
  <w:num w:numId="10" w16cid:durableId="1471245386">
    <w:abstractNumId w:val="9"/>
  </w:num>
  <w:num w:numId="11" w16cid:durableId="289172385">
    <w:abstractNumId w:val="7"/>
  </w:num>
  <w:num w:numId="12" w16cid:durableId="1470781324">
    <w:abstractNumId w:val="0"/>
  </w:num>
  <w:num w:numId="13" w16cid:durableId="1512908409">
    <w:abstractNumId w:val="2"/>
  </w:num>
  <w:num w:numId="14" w16cid:durableId="895897244">
    <w:abstractNumId w:val="12"/>
  </w:num>
  <w:num w:numId="15" w16cid:durableId="390349800">
    <w:abstractNumId w:val="8"/>
  </w:num>
  <w:num w:numId="16" w16cid:durableId="20957380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17DA"/>
    <w:rsid w:val="00004E30"/>
    <w:rsid w:val="00025D44"/>
    <w:rsid w:val="000427AC"/>
    <w:rsid w:val="00061B2A"/>
    <w:rsid w:val="00074718"/>
    <w:rsid w:val="0007722D"/>
    <w:rsid w:val="00082362"/>
    <w:rsid w:val="000A683E"/>
    <w:rsid w:val="000B19B9"/>
    <w:rsid w:val="000B55C8"/>
    <w:rsid w:val="000B6284"/>
    <w:rsid w:val="000D0334"/>
    <w:rsid w:val="000E68ED"/>
    <w:rsid w:val="000F6486"/>
    <w:rsid w:val="00125105"/>
    <w:rsid w:val="001261EC"/>
    <w:rsid w:val="00127233"/>
    <w:rsid w:val="00150B88"/>
    <w:rsid w:val="001954D7"/>
    <w:rsid w:val="00197374"/>
    <w:rsid w:val="001B137F"/>
    <w:rsid w:val="001E2E67"/>
    <w:rsid w:val="001E4177"/>
    <w:rsid w:val="001E6E6D"/>
    <w:rsid w:val="001F7DC6"/>
    <w:rsid w:val="00202CF7"/>
    <w:rsid w:val="00207F74"/>
    <w:rsid w:val="002150AC"/>
    <w:rsid w:val="00231A72"/>
    <w:rsid w:val="002421BB"/>
    <w:rsid w:val="0024524E"/>
    <w:rsid w:val="00254D55"/>
    <w:rsid w:val="002639DF"/>
    <w:rsid w:val="002707A2"/>
    <w:rsid w:val="002852FA"/>
    <w:rsid w:val="002951A0"/>
    <w:rsid w:val="002962BC"/>
    <w:rsid w:val="002A093D"/>
    <w:rsid w:val="002A0DD0"/>
    <w:rsid w:val="002A1323"/>
    <w:rsid w:val="002A49AC"/>
    <w:rsid w:val="002A64FD"/>
    <w:rsid w:val="002C7A84"/>
    <w:rsid w:val="002D548B"/>
    <w:rsid w:val="002E4FD9"/>
    <w:rsid w:val="002F0D3F"/>
    <w:rsid w:val="002F77BB"/>
    <w:rsid w:val="00301855"/>
    <w:rsid w:val="003021B2"/>
    <w:rsid w:val="003060BA"/>
    <w:rsid w:val="003168FB"/>
    <w:rsid w:val="00322A85"/>
    <w:rsid w:val="00333657"/>
    <w:rsid w:val="00337410"/>
    <w:rsid w:val="00343D4B"/>
    <w:rsid w:val="003448F4"/>
    <w:rsid w:val="0036265E"/>
    <w:rsid w:val="00374F5E"/>
    <w:rsid w:val="00377E3E"/>
    <w:rsid w:val="003A0239"/>
    <w:rsid w:val="003A779E"/>
    <w:rsid w:val="003C343C"/>
    <w:rsid w:val="003C6613"/>
    <w:rsid w:val="003D0F4D"/>
    <w:rsid w:val="003D5B0D"/>
    <w:rsid w:val="003D7AD6"/>
    <w:rsid w:val="003E0499"/>
    <w:rsid w:val="003E0691"/>
    <w:rsid w:val="003F3941"/>
    <w:rsid w:val="00406575"/>
    <w:rsid w:val="0042722E"/>
    <w:rsid w:val="0043155C"/>
    <w:rsid w:val="004412A1"/>
    <w:rsid w:val="00461B1C"/>
    <w:rsid w:val="00463667"/>
    <w:rsid w:val="00464A5C"/>
    <w:rsid w:val="00466AB4"/>
    <w:rsid w:val="00473F05"/>
    <w:rsid w:val="00492CF5"/>
    <w:rsid w:val="004A1847"/>
    <w:rsid w:val="004A305D"/>
    <w:rsid w:val="004B2864"/>
    <w:rsid w:val="004C38ED"/>
    <w:rsid w:val="004D5026"/>
    <w:rsid w:val="004F21C4"/>
    <w:rsid w:val="004F2907"/>
    <w:rsid w:val="004F685F"/>
    <w:rsid w:val="00502C09"/>
    <w:rsid w:val="005463A0"/>
    <w:rsid w:val="00553E4A"/>
    <w:rsid w:val="005566E8"/>
    <w:rsid w:val="00574867"/>
    <w:rsid w:val="00580FDC"/>
    <w:rsid w:val="00591460"/>
    <w:rsid w:val="0059686D"/>
    <w:rsid w:val="005974EE"/>
    <w:rsid w:val="005A2340"/>
    <w:rsid w:val="005B45C9"/>
    <w:rsid w:val="005C3777"/>
    <w:rsid w:val="005C5CDC"/>
    <w:rsid w:val="005D476C"/>
    <w:rsid w:val="005F077D"/>
    <w:rsid w:val="006203DD"/>
    <w:rsid w:val="006219F8"/>
    <w:rsid w:val="0062335F"/>
    <w:rsid w:val="0065736D"/>
    <w:rsid w:val="00665D70"/>
    <w:rsid w:val="00673410"/>
    <w:rsid w:val="006900D9"/>
    <w:rsid w:val="00691FF1"/>
    <w:rsid w:val="006A4E2A"/>
    <w:rsid w:val="006C242A"/>
    <w:rsid w:val="006D45F9"/>
    <w:rsid w:val="006D6C13"/>
    <w:rsid w:val="006E29BF"/>
    <w:rsid w:val="006F1A2D"/>
    <w:rsid w:val="00706C16"/>
    <w:rsid w:val="00732E5F"/>
    <w:rsid w:val="007452FB"/>
    <w:rsid w:val="00753288"/>
    <w:rsid w:val="00756841"/>
    <w:rsid w:val="007649AB"/>
    <w:rsid w:val="00771D0C"/>
    <w:rsid w:val="0077511B"/>
    <w:rsid w:val="007833AC"/>
    <w:rsid w:val="007B268C"/>
    <w:rsid w:val="007B7171"/>
    <w:rsid w:val="007C20FC"/>
    <w:rsid w:val="007C3DC2"/>
    <w:rsid w:val="007E5497"/>
    <w:rsid w:val="00806F5F"/>
    <w:rsid w:val="00820278"/>
    <w:rsid w:val="00825CFB"/>
    <w:rsid w:val="0085157E"/>
    <w:rsid w:val="008722AC"/>
    <w:rsid w:val="008843B6"/>
    <w:rsid w:val="00891928"/>
    <w:rsid w:val="00892C0E"/>
    <w:rsid w:val="008A33DE"/>
    <w:rsid w:val="008A446D"/>
    <w:rsid w:val="008B415F"/>
    <w:rsid w:val="008C11D0"/>
    <w:rsid w:val="008D114F"/>
    <w:rsid w:val="008D180B"/>
    <w:rsid w:val="008D2CD1"/>
    <w:rsid w:val="008E28B8"/>
    <w:rsid w:val="008F0EA7"/>
    <w:rsid w:val="00912431"/>
    <w:rsid w:val="00914901"/>
    <w:rsid w:val="00915029"/>
    <w:rsid w:val="00923EEF"/>
    <w:rsid w:val="00926822"/>
    <w:rsid w:val="009365DF"/>
    <w:rsid w:val="009419F9"/>
    <w:rsid w:val="0094492E"/>
    <w:rsid w:val="00961B09"/>
    <w:rsid w:val="00965334"/>
    <w:rsid w:val="00970097"/>
    <w:rsid w:val="0097093E"/>
    <w:rsid w:val="009C71FA"/>
    <w:rsid w:val="009C72E7"/>
    <w:rsid w:val="009D5E77"/>
    <w:rsid w:val="009F32B3"/>
    <w:rsid w:val="009F3A13"/>
    <w:rsid w:val="009F41EB"/>
    <w:rsid w:val="009F6B13"/>
    <w:rsid w:val="00A122D3"/>
    <w:rsid w:val="00A17F13"/>
    <w:rsid w:val="00A20739"/>
    <w:rsid w:val="00A27BA1"/>
    <w:rsid w:val="00A33C78"/>
    <w:rsid w:val="00A4002B"/>
    <w:rsid w:val="00A73052"/>
    <w:rsid w:val="00A8093E"/>
    <w:rsid w:val="00AA490C"/>
    <w:rsid w:val="00AA7342"/>
    <w:rsid w:val="00AB02C6"/>
    <w:rsid w:val="00AB0ADB"/>
    <w:rsid w:val="00B36AB6"/>
    <w:rsid w:val="00B56883"/>
    <w:rsid w:val="00B72CD3"/>
    <w:rsid w:val="00B72FFF"/>
    <w:rsid w:val="00B81924"/>
    <w:rsid w:val="00B82AED"/>
    <w:rsid w:val="00B83704"/>
    <w:rsid w:val="00B87BBE"/>
    <w:rsid w:val="00B97988"/>
    <w:rsid w:val="00BB40CA"/>
    <w:rsid w:val="00BC3D36"/>
    <w:rsid w:val="00BD7F72"/>
    <w:rsid w:val="00BE23CD"/>
    <w:rsid w:val="00BF09B1"/>
    <w:rsid w:val="00C042D6"/>
    <w:rsid w:val="00C04FB3"/>
    <w:rsid w:val="00C330EB"/>
    <w:rsid w:val="00C340D9"/>
    <w:rsid w:val="00C754BE"/>
    <w:rsid w:val="00C76B1C"/>
    <w:rsid w:val="00C83511"/>
    <w:rsid w:val="00C90F4C"/>
    <w:rsid w:val="00CB0A12"/>
    <w:rsid w:val="00CB6357"/>
    <w:rsid w:val="00CB65ED"/>
    <w:rsid w:val="00CB67CA"/>
    <w:rsid w:val="00CC1B26"/>
    <w:rsid w:val="00CE4581"/>
    <w:rsid w:val="00CF67FE"/>
    <w:rsid w:val="00D26924"/>
    <w:rsid w:val="00D3197A"/>
    <w:rsid w:val="00D34CA1"/>
    <w:rsid w:val="00D423A2"/>
    <w:rsid w:val="00D63AC2"/>
    <w:rsid w:val="00D64681"/>
    <w:rsid w:val="00D735F8"/>
    <w:rsid w:val="00D7383B"/>
    <w:rsid w:val="00D9073C"/>
    <w:rsid w:val="00D96551"/>
    <w:rsid w:val="00D96E25"/>
    <w:rsid w:val="00DA231B"/>
    <w:rsid w:val="00DB4E14"/>
    <w:rsid w:val="00DB6216"/>
    <w:rsid w:val="00DC3B0E"/>
    <w:rsid w:val="00DC7FF2"/>
    <w:rsid w:val="00DF5254"/>
    <w:rsid w:val="00E0744B"/>
    <w:rsid w:val="00E16408"/>
    <w:rsid w:val="00E20894"/>
    <w:rsid w:val="00E245AB"/>
    <w:rsid w:val="00E2764C"/>
    <w:rsid w:val="00E27F2E"/>
    <w:rsid w:val="00E42867"/>
    <w:rsid w:val="00E50AFE"/>
    <w:rsid w:val="00E6147B"/>
    <w:rsid w:val="00E771DC"/>
    <w:rsid w:val="00E77544"/>
    <w:rsid w:val="00E87690"/>
    <w:rsid w:val="00E8772A"/>
    <w:rsid w:val="00E90F6B"/>
    <w:rsid w:val="00E92C27"/>
    <w:rsid w:val="00E97D30"/>
    <w:rsid w:val="00EA0E3D"/>
    <w:rsid w:val="00EB345A"/>
    <w:rsid w:val="00EC2313"/>
    <w:rsid w:val="00EC41B9"/>
    <w:rsid w:val="00EC529F"/>
    <w:rsid w:val="00ED1BF9"/>
    <w:rsid w:val="00ED3DC8"/>
    <w:rsid w:val="00ED55D4"/>
    <w:rsid w:val="00EE1AA8"/>
    <w:rsid w:val="00EF2A05"/>
    <w:rsid w:val="00F1507B"/>
    <w:rsid w:val="00F20005"/>
    <w:rsid w:val="00F276A2"/>
    <w:rsid w:val="00F3154A"/>
    <w:rsid w:val="00F31EDC"/>
    <w:rsid w:val="00F462B3"/>
    <w:rsid w:val="00F52B7A"/>
    <w:rsid w:val="00F549DB"/>
    <w:rsid w:val="00F5664F"/>
    <w:rsid w:val="00F666C4"/>
    <w:rsid w:val="00F76560"/>
    <w:rsid w:val="00F76AFC"/>
    <w:rsid w:val="00F7744C"/>
    <w:rsid w:val="00F846D4"/>
    <w:rsid w:val="00F852EA"/>
    <w:rsid w:val="00FA65F1"/>
    <w:rsid w:val="00FA6E3E"/>
    <w:rsid w:val="00FB0DED"/>
    <w:rsid w:val="00FB5DD1"/>
    <w:rsid w:val="00FC2B5D"/>
    <w:rsid w:val="00FF1449"/>
    <w:rsid w:val="00FF3840"/>
    <w:rsid w:val="00FF4C79"/>
    <w:rsid w:val="086AD07B"/>
    <w:rsid w:val="48A203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FA6E3E"/>
    <w:rPr>
      <w:rFonts w:ascii="Geomanist Light" w:hAnsi="Geomanist Light"/>
      <w:lang w:val="es-ES"/>
    </w:rPr>
  </w:style>
  <w:style w:type="paragraph" w:styleId="Textoindependiente">
    <w:name w:val="Body Text"/>
    <w:basedOn w:val="Normal"/>
    <w:link w:val="TextoindependienteCar"/>
    <w:uiPriority w:val="1"/>
    <w:qFormat/>
    <w:rsid w:val="00FA6E3E"/>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FA6E3E"/>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FA6E3E"/>
    <w:pPr>
      <w:spacing w:line="240" w:lineRule="exact"/>
    </w:pPr>
    <w:rPr>
      <w:vertAlign w:val="superscript"/>
    </w:rPr>
  </w:style>
  <w:style w:type="paragraph" w:styleId="Sinespaciado">
    <w:name w:val="No Spacing"/>
    <w:aliases w:val="No Indent"/>
    <w:uiPriority w:val="3"/>
    <w:qFormat/>
    <w:rsid w:val="00FA6E3E"/>
    <w:pPr>
      <w:spacing w:after="0" w:line="240" w:lineRule="auto"/>
    </w:pPr>
    <w:rPr>
      <w:sz w:val="24"/>
      <w:lang w:val="es-MX"/>
    </w:rPr>
  </w:style>
  <w:style w:type="character" w:customStyle="1" w:styleId="NormalWebCar">
    <w:name w:val="Normal (Web) Car"/>
    <w:link w:val="NormalWeb"/>
    <w:uiPriority w:val="99"/>
    <w:rsid w:val="00FA6E3E"/>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1931879">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funcionpublica.gov.co/eva/gestornormativo/norma.php?i=25678" TargetMode="External"/><Relationship Id="rId2" Type="http://schemas.openxmlformats.org/officeDocument/2006/relationships/hyperlink" Target="https://colombiacompra.gov.co/sites/cce_public/files/cce_circulares/cce-eicp-ma-06_circular_externa_con_comentarios_de_ciudadanos-_v2f_002.pdf" TargetMode="External"/><Relationship Id="rId1" Type="http://schemas.openxmlformats.org/officeDocument/2006/relationships/hyperlink" Target="https://relatoria.colombiacompra.gov.co/busqueda/conceptos" TargetMode="External"/><Relationship Id="rId6" Type="http://schemas.openxmlformats.org/officeDocument/2006/relationships/hyperlink" Target="https://relatoria.colombiacompra.gov.co/busqueda/conceptos" TargetMode="External"/><Relationship Id="rId5" Type="http://schemas.openxmlformats.org/officeDocument/2006/relationships/hyperlink" Target="https://colaboracion.dnp.gov.co/CDT/Normatividad/Memoria%20justificativa%20-%20Compras%20publicas.pdfm" TargetMode="External"/><Relationship Id="rId4" Type="http://schemas.openxmlformats.org/officeDocument/2006/relationships/hyperlink" Target="https://www.colombiacompra.gov.co/content/circular-unica-extern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9" ma:contentTypeDescription="Crear nuevo documento." ma:contentTypeScope="" ma:versionID="d5ae9f8d474a6ffa893796061015c19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b1a281eef382c5c83056bb39ef08c8e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cabc2350-70b2-4dba-bb42-96a3175f4d5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AAA5E47C-977C-49C2-8EBB-AE4031CD90F2}"/>
</file>

<file path=docProps/app.xml><?xml version="1.0" encoding="utf-8"?>
<Properties xmlns="http://schemas.openxmlformats.org/officeDocument/2006/extended-properties" xmlns:vt="http://schemas.openxmlformats.org/officeDocument/2006/docPropsVTypes">
  <Template>Normal</Template>
  <TotalTime>24</TotalTime>
  <Pages>22</Pages>
  <Words>7341</Words>
  <Characters>40377</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3</cp:revision>
  <cp:lastPrinted>2023-01-10T21:18:00Z</cp:lastPrinted>
  <dcterms:created xsi:type="dcterms:W3CDTF">2023-09-12T23:54:00Z</dcterms:created>
  <dcterms:modified xsi:type="dcterms:W3CDTF">2023-11-27T19:54:00Z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