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B589" w14:textId="77777777" w:rsidR="00707824" w:rsidRPr="00251BFC" w:rsidRDefault="00707824" w:rsidP="00707824">
      <w:pPr>
        <w:tabs>
          <w:tab w:val="left" w:pos="426"/>
        </w:tabs>
        <w:contextualSpacing/>
        <w:jc w:val="both"/>
        <w:rPr>
          <w:rFonts w:ascii="Century Gothic" w:eastAsia="Calibri" w:hAnsi="Century Gothic" w:cs="Arial"/>
          <w:b/>
        </w:rPr>
      </w:pPr>
      <w:r w:rsidRPr="00251BFC">
        <w:rPr>
          <w:rFonts w:ascii="Century Gothic" w:eastAsia="Calibri" w:hAnsi="Century Gothic" w:cs="Arial"/>
          <w:b/>
        </w:rPr>
        <w:t>INSTITUCIONES EDUCATIVAS OFICIAL</w:t>
      </w:r>
      <w:bookmarkStart w:id="0" w:name="_Hlk39676694"/>
      <w:r w:rsidRPr="00251BFC">
        <w:rPr>
          <w:rFonts w:ascii="Century Gothic" w:eastAsia="Calibri" w:hAnsi="Century Gothic" w:cs="Arial"/>
          <w:b/>
        </w:rPr>
        <w:t>ES –</w:t>
      </w:r>
      <w:bookmarkEnd w:id="0"/>
      <w:r w:rsidRPr="00251BFC">
        <w:rPr>
          <w:rFonts w:ascii="Century Gothic" w:eastAsia="Calibri" w:hAnsi="Century Gothic" w:cs="Arial"/>
          <w:b/>
        </w:rPr>
        <w:t xml:space="preserve"> Naturaleza jurídica – Capacidad para contratar</w:t>
      </w:r>
    </w:p>
    <w:p w14:paraId="09990B4F" w14:textId="77777777" w:rsidR="00707824" w:rsidRPr="00251BFC" w:rsidRDefault="00707824" w:rsidP="00707824">
      <w:pPr>
        <w:tabs>
          <w:tab w:val="left" w:pos="426"/>
        </w:tabs>
        <w:contextualSpacing/>
        <w:jc w:val="both"/>
        <w:rPr>
          <w:rFonts w:ascii="Century Gothic" w:eastAsia="Calibri" w:hAnsi="Century Gothic" w:cs="Arial"/>
          <w:b/>
          <w:sz w:val="20"/>
          <w:szCs w:val="20"/>
        </w:rPr>
      </w:pPr>
    </w:p>
    <w:p w14:paraId="4F539490" w14:textId="77777777" w:rsidR="00707824" w:rsidRPr="00251BFC" w:rsidRDefault="00707824" w:rsidP="00707824">
      <w:pPr>
        <w:contextualSpacing/>
        <w:jc w:val="both"/>
        <w:rPr>
          <w:rFonts w:ascii="Century Gothic" w:hAnsi="Century Gothic" w:cs="Arial"/>
          <w:sz w:val="20"/>
          <w:szCs w:val="20"/>
        </w:rPr>
      </w:pPr>
      <w:r w:rsidRPr="00251BFC">
        <w:rPr>
          <w:rFonts w:ascii="Century Gothic" w:hAnsi="Century Gothic" w:cs="Arial"/>
          <w:sz w:val="20"/>
          <w:szCs w:val="20"/>
        </w:rPr>
        <w:t xml:space="preserve">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 otorgado a las entidades territoriales para administrar las instituciones educativas, que pueden ser de los diferentes niveles, pero estas no son entidades descentralizadas. </w:t>
      </w:r>
    </w:p>
    <w:p w14:paraId="5477415C" w14:textId="77777777" w:rsidR="00707824" w:rsidRPr="00251BFC" w:rsidRDefault="00707824" w:rsidP="00707824">
      <w:pPr>
        <w:contextualSpacing/>
        <w:jc w:val="both"/>
        <w:rPr>
          <w:rFonts w:ascii="Century Gothic" w:hAnsi="Century Gothic" w:cs="Arial"/>
          <w:sz w:val="20"/>
          <w:szCs w:val="20"/>
        </w:rPr>
      </w:pPr>
    </w:p>
    <w:p w14:paraId="7E135995" w14:textId="77777777" w:rsidR="00707824" w:rsidRPr="00251BFC" w:rsidRDefault="00707824" w:rsidP="00707824">
      <w:pPr>
        <w:contextualSpacing/>
        <w:jc w:val="both"/>
        <w:rPr>
          <w:rFonts w:ascii="Century Gothic" w:hAnsi="Century Gothic" w:cs="Arial"/>
          <w:sz w:val="20"/>
          <w:szCs w:val="20"/>
        </w:rPr>
      </w:pPr>
      <w:r w:rsidRPr="00251BFC">
        <w:rPr>
          <w:rFonts w:ascii="Century Gothic" w:hAnsi="Century Gothic" w:cs="Arial"/>
          <w:sz w:val="20"/>
          <w:szCs w:val="20"/>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les permiten a las instituciones realizar la gestión y ejecución presupuestal de los recursos que reciben los establecimientos educativos. </w:t>
      </w:r>
    </w:p>
    <w:p w14:paraId="4760B04D" w14:textId="77777777" w:rsidR="00707824" w:rsidRPr="00251BFC" w:rsidRDefault="00707824" w:rsidP="00707824">
      <w:pPr>
        <w:contextualSpacing/>
        <w:jc w:val="both"/>
        <w:rPr>
          <w:rFonts w:ascii="Century Gothic" w:hAnsi="Century Gothic" w:cs="Arial"/>
          <w:sz w:val="20"/>
          <w:szCs w:val="20"/>
        </w:rPr>
      </w:pPr>
    </w:p>
    <w:p w14:paraId="63584786" w14:textId="77777777" w:rsidR="00707824" w:rsidRPr="00251BFC" w:rsidRDefault="00707824" w:rsidP="00707824">
      <w:pPr>
        <w:contextualSpacing/>
        <w:jc w:val="both"/>
        <w:rPr>
          <w:rFonts w:ascii="Century Gothic" w:hAnsi="Century Gothic" w:cs="Arial"/>
          <w:b/>
          <w:bCs/>
        </w:rPr>
      </w:pPr>
      <w:r w:rsidRPr="00251BFC">
        <w:rPr>
          <w:rFonts w:ascii="Century Gothic" w:hAnsi="Century Gothic" w:cs="Arial"/>
          <w:b/>
          <w:bCs/>
        </w:rPr>
        <w:t xml:space="preserve">INSTITUCIONES EDUCATIVAS OFICIALES – Contratación – Umbral – Veinte salarios mínimos legales mensuales vigentes </w:t>
      </w:r>
    </w:p>
    <w:p w14:paraId="4CBCB971" w14:textId="77777777" w:rsidR="00707824" w:rsidRPr="00251BFC" w:rsidRDefault="00707824" w:rsidP="00707824">
      <w:pPr>
        <w:contextualSpacing/>
        <w:jc w:val="both"/>
        <w:rPr>
          <w:rFonts w:ascii="Century Gothic" w:hAnsi="Century Gothic" w:cs="Arial"/>
          <w:b/>
          <w:bCs/>
          <w:sz w:val="20"/>
          <w:szCs w:val="20"/>
        </w:rPr>
      </w:pPr>
    </w:p>
    <w:p w14:paraId="7F23151D" w14:textId="77777777" w:rsidR="00707824" w:rsidRPr="00251BFC" w:rsidRDefault="00707824" w:rsidP="00707824">
      <w:pPr>
        <w:contextualSpacing/>
        <w:jc w:val="both"/>
        <w:rPr>
          <w:rFonts w:ascii="Century Gothic" w:hAnsi="Century Gothic" w:cs="Arial"/>
          <w:sz w:val="20"/>
          <w:szCs w:val="20"/>
        </w:rPr>
      </w:pPr>
      <w:r w:rsidRPr="00251BFC">
        <w:rPr>
          <w:rFonts w:ascii="Century Gothic" w:hAnsi="Century Gothic" w:cs="Arial"/>
          <w:sz w:val="20"/>
          <w:szCs w:val="20"/>
        </w:rPr>
        <w:t xml:space="preserve">Respecto de la capacidad para contratar con la que cuentan las instituciones educativas por medio de los fondos de servicios educativos, hay que precisar que cuando se trata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7FEDFD68" w14:textId="77777777" w:rsidR="00707824" w:rsidRPr="00251BFC" w:rsidRDefault="00707824" w:rsidP="00707824">
      <w:pPr>
        <w:contextualSpacing/>
        <w:jc w:val="both"/>
        <w:rPr>
          <w:rFonts w:ascii="Century Gothic" w:hAnsi="Century Gothic" w:cs="Arial"/>
          <w:sz w:val="20"/>
          <w:szCs w:val="20"/>
        </w:rPr>
      </w:pPr>
    </w:p>
    <w:p w14:paraId="681F72FE" w14:textId="77777777" w:rsidR="00707824" w:rsidRPr="00251BFC" w:rsidRDefault="00707824" w:rsidP="00707824">
      <w:pPr>
        <w:contextualSpacing/>
        <w:jc w:val="both"/>
        <w:rPr>
          <w:rFonts w:ascii="Century Gothic" w:hAnsi="Century Gothic" w:cs="Arial"/>
          <w:sz w:val="20"/>
          <w:szCs w:val="20"/>
        </w:rPr>
      </w:pPr>
      <w:r w:rsidRPr="00251BFC">
        <w:rPr>
          <w:rFonts w:ascii="Century Gothic" w:hAnsi="Century Gothic" w:cs="Arial"/>
          <w:sz w:val="20"/>
          <w:szCs w:val="20"/>
        </w:rPr>
        <w:t>[…]</w:t>
      </w:r>
    </w:p>
    <w:p w14:paraId="198B6FFD" w14:textId="77777777" w:rsidR="00707824" w:rsidRPr="00251BFC" w:rsidRDefault="00707824" w:rsidP="00707824">
      <w:pPr>
        <w:contextualSpacing/>
        <w:jc w:val="both"/>
        <w:rPr>
          <w:rFonts w:ascii="Century Gothic" w:eastAsia="Times New Roman" w:hAnsi="Century Gothic" w:cs="Arial"/>
          <w:sz w:val="20"/>
          <w:szCs w:val="20"/>
          <w:lang w:eastAsia="es-MX"/>
        </w:rPr>
      </w:pPr>
    </w:p>
    <w:p w14:paraId="1553FE1A" w14:textId="77777777" w:rsidR="00707824" w:rsidRPr="00251BFC" w:rsidRDefault="00707824" w:rsidP="00707824">
      <w:pPr>
        <w:contextualSpacing/>
        <w:jc w:val="both"/>
        <w:rPr>
          <w:rFonts w:ascii="Century Gothic" w:eastAsia="Times New Roman" w:hAnsi="Century Gothic" w:cs="Arial"/>
          <w:sz w:val="20"/>
          <w:szCs w:val="20"/>
          <w:lang w:eastAsia="es-MX"/>
        </w:rPr>
      </w:pPr>
      <w:r w:rsidRPr="00251BFC">
        <w:rPr>
          <w:rFonts w:ascii="Century Gothic" w:eastAsia="Times New Roman" w:hAnsi="Century Gothic" w:cs="Arial"/>
          <w:sz w:val="20"/>
          <w:szCs w:val="20"/>
          <w:lang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5247DFF8" w14:textId="77777777" w:rsidR="00707824" w:rsidRPr="00251BFC" w:rsidRDefault="00707824" w:rsidP="00707824">
      <w:pPr>
        <w:contextualSpacing/>
        <w:jc w:val="both"/>
        <w:rPr>
          <w:rFonts w:ascii="Century Gothic" w:eastAsia="Times New Roman" w:hAnsi="Century Gothic" w:cs="Arial"/>
          <w:sz w:val="20"/>
          <w:szCs w:val="20"/>
          <w:lang w:eastAsia="es-MX"/>
        </w:rPr>
      </w:pPr>
    </w:p>
    <w:p w14:paraId="2A681399" w14:textId="77777777" w:rsidR="00707824" w:rsidRPr="00DB1437" w:rsidRDefault="00707824" w:rsidP="00707824">
      <w:pPr>
        <w:contextualSpacing/>
        <w:jc w:val="both"/>
        <w:rPr>
          <w:rFonts w:ascii="Century Gothic" w:eastAsia="Times New Roman" w:hAnsi="Century Gothic" w:cs="Arial"/>
          <w:sz w:val="20"/>
          <w:szCs w:val="20"/>
          <w:lang w:eastAsia="es-MX"/>
        </w:rPr>
      </w:pPr>
      <w:r w:rsidRPr="00251BFC">
        <w:rPr>
          <w:rFonts w:ascii="Century Gothic" w:eastAsia="Times New Roman" w:hAnsi="Century Gothic" w:cs="Arial"/>
          <w:sz w:val="20"/>
          <w:szCs w:val="20"/>
          <w:lang w:eastAsia="es-MX"/>
        </w:rPr>
        <w:t xml:space="preserve">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 procediendo la aplicación de las modalidades de selección definidas en la Ley 1150 de 2007, así como los </w:t>
      </w:r>
      <w:r w:rsidRPr="00251BFC">
        <w:rPr>
          <w:rFonts w:ascii="Century Gothic" w:eastAsia="Times New Roman" w:hAnsi="Century Gothic" w:cs="Arial"/>
          <w:sz w:val="20"/>
          <w:szCs w:val="20"/>
          <w:lang w:eastAsia="es-MX"/>
        </w:rPr>
        <w:lastRenderedPageBreak/>
        <w:t xml:space="preserve">requisitos y formalidades establecidos en el Decreto 1082 del 2015 y demás normas </w:t>
      </w:r>
      <w:r w:rsidRPr="00DB1437">
        <w:rPr>
          <w:rFonts w:ascii="Century Gothic" w:eastAsia="Times New Roman" w:hAnsi="Century Gothic" w:cs="Arial"/>
          <w:sz w:val="20"/>
          <w:szCs w:val="20"/>
          <w:lang w:eastAsia="es-MX"/>
        </w:rPr>
        <w:t>aplicables.</w:t>
      </w:r>
    </w:p>
    <w:p w14:paraId="1753B9B9" w14:textId="77777777" w:rsidR="00DB1437" w:rsidRPr="00DB1437" w:rsidRDefault="00DB1437" w:rsidP="00DB1437">
      <w:pPr>
        <w:spacing w:after="0" w:line="240" w:lineRule="auto"/>
        <w:jc w:val="both"/>
        <w:rPr>
          <w:rFonts w:ascii="Century Gothic" w:eastAsia="Calibri" w:hAnsi="Century Gothic" w:cs="Arial"/>
          <w:b/>
          <w:bCs/>
          <w:lang w:val="es-ES"/>
        </w:rPr>
      </w:pPr>
      <w:r w:rsidRPr="00DB1437">
        <w:rPr>
          <w:rFonts w:ascii="Century Gothic" w:eastAsia="Calibri" w:hAnsi="Century Gothic" w:cs="Arial"/>
          <w:b/>
          <w:bCs/>
          <w:lang w:val="es-ES"/>
        </w:rPr>
        <w:t>PAGO ANTICIPADO Y/O ANTICIPO – Régimen legal – Facultad – Pacto</w:t>
      </w:r>
    </w:p>
    <w:p w14:paraId="0208B2C5" w14:textId="77777777" w:rsidR="00DB1437" w:rsidRPr="00DB1437" w:rsidRDefault="00DB1437" w:rsidP="00DB1437">
      <w:pPr>
        <w:spacing w:after="0" w:line="240" w:lineRule="auto"/>
        <w:rPr>
          <w:rFonts w:ascii="Century Gothic" w:hAnsi="Century Gothic" w:cs="Arial"/>
          <w:sz w:val="20"/>
          <w:szCs w:val="20"/>
          <w:lang w:val="es-ES"/>
        </w:rPr>
      </w:pPr>
    </w:p>
    <w:p w14:paraId="22BEEAC3" w14:textId="77777777" w:rsidR="00DB1437" w:rsidRPr="00DB1437" w:rsidRDefault="00DB1437" w:rsidP="00DB1437">
      <w:pPr>
        <w:spacing w:after="0" w:line="240" w:lineRule="auto"/>
        <w:jc w:val="both"/>
        <w:rPr>
          <w:rFonts w:ascii="Century Gothic" w:eastAsia="Calibri" w:hAnsi="Century Gothic" w:cs="Arial"/>
          <w:sz w:val="20"/>
          <w:szCs w:val="20"/>
          <w:lang w:val="es-ES"/>
        </w:rPr>
      </w:pPr>
      <w:r w:rsidRPr="00DB1437">
        <w:rPr>
          <w:rFonts w:ascii="Century Gothic" w:eastAsia="Calibri" w:hAnsi="Century Gothic" w:cs="Arial"/>
          <w:sz w:val="20"/>
          <w:szCs w:val="20"/>
          <w:lang w:val="es-ES"/>
        </w:rPr>
        <w:t>Conforme las disposiciones que regulan el régimen de contratación pública, las entidades estatales se encuentran facultadas para pactar el pago anticipado o la entrega de anticipos como mecanismos de financiación para la adecuada ejecución de los contratos estatales. En efecto, el parágrafo del artículo 40 de la Ley 80 de 1993, establece que: “En los contratos que celebren las entidades estatales se podrá pactar el pago anticipado y la entrega de anticipos, pero su monto no podrá exceder del cincuenta por ciento (50%) del valor del respectivo contrato”.</w:t>
      </w:r>
    </w:p>
    <w:p w14:paraId="1141015A" w14:textId="77777777" w:rsidR="00DB1437" w:rsidRPr="00DB1437" w:rsidRDefault="00DB1437" w:rsidP="00DB1437">
      <w:pPr>
        <w:spacing w:after="0" w:line="240" w:lineRule="auto"/>
        <w:jc w:val="both"/>
        <w:rPr>
          <w:rFonts w:ascii="Century Gothic" w:eastAsia="Calibri" w:hAnsi="Century Gothic" w:cs="Arial"/>
          <w:sz w:val="20"/>
          <w:szCs w:val="20"/>
          <w:lang w:val="es-ES"/>
        </w:rPr>
      </w:pPr>
    </w:p>
    <w:p w14:paraId="05DDA141" w14:textId="77777777" w:rsidR="00DB1437" w:rsidRPr="00DB1437" w:rsidRDefault="00DB1437" w:rsidP="00DB1437">
      <w:pPr>
        <w:spacing w:after="0" w:line="240" w:lineRule="auto"/>
        <w:jc w:val="both"/>
        <w:rPr>
          <w:rFonts w:ascii="Century Gothic" w:eastAsia="Calibri" w:hAnsi="Century Gothic" w:cs="Arial"/>
          <w:b/>
          <w:bCs/>
          <w:lang w:val="es-ES"/>
        </w:rPr>
      </w:pPr>
      <w:r w:rsidRPr="00DB1437">
        <w:rPr>
          <w:rFonts w:ascii="Century Gothic" w:eastAsia="Calibri" w:hAnsi="Century Gothic" w:cs="Arial"/>
          <w:b/>
          <w:bCs/>
          <w:lang w:val="es-ES"/>
        </w:rPr>
        <w:t>PAGO ANTICIPADO Y/O ANTICIPO – Límites – Aplicación – Tipo contractual</w:t>
      </w:r>
    </w:p>
    <w:p w14:paraId="22800000" w14:textId="77777777" w:rsidR="00DB1437" w:rsidRPr="00DB1437" w:rsidRDefault="00DB1437" w:rsidP="00DB1437">
      <w:pPr>
        <w:spacing w:after="0" w:line="240" w:lineRule="auto"/>
        <w:jc w:val="both"/>
        <w:rPr>
          <w:rFonts w:ascii="Century Gothic" w:eastAsia="Calibri" w:hAnsi="Century Gothic" w:cs="Arial"/>
          <w:sz w:val="20"/>
          <w:szCs w:val="20"/>
          <w:lang w:val="es-ES"/>
        </w:rPr>
      </w:pPr>
    </w:p>
    <w:p w14:paraId="238CBB1F" w14:textId="77777777" w:rsidR="00DB1437" w:rsidRPr="00DB1437" w:rsidRDefault="00DB1437" w:rsidP="00DB1437">
      <w:pPr>
        <w:spacing w:after="0" w:line="240" w:lineRule="auto"/>
        <w:jc w:val="both"/>
        <w:rPr>
          <w:rFonts w:ascii="Century Gothic" w:eastAsia="Calibri" w:hAnsi="Century Gothic" w:cs="Arial"/>
          <w:sz w:val="20"/>
          <w:szCs w:val="20"/>
          <w:lang w:val="es-ES"/>
        </w:rPr>
      </w:pPr>
      <w:r w:rsidRPr="00DB1437">
        <w:rPr>
          <w:rFonts w:ascii="Century Gothic" w:eastAsia="Calibri" w:hAnsi="Century Gothic" w:cs="Arial"/>
          <w:sz w:val="20"/>
          <w:szCs w:val="20"/>
          <w:lang w:val="es-ES"/>
        </w:rPr>
        <w:t xml:space="preserve">La citada disposición, además de contener la facultad expresa mencionada, establece un límite a su ejercicio, pues el pago anticipado o la entrega del anticipo no podrá superar el cincuenta por ciento (50%) del valor o precio del negocio jurídico celebrado por la entidad estatal. </w:t>
      </w:r>
    </w:p>
    <w:p w14:paraId="68F353CC" w14:textId="77777777" w:rsidR="00DB1437" w:rsidRPr="00DB1437" w:rsidRDefault="00DB1437" w:rsidP="00DB1437">
      <w:pPr>
        <w:spacing w:after="0" w:line="240" w:lineRule="auto"/>
        <w:jc w:val="both"/>
        <w:rPr>
          <w:rFonts w:ascii="Century Gothic" w:eastAsia="Calibri" w:hAnsi="Century Gothic" w:cs="Arial"/>
          <w:sz w:val="20"/>
          <w:szCs w:val="20"/>
          <w:lang w:val="es-ES"/>
        </w:rPr>
      </w:pPr>
    </w:p>
    <w:p w14:paraId="59E2BA82" w14:textId="77777777" w:rsidR="00DB1437" w:rsidRPr="003C50BB" w:rsidRDefault="00DB1437" w:rsidP="00DB1437">
      <w:pPr>
        <w:spacing w:after="0" w:line="240" w:lineRule="auto"/>
        <w:jc w:val="both"/>
        <w:rPr>
          <w:rFonts w:ascii="Century Gothic" w:eastAsia="Calibri" w:hAnsi="Century Gothic" w:cs="Arial"/>
          <w:sz w:val="20"/>
          <w:szCs w:val="20"/>
          <w:lang w:val="es-ES"/>
        </w:rPr>
      </w:pPr>
      <w:r w:rsidRPr="00DB1437">
        <w:rPr>
          <w:rFonts w:ascii="Century Gothic" w:eastAsia="Calibri" w:hAnsi="Century Gothic" w:cs="Arial"/>
          <w:sz w:val="20"/>
          <w:szCs w:val="20"/>
          <w:lang w:val="es-ES"/>
        </w:rPr>
        <w:t xml:space="preserve">Otro aspecto que se destaca de dicha disposición consiste en que no restringe el tipo de contratos estatales en los cuales es aplicable esa facultad, es decir, por ejemplo, no limita la posibilidad de pactar anticipo o pago anticipado en contratos de tracto sucesivo o en contratos de ejecución instantánea, o dependiendo de la tipología contractual o la </w:t>
      </w:r>
      <w:r w:rsidRPr="003C50BB">
        <w:rPr>
          <w:rFonts w:ascii="Century Gothic" w:eastAsia="Calibri" w:hAnsi="Century Gothic" w:cs="Arial"/>
          <w:sz w:val="20"/>
          <w:szCs w:val="20"/>
          <w:lang w:val="es-ES"/>
        </w:rPr>
        <w:t>modalidad de selección del contratista.</w:t>
      </w:r>
    </w:p>
    <w:p w14:paraId="4F99B89A" w14:textId="77777777" w:rsidR="00DB1437" w:rsidRPr="003C50BB" w:rsidRDefault="00DB1437" w:rsidP="00707824">
      <w:pPr>
        <w:contextualSpacing/>
        <w:jc w:val="both"/>
        <w:rPr>
          <w:rFonts w:ascii="Century Gothic" w:eastAsia="Times New Roman" w:hAnsi="Century Gothic" w:cs="Arial"/>
          <w:sz w:val="20"/>
          <w:szCs w:val="20"/>
          <w:lang w:val="es-ES" w:eastAsia="es-MX"/>
        </w:rPr>
      </w:pPr>
    </w:p>
    <w:p w14:paraId="7180955B" w14:textId="77777777" w:rsidR="003C50BB" w:rsidRPr="003C50BB" w:rsidRDefault="003C50BB" w:rsidP="003C50BB">
      <w:pPr>
        <w:pStyle w:val="paragraph"/>
        <w:spacing w:before="0" w:beforeAutospacing="0" w:after="0" w:afterAutospacing="0"/>
        <w:jc w:val="both"/>
        <w:textAlignment w:val="baseline"/>
        <w:rPr>
          <w:rFonts w:ascii="Century Gothic" w:hAnsi="Century Gothic" w:cs="Segoe UI"/>
          <w:sz w:val="18"/>
          <w:szCs w:val="18"/>
        </w:rPr>
      </w:pPr>
      <w:r w:rsidRPr="003C50BB">
        <w:rPr>
          <w:rStyle w:val="normaltextrun"/>
          <w:rFonts w:ascii="Century Gothic" w:hAnsi="Century Gothic" w:cs="Arial"/>
          <w:b/>
          <w:bCs/>
          <w:sz w:val="22"/>
          <w:szCs w:val="22"/>
          <w:lang w:val="es-ES"/>
        </w:rPr>
        <w:t>FRACCIONAMIENTO DEL CONTRATO – Prohibición – Demostración – Desviación o abuso del poder – Modalidades de selección – Desconocimiento – Principio de selección objetiva</w:t>
      </w:r>
      <w:r w:rsidRPr="003C50BB">
        <w:rPr>
          <w:rStyle w:val="eop"/>
          <w:rFonts w:ascii="Century Gothic" w:hAnsi="Century Gothic" w:cs="Arial"/>
          <w:sz w:val="22"/>
          <w:szCs w:val="22"/>
        </w:rPr>
        <w:t> </w:t>
      </w:r>
    </w:p>
    <w:p w14:paraId="6CEEA59D" w14:textId="77777777" w:rsidR="003C50BB" w:rsidRPr="003C50BB" w:rsidRDefault="003C50BB" w:rsidP="003C50BB">
      <w:pPr>
        <w:pStyle w:val="paragraph"/>
        <w:spacing w:before="0" w:beforeAutospacing="0" w:after="0" w:afterAutospacing="0"/>
        <w:jc w:val="both"/>
        <w:textAlignment w:val="baseline"/>
        <w:rPr>
          <w:rFonts w:ascii="Century Gothic" w:hAnsi="Century Gothic" w:cs="Segoe UI"/>
          <w:sz w:val="18"/>
          <w:szCs w:val="18"/>
        </w:rPr>
      </w:pPr>
      <w:r w:rsidRPr="003C50BB">
        <w:rPr>
          <w:rStyle w:val="eop"/>
          <w:rFonts w:ascii="Century Gothic" w:hAnsi="Century Gothic" w:cs="Arial"/>
          <w:sz w:val="20"/>
          <w:szCs w:val="20"/>
        </w:rPr>
        <w:t> </w:t>
      </w:r>
    </w:p>
    <w:p w14:paraId="1A54650F" w14:textId="77777777" w:rsidR="003C50BB" w:rsidRPr="003C50BB" w:rsidRDefault="003C50BB" w:rsidP="003C50BB">
      <w:pPr>
        <w:pStyle w:val="paragraph"/>
        <w:spacing w:before="0" w:beforeAutospacing="0" w:after="0" w:afterAutospacing="0"/>
        <w:jc w:val="both"/>
        <w:textAlignment w:val="baseline"/>
        <w:rPr>
          <w:rFonts w:ascii="Century Gothic" w:hAnsi="Century Gothic" w:cs="Segoe UI"/>
          <w:sz w:val="18"/>
          <w:szCs w:val="18"/>
        </w:rPr>
      </w:pPr>
      <w:r w:rsidRPr="003C50BB">
        <w:rPr>
          <w:rStyle w:val="normaltextrun"/>
          <w:rFonts w:ascii="Century Gothic" w:hAnsi="Century Gothic" w:cs="Arial"/>
          <w:sz w:val="20"/>
          <w:szCs w:val="20"/>
          <w:lang w:val="es-ES"/>
        </w:rPr>
        <w:t>Cuando la contratación directa se realiza burlando el proceso licitatorio a través del fraccionamiento del contrato, es decir, buscando que ninguno de los contratos resultantes de dividir un mismo objeto supere el monto de la cuantía requerida para la licitación, se están desconociendo los principios que inspiran la contratación pública. Al respecto, aunque la conducta de fraccionar los contratos no está prohibida expresamente en la Ley 80 de 1993, la jurisprudencia y la doctrina han sido claras en que la prohibición está implícita si tenemos en cuenta los aspectos esenciales de los principios y reglas que informan el estatuto contractual. En efecto, se ha considerado que “Si bien dicha figura no aparece dentro del estatuto actual en los mismos términos de los estatutos anteriores, ello obedece a la estructura misma de la ley 80, puesto que se pretendió terminar con la exagerada reglamentación y rigorismo y en cambio se determinaron pautas, reglas y principios, de los que se infiere la prohibición del fraccionamiento, y que se traduce en distintas disposiciones como la regla contenida en el numeral 8º del artículo 24, según la cual las autoridades no actuarán con desviación o abuso del poder y ejercerán sus competencias exclusivamente para los fines previstos en la ley, y al propio tiempo les prohíbe eludir los procedimientos de selección objetiva y los demás requisitos previstos en dicho estatuto […] </w:t>
      </w:r>
      <w:r w:rsidRPr="003C50BB">
        <w:rPr>
          <w:rStyle w:val="eop"/>
          <w:rFonts w:ascii="Century Gothic" w:hAnsi="Century Gothic" w:cs="Arial"/>
          <w:sz w:val="20"/>
          <w:szCs w:val="20"/>
        </w:rPr>
        <w:t> </w:t>
      </w:r>
    </w:p>
    <w:p w14:paraId="32B5AF04" w14:textId="77777777" w:rsidR="003C50BB" w:rsidRPr="003C50BB" w:rsidRDefault="003C50BB" w:rsidP="003C50BB">
      <w:pPr>
        <w:pStyle w:val="paragraph"/>
        <w:spacing w:before="0" w:beforeAutospacing="0" w:after="0" w:afterAutospacing="0"/>
        <w:jc w:val="both"/>
        <w:textAlignment w:val="baseline"/>
        <w:rPr>
          <w:rFonts w:ascii="Century Gothic" w:hAnsi="Century Gothic" w:cs="Segoe UI"/>
          <w:sz w:val="18"/>
          <w:szCs w:val="18"/>
        </w:rPr>
      </w:pPr>
      <w:r w:rsidRPr="003C50BB">
        <w:rPr>
          <w:rStyle w:val="normaltextrun"/>
          <w:rFonts w:ascii="Century Gothic" w:hAnsi="Century Gothic" w:cs="Arial"/>
          <w:sz w:val="20"/>
          <w:szCs w:val="20"/>
          <w:lang w:val="es-ES"/>
        </w:rPr>
        <w:lastRenderedPageBreak/>
        <w:t xml:space="preserve">La Corte Suprema de Justicia ha precisado que el fraccionamiento indebido de contratos tiene lugar, “en los eventos en los cuales la administración para eludir el procedimiento de licitación </w:t>
      </w:r>
      <w:proofErr w:type="gramStart"/>
      <w:r w:rsidRPr="003C50BB">
        <w:rPr>
          <w:rStyle w:val="normaltextrun"/>
          <w:rFonts w:ascii="Century Gothic" w:hAnsi="Century Gothic" w:cs="Arial"/>
          <w:sz w:val="20"/>
          <w:szCs w:val="20"/>
          <w:lang w:val="es-ES"/>
        </w:rPr>
        <w:t>pública,</w:t>
      </w:r>
      <w:proofErr w:type="gramEnd"/>
      <w:r w:rsidRPr="003C50BB">
        <w:rPr>
          <w:rStyle w:val="normaltextrun"/>
          <w:rFonts w:ascii="Century Gothic" w:hAnsi="Century Gothic" w:cs="Arial"/>
          <w:sz w:val="20"/>
          <w:szCs w:val="20"/>
          <w:lang w:val="es-ES"/>
        </w:rPr>
        <w:t xml:space="preserve"> divide disimuladamente el objeto del contrato con el ánimo de favorecer a los contratistas. En su demostración, deben confluir las circunstancias siguientes: i) Que sea posible pregonar la unidad de objeto en relación con el contrato cuya legalidad se cuestiona y, de ser así, ii) determinar cuáles fueron las circunstancias que condujeron a la administración a celebrar varios contratos, pues solo de esta manera se puede inferir si el actuar se cimentó en criterios razonables de interés público, o si por contraste, los motivos fueron simulados y orientados a soslayar las normas de la contratación pública.</w:t>
      </w:r>
      <w:r w:rsidRPr="003C50BB">
        <w:rPr>
          <w:rStyle w:val="eop"/>
          <w:rFonts w:ascii="Century Gothic" w:hAnsi="Century Gothic" w:cs="Arial"/>
          <w:sz w:val="20"/>
          <w:szCs w:val="20"/>
        </w:rPr>
        <w:t> </w:t>
      </w:r>
    </w:p>
    <w:p w14:paraId="5F62EF3B" w14:textId="77777777" w:rsidR="003C50BB" w:rsidRDefault="003C50BB" w:rsidP="00707824">
      <w:pPr>
        <w:contextualSpacing/>
        <w:jc w:val="both"/>
        <w:rPr>
          <w:rFonts w:ascii="Century Gothic" w:eastAsia="Times New Roman" w:hAnsi="Century Gothic" w:cs="Arial"/>
          <w:sz w:val="20"/>
          <w:szCs w:val="20"/>
          <w:lang w:eastAsia="es-MX"/>
        </w:rPr>
      </w:pPr>
    </w:p>
    <w:p w14:paraId="0891216D" w14:textId="77777777" w:rsidR="003C50BB" w:rsidRDefault="003C50BB" w:rsidP="00707824">
      <w:pPr>
        <w:contextualSpacing/>
        <w:jc w:val="both"/>
        <w:rPr>
          <w:rFonts w:ascii="Century Gothic" w:eastAsia="Times New Roman" w:hAnsi="Century Gothic" w:cs="Arial"/>
          <w:sz w:val="20"/>
          <w:szCs w:val="20"/>
          <w:lang w:eastAsia="es-MX"/>
        </w:rPr>
      </w:pPr>
    </w:p>
    <w:p w14:paraId="41112648" w14:textId="77777777" w:rsidR="003C50BB" w:rsidRDefault="003C50BB" w:rsidP="00707824">
      <w:pPr>
        <w:contextualSpacing/>
        <w:jc w:val="both"/>
        <w:rPr>
          <w:rFonts w:ascii="Century Gothic" w:eastAsia="Times New Roman" w:hAnsi="Century Gothic" w:cs="Arial"/>
          <w:sz w:val="20"/>
          <w:szCs w:val="20"/>
          <w:lang w:eastAsia="es-MX"/>
        </w:rPr>
      </w:pPr>
    </w:p>
    <w:p w14:paraId="10A7FC7B" w14:textId="77777777" w:rsidR="003C50BB" w:rsidRDefault="003C50BB" w:rsidP="00707824">
      <w:pPr>
        <w:contextualSpacing/>
        <w:jc w:val="both"/>
        <w:rPr>
          <w:rFonts w:ascii="Century Gothic" w:eastAsia="Times New Roman" w:hAnsi="Century Gothic" w:cs="Arial"/>
          <w:sz w:val="20"/>
          <w:szCs w:val="20"/>
          <w:lang w:eastAsia="es-MX"/>
        </w:rPr>
      </w:pPr>
    </w:p>
    <w:p w14:paraId="3375D483" w14:textId="77777777" w:rsidR="003C50BB" w:rsidRDefault="003C50BB" w:rsidP="00707824">
      <w:pPr>
        <w:contextualSpacing/>
        <w:jc w:val="both"/>
        <w:rPr>
          <w:rFonts w:ascii="Century Gothic" w:eastAsia="Times New Roman" w:hAnsi="Century Gothic" w:cs="Arial"/>
          <w:sz w:val="20"/>
          <w:szCs w:val="20"/>
          <w:lang w:eastAsia="es-MX"/>
        </w:rPr>
      </w:pPr>
    </w:p>
    <w:p w14:paraId="593EF01D" w14:textId="77777777" w:rsidR="003C50BB" w:rsidRDefault="003C50BB" w:rsidP="00707824">
      <w:pPr>
        <w:contextualSpacing/>
        <w:jc w:val="both"/>
        <w:rPr>
          <w:rFonts w:ascii="Century Gothic" w:eastAsia="Times New Roman" w:hAnsi="Century Gothic" w:cs="Arial"/>
          <w:sz w:val="20"/>
          <w:szCs w:val="20"/>
          <w:lang w:eastAsia="es-MX"/>
        </w:rPr>
      </w:pPr>
    </w:p>
    <w:p w14:paraId="1A96E990" w14:textId="77777777" w:rsidR="003C50BB" w:rsidRDefault="003C50BB" w:rsidP="00707824">
      <w:pPr>
        <w:contextualSpacing/>
        <w:jc w:val="both"/>
        <w:rPr>
          <w:rFonts w:ascii="Century Gothic" w:eastAsia="Times New Roman" w:hAnsi="Century Gothic" w:cs="Arial"/>
          <w:sz w:val="20"/>
          <w:szCs w:val="20"/>
          <w:lang w:eastAsia="es-MX"/>
        </w:rPr>
      </w:pPr>
    </w:p>
    <w:p w14:paraId="3031C178" w14:textId="77777777" w:rsidR="003C50BB" w:rsidRDefault="003C50BB" w:rsidP="00707824">
      <w:pPr>
        <w:contextualSpacing/>
        <w:jc w:val="both"/>
        <w:rPr>
          <w:rFonts w:ascii="Century Gothic" w:eastAsia="Times New Roman" w:hAnsi="Century Gothic" w:cs="Arial"/>
          <w:sz w:val="20"/>
          <w:szCs w:val="20"/>
          <w:lang w:eastAsia="es-MX"/>
        </w:rPr>
      </w:pPr>
    </w:p>
    <w:p w14:paraId="16EA4720" w14:textId="77777777" w:rsidR="003C50BB" w:rsidRDefault="003C50BB" w:rsidP="00707824">
      <w:pPr>
        <w:contextualSpacing/>
        <w:jc w:val="both"/>
        <w:rPr>
          <w:rFonts w:ascii="Century Gothic" w:eastAsia="Times New Roman" w:hAnsi="Century Gothic" w:cs="Arial"/>
          <w:sz w:val="20"/>
          <w:szCs w:val="20"/>
          <w:lang w:eastAsia="es-MX"/>
        </w:rPr>
      </w:pPr>
    </w:p>
    <w:p w14:paraId="777D0F49" w14:textId="77777777" w:rsidR="003C50BB" w:rsidRDefault="003C50BB" w:rsidP="00707824">
      <w:pPr>
        <w:contextualSpacing/>
        <w:jc w:val="both"/>
        <w:rPr>
          <w:rFonts w:ascii="Century Gothic" w:eastAsia="Times New Roman" w:hAnsi="Century Gothic" w:cs="Arial"/>
          <w:sz w:val="20"/>
          <w:szCs w:val="20"/>
          <w:lang w:eastAsia="es-MX"/>
        </w:rPr>
      </w:pPr>
    </w:p>
    <w:p w14:paraId="55BBCD98" w14:textId="77777777" w:rsidR="003C50BB" w:rsidRDefault="003C50BB" w:rsidP="00707824">
      <w:pPr>
        <w:contextualSpacing/>
        <w:jc w:val="both"/>
        <w:rPr>
          <w:rFonts w:ascii="Century Gothic" w:eastAsia="Times New Roman" w:hAnsi="Century Gothic" w:cs="Arial"/>
          <w:sz w:val="20"/>
          <w:szCs w:val="20"/>
          <w:lang w:eastAsia="es-MX"/>
        </w:rPr>
      </w:pPr>
    </w:p>
    <w:p w14:paraId="29C4EDDB" w14:textId="77777777" w:rsidR="003C50BB" w:rsidRDefault="003C50BB" w:rsidP="00707824">
      <w:pPr>
        <w:contextualSpacing/>
        <w:jc w:val="both"/>
        <w:rPr>
          <w:rFonts w:ascii="Century Gothic" w:eastAsia="Times New Roman" w:hAnsi="Century Gothic" w:cs="Arial"/>
          <w:sz w:val="20"/>
          <w:szCs w:val="20"/>
          <w:lang w:eastAsia="es-MX"/>
        </w:rPr>
      </w:pPr>
    </w:p>
    <w:p w14:paraId="431F7510" w14:textId="77777777" w:rsidR="003C50BB" w:rsidRDefault="003C50BB" w:rsidP="00707824">
      <w:pPr>
        <w:contextualSpacing/>
        <w:jc w:val="both"/>
        <w:rPr>
          <w:rFonts w:ascii="Century Gothic" w:eastAsia="Times New Roman" w:hAnsi="Century Gothic" w:cs="Arial"/>
          <w:sz w:val="20"/>
          <w:szCs w:val="20"/>
          <w:lang w:eastAsia="es-MX"/>
        </w:rPr>
      </w:pPr>
    </w:p>
    <w:p w14:paraId="6C907EA8" w14:textId="77777777" w:rsidR="003C50BB" w:rsidRDefault="003C50BB" w:rsidP="00707824">
      <w:pPr>
        <w:contextualSpacing/>
        <w:jc w:val="both"/>
        <w:rPr>
          <w:rFonts w:ascii="Century Gothic" w:eastAsia="Times New Roman" w:hAnsi="Century Gothic" w:cs="Arial"/>
          <w:sz w:val="20"/>
          <w:szCs w:val="20"/>
          <w:lang w:eastAsia="es-MX"/>
        </w:rPr>
      </w:pPr>
    </w:p>
    <w:p w14:paraId="0E7FDD88" w14:textId="77777777" w:rsidR="003C50BB" w:rsidRDefault="003C50BB" w:rsidP="00707824">
      <w:pPr>
        <w:contextualSpacing/>
        <w:jc w:val="both"/>
        <w:rPr>
          <w:rFonts w:ascii="Century Gothic" w:eastAsia="Times New Roman" w:hAnsi="Century Gothic" w:cs="Arial"/>
          <w:sz w:val="20"/>
          <w:szCs w:val="20"/>
          <w:lang w:eastAsia="es-MX"/>
        </w:rPr>
      </w:pPr>
    </w:p>
    <w:p w14:paraId="0A903A96" w14:textId="77777777" w:rsidR="003C50BB" w:rsidRDefault="003C50BB" w:rsidP="00707824">
      <w:pPr>
        <w:contextualSpacing/>
        <w:jc w:val="both"/>
        <w:rPr>
          <w:rFonts w:ascii="Century Gothic" w:eastAsia="Times New Roman" w:hAnsi="Century Gothic" w:cs="Arial"/>
          <w:sz w:val="20"/>
          <w:szCs w:val="20"/>
          <w:lang w:eastAsia="es-MX"/>
        </w:rPr>
      </w:pPr>
    </w:p>
    <w:p w14:paraId="3E8B3E2D" w14:textId="77777777" w:rsidR="003C50BB" w:rsidRDefault="003C50BB" w:rsidP="00707824">
      <w:pPr>
        <w:contextualSpacing/>
        <w:jc w:val="both"/>
        <w:rPr>
          <w:rFonts w:ascii="Century Gothic" w:eastAsia="Times New Roman" w:hAnsi="Century Gothic" w:cs="Arial"/>
          <w:sz w:val="20"/>
          <w:szCs w:val="20"/>
          <w:lang w:eastAsia="es-MX"/>
        </w:rPr>
      </w:pPr>
    </w:p>
    <w:p w14:paraId="03632E8C" w14:textId="77777777" w:rsidR="003C50BB" w:rsidRDefault="003C50BB" w:rsidP="00707824">
      <w:pPr>
        <w:contextualSpacing/>
        <w:jc w:val="both"/>
        <w:rPr>
          <w:rFonts w:ascii="Century Gothic" w:eastAsia="Times New Roman" w:hAnsi="Century Gothic" w:cs="Arial"/>
          <w:sz w:val="20"/>
          <w:szCs w:val="20"/>
          <w:lang w:eastAsia="es-MX"/>
        </w:rPr>
      </w:pPr>
    </w:p>
    <w:p w14:paraId="271F2A06" w14:textId="77777777" w:rsidR="003C50BB" w:rsidRDefault="003C50BB" w:rsidP="00707824">
      <w:pPr>
        <w:contextualSpacing/>
        <w:jc w:val="both"/>
        <w:rPr>
          <w:rFonts w:ascii="Century Gothic" w:eastAsia="Times New Roman" w:hAnsi="Century Gothic" w:cs="Arial"/>
          <w:sz w:val="20"/>
          <w:szCs w:val="20"/>
          <w:lang w:eastAsia="es-MX"/>
        </w:rPr>
      </w:pPr>
    </w:p>
    <w:p w14:paraId="73815DAD" w14:textId="77777777" w:rsidR="003C50BB" w:rsidRDefault="003C50BB" w:rsidP="00707824">
      <w:pPr>
        <w:contextualSpacing/>
        <w:jc w:val="both"/>
        <w:rPr>
          <w:rFonts w:ascii="Century Gothic" w:eastAsia="Times New Roman" w:hAnsi="Century Gothic" w:cs="Arial"/>
          <w:sz w:val="20"/>
          <w:szCs w:val="20"/>
          <w:lang w:eastAsia="es-MX"/>
        </w:rPr>
      </w:pPr>
    </w:p>
    <w:p w14:paraId="518845E7" w14:textId="77777777" w:rsidR="003C50BB" w:rsidRDefault="003C50BB" w:rsidP="00707824">
      <w:pPr>
        <w:contextualSpacing/>
        <w:jc w:val="both"/>
        <w:rPr>
          <w:rFonts w:ascii="Century Gothic" w:eastAsia="Times New Roman" w:hAnsi="Century Gothic" w:cs="Arial"/>
          <w:sz w:val="20"/>
          <w:szCs w:val="20"/>
          <w:lang w:eastAsia="es-MX"/>
        </w:rPr>
      </w:pPr>
    </w:p>
    <w:p w14:paraId="24798430" w14:textId="77777777" w:rsidR="003C50BB" w:rsidRDefault="003C50BB" w:rsidP="00707824">
      <w:pPr>
        <w:contextualSpacing/>
        <w:jc w:val="both"/>
        <w:rPr>
          <w:rFonts w:ascii="Century Gothic" w:eastAsia="Times New Roman" w:hAnsi="Century Gothic" w:cs="Arial"/>
          <w:sz w:val="20"/>
          <w:szCs w:val="20"/>
          <w:lang w:eastAsia="es-MX"/>
        </w:rPr>
      </w:pPr>
    </w:p>
    <w:p w14:paraId="3FB325EA" w14:textId="77777777" w:rsidR="003C50BB" w:rsidRDefault="003C50BB" w:rsidP="00707824">
      <w:pPr>
        <w:contextualSpacing/>
        <w:jc w:val="both"/>
        <w:rPr>
          <w:rFonts w:ascii="Century Gothic" w:eastAsia="Times New Roman" w:hAnsi="Century Gothic" w:cs="Arial"/>
          <w:sz w:val="20"/>
          <w:szCs w:val="20"/>
          <w:lang w:eastAsia="es-MX"/>
        </w:rPr>
      </w:pPr>
    </w:p>
    <w:p w14:paraId="7A361AE5" w14:textId="77777777" w:rsidR="003C50BB" w:rsidRDefault="003C50BB" w:rsidP="00707824">
      <w:pPr>
        <w:contextualSpacing/>
        <w:jc w:val="both"/>
        <w:rPr>
          <w:rFonts w:ascii="Century Gothic" w:eastAsia="Times New Roman" w:hAnsi="Century Gothic" w:cs="Arial"/>
          <w:sz w:val="20"/>
          <w:szCs w:val="20"/>
          <w:lang w:eastAsia="es-MX"/>
        </w:rPr>
      </w:pPr>
    </w:p>
    <w:p w14:paraId="4E073F8A" w14:textId="77777777" w:rsidR="003C50BB" w:rsidRDefault="003C50BB" w:rsidP="00707824">
      <w:pPr>
        <w:contextualSpacing/>
        <w:jc w:val="both"/>
        <w:rPr>
          <w:rFonts w:ascii="Century Gothic" w:eastAsia="Times New Roman" w:hAnsi="Century Gothic" w:cs="Arial"/>
          <w:sz w:val="20"/>
          <w:szCs w:val="20"/>
          <w:lang w:eastAsia="es-MX"/>
        </w:rPr>
      </w:pPr>
    </w:p>
    <w:p w14:paraId="1044311F" w14:textId="77777777" w:rsidR="003C50BB" w:rsidRDefault="003C50BB" w:rsidP="00707824">
      <w:pPr>
        <w:contextualSpacing/>
        <w:jc w:val="both"/>
        <w:rPr>
          <w:rFonts w:ascii="Century Gothic" w:eastAsia="Times New Roman" w:hAnsi="Century Gothic" w:cs="Arial"/>
          <w:sz w:val="20"/>
          <w:szCs w:val="20"/>
          <w:lang w:eastAsia="es-MX"/>
        </w:rPr>
      </w:pPr>
    </w:p>
    <w:p w14:paraId="315FE845" w14:textId="77777777" w:rsidR="003C50BB" w:rsidRDefault="003C50BB" w:rsidP="00707824">
      <w:pPr>
        <w:contextualSpacing/>
        <w:jc w:val="both"/>
        <w:rPr>
          <w:rFonts w:ascii="Century Gothic" w:eastAsia="Times New Roman" w:hAnsi="Century Gothic" w:cs="Arial"/>
          <w:sz w:val="20"/>
          <w:szCs w:val="20"/>
          <w:lang w:eastAsia="es-MX"/>
        </w:rPr>
      </w:pPr>
    </w:p>
    <w:p w14:paraId="0F1D44C6" w14:textId="77777777" w:rsidR="003C50BB" w:rsidRDefault="003C50BB" w:rsidP="00707824">
      <w:pPr>
        <w:contextualSpacing/>
        <w:jc w:val="both"/>
        <w:rPr>
          <w:rFonts w:ascii="Century Gothic" w:eastAsia="Times New Roman" w:hAnsi="Century Gothic" w:cs="Arial"/>
          <w:sz w:val="20"/>
          <w:szCs w:val="20"/>
          <w:lang w:eastAsia="es-MX"/>
        </w:rPr>
      </w:pPr>
    </w:p>
    <w:p w14:paraId="7ADD1686" w14:textId="77777777" w:rsidR="003C50BB" w:rsidRDefault="003C50BB" w:rsidP="00707824">
      <w:pPr>
        <w:contextualSpacing/>
        <w:jc w:val="both"/>
        <w:rPr>
          <w:rFonts w:ascii="Century Gothic" w:eastAsia="Times New Roman" w:hAnsi="Century Gothic" w:cs="Arial"/>
          <w:sz w:val="20"/>
          <w:szCs w:val="20"/>
          <w:lang w:eastAsia="es-MX"/>
        </w:rPr>
      </w:pPr>
    </w:p>
    <w:p w14:paraId="7AABB216" w14:textId="77777777" w:rsidR="003C50BB" w:rsidRDefault="003C50BB" w:rsidP="00707824">
      <w:pPr>
        <w:contextualSpacing/>
        <w:jc w:val="both"/>
        <w:rPr>
          <w:rFonts w:ascii="Century Gothic" w:eastAsia="Times New Roman" w:hAnsi="Century Gothic" w:cs="Arial"/>
          <w:sz w:val="20"/>
          <w:szCs w:val="20"/>
          <w:lang w:eastAsia="es-MX"/>
        </w:rPr>
      </w:pPr>
    </w:p>
    <w:p w14:paraId="3AEB6039" w14:textId="77777777" w:rsidR="003C50BB" w:rsidRDefault="003C50BB" w:rsidP="00707824">
      <w:pPr>
        <w:contextualSpacing/>
        <w:jc w:val="both"/>
        <w:rPr>
          <w:rFonts w:ascii="Century Gothic" w:eastAsia="Times New Roman" w:hAnsi="Century Gothic" w:cs="Arial"/>
          <w:sz w:val="20"/>
          <w:szCs w:val="20"/>
          <w:lang w:eastAsia="es-MX"/>
        </w:rPr>
      </w:pPr>
    </w:p>
    <w:p w14:paraId="448AC1C5" w14:textId="77777777" w:rsidR="003C50BB" w:rsidRDefault="003C50BB" w:rsidP="00707824">
      <w:pPr>
        <w:contextualSpacing/>
        <w:jc w:val="both"/>
        <w:rPr>
          <w:rFonts w:ascii="Century Gothic" w:eastAsia="Times New Roman" w:hAnsi="Century Gothic" w:cs="Arial"/>
          <w:sz w:val="20"/>
          <w:szCs w:val="20"/>
          <w:lang w:eastAsia="es-MX"/>
        </w:rPr>
      </w:pPr>
    </w:p>
    <w:p w14:paraId="01B94E19" w14:textId="77777777" w:rsidR="003C50BB" w:rsidRDefault="003C50BB" w:rsidP="00707824">
      <w:pPr>
        <w:contextualSpacing/>
        <w:jc w:val="both"/>
        <w:rPr>
          <w:rFonts w:ascii="Century Gothic" w:eastAsia="Times New Roman" w:hAnsi="Century Gothic" w:cs="Arial"/>
          <w:sz w:val="20"/>
          <w:szCs w:val="20"/>
          <w:lang w:eastAsia="es-MX"/>
        </w:rPr>
      </w:pPr>
    </w:p>
    <w:p w14:paraId="56DC22DB" w14:textId="77777777" w:rsidR="003C50BB" w:rsidRPr="003C50BB" w:rsidRDefault="003C50BB" w:rsidP="00707824">
      <w:pPr>
        <w:contextualSpacing/>
        <w:jc w:val="both"/>
        <w:rPr>
          <w:rFonts w:ascii="Century Gothic" w:eastAsia="Times New Roman" w:hAnsi="Century Gothic" w:cs="Arial"/>
          <w:sz w:val="20"/>
          <w:szCs w:val="20"/>
          <w:lang w:eastAsia="es-MX"/>
        </w:rPr>
      </w:pPr>
    </w:p>
    <w:p w14:paraId="34FBCEC9" w14:textId="77777777" w:rsidR="00707824" w:rsidRDefault="00707824" w:rsidP="00AB49BE">
      <w:pPr>
        <w:spacing w:after="0" w:line="276" w:lineRule="auto"/>
        <w:jc w:val="both"/>
        <w:rPr>
          <w:rFonts w:ascii="Century Gothic" w:hAnsi="Century Gothic" w:cs="Arial"/>
        </w:rPr>
      </w:pPr>
    </w:p>
    <w:p w14:paraId="4C7267AD" w14:textId="6552CFD3" w:rsidR="00AB49BE" w:rsidRPr="002A19F7" w:rsidRDefault="00AB49BE" w:rsidP="00AB49BE">
      <w:pPr>
        <w:spacing w:after="0" w:line="276" w:lineRule="auto"/>
        <w:jc w:val="both"/>
        <w:rPr>
          <w:rFonts w:ascii="Century Gothic" w:hAnsi="Century Gothic" w:cs="Arial"/>
        </w:rPr>
      </w:pPr>
      <w:r w:rsidRPr="002A19F7">
        <w:rPr>
          <w:rFonts w:ascii="Century Gothic" w:hAnsi="Century Gothic" w:cs="Arial"/>
        </w:rPr>
        <w:lastRenderedPageBreak/>
        <w:t>Bogotá D.C., [Día] [</w:t>
      </w:r>
      <w:proofErr w:type="spellStart"/>
      <w:r w:rsidRPr="002A19F7">
        <w:rPr>
          <w:rFonts w:ascii="Century Gothic" w:hAnsi="Century Gothic" w:cs="Arial"/>
        </w:rPr>
        <w:t>Mes.NombreCapitalizado</w:t>
      </w:r>
      <w:proofErr w:type="spellEnd"/>
      <w:r w:rsidRPr="002A19F7">
        <w:rPr>
          <w:rFonts w:ascii="Century Gothic" w:hAnsi="Century Gothic" w:cs="Arial"/>
        </w:rPr>
        <w:t>] [Año]</w:t>
      </w:r>
      <w:r w:rsidRPr="002A19F7">
        <w:rPr>
          <w:rFonts w:ascii="Century Gothic" w:hAnsi="Century Gothic" w:cs="Arial"/>
        </w:rPr>
        <w:tab/>
      </w:r>
    </w:p>
    <w:p w14:paraId="5C0030C9" w14:textId="77777777" w:rsidR="00AB49BE" w:rsidRPr="002A19F7" w:rsidRDefault="00AB49BE" w:rsidP="00AB49BE">
      <w:pPr>
        <w:spacing w:after="0" w:line="240" w:lineRule="auto"/>
        <w:jc w:val="right"/>
        <w:rPr>
          <w:rFonts w:ascii="Century Gothic" w:eastAsia="ArialMT" w:hAnsi="Century Gothic" w:cs="Arial"/>
          <w14:ligatures w14:val="standardContextual"/>
        </w:rPr>
      </w:pPr>
    </w:p>
    <w:p w14:paraId="0E5C802A" w14:textId="77777777" w:rsidR="00AB49BE" w:rsidRPr="002A19F7" w:rsidRDefault="00AB49BE" w:rsidP="00AB49BE">
      <w:pPr>
        <w:spacing w:after="0" w:line="240" w:lineRule="auto"/>
        <w:jc w:val="right"/>
        <w:rPr>
          <w:rFonts w:ascii="Century Gothic" w:eastAsia="ArialMT" w:hAnsi="Century Gothic" w:cs="Arial"/>
          <w:lang w:val="es-MX"/>
          <w14:ligatures w14:val="standardContextual"/>
        </w:rPr>
      </w:pPr>
    </w:p>
    <w:p w14:paraId="0DAD8960" w14:textId="77777777" w:rsidR="00AB49BE" w:rsidRPr="002A19F7" w:rsidRDefault="00AB49BE" w:rsidP="00AB49BE">
      <w:pPr>
        <w:spacing w:after="0" w:line="240" w:lineRule="auto"/>
        <w:rPr>
          <w:rFonts w:ascii="Century Gothic" w:eastAsia="Calibri" w:hAnsi="Century Gothic" w:cs="Arial"/>
          <w:lang w:val="es-MX"/>
          <w14:ligatures w14:val="standardContextual"/>
        </w:rPr>
      </w:pPr>
      <w:r w:rsidRPr="002A19F7">
        <w:rPr>
          <w:rFonts w:ascii="Century Gothic" w:eastAsia="Calibri" w:hAnsi="Century Gothic" w:cs="Arial"/>
          <w:lang w:val="es-MX"/>
          <w14:ligatures w14:val="standardContextual"/>
        </w:rPr>
        <w:t>Señor</w:t>
      </w:r>
    </w:p>
    <w:p w14:paraId="557BF19A" w14:textId="77777777" w:rsidR="00AB49BE" w:rsidRPr="002A19F7" w:rsidRDefault="00AB49BE" w:rsidP="00AB49BE">
      <w:pPr>
        <w:spacing w:after="0" w:line="240" w:lineRule="auto"/>
        <w:rPr>
          <w:rFonts w:ascii="Century Gothic" w:hAnsi="Century Gothic" w:cs="Arial"/>
          <w:b/>
          <w:bCs/>
          <w:lang w:val="es-MX"/>
          <w14:ligatures w14:val="standardContextual"/>
        </w:rPr>
      </w:pPr>
      <w:r w:rsidRPr="002A19F7">
        <w:rPr>
          <w:rFonts w:ascii="Century Gothic" w:hAnsi="Century Gothic" w:cs="Arial"/>
          <w:b/>
          <w:bCs/>
          <w:lang w:val="es-MX"/>
          <w14:ligatures w14:val="standardContextual"/>
        </w:rPr>
        <w:t>Luis Alberto Molano</w:t>
      </w:r>
    </w:p>
    <w:p w14:paraId="0EF096F6" w14:textId="77777777" w:rsidR="00AB49BE" w:rsidRPr="002A19F7" w:rsidRDefault="00AB49BE" w:rsidP="00AB49BE">
      <w:pPr>
        <w:spacing w:after="0" w:line="240" w:lineRule="auto"/>
        <w:rPr>
          <w:rFonts w:ascii="Century Gothic" w:eastAsia="Calibri" w:hAnsi="Century Gothic" w:cs="Arial"/>
          <w:lang w:val="es-MX"/>
        </w:rPr>
      </w:pPr>
      <w:r w:rsidRPr="002A19F7">
        <w:rPr>
          <w:rFonts w:ascii="Century Gothic" w:hAnsi="Century Gothic" w:cs="Arial"/>
          <w:b/>
          <w:bCs/>
          <w:lang w:val="es-MX"/>
          <w14:ligatures w14:val="standardContextual"/>
        </w:rPr>
        <w:t xml:space="preserve">Alcaldía De Popayán </w:t>
      </w:r>
    </w:p>
    <w:p w14:paraId="3EDC1211" w14:textId="77777777" w:rsidR="00AB49BE" w:rsidRPr="002A19F7" w:rsidRDefault="00AB49BE" w:rsidP="00AB49BE">
      <w:pPr>
        <w:spacing w:after="0" w:line="240" w:lineRule="auto"/>
        <w:rPr>
          <w:rFonts w:ascii="Century Gothic" w:eastAsia="Calibri" w:hAnsi="Century Gothic" w:cs="Arial"/>
          <w:lang w:val="es-MX"/>
          <w14:ligatures w14:val="standardContextual"/>
        </w:rPr>
      </w:pPr>
      <w:r w:rsidRPr="002A19F7">
        <w:rPr>
          <w:rFonts w:ascii="Century Gothic" w:hAnsi="Century Gothic" w:cs="Arial"/>
          <w:lang w:val="es-MX"/>
          <w14:ligatures w14:val="standardContextual"/>
        </w:rPr>
        <w:t>Popayán, Cauca</w:t>
      </w:r>
    </w:p>
    <w:p w14:paraId="1BADE095" w14:textId="77777777" w:rsidR="00AB49BE" w:rsidRPr="002A19F7" w:rsidRDefault="00AB49BE" w:rsidP="00AB49BE">
      <w:pPr>
        <w:spacing w:after="0" w:line="240" w:lineRule="auto"/>
        <w:rPr>
          <w:rFonts w:ascii="Century Gothic" w:eastAsia="Calibri" w:hAnsi="Century Gothic" w:cs="Arial"/>
          <w:lang w:val="es-MX"/>
          <w14:ligatures w14:val="standardContextual"/>
        </w:rPr>
      </w:pPr>
    </w:p>
    <w:p w14:paraId="788D75C3" w14:textId="77777777" w:rsidR="00AB49BE" w:rsidRPr="002A19F7" w:rsidRDefault="00AB49BE" w:rsidP="00AB49BE">
      <w:pPr>
        <w:spacing w:after="0" w:line="240" w:lineRule="auto"/>
        <w:rPr>
          <w:rFonts w:ascii="Century Gothic" w:eastAsia="Calibri" w:hAnsi="Century Gothic" w:cs="Arial"/>
          <w:lang w:val="es-MX"/>
          <w14:ligatures w14:val="standardContextual"/>
        </w:rPr>
      </w:pPr>
    </w:p>
    <w:p w14:paraId="65EBBE89" w14:textId="77777777" w:rsidR="00AB49BE" w:rsidRPr="002A19F7" w:rsidRDefault="00AB49BE" w:rsidP="00AB49BE">
      <w:pPr>
        <w:tabs>
          <w:tab w:val="center" w:pos="4419"/>
          <w:tab w:val="left" w:pos="6345"/>
        </w:tabs>
        <w:spacing w:after="0" w:line="240" w:lineRule="auto"/>
        <w:contextualSpacing/>
        <w:rPr>
          <w:rFonts w:ascii="Century Gothic" w:eastAsia="Calibri" w:hAnsi="Century Gothic" w:cs="Arial"/>
          <w:b/>
          <w:lang w:val="es-MX"/>
          <w14:ligatures w14:val="standardContextual"/>
        </w:rPr>
      </w:pPr>
      <w:r w:rsidRPr="002A19F7">
        <w:rPr>
          <w:rFonts w:ascii="Century Gothic" w:eastAsia="Calibri" w:hAnsi="Century Gothic" w:cs="Arial"/>
          <w:b/>
          <w:lang w:val="es-MX"/>
          <w14:ligatures w14:val="standardContextual"/>
        </w:rPr>
        <w:t xml:space="preserve">                                            Concepto C-455 de 2023 </w:t>
      </w:r>
      <w:r w:rsidRPr="002A19F7">
        <w:rPr>
          <w:rFonts w:ascii="Century Gothic" w:eastAsia="Calibri" w:hAnsi="Century Gothic" w:cs="Arial"/>
          <w:b/>
          <w:lang w:val="es-MX"/>
          <w14:ligatures w14:val="standardContextual"/>
        </w:rPr>
        <w:tab/>
      </w:r>
    </w:p>
    <w:p w14:paraId="1FF981FC" w14:textId="77777777" w:rsidR="00AB49BE" w:rsidRPr="002A19F7" w:rsidRDefault="00AB49BE" w:rsidP="00AB49BE">
      <w:pPr>
        <w:tabs>
          <w:tab w:val="center" w:pos="4419"/>
          <w:tab w:val="left" w:pos="6345"/>
        </w:tabs>
        <w:spacing w:after="0" w:line="240" w:lineRule="auto"/>
        <w:contextualSpacing/>
        <w:rPr>
          <w:rFonts w:ascii="Century Gothic" w:eastAsia="Calibri" w:hAnsi="Century Gothic" w:cs="Arial"/>
          <w:b/>
          <w:lang w:val="es-MX"/>
          <w14:ligatures w14:val="standardContextua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B49BE" w:rsidRPr="002A19F7" w14:paraId="33FB6F7F" w14:textId="77777777" w:rsidTr="00F14AD4">
        <w:tc>
          <w:tcPr>
            <w:tcW w:w="2689" w:type="dxa"/>
            <w:hideMark/>
          </w:tcPr>
          <w:p w14:paraId="41FC6FD2" w14:textId="77777777" w:rsidR="00AB49BE" w:rsidRPr="002A19F7" w:rsidRDefault="00AB49BE" w:rsidP="00F14AD4">
            <w:pPr>
              <w:contextualSpacing/>
              <w:jc w:val="both"/>
              <w:rPr>
                <w:rFonts w:ascii="Century Gothic" w:eastAsia="Calibri" w:hAnsi="Century Gothic" w:cs="Arial"/>
                <w:b/>
                <w:lang w:val="es-ES_tradnl" w:eastAsia="es-ES_tradnl"/>
              </w:rPr>
            </w:pPr>
            <w:r w:rsidRPr="002A19F7">
              <w:rPr>
                <w:rFonts w:ascii="Century Gothic" w:eastAsia="Calibri" w:hAnsi="Century Gothic" w:cs="Arial"/>
                <w:b/>
                <w:lang w:val="es-ES_tradnl" w:eastAsia="es-ES_tradnl"/>
              </w:rPr>
              <w:t xml:space="preserve">Temas: </w:t>
            </w:r>
          </w:p>
        </w:tc>
        <w:tc>
          <w:tcPr>
            <w:tcW w:w="6237" w:type="dxa"/>
            <w:hideMark/>
          </w:tcPr>
          <w:p w14:paraId="0C5AABE0" w14:textId="63C8C0CF" w:rsidR="00AB49BE" w:rsidRPr="002A19F7" w:rsidRDefault="00AB49BE" w:rsidP="00F14AD4">
            <w:pPr>
              <w:tabs>
                <w:tab w:val="left" w:pos="426"/>
              </w:tabs>
              <w:contextualSpacing/>
              <w:jc w:val="both"/>
              <w:rPr>
                <w:rFonts w:ascii="Century Gothic" w:eastAsia="Calibri" w:hAnsi="Century Gothic" w:cs="Arial"/>
                <w:bCs/>
                <w:lang w:val="es-ES_tradnl"/>
              </w:rPr>
            </w:pPr>
            <w:r w:rsidRPr="002A19F7">
              <w:rPr>
                <w:rFonts w:ascii="Century Gothic" w:eastAsia="Calibri" w:hAnsi="Century Gothic" w:cs="Arial"/>
                <w:bCs/>
              </w:rPr>
              <w:t xml:space="preserve">INSTITUCIONES EDUCATIVAS OFICIALES – Naturaleza jurídica – Capacidad para contratar / </w:t>
            </w:r>
            <w:r w:rsidRPr="002A19F7">
              <w:rPr>
                <w:rFonts w:ascii="Century Gothic" w:hAnsi="Century Gothic" w:cs="Arial"/>
                <w:bCs/>
              </w:rPr>
              <w:t xml:space="preserve">INSTITUCIONES EDUCATIVAS OFICIALES – Contratación – Umbral – Veinte salarios mínimos legales mensuales vigentes </w:t>
            </w:r>
            <w:r w:rsidRPr="002A19F7">
              <w:rPr>
                <w:rStyle w:val="normaltextrun"/>
                <w:rFonts w:ascii="Century Gothic" w:hAnsi="Century Gothic" w:cs="Arial"/>
                <w:color w:val="000000"/>
                <w:shd w:val="clear" w:color="auto" w:fill="FFFFFF"/>
                <w:lang w:val="es-ES"/>
              </w:rPr>
              <w:t xml:space="preserve">ANTICIPO – Regulación normativa </w:t>
            </w:r>
            <w:r w:rsidRPr="002A19F7">
              <w:rPr>
                <w:rStyle w:val="normaltextrun"/>
                <w:rFonts w:ascii="Century Gothic" w:hAnsi="Century Gothic" w:cs="Arial"/>
                <w:color w:val="000000"/>
                <w:shd w:val="clear" w:color="auto" w:fill="FFFFFF"/>
              </w:rPr>
              <w:t xml:space="preserve">/ ANTICIPO – Definición jurisprudencial </w:t>
            </w:r>
            <w:r w:rsidRPr="002A19F7">
              <w:rPr>
                <w:rFonts w:ascii="Century Gothic" w:eastAsia="Calibri" w:hAnsi="Century Gothic" w:cs="Arial"/>
                <w:bCs/>
                <w:lang w:val="es-ES_tradnl"/>
              </w:rPr>
              <w:t>Uso /</w:t>
            </w:r>
            <w:r w:rsidRPr="002A19F7">
              <w:rPr>
                <w:rFonts w:ascii="Century Gothic" w:hAnsi="Century Gothic"/>
              </w:rPr>
              <w:t xml:space="preserve"> </w:t>
            </w:r>
            <w:r w:rsidRPr="002A19F7">
              <w:rPr>
                <w:rFonts w:ascii="Century Gothic" w:eastAsia="Calibri" w:hAnsi="Century Gothic" w:cs="Arial"/>
                <w:bCs/>
                <w:lang w:val="es-ES_tradnl"/>
              </w:rPr>
              <w:t xml:space="preserve">FRACCIONAMIENTO DEL CONTRATO </w:t>
            </w:r>
          </w:p>
          <w:p w14:paraId="0D806906" w14:textId="77777777" w:rsidR="00AB49BE" w:rsidRPr="002A19F7" w:rsidRDefault="00AB49BE" w:rsidP="00F14AD4">
            <w:pPr>
              <w:widowControl w:val="0"/>
              <w:autoSpaceDE w:val="0"/>
              <w:autoSpaceDN w:val="0"/>
              <w:adjustRightInd w:val="0"/>
              <w:contextualSpacing/>
              <w:jc w:val="both"/>
              <w:rPr>
                <w:rFonts w:ascii="Century Gothic" w:hAnsi="Century Gothic" w:cs="Arial"/>
                <w:lang w:val="es-ES_tradnl"/>
              </w:rPr>
            </w:pPr>
          </w:p>
          <w:p w14:paraId="1249CAF2" w14:textId="77777777" w:rsidR="00AB49BE" w:rsidRPr="002A19F7" w:rsidRDefault="00AB49BE" w:rsidP="00F14AD4">
            <w:pPr>
              <w:widowControl w:val="0"/>
              <w:autoSpaceDE w:val="0"/>
              <w:autoSpaceDN w:val="0"/>
              <w:adjustRightInd w:val="0"/>
              <w:contextualSpacing/>
              <w:jc w:val="both"/>
              <w:rPr>
                <w:rFonts w:ascii="Century Gothic" w:hAnsi="Century Gothic" w:cs="Arial"/>
                <w:lang w:val="es-ES_tradnl"/>
              </w:rPr>
            </w:pPr>
          </w:p>
        </w:tc>
      </w:tr>
      <w:tr w:rsidR="00AB49BE" w:rsidRPr="002A19F7" w14:paraId="6248865E" w14:textId="77777777" w:rsidTr="00F14AD4">
        <w:tc>
          <w:tcPr>
            <w:tcW w:w="2689" w:type="dxa"/>
          </w:tcPr>
          <w:p w14:paraId="4FF11CD9" w14:textId="77777777" w:rsidR="00AB49BE" w:rsidRPr="002A19F7" w:rsidRDefault="00AB49BE" w:rsidP="00F14AD4">
            <w:pPr>
              <w:contextualSpacing/>
              <w:jc w:val="both"/>
              <w:rPr>
                <w:rFonts w:ascii="Century Gothic" w:eastAsia="Calibri" w:hAnsi="Century Gothic" w:cs="Arial"/>
                <w:b/>
                <w:lang w:val="es-ES_tradnl" w:eastAsia="es-ES_tradnl"/>
              </w:rPr>
            </w:pPr>
            <w:r w:rsidRPr="002A19F7">
              <w:rPr>
                <w:rFonts w:ascii="Century Gothic" w:eastAsia="Calibri" w:hAnsi="Century Gothic" w:cs="Arial"/>
                <w:b/>
                <w:lang w:val="es-ES_tradnl" w:eastAsia="es-ES_tradnl"/>
              </w:rPr>
              <w:t>Radicación:</w:t>
            </w:r>
          </w:p>
        </w:tc>
        <w:tc>
          <w:tcPr>
            <w:tcW w:w="6237" w:type="dxa"/>
          </w:tcPr>
          <w:p w14:paraId="6FEC9622" w14:textId="77777777" w:rsidR="00AB49BE" w:rsidRPr="002A19F7" w:rsidRDefault="00AB49BE" w:rsidP="00F14AD4">
            <w:pPr>
              <w:widowControl w:val="0"/>
              <w:autoSpaceDE w:val="0"/>
              <w:autoSpaceDN w:val="0"/>
              <w:adjustRightInd w:val="0"/>
              <w:contextualSpacing/>
              <w:jc w:val="both"/>
              <w:rPr>
                <w:rFonts w:ascii="Century Gothic" w:hAnsi="Century Gothic" w:cs="Arial"/>
                <w:lang w:val="es-ES_tradnl"/>
              </w:rPr>
            </w:pPr>
            <w:r w:rsidRPr="002A19F7">
              <w:rPr>
                <w:rFonts w:ascii="Century Gothic" w:hAnsi="Century Gothic" w:cs="Arial"/>
                <w:lang w:val="es-ES_tradnl"/>
              </w:rPr>
              <w:t>Respuesta a la consulta P20230929015558</w:t>
            </w:r>
          </w:p>
        </w:tc>
      </w:tr>
    </w:tbl>
    <w:p w14:paraId="1357B345" w14:textId="77777777" w:rsidR="00AB49BE" w:rsidRPr="002A19F7" w:rsidRDefault="00AB49BE" w:rsidP="00AB49BE">
      <w:pPr>
        <w:tabs>
          <w:tab w:val="center" w:pos="4419"/>
          <w:tab w:val="left" w:pos="6345"/>
        </w:tabs>
        <w:spacing w:after="0" w:line="276" w:lineRule="auto"/>
        <w:rPr>
          <w:rFonts w:ascii="Century Gothic" w:eastAsia="Calibri" w:hAnsi="Century Gothic" w:cs="Arial"/>
          <w:b/>
          <w:lang w:val="es-MX"/>
          <w14:ligatures w14:val="standardContextual"/>
        </w:rPr>
      </w:pPr>
    </w:p>
    <w:p w14:paraId="26851FDB" w14:textId="77777777" w:rsidR="00AB49BE" w:rsidRPr="002A19F7" w:rsidRDefault="00AB49BE" w:rsidP="00AB49BE">
      <w:pPr>
        <w:spacing w:after="0" w:line="276" w:lineRule="auto"/>
        <w:rPr>
          <w:rFonts w:ascii="Century Gothic" w:eastAsia="Calibri" w:hAnsi="Century Gothic" w:cs="Arial"/>
          <w:lang w:val="es-MX"/>
          <w14:ligatures w14:val="standardContextual"/>
        </w:rPr>
      </w:pPr>
    </w:p>
    <w:p w14:paraId="5C23DA77" w14:textId="77777777" w:rsidR="00AB49BE" w:rsidRPr="002A19F7" w:rsidRDefault="00AB49BE" w:rsidP="00AB49BE">
      <w:pPr>
        <w:spacing w:after="0" w:line="276" w:lineRule="auto"/>
        <w:rPr>
          <w:rFonts w:ascii="Century Gothic" w:eastAsia="Calibri" w:hAnsi="Century Gothic" w:cs="Arial"/>
          <w:lang w:val="es-MX"/>
          <w14:ligatures w14:val="standardContextual"/>
        </w:rPr>
      </w:pPr>
      <w:r w:rsidRPr="002A19F7">
        <w:rPr>
          <w:rFonts w:ascii="Century Gothic" w:eastAsia="Calibri" w:hAnsi="Century Gothic" w:cs="Arial"/>
          <w:lang w:val="es-MX"/>
          <w14:ligatures w14:val="standardContextual"/>
        </w:rPr>
        <w:t xml:space="preserve">Estimado señor Molano: </w:t>
      </w:r>
    </w:p>
    <w:p w14:paraId="6680F320" w14:textId="77777777" w:rsidR="00AB49BE" w:rsidRPr="002A19F7" w:rsidRDefault="00AB49BE" w:rsidP="00AB49BE">
      <w:pPr>
        <w:spacing w:after="0" w:line="276" w:lineRule="auto"/>
        <w:rPr>
          <w:rFonts w:ascii="Century Gothic" w:eastAsia="Calibri" w:hAnsi="Century Gothic" w:cs="Arial"/>
          <w:lang w:val="es-MX"/>
          <w14:ligatures w14:val="standardContextual"/>
        </w:rPr>
      </w:pPr>
    </w:p>
    <w:p w14:paraId="7BFC020A" w14:textId="77777777" w:rsidR="00AB49BE" w:rsidRPr="002A19F7" w:rsidRDefault="00AB49BE" w:rsidP="00AB49BE">
      <w:pPr>
        <w:spacing w:after="0" w:line="276" w:lineRule="auto"/>
        <w:ind w:right="51"/>
        <w:jc w:val="both"/>
        <w:rPr>
          <w:rFonts w:ascii="Century Gothic" w:eastAsia="Calibri" w:hAnsi="Century Gothic" w:cs="Arial"/>
          <w:lang w:val="es-ES_tradnl"/>
          <w14:ligatures w14:val="standardContextual"/>
        </w:rPr>
      </w:pPr>
      <w:r w:rsidRPr="002A19F7">
        <w:rPr>
          <w:rFonts w:ascii="Century Gothic" w:eastAsia="Calibri" w:hAnsi="Century Gothic" w:cs="Arial"/>
          <w:lang w:val="es-ES_tradnl"/>
          <w14:ligatures w14:val="standardContextual"/>
        </w:rPr>
        <w:t xml:space="preserve">En ejercicio de la competencia otorgada por el numeral 8° del artículo 11 y el numeral 5° del artículo 3 del Decreto Ley 4170 de 2011, la Agencia Nacional de Contratación Pública – Colombia Compra Eficiente responde las consultas realizadas el 28 de </w:t>
      </w:r>
      <w:proofErr w:type="gramStart"/>
      <w:r w:rsidRPr="002A19F7">
        <w:rPr>
          <w:rFonts w:ascii="Century Gothic" w:eastAsia="Calibri" w:hAnsi="Century Gothic" w:cs="Arial"/>
          <w:lang w:val="es-ES_tradnl"/>
          <w14:ligatures w14:val="standardContextual"/>
        </w:rPr>
        <w:t>Septiembre</w:t>
      </w:r>
      <w:proofErr w:type="gramEnd"/>
      <w:r w:rsidRPr="002A19F7">
        <w:rPr>
          <w:rFonts w:ascii="Century Gothic" w:eastAsia="Calibri" w:hAnsi="Century Gothic" w:cs="Arial"/>
          <w:lang w:val="es-ES_tradnl"/>
          <w14:ligatures w14:val="standardContextual"/>
        </w:rPr>
        <w:t xml:space="preserve"> de 2023. </w:t>
      </w:r>
    </w:p>
    <w:p w14:paraId="0DE73DA9" w14:textId="77777777" w:rsidR="00AB49BE" w:rsidRPr="002A19F7" w:rsidRDefault="00AB49BE" w:rsidP="00AB49BE">
      <w:pPr>
        <w:tabs>
          <w:tab w:val="left" w:pos="284"/>
        </w:tabs>
        <w:spacing w:after="0" w:line="276" w:lineRule="auto"/>
        <w:jc w:val="both"/>
        <w:rPr>
          <w:rFonts w:ascii="Century Gothic" w:eastAsia="Calibri" w:hAnsi="Century Gothic" w:cs="Arial"/>
          <w:b/>
          <w:lang w:val="es-MX"/>
          <w14:ligatures w14:val="standardContextual"/>
        </w:rPr>
      </w:pPr>
    </w:p>
    <w:p w14:paraId="7B3531F7" w14:textId="77777777" w:rsidR="00AB49BE" w:rsidRPr="002A19F7" w:rsidRDefault="00AB49BE" w:rsidP="00AB49BE">
      <w:pPr>
        <w:tabs>
          <w:tab w:val="left" w:pos="284"/>
        </w:tabs>
        <w:spacing w:after="0" w:line="276" w:lineRule="auto"/>
        <w:jc w:val="both"/>
        <w:rPr>
          <w:rFonts w:ascii="Century Gothic" w:eastAsia="Calibri" w:hAnsi="Century Gothic" w:cs="Arial"/>
          <w:b/>
          <w:lang w:val="es-MX"/>
          <w14:ligatures w14:val="standardContextual"/>
        </w:rPr>
      </w:pPr>
      <w:r w:rsidRPr="002A19F7">
        <w:rPr>
          <w:rFonts w:ascii="Century Gothic" w:eastAsia="Calibri" w:hAnsi="Century Gothic" w:cs="Arial"/>
          <w:b/>
          <w:lang w:val="es-MX"/>
          <w14:ligatures w14:val="standardContextual"/>
        </w:rPr>
        <w:t xml:space="preserve">1. Problemas planteados </w:t>
      </w:r>
    </w:p>
    <w:p w14:paraId="47890A09" w14:textId="77777777" w:rsidR="008829A8" w:rsidRPr="002A19F7" w:rsidRDefault="008829A8" w:rsidP="00AB49BE">
      <w:pPr>
        <w:tabs>
          <w:tab w:val="left" w:pos="284"/>
        </w:tabs>
        <w:spacing w:after="0" w:line="276" w:lineRule="auto"/>
        <w:jc w:val="both"/>
        <w:rPr>
          <w:rFonts w:ascii="Century Gothic" w:eastAsia="Calibri" w:hAnsi="Century Gothic" w:cs="Arial"/>
          <w:b/>
          <w:lang w:val="es-MX"/>
          <w14:ligatures w14:val="standardContextual"/>
        </w:rPr>
      </w:pPr>
    </w:p>
    <w:p w14:paraId="79035B0D" w14:textId="77777777" w:rsidR="00AB49BE" w:rsidRPr="002A19F7" w:rsidRDefault="00AB49BE" w:rsidP="00AB49BE">
      <w:pPr>
        <w:pStyle w:val="Default"/>
        <w:rPr>
          <w:rFonts w:ascii="Century Gothic" w:hAnsi="Century Gothic"/>
          <w:sz w:val="22"/>
          <w:szCs w:val="22"/>
          <w:lang w:val="es-ES_tradnl"/>
          <w14:ligatures w14:val="standardContextual"/>
        </w:rPr>
      </w:pPr>
      <w:r w:rsidRPr="002A19F7">
        <w:rPr>
          <w:rFonts w:ascii="Century Gothic" w:hAnsi="Century Gothic"/>
          <w:sz w:val="22"/>
          <w:szCs w:val="22"/>
          <w:lang w:val="es-ES_tradnl"/>
          <w14:ligatures w14:val="standardContextual"/>
        </w:rPr>
        <w:t xml:space="preserve">Usted formula la siguiente consulta en relación </w:t>
      </w:r>
      <w:r w:rsidRPr="002A19F7">
        <w:rPr>
          <w:rFonts w:ascii="Century Gothic" w:hAnsi="Century Gothic"/>
          <w:sz w:val="22"/>
          <w:szCs w:val="22"/>
        </w:rPr>
        <w:t xml:space="preserve">contractual surgidos alrededor de una </w:t>
      </w:r>
      <w:proofErr w:type="spellStart"/>
      <w:r w:rsidRPr="002A19F7">
        <w:rPr>
          <w:rFonts w:ascii="Century Gothic" w:hAnsi="Century Gothic"/>
          <w:sz w:val="22"/>
          <w:szCs w:val="22"/>
        </w:rPr>
        <w:t>auditoria</w:t>
      </w:r>
      <w:proofErr w:type="spellEnd"/>
      <w:r w:rsidRPr="002A19F7">
        <w:rPr>
          <w:rFonts w:ascii="Century Gothic" w:hAnsi="Century Gothic"/>
          <w:sz w:val="22"/>
          <w:szCs w:val="22"/>
        </w:rPr>
        <w:t xml:space="preserve"> realizada a la ejecución contractual de las Instituciones Educativas que cuentan con un régimen especial de contratación</w:t>
      </w:r>
      <w:r w:rsidRPr="002A19F7">
        <w:rPr>
          <w:rFonts w:ascii="Century Gothic" w:hAnsi="Century Gothic"/>
          <w:sz w:val="22"/>
          <w:szCs w:val="22"/>
          <w:lang w:val="es-ES_tradnl"/>
          <w14:ligatures w14:val="standardContextual"/>
        </w:rPr>
        <w:t>:</w:t>
      </w:r>
    </w:p>
    <w:p w14:paraId="10C8E861" w14:textId="77777777" w:rsidR="00AB49BE" w:rsidRPr="002A19F7" w:rsidRDefault="00AB49BE" w:rsidP="00AB49BE">
      <w:pPr>
        <w:autoSpaceDE w:val="0"/>
        <w:autoSpaceDN w:val="0"/>
        <w:adjustRightInd w:val="0"/>
        <w:spacing w:after="0" w:line="276" w:lineRule="auto"/>
        <w:contextualSpacing/>
        <w:jc w:val="both"/>
        <w:rPr>
          <w:rFonts w:ascii="Century Gothic" w:eastAsia="Calibri" w:hAnsi="Century Gothic" w:cs="Arial"/>
          <w:bCs/>
          <w:lang w:val="es-ES_tradnl"/>
          <w14:ligatures w14:val="standardContextual"/>
        </w:rPr>
      </w:pPr>
    </w:p>
    <w:p w14:paraId="06877F06" w14:textId="77777777" w:rsidR="00AB49BE" w:rsidRPr="002A19F7" w:rsidRDefault="00AB49BE" w:rsidP="00AB49BE">
      <w:pPr>
        <w:spacing w:line="240" w:lineRule="auto"/>
        <w:ind w:left="709" w:right="709"/>
        <w:jc w:val="both"/>
        <w:rPr>
          <w:rFonts w:ascii="Century Gothic" w:hAnsi="Century Gothic" w:cs="Arial"/>
          <w:sz w:val="21"/>
          <w:szCs w:val="21"/>
        </w:rPr>
      </w:pPr>
      <w:r w:rsidRPr="002A19F7">
        <w:rPr>
          <w:rFonts w:ascii="Century Gothic" w:hAnsi="Century Gothic" w:cs="Arial"/>
          <w:sz w:val="21"/>
          <w:szCs w:val="21"/>
          <w:lang w:val="es-MX"/>
          <w14:ligatures w14:val="standardContextual"/>
        </w:rPr>
        <w:t>“[…]</w:t>
      </w:r>
      <w:r w:rsidRPr="002A19F7">
        <w:rPr>
          <w:rFonts w:ascii="Century Gothic" w:hAnsi="Century Gothic" w:cs="Arial"/>
          <w:sz w:val="21"/>
          <w:szCs w:val="21"/>
        </w:rPr>
        <w:t>1. ¿Existe alguna limitante para la concesión o pacto del ANTICIPO y del PAGO ANTICIPADO respecto a alguna de las cinco modalidades de contratación existentes o respecto a la cuantía del contrato o, por el contrario, el marco legal y regulatorio vigente no contempla ninguna excepción para otorgarlos por parte de las entidades públicas contratantes?</w:t>
      </w:r>
    </w:p>
    <w:p w14:paraId="1720BBFC" w14:textId="77777777" w:rsidR="00AB49BE" w:rsidRPr="002A19F7" w:rsidRDefault="00AB49BE" w:rsidP="00AB49BE">
      <w:pPr>
        <w:spacing w:line="240" w:lineRule="auto"/>
        <w:ind w:left="709" w:right="709"/>
        <w:jc w:val="both"/>
        <w:rPr>
          <w:rFonts w:ascii="Century Gothic" w:hAnsi="Century Gothic" w:cs="Arial"/>
          <w:sz w:val="21"/>
          <w:szCs w:val="21"/>
        </w:rPr>
      </w:pPr>
      <w:r w:rsidRPr="002A19F7">
        <w:rPr>
          <w:rFonts w:ascii="Century Gothic" w:hAnsi="Century Gothic" w:cs="Arial"/>
          <w:sz w:val="21"/>
          <w:szCs w:val="21"/>
        </w:rPr>
        <w:lastRenderedPageBreak/>
        <w:t>2. En algunas instituciones educativas suele acontecer que debido al régimen especial de contratación que las rige establecido hasta un máximo de 20 s.m.m.v., dichas instituciones suscriben al amparo de dicho régimen, contratos, órdenes de compra o de servicio a lo largo de la vigencia, pero se ha detectado que teniendo en cuenta el precepto de la debida planeación del gasto, están incurriendo en un presunto fraccionamiento de contratos pues al no proyectar ni seguir estrictamente una planeación periódica (plan de compras anual) o, inclusive, teniendo formalizado este mecanismo de planeación, terminan suscribiendo contratos, órdenes de compra o de servicios con el mismo o similar objeto contractual en repetidas ocasiones en el transcurso de un mismo año.</w:t>
      </w:r>
    </w:p>
    <w:p w14:paraId="5DD86BDE" w14:textId="77777777" w:rsidR="00AB49BE" w:rsidRPr="002A19F7" w:rsidRDefault="00AB49BE" w:rsidP="00AB49BE">
      <w:pPr>
        <w:spacing w:line="240" w:lineRule="auto"/>
        <w:ind w:left="709" w:right="709"/>
        <w:jc w:val="both"/>
        <w:rPr>
          <w:rFonts w:ascii="Century Gothic" w:hAnsi="Century Gothic" w:cs="Arial"/>
          <w:sz w:val="21"/>
          <w:szCs w:val="21"/>
        </w:rPr>
      </w:pPr>
      <w:r w:rsidRPr="002A19F7">
        <w:rPr>
          <w:rFonts w:ascii="Century Gothic" w:hAnsi="Century Gothic" w:cs="Arial"/>
          <w:sz w:val="21"/>
          <w:szCs w:val="21"/>
        </w:rPr>
        <w:t xml:space="preserve">Por consiguiente, bajo la situación anterior expuesta, la pregunta a resolver es: ¿Las instituciones educativas incurren en alguna omisión o irregularidad frente al precepto de no fraccionamiento contractual por no ceñirse a éste en la suscripción de contratos, órdenes de compra o de servicios dentro de una misma vigencia, así las ampare el régimen especial de contratación expedido por el Consejo directivo de la institución? </w:t>
      </w:r>
    </w:p>
    <w:p w14:paraId="52AEFBC3" w14:textId="77777777" w:rsidR="00AB49BE" w:rsidRPr="002A19F7" w:rsidRDefault="00AB49BE" w:rsidP="00AB49BE">
      <w:pPr>
        <w:spacing w:after="0" w:line="240" w:lineRule="auto"/>
        <w:ind w:left="709" w:right="709"/>
        <w:contextualSpacing/>
        <w:jc w:val="both"/>
        <w:rPr>
          <w:rFonts w:ascii="Century Gothic" w:eastAsia="Calibri" w:hAnsi="Century Gothic" w:cs="Arial"/>
          <w:bCs/>
          <w14:ligatures w14:val="standardContextual"/>
        </w:rPr>
      </w:pPr>
    </w:p>
    <w:p w14:paraId="1DFD590F" w14:textId="77777777" w:rsidR="00AB49BE" w:rsidRPr="002A19F7" w:rsidRDefault="00AB49BE" w:rsidP="00AB49BE">
      <w:pPr>
        <w:autoSpaceDE w:val="0"/>
        <w:autoSpaceDN w:val="0"/>
        <w:adjustRightInd w:val="0"/>
        <w:spacing w:after="0" w:line="276" w:lineRule="auto"/>
        <w:jc w:val="both"/>
        <w:rPr>
          <w:rFonts w:ascii="Century Gothic" w:eastAsia="Calibri" w:hAnsi="Century Gothic" w:cs="Arial"/>
          <w:b/>
          <w14:ligatures w14:val="standardContextual"/>
        </w:rPr>
      </w:pPr>
      <w:r w:rsidRPr="002A19F7">
        <w:rPr>
          <w:rFonts w:ascii="Century Gothic" w:eastAsia="Calibri" w:hAnsi="Century Gothic" w:cs="Arial"/>
          <w:b/>
          <w14:ligatures w14:val="standardContextual"/>
        </w:rPr>
        <w:t>2. Consideraciones</w:t>
      </w:r>
    </w:p>
    <w:p w14:paraId="1B4E5989" w14:textId="77777777" w:rsidR="00AB49BE" w:rsidRPr="002A19F7" w:rsidRDefault="00AB49BE" w:rsidP="00AB49BE">
      <w:pPr>
        <w:tabs>
          <w:tab w:val="left" w:pos="426"/>
        </w:tabs>
        <w:spacing w:after="0" w:line="276" w:lineRule="auto"/>
        <w:jc w:val="both"/>
        <w:rPr>
          <w:rFonts w:ascii="Century Gothic" w:eastAsia="Calibri" w:hAnsi="Century Gothic" w:cs="Arial"/>
          <w:b/>
          <w:lang w:val="es-MX"/>
          <w14:ligatures w14:val="standardContextual"/>
        </w:rPr>
      </w:pPr>
    </w:p>
    <w:p w14:paraId="48D97F85" w14:textId="77777777" w:rsidR="002C3980" w:rsidRPr="002A19F7" w:rsidRDefault="00AB49BE" w:rsidP="00AB49BE">
      <w:pPr>
        <w:spacing w:after="120" w:line="276" w:lineRule="auto"/>
        <w:jc w:val="both"/>
        <w:rPr>
          <w:rFonts w:ascii="Century Gothic" w:eastAsia="Calibri" w:hAnsi="Century Gothic" w:cs="Arial"/>
          <w:lang w:val="es-ES_tradnl"/>
        </w:rPr>
      </w:pPr>
      <w:r w:rsidRPr="002A19F7">
        <w:rPr>
          <w:rFonts w:ascii="Century Gothic" w:eastAsia="Arial" w:hAnsi="Century Gothic" w:cs="Arial"/>
          <w:lang w:val="es-MX"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2A19F7">
        <w:rPr>
          <w:rFonts w:ascii="Century Gothic" w:eastAsia="Arial" w:hAnsi="Century Gothic" w:cs="Arial"/>
          <w:vertAlign w:val="superscript"/>
          <w:lang w:val="es-MX" w:eastAsia="es-ES_tradnl"/>
        </w:rPr>
        <w:footnoteReference w:id="2"/>
      </w:r>
      <w:r w:rsidRPr="002A19F7">
        <w:rPr>
          <w:rFonts w:ascii="Century Gothic" w:eastAsia="Arial" w:hAnsi="Century Gothic" w:cs="Arial"/>
          <w:lang w:val="es-MX" w:eastAsia="es-ES_tradnl"/>
        </w:rPr>
        <w:t xml:space="preserve">. </w:t>
      </w:r>
      <w:r w:rsidRPr="002A19F7">
        <w:rPr>
          <w:rFonts w:ascii="Century Gothic" w:eastAsia="Calibri" w:hAnsi="Century Gothic" w:cs="Arial"/>
          <w:lang w:val="es-ES_tradnl"/>
        </w:rPr>
        <w:t xml:space="preserve">Es necesario tener en cuenta que esta entidad solo tiene competencia para responder solicitudes sobre la aplicación de normas de carácter general en materia de compras y contratación pública. </w:t>
      </w:r>
    </w:p>
    <w:p w14:paraId="27CDA261" w14:textId="114CC2CA" w:rsidR="00AB49BE" w:rsidRPr="002A19F7" w:rsidRDefault="00AB49BE" w:rsidP="00BC46DE">
      <w:pPr>
        <w:spacing w:after="120" w:line="276" w:lineRule="auto"/>
        <w:ind w:firstLine="708"/>
        <w:jc w:val="both"/>
        <w:rPr>
          <w:rFonts w:ascii="Century Gothic" w:eastAsia="Calibri" w:hAnsi="Century Gothic" w:cs="Arial"/>
          <w:lang w:val="es-ES_tradnl"/>
        </w:rPr>
      </w:pPr>
      <w:r w:rsidRPr="002A19F7">
        <w:rPr>
          <w:rFonts w:ascii="Century Gothic" w:eastAsia="Calibri" w:hAnsi="Century Gothic" w:cs="Arial"/>
          <w:lang w:val="es-ES_tradnl"/>
        </w:rPr>
        <w:lastRenderedPageBreak/>
        <w:t>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16DB3344" w14:textId="77777777" w:rsidR="00AB49BE" w:rsidRPr="002A19F7" w:rsidRDefault="00AB49BE" w:rsidP="00AB49BE">
      <w:pPr>
        <w:spacing w:after="120" w:line="276" w:lineRule="auto"/>
        <w:ind w:firstLine="708"/>
        <w:jc w:val="both"/>
        <w:rPr>
          <w:rFonts w:ascii="Century Gothic" w:eastAsia="Calibri" w:hAnsi="Century Gothic" w:cs="Arial"/>
          <w:lang w:val="es-ES_tradnl"/>
        </w:rPr>
      </w:pPr>
      <w:r w:rsidRPr="002A19F7">
        <w:rPr>
          <w:rFonts w:ascii="Century Gothic" w:eastAsia="Calibri" w:hAnsi="Century Gothic"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mucho menos pronunciarse por la presunta responsabilidad en que se puede derivar de las actuaciones adelantadas en los procesos de contratación estatal dado que este último aspecto es de competencia restrictiva de la rama judicial y de los entes de control, según corresponda. </w:t>
      </w:r>
    </w:p>
    <w:p w14:paraId="724A6AE0" w14:textId="3EEFD2F3" w:rsidR="00AB49BE" w:rsidRPr="002A19F7" w:rsidRDefault="00AB49BE" w:rsidP="00AB49BE">
      <w:pPr>
        <w:spacing w:before="120" w:after="0" w:line="276" w:lineRule="auto"/>
        <w:ind w:firstLine="709"/>
        <w:jc w:val="both"/>
        <w:rPr>
          <w:rFonts w:ascii="Century Gothic" w:eastAsia="Calibri" w:hAnsi="Century Gothic" w:cs="Arial"/>
          <w:lang w:val="es-MX"/>
          <w14:ligatures w14:val="standardContextual"/>
        </w:rPr>
      </w:pPr>
      <w:r w:rsidRPr="002A19F7">
        <w:rPr>
          <w:rFonts w:ascii="Century Gothic" w:eastAsia="Calibri" w:hAnsi="Century Gothic" w:cs="Arial"/>
        </w:rPr>
        <w:t xml:space="preserve">Así las cosas, </w:t>
      </w:r>
      <w:r w:rsidRPr="002A19F7">
        <w:rPr>
          <w:rFonts w:ascii="Century Gothic" w:eastAsia="Calibri" w:hAnsi="Century Gothic" w:cs="Arial"/>
          <w:lang w:val="es-ES"/>
        </w:rPr>
        <w:t>la Agencia –dentro de los límites de sus atribuciones – p</w:t>
      </w:r>
      <w:r w:rsidRPr="002A19F7">
        <w:rPr>
          <w:rFonts w:ascii="Century Gothic" w:eastAsia="Calibri" w:hAnsi="Century Gothic" w:cs="Arial"/>
          <w:lang w:val="es-MX"/>
          <w14:ligatures w14:val="standardContextual"/>
        </w:rPr>
        <w:t xml:space="preserve">ara resolver las inquietudes planteadas </w:t>
      </w:r>
      <w:r w:rsidR="000C2881" w:rsidRPr="002A19F7">
        <w:rPr>
          <w:rFonts w:ascii="Century Gothic" w:eastAsia="Calibri" w:hAnsi="Century Gothic" w:cs="Arial"/>
          <w:lang w:val="es-MX"/>
          <w14:ligatures w14:val="standardContextual"/>
        </w:rPr>
        <w:t xml:space="preserve">se </w:t>
      </w:r>
      <w:r w:rsidRPr="002A19F7">
        <w:rPr>
          <w:rFonts w:ascii="Century Gothic" w:eastAsia="Calibri" w:hAnsi="Century Gothic" w:cs="Arial"/>
          <w:lang w:val="es-MX"/>
          <w14:ligatures w14:val="standardContextual"/>
        </w:rPr>
        <w:t>abordará</w:t>
      </w:r>
      <w:r w:rsidR="000C2881" w:rsidRPr="002A19F7">
        <w:rPr>
          <w:rFonts w:ascii="Century Gothic" w:eastAsia="Calibri" w:hAnsi="Century Gothic" w:cs="Arial"/>
          <w:lang w:val="es-MX"/>
          <w14:ligatures w14:val="standardContextual"/>
        </w:rPr>
        <w:t>n</w:t>
      </w:r>
      <w:r w:rsidRPr="002A19F7">
        <w:rPr>
          <w:rFonts w:ascii="Century Gothic" w:eastAsia="Calibri" w:hAnsi="Century Gothic" w:cs="Arial"/>
          <w:lang w:val="es-MX"/>
          <w14:ligatures w14:val="standardContextual"/>
        </w:rPr>
        <w:t xml:space="preserve"> los siguientes temas: i). Naturaleza jurídica del anticipo ii)</w:t>
      </w:r>
      <w:r w:rsidR="00C57585">
        <w:rPr>
          <w:rFonts w:ascii="Century Gothic" w:eastAsia="Calibri" w:hAnsi="Century Gothic" w:cs="Arial"/>
          <w:lang w:val="es-MX"/>
          <w14:ligatures w14:val="standardContextual"/>
        </w:rPr>
        <w:t>.</w:t>
      </w:r>
      <w:r w:rsidRPr="002A19F7">
        <w:rPr>
          <w:rFonts w:ascii="Century Gothic" w:hAnsi="Century Gothic" w:cs="Arial"/>
          <w:color w:val="000000" w:themeColor="text1"/>
        </w:rPr>
        <w:t xml:space="preserve"> Ámbito de aplicación del artículo 91 de la Ley 1474 de 2011 iii)</w:t>
      </w:r>
      <w:r w:rsidR="00C57585">
        <w:rPr>
          <w:rFonts w:ascii="Century Gothic" w:hAnsi="Century Gothic" w:cs="Arial"/>
          <w:color w:val="000000" w:themeColor="text1"/>
        </w:rPr>
        <w:t>.</w:t>
      </w:r>
      <w:r w:rsidRPr="002A19F7">
        <w:rPr>
          <w:rFonts w:ascii="Century Gothic" w:eastAsia="Calibri" w:hAnsi="Century Gothic" w:cs="Arial"/>
          <w:lang w:val="es-MX"/>
          <w14:ligatures w14:val="standardContextual"/>
        </w:rPr>
        <w:t xml:space="preserve"> Fraccionamiento de contratos </w:t>
      </w:r>
      <w:r w:rsidR="0086098D" w:rsidRPr="002A19F7">
        <w:rPr>
          <w:rFonts w:ascii="Century Gothic" w:eastAsia="Calibri" w:hAnsi="Century Gothic" w:cs="Arial"/>
          <w:lang w:val="es-MX"/>
          <w14:ligatures w14:val="standardContextual"/>
        </w:rPr>
        <w:t xml:space="preserve">y </w:t>
      </w:r>
      <w:r w:rsidR="00C57585">
        <w:rPr>
          <w:rFonts w:ascii="Century Gothic" w:eastAsia="Calibri" w:hAnsi="Century Gothic" w:cs="Arial"/>
          <w:lang w:val="es-MX"/>
          <w14:ligatures w14:val="standardContextual"/>
        </w:rPr>
        <w:t>i</w:t>
      </w:r>
      <w:r w:rsidRPr="002A19F7">
        <w:rPr>
          <w:rFonts w:ascii="Century Gothic" w:eastAsia="Calibri" w:hAnsi="Century Gothic" w:cs="Arial"/>
          <w:lang w:val="es-MX"/>
          <w14:ligatures w14:val="standardContextual"/>
        </w:rPr>
        <w:t>v) Naturaleza Jurídica de las Instituciones Educativas de carácter oficial y su régimen de contratación</w:t>
      </w:r>
    </w:p>
    <w:p w14:paraId="2BF315E7" w14:textId="77777777" w:rsidR="00AB49BE" w:rsidRPr="002A19F7" w:rsidRDefault="00AB49BE" w:rsidP="00AB49BE">
      <w:pPr>
        <w:spacing w:before="120" w:after="0" w:line="276" w:lineRule="auto"/>
        <w:ind w:firstLine="709"/>
        <w:jc w:val="both"/>
        <w:rPr>
          <w:rFonts w:ascii="Century Gothic" w:eastAsia="Calibri" w:hAnsi="Century Gothic" w:cs="Arial"/>
          <w:lang w:val="es-ES"/>
        </w:rPr>
      </w:pPr>
    </w:p>
    <w:p w14:paraId="279C0294" w14:textId="77777777" w:rsidR="00AB49BE" w:rsidRPr="002A19F7" w:rsidRDefault="00AB49BE" w:rsidP="00AB49BE">
      <w:pPr>
        <w:spacing w:after="0" w:line="276" w:lineRule="auto"/>
        <w:ind w:firstLine="709"/>
        <w:jc w:val="both"/>
        <w:rPr>
          <w:rFonts w:ascii="Century Gothic" w:hAnsi="Century Gothic" w:cs="Arial"/>
          <w:lang w:val="es-MX"/>
          <w14:ligatures w14:val="standardContextual"/>
        </w:rPr>
      </w:pPr>
      <w:r w:rsidRPr="002A19F7">
        <w:rPr>
          <w:rFonts w:ascii="Century Gothic" w:hAnsi="Century Gothic" w:cs="Arial"/>
          <w:lang w:val="es-MX"/>
          <w14:ligatures w14:val="standardContextual"/>
        </w:rPr>
        <w:t xml:space="preserve">La Agencia Nacional de Contratación Pública – Colombia Compra Eficiente estudió el tema de la naturaleza jurídica de las instituciones educativas y su régimen de contratación en los conceptos con radicado No. 2201913000006285 del 27 de agosto de 2019, </w:t>
      </w:r>
      <w:hyperlink r:id="rId11" w:tgtFrame="_blank" w:history="1">
        <w:r w:rsidRPr="002A19F7">
          <w:rPr>
            <w:rFonts w:ascii="Century Gothic" w:hAnsi="Century Gothic" w:cs="Arial"/>
            <w:lang w:val="es-MX"/>
            <w14:ligatures w14:val="standardContextual"/>
          </w:rPr>
          <w:t>2201913000006068</w:t>
        </w:r>
      </w:hyperlink>
      <w:r w:rsidRPr="002A19F7">
        <w:rPr>
          <w:rFonts w:ascii="Century Gothic" w:hAnsi="Century Gothic" w:cs="Arial"/>
          <w:lang w:val="es-MX"/>
          <w14:ligatures w14:val="standardContextual"/>
        </w:rPr>
        <w:t xml:space="preserve"> del 28 de agosto de 2019, 2201913000008174 del 31 de octubre de 2019,  </w:t>
      </w:r>
      <w:hyperlink r:id="rId12" w:tgtFrame="_blank" w:history="1">
        <w:r w:rsidRPr="002A19F7">
          <w:rPr>
            <w:rFonts w:ascii="Century Gothic" w:hAnsi="Century Gothic" w:cs="Arial"/>
            <w:lang w:val="es-MX"/>
            <w14:ligatures w14:val="standardContextual"/>
          </w:rPr>
          <w:t>2201913000008197</w:t>
        </w:r>
      </w:hyperlink>
      <w:r w:rsidRPr="002A19F7">
        <w:rPr>
          <w:rFonts w:ascii="Century Gothic" w:hAnsi="Century Gothic" w:cs="Arial"/>
          <w:lang w:val="es-MX"/>
          <w14:ligatures w14:val="standardContextual"/>
        </w:rPr>
        <w:t xml:space="preserve"> del 1 de noviembre de 2019, C-181 del 6 de abril de 2020, C-272 del 27 de abril de 2020, C-284 del 27 de mayo de 2010, C-399 del 23 de junio de 2020, C-574 del 28 de agosto de 2020, C-355 del 2 de junio de 2022, C-544 del 30 de agosto de 2022, C-596 de 20 de septiembre de 2022 y C-055 de 19 de abril de 2023. </w:t>
      </w:r>
      <w:r w:rsidRPr="002A19F7">
        <w:rPr>
          <w:rStyle w:val="normaltextrun"/>
          <w:rFonts w:ascii="Century Gothic" w:hAnsi="Century Gothic" w:cs="Arial"/>
          <w:color w:val="000000"/>
          <w:shd w:val="clear" w:color="auto" w:fill="FFFFFF"/>
        </w:rPr>
        <w:t xml:space="preserve">en los conceptos con radicados números 4201714000000768 del 10 de marzo de 2017, 4201713000000879 del 24 de marzo de 2017, 4201713000002621 del 27 de julio de 2017,  4201714000004176 del 28 de agosto de 2017, 4201714000005628 del 11 de diciembre de 2017, 4201814000000698 del 14 de abril de 2018, C-049 del 21 de febrero de 2020, C-209 del 16 de marzo de 2020, C-693 del 25 de noviembre de 2020, C-731 del 14 de diciembre de 2020, C-154 del 18 de mayo de 2021, C-842 del 7 de diciembre de 2022, C-825 del 28 de diciembre de 2022 y C-033 de 27 de febrero de 2023 se abordó el análisis y estudio de la </w:t>
      </w:r>
      <w:r w:rsidRPr="002A19F7">
        <w:rPr>
          <w:rStyle w:val="normaltextrun"/>
          <w:rFonts w:ascii="Century Gothic" w:hAnsi="Century Gothic" w:cs="Arial"/>
          <w:color w:val="000000"/>
          <w:shd w:val="clear" w:color="auto" w:fill="FFFFFF"/>
        </w:rPr>
        <w:lastRenderedPageBreak/>
        <w:t xml:space="preserve">facultad de las entidades estatales para pactar la entrega de anticipos en los contratos estatales y el ámbito de aplicación del artículo 91 de la Ley 1474 de 2011. </w:t>
      </w:r>
      <w:r w:rsidRPr="002A19F7">
        <w:rPr>
          <w:rFonts w:ascii="Century Gothic" w:hAnsi="Century Gothic" w:cs="Arial"/>
          <w:lang w:val="es-MX"/>
          <w14:ligatures w14:val="standardContextual"/>
        </w:rPr>
        <w:t>entre otros</w:t>
      </w:r>
      <w:r w:rsidRPr="002A19F7">
        <w:rPr>
          <w:rFonts w:ascii="Century Gothic" w:hAnsi="Century Gothic" w:cs="Arial"/>
          <w:vertAlign w:val="superscript"/>
          <w:lang w:val="es-MX" w:eastAsia="en-GB"/>
          <w14:ligatures w14:val="standardContextual"/>
        </w:rPr>
        <w:footnoteReference w:id="3"/>
      </w:r>
      <w:r w:rsidRPr="002A19F7">
        <w:rPr>
          <w:rFonts w:ascii="Century Gothic" w:hAnsi="Century Gothic" w:cs="Arial"/>
          <w:lang w:val="es-MX"/>
          <w14:ligatures w14:val="standardContextual"/>
        </w:rPr>
        <w:t>. Las tesis expuestas se reiteran a continuación y se complementan en lo pertinente.</w:t>
      </w:r>
    </w:p>
    <w:p w14:paraId="271BC26E" w14:textId="77777777" w:rsidR="00AB49BE" w:rsidRPr="002A19F7" w:rsidRDefault="00AB49BE" w:rsidP="00AB49BE">
      <w:pPr>
        <w:tabs>
          <w:tab w:val="left" w:pos="426"/>
        </w:tabs>
        <w:spacing w:after="0" w:line="276" w:lineRule="auto"/>
        <w:jc w:val="both"/>
        <w:rPr>
          <w:rFonts w:ascii="Century Gothic" w:eastAsia="Calibri" w:hAnsi="Century Gothic" w:cs="Arial"/>
          <w:b/>
          <w:lang w:val="es-MX"/>
          <w14:ligatures w14:val="standardContextual"/>
        </w:rPr>
      </w:pPr>
    </w:p>
    <w:p w14:paraId="6EFEC78E" w14:textId="77777777" w:rsidR="00AB49BE" w:rsidRPr="002A19F7" w:rsidRDefault="00AB49BE" w:rsidP="00AB49BE">
      <w:pPr>
        <w:tabs>
          <w:tab w:val="left" w:pos="426"/>
        </w:tabs>
        <w:spacing w:after="0" w:line="276" w:lineRule="auto"/>
        <w:jc w:val="both"/>
        <w:rPr>
          <w:rFonts w:ascii="Century Gothic" w:hAnsi="Century Gothic" w:cs="Arial"/>
          <w:b/>
          <w:color w:val="000000" w:themeColor="text1"/>
        </w:rPr>
      </w:pPr>
      <w:bookmarkStart w:id="1" w:name="_Hlk114560518"/>
      <w:r w:rsidRPr="002A19F7">
        <w:rPr>
          <w:rFonts w:ascii="Century Gothic" w:eastAsia="Calibri" w:hAnsi="Century Gothic" w:cs="Arial"/>
          <w:b/>
          <w:lang w:val="es-MX"/>
          <w14:ligatures w14:val="standardContextual"/>
        </w:rPr>
        <w:t xml:space="preserve">2.1. </w:t>
      </w:r>
      <w:bookmarkEnd w:id="1"/>
      <w:r w:rsidRPr="002A19F7">
        <w:rPr>
          <w:rFonts w:ascii="Century Gothic" w:hAnsi="Century Gothic" w:cs="Arial"/>
          <w:b/>
          <w:color w:val="000000" w:themeColor="text1"/>
        </w:rPr>
        <w:t xml:space="preserve">Naturaleza jurídica del anticipo. </w:t>
      </w:r>
    </w:p>
    <w:p w14:paraId="3F3A8B5F" w14:textId="77777777" w:rsidR="00AB49BE" w:rsidRPr="002A19F7" w:rsidRDefault="00AB49BE" w:rsidP="00AB49BE">
      <w:pPr>
        <w:tabs>
          <w:tab w:val="left" w:pos="426"/>
        </w:tabs>
        <w:spacing w:after="0" w:line="276" w:lineRule="auto"/>
        <w:jc w:val="both"/>
        <w:rPr>
          <w:rFonts w:ascii="Century Gothic" w:hAnsi="Century Gothic" w:cs="Arial"/>
          <w:lang w:val="es-MX"/>
          <w14:ligatures w14:val="standardContextual"/>
        </w:rPr>
      </w:pPr>
    </w:p>
    <w:p w14:paraId="44018DDC" w14:textId="77777777" w:rsidR="00AB49BE" w:rsidRPr="002A19F7" w:rsidRDefault="00AB49BE" w:rsidP="00AB49BE">
      <w:pPr>
        <w:tabs>
          <w:tab w:val="left" w:pos="0"/>
        </w:tabs>
        <w:spacing w:line="276" w:lineRule="auto"/>
        <w:jc w:val="both"/>
        <w:rPr>
          <w:rFonts w:ascii="Century Gothic" w:hAnsi="Century Gothic" w:cs="Arial"/>
          <w:color w:val="000000" w:themeColor="text1"/>
        </w:rPr>
      </w:pPr>
      <w:r w:rsidRPr="002A19F7">
        <w:rPr>
          <w:rFonts w:ascii="Century Gothic" w:hAnsi="Century Gothic" w:cs="Arial"/>
          <w:color w:val="000000"/>
          <w:lang w:eastAsia="en-GB"/>
        </w:rPr>
        <w:t>En materia de contratación pública, la figura del anticipo está prevista en dos (2) normas: el</w:t>
      </w:r>
      <w:r w:rsidRPr="002A19F7">
        <w:rPr>
          <w:rFonts w:ascii="Century Gothic" w:hAnsi="Century Gothic" w:cs="Arial"/>
          <w:color w:val="000000" w:themeColor="text1"/>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w:t>
      </w:r>
    </w:p>
    <w:p w14:paraId="0AABFC4E" w14:textId="77777777" w:rsidR="00AB49BE" w:rsidRPr="002A19F7" w:rsidRDefault="00AB49BE" w:rsidP="00AB49BE">
      <w:pPr>
        <w:tabs>
          <w:tab w:val="left" w:pos="0"/>
        </w:tabs>
        <w:spacing w:before="120" w:line="276" w:lineRule="auto"/>
        <w:ind w:firstLine="709"/>
        <w:jc w:val="both"/>
        <w:rPr>
          <w:rFonts w:ascii="Century Gothic" w:hAnsi="Century Gothic" w:cs="Arial"/>
          <w:color w:val="000000" w:themeColor="text1"/>
        </w:rPr>
      </w:pPr>
      <w:r w:rsidRPr="002A19F7">
        <w:rPr>
          <w:rFonts w:ascii="Century Gothic" w:hAnsi="Century Gothic" w:cs="Arial"/>
          <w:color w:val="000000" w:themeColor="text1"/>
        </w:rPr>
        <w:t xml:space="preserve">Por su parte, el artículo 91 de la Ley 1474 de 2011 consagra una regla especial para el manejo del anticipo. Según esta disposición, el contratista tiene la obligación de constituir una fiducia o un patrimonio autónomo irrevocable para el manejo de los recursos que reciba a título de anticipo, cuando se pacte en contratos de obra, concesión, salud, o en todos aquellos que se realicen por licitación pública, </w:t>
      </w:r>
      <w:r w:rsidRPr="002A19F7">
        <w:rPr>
          <w:rFonts w:ascii="Century Gothic" w:hAnsi="Century Gothic" w:cs="Arial"/>
          <w:i/>
          <w:color w:val="000000" w:themeColor="text1"/>
        </w:rPr>
        <w:t>“salvo que el contrato sea de menor o mínima cuantía</w:t>
      </w:r>
      <w:r w:rsidRPr="002A19F7">
        <w:rPr>
          <w:rFonts w:ascii="Century Gothic" w:hAnsi="Century Gothic" w:cs="Arial"/>
          <w:color w:val="000000" w:themeColor="text1"/>
        </w:rPr>
        <w:t>”. Lo anterior, con el fin de garantizar que se destinen exclusivamente a la ejecución del contrato.</w:t>
      </w:r>
    </w:p>
    <w:p w14:paraId="02FAE57A" w14:textId="77777777" w:rsidR="00AB49BE" w:rsidRPr="002A19F7" w:rsidRDefault="00AB49BE" w:rsidP="00AB49BE">
      <w:pPr>
        <w:tabs>
          <w:tab w:val="left" w:pos="0"/>
        </w:tabs>
        <w:spacing w:before="120" w:line="276" w:lineRule="auto"/>
        <w:ind w:firstLine="709"/>
        <w:jc w:val="both"/>
        <w:rPr>
          <w:rFonts w:ascii="Century Gothic" w:hAnsi="Century Gothic" w:cs="Arial"/>
          <w:vertAlign w:val="superscript"/>
        </w:rPr>
      </w:pPr>
      <w:r w:rsidRPr="002A19F7">
        <w:rPr>
          <w:rFonts w:ascii="Century Gothic" w:hAnsi="Century Gothic" w:cs="Arial"/>
        </w:rPr>
        <w:t>Aunque las normas citadas no definen el anticipo, el Consejo de Estado ha precisado su naturaleza jurídica fijando parámetros para su aplicación</w:t>
      </w:r>
      <w:r w:rsidRPr="002A19F7">
        <w:rPr>
          <w:rFonts w:ascii="Century Gothic" w:hAnsi="Century Gothic" w:cs="Arial"/>
          <w:vertAlign w:val="superscript"/>
        </w:rPr>
        <w:footnoteReference w:id="4"/>
      </w:r>
      <w:r w:rsidRPr="002A19F7">
        <w:rPr>
          <w:rFonts w:ascii="Century Gothic" w:hAnsi="Century Gothic" w:cs="Arial"/>
        </w:rPr>
        <w:t xml:space="preserve">. En uno de </w:t>
      </w:r>
      <w:r w:rsidRPr="002A19F7">
        <w:rPr>
          <w:rFonts w:ascii="Century Gothic" w:hAnsi="Century Gothic" w:cs="Arial"/>
        </w:rPr>
        <w:lastRenderedPageBreak/>
        <w:t xml:space="preserve">sus pronunciamientos más recientes, el Consejo de Estado se refirió al anticipo como </w:t>
      </w:r>
      <w:r w:rsidRPr="002A19F7">
        <w:rPr>
          <w:rFonts w:ascii="Century Gothic" w:hAnsi="Century Gothic" w:cs="Arial"/>
          <w:color w:val="000000" w:themeColor="text1"/>
        </w:rPr>
        <w:t>“</w:t>
      </w:r>
      <w:r w:rsidRPr="002A19F7">
        <w:rPr>
          <w:rFonts w:ascii="Century Gothic" w:hAnsi="Century Gothic" w:cs="Arial"/>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2A19F7">
        <w:rPr>
          <w:rFonts w:ascii="Century Gothic" w:hAnsi="Century Gothic" w:cs="Arial"/>
          <w:color w:val="000000" w:themeColor="text1"/>
        </w:rPr>
        <w:t>”</w:t>
      </w:r>
      <w:r w:rsidRPr="002A19F7">
        <w:rPr>
          <w:rFonts w:ascii="Century Gothic" w:hAnsi="Century Gothic" w:cs="Arial"/>
          <w:vertAlign w:val="superscript"/>
        </w:rPr>
        <w:footnoteReference w:id="5"/>
      </w:r>
      <w:r w:rsidRPr="002A19F7">
        <w:rPr>
          <w:rFonts w:ascii="Century Gothic" w:hAnsi="Century Gothic" w:cs="Arial"/>
          <w:color w:val="000000" w:themeColor="text1"/>
        </w:rPr>
        <w:t>.</w:t>
      </w:r>
    </w:p>
    <w:p w14:paraId="6E422214" w14:textId="77777777" w:rsidR="00AB49BE" w:rsidRPr="002A19F7" w:rsidRDefault="00AB49BE" w:rsidP="00AB49BE">
      <w:pPr>
        <w:spacing w:before="120" w:line="276" w:lineRule="auto"/>
        <w:ind w:firstLine="708"/>
        <w:jc w:val="both"/>
        <w:rPr>
          <w:rFonts w:ascii="Century Gothic" w:hAnsi="Century Gothic" w:cs="Arial"/>
        </w:rPr>
      </w:pPr>
      <w:r w:rsidRPr="002A19F7">
        <w:rPr>
          <w:rFonts w:ascii="Century Gothic" w:hAnsi="Century Gothic" w:cs="Arial"/>
        </w:rPr>
        <w:t xml:space="preserve">Sobre la calidad de recurso público del anticipo, la jurisprudencia ha reiterado que </w:t>
      </w:r>
      <w:r w:rsidRPr="002A19F7">
        <w:rPr>
          <w:rFonts w:ascii="Century Gothic" w:hAnsi="Century Gothic" w:cs="Arial"/>
          <w:color w:val="000000" w:themeColor="text1"/>
        </w:rPr>
        <w:t>“</w:t>
      </w:r>
      <w:r w:rsidRPr="002A19F7">
        <w:rPr>
          <w:rFonts w:ascii="Century Gothic" w:hAnsi="Century Gothic" w:cs="Arial"/>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Pr="002A19F7">
        <w:rPr>
          <w:rFonts w:ascii="Century Gothic" w:hAnsi="Century Gothic" w:cs="Arial"/>
          <w:color w:val="000000" w:themeColor="text1"/>
        </w:rPr>
        <w:t>”</w:t>
      </w:r>
      <w:r w:rsidRPr="002A19F7">
        <w:rPr>
          <w:rFonts w:ascii="Century Gothic" w:hAnsi="Century Gothic" w:cs="Arial"/>
          <w:vertAlign w:val="superscript"/>
        </w:rPr>
        <w:footnoteReference w:id="6"/>
      </w:r>
      <w:r w:rsidRPr="002A19F7">
        <w:rPr>
          <w:rFonts w:ascii="Century Gothic" w:hAnsi="Century Gothic" w:cs="Arial"/>
        </w:rPr>
        <w:t>. Igualmente, explica que el anticipo, al facilitar al contratista la financiación de los bienes y servicios que se le han encargado, es un factor determinante para impulsar la ejecución del contrato</w:t>
      </w:r>
      <w:r w:rsidRPr="002A19F7">
        <w:rPr>
          <w:rFonts w:ascii="Century Gothic" w:hAnsi="Century Gothic" w:cs="Arial"/>
          <w:vertAlign w:val="superscript"/>
        </w:rPr>
        <w:footnoteReference w:id="7"/>
      </w:r>
      <w:r w:rsidRPr="002A19F7">
        <w:rPr>
          <w:rFonts w:ascii="Century Gothic" w:hAnsi="Century Gothic" w:cs="Arial"/>
        </w:rPr>
        <w:t>. Este también es el entendimiento de la doctrina</w:t>
      </w:r>
      <w:r w:rsidRPr="002A19F7">
        <w:rPr>
          <w:rFonts w:ascii="Century Gothic" w:hAnsi="Century Gothic" w:cs="Arial"/>
          <w:color w:val="000000" w:themeColor="text1"/>
        </w:rPr>
        <w:t>,</w:t>
      </w:r>
      <w:r w:rsidRPr="002A19F7">
        <w:rPr>
          <w:rFonts w:ascii="Century Gothic" w:hAnsi="Century Gothic" w:cs="Arial"/>
        </w:rPr>
        <w:t xml:space="preserve"> que ha considerado el anticipo como un dinero entregado al contratista que debe cancelarse mediante descuentos parciales, siendo una práctica común que permite impulsar la ejecución del contrato</w:t>
      </w:r>
      <w:r w:rsidRPr="002A19F7">
        <w:rPr>
          <w:rFonts w:ascii="Century Gothic" w:hAnsi="Century Gothic" w:cs="Arial"/>
          <w:vertAlign w:val="superscript"/>
        </w:rPr>
        <w:footnoteReference w:id="8"/>
      </w:r>
      <w:r w:rsidRPr="002A19F7">
        <w:rPr>
          <w:rFonts w:ascii="Century Gothic" w:hAnsi="Century Gothic" w:cs="Arial"/>
        </w:rPr>
        <w:t xml:space="preserve">. </w:t>
      </w:r>
    </w:p>
    <w:p w14:paraId="7A225246" w14:textId="77777777" w:rsidR="00AB49BE" w:rsidRPr="002A19F7" w:rsidRDefault="00AB49BE" w:rsidP="00AB49BE">
      <w:pPr>
        <w:spacing w:before="120" w:line="276" w:lineRule="auto"/>
        <w:ind w:firstLine="708"/>
        <w:jc w:val="both"/>
        <w:rPr>
          <w:rFonts w:ascii="Century Gothic" w:hAnsi="Century Gothic" w:cs="Arial"/>
          <w:color w:val="000000" w:themeColor="text1"/>
        </w:rPr>
      </w:pPr>
      <w:r w:rsidRPr="002A19F7">
        <w:rPr>
          <w:rFonts w:ascii="Century Gothic" w:hAnsi="Century Gothic" w:cs="Arial"/>
          <w:color w:val="000000" w:themeColor="text1"/>
        </w:rPr>
        <w:lastRenderedPageBreak/>
        <w:t xml:space="preserve">Así, de acuerdo con las consideraciones de la jurisprudencia y la doctrina, el anticipo es </w:t>
      </w:r>
      <w:r w:rsidRPr="002A19F7">
        <w:rPr>
          <w:rFonts w:ascii="Century Gothic" w:hAnsi="Century Gothic" w:cs="Arial"/>
        </w:rPr>
        <w:t>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p>
    <w:p w14:paraId="11BB45B0" w14:textId="77777777" w:rsidR="00AB49BE" w:rsidRPr="002A19F7" w:rsidRDefault="00AB49BE" w:rsidP="00AB49BE">
      <w:pPr>
        <w:spacing w:before="120" w:line="276" w:lineRule="auto"/>
        <w:ind w:firstLine="709"/>
        <w:jc w:val="both"/>
        <w:rPr>
          <w:rFonts w:ascii="Century Gothic" w:hAnsi="Century Gothic" w:cs="Arial"/>
        </w:rPr>
      </w:pPr>
      <w:r w:rsidRPr="002A19F7">
        <w:rPr>
          <w:rFonts w:ascii="Century Gothic" w:hAnsi="Century Gothic" w:cs="Arial"/>
          <w:color w:val="000000" w:themeColor="text1"/>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De esta manera, el Consejo de Estado explica lo siguiente: </w:t>
      </w:r>
    </w:p>
    <w:p w14:paraId="586D26F6" w14:textId="77777777" w:rsidR="00AB49BE" w:rsidRPr="002A19F7" w:rsidRDefault="00AB49BE" w:rsidP="00AB49BE">
      <w:pPr>
        <w:spacing w:line="240" w:lineRule="auto"/>
        <w:ind w:left="709" w:right="709"/>
        <w:jc w:val="both"/>
        <w:rPr>
          <w:rFonts w:ascii="Century Gothic" w:hAnsi="Century Gothic" w:cs="Arial"/>
          <w:sz w:val="21"/>
          <w:szCs w:val="21"/>
        </w:rPr>
      </w:pPr>
      <w:r w:rsidRPr="002A19F7">
        <w:rPr>
          <w:rFonts w:ascii="Century Gothic" w:hAnsi="Century Gothic" w:cs="Arial"/>
          <w:color w:val="000000" w:themeColor="text1"/>
        </w:rPr>
        <w:t>“</w:t>
      </w:r>
      <w:r w:rsidRPr="002A19F7">
        <w:rPr>
          <w:rFonts w:ascii="Century Gothic" w:hAnsi="Century Gothic" w:cs="Arial"/>
          <w:sz w:val="21"/>
          <w:szCs w:val="21"/>
        </w:rPr>
        <w:t xml:space="preserve">[…]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2A19F7">
        <w:rPr>
          <w:rFonts w:ascii="Century Gothic" w:hAnsi="Century Gothic" w:cs="Arial"/>
          <w:sz w:val="21"/>
          <w:szCs w:val="21"/>
        </w:rPr>
        <w:t>etc</w:t>
      </w:r>
      <w:proofErr w:type="spellEnd"/>
      <w:r w:rsidRPr="002A19F7">
        <w:rPr>
          <w:rFonts w:ascii="Century Gothic" w:hAnsi="Century Gothic" w:cs="Arial"/>
          <w:sz w:val="21"/>
          <w:szCs w:val="21"/>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2A19F7">
        <w:rPr>
          <w:rFonts w:ascii="Century Gothic" w:hAnsi="Century Gothic" w:cs="Arial"/>
          <w:b/>
          <w:sz w:val="21"/>
          <w:szCs w:val="21"/>
        </w:rPr>
        <w:t xml:space="preserve">, </w:t>
      </w:r>
      <w:r w:rsidRPr="002A19F7">
        <w:rPr>
          <w:rFonts w:ascii="Century Gothic" w:hAnsi="Century Gothic" w:cs="Arial"/>
          <w:sz w:val="21"/>
          <w:szCs w:val="21"/>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Pr="002A19F7">
        <w:rPr>
          <w:rFonts w:ascii="Century Gothic" w:hAnsi="Century Gothic" w:cs="Arial"/>
          <w:color w:val="000000" w:themeColor="text1"/>
        </w:rPr>
        <w:t>”</w:t>
      </w:r>
      <w:r w:rsidRPr="002A19F7">
        <w:rPr>
          <w:rFonts w:ascii="Century Gothic" w:hAnsi="Century Gothic" w:cs="Arial"/>
          <w:sz w:val="21"/>
          <w:szCs w:val="21"/>
          <w:vertAlign w:val="superscript"/>
        </w:rPr>
        <w:footnoteReference w:id="9"/>
      </w:r>
    </w:p>
    <w:p w14:paraId="6E7C83C8" w14:textId="77777777" w:rsidR="00AB49BE" w:rsidRPr="002A19F7" w:rsidRDefault="00AB49BE" w:rsidP="00AB49BE">
      <w:pPr>
        <w:tabs>
          <w:tab w:val="left" w:pos="0"/>
        </w:tabs>
        <w:spacing w:line="276" w:lineRule="auto"/>
        <w:ind w:firstLine="709"/>
        <w:jc w:val="both"/>
        <w:rPr>
          <w:rFonts w:ascii="Century Gothic" w:hAnsi="Century Gothic" w:cs="Arial"/>
        </w:rPr>
      </w:pPr>
      <w:r w:rsidRPr="002A19F7">
        <w:rPr>
          <w:rFonts w:ascii="Century Gothic" w:hAnsi="Century Gothic" w:cs="Arial"/>
        </w:rPr>
        <w:t xml:space="preserve">Las entidades estatales tienen la facultad de pactar la entrega de anticipos en los contratos que celebren. Para ello, deberán realizar el estudio correspondiente con el fin de determinar la conveniencia de otorgar recursos al </w:t>
      </w:r>
      <w:r w:rsidRPr="002A19F7">
        <w:rPr>
          <w:rFonts w:ascii="Century Gothic" w:hAnsi="Century Gothic" w:cs="Arial"/>
        </w:rPr>
        <w:lastRenderedPageBreak/>
        <w:t>contratista bajo esa denominación. De este modo, las entidades podrán determinar las condiciones de entrega, el monto –que no podrá ser superior al cincuenta por ciento (50%) del valor del contrato–, el plazo de amortización, las condiciones necesarias para su exigibilidad, así como todas las obligaciones para su correcta inversión.</w:t>
      </w:r>
    </w:p>
    <w:p w14:paraId="39D87662" w14:textId="77777777" w:rsidR="00AB49BE" w:rsidRPr="002A19F7" w:rsidRDefault="00AB49BE" w:rsidP="00AB49BE">
      <w:pPr>
        <w:tabs>
          <w:tab w:val="left" w:pos="0"/>
        </w:tabs>
        <w:spacing w:before="120" w:line="276" w:lineRule="auto"/>
        <w:ind w:firstLine="709"/>
        <w:jc w:val="both"/>
        <w:rPr>
          <w:rFonts w:ascii="Century Gothic" w:hAnsi="Century Gothic" w:cs="Arial"/>
          <w:color w:val="000000" w:themeColor="text1"/>
        </w:rPr>
      </w:pPr>
      <w:r w:rsidRPr="002A19F7">
        <w:rPr>
          <w:rFonts w:ascii="Century Gothic" w:hAnsi="Century Gothic" w:cs="Arial"/>
        </w:rPr>
        <w:t xml:space="preserve">Adicionalmente, el parágrafo del artículo 40 de la Ley 80 de 1993 no restringe el tipo de contratos estatales en los cuales es posible el ejercicio de esta facultad. Es decir, no limita la posibilidad de pactar anticipo conforme a la tipología contractual o la modalidad de selección del contratista. </w:t>
      </w:r>
      <w:r w:rsidRPr="002A19F7">
        <w:rPr>
          <w:rFonts w:ascii="Century Gothic" w:hAnsi="Century Gothic" w:cs="Arial"/>
          <w:color w:val="000000" w:themeColor="text1"/>
        </w:rPr>
        <w:t xml:space="preserve">De hecho, el Estatuto General de Contratación de la Administración Pública dispone como única limitación el valor máximo que puede desembolsar la entidad para pactar el anticipo. </w:t>
      </w:r>
    </w:p>
    <w:p w14:paraId="404268A4" w14:textId="77777777" w:rsidR="00AB49BE" w:rsidRPr="002A19F7" w:rsidRDefault="00AB49BE" w:rsidP="00AB49BE">
      <w:pPr>
        <w:spacing w:before="120" w:after="120" w:line="276" w:lineRule="auto"/>
        <w:ind w:firstLine="709"/>
        <w:jc w:val="both"/>
        <w:rPr>
          <w:rFonts w:ascii="Century Gothic" w:hAnsi="Century Gothic" w:cs="Arial"/>
        </w:rPr>
      </w:pPr>
      <w:r w:rsidRPr="002A19F7">
        <w:rPr>
          <w:rFonts w:ascii="Century Gothic" w:hAnsi="Century Gothic" w:cs="Arial"/>
          <w:color w:val="000000" w:themeColor="text1"/>
        </w:rPr>
        <w:t xml:space="preserve">Del análisis realizado se desprende que los recursos entregados al contratista en calidad de anticipo son recursos públicos. Por tanto, corresponde a la entidad </w:t>
      </w:r>
      <w:r w:rsidRPr="002A19F7">
        <w:rPr>
          <w:rFonts w:ascii="Century Gothic" w:hAnsi="Century Gothic" w:cs="Arial"/>
        </w:rPr>
        <w:t>adoptar las medidas necesarias y razonables para asegurar la correcta inversión de los dineros entregados, las cuales deberán reflejarse en el contrato celebrado. En consecuencia, deberán constituir la garantía única de cumplimiento e incluir el amparo previsto en el artículo 2.2.1.2.3.1.7 del Decreto 1082 de 2015. Este amparo establece tres circunstancias que deben ser objeto de cobertura: i) la no inversión del anticipo; ii) el uso indebido del anticipo; y iii) la apropiación indebida de los recursos recibidos en calidad de anticipo</w:t>
      </w:r>
      <w:r w:rsidRPr="002A19F7">
        <w:rPr>
          <w:rFonts w:ascii="Century Gothic" w:hAnsi="Century Gothic" w:cs="Arial"/>
          <w:vertAlign w:val="superscript"/>
        </w:rPr>
        <w:footnoteReference w:id="10"/>
      </w:r>
      <w:r w:rsidRPr="002A19F7">
        <w:rPr>
          <w:rFonts w:ascii="Century Gothic" w:hAnsi="Century Gothic" w:cs="Arial"/>
        </w:rPr>
        <w:t xml:space="preserve">. </w:t>
      </w:r>
    </w:p>
    <w:p w14:paraId="4EB529A7" w14:textId="77777777" w:rsidR="00AB49BE" w:rsidRPr="002A19F7" w:rsidRDefault="00AB49BE" w:rsidP="00AB49BE">
      <w:pPr>
        <w:spacing w:after="0" w:line="276" w:lineRule="auto"/>
        <w:ind w:firstLine="709"/>
        <w:contextualSpacing/>
        <w:jc w:val="both"/>
        <w:rPr>
          <w:rFonts w:ascii="Century Gothic" w:hAnsi="Century Gothic" w:cs="Arial"/>
          <w14:ligatures w14:val="standardContextual"/>
        </w:rPr>
      </w:pPr>
    </w:p>
    <w:p w14:paraId="170BCFDA" w14:textId="77777777" w:rsidR="00AB49BE" w:rsidRPr="002A19F7" w:rsidRDefault="00AB49BE" w:rsidP="00AB49BE">
      <w:pPr>
        <w:spacing w:line="276" w:lineRule="auto"/>
        <w:jc w:val="both"/>
        <w:rPr>
          <w:rFonts w:ascii="Century Gothic" w:hAnsi="Century Gothic" w:cs="Arial"/>
          <w:b/>
          <w:color w:val="000000" w:themeColor="text1"/>
          <w:u w:val="single"/>
        </w:rPr>
      </w:pPr>
      <w:bookmarkStart w:id="2" w:name="_Hlk114560532"/>
      <w:r w:rsidRPr="002A19F7">
        <w:rPr>
          <w:rFonts w:ascii="Century Gothic" w:eastAsia="Calibri" w:hAnsi="Century Gothic" w:cs="Arial"/>
          <w:b/>
          <w:lang w:val="es-MX"/>
          <w14:ligatures w14:val="standardContextual"/>
        </w:rPr>
        <w:t xml:space="preserve">2.2. </w:t>
      </w:r>
      <w:bookmarkStart w:id="3" w:name="_Hlk114560557"/>
      <w:bookmarkEnd w:id="2"/>
      <w:r w:rsidRPr="002A19F7">
        <w:rPr>
          <w:rFonts w:ascii="Century Gothic" w:hAnsi="Century Gothic" w:cs="Arial"/>
          <w:b/>
          <w:color w:val="000000" w:themeColor="text1"/>
        </w:rPr>
        <w:t>Ámbito de aplicación del artículo 91 de la Ley 1474 de 2011</w:t>
      </w:r>
    </w:p>
    <w:p w14:paraId="3B318C0D" w14:textId="77777777" w:rsidR="00AB49BE" w:rsidRPr="002A19F7" w:rsidRDefault="00AB49BE" w:rsidP="00AB49BE">
      <w:pPr>
        <w:spacing w:line="276" w:lineRule="auto"/>
        <w:jc w:val="both"/>
        <w:rPr>
          <w:rFonts w:ascii="Century Gothic" w:hAnsi="Century Gothic" w:cs="Arial"/>
          <w:color w:val="000000" w:themeColor="text1"/>
          <w:lang w:val="es-ES_tradnl"/>
        </w:rPr>
      </w:pPr>
      <w:r w:rsidRPr="002A19F7">
        <w:rPr>
          <w:rFonts w:ascii="Century Gothic" w:hAnsi="Century Gothic" w:cs="Arial"/>
          <w:color w:val="000000" w:themeColor="text1"/>
          <w:lang w:val="es-ES_tradnl"/>
        </w:rPr>
        <w:t xml:space="preserve">Como se expuso en el acápite anterior, una de las normas que regula el anticipo en materia de contratación estatal es el artículo 91 de la Ley 1474 de 2011. Esta norma dispone lo siguiente: </w:t>
      </w:r>
    </w:p>
    <w:p w14:paraId="76D6AEDA" w14:textId="77777777" w:rsidR="00AB49BE" w:rsidRPr="002A19F7" w:rsidRDefault="00AB49BE" w:rsidP="00AB49BE">
      <w:pPr>
        <w:spacing w:after="120" w:line="240" w:lineRule="auto"/>
        <w:ind w:left="709" w:right="709"/>
        <w:jc w:val="both"/>
        <w:rPr>
          <w:rFonts w:ascii="Century Gothic" w:hAnsi="Century Gothic" w:cs="Arial"/>
          <w:sz w:val="21"/>
          <w:szCs w:val="21"/>
        </w:rPr>
      </w:pPr>
      <w:r w:rsidRPr="002A19F7">
        <w:rPr>
          <w:rFonts w:ascii="Century Gothic" w:hAnsi="Century Gothic" w:cs="Arial"/>
          <w:sz w:val="21"/>
          <w:szCs w:val="21"/>
        </w:rPr>
        <w:t xml:space="preserve">“En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w:t>
      </w:r>
      <w:r w:rsidRPr="002A19F7">
        <w:rPr>
          <w:rFonts w:ascii="Century Gothic" w:hAnsi="Century Gothic" w:cs="Arial"/>
          <w:i/>
          <w:sz w:val="21"/>
          <w:szCs w:val="21"/>
        </w:rPr>
        <w:t>salvo que el contrato sea de menor o mínima cuantía.</w:t>
      </w:r>
    </w:p>
    <w:p w14:paraId="24FEE31F" w14:textId="77777777" w:rsidR="00AB49BE" w:rsidRPr="002A19F7" w:rsidRDefault="00AB49BE" w:rsidP="00AB49BE">
      <w:pPr>
        <w:spacing w:line="240" w:lineRule="auto"/>
        <w:ind w:left="709" w:right="709"/>
        <w:jc w:val="both"/>
        <w:rPr>
          <w:rFonts w:ascii="Century Gothic" w:hAnsi="Century Gothic" w:cs="Arial"/>
          <w:sz w:val="21"/>
          <w:szCs w:val="21"/>
        </w:rPr>
      </w:pPr>
      <w:r w:rsidRPr="002A19F7">
        <w:rPr>
          <w:rFonts w:ascii="Century Gothic" w:hAnsi="Century Gothic" w:cs="Arial"/>
          <w:sz w:val="21"/>
          <w:szCs w:val="21"/>
        </w:rPr>
        <w:t>El costo de la comisión fiduciaria será cubierto directamente por el contratista.”</w:t>
      </w:r>
      <w:r w:rsidRPr="002A19F7">
        <w:rPr>
          <w:rFonts w:ascii="Century Gothic" w:hAnsi="Century Gothic" w:cs="Arial"/>
          <w:sz w:val="20"/>
          <w:szCs w:val="20"/>
          <w:lang w:val="es-ES_tradnl"/>
        </w:rPr>
        <w:t xml:space="preserve"> [Énfasis fuera de texto]</w:t>
      </w:r>
    </w:p>
    <w:p w14:paraId="615BF4E6" w14:textId="77777777" w:rsidR="00AB49BE" w:rsidRPr="002A19F7" w:rsidRDefault="00AB49BE" w:rsidP="00AB49BE">
      <w:pPr>
        <w:spacing w:line="276" w:lineRule="auto"/>
        <w:ind w:firstLine="709"/>
        <w:jc w:val="both"/>
        <w:rPr>
          <w:rFonts w:ascii="Century Gothic" w:hAnsi="Century Gothic" w:cs="Arial"/>
          <w:color w:val="000000" w:themeColor="text1"/>
          <w:lang w:val="es-ES_tradnl"/>
        </w:rPr>
      </w:pPr>
      <w:r w:rsidRPr="002A19F7">
        <w:rPr>
          <w:rFonts w:ascii="Century Gothic" w:hAnsi="Century Gothic" w:cs="Arial"/>
          <w:color w:val="000000" w:themeColor="text1"/>
          <w:lang w:val="es-ES_tradnl"/>
        </w:rPr>
        <w:t>En concordancia, el artículo 2.2.1.1.2.4.1 del Decreto 1082 de 2015 prescribe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 además de que se manejan de acuerdo con el contrato de fiducia mercantil</w:t>
      </w:r>
      <w:r w:rsidRPr="002A19F7">
        <w:rPr>
          <w:rFonts w:ascii="Century Gothic" w:hAnsi="Century Gothic" w:cs="Arial"/>
          <w:color w:val="000000" w:themeColor="text1"/>
          <w:vertAlign w:val="superscript"/>
          <w:lang w:val="es-ES_tradnl"/>
        </w:rPr>
        <w:footnoteReference w:id="11"/>
      </w:r>
      <w:r w:rsidRPr="002A19F7">
        <w:rPr>
          <w:rFonts w:ascii="Century Gothic" w:hAnsi="Century Gothic" w:cs="Arial"/>
          <w:color w:val="000000" w:themeColor="text1"/>
          <w:lang w:val="es-ES_tradnl"/>
        </w:rPr>
        <w:t xml:space="preserve">. </w:t>
      </w:r>
    </w:p>
    <w:p w14:paraId="1FCF1730" w14:textId="77777777" w:rsidR="00AB49BE" w:rsidRPr="002A19F7" w:rsidRDefault="00AB49BE" w:rsidP="00AB49BE">
      <w:pPr>
        <w:spacing w:before="120" w:line="276" w:lineRule="auto"/>
        <w:ind w:firstLine="709"/>
        <w:jc w:val="both"/>
        <w:rPr>
          <w:rFonts w:ascii="Century Gothic" w:hAnsi="Century Gothic" w:cs="Arial"/>
          <w:color w:val="000000" w:themeColor="text1"/>
          <w:lang w:val="es-ES_tradnl"/>
        </w:rPr>
      </w:pPr>
      <w:r w:rsidRPr="002A19F7">
        <w:rPr>
          <w:rFonts w:ascii="Century Gothic" w:hAnsi="Century Gothic" w:cs="Arial"/>
          <w:color w:val="000000" w:themeColor="text1"/>
          <w:lang w:val="es-ES_tradnl"/>
        </w:rPr>
        <w:lastRenderedPageBreak/>
        <w:t>Lo anterior surge como una medida para fortalecer los mecanismos de prevención, investigación y sanción de actos de corrupción y la efectividad del control de la gestión pública, en atención a la problemática identificada sobre el incumplimiento de los contratistas de destinar los anticipos en la ejecución del contrato</w:t>
      </w:r>
      <w:r w:rsidRPr="002A19F7">
        <w:rPr>
          <w:rFonts w:ascii="Century Gothic" w:hAnsi="Century Gothic" w:cs="Arial"/>
          <w:color w:val="000000" w:themeColor="text1"/>
          <w:vertAlign w:val="superscript"/>
          <w:lang w:val="es-ES_tradnl"/>
        </w:rPr>
        <w:footnoteReference w:id="12"/>
      </w:r>
      <w:r w:rsidRPr="002A19F7">
        <w:rPr>
          <w:rFonts w:ascii="Century Gothic" w:hAnsi="Century Gothic" w:cs="Arial"/>
          <w:color w:val="000000" w:themeColor="text1"/>
          <w:lang w:val="es-ES_tradnl"/>
        </w:rPr>
        <w:t xml:space="preserve">. De esta manera, mediante estas disposiciones se busca realizar un seguimiento a la entrega de recursos que se otorgan en calidad de anticipo, a través de la constitución de una fiducia irrevocable. Esto con la finalidad de garantizar la adecuada inversión y administración de los recursos, así como su reintegro a la Entidad Estatal. </w:t>
      </w:r>
    </w:p>
    <w:p w14:paraId="66B95B09" w14:textId="77777777" w:rsidR="00AB49BE" w:rsidRPr="002A19F7" w:rsidRDefault="00AB49BE" w:rsidP="00AB49BE">
      <w:pPr>
        <w:spacing w:line="276" w:lineRule="auto"/>
        <w:ind w:firstLine="708"/>
        <w:jc w:val="both"/>
        <w:rPr>
          <w:rFonts w:ascii="Century Gothic" w:hAnsi="Century Gothic" w:cs="Arial"/>
          <w:color w:val="000000" w:themeColor="text1"/>
        </w:rPr>
      </w:pPr>
      <w:r w:rsidRPr="002A19F7">
        <w:rPr>
          <w:rFonts w:ascii="Century Gothic" w:hAnsi="Century Gothic" w:cs="Arial"/>
          <w:color w:val="000000" w:themeColor="text1"/>
          <w:lang w:val="es-ES_tradnl"/>
        </w:rPr>
        <w:t xml:space="preserve">Por su parte, la Agencia expidió la </w:t>
      </w:r>
      <w:r w:rsidRPr="002A19F7">
        <w:rPr>
          <w:rFonts w:ascii="Century Gothic" w:hAnsi="Century Gothic" w:cs="Arial"/>
          <w:color w:val="000000" w:themeColor="text1"/>
        </w:rPr>
        <w:t>“</w:t>
      </w:r>
      <w:r w:rsidRPr="002A19F7">
        <w:rPr>
          <w:rFonts w:ascii="Century Gothic" w:hAnsi="Century Gothic" w:cs="Arial"/>
          <w:i/>
          <w:color w:val="000000" w:themeColor="text1"/>
          <w:lang w:val="es-ES_tradnl"/>
        </w:rPr>
        <w:t>Guía para el manejo de anticipos mediante contrato de fiducia irrevocable</w:t>
      </w:r>
      <w:r w:rsidRPr="002A19F7">
        <w:rPr>
          <w:rFonts w:ascii="Century Gothic" w:hAnsi="Century Gothic" w:cs="Arial"/>
          <w:i/>
          <w:color w:val="000000" w:themeColor="text1"/>
        </w:rPr>
        <w:t>”</w:t>
      </w:r>
      <w:r w:rsidRPr="002A19F7">
        <w:rPr>
          <w:rFonts w:ascii="Century Gothic" w:hAnsi="Century Gothic" w:cs="Arial"/>
          <w:i/>
          <w:color w:val="000000" w:themeColor="text1"/>
          <w:vertAlign w:val="superscript"/>
        </w:rPr>
        <w:footnoteReference w:id="13"/>
      </w:r>
      <w:r w:rsidRPr="002A19F7">
        <w:rPr>
          <w:rFonts w:ascii="Century Gothic" w:hAnsi="Century Gothic" w:cs="Arial"/>
          <w:i/>
          <w:color w:val="000000" w:themeColor="text1"/>
        </w:rPr>
        <w:t>,</w:t>
      </w:r>
      <w:r w:rsidRPr="002A19F7">
        <w:rPr>
          <w:rFonts w:ascii="Century Gothic" w:hAnsi="Century Gothic" w:cs="Arial"/>
          <w:color w:val="000000" w:themeColor="text1"/>
        </w:rPr>
        <w:t xml:space="preserve"> que </w:t>
      </w:r>
      <w:r w:rsidRPr="002A19F7">
        <w:rPr>
          <w:rFonts w:ascii="Century Gothic" w:hAnsi="Century Gothic" w:cs="Arial"/>
          <w:color w:val="000000" w:themeColor="text1"/>
          <w:lang w:val="es-ES_tradnl"/>
        </w:rPr>
        <w:t xml:space="preserve">tiene como objetivo establecer lineamientos sobre el contrato de fiducia para el manejo de anticipos. En esta guía se explica que </w:t>
      </w:r>
      <w:r w:rsidRPr="002A19F7">
        <w:rPr>
          <w:rFonts w:ascii="Century Gothic" w:hAnsi="Century Gothic" w:cs="Arial"/>
          <w:color w:val="000000" w:themeColor="text1"/>
        </w:rPr>
        <w:t xml:space="preserve">“el patrimonio autónomo para manejo de anticipos tiene como finalidad: (i) la correcta y adecuada inversión y administración del anticipo y, (ii) el reintegro de los recursos del anticipo a la Entidad Estatal cuando declara la caducidad, incumplimiento o terminación del contrato estatal o cuando se presenta la nulidad del contrato estatal”. Además, indica que, el contratista debe constituir un contrato de fiducia mercantil irrevocable para el manejo de los recursos que recibe a título de anticipo en “los contratos de obra, concesión, salud y los que se realicen por licitación pública y </w:t>
      </w:r>
      <w:r w:rsidRPr="002A19F7">
        <w:rPr>
          <w:rFonts w:ascii="Century Gothic" w:hAnsi="Century Gothic" w:cs="Arial"/>
          <w:i/>
          <w:color w:val="000000" w:themeColor="text1"/>
        </w:rPr>
        <w:t xml:space="preserve">siempre que </w:t>
      </w:r>
      <w:r w:rsidRPr="002A19F7">
        <w:rPr>
          <w:rFonts w:ascii="Century Gothic" w:hAnsi="Century Gothic" w:cs="Arial"/>
          <w:color w:val="000000" w:themeColor="text1"/>
        </w:rPr>
        <w:t>no sean de menor o mínima cuantía</w:t>
      </w:r>
      <w:r w:rsidRPr="002A19F7">
        <w:rPr>
          <w:rFonts w:ascii="Century Gothic" w:hAnsi="Century Gothic" w:cs="Arial"/>
          <w:i/>
          <w:color w:val="000000" w:themeColor="text1"/>
        </w:rPr>
        <w:t xml:space="preserve">” </w:t>
      </w:r>
      <w:r w:rsidRPr="002A19F7">
        <w:rPr>
          <w:rFonts w:ascii="Century Gothic" w:hAnsi="Century Gothic" w:cs="Arial"/>
          <w:sz w:val="20"/>
          <w:szCs w:val="20"/>
          <w:lang w:val="es-ES_tradnl"/>
        </w:rPr>
        <w:t>[</w:t>
      </w:r>
      <w:r w:rsidRPr="002A19F7">
        <w:rPr>
          <w:rFonts w:ascii="Century Gothic" w:hAnsi="Century Gothic" w:cs="Arial"/>
          <w:lang w:val="es-ES_tradnl"/>
        </w:rPr>
        <w:t>Énfasis fuera de texto</w:t>
      </w:r>
      <w:r w:rsidRPr="002A19F7">
        <w:rPr>
          <w:rFonts w:ascii="Century Gothic" w:hAnsi="Century Gothic" w:cs="Arial"/>
          <w:sz w:val="20"/>
          <w:szCs w:val="20"/>
          <w:lang w:val="es-ES_tradnl"/>
        </w:rPr>
        <w:t>]</w:t>
      </w:r>
      <w:r w:rsidRPr="002A19F7">
        <w:rPr>
          <w:rFonts w:ascii="Century Gothic" w:hAnsi="Century Gothic" w:cs="Arial"/>
          <w:color w:val="000000" w:themeColor="text1"/>
        </w:rPr>
        <w:t xml:space="preserve">. Igualmente, expone las condiciones para </w:t>
      </w:r>
      <w:r w:rsidRPr="002A19F7">
        <w:rPr>
          <w:rFonts w:ascii="Century Gothic" w:hAnsi="Century Gothic" w:cs="Arial"/>
          <w:color w:val="000000" w:themeColor="text1"/>
        </w:rPr>
        <w:lastRenderedPageBreak/>
        <w:t xml:space="preserve">administrar los recursos del patrimonio autónomo, las obligaciones principales de la fiduciaria, el manejo de los excedentes, entre otros. </w:t>
      </w:r>
    </w:p>
    <w:p w14:paraId="6FE656DC" w14:textId="77777777" w:rsidR="00AB49BE" w:rsidRPr="002A19F7" w:rsidRDefault="00AB49BE" w:rsidP="00AB49BE">
      <w:pPr>
        <w:spacing w:before="120" w:line="276" w:lineRule="auto"/>
        <w:ind w:firstLine="709"/>
        <w:jc w:val="both"/>
        <w:rPr>
          <w:rFonts w:ascii="Century Gothic" w:hAnsi="Century Gothic" w:cs="Arial"/>
        </w:rPr>
      </w:pPr>
      <w:r w:rsidRPr="002A19F7">
        <w:rPr>
          <w:rFonts w:ascii="Century Gothic" w:hAnsi="Century Gothic" w:cs="Arial"/>
          <w:color w:val="000000" w:themeColor="text1"/>
          <w:lang w:val="es-ES_tradnl"/>
        </w:rPr>
        <w:t xml:space="preserve">Es evidente entonces que para ciertos tipos de contratos la Ley ha impuesto la obligación al contratista de constituir una fiducia o patrimonio autónomo irrevocable. Esta obligación tiene el propósito de asegurar el buen manejo de los recursos que se entreguen a título de anticipo, así como garantizar que estos sean destinados única y exclusivamente para </w:t>
      </w:r>
      <w:r w:rsidRPr="002A19F7">
        <w:rPr>
          <w:rFonts w:ascii="Century Gothic" w:hAnsi="Century Gothic" w:cs="Arial"/>
        </w:rPr>
        <w:t xml:space="preserve">solventar los costos iniciales de la ejecución, de acuerdo con las condiciones pactadas. </w:t>
      </w:r>
    </w:p>
    <w:p w14:paraId="729F3A05" w14:textId="77777777" w:rsidR="00AB49BE" w:rsidRPr="002A19F7" w:rsidRDefault="00AB49BE" w:rsidP="00AB49BE">
      <w:pPr>
        <w:spacing w:before="120" w:line="276" w:lineRule="auto"/>
        <w:ind w:firstLine="709"/>
        <w:jc w:val="both"/>
        <w:rPr>
          <w:rFonts w:ascii="Century Gothic" w:hAnsi="Century Gothic" w:cs="Arial"/>
        </w:rPr>
      </w:pPr>
      <w:r w:rsidRPr="002A19F7">
        <w:rPr>
          <w:rFonts w:ascii="Century Gothic" w:hAnsi="Century Gothic" w:cs="Arial"/>
        </w:rPr>
        <w:t xml:space="preserve">En ese sentido, es claro que 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ii) concesión, iii) salud y iv) los contratos derivados de un proceso de licitación pública. </w:t>
      </w:r>
    </w:p>
    <w:p w14:paraId="6181B4A5" w14:textId="77777777" w:rsidR="00AB49BE" w:rsidRPr="002A19F7" w:rsidRDefault="00AB49BE" w:rsidP="00AB49BE">
      <w:pPr>
        <w:spacing w:before="120" w:line="276" w:lineRule="auto"/>
        <w:ind w:firstLine="709"/>
        <w:jc w:val="both"/>
        <w:rPr>
          <w:rFonts w:ascii="Century Gothic" w:hAnsi="Century Gothic" w:cs="Arial"/>
        </w:rPr>
      </w:pPr>
      <w:r w:rsidRPr="002A19F7">
        <w:rPr>
          <w:rFonts w:ascii="Century Gothic" w:hAnsi="Century Gothic" w:cs="Arial"/>
        </w:rPr>
        <w:t xml:space="preserve">Aunque la norma menciona de manera general que en los cuatro casos anteriores se debe constituir patrimonio autónomo irrevocable o fiducia para el manejo del anticipo, la norma también determina una excepción de su aplicación para los cuatro tipos de contratos cuya disposición resulta obligatoria. Ello es así, por cuanto la expresión </w:t>
      </w:r>
      <w:r w:rsidRPr="002A19F7">
        <w:rPr>
          <w:rFonts w:ascii="Century Gothic" w:hAnsi="Century Gothic" w:cs="Arial"/>
          <w:color w:val="000000" w:themeColor="text1"/>
        </w:rPr>
        <w:t>“</w:t>
      </w:r>
      <w:r w:rsidRPr="002A19F7">
        <w:rPr>
          <w:rFonts w:ascii="Century Gothic" w:hAnsi="Century Gothic" w:cs="Arial"/>
          <w:i/>
          <w:sz w:val="21"/>
          <w:szCs w:val="21"/>
        </w:rPr>
        <w:t>salvo que el contrato sea de menor o mínima cuantía</w:t>
      </w:r>
      <w:r w:rsidRPr="002A19F7">
        <w:rPr>
          <w:rFonts w:ascii="Century Gothic" w:hAnsi="Century Gothic" w:cs="Arial"/>
          <w:color w:val="000000" w:themeColor="text1"/>
        </w:rPr>
        <w:t xml:space="preserve">”, describe que, a pesar de las enunciaciones anteriores, dicha disposición imperativa no aplica en el supuesto de hecho de que la cuantía del contrato no resulte ser de mayor cuantía, sin discriminar modalidad de selección mediante la cual se celebre dichos contratos. </w:t>
      </w:r>
    </w:p>
    <w:p w14:paraId="47FC0E42" w14:textId="77777777" w:rsidR="00AB49BE" w:rsidRPr="002A19F7" w:rsidRDefault="00AB49BE" w:rsidP="00AB49BE">
      <w:pPr>
        <w:spacing w:line="276" w:lineRule="auto"/>
        <w:ind w:firstLine="709"/>
        <w:jc w:val="both"/>
        <w:rPr>
          <w:rStyle w:val="normaltextrun"/>
          <w:rFonts w:ascii="Century Gothic" w:hAnsi="Century Gothic" w:cs="Arial"/>
          <w:sz w:val="21"/>
          <w:szCs w:val="21"/>
          <w:lang w:val="es-MX"/>
        </w:rPr>
      </w:pPr>
      <w:r w:rsidRPr="002A19F7">
        <w:rPr>
          <w:rFonts w:ascii="Century Gothic" w:hAnsi="Century Gothic" w:cs="Arial"/>
        </w:rPr>
        <w:t xml:space="preserve">Teniendo en cuenta las consideraciones desarrolladas en relación con la obligación de constituir una fiducia o un patrimonio autónomo irrevocable para el manejo de los recursos que reciba a título de anticipo, en relación las preguntas planteadas en su solicitud es pertinente mencionar que la Agencia Nacional de Contratación Pública – Colombia Compra Eficiente en los conceptos C-049 del 21 de febrero de 2020, C-209 del 16 de marzo de 2020, C-693 del 25 de noviembre de 2020, C-154 del 18 de mayo de 2021, C-825 del 28 de diciembre de 2022 y C- 003 de 13 de marzo de 2023, sobre la expresión  </w:t>
      </w:r>
      <w:r w:rsidRPr="002A19F7">
        <w:rPr>
          <w:rFonts w:ascii="Century Gothic" w:hAnsi="Century Gothic" w:cs="Arial"/>
          <w:color w:val="000000" w:themeColor="text1"/>
        </w:rPr>
        <w:t>“</w:t>
      </w:r>
      <w:r w:rsidRPr="002A19F7">
        <w:rPr>
          <w:rFonts w:ascii="Century Gothic" w:hAnsi="Century Gothic" w:cs="Arial"/>
          <w:i/>
          <w:sz w:val="21"/>
          <w:szCs w:val="21"/>
        </w:rPr>
        <w:t>salvo que el contrato sea de menor o mínima cuantía</w:t>
      </w:r>
      <w:r w:rsidRPr="002A19F7">
        <w:rPr>
          <w:rFonts w:ascii="Century Gothic" w:hAnsi="Century Gothic" w:cs="Arial"/>
          <w:color w:val="000000" w:themeColor="text1"/>
        </w:rPr>
        <w:t xml:space="preserve">” contenida en la parte final del artículo </w:t>
      </w:r>
      <w:r w:rsidRPr="002A19F7">
        <w:rPr>
          <w:rFonts w:ascii="Century Gothic" w:hAnsi="Century Gothic" w:cs="Arial"/>
        </w:rPr>
        <w:t>91 de la Ley 1474 de 2011</w:t>
      </w:r>
      <w:r w:rsidRPr="002A19F7">
        <w:rPr>
          <w:rFonts w:ascii="Century Gothic" w:hAnsi="Century Gothic" w:cs="Arial"/>
          <w:color w:val="000000" w:themeColor="text1"/>
        </w:rPr>
        <w:t xml:space="preserve">, </w:t>
      </w:r>
      <w:r w:rsidRPr="002A19F7">
        <w:rPr>
          <w:rFonts w:ascii="Century Gothic" w:hAnsi="Century Gothic" w:cs="Arial"/>
        </w:rPr>
        <w:t xml:space="preserve">se ha pronunciado en el sentido de indicar que dicha excepción implica que la </w:t>
      </w:r>
      <w:r w:rsidRPr="002A19F7">
        <w:rPr>
          <w:rStyle w:val="normaltextrun"/>
          <w:rFonts w:ascii="Century Gothic" w:hAnsi="Century Gothic" w:cs="Arial"/>
          <w:sz w:val="21"/>
          <w:szCs w:val="21"/>
          <w:lang w:val="es-MX"/>
        </w:rPr>
        <w:t xml:space="preserve">obligación se aplica a los contratos de obra, concesión, salud, o los que se realicen por licitación pública, </w:t>
      </w:r>
      <w:r w:rsidRPr="002A19F7">
        <w:rPr>
          <w:rStyle w:val="normaltextrun"/>
          <w:rFonts w:ascii="Century Gothic" w:hAnsi="Century Gothic" w:cs="Arial"/>
          <w:i/>
          <w:sz w:val="21"/>
          <w:szCs w:val="21"/>
          <w:lang w:val="es-MX"/>
        </w:rPr>
        <w:t>salvo que los mismos</w:t>
      </w:r>
      <w:r w:rsidRPr="002A19F7">
        <w:rPr>
          <w:rStyle w:val="normaltextrun"/>
          <w:rFonts w:ascii="Century Gothic" w:hAnsi="Century Gothic" w:cs="Arial"/>
          <w:sz w:val="21"/>
          <w:szCs w:val="21"/>
          <w:lang w:val="es-MX"/>
        </w:rPr>
        <w:t xml:space="preserve"> sean de menor o mínima cuantía, sin tener en cuenta la modalidad de selección por la que se suscribió el contrato así:</w:t>
      </w:r>
    </w:p>
    <w:p w14:paraId="2BBBDE88" w14:textId="77777777" w:rsidR="00AB49BE" w:rsidRPr="002A19F7" w:rsidRDefault="00AB49BE" w:rsidP="00AB49BE">
      <w:pPr>
        <w:spacing w:after="120" w:line="240" w:lineRule="auto"/>
        <w:ind w:left="709" w:right="709"/>
        <w:jc w:val="both"/>
        <w:rPr>
          <w:rFonts w:ascii="Century Gothic" w:hAnsi="Century Gothic" w:cs="Arial"/>
          <w:sz w:val="21"/>
          <w:szCs w:val="21"/>
        </w:rPr>
      </w:pPr>
      <w:r w:rsidRPr="002A19F7">
        <w:rPr>
          <w:rFonts w:ascii="Century Gothic" w:hAnsi="Century Gothic" w:cs="Arial"/>
          <w:sz w:val="21"/>
          <w:szCs w:val="21"/>
          <w:lang w:val="es-MX"/>
        </w:rPr>
        <w:lastRenderedPageBreak/>
        <w:t>“</w:t>
      </w:r>
      <w:r w:rsidRPr="002A19F7">
        <w:rPr>
          <w:rFonts w:ascii="Century Gothic" w:hAnsi="Century Gothic" w:cs="Arial"/>
          <w:sz w:val="21"/>
          <w:szCs w:val="21"/>
        </w:rPr>
        <w:t xml:space="preserve">En consideración a lo enunciado previamente, el ejercicio interpretativo que esta Agencia ha mantenido sobre la sobre la expresión </w:t>
      </w:r>
      <w:r w:rsidRPr="002A19F7">
        <w:rPr>
          <w:rFonts w:ascii="Century Gothic" w:hAnsi="Century Gothic" w:cs="Arial"/>
          <w:color w:val="000000" w:themeColor="text1"/>
          <w:sz w:val="21"/>
          <w:szCs w:val="21"/>
        </w:rPr>
        <w:t>“</w:t>
      </w:r>
      <w:r w:rsidRPr="002A19F7">
        <w:rPr>
          <w:rFonts w:ascii="Century Gothic" w:hAnsi="Century Gothic" w:cs="Arial"/>
          <w:i/>
          <w:sz w:val="21"/>
          <w:szCs w:val="21"/>
        </w:rPr>
        <w:t>salvo que el contrato sea de menor o mínima cuantía</w:t>
      </w:r>
      <w:r w:rsidRPr="002A19F7">
        <w:rPr>
          <w:rFonts w:ascii="Century Gothic" w:hAnsi="Century Gothic" w:cs="Arial"/>
          <w:color w:val="000000" w:themeColor="text1"/>
          <w:sz w:val="21"/>
          <w:szCs w:val="21"/>
        </w:rPr>
        <w:t xml:space="preserve">” contenida en la parte final del artículo </w:t>
      </w:r>
      <w:r w:rsidRPr="002A19F7">
        <w:rPr>
          <w:rFonts w:ascii="Century Gothic" w:hAnsi="Century Gothic" w:cs="Arial"/>
          <w:sz w:val="21"/>
          <w:szCs w:val="21"/>
        </w:rPr>
        <w:t>91 de la Ley 1474 de 2011</w:t>
      </w:r>
      <w:r w:rsidRPr="002A19F7">
        <w:rPr>
          <w:rFonts w:ascii="Century Gothic" w:hAnsi="Century Gothic" w:cs="Arial"/>
          <w:color w:val="000000" w:themeColor="text1"/>
          <w:sz w:val="21"/>
          <w:szCs w:val="21"/>
        </w:rPr>
        <w:t xml:space="preserve">, ha sido la de entender que </w:t>
      </w:r>
      <w:r w:rsidRPr="002A19F7">
        <w:rPr>
          <w:rFonts w:ascii="Century Gothic" w:hAnsi="Century Gothic" w:cs="Arial"/>
          <w:sz w:val="21"/>
          <w:szCs w:val="21"/>
        </w:rPr>
        <w:t>en los contratos cuya cuantía resulte ser de mínima o menor cuantía no será obligatoria la constitución de un patrimonio autónomo o una fiducia para administrar los recursos del anticipo, así haya surgido a través de un proceso de selección por licitación pública.”</w:t>
      </w:r>
      <w:r w:rsidRPr="002A19F7">
        <w:rPr>
          <w:rStyle w:val="Refdenotaalpie"/>
          <w:rFonts w:ascii="Century Gothic" w:hAnsi="Century Gothic" w:cs="Arial"/>
          <w:sz w:val="21"/>
          <w:szCs w:val="21"/>
        </w:rPr>
        <w:footnoteReference w:id="14"/>
      </w:r>
    </w:p>
    <w:p w14:paraId="6154D81A" w14:textId="77777777" w:rsidR="00AB49BE" w:rsidRPr="002A19F7" w:rsidRDefault="00AB49BE" w:rsidP="00AB49BE">
      <w:pPr>
        <w:spacing w:line="276" w:lineRule="auto"/>
        <w:ind w:firstLine="708"/>
        <w:jc w:val="both"/>
        <w:rPr>
          <w:rFonts w:ascii="Century Gothic" w:hAnsi="Century Gothic" w:cs="Arial"/>
          <w:color w:val="000000" w:themeColor="text1"/>
        </w:rPr>
      </w:pPr>
      <w:r w:rsidRPr="002A19F7">
        <w:rPr>
          <w:rFonts w:ascii="Century Gothic" w:hAnsi="Century Gothic" w:cs="Arial"/>
        </w:rPr>
        <w:t xml:space="preserve">De igual forma, la postura adoptada en los conceptos emitidos por esta Agencia en relación con sus preguntas es la misma que contiene la </w:t>
      </w:r>
      <w:r w:rsidRPr="002A19F7">
        <w:rPr>
          <w:rFonts w:ascii="Century Gothic" w:hAnsi="Century Gothic" w:cs="Arial"/>
          <w:sz w:val="21"/>
          <w:szCs w:val="21"/>
        </w:rPr>
        <w:t>“</w:t>
      </w:r>
      <w:r w:rsidRPr="002A19F7">
        <w:rPr>
          <w:rFonts w:ascii="Century Gothic" w:hAnsi="Century Gothic" w:cs="Arial"/>
          <w:i/>
          <w:color w:val="000000" w:themeColor="text1"/>
          <w:lang w:val="es-ES_tradnl"/>
        </w:rPr>
        <w:t>Guía para el manejo de anticipos mediante contrato de fiducia irrevocable</w:t>
      </w:r>
      <w:r w:rsidRPr="002A19F7">
        <w:rPr>
          <w:rFonts w:ascii="Century Gothic" w:hAnsi="Century Gothic" w:cs="Arial"/>
          <w:i/>
          <w:color w:val="000000" w:themeColor="text1"/>
        </w:rPr>
        <w:t xml:space="preserve">”, </w:t>
      </w:r>
      <w:r w:rsidRPr="002A19F7">
        <w:rPr>
          <w:rFonts w:ascii="Century Gothic" w:hAnsi="Century Gothic" w:cs="Arial"/>
          <w:color w:val="000000" w:themeColor="text1"/>
        </w:rPr>
        <w:t xml:space="preserve">al indicar que, el contratista debe constituir un contrato de fiducia mercantil irrevocable para el manejo de los recursos que recibe a título de anticipo en “los contratos de obra, concesión, salud y los que se realicen por licitación pública y </w:t>
      </w:r>
      <w:r w:rsidRPr="002A19F7">
        <w:rPr>
          <w:rFonts w:ascii="Century Gothic" w:hAnsi="Century Gothic" w:cs="Arial"/>
          <w:i/>
          <w:color w:val="000000" w:themeColor="text1"/>
        </w:rPr>
        <w:t xml:space="preserve">siempre que </w:t>
      </w:r>
      <w:r w:rsidRPr="002A19F7">
        <w:rPr>
          <w:rFonts w:ascii="Century Gothic" w:hAnsi="Century Gothic" w:cs="Arial"/>
          <w:color w:val="000000" w:themeColor="text1"/>
        </w:rPr>
        <w:t>no sean de menor o mínima cuantía</w:t>
      </w:r>
      <w:r w:rsidRPr="002A19F7">
        <w:rPr>
          <w:rFonts w:ascii="Century Gothic" w:hAnsi="Century Gothic" w:cs="Arial"/>
          <w:i/>
          <w:color w:val="000000" w:themeColor="text1"/>
        </w:rPr>
        <w:t>”</w:t>
      </w:r>
      <w:r w:rsidRPr="002A19F7">
        <w:rPr>
          <w:rFonts w:ascii="Century Gothic" w:hAnsi="Century Gothic" w:cs="Arial"/>
          <w:color w:val="000000" w:themeColor="text1"/>
        </w:rPr>
        <w:t>.</w:t>
      </w:r>
    </w:p>
    <w:p w14:paraId="0EF34F57" w14:textId="77777777" w:rsidR="00AB49BE" w:rsidRPr="002A19F7" w:rsidRDefault="00AB49BE" w:rsidP="00AB49BE">
      <w:pPr>
        <w:spacing w:before="120" w:line="276" w:lineRule="auto"/>
        <w:ind w:firstLine="709"/>
        <w:jc w:val="both"/>
        <w:rPr>
          <w:rFonts w:ascii="Century Gothic" w:hAnsi="Century Gothic" w:cs="Arial"/>
          <w:color w:val="000000" w:themeColor="text1"/>
        </w:rPr>
      </w:pPr>
      <w:r w:rsidRPr="002A19F7">
        <w:rPr>
          <w:rFonts w:ascii="Century Gothic" w:hAnsi="Century Gothic" w:cs="Arial"/>
        </w:rPr>
        <w:t xml:space="preserve">Ahora bien, el artículo 26 y siguientes del Código Civil contiene las reglas de interpretación que deben observar los jueces y los funcionarios públicos, en la aplicación de las leyes con el fin de aplicar su verdadero sentido, denominada </w:t>
      </w:r>
      <w:r w:rsidRPr="002A19F7">
        <w:rPr>
          <w:rFonts w:ascii="Century Gothic" w:hAnsi="Century Gothic" w:cs="Arial"/>
          <w:sz w:val="21"/>
          <w:szCs w:val="21"/>
        </w:rPr>
        <w:t>“</w:t>
      </w:r>
      <w:r w:rsidRPr="002A19F7">
        <w:rPr>
          <w:rFonts w:ascii="Century Gothic" w:hAnsi="Century Gothic" w:cs="Arial"/>
        </w:rPr>
        <w:t>interpretación por vía de doctrina</w:t>
      </w:r>
      <w:r w:rsidRPr="002A19F7">
        <w:rPr>
          <w:rFonts w:ascii="Century Gothic" w:hAnsi="Century Gothic" w:cs="Arial"/>
          <w:color w:val="000000" w:themeColor="text1"/>
        </w:rPr>
        <w:t>”</w:t>
      </w:r>
      <w:r w:rsidRPr="002A19F7">
        <w:rPr>
          <w:rStyle w:val="Refdenotaalpie"/>
          <w:rFonts w:ascii="Century Gothic" w:hAnsi="Century Gothic" w:cs="Arial"/>
          <w:color w:val="000000" w:themeColor="text1"/>
        </w:rPr>
        <w:footnoteReference w:id="15"/>
      </w:r>
      <w:r w:rsidRPr="002A19F7">
        <w:rPr>
          <w:rFonts w:ascii="Century Gothic" w:hAnsi="Century Gothic" w:cs="Arial"/>
          <w:color w:val="000000" w:themeColor="text1"/>
        </w:rPr>
        <w:t>. Las primeras dos reglas de interpretación incorporadas son las siguientes:</w:t>
      </w:r>
    </w:p>
    <w:p w14:paraId="273773AE" w14:textId="77777777" w:rsidR="00AB49BE" w:rsidRPr="002A19F7" w:rsidRDefault="00AB49BE" w:rsidP="00AB49BE">
      <w:pPr>
        <w:spacing w:before="120" w:line="240" w:lineRule="auto"/>
        <w:ind w:left="709" w:right="709"/>
        <w:jc w:val="both"/>
        <w:rPr>
          <w:rFonts w:ascii="Century Gothic" w:hAnsi="Century Gothic" w:cs="Arial"/>
          <w:sz w:val="21"/>
          <w:szCs w:val="21"/>
        </w:rPr>
      </w:pPr>
      <w:r w:rsidRPr="002A19F7">
        <w:rPr>
          <w:rFonts w:ascii="Century Gothic" w:hAnsi="Century Gothic" w:cs="Arial"/>
          <w:sz w:val="21"/>
          <w:szCs w:val="21"/>
        </w:rPr>
        <w:t>“ARTICULO 27. “INTERPRETACION GRAMATICAL”. Cuando el sentido de la ley sea claro, no se desatenderá su tenor literal a pretexto de consultar su espíritu.</w:t>
      </w:r>
    </w:p>
    <w:p w14:paraId="155DA119" w14:textId="77777777" w:rsidR="00AB49BE" w:rsidRPr="002A19F7" w:rsidRDefault="00AB49BE" w:rsidP="00AB49BE">
      <w:pPr>
        <w:spacing w:before="120" w:line="240" w:lineRule="auto"/>
        <w:ind w:left="709" w:right="709"/>
        <w:jc w:val="both"/>
        <w:rPr>
          <w:rFonts w:ascii="Century Gothic" w:hAnsi="Century Gothic" w:cs="Arial"/>
          <w:sz w:val="21"/>
          <w:szCs w:val="21"/>
        </w:rPr>
      </w:pPr>
      <w:r w:rsidRPr="002A19F7">
        <w:rPr>
          <w:rFonts w:ascii="Century Gothic" w:hAnsi="Century Gothic" w:cs="Arial"/>
          <w:sz w:val="21"/>
          <w:szCs w:val="21"/>
        </w:rPr>
        <w:t>Pero bien se puede, para interpretar una expresión oscura de la ley, recurrir a su intención o espíritu, claramente manifestados en ella misma o en la historia fidedigna de su establecimiento.</w:t>
      </w:r>
    </w:p>
    <w:p w14:paraId="43F9E91D" w14:textId="77777777" w:rsidR="00AB49BE" w:rsidRPr="002A19F7" w:rsidRDefault="00AB49BE" w:rsidP="00AB49BE">
      <w:pPr>
        <w:spacing w:before="120" w:after="0" w:line="240" w:lineRule="auto"/>
        <w:ind w:left="709" w:right="709"/>
        <w:jc w:val="both"/>
        <w:rPr>
          <w:rFonts w:ascii="Century Gothic" w:hAnsi="Century Gothic" w:cs="Arial"/>
          <w:color w:val="000000" w:themeColor="text1"/>
        </w:rPr>
      </w:pPr>
      <w:r w:rsidRPr="002A19F7">
        <w:rPr>
          <w:rFonts w:ascii="Century Gothic" w:hAnsi="Century Gothic" w:cs="Arial"/>
          <w:sz w:val="21"/>
          <w:szCs w:val="21"/>
        </w:rPr>
        <w:t>ARTICULO 28. “SIGNIFICADO DE LAS PALABRAS”. Las palabras de la ley se entenderán en su sentido natural y obvio, según el uso general de las mismas palabras; pero cuando el legislador las haya definido expresamente para ciertas materias, se les dará en éstas su significado legal.</w:t>
      </w:r>
      <w:r w:rsidRPr="002A19F7">
        <w:rPr>
          <w:rFonts w:ascii="Century Gothic" w:hAnsi="Century Gothic" w:cs="Arial"/>
          <w:color w:val="000000" w:themeColor="text1"/>
        </w:rPr>
        <w:t>”</w:t>
      </w:r>
      <w:r w:rsidRPr="002A19F7">
        <w:rPr>
          <w:rStyle w:val="Refdenotaalpie"/>
          <w:rFonts w:ascii="Century Gothic" w:hAnsi="Century Gothic" w:cs="Arial"/>
          <w:color w:val="000000" w:themeColor="text1"/>
        </w:rPr>
        <w:footnoteReference w:id="16"/>
      </w:r>
    </w:p>
    <w:p w14:paraId="6570DDBE" w14:textId="77777777" w:rsidR="00AB49BE" w:rsidRPr="002A19F7" w:rsidRDefault="00AB49BE" w:rsidP="00AB49BE">
      <w:pPr>
        <w:spacing w:before="120" w:after="0" w:line="240" w:lineRule="auto"/>
        <w:ind w:left="709" w:right="709"/>
        <w:jc w:val="both"/>
        <w:rPr>
          <w:rFonts w:ascii="Century Gothic" w:hAnsi="Century Gothic" w:cs="Arial"/>
          <w:sz w:val="21"/>
          <w:szCs w:val="21"/>
        </w:rPr>
      </w:pPr>
    </w:p>
    <w:p w14:paraId="35F7A48E" w14:textId="77777777" w:rsidR="00AB49BE" w:rsidRPr="002A19F7" w:rsidRDefault="00AB49BE" w:rsidP="00AB49BE">
      <w:pPr>
        <w:spacing w:after="120" w:line="276" w:lineRule="auto"/>
        <w:ind w:firstLine="708"/>
        <w:jc w:val="both"/>
        <w:rPr>
          <w:rFonts w:ascii="Century Gothic" w:hAnsi="Century Gothic" w:cs="Arial"/>
          <w:i/>
        </w:rPr>
      </w:pPr>
      <w:r w:rsidRPr="002A19F7">
        <w:rPr>
          <w:rFonts w:ascii="Century Gothic" w:hAnsi="Century Gothic" w:cs="Arial"/>
        </w:rPr>
        <w:lastRenderedPageBreak/>
        <w:t xml:space="preserve">Teniendo en cuenta las reglas interpretativas mencionadas con anterioridad, y en orden a responder sus consultas, resulta necesario aplicar el aforismo </w:t>
      </w:r>
      <w:r w:rsidRPr="002A19F7">
        <w:rPr>
          <w:rFonts w:ascii="Century Gothic" w:hAnsi="Century Gothic" w:cs="Arial"/>
          <w:i/>
        </w:rPr>
        <w:t xml:space="preserve">in </w:t>
      </w:r>
      <w:proofErr w:type="spellStart"/>
      <w:r w:rsidRPr="002A19F7">
        <w:rPr>
          <w:rFonts w:ascii="Century Gothic" w:hAnsi="Century Gothic" w:cs="Arial"/>
          <w:i/>
        </w:rPr>
        <w:t>claris</w:t>
      </w:r>
      <w:proofErr w:type="spellEnd"/>
      <w:r w:rsidRPr="002A19F7">
        <w:rPr>
          <w:rFonts w:ascii="Century Gothic" w:hAnsi="Century Gothic" w:cs="Arial"/>
          <w:i/>
        </w:rPr>
        <w:t xml:space="preserve"> non </w:t>
      </w:r>
      <w:proofErr w:type="spellStart"/>
      <w:r w:rsidRPr="002A19F7">
        <w:rPr>
          <w:rFonts w:ascii="Century Gothic" w:hAnsi="Century Gothic" w:cs="Arial"/>
          <w:i/>
        </w:rPr>
        <w:t>fit</w:t>
      </w:r>
      <w:proofErr w:type="spellEnd"/>
      <w:r w:rsidRPr="002A19F7">
        <w:rPr>
          <w:rFonts w:ascii="Century Gothic" w:hAnsi="Century Gothic" w:cs="Arial"/>
          <w:i/>
        </w:rPr>
        <w:t xml:space="preserve"> </w:t>
      </w:r>
      <w:proofErr w:type="spellStart"/>
      <w:r w:rsidRPr="002A19F7">
        <w:rPr>
          <w:rFonts w:ascii="Century Gothic" w:hAnsi="Century Gothic" w:cs="Arial"/>
          <w:i/>
        </w:rPr>
        <w:t>interpretatio</w:t>
      </w:r>
      <w:proofErr w:type="spellEnd"/>
      <w:r w:rsidRPr="002A19F7">
        <w:rPr>
          <w:rFonts w:ascii="Century Gothic" w:hAnsi="Century Gothic" w:cs="Arial"/>
        </w:rPr>
        <w:t xml:space="preserve">, que es el reflejo de lo enunciado en el artículo 27 y 28 anteriormente citados, pues desde un criterio interpretativo de esta Agencia el </w:t>
      </w:r>
      <w:r w:rsidRPr="002A19F7">
        <w:rPr>
          <w:rFonts w:ascii="Century Gothic" w:hAnsi="Century Gothic" w:cs="Arial"/>
          <w:color w:val="000000" w:themeColor="text1"/>
        </w:rPr>
        <w:t xml:space="preserve">artículo </w:t>
      </w:r>
      <w:r w:rsidRPr="002A19F7">
        <w:rPr>
          <w:rFonts w:ascii="Century Gothic" w:hAnsi="Century Gothic" w:cs="Arial"/>
        </w:rPr>
        <w:t>91 de la Ley 1474 de 2011 no contiene una expresión oscura, si no por lo contrario, es clara en señalar que en los contratos cuya cuantía resulte ser de mínima o menor cuantía no será obligatoria la constitución de un patrimonio autónomo irrevocable o una fiducia para administrar los recursos del anticipo, así haya surgido a través de un proceso de selección por licitación pública o a través de otras modalidades de selección.</w:t>
      </w:r>
    </w:p>
    <w:p w14:paraId="10D1A4A2" w14:textId="77777777" w:rsidR="000D20F8" w:rsidRPr="002A19F7" w:rsidRDefault="00AB49BE" w:rsidP="00AB49BE">
      <w:pPr>
        <w:tabs>
          <w:tab w:val="left" w:pos="0"/>
        </w:tabs>
        <w:spacing w:before="120" w:after="120" w:line="276" w:lineRule="auto"/>
        <w:ind w:firstLine="709"/>
        <w:jc w:val="both"/>
        <w:rPr>
          <w:rFonts w:ascii="Century Gothic" w:hAnsi="Century Gothic" w:cs="Arial"/>
          <w:color w:val="000000" w:themeColor="text1"/>
        </w:rPr>
      </w:pPr>
      <w:r w:rsidRPr="002A19F7">
        <w:rPr>
          <w:rFonts w:ascii="Century Gothic" w:hAnsi="Century Gothic" w:cs="Arial"/>
        </w:rPr>
        <w:t xml:space="preserve"> En todo caso, </w:t>
      </w:r>
      <w:r w:rsidRPr="002A19F7">
        <w:rPr>
          <w:rFonts w:ascii="Century Gothic" w:hAnsi="Century Gothic" w:cs="Arial"/>
          <w:color w:val="000000" w:themeColor="text1"/>
        </w:rPr>
        <w:t xml:space="preserve">la Entidad Estatal y el contratista podrán disponer en dichos contratos de menor y mínima cuantía, en ejercicio de la autonomía de la voluntad, las condiciones que consideren convenientes para otorgar el anticipo de acuerdo con las normas civiles, siempre que no contraríen los parámetros normativos y los principios de la actividad contractual. </w:t>
      </w:r>
    </w:p>
    <w:p w14:paraId="7870AFF4" w14:textId="1D819F86" w:rsidR="00AB49BE" w:rsidRPr="002A19F7" w:rsidRDefault="00AB49BE" w:rsidP="00AB49BE">
      <w:pPr>
        <w:tabs>
          <w:tab w:val="left" w:pos="0"/>
        </w:tabs>
        <w:spacing w:before="120" w:after="120" w:line="276" w:lineRule="auto"/>
        <w:ind w:firstLine="709"/>
        <w:jc w:val="both"/>
        <w:rPr>
          <w:rFonts w:ascii="Century Gothic" w:hAnsi="Century Gothic" w:cs="Arial"/>
        </w:rPr>
      </w:pPr>
      <w:r w:rsidRPr="002A19F7">
        <w:rPr>
          <w:rFonts w:ascii="Century Gothic" w:hAnsi="Century Gothic" w:cs="Arial"/>
          <w:color w:val="000000" w:themeColor="text1"/>
        </w:rPr>
        <w:t xml:space="preserve">No obstante, se reitera la importancia de analizar y justificar en cada caso la pertinencia y conveniencia de entregar al contratista recursos en calidad de anticipo. De esta forma, </w:t>
      </w:r>
      <w:r w:rsidRPr="002A19F7">
        <w:rPr>
          <w:rFonts w:ascii="Century Gothic" w:hAnsi="Century Gothic" w:cs="Arial"/>
        </w:rPr>
        <w:t xml:space="preserve">debe ser la administración quien determine la viabilidad o no, de la entrega de un anticipó y de la obligación de adoptar las medidas necesarias y razonables para asegurar el buen manejo y la correcta inversión del anticipo, entre las que se encuentra la constitución obligatoria de la garantía respectiva.  </w:t>
      </w:r>
    </w:p>
    <w:p w14:paraId="161B11B7" w14:textId="77777777" w:rsidR="00AB49BE" w:rsidRPr="002A19F7" w:rsidRDefault="00AB49BE" w:rsidP="00AB49BE">
      <w:pPr>
        <w:pStyle w:val="Prrafodelista"/>
        <w:spacing w:after="0" w:line="276" w:lineRule="auto"/>
        <w:ind w:left="0"/>
        <w:jc w:val="both"/>
        <w:rPr>
          <w:rFonts w:ascii="Century Gothic" w:eastAsia="Calibri" w:hAnsi="Century Gothic" w:cs="Arial"/>
          <w:b/>
          <w:bCs/>
          <w:lang w:val="es-ES_tradnl" w:eastAsia="es-ES_tradnl"/>
          <w14:ligatures w14:val="standardContextual"/>
        </w:rPr>
      </w:pPr>
    </w:p>
    <w:bookmarkEnd w:id="3"/>
    <w:p w14:paraId="4E2DECC2" w14:textId="2C579FD9" w:rsidR="00AB49BE" w:rsidRPr="002A19F7" w:rsidRDefault="00AB49BE" w:rsidP="00AB49BE">
      <w:pPr>
        <w:pStyle w:val="paragraph"/>
        <w:spacing w:before="0" w:beforeAutospacing="0" w:after="0" w:afterAutospacing="0"/>
        <w:jc w:val="both"/>
        <w:textAlignment w:val="baseline"/>
        <w:rPr>
          <w:rFonts w:ascii="Century Gothic" w:hAnsi="Century Gothic" w:cs="Segoe UI"/>
          <w:sz w:val="18"/>
          <w:szCs w:val="18"/>
        </w:rPr>
      </w:pPr>
      <w:r w:rsidRPr="002A19F7">
        <w:rPr>
          <w:rStyle w:val="normaltextrun"/>
          <w:rFonts w:ascii="Century Gothic" w:hAnsi="Century Gothic" w:cs="Arial"/>
          <w:b/>
          <w:bCs/>
          <w:sz w:val="22"/>
          <w:szCs w:val="22"/>
          <w:lang w:val="es-MX"/>
        </w:rPr>
        <w:t>2.</w:t>
      </w:r>
      <w:r w:rsidR="00C57585">
        <w:rPr>
          <w:rStyle w:val="normaltextrun"/>
          <w:rFonts w:ascii="Century Gothic" w:hAnsi="Century Gothic" w:cs="Arial"/>
          <w:b/>
          <w:bCs/>
          <w:sz w:val="22"/>
          <w:szCs w:val="22"/>
          <w:lang w:val="es-MX"/>
        </w:rPr>
        <w:t>3</w:t>
      </w:r>
      <w:r w:rsidRPr="002A19F7">
        <w:rPr>
          <w:rStyle w:val="normaltextrun"/>
          <w:rFonts w:ascii="Century Gothic" w:hAnsi="Century Gothic" w:cs="Arial"/>
          <w:b/>
          <w:bCs/>
          <w:sz w:val="22"/>
          <w:szCs w:val="22"/>
          <w:lang w:val="es-MX"/>
        </w:rPr>
        <w:t>.   Del Fraccionamiento del Contrato</w:t>
      </w:r>
      <w:r w:rsidRPr="002A19F7">
        <w:rPr>
          <w:rStyle w:val="eop"/>
          <w:rFonts w:ascii="Century Gothic" w:hAnsi="Century Gothic" w:cs="Arial"/>
          <w:sz w:val="22"/>
          <w:szCs w:val="22"/>
        </w:rPr>
        <w:t> </w:t>
      </w:r>
    </w:p>
    <w:p w14:paraId="52E0A5C4" w14:textId="77777777" w:rsidR="00AB49BE" w:rsidRPr="002A19F7" w:rsidRDefault="00AB49BE" w:rsidP="00AB49BE">
      <w:pPr>
        <w:pStyle w:val="paragraph"/>
        <w:spacing w:before="0" w:beforeAutospacing="0" w:after="0" w:afterAutospacing="0"/>
        <w:jc w:val="both"/>
        <w:textAlignment w:val="baseline"/>
        <w:rPr>
          <w:rFonts w:ascii="Century Gothic" w:hAnsi="Century Gothic" w:cs="Segoe UI"/>
          <w:sz w:val="18"/>
          <w:szCs w:val="18"/>
        </w:rPr>
      </w:pPr>
      <w:r w:rsidRPr="002A19F7">
        <w:rPr>
          <w:rStyle w:val="eop"/>
          <w:rFonts w:ascii="Century Gothic" w:hAnsi="Century Gothic" w:cs="Arial"/>
          <w:sz w:val="22"/>
          <w:szCs w:val="22"/>
        </w:rPr>
        <w:t> </w:t>
      </w:r>
    </w:p>
    <w:p w14:paraId="0F44417F" w14:textId="77777777" w:rsidR="00AB49BE" w:rsidRPr="002A19F7" w:rsidRDefault="00AB49BE" w:rsidP="00AB49BE">
      <w:pPr>
        <w:pStyle w:val="paragraph"/>
        <w:spacing w:before="0" w:beforeAutospacing="0" w:after="0" w:afterAutospacing="0"/>
        <w:ind w:right="45"/>
        <w:jc w:val="both"/>
        <w:textAlignment w:val="baseline"/>
        <w:rPr>
          <w:rFonts w:ascii="Century Gothic" w:hAnsi="Century Gothic" w:cs="Segoe UI"/>
          <w:sz w:val="18"/>
          <w:szCs w:val="18"/>
        </w:rPr>
      </w:pPr>
      <w:r w:rsidRPr="002A19F7">
        <w:rPr>
          <w:rStyle w:val="normaltextrun"/>
          <w:rFonts w:ascii="Century Gothic" w:hAnsi="Century Gothic" w:cs="Arial"/>
          <w:sz w:val="22"/>
          <w:szCs w:val="22"/>
          <w:lang w:val="es-ES"/>
        </w:rPr>
        <w:t>Sobre el fraccionamiento del contrato procede citar lo expuesto por el Consejo de Estado</w:t>
      </w:r>
      <w:r w:rsidRPr="002A19F7">
        <w:rPr>
          <w:rStyle w:val="superscript"/>
          <w:rFonts w:ascii="Century Gothic" w:hAnsi="Century Gothic" w:cs="Arial"/>
          <w:sz w:val="17"/>
          <w:szCs w:val="17"/>
          <w:vertAlign w:val="superscript"/>
          <w:lang w:val="es-ES"/>
        </w:rPr>
        <w:t>14</w:t>
      </w:r>
      <w:r w:rsidRPr="002A19F7">
        <w:rPr>
          <w:rStyle w:val="normaltextrun"/>
          <w:rFonts w:ascii="Century Gothic" w:hAnsi="Century Gothic" w:cs="Arial"/>
          <w:sz w:val="22"/>
          <w:szCs w:val="22"/>
          <w:lang w:val="es-ES"/>
        </w:rPr>
        <w:t>, quien sobre el particular precisó:</w:t>
      </w:r>
      <w:r w:rsidRPr="002A19F7">
        <w:rPr>
          <w:rStyle w:val="eop"/>
          <w:rFonts w:ascii="Century Gothic" w:hAnsi="Century Gothic" w:cs="Arial"/>
          <w:sz w:val="22"/>
          <w:szCs w:val="22"/>
        </w:rPr>
        <w:t> </w:t>
      </w:r>
    </w:p>
    <w:p w14:paraId="48917130" w14:textId="77777777" w:rsidR="00AB49BE" w:rsidRPr="002A19F7" w:rsidRDefault="00AB49BE" w:rsidP="00AB49BE">
      <w:pPr>
        <w:pStyle w:val="paragraph"/>
        <w:spacing w:before="0" w:beforeAutospacing="0" w:after="0" w:afterAutospacing="0"/>
        <w:ind w:right="45"/>
        <w:jc w:val="both"/>
        <w:textAlignment w:val="baseline"/>
        <w:rPr>
          <w:rFonts w:ascii="Century Gothic" w:hAnsi="Century Gothic" w:cs="Segoe UI"/>
          <w:sz w:val="18"/>
          <w:szCs w:val="18"/>
        </w:rPr>
      </w:pPr>
      <w:r w:rsidRPr="002A19F7">
        <w:rPr>
          <w:rStyle w:val="eop"/>
          <w:rFonts w:ascii="Century Gothic" w:hAnsi="Century Gothic" w:cs="Arial"/>
        </w:rPr>
        <w:t> </w:t>
      </w:r>
    </w:p>
    <w:p w14:paraId="0EB0264B" w14:textId="77777777" w:rsidR="00AB49BE" w:rsidRPr="002A19F7" w:rsidRDefault="00AB49BE" w:rsidP="00AB49BE">
      <w:pPr>
        <w:pStyle w:val="paragraph"/>
        <w:spacing w:before="0" w:beforeAutospacing="0" w:after="0" w:afterAutospacing="0"/>
        <w:ind w:left="660" w:right="615"/>
        <w:jc w:val="both"/>
        <w:textAlignment w:val="baseline"/>
        <w:rPr>
          <w:rStyle w:val="normaltextrun"/>
          <w:rFonts w:ascii="Century Gothic" w:hAnsi="Century Gothic" w:cs="Arial"/>
          <w:sz w:val="22"/>
          <w:szCs w:val="22"/>
        </w:rPr>
      </w:pPr>
      <w:r w:rsidRPr="002A19F7">
        <w:rPr>
          <w:rStyle w:val="normaltextrun"/>
          <w:rFonts w:ascii="Century Gothic" w:hAnsi="Century Gothic" w:cs="Arial"/>
          <w:sz w:val="22"/>
          <w:szCs w:val="22"/>
        </w:rPr>
        <w:t xml:space="preserve">“Cuando la contratación directa se realiza </w:t>
      </w:r>
      <w:r w:rsidRPr="002A19F7">
        <w:rPr>
          <w:rStyle w:val="normaltextrun"/>
          <w:rFonts w:ascii="Century Gothic" w:hAnsi="Century Gothic" w:cs="Arial"/>
          <w:b/>
          <w:bCs/>
          <w:sz w:val="22"/>
          <w:szCs w:val="22"/>
        </w:rPr>
        <w:t xml:space="preserve">burlando </w:t>
      </w:r>
      <w:r w:rsidRPr="002A19F7">
        <w:rPr>
          <w:rStyle w:val="normaltextrun"/>
          <w:rFonts w:ascii="Century Gothic" w:hAnsi="Century Gothic" w:cs="Arial"/>
          <w:sz w:val="22"/>
          <w:szCs w:val="22"/>
        </w:rPr>
        <w:t xml:space="preserve">el proceso licitatorio a través del fraccionamiento del contrato, es decir, </w:t>
      </w:r>
      <w:r w:rsidRPr="002A19F7">
        <w:rPr>
          <w:rStyle w:val="normaltextrun"/>
          <w:rFonts w:ascii="Century Gothic" w:hAnsi="Century Gothic" w:cs="Arial"/>
          <w:b/>
          <w:bCs/>
          <w:sz w:val="22"/>
          <w:szCs w:val="22"/>
        </w:rPr>
        <w:t>buscando que ninguno de los contratos resultantes de dividir un mismo objeto supere el monto de la cuantía requerida para la licitación, se están desconociendo los principios que inspiran la contratación pública</w:t>
      </w:r>
      <w:r w:rsidRPr="002A19F7">
        <w:rPr>
          <w:rStyle w:val="normaltextrun"/>
          <w:rFonts w:ascii="Century Gothic" w:hAnsi="Century Gothic" w:cs="Arial"/>
          <w:sz w:val="22"/>
          <w:szCs w:val="22"/>
        </w:rPr>
        <w:t xml:space="preserve">. Al respecto, aunque la conducta de fraccionar los contratos no está prohibida expresamente en la Ley 80 de 1993, la jurisprudencia y la doctrina han sido claras en que la prohibición está implícita si tenemos en cuenta los aspectos esenciales de los principios y reglas que informan el estatuto contractual. En efecto, se ha considerado que “Si </w:t>
      </w:r>
      <w:r w:rsidRPr="002A19F7">
        <w:rPr>
          <w:rStyle w:val="normaltextrun"/>
          <w:rFonts w:ascii="Century Gothic" w:hAnsi="Century Gothic" w:cs="Arial"/>
          <w:sz w:val="22"/>
          <w:szCs w:val="22"/>
        </w:rPr>
        <w:lastRenderedPageBreak/>
        <w:t xml:space="preserve">bien dicha figura no aparece dentro del estatuto actual en los mismos términos de los estatutos anteriores, ello obedece a la estructura misma de la ley 80, puesto que se pretendió terminar con la exagerada reglamentación y rigorismo y en cambio se determinaron pautas, reglas y principios, de los que se infiere la prohibición del fraccionamiento, y que se traduce en distintas disposiciones como la regla contenida en el numeral 8º del artículo 24, según la cual las autoridades no actuarán con desviación o abuso del poder y ejercerán sus competencias exclusivamente para los fines previstos en la ley, y al propio tiempo les prohíbe eludir los procedimientos de selección objetiva y los demás requisitos previstos en dicho estatuto.2” </w:t>
      </w:r>
    </w:p>
    <w:p w14:paraId="16B9B549" w14:textId="77777777" w:rsidR="00AB49BE" w:rsidRPr="002A19F7" w:rsidRDefault="00AB49BE" w:rsidP="00AB49BE">
      <w:pPr>
        <w:pStyle w:val="paragraph"/>
        <w:spacing w:before="0" w:beforeAutospacing="0" w:after="0" w:afterAutospacing="0"/>
        <w:ind w:left="660" w:right="615"/>
        <w:jc w:val="both"/>
        <w:textAlignment w:val="baseline"/>
        <w:rPr>
          <w:rFonts w:ascii="Century Gothic" w:hAnsi="Century Gothic" w:cs="Segoe UI"/>
          <w:sz w:val="18"/>
          <w:szCs w:val="18"/>
        </w:rPr>
      </w:pPr>
    </w:p>
    <w:p w14:paraId="6D6C612C" w14:textId="77777777" w:rsidR="00AB49BE" w:rsidRPr="002A19F7" w:rsidRDefault="00AB49BE" w:rsidP="00AB49BE">
      <w:pPr>
        <w:pStyle w:val="paragraph"/>
        <w:spacing w:before="0" w:beforeAutospacing="0" w:after="0" w:afterAutospacing="0"/>
        <w:ind w:right="45" w:firstLine="660"/>
        <w:jc w:val="both"/>
        <w:textAlignment w:val="baseline"/>
        <w:rPr>
          <w:rFonts w:ascii="Century Gothic" w:hAnsi="Century Gothic" w:cs="Segoe UI"/>
          <w:sz w:val="18"/>
          <w:szCs w:val="18"/>
        </w:rPr>
      </w:pPr>
      <w:r w:rsidRPr="002A19F7">
        <w:rPr>
          <w:rStyle w:val="normaltextrun"/>
          <w:rFonts w:ascii="Century Gothic" w:hAnsi="Century Gothic" w:cs="Arial"/>
          <w:sz w:val="22"/>
          <w:szCs w:val="22"/>
          <w:lang w:val="es-ES"/>
        </w:rPr>
        <w:t xml:space="preserve">En esa misma línea, pero en la Sentencia del 31 de enero de 2011 proferida por la Sección Tercera de la Sala de lo Contencioso Administrativo del Consejo de Estado, expediente 17767 con ponencia de Olga </w:t>
      </w:r>
      <w:proofErr w:type="spellStart"/>
      <w:r w:rsidRPr="002A19F7">
        <w:rPr>
          <w:rStyle w:val="normaltextrun"/>
          <w:rFonts w:ascii="Century Gothic" w:hAnsi="Century Gothic" w:cs="Arial"/>
          <w:sz w:val="22"/>
          <w:szCs w:val="22"/>
          <w:lang w:val="es-ES"/>
        </w:rPr>
        <w:t>Melida</w:t>
      </w:r>
      <w:proofErr w:type="spellEnd"/>
      <w:r w:rsidRPr="002A19F7">
        <w:rPr>
          <w:rStyle w:val="normaltextrun"/>
          <w:rFonts w:ascii="Century Gothic" w:hAnsi="Century Gothic" w:cs="Arial"/>
          <w:sz w:val="22"/>
          <w:szCs w:val="22"/>
          <w:lang w:val="es-ES"/>
        </w:rPr>
        <w:t xml:space="preserve"> Valle de </w:t>
      </w:r>
      <w:proofErr w:type="spellStart"/>
      <w:r w:rsidRPr="002A19F7">
        <w:rPr>
          <w:rStyle w:val="normaltextrun"/>
          <w:rFonts w:ascii="Century Gothic" w:hAnsi="Century Gothic" w:cs="Arial"/>
          <w:sz w:val="22"/>
          <w:szCs w:val="22"/>
          <w:lang w:val="es-ES"/>
        </w:rPr>
        <w:t>De</w:t>
      </w:r>
      <w:proofErr w:type="spellEnd"/>
      <w:r w:rsidRPr="002A19F7">
        <w:rPr>
          <w:rStyle w:val="normaltextrun"/>
          <w:rFonts w:ascii="Century Gothic" w:hAnsi="Century Gothic" w:cs="Arial"/>
          <w:sz w:val="22"/>
          <w:szCs w:val="22"/>
          <w:lang w:val="es-ES"/>
        </w:rPr>
        <w:t xml:space="preserve"> La Hoz, se señaló:</w:t>
      </w:r>
      <w:r w:rsidRPr="002A19F7">
        <w:rPr>
          <w:rStyle w:val="eop"/>
          <w:rFonts w:ascii="Century Gothic" w:hAnsi="Century Gothic" w:cs="Arial"/>
          <w:sz w:val="22"/>
          <w:szCs w:val="22"/>
        </w:rPr>
        <w:t> </w:t>
      </w:r>
    </w:p>
    <w:p w14:paraId="71D8C2E7" w14:textId="77777777" w:rsidR="00AB49BE" w:rsidRPr="002A19F7" w:rsidRDefault="00AB49BE" w:rsidP="00AB49BE">
      <w:pPr>
        <w:pStyle w:val="paragraph"/>
        <w:spacing w:before="0" w:beforeAutospacing="0" w:after="0" w:afterAutospacing="0"/>
        <w:ind w:right="45"/>
        <w:jc w:val="both"/>
        <w:textAlignment w:val="baseline"/>
        <w:rPr>
          <w:rFonts w:ascii="Century Gothic" w:hAnsi="Century Gothic" w:cs="Segoe UI"/>
          <w:sz w:val="18"/>
          <w:szCs w:val="18"/>
        </w:rPr>
      </w:pPr>
      <w:r w:rsidRPr="002A19F7">
        <w:rPr>
          <w:rStyle w:val="eop"/>
          <w:rFonts w:ascii="Century Gothic" w:hAnsi="Century Gothic" w:cs="Arial"/>
          <w:sz w:val="25"/>
          <w:szCs w:val="25"/>
        </w:rPr>
        <w:t> </w:t>
      </w:r>
    </w:p>
    <w:p w14:paraId="23BA03BE" w14:textId="77777777" w:rsidR="00AB49BE" w:rsidRPr="002A19F7" w:rsidRDefault="00AB49BE" w:rsidP="00AB49BE">
      <w:pPr>
        <w:pStyle w:val="paragraph"/>
        <w:spacing w:before="0" w:beforeAutospacing="0" w:after="0" w:afterAutospacing="0"/>
        <w:ind w:left="660" w:right="615"/>
        <w:jc w:val="both"/>
        <w:textAlignment w:val="baseline"/>
        <w:rPr>
          <w:rStyle w:val="eop"/>
          <w:rFonts w:ascii="Century Gothic" w:hAnsi="Century Gothic" w:cs="Arial"/>
          <w:sz w:val="22"/>
          <w:szCs w:val="22"/>
        </w:rPr>
      </w:pPr>
      <w:r w:rsidRPr="002A19F7">
        <w:rPr>
          <w:rStyle w:val="normaltextrun"/>
          <w:rFonts w:ascii="Century Gothic" w:hAnsi="Century Gothic" w:cs="Arial"/>
          <w:sz w:val="22"/>
          <w:szCs w:val="22"/>
        </w:rPr>
        <w:t xml:space="preserve">“La Corte Suprema de Justicia ha precisado que el fraccionamiento indebido de contratos tiene lugar, “en los eventos en los cuales la administración para eludir el procedimiento de licitación </w:t>
      </w:r>
      <w:proofErr w:type="gramStart"/>
      <w:r w:rsidRPr="002A19F7">
        <w:rPr>
          <w:rStyle w:val="normaltextrun"/>
          <w:rFonts w:ascii="Century Gothic" w:hAnsi="Century Gothic" w:cs="Arial"/>
          <w:sz w:val="22"/>
          <w:szCs w:val="22"/>
        </w:rPr>
        <w:t>pública,</w:t>
      </w:r>
      <w:proofErr w:type="gramEnd"/>
      <w:r w:rsidRPr="002A19F7">
        <w:rPr>
          <w:rStyle w:val="normaltextrun"/>
          <w:rFonts w:ascii="Century Gothic" w:hAnsi="Century Gothic" w:cs="Arial"/>
          <w:sz w:val="22"/>
          <w:szCs w:val="22"/>
        </w:rPr>
        <w:t xml:space="preserve"> divide disimuladamente el objeto del contrato con el ánimo de favorecer a los contratistas. En su demostración, deben confluir las circunstancias siguientes: i) Que sea posible pregonar la unidad de objeto en relación con el contrato cuya legalidad se cuestiona y, de ser así, ii) </w:t>
      </w:r>
      <w:r w:rsidRPr="002A19F7">
        <w:rPr>
          <w:rStyle w:val="normaltextrun"/>
          <w:rFonts w:ascii="Century Gothic" w:hAnsi="Century Gothic" w:cs="Arial"/>
          <w:b/>
          <w:bCs/>
          <w:sz w:val="22"/>
          <w:szCs w:val="22"/>
        </w:rPr>
        <w:t>determinar cuáles fueron las circunstancias que condujeron a la administración a celebrar varios contratos, pues solo de esta manera se puede inferir si el actuar se cimentó en criterios razonables de interés público, o si por contraste, los motivos fueron simulados y orientados a soslayar las normas de la contratación pública</w:t>
      </w:r>
      <w:r w:rsidRPr="002A19F7">
        <w:rPr>
          <w:rStyle w:val="normaltextrun"/>
          <w:rFonts w:ascii="Century Gothic" w:hAnsi="Century Gothic" w:cs="Arial"/>
          <w:sz w:val="22"/>
          <w:szCs w:val="22"/>
        </w:rPr>
        <w:t>.”</w:t>
      </w:r>
    </w:p>
    <w:p w14:paraId="322E5230" w14:textId="77777777" w:rsidR="00AB49BE" w:rsidRPr="002A19F7" w:rsidRDefault="00AB49BE" w:rsidP="00AB49BE">
      <w:pPr>
        <w:pStyle w:val="paragraph"/>
        <w:spacing w:before="0" w:beforeAutospacing="0" w:after="0" w:afterAutospacing="0"/>
        <w:ind w:left="660" w:right="615"/>
        <w:jc w:val="both"/>
        <w:textAlignment w:val="baseline"/>
        <w:rPr>
          <w:rFonts w:ascii="Century Gothic" w:hAnsi="Century Gothic" w:cs="Segoe UI"/>
          <w:sz w:val="18"/>
          <w:szCs w:val="18"/>
        </w:rPr>
      </w:pPr>
    </w:p>
    <w:p w14:paraId="3613BDD3" w14:textId="77777777" w:rsidR="00AB49BE" w:rsidRPr="002A19F7" w:rsidRDefault="00AB49BE" w:rsidP="00AB49BE">
      <w:pPr>
        <w:pStyle w:val="paragraph"/>
        <w:spacing w:before="0" w:beforeAutospacing="0" w:after="0" w:afterAutospacing="0"/>
        <w:ind w:right="45" w:firstLine="660"/>
        <w:jc w:val="both"/>
        <w:textAlignment w:val="baseline"/>
        <w:rPr>
          <w:rFonts w:ascii="Century Gothic" w:hAnsi="Century Gothic" w:cs="Segoe UI"/>
          <w:sz w:val="18"/>
          <w:szCs w:val="18"/>
        </w:rPr>
      </w:pPr>
      <w:r w:rsidRPr="002A19F7">
        <w:rPr>
          <w:rStyle w:val="normaltextrun"/>
          <w:rFonts w:ascii="Century Gothic" w:hAnsi="Century Gothic" w:cs="Arial"/>
          <w:sz w:val="22"/>
          <w:szCs w:val="22"/>
          <w:lang w:val="es-ES"/>
        </w:rPr>
        <w:t>Sobre lo anterior, conviene resaltar que en opinión de la Agencia Nacional de Contratación Pública – Colombia Compra Eficiente – el fraccionamiento del contrato es una figura jurídica que no puede materializarse cuando se escoge el colaborador de la Administración mediante contratación directa, pues ninguna de las causales asociadas a esta modalidad de selección</w:t>
      </w:r>
      <w:r w:rsidRPr="002A19F7">
        <w:rPr>
          <w:rStyle w:val="superscript"/>
          <w:rFonts w:ascii="Century Gothic" w:hAnsi="Century Gothic" w:cs="Arial"/>
          <w:sz w:val="17"/>
          <w:szCs w:val="17"/>
          <w:vertAlign w:val="superscript"/>
          <w:lang w:val="es-ES"/>
        </w:rPr>
        <w:t>15</w:t>
      </w:r>
      <w:r w:rsidRPr="002A19F7">
        <w:rPr>
          <w:rStyle w:val="normaltextrun"/>
          <w:rFonts w:ascii="Century Gothic" w:hAnsi="Century Gothic" w:cs="Arial"/>
          <w:sz w:val="14"/>
          <w:szCs w:val="14"/>
          <w:lang w:val="es-ES"/>
        </w:rPr>
        <w:t xml:space="preserve"> </w:t>
      </w:r>
      <w:r w:rsidRPr="002A19F7">
        <w:rPr>
          <w:rStyle w:val="normaltextrun"/>
          <w:rFonts w:ascii="Century Gothic" w:hAnsi="Century Gothic" w:cs="Arial"/>
          <w:sz w:val="22"/>
          <w:szCs w:val="22"/>
          <w:lang w:val="es-ES"/>
        </w:rPr>
        <w:t>dependen del valor, precio o presupuesto del proyecto, como si sucede en el caso de la Mínima cuantía.</w:t>
      </w:r>
      <w:r w:rsidRPr="002A19F7">
        <w:rPr>
          <w:rStyle w:val="eop"/>
          <w:rFonts w:ascii="Century Gothic" w:hAnsi="Century Gothic" w:cs="Arial"/>
          <w:sz w:val="22"/>
          <w:szCs w:val="22"/>
        </w:rPr>
        <w:t> </w:t>
      </w:r>
    </w:p>
    <w:p w14:paraId="2E661EF2" w14:textId="77777777" w:rsidR="00AB49BE" w:rsidRPr="002A19F7" w:rsidRDefault="00AB49BE" w:rsidP="00AB49BE">
      <w:pPr>
        <w:pStyle w:val="paragraph"/>
        <w:spacing w:before="0" w:beforeAutospacing="0" w:after="0" w:afterAutospacing="0"/>
        <w:ind w:right="45" w:firstLine="705"/>
        <w:jc w:val="both"/>
        <w:textAlignment w:val="baseline"/>
        <w:rPr>
          <w:rFonts w:ascii="Century Gothic" w:hAnsi="Century Gothic" w:cs="Segoe UI"/>
          <w:sz w:val="18"/>
          <w:szCs w:val="18"/>
        </w:rPr>
      </w:pPr>
      <w:r w:rsidRPr="002A19F7">
        <w:rPr>
          <w:rStyle w:val="normaltextrun"/>
          <w:rFonts w:ascii="Century Gothic" w:hAnsi="Century Gothic" w:cs="Arial"/>
          <w:sz w:val="22"/>
          <w:szCs w:val="22"/>
          <w:lang w:val="es-ES"/>
        </w:rPr>
        <w:t xml:space="preserve">Vale la pena destacar que se desconocen los principios que rigen la contratación estatal cuando “se celebran varios contratos, cada uno de menor cuantía y todos con el mismo objeto, si sumadas sus cuantías resulta ser que se contrató un objeto único, por cuantía superior, que por lo mismo debió ser materia de licitación o concurso (…) </w:t>
      </w:r>
      <w:proofErr w:type="gramStart"/>
      <w:r w:rsidRPr="002A19F7">
        <w:rPr>
          <w:rStyle w:val="normaltextrun"/>
          <w:rFonts w:ascii="Century Gothic" w:hAnsi="Century Gothic" w:cs="Arial"/>
          <w:sz w:val="22"/>
          <w:szCs w:val="22"/>
          <w:lang w:val="es-ES"/>
        </w:rPr>
        <w:t>Pero,</w:t>
      </w:r>
      <w:proofErr w:type="gramEnd"/>
      <w:r w:rsidRPr="002A19F7">
        <w:rPr>
          <w:rStyle w:val="normaltextrun"/>
          <w:rFonts w:ascii="Century Gothic" w:hAnsi="Century Gothic" w:cs="Arial"/>
          <w:sz w:val="22"/>
          <w:szCs w:val="22"/>
          <w:lang w:val="es-ES"/>
        </w:rPr>
        <w:t xml:space="preserve"> ¿cuándo se trata de un mismo objeto? La ley no lo dice, pero un objeto es el mismo cuando es naturalmente uno. Dicho, en otros </w:t>
      </w:r>
      <w:r w:rsidRPr="002A19F7">
        <w:rPr>
          <w:rStyle w:val="normaltextrun"/>
          <w:rFonts w:ascii="Century Gothic" w:hAnsi="Century Gothic" w:cs="Arial"/>
          <w:sz w:val="22"/>
          <w:szCs w:val="22"/>
          <w:lang w:val="es-ES"/>
        </w:rPr>
        <w:lastRenderedPageBreak/>
        <w:t>términos, se fracciona un contrato cuando se quebranta y se divide la unidad natural de su objeto”</w:t>
      </w:r>
      <w:r w:rsidRPr="002A19F7">
        <w:rPr>
          <w:rStyle w:val="superscript"/>
          <w:rFonts w:ascii="Century Gothic" w:hAnsi="Century Gothic" w:cs="Arial"/>
          <w:sz w:val="17"/>
          <w:szCs w:val="17"/>
          <w:vertAlign w:val="superscript"/>
          <w:lang w:val="es-ES"/>
        </w:rPr>
        <w:t>16</w:t>
      </w:r>
      <w:r w:rsidRPr="002A19F7">
        <w:rPr>
          <w:rStyle w:val="normaltextrun"/>
          <w:rFonts w:ascii="Century Gothic" w:hAnsi="Century Gothic" w:cs="Arial"/>
          <w:sz w:val="22"/>
          <w:szCs w:val="22"/>
          <w:lang w:val="es-ES"/>
        </w:rPr>
        <w:t>.</w:t>
      </w:r>
      <w:r w:rsidRPr="002A19F7">
        <w:rPr>
          <w:rStyle w:val="eop"/>
          <w:rFonts w:ascii="Century Gothic" w:hAnsi="Century Gothic" w:cs="Arial"/>
          <w:sz w:val="22"/>
          <w:szCs w:val="22"/>
        </w:rPr>
        <w:t> </w:t>
      </w:r>
    </w:p>
    <w:p w14:paraId="1EBDF4D8" w14:textId="77777777" w:rsidR="00AB49BE" w:rsidRPr="002A19F7" w:rsidRDefault="00AB49BE" w:rsidP="00AB49BE">
      <w:pPr>
        <w:pStyle w:val="paragraph"/>
        <w:spacing w:before="0" w:beforeAutospacing="0" w:after="0" w:afterAutospacing="0"/>
        <w:ind w:right="45" w:firstLine="705"/>
        <w:jc w:val="both"/>
        <w:textAlignment w:val="baseline"/>
        <w:rPr>
          <w:rStyle w:val="eop"/>
          <w:rFonts w:ascii="Century Gothic" w:hAnsi="Century Gothic" w:cs="Arial"/>
          <w:sz w:val="22"/>
          <w:szCs w:val="22"/>
        </w:rPr>
      </w:pPr>
      <w:r w:rsidRPr="002A19F7">
        <w:rPr>
          <w:rStyle w:val="normaltextrun"/>
          <w:rFonts w:ascii="Century Gothic" w:hAnsi="Century Gothic" w:cs="Arial"/>
          <w:sz w:val="22"/>
          <w:szCs w:val="22"/>
          <w:lang w:val="es-ES"/>
        </w:rPr>
        <w:t>Finalmente, la jurisprudencia del Consejo de Estado ha señalado que, por desconocer los principios que inspiran la contratación estatal, el fraccionamiento del contrato impone al juez la obligación de declarar su nulidad absoluta en los términos de los artículos 44 y 45 de la Ley 80 de 1993.</w:t>
      </w:r>
      <w:r w:rsidRPr="002A19F7">
        <w:rPr>
          <w:rStyle w:val="eop"/>
          <w:rFonts w:ascii="Century Gothic" w:hAnsi="Century Gothic" w:cs="Arial"/>
          <w:sz w:val="22"/>
          <w:szCs w:val="22"/>
        </w:rPr>
        <w:t> </w:t>
      </w:r>
    </w:p>
    <w:p w14:paraId="7866CE85" w14:textId="77777777" w:rsidR="00AB49BE" w:rsidRPr="002A19F7" w:rsidRDefault="00AB49BE" w:rsidP="00AB49BE">
      <w:pPr>
        <w:pStyle w:val="paragraph"/>
        <w:spacing w:before="0" w:beforeAutospacing="0" w:after="0" w:afterAutospacing="0"/>
        <w:ind w:right="45"/>
        <w:jc w:val="both"/>
        <w:textAlignment w:val="baseline"/>
        <w:rPr>
          <w:rStyle w:val="eop"/>
          <w:rFonts w:ascii="Century Gothic" w:hAnsi="Century Gothic" w:cs="Arial"/>
          <w:sz w:val="22"/>
          <w:szCs w:val="22"/>
        </w:rPr>
      </w:pPr>
    </w:p>
    <w:p w14:paraId="7692BE2A" w14:textId="5B202A06" w:rsidR="00AB49BE" w:rsidRPr="002A19F7" w:rsidRDefault="00AB49BE" w:rsidP="00AB49BE">
      <w:pPr>
        <w:tabs>
          <w:tab w:val="left" w:pos="426"/>
        </w:tabs>
        <w:spacing w:after="0" w:line="276" w:lineRule="auto"/>
        <w:jc w:val="both"/>
        <w:rPr>
          <w:rFonts w:ascii="Century Gothic" w:eastAsia="Calibri" w:hAnsi="Century Gothic" w:cs="Arial"/>
          <w:b/>
          <w:lang w:val="es-MX"/>
          <w14:ligatures w14:val="standardContextual"/>
        </w:rPr>
      </w:pPr>
      <w:r w:rsidRPr="002A19F7">
        <w:rPr>
          <w:rFonts w:ascii="Century Gothic" w:eastAsia="Calibri" w:hAnsi="Century Gothic" w:cs="Arial"/>
          <w:b/>
          <w:lang w:val="es-MX"/>
          <w14:ligatures w14:val="standardContextual"/>
        </w:rPr>
        <w:t>2.</w:t>
      </w:r>
      <w:r w:rsidR="001F5EDC">
        <w:rPr>
          <w:rFonts w:ascii="Century Gothic" w:eastAsia="Calibri" w:hAnsi="Century Gothic" w:cs="Arial"/>
          <w:b/>
          <w:lang w:val="es-MX"/>
          <w14:ligatures w14:val="standardContextual"/>
        </w:rPr>
        <w:t>4</w:t>
      </w:r>
      <w:r w:rsidRPr="002A19F7">
        <w:rPr>
          <w:rFonts w:ascii="Century Gothic" w:eastAsia="Calibri" w:hAnsi="Century Gothic" w:cs="Arial"/>
          <w:b/>
          <w:lang w:val="es-MX"/>
          <w14:ligatures w14:val="standardContextual"/>
        </w:rPr>
        <w:t>. Naturaleza Jurídica de las Instituciones Educativas de carácter oficial y su régimen de contratación</w:t>
      </w:r>
    </w:p>
    <w:p w14:paraId="76965B93" w14:textId="77777777" w:rsidR="00AB49BE" w:rsidRPr="002A19F7" w:rsidRDefault="00AB49BE" w:rsidP="00AB49BE">
      <w:pPr>
        <w:tabs>
          <w:tab w:val="left" w:pos="426"/>
        </w:tabs>
        <w:spacing w:after="0" w:line="276" w:lineRule="auto"/>
        <w:jc w:val="both"/>
        <w:rPr>
          <w:rFonts w:ascii="Century Gothic" w:eastAsia="Calibri" w:hAnsi="Century Gothic" w:cs="Arial"/>
          <w:b/>
          <w:lang w:val="es-MX"/>
          <w14:ligatures w14:val="standardContextual"/>
        </w:rPr>
      </w:pPr>
      <w:r w:rsidRPr="002A19F7">
        <w:rPr>
          <w:rFonts w:ascii="Century Gothic" w:eastAsia="Calibri" w:hAnsi="Century Gothic" w:cs="Arial"/>
          <w:b/>
          <w:lang w:val="es-MX"/>
          <w14:ligatures w14:val="standardContextual"/>
        </w:rPr>
        <w:t xml:space="preserve">     </w:t>
      </w:r>
    </w:p>
    <w:p w14:paraId="0143FC3C" w14:textId="77777777" w:rsidR="00AB49BE" w:rsidRPr="002A19F7" w:rsidRDefault="00AB49BE" w:rsidP="00AB49BE">
      <w:pPr>
        <w:spacing w:after="120" w:line="276" w:lineRule="auto"/>
        <w:jc w:val="both"/>
        <w:rPr>
          <w:rFonts w:ascii="Century Gothic" w:hAnsi="Century Gothic" w:cs="Arial"/>
          <w:lang w:val="es-MX"/>
          <w14:ligatures w14:val="standardContextual"/>
        </w:rPr>
      </w:pPr>
      <w:r w:rsidRPr="002A19F7">
        <w:rPr>
          <w:rFonts w:ascii="Century Gothic" w:hAnsi="Century Gothic" w:cs="Arial"/>
          <w:lang w:val="es-MX"/>
          <w14:ligatures w14:val="standardContextual"/>
        </w:rPr>
        <w:t xml:space="preserve">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 otorgado a las entidades territoriales para administrar las instituciones educativas, que pueden ser de los diferentes niveles, pero estas no son entidades descentralizadas. </w:t>
      </w:r>
    </w:p>
    <w:p w14:paraId="28303794" w14:textId="77777777" w:rsidR="00AB49BE" w:rsidRPr="002A19F7" w:rsidRDefault="00AB49BE" w:rsidP="00AB49BE">
      <w:pPr>
        <w:spacing w:after="120" w:line="276" w:lineRule="auto"/>
        <w:ind w:firstLine="709"/>
        <w:jc w:val="both"/>
        <w:rPr>
          <w:rFonts w:ascii="Century Gothic" w:hAnsi="Century Gothic" w:cs="Arial"/>
          <w:lang w:val="es-MX"/>
          <w14:ligatures w14:val="standardContextual"/>
        </w:rPr>
      </w:pPr>
      <w:r w:rsidRPr="002A19F7">
        <w:rPr>
          <w:rFonts w:ascii="Century Gothic" w:hAnsi="Century Gothic" w:cs="Arial"/>
          <w:lang w:val="es-MX"/>
          <w14:ligatures w14:val="standardContextual"/>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les permiten a las instituciones realizar la gestión y ejecución presupuestal de los recursos que reciben los establecimientos educativos</w:t>
      </w:r>
      <w:r w:rsidRPr="002A19F7">
        <w:rPr>
          <w:rFonts w:ascii="Century Gothic" w:hAnsi="Century Gothic" w:cs="Arial"/>
          <w:vertAlign w:val="superscript"/>
          <w:lang w:val="es-MX"/>
          <w14:ligatures w14:val="standardContextual"/>
        </w:rPr>
        <w:footnoteReference w:id="17"/>
      </w:r>
      <w:r w:rsidRPr="002A19F7">
        <w:rPr>
          <w:rFonts w:ascii="Century Gothic" w:hAnsi="Century Gothic" w:cs="Arial"/>
          <w:lang w:val="es-MX"/>
          <w14:ligatures w14:val="standardContextual"/>
        </w:rPr>
        <w:t>.</w:t>
      </w:r>
    </w:p>
    <w:p w14:paraId="5CD101EE" w14:textId="77777777" w:rsidR="00AB49BE" w:rsidRPr="002A19F7" w:rsidRDefault="00AB49BE" w:rsidP="00AB49BE">
      <w:pPr>
        <w:spacing w:after="0" w:line="276" w:lineRule="auto"/>
        <w:ind w:firstLine="709"/>
        <w:jc w:val="both"/>
        <w:rPr>
          <w:rFonts w:ascii="Century Gothic" w:hAnsi="Century Gothic" w:cs="Arial"/>
          <w:lang w:val="es-MX"/>
          <w14:ligatures w14:val="standardContextual"/>
        </w:rPr>
      </w:pPr>
      <w:r w:rsidRPr="002A19F7">
        <w:rPr>
          <w:rFonts w:ascii="Century Gothic" w:hAnsi="Century Gothic" w:cs="Arial"/>
          <w:lang w:val="es-MX"/>
          <w14:ligatures w14:val="standardContextual"/>
        </w:rPr>
        <w:t>Los fondos de servicios educativos tampoco cuentan con personería jurídica según lo previsto en el artículo 2.3.1.6.3.4 del Decreto 1075 de 2015, Decreto Único Reglamentario del Sector Educación:</w:t>
      </w:r>
    </w:p>
    <w:p w14:paraId="5943F2A5" w14:textId="77777777" w:rsidR="00AB49BE" w:rsidRPr="002A19F7" w:rsidRDefault="00AB49BE" w:rsidP="00AB49BE">
      <w:pPr>
        <w:spacing w:after="0" w:line="276" w:lineRule="auto"/>
        <w:ind w:firstLine="709"/>
        <w:contextualSpacing/>
        <w:jc w:val="both"/>
        <w:rPr>
          <w:rFonts w:ascii="Century Gothic" w:hAnsi="Century Gothic" w:cs="Arial"/>
          <w:lang w:val="es-MX"/>
          <w14:ligatures w14:val="standardContextual"/>
        </w:rPr>
      </w:pPr>
    </w:p>
    <w:p w14:paraId="1EC08ABF" w14:textId="77777777" w:rsidR="00AB49BE" w:rsidRPr="002A19F7" w:rsidRDefault="00AB49BE" w:rsidP="00AB49BE">
      <w:pPr>
        <w:spacing w:after="0" w:line="240" w:lineRule="auto"/>
        <w:ind w:left="709" w:right="709"/>
        <w:contextualSpacing/>
        <w:jc w:val="both"/>
        <w:rPr>
          <w:rFonts w:ascii="Century Gothic" w:hAnsi="Century Gothic" w:cs="Arial"/>
          <w:sz w:val="20"/>
          <w:szCs w:val="20"/>
          <w:lang w:val="es-MX"/>
          <w14:ligatures w14:val="standardContextual"/>
        </w:rPr>
      </w:pPr>
      <w:r w:rsidRPr="002A19F7">
        <w:rPr>
          <w:rFonts w:ascii="Century Gothic" w:hAnsi="Century Gothic" w:cs="Arial"/>
          <w:sz w:val="20"/>
          <w:szCs w:val="20"/>
          <w:lang w:val="es-MX"/>
          <w14:ligatures w14:val="standardContextual"/>
        </w:rPr>
        <w:t>“Artículo 2.3.1.6.3.4. Ordenación del gasto. Los fondos de servicios educativos carecen de personería jurídica. El rector o director rural es el ordenador del gasto del Fondo de Servicios Educativos y su ejercicio no implica representación legal”</w:t>
      </w:r>
      <w:r w:rsidRPr="002A19F7">
        <w:rPr>
          <w:rFonts w:ascii="Century Gothic" w:hAnsi="Century Gothic" w:cs="Arial"/>
          <w:sz w:val="20"/>
          <w:szCs w:val="20"/>
          <w:vertAlign w:val="superscript"/>
          <w:lang w:val="es-MX"/>
          <w14:ligatures w14:val="standardContextual"/>
        </w:rPr>
        <w:footnoteReference w:id="18"/>
      </w:r>
      <w:r w:rsidRPr="002A19F7">
        <w:rPr>
          <w:rFonts w:ascii="Century Gothic" w:hAnsi="Century Gothic" w:cs="Arial"/>
          <w:sz w:val="20"/>
          <w:szCs w:val="20"/>
          <w:lang w:val="es-MX"/>
          <w14:ligatures w14:val="standardContextual"/>
        </w:rPr>
        <w:t>.</w:t>
      </w:r>
    </w:p>
    <w:p w14:paraId="5B977CF4" w14:textId="77777777" w:rsidR="00AB49BE" w:rsidRPr="002A19F7" w:rsidRDefault="00AB49BE" w:rsidP="00AB49BE">
      <w:pPr>
        <w:spacing w:after="0" w:line="276" w:lineRule="auto"/>
        <w:contextualSpacing/>
        <w:jc w:val="both"/>
        <w:rPr>
          <w:rFonts w:ascii="Century Gothic" w:hAnsi="Century Gothic" w:cs="Arial"/>
          <w:lang w:val="es-MX"/>
          <w14:ligatures w14:val="standardContextual"/>
        </w:rPr>
      </w:pPr>
    </w:p>
    <w:p w14:paraId="5DA185FD" w14:textId="77777777" w:rsidR="00AB49BE" w:rsidRPr="002A19F7" w:rsidRDefault="00AB49BE" w:rsidP="00AB49BE">
      <w:pPr>
        <w:spacing w:after="120" w:line="276" w:lineRule="auto"/>
        <w:ind w:firstLine="709"/>
        <w:jc w:val="both"/>
        <w:rPr>
          <w:rFonts w:ascii="Century Gothic" w:hAnsi="Century Gothic" w:cs="Arial"/>
          <w:lang w:val="es-MX"/>
          <w14:ligatures w14:val="standardContextual"/>
        </w:rPr>
      </w:pPr>
      <w:bookmarkStart w:id="4" w:name="_Hlk114553994"/>
      <w:r w:rsidRPr="002A19F7">
        <w:rPr>
          <w:rFonts w:ascii="Century Gothic" w:hAnsi="Century Gothic" w:cs="Arial"/>
          <w:lang w:val="es-MX"/>
          <w14:ligatures w14:val="standardContextual"/>
        </w:rPr>
        <w:t>Respecto de la capacidad para contratar con la que cuentan las instituciones educativas por medio de los fondos de servicios educativos, hay que precisar que cuando se trata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r w:rsidRPr="002A19F7">
        <w:rPr>
          <w:rFonts w:ascii="Century Gothic" w:hAnsi="Century Gothic" w:cs="Arial"/>
          <w:vertAlign w:val="superscript"/>
          <w:lang w:val="es-MX"/>
          <w14:ligatures w14:val="standardContextual"/>
        </w:rPr>
        <w:footnoteReference w:id="19"/>
      </w:r>
      <w:r w:rsidRPr="002A19F7">
        <w:rPr>
          <w:rFonts w:ascii="Century Gothic" w:hAnsi="Century Gothic" w:cs="Arial"/>
          <w:lang w:val="es-MX"/>
          <w14:ligatures w14:val="standardContextual"/>
        </w:rPr>
        <w:t xml:space="preserve">. </w:t>
      </w:r>
    </w:p>
    <w:p w14:paraId="189E2396" w14:textId="77777777" w:rsidR="00AB49BE" w:rsidRPr="002A19F7" w:rsidRDefault="00AB49BE" w:rsidP="00AB49BE">
      <w:pPr>
        <w:spacing w:after="120" w:line="276" w:lineRule="auto"/>
        <w:ind w:firstLine="709"/>
        <w:jc w:val="both"/>
        <w:rPr>
          <w:rFonts w:ascii="Century Gothic" w:hAnsi="Century Gothic" w:cs="Arial"/>
          <w:lang w:val="es-MX"/>
          <w14:ligatures w14:val="standardContextual"/>
        </w:rPr>
      </w:pPr>
      <w:r w:rsidRPr="002A19F7">
        <w:rPr>
          <w:rFonts w:ascii="Century Gothic" w:hAnsi="Century Gothic" w:cs="Arial"/>
          <w:lang w:val="es-MX"/>
          <w14:ligatures w14:val="standardContextual"/>
        </w:rPr>
        <w:t xml:space="preserve">Esto significa que la contratación que realicen las instituciones educativas, siempre que se ubique por debajo del referido umbral, no deberá ceñirse a las reglas del EGCAP, sino a las determinadas por el reglamento expedido por el consejo directivo de la institución educativa conforme al artículo 13 de la Ley 715 de 2001, que implica que tales reglamentos se expidan de conformidad con los principios de igualdad, moralidad, imparcialidad y publicidad,  así como de acuerdo con la experiencia y el análisis concreto de las necesidades del establecimiento, determinando los trámites, garantías y constancias que deben cumplirse para que el rector o director celebre cualquier acto o contrato que cree, </w:t>
      </w:r>
      <w:r w:rsidRPr="002A19F7">
        <w:rPr>
          <w:rFonts w:ascii="Century Gothic" w:hAnsi="Century Gothic" w:cs="Arial"/>
          <w:lang w:val="es-MX"/>
          <w14:ligatures w14:val="standardContextual"/>
        </w:rPr>
        <w:lastRenderedPageBreak/>
        <w:t xml:space="preserve">extinga o modifique obligaciones con cargo al respectivo fondo de servicios educativos. </w:t>
      </w:r>
    </w:p>
    <w:p w14:paraId="05C801D2" w14:textId="77777777" w:rsidR="00AB49BE" w:rsidRPr="002A19F7" w:rsidRDefault="00AB49BE" w:rsidP="00AB49BE">
      <w:pPr>
        <w:spacing w:after="120" w:line="276" w:lineRule="auto"/>
        <w:ind w:firstLine="709"/>
        <w:jc w:val="both"/>
        <w:rPr>
          <w:rFonts w:ascii="Century Gothic" w:eastAsia="Times New Roman" w:hAnsi="Century Gothic" w:cs="Arial"/>
          <w:szCs w:val="24"/>
          <w:lang w:eastAsia="es-MX"/>
          <w14:ligatures w14:val="standardContextual"/>
        </w:rPr>
      </w:pPr>
      <w:bookmarkStart w:id="5" w:name="_Hlk114554080"/>
      <w:bookmarkEnd w:id="4"/>
      <w:r w:rsidRPr="002A19F7">
        <w:rPr>
          <w:rFonts w:ascii="Century Gothic" w:eastAsia="Times New Roman" w:hAnsi="Century Gothic" w:cs="Arial"/>
          <w:szCs w:val="24"/>
          <w:lang w:eastAsia="es-MX"/>
          <w14:ligatures w14:val="standardContextual"/>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64FA7DF9" w14:textId="77777777" w:rsidR="00AB49BE" w:rsidRPr="002A19F7" w:rsidRDefault="00AB49BE" w:rsidP="00AB49BE">
      <w:pPr>
        <w:spacing w:after="120" w:line="276" w:lineRule="auto"/>
        <w:ind w:firstLine="709"/>
        <w:jc w:val="both"/>
        <w:rPr>
          <w:rFonts w:ascii="Century Gothic" w:eastAsia="Times New Roman" w:hAnsi="Century Gothic" w:cs="Arial"/>
          <w:szCs w:val="24"/>
          <w:lang w:eastAsia="es-MX"/>
          <w14:ligatures w14:val="standardContextual"/>
        </w:rPr>
      </w:pPr>
      <w:r w:rsidRPr="002A19F7">
        <w:rPr>
          <w:rFonts w:ascii="Century Gothic" w:eastAsia="Times New Roman" w:hAnsi="Century Gothic" w:cs="Arial"/>
          <w:szCs w:val="24"/>
          <w:lang w:eastAsia="es-MX"/>
          <w14:ligatures w14:val="standardContextual"/>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EGCAP, procediendo la aplicación de las modalidades de selección definidas en la Ley 1150 de 2007, así como los requisitos y formalidades establecidos en el Decreto 1082 del 2015 y demás normas aplicables.</w:t>
      </w:r>
    </w:p>
    <w:bookmarkEnd w:id="5"/>
    <w:p w14:paraId="6C231282" w14:textId="13C7236C" w:rsidR="00AB49BE" w:rsidRPr="002A19F7" w:rsidRDefault="00AB49BE" w:rsidP="00AB49BE">
      <w:pPr>
        <w:spacing w:before="120" w:after="0" w:line="276" w:lineRule="auto"/>
        <w:ind w:firstLine="709"/>
        <w:jc w:val="both"/>
        <w:rPr>
          <w:rFonts w:ascii="Century Gothic" w:eastAsia="Times New Roman" w:hAnsi="Century Gothic" w:cs="Arial"/>
          <w:lang w:eastAsia="es-MX"/>
          <w14:ligatures w14:val="standardContextual"/>
        </w:rPr>
      </w:pPr>
      <w:r w:rsidRPr="002A19F7">
        <w:rPr>
          <w:rFonts w:ascii="Century Gothic" w:eastAsia="Times New Roman" w:hAnsi="Century Gothic" w:cs="Arial"/>
          <w:lang w:eastAsia="es-MX"/>
          <w14:ligatures w14:val="standardContextual"/>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proofErr w:type="spellStart"/>
      <w:r w:rsidRPr="002A19F7">
        <w:rPr>
          <w:rFonts w:ascii="Century Gothic" w:eastAsia="Times New Roman" w:hAnsi="Century Gothic" w:cs="Arial"/>
          <w:i/>
          <w:iCs/>
          <w:lang w:eastAsia="es-MX"/>
          <w14:ligatures w14:val="standardContextual"/>
        </w:rPr>
        <w:t>ibídem</w:t>
      </w:r>
      <w:proofErr w:type="spellEnd"/>
      <w:r w:rsidRPr="002A19F7">
        <w:rPr>
          <w:rFonts w:ascii="Century Gothic" w:eastAsia="Times New Roman" w:hAnsi="Century Gothic" w:cs="Arial"/>
          <w:vertAlign w:val="superscript"/>
          <w:lang w:eastAsia="es-MX"/>
          <w14:ligatures w14:val="standardContextual"/>
        </w:rPr>
        <w:footnoteReference w:id="20"/>
      </w:r>
      <w:r w:rsidRPr="002A19F7">
        <w:rPr>
          <w:rFonts w:ascii="Century Gothic" w:eastAsia="Times New Roman" w:hAnsi="Century Gothic" w:cs="Arial"/>
          <w:lang w:eastAsia="es-MX"/>
          <w14:ligatures w14:val="standardContextual"/>
        </w:rPr>
        <w:t>, esto significa que los contratos de las entidades sometidas al EGCAP se rigen generalmente por el derecho privado y, excepcionalmente, por el derecho público, pues las normas civiles y comerciales son el derecho común de los contratos estatales</w:t>
      </w:r>
      <w:r w:rsidRPr="002A19F7">
        <w:rPr>
          <w:rFonts w:ascii="Century Gothic" w:eastAsia="Times New Roman" w:hAnsi="Century Gothic" w:cs="Arial"/>
          <w:vertAlign w:val="superscript"/>
          <w:lang w:eastAsia="es-MX"/>
          <w14:ligatures w14:val="standardContextual"/>
        </w:rPr>
        <w:footnoteReference w:id="21"/>
      </w:r>
      <w:r w:rsidRPr="002A19F7">
        <w:rPr>
          <w:rFonts w:ascii="Century Gothic" w:eastAsia="Times New Roman" w:hAnsi="Century Gothic" w:cs="Arial"/>
          <w:lang w:eastAsia="es-MX"/>
          <w14:ligatures w14:val="standardContextual"/>
        </w:rPr>
        <w:t>. Así lo ha entendido la doctrina:</w:t>
      </w:r>
    </w:p>
    <w:p w14:paraId="43EEFCAA" w14:textId="77777777" w:rsidR="00A77A46" w:rsidRPr="002A19F7" w:rsidRDefault="00A77A46" w:rsidP="00AB49BE">
      <w:pPr>
        <w:spacing w:before="120" w:after="0" w:line="276" w:lineRule="auto"/>
        <w:ind w:firstLine="709"/>
        <w:jc w:val="both"/>
        <w:rPr>
          <w:rFonts w:ascii="Century Gothic" w:eastAsia="Times New Roman" w:hAnsi="Century Gothic" w:cs="Arial"/>
          <w:szCs w:val="24"/>
          <w:lang w:eastAsia="es-MX"/>
          <w14:ligatures w14:val="standardContextual"/>
        </w:rPr>
      </w:pPr>
    </w:p>
    <w:p w14:paraId="1889EA4F" w14:textId="77777777" w:rsidR="00AB49BE" w:rsidRPr="002A19F7" w:rsidRDefault="00AB49BE" w:rsidP="00AB49BE">
      <w:pPr>
        <w:spacing w:after="0" w:line="240" w:lineRule="auto"/>
        <w:ind w:left="709" w:right="709"/>
        <w:contextualSpacing/>
        <w:jc w:val="both"/>
        <w:rPr>
          <w:rFonts w:ascii="Century Gothic" w:eastAsia="Times New Roman" w:hAnsi="Century Gothic" w:cs="Arial"/>
          <w:sz w:val="20"/>
          <w:szCs w:val="20"/>
          <w:lang w:eastAsia="es-MX"/>
          <w14:ligatures w14:val="standardContextual"/>
        </w:rPr>
      </w:pPr>
      <w:r w:rsidRPr="002A19F7">
        <w:rPr>
          <w:rFonts w:ascii="Century Gothic" w:eastAsia="Times New Roman" w:hAnsi="Century Gothic" w:cs="Arial"/>
          <w:sz w:val="20"/>
          <w:szCs w:val="20"/>
          <w:lang w:eastAsia="es-MX"/>
          <w14:ligatures w14:val="standardContextual"/>
        </w:rPr>
        <w:t xml:space="preserve">“[…] no hace otra cosa que aprovechar ciertos principios rectores de las contratación general que aunque tengan su consagración en códigos de </w:t>
      </w:r>
      <w:r w:rsidRPr="002A19F7">
        <w:rPr>
          <w:rFonts w:ascii="Century Gothic" w:eastAsia="Times New Roman" w:hAnsi="Century Gothic" w:cs="Arial"/>
          <w:sz w:val="20"/>
          <w:szCs w:val="20"/>
          <w:lang w:eastAsia="es-MX"/>
          <w14:ligatures w14:val="standardContextual"/>
        </w:rPr>
        <w:lastRenderedPageBreak/>
        <w:t>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2A19F7">
        <w:rPr>
          <w:rFonts w:ascii="Century Gothic" w:eastAsia="Times New Roman" w:hAnsi="Century Gothic" w:cs="Arial"/>
          <w:sz w:val="20"/>
          <w:szCs w:val="20"/>
          <w:vertAlign w:val="superscript"/>
          <w:lang w:eastAsia="es-MX"/>
          <w14:ligatures w14:val="standardContextual"/>
        </w:rPr>
        <w:footnoteReference w:id="22"/>
      </w:r>
      <w:r w:rsidRPr="002A19F7">
        <w:rPr>
          <w:rFonts w:ascii="Century Gothic" w:eastAsia="Times New Roman" w:hAnsi="Century Gothic" w:cs="Arial"/>
          <w:sz w:val="20"/>
          <w:szCs w:val="20"/>
          <w:lang w:eastAsia="es-MX"/>
          <w14:ligatures w14:val="standardContextual"/>
        </w:rPr>
        <w:t xml:space="preserve">. </w:t>
      </w:r>
    </w:p>
    <w:p w14:paraId="7DEE8D85" w14:textId="77777777" w:rsidR="00AB49BE" w:rsidRPr="002A19F7" w:rsidRDefault="00AB49BE" w:rsidP="00AB49BE">
      <w:pPr>
        <w:spacing w:after="0" w:line="276" w:lineRule="auto"/>
        <w:ind w:left="709" w:right="709"/>
        <w:contextualSpacing/>
        <w:jc w:val="both"/>
        <w:rPr>
          <w:rFonts w:ascii="Century Gothic" w:eastAsia="Times New Roman" w:hAnsi="Century Gothic" w:cs="Arial"/>
          <w:szCs w:val="24"/>
          <w:lang w:eastAsia="es-MX"/>
          <w14:ligatures w14:val="standardContextual"/>
        </w:rPr>
      </w:pPr>
      <w:r w:rsidRPr="002A19F7">
        <w:rPr>
          <w:rFonts w:ascii="Century Gothic" w:eastAsia="Times New Roman" w:hAnsi="Century Gothic" w:cs="Arial"/>
          <w:szCs w:val="24"/>
          <w:lang w:eastAsia="es-MX"/>
          <w14:ligatures w14:val="standardContextual"/>
        </w:rPr>
        <w:t xml:space="preserve"> </w:t>
      </w:r>
    </w:p>
    <w:p w14:paraId="43B829B1" w14:textId="77777777" w:rsidR="00AB49BE" w:rsidRPr="002A19F7" w:rsidRDefault="00AB49BE" w:rsidP="00AB49BE">
      <w:pPr>
        <w:spacing w:after="120" w:line="276" w:lineRule="auto"/>
        <w:jc w:val="both"/>
        <w:rPr>
          <w:rFonts w:ascii="Century Gothic" w:eastAsia="Times New Roman" w:hAnsi="Century Gothic" w:cs="Arial"/>
          <w:szCs w:val="24"/>
          <w:lang w:eastAsia="es-MX"/>
          <w14:ligatures w14:val="standardContextual"/>
        </w:rPr>
      </w:pPr>
      <w:r w:rsidRPr="002A19F7">
        <w:rPr>
          <w:rFonts w:ascii="Century Gothic" w:eastAsia="Times New Roman" w:hAnsi="Century Gothic" w:cs="Arial"/>
          <w:szCs w:val="24"/>
          <w:lang w:eastAsia="es-MX"/>
          <w14:ligatures w14:val="standardContextual"/>
        </w:rPr>
        <w:tab/>
        <w:t>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EGCAP, es posible aplicar las normas civiles y comerciales.</w:t>
      </w:r>
    </w:p>
    <w:p w14:paraId="0B24473E" w14:textId="77777777" w:rsidR="00AB49BE" w:rsidRPr="002A19F7" w:rsidRDefault="00AB49BE" w:rsidP="00AB49BE">
      <w:pPr>
        <w:spacing w:after="120" w:line="276" w:lineRule="auto"/>
        <w:jc w:val="both"/>
        <w:rPr>
          <w:rFonts w:ascii="Century Gothic" w:eastAsia="Times New Roman" w:hAnsi="Century Gothic" w:cs="Arial"/>
          <w:szCs w:val="24"/>
          <w:lang w:eastAsia="es-MX"/>
          <w14:ligatures w14:val="standardContextual"/>
        </w:rPr>
      </w:pPr>
      <w:r w:rsidRPr="002A19F7">
        <w:rPr>
          <w:rFonts w:ascii="Century Gothic" w:eastAsia="Times New Roman" w:hAnsi="Century Gothic" w:cs="Arial"/>
          <w:szCs w:val="24"/>
          <w:lang w:eastAsia="es-MX"/>
          <w14:ligatures w14:val="standardContextual"/>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09CDC422" w14:textId="77777777" w:rsidR="00AB49BE" w:rsidRPr="002A19F7" w:rsidRDefault="00AB49BE" w:rsidP="00AB49BE">
      <w:pPr>
        <w:spacing w:after="120" w:line="276" w:lineRule="auto"/>
        <w:jc w:val="both"/>
        <w:rPr>
          <w:rFonts w:ascii="Century Gothic" w:eastAsia="Times New Roman" w:hAnsi="Century Gothic" w:cs="Arial"/>
          <w:szCs w:val="24"/>
          <w:lang w:eastAsia="es-MX"/>
          <w14:ligatures w14:val="standardContextual"/>
        </w:rPr>
      </w:pPr>
      <w:r w:rsidRPr="002A19F7">
        <w:rPr>
          <w:rFonts w:ascii="Century Gothic" w:eastAsia="Times New Roman" w:hAnsi="Century Gothic" w:cs="Arial"/>
          <w:szCs w:val="24"/>
          <w:lang w:eastAsia="es-MX"/>
          <w14:ligatures w14:val="standardContextual"/>
        </w:rPr>
        <w:tab/>
        <w:t>En consecuencia, cuando los contratos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w:t>
      </w:r>
      <w:r w:rsidRPr="002A19F7">
        <w:rPr>
          <w:rFonts w:ascii="Arial" w:eastAsia="Times New Roman" w:hAnsi="Arial" w:cs="Arial"/>
          <w:szCs w:val="24"/>
          <w:lang w:eastAsia="es-MX"/>
          <w14:ligatures w14:val="standardContextual"/>
        </w:rPr>
        <w:t> </w:t>
      </w:r>
      <w:r w:rsidRPr="002A19F7">
        <w:rPr>
          <w:rFonts w:ascii="Century Gothic" w:eastAsia="Times New Roman" w:hAnsi="Century Gothic" w:cs="Arial"/>
          <w:szCs w:val="24"/>
          <w:lang w:eastAsia="es-MX"/>
          <w14:ligatures w14:val="standardContextual"/>
        </w:rPr>
        <w:t xml:space="preserve">del Decreto 1075 de 2015, permite que el consejo directivo regule </w:t>
      </w:r>
      <w:r w:rsidRPr="002A19F7">
        <w:rPr>
          <w:rFonts w:ascii="Century Gothic" w:eastAsia="Times New Roman" w:hAnsi="Century Gothic" w:cs="Century Gothic"/>
          <w:szCs w:val="24"/>
          <w:lang w:eastAsia="es-MX"/>
          <w14:ligatures w14:val="standardContextual"/>
        </w:rPr>
        <w:t>“</w:t>
      </w:r>
      <w:r w:rsidRPr="002A19F7">
        <w:rPr>
          <w:rFonts w:ascii="Century Gothic" w:eastAsia="Times New Roman" w:hAnsi="Century Gothic" w:cs="Arial"/>
          <w:szCs w:val="24"/>
          <w:lang w:eastAsia="es-MX"/>
          <w14:ligatures w14:val="standardContextual"/>
        </w:rPr>
        <w:t>[</w:t>
      </w:r>
      <w:r w:rsidRPr="002A19F7">
        <w:rPr>
          <w:rFonts w:ascii="Century Gothic" w:eastAsia="Times New Roman" w:hAnsi="Century Gothic" w:cs="Century Gothic"/>
          <w:szCs w:val="24"/>
          <w:lang w:eastAsia="es-MX"/>
          <w14:ligatures w14:val="standardContextual"/>
        </w:rPr>
        <w:t>…</w:t>
      </w:r>
      <w:r w:rsidRPr="002A19F7">
        <w:rPr>
          <w:rFonts w:ascii="Century Gothic" w:eastAsia="Times New Roman" w:hAnsi="Century Gothic" w:cs="Arial"/>
          <w:szCs w:val="24"/>
          <w:lang w:eastAsia="es-MX"/>
          <w14:ligatures w14:val="standardContextual"/>
        </w:rPr>
        <w:t>] los tr</w:t>
      </w:r>
      <w:r w:rsidRPr="002A19F7">
        <w:rPr>
          <w:rFonts w:ascii="Century Gothic" w:eastAsia="Times New Roman" w:hAnsi="Century Gothic" w:cs="Century Gothic"/>
          <w:szCs w:val="24"/>
          <w:lang w:eastAsia="es-MX"/>
          <w14:ligatures w14:val="standardContextual"/>
        </w:rPr>
        <w:t>á</w:t>
      </w:r>
      <w:r w:rsidRPr="002A19F7">
        <w:rPr>
          <w:rFonts w:ascii="Century Gothic" w:eastAsia="Times New Roman" w:hAnsi="Century Gothic" w:cs="Arial"/>
          <w:szCs w:val="24"/>
          <w:lang w:eastAsia="es-MX"/>
          <w14:ligatures w14:val="standardContextual"/>
        </w:rPr>
        <w:t>mites, garant</w:t>
      </w:r>
      <w:r w:rsidRPr="002A19F7">
        <w:rPr>
          <w:rFonts w:ascii="Century Gothic" w:eastAsia="Times New Roman" w:hAnsi="Century Gothic" w:cs="Century Gothic"/>
          <w:szCs w:val="24"/>
          <w:lang w:eastAsia="es-MX"/>
          <w14:ligatures w14:val="standardContextual"/>
        </w:rPr>
        <w:t>í</w:t>
      </w:r>
      <w:r w:rsidRPr="002A19F7">
        <w:rPr>
          <w:rFonts w:ascii="Century Gothic" w:eastAsia="Times New Roman" w:hAnsi="Century Gothic" w:cs="Arial"/>
          <w:szCs w:val="24"/>
          <w:lang w:eastAsia="es-MX"/>
          <w14:ligatures w14:val="standardContextual"/>
        </w:rPr>
        <w:t xml:space="preserve">as y constancias que deben cumplirse para que el rector o director celebre cualquier acto o contrato que cree, extinga </w:t>
      </w:r>
      <w:r w:rsidRPr="002A19F7">
        <w:rPr>
          <w:rFonts w:ascii="Century Gothic" w:eastAsia="Times New Roman" w:hAnsi="Century Gothic" w:cs="Arial"/>
          <w:szCs w:val="24"/>
          <w:lang w:eastAsia="es-MX"/>
          <w14:ligatures w14:val="standardContextual"/>
        </w:rPr>
        <w:lastRenderedPageBreak/>
        <w:t xml:space="preserve">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35E9FF14" w14:textId="77777777" w:rsidR="00AB49BE" w:rsidRPr="002A19F7" w:rsidRDefault="00AB49BE" w:rsidP="00AB49BE">
      <w:pPr>
        <w:spacing w:after="0" w:line="276" w:lineRule="auto"/>
        <w:ind w:firstLine="709"/>
        <w:jc w:val="both"/>
        <w:rPr>
          <w:rFonts w:ascii="Century Gothic" w:eastAsia="Times New Roman" w:hAnsi="Century Gothic" w:cs="Arial"/>
          <w:szCs w:val="24"/>
          <w:lang w:eastAsia="es-MX"/>
          <w14:ligatures w14:val="standardContextual"/>
        </w:rPr>
      </w:pPr>
      <w:r w:rsidRPr="002A19F7">
        <w:rPr>
          <w:rFonts w:ascii="Century Gothic" w:eastAsia="Times New Roman" w:hAnsi="Century Gothic" w:cs="Arial"/>
          <w:lang w:eastAsia="es-MX"/>
          <w14:ligatures w14:val="standardContextual"/>
        </w:rPr>
        <w:t>Naturalmente, los contratos mencionados en el párrafo precedente no se rigen exclusivamente por las normas civiles y comerciales, pues además del reglamento del consejo directivo, el artículo 13 de la Ley 1150 de 2007 dispone que la contratación exceptuada del EGCAP también se rige por los principios de la función administrativa, los principios de la gestión fiscal y el régimen de inhabilidades e incompatibilidades previsto para la contratación estatal</w:t>
      </w:r>
      <w:r w:rsidRPr="002A19F7">
        <w:rPr>
          <w:rFonts w:ascii="Century Gothic" w:eastAsia="Times New Roman" w:hAnsi="Century Gothic" w:cs="Arial"/>
          <w:vertAlign w:val="superscript"/>
          <w:lang w:eastAsia="es-MX"/>
          <w14:ligatures w14:val="standardContextual"/>
        </w:rPr>
        <w:footnoteReference w:id="23"/>
      </w:r>
      <w:r w:rsidRPr="002A19F7">
        <w:rPr>
          <w:rFonts w:ascii="Century Gothic" w:eastAsia="Times New Roman" w:hAnsi="Century Gothic" w:cs="Arial"/>
          <w:lang w:eastAsia="es-MX"/>
          <w14:ligatures w14:val="standardContextual"/>
        </w:rPr>
        <w:t xml:space="preserve">. Así mismo, el citado artículo consagra el deber de publicación en el SECOP II de la actividad contractual por parte de las entidades exceptuadas, el cual se desarrollará a continuación. </w:t>
      </w:r>
    </w:p>
    <w:p w14:paraId="4C86ECF5" w14:textId="77777777" w:rsidR="00AB49BE" w:rsidRPr="002A19F7" w:rsidRDefault="00AB49BE" w:rsidP="00AB49BE">
      <w:pPr>
        <w:tabs>
          <w:tab w:val="left" w:pos="284"/>
          <w:tab w:val="left" w:pos="426"/>
        </w:tabs>
        <w:spacing w:after="0" w:line="276" w:lineRule="auto"/>
        <w:contextualSpacing/>
        <w:jc w:val="both"/>
        <w:rPr>
          <w:rFonts w:ascii="Century Gothic" w:hAnsi="Century Gothic" w:cs="Arial"/>
          <w:b/>
          <w:lang w:val="es-ES_tradnl"/>
          <w14:ligatures w14:val="standardContextual"/>
        </w:rPr>
      </w:pPr>
    </w:p>
    <w:p w14:paraId="6F3D4918" w14:textId="77777777" w:rsidR="00AB49BE" w:rsidRPr="002A19F7" w:rsidRDefault="00AB49BE" w:rsidP="00AB49BE">
      <w:pPr>
        <w:spacing w:after="0" w:line="276" w:lineRule="auto"/>
        <w:contextualSpacing/>
        <w:jc w:val="both"/>
        <w:rPr>
          <w:rFonts w:ascii="Century Gothic" w:hAnsi="Century Gothic"/>
          <w:sz w:val="24"/>
          <w:lang w:eastAsia="es-ES_tradnl"/>
          <w14:ligatures w14:val="standardContextual"/>
        </w:rPr>
      </w:pPr>
      <w:r w:rsidRPr="002A19F7">
        <w:rPr>
          <w:rFonts w:ascii="Century Gothic" w:hAnsi="Century Gothic" w:cs="Arial"/>
          <w:b/>
          <w:bCs/>
          <w:lang w:val="es-ES" w:eastAsia="es-ES_tradnl"/>
          <w14:ligatures w14:val="standardContextual"/>
        </w:rPr>
        <w:t>3. Respuesta</w:t>
      </w:r>
    </w:p>
    <w:p w14:paraId="1D2A129C" w14:textId="77777777" w:rsidR="00AB49BE" w:rsidRPr="002A19F7" w:rsidRDefault="00AB49BE" w:rsidP="00AB49BE">
      <w:pPr>
        <w:spacing w:after="0" w:line="276" w:lineRule="auto"/>
        <w:contextualSpacing/>
        <w:jc w:val="both"/>
        <w:rPr>
          <w:rFonts w:ascii="Century Gothic" w:hAnsi="Century Gothic"/>
          <w:sz w:val="24"/>
          <w:lang w:val="es-MX" w:eastAsia="es-ES_tradnl"/>
          <w14:ligatures w14:val="standardContextual"/>
        </w:rPr>
      </w:pPr>
      <w:r w:rsidRPr="002A19F7">
        <w:rPr>
          <w:rFonts w:ascii="Century Gothic" w:hAnsi="Century Gothic" w:cs="Arial"/>
          <w:lang w:val="es-ES" w:eastAsia="es-ES_tradnl"/>
          <w14:ligatures w14:val="standardContextual"/>
        </w:rPr>
        <w:t> </w:t>
      </w:r>
    </w:p>
    <w:p w14:paraId="7218ABEF" w14:textId="77777777" w:rsidR="00AB49BE" w:rsidRPr="002A19F7" w:rsidRDefault="00AB49BE" w:rsidP="00AB49BE">
      <w:pPr>
        <w:ind w:left="709" w:right="709"/>
        <w:rPr>
          <w:rFonts w:ascii="Century Gothic" w:hAnsi="Century Gothic" w:cs="Arial"/>
          <w:sz w:val="21"/>
          <w:szCs w:val="21"/>
        </w:rPr>
      </w:pPr>
      <w:r w:rsidRPr="002A19F7">
        <w:rPr>
          <w:rFonts w:ascii="Century Gothic" w:hAnsi="Century Gothic" w:cs="Arial"/>
          <w:sz w:val="21"/>
          <w:szCs w:val="21"/>
          <w:lang w:val="es-ES"/>
        </w:rPr>
        <w:t>…</w:t>
      </w:r>
      <w:proofErr w:type="gramStart"/>
      <w:r w:rsidRPr="002A19F7">
        <w:rPr>
          <w:rFonts w:ascii="Century Gothic" w:hAnsi="Century Gothic" w:cs="Arial"/>
          <w:sz w:val="21"/>
          <w:szCs w:val="21"/>
          <w:lang w:val="es-ES"/>
        </w:rPr>
        <w:t>]¿</w:t>
      </w:r>
      <w:proofErr w:type="gramEnd"/>
      <w:r w:rsidRPr="002A19F7">
        <w:rPr>
          <w:rFonts w:ascii="Century Gothic" w:hAnsi="Century Gothic" w:cs="Arial"/>
          <w:sz w:val="21"/>
          <w:szCs w:val="21"/>
        </w:rPr>
        <w:t>Existe alguna limitante para la concesión o pacto del ANTICIPO y del PAGO ANTICIPADO respecto a alguna de las cinco modalidades de contratación existentes o respecto a la cuantía del contrato o, por el contrario, el marco legal y regulatorio vigente no contempla ninguna excepción para otorgarlos por parte de las entidades públicas contratantes?</w:t>
      </w:r>
    </w:p>
    <w:p w14:paraId="3788D1AE" w14:textId="77777777" w:rsidR="00AB49BE" w:rsidRPr="002A19F7" w:rsidRDefault="00AB49BE" w:rsidP="00AB49BE">
      <w:pPr>
        <w:spacing w:line="240" w:lineRule="auto"/>
        <w:ind w:left="709" w:right="709"/>
        <w:jc w:val="both"/>
        <w:rPr>
          <w:rFonts w:ascii="Century Gothic" w:hAnsi="Century Gothic" w:cs="Arial"/>
          <w:sz w:val="21"/>
          <w:szCs w:val="21"/>
        </w:rPr>
      </w:pPr>
      <w:r w:rsidRPr="002A19F7">
        <w:rPr>
          <w:rFonts w:ascii="Century Gothic" w:hAnsi="Century Gothic" w:cs="Arial"/>
          <w:sz w:val="21"/>
          <w:szCs w:val="21"/>
        </w:rPr>
        <w:t xml:space="preserve">2. En algunas instituciones educativas suele acontecer que debido al régimen especial de contratación que las rige establecido hasta un máximo de 20 s.m.m.v., dichas instituciones suscriben al amparo de dicho régimen, contratos, órdenes de compra o de servicio a lo largo de la vigencia, pero se ha detectado que teniendo en cuenta el precepto de la debida planeación del gasto, están incurriendo en un presunto fraccionamiento de contratos pues al no proyectar ni seguir estrictamente una planeación periódica (plan de compras anual) o, inclusive, teniendo formalizado este mecanismo de planeación, terminan suscribiendo contratos, órdenes de compra o de servicios con el mismo o </w:t>
      </w:r>
      <w:r w:rsidRPr="002A19F7">
        <w:rPr>
          <w:rFonts w:ascii="Century Gothic" w:hAnsi="Century Gothic" w:cs="Arial"/>
          <w:sz w:val="21"/>
          <w:szCs w:val="21"/>
        </w:rPr>
        <w:lastRenderedPageBreak/>
        <w:t>similar objeto contractual en repetidas ocasiones en el transcurso de un mismo año.</w:t>
      </w:r>
    </w:p>
    <w:p w14:paraId="16E0E2BF" w14:textId="77777777" w:rsidR="00AB49BE" w:rsidRPr="002A19F7" w:rsidRDefault="00AB49BE" w:rsidP="00AB49BE">
      <w:pPr>
        <w:spacing w:line="240" w:lineRule="auto"/>
        <w:ind w:left="709" w:right="709"/>
        <w:jc w:val="both"/>
        <w:rPr>
          <w:rFonts w:ascii="Century Gothic" w:hAnsi="Century Gothic" w:cs="Arial"/>
          <w:sz w:val="21"/>
          <w:szCs w:val="21"/>
        </w:rPr>
      </w:pPr>
      <w:r w:rsidRPr="002A19F7">
        <w:rPr>
          <w:rFonts w:ascii="Century Gothic" w:hAnsi="Century Gothic" w:cs="Arial"/>
          <w:sz w:val="21"/>
          <w:szCs w:val="21"/>
        </w:rPr>
        <w:t>Por consiguiente, bajo la situación anterior expuesta, la pregunta a resolver es: ¿Las instituciones educativas incurren en alguna omisión o irregularidad frente al precepto de no fraccionamiento contractual por no ceñirse a éste en la suscripción de contratos, órdenes de compra o de servicios dentro de una misma vigencia, así las ampare el régimen especial de contratación expedido por el Consejo directivo de la institución? […]”.</w:t>
      </w:r>
    </w:p>
    <w:p w14:paraId="33B79227" w14:textId="77777777" w:rsidR="002147C1" w:rsidRPr="002A19F7" w:rsidRDefault="002147C1" w:rsidP="002147C1">
      <w:pPr>
        <w:tabs>
          <w:tab w:val="left" w:pos="0"/>
        </w:tabs>
        <w:spacing w:before="120" w:line="276" w:lineRule="auto"/>
        <w:ind w:firstLine="709"/>
        <w:jc w:val="both"/>
        <w:rPr>
          <w:rFonts w:ascii="Century Gothic" w:hAnsi="Century Gothic" w:cs="Arial"/>
        </w:rPr>
      </w:pPr>
      <w:r w:rsidRPr="002A19F7">
        <w:rPr>
          <w:rFonts w:ascii="Century Gothic" w:hAnsi="Century Gothic" w:cs="Arial"/>
        </w:rPr>
        <w:t xml:space="preserve">Conforme las disposiciones que regulan el régimen de contratación pública, las entidades estatales se encuentran facultadas para pactar el pago anticipado o la entrega de anticipos como mecanismos de financiación para la adecuada ejecución de los contratos estatales. En efecto, el parágrafo del artículo 40 de la Ley 80 de 1993, establece: </w:t>
      </w:r>
    </w:p>
    <w:p w14:paraId="2CBBD0BF" w14:textId="77777777" w:rsidR="002147C1" w:rsidRPr="002A19F7" w:rsidRDefault="002147C1" w:rsidP="002147C1">
      <w:pPr>
        <w:tabs>
          <w:tab w:val="left" w:pos="0"/>
        </w:tabs>
        <w:spacing w:before="120" w:line="276" w:lineRule="auto"/>
        <w:ind w:firstLine="709"/>
        <w:jc w:val="both"/>
        <w:rPr>
          <w:rFonts w:ascii="Century Gothic" w:hAnsi="Century Gothic" w:cs="Arial"/>
        </w:rPr>
      </w:pPr>
      <w:r w:rsidRPr="002A19F7">
        <w:rPr>
          <w:rFonts w:ascii="Century Gothic" w:hAnsi="Century Gothic" w:cs="Arial"/>
        </w:rPr>
        <w:t xml:space="preserve">PARÁGRAFO. En los contratos que celebren las entidades estatales se podrá pactar el pago anticipado y la entrega de anticipos, pero su monto no podrá exceder del cincuenta por ciento (50%) del valor del respectivo contrato. </w:t>
      </w:r>
    </w:p>
    <w:p w14:paraId="5DF5402F" w14:textId="77777777" w:rsidR="002147C1" w:rsidRPr="002A19F7" w:rsidRDefault="002147C1" w:rsidP="002147C1">
      <w:pPr>
        <w:tabs>
          <w:tab w:val="left" w:pos="0"/>
        </w:tabs>
        <w:spacing w:before="120" w:line="276" w:lineRule="auto"/>
        <w:ind w:firstLine="709"/>
        <w:jc w:val="both"/>
        <w:rPr>
          <w:rFonts w:ascii="Century Gothic" w:hAnsi="Century Gothic" w:cs="Arial"/>
        </w:rPr>
      </w:pPr>
      <w:r w:rsidRPr="002A19F7">
        <w:rPr>
          <w:rFonts w:ascii="Century Gothic" w:hAnsi="Century Gothic" w:cs="Arial"/>
        </w:rPr>
        <w:t xml:space="preserve">La citada disposición, además de contener la facultad expresa mencionada, establece un límite a su ejercicio, pues el pago anticipado o la entrega del anticipo no podrá superar el cincuenta por ciento (50%) del valor o precio del negocio jurídico celebrado por la entidad estatal.  </w:t>
      </w:r>
    </w:p>
    <w:p w14:paraId="6EC26250" w14:textId="52774FD8" w:rsidR="002147C1" w:rsidRPr="002A19F7" w:rsidRDefault="002147C1" w:rsidP="002147C1">
      <w:pPr>
        <w:tabs>
          <w:tab w:val="left" w:pos="0"/>
        </w:tabs>
        <w:spacing w:before="120" w:line="276" w:lineRule="auto"/>
        <w:ind w:firstLine="709"/>
        <w:jc w:val="both"/>
        <w:rPr>
          <w:rFonts w:ascii="Century Gothic" w:hAnsi="Century Gothic" w:cs="Arial"/>
          <w:color w:val="000000" w:themeColor="text1"/>
        </w:rPr>
      </w:pPr>
      <w:r w:rsidRPr="002A19F7">
        <w:rPr>
          <w:rFonts w:ascii="Century Gothic" w:hAnsi="Century Gothic" w:cs="Arial"/>
        </w:rPr>
        <w:t>Otro aspecto que se destaca de dicha disposición consiste que no restringe el tipo de contratos estatales en los cuales es aplicable esa facultad, es decir, por ejemplo, no limita la posibilidad de pactar anticipo o pago anticipado en contratos de tracto sucesivo o en contratos de ejecución instantánea, o dependiendo de la tipología contractual o la modalidad de selección del contratista.</w:t>
      </w:r>
    </w:p>
    <w:p w14:paraId="46A3251D" w14:textId="0B00480C" w:rsidR="00AB49BE" w:rsidRPr="002A19F7" w:rsidRDefault="00AB49BE" w:rsidP="00C57585">
      <w:pPr>
        <w:tabs>
          <w:tab w:val="left" w:pos="0"/>
        </w:tabs>
        <w:spacing w:before="120" w:line="276" w:lineRule="auto"/>
        <w:ind w:firstLine="709"/>
        <w:jc w:val="both"/>
        <w:rPr>
          <w:rFonts w:ascii="Century Gothic" w:hAnsi="Century Gothic" w:cs="Arial"/>
          <w:color w:val="000000" w:themeColor="text1"/>
        </w:rPr>
      </w:pPr>
      <w:r w:rsidRPr="002A19F7">
        <w:rPr>
          <w:rFonts w:ascii="Century Gothic" w:hAnsi="Century Gothic" w:cs="Arial"/>
          <w:color w:val="000000" w:themeColor="text1"/>
        </w:rPr>
        <w:t xml:space="preserve"> </w:t>
      </w:r>
      <w:r w:rsidR="002147C1" w:rsidRPr="002A19F7">
        <w:rPr>
          <w:rFonts w:ascii="Century Gothic" w:hAnsi="Century Gothic" w:cs="Arial"/>
          <w:color w:val="000000" w:themeColor="text1"/>
        </w:rPr>
        <w:t xml:space="preserve">Por su parte, </w:t>
      </w:r>
      <w:r w:rsidRPr="002A19F7">
        <w:rPr>
          <w:rFonts w:ascii="Century Gothic" w:hAnsi="Century Gothic" w:cs="Arial"/>
          <w:color w:val="000000" w:themeColor="text1"/>
        </w:rPr>
        <w:t xml:space="preserve">el </w:t>
      </w:r>
      <w:r w:rsidR="002147C1" w:rsidRPr="002A19F7">
        <w:rPr>
          <w:rFonts w:ascii="Century Gothic" w:hAnsi="Century Gothic" w:cs="Arial"/>
          <w:color w:val="000000" w:themeColor="text1"/>
        </w:rPr>
        <w:t>artículo</w:t>
      </w:r>
      <w:r w:rsidRPr="002A19F7">
        <w:rPr>
          <w:rFonts w:ascii="Century Gothic" w:hAnsi="Century Gothic" w:cs="Arial"/>
          <w:color w:val="000000" w:themeColor="text1"/>
        </w:rPr>
        <w:t xml:space="preserve"> 91 de la ley 1474 de 2011dispone lo </w:t>
      </w:r>
      <w:r w:rsidR="008D214C" w:rsidRPr="002A19F7">
        <w:rPr>
          <w:rFonts w:ascii="Century Gothic" w:hAnsi="Century Gothic" w:cs="Arial"/>
          <w:color w:val="000000" w:themeColor="text1"/>
        </w:rPr>
        <w:t>siguiente:</w:t>
      </w:r>
    </w:p>
    <w:p w14:paraId="031AF570" w14:textId="1217D01C" w:rsidR="00AB49BE" w:rsidRPr="002A19F7" w:rsidRDefault="00AB49BE" w:rsidP="00C57585">
      <w:pPr>
        <w:spacing w:after="120" w:line="240" w:lineRule="auto"/>
        <w:ind w:left="709" w:right="709"/>
        <w:jc w:val="both"/>
        <w:rPr>
          <w:rFonts w:ascii="Century Gothic" w:hAnsi="Century Gothic" w:cs="Arial"/>
          <w:sz w:val="21"/>
          <w:szCs w:val="21"/>
        </w:rPr>
      </w:pPr>
      <w:r w:rsidRPr="002A19F7">
        <w:rPr>
          <w:rFonts w:ascii="Century Gothic" w:hAnsi="Century Gothic" w:cs="Arial"/>
          <w:sz w:val="21"/>
          <w:szCs w:val="21"/>
        </w:rPr>
        <w:t xml:space="preserve">“En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w:t>
      </w:r>
      <w:r w:rsidRPr="002A19F7">
        <w:rPr>
          <w:rFonts w:ascii="Century Gothic" w:hAnsi="Century Gothic" w:cs="Arial"/>
          <w:i/>
          <w:sz w:val="21"/>
          <w:szCs w:val="21"/>
        </w:rPr>
        <w:t>salvo que el contrato sea de menor o mínima cuantía.</w:t>
      </w:r>
      <w:r w:rsidR="00C57585">
        <w:rPr>
          <w:rFonts w:ascii="Century Gothic" w:hAnsi="Century Gothic" w:cs="Arial"/>
          <w:i/>
          <w:sz w:val="21"/>
          <w:szCs w:val="21"/>
        </w:rPr>
        <w:t xml:space="preserve"> </w:t>
      </w:r>
      <w:r w:rsidRPr="002A19F7">
        <w:rPr>
          <w:rFonts w:ascii="Century Gothic" w:hAnsi="Century Gothic" w:cs="Arial"/>
          <w:sz w:val="21"/>
          <w:szCs w:val="21"/>
        </w:rPr>
        <w:t>El costo de la comisión fiduciaria será cubierto directamente por el contratista.”</w:t>
      </w:r>
    </w:p>
    <w:p w14:paraId="2DF4B32E" w14:textId="7E18F006" w:rsidR="00AB49BE" w:rsidRPr="002A19F7" w:rsidRDefault="00AB49BE" w:rsidP="00180B8F">
      <w:pPr>
        <w:pStyle w:val="paragraph"/>
        <w:spacing w:before="0" w:beforeAutospacing="0" w:after="0" w:afterAutospacing="0"/>
        <w:ind w:firstLine="705"/>
        <w:jc w:val="both"/>
        <w:textAlignment w:val="baseline"/>
        <w:rPr>
          <w:rFonts w:ascii="Century Gothic" w:hAnsi="Century Gothic" w:cs="Arial"/>
          <w:color w:val="000000" w:themeColor="text1"/>
          <w:lang w:val="es-ES_tradnl"/>
        </w:rPr>
      </w:pPr>
    </w:p>
    <w:p w14:paraId="4D08137E" w14:textId="77777777" w:rsidR="008B4F0E" w:rsidRPr="002A19F7" w:rsidRDefault="008B4F0E" w:rsidP="00180B8F">
      <w:pPr>
        <w:pStyle w:val="paragraph"/>
        <w:spacing w:before="0" w:beforeAutospacing="0" w:after="0" w:afterAutospacing="0"/>
        <w:ind w:firstLine="705"/>
        <w:jc w:val="both"/>
        <w:textAlignment w:val="baseline"/>
        <w:rPr>
          <w:rStyle w:val="normaltextrun"/>
          <w:rFonts w:ascii="Century Gothic" w:hAnsi="Century Gothic" w:cs="Arial"/>
          <w:sz w:val="22"/>
          <w:szCs w:val="22"/>
          <w:lang w:val="es-MX"/>
        </w:rPr>
      </w:pPr>
    </w:p>
    <w:p w14:paraId="49A4309E" w14:textId="080F4649" w:rsidR="00180B8F" w:rsidRPr="002A19F7" w:rsidRDefault="008B4F0E" w:rsidP="00180B8F">
      <w:pPr>
        <w:pStyle w:val="paragraph"/>
        <w:spacing w:before="0" w:beforeAutospacing="0" w:after="0" w:afterAutospacing="0"/>
        <w:ind w:firstLine="705"/>
        <w:jc w:val="both"/>
        <w:textAlignment w:val="baseline"/>
        <w:rPr>
          <w:rStyle w:val="normaltextrun"/>
          <w:rFonts w:ascii="Century Gothic" w:hAnsi="Century Gothic" w:cs="Arial"/>
          <w:sz w:val="22"/>
          <w:szCs w:val="22"/>
          <w:lang w:val="es-MX"/>
        </w:rPr>
      </w:pPr>
      <w:r w:rsidRPr="002A19F7">
        <w:rPr>
          <w:rStyle w:val="normaltextrun"/>
          <w:rFonts w:ascii="Century Gothic" w:hAnsi="Century Gothic" w:cs="Arial"/>
          <w:sz w:val="22"/>
          <w:szCs w:val="22"/>
          <w:lang w:val="es-MX"/>
        </w:rPr>
        <w:lastRenderedPageBreak/>
        <w:t>E</w:t>
      </w:r>
      <w:r w:rsidR="00180B8F" w:rsidRPr="002A19F7">
        <w:rPr>
          <w:rStyle w:val="normaltextrun"/>
          <w:rFonts w:ascii="Century Gothic" w:hAnsi="Century Gothic" w:cs="Arial"/>
          <w:sz w:val="22"/>
          <w:szCs w:val="22"/>
          <w:lang w:val="es-MX"/>
        </w:rPr>
        <w:t>n los contratos en los que no es obligatorio constituir una fiducia o un patrimonio autónomo para el manejo del anticipo, la entidad contratante debe adoptar medidas necesarias y razonables para asegurar la protección de los recursos económicos entregados al contratista.</w:t>
      </w:r>
      <w:r w:rsidR="00180B8F" w:rsidRPr="002A19F7">
        <w:rPr>
          <w:rStyle w:val="eop"/>
          <w:rFonts w:ascii="Century Gothic" w:hAnsi="Century Gothic" w:cs="Arial"/>
          <w:sz w:val="22"/>
          <w:szCs w:val="22"/>
        </w:rPr>
        <w:t> </w:t>
      </w:r>
      <w:r w:rsidR="00180B8F" w:rsidRPr="002A19F7">
        <w:rPr>
          <w:rStyle w:val="normaltextrun"/>
          <w:rFonts w:ascii="Century Gothic" w:hAnsi="Century Gothic" w:cs="Arial"/>
          <w:sz w:val="22"/>
          <w:szCs w:val="22"/>
          <w:lang w:val="es-MX"/>
        </w:rPr>
        <w:t>Por ello, la protección de los recursos económicos entregados al contratista, a título de pago anticipado o anticipo, debe realizarse con la constitución de las garantías establecidas en el ordenamiento jurídico para tal efecto</w:t>
      </w:r>
    </w:p>
    <w:p w14:paraId="41B31A24" w14:textId="77777777" w:rsidR="008B4F0E" w:rsidRPr="002A19F7" w:rsidRDefault="008B4F0E" w:rsidP="00180B8F">
      <w:pPr>
        <w:pStyle w:val="paragraph"/>
        <w:spacing w:before="0" w:beforeAutospacing="0" w:after="0" w:afterAutospacing="0"/>
        <w:ind w:firstLine="705"/>
        <w:jc w:val="both"/>
        <w:textAlignment w:val="baseline"/>
        <w:rPr>
          <w:rStyle w:val="normaltextrun"/>
          <w:rFonts w:ascii="Century Gothic" w:hAnsi="Century Gothic" w:cs="Arial"/>
          <w:sz w:val="22"/>
          <w:szCs w:val="22"/>
          <w:lang w:val="es-MX"/>
        </w:rPr>
      </w:pPr>
    </w:p>
    <w:p w14:paraId="526E3555" w14:textId="20DAD27C" w:rsidR="008B4F0E" w:rsidRPr="00A66A97" w:rsidRDefault="008B4F0E" w:rsidP="00180B8F">
      <w:pPr>
        <w:pStyle w:val="paragraph"/>
        <w:spacing w:before="0" w:beforeAutospacing="0" w:after="0" w:afterAutospacing="0"/>
        <w:ind w:firstLine="705"/>
        <w:jc w:val="both"/>
        <w:textAlignment w:val="baseline"/>
        <w:rPr>
          <w:rFonts w:ascii="Century Gothic" w:hAnsi="Century Gothic" w:cs="Segoe UI"/>
          <w:sz w:val="16"/>
          <w:szCs w:val="16"/>
        </w:rPr>
      </w:pPr>
      <w:r w:rsidRPr="00A66A97">
        <w:rPr>
          <w:rFonts w:ascii="Century Gothic" w:hAnsi="Century Gothic" w:cs="Arial"/>
          <w:color w:val="000000" w:themeColor="text1"/>
          <w:sz w:val="22"/>
          <w:szCs w:val="22"/>
        </w:rPr>
        <w:t xml:space="preserve">En todo caso, se reitera la importancia de analizar y justificar en cada caso la pertinencia y conveniencia de entregar al contratista recursos en calidad de anticipo. De esta forma, </w:t>
      </w:r>
      <w:r w:rsidRPr="00A66A97">
        <w:rPr>
          <w:rFonts w:ascii="Century Gothic" w:hAnsi="Century Gothic" w:cs="Arial"/>
          <w:sz w:val="22"/>
          <w:szCs w:val="22"/>
        </w:rPr>
        <w:t>debe ser la administración quien determine la viabilidad o no, de la entrega de un anticipó y de la obligación de adoptar las medidas necesarias y razonables para asegurar el buen manejo y la correcta inversión del anticipo, entre las que se encuentra la constitución obligatoria de la garantía respectiva</w:t>
      </w:r>
      <w:r w:rsidR="00413A4F" w:rsidRPr="00A66A97">
        <w:rPr>
          <w:rFonts w:ascii="Century Gothic" w:hAnsi="Century Gothic" w:cs="Arial"/>
          <w:sz w:val="22"/>
          <w:szCs w:val="22"/>
        </w:rPr>
        <w:t>.</w:t>
      </w:r>
    </w:p>
    <w:p w14:paraId="34E53B6D" w14:textId="77777777" w:rsidR="00C57585" w:rsidRDefault="00C57585" w:rsidP="00902391">
      <w:pPr>
        <w:spacing w:after="0" w:line="240" w:lineRule="auto"/>
        <w:ind w:firstLine="709"/>
        <w:jc w:val="both"/>
        <w:rPr>
          <w:rFonts w:ascii="Century Gothic" w:eastAsia="Calibri" w:hAnsi="Century Gothic" w:cs="Arial"/>
          <w:lang w:val="es-ES_tradnl"/>
          <w14:ligatures w14:val="standardContextual"/>
        </w:rPr>
      </w:pPr>
    </w:p>
    <w:p w14:paraId="3817BE3B" w14:textId="60F8691C" w:rsidR="005B0593" w:rsidRPr="002A19F7" w:rsidRDefault="00413A4F" w:rsidP="00902391">
      <w:pPr>
        <w:spacing w:after="0" w:line="240" w:lineRule="auto"/>
        <w:ind w:firstLine="709"/>
        <w:jc w:val="both"/>
        <w:rPr>
          <w:rFonts w:ascii="Century Gothic" w:eastAsia="Calibri" w:hAnsi="Century Gothic" w:cs="Arial"/>
          <w:lang w:val="es-ES_tradnl"/>
        </w:rPr>
      </w:pPr>
      <w:r w:rsidRPr="002A19F7">
        <w:rPr>
          <w:rFonts w:ascii="Century Gothic" w:eastAsia="Calibri" w:hAnsi="Century Gothic" w:cs="Arial"/>
          <w:lang w:val="es-ES_tradnl"/>
          <w14:ligatures w14:val="standardContextual"/>
        </w:rPr>
        <w:t>Ahora bien</w:t>
      </w:r>
      <w:r w:rsidR="00D714D1" w:rsidRPr="002A19F7">
        <w:rPr>
          <w:rFonts w:ascii="Century Gothic" w:eastAsia="Calibri" w:hAnsi="Century Gothic" w:cs="Arial"/>
          <w:lang w:val="es-ES_tradnl"/>
          <w14:ligatures w14:val="standardContextual"/>
        </w:rPr>
        <w:t>,</w:t>
      </w:r>
      <w:r w:rsidR="00C57585">
        <w:rPr>
          <w:rFonts w:ascii="Century Gothic" w:eastAsia="Calibri" w:hAnsi="Century Gothic" w:cs="Arial"/>
          <w:lang w:val="es-ES_tradnl"/>
          <w14:ligatures w14:val="standardContextual"/>
        </w:rPr>
        <w:t xml:space="preserve"> </w:t>
      </w:r>
      <w:r w:rsidRPr="002A19F7">
        <w:rPr>
          <w:rFonts w:ascii="Century Gothic" w:eastAsia="Calibri" w:hAnsi="Century Gothic" w:cs="Arial"/>
          <w:lang w:val="es-ES_tradnl"/>
          <w14:ligatures w14:val="standardContextual"/>
        </w:rPr>
        <w:t>frente</w:t>
      </w:r>
      <w:r w:rsidR="00176745" w:rsidRPr="002A19F7">
        <w:rPr>
          <w:rFonts w:ascii="Century Gothic" w:eastAsia="Calibri" w:hAnsi="Century Gothic" w:cs="Arial"/>
          <w:lang w:val="es-ES_tradnl"/>
          <w14:ligatures w14:val="standardContextual"/>
        </w:rPr>
        <w:t xml:space="preserve"> a la segunda pregunta relacionada con el</w:t>
      </w:r>
      <w:r w:rsidRPr="002A19F7">
        <w:rPr>
          <w:rFonts w:ascii="Century Gothic" w:eastAsia="Calibri" w:hAnsi="Century Gothic" w:cs="Arial"/>
          <w:lang w:val="es-ES_tradnl"/>
          <w14:ligatures w14:val="standardContextual"/>
        </w:rPr>
        <w:t xml:space="preserve"> fraccionamiento del contrato </w:t>
      </w:r>
      <w:r w:rsidR="002F4746" w:rsidRPr="002A19F7">
        <w:rPr>
          <w:rFonts w:ascii="Century Gothic" w:eastAsia="Calibri" w:hAnsi="Century Gothic" w:cs="Arial"/>
          <w:lang w:val="es-ES_tradnl"/>
          <w14:ligatures w14:val="standardContextual"/>
        </w:rPr>
        <w:t>r</w:t>
      </w:r>
      <w:r w:rsidR="00AB49BE" w:rsidRPr="002A19F7">
        <w:rPr>
          <w:rFonts w:ascii="Century Gothic" w:eastAsia="Calibri" w:hAnsi="Century Gothic" w:cs="Arial"/>
          <w:lang w:val="es-ES_tradnl"/>
          <w14:ligatures w14:val="standardContextual"/>
        </w:rPr>
        <w:t>esulta</w:t>
      </w:r>
      <w:r w:rsidR="00AB49BE" w:rsidRPr="002A19F7">
        <w:rPr>
          <w:rFonts w:ascii="Century Gothic" w:eastAsia="Calibri" w:hAnsi="Century Gothic" w:cs="Arial"/>
          <w:lang w:val="es-ES_tradnl"/>
        </w:rPr>
        <w:t xml:space="preserve"> oportuno acotar </w:t>
      </w:r>
      <w:r w:rsidR="002A0D9F">
        <w:rPr>
          <w:rFonts w:ascii="Century Gothic" w:eastAsia="Calibri" w:hAnsi="Century Gothic" w:cs="Arial"/>
          <w:lang w:val="es-ES_tradnl"/>
        </w:rPr>
        <w:t xml:space="preserve">lo siguiente, </w:t>
      </w:r>
      <w:r w:rsidR="00AB49BE" w:rsidRPr="002A19F7">
        <w:rPr>
          <w:rFonts w:ascii="Century Gothic" w:eastAsia="Calibri" w:hAnsi="Century Gothic" w:cs="Arial"/>
          <w:lang w:val="es-ES_tradnl"/>
        </w:rPr>
        <w:t>aunque la conducta de fraccionar los contratos no está prohibida expresamente en la Ley 80 de 1993, la jurisprudencia y la doctrina han sido claras en que la prohibición está implícita si tenemos en cuenta los aspectos esenciales de los principios y reglas que informan el estatuto contractual.</w:t>
      </w:r>
    </w:p>
    <w:p w14:paraId="4D0BBD55" w14:textId="77777777" w:rsidR="00902391" w:rsidRPr="002A19F7" w:rsidRDefault="00902391" w:rsidP="00902391">
      <w:pPr>
        <w:spacing w:after="0" w:line="240" w:lineRule="auto"/>
        <w:ind w:firstLine="709"/>
        <w:jc w:val="both"/>
        <w:rPr>
          <w:rFonts w:ascii="Century Gothic" w:eastAsia="Calibri" w:hAnsi="Century Gothic" w:cs="Arial"/>
          <w:lang w:val="es-ES_tradnl"/>
        </w:rPr>
      </w:pPr>
    </w:p>
    <w:p w14:paraId="524B69DB" w14:textId="7BCE2B5D" w:rsidR="004E6E13" w:rsidRPr="002A19F7" w:rsidRDefault="00D02215" w:rsidP="004E6E13">
      <w:pPr>
        <w:tabs>
          <w:tab w:val="left" w:pos="2107"/>
        </w:tabs>
        <w:spacing w:after="120" w:line="276" w:lineRule="auto"/>
        <w:ind w:firstLine="709"/>
        <w:jc w:val="both"/>
        <w:rPr>
          <w:rStyle w:val="normaltextrun"/>
          <w:rFonts w:ascii="Century Gothic" w:hAnsi="Century Gothic" w:cs="Arial"/>
          <w:color w:val="000000"/>
          <w:shd w:val="clear" w:color="auto" w:fill="FFFFFF"/>
          <w:lang w:val="es-ES"/>
        </w:rPr>
      </w:pPr>
      <w:r w:rsidRPr="002A19F7">
        <w:rPr>
          <w:rStyle w:val="normaltextrun"/>
          <w:rFonts w:ascii="Century Gothic" w:hAnsi="Century Gothic" w:cs="Arial"/>
          <w:color w:val="000000"/>
          <w:lang w:val="es-ES"/>
        </w:rPr>
        <w:t>Por lo cual, e</w:t>
      </w:r>
      <w:r w:rsidR="004E6E13" w:rsidRPr="002A19F7">
        <w:rPr>
          <w:rStyle w:val="normaltextrun"/>
          <w:rFonts w:ascii="Century Gothic" w:hAnsi="Century Gothic" w:cs="Arial"/>
          <w:color w:val="000000"/>
          <w:lang w:val="es-ES"/>
        </w:rPr>
        <w:t>n virtud de los principios</w:t>
      </w:r>
      <w:r w:rsidR="007559F7" w:rsidRPr="002A19F7">
        <w:rPr>
          <w:rStyle w:val="normaltextrun"/>
          <w:rFonts w:ascii="Century Gothic" w:hAnsi="Century Gothic" w:cs="Arial"/>
          <w:color w:val="000000"/>
          <w:lang w:val="es-ES"/>
        </w:rPr>
        <w:t xml:space="preserve"> que rigen a la administración pública</w:t>
      </w:r>
      <w:r w:rsidR="00497F77" w:rsidRPr="002A19F7">
        <w:rPr>
          <w:rStyle w:val="normaltextrun"/>
          <w:rFonts w:ascii="Century Gothic" w:hAnsi="Century Gothic" w:cs="Arial"/>
          <w:color w:val="000000"/>
          <w:lang w:val="es-ES"/>
        </w:rPr>
        <w:t xml:space="preserve">  e inde</w:t>
      </w:r>
      <w:r w:rsidR="00D815CC" w:rsidRPr="002A19F7">
        <w:rPr>
          <w:rStyle w:val="normaltextrun"/>
          <w:rFonts w:ascii="Century Gothic" w:hAnsi="Century Gothic" w:cs="Arial"/>
          <w:color w:val="000000"/>
          <w:lang w:val="es-ES"/>
        </w:rPr>
        <w:t>pend</w:t>
      </w:r>
      <w:r w:rsidR="00DD0751" w:rsidRPr="002A19F7">
        <w:rPr>
          <w:rStyle w:val="normaltextrun"/>
          <w:rFonts w:ascii="Century Gothic" w:hAnsi="Century Gothic" w:cs="Arial"/>
          <w:color w:val="000000"/>
          <w:lang w:val="es-ES"/>
        </w:rPr>
        <w:t xml:space="preserve">ientemente </w:t>
      </w:r>
      <w:r w:rsidR="00497F77" w:rsidRPr="002A19F7">
        <w:rPr>
          <w:rStyle w:val="normaltextrun"/>
          <w:rFonts w:ascii="Century Gothic" w:hAnsi="Century Gothic" w:cs="Arial"/>
          <w:color w:val="000000"/>
          <w:lang w:val="es-ES"/>
        </w:rPr>
        <w:t xml:space="preserve">del </w:t>
      </w:r>
      <w:r w:rsidR="00DD0751" w:rsidRPr="002A19F7">
        <w:rPr>
          <w:rStyle w:val="normaltextrun"/>
          <w:rFonts w:ascii="Century Gothic" w:hAnsi="Century Gothic" w:cs="Arial"/>
          <w:color w:val="000000"/>
          <w:lang w:val="es-ES"/>
        </w:rPr>
        <w:t>régimen</w:t>
      </w:r>
      <w:r w:rsidR="00497F77" w:rsidRPr="002A19F7">
        <w:rPr>
          <w:rStyle w:val="normaltextrun"/>
          <w:rFonts w:ascii="Century Gothic" w:hAnsi="Century Gothic" w:cs="Arial"/>
          <w:color w:val="000000"/>
          <w:lang w:val="es-ES"/>
        </w:rPr>
        <w:t xml:space="preserve"> de contratación aplicable</w:t>
      </w:r>
      <w:r w:rsidR="004E6E13" w:rsidRPr="002A19F7">
        <w:rPr>
          <w:rStyle w:val="normaltextrun"/>
          <w:rFonts w:ascii="Century Gothic" w:hAnsi="Century Gothic" w:cs="Arial"/>
          <w:color w:val="000000"/>
          <w:lang w:val="es-ES"/>
        </w:rPr>
        <w:t xml:space="preserve">, </w:t>
      </w:r>
      <w:r w:rsidR="00497F77" w:rsidRPr="002A19F7">
        <w:rPr>
          <w:rStyle w:val="normaltextrun"/>
          <w:rFonts w:ascii="Century Gothic" w:hAnsi="Century Gothic" w:cs="Arial"/>
          <w:color w:val="000000"/>
          <w:lang w:val="es-ES"/>
        </w:rPr>
        <w:t xml:space="preserve">es importante </w:t>
      </w:r>
      <w:r w:rsidR="00D815CC" w:rsidRPr="002A19F7">
        <w:rPr>
          <w:rStyle w:val="normaltextrun"/>
          <w:rFonts w:ascii="Century Gothic" w:hAnsi="Century Gothic" w:cs="Arial"/>
          <w:color w:val="000000"/>
          <w:lang w:val="es-ES"/>
        </w:rPr>
        <w:t xml:space="preserve">resaltar </w:t>
      </w:r>
      <w:r w:rsidR="00497F77" w:rsidRPr="002A19F7">
        <w:rPr>
          <w:rStyle w:val="normaltextrun"/>
          <w:rFonts w:ascii="Century Gothic" w:hAnsi="Century Gothic" w:cs="Arial"/>
          <w:color w:val="000000"/>
          <w:lang w:val="es-ES"/>
        </w:rPr>
        <w:t xml:space="preserve">que </w:t>
      </w:r>
      <w:r w:rsidR="00D815CC" w:rsidRPr="002A19F7">
        <w:rPr>
          <w:rStyle w:val="normaltextrun"/>
          <w:rFonts w:ascii="Century Gothic" w:hAnsi="Century Gothic" w:cs="Arial"/>
          <w:color w:val="000000"/>
          <w:lang w:val="es-ES"/>
        </w:rPr>
        <w:t xml:space="preserve"> es deber de </w:t>
      </w:r>
      <w:r w:rsidR="004E6E13" w:rsidRPr="002A19F7">
        <w:rPr>
          <w:rStyle w:val="normaltextrun"/>
          <w:rFonts w:ascii="Century Gothic" w:hAnsi="Century Gothic" w:cs="Arial"/>
          <w:color w:val="000000"/>
          <w:lang w:val="es-ES"/>
        </w:rPr>
        <w:t xml:space="preserve">las entidades estatales </w:t>
      </w:r>
      <w:r w:rsidR="00D815CC" w:rsidRPr="002A19F7">
        <w:rPr>
          <w:rStyle w:val="normaltextrun"/>
          <w:rFonts w:ascii="Century Gothic" w:hAnsi="Century Gothic" w:cs="Arial"/>
          <w:color w:val="000000"/>
          <w:lang w:val="es-ES"/>
        </w:rPr>
        <w:t xml:space="preserve">de </w:t>
      </w:r>
      <w:r w:rsidR="004E6E13" w:rsidRPr="002A19F7">
        <w:rPr>
          <w:rStyle w:val="normaltextrun"/>
          <w:rFonts w:ascii="Century Gothic" w:hAnsi="Century Gothic" w:cs="Arial"/>
          <w:color w:val="000000"/>
          <w:lang w:val="es-ES"/>
        </w:rPr>
        <w:t xml:space="preserve">realizar un estudio </w:t>
      </w:r>
      <w:r w:rsidR="00E412F5" w:rsidRPr="002A19F7">
        <w:rPr>
          <w:rStyle w:val="normaltextrun"/>
          <w:rFonts w:ascii="Century Gothic" w:hAnsi="Century Gothic" w:cs="Arial"/>
          <w:color w:val="000000"/>
          <w:lang w:val="es-ES"/>
        </w:rPr>
        <w:t xml:space="preserve">juicioso </w:t>
      </w:r>
      <w:r w:rsidR="004E6E13" w:rsidRPr="002A19F7">
        <w:rPr>
          <w:rStyle w:val="normaltextrun"/>
          <w:rFonts w:ascii="Century Gothic" w:hAnsi="Century Gothic" w:cs="Arial"/>
          <w:color w:val="000000"/>
          <w:lang w:val="es-ES"/>
        </w:rPr>
        <w:t xml:space="preserve">de planeación identificando sus necesidades y los medios para satisfacerlas, partiendo de ellos y del deber de planeación </w:t>
      </w:r>
      <w:r w:rsidR="00145EB5">
        <w:rPr>
          <w:rStyle w:val="normaltextrun"/>
          <w:rFonts w:ascii="Century Gothic" w:hAnsi="Century Gothic" w:cs="Arial"/>
          <w:color w:val="000000"/>
          <w:lang w:val="es-ES"/>
        </w:rPr>
        <w:t xml:space="preserve">es </w:t>
      </w:r>
      <w:r w:rsidR="004E6E13" w:rsidRPr="002A19F7">
        <w:rPr>
          <w:rStyle w:val="normaltextrun"/>
          <w:rFonts w:ascii="Century Gothic" w:hAnsi="Century Gothic" w:cs="Arial"/>
          <w:color w:val="000000"/>
          <w:lang w:val="es-ES"/>
        </w:rPr>
        <w:t xml:space="preserve">que cada entidad debe construir sus documentos previos y estudios para adelantar la contratación encaminados al conocimiento del mercado y de sus partícipes, al igual que a elementos técnicos, financiero y jurídicos que rodean su necesidad, para poder así determinar su necesidad de forma clara y detallada.  </w:t>
      </w:r>
    </w:p>
    <w:p w14:paraId="3228C8AE" w14:textId="364B1574" w:rsidR="004E6E13" w:rsidRPr="002A19F7" w:rsidRDefault="004E6E13" w:rsidP="004E6E13">
      <w:pPr>
        <w:tabs>
          <w:tab w:val="left" w:pos="709"/>
        </w:tabs>
        <w:spacing w:after="120" w:line="276" w:lineRule="auto"/>
        <w:jc w:val="both"/>
        <w:rPr>
          <w:rStyle w:val="normaltextrun"/>
          <w:rFonts w:ascii="Century Gothic" w:hAnsi="Century Gothic" w:cs="Arial"/>
          <w:color w:val="000000"/>
          <w:shd w:val="clear" w:color="auto" w:fill="FFFFFF"/>
          <w:lang w:val="es-ES"/>
        </w:rPr>
      </w:pPr>
      <w:r w:rsidRPr="002A19F7">
        <w:rPr>
          <w:rStyle w:val="normaltextrun"/>
          <w:rFonts w:ascii="Century Gothic" w:hAnsi="Century Gothic" w:cs="Arial"/>
          <w:color w:val="000000"/>
          <w:shd w:val="clear" w:color="auto" w:fill="FFFFFF"/>
          <w:lang w:val="es-ES"/>
        </w:rPr>
        <w:tab/>
      </w:r>
      <w:r w:rsidRPr="002A19F7">
        <w:rPr>
          <w:rStyle w:val="normaltextrun"/>
          <w:rFonts w:ascii="Century Gothic" w:hAnsi="Century Gothic" w:cs="Arial"/>
          <w:color w:val="000000"/>
          <w:shd w:val="clear" w:color="auto" w:fill="FFFFFF"/>
          <w:lang w:val="es-ES"/>
        </w:rPr>
        <w:tab/>
        <w:t xml:space="preserve">Lo anterior con el fin de indicar que es una responsabilidad de las entidades, </w:t>
      </w:r>
      <w:r w:rsidRPr="002A19F7">
        <w:rPr>
          <w:rStyle w:val="normaltextrun"/>
          <w:rFonts w:ascii="Century Gothic" w:hAnsi="Century Gothic" w:cs="Arial"/>
          <w:i/>
          <w:iCs/>
          <w:color w:val="000000"/>
          <w:shd w:val="clear" w:color="auto" w:fill="FFFFFF"/>
          <w:lang w:val="es-ES"/>
        </w:rPr>
        <w:t xml:space="preserve">ex ante, </w:t>
      </w:r>
      <w:r w:rsidRPr="002A19F7">
        <w:rPr>
          <w:rStyle w:val="normaltextrun"/>
          <w:rFonts w:ascii="Century Gothic" w:hAnsi="Century Gothic" w:cs="Arial"/>
          <w:color w:val="000000"/>
          <w:shd w:val="clear" w:color="auto" w:fill="FFFFFF"/>
          <w:lang w:val="es-ES"/>
        </w:rPr>
        <w:t>al adelantamiento de un proceso de selección, determinar que con las condiciones que se establezcan para adelantar la contratación se satisfaga el 100% de su necesidad</w:t>
      </w:r>
      <w:r w:rsidR="0066474C" w:rsidRPr="002A19F7">
        <w:rPr>
          <w:rStyle w:val="normaltextrun"/>
          <w:rFonts w:ascii="Century Gothic" w:hAnsi="Century Gothic" w:cs="Arial"/>
          <w:color w:val="000000"/>
          <w:shd w:val="clear" w:color="auto" w:fill="FFFFFF"/>
          <w:lang w:val="es-ES"/>
        </w:rPr>
        <w:t>.</w:t>
      </w:r>
    </w:p>
    <w:p w14:paraId="61A7980C" w14:textId="2F8481B4" w:rsidR="004E6E13" w:rsidRPr="002A19F7" w:rsidRDefault="004E6E13" w:rsidP="004E6E13">
      <w:pPr>
        <w:tabs>
          <w:tab w:val="left" w:pos="709"/>
        </w:tabs>
        <w:spacing w:after="0" w:line="276" w:lineRule="auto"/>
        <w:jc w:val="both"/>
        <w:rPr>
          <w:rFonts w:ascii="Century Gothic" w:hAnsi="Century Gothic" w:cs="Arial"/>
          <w:lang w:val="es-MX"/>
        </w:rPr>
      </w:pPr>
      <w:r w:rsidRPr="002A19F7">
        <w:rPr>
          <w:rStyle w:val="normaltextrun"/>
          <w:rFonts w:ascii="Century Gothic" w:hAnsi="Century Gothic" w:cs="Arial"/>
          <w:color w:val="000000"/>
          <w:shd w:val="clear" w:color="auto" w:fill="FFFFFF"/>
          <w:lang w:val="es-ES"/>
        </w:rPr>
        <w:tab/>
        <w:t xml:space="preserve">Dicho de otra forma, se podría estar frente a un fraccionamiento y/o escogencia errónea de la modalidad de selección, cuando por falencia en la estructuración del proceso la entidad </w:t>
      </w:r>
      <w:r w:rsidRPr="002A19F7">
        <w:rPr>
          <w:rFonts w:ascii="Century Gothic" w:hAnsi="Century Gothic" w:cs="Arial"/>
        </w:rPr>
        <w:t xml:space="preserve">constituye una conducta contraria a los principios de la contratación estatal, subestimando el valor del presupuesto del </w:t>
      </w:r>
      <w:r w:rsidRPr="002A19F7">
        <w:rPr>
          <w:rFonts w:ascii="Century Gothic" w:hAnsi="Century Gothic" w:cs="Arial"/>
        </w:rPr>
        <w:lastRenderedPageBreak/>
        <w:t>proceso de selección, para optar por la selección de Mínima Cuantía, a sabiendas, que el valor real de la necesidad a satisfacer es superior al de la mínima cuantía</w:t>
      </w:r>
      <w:r w:rsidR="005D7604" w:rsidRPr="002A19F7">
        <w:rPr>
          <w:rFonts w:ascii="Century Gothic" w:hAnsi="Century Gothic" w:cs="Arial"/>
        </w:rPr>
        <w:t>,</w:t>
      </w:r>
    </w:p>
    <w:p w14:paraId="150FEA94" w14:textId="77777777" w:rsidR="00AB49BE" w:rsidRPr="002A19F7" w:rsidRDefault="00AB49BE" w:rsidP="00AB49BE">
      <w:pPr>
        <w:spacing w:after="0" w:line="276" w:lineRule="auto"/>
        <w:ind w:firstLine="709"/>
        <w:contextualSpacing/>
        <w:jc w:val="both"/>
        <w:rPr>
          <w:rFonts w:ascii="Century Gothic" w:hAnsi="Century Gothic" w:cs="Arial"/>
          <w:lang w:val="es-MX"/>
          <w14:ligatures w14:val="standardContextual"/>
        </w:rPr>
      </w:pPr>
    </w:p>
    <w:p w14:paraId="1EA6FB12" w14:textId="77777777" w:rsidR="00AB49BE" w:rsidRPr="002A19F7" w:rsidRDefault="00AB49BE" w:rsidP="00AB49BE">
      <w:pPr>
        <w:widowControl w:val="0"/>
        <w:autoSpaceDE w:val="0"/>
        <w:autoSpaceDN w:val="0"/>
        <w:spacing w:after="0" w:line="276" w:lineRule="auto"/>
        <w:jc w:val="both"/>
        <w:rPr>
          <w:rFonts w:ascii="Century Gothic" w:eastAsia="Times New Roman" w:hAnsi="Century Gothic" w:cs="Arial"/>
          <w:lang w:val="es-ES" w:eastAsia="es-ES"/>
        </w:rPr>
      </w:pPr>
      <w:r w:rsidRPr="002A19F7">
        <w:rPr>
          <w:rFonts w:ascii="Century Gothic" w:eastAsia="Times New Roman" w:hAnsi="Century Gothic" w:cs="Arial"/>
          <w:lang w:val="es-MX" w:eastAsia="es-ES"/>
        </w:rPr>
        <w:t xml:space="preserve">Este concepto tiene el alcance previsto en el artículo 28 del Código de Procedimiento Administrativo y de lo Contencioso Administrativo </w:t>
      </w:r>
      <w:r w:rsidRPr="002A19F7">
        <w:rPr>
          <w:rFonts w:ascii="Century Gothic" w:eastAsia="Times New Roman" w:hAnsi="Century Gothic" w:cs="Arial"/>
          <w:lang w:val="es-ES" w:eastAsia="es-ES"/>
        </w:rPr>
        <w:t>y las expresiones aquí utilizadas con mayúscula inicial deben ser entendidas con el significado que les otorga el artículo 2.2.1.1.1.3.1. del Decreto 1082 de 2015.</w:t>
      </w:r>
    </w:p>
    <w:p w14:paraId="06FAAA13" w14:textId="77777777" w:rsidR="00AB49BE" w:rsidRPr="002A19F7" w:rsidRDefault="00AB49BE" w:rsidP="00AB49BE">
      <w:pPr>
        <w:widowControl w:val="0"/>
        <w:autoSpaceDE w:val="0"/>
        <w:autoSpaceDN w:val="0"/>
        <w:spacing w:after="0" w:line="276" w:lineRule="auto"/>
        <w:jc w:val="both"/>
        <w:rPr>
          <w:rFonts w:ascii="Century Gothic" w:hAnsi="Century Gothic" w:cs="Arial"/>
          <w:sz w:val="24"/>
          <w:lang w:val="es-MX"/>
          <w14:ligatures w14:val="standardContextual"/>
        </w:rPr>
      </w:pPr>
    </w:p>
    <w:p w14:paraId="595B47C8" w14:textId="77777777" w:rsidR="00AB49BE" w:rsidRPr="002A19F7" w:rsidRDefault="00AB49BE" w:rsidP="00AB49BE">
      <w:pPr>
        <w:spacing w:after="0" w:line="276" w:lineRule="auto"/>
        <w:rPr>
          <w:rFonts w:ascii="Century Gothic" w:eastAsia="Times New Roman" w:hAnsi="Century Gothic" w:cs="Arial"/>
          <w:sz w:val="24"/>
          <w:lang w:val="es-MX" w:eastAsia="es-CO"/>
          <w14:ligatures w14:val="standardContextual"/>
        </w:rPr>
      </w:pPr>
      <w:r w:rsidRPr="002A19F7">
        <w:rPr>
          <w:rFonts w:ascii="Century Gothic" w:eastAsia="Times New Roman" w:hAnsi="Century Gothic" w:cs="Arial"/>
          <w:sz w:val="24"/>
          <w:lang w:val="es-MX" w:eastAsia="es-CO"/>
          <w14:ligatures w14:val="standardContextual"/>
        </w:rPr>
        <w:t>Atentamente,</w:t>
      </w:r>
    </w:p>
    <w:p w14:paraId="5E8D4DA7" w14:textId="1194130F" w:rsidR="00AB49BE" w:rsidRDefault="00AB49BE" w:rsidP="00AB49BE">
      <w:pPr>
        <w:spacing w:after="0" w:line="276" w:lineRule="auto"/>
        <w:jc w:val="center"/>
        <w:rPr>
          <w:rFonts w:ascii="Century Gothic" w:eastAsia="Times New Roman" w:hAnsi="Century Gothic" w:cs="Arial"/>
          <w:sz w:val="24"/>
          <w:lang w:val="es-MX" w:eastAsia="es-CO"/>
          <w14:ligatures w14:val="standardContextual"/>
        </w:rPr>
      </w:pPr>
      <w:r w:rsidRPr="002A19F7">
        <w:rPr>
          <w:rFonts w:ascii="Century Gothic" w:hAnsi="Century Gothic"/>
          <w:noProof/>
          <w:lang w:val="en-US"/>
        </w:rPr>
        <w:drawing>
          <wp:inline distT="0" distB="0" distL="0" distR="0" wp14:anchorId="0C7E195F" wp14:editId="06D6B105">
            <wp:extent cx="2166337" cy="831193"/>
            <wp:effectExtent l="0" t="0" r="571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2166337" cy="831193"/>
                    </a:xfrm>
                    <a:prstGeom prst="rect">
                      <a:avLst/>
                    </a:prstGeom>
                  </pic:spPr>
                </pic:pic>
              </a:graphicData>
            </a:graphic>
          </wp:inline>
        </w:drawing>
      </w:r>
    </w:p>
    <w:p w14:paraId="5B3F7AF2" w14:textId="77777777" w:rsidR="003C50BB" w:rsidRPr="002A19F7" w:rsidRDefault="003C50BB" w:rsidP="00AB49BE">
      <w:pPr>
        <w:spacing w:after="0" w:line="276" w:lineRule="auto"/>
        <w:jc w:val="center"/>
        <w:rPr>
          <w:rFonts w:ascii="Century Gothic" w:eastAsia="Times New Roman" w:hAnsi="Century Gothic" w:cs="Arial"/>
          <w:sz w:val="24"/>
          <w:lang w:val="es-MX" w:eastAsia="es-CO"/>
          <w14:ligatures w14:val="standardContextual"/>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AB49BE" w:rsidRPr="002A19F7" w14:paraId="4AB251FF" w14:textId="77777777" w:rsidTr="00F14AD4">
        <w:trPr>
          <w:trHeight w:val="315"/>
        </w:trPr>
        <w:tc>
          <w:tcPr>
            <w:tcW w:w="810" w:type="dxa"/>
            <w:tcBorders>
              <w:top w:val="nil"/>
              <w:left w:val="nil"/>
              <w:bottom w:val="nil"/>
              <w:right w:val="nil"/>
            </w:tcBorders>
            <w:vAlign w:val="center"/>
            <w:hideMark/>
          </w:tcPr>
          <w:p w14:paraId="6DE8F9A6" w14:textId="77777777" w:rsidR="00AB49BE" w:rsidRPr="002A19F7" w:rsidRDefault="00AB49BE" w:rsidP="00F14AD4">
            <w:pPr>
              <w:spacing w:after="0" w:line="240" w:lineRule="auto"/>
              <w:textAlignment w:val="baseline"/>
              <w:rPr>
                <w:rFonts w:ascii="Century Gothic" w:hAnsi="Century Gothic" w:cs="Arial"/>
                <w:sz w:val="16"/>
                <w:szCs w:val="16"/>
                <w:lang w:val="es-MX" w:eastAsia="es-CO"/>
                <w14:ligatures w14:val="standardContextual"/>
              </w:rPr>
            </w:pPr>
            <w:r w:rsidRPr="002A19F7">
              <w:rPr>
                <w:rFonts w:ascii="Century Gothic" w:hAnsi="Century Gothic" w:cs="Arial"/>
                <w:sz w:val="16"/>
                <w:szCs w:val="16"/>
                <w:lang w:val="es-MX" w:eastAsia="es-CO"/>
                <w14:ligatures w14:val="standardContextual"/>
              </w:rPr>
              <w:t>Elaboró: </w:t>
            </w:r>
          </w:p>
        </w:tc>
        <w:tc>
          <w:tcPr>
            <w:tcW w:w="6136" w:type="dxa"/>
            <w:tcBorders>
              <w:top w:val="nil"/>
              <w:left w:val="nil"/>
              <w:bottom w:val="dotted" w:sz="6" w:space="0" w:color="7F7F7F"/>
              <w:right w:val="nil"/>
            </w:tcBorders>
            <w:vAlign w:val="center"/>
            <w:hideMark/>
          </w:tcPr>
          <w:p w14:paraId="1DBE4A6C" w14:textId="137ED5A8" w:rsidR="00AB49BE" w:rsidRPr="002A19F7" w:rsidRDefault="00F807EF" w:rsidP="00F14AD4">
            <w:pPr>
              <w:spacing w:after="0" w:line="240" w:lineRule="auto"/>
              <w:textAlignment w:val="baseline"/>
              <w:rPr>
                <w:rFonts w:ascii="Century Gothic" w:hAnsi="Century Gothic" w:cs="Arial"/>
                <w:sz w:val="16"/>
                <w:szCs w:val="16"/>
                <w:lang w:val="es-MX" w:eastAsia="es-CO"/>
                <w14:ligatures w14:val="standardContextual"/>
              </w:rPr>
            </w:pPr>
            <w:r w:rsidRPr="002A19F7">
              <w:rPr>
                <w:rFonts w:ascii="Century Gothic" w:hAnsi="Century Gothic" w:cs="Arial"/>
                <w:sz w:val="16"/>
                <w:szCs w:val="16"/>
                <w:lang w:val="es-MX" w:eastAsia="es-CO"/>
                <w14:ligatures w14:val="standardContextual"/>
              </w:rPr>
              <w:t>Andrés</w:t>
            </w:r>
            <w:r w:rsidR="00AB49BE" w:rsidRPr="002A19F7">
              <w:rPr>
                <w:rFonts w:ascii="Century Gothic" w:hAnsi="Century Gothic" w:cs="Arial"/>
                <w:sz w:val="16"/>
                <w:szCs w:val="16"/>
                <w:lang w:val="es-MX" w:eastAsia="es-CO"/>
                <w14:ligatures w14:val="standardContextual"/>
              </w:rPr>
              <w:t xml:space="preserve"> Ricardo Cabarcas Thorne</w:t>
            </w:r>
          </w:p>
          <w:p w14:paraId="2839C11E" w14:textId="77777777" w:rsidR="00AB49BE" w:rsidRPr="002A19F7" w:rsidRDefault="00AB49BE" w:rsidP="00F14AD4">
            <w:pPr>
              <w:spacing w:after="0" w:line="240" w:lineRule="auto"/>
              <w:textAlignment w:val="baseline"/>
              <w:rPr>
                <w:rFonts w:ascii="Century Gothic" w:hAnsi="Century Gothic" w:cs="Arial"/>
                <w:sz w:val="16"/>
                <w:szCs w:val="16"/>
                <w:lang w:val="es-MX" w:eastAsia="es-CO"/>
                <w14:ligatures w14:val="standardContextual"/>
              </w:rPr>
            </w:pPr>
            <w:r w:rsidRPr="002A19F7">
              <w:rPr>
                <w:rFonts w:ascii="Century Gothic" w:hAnsi="Century Gothic" w:cs="Arial"/>
                <w:sz w:val="16"/>
                <w:szCs w:val="16"/>
                <w:lang w:val="es-MX" w:eastAsia="es-CO"/>
                <w14:ligatures w14:val="standardContextual"/>
              </w:rPr>
              <w:t>Analista T2-02 de la Subdirección de Gestión Contractual</w:t>
            </w:r>
          </w:p>
        </w:tc>
      </w:tr>
      <w:tr w:rsidR="00AB49BE" w:rsidRPr="002A19F7" w14:paraId="5DD42DFC" w14:textId="77777777" w:rsidTr="00F14AD4">
        <w:trPr>
          <w:trHeight w:val="315"/>
        </w:trPr>
        <w:tc>
          <w:tcPr>
            <w:tcW w:w="810" w:type="dxa"/>
            <w:tcBorders>
              <w:top w:val="nil"/>
              <w:left w:val="nil"/>
              <w:bottom w:val="nil"/>
              <w:right w:val="nil"/>
            </w:tcBorders>
            <w:vAlign w:val="center"/>
            <w:hideMark/>
          </w:tcPr>
          <w:p w14:paraId="36008305" w14:textId="77777777" w:rsidR="00AB49BE" w:rsidRPr="002A19F7" w:rsidRDefault="00AB49BE" w:rsidP="00F14AD4">
            <w:pPr>
              <w:spacing w:after="0" w:line="240" w:lineRule="auto"/>
              <w:textAlignment w:val="baseline"/>
              <w:rPr>
                <w:rFonts w:ascii="Century Gothic" w:hAnsi="Century Gothic" w:cs="Arial"/>
                <w:sz w:val="16"/>
                <w:szCs w:val="16"/>
                <w:lang w:val="es-MX" w:eastAsia="es-CO"/>
                <w14:ligatures w14:val="standardContextual"/>
              </w:rPr>
            </w:pPr>
            <w:r w:rsidRPr="002A19F7">
              <w:rPr>
                <w:rFonts w:ascii="Century Gothic" w:hAnsi="Century Gothic" w:cs="Arial"/>
                <w:sz w:val="16"/>
                <w:szCs w:val="16"/>
                <w:lang w:val="es-MX" w:eastAsia="es-CO"/>
                <w14:ligatures w14:val="standardContextual"/>
              </w:rPr>
              <w:t>Revisó: </w:t>
            </w:r>
          </w:p>
        </w:tc>
        <w:tc>
          <w:tcPr>
            <w:tcW w:w="6136" w:type="dxa"/>
            <w:tcBorders>
              <w:top w:val="dotted" w:sz="6" w:space="0" w:color="7F7F7F"/>
              <w:left w:val="nil"/>
              <w:bottom w:val="dotted" w:sz="6" w:space="0" w:color="7F7F7F"/>
              <w:right w:val="nil"/>
            </w:tcBorders>
            <w:vAlign w:val="center"/>
            <w:hideMark/>
          </w:tcPr>
          <w:p w14:paraId="4CAF396C" w14:textId="7BD6B8F3" w:rsidR="00AB49BE" w:rsidRPr="002A19F7" w:rsidRDefault="00AB49BE" w:rsidP="00F14AD4">
            <w:pPr>
              <w:spacing w:after="0" w:line="240" w:lineRule="auto"/>
              <w:textAlignment w:val="baseline"/>
              <w:rPr>
                <w:rFonts w:ascii="Century Gothic" w:hAnsi="Century Gothic" w:cs="Arial"/>
                <w:sz w:val="16"/>
                <w:szCs w:val="16"/>
                <w:lang w:val="es-MX" w:eastAsia="es-CO"/>
                <w14:ligatures w14:val="standardContextual"/>
              </w:rPr>
            </w:pPr>
            <w:r w:rsidRPr="002A19F7">
              <w:rPr>
                <w:rFonts w:ascii="Century Gothic" w:hAnsi="Century Gothic" w:cs="Arial"/>
                <w:sz w:val="16"/>
                <w:szCs w:val="16"/>
                <w:lang w:val="es-MX" w:eastAsia="es-CO"/>
                <w14:ligatures w14:val="standardContextual"/>
              </w:rPr>
              <w:t xml:space="preserve">Diana </w:t>
            </w:r>
            <w:r w:rsidR="00DD0751" w:rsidRPr="002A19F7">
              <w:rPr>
                <w:rFonts w:ascii="Century Gothic" w:hAnsi="Century Gothic" w:cs="Arial"/>
                <w:sz w:val="16"/>
                <w:szCs w:val="16"/>
                <w:lang w:val="es-MX" w:eastAsia="es-CO"/>
                <w14:ligatures w14:val="standardContextual"/>
              </w:rPr>
              <w:t>C</w:t>
            </w:r>
            <w:r w:rsidR="00DD0751" w:rsidRPr="002A19F7">
              <w:rPr>
                <w:rFonts w:ascii="Century Gothic" w:hAnsi="Century Gothic"/>
                <w:sz w:val="16"/>
                <w:szCs w:val="16"/>
                <w:lang w:val="es-MX" w:eastAsia="es-CO"/>
                <w14:ligatures w14:val="standardContextual"/>
              </w:rPr>
              <w:t xml:space="preserve">arolina </w:t>
            </w:r>
            <w:r w:rsidRPr="002A19F7">
              <w:rPr>
                <w:rFonts w:ascii="Century Gothic" w:hAnsi="Century Gothic" w:cs="Arial"/>
                <w:sz w:val="16"/>
                <w:szCs w:val="16"/>
                <w:lang w:val="es-MX" w:eastAsia="es-CO"/>
                <w14:ligatures w14:val="standardContextual"/>
              </w:rPr>
              <w:t>Armenta Celis</w:t>
            </w:r>
          </w:p>
          <w:p w14:paraId="793ABF92" w14:textId="77777777" w:rsidR="00AB49BE" w:rsidRPr="002A19F7" w:rsidRDefault="00AB49BE" w:rsidP="00F14AD4">
            <w:pPr>
              <w:spacing w:after="0" w:line="240" w:lineRule="auto"/>
              <w:textAlignment w:val="baseline"/>
              <w:rPr>
                <w:rFonts w:ascii="Century Gothic" w:hAnsi="Century Gothic" w:cs="Arial"/>
                <w:sz w:val="16"/>
                <w:szCs w:val="16"/>
                <w:lang w:val="es-MX" w:eastAsia="es-CO"/>
                <w14:ligatures w14:val="standardContextual"/>
              </w:rPr>
            </w:pPr>
            <w:r w:rsidRPr="002A19F7">
              <w:rPr>
                <w:rFonts w:ascii="Century Gothic" w:hAnsi="Century Gothic" w:cs="Arial"/>
                <w:sz w:val="16"/>
                <w:szCs w:val="16"/>
                <w:lang w:val="es-MX" w:eastAsia="es-CO"/>
                <w14:ligatures w14:val="standardContextual"/>
              </w:rPr>
              <w:t>Contratista de la Subdirección de Gestión Contractual</w:t>
            </w:r>
          </w:p>
        </w:tc>
      </w:tr>
      <w:tr w:rsidR="00AB49BE" w:rsidRPr="002A19F7" w14:paraId="6ED3BB20" w14:textId="77777777" w:rsidTr="00F14AD4">
        <w:trPr>
          <w:trHeight w:val="300"/>
        </w:trPr>
        <w:tc>
          <w:tcPr>
            <w:tcW w:w="810" w:type="dxa"/>
            <w:tcBorders>
              <w:top w:val="nil"/>
              <w:left w:val="nil"/>
              <w:bottom w:val="nil"/>
              <w:right w:val="nil"/>
            </w:tcBorders>
            <w:vAlign w:val="center"/>
            <w:hideMark/>
          </w:tcPr>
          <w:p w14:paraId="2FF516C2" w14:textId="77777777" w:rsidR="00AB49BE" w:rsidRPr="002A19F7" w:rsidRDefault="00AB49BE" w:rsidP="00F14AD4">
            <w:pPr>
              <w:spacing w:after="0" w:line="240" w:lineRule="auto"/>
              <w:textAlignment w:val="baseline"/>
              <w:rPr>
                <w:rFonts w:ascii="Century Gothic" w:hAnsi="Century Gothic" w:cs="Arial"/>
                <w:sz w:val="16"/>
                <w:szCs w:val="16"/>
                <w:lang w:val="es-MX" w:eastAsia="es-CO"/>
                <w14:ligatures w14:val="standardContextual"/>
              </w:rPr>
            </w:pPr>
            <w:r w:rsidRPr="002A19F7">
              <w:rPr>
                <w:rFonts w:ascii="Century Gothic" w:hAnsi="Century Gothic" w:cs="Arial"/>
                <w:sz w:val="16"/>
                <w:szCs w:val="16"/>
                <w:lang w:val="es-MX" w:eastAsia="es-CO"/>
                <w14:ligatures w14:val="standardContextual"/>
              </w:rPr>
              <w:t>Aprobó: </w:t>
            </w:r>
          </w:p>
        </w:tc>
        <w:tc>
          <w:tcPr>
            <w:tcW w:w="6136" w:type="dxa"/>
            <w:tcBorders>
              <w:top w:val="dotted" w:sz="6" w:space="0" w:color="7F7F7F"/>
              <w:left w:val="nil"/>
              <w:bottom w:val="dotted" w:sz="6" w:space="0" w:color="7F7F7F"/>
              <w:right w:val="nil"/>
            </w:tcBorders>
            <w:vAlign w:val="center"/>
            <w:hideMark/>
          </w:tcPr>
          <w:p w14:paraId="6876CDC4" w14:textId="77777777" w:rsidR="00AB49BE" w:rsidRPr="002A19F7" w:rsidRDefault="00AB49BE" w:rsidP="00F14AD4">
            <w:pPr>
              <w:spacing w:after="0" w:line="240" w:lineRule="auto"/>
              <w:textAlignment w:val="baseline"/>
              <w:rPr>
                <w:rFonts w:ascii="Century Gothic" w:hAnsi="Century Gothic" w:cs="Arial"/>
                <w:sz w:val="16"/>
                <w:szCs w:val="16"/>
                <w:lang w:val="es-ES_tradnl" w:eastAsia="es-CO"/>
                <w14:ligatures w14:val="standardContextual"/>
              </w:rPr>
            </w:pPr>
            <w:r w:rsidRPr="002A19F7">
              <w:rPr>
                <w:rFonts w:ascii="Century Gothic" w:hAnsi="Century Gothic" w:cs="Arial"/>
                <w:sz w:val="16"/>
                <w:szCs w:val="16"/>
                <w:lang w:val="es-ES_tradnl" w:eastAsia="es-CO"/>
                <w14:ligatures w14:val="standardContextual"/>
              </w:rPr>
              <w:t>Nohelia del Carmen Zawady Palacio</w:t>
            </w:r>
          </w:p>
          <w:p w14:paraId="30C0C85F" w14:textId="77777777" w:rsidR="00AB49BE" w:rsidRPr="002A19F7" w:rsidRDefault="00AB49BE" w:rsidP="00F14AD4">
            <w:pPr>
              <w:spacing w:after="0" w:line="240" w:lineRule="auto"/>
              <w:textAlignment w:val="baseline"/>
              <w:rPr>
                <w:rFonts w:ascii="Century Gothic" w:hAnsi="Century Gothic" w:cs="Arial"/>
                <w:sz w:val="16"/>
                <w:szCs w:val="16"/>
                <w:lang w:val="es-MX" w:eastAsia="es-CO"/>
                <w14:ligatures w14:val="standardContextual"/>
              </w:rPr>
            </w:pPr>
            <w:r w:rsidRPr="002A19F7">
              <w:rPr>
                <w:rFonts w:ascii="Century Gothic" w:hAnsi="Century Gothic" w:cs="Arial"/>
                <w:sz w:val="16"/>
                <w:szCs w:val="16"/>
                <w:lang w:val="es-ES_tradnl" w:eastAsia="es-CO"/>
                <w14:ligatures w14:val="standardContextual"/>
              </w:rPr>
              <w:t>Subdirectora de Gestión Contractual ANCP-CCE</w:t>
            </w:r>
          </w:p>
        </w:tc>
      </w:tr>
    </w:tbl>
    <w:p w14:paraId="0F293BF4" w14:textId="7BBFAB11" w:rsidR="00127233" w:rsidRPr="002A19F7" w:rsidRDefault="00127233" w:rsidP="007D2BD1">
      <w:pPr>
        <w:rPr>
          <w:rFonts w:ascii="Century Gothic" w:hAnsi="Century Gothic"/>
          <w:lang w:val="es-MX"/>
        </w:rPr>
      </w:pPr>
    </w:p>
    <w:sectPr w:rsidR="00127233" w:rsidRPr="002A19F7" w:rsidSect="002E4FD9">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B8C0" w14:textId="77777777" w:rsidR="007845D3" w:rsidRDefault="007845D3" w:rsidP="004A1847">
      <w:pPr>
        <w:spacing w:after="0" w:line="240" w:lineRule="auto"/>
      </w:pPr>
      <w:r>
        <w:separator/>
      </w:r>
    </w:p>
  </w:endnote>
  <w:endnote w:type="continuationSeparator" w:id="0">
    <w:p w14:paraId="162749FB" w14:textId="77777777" w:rsidR="007845D3" w:rsidRDefault="007845D3" w:rsidP="004A1847">
      <w:pPr>
        <w:spacing w:after="0" w:line="240" w:lineRule="auto"/>
      </w:pPr>
      <w:r>
        <w:continuationSeparator/>
      </w:r>
    </w:p>
  </w:endnote>
  <w:endnote w:type="continuationNotice" w:id="1">
    <w:p w14:paraId="549C9CF1" w14:textId="77777777" w:rsidR="00F05678" w:rsidRDefault="00F05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A953" w14:textId="77777777" w:rsidR="007845D3" w:rsidRDefault="007845D3" w:rsidP="004A1847">
      <w:pPr>
        <w:spacing w:after="0" w:line="240" w:lineRule="auto"/>
      </w:pPr>
      <w:r>
        <w:separator/>
      </w:r>
    </w:p>
  </w:footnote>
  <w:footnote w:type="continuationSeparator" w:id="0">
    <w:p w14:paraId="15B5AC1F" w14:textId="77777777" w:rsidR="007845D3" w:rsidRDefault="007845D3" w:rsidP="004A1847">
      <w:pPr>
        <w:spacing w:after="0" w:line="240" w:lineRule="auto"/>
      </w:pPr>
      <w:r>
        <w:continuationSeparator/>
      </w:r>
    </w:p>
  </w:footnote>
  <w:footnote w:type="continuationNotice" w:id="1">
    <w:p w14:paraId="077036EF" w14:textId="77777777" w:rsidR="00F05678" w:rsidRDefault="00F05678">
      <w:pPr>
        <w:spacing w:after="0" w:line="240" w:lineRule="auto"/>
      </w:pPr>
    </w:p>
  </w:footnote>
  <w:footnote w:id="2">
    <w:p w14:paraId="01AFD24D" w14:textId="77777777" w:rsidR="00AB49BE" w:rsidRPr="00C57585" w:rsidRDefault="00AB49BE" w:rsidP="00AB49BE">
      <w:pPr>
        <w:pBdr>
          <w:top w:val="nil"/>
          <w:left w:val="nil"/>
          <w:bottom w:val="nil"/>
          <w:right w:val="nil"/>
          <w:between w:val="nil"/>
        </w:pBdr>
        <w:spacing w:after="0" w:line="240" w:lineRule="auto"/>
        <w:ind w:firstLine="709"/>
        <w:jc w:val="both"/>
        <w:rPr>
          <w:rFonts w:ascii="Century Gothic" w:eastAsia="Arial" w:hAnsi="Century Gothic" w:cs="Arial"/>
          <w:sz w:val="18"/>
          <w:szCs w:val="18"/>
        </w:rPr>
      </w:pPr>
      <w:r w:rsidRPr="0048774A">
        <w:rPr>
          <w:rFonts w:ascii="Century Gothic" w:hAnsi="Century Gothic" w:cs="Arial"/>
          <w:sz w:val="19"/>
          <w:szCs w:val="19"/>
          <w:vertAlign w:val="superscript"/>
        </w:rPr>
        <w:footnoteRef/>
      </w:r>
      <w:r w:rsidRPr="0048774A">
        <w:rPr>
          <w:rFonts w:ascii="Century Gothic" w:eastAsia="Arial" w:hAnsi="Century Gothic" w:cs="Arial"/>
          <w:sz w:val="19"/>
          <w:szCs w:val="19"/>
        </w:rPr>
        <w:t xml:space="preserve"> </w:t>
      </w:r>
      <w:r w:rsidRPr="00C57585">
        <w:rPr>
          <w:rFonts w:ascii="Century Gothic" w:eastAsia="Arial" w:hAnsi="Century Gothic" w:cs="Arial"/>
          <w:sz w:val="18"/>
          <w:szCs w:val="18"/>
        </w:rPr>
        <w:t xml:space="preserve">La Agencia Nacional de Contratación Pública </w:t>
      </w:r>
      <w:r w:rsidRPr="00C57585">
        <w:rPr>
          <w:rFonts w:ascii="Arial" w:eastAsia="Arial" w:hAnsi="Arial" w:cs="Arial"/>
          <w:sz w:val="18"/>
          <w:szCs w:val="18"/>
        </w:rPr>
        <w:t>‒</w:t>
      </w:r>
      <w:r w:rsidRPr="00C57585">
        <w:rPr>
          <w:rFonts w:ascii="Century Gothic" w:eastAsia="Arial" w:hAnsi="Century Gothic" w:cs="Arial"/>
          <w:sz w:val="18"/>
          <w:szCs w:val="18"/>
        </w:rPr>
        <w:t xml:space="preserve"> Colombia Compra Eficiente fue creada por el Decreto Ley 4170 de 2011. Su objetivo es servir como ente rector de la pol</w:t>
      </w:r>
      <w:r w:rsidRPr="00C57585">
        <w:rPr>
          <w:rFonts w:ascii="Century Gothic" w:eastAsia="Arial" w:hAnsi="Century Gothic" w:cs="Century Gothic"/>
          <w:sz w:val="18"/>
          <w:szCs w:val="18"/>
        </w:rPr>
        <w:t>í</w:t>
      </w:r>
      <w:r w:rsidRPr="00C57585">
        <w:rPr>
          <w:rFonts w:ascii="Century Gothic" w:eastAsia="Arial" w:hAnsi="Century Gothic" w:cs="Arial"/>
          <w:sz w:val="18"/>
          <w:szCs w:val="18"/>
        </w:rPr>
        <w:t>tica de compras y contrataci</w:t>
      </w:r>
      <w:r w:rsidRPr="00C57585">
        <w:rPr>
          <w:rFonts w:ascii="Century Gothic" w:eastAsia="Arial" w:hAnsi="Century Gothic" w:cs="Century Gothic"/>
          <w:sz w:val="18"/>
          <w:szCs w:val="18"/>
        </w:rPr>
        <w:t>ó</w:t>
      </w:r>
      <w:r w:rsidRPr="00C57585">
        <w:rPr>
          <w:rFonts w:ascii="Century Gothic" w:eastAsia="Arial" w:hAnsi="Century Gothic" w:cs="Arial"/>
          <w:sz w:val="18"/>
          <w:szCs w:val="18"/>
        </w:rPr>
        <w:t xml:space="preserve">n del Estado. Para tales fines, como </w:t>
      </w:r>
      <w:r w:rsidRPr="00C57585">
        <w:rPr>
          <w:rFonts w:ascii="Century Gothic" w:eastAsia="Arial" w:hAnsi="Century Gothic" w:cs="Century Gothic"/>
          <w:sz w:val="18"/>
          <w:szCs w:val="18"/>
        </w:rPr>
        <w:t>ó</w:t>
      </w:r>
      <w:r w:rsidRPr="00C57585">
        <w:rPr>
          <w:rFonts w:ascii="Century Gothic" w:eastAsia="Arial" w:hAnsi="Century Gothic" w:cs="Arial"/>
          <w:sz w:val="18"/>
          <w:szCs w:val="18"/>
        </w:rPr>
        <w:t>rgano t</w:t>
      </w:r>
      <w:r w:rsidRPr="00C57585">
        <w:rPr>
          <w:rFonts w:ascii="Century Gothic" w:eastAsia="Arial" w:hAnsi="Century Gothic" w:cs="Century Gothic"/>
          <w:sz w:val="18"/>
          <w:szCs w:val="18"/>
        </w:rPr>
        <w:t>é</w:t>
      </w:r>
      <w:r w:rsidRPr="00C57585">
        <w:rPr>
          <w:rFonts w:ascii="Century Gothic" w:eastAsia="Arial" w:hAnsi="Century Gothic" w:cs="Arial"/>
          <w:sz w:val="18"/>
          <w:szCs w:val="18"/>
        </w:rPr>
        <w:t>cnico especializado, le corresponde formular pol</w:t>
      </w:r>
      <w:r w:rsidRPr="00C57585">
        <w:rPr>
          <w:rFonts w:ascii="Century Gothic" w:eastAsia="Arial" w:hAnsi="Century Gothic" w:cs="Century Gothic"/>
          <w:sz w:val="18"/>
          <w:szCs w:val="18"/>
        </w:rPr>
        <w:t>í</w:t>
      </w:r>
      <w:r w:rsidRPr="00C57585">
        <w:rPr>
          <w:rFonts w:ascii="Century Gothic" w:eastAsia="Arial" w:hAnsi="Century Gothic" w:cs="Arial"/>
          <w:sz w:val="18"/>
          <w:szCs w:val="18"/>
        </w:rPr>
        <w:t>ticas p</w:t>
      </w:r>
      <w:r w:rsidRPr="00C57585">
        <w:rPr>
          <w:rFonts w:ascii="Century Gothic" w:eastAsia="Arial" w:hAnsi="Century Gothic" w:cs="Century Gothic"/>
          <w:sz w:val="18"/>
          <w:szCs w:val="18"/>
        </w:rPr>
        <w:t>ú</w:t>
      </w:r>
      <w:r w:rsidRPr="00C57585">
        <w:rPr>
          <w:rFonts w:ascii="Century Gothic" w:eastAsia="Arial" w:hAnsi="Century Gothic" w:cs="Arial"/>
          <w:sz w:val="18"/>
          <w:szCs w:val="18"/>
        </w:rPr>
        <w:t>blicas y normas y unificar los procesos de contrataci</w:t>
      </w:r>
      <w:r w:rsidRPr="00C57585">
        <w:rPr>
          <w:rFonts w:ascii="Century Gothic" w:eastAsia="Arial" w:hAnsi="Century Gothic" w:cs="Century Gothic"/>
          <w:sz w:val="18"/>
          <w:szCs w:val="18"/>
        </w:rPr>
        <w:t>ó</w:t>
      </w:r>
      <w:r w:rsidRPr="00C57585">
        <w:rPr>
          <w:rFonts w:ascii="Century Gothic" w:eastAsia="Arial" w:hAnsi="Century Gothic" w:cs="Arial"/>
          <w:sz w:val="18"/>
          <w:szCs w:val="18"/>
        </w:rPr>
        <w:t>n estatal, con el fin de lograr una mayor eficiencia, transparencia y optimizaci</w:t>
      </w:r>
      <w:r w:rsidRPr="00C57585">
        <w:rPr>
          <w:rFonts w:ascii="Century Gothic" w:eastAsia="Arial" w:hAnsi="Century Gothic" w:cs="Century Gothic"/>
          <w:sz w:val="18"/>
          <w:szCs w:val="18"/>
        </w:rPr>
        <w:t>ó</w:t>
      </w:r>
      <w:r w:rsidRPr="00C57585">
        <w:rPr>
          <w:rFonts w:ascii="Century Gothic" w:eastAsia="Arial" w:hAnsi="Century Gothic" w:cs="Arial"/>
          <w:sz w:val="18"/>
          <w:szCs w:val="18"/>
        </w:rPr>
        <w:t>n de los recursos del Estado. El art</w:t>
      </w:r>
      <w:r w:rsidRPr="00C57585">
        <w:rPr>
          <w:rFonts w:ascii="Century Gothic" w:eastAsia="Arial" w:hAnsi="Century Gothic" w:cs="Century Gothic"/>
          <w:sz w:val="18"/>
          <w:szCs w:val="18"/>
        </w:rPr>
        <w:t>í</w:t>
      </w:r>
      <w:r w:rsidRPr="00C57585">
        <w:rPr>
          <w:rFonts w:ascii="Century Gothic" w:eastAsia="Arial" w:hAnsi="Century Gothic" w:cs="Arial"/>
          <w:sz w:val="18"/>
          <w:szCs w:val="18"/>
        </w:rPr>
        <w:t xml:space="preserve">culo 3 </w:t>
      </w:r>
      <w:proofErr w:type="spellStart"/>
      <w:r w:rsidRPr="00C57585">
        <w:rPr>
          <w:rFonts w:ascii="Century Gothic" w:eastAsia="Arial" w:hAnsi="Century Gothic" w:cs="Arial"/>
          <w:i/>
          <w:sz w:val="18"/>
          <w:szCs w:val="18"/>
        </w:rPr>
        <w:t>ibídem</w:t>
      </w:r>
      <w:proofErr w:type="spellEnd"/>
      <w:r w:rsidRPr="00C57585">
        <w:rPr>
          <w:rFonts w:ascii="Century Gothic" w:eastAsia="Arial" w:hAnsi="Century Gothic" w:cs="Arial"/>
          <w:i/>
          <w:sz w:val="18"/>
          <w:szCs w:val="18"/>
        </w:rPr>
        <w:t xml:space="preserve"> </w:t>
      </w:r>
      <w:r w:rsidRPr="00C57585">
        <w:rPr>
          <w:rFonts w:ascii="Century Gothic" w:eastAsia="Arial"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12390D0" w14:textId="77777777" w:rsidR="00AB49BE" w:rsidRPr="0048774A" w:rsidRDefault="00AB49BE" w:rsidP="00AB49BE">
      <w:pPr>
        <w:pBdr>
          <w:top w:val="nil"/>
          <w:left w:val="nil"/>
          <w:bottom w:val="nil"/>
          <w:right w:val="nil"/>
          <w:between w:val="nil"/>
        </w:pBdr>
        <w:spacing w:after="0" w:line="240" w:lineRule="auto"/>
        <w:ind w:firstLine="709"/>
        <w:jc w:val="both"/>
        <w:rPr>
          <w:rFonts w:ascii="Century Gothic" w:eastAsia="Arial" w:hAnsi="Century Gothic" w:cs="Arial"/>
          <w:sz w:val="19"/>
          <w:szCs w:val="19"/>
        </w:rPr>
      </w:pPr>
    </w:p>
  </w:footnote>
  <w:footnote w:id="3">
    <w:p w14:paraId="5C776849" w14:textId="77777777" w:rsidR="00AB49BE" w:rsidRPr="0048774A" w:rsidRDefault="00AB49BE" w:rsidP="00AB49BE">
      <w:pPr>
        <w:pStyle w:val="Textonotapie"/>
        <w:ind w:firstLine="708"/>
        <w:contextualSpacing/>
        <w:jc w:val="both"/>
        <w:rPr>
          <w:rStyle w:val="Hipervnculo"/>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48774A">
          <w:rPr>
            <w:rStyle w:val="Hipervnculo"/>
            <w:rFonts w:ascii="Century Gothic" w:hAnsi="Century Gothic" w:cs="Arial"/>
            <w:sz w:val="18"/>
            <w:szCs w:val="18"/>
          </w:rPr>
          <w:t>https://relatoria.colombiacompra.gov.co/busqueda/conceptos</w:t>
        </w:r>
      </w:hyperlink>
      <w:r w:rsidRPr="0048774A">
        <w:rPr>
          <w:rStyle w:val="Hipervnculo"/>
          <w:rFonts w:ascii="Century Gothic" w:hAnsi="Century Gothic" w:cs="Arial"/>
          <w:sz w:val="18"/>
          <w:szCs w:val="18"/>
        </w:rPr>
        <w:t xml:space="preserve"> </w:t>
      </w:r>
    </w:p>
    <w:p w14:paraId="6BE89880" w14:textId="77777777" w:rsidR="00AB49BE" w:rsidRPr="0048774A" w:rsidRDefault="00AB49BE" w:rsidP="00AB49BE">
      <w:pPr>
        <w:pStyle w:val="Textonotapie"/>
        <w:ind w:firstLine="708"/>
        <w:contextualSpacing/>
        <w:jc w:val="both"/>
        <w:rPr>
          <w:rFonts w:ascii="Century Gothic" w:hAnsi="Century Gothic" w:cs="Arial"/>
          <w:sz w:val="18"/>
          <w:szCs w:val="18"/>
        </w:rPr>
      </w:pPr>
    </w:p>
  </w:footnote>
  <w:footnote w:id="4">
    <w:p w14:paraId="552F5A7D" w14:textId="77777777" w:rsidR="00AB49BE" w:rsidRPr="0048774A" w:rsidRDefault="00AB49BE" w:rsidP="00AB49BE">
      <w:pPr>
        <w:pStyle w:val="Textonotapie"/>
        <w:ind w:firstLine="709"/>
        <w:jc w:val="both"/>
        <w:rPr>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hAnsi="Century Gothic" w:cs="Arial"/>
          <w:color w:val="000000" w:themeColor="text1"/>
          <w:sz w:val="18"/>
          <w:szCs w:val="18"/>
        </w:rPr>
        <w:t>“</w:t>
      </w:r>
      <w:r w:rsidRPr="0048774A">
        <w:rPr>
          <w:rFonts w:ascii="Century Gothic" w:hAnsi="Century Gothic" w:cs="Arial"/>
          <w:sz w:val="18"/>
          <w:szCs w:val="18"/>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Pr="0048774A">
        <w:rPr>
          <w:rFonts w:ascii="Century Gothic" w:hAnsi="Century Gothic" w:cs="Arial"/>
          <w:color w:val="000000" w:themeColor="text1"/>
          <w:sz w:val="18"/>
          <w:szCs w:val="18"/>
        </w:rPr>
        <w:t>”.</w:t>
      </w:r>
      <w:r w:rsidRPr="0048774A">
        <w:rPr>
          <w:rFonts w:ascii="Century Gothic" w:hAnsi="Century Gothic" w:cs="Arial"/>
          <w:sz w:val="18"/>
          <w:szCs w:val="18"/>
        </w:rPr>
        <w:t xml:space="preserve"> Citado en CONSEJO DE ESTADO. Sala de lo Contencioso Administrativo. Sección Tercera – Subsección A. Sentencia del 16 de mayo de 2019. Rad. (40102). C.P: María Adriana Marín [cita No. 35]. </w:t>
      </w:r>
    </w:p>
    <w:p w14:paraId="14AF4E25" w14:textId="77777777" w:rsidR="00AB49BE" w:rsidRPr="0048774A" w:rsidRDefault="00AB49BE" w:rsidP="00AB49BE">
      <w:pPr>
        <w:pStyle w:val="Textonotapie"/>
        <w:ind w:firstLine="709"/>
        <w:jc w:val="both"/>
        <w:rPr>
          <w:rFonts w:ascii="Century Gothic" w:hAnsi="Century Gothic" w:cs="Arial"/>
          <w:sz w:val="18"/>
          <w:szCs w:val="18"/>
        </w:rPr>
      </w:pPr>
    </w:p>
  </w:footnote>
  <w:footnote w:id="5">
    <w:p w14:paraId="2455A807" w14:textId="77777777" w:rsidR="00AB49BE" w:rsidRPr="0048774A" w:rsidRDefault="00AB49BE" w:rsidP="00AB49BE">
      <w:pPr>
        <w:pStyle w:val="Textonotapie"/>
        <w:ind w:firstLine="709"/>
        <w:jc w:val="both"/>
        <w:rPr>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CONSEJO DE ESTADO. Sala de lo Contencioso Administrativo. Sección Tercera – Subsección A. Sentencia del 16 de mayo de 2019. Rad. (40102). C.P: María Adriana Marín</w:t>
      </w:r>
    </w:p>
    <w:p w14:paraId="051BCC12" w14:textId="77777777" w:rsidR="00AB49BE" w:rsidRPr="0048774A" w:rsidRDefault="00AB49BE" w:rsidP="00AB49BE">
      <w:pPr>
        <w:pStyle w:val="Textonotapie"/>
        <w:ind w:firstLine="709"/>
        <w:jc w:val="both"/>
        <w:rPr>
          <w:rFonts w:ascii="Century Gothic" w:hAnsi="Century Gothic" w:cs="Arial"/>
          <w:sz w:val="18"/>
          <w:szCs w:val="18"/>
        </w:rPr>
      </w:pPr>
    </w:p>
  </w:footnote>
  <w:footnote w:id="6">
    <w:p w14:paraId="16707282" w14:textId="77777777" w:rsidR="00AB49BE" w:rsidRPr="0048774A" w:rsidRDefault="00AB49BE" w:rsidP="00AB49BE">
      <w:pPr>
        <w:pStyle w:val="Textonotapie"/>
        <w:ind w:firstLine="709"/>
        <w:jc w:val="both"/>
        <w:rPr>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CONSEJO DE ESTADO. Sala de lo Contencioso Administrativo. Sección Tercera – Subsección C. Sentencia del 2 de octubre del 2020. Rad. 63644. CP. Jaime Enrique Rodríguez Nava. </w:t>
      </w:r>
    </w:p>
    <w:p w14:paraId="72E59FE5" w14:textId="77777777" w:rsidR="00AB49BE" w:rsidRPr="0048774A" w:rsidRDefault="00AB49BE" w:rsidP="00AB49BE">
      <w:pPr>
        <w:pStyle w:val="Textonotapie"/>
        <w:ind w:firstLine="709"/>
        <w:jc w:val="both"/>
        <w:rPr>
          <w:rFonts w:ascii="Century Gothic" w:hAnsi="Century Gothic" w:cs="Arial"/>
          <w:sz w:val="18"/>
          <w:szCs w:val="18"/>
          <w:lang w:val="es-CO"/>
        </w:rPr>
      </w:pPr>
    </w:p>
  </w:footnote>
  <w:footnote w:id="7">
    <w:p w14:paraId="6E33F6A5" w14:textId="77777777" w:rsidR="00AB49BE" w:rsidRPr="0048774A" w:rsidRDefault="00AB49BE" w:rsidP="00AB49BE">
      <w:pPr>
        <w:pStyle w:val="Textonotapie"/>
        <w:ind w:firstLine="709"/>
        <w:jc w:val="both"/>
        <w:rPr>
          <w:rFonts w:ascii="Century Gothic" w:hAnsi="Century Gothic" w:cs="Arial"/>
          <w:color w:val="000000" w:themeColor="text1"/>
          <w:sz w:val="18"/>
          <w:szCs w:val="18"/>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w:t>
      </w:r>
      <w:r w:rsidRPr="0048774A">
        <w:rPr>
          <w:rFonts w:ascii="Century Gothic" w:hAnsi="Century Gothic" w:cs="Arial"/>
          <w:color w:val="000000" w:themeColor="text1"/>
          <w:sz w:val="18"/>
          <w:szCs w:val="18"/>
        </w:rPr>
        <w:t xml:space="preserve">CONSEJO DE ESTADO. Sección Tercera. Sentencia de 22 de junio de 2001. </w:t>
      </w:r>
      <w:proofErr w:type="spellStart"/>
      <w:r w:rsidRPr="0048774A">
        <w:rPr>
          <w:rFonts w:ascii="Century Gothic" w:hAnsi="Century Gothic" w:cs="Arial"/>
          <w:color w:val="000000" w:themeColor="text1"/>
          <w:sz w:val="18"/>
          <w:szCs w:val="18"/>
        </w:rPr>
        <w:t>Exp</w:t>
      </w:r>
      <w:proofErr w:type="spellEnd"/>
      <w:r w:rsidRPr="0048774A">
        <w:rPr>
          <w:rFonts w:ascii="Century Gothic" w:hAnsi="Century Gothic" w:cs="Arial"/>
          <w:color w:val="000000" w:themeColor="text1"/>
          <w:sz w:val="18"/>
          <w:szCs w:val="18"/>
        </w:rPr>
        <w:t>. 13436, C.P. Ricardo Hoyos Duque</w:t>
      </w:r>
    </w:p>
    <w:p w14:paraId="5A8A0BDB" w14:textId="77777777" w:rsidR="00AB49BE" w:rsidRPr="0048774A" w:rsidRDefault="00AB49BE" w:rsidP="00AB49BE">
      <w:pPr>
        <w:pStyle w:val="Textonotapie"/>
        <w:ind w:firstLine="709"/>
        <w:jc w:val="both"/>
        <w:rPr>
          <w:rFonts w:ascii="Century Gothic" w:hAnsi="Century Gothic" w:cs="Arial"/>
          <w:sz w:val="18"/>
          <w:szCs w:val="18"/>
        </w:rPr>
      </w:pPr>
    </w:p>
  </w:footnote>
  <w:footnote w:id="8">
    <w:p w14:paraId="7CF5AA65" w14:textId="77777777" w:rsidR="00AB49BE" w:rsidRPr="0048774A" w:rsidRDefault="00AB49BE" w:rsidP="00AB49BE">
      <w:pPr>
        <w:pStyle w:val="Textonotapie"/>
        <w:ind w:firstLine="709"/>
        <w:jc w:val="both"/>
        <w:rPr>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Pr="0048774A">
        <w:rPr>
          <w:rFonts w:ascii="Century Gothic" w:eastAsia="Calibri" w:hAnsi="Century Gothic" w:cs="Arial"/>
          <w:color w:val="000000" w:themeColor="text1"/>
          <w:sz w:val="18"/>
          <w:szCs w:val="18"/>
        </w:rPr>
        <w:t>” (</w:t>
      </w:r>
      <w:r w:rsidRPr="0048774A">
        <w:rPr>
          <w:rFonts w:ascii="Century Gothic" w:hAnsi="Century Gothic" w:cs="Arial"/>
          <w:sz w:val="18"/>
          <w:szCs w:val="18"/>
        </w:rPr>
        <w:t>EXPÓSITO VÉLEZ, Juan Carlos. Forma y contenido del contrato estatal. Bogotá: Universidad Externado de Colombia, 2013, p. 165-166). De igual manera, se ha expuesto que “Son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Pr="0048774A">
        <w:rPr>
          <w:rFonts w:ascii="Century Gothic" w:eastAsia="Calibri" w:hAnsi="Century Gothic" w:cs="Arial"/>
          <w:color w:val="000000" w:themeColor="text1"/>
          <w:sz w:val="18"/>
          <w:szCs w:val="18"/>
        </w:rPr>
        <w:t>”</w:t>
      </w:r>
      <w:r w:rsidRPr="0048774A">
        <w:rPr>
          <w:rFonts w:ascii="Century Gothic" w:hAnsi="Century Gothic" w:cs="Arial"/>
          <w:sz w:val="18"/>
          <w:szCs w:val="18"/>
        </w:rPr>
        <w:t xml:space="preserve"> (MATALLANA CAMACHO, Ernesto. Manual de Contratación de la Administración Pública. Reforma de la Ley 80 de 1993. Bogotá: Universidad Externado de Colombia, 4 ed., 2015, p. 921 y </w:t>
      </w:r>
      <w:proofErr w:type="spellStart"/>
      <w:r w:rsidRPr="0048774A">
        <w:rPr>
          <w:rFonts w:ascii="Century Gothic" w:hAnsi="Century Gothic" w:cs="Arial"/>
          <w:sz w:val="18"/>
          <w:szCs w:val="18"/>
        </w:rPr>
        <w:t>ss</w:t>
      </w:r>
      <w:proofErr w:type="spellEnd"/>
      <w:r w:rsidRPr="0048774A">
        <w:rPr>
          <w:rFonts w:ascii="Century Gothic" w:hAnsi="Century Gothic" w:cs="Arial"/>
          <w:sz w:val="18"/>
          <w:szCs w:val="18"/>
        </w:rPr>
        <w:t>).</w:t>
      </w:r>
    </w:p>
    <w:p w14:paraId="7796DCB9" w14:textId="77777777" w:rsidR="00AB49BE" w:rsidRPr="0048774A" w:rsidRDefault="00AB49BE" w:rsidP="00AB49BE">
      <w:pPr>
        <w:pStyle w:val="Textonotapie"/>
        <w:ind w:firstLine="709"/>
        <w:jc w:val="both"/>
        <w:rPr>
          <w:rFonts w:ascii="Century Gothic" w:hAnsi="Century Gothic" w:cs="Arial"/>
          <w:sz w:val="18"/>
          <w:szCs w:val="18"/>
        </w:rPr>
      </w:pPr>
    </w:p>
  </w:footnote>
  <w:footnote w:id="9">
    <w:p w14:paraId="719EA51B" w14:textId="77777777" w:rsidR="00AB49BE" w:rsidRPr="0048774A" w:rsidRDefault="00AB49BE" w:rsidP="00AB49BE">
      <w:pPr>
        <w:spacing w:after="0" w:line="240" w:lineRule="auto"/>
        <w:ind w:firstLine="709"/>
        <w:jc w:val="both"/>
        <w:rPr>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CONSEJO DE ESTADO. Sala Plena de lo Contencioso Administrativo. Sentencia del 8 de agosto de 2001. </w:t>
      </w:r>
      <w:proofErr w:type="spellStart"/>
      <w:r w:rsidRPr="0048774A">
        <w:rPr>
          <w:rFonts w:ascii="Century Gothic" w:hAnsi="Century Gothic" w:cs="Arial"/>
          <w:sz w:val="18"/>
          <w:szCs w:val="18"/>
        </w:rPr>
        <w:t>Exp</w:t>
      </w:r>
      <w:proofErr w:type="spellEnd"/>
      <w:r w:rsidRPr="0048774A">
        <w:rPr>
          <w:rFonts w:ascii="Century Gothic" w:hAnsi="Century Gothic" w:cs="Arial"/>
          <w:sz w:val="18"/>
          <w:szCs w:val="18"/>
        </w:rPr>
        <w:t>. AC-10966 - AC-11274. Consejero Ponente: Reinaldo Chavarro Buriticá.</w:t>
      </w:r>
    </w:p>
  </w:footnote>
  <w:footnote w:id="10">
    <w:p w14:paraId="6E30FF68" w14:textId="77777777" w:rsidR="00AB49BE" w:rsidRPr="0048774A" w:rsidRDefault="00AB49BE" w:rsidP="00AB49BE">
      <w:pPr>
        <w:pStyle w:val="Sinespaciado"/>
        <w:ind w:firstLine="708"/>
        <w:jc w:val="both"/>
        <w:rPr>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ARTÍCULO 2.2.1.2.3.1.7. Garantía de cumplimiento. La garantía de cumplimiento del contrato debe cubrir:</w:t>
      </w:r>
    </w:p>
    <w:p w14:paraId="68C329B2"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222387AE"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2. Devolución del pago anticipado. Este amparo cubre los perjuicios sufridos por la Entidad Estatal por la no devolución total o parcial del dinero entregado al contratista a título de pago anticipado, cuando a ello hubiere lugar.</w:t>
      </w:r>
    </w:p>
    <w:p w14:paraId="4818D4E9"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3. Cumplimiento del contrato. Este amparo cubre a la Entidad Estatal de los perjuicios derivados de:</w:t>
      </w:r>
    </w:p>
    <w:p w14:paraId="7BACB90C"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3.1. El incumplimiento total o parcial del contrato, cuando el incumplimiento es imputable al contratista;</w:t>
      </w:r>
    </w:p>
    <w:p w14:paraId="2C43E95D"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3.2. El cumplimiento tardío o defectuoso del contrato, cuando el incumplimiento es imputable al contratista;</w:t>
      </w:r>
    </w:p>
    <w:p w14:paraId="445C4CC2"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3.3. Los daños imputables al contratista por entregas parciales de la obra, cuando el contrato no prevé entregas parciales; y</w:t>
      </w:r>
    </w:p>
    <w:p w14:paraId="23F97C41"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3.4. El pago del valor de las multas y de la cláusula penal pecuniaria.</w:t>
      </w:r>
    </w:p>
    <w:p w14:paraId="352091EC"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3D8AC913"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La Entidad Estatal no debe exigir una garantía para cubrir este Riesgo en los contratos que se ejecuten fuera del territorio nacional con personal contratado bajo un régimen jurídico distinto al colombiano.</w:t>
      </w:r>
    </w:p>
    <w:p w14:paraId="1050BC8A"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5. Estabilidad y calidad de la obra. Este amparo cubre a la Entidad Estatal de los perjuicios ocasionados por cualquier tipo de daño o deterioro, imputable al contratista, sufrido por la obra entregada a satisfacción.</w:t>
      </w:r>
    </w:p>
    <w:p w14:paraId="045DBD6C"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6. Calidad del servicio. Este amparo cubre a la Entidad Estatal por los perjuicios derivados de la deficiente calidad del servicio prestado.</w:t>
      </w:r>
    </w:p>
    <w:p w14:paraId="1B38900F" w14:textId="77777777" w:rsidR="00AB49BE" w:rsidRPr="0048774A" w:rsidRDefault="00AB49BE" w:rsidP="00AB49BE">
      <w:pPr>
        <w:pStyle w:val="Sinespaciado"/>
        <w:ind w:firstLine="708"/>
        <w:jc w:val="both"/>
        <w:rPr>
          <w:rFonts w:ascii="Century Gothic" w:hAnsi="Century Gothic" w:cs="Arial"/>
          <w:sz w:val="18"/>
          <w:szCs w:val="18"/>
        </w:rPr>
      </w:pPr>
      <w:r w:rsidRPr="0048774A">
        <w:rPr>
          <w:rFonts w:ascii="Century Gothic" w:hAnsi="Century Gothic" w:cs="Arial"/>
          <w:sz w:val="18"/>
          <w:szCs w:val="18"/>
        </w:rPr>
        <w:t>7. Calidad y correcto funcionamiento de los bienes. Este amparo debe cubrir la calidad y el correcto funcionamiento de los bienes que recibe la Entidad Estatal en cumplimiento de un contrato.</w:t>
      </w:r>
    </w:p>
    <w:p w14:paraId="3B1D9A6E" w14:textId="5DCDEE7B" w:rsidR="00AB49BE" w:rsidRPr="0048774A" w:rsidRDefault="00AB49BE" w:rsidP="00AB49BE">
      <w:pPr>
        <w:pStyle w:val="Sinespaciado"/>
        <w:ind w:firstLine="708"/>
        <w:jc w:val="both"/>
        <w:rPr>
          <w:rFonts w:ascii="Century Gothic" w:hAnsi="Century Gothic" w:cs="Arial"/>
          <w:sz w:val="18"/>
          <w:szCs w:val="18"/>
          <w:lang w:val="es-CO"/>
        </w:rPr>
      </w:pPr>
      <w:r w:rsidRPr="0048774A">
        <w:rPr>
          <w:rFonts w:ascii="Century Gothic" w:eastAsia="Calibri" w:hAnsi="Century Gothic" w:cs="Arial"/>
          <w:sz w:val="18"/>
          <w:szCs w:val="18"/>
          <w:lang w:val="es-ES"/>
        </w:rPr>
        <w:t>“</w:t>
      </w:r>
      <w:r w:rsidRPr="0048774A">
        <w:rPr>
          <w:rFonts w:ascii="Century Gothic" w:hAnsi="Century Gothic" w:cs="Arial"/>
          <w:sz w:val="18"/>
          <w:szCs w:val="18"/>
        </w:rPr>
        <w:t>8. Los demás incumplimientos de obligaciones que la Entidad Estatal considere deben ser amparados de manera proporcional y acorde a la naturaleza del contrato.</w:t>
      </w:r>
    </w:p>
  </w:footnote>
  <w:footnote w:id="11">
    <w:p w14:paraId="79BA51E9" w14:textId="77777777" w:rsidR="00AB49BE" w:rsidRPr="0048774A" w:rsidRDefault="00AB49BE" w:rsidP="00AB49BE">
      <w:pPr>
        <w:pStyle w:val="NormalWeb"/>
        <w:shd w:val="clear" w:color="auto" w:fill="FFFFFF"/>
        <w:spacing w:after="0"/>
        <w:ind w:firstLine="709"/>
        <w:jc w:val="both"/>
        <w:rPr>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eastAsia="Calibri" w:hAnsi="Century Gothic" w:cs="Arial"/>
          <w:sz w:val="18"/>
          <w:szCs w:val="18"/>
        </w:rPr>
        <w:t>“</w:t>
      </w:r>
      <w:r w:rsidRPr="0048774A">
        <w:rPr>
          <w:rFonts w:ascii="Century Gothic" w:hAnsi="Century Gothic" w:cs="Arial"/>
          <w:sz w:val="18"/>
          <w:szCs w:val="18"/>
        </w:rPr>
        <w:t>Artículo 2.2.1.1.2.4.1.</w:t>
      </w:r>
      <w:r w:rsidRPr="0048774A">
        <w:rPr>
          <w:rFonts w:ascii="Century Gothic" w:hAnsi="Century Gothic" w:cs="Arial"/>
          <w:i/>
          <w:sz w:val="18"/>
          <w:szCs w:val="18"/>
        </w:rPr>
        <w:t> </w:t>
      </w:r>
      <w:r w:rsidRPr="0048774A">
        <w:rPr>
          <w:rFonts w:ascii="Century Gothic" w:hAnsi="Century Gothic" w:cs="Arial"/>
          <w:sz w:val="18"/>
          <w:szCs w:val="18"/>
        </w:rPr>
        <w:t>Patrimonio autónomo para el manejo de anticipos.</w:t>
      </w:r>
      <w:r w:rsidRPr="0048774A">
        <w:rPr>
          <w:rFonts w:ascii="Century Gothic" w:hAnsi="Century Gothic" w:cs="Arial"/>
          <w:i/>
          <w:sz w:val="18"/>
          <w:szCs w:val="18"/>
        </w:rPr>
        <w:t> </w:t>
      </w:r>
      <w:r w:rsidRPr="0048774A">
        <w:rPr>
          <w:rFonts w:ascii="Century Gothic" w:hAnsi="Century Gothic" w:cs="Arial"/>
          <w:sz w:val="18"/>
          <w:szCs w:val="18"/>
        </w:rPr>
        <w:t>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w:t>
      </w:r>
    </w:p>
    <w:p w14:paraId="7BE563AF" w14:textId="77777777" w:rsidR="00AB49BE" w:rsidRPr="0048774A" w:rsidRDefault="00AB49BE" w:rsidP="00AB49BE">
      <w:pPr>
        <w:pStyle w:val="NormalWeb"/>
        <w:shd w:val="clear" w:color="auto" w:fill="FFFFFF"/>
        <w:spacing w:after="0"/>
        <w:ind w:firstLine="709"/>
        <w:jc w:val="both"/>
        <w:rPr>
          <w:rFonts w:ascii="Century Gothic" w:hAnsi="Century Gothic" w:cs="Arial"/>
          <w:sz w:val="18"/>
          <w:szCs w:val="18"/>
        </w:rPr>
      </w:pPr>
      <w:r w:rsidRPr="0048774A">
        <w:rPr>
          <w:rFonts w:ascii="Century Gothic" w:hAnsi="Century Gothic" w:cs="Arial"/>
          <w:sz w:val="18"/>
          <w:szCs w:val="18"/>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fiducia mercantil.</w:t>
      </w:r>
    </w:p>
    <w:p w14:paraId="2A2E1D26" w14:textId="77777777" w:rsidR="00AB49BE" w:rsidRPr="0048774A" w:rsidRDefault="00AB49BE" w:rsidP="00AB49BE">
      <w:pPr>
        <w:pStyle w:val="NormalWeb"/>
        <w:shd w:val="clear" w:color="auto" w:fill="FFFFFF"/>
        <w:spacing w:after="0"/>
        <w:ind w:firstLine="709"/>
        <w:jc w:val="both"/>
        <w:rPr>
          <w:rFonts w:ascii="Century Gothic" w:hAnsi="Century Gothic" w:cs="Arial"/>
          <w:sz w:val="18"/>
          <w:szCs w:val="18"/>
        </w:rPr>
      </w:pPr>
      <w:r w:rsidRPr="0048774A">
        <w:rPr>
          <w:rFonts w:ascii="Century Gothic" w:hAnsi="Century Gothic" w:cs="Arial"/>
          <w:sz w:val="18"/>
          <w:szCs w:val="18"/>
        </w:rPr>
        <w:t>En los pliegos de condiciones, la Entidad Estatal debe establecer los términos y condiciones de la administración del anticipo a través del patrimonio autónomo.</w:t>
      </w:r>
    </w:p>
    <w:p w14:paraId="4620F5EC" w14:textId="77777777" w:rsidR="00AB49BE" w:rsidRPr="0048774A" w:rsidRDefault="00AB49BE" w:rsidP="00AB49BE">
      <w:pPr>
        <w:pStyle w:val="NormalWeb"/>
        <w:shd w:val="clear" w:color="auto" w:fill="FFFFFF"/>
        <w:spacing w:after="0"/>
        <w:ind w:firstLine="709"/>
        <w:jc w:val="both"/>
        <w:rPr>
          <w:rFonts w:ascii="Century Gothic" w:hAnsi="Century Gothic" w:cs="Arial"/>
          <w:sz w:val="18"/>
          <w:szCs w:val="18"/>
        </w:rPr>
      </w:pPr>
      <w:r w:rsidRPr="0048774A">
        <w:rPr>
          <w:rFonts w:ascii="Century Gothic" w:hAnsi="Century Gothic" w:cs="Arial"/>
          <w:sz w:val="18"/>
          <w:szCs w:val="18"/>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sidRPr="0048774A">
        <w:rPr>
          <w:rFonts w:ascii="Century Gothic" w:eastAsia="Calibri" w:hAnsi="Century Gothic" w:cs="Arial"/>
          <w:sz w:val="18"/>
          <w:szCs w:val="18"/>
        </w:rPr>
        <w:t>”.</w:t>
      </w:r>
    </w:p>
  </w:footnote>
  <w:footnote w:id="12">
    <w:p w14:paraId="798744A2" w14:textId="77777777" w:rsidR="00AB49BE" w:rsidRPr="0048774A" w:rsidRDefault="00AB49BE" w:rsidP="00AB49BE">
      <w:pPr>
        <w:pStyle w:val="Textonotapie"/>
        <w:ind w:firstLine="709"/>
        <w:jc w:val="both"/>
        <w:rPr>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Sobre el particular, se puede consultar la exposición de motivos de la Ley 1474 de 2011, Gaceta 607 del 2010, disponible en:  </w:t>
      </w:r>
      <w:hyperlink r:id="rId2" w:history="1">
        <w:r w:rsidRPr="0048774A">
          <w:rPr>
            <w:rStyle w:val="Hipervnculo"/>
            <w:rFonts w:ascii="Century Gothic" w:hAnsi="Century Gothic" w:cs="Arial"/>
            <w:sz w:val="18"/>
            <w:szCs w:val="18"/>
          </w:rPr>
          <w:t>http://svrpubindc.imprenta.gov.co/senado/index.xhtml;jsessionid=b3ba7213a248bacd37376ffcedca</w:t>
        </w:r>
      </w:hyperlink>
      <w:r w:rsidRPr="0048774A">
        <w:rPr>
          <w:rStyle w:val="Hipervnculo"/>
          <w:rFonts w:ascii="Century Gothic" w:hAnsi="Century Gothic" w:cs="Arial"/>
          <w:sz w:val="18"/>
          <w:szCs w:val="18"/>
        </w:rPr>
        <w:t xml:space="preserve"> </w:t>
      </w:r>
      <w:r w:rsidRPr="0048774A">
        <w:rPr>
          <w:rFonts w:ascii="Century Gothic" w:hAnsi="Century Gothic" w:cs="Arial"/>
          <w:sz w:val="18"/>
          <w:szCs w:val="18"/>
        </w:rPr>
        <w:t xml:space="preserve"> </w:t>
      </w:r>
    </w:p>
  </w:footnote>
  <w:footnote w:id="13">
    <w:p w14:paraId="5560FC40" w14:textId="77777777" w:rsidR="00AB49BE" w:rsidRPr="0048774A" w:rsidRDefault="00AB49BE" w:rsidP="00AB49BE">
      <w:pPr>
        <w:pStyle w:val="Sinespaciado"/>
        <w:ind w:firstLine="708"/>
        <w:jc w:val="both"/>
        <w:rPr>
          <w:rFonts w:ascii="Century Gothic" w:hAnsi="Century Gothic" w:cs="Arial"/>
          <w:sz w:val="18"/>
          <w:szCs w:val="18"/>
          <w:lang w:val="es-ES"/>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w:t>
      </w:r>
      <w:r w:rsidRPr="0048774A">
        <w:rPr>
          <w:rFonts w:ascii="Century Gothic" w:hAnsi="Century Gothic" w:cs="Arial"/>
          <w:sz w:val="18"/>
          <w:szCs w:val="18"/>
          <w:lang w:val="es-ES"/>
        </w:rPr>
        <w:t xml:space="preserve">La Guía para el manejo de anticipos mediante contrato de fiducia irrevocable puede ser consultada en: </w:t>
      </w:r>
      <w:hyperlink r:id="rId3" w:history="1">
        <w:r w:rsidRPr="0048774A">
          <w:rPr>
            <w:rStyle w:val="Hipervnculo"/>
            <w:rFonts w:ascii="Century Gothic" w:hAnsi="Century Gothic" w:cs="Arial"/>
            <w:sz w:val="18"/>
            <w:szCs w:val="18"/>
            <w:lang w:val="es-ES"/>
          </w:rPr>
          <w:t>https://www.colombiacompra.gov.co/sites/cce_public/files/cce_documents/cce_guia_manejo_anticipos.pdf</w:t>
        </w:r>
      </w:hyperlink>
      <w:r w:rsidRPr="0048774A">
        <w:rPr>
          <w:rFonts w:ascii="Century Gothic" w:hAnsi="Century Gothic" w:cs="Arial"/>
          <w:sz w:val="18"/>
          <w:szCs w:val="18"/>
          <w:lang w:val="es-ES"/>
        </w:rPr>
        <w:t xml:space="preserve"> </w:t>
      </w:r>
    </w:p>
  </w:footnote>
  <w:footnote w:id="14">
    <w:p w14:paraId="04BA17C4" w14:textId="77777777" w:rsidR="00AB49BE" w:rsidRPr="0048774A" w:rsidRDefault="00AB49BE" w:rsidP="00AB49BE">
      <w:pPr>
        <w:pStyle w:val="Textonotapie"/>
        <w:ind w:firstLine="708"/>
        <w:jc w:val="both"/>
        <w:rPr>
          <w:rFonts w:ascii="Century Gothic" w:hAnsi="Century Gothic" w:cs="Arial"/>
          <w:sz w:val="18"/>
          <w:szCs w:val="18"/>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Ver concepto C-003 de 13 de marzo de 2023 emitido por la ANCP-CCE</w:t>
      </w:r>
    </w:p>
  </w:footnote>
  <w:footnote w:id="15">
    <w:p w14:paraId="722E7EFC" w14:textId="77777777" w:rsidR="00AB49BE" w:rsidRPr="0048774A" w:rsidRDefault="00AB49BE" w:rsidP="00AB49BE">
      <w:pPr>
        <w:pStyle w:val="Textonotapie"/>
        <w:ind w:firstLine="708"/>
        <w:jc w:val="both"/>
        <w:rPr>
          <w:rFonts w:ascii="Century Gothic" w:hAnsi="Century Gothic" w:cs="Arial"/>
          <w:sz w:val="18"/>
          <w:szCs w:val="18"/>
          <w:lang w:val="es-ES_tradnl"/>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Ver también, F. SAVIGNY, </w:t>
      </w:r>
      <w:r w:rsidRPr="0048774A">
        <w:rPr>
          <w:rFonts w:ascii="Century Gothic" w:hAnsi="Century Gothic" w:cs="Arial"/>
          <w:i/>
          <w:sz w:val="18"/>
          <w:szCs w:val="18"/>
        </w:rPr>
        <w:t>“Sistema del derecho romano actual”,</w:t>
      </w:r>
      <w:r w:rsidRPr="0048774A">
        <w:rPr>
          <w:rFonts w:ascii="Century Gothic" w:hAnsi="Century Gothic" w:cs="Arial"/>
          <w:sz w:val="18"/>
          <w:szCs w:val="18"/>
        </w:rPr>
        <w:t xml:space="preserve"> referente en torno a la interpretación de la Ley, específicamente cuando señala: “Se notará, por lo dicho hasta ahora, la interpretación de la Ley en dada difiere de la interpretación de cualquier otro pensamiento expresado por el lenguaje </w:t>
      </w:r>
      <w:r w:rsidRPr="0048774A">
        <w:rPr>
          <w:rFonts w:ascii="Century Gothic" w:hAnsi="Century Gothic" w:cs="Arial"/>
          <w:sz w:val="18"/>
          <w:szCs w:val="18"/>
          <w:lang w:val="es-ES_tradnl"/>
        </w:rPr>
        <w:t>[…]</w:t>
      </w:r>
      <w:r w:rsidRPr="0048774A">
        <w:rPr>
          <w:rFonts w:ascii="Century Gothic" w:hAnsi="Century Gothic" w:cs="Arial"/>
          <w:color w:val="000000" w:themeColor="text1"/>
          <w:sz w:val="18"/>
          <w:szCs w:val="18"/>
          <w:lang w:val="es-ES_tradnl"/>
        </w:rPr>
        <w:t xml:space="preserve"> Cuatro elementos se distinguen en ella, a saber: el gramatical, el lógico, el histórico y el sistemático.</w:t>
      </w:r>
      <w:r w:rsidRPr="0048774A">
        <w:rPr>
          <w:rFonts w:ascii="Century Gothic" w:hAnsi="Century Gothic" w:cs="Arial"/>
          <w:sz w:val="18"/>
          <w:szCs w:val="18"/>
          <w:lang w:val="es-ES_tradnl"/>
        </w:rPr>
        <w:t xml:space="preserve"> […] El estudio de estos cuatro elementos agota el contenido de la Ley.</w:t>
      </w:r>
    </w:p>
  </w:footnote>
  <w:footnote w:id="16">
    <w:p w14:paraId="7CCA8001" w14:textId="77777777" w:rsidR="00AB49BE" w:rsidRPr="0048774A" w:rsidRDefault="00AB49BE" w:rsidP="00AB49BE">
      <w:pPr>
        <w:pStyle w:val="Textonotapie"/>
        <w:ind w:firstLine="708"/>
        <w:jc w:val="both"/>
        <w:rPr>
          <w:rFonts w:ascii="Century Gothic" w:hAnsi="Century Gothic" w:cs="Arial"/>
          <w:sz w:val="18"/>
          <w:szCs w:val="18"/>
          <w:lang w:val="es-CO"/>
        </w:rPr>
      </w:pPr>
      <w:r w:rsidRPr="0048774A">
        <w:rPr>
          <w:rStyle w:val="Refdenotaalpie"/>
          <w:rFonts w:ascii="Century Gothic" w:hAnsi="Century Gothic" w:cs="Arial"/>
          <w:sz w:val="18"/>
          <w:szCs w:val="18"/>
        </w:rPr>
        <w:footnoteRef/>
      </w:r>
      <w:r w:rsidRPr="0048774A">
        <w:rPr>
          <w:rFonts w:ascii="Century Gothic" w:hAnsi="Century Gothic" w:cs="Arial"/>
          <w:sz w:val="18"/>
          <w:szCs w:val="18"/>
        </w:rPr>
        <w:t xml:space="preserve"> </w:t>
      </w:r>
      <w:r w:rsidRPr="0048774A">
        <w:rPr>
          <w:rStyle w:val="baj"/>
          <w:rFonts w:ascii="Century Gothic" w:hAnsi="Century Gothic" w:cs="Arial"/>
          <w:sz w:val="18"/>
          <w:szCs w:val="18"/>
        </w:rPr>
        <w:t>Ley 84 de 1873, artículo 27 y 28.</w:t>
      </w:r>
    </w:p>
  </w:footnote>
  <w:footnote w:id="17">
    <w:p w14:paraId="51FDEC58" w14:textId="77777777" w:rsidR="00AB49BE" w:rsidRPr="00C57585" w:rsidRDefault="00AB49BE" w:rsidP="00AB49BE">
      <w:pPr>
        <w:pStyle w:val="Textonotapie"/>
        <w:ind w:firstLine="708"/>
        <w:contextualSpacing/>
        <w:jc w:val="both"/>
        <w:rPr>
          <w:rFonts w:ascii="Century Gothic" w:hAnsi="Century Gothic" w:cs="Arial"/>
          <w:color w:val="000000" w:themeColor="text1"/>
          <w:sz w:val="18"/>
          <w:szCs w:val="18"/>
        </w:rPr>
      </w:pPr>
      <w:r w:rsidRPr="00C57585">
        <w:rPr>
          <w:rStyle w:val="Refdenotaalpie"/>
          <w:rFonts w:ascii="Century Gothic" w:hAnsi="Century Gothic" w:cs="Arial"/>
          <w:color w:val="000000" w:themeColor="text1"/>
          <w:sz w:val="18"/>
          <w:szCs w:val="18"/>
        </w:rPr>
        <w:footnoteRef/>
      </w:r>
      <w:r w:rsidRPr="00C57585">
        <w:rPr>
          <w:rStyle w:val="Refdenotaalpie"/>
          <w:rFonts w:ascii="Century Gothic" w:hAnsi="Century Gothic" w:cs="Arial"/>
          <w:color w:val="000000" w:themeColor="text1"/>
          <w:sz w:val="18"/>
          <w:szCs w:val="18"/>
        </w:rPr>
        <w:t xml:space="preserve"> </w:t>
      </w:r>
      <w:r w:rsidRPr="00C57585">
        <w:rPr>
          <w:rFonts w:ascii="Century Gothic" w:hAnsi="Century Gothic" w:cs="Arial"/>
          <w:color w:val="000000" w:themeColor="text1"/>
          <w:sz w:val="18"/>
          <w:szCs w:val="18"/>
        </w:rPr>
        <w:t>Consejo de Estado. Sección Tercera Subsección A. Sentencia del 12 de octubre de 2017. Consejera Ponente: Marta Nubia Velásquez Rico. Radicación número: 68001-23-31-000-2005-03845-01(51.634).</w:t>
      </w:r>
    </w:p>
    <w:p w14:paraId="1560DFE3" w14:textId="77777777" w:rsidR="00AB49BE" w:rsidRPr="00C57585" w:rsidRDefault="00AB49BE" w:rsidP="00AB49BE">
      <w:pPr>
        <w:pStyle w:val="Textonotapie"/>
        <w:contextualSpacing/>
        <w:jc w:val="both"/>
        <w:rPr>
          <w:rFonts w:ascii="Century Gothic" w:hAnsi="Century Gothic" w:cs="Arial"/>
          <w:color w:val="000000" w:themeColor="text1"/>
          <w:sz w:val="18"/>
          <w:szCs w:val="18"/>
        </w:rPr>
      </w:pPr>
    </w:p>
  </w:footnote>
  <w:footnote w:id="18">
    <w:p w14:paraId="4079BADE" w14:textId="77777777" w:rsidR="00AB49BE" w:rsidRPr="00C57585" w:rsidRDefault="00AB49BE" w:rsidP="00AB49BE">
      <w:pPr>
        <w:pStyle w:val="Textonotapie"/>
        <w:ind w:firstLine="708"/>
        <w:contextualSpacing/>
        <w:jc w:val="both"/>
        <w:rPr>
          <w:rFonts w:ascii="Century Gothic" w:hAnsi="Century Gothic" w:cs="Arial"/>
          <w:color w:val="000000" w:themeColor="text1"/>
          <w:sz w:val="18"/>
          <w:szCs w:val="18"/>
        </w:rPr>
      </w:pPr>
      <w:r w:rsidRPr="00C57585">
        <w:rPr>
          <w:rStyle w:val="Refdenotaalpie"/>
          <w:rFonts w:ascii="Century Gothic" w:hAnsi="Century Gothic" w:cs="Arial"/>
          <w:color w:val="000000" w:themeColor="text1"/>
          <w:sz w:val="18"/>
          <w:szCs w:val="18"/>
        </w:rPr>
        <w:footnoteRef/>
      </w:r>
      <w:r w:rsidRPr="00C57585">
        <w:rPr>
          <w:rFonts w:ascii="Century Gothic" w:hAnsi="Century Gothic" w:cs="Arial"/>
          <w:color w:val="000000" w:themeColor="text1"/>
          <w:sz w:val="18"/>
          <w:szCs w:val="18"/>
        </w:rPr>
        <w:t xml:space="preserve"> “Artículo 2.3.1.6.3.4. Ordenación del gasto. Los fondos de servicios educativos carecen de personería jurídica”.</w:t>
      </w:r>
    </w:p>
    <w:p w14:paraId="1902A15B" w14:textId="77777777" w:rsidR="00AB49BE" w:rsidRPr="002D7BEE" w:rsidRDefault="00AB49BE" w:rsidP="00AB49BE">
      <w:pPr>
        <w:pStyle w:val="Textonotapie"/>
        <w:contextualSpacing/>
        <w:jc w:val="both"/>
        <w:rPr>
          <w:rFonts w:ascii="Arial" w:hAnsi="Arial" w:cs="Arial"/>
          <w:color w:val="000000" w:themeColor="text1"/>
          <w:sz w:val="18"/>
          <w:szCs w:val="18"/>
        </w:rPr>
      </w:pPr>
    </w:p>
  </w:footnote>
  <w:footnote w:id="19">
    <w:p w14:paraId="14F4D735" w14:textId="77777777" w:rsidR="00AB49BE" w:rsidRPr="00C57585" w:rsidRDefault="00AB49BE" w:rsidP="00AB49BE">
      <w:pPr>
        <w:pStyle w:val="NormalWeb"/>
        <w:spacing w:after="0"/>
        <w:ind w:firstLine="708"/>
        <w:contextualSpacing/>
        <w:jc w:val="both"/>
        <w:rPr>
          <w:rFonts w:ascii="Century Gothic" w:hAnsi="Century Gothic" w:cs="Arial"/>
          <w:sz w:val="18"/>
          <w:szCs w:val="18"/>
        </w:rPr>
      </w:pPr>
      <w:r w:rsidRPr="00C57585">
        <w:rPr>
          <w:rStyle w:val="Refdenotaalpie"/>
          <w:rFonts w:ascii="Century Gothic" w:hAnsi="Century Gothic" w:cs="Arial"/>
          <w:sz w:val="18"/>
          <w:szCs w:val="18"/>
        </w:rPr>
        <w:footnoteRef/>
      </w:r>
      <w:r w:rsidRPr="00C57585">
        <w:rPr>
          <w:rStyle w:val="Refdenotaalpie"/>
          <w:rFonts w:ascii="Century Gothic" w:hAnsi="Century Gothic" w:cs="Arial"/>
          <w:sz w:val="18"/>
          <w:szCs w:val="18"/>
        </w:rPr>
        <w:t xml:space="preserve"> </w:t>
      </w:r>
      <w:r w:rsidRPr="00C57585">
        <w:rPr>
          <w:rFonts w:ascii="Century Gothic" w:hAnsi="Century Gothic" w:cs="Arial"/>
          <w:sz w:val="18"/>
          <w:szCs w:val="18"/>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0FF0DA1C" w14:textId="77777777" w:rsidR="00AB49BE" w:rsidRPr="00C57585" w:rsidRDefault="00AB49BE" w:rsidP="00AB49BE">
      <w:pPr>
        <w:spacing w:after="0" w:line="240" w:lineRule="auto"/>
        <w:ind w:firstLine="708"/>
        <w:contextualSpacing/>
        <w:jc w:val="both"/>
        <w:rPr>
          <w:rFonts w:ascii="Century Gothic" w:eastAsia="Times New Roman" w:hAnsi="Century Gothic" w:cs="Arial"/>
          <w:sz w:val="18"/>
          <w:szCs w:val="18"/>
          <w:lang w:eastAsia="es-CO"/>
        </w:rPr>
      </w:pPr>
      <w:r w:rsidRPr="00C57585">
        <w:rPr>
          <w:rFonts w:ascii="Century Gothic" w:eastAsia="Times New Roman" w:hAnsi="Century Gothic" w:cs="Arial"/>
          <w:i/>
          <w:iCs/>
          <w:sz w:val="18"/>
          <w:szCs w:val="18"/>
          <w:lang w:eastAsia="es-CO"/>
        </w:rPr>
        <w:t>Los actos y contratos de cuantía superior a veinte (20) salarios mínimos mensuales se regirán por las reglas de la contratación estatal</w:t>
      </w:r>
      <w:r w:rsidRPr="00C57585">
        <w:rPr>
          <w:rFonts w:ascii="Century Gothic" w:eastAsia="Times New Roman" w:hAnsi="Century Gothic" w:cs="Arial"/>
          <w:sz w:val="18"/>
          <w:szCs w:val="18"/>
          <w:lang w:eastAsia="es-CO"/>
        </w:rPr>
        <w:t xml:space="preserve">, teniendo en cuenta su valor y naturaleza, y las circunstancias en las que se celebren. El Gobierno Nacional podrá indicar los casos en los cuales la cuantía señalada en el presente inciso será menor. </w:t>
      </w:r>
    </w:p>
    <w:p w14:paraId="25EC0D16" w14:textId="77777777" w:rsidR="00AB49BE" w:rsidRPr="00C57585" w:rsidRDefault="00AB49BE" w:rsidP="00AB49BE">
      <w:pPr>
        <w:spacing w:after="0" w:line="240" w:lineRule="auto"/>
        <w:ind w:firstLine="708"/>
        <w:contextualSpacing/>
        <w:jc w:val="both"/>
        <w:rPr>
          <w:rFonts w:ascii="Century Gothic" w:eastAsia="Times New Roman" w:hAnsi="Century Gothic" w:cs="Arial"/>
          <w:sz w:val="18"/>
          <w:szCs w:val="18"/>
          <w:lang w:eastAsia="es-CO"/>
        </w:rPr>
      </w:pPr>
      <w:r w:rsidRPr="00C57585">
        <w:rPr>
          <w:rFonts w:ascii="Century Gothic" w:eastAsia="Times New Roman" w:hAnsi="Century Gothic" w:cs="Arial"/>
          <w:sz w:val="18"/>
          <w:szCs w:val="18"/>
          <w:lang w:eastAsia="es-CO"/>
        </w:rPr>
        <w:t>El rector o director celebrará los contratos que hayan de pagarse con cargo a los recursos vinculados a los Fondos, en las condiciones y dentro de los límites que fijen los reglamentos.</w:t>
      </w:r>
    </w:p>
    <w:p w14:paraId="6BBEBF36" w14:textId="77777777" w:rsidR="00AB49BE" w:rsidRPr="00C57585" w:rsidRDefault="00AB49BE" w:rsidP="00AB49BE">
      <w:pPr>
        <w:spacing w:after="0" w:line="240" w:lineRule="auto"/>
        <w:ind w:firstLine="708"/>
        <w:contextualSpacing/>
        <w:jc w:val="both"/>
        <w:rPr>
          <w:rFonts w:ascii="Century Gothic" w:eastAsia="Times New Roman" w:hAnsi="Century Gothic" w:cs="Arial"/>
          <w:sz w:val="18"/>
          <w:szCs w:val="18"/>
          <w:lang w:eastAsia="es-CO"/>
        </w:rPr>
      </w:pPr>
      <w:r w:rsidRPr="00C57585">
        <w:rPr>
          <w:rFonts w:ascii="Century Gothic" w:eastAsia="Times New Roman" w:hAnsi="Century Gothic" w:cs="Arial"/>
          <w:i/>
          <w:iCs/>
          <w:sz w:val="18"/>
          <w:szCs w:val="18"/>
          <w:lang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C57585">
        <w:rPr>
          <w:rFonts w:ascii="Century Gothic" w:eastAsia="Times New Roman" w:hAnsi="Century Gothic" w:cs="Arial"/>
          <w:sz w:val="18"/>
          <w:szCs w:val="18"/>
          <w:lang w:eastAsia="es-CO"/>
        </w:rPr>
        <w:t>”</w:t>
      </w:r>
    </w:p>
    <w:p w14:paraId="0FBA59A1" w14:textId="77777777" w:rsidR="00AB49BE" w:rsidRPr="00C57585" w:rsidRDefault="00AB49BE" w:rsidP="00AB49BE">
      <w:pPr>
        <w:pStyle w:val="Textonotapie"/>
        <w:ind w:firstLine="708"/>
        <w:contextualSpacing/>
        <w:jc w:val="both"/>
        <w:rPr>
          <w:rFonts w:ascii="Century Gothic" w:hAnsi="Century Gothic" w:cs="Arial"/>
          <w:color w:val="000000" w:themeColor="text1"/>
          <w:sz w:val="18"/>
          <w:szCs w:val="18"/>
        </w:rPr>
      </w:pPr>
    </w:p>
    <w:p w14:paraId="7B0D3540" w14:textId="77777777" w:rsidR="00AB49BE" w:rsidRPr="002D7BEE" w:rsidRDefault="00AB49BE" w:rsidP="00AB49BE">
      <w:pPr>
        <w:pStyle w:val="Textonotapie"/>
        <w:ind w:firstLine="708"/>
        <w:contextualSpacing/>
        <w:jc w:val="both"/>
        <w:rPr>
          <w:rFonts w:ascii="Arial" w:hAnsi="Arial" w:cs="Arial"/>
          <w:color w:val="000000" w:themeColor="text1"/>
          <w:sz w:val="18"/>
          <w:szCs w:val="18"/>
          <w:lang w:val="es-CO"/>
        </w:rPr>
      </w:pPr>
      <w:r w:rsidRPr="00C57585">
        <w:rPr>
          <w:rFonts w:ascii="Century Gothic" w:hAnsi="Century Gothic" w:cs="Arial"/>
          <w:color w:val="000000" w:themeColor="text1"/>
          <w:sz w:val="18"/>
          <w:szCs w:val="18"/>
        </w:rPr>
        <w:t>Decreto 1075 de 2015: “Artículo 2.3.1.6.3.5. Funciones del Consejo Directivo. (…) 6. Reglamentar mediante acuerdo los procedimientos, formalidades y garantías para toda contratación que no supere los veinte (20) salarios mínimos legales mensuales vigentes (SMLMV)”.</w:t>
      </w:r>
    </w:p>
  </w:footnote>
  <w:footnote w:id="20">
    <w:p w14:paraId="44C0C831" w14:textId="77777777" w:rsidR="00AB49BE" w:rsidRPr="00C57585" w:rsidRDefault="00AB49BE" w:rsidP="00AB49BE">
      <w:pPr>
        <w:pStyle w:val="Textonotapie"/>
        <w:ind w:firstLine="708"/>
        <w:contextualSpacing/>
        <w:jc w:val="both"/>
        <w:rPr>
          <w:rFonts w:ascii="Century Gothic" w:hAnsi="Century Gothic" w:cs="Arial"/>
          <w:sz w:val="18"/>
          <w:szCs w:val="18"/>
        </w:rPr>
      </w:pPr>
      <w:r w:rsidRPr="00C57585">
        <w:rPr>
          <w:rStyle w:val="Refdenotaalpie"/>
          <w:rFonts w:ascii="Century Gothic" w:hAnsi="Century Gothic" w:cs="Arial"/>
          <w:sz w:val="18"/>
          <w:szCs w:val="18"/>
        </w:rPr>
        <w:footnoteRef/>
      </w:r>
      <w:r w:rsidRPr="00C57585">
        <w:rPr>
          <w:rFonts w:ascii="Century Gothic" w:hAnsi="Century Gothic" w:cs="Arial"/>
          <w:sz w:val="18"/>
          <w:szCs w:val="18"/>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que de acuerdo con las normas civiles, comerciales y las previstas en esta ley, correspondan a su esencia y naturaleza”.</w:t>
      </w:r>
    </w:p>
  </w:footnote>
  <w:footnote w:id="21">
    <w:p w14:paraId="32CCE807" w14:textId="77777777" w:rsidR="00AB49BE" w:rsidRPr="00C57585" w:rsidRDefault="00AB49BE" w:rsidP="00AB49BE">
      <w:pPr>
        <w:pStyle w:val="Textonotapie"/>
        <w:ind w:firstLine="708"/>
        <w:contextualSpacing/>
        <w:jc w:val="both"/>
        <w:rPr>
          <w:rFonts w:ascii="Century Gothic" w:hAnsi="Century Gothic" w:cs="Arial"/>
          <w:sz w:val="18"/>
          <w:szCs w:val="18"/>
        </w:rPr>
      </w:pPr>
    </w:p>
    <w:p w14:paraId="79EE216B" w14:textId="77777777" w:rsidR="00AB49BE" w:rsidRPr="00C57585" w:rsidRDefault="00AB49BE" w:rsidP="00AB49BE">
      <w:pPr>
        <w:pStyle w:val="Textonotapie"/>
        <w:ind w:firstLine="708"/>
        <w:contextualSpacing/>
        <w:jc w:val="both"/>
        <w:rPr>
          <w:rFonts w:ascii="Century Gothic" w:hAnsi="Century Gothic" w:cs="Arial"/>
          <w:sz w:val="18"/>
          <w:szCs w:val="18"/>
        </w:rPr>
      </w:pPr>
      <w:r w:rsidRPr="00C57585">
        <w:rPr>
          <w:rStyle w:val="Refdenotaalpie"/>
          <w:rFonts w:ascii="Century Gothic" w:hAnsi="Century Gothic" w:cs="Arial"/>
          <w:sz w:val="18"/>
          <w:szCs w:val="18"/>
        </w:rPr>
        <w:footnoteRef/>
      </w:r>
      <w:r w:rsidRPr="00C57585">
        <w:rPr>
          <w:rFonts w:ascii="Century Gothic" w:hAnsi="Century Gothic" w:cs="Arial"/>
          <w:sz w:val="18"/>
          <w:szCs w:val="18"/>
        </w:rPr>
        <w:t xml:space="preserve"> Cfr. BENAVIDES, José Luis. El contrato estatal: entre el derecho público y el derecho privado. Segunda edición. Bogotá: Universidad Externado de Colombia, 2009. pp. 78-79.     </w:t>
      </w:r>
    </w:p>
    <w:p w14:paraId="3F84EDA6" w14:textId="77777777" w:rsidR="00AB49BE" w:rsidRPr="002D7BEE" w:rsidRDefault="00AB49BE" w:rsidP="00AB49BE">
      <w:pPr>
        <w:pStyle w:val="Textonotapie"/>
        <w:ind w:firstLine="708"/>
        <w:contextualSpacing/>
        <w:jc w:val="both"/>
        <w:rPr>
          <w:rFonts w:ascii="Arial" w:hAnsi="Arial" w:cs="Arial"/>
          <w:sz w:val="18"/>
          <w:szCs w:val="18"/>
          <w:lang w:val="es-ES"/>
        </w:rPr>
      </w:pPr>
      <w:r w:rsidRPr="002D7BEE">
        <w:rPr>
          <w:rFonts w:ascii="Arial" w:hAnsi="Arial" w:cs="Arial"/>
          <w:sz w:val="18"/>
          <w:szCs w:val="18"/>
        </w:rPr>
        <w:t xml:space="preserve"> </w:t>
      </w:r>
    </w:p>
  </w:footnote>
  <w:footnote w:id="22">
    <w:p w14:paraId="699DC2CF" w14:textId="77777777" w:rsidR="00AB49BE" w:rsidRPr="00C57585" w:rsidRDefault="00AB49BE" w:rsidP="00AB49BE">
      <w:pPr>
        <w:pStyle w:val="Textonotapie"/>
        <w:ind w:firstLine="708"/>
        <w:contextualSpacing/>
        <w:jc w:val="both"/>
        <w:rPr>
          <w:rFonts w:ascii="Century Gothic" w:hAnsi="Century Gothic" w:cs="Arial"/>
          <w:sz w:val="18"/>
          <w:szCs w:val="18"/>
          <w:lang w:val="es-ES"/>
        </w:rPr>
      </w:pPr>
      <w:r w:rsidRPr="00C57585">
        <w:rPr>
          <w:rStyle w:val="Refdenotaalpie"/>
          <w:rFonts w:ascii="Century Gothic" w:hAnsi="Century Gothic" w:cs="Arial"/>
          <w:sz w:val="18"/>
          <w:szCs w:val="18"/>
        </w:rPr>
        <w:footnoteRef/>
      </w:r>
      <w:r w:rsidRPr="00C57585">
        <w:rPr>
          <w:rFonts w:ascii="Century Gothic" w:hAnsi="Century Gothic" w:cs="Arial"/>
          <w:sz w:val="18"/>
          <w:szCs w:val="18"/>
        </w:rPr>
        <w:t xml:space="preserve"> BETANCUR JARAMILLO, Carlos. Derecho procesal administrativo. Cuarta edición. Medellín: Señal Editora, 1994. pp. 522-523. </w:t>
      </w:r>
    </w:p>
  </w:footnote>
  <w:footnote w:id="23">
    <w:p w14:paraId="6447604E" w14:textId="77777777" w:rsidR="00AB49BE" w:rsidRPr="00C57585" w:rsidRDefault="00AB49BE" w:rsidP="00AB49BE">
      <w:pPr>
        <w:pStyle w:val="Textonotapie"/>
        <w:ind w:firstLine="708"/>
        <w:contextualSpacing/>
        <w:jc w:val="both"/>
        <w:rPr>
          <w:rFonts w:ascii="Century Gothic" w:hAnsi="Century Gothic" w:cs="Arial"/>
          <w:sz w:val="18"/>
          <w:szCs w:val="18"/>
        </w:rPr>
      </w:pPr>
      <w:r w:rsidRPr="00C57585">
        <w:rPr>
          <w:rStyle w:val="Refdenotaalpie"/>
          <w:rFonts w:ascii="Century Gothic" w:hAnsi="Century Gothic" w:cs="Arial"/>
          <w:sz w:val="18"/>
          <w:szCs w:val="18"/>
        </w:rPr>
        <w:footnoteRef/>
      </w:r>
      <w:r w:rsidRPr="00C57585">
        <w:rPr>
          <w:rFonts w:ascii="Century Gothic" w:hAnsi="Century Gothic" w:cs="Arial"/>
          <w:sz w:val="18"/>
          <w:szCs w:val="18"/>
        </w:rPr>
        <w:t xml:space="preserve"> La norma citada dispone que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14679C3" w14:textId="77777777" w:rsidR="00AB49BE" w:rsidRPr="002D7BEE" w:rsidRDefault="00AB49BE" w:rsidP="00AB49BE">
      <w:pPr>
        <w:pStyle w:val="Textonotapie"/>
        <w:ind w:firstLine="708"/>
        <w:contextualSpacing/>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55pt;height:11.5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4162558">
    <w:abstractNumId w:val="6"/>
  </w:num>
  <w:num w:numId="2" w16cid:durableId="1413819252">
    <w:abstractNumId w:val="2"/>
  </w:num>
  <w:num w:numId="3" w16cid:durableId="838161341">
    <w:abstractNumId w:val="4"/>
  </w:num>
  <w:num w:numId="4" w16cid:durableId="1368876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120110">
    <w:abstractNumId w:val="2"/>
  </w:num>
  <w:num w:numId="6" w16cid:durableId="1450006500">
    <w:abstractNumId w:val="12"/>
  </w:num>
  <w:num w:numId="7" w16cid:durableId="436869113">
    <w:abstractNumId w:val="5"/>
  </w:num>
  <w:num w:numId="8" w16cid:durableId="1669476978">
    <w:abstractNumId w:val="11"/>
  </w:num>
  <w:num w:numId="9" w16cid:durableId="604845681">
    <w:abstractNumId w:val="7"/>
  </w:num>
  <w:num w:numId="10" w16cid:durableId="798180777">
    <w:abstractNumId w:val="10"/>
  </w:num>
  <w:num w:numId="11" w16cid:durableId="1161189979">
    <w:abstractNumId w:val="8"/>
  </w:num>
  <w:num w:numId="12" w16cid:durableId="944193260">
    <w:abstractNumId w:val="1"/>
  </w:num>
  <w:num w:numId="13" w16cid:durableId="883373640">
    <w:abstractNumId w:val="3"/>
  </w:num>
  <w:num w:numId="14" w16cid:durableId="1658458274">
    <w:abstractNumId w:val="13"/>
  </w:num>
  <w:num w:numId="15" w16cid:durableId="73747136">
    <w:abstractNumId w:val="9"/>
  </w:num>
  <w:num w:numId="16" w16cid:durableId="204258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C2881"/>
    <w:rsid w:val="000D0334"/>
    <w:rsid w:val="000D20F8"/>
    <w:rsid w:val="000F62E0"/>
    <w:rsid w:val="000F6486"/>
    <w:rsid w:val="00113C1F"/>
    <w:rsid w:val="00125105"/>
    <w:rsid w:val="00127233"/>
    <w:rsid w:val="00145EB5"/>
    <w:rsid w:val="00173A42"/>
    <w:rsid w:val="00176745"/>
    <w:rsid w:val="00180B8F"/>
    <w:rsid w:val="001A7772"/>
    <w:rsid w:val="001E4177"/>
    <w:rsid w:val="001F5EDC"/>
    <w:rsid w:val="001F7DC6"/>
    <w:rsid w:val="002147C1"/>
    <w:rsid w:val="002336A5"/>
    <w:rsid w:val="002421BB"/>
    <w:rsid w:val="00247572"/>
    <w:rsid w:val="002707A2"/>
    <w:rsid w:val="00274152"/>
    <w:rsid w:val="002951A0"/>
    <w:rsid w:val="002962BC"/>
    <w:rsid w:val="002A093D"/>
    <w:rsid w:val="002A0D9F"/>
    <w:rsid w:val="002A0DD0"/>
    <w:rsid w:val="002A19F7"/>
    <w:rsid w:val="002A49AC"/>
    <w:rsid w:val="002A64FD"/>
    <w:rsid w:val="002C3980"/>
    <w:rsid w:val="002C7A84"/>
    <w:rsid w:val="002E4FD9"/>
    <w:rsid w:val="002F4746"/>
    <w:rsid w:val="00301F65"/>
    <w:rsid w:val="00322A85"/>
    <w:rsid w:val="003448F4"/>
    <w:rsid w:val="00374F5E"/>
    <w:rsid w:val="00377E3E"/>
    <w:rsid w:val="003A779E"/>
    <w:rsid w:val="003C50BB"/>
    <w:rsid w:val="003D0F4D"/>
    <w:rsid w:val="003D5B0D"/>
    <w:rsid w:val="003E0499"/>
    <w:rsid w:val="003E1F8D"/>
    <w:rsid w:val="003F3941"/>
    <w:rsid w:val="00406575"/>
    <w:rsid w:val="00413A4F"/>
    <w:rsid w:val="0042722E"/>
    <w:rsid w:val="00461577"/>
    <w:rsid w:val="00497F77"/>
    <w:rsid w:val="004A1847"/>
    <w:rsid w:val="004A305D"/>
    <w:rsid w:val="004E6E13"/>
    <w:rsid w:val="004F21C4"/>
    <w:rsid w:val="004F685F"/>
    <w:rsid w:val="00537736"/>
    <w:rsid w:val="005566E8"/>
    <w:rsid w:val="00574867"/>
    <w:rsid w:val="00591460"/>
    <w:rsid w:val="005A2340"/>
    <w:rsid w:val="005B0593"/>
    <w:rsid w:val="005C3777"/>
    <w:rsid w:val="005C5CDC"/>
    <w:rsid w:val="005D476C"/>
    <w:rsid w:val="005D7604"/>
    <w:rsid w:val="006219F8"/>
    <w:rsid w:val="0066474C"/>
    <w:rsid w:val="00665D70"/>
    <w:rsid w:val="006900D9"/>
    <w:rsid w:val="00693384"/>
    <w:rsid w:val="00706C16"/>
    <w:rsid w:val="00707824"/>
    <w:rsid w:val="007559F7"/>
    <w:rsid w:val="00756841"/>
    <w:rsid w:val="007649AB"/>
    <w:rsid w:val="00771D0C"/>
    <w:rsid w:val="007833AC"/>
    <w:rsid w:val="007845D3"/>
    <w:rsid w:val="007A0501"/>
    <w:rsid w:val="007A3A69"/>
    <w:rsid w:val="007A63D6"/>
    <w:rsid w:val="007B268C"/>
    <w:rsid w:val="007B7171"/>
    <w:rsid w:val="007C3DC2"/>
    <w:rsid w:val="007D2BD1"/>
    <w:rsid w:val="007E5497"/>
    <w:rsid w:val="00806F5F"/>
    <w:rsid w:val="00820278"/>
    <w:rsid w:val="00852223"/>
    <w:rsid w:val="0086098D"/>
    <w:rsid w:val="008829A8"/>
    <w:rsid w:val="008843B6"/>
    <w:rsid w:val="00891928"/>
    <w:rsid w:val="008A446D"/>
    <w:rsid w:val="008B4F0E"/>
    <w:rsid w:val="008D180B"/>
    <w:rsid w:val="008D214C"/>
    <w:rsid w:val="008F0EA7"/>
    <w:rsid w:val="00902391"/>
    <w:rsid w:val="00923EEF"/>
    <w:rsid w:val="009419F9"/>
    <w:rsid w:val="00961B09"/>
    <w:rsid w:val="00965334"/>
    <w:rsid w:val="00967E99"/>
    <w:rsid w:val="0097093E"/>
    <w:rsid w:val="00990B9A"/>
    <w:rsid w:val="009A6976"/>
    <w:rsid w:val="009C71FA"/>
    <w:rsid w:val="009C72E7"/>
    <w:rsid w:val="009D3AE8"/>
    <w:rsid w:val="009F3A13"/>
    <w:rsid w:val="00A122D3"/>
    <w:rsid w:val="00A17F13"/>
    <w:rsid w:val="00A20739"/>
    <w:rsid w:val="00A33C78"/>
    <w:rsid w:val="00A56BE7"/>
    <w:rsid w:val="00A66A97"/>
    <w:rsid w:val="00A77A46"/>
    <w:rsid w:val="00A800FF"/>
    <w:rsid w:val="00AB02C6"/>
    <w:rsid w:val="00AB0ADB"/>
    <w:rsid w:val="00AB49BE"/>
    <w:rsid w:val="00B146D1"/>
    <w:rsid w:val="00B72CD3"/>
    <w:rsid w:val="00B72FFF"/>
    <w:rsid w:val="00BB09A8"/>
    <w:rsid w:val="00BC3D36"/>
    <w:rsid w:val="00BC46DE"/>
    <w:rsid w:val="00BD7F72"/>
    <w:rsid w:val="00C04FB3"/>
    <w:rsid w:val="00C330EB"/>
    <w:rsid w:val="00C57585"/>
    <w:rsid w:val="00C633A0"/>
    <w:rsid w:val="00C754BE"/>
    <w:rsid w:val="00C76B1C"/>
    <w:rsid w:val="00CB6357"/>
    <w:rsid w:val="00CC1B26"/>
    <w:rsid w:val="00D02215"/>
    <w:rsid w:val="00D423A2"/>
    <w:rsid w:val="00D63AC2"/>
    <w:rsid w:val="00D714D1"/>
    <w:rsid w:val="00D7383B"/>
    <w:rsid w:val="00D74F34"/>
    <w:rsid w:val="00D76C19"/>
    <w:rsid w:val="00D815CC"/>
    <w:rsid w:val="00DA231B"/>
    <w:rsid w:val="00DB1437"/>
    <w:rsid w:val="00DD0751"/>
    <w:rsid w:val="00DE10D3"/>
    <w:rsid w:val="00DF5254"/>
    <w:rsid w:val="00E16408"/>
    <w:rsid w:val="00E20894"/>
    <w:rsid w:val="00E245AB"/>
    <w:rsid w:val="00E2764C"/>
    <w:rsid w:val="00E27F2E"/>
    <w:rsid w:val="00E412F5"/>
    <w:rsid w:val="00E50AFE"/>
    <w:rsid w:val="00E771DC"/>
    <w:rsid w:val="00E8772A"/>
    <w:rsid w:val="00E90F6B"/>
    <w:rsid w:val="00E92C27"/>
    <w:rsid w:val="00E97D30"/>
    <w:rsid w:val="00EA0E3D"/>
    <w:rsid w:val="00EE1AA8"/>
    <w:rsid w:val="00F05678"/>
    <w:rsid w:val="00F10B11"/>
    <w:rsid w:val="00F30E1F"/>
    <w:rsid w:val="00F31EDC"/>
    <w:rsid w:val="00F462B3"/>
    <w:rsid w:val="00F5664F"/>
    <w:rsid w:val="00F666C4"/>
    <w:rsid w:val="00F76AFC"/>
    <w:rsid w:val="00F807EF"/>
    <w:rsid w:val="00F96BB3"/>
    <w:rsid w:val="00FA674D"/>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Footnote Reference Char3,Texto nota pie Car2,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rsid w:val="00AB49BE"/>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B49BE"/>
    <w:pPr>
      <w:spacing w:line="240" w:lineRule="exact"/>
    </w:pPr>
    <w:rPr>
      <w:vertAlign w:val="superscript"/>
    </w:rPr>
  </w:style>
  <w:style w:type="character" w:customStyle="1" w:styleId="baj">
    <w:name w:val="b_aj"/>
    <w:basedOn w:val="Fuentedeprrafopredeter"/>
    <w:rsid w:val="00AB49BE"/>
  </w:style>
  <w:style w:type="character" w:customStyle="1" w:styleId="NormalWebCar">
    <w:name w:val="Normal (Web) Car"/>
    <w:link w:val="NormalWeb"/>
    <w:uiPriority w:val="99"/>
    <w:rsid w:val="00AB49BE"/>
    <w:rPr>
      <w:rFonts w:ascii="Times New Roman" w:eastAsia="Times New Roman" w:hAnsi="Times New Roman" w:cs="Times New Roman"/>
      <w:sz w:val="24"/>
      <w:szCs w:val="24"/>
      <w:lang w:eastAsia="es-CO"/>
    </w:rPr>
  </w:style>
  <w:style w:type="paragraph" w:styleId="Sinespaciado">
    <w:name w:val="No Spacing"/>
    <w:aliases w:val="No Indent"/>
    <w:link w:val="SinespaciadoCar"/>
    <w:uiPriority w:val="1"/>
    <w:qFormat/>
    <w:rsid w:val="00AB49BE"/>
    <w:pPr>
      <w:spacing w:after="0" w:line="240" w:lineRule="auto"/>
    </w:pPr>
    <w:rPr>
      <w:sz w:val="24"/>
      <w:lang w:val="es-MX"/>
    </w:rPr>
  </w:style>
  <w:style w:type="character" w:customStyle="1" w:styleId="SinespaciadoCar">
    <w:name w:val="Sin espaciado Car"/>
    <w:aliases w:val="No Indent Car"/>
    <w:link w:val="Sinespaciado"/>
    <w:uiPriority w:val="1"/>
    <w:rsid w:val="00AB49BE"/>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49BE"/>
    <w:rPr>
      <w:rFonts w:ascii="Geomanist Light" w:hAnsi="Geomanist Light"/>
      <w:lang w:val="es-ES"/>
    </w:rPr>
  </w:style>
  <w:style w:type="character" w:customStyle="1" w:styleId="superscript">
    <w:name w:val="superscript"/>
    <w:basedOn w:val="Fuentedeprrafopredeter"/>
    <w:rsid w:val="00AB49BE"/>
  </w:style>
  <w:style w:type="character" w:styleId="Refdecomentario">
    <w:name w:val="annotation reference"/>
    <w:basedOn w:val="Fuentedeprrafopredeter"/>
    <w:uiPriority w:val="99"/>
    <w:semiHidden/>
    <w:unhideWhenUsed/>
    <w:rsid w:val="00F05678"/>
    <w:rPr>
      <w:sz w:val="16"/>
      <w:szCs w:val="16"/>
    </w:rPr>
  </w:style>
  <w:style w:type="paragraph" w:styleId="Textocomentario">
    <w:name w:val="annotation text"/>
    <w:basedOn w:val="Normal"/>
    <w:link w:val="TextocomentarioCar"/>
    <w:uiPriority w:val="99"/>
    <w:unhideWhenUsed/>
    <w:rsid w:val="00F05678"/>
    <w:pPr>
      <w:spacing w:line="240" w:lineRule="auto"/>
    </w:pPr>
    <w:rPr>
      <w:sz w:val="20"/>
      <w:szCs w:val="20"/>
    </w:rPr>
  </w:style>
  <w:style w:type="character" w:customStyle="1" w:styleId="TextocomentarioCar">
    <w:name w:val="Texto comentario Car"/>
    <w:basedOn w:val="Fuentedeprrafopredeter"/>
    <w:link w:val="Textocomentario"/>
    <w:uiPriority w:val="99"/>
    <w:rsid w:val="00F05678"/>
    <w:rPr>
      <w:sz w:val="20"/>
      <w:szCs w:val="20"/>
    </w:rPr>
  </w:style>
  <w:style w:type="paragraph" w:styleId="Asuntodelcomentario">
    <w:name w:val="annotation subject"/>
    <w:basedOn w:val="Textocomentario"/>
    <w:next w:val="Textocomentario"/>
    <w:link w:val="AsuntodelcomentarioCar"/>
    <w:uiPriority w:val="99"/>
    <w:semiHidden/>
    <w:unhideWhenUsed/>
    <w:rsid w:val="00F05678"/>
    <w:rPr>
      <w:b/>
      <w:bCs/>
    </w:rPr>
  </w:style>
  <w:style w:type="character" w:customStyle="1" w:styleId="AsuntodelcomentarioCar">
    <w:name w:val="Asunto del comentario Car"/>
    <w:basedOn w:val="TextocomentarioCar"/>
    <w:link w:val="Asuntodelcomentario"/>
    <w:uiPriority w:val="99"/>
    <w:semiHidden/>
    <w:rsid w:val="00F056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85284861">
      <w:bodyDiv w:val="1"/>
      <w:marLeft w:val="0"/>
      <w:marRight w:val="0"/>
      <w:marTop w:val="0"/>
      <w:marBottom w:val="0"/>
      <w:divBdr>
        <w:top w:val="none" w:sz="0" w:space="0" w:color="auto"/>
        <w:left w:val="none" w:sz="0" w:space="0" w:color="auto"/>
        <w:bottom w:val="none" w:sz="0" w:space="0" w:color="auto"/>
        <w:right w:val="none" w:sz="0" w:space="0" w:color="auto"/>
      </w:divBdr>
      <w:divsChild>
        <w:div w:id="1469056336">
          <w:marLeft w:val="0"/>
          <w:marRight w:val="0"/>
          <w:marTop w:val="0"/>
          <w:marBottom w:val="0"/>
          <w:divBdr>
            <w:top w:val="none" w:sz="0" w:space="0" w:color="auto"/>
            <w:left w:val="none" w:sz="0" w:space="0" w:color="auto"/>
            <w:bottom w:val="none" w:sz="0" w:space="0" w:color="auto"/>
            <w:right w:val="none" w:sz="0" w:space="0" w:color="auto"/>
          </w:divBdr>
        </w:div>
        <w:div w:id="1643539255">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02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xta2.colombiacompra.gov.co/sites/docs/_layouts/15/listform.aspx?PageType=6&amp;ListId=%7b41406f67-8aaf-444a-8f23-f6b9ad006b34%7d&amp;ID=861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manejo_anticipos.pdf" TargetMode="External"/><Relationship Id="rId2" Type="http://schemas.openxmlformats.org/officeDocument/2006/relationships/hyperlink" Target="http://svrpubindc.imprenta.gov.co/senado/index.xhtml;jsessionid=b3ba7213a248bacd37376ffcedca"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Andrés Ricardo Cabarcas Thorne</DisplayName>
        <AccountId>736</AccountId>
        <AccountType/>
      </UserInfo>
      <UserInfo>
        <DisplayName>Nohelia Del Carmen Zawady Palacio</DisplayName>
        <AccountId>289</AccountId>
        <AccountType/>
      </UserInfo>
      <UserInfo>
        <DisplayName>Diana Carolina Armenta Celis</DisplayName>
        <AccountId>612</AccountId>
        <AccountType/>
      </UserInfo>
    </SharedWithUsers>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D070A-CDB3-45AD-AFB1-2A6A1BF2A4B9}">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8ae15d26-076e-464e-81a7-6f76a0fb3917"/>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03192bf5-533c-4092-b85d-ca07e08abf8d"/>
    <ds:schemaRef ds:uri="http://www.w3.org/XML/1998/namespace"/>
    <ds:schemaRef ds:uri="http://purl.org/dc/terms/"/>
  </ds:schemaRefs>
</ds:datastoreItem>
</file>

<file path=customXml/itemProps3.xml><?xml version="1.0" encoding="utf-8"?>
<ds:datastoreItem xmlns:ds="http://schemas.openxmlformats.org/officeDocument/2006/customXml" ds:itemID="{237F1B97-DA6D-4721-AAE8-52E11E3E4D01}"/>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7411</Words>
  <Characters>40766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5</cp:revision>
  <cp:lastPrinted>2023-01-10T21:18:00Z</cp:lastPrinted>
  <dcterms:created xsi:type="dcterms:W3CDTF">2023-12-27T21:25:00Z</dcterms:created>
  <dcterms:modified xsi:type="dcterms:W3CDTF">2023-12-27T21:28:00Z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