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112F" w14:textId="45E1B42F" w:rsidR="009261E4" w:rsidRDefault="009261E4" w:rsidP="009261E4">
      <w:pPr>
        <w:spacing w:after="0"/>
        <w:rPr>
          <w:rFonts w:ascii="Arial" w:hAnsi="Arial" w:cs="Arial"/>
        </w:rPr>
      </w:pPr>
    </w:p>
    <w:p w14:paraId="1C2ED703" w14:textId="77777777" w:rsidR="001C1DB4" w:rsidRPr="009C5F99" w:rsidRDefault="001C1DB4" w:rsidP="001C1DB4">
      <w:pPr>
        <w:jc w:val="both"/>
        <w:rPr>
          <w:rFonts w:ascii="Arial" w:hAnsi="Arial" w:cs="Arial"/>
          <w:b/>
          <w:bCs/>
          <w:sz w:val="20"/>
          <w:szCs w:val="20"/>
        </w:rPr>
      </w:pPr>
      <w:r w:rsidRPr="009C5F99">
        <w:rPr>
          <w:rFonts w:ascii="Arial" w:hAnsi="Arial" w:cs="Arial"/>
          <w:b/>
          <w:bCs/>
          <w:sz w:val="20"/>
          <w:szCs w:val="20"/>
        </w:rPr>
        <w:t xml:space="preserve">SUBASTA INVERSA – Licitación Pública </w:t>
      </w:r>
    </w:p>
    <w:p w14:paraId="4BFB4F5A" w14:textId="77777777" w:rsidR="001C1DB4" w:rsidRPr="009C5F99" w:rsidRDefault="001C1DB4" w:rsidP="001C1DB4">
      <w:pPr>
        <w:jc w:val="both"/>
        <w:rPr>
          <w:rFonts w:ascii="Arial" w:hAnsi="Arial" w:cs="Arial"/>
          <w:sz w:val="20"/>
          <w:szCs w:val="20"/>
          <w:lang w:val="es-MX"/>
        </w:rPr>
      </w:pPr>
      <w:r w:rsidRPr="009C5F99">
        <w:rPr>
          <w:rFonts w:ascii="Arial" w:hAnsi="Arial" w:cs="Arial"/>
          <w:sz w:val="20"/>
          <w:szCs w:val="20"/>
          <w:lang w:val="es-ES"/>
        </w:rPr>
        <w:t>[…]</w:t>
      </w:r>
      <w:r w:rsidRPr="009C5F99">
        <w:rPr>
          <w:rFonts w:ascii="Arial" w:hAnsi="Arial" w:cs="Arial"/>
          <w:sz w:val="20"/>
          <w:szCs w:val="20"/>
          <w:lang w:val="es-MX"/>
        </w:rPr>
        <w:t xml:space="preserve"> la posibilidad de acudir a la subasta inversa no está ligada o limitada a un tipo específico de bienes o servicios y, más bien, su utilización en un proceso de licitación pública se deriva de la voluntad discrecional de la entidad estatal contratante, la cual deberá determinar en los documentos previos si la oferta puede ser presentada, total o parcialmente, de manera dinámica mediante subasta inversa.</w:t>
      </w:r>
    </w:p>
    <w:p w14:paraId="0320118E" w14:textId="77777777" w:rsidR="001C1DB4" w:rsidRPr="009C5F99" w:rsidRDefault="001C1DB4" w:rsidP="001C1DB4">
      <w:pPr>
        <w:jc w:val="both"/>
        <w:rPr>
          <w:rFonts w:ascii="Arial" w:hAnsi="Arial" w:cs="Arial"/>
          <w:sz w:val="20"/>
          <w:szCs w:val="20"/>
          <w:lang w:val="es-MX"/>
        </w:rPr>
      </w:pPr>
      <w:r w:rsidRPr="009C5F99">
        <w:rPr>
          <w:rFonts w:ascii="Arial" w:hAnsi="Arial" w:cs="Arial"/>
          <w:sz w:val="20"/>
          <w:szCs w:val="20"/>
          <w:lang w:val="es-ES"/>
        </w:rPr>
        <w:t xml:space="preserve">[…] </w:t>
      </w:r>
      <w:r w:rsidRPr="009C5F99">
        <w:rPr>
          <w:rFonts w:ascii="Arial" w:hAnsi="Arial" w:cs="Arial"/>
          <w:sz w:val="20"/>
          <w:szCs w:val="20"/>
          <w:lang w:val="es-MX"/>
        </w:rPr>
        <w:t>la subasta inversa puede ser utilizada en dos eventos: primero, en la licitación pública, con independencia del bien o servicio a adquirir, cuando la Entidad Estatal utilice la licitación pública como mecanismo de selección del contratista y, en ejercicio de su discrecionalidad, considere que la oferta debe ser presentada de esa forma. Y, segundo, en la selección abreviada para la adquisición de bienes y servicios de características técnicas uniformes y de común utilización.</w:t>
      </w:r>
    </w:p>
    <w:p w14:paraId="004E309C" w14:textId="77777777" w:rsidR="001C1DB4" w:rsidRDefault="001C1DB4" w:rsidP="001C1DB4">
      <w:pPr>
        <w:spacing w:after="0"/>
        <w:rPr>
          <w:rFonts w:ascii="Arial" w:eastAsia="Calibri" w:hAnsi="Arial" w:cs="Arial"/>
          <w:b/>
          <w:sz w:val="20"/>
          <w:szCs w:val="20"/>
          <w:lang w:val="es-ES_tradnl"/>
        </w:rPr>
      </w:pPr>
    </w:p>
    <w:p w14:paraId="52AB70BE" w14:textId="77777777" w:rsidR="001C1DB4" w:rsidRDefault="001C1DB4" w:rsidP="001C1DB4">
      <w:pPr>
        <w:spacing w:after="0"/>
        <w:jc w:val="both"/>
        <w:rPr>
          <w:rFonts w:ascii="Arial" w:hAnsi="Arial" w:cs="Arial"/>
          <w:b/>
          <w:bCs/>
          <w:sz w:val="20"/>
          <w:szCs w:val="20"/>
          <w:lang w:val="es-MX"/>
        </w:rPr>
      </w:pPr>
      <w:r>
        <w:rPr>
          <w:rFonts w:ascii="Arial" w:eastAsia="Calibri" w:hAnsi="Arial" w:cs="Arial"/>
          <w:b/>
          <w:sz w:val="20"/>
          <w:szCs w:val="20"/>
          <w:lang w:val="es-ES_tradnl"/>
        </w:rPr>
        <w:t>SUBASTA INVERSA –</w:t>
      </w:r>
      <w:r>
        <w:rPr>
          <w:rFonts w:ascii="Arial" w:eastAsia="Calibri" w:hAnsi="Arial" w:cs="Arial"/>
          <w:bCs/>
          <w:lang w:val="es-ES_tradnl"/>
        </w:rPr>
        <w:t xml:space="preserve"> </w:t>
      </w:r>
      <w:r w:rsidRPr="000415FA">
        <w:rPr>
          <w:rFonts w:ascii="Arial" w:eastAsia="Calibri" w:hAnsi="Arial" w:cs="Arial"/>
          <w:b/>
          <w:bCs/>
          <w:sz w:val="20"/>
          <w:szCs w:val="20"/>
          <w:lang w:val="es-ES_tradnl"/>
        </w:rPr>
        <w:t xml:space="preserve">Selección abreviada </w:t>
      </w:r>
      <w:r w:rsidRPr="000415FA">
        <w:rPr>
          <w:rFonts w:ascii="Arial" w:hAnsi="Arial" w:cs="Arial"/>
          <w:b/>
          <w:bCs/>
          <w:sz w:val="20"/>
          <w:szCs w:val="20"/>
          <w:lang w:val="es-MX"/>
        </w:rPr>
        <w:t>adquisición de bienes y servicios de características técnicas uniformes y de común utilización</w:t>
      </w:r>
    </w:p>
    <w:p w14:paraId="16110FF9" w14:textId="77777777" w:rsidR="001C1DB4" w:rsidRDefault="001C1DB4" w:rsidP="001C1DB4">
      <w:pPr>
        <w:spacing w:after="0"/>
        <w:jc w:val="both"/>
        <w:rPr>
          <w:rFonts w:ascii="Arial" w:eastAsia="Calibri" w:hAnsi="Arial" w:cs="Arial"/>
          <w:b/>
          <w:sz w:val="20"/>
          <w:szCs w:val="20"/>
          <w:lang w:val="es-ES_tradnl"/>
        </w:rPr>
      </w:pPr>
    </w:p>
    <w:p w14:paraId="279E7CB4" w14:textId="77777777" w:rsidR="001C1DB4" w:rsidRPr="000415FA" w:rsidRDefault="001C1DB4" w:rsidP="001C1DB4">
      <w:pPr>
        <w:autoSpaceDE w:val="0"/>
        <w:autoSpaceDN w:val="0"/>
        <w:adjustRightInd w:val="0"/>
        <w:spacing w:after="120" w:line="276" w:lineRule="auto"/>
        <w:jc w:val="both"/>
        <w:rPr>
          <w:rFonts w:ascii="Arial" w:hAnsi="Arial" w:cs="Arial"/>
          <w:sz w:val="20"/>
          <w:szCs w:val="20"/>
          <w:lang w:val="es-MX"/>
        </w:rPr>
      </w:pPr>
      <w:r w:rsidRPr="000415FA">
        <w:rPr>
          <w:rFonts w:ascii="Arial" w:hAnsi="Arial" w:cs="Arial"/>
          <w:sz w:val="20"/>
          <w:szCs w:val="20"/>
          <w:lang w:val="es-ES"/>
        </w:rPr>
        <w:t xml:space="preserve">[…] </w:t>
      </w:r>
      <w:r w:rsidRPr="000415FA">
        <w:rPr>
          <w:rFonts w:ascii="Arial" w:hAnsi="Arial" w:cs="Arial"/>
          <w:sz w:val="20"/>
          <w:szCs w:val="20"/>
          <w:lang w:val="es-MX"/>
        </w:rPr>
        <w:t>Así las cosas, como se desprende de la disposición citada, la utilización de la subasta inversa en la selección abreviada está plenamente ligada con el tipo o la naturaleza de los bienes o servicios a adquirir. En este sentido, el artículo 2.2.1.2.1.2.2. del Decreto 1082 de 2015 indica que, en la selección abreviada para la adquisición de bienes y servicios de características técnicas uniformes por subasta inversa, además de las reglas generales previstas en la ley y en el ese título del Decreto deben observarse las reglas específicas allí enunciadas. De este modo, queda claro que para recurrir a la subasta inversa en la selección abreviada es determinante la naturaleza de los bienes y servicios que se pretenden adquirir.</w:t>
      </w:r>
      <w:r>
        <w:rPr>
          <w:rFonts w:ascii="Arial" w:hAnsi="Arial" w:cs="Arial"/>
          <w:sz w:val="20"/>
          <w:szCs w:val="20"/>
          <w:lang w:val="es-MX"/>
        </w:rPr>
        <w:t xml:space="preserve"> </w:t>
      </w:r>
      <w:r w:rsidRPr="000415FA">
        <w:rPr>
          <w:rFonts w:ascii="Arial" w:hAnsi="Arial" w:cs="Arial"/>
          <w:sz w:val="20"/>
          <w:szCs w:val="20"/>
          <w:lang w:val="es-ES"/>
        </w:rPr>
        <w:t>[…]</w:t>
      </w:r>
    </w:p>
    <w:p w14:paraId="0622D68B" w14:textId="77777777" w:rsidR="001C1DB4" w:rsidRPr="000415FA" w:rsidRDefault="001C1DB4" w:rsidP="001C1DB4">
      <w:pPr>
        <w:spacing w:after="0"/>
        <w:rPr>
          <w:rFonts w:ascii="Arial" w:eastAsia="Calibri" w:hAnsi="Arial" w:cs="Arial"/>
          <w:b/>
          <w:sz w:val="20"/>
          <w:szCs w:val="20"/>
          <w:lang w:val="es-ES_tradnl"/>
        </w:rPr>
      </w:pPr>
    </w:p>
    <w:p w14:paraId="018D3B1D" w14:textId="77777777" w:rsidR="001C1DB4" w:rsidRPr="009C5F99" w:rsidRDefault="001C1DB4" w:rsidP="001C1DB4">
      <w:pPr>
        <w:jc w:val="both"/>
        <w:rPr>
          <w:rFonts w:ascii="Arial" w:eastAsia="Calibri" w:hAnsi="Arial" w:cs="Arial"/>
          <w:b/>
          <w:bCs/>
          <w:sz w:val="20"/>
          <w:szCs w:val="20"/>
        </w:rPr>
      </w:pPr>
      <w:r w:rsidRPr="009C5F99">
        <w:rPr>
          <w:rFonts w:ascii="Arial" w:eastAsia="Calibri" w:hAnsi="Arial" w:cs="Arial"/>
          <w:b/>
          <w:bCs/>
          <w:sz w:val="20"/>
          <w:szCs w:val="20"/>
        </w:rPr>
        <w:t>LICITACIÓN PÚBLICA – Procedimiento – Estructura – Etapas generales</w:t>
      </w:r>
      <w:r>
        <w:rPr>
          <w:rFonts w:ascii="Arial" w:eastAsia="Calibri" w:hAnsi="Arial" w:cs="Arial"/>
          <w:b/>
          <w:bCs/>
          <w:sz w:val="20"/>
          <w:szCs w:val="20"/>
        </w:rPr>
        <w:t xml:space="preserve"> – Evaluación de ofertas - Observaciones</w:t>
      </w:r>
    </w:p>
    <w:p w14:paraId="222165E2" w14:textId="77777777" w:rsidR="001C1DB4" w:rsidRPr="000415FA" w:rsidRDefault="001C1DB4" w:rsidP="001C1DB4">
      <w:pPr>
        <w:autoSpaceDE w:val="0"/>
        <w:autoSpaceDN w:val="0"/>
        <w:adjustRightInd w:val="0"/>
        <w:spacing w:after="120" w:line="276" w:lineRule="auto"/>
        <w:jc w:val="both"/>
        <w:rPr>
          <w:rFonts w:ascii="Arial" w:hAnsi="Arial" w:cs="Arial"/>
          <w:sz w:val="20"/>
          <w:szCs w:val="20"/>
          <w:lang w:val="es-MX"/>
        </w:rPr>
      </w:pPr>
      <w:r w:rsidRPr="009C5F99">
        <w:rPr>
          <w:rFonts w:ascii="Arial" w:hAnsi="Arial" w:cs="Arial"/>
          <w:color w:val="000000" w:themeColor="text1"/>
          <w:sz w:val="20"/>
          <w:szCs w:val="20"/>
          <w:lang w:val="es-ES_tradnl"/>
        </w:rPr>
        <w:t>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w:t>
      </w:r>
      <w:r>
        <w:rPr>
          <w:rFonts w:ascii="Arial" w:hAnsi="Arial" w:cs="Arial"/>
          <w:color w:val="000000" w:themeColor="text1"/>
          <w:sz w:val="20"/>
          <w:szCs w:val="20"/>
          <w:lang w:val="es-ES_tradnl"/>
        </w:rPr>
        <w:t xml:space="preserve"> </w:t>
      </w:r>
      <w:r w:rsidRPr="000415FA">
        <w:rPr>
          <w:rFonts w:ascii="Arial" w:hAnsi="Arial" w:cs="Arial"/>
          <w:sz w:val="20"/>
          <w:szCs w:val="20"/>
          <w:lang w:val="es-ES"/>
        </w:rPr>
        <w:t>[…]</w:t>
      </w:r>
    </w:p>
    <w:p w14:paraId="764E583B" w14:textId="77777777" w:rsidR="001C1DB4" w:rsidRPr="009C5F99" w:rsidRDefault="001C1DB4" w:rsidP="001C1DB4">
      <w:pPr>
        <w:jc w:val="both"/>
        <w:rPr>
          <w:rFonts w:ascii="Arial" w:hAnsi="Arial" w:cs="Arial"/>
          <w:color w:val="000000" w:themeColor="text1"/>
          <w:sz w:val="20"/>
          <w:szCs w:val="20"/>
          <w:lang w:val="es-ES_tradnl"/>
        </w:rPr>
      </w:pPr>
    </w:p>
    <w:p w14:paraId="369BBF91" w14:textId="77777777" w:rsidR="001C1DB4" w:rsidRPr="009C5F99" w:rsidRDefault="001C1DB4" w:rsidP="001C1DB4">
      <w:pPr>
        <w:spacing w:after="0"/>
        <w:rPr>
          <w:rFonts w:ascii="Arial" w:hAnsi="Arial" w:cs="Arial"/>
          <w:sz w:val="20"/>
          <w:szCs w:val="20"/>
        </w:rPr>
      </w:pPr>
    </w:p>
    <w:p w14:paraId="1010DDBE" w14:textId="77777777" w:rsidR="001C1DB4" w:rsidRPr="009C5F99" w:rsidRDefault="001C1DB4" w:rsidP="001C1DB4">
      <w:pPr>
        <w:jc w:val="both"/>
        <w:rPr>
          <w:rFonts w:ascii="Arial" w:hAnsi="Arial" w:cs="Arial"/>
          <w:color w:val="000000" w:themeColor="text1"/>
          <w:sz w:val="20"/>
          <w:szCs w:val="20"/>
          <w:lang w:val="es-ES_tradnl"/>
        </w:rPr>
      </w:pPr>
      <w:r w:rsidRPr="000415FA">
        <w:rPr>
          <w:rFonts w:ascii="Arial" w:hAnsi="Arial" w:cs="Arial"/>
          <w:sz w:val="20"/>
          <w:szCs w:val="20"/>
          <w:lang w:val="es-ES"/>
        </w:rPr>
        <w:lastRenderedPageBreak/>
        <w:t>[…]</w:t>
      </w:r>
      <w:r>
        <w:rPr>
          <w:rFonts w:ascii="Arial" w:hAnsi="Arial" w:cs="Arial"/>
          <w:sz w:val="20"/>
          <w:szCs w:val="20"/>
          <w:lang w:val="es-ES"/>
        </w:rPr>
        <w:t xml:space="preserve"> </w:t>
      </w:r>
      <w:r w:rsidRPr="009C5F99">
        <w:rPr>
          <w:rFonts w:ascii="Arial" w:hAnsi="Arial" w:cs="Arial"/>
          <w:color w:val="000000" w:themeColor="text1"/>
          <w:sz w:val="20"/>
          <w:szCs w:val="20"/>
          <w:lang w:val="es-ES_tradnl"/>
        </w:rPr>
        <w:t xml:space="preserve">Una vez precluida la oportunidad para presentar ofertas, en el plazo que señala el pliego de condiciones −numeral 7−, el comité evaluador de la entidad realizará </w:t>
      </w:r>
      <w:r>
        <w:rPr>
          <w:rFonts w:ascii="Arial" w:hAnsi="Arial" w:cs="Arial"/>
          <w:color w:val="000000" w:themeColor="text1"/>
          <w:sz w:val="20"/>
          <w:szCs w:val="20"/>
          <w:lang w:val="es-ES_tradnl"/>
        </w:rPr>
        <w:t>“</w:t>
      </w:r>
      <w:r w:rsidRPr="009C5F99">
        <w:rPr>
          <w:rFonts w:ascii="Arial" w:hAnsi="Arial" w:cs="Arial"/>
          <w:color w:val="000000" w:themeColor="text1"/>
          <w:sz w:val="20"/>
          <w:szCs w:val="20"/>
          <w:lang w:val="es-ES_tradnl"/>
        </w:rPr>
        <w:t>los estudios técnicos, económicos y jurídicos necesarios para la evaluación de las propuestas</w:t>
      </w:r>
      <w:r>
        <w:rPr>
          <w:rFonts w:ascii="Arial" w:hAnsi="Arial" w:cs="Arial"/>
          <w:color w:val="000000" w:themeColor="text1"/>
          <w:sz w:val="20"/>
          <w:szCs w:val="20"/>
          <w:lang w:val="es-ES_tradnl"/>
        </w:rPr>
        <w:t xml:space="preserve">” </w:t>
      </w:r>
      <w:r w:rsidRPr="009C5F99">
        <w:rPr>
          <w:rFonts w:ascii="Arial" w:hAnsi="Arial" w:cs="Arial"/>
          <w:color w:val="000000" w:themeColor="text1"/>
          <w:sz w:val="20"/>
          <w:szCs w:val="20"/>
          <w:lang w:val="es-ES_tradnl"/>
        </w:rPr>
        <w:t>y además podrá pedir a los proponentes las aclaraciones y explicaciones que considere pertinentes.</w:t>
      </w:r>
    </w:p>
    <w:p w14:paraId="7217811C" w14:textId="77777777" w:rsidR="001C1DB4" w:rsidRPr="00173EB7" w:rsidRDefault="001C1DB4" w:rsidP="001C1DB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w:t>
      </w:r>
    </w:p>
    <w:p w14:paraId="0AC10D21" w14:textId="77777777" w:rsidR="001C1DB4" w:rsidRPr="00173EB7" w:rsidRDefault="001C1DB4" w:rsidP="001C1DB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w:t>
      </w:r>
    </w:p>
    <w:p w14:paraId="2B216B81" w14:textId="77777777" w:rsidR="001C1DB4" w:rsidRPr="00173EB7" w:rsidRDefault="001C1DB4" w:rsidP="001C1DB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Esta instancia está prevista para corregir errores en la evaluación y su fin esencial es «hacerle ver a la entidad los errores que pudo haber cometido en procura de corregirlos y así adoptar la decisión que realmente se ajuste a derecho</w:t>
      </w:r>
      <w:r>
        <w:rPr>
          <w:rFonts w:ascii="Arial" w:hAnsi="Arial" w:cs="Arial"/>
          <w:color w:val="000000" w:themeColor="text1"/>
          <w:sz w:val="20"/>
          <w:szCs w:val="20"/>
          <w:lang w:val="es-ES_tradnl"/>
        </w:rPr>
        <w:t>”</w:t>
      </w:r>
      <w:r w:rsidRPr="00173EB7">
        <w:rPr>
          <w:rFonts w:ascii="Arial" w:hAnsi="Arial" w:cs="Arial"/>
          <w:color w:val="000000" w:themeColor="text1"/>
          <w:sz w:val="20"/>
          <w:szCs w:val="20"/>
          <w:lang w:val="es-ES_tradnl"/>
        </w:rPr>
        <w:t xml:space="preserve">. </w:t>
      </w:r>
    </w:p>
    <w:p w14:paraId="3C25F666" w14:textId="77777777" w:rsidR="001C1DB4" w:rsidRPr="00173EB7" w:rsidRDefault="001C1DB4" w:rsidP="001C1DB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En la primera hipótesis, regulada por el parágrafo 3 del artículo 30 de la Ley 80 de 1993, adicionado por el artículo 1 de la Ley 1882 de 2018, la entidad deberá publicar el informe de evaluación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informe final de evaluación de los requisitos habilitantes y los requisitos objeto de puntuación, distintos a la oferta económica.</w:t>
      </w:r>
    </w:p>
    <w:p w14:paraId="176A8C49" w14:textId="77777777" w:rsidR="001C1DB4" w:rsidRDefault="001C1DB4" w:rsidP="001C1DB4">
      <w:pPr>
        <w:spacing w:after="0"/>
        <w:rPr>
          <w:rFonts w:ascii="Arial" w:hAnsi="Arial" w:cs="Arial"/>
        </w:rPr>
      </w:pPr>
    </w:p>
    <w:p w14:paraId="6D948F34" w14:textId="77777777" w:rsidR="001C1DB4" w:rsidRDefault="001C1DB4" w:rsidP="001C1DB4">
      <w:pPr>
        <w:spacing w:after="0"/>
        <w:rPr>
          <w:rFonts w:ascii="Arial" w:hAnsi="Arial" w:cs="Arial"/>
        </w:rPr>
      </w:pPr>
    </w:p>
    <w:p w14:paraId="7746B10D" w14:textId="77777777" w:rsidR="001C1DB4" w:rsidRDefault="001C1DB4" w:rsidP="001C1DB4">
      <w:pPr>
        <w:spacing w:after="0"/>
        <w:rPr>
          <w:rFonts w:ascii="Arial" w:hAnsi="Arial" w:cs="Arial"/>
        </w:rPr>
      </w:pPr>
    </w:p>
    <w:p w14:paraId="6E0346F7" w14:textId="77777777" w:rsidR="001C1DB4" w:rsidRDefault="001C1DB4" w:rsidP="001C1DB4"/>
    <w:p w14:paraId="7ECA3C06" w14:textId="0EC66CB1" w:rsidR="00C55426" w:rsidRDefault="00C55426" w:rsidP="009261E4">
      <w:pPr>
        <w:spacing w:after="0"/>
        <w:rPr>
          <w:rFonts w:ascii="Arial" w:hAnsi="Arial" w:cs="Arial"/>
        </w:rPr>
      </w:pPr>
    </w:p>
    <w:p w14:paraId="6D44789F" w14:textId="76D4600C" w:rsidR="001C1DB4" w:rsidRDefault="001C1DB4" w:rsidP="009261E4">
      <w:pPr>
        <w:spacing w:after="0"/>
        <w:rPr>
          <w:rFonts w:ascii="Arial" w:hAnsi="Arial" w:cs="Arial"/>
        </w:rPr>
      </w:pPr>
    </w:p>
    <w:p w14:paraId="4C75A8F7" w14:textId="58DFE844" w:rsidR="001C1DB4" w:rsidRDefault="001C1DB4" w:rsidP="009261E4">
      <w:pPr>
        <w:spacing w:after="0"/>
        <w:rPr>
          <w:rFonts w:ascii="Arial" w:hAnsi="Arial" w:cs="Arial"/>
        </w:rPr>
      </w:pPr>
    </w:p>
    <w:p w14:paraId="20DE5F0F" w14:textId="0DF17A93" w:rsidR="001C1DB4" w:rsidRDefault="001C1DB4" w:rsidP="009261E4">
      <w:pPr>
        <w:spacing w:after="0"/>
        <w:rPr>
          <w:rFonts w:ascii="Arial" w:hAnsi="Arial" w:cs="Arial"/>
        </w:rPr>
      </w:pPr>
    </w:p>
    <w:p w14:paraId="03F80EC1" w14:textId="5E5AC22D" w:rsidR="001C1DB4" w:rsidRDefault="001C1DB4" w:rsidP="009261E4">
      <w:pPr>
        <w:spacing w:after="0"/>
        <w:rPr>
          <w:rFonts w:ascii="Arial" w:hAnsi="Arial" w:cs="Arial"/>
        </w:rPr>
      </w:pPr>
    </w:p>
    <w:p w14:paraId="5AD81DCD" w14:textId="2FFC1911" w:rsidR="001C1DB4" w:rsidRDefault="001C1DB4" w:rsidP="009261E4">
      <w:pPr>
        <w:spacing w:after="0"/>
        <w:rPr>
          <w:rFonts w:ascii="Arial" w:hAnsi="Arial" w:cs="Arial"/>
        </w:rPr>
      </w:pPr>
    </w:p>
    <w:p w14:paraId="755A619C" w14:textId="275FA5F8" w:rsidR="001C1DB4" w:rsidRDefault="001C1DB4" w:rsidP="009261E4">
      <w:pPr>
        <w:spacing w:after="0"/>
        <w:rPr>
          <w:rFonts w:ascii="Arial" w:hAnsi="Arial" w:cs="Arial"/>
        </w:rPr>
      </w:pPr>
    </w:p>
    <w:p w14:paraId="1B6EDE28" w14:textId="074D6DD1" w:rsidR="001C1DB4" w:rsidRDefault="001C1DB4" w:rsidP="009261E4">
      <w:pPr>
        <w:spacing w:after="0"/>
        <w:rPr>
          <w:rFonts w:ascii="Arial" w:hAnsi="Arial" w:cs="Arial"/>
        </w:rPr>
      </w:pPr>
    </w:p>
    <w:p w14:paraId="407A90C4" w14:textId="39107EA1" w:rsidR="001C1DB4" w:rsidRDefault="001C1DB4" w:rsidP="009261E4">
      <w:pPr>
        <w:spacing w:after="0"/>
        <w:rPr>
          <w:rFonts w:ascii="Arial" w:hAnsi="Arial" w:cs="Arial"/>
        </w:rPr>
      </w:pPr>
    </w:p>
    <w:p w14:paraId="48D6AEA5" w14:textId="6EF6C6B5" w:rsidR="001C1DB4" w:rsidRDefault="001C1DB4" w:rsidP="009261E4">
      <w:pPr>
        <w:spacing w:after="0"/>
        <w:rPr>
          <w:rFonts w:ascii="Arial" w:hAnsi="Arial" w:cs="Arial"/>
        </w:rPr>
      </w:pPr>
    </w:p>
    <w:p w14:paraId="0C31F4A2" w14:textId="77777777" w:rsidR="001C1DB4" w:rsidRDefault="001C1DB4" w:rsidP="009261E4">
      <w:pPr>
        <w:spacing w:after="0"/>
        <w:rPr>
          <w:rFonts w:ascii="Arial" w:hAnsi="Arial" w:cs="Arial"/>
        </w:rPr>
      </w:pPr>
    </w:p>
    <w:p w14:paraId="1FE12AAC" w14:textId="77777777" w:rsidR="001C1DB4" w:rsidRDefault="001C1DB4" w:rsidP="009261E4">
      <w:pPr>
        <w:spacing w:after="0"/>
        <w:rPr>
          <w:rFonts w:ascii="Arial" w:hAnsi="Arial" w:cs="Arial"/>
        </w:rPr>
      </w:pPr>
    </w:p>
    <w:p w14:paraId="651A27E3" w14:textId="4F0DB09C" w:rsidR="009261E4" w:rsidRPr="00322A85" w:rsidRDefault="009261E4" w:rsidP="009261E4">
      <w:pPr>
        <w:spacing w:after="0"/>
        <w:rPr>
          <w:rFonts w:ascii="Century Gothic" w:hAnsi="Century Gothic"/>
        </w:rPr>
      </w:pPr>
      <w:r w:rsidRPr="00322A85">
        <w:rPr>
          <w:rFonts w:ascii="Century Gothic" w:hAnsi="Century Gothic"/>
        </w:rPr>
        <w:t xml:space="preserve">Bogotá D.C., </w:t>
      </w:r>
      <w:r w:rsidR="001C1DB4">
        <w:rPr>
          <w:rFonts w:ascii="Century Gothic" w:hAnsi="Century Gothic"/>
        </w:rPr>
        <w:t>27 de octubre de 2023</w:t>
      </w:r>
    </w:p>
    <w:p w14:paraId="37792E05" w14:textId="480ED741" w:rsidR="009261E4" w:rsidRDefault="009261E4" w:rsidP="009261E4">
      <w:pPr>
        <w:spacing w:after="0"/>
        <w:rPr>
          <w:rFonts w:ascii="Arial" w:hAnsi="Arial" w:cs="Arial"/>
        </w:rPr>
      </w:pPr>
    </w:p>
    <w:p w14:paraId="7C64C542" w14:textId="3100DAA2" w:rsidR="00806658" w:rsidRDefault="00806658" w:rsidP="009261E4">
      <w:pPr>
        <w:spacing w:after="0"/>
        <w:rPr>
          <w:rFonts w:ascii="Arial" w:hAnsi="Arial" w:cs="Arial"/>
        </w:rPr>
      </w:pPr>
    </w:p>
    <w:p w14:paraId="08D03EEA" w14:textId="4D9302FC" w:rsidR="00806658" w:rsidRDefault="00806658" w:rsidP="00806658">
      <w:pPr>
        <w:spacing w:after="0"/>
        <w:jc w:val="right"/>
        <w:rPr>
          <w:rFonts w:ascii="Arial" w:hAnsi="Arial" w:cs="Arial"/>
        </w:rPr>
      </w:pPr>
      <w:r w:rsidRPr="00806658">
        <w:rPr>
          <w:rFonts w:ascii="Arial" w:hAnsi="Arial" w:cs="Arial"/>
        </w:rPr>
        <w:drawing>
          <wp:inline distT="0" distB="0" distL="0" distR="0" wp14:anchorId="1BE6597D" wp14:editId="6F03BF03">
            <wp:extent cx="2080440" cy="640135"/>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0440" cy="640135"/>
                    </a:xfrm>
                    <a:prstGeom prst="rect">
                      <a:avLst/>
                    </a:prstGeom>
                  </pic:spPr>
                </pic:pic>
              </a:graphicData>
            </a:graphic>
          </wp:inline>
        </w:drawing>
      </w:r>
      <w:bookmarkStart w:id="0" w:name="_GoBack"/>
      <w:bookmarkEnd w:id="0"/>
    </w:p>
    <w:p w14:paraId="3EE747A3" w14:textId="77777777" w:rsidR="009261E4" w:rsidRPr="009303FD" w:rsidRDefault="009261E4" w:rsidP="009261E4">
      <w:pPr>
        <w:spacing w:after="0"/>
        <w:rPr>
          <w:rFonts w:ascii="Arial" w:hAnsi="Arial" w:cs="Arial"/>
        </w:rPr>
      </w:pPr>
    </w:p>
    <w:p w14:paraId="49B41F8A" w14:textId="77777777" w:rsidR="00FD72B7" w:rsidRPr="00D86A58" w:rsidRDefault="00FD72B7" w:rsidP="00FD72B7">
      <w:pPr>
        <w:spacing w:after="0"/>
        <w:rPr>
          <w:rFonts w:ascii="Arial" w:eastAsia="Geomanist Light" w:hAnsi="Arial" w:cs="Arial"/>
          <w:lang w:val="es-MX"/>
        </w:rPr>
      </w:pPr>
      <w:bookmarkStart w:id="1" w:name="_Hlk34951122"/>
      <w:r w:rsidRPr="00D86A58">
        <w:rPr>
          <w:rFonts w:ascii="Arial" w:eastAsia="Calibri" w:hAnsi="Arial" w:cs="Arial"/>
          <w:lang w:val="es-ES"/>
        </w:rPr>
        <w:t>Señor</w:t>
      </w:r>
      <w:r>
        <w:rPr>
          <w:rFonts w:ascii="Arial" w:eastAsia="Calibri" w:hAnsi="Arial" w:cs="Arial"/>
          <w:lang w:val="es-ES"/>
        </w:rPr>
        <w:t>es</w:t>
      </w:r>
    </w:p>
    <w:p w14:paraId="1E2ADD7B" w14:textId="77777777" w:rsidR="00FD72B7" w:rsidRPr="00D86A58" w:rsidRDefault="00FD72B7" w:rsidP="00FD72B7">
      <w:pPr>
        <w:spacing w:after="0" w:line="276" w:lineRule="auto"/>
        <w:rPr>
          <w:rFonts w:ascii="Arial" w:eastAsia="Calibri" w:hAnsi="Arial" w:cs="Arial"/>
          <w:b/>
          <w:bCs/>
          <w:lang w:val="es-MX"/>
        </w:rPr>
      </w:pPr>
      <w:r>
        <w:rPr>
          <w:rFonts w:ascii="Arial" w:eastAsia="Calibri" w:hAnsi="Arial" w:cs="Arial"/>
          <w:b/>
          <w:bCs/>
          <w:lang w:val="es-MX"/>
        </w:rPr>
        <w:t>Alcaldía del Municipio de Pitalito</w:t>
      </w:r>
    </w:p>
    <w:p w14:paraId="6D7F842F" w14:textId="77777777" w:rsidR="00FD72B7" w:rsidRDefault="00FD72B7" w:rsidP="00FD72B7">
      <w:pPr>
        <w:spacing w:after="0" w:line="276" w:lineRule="auto"/>
        <w:rPr>
          <w:rStyle w:val="Hipervnculo"/>
          <w:rFonts w:ascii="Arial" w:hAnsi="Arial" w:cs="Arial"/>
          <w:lang w:val="es-MX"/>
        </w:rPr>
      </w:pPr>
      <w:r w:rsidRPr="00881F31">
        <w:rPr>
          <w:rStyle w:val="Hipervnculo"/>
          <w:rFonts w:ascii="Arial" w:hAnsi="Arial" w:cs="Arial"/>
          <w:lang w:val="es-MX"/>
        </w:rPr>
        <w:t>contratacion@alcaldiapitalito.gov.co</w:t>
      </w:r>
    </w:p>
    <w:p w14:paraId="4FFEEA5F" w14:textId="77777777" w:rsidR="00FD72B7" w:rsidRPr="00D86A58" w:rsidRDefault="00FD72B7" w:rsidP="00FD72B7">
      <w:pPr>
        <w:spacing w:after="0" w:line="276" w:lineRule="auto"/>
        <w:rPr>
          <w:rFonts w:ascii="Arial" w:eastAsia="Calibri" w:hAnsi="Arial" w:cs="Arial"/>
          <w:lang w:val="es-MX"/>
        </w:rPr>
      </w:pPr>
      <w:r>
        <w:rPr>
          <w:rFonts w:ascii="Arial" w:eastAsia="Calibri" w:hAnsi="Arial" w:cs="Arial"/>
          <w:lang w:val="es-MX"/>
        </w:rPr>
        <w:t>Pitalito, Huila</w:t>
      </w:r>
    </w:p>
    <w:p w14:paraId="01721C8D" w14:textId="77777777" w:rsidR="00FD72B7" w:rsidRPr="009303FD" w:rsidRDefault="00FD72B7" w:rsidP="00FD72B7">
      <w:pPr>
        <w:spacing w:after="0" w:line="276" w:lineRule="auto"/>
        <w:rPr>
          <w:rFonts w:ascii="Arial" w:hAnsi="Arial" w:cs="Arial"/>
          <w:lang w:val="es-MX"/>
        </w:rPr>
      </w:pPr>
    </w:p>
    <w:p w14:paraId="11BDFF21" w14:textId="77777777" w:rsidR="009261E4" w:rsidRPr="009303FD" w:rsidRDefault="009261E4" w:rsidP="0087648E">
      <w:pPr>
        <w:spacing w:after="0" w:line="276" w:lineRule="auto"/>
        <w:ind w:left="2124" w:firstLine="708"/>
        <w:rPr>
          <w:rFonts w:ascii="Arial" w:eastAsia="Calibri" w:hAnsi="Arial" w:cs="Arial"/>
          <w:b/>
          <w:bCs/>
          <w:lang w:val="es-ES"/>
        </w:rPr>
      </w:pPr>
      <w:r w:rsidRPr="009303FD">
        <w:rPr>
          <w:rFonts w:ascii="Arial" w:eastAsia="Calibri" w:hAnsi="Arial" w:cs="Arial"/>
          <w:b/>
          <w:bCs/>
          <w:lang w:val="es-ES"/>
        </w:rPr>
        <w:t>Concepto C-</w:t>
      </w:r>
      <w:r>
        <w:rPr>
          <w:rFonts w:ascii="Arial" w:eastAsia="Calibri" w:hAnsi="Arial" w:cs="Arial"/>
          <w:b/>
          <w:bCs/>
          <w:lang w:val="es-ES"/>
        </w:rPr>
        <w:t>456</w:t>
      </w:r>
      <w:r w:rsidRPr="009303FD">
        <w:rPr>
          <w:rFonts w:ascii="Arial" w:eastAsia="Calibri" w:hAnsi="Arial" w:cs="Arial"/>
          <w:b/>
          <w:bCs/>
          <w:lang w:val="es-ES"/>
        </w:rPr>
        <w:t xml:space="preserve"> del 2023</w:t>
      </w:r>
    </w:p>
    <w:p w14:paraId="40F1476B" w14:textId="77777777" w:rsidR="009261E4" w:rsidRPr="009303FD" w:rsidRDefault="009261E4" w:rsidP="009261E4">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261E4" w:rsidRPr="009303FD" w14:paraId="522B8ADE" w14:textId="77777777">
        <w:trPr>
          <w:jc w:val="right"/>
        </w:trPr>
        <w:tc>
          <w:tcPr>
            <w:tcW w:w="1838" w:type="dxa"/>
          </w:tcPr>
          <w:p w14:paraId="034D9C38" w14:textId="77777777" w:rsidR="009261E4" w:rsidRPr="009303FD" w:rsidRDefault="009261E4">
            <w:pPr>
              <w:spacing w:line="276" w:lineRule="auto"/>
              <w:jc w:val="center"/>
              <w:rPr>
                <w:rFonts w:ascii="Arial" w:eastAsia="Calibri" w:hAnsi="Arial" w:cs="Arial"/>
                <w:lang w:val="es-ES_tradnl"/>
              </w:rPr>
            </w:pPr>
            <w:r w:rsidRPr="009303FD">
              <w:rPr>
                <w:rFonts w:ascii="Arial" w:eastAsia="Calibri" w:hAnsi="Arial" w:cs="Arial"/>
                <w:b/>
                <w:lang w:val="es-ES_tradnl"/>
              </w:rPr>
              <w:t>Temas:</w:t>
            </w:r>
          </w:p>
        </w:tc>
        <w:tc>
          <w:tcPr>
            <w:tcW w:w="6237" w:type="dxa"/>
          </w:tcPr>
          <w:p w14:paraId="536EBEF3" w14:textId="77777777" w:rsidR="009261E4" w:rsidRPr="00871845" w:rsidRDefault="009261E4">
            <w:pPr>
              <w:jc w:val="both"/>
              <w:rPr>
                <w:rFonts w:ascii="Arial" w:eastAsia="Calibri" w:hAnsi="Arial" w:cs="Arial"/>
                <w:b/>
                <w:sz w:val="20"/>
                <w:szCs w:val="20"/>
                <w:lang w:val="es-ES_tradnl"/>
              </w:rPr>
            </w:pPr>
            <w:r w:rsidRPr="002F6F9D">
              <w:rPr>
                <w:rFonts w:ascii="Arial" w:eastAsia="Calibri" w:hAnsi="Arial" w:cs="Arial"/>
                <w:bCs/>
                <w:lang w:val="es-ES_tradnl"/>
              </w:rPr>
              <w:t xml:space="preserve">SUBASTA INVERSA – Licitación Pública / SUBASTA INVERSA - </w:t>
            </w:r>
            <w:r w:rsidRPr="000415FA">
              <w:rPr>
                <w:rFonts w:ascii="Arial" w:eastAsia="Calibri" w:hAnsi="Arial" w:cs="Arial"/>
                <w:bCs/>
                <w:lang w:val="es-ES_tradnl"/>
              </w:rPr>
              <w:t>Selección abreviada adquisición de</w:t>
            </w:r>
            <w:r w:rsidRPr="000415FA">
              <w:rPr>
                <w:rFonts w:ascii="Arial" w:hAnsi="Arial" w:cs="Arial"/>
                <w:bCs/>
                <w:lang w:val="es-MX"/>
              </w:rPr>
              <w:t xml:space="preserve"> bienes y servicios de características técnicas uniformes y de común utilización</w:t>
            </w:r>
            <w:r>
              <w:rPr>
                <w:rFonts w:ascii="Arial" w:hAnsi="Arial" w:cs="Arial"/>
                <w:bCs/>
                <w:lang w:val="es-MX"/>
              </w:rPr>
              <w:t xml:space="preserve"> </w:t>
            </w:r>
            <w:r w:rsidRPr="000415FA">
              <w:rPr>
                <w:rFonts w:ascii="Arial" w:eastAsia="Calibri" w:hAnsi="Arial" w:cs="Arial"/>
                <w:bCs/>
                <w:lang w:val="es-ES_tradnl"/>
              </w:rPr>
              <w:t xml:space="preserve">/ </w:t>
            </w:r>
            <w:r w:rsidRPr="00E842A7">
              <w:rPr>
                <w:rFonts w:ascii="Arial" w:eastAsia="Calibri" w:hAnsi="Arial" w:cs="Arial"/>
                <w:bCs/>
              </w:rPr>
              <w:t>LICITACIÓN PÚBLICA – Procedimiento – Estructura – Etapas</w:t>
            </w:r>
            <w:r>
              <w:rPr>
                <w:rFonts w:ascii="Arial" w:eastAsia="Calibri" w:hAnsi="Arial" w:cs="Arial"/>
                <w:bCs/>
              </w:rPr>
              <w:t xml:space="preserve"> </w:t>
            </w:r>
            <w:r w:rsidRPr="00E842A7">
              <w:rPr>
                <w:rFonts w:ascii="Arial" w:eastAsia="Calibri" w:hAnsi="Arial" w:cs="Arial"/>
                <w:bCs/>
              </w:rPr>
              <w:t>– Evaluación de ofertas – Observaciones</w:t>
            </w:r>
          </w:p>
          <w:p w14:paraId="5AA0495E" w14:textId="77777777" w:rsidR="009261E4" w:rsidRPr="009303FD" w:rsidRDefault="009261E4">
            <w:pPr>
              <w:jc w:val="both"/>
              <w:rPr>
                <w:rFonts w:ascii="Arial" w:eastAsia="Calibri" w:hAnsi="Arial" w:cs="Arial"/>
                <w:szCs w:val="24"/>
                <w:lang w:val="es-ES_tradnl" w:eastAsia="es-ES_tradnl"/>
              </w:rPr>
            </w:pPr>
          </w:p>
        </w:tc>
      </w:tr>
      <w:tr w:rsidR="009261E4" w:rsidRPr="009303FD" w14:paraId="6FFEA7D2" w14:textId="77777777">
        <w:trPr>
          <w:jc w:val="right"/>
        </w:trPr>
        <w:tc>
          <w:tcPr>
            <w:tcW w:w="1838" w:type="dxa"/>
          </w:tcPr>
          <w:p w14:paraId="6B7B39D1" w14:textId="77777777" w:rsidR="009261E4" w:rsidRPr="009303FD" w:rsidRDefault="009261E4">
            <w:pPr>
              <w:spacing w:line="276" w:lineRule="auto"/>
              <w:jc w:val="center"/>
              <w:rPr>
                <w:rFonts w:ascii="Arial" w:eastAsia="Calibri" w:hAnsi="Arial" w:cs="Arial"/>
                <w:b/>
                <w:lang w:val="es-ES"/>
              </w:rPr>
            </w:pPr>
            <w:r>
              <w:rPr>
                <w:rFonts w:ascii="Arial" w:eastAsia="Calibri" w:hAnsi="Arial" w:cs="Arial"/>
                <w:b/>
                <w:lang w:val="es-ES"/>
              </w:rPr>
              <w:t xml:space="preserve">      </w:t>
            </w:r>
            <w:r w:rsidRPr="009303FD">
              <w:rPr>
                <w:rFonts w:ascii="Arial" w:eastAsia="Calibri" w:hAnsi="Arial" w:cs="Arial"/>
                <w:b/>
                <w:lang w:val="es-ES"/>
              </w:rPr>
              <w:t>Radicación:</w:t>
            </w:r>
          </w:p>
        </w:tc>
        <w:tc>
          <w:tcPr>
            <w:tcW w:w="6237" w:type="dxa"/>
          </w:tcPr>
          <w:p w14:paraId="7165F897" w14:textId="77777777" w:rsidR="009261E4" w:rsidRPr="009303FD" w:rsidRDefault="009261E4">
            <w:pPr>
              <w:spacing w:line="276" w:lineRule="auto"/>
              <w:jc w:val="both"/>
              <w:rPr>
                <w:rFonts w:ascii="Arial" w:eastAsia="Calibri" w:hAnsi="Arial" w:cs="Arial"/>
                <w:lang w:val="es-ES"/>
              </w:rPr>
            </w:pPr>
            <w:r w:rsidRPr="009303FD">
              <w:rPr>
                <w:rFonts w:ascii="Arial" w:eastAsia="Calibri" w:hAnsi="Arial" w:cs="Arial"/>
                <w:lang w:val="es-ES"/>
              </w:rPr>
              <w:t xml:space="preserve">Respuesta a consulta </w:t>
            </w:r>
            <w:r w:rsidRPr="00881F31">
              <w:rPr>
                <w:rFonts w:ascii="Arial" w:eastAsia="Calibri" w:hAnsi="Arial" w:cs="Arial"/>
                <w:lang w:val="es-MX"/>
              </w:rPr>
              <w:t>P20230901014746</w:t>
            </w:r>
          </w:p>
        </w:tc>
      </w:tr>
      <w:tr w:rsidR="009261E4" w:rsidRPr="009303FD" w14:paraId="39D0CC05" w14:textId="77777777">
        <w:trPr>
          <w:jc w:val="right"/>
        </w:trPr>
        <w:tc>
          <w:tcPr>
            <w:tcW w:w="1838" w:type="dxa"/>
          </w:tcPr>
          <w:p w14:paraId="177923F2" w14:textId="77777777" w:rsidR="009261E4" w:rsidRDefault="009261E4">
            <w:pPr>
              <w:spacing w:line="276" w:lineRule="auto"/>
              <w:jc w:val="center"/>
              <w:rPr>
                <w:rFonts w:ascii="Arial" w:eastAsia="Calibri" w:hAnsi="Arial" w:cs="Arial"/>
                <w:b/>
                <w:lang w:val="es-ES"/>
              </w:rPr>
            </w:pPr>
          </w:p>
        </w:tc>
        <w:tc>
          <w:tcPr>
            <w:tcW w:w="6237" w:type="dxa"/>
          </w:tcPr>
          <w:p w14:paraId="1D64A9BF" w14:textId="77777777" w:rsidR="009261E4" w:rsidRPr="009303FD" w:rsidRDefault="009261E4">
            <w:pPr>
              <w:spacing w:line="276" w:lineRule="auto"/>
              <w:jc w:val="both"/>
              <w:rPr>
                <w:rFonts w:ascii="Arial" w:eastAsia="Calibri" w:hAnsi="Arial" w:cs="Arial"/>
                <w:lang w:val="es-ES"/>
              </w:rPr>
            </w:pPr>
          </w:p>
        </w:tc>
      </w:tr>
    </w:tbl>
    <w:p w14:paraId="1A2FA82C" w14:textId="77777777" w:rsidR="00FD72B7" w:rsidRPr="009303FD" w:rsidRDefault="00FD72B7" w:rsidP="009261E4">
      <w:pPr>
        <w:spacing w:line="276" w:lineRule="auto"/>
        <w:jc w:val="both"/>
        <w:rPr>
          <w:rFonts w:ascii="Arial" w:eastAsia="Calibri" w:hAnsi="Arial" w:cs="Arial"/>
          <w:lang w:val="es-ES_tradnl"/>
        </w:rPr>
      </w:pPr>
    </w:p>
    <w:p w14:paraId="315356FC" w14:textId="77777777" w:rsidR="00FD72B7" w:rsidRPr="009303FD" w:rsidRDefault="00FD72B7" w:rsidP="009261E4">
      <w:pPr>
        <w:spacing w:line="276" w:lineRule="auto"/>
        <w:jc w:val="both"/>
        <w:rPr>
          <w:rFonts w:ascii="Arial" w:eastAsia="Calibri" w:hAnsi="Arial" w:cs="Arial"/>
          <w:lang w:val="es-ES_tradnl"/>
        </w:rPr>
      </w:pPr>
      <w:r w:rsidRPr="009303FD">
        <w:rPr>
          <w:rFonts w:ascii="Arial" w:eastAsia="Calibri" w:hAnsi="Arial" w:cs="Arial"/>
          <w:lang w:val="es-ES_tradnl"/>
        </w:rPr>
        <w:t>Estimado</w:t>
      </w:r>
      <w:r>
        <w:rPr>
          <w:rFonts w:ascii="Arial" w:eastAsia="Calibri" w:hAnsi="Arial" w:cs="Arial"/>
          <w:lang w:val="es-ES_tradnl"/>
        </w:rPr>
        <w:t>s</w:t>
      </w:r>
      <w:r w:rsidRPr="009303FD">
        <w:rPr>
          <w:rFonts w:ascii="Arial" w:eastAsia="Calibri" w:hAnsi="Arial" w:cs="Arial"/>
          <w:lang w:val="es-ES_tradnl"/>
        </w:rPr>
        <w:t xml:space="preserve"> señor</w:t>
      </w:r>
      <w:r>
        <w:rPr>
          <w:rFonts w:ascii="Arial" w:hAnsi="Arial" w:cs="Arial"/>
          <w:lang w:val="es-MX"/>
        </w:rPr>
        <w:t>es</w:t>
      </w:r>
      <w:r w:rsidRPr="009303FD">
        <w:rPr>
          <w:rFonts w:ascii="Arial" w:eastAsia="Calibri" w:hAnsi="Arial" w:cs="Arial"/>
          <w:lang w:val="es-ES_tradnl"/>
        </w:rPr>
        <w:t>:</w:t>
      </w:r>
    </w:p>
    <w:p w14:paraId="653CC175" w14:textId="77777777" w:rsidR="009261E4" w:rsidRPr="009303FD" w:rsidRDefault="009261E4" w:rsidP="009261E4">
      <w:pPr>
        <w:spacing w:after="0" w:line="276" w:lineRule="auto"/>
        <w:jc w:val="both"/>
        <w:rPr>
          <w:rFonts w:ascii="Arial" w:eastAsia="Calibri" w:hAnsi="Arial" w:cs="Arial"/>
          <w:lang w:val="es-ES"/>
        </w:rPr>
      </w:pPr>
      <w:r w:rsidRPr="009303FD">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w:t>
      </w:r>
      <w:r w:rsidRPr="009303FD">
        <w:rPr>
          <w:rFonts w:ascii="Arial" w:eastAsia="Arial" w:hAnsi="Arial" w:cs="Arial"/>
        </w:rPr>
        <w:t xml:space="preserve"> </w:t>
      </w:r>
      <w:r>
        <w:rPr>
          <w:rFonts w:ascii="Arial" w:eastAsia="Arial" w:hAnsi="Arial" w:cs="Arial"/>
        </w:rPr>
        <w:t>01</w:t>
      </w:r>
      <w:r w:rsidRPr="009303FD">
        <w:rPr>
          <w:rFonts w:ascii="Arial" w:eastAsia="Arial" w:hAnsi="Arial" w:cs="Arial"/>
        </w:rPr>
        <w:t xml:space="preserve"> de </w:t>
      </w:r>
      <w:r>
        <w:rPr>
          <w:rFonts w:ascii="Arial" w:eastAsia="Arial" w:hAnsi="Arial" w:cs="Arial"/>
        </w:rPr>
        <w:t>septiembre</w:t>
      </w:r>
      <w:r w:rsidRPr="009303FD">
        <w:rPr>
          <w:rFonts w:ascii="Arial" w:eastAsia="Arial" w:hAnsi="Arial" w:cs="Arial"/>
        </w:rPr>
        <w:t xml:space="preserve"> de 2023</w:t>
      </w:r>
      <w:r>
        <w:rPr>
          <w:rFonts w:ascii="Arial" w:eastAsia="Arial" w:hAnsi="Arial" w:cs="Arial"/>
        </w:rPr>
        <w:t>.</w:t>
      </w:r>
    </w:p>
    <w:p w14:paraId="66D6A362" w14:textId="77777777" w:rsidR="009261E4" w:rsidRPr="009303FD" w:rsidRDefault="009261E4" w:rsidP="009261E4">
      <w:pPr>
        <w:spacing w:after="0" w:line="276" w:lineRule="auto"/>
        <w:jc w:val="both"/>
        <w:rPr>
          <w:rFonts w:ascii="Arial" w:eastAsia="Calibri" w:hAnsi="Arial" w:cs="Arial"/>
          <w:lang w:val="es-ES"/>
        </w:rPr>
      </w:pPr>
    </w:p>
    <w:p w14:paraId="5346C66F" w14:textId="77777777" w:rsidR="009261E4" w:rsidRDefault="009261E4" w:rsidP="009261E4">
      <w:pPr>
        <w:pStyle w:val="Prrafodelista"/>
        <w:numPr>
          <w:ilvl w:val="0"/>
          <w:numId w:val="17"/>
        </w:numPr>
        <w:tabs>
          <w:tab w:val="left" w:pos="0"/>
          <w:tab w:val="left" w:pos="142"/>
          <w:tab w:val="left" w:pos="284"/>
        </w:tabs>
        <w:spacing w:after="0" w:line="276" w:lineRule="auto"/>
        <w:ind w:left="0" w:firstLine="0"/>
        <w:jc w:val="both"/>
        <w:rPr>
          <w:rFonts w:ascii="Arial" w:eastAsia="Calibri" w:hAnsi="Arial" w:cs="Arial"/>
          <w:b/>
          <w:lang w:val="es-ES_tradnl"/>
        </w:rPr>
      </w:pPr>
      <w:r w:rsidRPr="009303FD">
        <w:rPr>
          <w:rFonts w:ascii="Arial" w:eastAsia="Calibri" w:hAnsi="Arial" w:cs="Arial"/>
          <w:b/>
          <w:lang w:val="es-ES_tradnl"/>
        </w:rPr>
        <w:t xml:space="preserve">Problema planteado </w:t>
      </w:r>
    </w:p>
    <w:p w14:paraId="5D377660" w14:textId="77777777" w:rsidR="009261E4" w:rsidRPr="007A099C" w:rsidRDefault="009261E4" w:rsidP="009261E4">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33C529DA" w14:textId="77777777" w:rsidR="009261E4" w:rsidRPr="009303FD" w:rsidRDefault="009261E4" w:rsidP="009261E4">
      <w:pPr>
        <w:jc w:val="both"/>
        <w:rPr>
          <w:rFonts w:ascii="Arial" w:hAnsi="Arial" w:cs="Arial"/>
          <w:iCs/>
          <w:lang w:val="es-ES_tradnl"/>
        </w:rPr>
      </w:pPr>
      <w:r w:rsidRPr="009303FD">
        <w:rPr>
          <w:rFonts w:ascii="Arial" w:hAnsi="Arial" w:cs="Arial"/>
          <w:iCs/>
          <w:lang w:val="es-ES_tradnl"/>
        </w:rPr>
        <w:t xml:space="preserve">Usted formula la siguiente consulta: </w:t>
      </w:r>
    </w:p>
    <w:p w14:paraId="2DE35608" w14:textId="77777777" w:rsidR="00FD72B7" w:rsidRPr="00175790" w:rsidRDefault="00FD72B7" w:rsidP="00FD72B7">
      <w:pPr>
        <w:shd w:val="clear" w:color="auto" w:fill="FFFFFF"/>
        <w:spacing w:after="0" w:line="240" w:lineRule="auto"/>
        <w:ind w:left="708" w:right="709"/>
        <w:jc w:val="both"/>
        <w:rPr>
          <w:rFonts w:ascii="Arial" w:eastAsia="Calibri" w:hAnsi="Arial" w:cs="Arial"/>
          <w:sz w:val="21"/>
          <w:szCs w:val="21"/>
          <w:lang w:val="es-ES" w:eastAsia="es-ES"/>
        </w:rPr>
      </w:pPr>
      <w:r w:rsidRPr="00175790">
        <w:rPr>
          <w:rFonts w:ascii="Arial" w:eastAsia="Calibri" w:hAnsi="Arial" w:cs="Arial"/>
          <w:sz w:val="21"/>
          <w:szCs w:val="21"/>
          <w:lang w:val="es-ES" w:eastAsia="es-ES"/>
        </w:rPr>
        <w:t xml:space="preserve">“[…] es posible que mediante una selección abreviada subasta inversa se puedan contemplar los tiempos de la licitación pública o en la licitación pública se puede hacer subasta tal cual como lo dice el decreto 1082 en su artículo </w:t>
      </w:r>
      <w:proofErr w:type="spellStart"/>
      <w:r w:rsidRPr="00175790">
        <w:rPr>
          <w:rFonts w:ascii="Arial" w:eastAsia="Calibri" w:hAnsi="Arial" w:cs="Arial"/>
          <w:sz w:val="21"/>
          <w:szCs w:val="21"/>
          <w:lang w:val="es-ES" w:eastAsia="es-ES"/>
        </w:rPr>
        <w:t>ARTÍCULO</w:t>
      </w:r>
      <w:proofErr w:type="spellEnd"/>
      <w:r w:rsidRPr="00175790">
        <w:rPr>
          <w:rFonts w:ascii="Arial" w:eastAsia="Calibri" w:hAnsi="Arial" w:cs="Arial"/>
          <w:sz w:val="21"/>
          <w:szCs w:val="21"/>
          <w:lang w:val="es-ES" w:eastAsia="es-ES"/>
        </w:rPr>
        <w:t xml:space="preserve"> 2.2.1.2.1.1.1. Presentación de la oferta de manera dinámica mediante subasta inversa en los procesos de licitación pública.”</w:t>
      </w:r>
    </w:p>
    <w:p w14:paraId="05682F7A" w14:textId="77777777" w:rsidR="00FD72B7" w:rsidRPr="009303FD" w:rsidRDefault="00FD72B7" w:rsidP="009261E4">
      <w:pPr>
        <w:spacing w:after="0" w:line="240" w:lineRule="auto"/>
        <w:ind w:left="708" w:right="709"/>
        <w:jc w:val="both"/>
        <w:rPr>
          <w:rFonts w:ascii="Arial" w:hAnsi="Arial" w:cs="Arial"/>
          <w:sz w:val="21"/>
          <w:szCs w:val="21"/>
          <w:lang w:val="es-ES_tradnl"/>
        </w:rPr>
      </w:pPr>
    </w:p>
    <w:p w14:paraId="08F20223" w14:textId="77777777" w:rsidR="009261E4" w:rsidRPr="009303FD" w:rsidRDefault="009261E4" w:rsidP="009261E4">
      <w:pPr>
        <w:pStyle w:val="Prrafodelista"/>
        <w:numPr>
          <w:ilvl w:val="0"/>
          <w:numId w:val="17"/>
        </w:numPr>
        <w:tabs>
          <w:tab w:val="left" w:pos="0"/>
          <w:tab w:val="left" w:pos="284"/>
        </w:tabs>
        <w:spacing w:after="0" w:line="276" w:lineRule="auto"/>
        <w:ind w:left="0" w:firstLine="0"/>
        <w:contextualSpacing w:val="0"/>
        <w:jc w:val="both"/>
        <w:rPr>
          <w:rFonts w:ascii="Arial" w:eastAsia="Calibri" w:hAnsi="Arial" w:cs="Arial"/>
          <w:b/>
          <w:lang w:val="es-ES_tradnl"/>
        </w:rPr>
      </w:pPr>
      <w:r w:rsidRPr="009303FD">
        <w:rPr>
          <w:rFonts w:ascii="Arial" w:eastAsia="Calibri" w:hAnsi="Arial" w:cs="Arial"/>
          <w:b/>
          <w:lang w:val="es-ES_tradnl"/>
        </w:rPr>
        <w:t>Consideraciones</w:t>
      </w:r>
    </w:p>
    <w:p w14:paraId="4748AFA3" w14:textId="77777777" w:rsidR="009261E4" w:rsidRPr="009303FD" w:rsidRDefault="009261E4" w:rsidP="009261E4">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4A86DF86" w14:textId="77777777" w:rsidR="009261E4" w:rsidRPr="009303FD" w:rsidRDefault="009261E4" w:rsidP="009261E4">
      <w:pPr>
        <w:spacing w:after="120" w:line="276" w:lineRule="auto"/>
        <w:jc w:val="both"/>
        <w:rPr>
          <w:rFonts w:ascii="Arial" w:hAnsi="Arial" w:cs="Arial"/>
          <w:lang w:val="es-ES"/>
        </w:rPr>
      </w:pPr>
      <w:r w:rsidRPr="009303FD">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9303FD">
        <w:rPr>
          <w:rFonts w:ascii="Arial" w:hAnsi="Arial" w:cs="Arial"/>
        </w:rPr>
        <w:t xml:space="preserve">. </w:t>
      </w:r>
      <w:r w:rsidRPr="009303FD">
        <w:rPr>
          <w:rFonts w:ascii="Arial" w:hAnsi="Arial" w:cs="Arial"/>
          <w:lang w:val="es-ES"/>
        </w:rPr>
        <w:t xml:space="preserve">Es necesario tener en cuenta que </w:t>
      </w:r>
      <w:bookmarkStart w:id="4" w:name="_Hlk61026958"/>
      <w:r w:rsidRPr="009303FD">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303FD">
        <w:rPr>
          <w:rFonts w:ascii="Arial" w:hAnsi="Arial" w:cs="Arial"/>
        </w:rPr>
        <w:t xml:space="preserve"> de todos los partícipes de la contratación estatal.</w:t>
      </w:r>
      <w:r w:rsidRPr="009303FD">
        <w:rPr>
          <w:rFonts w:ascii="Arial" w:hAnsi="Arial" w:cs="Arial"/>
          <w:lang w:val="es-ES"/>
        </w:rPr>
        <w:t xml:space="preserve"> </w:t>
      </w:r>
      <w:bookmarkEnd w:id="2"/>
      <w:bookmarkEnd w:id="3"/>
      <w:bookmarkEnd w:id="4"/>
    </w:p>
    <w:p w14:paraId="3339F351" w14:textId="77777777" w:rsidR="009261E4" w:rsidRPr="009303FD" w:rsidRDefault="009261E4" w:rsidP="009261E4">
      <w:pPr>
        <w:spacing w:after="120" w:line="276" w:lineRule="auto"/>
        <w:ind w:firstLine="708"/>
        <w:jc w:val="both"/>
        <w:rPr>
          <w:rFonts w:ascii="Arial" w:hAnsi="Arial" w:cs="Arial"/>
          <w:lang w:val="es-ES"/>
        </w:rPr>
      </w:pPr>
      <w:r w:rsidRPr="009303FD">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303FD">
        <w:rPr>
          <w:rFonts w:ascii="Arial" w:eastAsia="Calibri" w:hAnsi="Arial" w:cs="Arial"/>
          <w:vertAlign w:val="superscript"/>
          <w:lang w:val="es-ES"/>
        </w:rPr>
        <w:footnoteReference w:id="2"/>
      </w:r>
      <w:r w:rsidRPr="009303FD">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513849E2" w14:textId="77777777" w:rsidR="009261E4" w:rsidRPr="0077508D" w:rsidRDefault="009261E4" w:rsidP="009261E4">
      <w:pPr>
        <w:tabs>
          <w:tab w:val="left" w:pos="426"/>
        </w:tabs>
        <w:spacing w:line="276" w:lineRule="auto"/>
        <w:ind w:firstLine="709"/>
        <w:jc w:val="both"/>
        <w:rPr>
          <w:rFonts w:ascii="Arial" w:eastAsia="Calibri" w:hAnsi="Arial" w:cs="Arial"/>
          <w:lang w:val="es-ES_tradnl" w:eastAsia="es-ES_tradnl"/>
        </w:rPr>
      </w:pPr>
      <w:r w:rsidRPr="009303FD">
        <w:rPr>
          <w:rFonts w:ascii="Arial" w:hAnsi="Arial" w:cs="Arial"/>
          <w:lang w:val="es-ES"/>
        </w:rPr>
        <w:t>Sin perjuicio de lo anterior, la Agencia –dentro de los límites de sus atribuciones– resolverá la consulta conforme a las normas generales en materia de contratación estatal. En línea con lo anterior, p</w:t>
      </w:r>
      <w:r w:rsidRPr="009303FD">
        <w:rPr>
          <w:rFonts w:ascii="Arial" w:eastAsia="Calibri" w:hAnsi="Arial" w:cs="Arial"/>
          <w:bCs/>
          <w:lang w:val="es-ES_tradnl"/>
        </w:rPr>
        <w:t xml:space="preserve">ara responder la consulta planteada, la Agencia </w:t>
      </w:r>
      <w:r w:rsidRPr="009303FD">
        <w:rPr>
          <w:rFonts w:ascii="Arial" w:eastAsia="Calibri" w:hAnsi="Arial" w:cs="Arial"/>
        </w:rPr>
        <w:t xml:space="preserve">Nacional de Contratación Pública ‒ Colombia Compra Eficiente realizará algunas consideraciones sobre los siguientes temas: </w:t>
      </w:r>
      <w:r w:rsidRPr="005E70FC">
        <w:rPr>
          <w:rFonts w:ascii="Arial" w:eastAsia="Calibri" w:hAnsi="Arial" w:cs="Arial"/>
          <w:lang w:val="es-ES_tradnl" w:eastAsia="es-ES_tradnl"/>
        </w:rPr>
        <w:t xml:space="preserve">i) la subasta inversa en la licitación pública, </w:t>
      </w:r>
      <w:proofErr w:type="spellStart"/>
      <w:r w:rsidRPr="005E70FC">
        <w:rPr>
          <w:rFonts w:ascii="Arial" w:eastAsia="Calibri" w:hAnsi="Arial" w:cs="Arial"/>
          <w:lang w:val="es-ES_tradnl" w:eastAsia="es-ES_tradnl"/>
        </w:rPr>
        <w:t>ii</w:t>
      </w:r>
      <w:proofErr w:type="spellEnd"/>
      <w:r w:rsidRPr="005E70FC">
        <w:rPr>
          <w:rFonts w:ascii="Arial" w:eastAsia="Calibri" w:hAnsi="Arial" w:cs="Arial"/>
          <w:lang w:val="es-ES_tradnl" w:eastAsia="es-ES_tradnl"/>
        </w:rPr>
        <w:t>)</w:t>
      </w:r>
      <w:r w:rsidRPr="005E70FC">
        <w:rPr>
          <w:rFonts w:ascii="Arial" w:eastAsia="Calibri" w:hAnsi="Arial" w:cs="Arial"/>
          <w:color w:val="000000" w:themeColor="text1"/>
          <w:lang w:val="es-ES_tradnl"/>
        </w:rPr>
        <w:t xml:space="preserve"> </w:t>
      </w:r>
      <w:r w:rsidRPr="0077508D">
        <w:rPr>
          <w:rFonts w:ascii="Arial" w:hAnsi="Arial" w:cs="Arial"/>
          <w:bCs/>
          <w:lang w:val="es-MX"/>
        </w:rPr>
        <w:t xml:space="preserve">la subasta inversa en la selección abreviada para la adquisición de bienes y servicios de características técnicas uniformes y de común utilización </w:t>
      </w:r>
      <w:r w:rsidRPr="0077508D">
        <w:rPr>
          <w:rFonts w:ascii="Arial" w:eastAsia="Calibri" w:hAnsi="Arial" w:cs="Arial"/>
          <w:lang w:val="es-ES_tradnl" w:eastAsia="es-ES_tradnl"/>
        </w:rPr>
        <w:t xml:space="preserve">y </w:t>
      </w:r>
      <w:proofErr w:type="spellStart"/>
      <w:r w:rsidRPr="0077508D">
        <w:rPr>
          <w:rFonts w:ascii="Arial" w:eastAsia="Calibri" w:hAnsi="Arial" w:cs="Arial"/>
          <w:lang w:val="es-ES_tradnl" w:eastAsia="es-ES_tradnl"/>
        </w:rPr>
        <w:t>iii</w:t>
      </w:r>
      <w:proofErr w:type="spellEnd"/>
      <w:r w:rsidRPr="0077508D">
        <w:rPr>
          <w:rFonts w:ascii="Arial" w:hAnsi="Arial" w:cs="Arial"/>
          <w:bCs/>
          <w:lang w:val="es-MX"/>
        </w:rPr>
        <w:t xml:space="preserve">) </w:t>
      </w:r>
      <w:r>
        <w:rPr>
          <w:rFonts w:ascii="Arial" w:hAnsi="Arial" w:cs="Arial"/>
          <w:bCs/>
          <w:lang w:val="es-MX"/>
        </w:rPr>
        <w:t>l</w:t>
      </w:r>
      <w:r w:rsidRPr="0077508D">
        <w:rPr>
          <w:rFonts w:ascii="Arial" w:hAnsi="Arial" w:cs="Arial"/>
          <w:bCs/>
          <w:lang w:val="es-MX"/>
        </w:rPr>
        <w:t>a licitación pública y su procedimiento</w:t>
      </w:r>
      <w:r>
        <w:rPr>
          <w:rFonts w:ascii="Arial" w:hAnsi="Arial" w:cs="Arial"/>
          <w:bCs/>
          <w:lang w:val="es-MX"/>
        </w:rPr>
        <w:t>.</w:t>
      </w:r>
    </w:p>
    <w:p w14:paraId="77774CAC" w14:textId="77777777" w:rsidR="009261E4" w:rsidRDefault="009261E4" w:rsidP="009261E4">
      <w:pPr>
        <w:tabs>
          <w:tab w:val="left" w:pos="426"/>
        </w:tabs>
        <w:spacing w:after="0" w:line="276" w:lineRule="auto"/>
        <w:ind w:firstLine="709"/>
        <w:jc w:val="both"/>
        <w:rPr>
          <w:rFonts w:ascii="Arial" w:eastAsia="Calibri" w:hAnsi="Arial" w:cs="Arial"/>
          <w:lang w:val="es-ES_tradnl" w:eastAsia="es-ES_tradnl"/>
        </w:rPr>
      </w:pPr>
      <w:r w:rsidRPr="009303FD">
        <w:rPr>
          <w:rFonts w:ascii="Arial" w:eastAsia="Calibri" w:hAnsi="Arial" w:cs="Arial"/>
          <w:color w:val="000000"/>
        </w:rPr>
        <w:lastRenderedPageBreak/>
        <w:t xml:space="preserve"> </w:t>
      </w:r>
      <w:r w:rsidRPr="009303FD">
        <w:rPr>
          <w:rFonts w:ascii="Arial" w:eastAsia="Calibri" w:hAnsi="Arial" w:cs="Arial"/>
          <w:lang w:val="es-ES_tradnl" w:eastAsia="es-ES_tradnl"/>
        </w:rPr>
        <w:t>La Agencia Nacional de Contratación Pública – Colombia Compra Eficiente se pronunció</w:t>
      </w:r>
      <w:r>
        <w:rPr>
          <w:rFonts w:ascii="Arial" w:eastAsia="Calibri" w:hAnsi="Arial" w:cs="Arial"/>
          <w:lang w:val="es-ES_tradnl" w:eastAsia="es-ES_tradnl"/>
        </w:rPr>
        <w:t xml:space="preserve"> </w:t>
      </w:r>
      <w:r w:rsidRPr="00B60E43">
        <w:rPr>
          <w:rFonts w:ascii="Arial" w:hAnsi="Arial" w:cs="Arial"/>
          <w:lang w:val="es-ES_tradnl"/>
        </w:rPr>
        <w:t xml:space="preserve">sobre </w:t>
      </w:r>
      <w:r>
        <w:rPr>
          <w:rFonts w:ascii="Arial" w:hAnsi="Arial" w:cs="Arial"/>
          <w:lang w:val="es-ES_tradnl"/>
        </w:rPr>
        <w:t>la figura de la subasta inversa, en los conceptos</w:t>
      </w:r>
      <w:r>
        <w:rPr>
          <w:rFonts w:ascii="Arial" w:hAnsi="Arial" w:cs="Arial"/>
          <w:shd w:val="clear" w:color="auto" w:fill="FFFFFF"/>
        </w:rPr>
        <w:t xml:space="preserve"> con radicado 4201913000004928 del 20 de agosto de 2019, </w:t>
      </w:r>
      <w:r w:rsidRPr="00E65D9D">
        <w:rPr>
          <w:rFonts w:ascii="Arial" w:hAnsi="Arial" w:cs="Arial"/>
          <w:shd w:val="clear" w:color="auto" w:fill="FFFFFF"/>
        </w:rPr>
        <w:t>4201912000004846</w:t>
      </w:r>
      <w:r>
        <w:rPr>
          <w:rFonts w:ascii="Arial" w:hAnsi="Arial" w:cs="Arial"/>
          <w:shd w:val="clear" w:color="auto" w:fill="FFFFFF"/>
        </w:rPr>
        <w:t xml:space="preserve"> del 3 de septiembre de 2019 y en el C-008 del 14 de mayo de 2020</w:t>
      </w:r>
      <w:r w:rsidRPr="009303FD">
        <w:rPr>
          <w:rFonts w:ascii="Arial" w:eastAsia="Times New Roman" w:hAnsi="Arial" w:cs="Arial"/>
          <w:shd w:val="clear" w:color="auto" w:fill="FFFFFF"/>
          <w:lang w:eastAsia="es-ES_tradnl"/>
        </w:rPr>
        <w:t>, entre otros</w:t>
      </w:r>
      <w:r w:rsidRPr="009303FD">
        <w:rPr>
          <w:rFonts w:ascii="Arial" w:eastAsia="Calibri" w:hAnsi="Arial" w:cs="Arial"/>
          <w:lang w:val="es-ES_tradnl" w:eastAsia="es-ES_tradnl"/>
        </w:rPr>
        <w:t xml:space="preserve">. </w:t>
      </w:r>
      <w:r w:rsidRPr="00345F86">
        <w:rPr>
          <w:rFonts w:ascii="Arial" w:eastAsia="Calibri" w:hAnsi="Arial" w:cs="Arial"/>
        </w:rPr>
        <w:t>D</w:t>
      </w:r>
      <w:proofErr w:type="spellStart"/>
      <w:r w:rsidRPr="00345F86">
        <w:rPr>
          <w:rStyle w:val="normaltextrun"/>
          <w:rFonts w:ascii="Arial" w:hAnsi="Arial" w:cs="Arial"/>
          <w:lang w:val="es-ES"/>
        </w:rPr>
        <w:t>e</w:t>
      </w:r>
      <w:proofErr w:type="spellEnd"/>
      <w:r w:rsidRPr="00345F86">
        <w:rPr>
          <w:rStyle w:val="normaltextrun"/>
          <w:rFonts w:ascii="Arial" w:hAnsi="Arial" w:cs="Arial"/>
          <w:lang w:val="es-ES"/>
        </w:rPr>
        <w:t xml:space="preserve"> otra parte, en los conceptos C-</w:t>
      </w:r>
      <w:r>
        <w:rPr>
          <w:rStyle w:val="normaltextrun"/>
          <w:rFonts w:ascii="Arial" w:hAnsi="Arial" w:cs="Arial"/>
          <w:lang w:val="es-ES"/>
        </w:rPr>
        <w:t>414</w:t>
      </w:r>
      <w:r w:rsidRPr="00345F86">
        <w:rPr>
          <w:rStyle w:val="normaltextrun"/>
          <w:rFonts w:ascii="Arial" w:hAnsi="Arial" w:cs="Arial"/>
          <w:lang w:val="es-ES"/>
        </w:rPr>
        <w:t xml:space="preserve"> del </w:t>
      </w:r>
      <w:r>
        <w:rPr>
          <w:rStyle w:val="normaltextrun"/>
          <w:rFonts w:ascii="Arial" w:hAnsi="Arial" w:cs="Arial"/>
          <w:lang w:val="es-ES"/>
        </w:rPr>
        <w:t>06</w:t>
      </w:r>
      <w:r w:rsidRPr="00345F86">
        <w:rPr>
          <w:rStyle w:val="normaltextrun"/>
          <w:rFonts w:ascii="Arial" w:hAnsi="Arial" w:cs="Arial"/>
          <w:lang w:val="es-ES"/>
        </w:rPr>
        <w:t xml:space="preserve"> de </w:t>
      </w:r>
      <w:r>
        <w:rPr>
          <w:rStyle w:val="normaltextrun"/>
          <w:rFonts w:ascii="Arial" w:hAnsi="Arial" w:cs="Arial"/>
          <w:lang w:val="es-ES"/>
        </w:rPr>
        <w:t>julio</w:t>
      </w:r>
      <w:r w:rsidRPr="00345F86">
        <w:rPr>
          <w:rStyle w:val="normaltextrun"/>
          <w:rFonts w:ascii="Arial" w:hAnsi="Arial" w:cs="Arial"/>
          <w:lang w:val="es-ES"/>
        </w:rPr>
        <w:t xml:space="preserve"> de 202</w:t>
      </w:r>
      <w:r>
        <w:rPr>
          <w:rStyle w:val="normaltextrun"/>
          <w:rFonts w:ascii="Arial" w:hAnsi="Arial" w:cs="Arial"/>
          <w:lang w:val="es-ES"/>
        </w:rPr>
        <w:t>2</w:t>
      </w:r>
      <w:r w:rsidRPr="00345F86">
        <w:rPr>
          <w:rStyle w:val="normaltextrun"/>
          <w:rFonts w:ascii="Arial" w:hAnsi="Arial" w:cs="Arial"/>
          <w:lang w:val="es-ES"/>
        </w:rPr>
        <w:t>, C-</w:t>
      </w:r>
      <w:r>
        <w:rPr>
          <w:rStyle w:val="normaltextrun"/>
          <w:rFonts w:ascii="Arial" w:hAnsi="Arial" w:cs="Arial"/>
          <w:lang w:val="es-ES"/>
        </w:rPr>
        <w:t>969</w:t>
      </w:r>
      <w:r w:rsidRPr="00345F86">
        <w:rPr>
          <w:rStyle w:val="normaltextrun"/>
          <w:rFonts w:ascii="Arial" w:hAnsi="Arial" w:cs="Arial"/>
          <w:lang w:val="es-ES"/>
        </w:rPr>
        <w:t xml:space="preserve"> del </w:t>
      </w:r>
      <w:r>
        <w:rPr>
          <w:rStyle w:val="normaltextrun"/>
          <w:rFonts w:ascii="Arial" w:hAnsi="Arial" w:cs="Arial"/>
          <w:lang w:val="es-ES"/>
        </w:rPr>
        <w:t>13</w:t>
      </w:r>
      <w:r w:rsidRPr="00345F86">
        <w:rPr>
          <w:rStyle w:val="normaltextrun"/>
          <w:rFonts w:ascii="Arial" w:hAnsi="Arial" w:cs="Arial"/>
          <w:lang w:val="es-ES"/>
        </w:rPr>
        <w:t xml:space="preserve"> de </w:t>
      </w:r>
      <w:r>
        <w:rPr>
          <w:rStyle w:val="normaltextrun"/>
          <w:rFonts w:ascii="Arial" w:hAnsi="Arial" w:cs="Arial"/>
          <w:lang w:val="es-ES"/>
        </w:rPr>
        <w:t>febrero</w:t>
      </w:r>
      <w:r w:rsidRPr="00345F86">
        <w:rPr>
          <w:rStyle w:val="normaltextrun"/>
          <w:rFonts w:ascii="Arial" w:hAnsi="Arial" w:cs="Arial"/>
          <w:lang w:val="es-ES"/>
        </w:rPr>
        <w:t xml:space="preserve"> de 202</w:t>
      </w:r>
      <w:r>
        <w:rPr>
          <w:rStyle w:val="normaltextrun"/>
          <w:rFonts w:ascii="Arial" w:hAnsi="Arial" w:cs="Arial"/>
          <w:lang w:val="es-ES"/>
        </w:rPr>
        <w:t>3, C-023 del 17 de marzo de 2023, C-090 del 24 de marzo de 2023, C-353 del 01 de agosto de 2023</w:t>
      </w:r>
      <w:r w:rsidRPr="009303FD">
        <w:rPr>
          <w:rFonts w:ascii="Arial" w:eastAsia="Times New Roman" w:hAnsi="Arial" w:cs="Arial"/>
          <w:shd w:val="clear" w:color="auto" w:fill="FFFFFF"/>
          <w:vertAlign w:val="superscript"/>
          <w:lang w:eastAsia="es-ES_tradnl"/>
        </w:rPr>
        <w:footnoteReference w:id="3"/>
      </w:r>
      <w:r>
        <w:rPr>
          <w:rFonts w:ascii="Arial" w:eastAsia="Calibri" w:hAnsi="Arial" w:cs="Arial"/>
          <w:lang w:val="es-ES_tradnl" w:eastAsia="es-ES_tradnl"/>
        </w:rPr>
        <w:t>, entre otros,</w:t>
      </w:r>
      <w:r w:rsidRPr="00345F86">
        <w:rPr>
          <w:rStyle w:val="normaltextrun"/>
          <w:rFonts w:ascii="Arial" w:hAnsi="Arial" w:cs="Arial"/>
          <w:lang w:val="es-ES"/>
        </w:rPr>
        <w:t xml:space="preserve"> se </w:t>
      </w:r>
      <w:r>
        <w:rPr>
          <w:rStyle w:val="normaltextrun"/>
          <w:rFonts w:ascii="Arial" w:hAnsi="Arial" w:cs="Arial"/>
          <w:lang w:val="es-ES"/>
        </w:rPr>
        <w:t>pronunció sobre la licitación pública.</w:t>
      </w:r>
      <w:r>
        <w:rPr>
          <w:rFonts w:eastAsia="Calibri"/>
          <w:lang w:val="es-ES_tradnl" w:eastAsia="es-ES_tradnl"/>
        </w:rPr>
        <w:t xml:space="preserve"> </w:t>
      </w:r>
      <w:r w:rsidRPr="00AE4DDD">
        <w:rPr>
          <w:rFonts w:ascii="Arial" w:eastAsia="Calibri" w:hAnsi="Arial" w:cs="Arial"/>
          <w:lang w:val="es-ES_tradnl" w:eastAsia="es-ES_tradnl"/>
        </w:rPr>
        <w:t>Algunas de las consideraciones de esto</w:t>
      </w:r>
      <w:r w:rsidRPr="009303FD">
        <w:rPr>
          <w:rFonts w:ascii="Arial" w:eastAsia="Calibri" w:hAnsi="Arial" w:cs="Arial"/>
          <w:lang w:val="es-ES_tradnl" w:eastAsia="es-ES_tradnl"/>
        </w:rPr>
        <w:t>s conceptos se reiteran a continuación y se complementan en lo pertinente.</w:t>
      </w:r>
    </w:p>
    <w:p w14:paraId="36C56011" w14:textId="77777777" w:rsidR="009261E4" w:rsidRPr="00FF1389" w:rsidRDefault="009261E4" w:rsidP="009261E4">
      <w:pPr>
        <w:pStyle w:val="xmsonospacing"/>
        <w:spacing w:before="0" w:beforeAutospacing="0" w:after="0" w:afterAutospacing="0" w:line="276" w:lineRule="auto"/>
        <w:jc w:val="both"/>
        <w:rPr>
          <w:rFonts w:ascii="Arial" w:hAnsi="Arial" w:cs="Arial"/>
          <w:color w:val="000000"/>
          <w:sz w:val="22"/>
          <w:szCs w:val="22"/>
          <w:bdr w:val="none" w:sz="0" w:space="0" w:color="auto" w:frame="1"/>
          <w:shd w:val="clear" w:color="auto" w:fill="FFFFFF"/>
        </w:rPr>
      </w:pPr>
    </w:p>
    <w:p w14:paraId="4D033023" w14:textId="77777777" w:rsidR="009261E4" w:rsidRPr="00884CD5" w:rsidRDefault="009261E4" w:rsidP="009261E4">
      <w:pPr>
        <w:autoSpaceDE w:val="0"/>
        <w:autoSpaceDN w:val="0"/>
        <w:adjustRightInd w:val="0"/>
        <w:spacing w:line="276" w:lineRule="auto"/>
        <w:jc w:val="both"/>
        <w:rPr>
          <w:rFonts w:ascii="Arial" w:hAnsi="Arial" w:cs="Arial"/>
          <w:b/>
          <w:bCs/>
          <w:lang w:val="es-MX"/>
        </w:rPr>
      </w:pPr>
      <w:r w:rsidRPr="00E65D9D">
        <w:rPr>
          <w:rFonts w:ascii="Arial" w:hAnsi="Arial" w:cs="Arial"/>
          <w:b/>
          <w:bCs/>
          <w:lang w:val="es-MX"/>
        </w:rPr>
        <w:t>2.</w:t>
      </w:r>
      <w:r>
        <w:rPr>
          <w:rFonts w:ascii="Arial" w:hAnsi="Arial" w:cs="Arial"/>
          <w:b/>
          <w:bCs/>
          <w:lang w:val="es-MX"/>
        </w:rPr>
        <w:t>1</w:t>
      </w:r>
      <w:r w:rsidRPr="00E65D9D">
        <w:rPr>
          <w:rFonts w:ascii="Arial" w:hAnsi="Arial" w:cs="Arial"/>
          <w:b/>
          <w:bCs/>
          <w:lang w:val="es-MX"/>
        </w:rPr>
        <w:t>.</w:t>
      </w:r>
      <w:r>
        <w:rPr>
          <w:rFonts w:ascii="Arial" w:hAnsi="Arial" w:cs="Arial"/>
          <w:b/>
          <w:bCs/>
          <w:lang w:val="es-MX"/>
        </w:rPr>
        <w:t xml:space="preserve"> La subasta inversa en la licitación pública </w:t>
      </w:r>
    </w:p>
    <w:p w14:paraId="0E5A7EE4" w14:textId="77777777" w:rsidR="009261E4" w:rsidRDefault="009261E4" w:rsidP="009261E4">
      <w:pPr>
        <w:autoSpaceDE w:val="0"/>
        <w:autoSpaceDN w:val="0"/>
        <w:adjustRightInd w:val="0"/>
        <w:spacing w:line="276" w:lineRule="auto"/>
        <w:jc w:val="both"/>
        <w:rPr>
          <w:rFonts w:ascii="Arial" w:hAnsi="Arial" w:cs="Arial"/>
          <w:lang w:val="es-MX"/>
        </w:rPr>
      </w:pPr>
      <w:r w:rsidRPr="00E65D9D">
        <w:rPr>
          <w:rFonts w:ascii="Arial" w:hAnsi="Arial" w:cs="Arial"/>
          <w:lang w:val="es-MX"/>
        </w:rPr>
        <w:t xml:space="preserve">El inciso 2 del numeral 1 del artículo 2 de la Ley 1150 de 2007 indica que </w:t>
      </w:r>
      <w:r>
        <w:rPr>
          <w:rFonts w:ascii="Arial" w:hAnsi="Arial" w:cs="Arial"/>
          <w:lang w:val="es-MX"/>
        </w:rPr>
        <w:t>“</w:t>
      </w:r>
      <w:r w:rsidRPr="00E65D9D">
        <w:rPr>
          <w:rFonts w:ascii="Arial" w:hAnsi="Arial" w:cs="Arial"/>
          <w:lang w:val="es-MX"/>
        </w:rPr>
        <w:t>cuando la entidad estatal así lo determine, la oferta en un proceso de la licitación pública podrá ser presentada total o parcialmente de manera dinámica mediante subasta inversa, en las condiciones que fije el reglamento</w:t>
      </w:r>
      <w:r>
        <w:rPr>
          <w:rFonts w:ascii="Arial" w:hAnsi="Arial" w:cs="Arial"/>
          <w:lang w:val="es-MX"/>
        </w:rPr>
        <w:t>”.</w:t>
      </w:r>
      <w:r w:rsidRPr="00E65D9D">
        <w:rPr>
          <w:rFonts w:ascii="Arial" w:hAnsi="Arial" w:cs="Arial"/>
          <w:lang w:val="es-MX"/>
        </w:rPr>
        <w:t xml:space="preserve"> De este modo, a efectos de la consulta, es pertinente resaltar que l</w:t>
      </w:r>
      <w:r>
        <w:rPr>
          <w:rFonts w:ascii="Arial" w:hAnsi="Arial" w:cs="Arial"/>
          <w:lang w:val="es-MX"/>
        </w:rPr>
        <w:t>a</w:t>
      </w:r>
      <w:r w:rsidRPr="00E65D9D">
        <w:rPr>
          <w:rFonts w:ascii="Arial" w:hAnsi="Arial" w:cs="Arial"/>
          <w:lang w:val="es-MX"/>
        </w:rPr>
        <w:t xml:space="preserve"> </w:t>
      </w:r>
      <w:r>
        <w:rPr>
          <w:rFonts w:ascii="Arial" w:hAnsi="Arial" w:cs="Arial"/>
          <w:lang w:val="es-MX"/>
        </w:rPr>
        <w:t>posibilidad de acudir a</w:t>
      </w:r>
      <w:r w:rsidRPr="00E65D9D">
        <w:rPr>
          <w:rFonts w:ascii="Arial" w:hAnsi="Arial" w:cs="Arial"/>
          <w:lang w:val="es-MX"/>
        </w:rPr>
        <w:t xml:space="preserve"> la subasta inversa no est</w:t>
      </w:r>
      <w:r>
        <w:rPr>
          <w:rFonts w:ascii="Arial" w:hAnsi="Arial" w:cs="Arial"/>
          <w:lang w:val="es-MX"/>
        </w:rPr>
        <w:t>á</w:t>
      </w:r>
      <w:r w:rsidRPr="00E65D9D">
        <w:rPr>
          <w:rFonts w:ascii="Arial" w:hAnsi="Arial" w:cs="Arial"/>
          <w:lang w:val="es-MX"/>
        </w:rPr>
        <w:t xml:space="preserve"> ligad</w:t>
      </w:r>
      <w:r>
        <w:rPr>
          <w:rFonts w:ascii="Arial" w:hAnsi="Arial" w:cs="Arial"/>
          <w:lang w:val="es-MX"/>
        </w:rPr>
        <w:t>a</w:t>
      </w:r>
      <w:r w:rsidRPr="00E65D9D">
        <w:rPr>
          <w:rFonts w:ascii="Arial" w:hAnsi="Arial" w:cs="Arial"/>
          <w:lang w:val="es-MX"/>
        </w:rPr>
        <w:t xml:space="preserve"> o limitad</w:t>
      </w:r>
      <w:r>
        <w:rPr>
          <w:rFonts w:ascii="Arial" w:hAnsi="Arial" w:cs="Arial"/>
          <w:lang w:val="es-MX"/>
        </w:rPr>
        <w:t>a</w:t>
      </w:r>
      <w:r w:rsidRPr="00E65D9D">
        <w:rPr>
          <w:rFonts w:ascii="Arial" w:hAnsi="Arial" w:cs="Arial"/>
          <w:lang w:val="es-MX"/>
        </w:rPr>
        <w:t xml:space="preserve"> a un tipo espec</w:t>
      </w:r>
      <w:r>
        <w:rPr>
          <w:rFonts w:ascii="Arial" w:hAnsi="Arial" w:cs="Arial"/>
          <w:lang w:val="es-MX"/>
        </w:rPr>
        <w:t>í</w:t>
      </w:r>
      <w:r w:rsidRPr="00E65D9D">
        <w:rPr>
          <w:rFonts w:ascii="Arial" w:hAnsi="Arial" w:cs="Arial"/>
          <w:lang w:val="es-MX"/>
        </w:rPr>
        <w:t>fico de bienes o servicios</w:t>
      </w:r>
      <w:r>
        <w:rPr>
          <w:rStyle w:val="Refdenotaalpie"/>
          <w:rFonts w:ascii="Arial" w:hAnsi="Arial" w:cs="Arial"/>
          <w:lang w:val="es-MX"/>
        </w:rPr>
        <w:footnoteReference w:id="4"/>
      </w:r>
      <w:r w:rsidRPr="00E65D9D">
        <w:rPr>
          <w:rFonts w:ascii="Arial" w:hAnsi="Arial" w:cs="Arial"/>
          <w:lang w:val="es-MX"/>
        </w:rPr>
        <w:t xml:space="preserve"> y, más bien, su utilización en un proceso de licitación</w:t>
      </w:r>
      <w:r>
        <w:rPr>
          <w:rFonts w:ascii="Arial" w:hAnsi="Arial" w:cs="Arial"/>
          <w:lang w:val="es-MX"/>
        </w:rPr>
        <w:t xml:space="preserve"> pública</w:t>
      </w:r>
      <w:r w:rsidRPr="00E65D9D">
        <w:rPr>
          <w:rFonts w:ascii="Arial" w:hAnsi="Arial" w:cs="Arial"/>
          <w:lang w:val="es-MX"/>
        </w:rPr>
        <w:t xml:space="preserve"> se deriva de la voluntad discrecional de la </w:t>
      </w:r>
      <w:r>
        <w:rPr>
          <w:rFonts w:ascii="Arial" w:hAnsi="Arial" w:cs="Arial"/>
          <w:lang w:val="es-MX"/>
        </w:rPr>
        <w:t>e</w:t>
      </w:r>
      <w:r w:rsidRPr="00E65D9D">
        <w:rPr>
          <w:rFonts w:ascii="Arial" w:hAnsi="Arial" w:cs="Arial"/>
          <w:lang w:val="es-MX"/>
        </w:rPr>
        <w:t xml:space="preserve">ntidad </w:t>
      </w:r>
      <w:r>
        <w:rPr>
          <w:rFonts w:ascii="Arial" w:hAnsi="Arial" w:cs="Arial"/>
          <w:lang w:val="es-MX"/>
        </w:rPr>
        <w:t>e</w:t>
      </w:r>
      <w:r w:rsidRPr="00E65D9D">
        <w:rPr>
          <w:rFonts w:ascii="Arial" w:hAnsi="Arial" w:cs="Arial"/>
          <w:lang w:val="es-MX"/>
        </w:rPr>
        <w:t>statal contratante, la cual deberá determinar en los documentos previos si la oferta puede ser presentada, total o parcialmente, de manera dinámica mediante subasta inversa.  A</w:t>
      </w:r>
      <w:r>
        <w:rPr>
          <w:rFonts w:ascii="Arial" w:hAnsi="Arial" w:cs="Arial"/>
          <w:lang w:val="es-MX"/>
        </w:rPr>
        <w:t>l</w:t>
      </w:r>
      <w:r w:rsidRPr="00E65D9D">
        <w:rPr>
          <w:rFonts w:ascii="Arial" w:hAnsi="Arial" w:cs="Arial"/>
          <w:lang w:val="es-MX"/>
        </w:rPr>
        <w:t xml:space="preserve"> respecto, la Corte Constitucional consideró que</w:t>
      </w:r>
      <w:r>
        <w:rPr>
          <w:rFonts w:ascii="Arial" w:hAnsi="Arial" w:cs="Arial"/>
          <w:lang w:val="es-MX"/>
        </w:rPr>
        <w:t xml:space="preserve">: </w:t>
      </w:r>
    </w:p>
    <w:p w14:paraId="40C2B1F1" w14:textId="77777777" w:rsidR="009261E4" w:rsidRDefault="009261E4" w:rsidP="009261E4">
      <w:pPr>
        <w:autoSpaceDE w:val="0"/>
        <w:autoSpaceDN w:val="0"/>
        <w:adjustRightInd w:val="0"/>
        <w:ind w:left="709" w:right="709"/>
        <w:jc w:val="both"/>
        <w:rPr>
          <w:rFonts w:ascii="Arial" w:hAnsi="Arial" w:cs="Arial"/>
          <w:lang w:val="es-MX"/>
        </w:rPr>
      </w:pPr>
    </w:p>
    <w:p w14:paraId="08313E79" w14:textId="77777777" w:rsidR="009261E4" w:rsidRDefault="009261E4" w:rsidP="009261E4">
      <w:pPr>
        <w:autoSpaceDE w:val="0"/>
        <w:autoSpaceDN w:val="0"/>
        <w:adjustRightInd w:val="0"/>
        <w:ind w:left="709" w:right="709"/>
        <w:jc w:val="both"/>
        <w:rPr>
          <w:rFonts w:ascii="Arial" w:hAnsi="Arial" w:cs="Arial"/>
          <w:lang w:val="es-MX"/>
        </w:rPr>
      </w:pPr>
      <w:r>
        <w:rPr>
          <w:rFonts w:ascii="Arial" w:hAnsi="Arial" w:cs="Arial"/>
          <w:sz w:val="21"/>
          <w:szCs w:val="21"/>
          <w:lang w:val="es-MX"/>
        </w:rPr>
        <w:t>“</w:t>
      </w:r>
      <w:r w:rsidRPr="004240DD">
        <w:rPr>
          <w:rFonts w:ascii="Arial" w:hAnsi="Arial" w:cs="Arial"/>
          <w:sz w:val="21"/>
          <w:szCs w:val="21"/>
          <w:lang w:val="es-MX"/>
        </w:rPr>
        <w:t>En la medida en que el legislador ha ejercido su competencia dentro de los precisos términos que le confiere la Carta, la Sala entiende que la posibilidad de presentar la oferta total o parcialmente de manera dinámica mediante subasta inversa en los procesos licitatorios, no vulnera el principio de interés general ni los fines del Estado, máxime cuando la utilización de este mecanismo constituye una opción para la entidad estatal, que debe determinar si lo emplea o no, habida cuenta que la posibilidad de conformar dinámicamente la oferta en una etapa de la licitación pública, persigue reducir el costo total de la propuesta presentada, siendo posible lograr mejores condiciones técnicas y económicas y habilita un mecanismo de presentación de la oferta en el que la única variable a utilizar no es necesariamente la del precio, pues pueden incluirse otras variables dinámicas de conformidad con el pliego de condiciones</w:t>
      </w:r>
      <w:r>
        <w:rPr>
          <w:rFonts w:ascii="Arial" w:hAnsi="Arial" w:cs="Arial"/>
          <w:lang w:val="es-MX"/>
        </w:rPr>
        <w:t>”</w:t>
      </w:r>
      <w:r>
        <w:rPr>
          <w:rStyle w:val="Refdenotaalpie"/>
          <w:rFonts w:ascii="Arial" w:hAnsi="Arial" w:cs="Arial"/>
          <w:lang w:val="es-MX"/>
        </w:rPr>
        <w:footnoteReference w:id="5"/>
      </w:r>
      <w:r>
        <w:rPr>
          <w:rFonts w:ascii="Arial" w:hAnsi="Arial" w:cs="Arial"/>
          <w:lang w:val="es-MX"/>
        </w:rPr>
        <w:t>.</w:t>
      </w:r>
      <w:r w:rsidRPr="00E65D9D">
        <w:rPr>
          <w:rFonts w:ascii="Arial" w:hAnsi="Arial" w:cs="Arial"/>
          <w:lang w:val="es-MX"/>
        </w:rPr>
        <w:t> </w:t>
      </w:r>
    </w:p>
    <w:p w14:paraId="64366C37" w14:textId="77777777" w:rsidR="009261E4" w:rsidRPr="00E65D9D" w:rsidRDefault="009261E4" w:rsidP="009261E4">
      <w:pPr>
        <w:autoSpaceDE w:val="0"/>
        <w:autoSpaceDN w:val="0"/>
        <w:adjustRightInd w:val="0"/>
        <w:ind w:left="709" w:right="709"/>
        <w:jc w:val="both"/>
        <w:rPr>
          <w:rFonts w:ascii="Arial" w:hAnsi="Arial" w:cs="Arial"/>
          <w:lang w:val="es-MX"/>
        </w:rPr>
      </w:pPr>
    </w:p>
    <w:p w14:paraId="16E26608" w14:textId="77777777" w:rsidR="009261E4" w:rsidRDefault="009261E4" w:rsidP="009261E4">
      <w:pPr>
        <w:autoSpaceDE w:val="0"/>
        <w:autoSpaceDN w:val="0"/>
        <w:adjustRightInd w:val="0"/>
        <w:spacing w:after="120" w:line="276" w:lineRule="auto"/>
        <w:ind w:firstLine="709"/>
        <w:jc w:val="both"/>
        <w:rPr>
          <w:rFonts w:ascii="Arial" w:hAnsi="Arial" w:cs="Arial"/>
          <w:lang w:val="es-MX"/>
        </w:rPr>
      </w:pPr>
      <w:r w:rsidRPr="00E65D9D">
        <w:rPr>
          <w:rFonts w:ascii="Arial" w:hAnsi="Arial" w:cs="Arial"/>
          <w:lang w:val="es-MX"/>
        </w:rPr>
        <w:t xml:space="preserve">De este modo, resulta claro que la previsión normativa y la interpretación de la Corte Constitucional conciben la subasta inversa como un instrumento utilizable en la licitación pública, vinculado a la voluntad de la </w:t>
      </w:r>
      <w:r>
        <w:rPr>
          <w:rFonts w:ascii="Arial" w:hAnsi="Arial" w:cs="Arial"/>
          <w:lang w:val="es-MX"/>
        </w:rPr>
        <w:t>e</w:t>
      </w:r>
      <w:r w:rsidRPr="00E65D9D">
        <w:rPr>
          <w:rFonts w:ascii="Arial" w:hAnsi="Arial" w:cs="Arial"/>
          <w:lang w:val="es-MX"/>
        </w:rPr>
        <w:t xml:space="preserve">ntidad contratante y no al tipo de bienes o servicios que se pretendan adquirir. </w:t>
      </w:r>
      <w:r>
        <w:rPr>
          <w:rFonts w:ascii="Arial" w:hAnsi="Arial" w:cs="Arial"/>
          <w:lang w:val="es-MX"/>
        </w:rPr>
        <w:t>Así las cosas,</w:t>
      </w:r>
      <w:r w:rsidRPr="00E65D9D">
        <w:rPr>
          <w:rFonts w:ascii="Arial" w:hAnsi="Arial" w:cs="Arial"/>
          <w:lang w:val="es-MX"/>
        </w:rPr>
        <w:t xml:space="preserve"> el artículo 2.2.1.2.1.1.1 del Decreto 1082 de 2015</w:t>
      </w:r>
      <w:r>
        <w:rPr>
          <w:rStyle w:val="Refdenotaalpie"/>
          <w:rFonts w:ascii="Arial" w:hAnsi="Arial" w:cs="Arial"/>
          <w:lang w:val="es-MX"/>
        </w:rPr>
        <w:footnoteReference w:id="6"/>
      </w:r>
      <w:r w:rsidRPr="00E65D9D">
        <w:rPr>
          <w:rFonts w:ascii="Arial" w:hAnsi="Arial" w:cs="Arial"/>
          <w:lang w:val="es-MX"/>
        </w:rPr>
        <w:t xml:space="preserve"> establece que </w:t>
      </w:r>
      <w:r>
        <w:rPr>
          <w:rFonts w:ascii="Arial" w:hAnsi="Arial" w:cs="Arial"/>
          <w:lang w:val="es-MX"/>
        </w:rPr>
        <w:t>“</w:t>
      </w:r>
      <w:r w:rsidRPr="00E65D9D">
        <w:rPr>
          <w:rFonts w:ascii="Arial" w:hAnsi="Arial" w:cs="Arial"/>
          <w:lang w:val="es-MX"/>
        </w:rPr>
        <w:t>Las Entidades Estatales pueden utilizar el mecanismo de subasta inversa para la conformación dinámica de las ofertas en la licitación. En este caso, la Entidad Estatal debe señalar en los pliegos de condiciones las variables técnicas y económicas sobre las cuales los oferentes pueden realizar la puja</w:t>
      </w:r>
      <w:r>
        <w:rPr>
          <w:rFonts w:ascii="Arial" w:hAnsi="Arial" w:cs="Arial"/>
          <w:lang w:val="es-MX"/>
        </w:rPr>
        <w:t>”.</w:t>
      </w:r>
    </w:p>
    <w:p w14:paraId="0670F18A" w14:textId="77777777" w:rsidR="009261E4" w:rsidRDefault="009261E4" w:rsidP="009261E4">
      <w:pPr>
        <w:autoSpaceDE w:val="0"/>
        <w:autoSpaceDN w:val="0"/>
        <w:adjustRightInd w:val="0"/>
        <w:spacing w:line="276" w:lineRule="auto"/>
        <w:ind w:firstLine="709"/>
        <w:jc w:val="both"/>
        <w:rPr>
          <w:rFonts w:ascii="Arial" w:hAnsi="Arial" w:cs="Arial"/>
          <w:lang w:val="es-MX"/>
        </w:rPr>
      </w:pPr>
      <w:r>
        <w:rPr>
          <w:rFonts w:ascii="Arial" w:hAnsi="Arial" w:cs="Arial"/>
          <w:lang w:val="es-MX"/>
        </w:rPr>
        <w:t xml:space="preserve">Así las cosas, los bienes y servicios que se pueden adquirir a través de subasta inversa en una licitación pública son todos aquellos que, en virtud de la normatividad vigente, deben ser adquiridos mediante esa modalidad de selección. Es decir, si la entidad contratante decide, en ejercicio de su discrecionalidad, que la configuración de las ofertas en una licitación pública se realizará mediante el procedimiento o metodología de subasta inversa, la única limitación para el tipo de bienes o servicios a adquirir se encuentra en los bienes y servicios que se pueden adquirir a través de licitación pública. En suma, se trata de una amplia gama de bienes y servicios que pueden adquirirse mediante la utilización de la metodología en comento. </w:t>
      </w:r>
    </w:p>
    <w:p w14:paraId="35EEEA30" w14:textId="77777777" w:rsidR="009261E4" w:rsidRDefault="009261E4" w:rsidP="009261E4">
      <w:pPr>
        <w:autoSpaceDE w:val="0"/>
        <w:autoSpaceDN w:val="0"/>
        <w:adjustRightInd w:val="0"/>
        <w:spacing w:line="276" w:lineRule="auto"/>
        <w:jc w:val="both"/>
        <w:rPr>
          <w:rFonts w:ascii="Arial" w:hAnsi="Arial" w:cs="Arial"/>
          <w:b/>
          <w:bCs/>
          <w:lang w:val="es-MX"/>
        </w:rPr>
      </w:pPr>
    </w:p>
    <w:p w14:paraId="299B0FFA" w14:textId="77777777" w:rsidR="009261E4" w:rsidRDefault="009261E4" w:rsidP="009261E4">
      <w:pPr>
        <w:autoSpaceDE w:val="0"/>
        <w:autoSpaceDN w:val="0"/>
        <w:adjustRightInd w:val="0"/>
        <w:spacing w:line="276" w:lineRule="auto"/>
        <w:jc w:val="both"/>
        <w:rPr>
          <w:rFonts w:ascii="Arial" w:hAnsi="Arial" w:cs="Arial"/>
          <w:b/>
          <w:bCs/>
          <w:lang w:val="es-MX"/>
        </w:rPr>
      </w:pPr>
      <w:r>
        <w:rPr>
          <w:rFonts w:ascii="Arial" w:hAnsi="Arial" w:cs="Arial"/>
          <w:b/>
          <w:bCs/>
          <w:lang w:val="es-MX"/>
        </w:rPr>
        <w:lastRenderedPageBreak/>
        <w:t xml:space="preserve">2.2. La subasta inversa en la selección abreviada para la adquisición de bienes y servicios de características técnicas uniformes y de común utilización </w:t>
      </w:r>
    </w:p>
    <w:p w14:paraId="3CC0A9CF" w14:textId="77777777" w:rsidR="009261E4" w:rsidRPr="00E65D9D" w:rsidRDefault="009261E4" w:rsidP="009261E4">
      <w:pPr>
        <w:autoSpaceDE w:val="0"/>
        <w:autoSpaceDN w:val="0"/>
        <w:adjustRightInd w:val="0"/>
        <w:spacing w:line="276" w:lineRule="auto"/>
        <w:jc w:val="both"/>
        <w:rPr>
          <w:rFonts w:ascii="Arial" w:hAnsi="Arial" w:cs="Arial"/>
          <w:b/>
          <w:bCs/>
          <w:lang w:val="es-MX"/>
        </w:rPr>
      </w:pPr>
    </w:p>
    <w:p w14:paraId="463F48AF" w14:textId="77777777" w:rsidR="009261E4" w:rsidRPr="00E65D9D" w:rsidRDefault="009261E4" w:rsidP="009261E4">
      <w:pPr>
        <w:autoSpaceDE w:val="0"/>
        <w:autoSpaceDN w:val="0"/>
        <w:adjustRightInd w:val="0"/>
        <w:spacing w:after="120" w:line="276" w:lineRule="auto"/>
        <w:jc w:val="both"/>
        <w:rPr>
          <w:rFonts w:ascii="Arial" w:hAnsi="Arial" w:cs="Arial"/>
          <w:lang w:val="es-MX"/>
        </w:rPr>
      </w:pPr>
      <w:r>
        <w:rPr>
          <w:rFonts w:ascii="Arial" w:hAnsi="Arial" w:cs="Arial"/>
          <w:lang w:val="es-MX"/>
        </w:rPr>
        <w:t>En línea con lo expuesto en los numerales anteriores</w:t>
      </w:r>
      <w:r w:rsidRPr="00E65D9D">
        <w:rPr>
          <w:rFonts w:ascii="Arial" w:hAnsi="Arial" w:cs="Arial"/>
          <w:lang w:val="es-MX"/>
        </w:rPr>
        <w:t>, el literal a</w:t>
      </w:r>
      <w:r>
        <w:rPr>
          <w:rFonts w:ascii="Arial" w:hAnsi="Arial" w:cs="Arial"/>
          <w:lang w:val="es-MX"/>
        </w:rPr>
        <w:t>)</w:t>
      </w:r>
      <w:r w:rsidRPr="00E65D9D">
        <w:rPr>
          <w:rFonts w:ascii="Arial" w:hAnsi="Arial" w:cs="Arial"/>
          <w:lang w:val="es-MX"/>
        </w:rPr>
        <w:t xml:space="preserve"> del numeral 2 del artículo 2 de la Ley 1150 de 2007, en relación con la adquisición de bienes y servicios de características técnicas uniformes y de común utilización, </w:t>
      </w:r>
      <w:r>
        <w:rPr>
          <w:rFonts w:ascii="Arial" w:hAnsi="Arial" w:cs="Arial"/>
          <w:lang w:val="es-MX"/>
        </w:rPr>
        <w:t>establece</w:t>
      </w:r>
      <w:r w:rsidRPr="00E65D9D">
        <w:rPr>
          <w:rFonts w:ascii="Arial" w:hAnsi="Arial" w:cs="Arial"/>
          <w:lang w:val="es-MX"/>
        </w:rPr>
        <w:t xml:space="preserve"> que </w:t>
      </w:r>
      <w:r>
        <w:rPr>
          <w:rFonts w:ascii="Arial" w:hAnsi="Arial" w:cs="Arial"/>
          <w:lang w:val="es-MX"/>
        </w:rPr>
        <w:t>“</w:t>
      </w:r>
      <w:r w:rsidRPr="00E65D9D">
        <w:rPr>
          <w:rFonts w:ascii="Arial" w:hAnsi="Arial" w:cs="Arial"/>
          <w:lang w:val="es-MX"/>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r>
        <w:rPr>
          <w:rFonts w:ascii="Arial" w:hAnsi="Arial" w:cs="Arial"/>
          <w:lang w:val="es-MX"/>
        </w:rPr>
        <w:t>”</w:t>
      </w:r>
      <w:r w:rsidRPr="00E65D9D">
        <w:rPr>
          <w:rFonts w:ascii="Arial" w:hAnsi="Arial" w:cs="Arial"/>
          <w:lang w:val="es-MX"/>
        </w:rPr>
        <w:t xml:space="preserve">. En este evento, contrario a lo que ocurre en la licitación pública, el ordenamiento jurídico </w:t>
      </w:r>
      <w:r>
        <w:rPr>
          <w:rFonts w:ascii="Arial" w:hAnsi="Arial" w:cs="Arial"/>
          <w:lang w:val="es-MX"/>
        </w:rPr>
        <w:t>prescribe</w:t>
      </w:r>
      <w:r w:rsidRPr="00E65D9D">
        <w:rPr>
          <w:rFonts w:ascii="Arial" w:hAnsi="Arial" w:cs="Arial"/>
          <w:lang w:val="es-MX"/>
        </w:rPr>
        <w:t xml:space="preserve"> la utilización de la subasta inversa en los procedimientos de selección abreviada cuando se pretenda</w:t>
      </w:r>
      <w:r>
        <w:rPr>
          <w:rFonts w:ascii="Arial" w:hAnsi="Arial" w:cs="Arial"/>
          <w:lang w:val="es-MX"/>
        </w:rPr>
        <w:t>n</w:t>
      </w:r>
      <w:r w:rsidRPr="00E65D9D">
        <w:rPr>
          <w:rFonts w:ascii="Arial" w:hAnsi="Arial" w:cs="Arial"/>
          <w:lang w:val="es-MX"/>
        </w:rPr>
        <w:t xml:space="preserve"> adquirir bienes y servicios de características técnicas uniformes y de común utilización. </w:t>
      </w:r>
    </w:p>
    <w:p w14:paraId="04D43D4A" w14:textId="77777777" w:rsidR="009261E4" w:rsidRDefault="009261E4" w:rsidP="009261E4">
      <w:pPr>
        <w:autoSpaceDE w:val="0"/>
        <w:autoSpaceDN w:val="0"/>
        <w:adjustRightInd w:val="0"/>
        <w:spacing w:after="120" w:line="276" w:lineRule="auto"/>
        <w:ind w:firstLine="709"/>
        <w:jc w:val="both"/>
        <w:rPr>
          <w:rFonts w:ascii="Arial" w:hAnsi="Arial" w:cs="Arial"/>
          <w:lang w:val="es-MX"/>
        </w:rPr>
      </w:pPr>
      <w:r>
        <w:rPr>
          <w:rFonts w:ascii="Arial" w:hAnsi="Arial" w:cs="Arial"/>
          <w:lang w:val="es-MX"/>
        </w:rPr>
        <w:t>Así las cosas, c</w:t>
      </w:r>
      <w:r w:rsidRPr="00E65D9D">
        <w:rPr>
          <w:rFonts w:ascii="Arial" w:hAnsi="Arial" w:cs="Arial"/>
          <w:lang w:val="es-MX"/>
        </w:rPr>
        <w:t xml:space="preserve">omo se desprende </w:t>
      </w:r>
      <w:r>
        <w:rPr>
          <w:rFonts w:ascii="Arial" w:hAnsi="Arial" w:cs="Arial"/>
          <w:lang w:val="es-MX"/>
        </w:rPr>
        <w:t xml:space="preserve">de la </w:t>
      </w:r>
      <w:r w:rsidRPr="00E65D9D">
        <w:rPr>
          <w:rFonts w:ascii="Arial" w:hAnsi="Arial" w:cs="Arial"/>
          <w:lang w:val="es-MX"/>
        </w:rPr>
        <w:t xml:space="preserve">disposición </w:t>
      </w:r>
      <w:r>
        <w:rPr>
          <w:rFonts w:ascii="Arial" w:hAnsi="Arial" w:cs="Arial"/>
          <w:lang w:val="es-MX"/>
        </w:rPr>
        <w:t>citada</w:t>
      </w:r>
      <w:r w:rsidRPr="00E65D9D">
        <w:rPr>
          <w:rFonts w:ascii="Arial" w:hAnsi="Arial" w:cs="Arial"/>
          <w:lang w:val="es-MX"/>
        </w:rPr>
        <w:t>, la utilización de la subasta inversa en la selección abreviada está plenamente ligada con el tipo o la naturaleza de los bienes o servicios a adquirir. En este sentido, el artículo 2.2.1.2.1.2.2. del Decreto 1082 de 2015</w:t>
      </w:r>
      <w:r>
        <w:rPr>
          <w:rStyle w:val="Refdenotaalpie"/>
          <w:rFonts w:ascii="Arial" w:hAnsi="Arial" w:cs="Arial"/>
          <w:lang w:val="es-MX"/>
        </w:rPr>
        <w:footnoteReference w:id="7"/>
      </w:r>
      <w:r w:rsidRPr="00E65D9D">
        <w:rPr>
          <w:rFonts w:ascii="Arial" w:hAnsi="Arial" w:cs="Arial"/>
          <w:lang w:val="es-MX"/>
        </w:rPr>
        <w:t xml:space="preserve"> indica que, en la selección abreviada para la adquisición de bienes y servicios de características técnicas uniformes por subasta inversa, además de las reglas generales previstas en la ley y en el ese título del Decreto deben observarse las reglas específicas allí enunciadas. De este modo, queda claro que para recurrir a la subasta </w:t>
      </w:r>
      <w:r w:rsidRPr="00E65D9D">
        <w:rPr>
          <w:rFonts w:ascii="Arial" w:hAnsi="Arial" w:cs="Arial"/>
          <w:lang w:val="es-MX"/>
        </w:rPr>
        <w:lastRenderedPageBreak/>
        <w:t>inversa en la selección abreviada es determinante la naturaleza de los bienes y servicios que se pretenden adquirir.</w:t>
      </w:r>
    </w:p>
    <w:p w14:paraId="5D3FFFF2" w14:textId="77777777" w:rsidR="009261E4" w:rsidRDefault="009261E4" w:rsidP="009261E4">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rFonts w:ascii="Arial" w:hAnsi="Arial" w:cs="Arial"/>
          <w:sz w:val="22"/>
          <w:lang w:val="es-ES"/>
        </w:rPr>
        <w:t>A partir de las disposiciones anteriores, tal como se puso de presente en el concepto C-678 del 24 de noviembre de 2020 de esta Agencia, la doctrina</w:t>
      </w:r>
      <w:r>
        <w:rPr>
          <w:rStyle w:val="apple-converted-space"/>
          <w:rFonts w:ascii="Arial" w:hAnsi="Arial" w:cs="Arial"/>
          <w:sz w:val="22"/>
          <w:szCs w:val="22"/>
          <w:lang w:val="es-ES"/>
        </w:rPr>
        <w:t> </w:t>
      </w:r>
      <w:r>
        <w:rPr>
          <w:rStyle w:val="normaltextrun"/>
          <w:rFonts w:ascii="Arial" w:hAnsi="Arial" w:cs="Arial"/>
          <w:sz w:val="22"/>
          <w:lang w:val="es-ES"/>
        </w:rPr>
        <w:t>ha</w:t>
      </w:r>
      <w:r>
        <w:rPr>
          <w:rStyle w:val="apple-converted-space"/>
          <w:rFonts w:ascii="Arial" w:hAnsi="Arial" w:cs="Arial"/>
          <w:sz w:val="22"/>
          <w:szCs w:val="22"/>
          <w:lang w:val="es-ES"/>
        </w:rPr>
        <w:t> </w:t>
      </w:r>
      <w:r>
        <w:rPr>
          <w:rStyle w:val="normaltextrun"/>
          <w:rFonts w:ascii="Arial" w:hAnsi="Arial" w:cs="Arial"/>
          <w:sz w:val="22"/>
          <w:lang w:val="es-ES"/>
        </w:rPr>
        <w:t>avanzado en la conceptualización de este tipo de bienes</w:t>
      </w:r>
      <w:r>
        <w:rPr>
          <w:rStyle w:val="apple-converted-space"/>
          <w:rFonts w:ascii="Arial" w:hAnsi="Arial" w:cs="Arial"/>
          <w:sz w:val="22"/>
          <w:szCs w:val="22"/>
          <w:lang w:val="es-ES"/>
        </w:rPr>
        <w:t> </w:t>
      </w:r>
      <w:r>
        <w:rPr>
          <w:rStyle w:val="normaltextrun"/>
          <w:rFonts w:ascii="Arial" w:hAnsi="Arial" w:cs="Arial"/>
          <w:sz w:val="22"/>
          <w:lang w:val="es-ES"/>
        </w:rPr>
        <w:t>y servicios,</w:t>
      </w:r>
      <w:r>
        <w:rPr>
          <w:rStyle w:val="apple-converted-space"/>
          <w:rFonts w:ascii="Arial" w:hAnsi="Arial" w:cs="Arial"/>
          <w:sz w:val="22"/>
          <w:szCs w:val="22"/>
          <w:lang w:val="es-ES"/>
        </w:rPr>
        <w:t> </w:t>
      </w:r>
      <w:r>
        <w:rPr>
          <w:rStyle w:val="normaltextrun"/>
          <w:rFonts w:ascii="Arial" w:hAnsi="Arial" w:cs="Arial"/>
          <w:sz w:val="22"/>
          <w:lang w:val="es-ES"/>
        </w:rPr>
        <w:t>resaltando sus características esenciales relacionadas con su</w:t>
      </w:r>
      <w:r>
        <w:rPr>
          <w:rStyle w:val="apple-converted-space"/>
          <w:rFonts w:ascii="Arial" w:hAnsi="Arial" w:cs="Arial"/>
          <w:sz w:val="22"/>
          <w:szCs w:val="22"/>
          <w:lang w:val="es-ES"/>
        </w:rPr>
        <w:t> </w:t>
      </w:r>
      <w:r>
        <w:rPr>
          <w:rStyle w:val="normaltextrun"/>
          <w:rFonts w:ascii="Arial" w:hAnsi="Arial" w:cs="Arial"/>
          <w:i/>
          <w:iCs/>
          <w:sz w:val="22"/>
          <w:lang w:val="es-ES"/>
        </w:rPr>
        <w:t>homogeneidad</w:t>
      </w:r>
      <w:r>
        <w:rPr>
          <w:rStyle w:val="apple-converted-space"/>
          <w:rFonts w:ascii="Arial" w:hAnsi="Arial" w:cs="Arial"/>
          <w:i/>
          <w:iCs/>
          <w:sz w:val="22"/>
          <w:szCs w:val="22"/>
          <w:lang w:val="es-ES"/>
        </w:rPr>
        <w:t> </w:t>
      </w:r>
      <w:r>
        <w:rPr>
          <w:rStyle w:val="normaltextrun"/>
          <w:rFonts w:ascii="Arial" w:hAnsi="Arial" w:cs="Arial"/>
          <w:sz w:val="22"/>
          <w:lang w:val="es-ES"/>
        </w:rPr>
        <w:t>y su oferta en el mercado en condiciones estandarizadas. En tal sentido, en relación con ellos afirmó, con apoyo en la doctrina, que:</w:t>
      </w:r>
      <w:r>
        <w:rPr>
          <w:rStyle w:val="eop"/>
          <w:rFonts w:eastAsia="Arial"/>
          <w:sz w:val="22"/>
          <w:szCs w:val="22"/>
        </w:rPr>
        <w:t> </w:t>
      </w:r>
    </w:p>
    <w:p w14:paraId="7B4ACC5D" w14:textId="77777777" w:rsidR="009261E4" w:rsidRDefault="009261E4" w:rsidP="009261E4">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Arial"/>
          <w:sz w:val="22"/>
          <w:szCs w:val="22"/>
        </w:rPr>
        <w:t> </w:t>
      </w:r>
    </w:p>
    <w:p w14:paraId="7F8F09BC" w14:textId="77777777" w:rsidR="009261E4" w:rsidRDefault="009261E4" w:rsidP="009261E4">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w:t>
      </w:r>
      <w:r>
        <w:rPr>
          <w:rStyle w:val="apple-converted-space"/>
          <w:rFonts w:ascii="Arial" w:hAnsi="Arial" w:cs="Arial"/>
          <w:sz w:val="21"/>
          <w:szCs w:val="21"/>
          <w:lang w:val="es-ES"/>
        </w:rPr>
        <w:t> </w:t>
      </w:r>
      <w:r>
        <w:rPr>
          <w:rStyle w:val="normaltextrun"/>
          <w:rFonts w:ascii="Arial" w:hAnsi="Arial" w:cs="Arial"/>
          <w:sz w:val="21"/>
          <w:szCs w:val="21"/>
          <w:lang w:val="es-ES"/>
        </w:rPr>
        <w:t>ello evoca que sean fácilmente describibles por</w:t>
      </w:r>
      <w:r>
        <w:rPr>
          <w:rStyle w:val="apple-converted-space"/>
          <w:rFonts w:ascii="Arial" w:hAnsi="Arial" w:cs="Arial"/>
          <w:sz w:val="21"/>
          <w:szCs w:val="21"/>
          <w:lang w:val="es-ES"/>
        </w:rPr>
        <w:t> </w:t>
      </w:r>
      <w:r>
        <w:rPr>
          <w:rStyle w:val="normaltextrun"/>
          <w:rFonts w:ascii="Arial" w:hAnsi="Arial" w:cs="Arial"/>
          <w:i/>
          <w:iCs/>
          <w:sz w:val="21"/>
          <w:szCs w:val="21"/>
          <w:lang w:val="es-ES"/>
        </w:rPr>
        <w:t>características mínimas comunes a los de su tipo, excluyendo elementos no esenciales, tales como los de diseño o cualquier otro que no altere la funcionalidad del bien o servicio.</w:t>
      </w:r>
      <w:r>
        <w:rPr>
          <w:rStyle w:val="apple-converted-space"/>
          <w:rFonts w:ascii="Arial" w:hAnsi="Arial" w:cs="Arial"/>
          <w:i/>
          <w:iCs/>
          <w:sz w:val="21"/>
          <w:szCs w:val="21"/>
          <w:lang w:val="es-ES"/>
        </w:rPr>
        <w:t> </w:t>
      </w:r>
      <w:r>
        <w:rPr>
          <w:rStyle w:val="normaltextrun"/>
          <w:rFonts w:ascii="Arial" w:hAnsi="Arial" w:cs="Arial"/>
          <w:sz w:val="21"/>
          <w:szCs w:val="21"/>
          <w:lang w:val="es-ES"/>
        </w:rPr>
        <w:t>Ello debería ser así, en la medida en</w:t>
      </w:r>
      <w:r>
        <w:rPr>
          <w:rStyle w:val="apple-converted-space"/>
          <w:rFonts w:ascii="Arial" w:hAnsi="Arial" w:cs="Arial"/>
          <w:sz w:val="21"/>
          <w:szCs w:val="21"/>
          <w:lang w:val="es-ES"/>
        </w:rPr>
        <w:t> </w:t>
      </w:r>
      <w:r>
        <w:rPr>
          <w:rStyle w:val="normaltextrun"/>
          <w:rFonts w:ascii="Arial" w:hAnsi="Arial" w:cs="Arial"/>
          <w:sz w:val="21"/>
          <w:szCs w:val="21"/>
          <w:lang w:val="es-ES"/>
        </w:rPr>
        <w:t>la cual</w:t>
      </w:r>
      <w:r>
        <w:rPr>
          <w:rStyle w:val="apple-converted-space"/>
          <w:rFonts w:ascii="Arial" w:hAnsi="Arial" w:cs="Arial"/>
          <w:sz w:val="21"/>
          <w:szCs w:val="21"/>
          <w:lang w:val="es-ES"/>
        </w:rPr>
        <w:t> </w:t>
      </w:r>
      <w:r>
        <w:rPr>
          <w:rStyle w:val="normaltextrun"/>
          <w:rFonts w:ascii="Arial" w:hAnsi="Arial" w:cs="Arial"/>
          <w:sz w:val="21"/>
          <w:szCs w:val="21"/>
          <w:lang w:val="es-ES"/>
        </w:rPr>
        <w:t>se</w:t>
      </w:r>
      <w:r>
        <w:rPr>
          <w:rStyle w:val="apple-converted-space"/>
          <w:rFonts w:ascii="Arial" w:hAnsi="Arial" w:cs="Arial"/>
          <w:sz w:val="21"/>
          <w:szCs w:val="21"/>
          <w:lang w:val="es-ES"/>
        </w:rPr>
        <w:t> </w:t>
      </w:r>
      <w:r>
        <w:rPr>
          <w:rStyle w:val="normaltextrun"/>
          <w:rFonts w:ascii="Arial" w:hAnsi="Arial" w:cs="Arial"/>
          <w:sz w:val="21"/>
          <w:szCs w:val="21"/>
          <w:lang w:val="es-ES"/>
        </w:rPr>
        <w:t>busca que la Administración logre que compitan</w:t>
      </w:r>
      <w:r>
        <w:rPr>
          <w:rStyle w:val="apple-converted-space"/>
          <w:rFonts w:ascii="Arial" w:hAnsi="Arial" w:cs="Arial"/>
          <w:sz w:val="21"/>
          <w:szCs w:val="21"/>
          <w:lang w:val="es-ES"/>
        </w:rPr>
        <w:t> </w:t>
      </w:r>
      <w:r>
        <w:rPr>
          <w:rStyle w:val="normaltextrun"/>
          <w:rFonts w:ascii="Arial" w:hAnsi="Arial" w:cs="Arial"/>
          <w:sz w:val="21"/>
          <w:szCs w:val="21"/>
          <w:lang w:val="es-ES"/>
        </w:rPr>
        <w:t>bienes y servicios de igual calidad ofrecidos por proponentes capaces de satisfacer el requerimiento de la entidad contratante.</w:t>
      </w:r>
      <w:r>
        <w:rPr>
          <w:rStyle w:val="eop"/>
          <w:rFonts w:eastAsia="Arial"/>
          <w:sz w:val="21"/>
          <w:szCs w:val="21"/>
        </w:rPr>
        <w:t> </w:t>
      </w:r>
    </w:p>
    <w:p w14:paraId="2D757E8A" w14:textId="77777777" w:rsidR="009261E4" w:rsidRDefault="009261E4" w:rsidP="009261E4">
      <w:pPr>
        <w:pStyle w:val="paragraph"/>
        <w:spacing w:before="0" w:beforeAutospacing="0" w:after="12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w:t>
      </w:r>
      <w:r>
        <w:rPr>
          <w:rStyle w:val="eop"/>
          <w:rFonts w:eastAsia="Arial"/>
          <w:sz w:val="21"/>
          <w:szCs w:val="21"/>
        </w:rPr>
        <w:t> </w:t>
      </w:r>
    </w:p>
    <w:p w14:paraId="0F8436BF" w14:textId="77777777" w:rsidR="009261E4" w:rsidRDefault="009261E4" w:rsidP="009261E4">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Aquellos</w:t>
      </w:r>
      <w:r>
        <w:rPr>
          <w:rStyle w:val="apple-converted-space"/>
          <w:rFonts w:ascii="Arial" w:hAnsi="Arial" w:cs="Arial"/>
          <w:sz w:val="21"/>
          <w:szCs w:val="21"/>
          <w:lang w:val="es-ES"/>
        </w:rPr>
        <w:t> </w:t>
      </w:r>
      <w:r>
        <w:rPr>
          <w:rStyle w:val="normaltextrun"/>
          <w:rFonts w:ascii="Arial" w:hAnsi="Arial" w:cs="Arial"/>
          <w:sz w:val="21"/>
          <w:szCs w:val="21"/>
          <w:lang w:val="es-ES"/>
        </w:rPr>
        <w:t>que se ofrecen en el mercado con</w:t>
      </w:r>
      <w:r>
        <w:rPr>
          <w:rStyle w:val="apple-converted-space"/>
          <w:rFonts w:ascii="Arial" w:hAnsi="Arial" w:cs="Arial"/>
          <w:sz w:val="21"/>
          <w:szCs w:val="21"/>
          <w:lang w:val="es-ES"/>
        </w:rPr>
        <w:t> </w:t>
      </w:r>
      <w:r>
        <w:rPr>
          <w:rStyle w:val="normaltextrun"/>
          <w:rFonts w:ascii="Arial" w:hAnsi="Arial" w:cs="Arial"/>
          <w:sz w:val="21"/>
          <w:szCs w:val="21"/>
          <w:lang w:val="es-ES"/>
        </w:rPr>
        <w:t>un estándar para quienes los demandan, o lo que es igual, que la oferta de los mismos en el mercado ocurriese en condiciones equivalentes para todo interesado en adquirirlo”</w:t>
      </w:r>
      <w:r>
        <w:rPr>
          <w:rStyle w:val="Refdenotaalpie"/>
          <w:rFonts w:ascii="Arial" w:hAnsi="Arial" w:cs="Arial"/>
          <w:sz w:val="21"/>
          <w:szCs w:val="21"/>
          <w:lang w:val="es-ES"/>
        </w:rPr>
        <w:footnoteReference w:id="8"/>
      </w:r>
      <w:r>
        <w:rPr>
          <w:rStyle w:val="normaltextrun"/>
          <w:rFonts w:ascii="Arial" w:hAnsi="Arial" w:cs="Arial"/>
          <w:sz w:val="21"/>
          <w:szCs w:val="21"/>
          <w:lang w:val="es-ES"/>
        </w:rPr>
        <w:t>.</w:t>
      </w:r>
      <w:r>
        <w:rPr>
          <w:rStyle w:val="eop"/>
          <w:rFonts w:eastAsia="Arial"/>
          <w:sz w:val="21"/>
          <w:szCs w:val="21"/>
        </w:rPr>
        <w:t> </w:t>
      </w:r>
    </w:p>
    <w:p w14:paraId="5E350338" w14:textId="77777777" w:rsidR="009261E4" w:rsidRDefault="009261E4" w:rsidP="009261E4">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Arial"/>
          <w:sz w:val="22"/>
          <w:szCs w:val="22"/>
        </w:rPr>
        <w:t> </w:t>
      </w:r>
    </w:p>
    <w:p w14:paraId="32C96046" w14:textId="77777777" w:rsidR="009261E4" w:rsidRDefault="009261E4" w:rsidP="009261E4">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lang w:val="es-ES"/>
        </w:rPr>
        <w:t>Como se advierte de lo anterior,</w:t>
      </w:r>
      <w:r>
        <w:rPr>
          <w:rStyle w:val="apple-converted-space"/>
          <w:rFonts w:ascii="Arial" w:hAnsi="Arial" w:cs="Arial"/>
          <w:sz w:val="22"/>
          <w:szCs w:val="22"/>
          <w:lang w:val="es-ES"/>
        </w:rPr>
        <w:t> </w:t>
      </w:r>
      <w:r>
        <w:rPr>
          <w:rStyle w:val="normaltextrun"/>
          <w:rFonts w:ascii="Arial" w:hAnsi="Arial" w:cs="Arial"/>
          <w:sz w:val="22"/>
          <w:lang w:val="es-ES"/>
        </w:rPr>
        <w:t>los elementos centrales para definir si un bien o servicio se considera de características técnicas uniformes</w:t>
      </w:r>
      <w:r>
        <w:rPr>
          <w:rStyle w:val="apple-converted-space"/>
          <w:rFonts w:ascii="Arial" w:hAnsi="Arial" w:cs="Arial"/>
          <w:sz w:val="22"/>
          <w:szCs w:val="22"/>
          <w:lang w:val="es-ES"/>
        </w:rPr>
        <w:t> </w:t>
      </w:r>
      <w:r>
        <w:rPr>
          <w:rStyle w:val="normaltextrun"/>
          <w:rFonts w:ascii="Arial" w:hAnsi="Arial" w:cs="Arial"/>
          <w:sz w:val="22"/>
          <w:lang w:val="es-ES"/>
        </w:rPr>
        <w:t>consiste en</w:t>
      </w:r>
      <w:r>
        <w:rPr>
          <w:rStyle w:val="apple-converted-space"/>
          <w:rFonts w:ascii="Arial" w:hAnsi="Arial" w:cs="Arial"/>
          <w:sz w:val="22"/>
          <w:szCs w:val="22"/>
          <w:lang w:val="es-ES"/>
        </w:rPr>
        <w:t> </w:t>
      </w:r>
      <w:r>
        <w:rPr>
          <w:rStyle w:val="normaltextrun"/>
          <w:rFonts w:ascii="Arial" w:hAnsi="Arial" w:cs="Arial"/>
          <w:sz w:val="22"/>
          <w:lang w:val="es-ES"/>
        </w:rPr>
        <w:t>que</w:t>
      </w:r>
      <w:r>
        <w:rPr>
          <w:rStyle w:val="apple-converted-space"/>
          <w:rFonts w:ascii="Arial" w:hAnsi="Arial" w:cs="Arial"/>
          <w:sz w:val="22"/>
          <w:szCs w:val="22"/>
          <w:lang w:val="es-ES"/>
        </w:rPr>
        <w:t> </w:t>
      </w:r>
      <w:r>
        <w:rPr>
          <w:rStyle w:val="normaltextrun"/>
          <w:rFonts w:ascii="Arial" w:hAnsi="Arial" w:cs="Arial"/>
          <w:sz w:val="22"/>
          <w:lang w:val="es-ES"/>
        </w:rPr>
        <w:t>posea las mismas especificaciones técnicas y compartan patrones de desempeño y calidad objetivamente definidos, de manera que sea posible adquirirlos en el mercado en condiciones</w:t>
      </w:r>
      <w:r>
        <w:rPr>
          <w:rStyle w:val="apple-converted-space"/>
          <w:rFonts w:ascii="Arial" w:hAnsi="Arial" w:cs="Arial"/>
          <w:sz w:val="22"/>
          <w:szCs w:val="22"/>
          <w:lang w:val="es-ES"/>
        </w:rPr>
        <w:t> </w:t>
      </w:r>
      <w:r>
        <w:rPr>
          <w:rStyle w:val="normaltextrun"/>
          <w:rFonts w:ascii="Arial" w:hAnsi="Arial" w:cs="Arial"/>
          <w:sz w:val="22"/>
          <w:lang w:val="es-ES"/>
        </w:rPr>
        <w:t>estandarizadas u homogéneas, con independencia de su diseño o de sus características descriptivas,</w:t>
      </w:r>
      <w:r>
        <w:rPr>
          <w:rStyle w:val="apple-converted-space"/>
          <w:rFonts w:ascii="Arial" w:hAnsi="Arial" w:cs="Arial"/>
          <w:sz w:val="22"/>
          <w:szCs w:val="22"/>
          <w:lang w:val="es-ES"/>
        </w:rPr>
        <w:t> </w:t>
      </w:r>
      <w:r>
        <w:rPr>
          <w:rStyle w:val="normaltextrun"/>
          <w:rFonts w:ascii="Arial" w:hAnsi="Arial" w:cs="Arial"/>
          <w:sz w:val="22"/>
          <w:lang w:val="es-ES"/>
        </w:rPr>
        <w:t>que no</w:t>
      </w:r>
      <w:r>
        <w:rPr>
          <w:rStyle w:val="apple-converted-space"/>
          <w:rFonts w:ascii="Arial" w:hAnsi="Arial" w:cs="Arial"/>
          <w:sz w:val="22"/>
          <w:szCs w:val="22"/>
          <w:lang w:val="es-ES"/>
        </w:rPr>
        <w:t> </w:t>
      </w:r>
      <w:r>
        <w:rPr>
          <w:rStyle w:val="normaltextrun"/>
          <w:rFonts w:ascii="Arial" w:hAnsi="Arial" w:cs="Arial"/>
          <w:sz w:val="22"/>
          <w:lang w:val="es-ES"/>
        </w:rPr>
        <w:t>afectan</w:t>
      </w:r>
      <w:r>
        <w:rPr>
          <w:rStyle w:val="apple-converted-space"/>
          <w:rFonts w:ascii="Arial" w:hAnsi="Arial" w:cs="Arial"/>
          <w:sz w:val="22"/>
          <w:szCs w:val="22"/>
          <w:lang w:val="es-ES"/>
        </w:rPr>
        <w:t xml:space="preserve"> </w:t>
      </w:r>
      <w:r>
        <w:rPr>
          <w:rStyle w:val="normaltextrun"/>
          <w:rFonts w:ascii="Arial" w:hAnsi="Arial" w:cs="Arial"/>
          <w:sz w:val="22"/>
          <w:lang w:val="es-ES"/>
        </w:rPr>
        <w:t>su funcionalidad.</w:t>
      </w:r>
      <w:r>
        <w:rPr>
          <w:rStyle w:val="apple-converted-space"/>
          <w:rFonts w:ascii="Arial" w:hAnsi="Arial" w:cs="Arial"/>
          <w:sz w:val="22"/>
          <w:szCs w:val="22"/>
          <w:lang w:val="es-ES"/>
        </w:rPr>
        <w:t> </w:t>
      </w:r>
      <w:r>
        <w:rPr>
          <w:rStyle w:val="normaltextrun"/>
          <w:rFonts w:ascii="Arial" w:hAnsi="Arial" w:cs="Arial"/>
          <w:sz w:val="22"/>
          <w:lang w:val="es-ES"/>
        </w:rPr>
        <w:t>En este sentido, la forma</w:t>
      </w:r>
      <w:r>
        <w:rPr>
          <w:rStyle w:val="apple-converted-space"/>
          <w:rFonts w:ascii="Arial" w:hAnsi="Arial" w:cs="Arial"/>
          <w:sz w:val="22"/>
          <w:szCs w:val="22"/>
          <w:lang w:val="es-ES"/>
        </w:rPr>
        <w:t> </w:t>
      </w:r>
      <w:r>
        <w:rPr>
          <w:rStyle w:val="normaltextrun"/>
          <w:rFonts w:ascii="Arial" w:hAnsi="Arial" w:cs="Arial"/>
          <w:sz w:val="22"/>
          <w:lang w:val="es-ES"/>
        </w:rPr>
        <w:t>como se adquieren en el mercado</w:t>
      </w:r>
      <w:r>
        <w:rPr>
          <w:rStyle w:val="apple-converted-space"/>
          <w:rFonts w:ascii="Arial" w:hAnsi="Arial" w:cs="Arial"/>
          <w:sz w:val="22"/>
          <w:szCs w:val="22"/>
          <w:lang w:val="es-ES"/>
        </w:rPr>
        <w:t> </w:t>
      </w:r>
      <w:r>
        <w:rPr>
          <w:rStyle w:val="normaltextrun"/>
          <w:rFonts w:ascii="Arial" w:hAnsi="Arial" w:cs="Arial"/>
          <w:sz w:val="22"/>
          <w:lang w:val="es-ES"/>
        </w:rPr>
        <w:t>incide en la determinación de si un bien o servicio se encuadra en esta categoría, de ahí que el Decreto 1082 de 2015 señale que “pueden ser agrupados</w:t>
      </w:r>
      <w:r>
        <w:rPr>
          <w:rStyle w:val="apple-converted-space"/>
          <w:rFonts w:ascii="Arial" w:hAnsi="Arial" w:cs="Arial"/>
          <w:sz w:val="22"/>
          <w:szCs w:val="22"/>
          <w:lang w:val="es-ES"/>
        </w:rPr>
        <w:t> </w:t>
      </w:r>
      <w:r>
        <w:rPr>
          <w:rStyle w:val="normaltextrun"/>
          <w:rFonts w:ascii="Arial" w:hAnsi="Arial" w:cs="Arial"/>
          <w:sz w:val="22"/>
          <w:lang w:val="es-ES"/>
        </w:rPr>
        <w:t>como bienes y servicios homogéneos para su adquisición”, dado que</w:t>
      </w:r>
      <w:r>
        <w:rPr>
          <w:rStyle w:val="apple-converted-space"/>
          <w:rFonts w:ascii="Arial" w:hAnsi="Arial" w:cs="Arial"/>
          <w:sz w:val="22"/>
          <w:szCs w:val="22"/>
          <w:lang w:val="es-ES"/>
        </w:rPr>
        <w:t> </w:t>
      </w:r>
      <w:r>
        <w:rPr>
          <w:rStyle w:val="normaltextrun"/>
          <w:rFonts w:ascii="Arial" w:hAnsi="Arial" w:cs="Arial"/>
          <w:sz w:val="22"/>
          <w:lang w:val="es-ES"/>
        </w:rPr>
        <w:t>son bienes y servicios con</w:t>
      </w:r>
      <w:r>
        <w:rPr>
          <w:rStyle w:val="apple-converted-space"/>
          <w:rFonts w:ascii="Arial" w:hAnsi="Arial" w:cs="Arial"/>
          <w:sz w:val="22"/>
          <w:szCs w:val="22"/>
          <w:lang w:val="es-ES"/>
        </w:rPr>
        <w:t> </w:t>
      </w:r>
      <w:r>
        <w:rPr>
          <w:rStyle w:val="normaltextrun"/>
          <w:rFonts w:ascii="Arial" w:hAnsi="Arial" w:cs="Arial"/>
          <w:sz w:val="22"/>
          <w:lang w:val="es-ES"/>
        </w:rPr>
        <w:t>especificaciones técnicas y patrones de desempeño y calidad iguales o similares.</w:t>
      </w:r>
      <w:r>
        <w:rPr>
          <w:rStyle w:val="eop"/>
          <w:rFonts w:eastAsia="Arial"/>
          <w:sz w:val="22"/>
          <w:szCs w:val="22"/>
        </w:rPr>
        <w:t> </w:t>
      </w:r>
    </w:p>
    <w:p w14:paraId="727F2A9A" w14:textId="77777777" w:rsidR="009261E4" w:rsidRDefault="009261E4" w:rsidP="009261E4">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lang w:val="es-ES"/>
        </w:rPr>
        <w:t>Así las cosas,</w:t>
      </w:r>
      <w:r>
        <w:rPr>
          <w:rStyle w:val="apple-converted-space"/>
          <w:rFonts w:ascii="Arial" w:hAnsi="Arial" w:cs="Arial"/>
          <w:sz w:val="22"/>
          <w:szCs w:val="22"/>
          <w:lang w:val="es-ES"/>
        </w:rPr>
        <w:t> </w:t>
      </w:r>
      <w:r>
        <w:rPr>
          <w:rStyle w:val="normaltextrun"/>
          <w:rFonts w:ascii="Arial" w:hAnsi="Arial" w:cs="Arial"/>
          <w:sz w:val="22"/>
          <w:lang w:val="es-ES"/>
        </w:rPr>
        <w:t>con</w:t>
      </w:r>
      <w:r>
        <w:rPr>
          <w:rStyle w:val="apple-converted-space"/>
          <w:rFonts w:ascii="Arial" w:hAnsi="Arial" w:cs="Arial"/>
          <w:sz w:val="22"/>
          <w:szCs w:val="22"/>
          <w:lang w:val="es-ES"/>
        </w:rPr>
        <w:t> </w:t>
      </w:r>
      <w:r>
        <w:rPr>
          <w:rStyle w:val="normaltextrun"/>
          <w:rFonts w:ascii="Arial" w:hAnsi="Arial" w:cs="Arial"/>
          <w:sz w:val="22"/>
          <w:lang w:val="es-ES"/>
        </w:rPr>
        <w:t>la finalidad de</w:t>
      </w:r>
      <w:r>
        <w:rPr>
          <w:rStyle w:val="apple-converted-space"/>
          <w:rFonts w:ascii="Arial" w:hAnsi="Arial" w:cs="Arial"/>
          <w:sz w:val="22"/>
          <w:szCs w:val="22"/>
          <w:lang w:val="es-ES"/>
        </w:rPr>
        <w:t> </w:t>
      </w:r>
      <w:r>
        <w:rPr>
          <w:rStyle w:val="normaltextrun"/>
          <w:rFonts w:ascii="Arial" w:hAnsi="Arial" w:cs="Arial"/>
          <w:sz w:val="22"/>
          <w:lang w:val="es-ES"/>
        </w:rPr>
        <w:t>delimitar la noción, cabe destacar que la definición contenida en la Ley 1150 de 2007, pese a que nominalmente acude al término de “común utilización”, al referirse a los “bienes y servicios de características técnicas uniformes y de común utilización por parte de las entidades”, en realidad los define haciendo abstracción de dicho elemento, al establecer que:</w:t>
      </w:r>
      <w:r>
        <w:rPr>
          <w:rStyle w:val="apple-converted-space"/>
          <w:rFonts w:ascii="Arial" w:hAnsi="Arial" w:cs="Arial"/>
          <w:sz w:val="22"/>
          <w:szCs w:val="22"/>
          <w:lang w:val="es-ES"/>
        </w:rPr>
        <w:t> </w:t>
      </w:r>
      <w:r>
        <w:rPr>
          <w:rStyle w:val="normaltextrun"/>
          <w:rFonts w:ascii="Arial" w:hAnsi="Arial" w:cs="Arial"/>
          <w:sz w:val="22"/>
          <w:lang w:val="es-ES"/>
        </w:rPr>
        <w:t xml:space="preserve">“corresponden a aquellos que poseen las mismas </w:t>
      </w:r>
      <w:r>
        <w:rPr>
          <w:rStyle w:val="normaltextrun"/>
          <w:rFonts w:ascii="Arial" w:hAnsi="Arial" w:cs="Arial"/>
          <w:sz w:val="22"/>
          <w:lang w:val="es-ES"/>
        </w:rPr>
        <w:lastRenderedPageBreak/>
        <w:t>especificaciones técnicas, con independencia de su diseño o de sus características descriptivas, y comparten patrones de desempeño y calidad objetivamente definidos”.</w:t>
      </w:r>
      <w:r>
        <w:rPr>
          <w:rStyle w:val="eop"/>
          <w:rFonts w:eastAsia="Arial"/>
          <w:sz w:val="22"/>
          <w:szCs w:val="22"/>
        </w:rPr>
        <w:t> </w:t>
      </w:r>
    </w:p>
    <w:p w14:paraId="13925999" w14:textId="77777777" w:rsidR="009261E4" w:rsidRDefault="009261E4" w:rsidP="009261E4">
      <w:pPr>
        <w:pStyle w:val="paragraph"/>
        <w:spacing w:before="0" w:beforeAutospacing="0" w:after="120" w:afterAutospacing="0" w:line="276" w:lineRule="auto"/>
        <w:ind w:firstLine="705"/>
        <w:jc w:val="both"/>
        <w:textAlignment w:val="baseline"/>
        <w:rPr>
          <w:rStyle w:val="eop"/>
          <w:rFonts w:eastAsia="Arial"/>
          <w:sz w:val="22"/>
          <w:szCs w:val="22"/>
        </w:rPr>
      </w:pPr>
      <w:r>
        <w:rPr>
          <w:rStyle w:val="normaltextrun"/>
          <w:rFonts w:ascii="Arial" w:hAnsi="Arial" w:cs="Arial"/>
          <w:sz w:val="22"/>
          <w:lang w:val="es-ES"/>
        </w:rPr>
        <w:t>Por ello,</w:t>
      </w:r>
      <w:r>
        <w:rPr>
          <w:rStyle w:val="apple-converted-space"/>
          <w:rFonts w:ascii="Arial" w:hAnsi="Arial" w:cs="Arial"/>
          <w:sz w:val="22"/>
          <w:szCs w:val="22"/>
          <w:lang w:val="es-ES"/>
        </w:rPr>
        <w:t> </w:t>
      </w:r>
      <w:r>
        <w:rPr>
          <w:rStyle w:val="normaltextrun"/>
          <w:rFonts w:ascii="Arial" w:hAnsi="Arial" w:cs="Arial"/>
          <w:sz w:val="22"/>
          <w:lang w:val="es-ES"/>
        </w:rPr>
        <w:t>para considerar si determinados bienes o servicios</w:t>
      </w:r>
      <w:r>
        <w:rPr>
          <w:rStyle w:val="apple-converted-space"/>
          <w:rFonts w:ascii="Arial" w:hAnsi="Arial" w:cs="Arial"/>
          <w:sz w:val="22"/>
          <w:szCs w:val="22"/>
          <w:lang w:val="es-ES"/>
        </w:rPr>
        <w:t> </w:t>
      </w:r>
      <w:r>
        <w:rPr>
          <w:rStyle w:val="normaltextrun"/>
          <w:rFonts w:ascii="Arial" w:hAnsi="Arial" w:cs="Arial"/>
          <w:sz w:val="22"/>
          <w:lang w:val="es-ES"/>
        </w:rPr>
        <w:t>encuadran</w:t>
      </w:r>
      <w:r>
        <w:rPr>
          <w:rStyle w:val="apple-converted-space"/>
          <w:rFonts w:ascii="Arial" w:hAnsi="Arial" w:cs="Arial"/>
          <w:sz w:val="22"/>
          <w:szCs w:val="22"/>
          <w:lang w:val="es-ES"/>
        </w:rPr>
        <w:t> </w:t>
      </w:r>
      <w:r>
        <w:rPr>
          <w:rStyle w:val="normaltextrun"/>
          <w:rFonts w:ascii="Arial" w:hAnsi="Arial" w:cs="Arial"/>
          <w:sz w:val="22"/>
          <w:lang w:val="es-ES"/>
        </w:rPr>
        <w:t>en dicha noción no es necesario que la entidad</w:t>
      </w:r>
      <w:r>
        <w:rPr>
          <w:rStyle w:val="apple-converted-space"/>
          <w:rFonts w:ascii="Arial" w:hAnsi="Arial" w:cs="Arial"/>
          <w:sz w:val="22"/>
          <w:szCs w:val="22"/>
          <w:lang w:val="es-ES"/>
        </w:rPr>
        <w:t> </w:t>
      </w:r>
      <w:r>
        <w:rPr>
          <w:rStyle w:val="normaltextrun"/>
          <w:rFonts w:ascii="Arial" w:hAnsi="Arial" w:cs="Arial"/>
          <w:sz w:val="22"/>
          <w:lang w:val="es-ES"/>
        </w:rPr>
        <w:t>acredite que estos son contratados por más de una entidad estatal, toda vez que incluso podrían ser de común utilización al interior de una misma entidad.</w:t>
      </w:r>
      <w:r>
        <w:rPr>
          <w:rStyle w:val="apple-converted-space"/>
          <w:rFonts w:ascii="Arial" w:hAnsi="Arial" w:cs="Arial"/>
          <w:sz w:val="22"/>
          <w:szCs w:val="22"/>
          <w:lang w:val="es-ES"/>
        </w:rPr>
        <w:t> </w:t>
      </w:r>
      <w:r>
        <w:rPr>
          <w:rStyle w:val="normaltextrun"/>
          <w:rFonts w:ascii="Arial" w:hAnsi="Arial" w:cs="Arial"/>
          <w:sz w:val="22"/>
          <w:lang w:val="es-ES"/>
        </w:rPr>
        <w:t>En tal sentido, siempre que se cumplan los elementos de la noción desarrollados anteriormente, se podrá considerar que un bien o servicio es de características técnicas uniformes.</w:t>
      </w:r>
      <w:r>
        <w:rPr>
          <w:rStyle w:val="eop"/>
          <w:rFonts w:eastAsia="Arial"/>
          <w:sz w:val="22"/>
          <w:szCs w:val="22"/>
        </w:rPr>
        <w:t> </w:t>
      </w:r>
    </w:p>
    <w:p w14:paraId="7083FB9A" w14:textId="77777777" w:rsidR="009261E4" w:rsidRPr="00C32383" w:rsidRDefault="009261E4" w:rsidP="009261E4">
      <w:pPr>
        <w:pStyle w:val="paragraph"/>
        <w:spacing w:before="0" w:beforeAutospacing="0" w:after="120" w:afterAutospacing="0" w:line="276" w:lineRule="auto"/>
        <w:ind w:firstLine="709"/>
        <w:jc w:val="both"/>
        <w:textAlignment w:val="baseline"/>
        <w:rPr>
          <w:rFonts w:ascii="Segoe UI" w:hAnsi="Segoe UI" w:cs="Segoe UI"/>
          <w:color w:val="000000"/>
          <w:sz w:val="22"/>
          <w:szCs w:val="22"/>
        </w:rPr>
      </w:pPr>
      <w:r>
        <w:rPr>
          <w:rStyle w:val="normaltextrun"/>
          <w:rFonts w:ascii="Arial" w:hAnsi="Arial" w:cs="Arial"/>
          <w:color w:val="000000"/>
          <w:sz w:val="22"/>
          <w:szCs w:val="22"/>
          <w:shd w:val="clear" w:color="auto" w:fill="FFFFFF"/>
          <w:lang w:val="es-ES"/>
        </w:rPr>
        <w:t>En este sentido, en relación con el procedimiento aplicables, e</w:t>
      </w:r>
      <w:r w:rsidRPr="00C32383">
        <w:rPr>
          <w:rStyle w:val="normaltextrun"/>
          <w:rFonts w:ascii="Arial" w:hAnsi="Arial" w:cs="Arial"/>
          <w:color w:val="000000"/>
          <w:sz w:val="22"/>
          <w:szCs w:val="22"/>
          <w:shd w:val="clear" w:color="auto" w:fill="FFFFFF"/>
          <w:lang w:val="es-ES"/>
        </w:rPr>
        <w:t xml:space="preserve">l proceso de subasta inversa </w:t>
      </w:r>
      <w:r>
        <w:rPr>
          <w:rStyle w:val="normaltextrun"/>
          <w:rFonts w:ascii="Arial" w:hAnsi="Arial" w:cs="Arial"/>
          <w:color w:val="000000"/>
          <w:sz w:val="22"/>
          <w:szCs w:val="22"/>
          <w:shd w:val="clear" w:color="auto" w:fill="FFFFFF"/>
          <w:lang w:val="es-ES"/>
        </w:rPr>
        <w:t xml:space="preserve">para la </w:t>
      </w:r>
      <w:r w:rsidRPr="00C32383">
        <w:rPr>
          <w:rFonts w:ascii="Arial" w:eastAsiaTheme="minorHAnsi" w:hAnsi="Arial" w:cs="Arial"/>
          <w:sz w:val="22"/>
          <w:szCs w:val="22"/>
          <w:lang w:val="es-MX" w:eastAsia="en-US"/>
        </w:rPr>
        <w:t>adquisición de bienes y servicios de características técnicas uniformes y de común utilización</w:t>
      </w:r>
      <w:r>
        <w:rPr>
          <w:rStyle w:val="normaltextrun"/>
          <w:rFonts w:ascii="Arial" w:hAnsi="Arial" w:cs="Arial"/>
          <w:color w:val="000000"/>
          <w:sz w:val="22"/>
          <w:szCs w:val="22"/>
          <w:shd w:val="clear" w:color="auto" w:fill="FFFFFF"/>
          <w:lang w:val="es-ES"/>
        </w:rPr>
        <w:t xml:space="preserve"> </w:t>
      </w:r>
      <w:r w:rsidRPr="00C32383">
        <w:rPr>
          <w:rStyle w:val="normaltextrun"/>
          <w:rFonts w:ascii="Arial" w:hAnsi="Arial" w:cs="Arial"/>
          <w:color w:val="000000"/>
          <w:sz w:val="22"/>
          <w:szCs w:val="22"/>
          <w:shd w:val="clear" w:color="auto" w:fill="FFFFFF"/>
          <w:lang w:val="es-ES"/>
        </w:rPr>
        <w:t>podrá realizarse de manera presencial o de forma virtual</w:t>
      </w:r>
      <w:r>
        <w:rPr>
          <w:rStyle w:val="normaltextrun"/>
          <w:rFonts w:ascii="Arial" w:hAnsi="Arial" w:cs="Arial"/>
          <w:color w:val="000000"/>
          <w:sz w:val="22"/>
          <w:szCs w:val="22"/>
          <w:shd w:val="clear" w:color="auto" w:fill="FFFFFF"/>
          <w:lang w:val="es-ES"/>
        </w:rPr>
        <w:t xml:space="preserve">, según la decisión discrecional de </w:t>
      </w:r>
      <w:r w:rsidRPr="00C32383">
        <w:rPr>
          <w:rStyle w:val="normaltextrun"/>
          <w:rFonts w:ascii="Arial" w:hAnsi="Arial" w:cs="Arial"/>
          <w:color w:val="000000"/>
          <w:sz w:val="22"/>
          <w:szCs w:val="22"/>
          <w:shd w:val="clear" w:color="auto" w:fill="FFFFFF"/>
          <w:lang w:val="es-ES"/>
        </w:rPr>
        <w:t>la entidad estatal. S</w:t>
      </w:r>
      <w:r>
        <w:rPr>
          <w:rStyle w:val="normaltextrun"/>
          <w:rFonts w:ascii="Arial" w:hAnsi="Arial" w:cs="Arial"/>
          <w:color w:val="000000"/>
          <w:sz w:val="22"/>
          <w:szCs w:val="22"/>
          <w:shd w:val="clear" w:color="auto" w:fill="FFFFFF"/>
          <w:lang w:val="es-ES"/>
        </w:rPr>
        <w:t xml:space="preserve">i se decide </w:t>
      </w:r>
      <w:r w:rsidRPr="00C32383">
        <w:rPr>
          <w:rStyle w:val="normaltextrun"/>
          <w:rFonts w:ascii="Arial" w:hAnsi="Arial" w:cs="Arial"/>
          <w:color w:val="000000"/>
          <w:sz w:val="22"/>
          <w:szCs w:val="22"/>
          <w:shd w:val="clear" w:color="auto" w:fill="FFFFFF"/>
          <w:lang w:val="es-ES"/>
        </w:rPr>
        <w:t>adelantarla electrónicamente</w:t>
      </w:r>
      <w:r>
        <w:rPr>
          <w:rStyle w:val="normaltextrun"/>
          <w:rFonts w:ascii="Arial" w:hAnsi="Arial" w:cs="Arial"/>
          <w:color w:val="000000"/>
          <w:sz w:val="22"/>
          <w:szCs w:val="22"/>
          <w:shd w:val="clear" w:color="auto" w:fill="FFFFFF"/>
          <w:lang w:val="es-ES"/>
        </w:rPr>
        <w:t>, se</w:t>
      </w:r>
      <w:r w:rsidRPr="00C32383">
        <w:rPr>
          <w:rStyle w:val="normaltextrun"/>
          <w:rFonts w:ascii="Arial" w:hAnsi="Arial" w:cs="Arial"/>
          <w:color w:val="000000"/>
          <w:sz w:val="22"/>
          <w:szCs w:val="22"/>
          <w:shd w:val="clear" w:color="auto" w:fill="FFFFFF"/>
          <w:lang w:val="es-ES"/>
        </w:rPr>
        <w:t xml:space="preserve"> debe fijar en los pliegos de condiciones el sistema que va a utilizar para la subasta y los mecanismos de seguridad para el intercambio de los mensajes de datos</w:t>
      </w:r>
      <w:r w:rsidRPr="00C32383">
        <w:rPr>
          <w:rStyle w:val="Refdenotaalpie"/>
          <w:rFonts w:ascii="Arial" w:hAnsi="Arial" w:cs="Arial"/>
          <w:color w:val="000000"/>
          <w:sz w:val="22"/>
          <w:szCs w:val="22"/>
          <w:shd w:val="clear" w:color="auto" w:fill="FFFFFF"/>
          <w:lang w:val="es-ES"/>
        </w:rPr>
        <w:footnoteReference w:id="9"/>
      </w:r>
      <w:r w:rsidRPr="00C32383">
        <w:rPr>
          <w:rStyle w:val="normaltextrun"/>
          <w:rFonts w:ascii="Arial" w:hAnsi="Arial" w:cs="Arial"/>
          <w:color w:val="000000"/>
          <w:sz w:val="22"/>
          <w:szCs w:val="22"/>
          <w:shd w:val="clear" w:color="auto" w:fill="FFFFFF"/>
          <w:lang w:val="es-ES"/>
        </w:rPr>
        <w:t>.</w:t>
      </w:r>
      <w:r w:rsidRPr="00C32383">
        <w:rPr>
          <w:rStyle w:val="eop"/>
          <w:rFonts w:eastAsia="Arial"/>
          <w:color w:val="000000"/>
          <w:sz w:val="22"/>
          <w:szCs w:val="22"/>
        </w:rPr>
        <w:t> </w:t>
      </w:r>
    </w:p>
    <w:p w14:paraId="1258258E" w14:textId="77777777" w:rsidR="009261E4" w:rsidRPr="006652D5" w:rsidRDefault="009261E4" w:rsidP="009261E4">
      <w:pPr>
        <w:pStyle w:val="paragraph"/>
        <w:spacing w:before="0" w:beforeAutospacing="0" w:after="0" w:afterAutospacing="0" w:line="276" w:lineRule="auto"/>
        <w:ind w:firstLine="709"/>
        <w:jc w:val="both"/>
        <w:textAlignment w:val="baseline"/>
        <w:rPr>
          <w:rFonts w:ascii="Segoe UI" w:hAnsi="Segoe UI" w:cs="Segoe UI"/>
          <w:sz w:val="18"/>
          <w:szCs w:val="18"/>
          <w:lang w:eastAsia="es-MX"/>
        </w:rPr>
      </w:pPr>
      <w:r w:rsidRPr="00C32383">
        <w:rPr>
          <w:rStyle w:val="normaltextrun"/>
          <w:rFonts w:ascii="Arial" w:hAnsi="Arial" w:cs="Arial"/>
          <w:color w:val="000000"/>
          <w:sz w:val="22"/>
          <w:szCs w:val="22"/>
          <w:shd w:val="clear" w:color="auto" w:fill="FFFFFF"/>
          <w:lang w:val="es-ES"/>
        </w:rPr>
        <w:t>En caso de presentar fallas técnicas durante la subasta inversa electrónica, el Decreto 1082 de 2015 establece, en el artículo 2.2.1.2.1.2.6, que la entidad estatal debe suspenderla y cuando se haya</w:t>
      </w:r>
      <w:r>
        <w:rPr>
          <w:rStyle w:val="normaltextrun"/>
          <w:rFonts w:ascii="Arial" w:hAnsi="Arial" w:cs="Arial"/>
          <w:color w:val="000000"/>
          <w:sz w:val="22"/>
          <w:szCs w:val="22"/>
          <w:shd w:val="clear" w:color="auto" w:fill="FFFFFF"/>
          <w:lang w:val="es-ES"/>
        </w:rPr>
        <w:t>n</w:t>
      </w:r>
      <w:r w:rsidRPr="00C32383">
        <w:rPr>
          <w:rStyle w:val="normaltextrun"/>
          <w:rFonts w:ascii="Arial" w:hAnsi="Arial" w:cs="Arial"/>
          <w:color w:val="000000"/>
          <w:sz w:val="22"/>
          <w:szCs w:val="22"/>
          <w:shd w:val="clear" w:color="auto" w:fill="FFFFFF"/>
          <w:lang w:val="es-ES"/>
        </w:rPr>
        <w:t xml:space="preserve"> superado la</w:t>
      </w:r>
      <w:r>
        <w:rPr>
          <w:rStyle w:val="normaltextrun"/>
          <w:rFonts w:ascii="Arial" w:hAnsi="Arial" w:cs="Arial"/>
          <w:color w:val="000000"/>
          <w:sz w:val="22"/>
          <w:szCs w:val="22"/>
          <w:shd w:val="clear" w:color="auto" w:fill="FFFFFF"/>
          <w:lang w:val="es-ES"/>
        </w:rPr>
        <w:t>s dificultades técnicas, la</w:t>
      </w:r>
      <w:r w:rsidRPr="00C32383">
        <w:rPr>
          <w:rStyle w:val="normaltextrun"/>
          <w:rFonts w:ascii="Arial" w:hAnsi="Arial" w:cs="Arial"/>
          <w:color w:val="000000"/>
          <w:sz w:val="22"/>
          <w:szCs w:val="22"/>
          <w:shd w:val="clear" w:color="auto" w:fill="FFFFFF"/>
          <w:lang w:val="es-ES"/>
        </w:rPr>
        <w:t xml:space="preserve"> entidad debe reiniciar la subasta.</w:t>
      </w:r>
      <w:r>
        <w:rPr>
          <w:rStyle w:val="normaltextrun"/>
          <w:rFonts w:ascii="Arial" w:hAnsi="Arial" w:cs="Arial"/>
          <w:color w:val="000000"/>
          <w:sz w:val="22"/>
          <w:szCs w:val="22"/>
          <w:shd w:val="clear" w:color="auto" w:fill="FFFFFF"/>
          <w:lang w:val="es-ES"/>
        </w:rPr>
        <w:t xml:space="preserve"> Así mismo, determina que si por causas imputables al ofere</w:t>
      </w:r>
      <w:r w:rsidRPr="00C32383">
        <w:rPr>
          <w:rStyle w:val="normaltextrun"/>
          <w:rFonts w:ascii="Arial" w:hAnsi="Arial" w:cs="Arial"/>
          <w:color w:val="000000"/>
          <w:sz w:val="22"/>
          <w:szCs w:val="22"/>
          <w:shd w:val="clear" w:color="auto" w:fill="FFFFFF"/>
          <w:lang w:val="es-ES"/>
        </w:rPr>
        <w:t>nte o a su proveedor de soluciones de tecnología de la información y telecomunicaciones, la conexión de la subasta inversa se pierde, ésta continuará y la entidad estatal entiende que el proveedor ha desistido de participar.</w:t>
      </w:r>
    </w:p>
    <w:p w14:paraId="5AA56D8F" w14:textId="77777777" w:rsidR="009261E4" w:rsidRDefault="009261E4" w:rsidP="009261E4">
      <w:pPr>
        <w:pStyle w:val="Textoindependiente"/>
        <w:spacing w:before="240" w:line="276" w:lineRule="auto"/>
        <w:jc w:val="both"/>
        <w:rPr>
          <w:rFonts w:eastAsia="Calibri"/>
          <w:b/>
          <w:lang w:val="es-ES_tradnl"/>
        </w:rPr>
      </w:pPr>
      <w:r>
        <w:rPr>
          <w:rFonts w:eastAsia="Calibri"/>
          <w:b/>
          <w:lang w:val="es-ES_tradnl"/>
        </w:rPr>
        <w:t>2.3. La licitación pública y su procedimiento</w:t>
      </w:r>
    </w:p>
    <w:p w14:paraId="1768F0E7" w14:textId="77777777" w:rsidR="009261E4" w:rsidRDefault="009261E4" w:rsidP="009261E4">
      <w:pPr>
        <w:tabs>
          <w:tab w:val="left" w:pos="0"/>
        </w:tabs>
        <w:spacing w:after="240" w:line="276" w:lineRule="auto"/>
        <w:jc w:val="both"/>
        <w:rPr>
          <w:rFonts w:ascii="Arial" w:eastAsia="Calibri" w:hAnsi="Arial" w:cs="Arial"/>
          <w:b/>
          <w:lang w:val="es-ES_tradnl"/>
        </w:rPr>
      </w:pPr>
    </w:p>
    <w:p w14:paraId="2FEE7B40" w14:textId="77777777" w:rsidR="009261E4" w:rsidRPr="00173EB7" w:rsidRDefault="009261E4" w:rsidP="009261E4">
      <w:pPr>
        <w:tabs>
          <w:tab w:val="left" w:pos="851"/>
          <w:tab w:val="left" w:pos="1134"/>
        </w:tabs>
        <w:spacing w:before="120" w:after="120" w:line="276" w:lineRule="auto"/>
        <w:ind w:firstLine="709"/>
        <w:jc w:val="both"/>
        <w:rPr>
          <w:rFonts w:ascii="Arial" w:hAnsi="Arial" w:cs="Arial"/>
          <w:color w:val="000000" w:themeColor="text1"/>
        </w:rPr>
      </w:pPr>
      <w:r w:rsidRPr="00173EB7">
        <w:rPr>
          <w:rFonts w:ascii="Arial" w:hAnsi="Arial" w:cs="Arial"/>
          <w:color w:val="000000" w:themeColor="text1"/>
        </w:rPr>
        <w:t xml:space="preserve">En lo que tiene que ver con la licitación pública, procedimiento que constituye la </w:t>
      </w:r>
      <w:r>
        <w:rPr>
          <w:rFonts w:ascii="Arial" w:hAnsi="Arial" w:cs="Arial"/>
          <w:color w:val="000000" w:themeColor="text1"/>
        </w:rPr>
        <w:t>“</w:t>
      </w:r>
      <w:r w:rsidRPr="00173EB7">
        <w:rPr>
          <w:rFonts w:ascii="Arial" w:hAnsi="Arial" w:cs="Arial"/>
          <w:color w:val="000000" w:themeColor="text1"/>
        </w:rPr>
        <w:t>regla general</w:t>
      </w:r>
      <w:r>
        <w:rPr>
          <w:rFonts w:ascii="Arial" w:hAnsi="Arial" w:cs="Arial"/>
          <w:color w:val="000000" w:themeColor="text1"/>
        </w:rPr>
        <w:t>”</w:t>
      </w:r>
      <w:r w:rsidRPr="00173EB7">
        <w:rPr>
          <w:rFonts w:ascii="Arial" w:hAnsi="Arial" w:cs="Arial"/>
          <w:color w:val="000000" w:themeColor="text1"/>
        </w:rPr>
        <w:t xml:space="preserve">,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w:t>
      </w:r>
      <w:r w:rsidRPr="00173EB7">
        <w:rPr>
          <w:rFonts w:ascii="Arial" w:hAnsi="Arial" w:cs="Arial"/>
          <w:color w:val="000000" w:themeColor="text1"/>
        </w:rPr>
        <w:lastRenderedPageBreak/>
        <w:t xml:space="preserve">otro, el inicio del proceso de licitación pública propiamente dicho, con el acto de apertura. Además, el numeral 2 del artículo 30 de la Ley 80 de 1993 establece la obligación de elaborar un pliego de condiciones, en los términos del numeral 5 del artículo 24 de la misma ley y del artículo 2.2.1.1.2.1.3. del Decreto 1082 de 2015. </w:t>
      </w:r>
    </w:p>
    <w:p w14:paraId="6AFB1BF7" w14:textId="77777777" w:rsidR="009261E4" w:rsidRPr="00173EB7" w:rsidRDefault="009261E4" w:rsidP="009261E4">
      <w:pPr>
        <w:tabs>
          <w:tab w:val="left" w:pos="851"/>
          <w:tab w:val="left" w:pos="1134"/>
        </w:tabs>
        <w:spacing w:before="120" w:after="120" w:line="276" w:lineRule="auto"/>
        <w:ind w:firstLine="709"/>
        <w:jc w:val="both"/>
        <w:rPr>
          <w:rFonts w:ascii="Arial" w:hAnsi="Arial" w:cs="Arial"/>
          <w:color w:val="000000" w:themeColor="text1"/>
        </w:rPr>
      </w:pPr>
      <w:r w:rsidRPr="00173EB7">
        <w:rPr>
          <w:rFonts w:ascii="Arial" w:hAnsi="Arial" w:cs="Arial"/>
          <w:color w:val="000000" w:themeColor="text1"/>
        </w:rPr>
        <w:t xml:space="preserve">Por su parte, el numeral 3 señala que dentro de los 10 o 20 días calendario antes de la apertura de la licitación, la entidad debe publicar hasta 3 avisos para invitar a participar en el proceso de licitación. Los avisos deberán publicarse con intervalos de 2 a 5 días calendario entre cada uno, en la página web de la entidad y en el SECOP; en defecto de los mecanismos anteriores, en los pequeños poblados, esta publicación debe realizarse por bando o en los principales lugares públicos, por un término de 7 días calendario, uno de los cuales será en el </w:t>
      </w:r>
      <w:r>
        <w:rPr>
          <w:rFonts w:ascii="Arial" w:hAnsi="Arial" w:cs="Arial"/>
          <w:color w:val="000000" w:themeColor="text1"/>
        </w:rPr>
        <w:t>“</w:t>
      </w:r>
      <w:r w:rsidRPr="00173EB7">
        <w:rPr>
          <w:rFonts w:ascii="Arial" w:hAnsi="Arial" w:cs="Arial"/>
          <w:color w:val="000000" w:themeColor="text1"/>
        </w:rPr>
        <w:t>día de mercado</w:t>
      </w:r>
      <w:r>
        <w:rPr>
          <w:rFonts w:ascii="Arial" w:hAnsi="Arial" w:cs="Arial"/>
          <w:color w:val="000000" w:themeColor="text1"/>
        </w:rPr>
        <w:t xml:space="preserve">” </w:t>
      </w:r>
      <w:r w:rsidRPr="00173EB7">
        <w:rPr>
          <w:rFonts w:ascii="Arial" w:hAnsi="Arial" w:cs="Arial"/>
          <w:color w:val="000000" w:themeColor="text1"/>
        </w:rPr>
        <w:t xml:space="preserve">de la respectiva población. Además, se debe publicar otro aviso que contendrá la información señalada en el artículo 2.2.1.1.2.1.2. del Decreto 1082 de 2015.  </w:t>
      </w:r>
    </w:p>
    <w:p w14:paraId="3E6CCB24" w14:textId="77777777" w:rsidR="009261E4" w:rsidRPr="00173EB7" w:rsidRDefault="009261E4" w:rsidP="009261E4">
      <w:pPr>
        <w:tabs>
          <w:tab w:val="left" w:pos="851"/>
          <w:tab w:val="left" w:pos="1134"/>
        </w:tabs>
        <w:spacing w:before="120" w:after="120" w:line="276" w:lineRule="auto"/>
        <w:ind w:firstLine="709"/>
        <w:jc w:val="both"/>
        <w:rPr>
          <w:rFonts w:ascii="Arial" w:hAnsi="Arial" w:cs="Arial"/>
          <w:color w:val="000000" w:themeColor="text1"/>
        </w:rPr>
      </w:pPr>
      <w:r w:rsidRPr="00173EB7">
        <w:rPr>
          <w:rFonts w:ascii="Arial" w:hAnsi="Arial" w:cs="Arial"/>
          <w:color w:val="000000" w:themeColor="text1"/>
        </w:rPr>
        <w:t xml:space="preserve">De igual manera, debe elaborarse el proyecto de pliego de condiciones con base en el contenido de los documentos y estudios previos que, con anterioridad, estructuró la entidad para justificar la necesidad de la contratación. Los requisitos del pliego se encuentran en el artículo 2.2.1.1.2.1.3. del Decreto 1082 de 2015. Este documento debe publicarse en el SECOP conjuntamente con los estudios y documentos previos, por no menos de 10 días hábiles anteriores a la apertura del proceso de licitación, –artículos 8 de la Ley 1150 de 2007 y 2.2.1.1.2.1.4. del Decreto 1082 de 2015–.  </w:t>
      </w:r>
    </w:p>
    <w:p w14:paraId="6EB9FA05" w14:textId="77777777" w:rsidR="009261E4" w:rsidRPr="00173EB7" w:rsidRDefault="009261E4" w:rsidP="009261E4">
      <w:pPr>
        <w:tabs>
          <w:tab w:val="left" w:pos="851"/>
          <w:tab w:val="left" w:pos="1134"/>
        </w:tabs>
        <w:spacing w:before="120" w:after="120" w:line="276" w:lineRule="auto"/>
        <w:ind w:firstLine="709"/>
        <w:jc w:val="both"/>
        <w:rPr>
          <w:rFonts w:ascii="Arial" w:hAnsi="Arial" w:cs="Arial"/>
          <w:color w:val="000000" w:themeColor="text1"/>
        </w:rPr>
      </w:pPr>
      <w:r w:rsidRPr="00173EB7">
        <w:rPr>
          <w:rFonts w:ascii="Arial" w:hAnsi="Arial" w:cs="Arial"/>
          <w:color w:val="000000" w:themeColor="text1"/>
        </w:rPr>
        <w:t xml:space="preserve">En armonía con lo anterior, los artículos 2.2.1.1.1.7.1. y 2.2.1.1.2.1.4.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del proyecto de pliego de condiciones. Además, conforme a los tiempos establecidos en el cronograma del proceso contenido en el </w:t>
      </w:r>
      <w:r>
        <w:rPr>
          <w:rFonts w:ascii="Arial" w:hAnsi="Arial" w:cs="Arial"/>
          <w:color w:val="000000" w:themeColor="text1"/>
        </w:rPr>
        <w:t>“</w:t>
      </w:r>
      <w:r w:rsidRPr="00173EB7">
        <w:rPr>
          <w:rFonts w:ascii="Arial" w:hAnsi="Arial" w:cs="Arial"/>
          <w:color w:val="000000" w:themeColor="text1"/>
        </w:rPr>
        <w:t>aviso de convocatoria</w:t>
      </w:r>
      <w:r>
        <w:rPr>
          <w:rFonts w:ascii="Arial" w:hAnsi="Arial" w:cs="Arial"/>
          <w:color w:val="000000" w:themeColor="text1"/>
        </w:rPr>
        <w:t>”</w:t>
      </w:r>
      <w:r w:rsidRPr="00173EB7">
        <w:rPr>
          <w:rFonts w:ascii="Arial" w:hAnsi="Arial" w:cs="Arial"/>
          <w:color w:val="000000" w:themeColor="text1"/>
        </w:rPr>
        <w:t xml:space="preserve"> y en el </w:t>
      </w:r>
      <w:r>
        <w:rPr>
          <w:rFonts w:ascii="Arial" w:hAnsi="Arial" w:cs="Arial"/>
          <w:color w:val="000000" w:themeColor="text1"/>
        </w:rPr>
        <w:t>“</w:t>
      </w:r>
      <w:r w:rsidRPr="00173EB7">
        <w:rPr>
          <w:rFonts w:ascii="Arial" w:hAnsi="Arial" w:cs="Arial"/>
          <w:color w:val="000000" w:themeColor="text1"/>
        </w:rPr>
        <w:t>proyecto de pliego de condiciones</w:t>
      </w:r>
      <w:r>
        <w:rPr>
          <w:rFonts w:ascii="Arial" w:hAnsi="Arial" w:cs="Arial"/>
          <w:color w:val="000000" w:themeColor="text1"/>
        </w:rPr>
        <w:t>”</w:t>
      </w:r>
      <w:r w:rsidRPr="00173EB7">
        <w:rPr>
          <w:rFonts w:ascii="Arial" w:hAnsi="Arial" w:cs="Arial"/>
          <w:color w:val="000000" w:themeColor="text1"/>
        </w:rPr>
        <w:t xml:space="preserve">, la entidad debe responder, de forma motivada, cada una de las observaciones y publicarlas en el SECOP. Posteriormente, la entidad ajustará el pliego de condiciones, de ser procedente, tomando en cuenta, en lo pertinente, las aclaraciones que fueron solicitadas por los interesados y las observaciones. Debe tenerse en cuenta que las respuestas a dichas observaciones se integran al pliego de condiciones, en tanto precisan su alcance y se constituye en una fuente interpretativa del mismo.  </w:t>
      </w:r>
    </w:p>
    <w:p w14:paraId="6FB978C4" w14:textId="77777777" w:rsidR="009261E4" w:rsidRPr="00173EB7" w:rsidRDefault="009261E4" w:rsidP="009261E4">
      <w:pPr>
        <w:spacing w:before="120" w:after="120" w:line="276" w:lineRule="auto"/>
        <w:ind w:firstLine="709"/>
        <w:jc w:val="both"/>
        <w:rPr>
          <w:rStyle w:val="normaltextrun"/>
          <w:color w:val="000000"/>
          <w:shd w:val="clear" w:color="auto" w:fill="FFFFFF"/>
        </w:rPr>
      </w:pPr>
      <w:r w:rsidRPr="00173EB7">
        <w:rPr>
          <w:rFonts w:ascii="Arial" w:hAnsi="Arial" w:cs="Arial"/>
          <w:color w:val="000000" w:themeColor="text1"/>
        </w:rPr>
        <w:t xml:space="preserve">El artículo 30.1 de la Ley 80 establece que el jefe o representante de la entidad ordenará la apertura mediante un acto administrativo, en la forma prevista en el artículo 2.2.1.1.2.1.5. del Decreto 1082 de 2015, y deberá expedirse el pliego de condiciones definitivo. Con este acto de apertura inicia la etapa de licitación propiamente dicha, en la que –previa resolución de las observaciones que se realicen– los interesados podrán </w:t>
      </w:r>
      <w:r w:rsidRPr="00173EB7">
        <w:rPr>
          <w:rFonts w:ascii="Arial" w:hAnsi="Arial" w:cs="Arial"/>
          <w:color w:val="000000" w:themeColor="text1"/>
        </w:rPr>
        <w:lastRenderedPageBreak/>
        <w:t xml:space="preserve">presentar ofertas. </w:t>
      </w:r>
      <w:r w:rsidRPr="00D0627B">
        <w:rPr>
          <w:rFonts w:ascii="Arial" w:hAnsi="Arial" w:cs="Arial"/>
          <w:color w:val="000000" w:themeColor="text1"/>
        </w:rPr>
        <w:t>Esta etapa fue denominada por el legislador como plazo de licitación, 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w:t>
      </w:r>
      <w:r w:rsidRPr="00173EB7">
        <w:rPr>
          <w:rStyle w:val="normaltextrun"/>
          <w:color w:val="000000"/>
          <w:shd w:val="clear" w:color="auto" w:fill="FFFFFF"/>
        </w:rPr>
        <w:t> </w:t>
      </w:r>
    </w:p>
    <w:p w14:paraId="395AE739" w14:textId="77777777" w:rsidR="009261E4" w:rsidRPr="00173EB7" w:rsidRDefault="009261E4" w:rsidP="009261E4">
      <w:pPr>
        <w:spacing w:before="120" w:after="120" w:line="276" w:lineRule="auto"/>
        <w:ind w:firstLine="708"/>
        <w:jc w:val="both"/>
        <w:rPr>
          <w:rFonts w:ascii="Arial" w:hAnsi="Arial" w:cs="Arial"/>
          <w:color w:val="000000" w:themeColor="text1"/>
        </w:rPr>
      </w:pPr>
      <w:r w:rsidRPr="00173EB7">
        <w:rPr>
          <w:rFonts w:ascii="Arial" w:hAnsi="Arial" w:cs="Arial"/>
          <w:color w:val="000000" w:themeColor="text1"/>
        </w:rPr>
        <w:t>Así las cosas, la entidad pública es quien define el término con que contarán los oferentes para preparar y 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adenda dentro de los 3 días anteriores al cierre de la licitación. De todos modos, el término fijado es perentorio y de obligatorio cumplimiento para los oferentes, como se explicará más adelante en el numeral b de este documento.</w:t>
      </w:r>
    </w:p>
    <w:p w14:paraId="6F653E76" w14:textId="77777777" w:rsidR="009261E4" w:rsidRPr="00173EB7" w:rsidRDefault="009261E4" w:rsidP="009261E4">
      <w:pPr>
        <w:spacing w:before="120" w:after="120" w:line="276" w:lineRule="auto"/>
        <w:ind w:firstLine="709"/>
        <w:jc w:val="both"/>
        <w:rPr>
          <w:rFonts w:ascii="Arial" w:hAnsi="Arial" w:cs="Arial"/>
          <w:color w:val="000000" w:themeColor="text1"/>
        </w:rPr>
      </w:pPr>
      <w:r w:rsidRPr="00173EB7">
        <w:rPr>
          <w:rFonts w:ascii="Arial" w:hAnsi="Arial" w:cs="Arial"/>
          <w:color w:val="000000" w:themeColor="text1"/>
        </w:rPr>
        <w:t>Es pertinente señalar que en esta etapa de presentación de propuestas se surtirán otras actuaciones. El numeral 4 de la misma disposición establece una de ellas: la audiencia para precisar el alcance de los pliegos de condiciones y de asignación de riesgos. La oportunidad para celebrar esta audiencia es dentro de los tres (3) días hábiles siguientes al inicio del plazo de licitación.</w:t>
      </w:r>
    </w:p>
    <w:p w14:paraId="1A1A1D05" w14:textId="77777777" w:rsidR="009261E4" w:rsidRPr="00173EB7" w:rsidRDefault="009261E4" w:rsidP="009261E4">
      <w:pPr>
        <w:spacing w:before="120" w:after="120" w:line="276" w:lineRule="auto"/>
        <w:ind w:firstLine="709"/>
        <w:jc w:val="both"/>
        <w:rPr>
          <w:rFonts w:ascii="Arial" w:hAnsi="Arial" w:cs="Arial"/>
          <w:color w:val="000000" w:themeColor="text1"/>
        </w:rPr>
      </w:pPr>
      <w:r w:rsidRPr="00173EB7">
        <w:rPr>
          <w:rFonts w:ascii="Arial" w:hAnsi="Arial" w:cs="Arial"/>
          <w:color w:val="000000" w:themeColor="text1"/>
        </w:rPr>
        <w:t xml:space="preserve">Una vez precluida la oportunidad para presentar ofertas, en el plazo que señala el pliego de condiciones </w:t>
      </w:r>
      <w:r w:rsidRPr="00173EB7">
        <w:rPr>
          <w:rFonts w:ascii="Arial" w:eastAsia="Calibri" w:hAnsi="Arial" w:cs="Arial"/>
          <w:bCs/>
          <w:color w:val="000000" w:themeColor="text1"/>
        </w:rPr>
        <w:t>conforme al artículo 30.7 de la Ley 80 de 1993</w:t>
      </w:r>
      <w:r w:rsidRPr="00173EB7">
        <w:rPr>
          <w:rFonts w:ascii="Arial" w:hAnsi="Arial" w:cs="Arial"/>
          <w:bCs/>
          <w:color w:val="000000" w:themeColor="text1"/>
        </w:rPr>
        <w:t>,</w:t>
      </w:r>
      <w:r w:rsidRPr="00173EB7">
        <w:rPr>
          <w:rFonts w:ascii="Arial" w:hAnsi="Arial" w:cs="Arial"/>
          <w:color w:val="000000" w:themeColor="text1"/>
        </w:rPr>
        <w:t xml:space="preserve"> el comité evaluador de la entidad realizará </w:t>
      </w:r>
      <w:r>
        <w:rPr>
          <w:rFonts w:ascii="Arial" w:hAnsi="Arial" w:cs="Arial"/>
          <w:color w:val="000000" w:themeColor="text1"/>
        </w:rPr>
        <w:t>“</w:t>
      </w:r>
      <w:r w:rsidRPr="00173EB7">
        <w:rPr>
          <w:rFonts w:ascii="Arial" w:hAnsi="Arial" w:cs="Arial"/>
          <w:color w:val="000000" w:themeColor="text1"/>
        </w:rPr>
        <w:t>los estudios técnicos, económicos y jurídicos necesarios para la evaluación de las propuestas</w:t>
      </w:r>
      <w:r>
        <w:rPr>
          <w:rFonts w:ascii="Arial" w:hAnsi="Arial" w:cs="Arial"/>
          <w:color w:val="000000" w:themeColor="text1"/>
        </w:rPr>
        <w:t xml:space="preserve">” </w:t>
      </w:r>
      <w:r w:rsidRPr="00173EB7">
        <w:rPr>
          <w:rFonts w:ascii="Arial" w:hAnsi="Arial" w:cs="Arial"/>
          <w:color w:val="000000" w:themeColor="text1"/>
        </w:rPr>
        <w:t xml:space="preserve">y además podrá pedir a los proponentes las aclaraciones y explicaciones que considere pertinentes.  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 </w:t>
      </w:r>
    </w:p>
    <w:p w14:paraId="76D80EDF" w14:textId="77777777" w:rsidR="009261E4" w:rsidRPr="00173EB7" w:rsidRDefault="009261E4" w:rsidP="009261E4">
      <w:pPr>
        <w:spacing w:line="276" w:lineRule="auto"/>
        <w:jc w:val="both"/>
        <w:rPr>
          <w:rFonts w:ascii="Arial" w:hAnsi="Arial" w:cs="Arial"/>
          <w:color w:val="000000" w:themeColor="text1"/>
        </w:rPr>
      </w:pPr>
      <w:r w:rsidRPr="00173EB7">
        <w:rPr>
          <w:rFonts w:ascii="Arial" w:hAnsi="Arial" w:cs="Arial"/>
          <w:color w:val="000000" w:themeColor="text1"/>
        </w:rPr>
        <w:t xml:space="preserve"> </w:t>
      </w:r>
      <w:r w:rsidRPr="00173EB7">
        <w:rPr>
          <w:rFonts w:ascii="Arial" w:hAnsi="Arial" w:cs="Arial"/>
          <w:color w:val="000000" w:themeColor="text1"/>
        </w:rPr>
        <w:tab/>
        <w:t xml:space="preserve">Evaluadas las propuestas, se deben distinguir dos modos de realizar los traslados de los informes correspondientes: de un lado, las licitaciones públicas para seleccionar contratistas de obra pública y, del otro, cualquier otra licitación pública. En esta segunda hipótesis, la entidad correrá traslado del informe de evaluación, el cual permanecerá en la secretaría por un término de cinco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w:t>
      </w:r>
      <w:r>
        <w:rPr>
          <w:rFonts w:ascii="Arial" w:hAnsi="Arial" w:cs="Arial"/>
          <w:color w:val="000000" w:themeColor="text1"/>
        </w:rPr>
        <w:t>“</w:t>
      </w:r>
      <w:r w:rsidRPr="00173EB7">
        <w:rPr>
          <w:rFonts w:ascii="Arial" w:hAnsi="Arial" w:cs="Arial"/>
          <w:color w:val="000000" w:themeColor="text1"/>
        </w:rPr>
        <w:t xml:space="preserve">hacerle ver a la entidad los errores que pudo </w:t>
      </w:r>
      <w:r w:rsidRPr="00173EB7">
        <w:rPr>
          <w:rFonts w:ascii="Arial" w:hAnsi="Arial" w:cs="Arial"/>
          <w:color w:val="000000" w:themeColor="text1"/>
        </w:rPr>
        <w:lastRenderedPageBreak/>
        <w:t>haber cometido en procura de corregirlos y así adoptar la decisión que realmente se ajuste a derecho</w:t>
      </w:r>
      <w:r>
        <w:rPr>
          <w:rFonts w:ascii="Arial" w:hAnsi="Arial" w:cs="Arial"/>
          <w:color w:val="000000" w:themeColor="text1"/>
        </w:rPr>
        <w:t>”</w:t>
      </w:r>
      <w:r w:rsidRPr="00173EB7">
        <w:rPr>
          <w:rStyle w:val="Refdenotaalpie"/>
          <w:rFonts w:ascii="Arial" w:hAnsi="Arial" w:cs="Arial"/>
          <w:color w:val="000000" w:themeColor="text1"/>
        </w:rPr>
        <w:footnoteReference w:id="10"/>
      </w:r>
      <w:r w:rsidRPr="00173EB7">
        <w:rPr>
          <w:rFonts w:ascii="Arial" w:hAnsi="Arial" w:cs="Arial"/>
          <w:color w:val="000000" w:themeColor="text1"/>
        </w:rPr>
        <w:t>.</w:t>
      </w:r>
    </w:p>
    <w:p w14:paraId="59BF7AD8" w14:textId="77777777" w:rsidR="009261E4" w:rsidRPr="008A6D91" w:rsidRDefault="009261E4" w:rsidP="009261E4">
      <w:pPr>
        <w:spacing w:before="120" w:line="276" w:lineRule="auto"/>
        <w:jc w:val="both"/>
        <w:rPr>
          <w:rFonts w:ascii="Arial" w:hAnsi="Arial" w:cs="Arial"/>
          <w:color w:val="000000" w:themeColor="text1"/>
        </w:rPr>
      </w:pPr>
      <w:r w:rsidRPr="00173EB7">
        <w:rPr>
          <w:rFonts w:ascii="Arial" w:hAnsi="Arial" w:cs="Arial"/>
          <w:color w:val="000000" w:themeColor="text1"/>
        </w:rPr>
        <w:tab/>
        <w:t xml:space="preserve">En la primera hipótesis, regulada por el parágrafo 3 del artículo 30 de la Ley 80 de 1993, adicionado por el artículo 1 de la Ley 1882 de 2018, la entidad deberá publicar el </w:t>
      </w:r>
      <w:r w:rsidRPr="00173EB7">
        <w:rPr>
          <w:rFonts w:ascii="Arial" w:hAnsi="Arial" w:cs="Arial"/>
          <w:i/>
          <w:iCs/>
          <w:color w:val="000000" w:themeColor="text1"/>
        </w:rPr>
        <w:t>informe de evaluación</w:t>
      </w:r>
      <w:r w:rsidRPr="00173EB7">
        <w:rPr>
          <w:rFonts w:ascii="Arial" w:hAnsi="Arial" w:cs="Arial"/>
          <w:color w:val="000000" w:themeColor="text1"/>
        </w:rPr>
        <w:t xml:space="preserve"> relacionado con los documentos de los requisitos habilitantes y los requisitos que sean objeto de puntuación, diferentes a la oferta económica, dentro del plazo establecido en el pliego de condiciones. Este informe debe ser publicado en el SECOP por cinco (5)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173EB7">
        <w:rPr>
          <w:rFonts w:ascii="Arial" w:hAnsi="Arial" w:cs="Arial"/>
          <w:i/>
          <w:iCs/>
          <w:color w:val="000000" w:themeColor="text1"/>
        </w:rPr>
        <w:t>informe final de evaluación</w:t>
      </w:r>
      <w:r w:rsidRPr="00173EB7">
        <w:rPr>
          <w:rFonts w:ascii="Arial" w:hAnsi="Arial" w:cs="Arial"/>
          <w:color w:val="000000" w:themeColor="text1"/>
        </w:rPr>
        <w:t xml:space="preserve"> de los requisitos habilitantes y los requisitos objeto de puntuación, distintos a la oferta económica.</w:t>
      </w:r>
    </w:p>
    <w:p w14:paraId="21D897CC" w14:textId="77777777" w:rsidR="009261E4" w:rsidRPr="009303FD" w:rsidRDefault="009261E4" w:rsidP="009261E4">
      <w:pPr>
        <w:pStyle w:val="Textoindependiente"/>
        <w:spacing w:before="240" w:line="276" w:lineRule="auto"/>
        <w:jc w:val="both"/>
        <w:rPr>
          <w:u w:val="single"/>
        </w:rPr>
      </w:pPr>
      <w:r w:rsidRPr="009303FD">
        <w:rPr>
          <w:rFonts w:eastAsia="Calibri"/>
          <w:b/>
          <w:lang w:val="es-ES_tradnl"/>
        </w:rPr>
        <w:t>3. Respuesta</w:t>
      </w:r>
    </w:p>
    <w:p w14:paraId="0D443319" w14:textId="77777777" w:rsidR="009261E4" w:rsidRPr="009303FD" w:rsidRDefault="009261E4" w:rsidP="009261E4">
      <w:pPr>
        <w:spacing w:after="0" w:line="240" w:lineRule="auto"/>
        <w:ind w:left="709" w:right="709"/>
        <w:jc w:val="both"/>
        <w:rPr>
          <w:rFonts w:ascii="Arial" w:hAnsi="Arial" w:cs="Arial"/>
          <w:iCs/>
          <w:sz w:val="20"/>
          <w:szCs w:val="20"/>
          <w:lang w:val="es-ES_tradnl"/>
        </w:rPr>
      </w:pPr>
    </w:p>
    <w:p w14:paraId="0C68EC39" w14:textId="77777777" w:rsidR="009261E4" w:rsidRPr="00F9202F" w:rsidRDefault="009261E4" w:rsidP="009261E4">
      <w:pPr>
        <w:shd w:val="clear" w:color="auto" w:fill="FFFFFF"/>
        <w:spacing w:after="0" w:line="240" w:lineRule="auto"/>
        <w:ind w:left="708" w:right="709"/>
        <w:jc w:val="both"/>
        <w:rPr>
          <w:rFonts w:ascii="Arial" w:eastAsia="Calibri" w:hAnsi="Arial" w:cs="Arial"/>
          <w:sz w:val="20"/>
          <w:szCs w:val="20"/>
          <w:lang w:val="es-ES" w:eastAsia="es-ES"/>
        </w:rPr>
      </w:pPr>
      <w:r w:rsidRPr="00F9202F">
        <w:rPr>
          <w:rFonts w:ascii="Arial" w:eastAsia="Calibri" w:hAnsi="Arial" w:cs="Arial"/>
          <w:sz w:val="20"/>
          <w:szCs w:val="20"/>
          <w:lang w:val="es-ES" w:eastAsia="es-ES"/>
        </w:rPr>
        <w:t xml:space="preserve">“[…] es posible que mediante una selección abreviada subasta inversa se puedan contemplar los tiempos de la licitación pública o en la licitación pública se puede hacer subasta tal cual como lo dice el decreto 1082 en su artículo </w:t>
      </w:r>
      <w:proofErr w:type="spellStart"/>
      <w:r w:rsidRPr="00F9202F">
        <w:rPr>
          <w:rFonts w:ascii="Arial" w:eastAsia="Calibri" w:hAnsi="Arial" w:cs="Arial"/>
          <w:sz w:val="20"/>
          <w:szCs w:val="20"/>
          <w:lang w:val="es-ES" w:eastAsia="es-ES"/>
        </w:rPr>
        <w:t>ARTÍCULO</w:t>
      </w:r>
      <w:proofErr w:type="spellEnd"/>
      <w:r w:rsidRPr="00F9202F">
        <w:rPr>
          <w:rFonts w:ascii="Arial" w:eastAsia="Calibri" w:hAnsi="Arial" w:cs="Arial"/>
          <w:sz w:val="20"/>
          <w:szCs w:val="20"/>
          <w:lang w:val="es-ES" w:eastAsia="es-ES"/>
        </w:rPr>
        <w:t xml:space="preserve"> 2.2.1.2.1.1.1. Presentación de la oferta de manera dinámica mediante subasta inversa en los procesos de licitación pública.”</w:t>
      </w:r>
    </w:p>
    <w:p w14:paraId="303B0BA4" w14:textId="77777777" w:rsidR="009261E4" w:rsidRPr="009303FD" w:rsidRDefault="009261E4" w:rsidP="009261E4">
      <w:pPr>
        <w:spacing w:after="0" w:line="240" w:lineRule="auto"/>
        <w:jc w:val="both"/>
        <w:rPr>
          <w:rFonts w:ascii="Arial" w:eastAsia="Calibri" w:hAnsi="Arial" w:cs="Arial"/>
          <w:bCs/>
          <w:lang w:val="es-ES"/>
        </w:rPr>
      </w:pPr>
    </w:p>
    <w:p w14:paraId="643A709C" w14:textId="77777777" w:rsidR="009261E4" w:rsidRPr="00DC01FC" w:rsidRDefault="009261E4" w:rsidP="009261E4">
      <w:pPr>
        <w:tabs>
          <w:tab w:val="left" w:pos="0"/>
        </w:tabs>
        <w:spacing w:after="240" w:line="276" w:lineRule="auto"/>
        <w:jc w:val="both"/>
        <w:rPr>
          <w:rFonts w:ascii="Arial" w:eastAsia="Calibri" w:hAnsi="Arial" w:cs="Arial"/>
          <w:iCs/>
        </w:rPr>
      </w:pPr>
      <w:r w:rsidRPr="00173EB7">
        <w:rPr>
          <w:rFonts w:ascii="Arial" w:hAnsi="Arial" w:cs="Arial"/>
          <w:color w:val="000000" w:themeColor="text1"/>
        </w:rPr>
        <w:t>De acuerdo con la explicación precedente</w:t>
      </w:r>
      <w:r w:rsidRPr="00C50408">
        <w:rPr>
          <w:rFonts w:ascii="Arial" w:hAnsi="Arial" w:cs="Arial"/>
          <w:color w:val="000000" w:themeColor="text1"/>
        </w:rPr>
        <w:t>, s</w:t>
      </w:r>
      <w:r w:rsidRPr="00C50408">
        <w:rPr>
          <w:rFonts w:ascii="Arial" w:hAnsi="Arial" w:cs="Arial"/>
          <w:lang w:eastAsia="es-CO"/>
        </w:rPr>
        <w:t xml:space="preserve">e debe tener en cuenta que en la modalidad de licitación pública el </w:t>
      </w:r>
      <w:r w:rsidRPr="00C50408">
        <w:rPr>
          <w:rFonts w:ascii="Arial" w:eastAsia="Calibri" w:hAnsi="Arial" w:cs="Arial"/>
        </w:rPr>
        <w:t>numeral 1 del artículo 2 de la Ley 1150 de 2007 mencionó que cuando la Entidad Estatal así lo determine, la oferta en un proceso de la</w:t>
      </w:r>
      <w:r w:rsidRPr="00A26D92">
        <w:rPr>
          <w:rFonts w:ascii="Arial" w:eastAsia="Calibri" w:hAnsi="Arial" w:cs="Arial"/>
        </w:rPr>
        <w:t xml:space="preserve"> licitación pública podrá </w:t>
      </w:r>
      <w:r>
        <w:rPr>
          <w:rFonts w:ascii="Arial" w:hAnsi="Arial" w:cs="Arial"/>
          <w:lang w:eastAsia="es-MX"/>
        </w:rPr>
        <w:t>“</w:t>
      </w:r>
      <w:r w:rsidRPr="00A26D92">
        <w:rPr>
          <w:rFonts w:ascii="Arial" w:eastAsia="Calibri" w:hAnsi="Arial" w:cs="Arial"/>
        </w:rPr>
        <w:t>ser presentada total o parcialmente de manera dinámica mediante subasta inversa, en las condiciones que fije el reglamen</w:t>
      </w:r>
      <w:r>
        <w:rPr>
          <w:rFonts w:ascii="Arial" w:eastAsia="Calibri" w:hAnsi="Arial" w:cs="Arial"/>
        </w:rPr>
        <w:t>to”</w:t>
      </w:r>
      <w:r w:rsidRPr="00A26D92">
        <w:rPr>
          <w:rFonts w:ascii="Arial" w:eastAsia="Calibri" w:hAnsi="Arial" w:cs="Arial"/>
        </w:rPr>
        <w:t>.</w:t>
      </w:r>
      <w:r>
        <w:rPr>
          <w:rFonts w:ascii="Arial" w:eastAsia="Calibri" w:hAnsi="Arial" w:cs="Arial"/>
        </w:rPr>
        <w:t xml:space="preserve"> </w:t>
      </w:r>
      <w:r>
        <w:rPr>
          <w:rFonts w:ascii="Arial" w:eastAsia="Calibri" w:hAnsi="Arial" w:cs="Arial"/>
          <w:iCs/>
        </w:rPr>
        <w:t>Estas condiciones generales, están dadas por el a</w:t>
      </w:r>
      <w:r w:rsidRPr="00DC01FC">
        <w:rPr>
          <w:rFonts w:ascii="Arial" w:eastAsia="Calibri" w:hAnsi="Arial" w:cs="Arial"/>
          <w:iCs/>
        </w:rPr>
        <w:t xml:space="preserve">rtículo 2.2.1.2.1.1.1. </w:t>
      </w:r>
      <w:r>
        <w:rPr>
          <w:rFonts w:ascii="Arial" w:eastAsia="Calibri" w:hAnsi="Arial" w:cs="Arial"/>
          <w:iCs/>
        </w:rPr>
        <w:t>del Decreto 1082 de 2015 que contempló que, para la p</w:t>
      </w:r>
      <w:r w:rsidRPr="00DC01FC">
        <w:rPr>
          <w:rFonts w:ascii="Arial" w:eastAsia="Calibri" w:hAnsi="Arial" w:cs="Arial"/>
          <w:iCs/>
        </w:rPr>
        <w:t>resentación de la oferta de manera dinámica mediante subasta inversa</w:t>
      </w:r>
      <w:r>
        <w:rPr>
          <w:rFonts w:ascii="Arial" w:eastAsia="Calibri" w:hAnsi="Arial" w:cs="Arial"/>
          <w:iCs/>
        </w:rPr>
        <w:t>, l</w:t>
      </w:r>
      <w:r w:rsidRPr="00DC01FC">
        <w:rPr>
          <w:rFonts w:ascii="Arial" w:eastAsia="Calibri" w:hAnsi="Arial" w:cs="Arial"/>
          <w:iCs/>
        </w:rPr>
        <w:t>as Entidades Estatales debe</w:t>
      </w:r>
      <w:r>
        <w:rPr>
          <w:rFonts w:ascii="Arial" w:eastAsia="Calibri" w:hAnsi="Arial" w:cs="Arial"/>
          <w:iCs/>
        </w:rPr>
        <w:t>n</w:t>
      </w:r>
      <w:r w:rsidRPr="00DC01FC">
        <w:rPr>
          <w:rFonts w:ascii="Arial" w:eastAsia="Calibri" w:hAnsi="Arial" w:cs="Arial"/>
          <w:iCs/>
        </w:rPr>
        <w:t xml:space="preserve"> señalar en los pliegos de condiciones las variables técnicas y económicas sobre las cuales los oferentes pueden realizar la puja.</w:t>
      </w:r>
      <w:r>
        <w:rPr>
          <w:rFonts w:ascii="Arial" w:eastAsia="Calibri" w:hAnsi="Arial" w:cs="Arial"/>
          <w:iCs/>
        </w:rPr>
        <w:t xml:space="preserve"> Por tal razón, el pliego de condiciones debe contener una fecha para que </w:t>
      </w:r>
      <w:r w:rsidRPr="00DC01FC">
        <w:rPr>
          <w:rFonts w:ascii="Arial" w:eastAsia="Calibri" w:hAnsi="Arial" w:cs="Arial"/>
          <w:iCs/>
        </w:rPr>
        <w:t>los oferentes present</w:t>
      </w:r>
      <w:r>
        <w:rPr>
          <w:rFonts w:ascii="Arial" w:eastAsia="Calibri" w:hAnsi="Arial" w:cs="Arial"/>
          <w:iCs/>
        </w:rPr>
        <w:t xml:space="preserve">en </w:t>
      </w:r>
      <w:r w:rsidRPr="00DC01FC">
        <w:rPr>
          <w:rFonts w:ascii="Arial" w:eastAsia="Calibri" w:hAnsi="Arial" w:cs="Arial"/>
          <w:iCs/>
        </w:rPr>
        <w:t xml:space="preserve">los documentos que acrediten los requisitos habilitantes requeridos por la </w:t>
      </w:r>
      <w:r>
        <w:rPr>
          <w:rFonts w:ascii="Arial" w:eastAsia="Calibri" w:hAnsi="Arial" w:cs="Arial"/>
          <w:iCs/>
        </w:rPr>
        <w:t>Entidad Estatal y una segunda fecha para llevar a cabo la subasta inversa para la conformación de la oferta económica dinámica.</w:t>
      </w:r>
      <w:r w:rsidRPr="00DC01FC">
        <w:rPr>
          <w:rFonts w:ascii="Arial" w:eastAsia="Calibri" w:hAnsi="Arial" w:cs="Arial"/>
          <w:iCs/>
        </w:rPr>
        <w:t xml:space="preserve"> En el caso de una conformación dinámica parcial de la oferta</w:t>
      </w:r>
      <w:r>
        <w:rPr>
          <w:rFonts w:ascii="Arial" w:eastAsia="Calibri" w:hAnsi="Arial" w:cs="Arial"/>
          <w:iCs/>
        </w:rPr>
        <w:t xml:space="preserve"> en artículo en cita, dispuso que </w:t>
      </w:r>
      <w:r w:rsidRPr="00DC01FC">
        <w:rPr>
          <w:rFonts w:ascii="Arial" w:eastAsia="Calibri" w:hAnsi="Arial" w:cs="Arial"/>
          <w:iCs/>
        </w:rPr>
        <w:t>los documentos señalados se acompañará el componente de la oferta que no es objeto de conformación dinámica</w:t>
      </w:r>
      <w:r>
        <w:rPr>
          <w:rFonts w:ascii="Arial" w:eastAsia="Calibri" w:hAnsi="Arial" w:cs="Arial"/>
          <w:iCs/>
        </w:rPr>
        <w:t>, conforme al procedimiento que trae consigo el artículo citado que se expone a continuación:</w:t>
      </w:r>
    </w:p>
    <w:p w14:paraId="30FF0F4D" w14:textId="77777777" w:rsidR="00FD72B7" w:rsidRPr="00B076C2" w:rsidRDefault="00FD72B7" w:rsidP="009261E4">
      <w:pPr>
        <w:spacing w:before="240" w:after="0" w:line="240" w:lineRule="auto"/>
        <w:ind w:left="709" w:right="709"/>
        <w:jc w:val="both"/>
        <w:rPr>
          <w:rFonts w:ascii="Arial" w:eastAsia="Calibri" w:hAnsi="Arial" w:cs="Arial"/>
          <w:iCs/>
          <w:sz w:val="21"/>
          <w:szCs w:val="21"/>
        </w:rPr>
      </w:pPr>
      <w:r>
        <w:rPr>
          <w:rFonts w:ascii="Arial" w:hAnsi="Arial" w:cs="Arial"/>
          <w:sz w:val="21"/>
          <w:szCs w:val="21"/>
          <w:lang w:eastAsia="es-MX"/>
        </w:rPr>
        <w:lastRenderedPageBreak/>
        <w:t>“</w:t>
      </w:r>
      <w:r w:rsidRPr="001A3478">
        <w:rPr>
          <w:rFonts w:ascii="Arial" w:hAnsi="Arial" w:cs="Arial"/>
          <w:sz w:val="21"/>
          <w:szCs w:val="21"/>
          <w:lang w:eastAsia="es-MX"/>
        </w:rPr>
        <w:t>Artículo 2.2.1.2.1.</w:t>
      </w:r>
      <w:r w:rsidRPr="006A61EA">
        <w:rPr>
          <w:rFonts w:ascii="Arial" w:hAnsi="Arial" w:cs="Arial"/>
          <w:sz w:val="21"/>
          <w:szCs w:val="21"/>
          <w:lang w:eastAsia="es-MX"/>
        </w:rPr>
        <w:t>1.1</w:t>
      </w:r>
      <w:r w:rsidRPr="001A3478">
        <w:rPr>
          <w:rFonts w:ascii="Arial" w:hAnsi="Arial" w:cs="Arial"/>
          <w:i/>
          <w:sz w:val="21"/>
          <w:szCs w:val="21"/>
          <w:lang w:eastAsia="es-MX"/>
        </w:rPr>
        <w:t>.</w:t>
      </w:r>
      <w:r w:rsidRPr="001A3478">
        <w:rPr>
          <w:rFonts w:ascii="Arial" w:hAnsi="Arial" w:cs="Arial"/>
          <w:i/>
          <w:color w:val="000000"/>
          <w:sz w:val="21"/>
          <w:szCs w:val="21"/>
        </w:rPr>
        <w:t xml:space="preserve"> </w:t>
      </w:r>
      <w:r w:rsidRPr="001A3478">
        <w:rPr>
          <w:rStyle w:val="nfasis"/>
          <w:rFonts w:ascii="Arial" w:hAnsi="Arial" w:cs="Arial"/>
          <w:i w:val="0"/>
          <w:color w:val="000000"/>
          <w:sz w:val="21"/>
          <w:szCs w:val="21"/>
        </w:rPr>
        <w:t>Presentación de la oferta de manera dinámica mediante subasta inversa en los procesos de licitación pública</w:t>
      </w:r>
      <w:r w:rsidRPr="001A3478">
        <w:rPr>
          <w:rStyle w:val="nfasis"/>
          <w:rFonts w:ascii="Arial" w:hAnsi="Arial" w:cs="Arial"/>
          <w:color w:val="000000"/>
          <w:sz w:val="21"/>
          <w:szCs w:val="21"/>
        </w:rPr>
        <w:t>.</w:t>
      </w:r>
      <w:r w:rsidRPr="00CE4A33">
        <w:rPr>
          <w:rFonts w:ascii="Arial" w:hAnsi="Arial" w:cs="Arial"/>
          <w:b/>
          <w:bCs/>
          <w:sz w:val="21"/>
          <w:szCs w:val="21"/>
          <w:lang w:eastAsia="es-MX"/>
        </w:rPr>
        <w:t xml:space="preserve"> </w:t>
      </w:r>
      <w:r w:rsidRPr="00B076C2">
        <w:rPr>
          <w:rFonts w:ascii="Arial" w:eastAsia="Calibri" w:hAnsi="Arial" w:cs="Arial"/>
          <w:iCs/>
          <w:sz w:val="21"/>
          <w:szCs w:val="21"/>
        </w:rPr>
        <w:t xml:space="preserve">La Entidad Estatal dentro del plazo previsto en los pliegos de condiciones debe verificar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 En la subasta, los oferentes deben presentar su oferta inicial con las variables dinámicas, de conformidad con los pliegos de condiciones, la cual puede ser mejorada con los </w:t>
      </w:r>
      <w:r>
        <w:rPr>
          <w:rFonts w:ascii="Arial" w:eastAsia="Calibri" w:hAnsi="Arial" w:cs="Arial"/>
          <w:iCs/>
          <w:sz w:val="21"/>
          <w:szCs w:val="21"/>
        </w:rPr>
        <w:t>Lances</w:t>
      </w:r>
      <w:r w:rsidRPr="00B076C2">
        <w:rPr>
          <w:rFonts w:ascii="Arial" w:eastAsia="Calibri" w:hAnsi="Arial" w:cs="Arial"/>
          <w:iCs/>
          <w:sz w:val="21"/>
          <w:szCs w:val="21"/>
        </w:rPr>
        <w:t xml:space="preserve"> hasta la conformación de la oferta definitiva.</w:t>
      </w:r>
    </w:p>
    <w:p w14:paraId="43FAD5C3" w14:textId="77777777" w:rsidR="00FD72B7" w:rsidRPr="00B076C2" w:rsidRDefault="00FD72B7" w:rsidP="009261E4">
      <w:pPr>
        <w:spacing w:before="240" w:after="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 xml:space="preserve">Se tomará como definitiva la oferta inicial realizada por el oferente que no presente </w:t>
      </w:r>
      <w:r>
        <w:rPr>
          <w:rFonts w:ascii="Arial" w:eastAsia="Calibri" w:hAnsi="Arial" w:cs="Arial"/>
          <w:iCs/>
          <w:sz w:val="21"/>
          <w:szCs w:val="21"/>
        </w:rPr>
        <w:t>Lances</w:t>
      </w:r>
      <w:r w:rsidRPr="00B076C2">
        <w:rPr>
          <w:rFonts w:ascii="Arial" w:eastAsia="Calibri" w:hAnsi="Arial" w:cs="Arial"/>
          <w:iCs/>
          <w:sz w:val="21"/>
          <w:szCs w:val="21"/>
        </w:rPr>
        <w:t xml:space="preserve"> en la subasta.</w:t>
      </w:r>
    </w:p>
    <w:p w14:paraId="08E77D0C" w14:textId="77777777" w:rsidR="00FD72B7" w:rsidRPr="00B076C2" w:rsidRDefault="00FD72B7" w:rsidP="009261E4">
      <w:pPr>
        <w:spacing w:before="240" w:after="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En ningún caso el precio será la única variable sometida a conformación dinámica.</w:t>
      </w:r>
    </w:p>
    <w:p w14:paraId="33B4FBB8" w14:textId="77777777" w:rsidR="00FD72B7" w:rsidRPr="00B076C2" w:rsidRDefault="00FD72B7" w:rsidP="009261E4">
      <w:pPr>
        <w:spacing w:before="240" w:after="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p>
    <w:p w14:paraId="41298AD3" w14:textId="77777777" w:rsidR="00FD72B7" w:rsidRPr="00B076C2" w:rsidRDefault="00FD72B7" w:rsidP="009261E4">
      <w:pPr>
        <w:spacing w:before="240" w:line="240" w:lineRule="auto"/>
        <w:ind w:left="709" w:right="709"/>
        <w:jc w:val="both"/>
        <w:rPr>
          <w:rFonts w:ascii="Arial" w:eastAsia="Calibri" w:hAnsi="Arial" w:cs="Arial"/>
          <w:iCs/>
          <w:sz w:val="21"/>
          <w:szCs w:val="21"/>
        </w:rPr>
      </w:pPr>
      <w:r w:rsidRPr="00B076C2">
        <w:rPr>
          <w:rFonts w:ascii="Arial" w:eastAsia="Calibri" w:hAnsi="Arial" w:cs="Arial"/>
          <w:iCs/>
          <w:sz w:val="21"/>
          <w:szCs w:val="21"/>
        </w:rPr>
        <w:t>De lo acontecido en la subasta, se levantará un acta donde se dejarán todas las constancias del caso</w:t>
      </w:r>
      <w:r>
        <w:rPr>
          <w:rFonts w:ascii="Arial" w:eastAsia="Calibri" w:hAnsi="Arial" w:cs="Arial"/>
          <w:i/>
          <w:sz w:val="21"/>
          <w:szCs w:val="21"/>
        </w:rPr>
        <w:t>”.</w:t>
      </w:r>
    </w:p>
    <w:p w14:paraId="71BF9757" w14:textId="77777777" w:rsidR="00FD72B7" w:rsidRDefault="00FD72B7" w:rsidP="009261E4">
      <w:pPr>
        <w:pStyle w:val="xmsonospacing"/>
        <w:spacing w:before="0" w:beforeAutospacing="0" w:after="120" w:afterAutospacing="0" w:line="276" w:lineRule="auto"/>
        <w:jc w:val="both"/>
        <w:rPr>
          <w:rStyle w:val="xnormaltextrun"/>
          <w:rFonts w:ascii="Arial" w:hAnsi="Arial" w:cs="Arial"/>
          <w:color w:val="000000"/>
          <w:sz w:val="22"/>
          <w:szCs w:val="22"/>
          <w:highlight w:val="yellow"/>
          <w:bdr w:val="none" w:sz="0" w:space="0" w:color="auto" w:frame="1"/>
          <w:shd w:val="clear" w:color="auto" w:fill="FFFFFF"/>
        </w:rPr>
      </w:pPr>
    </w:p>
    <w:p w14:paraId="5E1DEAE0" w14:textId="06293A63" w:rsidR="009261E4" w:rsidRDefault="009261E4" w:rsidP="009261E4">
      <w:pPr>
        <w:autoSpaceDE w:val="0"/>
        <w:autoSpaceDN w:val="0"/>
        <w:adjustRightInd w:val="0"/>
        <w:spacing w:after="120" w:line="276" w:lineRule="auto"/>
        <w:ind w:firstLine="708"/>
        <w:jc w:val="both"/>
        <w:rPr>
          <w:rFonts w:ascii="Arial" w:hAnsi="Arial" w:cs="Arial"/>
          <w:lang w:val="es-MX"/>
        </w:rPr>
      </w:pPr>
      <w:r w:rsidRPr="00EA12A3">
        <w:rPr>
          <w:rFonts w:ascii="Arial" w:hAnsi="Arial" w:cs="Arial"/>
          <w:lang w:val="es-MX"/>
        </w:rPr>
        <w:t xml:space="preserve">De este modo, resulta </w:t>
      </w:r>
      <w:r w:rsidR="00D5137A">
        <w:rPr>
          <w:rFonts w:ascii="Arial" w:hAnsi="Arial" w:cs="Arial"/>
          <w:lang w:val="es-MX"/>
        </w:rPr>
        <w:t xml:space="preserve">pertinente precisar que </w:t>
      </w:r>
      <w:r w:rsidR="00D01EE9">
        <w:rPr>
          <w:rFonts w:ascii="Arial" w:hAnsi="Arial" w:cs="Arial"/>
          <w:lang w:val="es-MX"/>
        </w:rPr>
        <w:t xml:space="preserve">cuando la Entidad estatal </w:t>
      </w:r>
      <w:r w:rsidR="00D01EE9" w:rsidRPr="00E65D9D">
        <w:rPr>
          <w:rFonts w:ascii="Arial" w:hAnsi="Arial" w:cs="Arial"/>
          <w:lang w:val="es-MX"/>
        </w:rPr>
        <w:t xml:space="preserve">así lo determine, la oferta </w:t>
      </w:r>
      <w:r w:rsidR="00D01EE9">
        <w:rPr>
          <w:rFonts w:ascii="Arial" w:hAnsi="Arial" w:cs="Arial"/>
          <w:lang w:val="es-MX"/>
        </w:rPr>
        <w:t xml:space="preserve">económica </w:t>
      </w:r>
      <w:r w:rsidR="00D01EE9" w:rsidRPr="00E65D9D">
        <w:rPr>
          <w:rFonts w:ascii="Arial" w:hAnsi="Arial" w:cs="Arial"/>
          <w:lang w:val="es-MX"/>
        </w:rPr>
        <w:t xml:space="preserve">en un proceso </w:t>
      </w:r>
      <w:r w:rsidR="00D07D45">
        <w:rPr>
          <w:rFonts w:ascii="Arial" w:hAnsi="Arial" w:cs="Arial"/>
          <w:lang w:val="es-MX"/>
        </w:rPr>
        <w:t xml:space="preserve">que se realice bajo la modalidad </w:t>
      </w:r>
      <w:r w:rsidR="00D01EE9" w:rsidRPr="00E65D9D">
        <w:rPr>
          <w:rFonts w:ascii="Arial" w:hAnsi="Arial" w:cs="Arial"/>
          <w:lang w:val="es-MX"/>
        </w:rPr>
        <w:t>de licitación pública podrá ser presentada total o parcialmente de manera dinámica mediante subasta inversa, en las condiciones que fije el reglamento</w:t>
      </w:r>
      <w:r w:rsidR="00D01EE9">
        <w:rPr>
          <w:rFonts w:ascii="Arial" w:hAnsi="Arial" w:cs="Arial"/>
          <w:lang w:val="es-MX"/>
        </w:rPr>
        <w:t>; sin embargo, los tiempos para llevar a cabo e</w:t>
      </w:r>
      <w:r w:rsidR="00D07D45">
        <w:rPr>
          <w:rFonts w:ascii="Arial" w:hAnsi="Arial" w:cs="Arial"/>
          <w:lang w:val="es-MX"/>
        </w:rPr>
        <w:t>l referido</w:t>
      </w:r>
      <w:r w:rsidR="00D01EE9">
        <w:rPr>
          <w:rFonts w:ascii="Arial" w:hAnsi="Arial" w:cs="Arial"/>
          <w:lang w:val="es-MX"/>
        </w:rPr>
        <w:t xml:space="preserve"> Proceso de Contratación seguirán siendo los establecidos para la modalidad de licitación</w:t>
      </w:r>
      <w:r w:rsidR="00421F22">
        <w:rPr>
          <w:rFonts w:ascii="Arial" w:hAnsi="Arial" w:cs="Arial"/>
          <w:lang w:val="es-MX"/>
        </w:rPr>
        <w:t xml:space="preserve"> en armonía con </w:t>
      </w:r>
      <w:r w:rsidR="00D01EE9">
        <w:rPr>
          <w:rFonts w:ascii="Arial" w:hAnsi="Arial" w:cs="Arial"/>
          <w:lang w:val="es-MX"/>
        </w:rPr>
        <w:t xml:space="preserve">el Decreto 1082 de 2015. </w:t>
      </w:r>
    </w:p>
    <w:p w14:paraId="3CC88065" w14:textId="77777777" w:rsidR="009261E4" w:rsidRDefault="009261E4" w:rsidP="009261E4">
      <w:pPr>
        <w:spacing w:after="0" w:line="276" w:lineRule="auto"/>
        <w:jc w:val="both"/>
        <w:rPr>
          <w:rFonts w:ascii="Arial" w:hAnsi="Arial" w:cs="Arial"/>
          <w:lang w:val="es-ES_tradnl"/>
        </w:rPr>
      </w:pPr>
    </w:p>
    <w:p w14:paraId="72F2878B" w14:textId="77777777" w:rsidR="009261E4" w:rsidRPr="009303FD" w:rsidRDefault="009261E4" w:rsidP="009261E4">
      <w:pPr>
        <w:spacing w:after="0" w:line="276" w:lineRule="auto"/>
        <w:jc w:val="both"/>
        <w:rPr>
          <w:rFonts w:ascii="Arial" w:eastAsia="Times New Roman" w:hAnsi="Arial" w:cs="Arial"/>
          <w:szCs w:val="24"/>
          <w:lang w:val="es-ES_tradnl" w:eastAsia="es-ES_tradnl"/>
        </w:rPr>
      </w:pPr>
      <w:r w:rsidRPr="009303FD">
        <w:rPr>
          <w:rFonts w:ascii="Arial" w:eastAsia="Times New Roman" w:hAnsi="Arial" w:cs="Arial"/>
          <w:szCs w:val="24"/>
          <w:lang w:val="es-ES_tradnl" w:eastAsia="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D46CC11" w14:textId="77777777" w:rsidR="009261E4" w:rsidRPr="009303FD" w:rsidRDefault="009261E4" w:rsidP="009261E4">
      <w:pPr>
        <w:spacing w:after="120" w:line="276" w:lineRule="auto"/>
        <w:jc w:val="both"/>
        <w:rPr>
          <w:rFonts w:ascii="Arial" w:eastAsia="Times New Roman" w:hAnsi="Arial" w:cs="Arial"/>
          <w:lang w:eastAsia="es-ES_tradnl"/>
        </w:rPr>
      </w:pPr>
    </w:p>
    <w:bookmarkEnd w:id="1"/>
    <w:p w14:paraId="000F89A9" w14:textId="77777777" w:rsidR="009261E4" w:rsidRPr="009303FD" w:rsidRDefault="009261E4" w:rsidP="009261E4">
      <w:pPr>
        <w:spacing w:before="120" w:after="0" w:line="276" w:lineRule="auto"/>
        <w:jc w:val="both"/>
        <w:rPr>
          <w:rFonts w:ascii="Arial" w:hAnsi="Arial" w:cs="Arial"/>
          <w:lang w:val="es-ES_tradnl"/>
        </w:rPr>
      </w:pPr>
      <w:r w:rsidRPr="009303FD">
        <w:rPr>
          <w:rFonts w:ascii="Arial" w:hAnsi="Arial" w:cs="Arial"/>
          <w:lang w:val="es-ES_tradnl"/>
        </w:rPr>
        <w:t>Atentamente,</w:t>
      </w:r>
    </w:p>
    <w:p w14:paraId="6F20D7EE" w14:textId="77777777" w:rsidR="009261E4" w:rsidRPr="009303FD" w:rsidRDefault="009261E4" w:rsidP="009261E4">
      <w:pPr>
        <w:spacing w:after="0"/>
        <w:rPr>
          <w:rFonts w:ascii="Arial" w:hAnsi="Arial" w:cs="Arial"/>
        </w:rPr>
      </w:pPr>
    </w:p>
    <w:p w14:paraId="5A08C6DD" w14:textId="6996E4F8" w:rsidR="00FD72B7" w:rsidRDefault="00806658" w:rsidP="00FD72B7">
      <w:pPr>
        <w:spacing w:after="0"/>
        <w:jc w:val="center"/>
        <w:rPr>
          <w:rFonts w:ascii="Century Gothic" w:hAnsi="Century Gothic"/>
          <w:b/>
          <w:bCs/>
          <w:lang w:val="es-MX"/>
        </w:rPr>
      </w:pPr>
      <w:r>
        <w:rPr>
          <w:rFonts w:ascii="Century Gothic" w:hAnsi="Century Gothic"/>
          <w:b/>
          <w:bCs/>
          <w:noProof/>
          <w:lang w:val="es-MX"/>
        </w:rPr>
        <w:lastRenderedPageBreak/>
        <w:drawing>
          <wp:inline distT="0" distB="0" distL="0" distR="0" wp14:anchorId="5CDAED5C" wp14:editId="55D0D882">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p w14:paraId="1DC1E813" w14:textId="77777777" w:rsidR="00FD72B7" w:rsidRDefault="00FD72B7" w:rsidP="00FD72B7">
      <w:pPr>
        <w:spacing w:after="0"/>
        <w:jc w:val="center"/>
        <w:rPr>
          <w:rFonts w:ascii="Century Gothic" w:hAnsi="Century Gothic"/>
          <w:b/>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FD72B7" w14:paraId="6F8DEE6A" w14:textId="77777777" w:rsidTr="3F7A502F">
        <w:trPr>
          <w:trHeight w:val="315"/>
        </w:trPr>
        <w:tc>
          <w:tcPr>
            <w:tcW w:w="812" w:type="dxa"/>
            <w:vAlign w:val="center"/>
            <w:hideMark/>
          </w:tcPr>
          <w:p w14:paraId="32F0E7EF" w14:textId="77777777" w:rsidR="00FD72B7" w:rsidRDefault="00FD72B7">
            <w:pPr>
              <w:rPr>
                <w:rFonts w:ascii="Arial" w:eastAsia="Times New Roman" w:hAnsi="Arial" w:cs="Arial"/>
                <w:sz w:val="14"/>
                <w:szCs w:val="14"/>
                <w:lang w:val="es-ES" w:eastAsia="es-ES"/>
              </w:rPr>
            </w:pPr>
            <w:r>
              <w:rPr>
                <w:rFonts w:ascii="Arial" w:eastAsia="Times New Roman" w:hAnsi="Arial"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5EFE9D28" w14:textId="77777777" w:rsidR="00FD72B7" w:rsidRDefault="00FD72B7">
            <w:pPr>
              <w:jc w:val="both"/>
              <w:rPr>
                <w:rFonts w:ascii="Arial" w:eastAsia="Times New Roman" w:hAnsi="Arial" w:cs="Arial"/>
                <w:sz w:val="14"/>
                <w:szCs w:val="14"/>
                <w:lang w:val="es-ES" w:eastAsia="es-ES"/>
              </w:rPr>
            </w:pPr>
            <w:r>
              <w:rPr>
                <w:rFonts w:ascii="Arial" w:eastAsia="Times New Roman" w:hAnsi="Arial" w:cs="Arial"/>
                <w:sz w:val="14"/>
                <w:szCs w:val="14"/>
                <w:lang w:val="es-ES" w:eastAsia="es-ES"/>
              </w:rPr>
              <w:t>Diana Carolina Blanco Rodríguez</w:t>
            </w:r>
          </w:p>
          <w:p w14:paraId="68DFDF7F" w14:textId="77777777" w:rsidR="00FD72B7" w:rsidRDefault="00FD72B7">
            <w:pPr>
              <w:jc w:val="both"/>
              <w:rPr>
                <w:rFonts w:ascii="Arial" w:eastAsia="Times New Roman" w:hAnsi="Arial" w:cs="Arial"/>
                <w:sz w:val="14"/>
                <w:szCs w:val="14"/>
                <w:lang w:val="es-ES" w:eastAsia="es-ES"/>
              </w:rPr>
            </w:pPr>
            <w:r>
              <w:rPr>
                <w:rFonts w:ascii="Arial" w:eastAsia="Times New Roman" w:hAnsi="Arial" w:cs="Arial"/>
                <w:sz w:val="14"/>
                <w:szCs w:val="14"/>
                <w:lang w:val="es-ES" w:eastAsia="es-ES"/>
              </w:rPr>
              <w:t>Contratista de la Subdirección de Gestión Contractual</w:t>
            </w:r>
          </w:p>
        </w:tc>
      </w:tr>
      <w:tr w:rsidR="00FD72B7" w14:paraId="19B6D54C" w14:textId="77777777" w:rsidTr="3F7A502F">
        <w:trPr>
          <w:trHeight w:val="330"/>
        </w:trPr>
        <w:tc>
          <w:tcPr>
            <w:tcW w:w="812" w:type="dxa"/>
            <w:vAlign w:val="center"/>
            <w:hideMark/>
          </w:tcPr>
          <w:p w14:paraId="33004C33" w14:textId="77777777" w:rsidR="00FD72B7" w:rsidRDefault="00FD72B7">
            <w:pPr>
              <w:rPr>
                <w:rFonts w:ascii="Arial" w:eastAsia="Times New Roman" w:hAnsi="Arial" w:cs="Arial"/>
                <w:sz w:val="14"/>
                <w:szCs w:val="14"/>
                <w:lang w:val="es-ES" w:eastAsia="es-ES"/>
              </w:rPr>
            </w:pPr>
            <w:r>
              <w:rPr>
                <w:rFonts w:ascii="Arial" w:eastAsia="Times New Roman" w:hAnsi="Arial" w:cs="Arial"/>
                <w:sz w:val="14"/>
                <w:szCs w:val="14"/>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2D780563" w14:textId="77777777" w:rsidR="00FD72B7" w:rsidRDefault="00FD72B7">
            <w:pPr>
              <w:rPr>
                <w:rFonts w:ascii="Arial" w:eastAsia="Times New Roman" w:hAnsi="Arial" w:cs="Arial"/>
                <w:sz w:val="14"/>
                <w:szCs w:val="14"/>
                <w:lang w:val="es-ES" w:eastAsia="es-CO"/>
              </w:rPr>
            </w:pPr>
            <w:r>
              <w:rPr>
                <w:rFonts w:ascii="Arial" w:eastAsia="Times New Roman" w:hAnsi="Arial" w:cs="Arial"/>
                <w:sz w:val="14"/>
                <w:szCs w:val="14"/>
                <w:lang w:val="es-ES" w:eastAsia="es-CO"/>
              </w:rPr>
              <w:t>Martha Alicia Romero Vargas</w:t>
            </w:r>
          </w:p>
          <w:p w14:paraId="0BDE8477" w14:textId="6708B05D" w:rsidR="00FD72B7" w:rsidRDefault="00FD72B7" w:rsidP="3F7A502F">
            <w:pPr>
              <w:rPr>
                <w:rFonts w:ascii="Arial" w:eastAsia="Times New Roman" w:hAnsi="Arial" w:cs="Arial"/>
                <w:sz w:val="14"/>
                <w:szCs w:val="14"/>
                <w:lang w:val="es-ES" w:eastAsia="es-ES"/>
              </w:rPr>
            </w:pPr>
            <w:r w:rsidRPr="3F7A502F">
              <w:rPr>
                <w:rFonts w:ascii="Arial" w:eastAsia="Times New Roman" w:hAnsi="Arial" w:cs="Arial"/>
                <w:sz w:val="14"/>
                <w:szCs w:val="14"/>
                <w:lang w:val="es-ES" w:eastAsia="es-CO"/>
              </w:rPr>
              <w:t>Gestor T1 ‒ 15 de la Subdirección de Gestión Contractual</w:t>
            </w:r>
          </w:p>
          <w:p w14:paraId="71F1FF9C" w14:textId="16F9339D" w:rsidR="00FD72B7" w:rsidRDefault="0497D2DD" w:rsidP="3F7A502F">
            <w:pPr>
              <w:rPr>
                <w:rFonts w:ascii="Arial" w:eastAsia="Times New Roman" w:hAnsi="Arial" w:cs="Arial"/>
                <w:sz w:val="14"/>
                <w:szCs w:val="14"/>
                <w:lang w:val="es-ES" w:eastAsia="es-CO"/>
              </w:rPr>
            </w:pPr>
            <w:r w:rsidRPr="3F7A502F">
              <w:rPr>
                <w:rFonts w:ascii="Arial" w:eastAsia="Times New Roman" w:hAnsi="Arial" w:cs="Arial"/>
                <w:sz w:val="14"/>
                <w:szCs w:val="14"/>
                <w:lang w:val="es-ES" w:eastAsia="es-CO"/>
              </w:rPr>
              <w:t>Gabriel Mendoza</w:t>
            </w:r>
          </w:p>
          <w:p w14:paraId="70737E07" w14:textId="7DF61BDD" w:rsidR="00FD72B7" w:rsidRDefault="0497D2DD" w:rsidP="3F7A502F">
            <w:pPr>
              <w:rPr>
                <w:rFonts w:ascii="Arial" w:eastAsia="Times New Roman" w:hAnsi="Arial" w:cs="Arial"/>
                <w:sz w:val="14"/>
                <w:szCs w:val="14"/>
                <w:lang w:val="es-ES" w:eastAsia="es-CO"/>
              </w:rPr>
            </w:pPr>
            <w:r w:rsidRPr="3F7A502F">
              <w:rPr>
                <w:rFonts w:ascii="Arial" w:eastAsia="Times New Roman" w:hAnsi="Arial" w:cs="Arial"/>
                <w:sz w:val="14"/>
                <w:szCs w:val="14"/>
                <w:lang w:val="es-ES" w:eastAsia="es-CO"/>
              </w:rPr>
              <w:t>Contratista de la Subdirección de Gestión Contractual</w:t>
            </w:r>
          </w:p>
        </w:tc>
      </w:tr>
      <w:tr w:rsidR="00FD72B7" w14:paraId="316A2062" w14:textId="77777777" w:rsidTr="3F7A502F">
        <w:trPr>
          <w:trHeight w:val="178"/>
        </w:trPr>
        <w:tc>
          <w:tcPr>
            <w:tcW w:w="812" w:type="dxa"/>
            <w:vAlign w:val="center"/>
            <w:hideMark/>
          </w:tcPr>
          <w:p w14:paraId="162176BD" w14:textId="77777777" w:rsidR="00FD72B7" w:rsidRDefault="00FD72B7">
            <w:pPr>
              <w:rPr>
                <w:rFonts w:ascii="Arial" w:eastAsia="Times New Roman" w:hAnsi="Arial" w:cs="Arial"/>
                <w:sz w:val="14"/>
                <w:szCs w:val="14"/>
                <w:lang w:val="es-ES" w:eastAsia="es-ES"/>
              </w:rPr>
            </w:pPr>
            <w:r>
              <w:rPr>
                <w:rFonts w:ascii="Arial" w:eastAsia="Times New Roman" w:hAnsi="Arial"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1CD4F7FF" w14:textId="77777777" w:rsidR="00FD72B7" w:rsidRDefault="00FD72B7">
            <w:pPr>
              <w:textAlignment w:val="baseline"/>
              <w:rPr>
                <w:rFonts w:ascii="Arial" w:eastAsia="Times New Roman" w:hAnsi="Arial" w:cs="Arial"/>
                <w:sz w:val="14"/>
                <w:szCs w:val="14"/>
                <w:lang w:val="es-ES" w:eastAsia="es-CO"/>
              </w:rPr>
            </w:pPr>
            <w:r>
              <w:rPr>
                <w:rFonts w:ascii="Arial" w:eastAsia="Times New Roman" w:hAnsi="Arial" w:cs="Arial"/>
                <w:sz w:val="14"/>
                <w:szCs w:val="14"/>
                <w:lang w:val="es-ES" w:eastAsia="es-CO"/>
              </w:rPr>
              <w:t xml:space="preserve">Nohelia del Carmen </w:t>
            </w:r>
            <w:proofErr w:type="spellStart"/>
            <w:r>
              <w:rPr>
                <w:rFonts w:ascii="Arial" w:eastAsia="Times New Roman" w:hAnsi="Arial" w:cs="Arial"/>
                <w:sz w:val="14"/>
                <w:szCs w:val="14"/>
                <w:lang w:val="es-ES" w:eastAsia="es-CO"/>
              </w:rPr>
              <w:t>Zawady</w:t>
            </w:r>
            <w:proofErr w:type="spellEnd"/>
            <w:r>
              <w:rPr>
                <w:rFonts w:ascii="Arial" w:eastAsia="Times New Roman" w:hAnsi="Arial" w:cs="Arial"/>
                <w:sz w:val="14"/>
                <w:szCs w:val="14"/>
                <w:lang w:val="es-ES" w:eastAsia="es-CO"/>
              </w:rPr>
              <w:t xml:space="preserve"> Palacio</w:t>
            </w:r>
          </w:p>
          <w:p w14:paraId="313AA21E" w14:textId="77777777" w:rsidR="00FD72B7" w:rsidRDefault="00FD72B7">
            <w:pPr>
              <w:rPr>
                <w:rFonts w:ascii="Arial" w:eastAsia="Times New Roman" w:hAnsi="Arial" w:cs="Arial"/>
                <w:sz w:val="14"/>
                <w:szCs w:val="14"/>
                <w:lang w:val="es-ES" w:eastAsia="es-ES"/>
              </w:rPr>
            </w:pPr>
            <w:r>
              <w:rPr>
                <w:rFonts w:ascii="Arial" w:eastAsia="Times New Roman" w:hAnsi="Arial" w:cs="Arial"/>
                <w:sz w:val="14"/>
                <w:szCs w:val="14"/>
                <w:lang w:val="es-ES" w:eastAsia="es-ES"/>
              </w:rPr>
              <w:t>Subdirectora de Gestión Contractual ANCP – CCE</w:t>
            </w:r>
          </w:p>
        </w:tc>
      </w:tr>
    </w:tbl>
    <w:p w14:paraId="4F690E04" w14:textId="77777777" w:rsidR="00FD72B7" w:rsidRPr="00C330EB" w:rsidRDefault="00FD72B7" w:rsidP="00FD72B7">
      <w:pPr>
        <w:spacing w:after="0"/>
        <w:jc w:val="center"/>
        <w:rPr>
          <w:rFonts w:ascii="Century Gothic" w:hAnsi="Century Gothic"/>
          <w:b/>
          <w:bCs/>
          <w:lang w:val="es-MX"/>
        </w:rPr>
      </w:pPr>
    </w:p>
    <w:p w14:paraId="21C4051F" w14:textId="77777777" w:rsidR="00322A85" w:rsidRPr="00322A85" w:rsidRDefault="00322A85" w:rsidP="00322A85">
      <w:pPr>
        <w:spacing w:after="0" w:line="240" w:lineRule="auto"/>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78053B45" w14:textId="77777777" w:rsidR="00322A85" w:rsidRPr="00322A85" w:rsidRDefault="00322A85" w:rsidP="00322A85">
      <w:pPr>
        <w:spacing w:after="0" w:line="240" w:lineRule="auto"/>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0F293BF4" w14:textId="7BBFAB11" w:rsidR="00127233" w:rsidRPr="00322A85" w:rsidRDefault="00127233" w:rsidP="00665D70">
      <w:pPr>
        <w:spacing w:after="0"/>
        <w:jc w:val="both"/>
        <w:rPr>
          <w:rFonts w:ascii="Century Gothic" w:hAnsi="Century Gothic"/>
        </w:rPr>
      </w:pPr>
    </w:p>
    <w:sectPr w:rsidR="00127233"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ED84" w14:textId="77777777" w:rsidR="00F80406" w:rsidRDefault="00F80406" w:rsidP="004A1847">
      <w:pPr>
        <w:spacing w:after="0" w:line="240" w:lineRule="auto"/>
      </w:pPr>
      <w:r>
        <w:separator/>
      </w:r>
    </w:p>
  </w:endnote>
  <w:endnote w:type="continuationSeparator" w:id="0">
    <w:p w14:paraId="65962F08" w14:textId="77777777" w:rsidR="00F80406" w:rsidRDefault="00F80406" w:rsidP="004A1847">
      <w:pPr>
        <w:spacing w:after="0" w:line="240" w:lineRule="auto"/>
      </w:pPr>
      <w:r>
        <w:continuationSeparator/>
      </w:r>
    </w:p>
  </w:endnote>
  <w:endnote w:type="continuationNotice" w:id="1">
    <w:p w14:paraId="3DF6A287" w14:textId="77777777" w:rsidR="00F80406" w:rsidRDefault="00F80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6416" w14:textId="77777777" w:rsidR="00F80406" w:rsidRDefault="00F80406" w:rsidP="004A1847">
      <w:pPr>
        <w:spacing w:after="0" w:line="240" w:lineRule="auto"/>
      </w:pPr>
      <w:r>
        <w:separator/>
      </w:r>
    </w:p>
  </w:footnote>
  <w:footnote w:type="continuationSeparator" w:id="0">
    <w:p w14:paraId="54FCF578" w14:textId="77777777" w:rsidR="00F80406" w:rsidRDefault="00F80406" w:rsidP="004A1847">
      <w:pPr>
        <w:spacing w:after="0" w:line="240" w:lineRule="auto"/>
      </w:pPr>
      <w:r>
        <w:continuationSeparator/>
      </w:r>
    </w:p>
  </w:footnote>
  <w:footnote w:type="continuationNotice" w:id="1">
    <w:p w14:paraId="50D94192" w14:textId="77777777" w:rsidR="00F80406" w:rsidRDefault="00F80406">
      <w:pPr>
        <w:spacing w:after="0" w:line="240" w:lineRule="auto"/>
      </w:pPr>
    </w:p>
  </w:footnote>
  <w:footnote w:id="2">
    <w:p w14:paraId="48A3A898" w14:textId="77777777" w:rsidR="009261E4" w:rsidRPr="007D5D5B" w:rsidRDefault="009261E4" w:rsidP="009261E4">
      <w:pPr>
        <w:pStyle w:val="Textonotapie"/>
        <w:ind w:firstLine="708"/>
        <w:jc w:val="both"/>
        <w:rPr>
          <w:rFonts w:ascii="Arial" w:hAnsi="Arial" w:cs="Arial"/>
          <w:sz w:val="16"/>
          <w:szCs w:val="16"/>
        </w:rPr>
      </w:pPr>
      <w:r w:rsidRPr="007D5D5B">
        <w:rPr>
          <w:rStyle w:val="Refdenotaalpie"/>
          <w:rFonts w:ascii="Arial" w:hAnsi="Arial" w:cs="Arial"/>
          <w:sz w:val="16"/>
          <w:szCs w:val="16"/>
        </w:rPr>
        <w:footnoteRef/>
      </w:r>
      <w:r w:rsidRPr="007D5D5B">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D5D5B">
        <w:rPr>
          <w:rFonts w:ascii="Arial" w:hAnsi="Arial" w:cs="Arial"/>
          <w:i/>
          <w:iCs/>
          <w:sz w:val="16"/>
          <w:szCs w:val="16"/>
        </w:rPr>
        <w:t xml:space="preserve">ibidem </w:t>
      </w:r>
      <w:r w:rsidRPr="007D5D5B">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7D5D5B">
        <w:rPr>
          <w:rFonts w:ascii="Arial" w:hAnsi="Arial" w:cs="Arial"/>
          <w:sz w:val="16"/>
          <w:szCs w:val="16"/>
        </w:rPr>
        <w:t>bsolver</w:t>
      </w:r>
      <w:proofErr w:type="spellEnd"/>
      <w:r w:rsidRPr="007D5D5B">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D5D5B">
        <w:rPr>
          <w:rFonts w:ascii="Arial" w:hAnsi="Arial" w:cs="Arial"/>
          <w:sz w:val="16"/>
          <w:szCs w:val="16"/>
        </w:rPr>
        <w:t>bsolver</w:t>
      </w:r>
      <w:proofErr w:type="spellEnd"/>
      <w:r w:rsidRPr="007D5D5B">
        <w:rPr>
          <w:rFonts w:ascii="Arial" w:hAnsi="Arial" w:cs="Arial"/>
          <w:sz w:val="16"/>
          <w:szCs w:val="16"/>
        </w:rPr>
        <w:t xml:space="preserve"> consultas sobre la aplicación de normas de carácter general”</w:t>
      </w:r>
    </w:p>
    <w:p w14:paraId="4987B1E6" w14:textId="77777777" w:rsidR="009261E4" w:rsidRPr="00AB6A8B" w:rsidRDefault="009261E4" w:rsidP="009261E4">
      <w:pPr>
        <w:pStyle w:val="Textonotapie"/>
        <w:ind w:firstLine="708"/>
        <w:jc w:val="both"/>
        <w:rPr>
          <w:rFonts w:ascii="Arial" w:hAnsi="Arial" w:cs="Arial"/>
          <w:sz w:val="18"/>
          <w:szCs w:val="18"/>
          <w:lang w:val="es-ES"/>
        </w:rPr>
      </w:pPr>
    </w:p>
  </w:footnote>
  <w:footnote w:id="3">
    <w:p w14:paraId="75C0A6DC" w14:textId="77777777" w:rsidR="009261E4" w:rsidRPr="007B11E9" w:rsidRDefault="009261E4" w:rsidP="009261E4">
      <w:pPr>
        <w:pStyle w:val="Textonotapie"/>
        <w:ind w:firstLine="708"/>
        <w:jc w:val="both"/>
        <w:rPr>
          <w:rFonts w:ascii="Arial" w:hAnsi="Arial" w:cs="Arial"/>
          <w:sz w:val="16"/>
          <w:szCs w:val="16"/>
          <w:lang w:val="es-ES"/>
        </w:rPr>
      </w:pPr>
      <w:r w:rsidRPr="007B11E9">
        <w:rPr>
          <w:rStyle w:val="Refdenotaalpie"/>
          <w:rFonts w:ascii="Arial" w:hAnsi="Arial" w:cs="Arial"/>
          <w:sz w:val="16"/>
          <w:szCs w:val="16"/>
        </w:rPr>
        <w:footnoteRef/>
      </w:r>
      <w:r w:rsidRPr="007B11E9">
        <w:rPr>
          <w:rFonts w:ascii="Arial" w:hAnsi="Arial" w:cs="Arial"/>
          <w:sz w:val="16"/>
          <w:szCs w:val="16"/>
        </w:rPr>
        <w:t xml:space="preserve"> Estos conceptos pueden ser consultados en la relatoría de Colombia Compra Eficiente en el siguiente enlace:  </w:t>
      </w:r>
      <w:hyperlink r:id="rId1" w:history="1">
        <w:r w:rsidRPr="007B11E9">
          <w:rPr>
            <w:rStyle w:val="Hipervnculo1"/>
            <w:rFonts w:ascii="Arial" w:hAnsi="Arial" w:cs="Arial"/>
            <w:sz w:val="16"/>
            <w:szCs w:val="16"/>
          </w:rPr>
          <w:t>http://relatoria.colombiacompra.gov.co/busqueda/conceptos</w:t>
        </w:r>
      </w:hyperlink>
    </w:p>
  </w:footnote>
  <w:footnote w:id="4">
    <w:p w14:paraId="7ACE2BBF" w14:textId="77777777" w:rsidR="009261E4" w:rsidRPr="007B11E9" w:rsidRDefault="009261E4" w:rsidP="009261E4">
      <w:pPr>
        <w:pStyle w:val="Textonotapie"/>
        <w:ind w:firstLine="708"/>
        <w:jc w:val="both"/>
        <w:rPr>
          <w:rFonts w:ascii="Arial" w:hAnsi="Arial" w:cs="Arial"/>
          <w:sz w:val="16"/>
          <w:szCs w:val="16"/>
        </w:rPr>
      </w:pPr>
      <w:r w:rsidRPr="007B11E9">
        <w:rPr>
          <w:rStyle w:val="Refdenotaalpie"/>
          <w:rFonts w:ascii="Arial" w:hAnsi="Arial" w:cs="Arial"/>
          <w:sz w:val="16"/>
          <w:szCs w:val="16"/>
        </w:rPr>
        <w:footnoteRef/>
      </w:r>
      <w:r w:rsidRPr="007B11E9">
        <w:rPr>
          <w:rFonts w:ascii="Arial" w:hAnsi="Arial" w:cs="Arial"/>
          <w:sz w:val="16"/>
          <w:szCs w:val="16"/>
        </w:rPr>
        <w:t xml:space="preserve"> </w:t>
      </w:r>
      <w:r w:rsidRPr="007B11E9">
        <w:rPr>
          <w:rFonts w:ascii="Arial" w:hAnsi="Arial" w:cs="Arial"/>
          <w:color w:val="000000" w:themeColor="text1"/>
          <w:sz w:val="16"/>
          <w:szCs w:val="16"/>
        </w:rPr>
        <w:t>Sin perjuicio de lo que se desarrollará posteriormente frente a subasta inversa en la selección abreviada para la adquisición de bienes y servicios de características técnicas uniformes y de común utilización.</w:t>
      </w:r>
    </w:p>
    <w:p w14:paraId="527138E5" w14:textId="77777777" w:rsidR="009261E4" w:rsidRPr="000170B8" w:rsidRDefault="009261E4" w:rsidP="009261E4">
      <w:pPr>
        <w:pStyle w:val="Textonotapie"/>
        <w:ind w:firstLine="708"/>
        <w:jc w:val="both"/>
        <w:rPr>
          <w:rFonts w:ascii="Arial" w:hAnsi="Arial" w:cs="Arial"/>
          <w:sz w:val="19"/>
          <w:szCs w:val="19"/>
          <w:lang w:val="es-CO"/>
        </w:rPr>
      </w:pPr>
      <w:r w:rsidRPr="000170B8">
        <w:rPr>
          <w:rFonts w:ascii="Arial" w:hAnsi="Arial" w:cs="Arial"/>
          <w:sz w:val="19"/>
          <w:szCs w:val="19"/>
        </w:rPr>
        <w:t xml:space="preserve"> </w:t>
      </w:r>
    </w:p>
  </w:footnote>
  <w:footnote w:id="5">
    <w:p w14:paraId="5CA0826E" w14:textId="77777777" w:rsidR="009261E4" w:rsidRPr="007B11E9" w:rsidRDefault="009261E4" w:rsidP="009261E4">
      <w:pPr>
        <w:pStyle w:val="Textonotapie"/>
        <w:ind w:firstLine="709"/>
        <w:jc w:val="both"/>
        <w:rPr>
          <w:rFonts w:ascii="Arial" w:hAnsi="Arial" w:cs="Arial"/>
          <w:color w:val="000000" w:themeColor="text1"/>
          <w:sz w:val="16"/>
          <w:szCs w:val="16"/>
        </w:rPr>
      </w:pPr>
      <w:r w:rsidRPr="007B11E9">
        <w:rPr>
          <w:rStyle w:val="Refdenotaalpie"/>
          <w:rFonts w:ascii="Arial" w:hAnsi="Arial" w:cs="Arial"/>
          <w:color w:val="000000" w:themeColor="text1"/>
          <w:sz w:val="16"/>
          <w:szCs w:val="16"/>
        </w:rPr>
        <w:footnoteRef/>
      </w:r>
      <w:r w:rsidRPr="007B11E9">
        <w:rPr>
          <w:rFonts w:ascii="Arial" w:hAnsi="Arial" w:cs="Arial"/>
          <w:color w:val="000000" w:themeColor="text1"/>
          <w:sz w:val="16"/>
          <w:szCs w:val="16"/>
        </w:rPr>
        <w:t xml:space="preserve"> Sentencia C-713 del 7 de octubre de 2009. </w:t>
      </w:r>
    </w:p>
    <w:p w14:paraId="14B89C9E" w14:textId="77777777" w:rsidR="009261E4" w:rsidRPr="007B11E9" w:rsidRDefault="009261E4" w:rsidP="009261E4">
      <w:pPr>
        <w:pStyle w:val="Textonotapie"/>
        <w:ind w:firstLine="709"/>
        <w:jc w:val="both"/>
        <w:rPr>
          <w:rFonts w:ascii="Arial" w:hAnsi="Arial" w:cs="Arial"/>
          <w:color w:val="000000" w:themeColor="text1"/>
          <w:sz w:val="16"/>
          <w:szCs w:val="16"/>
          <w:lang w:val="es-ES"/>
        </w:rPr>
      </w:pPr>
    </w:p>
  </w:footnote>
  <w:footnote w:id="6">
    <w:p w14:paraId="095D0709" w14:textId="77777777" w:rsidR="009261E4" w:rsidRPr="007B11E9"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sidRPr="007B11E9">
        <w:rPr>
          <w:rStyle w:val="Refdenotaalpie"/>
          <w:rFonts w:ascii="Arial" w:hAnsi="Arial" w:cs="Arial"/>
          <w:color w:val="000000" w:themeColor="text1"/>
          <w:sz w:val="16"/>
          <w:szCs w:val="16"/>
        </w:rPr>
        <w:footnoteRef/>
      </w:r>
      <w:r w:rsidRPr="007B11E9">
        <w:rPr>
          <w:rFonts w:ascii="Arial" w:hAnsi="Arial" w:cs="Arial"/>
          <w:color w:val="000000" w:themeColor="text1"/>
          <w:sz w:val="16"/>
          <w:szCs w:val="16"/>
          <w:lang w:val="es-ES"/>
        </w:rPr>
        <w:t xml:space="preserve"> Artículo 2.2.1.2.1.1.1 Decreto 1082 de 2015 </w:t>
      </w:r>
      <w:r>
        <w:rPr>
          <w:rFonts w:ascii="Arial" w:hAnsi="Arial" w:cs="Arial"/>
          <w:color w:val="000000" w:themeColor="text1"/>
          <w:sz w:val="16"/>
          <w:szCs w:val="16"/>
          <w:lang w:val="es-ES"/>
        </w:rPr>
        <w:t>“</w:t>
      </w:r>
      <w:r w:rsidRPr="007B11E9">
        <w:rPr>
          <w:rFonts w:ascii="Arial" w:hAnsi="Arial" w:cs="Arial"/>
          <w:color w:val="000000" w:themeColor="text1"/>
          <w:sz w:val="16"/>
          <w:szCs w:val="16"/>
          <w:lang w:val="es-ES"/>
        </w:rPr>
        <w:t xml:space="preserve">[…] </w:t>
      </w:r>
      <w:r w:rsidRPr="007B11E9">
        <w:rPr>
          <w:rFonts w:ascii="Arial" w:hAnsi="Arial" w:cs="Arial"/>
          <w:color w:val="000000" w:themeColor="text1"/>
          <w:sz w:val="16"/>
          <w:szCs w:val="16"/>
        </w:rPr>
        <w:t>En la fecha señalada en los pliegos de condiciones, los oferentes deben presentar los documentos que acrediten los requisitos habilitantes requeridos por la Entidad Estatal. En el caso de una conformación dinámica parcial de la oferta, a los documentos señalados se acompañará el componente de la oferta que no es objeto de conformación dinámica.</w:t>
      </w:r>
    </w:p>
    <w:p w14:paraId="50E38922" w14:textId="77777777" w:rsidR="009261E4" w:rsidRPr="007B11E9" w:rsidRDefault="009261E4" w:rsidP="009261E4">
      <w:pPr>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7B11E9">
        <w:rPr>
          <w:rFonts w:ascii="Arial" w:hAnsi="Arial" w:cs="Arial"/>
          <w:color w:val="000000" w:themeColor="text1"/>
          <w:sz w:val="16"/>
          <w:szCs w:val="16"/>
        </w:rPr>
        <w:t>La Entidad Estatal dentro del plazo previsto en los pliegos de condiciones debe verificar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w:t>
      </w:r>
    </w:p>
    <w:p w14:paraId="4410C547" w14:textId="77777777" w:rsidR="009261E4" w:rsidRPr="007B11E9" w:rsidRDefault="009261E4" w:rsidP="009261E4">
      <w:pPr>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7B11E9">
        <w:rPr>
          <w:rFonts w:ascii="Arial" w:hAnsi="Arial" w:cs="Arial"/>
          <w:color w:val="000000" w:themeColor="text1"/>
          <w:sz w:val="16"/>
          <w:szCs w:val="16"/>
        </w:rPr>
        <w:t>En la subasta, los oferentes deben presentar su oferta inicial con las variables dinámicas, de conformidad con los pliegos de condiciones, la cual puede ser mejorada con los Lances hasta la conformación de la oferta definitiva.</w:t>
      </w:r>
    </w:p>
    <w:p w14:paraId="526D0C29" w14:textId="77777777" w:rsidR="009261E4" w:rsidRPr="007B11E9" w:rsidRDefault="009261E4" w:rsidP="009261E4">
      <w:pPr>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7B11E9">
        <w:rPr>
          <w:rFonts w:ascii="Arial" w:hAnsi="Arial" w:cs="Arial"/>
          <w:color w:val="000000" w:themeColor="text1"/>
          <w:sz w:val="16"/>
          <w:szCs w:val="16"/>
        </w:rPr>
        <w:t>Se tomará como definitiva la oferta inicial realizada por el oferente que no presente Lances en la subasta.</w:t>
      </w:r>
    </w:p>
    <w:p w14:paraId="3C7852CB" w14:textId="77777777" w:rsidR="009261E4" w:rsidRPr="007B11E9" w:rsidRDefault="009261E4" w:rsidP="009261E4">
      <w:pPr>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7B11E9">
        <w:rPr>
          <w:rFonts w:ascii="Arial" w:hAnsi="Arial" w:cs="Arial"/>
          <w:color w:val="000000" w:themeColor="text1"/>
          <w:sz w:val="16"/>
          <w:szCs w:val="16"/>
        </w:rPr>
        <w:t>En ningún caso el precio será la única variable sometida a conformación dinámica.</w:t>
      </w:r>
    </w:p>
    <w:p w14:paraId="6F0CFDAD" w14:textId="77777777" w:rsidR="009261E4" w:rsidRPr="007B11E9" w:rsidRDefault="009261E4" w:rsidP="009261E4">
      <w:pPr>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7B11E9">
        <w:rPr>
          <w:rFonts w:ascii="Arial" w:hAnsi="Arial" w:cs="Arial"/>
          <w:color w:val="000000" w:themeColor="text1"/>
          <w:sz w:val="16"/>
          <w:szCs w:val="16"/>
        </w:rPr>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p>
    <w:p w14:paraId="606CBE12" w14:textId="77777777" w:rsidR="009261E4" w:rsidRPr="007B11E9" w:rsidRDefault="009261E4" w:rsidP="009261E4">
      <w:pPr>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7B11E9">
        <w:rPr>
          <w:rFonts w:ascii="Arial" w:hAnsi="Arial" w:cs="Arial"/>
          <w:color w:val="000000" w:themeColor="text1"/>
          <w:sz w:val="16"/>
          <w:szCs w:val="16"/>
        </w:rPr>
        <w:t xml:space="preserve">De lo acontecido en la subasta, se levantará un acta donde se dejarán todas las constancias del caso». </w:t>
      </w:r>
    </w:p>
    <w:p w14:paraId="46C4ABDB" w14:textId="77777777" w:rsidR="009261E4" w:rsidRPr="003B0802" w:rsidRDefault="009261E4" w:rsidP="009261E4">
      <w:pPr>
        <w:ind w:firstLine="709"/>
        <w:jc w:val="both"/>
        <w:rPr>
          <w:rFonts w:ascii="Arial" w:hAnsi="Arial" w:cs="Arial"/>
          <w:color w:val="333333"/>
          <w:sz w:val="19"/>
          <w:szCs w:val="19"/>
        </w:rPr>
      </w:pPr>
    </w:p>
  </w:footnote>
  <w:footnote w:id="7">
    <w:p w14:paraId="0201B8F2"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sidRPr="006652D5">
        <w:rPr>
          <w:rStyle w:val="Refdenotaalpie"/>
          <w:rFonts w:ascii="Arial" w:hAnsi="Arial" w:cs="Arial"/>
          <w:color w:val="000000" w:themeColor="text1"/>
          <w:sz w:val="16"/>
          <w:szCs w:val="16"/>
        </w:rPr>
        <w:footnoteRef/>
      </w:r>
      <w:r w:rsidRPr="006652D5">
        <w:rPr>
          <w:rFonts w:ascii="Arial" w:hAnsi="Arial" w:cs="Arial"/>
          <w:color w:val="000000" w:themeColor="text1"/>
          <w:sz w:val="16"/>
          <w:szCs w:val="16"/>
        </w:rPr>
        <w:t xml:space="preserve"> </w:t>
      </w:r>
      <w:r>
        <w:rPr>
          <w:rFonts w:ascii="Arial" w:hAnsi="Arial" w:cs="Arial"/>
          <w:color w:val="000000" w:themeColor="text1"/>
          <w:sz w:val="16"/>
          <w:szCs w:val="16"/>
        </w:rPr>
        <w:t>“</w:t>
      </w:r>
      <w:r w:rsidRPr="006652D5">
        <w:rPr>
          <w:rStyle w:val="Textoennegrita"/>
          <w:rFonts w:ascii="Arial" w:hAnsi="Arial" w:cs="Arial"/>
          <w:color w:val="000000" w:themeColor="text1"/>
          <w:sz w:val="16"/>
          <w:szCs w:val="16"/>
        </w:rPr>
        <w:t>Artículo 2.2.1.2.1.2.2. </w:t>
      </w:r>
      <w:r w:rsidRPr="006652D5">
        <w:rPr>
          <w:rStyle w:val="nfasis"/>
          <w:rFonts w:ascii="Arial" w:hAnsi="Arial" w:cs="Arial"/>
          <w:color w:val="000000" w:themeColor="text1"/>
          <w:sz w:val="16"/>
          <w:szCs w:val="16"/>
        </w:rPr>
        <w:t>Procedimiento para la subasta inversa. </w:t>
      </w:r>
      <w:r w:rsidRPr="006652D5">
        <w:rPr>
          <w:rFonts w:ascii="Arial" w:hAnsi="Arial" w:cs="Arial"/>
          <w:color w:val="000000" w:themeColor="text1"/>
          <w:sz w:val="16"/>
          <w:szCs w:val="16"/>
        </w:rPr>
        <w:t>Además de las reglas generales previstas en la ley y en el presente título, las siguientes reglas son aplicables a la subasta inversa:</w:t>
      </w:r>
    </w:p>
    <w:p w14:paraId="1720BADD"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1.    Los pliegos de condiciones deben indicar: a) la fecha y hora de inicio de la subasta; b) la periodicidad de los Lances; y c) el Margen Mínimo para mejorar la oferta durante la subasta inversa.</w:t>
      </w:r>
    </w:p>
    <w:p w14:paraId="5DAD6470"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2.    La oferta debe contener dos partes, la primera en la cual el interesado acredite su capacidad de participar en el Proceso de Contratación y acredite el cumplimiento de la ficha técnica; y la segunda parte debe contener el precio inicial propuesto por el oferente.</w:t>
      </w:r>
    </w:p>
    <w:p w14:paraId="5FF2F759"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3.    La Entidad Estatal debe publicar un informe de habilitación de los oferentes, en el cual debe indicar si los bienes o servicios ofrecidos por el interesado cumplen con la ficha técnica y si el oferente se encuentra habilitado.</w:t>
      </w:r>
    </w:p>
    <w:p w14:paraId="0708094C"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4.    Hay subasta inversa siempre que haya como mínimo dos oferentes habilitados cuyos bienes o servicios cumplen con la ficha técnica.</w:t>
      </w:r>
    </w:p>
    <w:p w14:paraId="5A5954AA"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14:paraId="3011F678"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 xml:space="preserve">6.    La subasta debe iniciar con el precio más bajo indicado por los oferentes </w:t>
      </w:r>
      <w:proofErr w:type="gramStart"/>
      <w:r w:rsidRPr="006652D5">
        <w:rPr>
          <w:rFonts w:ascii="Arial" w:hAnsi="Arial" w:cs="Arial"/>
          <w:color w:val="000000" w:themeColor="text1"/>
          <w:sz w:val="16"/>
          <w:szCs w:val="16"/>
        </w:rPr>
        <w:t>y</w:t>
      </w:r>
      <w:proofErr w:type="gramEnd"/>
      <w:r w:rsidRPr="006652D5">
        <w:rPr>
          <w:rFonts w:ascii="Arial" w:hAnsi="Arial" w:cs="Arial"/>
          <w:color w:val="000000" w:themeColor="text1"/>
          <w:sz w:val="16"/>
          <w:szCs w:val="16"/>
        </w:rPr>
        <w:t xml:space="preserve"> en consecuencia, solamente serán válidos los Lances efectuados durante la subasta inversa en los cuales la oferta sea mejorada en por lo menos el Margen Mínimo establecido.</w:t>
      </w:r>
    </w:p>
    <w:p w14:paraId="3C2924F9"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7.    Si los oferentes no presentan Lances durante la subasta, la Entidad Estatal debe adjudicar el contrato al oferente que haya presentado el precio inicial más bajo.</w:t>
      </w:r>
    </w:p>
    <w:p w14:paraId="117C33F6"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8.    Al terminar la presentación de cada Lance, la Entidad Estatal debe informar el valor del Lance más bajo.</w:t>
      </w:r>
    </w:p>
    <w:p w14:paraId="64E20D20" w14:textId="77777777" w:rsidR="009261E4" w:rsidRPr="006652D5" w:rsidRDefault="009261E4" w:rsidP="009261E4">
      <w:pPr>
        <w:pStyle w:val="NormalWeb"/>
        <w:spacing w:before="0" w:beforeAutospacing="0" w:after="0" w:afterAutospacing="0"/>
        <w:ind w:firstLine="709"/>
        <w:jc w:val="both"/>
        <w:rPr>
          <w:rFonts w:ascii="Arial" w:hAnsi="Arial" w:cs="Arial"/>
          <w:color w:val="000000" w:themeColor="text1"/>
          <w:sz w:val="16"/>
          <w:szCs w:val="16"/>
        </w:rPr>
      </w:pPr>
      <w:r>
        <w:rPr>
          <w:rFonts w:ascii="Arial" w:hAnsi="Arial" w:cs="Arial"/>
          <w:color w:val="000000" w:themeColor="text1"/>
          <w:sz w:val="16"/>
          <w:szCs w:val="16"/>
        </w:rPr>
        <w:t>“</w:t>
      </w:r>
      <w:r w:rsidRPr="006652D5">
        <w:rPr>
          <w:rFonts w:ascii="Arial" w:hAnsi="Arial" w:cs="Arial"/>
          <w:color w:val="000000" w:themeColor="text1"/>
          <w:sz w:val="16"/>
          <w:szCs w:val="16"/>
        </w:rPr>
        <w:t>9.    Si al terminar la subasta inversa hay empate, la Entidad Estatal debe seleccionar al oferente que presentó el menor precio inicial. En caso de persistir el empate la Entidad Estatal debe aplicar las reglas del numeral 1 al 5 del artículo 2.2.1.1.2.2.9 del presente decreto</w:t>
      </w:r>
      <w:r>
        <w:rPr>
          <w:rFonts w:ascii="Arial" w:hAnsi="Arial" w:cs="Arial"/>
          <w:color w:val="000000" w:themeColor="text1"/>
          <w:sz w:val="16"/>
          <w:szCs w:val="16"/>
        </w:rPr>
        <w:t>”</w:t>
      </w:r>
      <w:r w:rsidRPr="006652D5">
        <w:rPr>
          <w:rFonts w:ascii="Arial" w:hAnsi="Arial" w:cs="Arial"/>
          <w:color w:val="000000" w:themeColor="text1"/>
          <w:sz w:val="16"/>
          <w:szCs w:val="16"/>
        </w:rPr>
        <w:t>.</w:t>
      </w:r>
    </w:p>
    <w:p w14:paraId="4F1E7DA2" w14:textId="77777777" w:rsidR="009261E4" w:rsidRPr="006652D5" w:rsidRDefault="009261E4" w:rsidP="009261E4">
      <w:pPr>
        <w:pStyle w:val="Textonotapie"/>
        <w:jc w:val="both"/>
        <w:rPr>
          <w:rFonts w:ascii="Arial" w:hAnsi="Arial" w:cs="Arial"/>
          <w:sz w:val="16"/>
          <w:szCs w:val="16"/>
          <w:lang w:val="es-ES"/>
        </w:rPr>
      </w:pPr>
    </w:p>
  </w:footnote>
  <w:footnote w:id="8">
    <w:p w14:paraId="5FC6971A" w14:textId="77777777" w:rsidR="009261E4" w:rsidRPr="006652D5" w:rsidRDefault="009261E4" w:rsidP="009261E4">
      <w:pPr>
        <w:ind w:firstLine="709"/>
        <w:jc w:val="both"/>
        <w:rPr>
          <w:rFonts w:ascii="Arial" w:hAnsi="Arial" w:cs="Arial"/>
          <w:sz w:val="16"/>
          <w:szCs w:val="16"/>
        </w:rPr>
      </w:pPr>
      <w:r w:rsidRPr="006652D5">
        <w:rPr>
          <w:rStyle w:val="Refdenotaalpie"/>
          <w:rFonts w:ascii="Arial" w:hAnsi="Arial" w:cs="Arial"/>
          <w:sz w:val="16"/>
          <w:szCs w:val="16"/>
        </w:rPr>
        <w:footnoteRef/>
      </w:r>
      <w:r w:rsidRPr="006652D5">
        <w:rPr>
          <w:rFonts w:ascii="Arial" w:hAnsi="Arial" w:cs="Arial"/>
          <w:sz w:val="16"/>
          <w:szCs w:val="16"/>
        </w:rPr>
        <w:t xml:space="preserve"> </w:t>
      </w:r>
      <w:r w:rsidRPr="006652D5">
        <w:rPr>
          <w:rStyle w:val="normaltextrun"/>
          <w:rFonts w:ascii="Arial" w:hAnsi="Arial" w:cs="Arial"/>
          <w:sz w:val="16"/>
          <w:szCs w:val="16"/>
          <w:lang w:val="es-MX"/>
        </w:rPr>
        <w:t>SUÁREZ BELTRÁN,</w:t>
      </w:r>
      <w:r w:rsidRPr="006652D5">
        <w:rPr>
          <w:rStyle w:val="apple-converted-space"/>
          <w:rFonts w:ascii="Arial" w:hAnsi="Arial" w:cs="Arial"/>
          <w:sz w:val="16"/>
          <w:szCs w:val="16"/>
        </w:rPr>
        <w:t> </w:t>
      </w:r>
      <w:r w:rsidRPr="006652D5">
        <w:rPr>
          <w:rStyle w:val="normaltextrun"/>
          <w:rFonts w:ascii="Arial" w:hAnsi="Arial" w:cs="Arial"/>
          <w:sz w:val="16"/>
          <w:szCs w:val="16"/>
          <w:lang w:val="es-MX"/>
        </w:rPr>
        <w:t>Gonzalo. Estudios de derecho contractual público. Pontificia Universidad Javeriana. Bogotá: Legis, 2014.</w:t>
      </w:r>
      <w:r w:rsidRPr="006652D5">
        <w:rPr>
          <w:rStyle w:val="apple-converted-space"/>
          <w:rFonts w:ascii="Arial" w:hAnsi="Arial" w:cs="Arial"/>
          <w:sz w:val="16"/>
          <w:szCs w:val="16"/>
        </w:rPr>
        <w:t> </w:t>
      </w:r>
      <w:r w:rsidRPr="006652D5">
        <w:rPr>
          <w:rStyle w:val="normaltextrun"/>
          <w:rFonts w:ascii="Arial" w:hAnsi="Arial" w:cs="Arial"/>
          <w:sz w:val="16"/>
          <w:szCs w:val="16"/>
          <w:lang w:val="es-MX"/>
        </w:rPr>
        <w:t>p 71 y 72. Citado en: DÁVILA VINEZA, Luis Guillermo. Régimen Jurídico de la contratación estatal. 3ª ed. Legis: Bogotá, 2016. p.</w:t>
      </w:r>
      <w:r w:rsidRPr="006652D5">
        <w:rPr>
          <w:rStyle w:val="apple-converted-space"/>
          <w:rFonts w:ascii="Arial" w:hAnsi="Arial" w:cs="Arial"/>
          <w:sz w:val="16"/>
          <w:szCs w:val="16"/>
        </w:rPr>
        <w:t> </w:t>
      </w:r>
      <w:r w:rsidRPr="006652D5">
        <w:rPr>
          <w:rStyle w:val="normaltextrun"/>
          <w:rFonts w:ascii="Arial" w:hAnsi="Arial" w:cs="Arial"/>
          <w:sz w:val="16"/>
          <w:szCs w:val="16"/>
          <w:lang w:val="es-MX"/>
        </w:rPr>
        <w:t>466.</w:t>
      </w:r>
      <w:r w:rsidRPr="006652D5">
        <w:rPr>
          <w:rStyle w:val="eop"/>
          <w:sz w:val="16"/>
          <w:szCs w:val="16"/>
        </w:rPr>
        <w:t> </w:t>
      </w:r>
    </w:p>
    <w:p w14:paraId="609FA5D2" w14:textId="77777777" w:rsidR="009261E4" w:rsidRPr="003B0802" w:rsidRDefault="009261E4" w:rsidP="009261E4">
      <w:pPr>
        <w:pStyle w:val="Textonotapie"/>
        <w:jc w:val="both"/>
        <w:rPr>
          <w:rFonts w:ascii="Arial" w:hAnsi="Arial" w:cs="Arial"/>
          <w:sz w:val="19"/>
          <w:szCs w:val="19"/>
          <w:lang w:val="es-ES"/>
        </w:rPr>
      </w:pPr>
    </w:p>
  </w:footnote>
  <w:footnote w:id="9">
    <w:p w14:paraId="67A96046" w14:textId="77777777" w:rsidR="009261E4" w:rsidRPr="006652D5" w:rsidRDefault="009261E4" w:rsidP="009261E4">
      <w:pPr>
        <w:pStyle w:val="paragraph"/>
        <w:spacing w:before="0" w:beforeAutospacing="0" w:after="0" w:afterAutospacing="0"/>
        <w:ind w:firstLine="735"/>
        <w:jc w:val="both"/>
        <w:textAlignment w:val="baseline"/>
        <w:rPr>
          <w:rFonts w:ascii="Arial" w:hAnsi="Arial" w:cs="Arial"/>
          <w:color w:val="000000"/>
          <w:sz w:val="16"/>
          <w:szCs w:val="16"/>
        </w:rPr>
      </w:pPr>
      <w:r w:rsidRPr="006652D5">
        <w:rPr>
          <w:rStyle w:val="Refdenotaalpie"/>
          <w:rFonts w:ascii="Arial" w:hAnsi="Arial" w:cs="Arial"/>
          <w:sz w:val="16"/>
          <w:szCs w:val="16"/>
        </w:rPr>
        <w:footnoteRef/>
      </w:r>
      <w:r w:rsidRPr="006652D5">
        <w:rPr>
          <w:rFonts w:ascii="Arial" w:hAnsi="Arial" w:cs="Arial"/>
          <w:sz w:val="16"/>
          <w:szCs w:val="16"/>
        </w:rPr>
        <w:t xml:space="preserve"> </w:t>
      </w:r>
      <w:r>
        <w:rPr>
          <w:rStyle w:val="normaltextrun"/>
          <w:rFonts w:ascii="Arial" w:hAnsi="Arial" w:cs="Arial"/>
          <w:color w:val="000000"/>
          <w:sz w:val="16"/>
          <w:szCs w:val="16"/>
          <w:shd w:val="clear" w:color="auto" w:fill="FFFFFF"/>
          <w:lang w:val="es-ES"/>
        </w:rPr>
        <w:t>“</w:t>
      </w:r>
      <w:r w:rsidRPr="006652D5">
        <w:rPr>
          <w:rStyle w:val="normaltextrun"/>
          <w:rFonts w:ascii="Arial" w:hAnsi="Arial" w:cs="Arial"/>
          <w:color w:val="000000"/>
          <w:sz w:val="16"/>
          <w:szCs w:val="16"/>
          <w:shd w:val="clear" w:color="auto" w:fill="FFFFFF"/>
          <w:lang w:val="es-ES"/>
        </w:rPr>
        <w:t>Artículo 2.2.1.2.1.2.5. Subasta inversa electrónica o presencial. La Entidad Estatal puede escoger si</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adelanta la subasta</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inversa electrónica</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o</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presencialmente</w:t>
      </w:r>
      <w:r w:rsidRPr="006652D5">
        <w:rPr>
          <w:rStyle w:val="eop"/>
          <w:rFonts w:eastAsia="Arial"/>
          <w:color w:val="000000"/>
          <w:sz w:val="16"/>
          <w:szCs w:val="16"/>
        </w:rPr>
        <w:t>.</w:t>
      </w:r>
    </w:p>
    <w:p w14:paraId="67DF485A" w14:textId="77777777" w:rsidR="009261E4" w:rsidRPr="006652D5" w:rsidRDefault="009261E4" w:rsidP="009261E4">
      <w:pPr>
        <w:pStyle w:val="paragraph"/>
        <w:spacing w:before="0" w:beforeAutospacing="0" w:after="0" w:afterAutospacing="0"/>
        <w:ind w:right="180" w:firstLine="708"/>
        <w:jc w:val="both"/>
        <w:textAlignment w:val="baseline"/>
        <w:rPr>
          <w:rFonts w:ascii="Arial" w:hAnsi="Arial" w:cs="Arial"/>
          <w:color w:val="000000"/>
          <w:sz w:val="16"/>
          <w:szCs w:val="16"/>
        </w:rPr>
      </w:pPr>
      <w:r>
        <w:rPr>
          <w:rStyle w:val="normaltextrun"/>
          <w:rFonts w:ascii="Arial" w:hAnsi="Arial" w:cs="Arial"/>
          <w:color w:val="000000"/>
          <w:sz w:val="16"/>
          <w:szCs w:val="16"/>
          <w:shd w:val="clear" w:color="auto" w:fill="FFFFFF"/>
          <w:lang w:val="es-ES"/>
        </w:rPr>
        <w:t>“</w:t>
      </w:r>
      <w:r w:rsidRPr="006652D5">
        <w:rPr>
          <w:rStyle w:val="normaltextrun"/>
          <w:rFonts w:ascii="Arial" w:hAnsi="Arial" w:cs="Arial"/>
          <w:color w:val="000000"/>
          <w:sz w:val="16"/>
          <w:szCs w:val="16"/>
          <w:shd w:val="clear" w:color="auto" w:fill="FFFFFF"/>
          <w:lang w:val="es-ES"/>
        </w:rPr>
        <w:t>Si</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la Entidad Estatal decide adelantar</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la</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subasta</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electrónicamente debe fijar en los</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pliegos</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de condiciones el</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sistema que utilizará para la subasta</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inversa y</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los</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mecanismos</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de</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segundad para e! intercambio de mensajes</w:t>
      </w:r>
      <w:r w:rsidRPr="006652D5">
        <w:rPr>
          <w:rStyle w:val="apple-converted-space"/>
          <w:rFonts w:ascii="Arial" w:hAnsi="Arial" w:cs="Arial"/>
          <w:color w:val="000000"/>
          <w:sz w:val="16"/>
          <w:szCs w:val="16"/>
          <w:shd w:val="clear" w:color="auto" w:fill="FFFFFF"/>
          <w:lang w:val="es-ES"/>
        </w:rPr>
        <w:t> </w:t>
      </w:r>
      <w:r w:rsidRPr="006652D5">
        <w:rPr>
          <w:rStyle w:val="normaltextrun"/>
          <w:rFonts w:ascii="Arial" w:hAnsi="Arial" w:cs="Arial"/>
          <w:color w:val="000000"/>
          <w:sz w:val="16"/>
          <w:szCs w:val="16"/>
          <w:shd w:val="clear" w:color="auto" w:fill="FFFFFF"/>
          <w:lang w:val="es-ES"/>
        </w:rPr>
        <w:t>de datos».</w:t>
      </w:r>
      <w:r w:rsidRPr="006652D5">
        <w:rPr>
          <w:rStyle w:val="eop"/>
          <w:rFonts w:eastAsia="Arial"/>
          <w:color w:val="000000"/>
          <w:sz w:val="16"/>
          <w:szCs w:val="16"/>
        </w:rPr>
        <w:t> </w:t>
      </w:r>
    </w:p>
    <w:p w14:paraId="7BE78640" w14:textId="77777777" w:rsidR="009261E4" w:rsidRPr="003B0802" w:rsidRDefault="009261E4" w:rsidP="009261E4">
      <w:pPr>
        <w:pStyle w:val="Textonotapie"/>
        <w:jc w:val="both"/>
        <w:rPr>
          <w:rFonts w:ascii="Arial" w:hAnsi="Arial" w:cs="Arial"/>
          <w:sz w:val="19"/>
          <w:szCs w:val="19"/>
          <w:lang w:val="es-ES"/>
        </w:rPr>
      </w:pPr>
    </w:p>
  </w:footnote>
  <w:footnote w:id="10">
    <w:p w14:paraId="7C16321E" w14:textId="77777777" w:rsidR="009261E4" w:rsidRPr="009261E4" w:rsidRDefault="009261E4" w:rsidP="009261E4">
      <w:pPr>
        <w:pStyle w:val="Textonotapie"/>
        <w:tabs>
          <w:tab w:val="left" w:pos="1830"/>
        </w:tabs>
        <w:ind w:left="709"/>
        <w:jc w:val="both"/>
        <w:rPr>
          <w:rFonts w:ascii="Arial" w:hAnsi="Arial" w:cs="Arial"/>
          <w:color w:val="000000" w:themeColor="text1"/>
          <w:sz w:val="16"/>
          <w:szCs w:val="16"/>
          <w:lang w:val="es-CO"/>
        </w:rPr>
      </w:pPr>
      <w:r w:rsidRPr="009261E4">
        <w:rPr>
          <w:rStyle w:val="Refdenotaalpie"/>
          <w:rFonts w:ascii="Arial" w:hAnsi="Arial" w:cs="Arial"/>
          <w:color w:val="000000" w:themeColor="text1"/>
          <w:sz w:val="16"/>
          <w:szCs w:val="16"/>
        </w:rPr>
        <w:footnoteRef/>
      </w:r>
      <w:r w:rsidRPr="009261E4">
        <w:rPr>
          <w:rFonts w:ascii="Arial" w:hAnsi="Arial" w:cs="Arial"/>
          <w:color w:val="000000" w:themeColor="text1"/>
          <w:sz w:val="16"/>
          <w:szCs w:val="16"/>
        </w:rPr>
        <w:t xml:space="preserve"> </w:t>
      </w:r>
      <w:r w:rsidRPr="009261E4">
        <w:rPr>
          <w:rFonts w:ascii="Arial" w:hAnsi="Arial" w:cs="Arial"/>
          <w:color w:val="000000" w:themeColor="text1"/>
          <w:sz w:val="16"/>
          <w:szCs w:val="16"/>
          <w:lang w:val="es-CO"/>
        </w:rPr>
        <w:t>DÁVILA VINUEZA, Luis Guillermo. Régimen Jurídico de la Contratación Estatal. Bogotá: Ed.</w:t>
      </w:r>
    </w:p>
    <w:p w14:paraId="7A8DA640" w14:textId="77777777" w:rsidR="009261E4" w:rsidRPr="00173EB7" w:rsidRDefault="009261E4" w:rsidP="009261E4">
      <w:pPr>
        <w:pStyle w:val="Textonotapie"/>
        <w:tabs>
          <w:tab w:val="left" w:pos="1830"/>
        </w:tabs>
        <w:jc w:val="both"/>
        <w:rPr>
          <w:rFonts w:ascii="Arial" w:hAnsi="Arial" w:cs="Arial"/>
          <w:color w:val="000000" w:themeColor="text1"/>
          <w:sz w:val="19"/>
          <w:szCs w:val="19"/>
          <w:lang w:val="es-CO"/>
        </w:rPr>
      </w:pPr>
      <w:r w:rsidRPr="009261E4">
        <w:rPr>
          <w:rFonts w:ascii="Arial" w:hAnsi="Arial" w:cs="Arial"/>
          <w:color w:val="000000" w:themeColor="text1"/>
          <w:sz w:val="16"/>
          <w:szCs w:val="16"/>
          <w:lang w:val="es-CO"/>
        </w:rPr>
        <w:t xml:space="preserve">Legis, 2016. P. 440.  </w:t>
      </w:r>
      <w:r w:rsidRPr="009261E4">
        <w:rPr>
          <w:rFonts w:ascii="Arial" w:hAnsi="Arial" w:cs="Arial"/>
          <w:color w:val="000000" w:themeColor="text1"/>
          <w:sz w:val="16"/>
          <w:szCs w:val="16"/>
          <w:lang w:val="es-C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6"/>
  </w:num>
  <w:num w:numId="8">
    <w:abstractNumId w:val="12"/>
  </w:num>
  <w:num w:numId="9">
    <w:abstractNumId w:val="8"/>
  </w:num>
  <w:num w:numId="10">
    <w:abstractNumId w:val="11"/>
  </w:num>
  <w:num w:numId="11">
    <w:abstractNumId w:val="9"/>
  </w:num>
  <w:num w:numId="12">
    <w:abstractNumId w:val="2"/>
  </w:num>
  <w:num w:numId="13">
    <w:abstractNumId w:val="4"/>
  </w:num>
  <w:num w:numId="14">
    <w:abstractNumId w:val="14"/>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43BD7"/>
    <w:rsid w:val="001C1DB4"/>
    <w:rsid w:val="001E4177"/>
    <w:rsid w:val="001F7DC6"/>
    <w:rsid w:val="00200FF1"/>
    <w:rsid w:val="00232E2E"/>
    <w:rsid w:val="002421BB"/>
    <w:rsid w:val="00256FE9"/>
    <w:rsid w:val="002707A2"/>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3941"/>
    <w:rsid w:val="00406575"/>
    <w:rsid w:val="00421F22"/>
    <w:rsid w:val="0042722E"/>
    <w:rsid w:val="004A1847"/>
    <w:rsid w:val="004A305D"/>
    <w:rsid w:val="004F21C4"/>
    <w:rsid w:val="004F685F"/>
    <w:rsid w:val="005566E8"/>
    <w:rsid w:val="00574867"/>
    <w:rsid w:val="00591460"/>
    <w:rsid w:val="005A110F"/>
    <w:rsid w:val="005A2340"/>
    <w:rsid w:val="005C3777"/>
    <w:rsid w:val="005C5CDC"/>
    <w:rsid w:val="005D476C"/>
    <w:rsid w:val="006219F8"/>
    <w:rsid w:val="00642A56"/>
    <w:rsid w:val="00665D70"/>
    <w:rsid w:val="006900D9"/>
    <w:rsid w:val="00706C16"/>
    <w:rsid w:val="00754B86"/>
    <w:rsid w:val="00756841"/>
    <w:rsid w:val="007649AB"/>
    <w:rsid w:val="00771D0C"/>
    <w:rsid w:val="007833AC"/>
    <w:rsid w:val="007845D3"/>
    <w:rsid w:val="007B268C"/>
    <w:rsid w:val="007B7171"/>
    <w:rsid w:val="007C3DC2"/>
    <w:rsid w:val="007E5497"/>
    <w:rsid w:val="00806658"/>
    <w:rsid w:val="00806F5F"/>
    <w:rsid w:val="00820278"/>
    <w:rsid w:val="00871277"/>
    <w:rsid w:val="0087648E"/>
    <w:rsid w:val="008843B6"/>
    <w:rsid w:val="00891928"/>
    <w:rsid w:val="008A446D"/>
    <w:rsid w:val="008A5000"/>
    <w:rsid w:val="008D180B"/>
    <w:rsid w:val="008D4CA5"/>
    <w:rsid w:val="008F0EA7"/>
    <w:rsid w:val="0091542E"/>
    <w:rsid w:val="00923EEF"/>
    <w:rsid w:val="009261E4"/>
    <w:rsid w:val="00937BC7"/>
    <w:rsid w:val="009419F9"/>
    <w:rsid w:val="00942CE9"/>
    <w:rsid w:val="00961B09"/>
    <w:rsid w:val="00965334"/>
    <w:rsid w:val="0097093E"/>
    <w:rsid w:val="009A6976"/>
    <w:rsid w:val="009B5B36"/>
    <w:rsid w:val="009C3FCA"/>
    <w:rsid w:val="009C71FA"/>
    <w:rsid w:val="009C72E7"/>
    <w:rsid w:val="009F3A13"/>
    <w:rsid w:val="00A122D3"/>
    <w:rsid w:val="00A17F13"/>
    <w:rsid w:val="00A20739"/>
    <w:rsid w:val="00A24C39"/>
    <w:rsid w:val="00A33C78"/>
    <w:rsid w:val="00A60449"/>
    <w:rsid w:val="00A71156"/>
    <w:rsid w:val="00AB02C6"/>
    <w:rsid w:val="00AB0ADB"/>
    <w:rsid w:val="00B72CD3"/>
    <w:rsid w:val="00B72FFF"/>
    <w:rsid w:val="00BA0B4E"/>
    <w:rsid w:val="00BB5D6F"/>
    <w:rsid w:val="00BC3D36"/>
    <w:rsid w:val="00BD7F72"/>
    <w:rsid w:val="00C04FB3"/>
    <w:rsid w:val="00C330EB"/>
    <w:rsid w:val="00C55426"/>
    <w:rsid w:val="00C633A0"/>
    <w:rsid w:val="00C754BE"/>
    <w:rsid w:val="00C76B1C"/>
    <w:rsid w:val="00CB6357"/>
    <w:rsid w:val="00CC1B26"/>
    <w:rsid w:val="00CE6810"/>
    <w:rsid w:val="00D01EE9"/>
    <w:rsid w:val="00D0627B"/>
    <w:rsid w:val="00D07D45"/>
    <w:rsid w:val="00D423A2"/>
    <w:rsid w:val="00D5137A"/>
    <w:rsid w:val="00D63AC2"/>
    <w:rsid w:val="00D7383B"/>
    <w:rsid w:val="00D7774C"/>
    <w:rsid w:val="00DA231B"/>
    <w:rsid w:val="00DF5254"/>
    <w:rsid w:val="00E01B21"/>
    <w:rsid w:val="00E16408"/>
    <w:rsid w:val="00E20894"/>
    <w:rsid w:val="00E245AB"/>
    <w:rsid w:val="00E2764C"/>
    <w:rsid w:val="00E27F2E"/>
    <w:rsid w:val="00E50AFE"/>
    <w:rsid w:val="00E60107"/>
    <w:rsid w:val="00E771DC"/>
    <w:rsid w:val="00E8772A"/>
    <w:rsid w:val="00E90F6B"/>
    <w:rsid w:val="00E92C27"/>
    <w:rsid w:val="00E97D30"/>
    <w:rsid w:val="00EA0E3D"/>
    <w:rsid w:val="00ED036C"/>
    <w:rsid w:val="00EE1AA8"/>
    <w:rsid w:val="00F31EDC"/>
    <w:rsid w:val="00F462B3"/>
    <w:rsid w:val="00F5664F"/>
    <w:rsid w:val="00F666C4"/>
    <w:rsid w:val="00F76AFC"/>
    <w:rsid w:val="00F80406"/>
    <w:rsid w:val="00FB5DD1"/>
    <w:rsid w:val="00FC2B5D"/>
    <w:rsid w:val="00FD72B7"/>
    <w:rsid w:val="00FF1449"/>
    <w:rsid w:val="0497D2DD"/>
    <w:rsid w:val="3F7A502F"/>
    <w:rsid w:val="6EC17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EFD613B3-52C7-48A4-814F-4B652F3E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D72B7"/>
    <w:pPr>
      <w:spacing w:line="240" w:lineRule="exact"/>
    </w:pPr>
    <w:rPr>
      <w:vertAlign w:val="superscript"/>
    </w:rPr>
  </w:style>
  <w:style w:type="character" w:styleId="nfasis">
    <w:name w:val="Emphasis"/>
    <w:basedOn w:val="Fuentedeprrafopredeter"/>
    <w:uiPriority w:val="20"/>
    <w:qFormat/>
    <w:rsid w:val="00FD72B7"/>
    <w:rPr>
      <w:i/>
      <w:iCs/>
    </w:rPr>
  </w:style>
  <w:style w:type="paragraph" w:customStyle="1" w:styleId="xmsonospacing">
    <w:name w:val="x_msonospacing"/>
    <w:basedOn w:val="Normal"/>
    <w:rsid w:val="00FD72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normaltextrun">
    <w:name w:val="x_normaltextrun"/>
    <w:basedOn w:val="Fuentedeprrafopredeter"/>
    <w:rsid w:val="00FD72B7"/>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00FF1"/>
    <w:rPr>
      <w:rFonts w:ascii="Geomanist Light" w:hAnsi="Geomanist Light"/>
      <w:lang w:val="es-ES"/>
    </w:rPr>
  </w:style>
  <w:style w:type="paragraph" w:styleId="Textoindependiente">
    <w:name w:val="Body Text"/>
    <w:basedOn w:val="Normal"/>
    <w:link w:val="TextoindependienteCar"/>
    <w:uiPriority w:val="1"/>
    <w:qFormat/>
    <w:rsid w:val="00200FF1"/>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200FF1"/>
    <w:rPr>
      <w:rFonts w:ascii="Arial" w:eastAsia="Arial" w:hAnsi="Arial" w:cs="Arial"/>
      <w:lang w:val="es-ES"/>
    </w:rPr>
  </w:style>
  <w:style w:type="character" w:customStyle="1" w:styleId="NormalWebCar">
    <w:name w:val="Normal (Web) Car"/>
    <w:link w:val="NormalWeb"/>
    <w:uiPriority w:val="99"/>
    <w:rsid w:val="00200FF1"/>
    <w:rPr>
      <w:rFonts w:ascii="Times New Roman" w:eastAsia="Times New Roman" w:hAnsi="Times New Roman" w:cs="Times New Roman"/>
      <w:sz w:val="24"/>
      <w:szCs w:val="24"/>
      <w:lang w:eastAsia="es-CO"/>
    </w:rPr>
  </w:style>
  <w:style w:type="character" w:customStyle="1" w:styleId="Hipervnculo1">
    <w:name w:val="Hipervínculo1"/>
    <w:basedOn w:val="Fuentedeprrafopredeter"/>
    <w:uiPriority w:val="99"/>
    <w:unhideWhenUsed/>
    <w:rsid w:val="00200FF1"/>
    <w:rPr>
      <w:color w:val="F2F2F2"/>
      <w:u w:val="single"/>
    </w:rPr>
  </w:style>
  <w:style w:type="character" w:customStyle="1" w:styleId="apple-converted-space">
    <w:name w:val="apple-converted-space"/>
    <w:basedOn w:val="Fuentedeprrafopredeter"/>
    <w:rsid w:val="00200FF1"/>
  </w:style>
  <w:style w:type="character" w:styleId="Textoennegrita">
    <w:name w:val="Strong"/>
    <w:basedOn w:val="Fuentedeprrafopredeter"/>
    <w:uiPriority w:val="22"/>
    <w:qFormat/>
    <w:rsid w:val="00200FF1"/>
    <w:rPr>
      <w:b/>
      <w:bCs/>
    </w:rPr>
  </w:style>
  <w:style w:type="paragraph" w:styleId="Textodeglobo">
    <w:name w:val="Balloon Text"/>
    <w:basedOn w:val="Normal"/>
    <w:link w:val="TextodegloboCar"/>
    <w:uiPriority w:val="99"/>
    <w:semiHidden/>
    <w:unhideWhenUsed/>
    <w:rsid w:val="008712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12206-0D60-49B5-9C6E-AB5EA5B3CF11}"/>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4857</Words>
  <Characters>26716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2</cp:revision>
  <cp:lastPrinted>2023-01-11T00:18:00Z</cp:lastPrinted>
  <dcterms:created xsi:type="dcterms:W3CDTF">2023-10-30T00:52:00Z</dcterms:created>
  <dcterms:modified xsi:type="dcterms:W3CDTF">2023-10-30T00:52:00Z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