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0DBE" w14:textId="6E5D2267" w:rsidR="00950DF7" w:rsidRPr="00552A54" w:rsidRDefault="70551974" w:rsidP="00F304EA">
      <w:pPr>
        <w:jc w:val="right"/>
        <w:rPr>
          <w:rFonts w:ascii="Arial" w:eastAsia="Calibri" w:hAnsi="Arial" w:cs="Arial"/>
          <w:b/>
          <w:bCs/>
          <w:color w:val="000000" w:themeColor="text1"/>
          <w:sz w:val="20"/>
          <w:szCs w:val="20"/>
          <w:lang w:val="es-ES"/>
        </w:rPr>
      </w:pPr>
      <w:bookmarkStart w:id="0" w:name="_Hlk28946138"/>
      <w:bookmarkStart w:id="1" w:name="_Hlk29548183"/>
      <w:r w:rsidRPr="00552A54">
        <w:rPr>
          <w:rFonts w:ascii="Arial" w:hAnsi="Arial" w:cs="Arial"/>
          <w:color w:val="000000" w:themeColor="text1"/>
          <w:sz w:val="16"/>
          <w:szCs w:val="16"/>
          <w:lang w:val="es-ES" w:eastAsia="es-ES"/>
        </w:rPr>
        <w:t>CCE-DES-FM-17</w:t>
      </w:r>
      <w:bookmarkEnd w:id="0"/>
      <w:bookmarkEnd w:id="1"/>
    </w:p>
    <w:p w14:paraId="6352F336" w14:textId="77777777" w:rsidR="00950DF7" w:rsidRPr="00552A54" w:rsidRDefault="00950DF7" w:rsidP="00F304EA">
      <w:pPr>
        <w:jc w:val="both"/>
        <w:rPr>
          <w:rFonts w:ascii="Arial" w:eastAsia="Calibri" w:hAnsi="Arial" w:cs="Arial"/>
          <w:b/>
          <w:bCs/>
          <w:color w:val="000000" w:themeColor="text1"/>
          <w:sz w:val="22"/>
          <w:szCs w:val="22"/>
        </w:rPr>
      </w:pPr>
    </w:p>
    <w:p w14:paraId="00493982" w14:textId="1949B702" w:rsidR="00950DF7" w:rsidRPr="00552A54" w:rsidRDefault="00950DF7" w:rsidP="00F304EA">
      <w:pPr>
        <w:jc w:val="both"/>
        <w:rPr>
          <w:rFonts w:ascii="Arial" w:eastAsia="Calibri" w:hAnsi="Arial" w:cs="Arial"/>
          <w:b/>
          <w:bCs/>
          <w:color w:val="000000" w:themeColor="text1"/>
          <w:sz w:val="22"/>
          <w:szCs w:val="22"/>
          <w:lang w:eastAsia="en-US"/>
        </w:rPr>
      </w:pPr>
      <w:r w:rsidRPr="00552A54">
        <w:rPr>
          <w:rFonts w:ascii="Arial" w:eastAsia="Calibri" w:hAnsi="Arial" w:cs="Arial"/>
          <w:b/>
          <w:bCs/>
          <w:color w:val="000000" w:themeColor="text1"/>
          <w:sz w:val="22"/>
          <w:szCs w:val="22"/>
        </w:rPr>
        <w:t xml:space="preserve">COLOMBIA COMPRA EFICIENTE </w:t>
      </w:r>
      <w:r w:rsidRPr="00552A54">
        <w:rPr>
          <w:rFonts w:ascii="Arial" w:eastAsia="Calibri" w:hAnsi="Arial" w:cs="Arial"/>
          <w:b/>
          <w:color w:val="000000" w:themeColor="text1"/>
          <w:sz w:val="22"/>
          <w:szCs w:val="22"/>
        </w:rPr>
        <w:t>–</w:t>
      </w:r>
      <w:r w:rsidRPr="00552A54">
        <w:rPr>
          <w:rFonts w:ascii="Arial" w:eastAsia="Calibri" w:hAnsi="Arial" w:cs="Arial"/>
          <w:b/>
          <w:bCs/>
          <w:color w:val="000000" w:themeColor="text1"/>
          <w:sz w:val="22"/>
          <w:szCs w:val="22"/>
        </w:rPr>
        <w:t xml:space="preserve"> Competencia Consultiva – Contratación Estatal – Normas Generales</w:t>
      </w:r>
    </w:p>
    <w:p w14:paraId="142FF05E" w14:textId="77777777" w:rsidR="00950DF7" w:rsidRPr="00552A54" w:rsidRDefault="00950DF7" w:rsidP="00F304EA">
      <w:pPr>
        <w:jc w:val="both"/>
        <w:rPr>
          <w:rFonts w:ascii="Arial" w:eastAsiaTheme="minorHAnsi" w:hAnsi="Arial" w:cs="Arial"/>
          <w:bCs/>
          <w:color w:val="000000" w:themeColor="text1"/>
          <w:sz w:val="20"/>
          <w:szCs w:val="20"/>
        </w:rPr>
      </w:pPr>
    </w:p>
    <w:p w14:paraId="0E250C36" w14:textId="77777777" w:rsidR="00950DF7" w:rsidRPr="00552A54" w:rsidRDefault="00950DF7" w:rsidP="00F304EA">
      <w:pPr>
        <w:spacing w:after="120"/>
        <w:jc w:val="both"/>
        <w:rPr>
          <w:rFonts w:ascii="Arial" w:hAnsi="Arial" w:cs="Arial"/>
          <w:bCs/>
          <w:color w:val="000000" w:themeColor="text1"/>
          <w:sz w:val="20"/>
          <w:szCs w:val="20"/>
        </w:rPr>
      </w:pPr>
      <w:r w:rsidRPr="00552A54">
        <w:rPr>
          <w:rFonts w:ascii="Arial" w:hAnsi="Arial" w:cs="Arial"/>
          <w:bCs/>
          <w:color w:val="000000" w:themeColor="text1"/>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E522F18" w14:textId="77777777" w:rsidR="00950DF7" w:rsidRPr="00552A54" w:rsidRDefault="00950DF7" w:rsidP="00F304EA">
      <w:pPr>
        <w:jc w:val="both"/>
        <w:rPr>
          <w:rFonts w:ascii="Arial" w:hAnsi="Arial" w:cs="Arial"/>
          <w:bCs/>
          <w:color w:val="000000" w:themeColor="text1"/>
          <w:sz w:val="20"/>
          <w:szCs w:val="20"/>
        </w:rPr>
      </w:pPr>
      <w:r w:rsidRPr="00552A54">
        <w:rPr>
          <w:rFonts w:ascii="Arial" w:hAnsi="Arial" w:cs="Arial"/>
          <w:bCs/>
          <w:color w:val="000000" w:themeColor="text1"/>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71E56F95" w14:textId="77777777" w:rsidR="00950DF7" w:rsidRPr="00552A54" w:rsidRDefault="00950DF7" w:rsidP="00F304EA">
      <w:pPr>
        <w:jc w:val="both"/>
        <w:rPr>
          <w:rFonts w:ascii="Arial" w:eastAsia="Calibri" w:hAnsi="Arial" w:cs="Arial"/>
          <w:b/>
          <w:bCs/>
          <w:color w:val="000000" w:themeColor="text1"/>
          <w:sz w:val="22"/>
          <w:szCs w:val="22"/>
          <w:lang w:val="es-ES_tradnl"/>
        </w:rPr>
      </w:pPr>
    </w:p>
    <w:p w14:paraId="6374D3F5" w14:textId="77777777" w:rsidR="0013218A" w:rsidRPr="00552A54" w:rsidRDefault="0013218A" w:rsidP="0013218A">
      <w:pPr>
        <w:contextualSpacing/>
        <w:jc w:val="both"/>
        <w:rPr>
          <w:rFonts w:ascii="Arial" w:hAnsi="Arial" w:cs="Arial"/>
          <w:b/>
          <w:bCs/>
          <w:color w:val="000000" w:themeColor="text1"/>
          <w:sz w:val="22"/>
          <w:szCs w:val="22"/>
          <w:lang w:val="es-ES_tradnl"/>
        </w:rPr>
      </w:pPr>
      <w:r w:rsidRPr="00552A54">
        <w:rPr>
          <w:rFonts w:ascii="Arial" w:hAnsi="Arial" w:cs="Arial"/>
          <w:b/>
          <w:bCs/>
          <w:color w:val="000000" w:themeColor="text1"/>
          <w:sz w:val="22"/>
          <w:szCs w:val="22"/>
          <w:lang w:val="es-ES_tradnl"/>
        </w:rPr>
        <w:t xml:space="preserve">CONTRATO DE PRESTACIÓN DE SERVICIOS </w:t>
      </w:r>
      <w:r w:rsidRPr="00552A54">
        <w:rPr>
          <w:rFonts w:ascii="Arial" w:eastAsia="Calibri" w:hAnsi="Arial" w:cs="Arial"/>
          <w:b/>
          <w:bCs/>
          <w:color w:val="000000" w:themeColor="text1"/>
          <w:sz w:val="22"/>
          <w:szCs w:val="22"/>
          <w:lang w:val="es-ES_tradnl"/>
        </w:rPr>
        <w:t>–</w:t>
      </w:r>
      <w:r w:rsidRPr="00552A54">
        <w:rPr>
          <w:rFonts w:ascii="Arial" w:hAnsi="Arial" w:cs="Arial"/>
          <w:b/>
          <w:bCs/>
          <w:color w:val="000000" w:themeColor="text1"/>
          <w:sz w:val="22"/>
          <w:szCs w:val="22"/>
          <w:lang w:val="es-ES_tradnl"/>
        </w:rPr>
        <w:t xml:space="preserve"> Concepto</w:t>
      </w:r>
    </w:p>
    <w:p w14:paraId="13F44C74" w14:textId="77777777" w:rsidR="0013218A" w:rsidRPr="00552A54" w:rsidRDefault="0013218A" w:rsidP="0013218A">
      <w:pPr>
        <w:contextualSpacing/>
        <w:jc w:val="both"/>
        <w:rPr>
          <w:rFonts w:ascii="Arial" w:hAnsi="Arial" w:cs="Arial"/>
          <w:b/>
          <w:bCs/>
          <w:color w:val="000000" w:themeColor="text1"/>
          <w:sz w:val="20"/>
          <w:szCs w:val="20"/>
          <w:lang w:val="es-ES_tradnl"/>
        </w:rPr>
      </w:pPr>
    </w:p>
    <w:p w14:paraId="1E25A794" w14:textId="77777777" w:rsidR="0013218A" w:rsidRPr="00552A54" w:rsidRDefault="0013218A" w:rsidP="0013218A">
      <w:pPr>
        <w:contextualSpacing/>
        <w:jc w:val="both"/>
        <w:rPr>
          <w:rFonts w:ascii="Arial" w:hAnsi="Arial" w:cs="Arial"/>
          <w:b/>
          <w:bCs/>
          <w:color w:val="000000" w:themeColor="text1"/>
          <w:sz w:val="20"/>
          <w:szCs w:val="20"/>
          <w:lang w:val="es-ES_tradnl"/>
        </w:rPr>
      </w:pPr>
      <w:r w:rsidRPr="00552A54">
        <w:rPr>
          <w:rFonts w:ascii="Arial" w:eastAsia="Calibri" w:hAnsi="Arial" w:cs="Arial"/>
          <w:color w:val="000000" w:themeColor="text1"/>
          <w:sz w:val="20"/>
          <w:szCs w:val="20"/>
          <w:lang w:val="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w:t>
      </w:r>
    </w:p>
    <w:p w14:paraId="259A9D67" w14:textId="77777777" w:rsidR="0013218A" w:rsidRPr="00552A54" w:rsidRDefault="0013218A" w:rsidP="0013218A">
      <w:pPr>
        <w:contextualSpacing/>
        <w:jc w:val="both"/>
        <w:rPr>
          <w:rFonts w:ascii="Arial" w:hAnsi="Arial" w:cs="Arial"/>
          <w:b/>
          <w:bCs/>
          <w:color w:val="000000" w:themeColor="text1"/>
          <w:sz w:val="20"/>
          <w:szCs w:val="20"/>
          <w:lang w:val="es-ES_tradnl"/>
        </w:rPr>
      </w:pPr>
    </w:p>
    <w:p w14:paraId="37953A95" w14:textId="77777777" w:rsidR="0013218A" w:rsidRPr="00552A54" w:rsidRDefault="0013218A" w:rsidP="0013218A">
      <w:pPr>
        <w:contextualSpacing/>
        <w:jc w:val="both"/>
        <w:rPr>
          <w:rFonts w:ascii="Arial" w:hAnsi="Arial" w:cs="Arial"/>
          <w:b/>
          <w:bCs/>
          <w:color w:val="000000" w:themeColor="text1"/>
          <w:sz w:val="22"/>
          <w:szCs w:val="22"/>
          <w:lang w:val="es-ES_tradnl"/>
        </w:rPr>
      </w:pPr>
      <w:r w:rsidRPr="00552A54">
        <w:rPr>
          <w:rFonts w:ascii="Arial" w:hAnsi="Arial" w:cs="Arial"/>
          <w:b/>
          <w:bCs/>
          <w:color w:val="000000" w:themeColor="text1"/>
          <w:sz w:val="22"/>
          <w:szCs w:val="22"/>
          <w:lang w:val="es-ES_tradnl"/>
        </w:rPr>
        <w:t xml:space="preserve">CONTRATO DE PRESTACIÓN DE SERVICIOS </w:t>
      </w:r>
      <w:r w:rsidRPr="00552A54">
        <w:rPr>
          <w:rFonts w:ascii="Arial" w:eastAsia="Calibri" w:hAnsi="Arial" w:cs="Arial"/>
          <w:b/>
          <w:bCs/>
          <w:color w:val="000000" w:themeColor="text1"/>
          <w:sz w:val="22"/>
          <w:szCs w:val="22"/>
          <w:lang w:val="es-ES_tradnl"/>
        </w:rPr>
        <w:t>–</w:t>
      </w:r>
      <w:r w:rsidRPr="00552A54">
        <w:rPr>
          <w:rFonts w:ascii="Arial" w:hAnsi="Arial" w:cs="Arial"/>
          <w:b/>
          <w:bCs/>
          <w:color w:val="000000" w:themeColor="text1"/>
          <w:sz w:val="22"/>
          <w:szCs w:val="22"/>
          <w:lang w:val="es-ES_tradnl"/>
        </w:rPr>
        <w:t xml:space="preserve"> Requisitos y límites para su celebración</w:t>
      </w:r>
    </w:p>
    <w:p w14:paraId="72F52883" w14:textId="77777777" w:rsidR="0013218A" w:rsidRPr="00552A54" w:rsidRDefault="0013218A" w:rsidP="0013218A">
      <w:pPr>
        <w:contextualSpacing/>
        <w:jc w:val="both"/>
        <w:rPr>
          <w:rFonts w:ascii="Arial" w:hAnsi="Arial" w:cs="Arial"/>
          <w:color w:val="000000" w:themeColor="text1"/>
          <w:sz w:val="20"/>
          <w:szCs w:val="20"/>
          <w:lang w:val="es-ES_tradnl"/>
        </w:rPr>
      </w:pPr>
    </w:p>
    <w:p w14:paraId="4220273F" w14:textId="50F70267" w:rsidR="0013218A" w:rsidRPr="00552A54" w:rsidRDefault="0013218A" w:rsidP="0013218A">
      <w:pPr>
        <w:contextualSpacing/>
        <w:jc w:val="both"/>
        <w:rPr>
          <w:rFonts w:ascii="Arial" w:hAnsi="Arial" w:cs="Arial"/>
          <w:color w:val="000000" w:themeColor="text1"/>
          <w:sz w:val="20"/>
          <w:szCs w:val="20"/>
          <w:lang w:val="es-ES_tradnl"/>
        </w:rPr>
      </w:pPr>
      <w:r w:rsidRPr="00552A54">
        <w:rPr>
          <w:rFonts w:ascii="Arial" w:hAnsi="Arial" w:cs="Arial"/>
          <w:color w:val="000000" w:themeColor="text1"/>
          <w:sz w:val="20"/>
          <w:szCs w:val="20"/>
          <w:lang w:val="es-ES_tradnl"/>
        </w:rPr>
        <w:t xml:space="preserve">Sus principales características son: i) Solo puede celebrarse para realizar </w:t>
      </w:r>
      <w:r w:rsidR="003D06F0" w:rsidRPr="00552A54">
        <w:rPr>
          <w:rFonts w:ascii="Arial" w:hAnsi="Arial" w:cs="Arial"/>
          <w:color w:val="000000" w:themeColor="text1"/>
          <w:sz w:val="20"/>
          <w:szCs w:val="20"/>
          <w:lang w:val="es-ES_tradnl"/>
        </w:rPr>
        <w:t>“</w:t>
      </w:r>
      <w:r w:rsidRPr="00552A54">
        <w:rPr>
          <w:rFonts w:ascii="Arial" w:hAnsi="Arial" w:cs="Arial"/>
          <w:color w:val="000000" w:themeColor="text1"/>
          <w:sz w:val="20"/>
          <w:szCs w:val="20"/>
          <w:lang w:val="es-ES_tradnl"/>
        </w:rPr>
        <w:t>actividades relacionadas con la administración o funcionamiento de la entidad</w:t>
      </w:r>
      <w:r w:rsidR="003D06F0" w:rsidRPr="00552A54">
        <w:rPr>
          <w:rFonts w:ascii="Arial" w:hAnsi="Arial" w:cs="Arial"/>
          <w:color w:val="000000" w:themeColor="text1"/>
          <w:sz w:val="20"/>
          <w:szCs w:val="20"/>
          <w:lang w:val="es-ES_tradnl"/>
        </w:rPr>
        <w:t>”</w:t>
      </w:r>
      <w:r w:rsidRPr="00552A54">
        <w:rPr>
          <w:rFonts w:ascii="Arial" w:hAnsi="Arial" w:cs="Arial"/>
          <w:color w:val="000000" w:themeColor="text1"/>
          <w:sz w:val="20"/>
          <w:szCs w:val="20"/>
          <w:lang w:val="es-ES_tradnl"/>
        </w:rPr>
        <w:t xml:space="preserve">,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w:t>
      </w:r>
      <w:r w:rsidR="003D06F0" w:rsidRPr="00552A54">
        <w:rPr>
          <w:rFonts w:ascii="Arial" w:hAnsi="Arial" w:cs="Arial"/>
          <w:color w:val="000000" w:themeColor="text1"/>
          <w:sz w:val="20"/>
          <w:szCs w:val="20"/>
          <w:lang w:val="es-ES_tradnl"/>
        </w:rPr>
        <w:t>“</w:t>
      </w:r>
      <w:r w:rsidRPr="00552A54">
        <w:rPr>
          <w:rFonts w:ascii="Arial" w:hAnsi="Arial" w:cs="Arial"/>
          <w:color w:val="000000" w:themeColor="text1"/>
          <w:sz w:val="20"/>
          <w:szCs w:val="20"/>
          <w:lang w:val="es-ES_tradnl"/>
        </w:rPr>
        <w:t>no puedan realizarse con personal de planta o requieran conocimientos especializados</w:t>
      </w:r>
      <w:r w:rsidR="003D06F0" w:rsidRPr="00552A54">
        <w:rPr>
          <w:rFonts w:ascii="Arial" w:hAnsi="Arial" w:cs="Arial"/>
          <w:color w:val="000000" w:themeColor="text1"/>
          <w:sz w:val="20"/>
          <w:szCs w:val="20"/>
          <w:lang w:val="es-ES_tradnl"/>
        </w:rPr>
        <w:t>”</w:t>
      </w:r>
      <w:r w:rsidRPr="00552A54">
        <w:rPr>
          <w:rFonts w:ascii="Arial" w:hAnsi="Arial" w:cs="Arial"/>
          <w:color w:val="000000" w:themeColor="text1"/>
          <w:sz w:val="20"/>
          <w:szCs w:val="20"/>
          <w:lang w:val="es-ES_tradnl"/>
        </w:rPr>
        <w:t xml:space="preserve">;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552A54">
        <w:rPr>
          <w:rFonts w:ascii="Arial" w:hAnsi="Arial" w:cs="Arial"/>
          <w:i/>
          <w:color w:val="000000" w:themeColor="text1"/>
          <w:sz w:val="20"/>
          <w:szCs w:val="20"/>
          <w:lang w:val="es-ES_tradnl"/>
        </w:rPr>
        <w:t>subordinación y dependencia</w:t>
      </w:r>
      <w:r w:rsidRPr="00552A54">
        <w:rPr>
          <w:rFonts w:ascii="Arial" w:hAnsi="Arial" w:cs="Arial"/>
          <w:color w:val="000000" w:themeColor="text1"/>
          <w:sz w:val="20"/>
          <w:szCs w:val="20"/>
          <w:lang w:val="es-ES_tradnl"/>
        </w:rPr>
        <w:t xml:space="preserve"> que es uno de los elementos constitutivos del vínculo laboral; iv)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algunos casos no es obligatoria la liquidación; x) para su celebración no se requiere inscripción en el Registro Único de Proponentes (RUP); xi) en él no son necesarias las garantías.</w:t>
      </w:r>
    </w:p>
    <w:p w14:paraId="668E66E3" w14:textId="77777777" w:rsidR="0013218A" w:rsidRPr="00552A54" w:rsidRDefault="0013218A" w:rsidP="0013218A">
      <w:pPr>
        <w:contextualSpacing/>
        <w:jc w:val="both"/>
        <w:rPr>
          <w:rFonts w:ascii="Arial" w:hAnsi="Arial" w:cs="Arial"/>
          <w:b/>
          <w:bCs/>
          <w:color w:val="000000" w:themeColor="text1"/>
          <w:sz w:val="20"/>
          <w:szCs w:val="20"/>
          <w:lang w:val="es-ES_tradnl"/>
        </w:rPr>
      </w:pPr>
    </w:p>
    <w:p w14:paraId="000E0BDA" w14:textId="77777777" w:rsidR="0013218A" w:rsidRPr="00552A54" w:rsidRDefault="0013218A" w:rsidP="0013218A">
      <w:pPr>
        <w:contextualSpacing/>
        <w:jc w:val="both"/>
        <w:rPr>
          <w:rFonts w:ascii="Arial" w:hAnsi="Arial" w:cs="Arial"/>
          <w:b/>
          <w:bCs/>
          <w:color w:val="000000" w:themeColor="text1"/>
          <w:sz w:val="22"/>
          <w:szCs w:val="22"/>
          <w:lang w:val="es-MX"/>
        </w:rPr>
      </w:pPr>
      <w:r w:rsidRPr="00552A54">
        <w:rPr>
          <w:rFonts w:ascii="Arial" w:hAnsi="Arial" w:cs="Arial"/>
          <w:b/>
          <w:bCs/>
          <w:color w:val="000000" w:themeColor="text1"/>
          <w:sz w:val="22"/>
          <w:szCs w:val="22"/>
          <w:lang w:val="es-MX"/>
        </w:rPr>
        <w:t>CONTRATO DE PRESTACIÓN DE SERVICIOS – Doble erogación presupuestal – Prohibición – No es aplicable</w:t>
      </w:r>
    </w:p>
    <w:p w14:paraId="35E96790" w14:textId="77777777" w:rsidR="0013218A" w:rsidRPr="00552A54" w:rsidRDefault="0013218A" w:rsidP="0013218A">
      <w:pPr>
        <w:contextualSpacing/>
        <w:jc w:val="both"/>
        <w:rPr>
          <w:rFonts w:ascii="Arial" w:hAnsi="Arial" w:cs="Arial"/>
          <w:color w:val="000000" w:themeColor="text1"/>
          <w:sz w:val="20"/>
          <w:szCs w:val="20"/>
          <w:lang w:val="es-MX"/>
        </w:rPr>
      </w:pPr>
    </w:p>
    <w:p w14:paraId="5636D016" w14:textId="77777777" w:rsidR="0013218A" w:rsidRPr="00552A54" w:rsidRDefault="0013218A" w:rsidP="0013218A">
      <w:pPr>
        <w:contextualSpacing/>
        <w:jc w:val="both"/>
        <w:rPr>
          <w:rFonts w:ascii="Arial" w:hAnsi="Arial" w:cs="Arial"/>
          <w:b/>
          <w:bCs/>
          <w:color w:val="000000" w:themeColor="text1"/>
          <w:sz w:val="20"/>
          <w:szCs w:val="20"/>
          <w:lang w:val="es-MX"/>
        </w:rPr>
      </w:pPr>
      <w:r w:rsidRPr="00552A54">
        <w:rPr>
          <w:rFonts w:ascii="Arial" w:hAnsi="Arial" w:cs="Arial"/>
          <w:color w:val="000000" w:themeColor="text1"/>
          <w:sz w:val="20"/>
          <w:szCs w:val="20"/>
          <w:lang w:val="es-MX"/>
        </w:rPr>
        <w:lastRenderedPageBreak/>
        <w:t xml:space="preserve">[…] </w:t>
      </w:r>
      <w:r w:rsidRPr="00552A54">
        <w:rPr>
          <w:rFonts w:ascii="Arial" w:eastAsia="Arial" w:hAnsi="Arial" w:cs="Arial"/>
          <w:color w:val="000000" w:themeColor="text1"/>
          <w:sz w:val="20"/>
          <w:szCs w:val="20"/>
          <w:lang w:val="es-ES"/>
        </w:rPr>
        <w:t>la prohibición de recibir doble asignación del tesoro público recae sobre los servidores públicos, incluidos los miembros de las corporaciones públicas, donde el término “asignación” comprende los dineros y recursos que provienen del tesoro público, o de empresas o de instituciones en las que tenga parte mayoritaria el Estado, en calidad de pago para retribuir un servicio laboral.</w:t>
      </w:r>
    </w:p>
    <w:p w14:paraId="0FD9BC21" w14:textId="77777777" w:rsidR="0013218A" w:rsidRPr="00552A54" w:rsidRDefault="0013218A" w:rsidP="0013218A">
      <w:pPr>
        <w:contextualSpacing/>
        <w:jc w:val="both"/>
        <w:rPr>
          <w:rFonts w:ascii="Arial" w:eastAsia="Arial" w:hAnsi="Arial" w:cs="Arial"/>
          <w:color w:val="000000" w:themeColor="text1"/>
          <w:sz w:val="20"/>
          <w:szCs w:val="20"/>
          <w:lang w:val="es-ES"/>
        </w:rPr>
      </w:pPr>
      <w:r w:rsidRPr="00552A54">
        <w:rPr>
          <w:rFonts w:ascii="Arial" w:eastAsia="Arial" w:hAnsi="Arial" w:cs="Arial"/>
          <w:color w:val="000000" w:themeColor="text1"/>
          <w:sz w:val="20"/>
          <w:szCs w:val="20"/>
          <w:lang w:val="es-ES"/>
        </w:rPr>
        <w:t>De conformidad con lo anterior, y teniendo en cuenta la naturaleza jurídica del contrato de prestación de servicios, la prohibición de percibir doble asignación no es aplicable, pues estos, en virtud del artículo 32 de la Ley 80 de 1993, no comportan una relación laboral, sino que son fruto de la libre autonomía de la voluntad de los contratantes, por consiguiente el contratista no es considerado un servidor público, al no tener un vínculo de subordinación con el Estado, elemento propio de un contrato laboral. En este contexto, el Consejo de Estado, en el citado concepto, expresó que la retribución económica de los contratistas de prestación de servicios no constituye salario y, por lo tanto, no puede considerarse asignación presupuestal a la que hace referencia el artículo 128 de la Constitución.</w:t>
      </w:r>
    </w:p>
    <w:p w14:paraId="2F12F330" w14:textId="77777777" w:rsidR="0013218A" w:rsidRPr="00552A54" w:rsidRDefault="0013218A" w:rsidP="0013218A">
      <w:pPr>
        <w:contextualSpacing/>
        <w:jc w:val="both"/>
        <w:rPr>
          <w:rFonts w:ascii="Arial" w:hAnsi="Arial" w:cs="Arial"/>
          <w:b/>
          <w:bCs/>
          <w:color w:val="000000" w:themeColor="text1"/>
          <w:sz w:val="20"/>
          <w:szCs w:val="20"/>
          <w:lang w:val="es-MX"/>
        </w:rPr>
      </w:pPr>
    </w:p>
    <w:p w14:paraId="050850EF" w14:textId="77777777" w:rsidR="0013218A" w:rsidRPr="00552A54" w:rsidRDefault="0013218A" w:rsidP="0013218A">
      <w:pPr>
        <w:contextualSpacing/>
        <w:jc w:val="both"/>
        <w:rPr>
          <w:rFonts w:ascii="Arial" w:hAnsi="Arial" w:cs="Arial"/>
          <w:b/>
          <w:bCs/>
          <w:color w:val="000000" w:themeColor="text1"/>
          <w:sz w:val="22"/>
          <w:szCs w:val="22"/>
          <w:lang w:val="es-ES_tradnl"/>
        </w:rPr>
      </w:pPr>
      <w:r w:rsidRPr="00552A54">
        <w:rPr>
          <w:rFonts w:ascii="Arial" w:hAnsi="Arial" w:cs="Arial"/>
          <w:b/>
          <w:bCs/>
          <w:color w:val="000000" w:themeColor="text1"/>
          <w:sz w:val="22"/>
          <w:szCs w:val="22"/>
          <w:lang w:val="es-ES_tradnl"/>
        </w:rPr>
        <w:t xml:space="preserve">CONTRATOS DE PRESTACIÓN DE SERVICIOS </w:t>
      </w:r>
      <w:r w:rsidRPr="00552A54">
        <w:rPr>
          <w:rFonts w:ascii="Arial" w:eastAsia="Yu Gothic UI Semibold" w:hAnsi="Arial" w:cs="Arial"/>
          <w:b/>
          <w:bCs/>
          <w:color w:val="000000" w:themeColor="text1"/>
          <w:sz w:val="22"/>
          <w:szCs w:val="22"/>
          <w:lang w:val="es-MX"/>
        </w:rPr>
        <w:t xml:space="preserve">– </w:t>
      </w:r>
      <w:r w:rsidRPr="00552A54">
        <w:rPr>
          <w:rFonts w:ascii="Arial" w:hAnsi="Arial" w:cs="Arial"/>
          <w:b/>
          <w:bCs/>
          <w:color w:val="000000" w:themeColor="text1"/>
          <w:sz w:val="22"/>
          <w:szCs w:val="22"/>
          <w:lang w:val="es-ES_tradnl"/>
        </w:rPr>
        <w:t xml:space="preserve">Posibilidad de celebrar varios contratos de forma simultánea </w:t>
      </w:r>
    </w:p>
    <w:p w14:paraId="2B1581CB" w14:textId="77777777" w:rsidR="0013218A" w:rsidRPr="00552A54" w:rsidRDefault="0013218A" w:rsidP="0013218A">
      <w:pPr>
        <w:contextualSpacing/>
        <w:jc w:val="both"/>
        <w:rPr>
          <w:rFonts w:ascii="Arial" w:hAnsi="Arial" w:cs="Arial"/>
          <w:color w:val="000000" w:themeColor="text1"/>
          <w:sz w:val="20"/>
          <w:szCs w:val="20"/>
          <w:lang w:eastAsia="es-CO"/>
        </w:rPr>
      </w:pPr>
    </w:p>
    <w:p w14:paraId="73211F96" w14:textId="77777777" w:rsidR="0013218A" w:rsidRPr="00552A54" w:rsidRDefault="0013218A" w:rsidP="0013218A">
      <w:pPr>
        <w:contextualSpacing/>
        <w:jc w:val="both"/>
        <w:rPr>
          <w:rFonts w:ascii="Arial" w:hAnsi="Arial" w:cs="Arial"/>
          <w:color w:val="000000" w:themeColor="text1"/>
          <w:sz w:val="20"/>
          <w:szCs w:val="20"/>
          <w:lang w:eastAsia="es-CO"/>
        </w:rPr>
      </w:pPr>
      <w:r w:rsidRPr="00552A54">
        <w:rPr>
          <w:rFonts w:ascii="Arial" w:hAnsi="Arial" w:cs="Arial"/>
          <w:color w:val="000000" w:themeColor="text1"/>
          <w:sz w:val="20"/>
          <w:szCs w:val="20"/>
          <w:lang w:eastAsia="es-CO"/>
        </w:rPr>
        <w:t>[…] no existe inhabilidad, incompatibilidad o prohibición alguna de otra naturaleza para que una Entidad Estatal celebre dos o más contratos de prestación de servicios con una misma persona, así dichos contratos coexistan en el tiempo. Ello, por cuanto, como ya se señaló, las inhabilidades e incompatibilidades, al ser limitaciones a la capacidad contractual que afectan derechos como la libre concurrencia o la libertad de ejercicio de la profesión u oficio, es decir, al ser enunciados normativos gravosos, deben interpretarse de forma restrictiva. Esto supone que su aplicación no admite una interpretación amplia, extensiva o analógica.</w:t>
      </w:r>
    </w:p>
    <w:p w14:paraId="58C5AB56" w14:textId="77777777" w:rsidR="0013218A" w:rsidRPr="00552A54" w:rsidRDefault="0013218A" w:rsidP="0013218A">
      <w:pPr>
        <w:contextualSpacing/>
        <w:jc w:val="both"/>
        <w:rPr>
          <w:rFonts w:ascii="Arial" w:hAnsi="Arial" w:cs="Arial"/>
          <w:b/>
          <w:bCs/>
          <w:color w:val="000000" w:themeColor="text1"/>
          <w:sz w:val="20"/>
          <w:szCs w:val="20"/>
          <w:lang w:val="es-ES_tradnl"/>
        </w:rPr>
      </w:pPr>
    </w:p>
    <w:p w14:paraId="324AE72C" w14:textId="77777777" w:rsidR="0013218A" w:rsidRPr="00552A54" w:rsidRDefault="0013218A" w:rsidP="0013218A">
      <w:pPr>
        <w:contextualSpacing/>
        <w:jc w:val="both"/>
        <w:rPr>
          <w:rFonts w:ascii="Arial" w:eastAsia="Calibri" w:hAnsi="Arial" w:cs="Arial"/>
          <w:b/>
          <w:bCs/>
          <w:color w:val="000000" w:themeColor="text1"/>
          <w:sz w:val="22"/>
          <w:szCs w:val="22"/>
          <w:lang w:val="es-ES_tradnl"/>
        </w:rPr>
      </w:pPr>
      <w:r w:rsidRPr="00552A54">
        <w:rPr>
          <w:rFonts w:ascii="Arial" w:hAnsi="Arial" w:cs="Arial"/>
          <w:b/>
          <w:bCs/>
          <w:color w:val="000000" w:themeColor="text1"/>
          <w:sz w:val="22"/>
          <w:szCs w:val="22"/>
          <w:lang w:val="es-ES_tradnl"/>
        </w:rPr>
        <w:t xml:space="preserve">DIRECTIVA PRESIDENCIAL No. 08 DE 2022 </w:t>
      </w:r>
      <w:r w:rsidRPr="00552A54">
        <w:rPr>
          <w:rFonts w:ascii="Arial" w:eastAsia="Calibri" w:hAnsi="Arial" w:cs="Arial"/>
          <w:b/>
          <w:bCs/>
          <w:color w:val="000000" w:themeColor="text1"/>
          <w:sz w:val="22"/>
          <w:szCs w:val="22"/>
          <w:lang w:val="es-ES_tradnl"/>
        </w:rPr>
        <w:t>–</w:t>
      </w:r>
      <w:r w:rsidRPr="00552A54">
        <w:rPr>
          <w:rFonts w:ascii="Arial" w:hAnsi="Arial" w:cs="Arial"/>
          <w:b/>
          <w:bCs/>
          <w:color w:val="000000" w:themeColor="text1"/>
          <w:sz w:val="22"/>
          <w:szCs w:val="22"/>
          <w:lang w:val="es-ES_tradnl"/>
        </w:rPr>
        <w:t xml:space="preserve"> Prohibición </w:t>
      </w:r>
      <w:r w:rsidRPr="00552A54">
        <w:rPr>
          <w:rFonts w:ascii="Arial" w:eastAsia="Calibri" w:hAnsi="Arial" w:cs="Arial"/>
          <w:b/>
          <w:bCs/>
          <w:color w:val="000000" w:themeColor="text1"/>
          <w:sz w:val="22"/>
          <w:szCs w:val="22"/>
          <w:lang w:val="es-ES_tradnl"/>
        </w:rPr>
        <w:t>–</w:t>
      </w:r>
      <w:r w:rsidRPr="00552A54">
        <w:rPr>
          <w:rFonts w:ascii="Arial" w:hAnsi="Arial" w:cs="Arial"/>
          <w:b/>
          <w:bCs/>
          <w:color w:val="000000" w:themeColor="text1"/>
          <w:sz w:val="22"/>
          <w:szCs w:val="22"/>
          <w:lang w:val="es-ES_tradnl"/>
        </w:rPr>
        <w:t xml:space="preserve"> Prestación de servicios </w:t>
      </w:r>
      <w:r w:rsidRPr="00552A54">
        <w:rPr>
          <w:rFonts w:ascii="Arial" w:eastAsia="Calibri" w:hAnsi="Arial" w:cs="Arial"/>
          <w:b/>
          <w:bCs/>
          <w:color w:val="000000" w:themeColor="text1"/>
          <w:sz w:val="22"/>
          <w:szCs w:val="22"/>
          <w:lang w:val="es-ES_tradnl"/>
        </w:rPr>
        <w:t>–</w:t>
      </w:r>
      <w:r w:rsidRPr="00552A54">
        <w:rPr>
          <w:rFonts w:ascii="Arial" w:hAnsi="Arial" w:cs="Arial"/>
          <w:b/>
          <w:bCs/>
          <w:color w:val="000000" w:themeColor="text1"/>
          <w:sz w:val="22"/>
          <w:szCs w:val="22"/>
          <w:lang w:val="es-ES_tradnl"/>
        </w:rPr>
        <w:t xml:space="preserve"> Apoyo a la Gestión </w:t>
      </w:r>
      <w:r w:rsidRPr="00552A54">
        <w:rPr>
          <w:rFonts w:ascii="Arial" w:eastAsia="Calibri" w:hAnsi="Arial" w:cs="Arial"/>
          <w:b/>
          <w:bCs/>
          <w:color w:val="000000" w:themeColor="text1"/>
          <w:sz w:val="22"/>
          <w:szCs w:val="22"/>
          <w:lang w:val="es-ES_tradnl"/>
        </w:rPr>
        <w:t>– Contratos previos</w:t>
      </w:r>
    </w:p>
    <w:p w14:paraId="7E935028" w14:textId="77777777" w:rsidR="0013218A" w:rsidRPr="00552A54" w:rsidRDefault="0013218A" w:rsidP="0013218A">
      <w:pPr>
        <w:contextualSpacing/>
        <w:jc w:val="both"/>
        <w:rPr>
          <w:rFonts w:ascii="Arial" w:eastAsia="Calibri" w:hAnsi="Arial" w:cs="Arial"/>
          <w:b/>
          <w:bCs/>
          <w:color w:val="000000" w:themeColor="text1"/>
          <w:sz w:val="20"/>
          <w:szCs w:val="20"/>
          <w:lang w:val="es-ES_tradnl"/>
        </w:rPr>
      </w:pPr>
    </w:p>
    <w:p w14:paraId="7477122D" w14:textId="77777777" w:rsidR="0013218A" w:rsidRPr="00552A54" w:rsidRDefault="0013218A" w:rsidP="0013218A">
      <w:pPr>
        <w:contextualSpacing/>
        <w:jc w:val="both"/>
        <w:rPr>
          <w:rFonts w:ascii="Arial" w:hAnsi="Arial" w:cs="Arial"/>
          <w:color w:val="000000" w:themeColor="text1"/>
          <w:sz w:val="20"/>
          <w:szCs w:val="20"/>
          <w:lang w:eastAsia="es-CO"/>
        </w:rPr>
      </w:pPr>
      <w:r w:rsidRPr="00552A54">
        <w:rPr>
          <w:rFonts w:ascii="Arial" w:hAnsi="Arial" w:cs="Arial"/>
          <w:color w:val="000000" w:themeColor="text1"/>
          <w:sz w:val="20"/>
          <w:szCs w:val="20"/>
          <w:lang w:eastAsia="es-CO"/>
        </w:rPr>
        <w:t xml:space="preserve">Ahora bien, tratándose de contratos de prestación de servicios de apoyo a la gestión, a los cuales se hace referencia en la petición, debe tomarse en consideración que la Directiva Presidencial No. 08 del 17 de septiembre de 2022 había establecido como medida para la optimización de recursos en la contratación pública que, en materia de contratos de prestación de servicios de apoyo a la gestión: “[…] Las entidades públicas no podrán justificar la celebración de contratos de prestación de servicios de apoyo a la gestión por insuficiencia de personal de planta para evacuar el respectivo trabajo, </w:t>
      </w:r>
      <w:r w:rsidRPr="00552A54">
        <w:rPr>
          <w:rFonts w:ascii="Arial" w:hAnsi="Arial" w:cs="Arial"/>
          <w:color w:val="000000" w:themeColor="text1"/>
          <w:sz w:val="20"/>
          <w:szCs w:val="20"/>
          <w:u w:val="single"/>
          <w:lang w:eastAsia="es-CO"/>
        </w:rPr>
        <w:t>si tales contratos serán suscritos con personas naturales que ya tienen otros contratos de prestación de servicios con otras entidades públicas</w:t>
      </w:r>
      <w:r w:rsidRPr="00552A54">
        <w:rPr>
          <w:rFonts w:ascii="Arial" w:hAnsi="Arial" w:cs="Arial"/>
          <w:color w:val="000000" w:themeColor="text1"/>
          <w:sz w:val="20"/>
          <w:szCs w:val="20"/>
          <w:lang w:eastAsia="es-CO"/>
        </w:rPr>
        <w:t>, lo cual verificarán previamente en la plataforma del SECOP. Tampoco si en sus plantas de personal hay carpos en vacancia definitiva por más de 6 meses”.</w:t>
      </w:r>
    </w:p>
    <w:p w14:paraId="17014E19" w14:textId="77777777" w:rsidR="0013218A" w:rsidRPr="00552A54" w:rsidRDefault="0013218A" w:rsidP="0013218A">
      <w:pPr>
        <w:ind w:left="709" w:right="709"/>
        <w:contextualSpacing/>
        <w:jc w:val="both"/>
        <w:rPr>
          <w:rFonts w:ascii="Arial" w:hAnsi="Arial" w:cs="Arial"/>
          <w:color w:val="000000" w:themeColor="text1"/>
          <w:sz w:val="20"/>
          <w:szCs w:val="20"/>
          <w:lang w:eastAsia="es-CO"/>
        </w:rPr>
      </w:pPr>
    </w:p>
    <w:p w14:paraId="281DD167" w14:textId="77777777" w:rsidR="0013218A" w:rsidRPr="00552A54" w:rsidRDefault="0013218A" w:rsidP="0013218A">
      <w:pPr>
        <w:contextualSpacing/>
        <w:jc w:val="both"/>
        <w:rPr>
          <w:rFonts w:ascii="Arial" w:eastAsia="Calibri" w:hAnsi="Arial" w:cs="Arial"/>
          <w:b/>
          <w:bCs/>
          <w:color w:val="000000" w:themeColor="text1"/>
          <w:sz w:val="22"/>
          <w:szCs w:val="22"/>
          <w:lang w:val="es-ES_tradnl"/>
        </w:rPr>
      </w:pPr>
      <w:r w:rsidRPr="00552A54">
        <w:rPr>
          <w:rFonts w:ascii="Arial" w:hAnsi="Arial" w:cs="Arial"/>
          <w:b/>
          <w:bCs/>
          <w:color w:val="000000" w:themeColor="text1"/>
          <w:sz w:val="22"/>
          <w:szCs w:val="22"/>
          <w:lang w:val="es-ES_tradnl"/>
        </w:rPr>
        <w:t xml:space="preserve">DIRECTIVA PRESIDENCIAL No. 08 DE 2022 </w:t>
      </w:r>
      <w:r w:rsidRPr="00552A54">
        <w:rPr>
          <w:rFonts w:ascii="Arial" w:eastAsia="Calibri" w:hAnsi="Arial" w:cs="Arial"/>
          <w:b/>
          <w:bCs/>
          <w:color w:val="000000" w:themeColor="text1"/>
          <w:sz w:val="22"/>
          <w:szCs w:val="22"/>
          <w:lang w:val="es-ES_tradnl"/>
        </w:rPr>
        <w:t>–</w:t>
      </w:r>
      <w:r w:rsidRPr="00552A54">
        <w:rPr>
          <w:rFonts w:ascii="Arial" w:hAnsi="Arial" w:cs="Arial"/>
          <w:b/>
          <w:bCs/>
          <w:color w:val="000000" w:themeColor="text1"/>
          <w:sz w:val="22"/>
          <w:szCs w:val="22"/>
          <w:lang w:val="es-ES_tradnl"/>
        </w:rPr>
        <w:t xml:space="preserve"> Prohibición </w:t>
      </w:r>
      <w:r w:rsidRPr="00552A54">
        <w:rPr>
          <w:rFonts w:ascii="Arial" w:eastAsia="Calibri" w:hAnsi="Arial" w:cs="Arial"/>
          <w:b/>
          <w:bCs/>
          <w:color w:val="000000" w:themeColor="text1"/>
          <w:sz w:val="22"/>
          <w:szCs w:val="22"/>
          <w:lang w:val="es-ES_tradnl"/>
        </w:rPr>
        <w:t>–</w:t>
      </w:r>
      <w:r w:rsidRPr="00552A54">
        <w:rPr>
          <w:rFonts w:ascii="Arial" w:hAnsi="Arial" w:cs="Arial"/>
          <w:b/>
          <w:bCs/>
          <w:color w:val="000000" w:themeColor="text1"/>
          <w:sz w:val="22"/>
          <w:szCs w:val="22"/>
          <w:lang w:val="es-ES_tradnl"/>
        </w:rPr>
        <w:t xml:space="preserve"> Prestación de servicios </w:t>
      </w:r>
      <w:r w:rsidRPr="00552A54">
        <w:rPr>
          <w:rFonts w:ascii="Arial" w:eastAsia="Calibri" w:hAnsi="Arial" w:cs="Arial"/>
          <w:b/>
          <w:bCs/>
          <w:color w:val="000000" w:themeColor="text1"/>
          <w:sz w:val="22"/>
          <w:szCs w:val="22"/>
          <w:lang w:val="es-ES_tradnl"/>
        </w:rPr>
        <w:t>–</w:t>
      </w:r>
      <w:r w:rsidRPr="00552A54">
        <w:rPr>
          <w:rFonts w:ascii="Arial" w:hAnsi="Arial" w:cs="Arial"/>
          <w:b/>
          <w:bCs/>
          <w:color w:val="000000" w:themeColor="text1"/>
          <w:sz w:val="22"/>
          <w:szCs w:val="22"/>
          <w:lang w:val="es-ES_tradnl"/>
        </w:rPr>
        <w:t xml:space="preserve"> Apoyo a la Gestión </w:t>
      </w:r>
      <w:r w:rsidRPr="00552A54">
        <w:rPr>
          <w:rFonts w:ascii="Arial" w:eastAsia="Calibri" w:hAnsi="Arial" w:cs="Arial"/>
          <w:b/>
          <w:bCs/>
          <w:color w:val="000000" w:themeColor="text1"/>
          <w:sz w:val="22"/>
          <w:szCs w:val="22"/>
          <w:lang w:val="es-ES_tradnl"/>
        </w:rPr>
        <w:t>– Contratos previos – Perdida de efectos</w:t>
      </w:r>
    </w:p>
    <w:p w14:paraId="1AF7185D" w14:textId="77777777" w:rsidR="0013218A" w:rsidRPr="00552A54" w:rsidRDefault="0013218A" w:rsidP="0013218A">
      <w:pPr>
        <w:contextualSpacing/>
        <w:jc w:val="both"/>
        <w:rPr>
          <w:rFonts w:ascii="Arial" w:hAnsi="Arial" w:cs="Arial"/>
          <w:color w:val="000000" w:themeColor="text1"/>
          <w:sz w:val="20"/>
          <w:szCs w:val="20"/>
          <w:lang w:eastAsia="es-CO"/>
        </w:rPr>
      </w:pPr>
    </w:p>
    <w:p w14:paraId="146E6741" w14:textId="77777777" w:rsidR="0013218A" w:rsidRPr="00552A54" w:rsidRDefault="0013218A" w:rsidP="0013218A">
      <w:pPr>
        <w:contextualSpacing/>
        <w:jc w:val="both"/>
        <w:rPr>
          <w:rFonts w:ascii="Arial" w:hAnsi="Arial" w:cs="Arial"/>
          <w:color w:val="000000" w:themeColor="text1"/>
          <w:sz w:val="20"/>
          <w:szCs w:val="20"/>
          <w:lang w:eastAsia="es-CO"/>
        </w:rPr>
      </w:pPr>
      <w:r w:rsidRPr="00552A54">
        <w:rPr>
          <w:rFonts w:ascii="Arial" w:hAnsi="Arial" w:cs="Arial"/>
          <w:color w:val="000000" w:themeColor="text1"/>
          <w:sz w:val="20"/>
          <w:szCs w:val="20"/>
          <w:lang w:eastAsia="es-CO"/>
        </w:rPr>
        <w:t>No obstante, la restricción antes citada fue objeto de una medida cautelar de suspensión provisional decretada por parte del Consejo de Estado -Sala de lo Contencioso Administrativo, Sección Tercera, Subsección A- en providencia del 22 de febrero de 2023. Igualmente, la Directiva Presidencial No. 2 del 30 de marzo de 2023</w:t>
      </w:r>
      <w:r w:rsidRPr="00552A54">
        <w:rPr>
          <w:rFonts w:ascii="Arial" w:hAnsi="Arial" w:cs="Arial"/>
          <w:color w:val="000000" w:themeColor="text1"/>
          <w:sz w:val="20"/>
          <w:szCs w:val="20"/>
          <w:vertAlign w:val="superscript"/>
          <w:lang w:eastAsia="es-CO"/>
        </w:rPr>
        <w:t xml:space="preserve"> </w:t>
      </w:r>
      <w:r w:rsidRPr="00552A54">
        <w:rPr>
          <w:rFonts w:ascii="Arial" w:hAnsi="Arial" w:cs="Arial"/>
          <w:color w:val="000000" w:themeColor="text1"/>
          <w:sz w:val="20"/>
          <w:szCs w:val="20"/>
          <w:lang w:eastAsia="es-CO"/>
        </w:rPr>
        <w:t xml:space="preserve">dispuso dejar sin efectos las medidas establecidas, entre otras, en la Directiva Presidencial No. 08 del 17 de septiembre de 2022, hasta tanto el Gobierno Nacional expida nuevas directrices en materia de gasto, austeridad y eficiencia del Estado conforme a la reglamentación recientemente expedida para la vigencia 2023. Al haberse dejado sin efectos la disposición contenida en la Directiva Presidencial 08 de septiembre de 2022, en la actualidad no se </w:t>
      </w:r>
      <w:r w:rsidRPr="00552A54">
        <w:rPr>
          <w:rFonts w:ascii="Arial" w:hAnsi="Arial" w:cs="Arial"/>
          <w:color w:val="000000" w:themeColor="text1"/>
          <w:sz w:val="20"/>
          <w:szCs w:val="20"/>
          <w:lang w:eastAsia="es-CO"/>
        </w:rPr>
        <w:lastRenderedPageBreak/>
        <w:t xml:space="preserve">encuentra vigente la restricción consistente en la celebración de más de un contrato de prestación de servicios de apoyo a la gestión. </w:t>
      </w:r>
    </w:p>
    <w:p w14:paraId="6A7BD651" w14:textId="77777777" w:rsidR="0013218A" w:rsidRPr="00552A54" w:rsidRDefault="0013218A" w:rsidP="0013218A">
      <w:pPr>
        <w:contextualSpacing/>
        <w:jc w:val="both"/>
        <w:rPr>
          <w:rFonts w:ascii="Arial" w:hAnsi="Arial" w:cs="Arial"/>
          <w:b/>
          <w:bCs/>
          <w:color w:val="000000" w:themeColor="text1"/>
          <w:sz w:val="20"/>
          <w:szCs w:val="20"/>
          <w:lang w:val="es-ES_tradnl"/>
        </w:rPr>
      </w:pPr>
    </w:p>
    <w:p w14:paraId="2BD9D9FD" w14:textId="77777777" w:rsidR="0013218A" w:rsidRPr="00552A54" w:rsidRDefault="0013218A" w:rsidP="0013218A">
      <w:pPr>
        <w:contextualSpacing/>
        <w:jc w:val="both"/>
        <w:rPr>
          <w:rFonts w:ascii="Arial" w:hAnsi="Arial" w:cs="Arial"/>
          <w:b/>
          <w:bCs/>
          <w:color w:val="000000" w:themeColor="text1"/>
          <w:sz w:val="22"/>
          <w:szCs w:val="22"/>
          <w:lang w:val="es-MX"/>
        </w:rPr>
      </w:pPr>
      <w:r w:rsidRPr="00552A54">
        <w:rPr>
          <w:rFonts w:ascii="Arial" w:hAnsi="Arial" w:cs="Arial"/>
          <w:b/>
          <w:bCs/>
          <w:color w:val="000000" w:themeColor="text1"/>
          <w:sz w:val="22"/>
          <w:szCs w:val="22"/>
        </w:rPr>
        <w:t xml:space="preserve">CONTRATO DE PRESTACIÓN DE SERVICIOS – Suscripción </w:t>
      </w:r>
      <w:r w:rsidRPr="00552A54">
        <w:rPr>
          <w:rFonts w:ascii="Arial" w:hAnsi="Arial" w:cs="Arial"/>
          <w:b/>
          <w:bCs/>
          <w:color w:val="000000" w:themeColor="text1"/>
          <w:sz w:val="22"/>
          <w:szCs w:val="22"/>
          <w:lang w:val="es-MX"/>
        </w:rPr>
        <w:t>– Más</w:t>
      </w:r>
      <w:r w:rsidRPr="00552A54">
        <w:rPr>
          <w:rFonts w:ascii="Arial" w:hAnsi="Arial" w:cs="Arial"/>
          <w:b/>
          <w:bCs/>
          <w:color w:val="000000" w:themeColor="text1"/>
          <w:sz w:val="22"/>
          <w:szCs w:val="22"/>
        </w:rPr>
        <w:t xml:space="preserve"> de un contrato </w:t>
      </w:r>
      <w:r w:rsidRPr="00552A54">
        <w:rPr>
          <w:rFonts w:ascii="Arial" w:hAnsi="Arial" w:cs="Arial"/>
          <w:b/>
          <w:bCs/>
          <w:color w:val="000000" w:themeColor="text1"/>
          <w:sz w:val="22"/>
          <w:szCs w:val="22"/>
          <w:lang w:val="es-MX"/>
        </w:rPr>
        <w:t>– Procedencia</w:t>
      </w:r>
    </w:p>
    <w:p w14:paraId="5F8C7C5A" w14:textId="77777777" w:rsidR="0013218A" w:rsidRPr="00552A54" w:rsidRDefault="0013218A" w:rsidP="0013218A">
      <w:pPr>
        <w:contextualSpacing/>
        <w:jc w:val="both"/>
        <w:rPr>
          <w:rFonts w:ascii="Arial" w:hAnsi="Arial" w:cs="Arial"/>
          <w:b/>
          <w:bCs/>
          <w:color w:val="000000" w:themeColor="text1"/>
          <w:sz w:val="20"/>
          <w:szCs w:val="20"/>
          <w:lang w:val="es-MX"/>
        </w:rPr>
      </w:pPr>
    </w:p>
    <w:p w14:paraId="2B8B6070" w14:textId="77777777" w:rsidR="0013218A" w:rsidRPr="00552A54" w:rsidRDefault="0013218A" w:rsidP="0013218A">
      <w:pPr>
        <w:contextualSpacing/>
        <w:jc w:val="both"/>
        <w:rPr>
          <w:rFonts w:ascii="Arial" w:hAnsi="Arial" w:cs="Arial"/>
          <w:color w:val="000000" w:themeColor="text1"/>
          <w:sz w:val="20"/>
          <w:szCs w:val="20"/>
        </w:rPr>
      </w:pPr>
      <w:r w:rsidRPr="00552A54">
        <w:rPr>
          <w:rFonts w:ascii="Arial" w:eastAsia="Calibri" w:hAnsi="Arial" w:cs="Arial"/>
          <w:color w:val="000000" w:themeColor="text1"/>
          <w:sz w:val="20"/>
          <w:szCs w:val="20"/>
        </w:rPr>
        <w:t xml:space="preserve">no existe prohibición para que una misma persona celebre dos contratos con una misma Entidad Estatal. Por un lado, </w:t>
      </w:r>
      <w:r w:rsidRPr="00552A54">
        <w:rPr>
          <w:rFonts w:ascii="Arial" w:hAnsi="Arial" w:cs="Arial"/>
          <w:color w:val="000000" w:themeColor="text1"/>
          <w:sz w:val="20"/>
          <w:szCs w:val="20"/>
        </w:rPr>
        <w:t xml:space="preserve">teniendo en cuenta la naturaleza jurídica del contrato de prestación de servicios, la prohibición de percibir doble asignación del tesoro público no es aplicable, pues estos, en virtud del artículo 32 de la Ley 80 de 1993, no comportan una relación laboral, sino que son fruto de la libre autonomía de la voluntad de los contratantes, por consiguiente el contratista no es considerado un servidor público, al no tener un vínculo de subordinación con el Estado, elemento propio de un contrato laboral. Por otro lado, </w:t>
      </w:r>
      <w:r w:rsidRPr="00552A54">
        <w:rPr>
          <w:rFonts w:ascii="Arial" w:hAnsi="Arial" w:cs="Arial"/>
          <w:color w:val="000000" w:themeColor="text1"/>
          <w:sz w:val="20"/>
          <w:szCs w:val="20"/>
          <w:lang w:eastAsia="es-CO"/>
        </w:rPr>
        <w:t xml:space="preserve">revisadas las causales previstas en la Carta Política de 1991, así como en el artículo 8º de la Ley 80 de 1993 y en otras disposiciones complementarias, no se evidencia la existencia de una prohibición para que una misma persona natural preste sus servicios a una entidad, a través de contratos distintos y concomitantes o simultáneos. </w:t>
      </w:r>
    </w:p>
    <w:p w14:paraId="0044883D" w14:textId="77777777" w:rsidR="00950DF7" w:rsidRPr="00552A54" w:rsidRDefault="00950DF7" w:rsidP="00F304EA">
      <w:pPr>
        <w:spacing w:line="276" w:lineRule="auto"/>
        <w:jc w:val="both"/>
        <w:rPr>
          <w:rFonts w:ascii="Arial" w:hAnsi="Arial" w:cs="Arial"/>
          <w:noProof/>
          <w:color w:val="000000" w:themeColor="text1"/>
          <w:sz w:val="22"/>
          <w:lang w:val="es-ES_tradnl"/>
        </w:rPr>
      </w:pPr>
    </w:p>
    <w:p w14:paraId="17AFC762" w14:textId="77777777" w:rsidR="00435597" w:rsidRPr="00552A54" w:rsidRDefault="00435597" w:rsidP="00435597">
      <w:pPr>
        <w:jc w:val="both"/>
        <w:rPr>
          <w:rFonts w:ascii="Arial" w:eastAsia="Calibri" w:hAnsi="Arial" w:cs="Arial"/>
          <w:b/>
          <w:bCs/>
          <w:color w:val="000000" w:themeColor="text1"/>
          <w:sz w:val="22"/>
        </w:rPr>
      </w:pPr>
      <w:bookmarkStart w:id="2" w:name="_Hlk79793860"/>
      <w:r w:rsidRPr="00552A54">
        <w:rPr>
          <w:rFonts w:ascii="Arial" w:eastAsia="Calibri" w:hAnsi="Arial" w:cs="Arial"/>
          <w:b/>
          <w:bCs/>
          <w:color w:val="000000" w:themeColor="text1"/>
          <w:sz w:val="22"/>
        </w:rPr>
        <w:t>ARREGLO DIRECTO EN LA CONTRATACIÓN ESTATAL – Principio – Concepto – Alcances – Manifestaciones</w:t>
      </w:r>
    </w:p>
    <w:bookmarkEnd w:id="2"/>
    <w:p w14:paraId="4D80B8F1" w14:textId="16722C10" w:rsidR="00435597" w:rsidRPr="00552A54" w:rsidRDefault="00435597" w:rsidP="00435597">
      <w:pPr>
        <w:pStyle w:val="NormalWeb"/>
        <w:shd w:val="clear" w:color="auto" w:fill="FFFFFF"/>
        <w:jc w:val="both"/>
        <w:rPr>
          <w:rFonts w:ascii="Arial" w:hAnsi="Arial" w:cs="Arial"/>
          <w:color w:val="000000" w:themeColor="text1"/>
          <w:sz w:val="20"/>
          <w:szCs w:val="20"/>
          <w:lang w:eastAsia="es-ES_tradnl"/>
        </w:rPr>
      </w:pPr>
      <w:r w:rsidRPr="00552A54">
        <w:rPr>
          <w:rFonts w:ascii="Arial" w:hAnsi="Arial" w:cs="Arial"/>
          <w:color w:val="000000" w:themeColor="text1"/>
          <w:sz w:val="20"/>
          <w:szCs w:val="20"/>
          <w:lang w:eastAsia="es-ES_tradnl"/>
        </w:rPr>
        <w:t xml:space="preserve">La Ley 80 de 1993, Estatuto General de Contratación de la Administración Pública -EGCAP-, marcó un hito en la solución de controversias surgidas de la celebración, ejecución o liquidación del contrato estatal. A lo largo de su articulado, pretendió dotar al Sistema de Compra Pública con las herramientas e instrumentos necesarios y suficientes para garantizar un escenario que permitiera una pronta, celera y eficiente solución de controversias, brindando espacios, oportunidades y alternativas diferentes a las tradicionales fórmulas jurisdiccionales o contenciosas. Con fundamento en las tesis modernas que buscan descongestionar los despachos judiciales de todas aquellas materias respecto de los cuales las propias partes pueden arreglar directamente sus diferencias o sus conflictos y, además, como efecto trascendental del postulado de la autonomía de la voluntad, el cual caracteriza al contrato estatal , el EGCAP consagró una serie de mecanismos ágiles, sencillos, claros que se orientan a que las partes contratantes solucionen directamente tanto los problemas como las diferencias y discrepancias surgidas de la actividad contractual, </w:t>
      </w:r>
      <w:r w:rsidR="003D06F0" w:rsidRPr="00552A54">
        <w:rPr>
          <w:rFonts w:ascii="Arial" w:hAnsi="Arial" w:cs="Arial"/>
          <w:color w:val="000000" w:themeColor="text1"/>
          <w:sz w:val="20"/>
          <w:szCs w:val="20"/>
          <w:lang w:eastAsia="es-ES_tradnl"/>
        </w:rPr>
        <w:t>“</w:t>
      </w:r>
      <w:r w:rsidRPr="00552A54">
        <w:rPr>
          <w:rFonts w:ascii="Arial" w:hAnsi="Arial" w:cs="Arial"/>
          <w:color w:val="000000" w:themeColor="text1"/>
          <w:sz w:val="20"/>
          <w:szCs w:val="20"/>
          <w:lang w:eastAsia="es-ES_tradnl"/>
        </w:rPr>
        <w:t>evitando, en lo posible, las vías judiciales.</w:t>
      </w:r>
      <w:r w:rsidR="003D06F0" w:rsidRPr="00552A54">
        <w:rPr>
          <w:rFonts w:ascii="Arial" w:hAnsi="Arial" w:cs="Arial"/>
          <w:color w:val="000000" w:themeColor="text1"/>
          <w:sz w:val="20"/>
          <w:szCs w:val="20"/>
          <w:lang w:eastAsia="es-ES_tradnl"/>
        </w:rPr>
        <w:t>”</w:t>
      </w:r>
      <w:r w:rsidRPr="00552A54">
        <w:rPr>
          <w:rFonts w:ascii="Arial" w:hAnsi="Arial" w:cs="Arial"/>
          <w:color w:val="000000" w:themeColor="text1"/>
          <w:sz w:val="20"/>
          <w:szCs w:val="20"/>
          <w:lang w:eastAsia="es-ES_tradnl"/>
        </w:rPr>
        <w:t xml:space="preserve"> Estos mecanismos están desarrollados en el EGCAP para la transparencia, la celeridad, la agilidad, los menores costos y la justicia contractual. […] De lo anterior surge la noción </w:t>
      </w:r>
      <w:bookmarkStart w:id="3" w:name="_Hlk82571640"/>
      <w:r w:rsidRPr="00552A54">
        <w:rPr>
          <w:rFonts w:ascii="Arial" w:hAnsi="Arial" w:cs="Arial"/>
          <w:color w:val="000000" w:themeColor="text1"/>
          <w:sz w:val="20"/>
          <w:szCs w:val="20"/>
          <w:lang w:eastAsia="es-ES_tradnl"/>
        </w:rPr>
        <w:t xml:space="preserve">del principio de arreglo directo de controversias, conforme al cual, durante el desarrollo de todo el proceso contractual, esto es, en sus etapas preparativas, de ejecución y liquidación, los distintos partícipes -oferentes o contratantes, según el caso- deberán preferir, siempre que ello sea posible, las fórmulas e instrumentos que el ordenamiento jurídico ha dispuesto para que solucionen directamente sus discrepancias. El adjetivo “directo” atribuible al arreglo, hace referencia a que la controversia debería ser solucionada entre las partes directamente involucradas o interesadas en la solución, o, dicho de otra manera, las que podrían resultar directa y principalmente afectadas por la solución lograda. </w:t>
      </w:r>
      <w:bookmarkEnd w:id="3"/>
    </w:p>
    <w:p w14:paraId="5E43D42F" w14:textId="77777777" w:rsidR="00435597" w:rsidRPr="00552A54" w:rsidRDefault="00435597" w:rsidP="00435597">
      <w:pPr>
        <w:pStyle w:val="NormalWeb"/>
        <w:shd w:val="clear" w:color="auto" w:fill="FFFFFF"/>
        <w:jc w:val="both"/>
        <w:rPr>
          <w:rFonts w:ascii="Arial" w:eastAsia="Calibri" w:hAnsi="Arial" w:cs="Arial"/>
          <w:b/>
          <w:color w:val="000000" w:themeColor="text1"/>
          <w:sz w:val="22"/>
          <w:lang w:val="es-ES_tradnl"/>
        </w:rPr>
      </w:pPr>
      <w:r w:rsidRPr="00552A54">
        <w:rPr>
          <w:rFonts w:ascii="Arial" w:eastAsia="Calibri" w:hAnsi="Arial" w:cs="Arial"/>
          <w:b/>
          <w:color w:val="000000" w:themeColor="text1"/>
          <w:sz w:val="22"/>
          <w:lang w:val="es-ES_tradnl"/>
        </w:rPr>
        <w:t>TRANSACCIÓN – Concepto – Requisitos</w:t>
      </w:r>
    </w:p>
    <w:p w14:paraId="6B2FF8B9" w14:textId="6AF1CEFC" w:rsidR="00435597" w:rsidRPr="00552A54" w:rsidRDefault="00435597" w:rsidP="00435597">
      <w:pPr>
        <w:jc w:val="both"/>
        <w:rPr>
          <w:rFonts w:ascii="Arial" w:eastAsia="Calibri" w:hAnsi="Arial" w:cs="Arial"/>
          <w:color w:val="000000" w:themeColor="text1"/>
          <w:sz w:val="20"/>
          <w:szCs w:val="20"/>
          <w:lang w:val="es-ES_tradnl"/>
        </w:rPr>
      </w:pPr>
      <w:r w:rsidRPr="00552A54">
        <w:rPr>
          <w:rFonts w:ascii="Arial" w:eastAsia="Calibri" w:hAnsi="Arial" w:cs="Arial"/>
          <w:color w:val="000000" w:themeColor="text1"/>
          <w:sz w:val="20"/>
          <w:szCs w:val="20"/>
          <w:lang w:val="es-ES_tradnl"/>
        </w:rPr>
        <w:t xml:space="preserve">La transacción es un mecanismo alternativo de resolución de conflictos de carácter autocompositivo. En efecto, mediante la transacción las partes involucradas en una controversia acuerdan directamente la forma de resolverla, o sea que solucionan el conflicto por voluntad propia –efectuando concesiones recíprocas– y no por la imposición de un tercero. De ahí que la transacción revista los rasgos de un negocio jurídico o contrato, pues es un acuerdo de voluntades para crear, </w:t>
      </w:r>
      <w:r w:rsidRPr="00552A54">
        <w:rPr>
          <w:rFonts w:ascii="Arial" w:eastAsia="Calibri" w:hAnsi="Arial" w:cs="Arial"/>
          <w:color w:val="000000" w:themeColor="text1"/>
          <w:sz w:val="20"/>
          <w:szCs w:val="20"/>
          <w:lang w:val="es-ES_tradnl"/>
        </w:rPr>
        <w:lastRenderedPageBreak/>
        <w:t xml:space="preserve">modificar o extinguir derechos y obligaciones. Esto diferencia a la transacción, como se había dicho, de los mecanismos heterocompositivos, en los que un sujeto distinto a las partes decide con autoridad a cuál de ellas le asiste la razón. El artículo 2.469 del Código Civil define la transacción como </w:t>
      </w:r>
      <w:r w:rsidR="003D06F0" w:rsidRPr="00552A54">
        <w:rPr>
          <w:rFonts w:ascii="Arial" w:eastAsia="Calibri" w:hAnsi="Arial" w:cs="Arial"/>
          <w:color w:val="000000" w:themeColor="text1"/>
          <w:sz w:val="20"/>
          <w:szCs w:val="20"/>
          <w:lang w:val="es-ES_tradnl"/>
        </w:rPr>
        <w:t>“</w:t>
      </w:r>
      <w:r w:rsidRPr="00552A54">
        <w:rPr>
          <w:rFonts w:ascii="Arial" w:eastAsia="Calibri" w:hAnsi="Arial" w:cs="Arial"/>
          <w:color w:val="000000" w:themeColor="text1"/>
          <w:sz w:val="20"/>
          <w:szCs w:val="20"/>
          <w:lang w:val="es-ES_tradnl"/>
        </w:rPr>
        <w:t>[…] un contrato en que las partes terminan extrajudicialmente un litigio pendiente o precaven un litigio eventual</w:t>
      </w:r>
      <w:r w:rsidR="003D06F0" w:rsidRPr="00552A54">
        <w:rPr>
          <w:rFonts w:ascii="Arial" w:eastAsia="Calibri" w:hAnsi="Arial" w:cs="Arial"/>
          <w:color w:val="000000" w:themeColor="text1"/>
          <w:sz w:val="20"/>
          <w:szCs w:val="20"/>
          <w:lang w:val="es-ES_tradnl"/>
        </w:rPr>
        <w:t>”</w:t>
      </w:r>
      <w:r w:rsidRPr="00552A54">
        <w:rPr>
          <w:rFonts w:ascii="Arial" w:eastAsia="Calibri" w:hAnsi="Arial" w:cs="Arial"/>
          <w:color w:val="000000" w:themeColor="text1"/>
          <w:sz w:val="20"/>
          <w:szCs w:val="20"/>
          <w:lang w:val="es-ES_tradnl"/>
        </w:rPr>
        <w:t>. Adicionalmente, los artículos 2.470 a 2.487 establecen los requisitos del contrato de transacción, entre los que se destacan los siguientes: i) Solo procede sobre derechos inciertos y discutibles. ii) Las partes deben tener capacidad para disponer del objeto del negocio jurídico, lo que no obsta para que se otorgue poder mediante la celebración de un contrato de mandato. iii) No puede versar sobre materias prohibidas, como el estado civil de las personas, derechos ajenos o que no existen. iv) Únicamente surte efecto entre las partes. Además, el artículo 1.625, numeral 3, del mismo Código prevé la transacción como uno de los modos de extinción de las obligaciones.</w:t>
      </w:r>
    </w:p>
    <w:p w14:paraId="56E4842E" w14:textId="77777777" w:rsidR="00435597" w:rsidRDefault="00435597" w:rsidP="00F304EA">
      <w:pPr>
        <w:spacing w:line="276" w:lineRule="auto"/>
        <w:jc w:val="both"/>
        <w:rPr>
          <w:rFonts w:ascii="Arial" w:hAnsi="Arial" w:cs="Arial"/>
          <w:noProof/>
          <w:color w:val="000000" w:themeColor="text1"/>
          <w:sz w:val="22"/>
          <w:lang w:val="es-ES_tradnl"/>
        </w:rPr>
      </w:pPr>
    </w:p>
    <w:p w14:paraId="602B43AE" w14:textId="77777777" w:rsidR="00950DF7" w:rsidRPr="00552A54" w:rsidRDefault="00950DF7" w:rsidP="00F304EA">
      <w:pPr>
        <w:spacing w:line="276" w:lineRule="auto"/>
        <w:jc w:val="both"/>
        <w:rPr>
          <w:rFonts w:ascii="Arial" w:hAnsi="Arial" w:cs="Arial"/>
          <w:noProof/>
          <w:color w:val="000000" w:themeColor="text1"/>
          <w:sz w:val="22"/>
          <w:lang w:val="es-ES_tradnl"/>
        </w:rPr>
      </w:pPr>
    </w:p>
    <w:p w14:paraId="76D05AE7" w14:textId="77777777" w:rsidR="00950DF7" w:rsidRPr="00552A54" w:rsidRDefault="00950DF7" w:rsidP="00F304EA">
      <w:pPr>
        <w:spacing w:line="276" w:lineRule="auto"/>
        <w:jc w:val="both"/>
        <w:rPr>
          <w:rFonts w:ascii="Arial" w:hAnsi="Arial" w:cs="Arial"/>
          <w:noProof/>
          <w:color w:val="000000" w:themeColor="text1"/>
          <w:sz w:val="22"/>
          <w:lang w:val="es-ES_tradnl"/>
        </w:rPr>
      </w:pPr>
    </w:p>
    <w:p w14:paraId="323C3F56" w14:textId="1DFC3E4C" w:rsidR="00950DF7" w:rsidRPr="00552A54" w:rsidRDefault="00950DF7" w:rsidP="00F304EA">
      <w:pPr>
        <w:spacing w:line="276" w:lineRule="auto"/>
        <w:jc w:val="both"/>
        <w:rPr>
          <w:rFonts w:ascii="Arial" w:hAnsi="Arial" w:cs="Arial"/>
          <w:noProof/>
          <w:color w:val="000000" w:themeColor="text1"/>
          <w:sz w:val="22"/>
          <w:lang w:val="es-ES_tradnl"/>
        </w:rPr>
      </w:pPr>
    </w:p>
    <w:p w14:paraId="4C56A3FA" w14:textId="77777777" w:rsidR="00950DF7" w:rsidRPr="00552A54" w:rsidRDefault="00950DF7" w:rsidP="00F304EA">
      <w:pPr>
        <w:spacing w:line="276" w:lineRule="auto"/>
        <w:jc w:val="both"/>
        <w:rPr>
          <w:rFonts w:ascii="Arial" w:hAnsi="Arial" w:cs="Arial"/>
          <w:noProof/>
          <w:color w:val="000000" w:themeColor="text1"/>
          <w:sz w:val="22"/>
          <w:lang w:val="es-ES_tradnl"/>
        </w:rPr>
      </w:pPr>
    </w:p>
    <w:p w14:paraId="32DD9094" w14:textId="77777777" w:rsidR="00950DF7" w:rsidRPr="00552A54" w:rsidRDefault="00950DF7" w:rsidP="00F304EA">
      <w:pPr>
        <w:spacing w:line="276" w:lineRule="auto"/>
        <w:jc w:val="both"/>
        <w:rPr>
          <w:rFonts w:ascii="Arial" w:hAnsi="Arial" w:cs="Arial"/>
          <w:noProof/>
          <w:color w:val="000000" w:themeColor="text1"/>
          <w:sz w:val="22"/>
          <w:lang w:val="es-ES_tradnl"/>
        </w:rPr>
      </w:pPr>
    </w:p>
    <w:p w14:paraId="5D92A4CD" w14:textId="77777777" w:rsidR="00603258" w:rsidRPr="00552A54" w:rsidRDefault="00603258" w:rsidP="00F304EA">
      <w:pPr>
        <w:spacing w:line="276" w:lineRule="auto"/>
        <w:jc w:val="both"/>
        <w:rPr>
          <w:rFonts w:ascii="Arial" w:hAnsi="Arial" w:cs="Arial"/>
          <w:noProof/>
          <w:color w:val="000000" w:themeColor="text1"/>
          <w:sz w:val="22"/>
          <w:lang w:val="es-ES_tradnl"/>
        </w:rPr>
      </w:pPr>
    </w:p>
    <w:p w14:paraId="6439606E" w14:textId="77777777" w:rsidR="00941D0A" w:rsidRPr="00552A54" w:rsidRDefault="00941D0A" w:rsidP="00F304EA">
      <w:pPr>
        <w:spacing w:line="276" w:lineRule="auto"/>
        <w:jc w:val="both"/>
        <w:rPr>
          <w:rFonts w:ascii="Arial" w:hAnsi="Arial" w:cs="Arial"/>
          <w:noProof/>
          <w:color w:val="000000" w:themeColor="text1"/>
          <w:sz w:val="22"/>
          <w:lang w:val="es-ES_tradnl"/>
        </w:rPr>
      </w:pPr>
    </w:p>
    <w:p w14:paraId="00575D5E" w14:textId="77777777" w:rsidR="00941D0A" w:rsidRPr="00552A54" w:rsidRDefault="00941D0A" w:rsidP="00F304EA">
      <w:pPr>
        <w:spacing w:line="276" w:lineRule="auto"/>
        <w:jc w:val="both"/>
        <w:rPr>
          <w:rFonts w:ascii="Arial" w:hAnsi="Arial" w:cs="Arial"/>
          <w:noProof/>
          <w:color w:val="000000" w:themeColor="text1"/>
          <w:sz w:val="22"/>
          <w:lang w:val="es-ES_tradnl"/>
        </w:rPr>
      </w:pPr>
    </w:p>
    <w:p w14:paraId="14BD5863" w14:textId="77777777" w:rsidR="00941D0A" w:rsidRPr="00552A54" w:rsidRDefault="00941D0A" w:rsidP="00F304EA">
      <w:pPr>
        <w:spacing w:line="276" w:lineRule="auto"/>
        <w:jc w:val="both"/>
        <w:rPr>
          <w:rFonts w:ascii="Arial" w:hAnsi="Arial" w:cs="Arial"/>
          <w:noProof/>
          <w:color w:val="000000" w:themeColor="text1"/>
          <w:sz w:val="22"/>
          <w:lang w:val="es-ES_tradnl"/>
        </w:rPr>
      </w:pPr>
    </w:p>
    <w:p w14:paraId="4807BBD7" w14:textId="77777777" w:rsidR="00941D0A" w:rsidRPr="00552A54" w:rsidRDefault="00941D0A" w:rsidP="00F304EA">
      <w:pPr>
        <w:spacing w:line="276" w:lineRule="auto"/>
        <w:jc w:val="both"/>
        <w:rPr>
          <w:rFonts w:ascii="Arial" w:hAnsi="Arial" w:cs="Arial"/>
          <w:noProof/>
          <w:color w:val="000000" w:themeColor="text1"/>
          <w:sz w:val="22"/>
          <w:lang w:val="es-ES_tradnl"/>
        </w:rPr>
      </w:pPr>
    </w:p>
    <w:p w14:paraId="72511FEE" w14:textId="77777777" w:rsidR="00941D0A" w:rsidRPr="00552A54" w:rsidRDefault="00941D0A" w:rsidP="00F304EA">
      <w:pPr>
        <w:spacing w:line="276" w:lineRule="auto"/>
        <w:jc w:val="both"/>
        <w:rPr>
          <w:rFonts w:ascii="Arial" w:hAnsi="Arial" w:cs="Arial"/>
          <w:noProof/>
          <w:color w:val="000000" w:themeColor="text1"/>
          <w:sz w:val="22"/>
          <w:lang w:val="es-ES_tradnl"/>
        </w:rPr>
      </w:pPr>
    </w:p>
    <w:p w14:paraId="3025AAE6" w14:textId="43BF9C8B" w:rsidR="004E4FED" w:rsidRDefault="004E4FED">
      <w:pPr>
        <w:spacing w:after="160" w:line="259" w:lineRule="auto"/>
        <w:rPr>
          <w:rFonts w:ascii="Arial" w:hAnsi="Arial" w:cs="Arial"/>
          <w:color w:val="000000" w:themeColor="text1"/>
          <w:sz w:val="22"/>
          <w:szCs w:val="22"/>
          <w:shd w:val="clear" w:color="auto" w:fill="E6E6E6"/>
          <w:lang w:val="es-MX" w:eastAsia="es-CO"/>
        </w:rPr>
      </w:pPr>
    </w:p>
    <w:p w14:paraId="0196891E"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160BDBD6"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176A895D"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2ADA2BD4"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655212B2"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6B2ADEBD"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0372FB82"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4D797794"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730FF243"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0A47DD85"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4FE0722B"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4AE5132B"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667C3DAD" w14:textId="77777777" w:rsidR="000F3F7E" w:rsidRDefault="000F3F7E">
      <w:pPr>
        <w:spacing w:after="160" w:line="259" w:lineRule="auto"/>
        <w:rPr>
          <w:rFonts w:ascii="Arial" w:hAnsi="Arial" w:cs="Arial"/>
          <w:color w:val="000000" w:themeColor="text1"/>
          <w:sz w:val="22"/>
          <w:szCs w:val="22"/>
          <w:shd w:val="clear" w:color="auto" w:fill="E6E6E6"/>
          <w:lang w:val="es-MX" w:eastAsia="es-CO"/>
        </w:rPr>
      </w:pPr>
    </w:p>
    <w:p w14:paraId="24939464" w14:textId="77777777" w:rsidR="000F3F7E" w:rsidRPr="00552A54" w:rsidRDefault="000F3F7E" w:rsidP="000F3F7E">
      <w:pPr>
        <w:spacing w:line="276" w:lineRule="auto"/>
        <w:jc w:val="both"/>
        <w:rPr>
          <w:rFonts w:ascii="Arial" w:hAnsi="Arial" w:cs="Arial"/>
          <w:noProof/>
          <w:color w:val="000000" w:themeColor="text1"/>
          <w:sz w:val="22"/>
          <w:lang w:val="es-ES_tradnl"/>
        </w:rPr>
      </w:pPr>
      <w:r>
        <w:rPr>
          <w:rFonts w:ascii="Arial" w:hAnsi="Arial" w:cs="Arial"/>
          <w:noProof/>
          <w:color w:val="000000" w:themeColor="text1"/>
          <w:sz w:val="22"/>
          <w:lang w:val="es-ES_tradnl"/>
        </w:rPr>
        <w:lastRenderedPageBreak/>
        <w:t>Bogotá D.C., 28 Noviembre 2023</w:t>
      </w:r>
    </w:p>
    <w:p w14:paraId="7F292B94" w14:textId="6AADB518" w:rsidR="00950DF7" w:rsidRPr="00552A54" w:rsidRDefault="000F3F7E" w:rsidP="000F3F7E">
      <w:pPr>
        <w:jc w:val="right"/>
        <w:rPr>
          <w:rFonts w:ascii="Arial" w:hAnsi="Arial" w:cs="Arial"/>
          <w:noProof/>
          <w:color w:val="000000" w:themeColor="text1"/>
          <w:sz w:val="22"/>
          <w:szCs w:val="22"/>
          <w:lang w:val="es-ES_tradnl"/>
        </w:rPr>
      </w:pPr>
      <w:r w:rsidRPr="000F3F7E">
        <w:rPr>
          <w:rFonts w:ascii="Arial" w:hAnsi="Arial" w:cs="Arial"/>
          <w:noProof/>
          <w:color w:val="000000" w:themeColor="text1"/>
          <w:sz w:val="22"/>
          <w:szCs w:val="22"/>
          <w:lang w:val="es-ES_tradnl"/>
        </w:rPr>
        <w:drawing>
          <wp:inline distT="0" distB="0" distL="0" distR="0" wp14:anchorId="25095B1F" wp14:editId="72F98256">
            <wp:extent cx="2971953" cy="876345"/>
            <wp:effectExtent l="0" t="0" r="0" b="0"/>
            <wp:docPr id="3666336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33670" name=""/>
                    <pic:cNvPicPr/>
                  </pic:nvPicPr>
                  <pic:blipFill>
                    <a:blip r:embed="rId11"/>
                    <a:stretch>
                      <a:fillRect/>
                    </a:stretch>
                  </pic:blipFill>
                  <pic:spPr>
                    <a:xfrm>
                      <a:off x="0" y="0"/>
                      <a:ext cx="2971953" cy="876345"/>
                    </a:xfrm>
                    <a:prstGeom prst="rect">
                      <a:avLst/>
                    </a:prstGeom>
                  </pic:spPr>
                </pic:pic>
              </a:graphicData>
            </a:graphic>
          </wp:inline>
        </w:drawing>
      </w:r>
    </w:p>
    <w:p w14:paraId="133113F8" w14:textId="77777777" w:rsidR="00E1685B" w:rsidRPr="00552A54" w:rsidRDefault="00E1685B" w:rsidP="00E1685B">
      <w:pPr>
        <w:jc w:val="both"/>
        <w:rPr>
          <w:rFonts w:ascii="Arial" w:eastAsia="Calibri" w:hAnsi="Arial" w:cs="Arial"/>
          <w:color w:val="000000" w:themeColor="text1"/>
          <w:lang w:val="es-ES"/>
        </w:rPr>
      </w:pPr>
      <w:r w:rsidRPr="00552A54">
        <w:rPr>
          <w:rFonts w:ascii="Arial" w:eastAsia="Calibri" w:hAnsi="Arial" w:cs="Arial"/>
          <w:color w:val="000000" w:themeColor="text1"/>
          <w:lang w:val="es-ES"/>
        </w:rPr>
        <w:t>Señor</w:t>
      </w:r>
      <w:r>
        <w:rPr>
          <w:rFonts w:ascii="Arial" w:eastAsia="Calibri" w:hAnsi="Arial" w:cs="Arial"/>
          <w:color w:val="000000" w:themeColor="text1"/>
          <w:lang w:val="es-ES"/>
        </w:rPr>
        <w:t>a</w:t>
      </w:r>
    </w:p>
    <w:p w14:paraId="5CD7D055" w14:textId="77777777" w:rsidR="00E1685B" w:rsidRPr="00552A54" w:rsidRDefault="00E1685B" w:rsidP="00E1685B">
      <w:pPr>
        <w:rPr>
          <w:rFonts w:ascii="Arial" w:eastAsia="Calibri" w:hAnsi="Arial" w:cs="Arial"/>
          <w:b/>
          <w:bCs/>
          <w:color w:val="000000" w:themeColor="text1"/>
          <w:lang w:val="es-ES"/>
        </w:rPr>
      </w:pPr>
      <w:r w:rsidRPr="00552A54">
        <w:rPr>
          <w:rFonts w:ascii="Arial" w:eastAsia="Calibri" w:hAnsi="Arial" w:cs="Arial"/>
          <w:b/>
          <w:bCs/>
          <w:color w:val="000000" w:themeColor="text1"/>
          <w:lang w:val="es-ES"/>
        </w:rPr>
        <w:t>Diana Milena Cujar Figueroa</w:t>
      </w:r>
    </w:p>
    <w:p w14:paraId="5E603268" w14:textId="77777777" w:rsidR="00E1685B" w:rsidRPr="00552A54" w:rsidRDefault="00E1685B" w:rsidP="00E1685B">
      <w:pPr>
        <w:rPr>
          <w:rFonts w:ascii="Arial" w:eastAsia="Calibri" w:hAnsi="Arial" w:cs="Arial"/>
          <w:color w:val="000000" w:themeColor="text1"/>
          <w:lang w:val="es-ES_tradnl"/>
        </w:rPr>
      </w:pPr>
      <w:r w:rsidRPr="00552A54">
        <w:rPr>
          <w:rFonts w:ascii="Arial" w:eastAsia="Calibri" w:hAnsi="Arial" w:cs="Arial"/>
          <w:bCs/>
          <w:color w:val="000000" w:themeColor="text1"/>
          <w:lang w:val="es-ES_tradnl"/>
        </w:rPr>
        <w:t>Ciudad</w:t>
      </w:r>
    </w:p>
    <w:p w14:paraId="2B7A9E58" w14:textId="77777777" w:rsidR="00E1685B" w:rsidRPr="00552A54" w:rsidRDefault="00E1685B" w:rsidP="00E1685B">
      <w:pPr>
        <w:rPr>
          <w:rFonts w:ascii="Arial" w:eastAsia="Calibri" w:hAnsi="Arial" w:cs="Arial"/>
          <w:color w:val="000000" w:themeColor="text1"/>
          <w:lang w:val="es-ES_tradnl"/>
        </w:rPr>
      </w:pPr>
    </w:p>
    <w:p w14:paraId="1A19524A" w14:textId="77777777" w:rsidR="00E1685B" w:rsidRPr="00552A54" w:rsidRDefault="00E1685B" w:rsidP="00E1685B">
      <w:pPr>
        <w:jc w:val="center"/>
        <w:rPr>
          <w:rFonts w:ascii="Arial" w:eastAsia="Calibri" w:hAnsi="Arial" w:cs="Arial"/>
          <w:b/>
          <w:bCs/>
          <w:color w:val="000000" w:themeColor="text1"/>
          <w:lang w:val="es-ES"/>
        </w:rPr>
      </w:pPr>
      <w:r w:rsidRPr="00EA163E">
        <w:rPr>
          <w:rFonts w:ascii="Arial" w:eastAsia="Calibri" w:hAnsi="Arial" w:cs="Arial"/>
          <w:b/>
          <w:bCs/>
          <w:color w:val="000000" w:themeColor="text1"/>
          <w:lang w:val="es-ES"/>
        </w:rPr>
        <w:t>Concepto C</w:t>
      </w:r>
      <w:r>
        <w:rPr>
          <w:rFonts w:ascii="Arial" w:eastAsia="Calibri" w:hAnsi="Arial" w:cs="Arial"/>
          <w:b/>
          <w:bCs/>
          <w:color w:val="000000" w:themeColor="text1"/>
          <w:lang w:val="es-ES"/>
        </w:rPr>
        <w:t>-</w:t>
      </w:r>
      <w:r w:rsidRPr="00EA163E">
        <w:rPr>
          <w:rFonts w:ascii="Arial" w:eastAsia="Calibri" w:hAnsi="Arial" w:cs="Arial"/>
          <w:b/>
          <w:bCs/>
          <w:color w:val="000000" w:themeColor="text1"/>
          <w:lang w:val="es-ES"/>
        </w:rPr>
        <w:t>465 de 2023</w:t>
      </w:r>
    </w:p>
    <w:p w14:paraId="58769CD3" w14:textId="77777777" w:rsidR="00E1685B" w:rsidRPr="00552A54" w:rsidRDefault="00E1685B" w:rsidP="00E1685B">
      <w:pPr>
        <w:jc w:val="both"/>
        <w:rPr>
          <w:rFonts w:ascii="Arial" w:eastAsia="Calibri" w:hAnsi="Arial" w:cs="Arial"/>
          <w:color w:val="000000" w:themeColor="text1"/>
          <w:lang w:val="es-ES_tradnl"/>
        </w:rPr>
      </w:pPr>
    </w:p>
    <w:tbl>
      <w:tblPr>
        <w:tblStyle w:val="Tablaconcuadrcula"/>
        <w:tblW w:w="76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6237"/>
      </w:tblGrid>
      <w:tr w:rsidR="00E1685B" w:rsidRPr="00552A54" w14:paraId="40E9684F" w14:textId="77777777" w:rsidTr="000F3F7E">
        <w:trPr>
          <w:jc w:val="right"/>
        </w:trPr>
        <w:tc>
          <w:tcPr>
            <w:tcW w:w="1418" w:type="dxa"/>
          </w:tcPr>
          <w:p w14:paraId="596B307B" w14:textId="77777777" w:rsidR="00E1685B" w:rsidRPr="00552A54" w:rsidRDefault="00E1685B" w:rsidP="00EC72F2">
            <w:pPr>
              <w:rPr>
                <w:rFonts w:ascii="Arial" w:eastAsia="Calibri" w:hAnsi="Arial" w:cs="Arial"/>
                <w:color w:val="000000" w:themeColor="text1"/>
                <w:lang w:val="es-ES_tradnl"/>
              </w:rPr>
            </w:pPr>
            <w:r w:rsidRPr="00552A54">
              <w:rPr>
                <w:rFonts w:ascii="Arial" w:eastAsia="Calibri" w:hAnsi="Arial" w:cs="Arial"/>
                <w:b/>
                <w:color w:val="000000" w:themeColor="text1"/>
                <w:lang w:val="es-ES_tradnl"/>
              </w:rPr>
              <w:t>Temas:</w:t>
            </w:r>
          </w:p>
        </w:tc>
        <w:tc>
          <w:tcPr>
            <w:tcW w:w="6237" w:type="dxa"/>
          </w:tcPr>
          <w:p w14:paraId="002FB2C2" w14:textId="649E20B1" w:rsidR="00E1685B" w:rsidRPr="00552A54" w:rsidRDefault="00E1685B" w:rsidP="00615CC7">
            <w:pPr>
              <w:jc w:val="both"/>
              <w:rPr>
                <w:rFonts w:ascii="Arial" w:hAnsi="Arial" w:cs="Arial"/>
                <w:color w:val="000000" w:themeColor="text1"/>
                <w:lang w:val="es-ES_tradnl"/>
              </w:rPr>
            </w:pPr>
            <w:r w:rsidRPr="00552A54">
              <w:rPr>
                <w:rFonts w:ascii="Arial" w:eastAsia="Calibri" w:hAnsi="Arial" w:cs="Arial"/>
                <w:color w:val="000000" w:themeColor="text1"/>
              </w:rPr>
              <w:t>COLOMBIA COMPRA EFICIENTE – Competencia Consultiva – Contratación Estatal – Normas Generales</w:t>
            </w:r>
            <w:r w:rsidRPr="00552A54">
              <w:rPr>
                <w:rFonts w:ascii="Arial" w:eastAsia="Calibri" w:hAnsi="Arial" w:cs="Arial"/>
                <w:color w:val="000000" w:themeColor="text1"/>
                <w:lang w:val="es-ES_tradnl"/>
              </w:rPr>
              <w:t xml:space="preserve"> / </w:t>
            </w:r>
            <w:r w:rsidRPr="00552A54">
              <w:rPr>
                <w:rFonts w:ascii="Arial" w:eastAsia="Calibri" w:hAnsi="Arial" w:cs="Arial"/>
                <w:bCs/>
                <w:color w:val="000000" w:themeColor="text1"/>
                <w:lang w:val="es-ES_tradnl"/>
              </w:rPr>
              <w:t xml:space="preserve"> </w:t>
            </w:r>
            <w:r w:rsidR="00615CC7" w:rsidRPr="00615CC7">
              <w:rPr>
                <w:rFonts w:ascii="Arial" w:hAnsi="Arial" w:cs="Arial"/>
                <w:bCs/>
                <w:color w:val="000000" w:themeColor="text1"/>
                <w:lang w:val="es-MX"/>
              </w:rPr>
              <w:t>CONTRATO DE PRESTACIÓN DE SERVICIOS – Concepto</w:t>
            </w:r>
            <w:r w:rsidR="00615CC7">
              <w:rPr>
                <w:rFonts w:ascii="Arial" w:hAnsi="Arial" w:cs="Arial"/>
                <w:bCs/>
                <w:color w:val="000000" w:themeColor="text1"/>
                <w:lang w:val="es-MX"/>
              </w:rPr>
              <w:t xml:space="preserve"> – </w:t>
            </w:r>
            <w:r w:rsidR="00615CC7" w:rsidRPr="00615CC7">
              <w:rPr>
                <w:rFonts w:ascii="Arial" w:hAnsi="Arial" w:cs="Arial"/>
                <w:bCs/>
                <w:color w:val="000000" w:themeColor="text1"/>
                <w:lang w:val="es-MX"/>
              </w:rPr>
              <w:t>Concepto</w:t>
            </w:r>
            <w:r w:rsidR="00615CC7">
              <w:rPr>
                <w:rFonts w:ascii="Arial" w:hAnsi="Arial" w:cs="Arial"/>
                <w:bCs/>
                <w:color w:val="000000" w:themeColor="text1"/>
                <w:lang w:val="es-MX"/>
              </w:rPr>
              <w:t xml:space="preserve"> </w:t>
            </w:r>
            <w:r w:rsidR="00615CC7" w:rsidRPr="00615CC7">
              <w:rPr>
                <w:rFonts w:ascii="Arial" w:hAnsi="Arial" w:cs="Arial"/>
                <w:bCs/>
                <w:color w:val="000000" w:themeColor="text1"/>
                <w:lang w:val="es-MX"/>
              </w:rPr>
              <w:t>-</w:t>
            </w:r>
            <w:r w:rsidR="00615CC7" w:rsidRPr="00615CC7">
              <w:rPr>
                <w:rFonts w:ascii="Arial" w:hAnsi="Arial" w:cs="Arial"/>
                <w:bCs/>
                <w:color w:val="000000" w:themeColor="text1"/>
                <w:lang w:val="es-MX"/>
              </w:rPr>
              <w:tab/>
              <w:t>Requisitos y límites para su celebración -</w:t>
            </w:r>
            <w:r w:rsidR="00615CC7">
              <w:rPr>
                <w:rFonts w:ascii="Arial" w:hAnsi="Arial" w:cs="Arial"/>
                <w:bCs/>
                <w:color w:val="000000" w:themeColor="text1"/>
                <w:lang w:val="es-MX"/>
              </w:rPr>
              <w:t xml:space="preserve"> </w:t>
            </w:r>
            <w:r w:rsidR="00615CC7" w:rsidRPr="00615CC7">
              <w:rPr>
                <w:rFonts w:ascii="Arial" w:hAnsi="Arial" w:cs="Arial"/>
                <w:bCs/>
                <w:color w:val="000000" w:themeColor="text1"/>
                <w:lang w:val="es-MX"/>
              </w:rPr>
              <w:t>Doble erogación presupuestal – Prohibición – No es aplicable -</w:t>
            </w:r>
            <w:r w:rsidR="00615CC7">
              <w:rPr>
                <w:rFonts w:ascii="Arial" w:hAnsi="Arial" w:cs="Arial"/>
                <w:bCs/>
                <w:color w:val="000000" w:themeColor="text1"/>
                <w:lang w:val="es-MX"/>
              </w:rPr>
              <w:t xml:space="preserve"> </w:t>
            </w:r>
            <w:r w:rsidR="00615CC7" w:rsidRPr="00615CC7">
              <w:rPr>
                <w:rFonts w:ascii="Arial" w:hAnsi="Arial" w:cs="Arial"/>
                <w:bCs/>
                <w:color w:val="000000" w:themeColor="text1"/>
                <w:lang w:val="es-MX"/>
              </w:rPr>
              <w:t>Posibilidad de celebrar varios contratos de forma simultánea - Suscripción – Más de un contrato – Procedencia</w:t>
            </w:r>
            <w:r w:rsidR="00615CC7">
              <w:rPr>
                <w:rFonts w:ascii="Arial" w:hAnsi="Arial" w:cs="Arial"/>
                <w:bCs/>
                <w:color w:val="000000" w:themeColor="text1"/>
                <w:lang w:val="es-MX"/>
              </w:rPr>
              <w:t xml:space="preserve"> / </w:t>
            </w:r>
            <w:r w:rsidR="00615CC7" w:rsidRPr="00615CC7">
              <w:rPr>
                <w:rFonts w:ascii="Arial" w:hAnsi="Arial" w:cs="Arial"/>
                <w:bCs/>
                <w:color w:val="000000" w:themeColor="text1"/>
                <w:lang w:val="es-MX"/>
              </w:rPr>
              <w:t>ARREGLO DIRECTO EN LA CONTRATACIÓN ESTATAL – Principio – Concepto – Alcances – Manifestaciones</w:t>
            </w:r>
            <w:r w:rsidR="00615CC7">
              <w:rPr>
                <w:rFonts w:ascii="Arial" w:hAnsi="Arial" w:cs="Arial"/>
                <w:bCs/>
                <w:color w:val="000000" w:themeColor="text1"/>
                <w:lang w:val="es-MX"/>
              </w:rPr>
              <w:t xml:space="preserve"> / </w:t>
            </w:r>
            <w:r w:rsidR="00615CC7" w:rsidRPr="00615CC7">
              <w:rPr>
                <w:rFonts w:ascii="Arial" w:hAnsi="Arial" w:cs="Arial"/>
                <w:bCs/>
                <w:color w:val="000000" w:themeColor="text1"/>
                <w:lang w:val="es-MX"/>
              </w:rPr>
              <w:t>TRANSACCIÓN – Concepto – Requisitos</w:t>
            </w:r>
          </w:p>
        </w:tc>
      </w:tr>
      <w:tr w:rsidR="00E1685B" w:rsidRPr="00552A54" w14:paraId="620EFDDA" w14:textId="77777777" w:rsidTr="000F3F7E">
        <w:trPr>
          <w:jc w:val="right"/>
        </w:trPr>
        <w:tc>
          <w:tcPr>
            <w:tcW w:w="1418" w:type="dxa"/>
          </w:tcPr>
          <w:p w14:paraId="55538281" w14:textId="14F1DDA2" w:rsidR="00E1685B" w:rsidRPr="00552A54" w:rsidRDefault="00E1685B" w:rsidP="00EC72F2">
            <w:pPr>
              <w:spacing w:before="120"/>
              <w:rPr>
                <w:rFonts w:ascii="Arial" w:eastAsia="Calibri" w:hAnsi="Arial" w:cs="Arial"/>
                <w:b/>
                <w:color w:val="000000" w:themeColor="text1"/>
                <w:lang w:val="es-ES"/>
              </w:rPr>
            </w:pPr>
            <w:r w:rsidRPr="00552A54">
              <w:rPr>
                <w:rFonts w:ascii="Arial" w:eastAsia="Calibri" w:hAnsi="Arial" w:cs="Arial"/>
                <w:b/>
                <w:color w:val="000000" w:themeColor="text1"/>
                <w:lang w:val="es-ES"/>
              </w:rPr>
              <w:t>Radicación:</w:t>
            </w:r>
          </w:p>
        </w:tc>
        <w:tc>
          <w:tcPr>
            <w:tcW w:w="6237" w:type="dxa"/>
          </w:tcPr>
          <w:p w14:paraId="7FC274FD" w14:textId="77777777" w:rsidR="00E1685B" w:rsidRPr="00552A54" w:rsidRDefault="00E1685B" w:rsidP="00EC72F2">
            <w:pPr>
              <w:spacing w:before="120"/>
              <w:jc w:val="both"/>
              <w:rPr>
                <w:rFonts w:ascii="Arial" w:eastAsia="Calibri" w:hAnsi="Arial" w:cs="Arial"/>
                <w:color w:val="000000" w:themeColor="text1"/>
                <w:lang w:val="es-ES"/>
              </w:rPr>
            </w:pPr>
            <w:r w:rsidRPr="00552A54">
              <w:rPr>
                <w:rFonts w:ascii="Arial" w:eastAsia="Calibri" w:hAnsi="Arial" w:cs="Arial"/>
                <w:color w:val="000000" w:themeColor="text1"/>
                <w:lang w:val="es-ES"/>
              </w:rPr>
              <w:t>Respuesta</w:t>
            </w:r>
            <w:r>
              <w:rPr>
                <w:rFonts w:ascii="Arial" w:eastAsia="Calibri" w:hAnsi="Arial" w:cs="Arial"/>
                <w:color w:val="000000" w:themeColor="text1"/>
                <w:lang w:val="es-ES"/>
              </w:rPr>
              <w:t xml:space="preserve"> acumulada </w:t>
            </w:r>
            <w:r w:rsidRPr="00552A54">
              <w:rPr>
                <w:rFonts w:ascii="Arial" w:eastAsia="Calibri" w:hAnsi="Arial" w:cs="Arial"/>
                <w:color w:val="000000" w:themeColor="text1"/>
                <w:lang w:val="es-ES"/>
              </w:rPr>
              <w:t xml:space="preserve">a </w:t>
            </w:r>
            <w:r>
              <w:rPr>
                <w:rFonts w:ascii="Arial" w:eastAsia="Calibri" w:hAnsi="Arial" w:cs="Arial"/>
                <w:color w:val="000000" w:themeColor="text1"/>
                <w:lang w:val="es-ES"/>
              </w:rPr>
              <w:t xml:space="preserve">las </w:t>
            </w:r>
            <w:r w:rsidRPr="00552A54">
              <w:rPr>
                <w:rFonts w:ascii="Arial" w:eastAsia="Calibri" w:hAnsi="Arial" w:cs="Arial"/>
                <w:color w:val="000000" w:themeColor="text1"/>
                <w:lang w:val="es-ES"/>
              </w:rPr>
              <w:t>consultas P20231019016160 y P20231020016176</w:t>
            </w:r>
          </w:p>
        </w:tc>
      </w:tr>
    </w:tbl>
    <w:p w14:paraId="742D7C6B" w14:textId="77777777" w:rsidR="00E1685B" w:rsidRPr="00552A54" w:rsidRDefault="00E1685B" w:rsidP="00E1685B">
      <w:pPr>
        <w:jc w:val="both"/>
        <w:rPr>
          <w:rFonts w:ascii="Arial" w:eastAsia="Calibri" w:hAnsi="Arial" w:cs="Arial"/>
          <w:color w:val="000000" w:themeColor="text1"/>
          <w:lang w:val="es-ES_tradnl"/>
        </w:rPr>
      </w:pPr>
      <w:r w:rsidRPr="00552A54">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ab/>
      </w:r>
      <w:r>
        <w:rPr>
          <w:rFonts w:ascii="Arial" w:eastAsia="Calibri" w:hAnsi="Arial" w:cs="Arial"/>
          <w:color w:val="000000" w:themeColor="text1"/>
          <w:lang w:val="es-ES_tradnl"/>
        </w:rPr>
        <w:tab/>
      </w:r>
      <w:r>
        <w:rPr>
          <w:rFonts w:ascii="Arial" w:eastAsia="Calibri" w:hAnsi="Arial" w:cs="Arial"/>
          <w:color w:val="000000" w:themeColor="text1"/>
          <w:lang w:val="es-ES_tradnl"/>
        </w:rPr>
        <w:tab/>
        <w:t xml:space="preserve">       </w:t>
      </w:r>
      <w:r w:rsidRPr="00552A54">
        <w:rPr>
          <w:rFonts w:ascii="Arial" w:eastAsia="Calibri" w:hAnsi="Arial" w:cs="Arial"/>
          <w:color w:val="000000" w:themeColor="text1"/>
          <w:lang w:val="es-ES"/>
        </w:rPr>
        <w:tab/>
      </w:r>
    </w:p>
    <w:p w14:paraId="100B081D" w14:textId="77777777" w:rsidR="00E1685B" w:rsidRPr="00552A54" w:rsidRDefault="00E1685B" w:rsidP="00E1685B">
      <w:pPr>
        <w:jc w:val="both"/>
        <w:rPr>
          <w:rFonts w:ascii="Arial" w:eastAsia="Calibri" w:hAnsi="Arial" w:cs="Arial"/>
          <w:bCs/>
          <w:color w:val="000000" w:themeColor="text1"/>
          <w:lang w:val="es-ES_tradnl"/>
        </w:rPr>
      </w:pPr>
      <w:r w:rsidRPr="00552A54">
        <w:rPr>
          <w:rFonts w:ascii="Arial" w:eastAsia="Calibri" w:hAnsi="Arial" w:cs="Arial"/>
          <w:color w:val="000000" w:themeColor="text1"/>
          <w:lang w:val="es-ES_tradnl"/>
        </w:rPr>
        <w:t xml:space="preserve">Estimada señora </w:t>
      </w:r>
      <w:r w:rsidRPr="00552A54">
        <w:rPr>
          <w:rFonts w:ascii="Arial" w:eastAsia="Calibri" w:hAnsi="Arial" w:cs="Arial"/>
          <w:bCs/>
          <w:color w:val="000000" w:themeColor="text1"/>
          <w:lang w:val="es-ES_tradnl"/>
        </w:rPr>
        <w:t>Cujar Figueroa:</w:t>
      </w:r>
    </w:p>
    <w:p w14:paraId="1243021A" w14:textId="77777777" w:rsidR="00E1685B" w:rsidRPr="00552A54" w:rsidRDefault="00E1685B" w:rsidP="00E1685B">
      <w:pPr>
        <w:jc w:val="both"/>
        <w:rPr>
          <w:rFonts w:ascii="Arial" w:eastAsia="Calibri" w:hAnsi="Arial" w:cs="Arial"/>
          <w:color w:val="000000" w:themeColor="text1"/>
          <w:lang w:val="es-ES_tradnl"/>
        </w:rPr>
      </w:pPr>
    </w:p>
    <w:p w14:paraId="2FB45073" w14:textId="77777777" w:rsidR="00E1685B" w:rsidRPr="00552A54" w:rsidRDefault="00E1685B" w:rsidP="00E1685B">
      <w:pPr>
        <w:spacing w:line="276" w:lineRule="auto"/>
        <w:jc w:val="both"/>
        <w:rPr>
          <w:rFonts w:ascii="Arial" w:eastAsia="Calibri" w:hAnsi="Arial" w:cs="Arial"/>
          <w:color w:val="000000" w:themeColor="text1"/>
          <w:lang w:val="es-ES"/>
        </w:rPr>
      </w:pPr>
      <w:r w:rsidRPr="00552A54">
        <w:rPr>
          <w:rFonts w:ascii="Arial" w:eastAsia="Calibri" w:hAnsi="Arial" w:cs="Arial"/>
          <w:color w:val="000000" w:themeColor="text1"/>
          <w:lang w:val="es-ES"/>
        </w:rPr>
        <w:t>En ejercicio de la competencia otorgada por el numeral 8° del artículo 11 y el numeral 5° del artículo 3 del Decreto Ley 4170 de 2011</w:t>
      </w:r>
      <w:r w:rsidRPr="00552A54">
        <w:rPr>
          <w:rFonts w:ascii="Arial" w:eastAsia="Calibri" w:hAnsi="Arial" w:cs="Arial"/>
          <w:color w:val="000000" w:themeColor="text1"/>
        </w:rPr>
        <w:t xml:space="preserve">, </w:t>
      </w:r>
      <w:r w:rsidRPr="00552A54">
        <w:rPr>
          <w:rFonts w:ascii="Arial" w:hAnsi="Arial" w:cs="Arial"/>
          <w:color w:val="000000" w:themeColor="text1"/>
        </w:rPr>
        <w:t>así como lo establecido en la Resolución 1707 de 2018 expedida por esta Entidad</w:t>
      </w:r>
      <w:r w:rsidRPr="00552A54">
        <w:rPr>
          <w:rFonts w:ascii="Arial" w:eastAsia="Calibri" w:hAnsi="Arial" w:cs="Arial"/>
          <w:color w:val="000000" w:themeColor="text1"/>
          <w:lang w:val="es-ES"/>
        </w:rPr>
        <w:t>, la Agencia Nacional de Contratación Pública ― Colombia Compra Eficiente responde su</w:t>
      </w:r>
      <w:r>
        <w:rPr>
          <w:rFonts w:ascii="Arial" w:eastAsia="Calibri" w:hAnsi="Arial" w:cs="Arial"/>
          <w:color w:val="000000" w:themeColor="text1"/>
          <w:lang w:val="es-ES"/>
        </w:rPr>
        <w:t>s</w:t>
      </w:r>
      <w:r w:rsidRPr="00552A54">
        <w:rPr>
          <w:rFonts w:ascii="Arial" w:eastAsia="Calibri" w:hAnsi="Arial" w:cs="Arial"/>
          <w:color w:val="000000" w:themeColor="text1"/>
          <w:lang w:val="es-ES"/>
        </w:rPr>
        <w:t xml:space="preserve"> consulta</w:t>
      </w:r>
      <w:r>
        <w:rPr>
          <w:rFonts w:ascii="Arial" w:eastAsia="Calibri" w:hAnsi="Arial" w:cs="Arial"/>
          <w:color w:val="000000" w:themeColor="text1"/>
          <w:lang w:val="es-ES"/>
        </w:rPr>
        <w:t>s</w:t>
      </w:r>
      <w:r w:rsidRPr="00552A54">
        <w:rPr>
          <w:rFonts w:ascii="Arial" w:eastAsia="Calibri" w:hAnsi="Arial" w:cs="Arial"/>
          <w:color w:val="000000" w:themeColor="text1"/>
          <w:lang w:val="es-ES"/>
        </w:rPr>
        <w:t xml:space="preserve"> del </w:t>
      </w:r>
      <w:r>
        <w:rPr>
          <w:rFonts w:ascii="Arial" w:eastAsia="Calibri" w:hAnsi="Arial" w:cs="Arial"/>
          <w:color w:val="000000" w:themeColor="text1"/>
          <w:lang w:val="es-ES"/>
        </w:rPr>
        <w:t>19 de octubre de 2023</w:t>
      </w:r>
      <w:r w:rsidRPr="00552A54">
        <w:rPr>
          <w:rFonts w:ascii="Arial" w:eastAsia="Calibri" w:hAnsi="Arial" w:cs="Arial"/>
          <w:color w:val="000000" w:themeColor="text1"/>
          <w:lang w:val="es-ES"/>
        </w:rPr>
        <w:t>.</w:t>
      </w:r>
    </w:p>
    <w:p w14:paraId="337F1DAD" w14:textId="77777777" w:rsidR="00E1685B" w:rsidRPr="00552A54" w:rsidRDefault="00E1685B" w:rsidP="00E1685B">
      <w:pPr>
        <w:spacing w:line="276" w:lineRule="auto"/>
        <w:jc w:val="both"/>
        <w:rPr>
          <w:rFonts w:ascii="Arial" w:eastAsia="Calibri" w:hAnsi="Arial" w:cs="Arial"/>
          <w:b/>
          <w:color w:val="000000" w:themeColor="text1"/>
          <w:lang w:val="es-ES_tradnl"/>
        </w:rPr>
      </w:pPr>
    </w:p>
    <w:p w14:paraId="2EA23DC8" w14:textId="77777777" w:rsidR="00E1685B" w:rsidRPr="00552A54" w:rsidRDefault="00E1685B" w:rsidP="00E1685B">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lang w:val="es-ES_tradnl"/>
        </w:rPr>
      </w:pPr>
      <w:r w:rsidRPr="00552A54">
        <w:rPr>
          <w:rFonts w:ascii="Arial" w:eastAsia="Calibri" w:hAnsi="Arial" w:cs="Arial"/>
          <w:b/>
          <w:color w:val="000000" w:themeColor="text1"/>
          <w:lang w:val="es-ES_tradnl"/>
        </w:rPr>
        <w:t xml:space="preserve">Problema planteado </w:t>
      </w:r>
    </w:p>
    <w:p w14:paraId="2128E385" w14:textId="77777777" w:rsidR="00E1685B" w:rsidRDefault="00E1685B" w:rsidP="00E1685B">
      <w:pPr>
        <w:jc w:val="both"/>
        <w:rPr>
          <w:rFonts w:ascii="Arial" w:hAnsi="Arial" w:cs="Arial"/>
          <w:color w:val="000000" w:themeColor="text1"/>
        </w:rPr>
      </w:pPr>
    </w:p>
    <w:p w14:paraId="38AD3232" w14:textId="77777777" w:rsidR="00E1685B" w:rsidRPr="00552A54" w:rsidRDefault="00E1685B" w:rsidP="00E1685B">
      <w:pPr>
        <w:jc w:val="both"/>
        <w:rPr>
          <w:rFonts w:ascii="Arial" w:hAnsi="Arial" w:cs="Arial"/>
          <w:color w:val="000000" w:themeColor="text1"/>
        </w:rPr>
      </w:pPr>
      <w:r w:rsidRPr="00552A54">
        <w:rPr>
          <w:rFonts w:ascii="Arial" w:hAnsi="Arial" w:cs="Arial"/>
          <w:color w:val="000000" w:themeColor="text1"/>
        </w:rPr>
        <w:t xml:space="preserve">Usted formula la siguiente consulta: </w:t>
      </w:r>
    </w:p>
    <w:p w14:paraId="676B6993" w14:textId="77777777" w:rsidR="00E1685B" w:rsidRDefault="00E1685B" w:rsidP="00E1685B">
      <w:pPr>
        <w:ind w:left="709" w:right="709"/>
        <w:jc w:val="both"/>
        <w:rPr>
          <w:rFonts w:ascii="Arial" w:hAnsi="Arial" w:cs="Arial"/>
          <w:color w:val="000000" w:themeColor="text1"/>
          <w:sz w:val="20"/>
          <w:szCs w:val="20"/>
        </w:rPr>
      </w:pPr>
    </w:p>
    <w:p w14:paraId="1EBE1C33"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 xml:space="preserve">“1. ¿Cuál es la normativa vigente que regula la posibilidad de que una entidad pública o comprador contrate con un proveedor o contratista que tenga dos contratos con la misma entidad, siempre y cuando involucren diferentes actividades o funciones? </w:t>
      </w:r>
    </w:p>
    <w:p w14:paraId="7E4C844D"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lastRenderedPageBreak/>
        <w:t>“2. ¿Existe alguna restricción específica en la normativa para la coordinación de múltiples contratos con la misma entidad en el ámbito de compras públicas?</w:t>
      </w:r>
    </w:p>
    <w:p w14:paraId="587C6B84"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“3. ¿Cuáles son los fundamentos y criterios que se utilizan para evaluar la legalidad y de tener varios contratos con la misma entidad, particularmente cuando se trata de diferentes actividades o funciones?</w:t>
      </w:r>
    </w:p>
    <w:p w14:paraId="3835965F"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“4. ¿Cuál es el proceso para garantizar que los contratos con la misma entidad no generen conflictos de interés o situaciones de competencia?</w:t>
      </w:r>
    </w:p>
    <w:p w14:paraId="7AD6982B"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“5. ¿Qué medidas se pueden tomar cuando una entidad pública incumple sus obligaciones contractuales, como el pago de salarios y actividades cumplidas, y mantiene retenidos los pagos?</w:t>
      </w:r>
    </w:p>
    <w:p w14:paraId="1598ABC6"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“6. ¿Qué papel desempeña ANCP - CCE en la resolución de conflictos entre proveedores o contratistas y entidades públicas en relación con contratos de compras públicas?</w:t>
      </w:r>
    </w:p>
    <w:p w14:paraId="1D02920A"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“7. ¿Cuáles son los pasos recomendados para un proveedor o contratista que enfrenta problemas con una entidad pública en el marco de contratos firmados y aceptados con una entidad pública?</w:t>
      </w:r>
    </w:p>
    <w:p w14:paraId="06A94B93"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8. ¿Existen mecanismos de mediación o arbitraje recomendados para resolver disputas entre proveedores o contratistas y entidades públicas en el ámbito de compras públicas?</w:t>
      </w:r>
    </w:p>
    <w:p w14:paraId="27C4F3E3" w14:textId="77777777" w:rsidR="00E1685B" w:rsidRDefault="00E1685B" w:rsidP="00E1685B">
      <w:pPr>
        <w:ind w:left="709" w:right="709"/>
        <w:jc w:val="both"/>
        <w:rPr>
          <w:rFonts w:ascii="Arial" w:hAnsi="Arial" w:cs="Arial"/>
          <w:color w:val="000000" w:themeColor="text1"/>
          <w:lang w:val="es-ES_tradnl"/>
        </w:rPr>
      </w:pPr>
      <w:r w:rsidRPr="00552A54">
        <w:rPr>
          <w:rFonts w:ascii="Arial" w:hAnsi="Arial" w:cs="Arial"/>
          <w:color w:val="000000" w:themeColor="text1"/>
          <w:sz w:val="20"/>
          <w:szCs w:val="20"/>
        </w:rPr>
        <w:t>9. Que puede hacer un contratista que ha cumplido con las actividades contractuales planteadas y que no ha recibido el pago de sus honorarios laborales.”</w:t>
      </w:r>
      <w:r>
        <w:rPr>
          <w:rFonts w:ascii="Arial" w:hAnsi="Arial" w:cs="Arial"/>
          <w:color w:val="000000" w:themeColor="text1"/>
          <w:lang w:val="es-ES_tradnl"/>
        </w:rPr>
        <w:t>.</w:t>
      </w:r>
    </w:p>
    <w:p w14:paraId="49CD08C2" w14:textId="77777777" w:rsidR="00E1685B" w:rsidRPr="00552A54" w:rsidRDefault="00E1685B" w:rsidP="00E1685B">
      <w:pPr>
        <w:spacing w:line="259" w:lineRule="auto"/>
        <w:ind w:left="709" w:right="709"/>
        <w:jc w:val="both"/>
        <w:rPr>
          <w:rFonts w:ascii="Arial" w:hAnsi="Arial" w:cs="Arial"/>
          <w:color w:val="000000" w:themeColor="text1"/>
          <w:lang w:val="es-ES_tradnl"/>
        </w:rPr>
      </w:pPr>
    </w:p>
    <w:p w14:paraId="59D5C448" w14:textId="77777777" w:rsidR="00E1685B" w:rsidRPr="00552A54" w:rsidRDefault="00E1685B" w:rsidP="00E1685B">
      <w:pPr>
        <w:pStyle w:val="Prrafodelista"/>
        <w:numPr>
          <w:ilvl w:val="0"/>
          <w:numId w:val="1"/>
        </w:numPr>
        <w:tabs>
          <w:tab w:val="left" w:pos="0"/>
          <w:tab w:val="left" w:pos="284"/>
        </w:tabs>
        <w:ind w:left="0" w:firstLine="0"/>
        <w:contextualSpacing w:val="0"/>
        <w:jc w:val="both"/>
        <w:rPr>
          <w:rFonts w:ascii="Arial" w:eastAsia="Calibri" w:hAnsi="Arial" w:cs="Arial"/>
          <w:b/>
          <w:color w:val="000000" w:themeColor="text1"/>
          <w:lang w:val="es-ES_tradnl"/>
        </w:rPr>
      </w:pPr>
      <w:r w:rsidRPr="00552A54">
        <w:rPr>
          <w:rFonts w:ascii="Arial" w:eastAsia="Calibri" w:hAnsi="Arial" w:cs="Arial"/>
          <w:b/>
          <w:color w:val="000000" w:themeColor="text1"/>
          <w:lang w:val="es-ES_tradnl"/>
        </w:rPr>
        <w:t>Consideraciones</w:t>
      </w:r>
    </w:p>
    <w:p w14:paraId="78D7D4C5" w14:textId="77777777" w:rsidR="00E1685B" w:rsidRPr="00552A54" w:rsidRDefault="00E1685B" w:rsidP="00E1685B">
      <w:pPr>
        <w:pStyle w:val="Prrafodelista"/>
        <w:tabs>
          <w:tab w:val="left" w:pos="0"/>
          <w:tab w:val="left" w:pos="284"/>
        </w:tabs>
        <w:jc w:val="both"/>
        <w:rPr>
          <w:rFonts w:ascii="Arial" w:eastAsia="Calibri" w:hAnsi="Arial" w:cs="Arial"/>
          <w:b/>
          <w:color w:val="000000" w:themeColor="text1"/>
          <w:lang w:val="es-ES_tradnl"/>
        </w:rPr>
      </w:pPr>
    </w:p>
    <w:p w14:paraId="0B0A88E0" w14:textId="77777777" w:rsidR="00E1685B" w:rsidRPr="00552A54" w:rsidRDefault="00E1685B" w:rsidP="00E1685B">
      <w:pPr>
        <w:spacing w:after="120" w:line="276" w:lineRule="auto"/>
        <w:jc w:val="both"/>
        <w:rPr>
          <w:rFonts w:ascii="Arial" w:hAnsi="Arial" w:cs="Arial"/>
          <w:color w:val="000000" w:themeColor="text1"/>
          <w:lang w:val="es-ES"/>
        </w:rPr>
      </w:pPr>
      <w:r w:rsidRPr="00552A54">
        <w:rPr>
          <w:rFonts w:ascii="Arial" w:hAnsi="Arial" w:cs="Arial"/>
          <w:color w:val="000000" w:themeColor="text1"/>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color w:val="000000" w:themeColor="text1"/>
        </w:rPr>
        <w:t xml:space="preserve">. </w:t>
      </w:r>
      <w:bookmarkStart w:id="4" w:name="_Hlk61701014"/>
      <w:bookmarkStart w:id="5" w:name="_Hlk62136649"/>
      <w:r w:rsidRPr="00552A54">
        <w:rPr>
          <w:rFonts w:ascii="Arial" w:hAnsi="Arial" w:cs="Arial"/>
          <w:color w:val="000000" w:themeColor="text1"/>
          <w:lang w:val="es-ES"/>
        </w:rPr>
        <w:t xml:space="preserve">Es necesario tener en cuenta que </w:t>
      </w:r>
      <w:bookmarkStart w:id="6" w:name="_Hlk61026958"/>
      <w:r w:rsidRPr="00552A54">
        <w:rPr>
          <w:rFonts w:ascii="Arial" w:hAnsi="Arial" w:cs="Arial"/>
          <w:color w:val="000000" w:themeColor="text1"/>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52A54">
        <w:rPr>
          <w:rFonts w:ascii="Arial" w:hAnsi="Arial" w:cs="Arial"/>
          <w:color w:val="000000" w:themeColor="text1"/>
        </w:rPr>
        <w:t xml:space="preserve"> de todos los partícipes de la contratación estatal.</w:t>
      </w:r>
    </w:p>
    <w:p w14:paraId="2E319DDE" w14:textId="77777777" w:rsidR="00E1685B" w:rsidRPr="00552A54" w:rsidRDefault="00E1685B" w:rsidP="00E1685B">
      <w:pPr>
        <w:spacing w:after="120" w:line="276" w:lineRule="auto"/>
        <w:ind w:firstLine="708"/>
        <w:jc w:val="both"/>
        <w:rPr>
          <w:rFonts w:ascii="Arial" w:hAnsi="Arial" w:cs="Arial"/>
          <w:color w:val="000000" w:themeColor="text1"/>
          <w:lang w:val="es-ES"/>
        </w:rPr>
      </w:pPr>
      <w:r w:rsidRPr="00552A54">
        <w:rPr>
          <w:rFonts w:ascii="Arial" w:hAnsi="Arial" w:cs="Arial"/>
          <w:color w:val="000000" w:themeColor="text1"/>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52A54">
        <w:rPr>
          <w:rFonts w:ascii="Arial" w:hAnsi="Arial" w:cs="Arial"/>
          <w:color w:val="000000" w:themeColor="text1"/>
          <w:vertAlign w:val="superscript"/>
          <w:lang w:val="es-ES"/>
        </w:rPr>
        <w:footnoteReference w:id="2"/>
      </w:r>
      <w:r w:rsidRPr="00552A54">
        <w:rPr>
          <w:rFonts w:ascii="Arial" w:hAnsi="Arial" w:cs="Arial"/>
          <w:color w:val="000000" w:themeColor="text1"/>
          <w:lang w:val="es-ES"/>
        </w:rPr>
        <w:t xml:space="preserve">. Esta competencia de interpretación de normas generales, por </w:t>
      </w:r>
      <w:r w:rsidRPr="00552A54">
        <w:rPr>
          <w:rFonts w:ascii="Arial" w:hAnsi="Arial" w:cs="Arial"/>
          <w:color w:val="000000" w:themeColor="text1"/>
          <w:lang w:val="es-ES"/>
        </w:rPr>
        <w:lastRenderedPageBreak/>
        <w:t>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552A54">
        <w:rPr>
          <w:rFonts w:ascii="Arial" w:hAnsi="Arial" w:cs="Arial"/>
          <w:color w:val="000000" w:themeColor="text1"/>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p>
    <w:bookmarkEnd w:id="5"/>
    <w:p w14:paraId="408212BC" w14:textId="77777777" w:rsidR="00E1685B" w:rsidRPr="00552A54" w:rsidRDefault="00E1685B" w:rsidP="00E1685B">
      <w:pPr>
        <w:tabs>
          <w:tab w:val="left" w:pos="426"/>
        </w:tabs>
        <w:spacing w:before="120" w:after="120" w:line="276" w:lineRule="auto"/>
        <w:jc w:val="both"/>
        <w:rPr>
          <w:rFonts w:ascii="Arial" w:hAnsi="Arial" w:cs="Arial"/>
          <w:bCs/>
          <w:color w:val="000000" w:themeColor="text1"/>
          <w:lang w:val="es-ES"/>
        </w:rPr>
      </w:pPr>
      <w:r w:rsidRPr="00552A54">
        <w:rPr>
          <w:rFonts w:ascii="Arial" w:hAnsi="Arial" w:cs="Arial"/>
          <w:color w:val="000000" w:themeColor="text1"/>
        </w:rPr>
        <w:tab/>
      </w:r>
      <w:r w:rsidRPr="00552A54">
        <w:rPr>
          <w:rFonts w:ascii="Arial" w:hAnsi="Arial" w:cs="Arial"/>
          <w:color w:val="000000" w:themeColor="text1"/>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552A54">
        <w:rPr>
          <w:rFonts w:ascii="Arial" w:eastAsia="Calibri" w:hAnsi="Arial" w:cs="Arial"/>
          <w:color w:val="000000" w:themeColor="text1"/>
          <w:lang w:val="es-ES"/>
        </w:rPr>
        <w:t>los siguientes temas</w:t>
      </w:r>
      <w:r w:rsidRPr="00552A54">
        <w:rPr>
          <w:rFonts w:ascii="Arial" w:hAnsi="Arial" w:cs="Arial"/>
          <w:color w:val="000000" w:themeColor="text1"/>
          <w:lang w:val="es-ES"/>
        </w:rPr>
        <w:t xml:space="preserve">: </w:t>
      </w:r>
      <w:r w:rsidRPr="00552A54">
        <w:rPr>
          <w:rFonts w:ascii="Arial" w:hAnsi="Arial" w:cs="Arial"/>
          <w:color w:val="000000" w:themeColor="text1"/>
          <w:lang w:val="es-ES_tradnl"/>
        </w:rPr>
        <w:t xml:space="preserve">i) contrato de prestación de servicios. Requisitos y límites para su celebración; ii) </w:t>
      </w:r>
      <w:r w:rsidRPr="00552A54">
        <w:rPr>
          <w:rFonts w:ascii="Arial" w:hAnsi="Arial" w:cs="Arial"/>
          <w:color w:val="000000" w:themeColor="text1"/>
        </w:rPr>
        <w:t>prohibición de percibir doble asignación presupuestal y alcance a los contratos de prestación de servicios y; iii) posibilidad</w:t>
      </w:r>
      <w:r w:rsidRPr="00552A54">
        <w:rPr>
          <w:rFonts w:ascii="Arial" w:hAnsi="Arial" w:cs="Arial"/>
          <w:color w:val="000000" w:themeColor="text1"/>
          <w:lang w:val="es-ES_tradnl"/>
        </w:rPr>
        <w:t xml:space="preserve"> de celebrar dos contratos de prestación de servicios con la misma entidad, y que además coexistan; iv) Competencia consultiva de la Agencia Nacional de Contratación Pública – Colombia Compra Eficiente; v) El principio de “arreglo directo” en la contratación estatal y las fórmulas para su aplicación.</w:t>
      </w:r>
    </w:p>
    <w:p w14:paraId="59157BE7" w14:textId="77777777" w:rsidR="00E1685B" w:rsidRPr="00552A54" w:rsidRDefault="00E1685B" w:rsidP="00E1685B">
      <w:pPr>
        <w:spacing w:line="276" w:lineRule="auto"/>
        <w:ind w:firstLine="709"/>
        <w:jc w:val="both"/>
        <w:rPr>
          <w:rFonts w:ascii="Arial" w:eastAsia="Calibri" w:hAnsi="Arial" w:cs="Arial"/>
          <w:color w:val="000000" w:themeColor="text1"/>
          <w:lang w:val="es-ES"/>
        </w:rPr>
      </w:pPr>
      <w:r w:rsidRPr="00552A54">
        <w:rPr>
          <w:rFonts w:ascii="Arial" w:eastAsia="Calibri" w:hAnsi="Arial" w:cs="Arial"/>
          <w:color w:val="000000" w:themeColor="text1"/>
          <w:lang w:val="es-ES"/>
        </w:rPr>
        <w:t xml:space="preserve">La Agencia Nacional de Contratación Pública – Colombia Compra Eficiente, </w:t>
      </w:r>
      <w:r w:rsidRPr="00552A54">
        <w:rPr>
          <w:rFonts w:ascii="Arial" w:hAnsi="Arial" w:cs="Arial"/>
          <w:color w:val="000000" w:themeColor="text1"/>
        </w:rPr>
        <w:t xml:space="preserve">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w:t>
      </w:r>
      <w:r w:rsidRPr="00552A54">
        <w:rPr>
          <w:rFonts w:ascii="Arial" w:hAnsi="Arial" w:cs="Arial"/>
          <w:color w:val="000000" w:themeColor="text1"/>
        </w:rPr>
        <w:lastRenderedPageBreak/>
        <w:t>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 C-008 del 20 de febrero de 2023 y C-009 del 20 de febrero de 2023</w:t>
      </w:r>
      <w:r w:rsidRPr="00552A54">
        <w:rPr>
          <w:rFonts w:ascii="Arial" w:eastAsia="Calibri" w:hAnsi="Arial" w:cs="Arial"/>
          <w:color w:val="000000" w:themeColor="text1"/>
          <w:lang w:val="es-ES"/>
        </w:rPr>
        <w:t xml:space="preserve">. </w:t>
      </w:r>
      <w:r>
        <w:rPr>
          <w:rFonts w:ascii="Arial" w:eastAsia="Calibri" w:hAnsi="Arial" w:cs="Arial"/>
          <w:color w:val="000000" w:themeColor="text1"/>
        </w:rPr>
        <w:t>Igualmente</w:t>
      </w:r>
      <w:r w:rsidRPr="00552A54">
        <w:rPr>
          <w:rFonts w:ascii="Arial" w:hAnsi="Arial" w:cs="Arial"/>
          <w:color w:val="000000" w:themeColor="text1"/>
        </w:rPr>
        <w:t>, se ha pronunciado s</w:t>
      </w:r>
      <w:r w:rsidRPr="00552A54">
        <w:rPr>
          <w:rFonts w:ascii="Arial" w:eastAsia="Calibri" w:hAnsi="Arial" w:cs="Arial"/>
          <w:color w:val="000000" w:themeColor="text1"/>
        </w:rPr>
        <w:t xml:space="preserve">obre la prohibición de percibir doble asignación presupuestal y el alcance a los contratos de prestación de servicios en el concepto con radicado No. 2201913000008409 del 12 de noviembre de 2019 y C-090 del 24 de febrero de 2020. Por su parte, en el concepto C-103 del </w:t>
      </w:r>
      <w:r w:rsidRPr="00552A54">
        <w:rPr>
          <w:rFonts w:ascii="Arial" w:eastAsia="Calibri" w:hAnsi="Arial" w:cs="Arial"/>
          <w:color w:val="000000" w:themeColor="text1"/>
          <w:lang w:val="es-MX"/>
        </w:rPr>
        <w:t>5 de mayo de 2023 se refirió al alcance y vigencia de la Directiva Presidencial 08 de septiembre de 2022, tesis que se reitera en el concepto C-286 del 26 de julio de 2023. A su vez, en el concepto 413 del 24 de julio de 2022 se ha tocado el tema sobre la competencia de la Agencia Nacional de Contratación Pública</w:t>
      </w:r>
      <w:r w:rsidRPr="00552A54">
        <w:rPr>
          <w:rStyle w:val="Refdenotaalpie"/>
          <w:rFonts w:ascii="Arial" w:eastAsia="Calibri" w:hAnsi="Arial" w:cs="Arial"/>
          <w:color w:val="000000" w:themeColor="text1"/>
        </w:rPr>
        <w:footnoteReference w:id="3"/>
      </w:r>
      <w:r w:rsidRPr="00552A54">
        <w:rPr>
          <w:rFonts w:ascii="Arial" w:eastAsia="Calibri" w:hAnsi="Arial" w:cs="Arial"/>
          <w:color w:val="000000" w:themeColor="text1"/>
          <w:lang w:val="es-ES"/>
        </w:rPr>
        <w:t xml:space="preserve">. Las tesis expuestas en estos conceptos se reiteran a continuación y se complementan en lo pertinente, teniendo en cuenta los interrogantes planteados. </w:t>
      </w:r>
    </w:p>
    <w:p w14:paraId="283F434E" w14:textId="77777777" w:rsidR="00E1685B" w:rsidRPr="00552A54" w:rsidRDefault="00E1685B" w:rsidP="00E1685B">
      <w:pPr>
        <w:spacing w:line="276" w:lineRule="auto"/>
        <w:ind w:firstLine="709"/>
        <w:jc w:val="both"/>
        <w:rPr>
          <w:rFonts w:ascii="Arial" w:eastAsia="Calibri" w:hAnsi="Arial" w:cs="Arial"/>
          <w:color w:val="000000" w:themeColor="text1"/>
          <w:lang w:val="es-ES"/>
        </w:rPr>
      </w:pPr>
    </w:p>
    <w:p w14:paraId="1E05E0E1" w14:textId="77777777" w:rsidR="00E1685B" w:rsidRPr="00BF139D" w:rsidRDefault="00E1685B" w:rsidP="00E1685B">
      <w:pPr>
        <w:spacing w:line="276" w:lineRule="auto"/>
        <w:jc w:val="both"/>
        <w:rPr>
          <w:rFonts w:ascii="Arial" w:eastAsia="Calibri" w:hAnsi="Arial" w:cs="Arial"/>
          <w:b/>
          <w:bCs/>
          <w:color w:val="000000" w:themeColor="text1"/>
          <w:lang w:val="es-ES_tradnl"/>
        </w:rPr>
      </w:pPr>
      <w:r w:rsidRPr="00BF139D">
        <w:rPr>
          <w:rFonts w:ascii="Arial" w:eastAsia="Calibri" w:hAnsi="Arial" w:cs="Arial"/>
          <w:b/>
          <w:bCs/>
          <w:color w:val="000000" w:themeColor="text1"/>
          <w:lang w:eastAsia="en-GB"/>
        </w:rPr>
        <w:t>2.1</w:t>
      </w:r>
      <w:bookmarkStart w:id="7" w:name="_Hlk117695077"/>
      <w:r w:rsidRPr="00BF139D">
        <w:rPr>
          <w:rFonts w:ascii="Arial" w:eastAsia="Calibri" w:hAnsi="Arial" w:cs="Arial"/>
          <w:b/>
          <w:bCs/>
          <w:color w:val="000000" w:themeColor="text1"/>
          <w:lang w:val="es-ES_tradnl"/>
        </w:rPr>
        <w:t xml:space="preserve"> Contrato de prestación de servicios. Requisitos y límites para su celebración</w:t>
      </w:r>
    </w:p>
    <w:p w14:paraId="6290CD89" w14:textId="77777777" w:rsidR="00E1685B" w:rsidRPr="00552A54" w:rsidRDefault="00E1685B" w:rsidP="00E1685B">
      <w:pPr>
        <w:spacing w:line="276" w:lineRule="auto"/>
        <w:jc w:val="both"/>
        <w:rPr>
          <w:rFonts w:ascii="Arial" w:eastAsia="Calibri" w:hAnsi="Arial" w:cs="Arial"/>
          <w:color w:val="000000" w:themeColor="text1"/>
          <w:lang w:val="es-ES_tradnl"/>
        </w:rPr>
      </w:pPr>
    </w:p>
    <w:p w14:paraId="6829EAA4" w14:textId="77777777" w:rsidR="00E1685B" w:rsidRPr="00BF139D" w:rsidRDefault="00E1685B" w:rsidP="00E1685B">
      <w:pPr>
        <w:spacing w:line="276" w:lineRule="auto"/>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 Concretamente, el artículo 32, numeral 3º, de la Ley 80 de 1993, establece:</w:t>
      </w:r>
    </w:p>
    <w:p w14:paraId="2B1B88AB" w14:textId="77777777" w:rsidR="00E1685B" w:rsidRPr="00BF139D" w:rsidRDefault="00E1685B" w:rsidP="00E1685B">
      <w:pPr>
        <w:ind w:left="709" w:right="709"/>
        <w:jc w:val="both"/>
        <w:rPr>
          <w:rFonts w:ascii="Arial" w:eastAsia="Calibri" w:hAnsi="Arial" w:cs="Arial"/>
          <w:color w:val="000000" w:themeColor="text1"/>
          <w:lang w:val="es-ES_tradnl"/>
        </w:rPr>
      </w:pPr>
    </w:p>
    <w:p w14:paraId="5A56E1F5" w14:textId="77777777" w:rsidR="00E1685B" w:rsidRPr="00552A54" w:rsidRDefault="00E1685B" w:rsidP="00E1685B">
      <w:pPr>
        <w:ind w:left="709" w:right="709"/>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2276C0A" w14:textId="77777777" w:rsidR="00E1685B" w:rsidRPr="00552A54" w:rsidRDefault="00E1685B" w:rsidP="00E1685B">
      <w:pPr>
        <w:ind w:left="709" w:right="709"/>
        <w:jc w:val="both"/>
        <w:rPr>
          <w:rFonts w:ascii="Arial" w:eastAsia="Calibri" w:hAnsi="Arial" w:cs="Arial"/>
          <w:color w:val="000000" w:themeColor="text1"/>
          <w:sz w:val="21"/>
          <w:szCs w:val="21"/>
          <w:lang w:val="es-ES_tradnl"/>
        </w:rPr>
      </w:pPr>
    </w:p>
    <w:p w14:paraId="4D689506" w14:textId="77777777" w:rsidR="00E1685B" w:rsidRPr="00552A54" w:rsidRDefault="00E1685B" w:rsidP="00E1685B">
      <w:pPr>
        <w:ind w:left="709" w:right="709"/>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4029D568" w14:textId="77777777" w:rsidR="00E1685B" w:rsidRPr="00552A54" w:rsidRDefault="00E1685B" w:rsidP="00E1685B">
      <w:pPr>
        <w:tabs>
          <w:tab w:val="left" w:pos="284"/>
        </w:tabs>
        <w:spacing w:line="276" w:lineRule="auto"/>
        <w:jc w:val="both"/>
        <w:rPr>
          <w:rFonts w:ascii="Arial" w:eastAsia="Calibri" w:hAnsi="Arial" w:cs="Arial"/>
          <w:b/>
          <w:color w:val="000000" w:themeColor="text1"/>
          <w:lang w:val="es-ES_tradnl"/>
        </w:rPr>
      </w:pPr>
    </w:p>
    <w:p w14:paraId="1FECC289" w14:textId="77777777" w:rsidR="00E1685B" w:rsidRPr="00BF139D" w:rsidRDefault="00E1685B" w:rsidP="00E1685B">
      <w:pPr>
        <w:spacing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lastRenderedPageBreak/>
        <w:t>De otro lado, la celebración de dicho contrato se debe efectuar a través de la modalidad de la contratación directa. Así lo prevé el artículo 2, numeral 4º, literal h), de la Ley 1150 de 2007, que dispone:</w:t>
      </w:r>
    </w:p>
    <w:p w14:paraId="58EFCDBF" w14:textId="77777777" w:rsidR="00E1685B" w:rsidRPr="00552A54" w:rsidRDefault="00E1685B" w:rsidP="00E1685B">
      <w:pPr>
        <w:spacing w:line="276" w:lineRule="auto"/>
        <w:ind w:firstLine="709"/>
        <w:jc w:val="both"/>
        <w:rPr>
          <w:rFonts w:ascii="Arial" w:eastAsia="Calibri" w:hAnsi="Arial" w:cs="Arial"/>
          <w:color w:val="000000" w:themeColor="text1"/>
          <w:lang w:val="es-ES_tradnl"/>
        </w:rPr>
      </w:pPr>
    </w:p>
    <w:p w14:paraId="02B4F946"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w:t>
      </w:r>
    </w:p>
    <w:p w14:paraId="73CBA095"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p>
    <w:p w14:paraId="65DC7023"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Contratación directa. La modalidad de selección de contratación directa, solamente procederá en los siguientes casos:</w:t>
      </w:r>
    </w:p>
    <w:p w14:paraId="54C6D0CC"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p>
    <w:p w14:paraId="6A44F308"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w:t>
      </w:r>
    </w:p>
    <w:p w14:paraId="722C5A56"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h) Para la prestación de servicios profesionales y de apoyo a la gestión, o para la ejecución de trabajos artísticos que sólo puedan encomendarse a determinadas personas naturales; […]”.</w:t>
      </w:r>
    </w:p>
    <w:p w14:paraId="2A928CAE" w14:textId="77777777" w:rsidR="00E1685B" w:rsidRPr="00552A54" w:rsidRDefault="00E1685B" w:rsidP="00E1685B">
      <w:pPr>
        <w:spacing w:line="276" w:lineRule="auto"/>
        <w:ind w:right="709"/>
        <w:jc w:val="both"/>
        <w:rPr>
          <w:rFonts w:ascii="Arial" w:eastAsia="Calibri" w:hAnsi="Arial" w:cs="Arial"/>
          <w:color w:val="000000" w:themeColor="text1"/>
          <w:lang w:val="es-ES_tradnl"/>
        </w:rPr>
      </w:pPr>
    </w:p>
    <w:p w14:paraId="532BB75E" w14:textId="77777777" w:rsidR="00E1685B" w:rsidRPr="00BF139D" w:rsidRDefault="00E1685B" w:rsidP="00E1685B">
      <w:pPr>
        <w:spacing w:after="120"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4F2667EA" w14:textId="77777777" w:rsidR="00E1685B" w:rsidRPr="00BF139D" w:rsidRDefault="00E1685B" w:rsidP="00E1685B">
      <w:pPr>
        <w:spacing w:after="120"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i) Solo puede celebrarse para realizar “actividades relacionadas con la administración o funcionamiento de la entidad”, es decir, que hagan parte de su giro ordinario o quehacer cotidiano.</w:t>
      </w:r>
    </w:p>
    <w:p w14:paraId="0F6D62E3" w14:textId="77777777" w:rsidR="00E1685B" w:rsidRPr="00BF139D" w:rsidRDefault="00E1685B" w:rsidP="00E1685B">
      <w:pPr>
        <w:spacing w:after="120"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ii)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BF139D">
        <w:rPr>
          <w:rFonts w:ascii="Arial" w:eastAsia="Calibri" w:hAnsi="Arial" w:cs="Arial"/>
          <w:color w:val="000000" w:themeColor="text1"/>
          <w:vertAlign w:val="superscript"/>
          <w:lang w:val="es-ES_tradnl"/>
        </w:rPr>
        <w:footnoteReference w:id="4"/>
      </w:r>
      <w:r w:rsidRPr="00BF139D">
        <w:rPr>
          <w:rFonts w:ascii="Arial" w:eastAsia="Calibri" w:hAnsi="Arial" w:cs="Arial"/>
          <w:color w:val="000000" w:themeColor="text1"/>
          <w:lang w:val="es-ES_tradn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w:t>
      </w:r>
      <w:r w:rsidRPr="00BF139D">
        <w:rPr>
          <w:rFonts w:ascii="Arial" w:eastAsia="Calibri" w:hAnsi="Arial" w:cs="Arial"/>
          <w:color w:val="000000" w:themeColor="text1"/>
          <w:lang w:val="es-ES_tradnl"/>
        </w:rPr>
        <w:lastRenderedPageBreak/>
        <w:t>que, por esta razón, sea necesario contratar los servicios de una persona natural que posea conocimiento y experiencia en el tema.</w:t>
      </w:r>
    </w:p>
    <w:p w14:paraId="72776100" w14:textId="77777777" w:rsidR="00E1685B" w:rsidRPr="00BF139D" w:rsidRDefault="00E1685B" w:rsidP="00E1685B">
      <w:pPr>
        <w:spacing w:after="120"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iii) Si bien se celebran para obtener la prestación personal de un servicio, se diferencian del contrato de trabajo</w:t>
      </w:r>
      <w:r w:rsidRPr="00BF139D">
        <w:rPr>
          <w:rFonts w:ascii="Arial" w:eastAsia="Calibri" w:hAnsi="Arial" w:cs="Arial"/>
          <w:color w:val="000000" w:themeColor="text1"/>
          <w:vertAlign w:val="superscript"/>
          <w:lang w:val="es-ES_tradnl"/>
        </w:rPr>
        <w:footnoteReference w:id="5"/>
      </w:r>
      <w:r w:rsidRPr="00BF139D">
        <w:rPr>
          <w:rFonts w:ascii="Arial" w:eastAsia="Calibri" w:hAnsi="Arial" w:cs="Arial"/>
          <w:color w:val="000000" w:themeColor="text1"/>
          <w:lang w:val="es-ES_tradnl"/>
        </w:rPr>
        <w:t xml:space="preserve"> en que quien celebra el contrato de prestación de servicios debe mantener autonomía e independencia en la ejecución de la labor, lo que significa que no puede existir la </w:t>
      </w:r>
      <w:r w:rsidRPr="00BF139D">
        <w:rPr>
          <w:rFonts w:ascii="Arial" w:eastAsia="Calibri" w:hAnsi="Arial" w:cs="Arial"/>
          <w:i/>
          <w:color w:val="000000" w:themeColor="text1"/>
          <w:lang w:val="es-ES_tradnl"/>
        </w:rPr>
        <w:t>subordinación y dependencia</w:t>
      </w:r>
      <w:r w:rsidRPr="00BF139D">
        <w:rPr>
          <w:rFonts w:ascii="Arial" w:eastAsia="Calibri" w:hAnsi="Arial" w:cs="Arial"/>
          <w:iCs/>
          <w:color w:val="000000" w:themeColor="text1"/>
          <w:lang w:val="es-ES_tradnl"/>
        </w:rPr>
        <w:t>,</w:t>
      </w:r>
      <w:r w:rsidRPr="00BF139D">
        <w:rPr>
          <w:rFonts w:ascii="Arial" w:eastAsia="Calibri" w:hAnsi="Arial" w:cs="Arial"/>
          <w:color w:val="000000" w:themeColor="text1"/>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BF139D">
        <w:rPr>
          <w:rFonts w:ascii="Arial" w:eastAsia="Calibri" w:hAnsi="Arial" w:cs="Arial"/>
          <w:i/>
          <w:color w:val="000000" w:themeColor="text1"/>
          <w:lang w:val="es-ES_tradnl"/>
        </w:rPr>
        <w:t>no pueden</w:t>
      </w:r>
      <w:r w:rsidRPr="00BF139D">
        <w:rPr>
          <w:rFonts w:ascii="Arial" w:eastAsia="Calibri" w:hAnsi="Arial" w:cs="Arial"/>
          <w:color w:val="000000" w:themeColor="text1"/>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0BF139D">
        <w:rPr>
          <w:rFonts w:ascii="Arial" w:eastAsia="Calibri" w:hAnsi="Arial" w:cs="Arial"/>
          <w:i/>
          <w:color w:val="000000" w:themeColor="text1"/>
          <w:lang w:val="es-ES_tradnl"/>
        </w:rPr>
        <w:t>contrato realidad</w:t>
      </w:r>
      <w:r w:rsidRPr="00BF139D">
        <w:rPr>
          <w:rFonts w:ascii="Arial" w:eastAsia="Calibri" w:hAnsi="Arial" w:cs="Arial"/>
          <w:color w:val="000000" w:themeColor="text1"/>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BF139D">
        <w:rPr>
          <w:rFonts w:ascii="Arial" w:eastAsia="Calibri" w:hAnsi="Arial" w:cs="Arial"/>
          <w:color w:val="000000" w:themeColor="text1"/>
          <w:vertAlign w:val="superscript"/>
          <w:lang w:val="es-ES_tradnl"/>
        </w:rPr>
        <w:footnoteReference w:id="6"/>
      </w:r>
      <w:r w:rsidRPr="00BF139D">
        <w:rPr>
          <w:rFonts w:ascii="Arial" w:eastAsia="Calibri" w:hAnsi="Arial" w:cs="Arial"/>
          <w:color w:val="000000" w:themeColor="text1"/>
          <w:lang w:val="es-ES_tradnl"/>
        </w:rPr>
        <w:t>.</w:t>
      </w:r>
    </w:p>
    <w:p w14:paraId="68D1223A" w14:textId="77777777" w:rsidR="00E1685B" w:rsidRPr="00BF139D" w:rsidRDefault="00E1685B" w:rsidP="00E1685B">
      <w:pPr>
        <w:spacing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iv) Deben ser temporales. Así lo señaló la Corte Constitucional en la misma providencia a la que se aludió previamente, expresando que:</w:t>
      </w:r>
    </w:p>
    <w:p w14:paraId="3A1AF432" w14:textId="77777777" w:rsidR="00E1685B" w:rsidRPr="00BF139D" w:rsidRDefault="00E1685B" w:rsidP="00E1685B">
      <w:pPr>
        <w:spacing w:line="276" w:lineRule="auto"/>
        <w:ind w:firstLine="709"/>
        <w:jc w:val="both"/>
        <w:rPr>
          <w:rFonts w:ascii="Arial" w:eastAsia="Calibri" w:hAnsi="Arial" w:cs="Arial"/>
          <w:color w:val="000000" w:themeColor="text1"/>
          <w:lang w:val="es-ES_tradnl"/>
        </w:rPr>
      </w:pPr>
    </w:p>
    <w:p w14:paraId="3716F5EF"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 xml:space="preserve">“La vigencia del contrato es temporal y, por lo tanto, su duración debe ser por tiempo limitado y el indispensable para ejecutar el objeto contractual convenido. En el caso de que las actividades con ellos atendidas demanden una </w:t>
      </w:r>
      <w:r w:rsidRPr="00552A54">
        <w:rPr>
          <w:rFonts w:ascii="Arial" w:eastAsia="Calibri" w:hAnsi="Arial" w:cs="Arial"/>
          <w:color w:val="000000" w:themeColor="text1"/>
          <w:sz w:val="21"/>
          <w:szCs w:val="21"/>
          <w:lang w:val="es-ES_tradnl"/>
        </w:rPr>
        <w:lastRenderedPageBreak/>
        <w:t>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552A54">
        <w:rPr>
          <w:rFonts w:ascii="Arial" w:eastAsia="Calibri" w:hAnsi="Arial" w:cs="Arial"/>
          <w:color w:val="000000" w:themeColor="text1"/>
          <w:sz w:val="21"/>
          <w:szCs w:val="21"/>
          <w:vertAlign w:val="superscript"/>
          <w:lang w:val="es-ES_tradnl"/>
        </w:rPr>
        <w:footnoteReference w:id="7"/>
      </w:r>
      <w:r w:rsidRPr="00552A54">
        <w:rPr>
          <w:rFonts w:ascii="Arial" w:eastAsia="Calibri" w:hAnsi="Arial" w:cs="Arial"/>
          <w:color w:val="000000" w:themeColor="text1"/>
          <w:sz w:val="21"/>
          <w:szCs w:val="21"/>
          <w:lang w:val="es-ES_tradnl"/>
        </w:rPr>
        <w:t>.</w:t>
      </w:r>
    </w:p>
    <w:p w14:paraId="06E5AE84" w14:textId="77777777" w:rsidR="00E1685B" w:rsidRPr="00552A54" w:rsidRDefault="00E1685B" w:rsidP="00E1685B">
      <w:pPr>
        <w:spacing w:line="276" w:lineRule="auto"/>
        <w:ind w:firstLine="709"/>
        <w:jc w:val="both"/>
        <w:rPr>
          <w:rFonts w:ascii="Arial" w:eastAsia="Calibri" w:hAnsi="Arial" w:cs="Arial"/>
          <w:color w:val="000000" w:themeColor="text1"/>
          <w:lang w:val="es-ES_tradnl"/>
        </w:rPr>
      </w:pPr>
    </w:p>
    <w:p w14:paraId="3464A584" w14:textId="77777777" w:rsidR="00E1685B" w:rsidRPr="00BF139D" w:rsidRDefault="00E1685B" w:rsidP="00E1685B">
      <w:pPr>
        <w:spacing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 xml:space="preserve">v) Los contratos de prestación de servicios constituyen un </w:t>
      </w:r>
      <w:r w:rsidRPr="00BF139D">
        <w:rPr>
          <w:rFonts w:ascii="Arial" w:eastAsia="Calibri" w:hAnsi="Arial" w:cs="Arial"/>
          <w:i/>
          <w:iCs/>
          <w:color w:val="000000" w:themeColor="text1"/>
          <w:lang w:val="es-ES_tradnl"/>
        </w:rPr>
        <w:t>género</w:t>
      </w:r>
      <w:r w:rsidRPr="00BF139D">
        <w:rPr>
          <w:rFonts w:ascii="Arial" w:eastAsia="Calibri" w:hAnsi="Arial" w:cs="Arial"/>
          <w:color w:val="000000" w:themeColor="text1"/>
          <w:lang w:val="es-ES_tradnl"/>
        </w:rPr>
        <w:t xml:space="preserve"> que incluye, como </w:t>
      </w:r>
      <w:r w:rsidRPr="00BF139D">
        <w:rPr>
          <w:rFonts w:ascii="Arial" w:eastAsia="Calibri" w:hAnsi="Arial" w:cs="Arial"/>
          <w:i/>
          <w:iCs/>
          <w:color w:val="000000" w:themeColor="text1"/>
          <w:lang w:val="es-ES_tradnl"/>
        </w:rPr>
        <w:t>especies</w:t>
      </w:r>
      <w:r w:rsidRPr="00BF139D">
        <w:rPr>
          <w:rFonts w:ascii="Arial" w:eastAsia="Calibri" w:hAnsi="Arial" w:cs="Arial"/>
          <w:color w:val="000000" w:themeColor="text1"/>
          <w:lang w:val="es-ES_tradnl"/>
        </w:rPr>
        <w:t>, los contratos de prestación de servicios profesionales, los contratos de prestación de servicios de apoyo a la gestión y los contratos de prestación de servicios artísticos que solo pueden encomendarse a determinadas personas naturales</w:t>
      </w:r>
      <w:r w:rsidRPr="00BF139D">
        <w:rPr>
          <w:rFonts w:ascii="Arial" w:eastAsia="Calibri" w:hAnsi="Arial" w:cs="Arial"/>
          <w:color w:val="000000" w:themeColor="text1"/>
          <w:vertAlign w:val="superscript"/>
          <w:lang w:val="es-ES_tradnl"/>
        </w:rPr>
        <w:footnoteReference w:id="8"/>
      </w:r>
      <w:r w:rsidRPr="00BF139D">
        <w:rPr>
          <w:rFonts w:ascii="Arial" w:eastAsia="Calibri" w:hAnsi="Arial" w:cs="Arial"/>
          <w:color w:val="000000" w:themeColor="text1"/>
          <w:lang w:val="es-ES_tradnl"/>
        </w:rPr>
        <w:t xml:space="preserve">. La diferencia entre el contrato de prestación de servicios </w:t>
      </w:r>
      <w:r w:rsidRPr="00BF139D">
        <w:rPr>
          <w:rFonts w:ascii="Arial" w:eastAsia="Calibri" w:hAnsi="Arial" w:cs="Arial"/>
          <w:i/>
          <w:color w:val="000000" w:themeColor="text1"/>
          <w:lang w:val="es-ES_tradnl"/>
        </w:rPr>
        <w:t>profesionales</w:t>
      </w:r>
      <w:r w:rsidRPr="00BF139D">
        <w:rPr>
          <w:rFonts w:ascii="Arial" w:eastAsia="Calibri" w:hAnsi="Arial"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142E8F33" w14:textId="77777777" w:rsidR="00E1685B" w:rsidRPr="00552A54" w:rsidRDefault="00E1685B" w:rsidP="00E1685B">
      <w:pPr>
        <w:spacing w:line="276" w:lineRule="auto"/>
        <w:ind w:firstLine="709"/>
        <w:jc w:val="both"/>
        <w:rPr>
          <w:rFonts w:ascii="Arial" w:eastAsia="Calibri" w:hAnsi="Arial" w:cs="Arial"/>
          <w:color w:val="000000" w:themeColor="text1"/>
          <w:lang w:val="es-ES_tradnl"/>
        </w:rPr>
      </w:pPr>
    </w:p>
    <w:p w14:paraId="59384DA0"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552A54">
        <w:rPr>
          <w:rFonts w:ascii="Arial" w:eastAsia="Calibri" w:hAnsi="Arial" w:cs="Arial"/>
          <w:color w:val="000000" w:themeColor="text1"/>
          <w:sz w:val="21"/>
          <w:szCs w:val="21"/>
          <w:vertAlign w:val="superscript"/>
          <w:lang w:val="es-ES_tradnl"/>
        </w:rPr>
        <w:footnoteReference w:id="9"/>
      </w:r>
      <w:r w:rsidRPr="00552A54">
        <w:rPr>
          <w:rFonts w:ascii="Arial" w:eastAsia="Calibri" w:hAnsi="Arial" w:cs="Arial"/>
          <w:color w:val="000000" w:themeColor="text1"/>
          <w:sz w:val="21"/>
          <w:szCs w:val="21"/>
          <w:lang w:val="es-ES_tradnl"/>
        </w:rPr>
        <w:t>.</w:t>
      </w:r>
    </w:p>
    <w:p w14:paraId="6006D282" w14:textId="77777777" w:rsidR="00E1685B" w:rsidRPr="00552A54" w:rsidRDefault="00E1685B" w:rsidP="00E1685B">
      <w:pPr>
        <w:spacing w:line="276" w:lineRule="auto"/>
        <w:ind w:firstLine="709"/>
        <w:jc w:val="both"/>
        <w:rPr>
          <w:rFonts w:ascii="Arial" w:eastAsia="Calibri" w:hAnsi="Arial" w:cs="Arial"/>
          <w:color w:val="000000" w:themeColor="text1"/>
          <w:lang w:val="es-ES_tradnl"/>
        </w:rPr>
      </w:pPr>
    </w:p>
    <w:p w14:paraId="00C6A7D6" w14:textId="77777777" w:rsidR="00E1685B" w:rsidRPr="00BF139D" w:rsidRDefault="00E1685B" w:rsidP="00E1685B">
      <w:pPr>
        <w:spacing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Objeto que, según la sentencia que se cita, se diferencia del objeto del contrato de prestación de servicios de apoyo a la gestión, porque en este:</w:t>
      </w:r>
    </w:p>
    <w:p w14:paraId="602171B7" w14:textId="77777777" w:rsidR="00E1685B" w:rsidRPr="00BF139D" w:rsidRDefault="00E1685B" w:rsidP="00E1685B">
      <w:pPr>
        <w:spacing w:line="276" w:lineRule="auto"/>
        <w:ind w:firstLine="709"/>
        <w:jc w:val="both"/>
        <w:rPr>
          <w:rFonts w:ascii="Arial" w:eastAsia="Calibri" w:hAnsi="Arial" w:cs="Arial"/>
          <w:color w:val="000000" w:themeColor="text1"/>
          <w:lang w:val="es-ES_tradnl"/>
        </w:rPr>
      </w:pPr>
    </w:p>
    <w:p w14:paraId="7E14636D"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6F37521E"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p>
    <w:p w14:paraId="38563D1D"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5F7350E2"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p>
    <w:p w14:paraId="65F2D5A7"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552A54">
        <w:rPr>
          <w:rFonts w:ascii="Arial" w:eastAsia="Calibri" w:hAnsi="Arial" w:cs="Arial"/>
          <w:color w:val="000000" w:themeColor="text1"/>
          <w:sz w:val="21"/>
          <w:szCs w:val="21"/>
          <w:vertAlign w:val="superscript"/>
          <w:lang w:val="es-ES_tradnl"/>
        </w:rPr>
        <w:footnoteReference w:id="10"/>
      </w:r>
      <w:r w:rsidRPr="00552A54">
        <w:rPr>
          <w:rFonts w:ascii="Arial" w:eastAsia="Calibri" w:hAnsi="Arial" w:cs="Arial"/>
          <w:color w:val="000000" w:themeColor="text1"/>
          <w:sz w:val="21"/>
          <w:szCs w:val="21"/>
          <w:lang w:val="es-ES_tradnl"/>
        </w:rPr>
        <w:t>.</w:t>
      </w:r>
    </w:p>
    <w:p w14:paraId="2FFB428F" w14:textId="77777777" w:rsidR="00E1685B" w:rsidRPr="00552A54" w:rsidRDefault="00E1685B" w:rsidP="00E1685B">
      <w:pPr>
        <w:spacing w:line="276" w:lineRule="auto"/>
        <w:ind w:firstLine="709"/>
        <w:jc w:val="both"/>
        <w:rPr>
          <w:rFonts w:ascii="Arial" w:eastAsia="Calibri" w:hAnsi="Arial" w:cs="Arial"/>
          <w:color w:val="000000" w:themeColor="text1"/>
          <w:lang w:val="es-ES_tradnl"/>
        </w:rPr>
      </w:pPr>
    </w:p>
    <w:p w14:paraId="55352816" w14:textId="77777777" w:rsidR="00E1685B" w:rsidRPr="00BF139D" w:rsidRDefault="00E1685B" w:rsidP="00E1685B">
      <w:pPr>
        <w:spacing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En relación con el contrato de prestación de servicios artísticos que solo pueden encomendarse a determinadas personas naturales, señala el mencionado fallo que:</w:t>
      </w:r>
    </w:p>
    <w:p w14:paraId="734FC069" w14:textId="77777777" w:rsidR="00E1685B" w:rsidRPr="00552A54" w:rsidRDefault="00E1685B" w:rsidP="00E1685B">
      <w:pPr>
        <w:spacing w:line="276" w:lineRule="auto"/>
        <w:ind w:left="709" w:right="709"/>
        <w:jc w:val="both"/>
        <w:rPr>
          <w:rFonts w:ascii="Arial" w:eastAsia="Calibri" w:hAnsi="Arial" w:cs="Arial"/>
          <w:color w:val="000000" w:themeColor="text1"/>
          <w:lang w:val="es-ES_tradnl"/>
        </w:rPr>
      </w:pPr>
    </w:p>
    <w:p w14:paraId="559575FA" w14:textId="77777777" w:rsidR="00E1685B" w:rsidRPr="00552A54" w:rsidRDefault="00E1685B" w:rsidP="00E1685B">
      <w:pPr>
        <w:ind w:left="709" w:right="709"/>
        <w:contextualSpacing/>
        <w:jc w:val="both"/>
        <w:rPr>
          <w:rFonts w:ascii="Arial" w:eastAsia="Calibri" w:hAnsi="Arial" w:cs="Arial"/>
          <w:color w:val="000000" w:themeColor="text1"/>
          <w:sz w:val="21"/>
          <w:szCs w:val="21"/>
          <w:lang w:val="es-ES_tradnl"/>
        </w:rPr>
      </w:pPr>
      <w:r w:rsidRPr="00552A54">
        <w:rPr>
          <w:rFonts w:ascii="Arial" w:eastAsia="Calibri"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552A54">
        <w:rPr>
          <w:rFonts w:ascii="Arial" w:eastAsia="Calibri" w:hAnsi="Arial" w:cs="Arial"/>
          <w:color w:val="000000" w:themeColor="text1"/>
          <w:sz w:val="21"/>
          <w:szCs w:val="21"/>
          <w:vertAlign w:val="superscript"/>
          <w:lang w:val="es-ES_tradnl"/>
        </w:rPr>
        <w:footnoteReference w:id="11"/>
      </w:r>
      <w:r w:rsidRPr="00552A54">
        <w:rPr>
          <w:rFonts w:ascii="Arial" w:eastAsia="Calibri" w:hAnsi="Arial" w:cs="Arial"/>
          <w:color w:val="000000" w:themeColor="text1"/>
          <w:sz w:val="21"/>
          <w:szCs w:val="21"/>
          <w:lang w:val="es-ES_tradnl"/>
        </w:rPr>
        <w:t>.</w:t>
      </w:r>
    </w:p>
    <w:p w14:paraId="61DBDF25" w14:textId="77777777" w:rsidR="00E1685B" w:rsidRPr="00552A54" w:rsidRDefault="00E1685B" w:rsidP="00E1685B">
      <w:pPr>
        <w:spacing w:line="276" w:lineRule="auto"/>
        <w:ind w:left="709" w:right="709"/>
        <w:contextualSpacing/>
        <w:jc w:val="both"/>
        <w:rPr>
          <w:rFonts w:ascii="Arial" w:eastAsia="Calibri" w:hAnsi="Arial" w:cs="Arial"/>
          <w:color w:val="000000" w:themeColor="text1"/>
          <w:lang w:val="es-ES_tradnl"/>
        </w:rPr>
      </w:pPr>
    </w:p>
    <w:p w14:paraId="4B0C7ACA" w14:textId="77777777" w:rsidR="00E1685B" w:rsidRPr="00BF139D" w:rsidRDefault="00E1685B" w:rsidP="00E1685B">
      <w:pPr>
        <w:spacing w:after="120"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por regla general, precedido de un concurso de méritos</w:t>
      </w:r>
      <w:r w:rsidRPr="00BF139D">
        <w:rPr>
          <w:rFonts w:ascii="Arial" w:eastAsia="Calibri" w:hAnsi="Arial" w:cs="Arial"/>
          <w:color w:val="000000" w:themeColor="text1"/>
          <w:vertAlign w:val="superscript"/>
          <w:lang w:val="es-ES_tradnl"/>
        </w:rPr>
        <w:footnoteReference w:id="12"/>
      </w:r>
      <w:r w:rsidRPr="00BF139D">
        <w:rPr>
          <w:rFonts w:ascii="Arial" w:eastAsia="Calibri" w:hAnsi="Arial" w:cs="Arial"/>
          <w:color w:val="000000" w:themeColor="text1"/>
          <w:lang w:val="es-ES_tradnl"/>
        </w:rPr>
        <w:t xml:space="preserve">. Pero, tampoco puede suscribirse un </w:t>
      </w:r>
      <w:r w:rsidRPr="00BF139D">
        <w:rPr>
          <w:rFonts w:ascii="Arial" w:eastAsia="Calibri" w:hAnsi="Arial" w:cs="Arial"/>
          <w:color w:val="000000" w:themeColor="text1"/>
          <w:lang w:val="es-ES_tradnl"/>
        </w:rPr>
        <w:lastRenderedPageBreak/>
        <w:t>contrato de prestación de servicios profesionales para que el contratista ejecute labores que se enmarcan dentro de los otros contratos tipificados en el artículo 32 de la Ley 80 de 1993, como, por ejemplo, para que el contratista de prestación de servicios construya una obra.</w:t>
      </w:r>
    </w:p>
    <w:p w14:paraId="38CF63E3" w14:textId="77777777" w:rsidR="00E1685B" w:rsidRPr="00BF139D" w:rsidRDefault="00E1685B" w:rsidP="00E1685B">
      <w:pPr>
        <w:spacing w:after="120"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vii) Para su celebración no se requiere en algunos casos la expedición del acto administrativo de justificación de la contratación directa</w:t>
      </w:r>
      <w:r w:rsidRPr="00BF139D">
        <w:rPr>
          <w:rFonts w:ascii="Arial" w:eastAsia="Calibri" w:hAnsi="Arial" w:cs="Arial"/>
          <w:color w:val="000000" w:themeColor="text1"/>
          <w:vertAlign w:val="superscript"/>
          <w:lang w:val="es-ES_tradnl"/>
        </w:rPr>
        <w:footnoteReference w:id="13"/>
      </w:r>
      <w:r w:rsidRPr="00BF139D">
        <w:rPr>
          <w:rFonts w:ascii="Arial" w:eastAsia="Calibri" w:hAnsi="Arial" w:cs="Arial"/>
          <w:color w:val="000000" w:themeColor="text1"/>
          <w:lang w:val="es-ES_tradnl"/>
        </w:rPr>
        <w:t xml:space="preserve">. </w:t>
      </w:r>
    </w:p>
    <w:p w14:paraId="0737C067" w14:textId="77777777" w:rsidR="00E1685B" w:rsidRPr="00BF139D" w:rsidRDefault="00E1685B" w:rsidP="00E1685B">
      <w:pPr>
        <w:spacing w:after="120"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viii)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BF139D">
        <w:rPr>
          <w:rFonts w:ascii="Arial" w:eastAsia="Calibri" w:hAnsi="Arial" w:cs="Arial"/>
          <w:color w:val="000000" w:themeColor="text1"/>
          <w:vertAlign w:val="superscript"/>
          <w:lang w:val="es-ES_tradnl"/>
        </w:rPr>
        <w:footnoteReference w:id="14"/>
      </w:r>
      <w:r w:rsidRPr="00BF139D">
        <w:rPr>
          <w:rFonts w:ascii="Arial" w:eastAsia="Calibri" w:hAnsi="Arial" w:cs="Arial"/>
          <w:color w:val="000000" w:themeColor="text1"/>
          <w:lang w:val="es-ES_tradnl"/>
        </w:rPr>
        <w:t>.</w:t>
      </w:r>
    </w:p>
    <w:p w14:paraId="00DCE718" w14:textId="77777777" w:rsidR="00E1685B" w:rsidRPr="00BF139D" w:rsidRDefault="00E1685B" w:rsidP="00E1685B">
      <w:pPr>
        <w:spacing w:after="120"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ix) En algunos casos no es obligatoria la liquidación, pues así lo estableció el artículo 217 del Decreto 019 de 2012, que modificó el artículo 60 de la Ley 80 de 1993</w:t>
      </w:r>
      <w:r w:rsidRPr="00BF139D">
        <w:rPr>
          <w:rFonts w:ascii="Arial" w:eastAsia="Calibri" w:hAnsi="Arial" w:cs="Arial"/>
          <w:color w:val="000000" w:themeColor="text1"/>
          <w:vertAlign w:val="superscript"/>
          <w:lang w:val="es-ES_tradnl"/>
        </w:rPr>
        <w:footnoteReference w:id="15"/>
      </w:r>
      <w:r w:rsidRPr="00BF139D">
        <w:rPr>
          <w:rFonts w:ascii="Arial" w:eastAsia="Calibri" w:hAnsi="Arial" w:cs="Arial"/>
          <w:color w:val="000000" w:themeColor="text1"/>
          <w:lang w:val="es-ES_tradnl"/>
        </w:rPr>
        <w:t>, refiriéndose a los contratos de prestación de servicios profesionales y de apoyo a la gestión.</w:t>
      </w:r>
    </w:p>
    <w:p w14:paraId="359A359F" w14:textId="77777777" w:rsidR="00E1685B" w:rsidRPr="00BF139D" w:rsidRDefault="00E1685B" w:rsidP="00E1685B">
      <w:pPr>
        <w:spacing w:after="120"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lastRenderedPageBreak/>
        <w:t>x) Para su celebración no se requiere inscripción en el Registro Único de Proponentes (RUP), según lo prevé el artículo 6 de la Ley 1150 de 2007</w:t>
      </w:r>
      <w:r w:rsidRPr="00BF139D">
        <w:rPr>
          <w:rFonts w:ascii="Arial" w:eastAsia="Calibri" w:hAnsi="Arial" w:cs="Arial"/>
          <w:color w:val="000000" w:themeColor="text1"/>
          <w:vertAlign w:val="superscript"/>
          <w:lang w:val="es-ES_tradnl"/>
        </w:rPr>
        <w:footnoteReference w:id="16"/>
      </w:r>
      <w:r w:rsidRPr="00BF139D">
        <w:rPr>
          <w:rFonts w:ascii="Arial" w:eastAsia="Calibri" w:hAnsi="Arial" w:cs="Arial"/>
          <w:color w:val="000000" w:themeColor="text1"/>
          <w:lang w:val="es-ES_tradnl"/>
        </w:rPr>
        <w:t>.</w:t>
      </w:r>
    </w:p>
    <w:p w14:paraId="7807ED8D" w14:textId="77777777" w:rsidR="00E1685B" w:rsidRPr="00BF139D" w:rsidRDefault="00E1685B" w:rsidP="00E1685B">
      <w:pPr>
        <w:spacing w:after="120"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xi) En ellos no son necesarias las garantías</w:t>
      </w:r>
      <w:r w:rsidRPr="00BF139D">
        <w:rPr>
          <w:rFonts w:ascii="Arial" w:eastAsia="Calibri" w:hAnsi="Arial" w:cs="Arial"/>
          <w:color w:val="000000" w:themeColor="text1"/>
          <w:vertAlign w:val="superscript"/>
          <w:lang w:val="es-ES_tradnl"/>
        </w:rPr>
        <w:footnoteReference w:id="17"/>
      </w:r>
      <w:r w:rsidRPr="00BF139D">
        <w:rPr>
          <w:rFonts w:ascii="Arial" w:eastAsia="Calibri" w:hAnsi="Arial" w:cs="Arial"/>
          <w:color w:val="000000" w:themeColor="text1"/>
          <w:lang w:val="es-ES_tradnl"/>
        </w:rPr>
        <w:t>.</w:t>
      </w:r>
    </w:p>
    <w:p w14:paraId="633128E4" w14:textId="77777777" w:rsidR="00E1685B" w:rsidRPr="00BF139D" w:rsidRDefault="00E1685B" w:rsidP="00E1685B">
      <w:pPr>
        <w:spacing w:line="276" w:lineRule="auto"/>
        <w:ind w:firstLine="709"/>
        <w:jc w:val="both"/>
        <w:rPr>
          <w:rFonts w:ascii="Arial" w:eastAsia="Calibri" w:hAnsi="Arial" w:cs="Arial"/>
          <w:color w:val="000000" w:themeColor="text1"/>
          <w:lang w:val="es-ES_tradnl"/>
        </w:rPr>
      </w:pPr>
      <w:r w:rsidRPr="00BF139D">
        <w:rPr>
          <w:rFonts w:ascii="Arial" w:eastAsia="Calibri" w:hAnsi="Arial" w:cs="Arial"/>
          <w:color w:val="000000" w:themeColor="text1"/>
          <w:lang w:val="es-ES_tradnl"/>
        </w:rPr>
        <w:t xml:space="preserve">Teniendo en cuenta las anteriores características del contrato de prestación de servicios, se analizará a continuación la posibilidad de celebrar varios contratos de prestación de servicios con Entidades Estatales. </w:t>
      </w:r>
    </w:p>
    <w:p w14:paraId="6FFA979B" w14:textId="77777777" w:rsidR="00E1685B" w:rsidRPr="00BF139D" w:rsidRDefault="00E1685B" w:rsidP="00E1685B">
      <w:pPr>
        <w:spacing w:line="276" w:lineRule="auto"/>
        <w:ind w:firstLine="709"/>
        <w:jc w:val="both"/>
        <w:rPr>
          <w:rFonts w:ascii="Arial" w:eastAsia="Calibri" w:hAnsi="Arial" w:cs="Arial"/>
          <w:color w:val="000000" w:themeColor="text1"/>
          <w:lang w:val="es-ES_tradnl"/>
        </w:rPr>
      </w:pPr>
    </w:p>
    <w:p w14:paraId="7B96FAE8" w14:textId="77777777" w:rsidR="00E1685B" w:rsidRPr="00BF139D" w:rsidRDefault="00E1685B" w:rsidP="00E1685B">
      <w:pPr>
        <w:widowControl w:val="0"/>
        <w:tabs>
          <w:tab w:val="left" w:pos="726"/>
        </w:tabs>
        <w:autoSpaceDE w:val="0"/>
        <w:autoSpaceDN w:val="0"/>
        <w:spacing w:line="276" w:lineRule="auto"/>
        <w:jc w:val="both"/>
        <w:outlineLvl w:val="0"/>
        <w:rPr>
          <w:rFonts w:ascii="Arial" w:eastAsia="Arial" w:hAnsi="Arial" w:cs="Arial"/>
          <w:b/>
          <w:bCs/>
          <w:color w:val="000000" w:themeColor="text1"/>
          <w:lang w:val="es-ES"/>
        </w:rPr>
      </w:pPr>
      <w:r w:rsidRPr="00BF139D">
        <w:rPr>
          <w:rFonts w:ascii="Arial" w:eastAsia="Arial" w:hAnsi="Arial" w:cs="Arial"/>
          <w:b/>
          <w:bCs/>
          <w:color w:val="000000" w:themeColor="text1"/>
          <w:lang w:val="es-ES"/>
        </w:rPr>
        <w:t>2.2. Prohibición de percibir doble asignación presupuestal y alcance a los contratos de prestación de</w:t>
      </w:r>
      <w:r w:rsidRPr="00BF139D">
        <w:rPr>
          <w:rFonts w:ascii="Arial" w:eastAsia="Arial" w:hAnsi="Arial" w:cs="Arial"/>
          <w:b/>
          <w:bCs/>
          <w:color w:val="000000" w:themeColor="text1"/>
          <w:spacing w:val="-4"/>
          <w:lang w:val="es-ES"/>
        </w:rPr>
        <w:t xml:space="preserve"> </w:t>
      </w:r>
      <w:r w:rsidRPr="00BF139D">
        <w:rPr>
          <w:rFonts w:ascii="Arial" w:eastAsia="Arial" w:hAnsi="Arial" w:cs="Arial"/>
          <w:b/>
          <w:bCs/>
          <w:color w:val="000000" w:themeColor="text1"/>
          <w:lang w:val="es-ES"/>
        </w:rPr>
        <w:t>servicios</w:t>
      </w:r>
    </w:p>
    <w:p w14:paraId="6A24A22C" w14:textId="77777777" w:rsidR="00E1685B" w:rsidRPr="00552A54" w:rsidRDefault="00E1685B" w:rsidP="00E1685B">
      <w:pPr>
        <w:widowControl w:val="0"/>
        <w:autoSpaceDE w:val="0"/>
        <w:autoSpaceDN w:val="0"/>
        <w:spacing w:line="276" w:lineRule="auto"/>
        <w:jc w:val="both"/>
        <w:rPr>
          <w:rFonts w:ascii="Arial" w:eastAsia="Arial" w:hAnsi="Arial" w:cs="Arial"/>
          <w:b/>
          <w:color w:val="000000" w:themeColor="text1"/>
          <w:lang w:val="es-ES"/>
        </w:rPr>
      </w:pPr>
    </w:p>
    <w:p w14:paraId="1A6E509F" w14:textId="77777777" w:rsidR="00E1685B" w:rsidRPr="00BF139D" w:rsidRDefault="00E1685B" w:rsidP="00E1685B">
      <w:pPr>
        <w:widowControl w:val="0"/>
        <w:autoSpaceDE w:val="0"/>
        <w:autoSpaceDN w:val="0"/>
        <w:spacing w:after="120" w:line="276" w:lineRule="auto"/>
        <w:jc w:val="both"/>
        <w:rPr>
          <w:rFonts w:ascii="Arial" w:eastAsia="Arial" w:hAnsi="Arial" w:cs="Arial"/>
          <w:color w:val="000000" w:themeColor="text1"/>
          <w:lang w:val="es-ES"/>
        </w:rPr>
      </w:pPr>
      <w:r w:rsidRPr="00BF139D">
        <w:rPr>
          <w:rFonts w:ascii="Arial" w:eastAsia="Arial" w:hAnsi="Arial" w:cs="Arial"/>
          <w:color w:val="000000" w:themeColor="text1"/>
          <w:lang w:val="es-ES"/>
        </w:rPr>
        <w:t>Históricamente se ha prohibido que una misma persona reciba doble salario proveniente del tesoro público</w:t>
      </w:r>
      <w:r w:rsidRPr="00BF139D">
        <w:rPr>
          <w:rFonts w:ascii="Arial" w:eastAsia="Arial" w:hAnsi="Arial" w:cs="Arial"/>
          <w:color w:val="000000" w:themeColor="text1"/>
          <w:vertAlign w:val="superscript"/>
          <w:lang w:val="es-ES"/>
        </w:rPr>
        <w:footnoteReference w:id="18"/>
      </w:r>
      <w:r w:rsidRPr="00BF139D">
        <w:rPr>
          <w:rFonts w:ascii="Arial" w:eastAsia="Arial" w:hAnsi="Arial" w:cs="Arial"/>
          <w:color w:val="000000" w:themeColor="text1"/>
          <w:lang w:val="es-ES"/>
        </w:rPr>
        <w:t>, como lo señaló el artículo 1 de la Ley 78 de 1931</w:t>
      </w:r>
      <w:r w:rsidRPr="00BF139D">
        <w:rPr>
          <w:rFonts w:ascii="Arial" w:eastAsia="Arial" w:hAnsi="Arial" w:cs="Arial"/>
          <w:color w:val="000000" w:themeColor="text1"/>
          <w:vertAlign w:val="superscript"/>
          <w:lang w:val="es-ES"/>
        </w:rPr>
        <w:footnoteReference w:id="19"/>
      </w:r>
      <w:r w:rsidRPr="00BF139D">
        <w:rPr>
          <w:rFonts w:ascii="Arial" w:eastAsia="Arial" w:hAnsi="Arial" w:cs="Arial"/>
          <w:color w:val="000000" w:themeColor="text1"/>
          <w:lang w:val="es-ES"/>
        </w:rPr>
        <w:t xml:space="preserve"> y el artículo 23 del Acto Legislativo No. 1 de 1936</w:t>
      </w:r>
      <w:r w:rsidRPr="00BF139D">
        <w:rPr>
          <w:rFonts w:ascii="Arial" w:eastAsia="Arial" w:hAnsi="Arial" w:cs="Arial"/>
          <w:color w:val="000000" w:themeColor="text1"/>
          <w:vertAlign w:val="superscript"/>
          <w:lang w:val="es-ES"/>
        </w:rPr>
        <w:footnoteReference w:id="20"/>
      </w:r>
      <w:r w:rsidRPr="00BF139D">
        <w:rPr>
          <w:rFonts w:ascii="Arial" w:eastAsia="Arial" w:hAnsi="Arial" w:cs="Arial"/>
          <w:color w:val="000000" w:themeColor="text1"/>
          <w:lang w:val="es-ES"/>
        </w:rPr>
        <w:t>, donde se prohibió la acumulación de cargos remunerados en un solo funcionario oficial y se reiteró la prohibición de que una misma persona devengue simultáneamente dos o más sueldos de la nación, los departamentos y los municipios.</w:t>
      </w:r>
    </w:p>
    <w:p w14:paraId="1517A70D" w14:textId="77777777" w:rsidR="00E1685B" w:rsidRPr="00BF139D" w:rsidRDefault="00E1685B" w:rsidP="00E1685B">
      <w:pPr>
        <w:widowControl w:val="0"/>
        <w:autoSpaceDE w:val="0"/>
        <w:autoSpaceDN w:val="0"/>
        <w:spacing w:line="276" w:lineRule="auto"/>
        <w:ind w:firstLine="709"/>
        <w:jc w:val="both"/>
        <w:rPr>
          <w:rFonts w:ascii="Arial" w:eastAsia="Arial" w:hAnsi="Arial" w:cs="Arial"/>
          <w:color w:val="000000" w:themeColor="text1"/>
          <w:lang w:val="es-ES"/>
        </w:rPr>
      </w:pPr>
      <w:r w:rsidRPr="00BF139D">
        <w:rPr>
          <w:rFonts w:ascii="Arial" w:eastAsia="Arial" w:hAnsi="Arial" w:cs="Arial"/>
          <w:color w:val="000000" w:themeColor="text1"/>
          <w:lang w:val="es-ES"/>
        </w:rPr>
        <w:t xml:space="preserve">La Constitución Política de Colombia de 1991, en el artículo 128, incluye, de igual forma, la prohibición de recibir más de una asignación que provenga del tesoro </w:t>
      </w:r>
      <w:r w:rsidRPr="00BF139D">
        <w:rPr>
          <w:rFonts w:ascii="Arial" w:eastAsia="Arial" w:hAnsi="Arial" w:cs="Arial"/>
          <w:color w:val="000000" w:themeColor="text1"/>
          <w:lang w:val="es-ES"/>
        </w:rPr>
        <w:lastRenderedPageBreak/>
        <w:t>público. Al respecto señala la Carta:</w:t>
      </w:r>
    </w:p>
    <w:p w14:paraId="4770558B" w14:textId="77777777" w:rsidR="00E1685B" w:rsidRPr="00552A54" w:rsidRDefault="00E1685B" w:rsidP="00E1685B">
      <w:pPr>
        <w:widowControl w:val="0"/>
        <w:autoSpaceDE w:val="0"/>
        <w:autoSpaceDN w:val="0"/>
        <w:spacing w:line="276" w:lineRule="auto"/>
        <w:jc w:val="both"/>
        <w:rPr>
          <w:rFonts w:ascii="Arial" w:eastAsia="Arial" w:hAnsi="Arial" w:cs="Arial"/>
          <w:color w:val="000000" w:themeColor="text1"/>
          <w:lang w:val="es-ES"/>
        </w:rPr>
      </w:pPr>
    </w:p>
    <w:p w14:paraId="3B8E9BB3" w14:textId="77777777" w:rsidR="00E1685B" w:rsidRPr="00552A54" w:rsidRDefault="00E1685B" w:rsidP="00E1685B">
      <w:pPr>
        <w:ind w:left="709" w:right="709"/>
        <w:jc w:val="both"/>
        <w:rPr>
          <w:rFonts w:ascii="Arial" w:hAnsi="Arial" w:cs="Arial"/>
          <w:color w:val="000000" w:themeColor="text1"/>
          <w:sz w:val="21"/>
        </w:rPr>
      </w:pPr>
      <w:r w:rsidRPr="00552A54">
        <w:rPr>
          <w:rFonts w:ascii="Arial" w:hAnsi="Arial" w:cs="Arial"/>
          <w:color w:val="000000" w:themeColor="text1"/>
          <w:sz w:val="21"/>
        </w:rPr>
        <w:t>“Artículo 128. 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68F7F293"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1"/>
          <w:lang w:val="es-ES"/>
        </w:rPr>
      </w:pPr>
    </w:p>
    <w:p w14:paraId="0B21D55C" w14:textId="77777777" w:rsidR="00E1685B" w:rsidRPr="00552A54" w:rsidRDefault="00E1685B" w:rsidP="00E1685B">
      <w:pPr>
        <w:ind w:left="709" w:right="709"/>
        <w:jc w:val="both"/>
        <w:rPr>
          <w:rFonts w:ascii="Arial" w:hAnsi="Arial" w:cs="Arial"/>
          <w:color w:val="000000" w:themeColor="text1"/>
          <w:sz w:val="21"/>
        </w:rPr>
      </w:pPr>
      <w:r w:rsidRPr="00552A54">
        <w:rPr>
          <w:rFonts w:ascii="Arial" w:hAnsi="Arial" w:cs="Arial"/>
          <w:color w:val="000000" w:themeColor="text1"/>
          <w:sz w:val="21"/>
        </w:rPr>
        <w:t xml:space="preserve">Entiéndese por tesoro público el de la Nación, el de las entidades territoriales y el de las descentralizadas”. </w:t>
      </w:r>
    </w:p>
    <w:p w14:paraId="2C02E9BD" w14:textId="77777777" w:rsidR="00E1685B" w:rsidRPr="00552A54" w:rsidRDefault="00E1685B" w:rsidP="00E1685B">
      <w:pPr>
        <w:widowControl w:val="0"/>
        <w:autoSpaceDE w:val="0"/>
        <w:autoSpaceDN w:val="0"/>
        <w:spacing w:line="276" w:lineRule="auto"/>
        <w:jc w:val="both"/>
        <w:rPr>
          <w:rFonts w:ascii="Arial" w:eastAsia="Arial" w:hAnsi="Arial" w:cs="Arial"/>
          <w:color w:val="000000" w:themeColor="text1"/>
          <w:lang w:val="es-ES"/>
        </w:rPr>
      </w:pPr>
    </w:p>
    <w:p w14:paraId="06CDBDCC" w14:textId="77777777" w:rsidR="00E1685B" w:rsidRPr="00BF139D" w:rsidRDefault="00E1685B" w:rsidP="00E1685B">
      <w:pPr>
        <w:widowControl w:val="0"/>
        <w:autoSpaceDE w:val="0"/>
        <w:autoSpaceDN w:val="0"/>
        <w:spacing w:line="276" w:lineRule="auto"/>
        <w:ind w:firstLine="709"/>
        <w:jc w:val="both"/>
        <w:rPr>
          <w:rFonts w:ascii="Arial" w:eastAsia="Arial" w:hAnsi="Arial" w:cs="Arial"/>
          <w:color w:val="000000" w:themeColor="text1"/>
          <w:lang w:val="es-ES"/>
        </w:rPr>
      </w:pPr>
      <w:r w:rsidRPr="00BF139D">
        <w:rPr>
          <w:rFonts w:ascii="Arial" w:eastAsia="Arial" w:hAnsi="Arial" w:cs="Arial"/>
          <w:color w:val="000000" w:themeColor="text1"/>
          <w:lang w:val="es-ES"/>
        </w:rPr>
        <w:t>Esta norma se desarrolló a través del artículo 19 de la Ley 4 de 1992</w:t>
      </w:r>
      <w:r w:rsidRPr="00BF139D">
        <w:rPr>
          <w:rFonts w:ascii="Arial" w:eastAsia="Arial" w:hAnsi="Arial" w:cs="Arial"/>
          <w:color w:val="000000" w:themeColor="text1"/>
          <w:vertAlign w:val="superscript"/>
          <w:lang w:val="es-ES"/>
        </w:rPr>
        <w:footnoteReference w:id="21"/>
      </w:r>
      <w:r w:rsidRPr="00BF139D">
        <w:rPr>
          <w:rFonts w:ascii="Arial" w:eastAsia="Arial" w:hAnsi="Arial" w:cs="Arial"/>
          <w:color w:val="000000" w:themeColor="text1"/>
          <w:lang w:val="es-ES"/>
        </w:rPr>
        <w:t>, precisando la prohibición del artículo 128 y señalando los eventos exceptuados en los que una misma persona puede recibir simultáneamente doble asignación presupuestal. El artículo 19 expresa:</w:t>
      </w:r>
    </w:p>
    <w:p w14:paraId="1DF6EF30" w14:textId="77777777" w:rsidR="00E1685B" w:rsidRPr="00552A54" w:rsidRDefault="00E1685B" w:rsidP="00E1685B">
      <w:pPr>
        <w:widowControl w:val="0"/>
        <w:autoSpaceDE w:val="0"/>
        <w:autoSpaceDN w:val="0"/>
        <w:spacing w:line="276" w:lineRule="auto"/>
        <w:jc w:val="both"/>
        <w:rPr>
          <w:rFonts w:ascii="Arial" w:eastAsia="Arial" w:hAnsi="Arial" w:cs="Arial"/>
          <w:color w:val="000000" w:themeColor="text1"/>
          <w:lang w:val="es-ES"/>
        </w:rPr>
      </w:pPr>
    </w:p>
    <w:p w14:paraId="2542C122" w14:textId="77777777" w:rsidR="00E1685B" w:rsidRPr="00552A54" w:rsidRDefault="00E1685B" w:rsidP="00E1685B">
      <w:pPr>
        <w:ind w:left="709" w:right="709"/>
        <w:jc w:val="both"/>
        <w:rPr>
          <w:rFonts w:ascii="Arial" w:hAnsi="Arial" w:cs="Arial"/>
          <w:color w:val="000000" w:themeColor="text1"/>
          <w:sz w:val="21"/>
        </w:rPr>
      </w:pPr>
      <w:r w:rsidRPr="00552A54">
        <w:rPr>
          <w:rFonts w:ascii="Arial" w:hAnsi="Arial" w:cs="Arial"/>
          <w:color w:val="000000" w:themeColor="text1"/>
          <w:sz w:val="21"/>
        </w:rPr>
        <w:t>“Artículo 19. Nadie podrá desempeñar simultáneamente más de un empleo público, ni recibir más de una asignación que provenga del Tesoro Público, o de empresas o de instituciones en las que tenga parte mayoritaria el Estado. Exceptúense las siguientes</w:t>
      </w:r>
      <w:r w:rsidRPr="00552A54">
        <w:rPr>
          <w:rFonts w:ascii="Arial" w:hAnsi="Arial" w:cs="Arial"/>
          <w:color w:val="000000" w:themeColor="text1"/>
          <w:spacing w:val="-2"/>
          <w:sz w:val="21"/>
        </w:rPr>
        <w:t xml:space="preserve"> </w:t>
      </w:r>
      <w:r w:rsidRPr="00552A54">
        <w:rPr>
          <w:rFonts w:ascii="Arial" w:hAnsi="Arial" w:cs="Arial"/>
          <w:color w:val="000000" w:themeColor="text1"/>
          <w:sz w:val="21"/>
        </w:rPr>
        <w:t>asignaciones:</w:t>
      </w:r>
    </w:p>
    <w:p w14:paraId="0CF7EDC7"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1"/>
          <w:lang w:val="es-ES"/>
        </w:rPr>
      </w:pPr>
    </w:p>
    <w:p w14:paraId="1E699628" w14:textId="77777777" w:rsidR="00E1685B" w:rsidRPr="00552A54" w:rsidRDefault="00E1685B" w:rsidP="00E1685B">
      <w:pPr>
        <w:widowControl w:val="0"/>
        <w:numPr>
          <w:ilvl w:val="0"/>
          <w:numId w:val="2"/>
        </w:numPr>
        <w:tabs>
          <w:tab w:val="left" w:pos="1338"/>
        </w:tabs>
        <w:autoSpaceDE w:val="0"/>
        <w:autoSpaceDN w:val="0"/>
        <w:ind w:left="709" w:right="709" w:firstLine="0"/>
        <w:jc w:val="both"/>
        <w:rPr>
          <w:rFonts w:ascii="Arial" w:hAnsi="Arial" w:cs="Arial"/>
          <w:color w:val="000000" w:themeColor="text1"/>
          <w:sz w:val="21"/>
          <w:lang w:val="es-MX"/>
        </w:rPr>
      </w:pPr>
      <w:r w:rsidRPr="00552A54">
        <w:rPr>
          <w:rFonts w:ascii="Arial" w:hAnsi="Arial" w:cs="Arial"/>
          <w:color w:val="000000" w:themeColor="text1"/>
          <w:sz w:val="21"/>
          <w:lang w:val="es-MX"/>
        </w:rPr>
        <w:t>Las que reciban los profesores universitarios que se desempeñen como asesores de la Rama</w:t>
      </w:r>
      <w:r w:rsidRPr="00552A54">
        <w:rPr>
          <w:rFonts w:ascii="Arial" w:hAnsi="Arial" w:cs="Arial"/>
          <w:color w:val="000000" w:themeColor="text1"/>
          <w:spacing w:val="-5"/>
          <w:sz w:val="21"/>
          <w:lang w:val="es-MX"/>
        </w:rPr>
        <w:t xml:space="preserve"> </w:t>
      </w:r>
      <w:r w:rsidRPr="00552A54">
        <w:rPr>
          <w:rFonts w:ascii="Arial" w:hAnsi="Arial" w:cs="Arial"/>
          <w:color w:val="000000" w:themeColor="text1"/>
          <w:sz w:val="21"/>
          <w:lang w:val="es-MX"/>
        </w:rPr>
        <w:t>Legislativa;</w:t>
      </w:r>
    </w:p>
    <w:p w14:paraId="53B22C1C"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1"/>
          <w:lang w:val="es-ES"/>
        </w:rPr>
      </w:pPr>
    </w:p>
    <w:p w14:paraId="7553151F" w14:textId="77777777" w:rsidR="00E1685B" w:rsidRPr="00552A54" w:rsidRDefault="00E1685B" w:rsidP="00E1685B">
      <w:pPr>
        <w:widowControl w:val="0"/>
        <w:numPr>
          <w:ilvl w:val="0"/>
          <w:numId w:val="2"/>
        </w:numPr>
        <w:tabs>
          <w:tab w:val="left" w:pos="1308"/>
        </w:tabs>
        <w:autoSpaceDE w:val="0"/>
        <w:autoSpaceDN w:val="0"/>
        <w:ind w:left="709" w:right="709" w:firstLine="0"/>
        <w:jc w:val="both"/>
        <w:rPr>
          <w:rFonts w:ascii="Arial" w:hAnsi="Arial" w:cs="Arial"/>
          <w:color w:val="000000" w:themeColor="text1"/>
          <w:sz w:val="21"/>
          <w:lang w:val="es-MX"/>
        </w:rPr>
      </w:pPr>
      <w:r w:rsidRPr="00552A54">
        <w:rPr>
          <w:rFonts w:ascii="Arial" w:hAnsi="Arial" w:cs="Arial"/>
          <w:color w:val="000000" w:themeColor="text1"/>
          <w:sz w:val="21"/>
          <w:lang w:val="es-MX"/>
        </w:rPr>
        <w:t>Las percibidas por el personal con asignación de retiro o pensión militar o policial de la Fuerza</w:t>
      </w:r>
      <w:r w:rsidRPr="00552A54">
        <w:rPr>
          <w:rFonts w:ascii="Arial" w:hAnsi="Arial" w:cs="Arial"/>
          <w:color w:val="000000" w:themeColor="text1"/>
          <w:spacing w:val="-5"/>
          <w:sz w:val="21"/>
          <w:lang w:val="es-MX"/>
        </w:rPr>
        <w:t xml:space="preserve"> </w:t>
      </w:r>
      <w:r w:rsidRPr="00552A54">
        <w:rPr>
          <w:rFonts w:ascii="Arial" w:hAnsi="Arial" w:cs="Arial"/>
          <w:color w:val="000000" w:themeColor="text1"/>
          <w:sz w:val="21"/>
          <w:lang w:val="es-MX"/>
        </w:rPr>
        <w:t>Pública;</w:t>
      </w:r>
    </w:p>
    <w:p w14:paraId="0F5E3622"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1"/>
          <w:lang w:val="es-ES"/>
        </w:rPr>
      </w:pPr>
    </w:p>
    <w:p w14:paraId="2C4F712C" w14:textId="77777777" w:rsidR="00E1685B" w:rsidRPr="00552A54" w:rsidRDefault="00E1685B" w:rsidP="00E1685B">
      <w:pPr>
        <w:widowControl w:val="0"/>
        <w:numPr>
          <w:ilvl w:val="0"/>
          <w:numId w:val="2"/>
        </w:numPr>
        <w:tabs>
          <w:tab w:val="left" w:pos="1241"/>
        </w:tabs>
        <w:autoSpaceDE w:val="0"/>
        <w:autoSpaceDN w:val="0"/>
        <w:ind w:left="942" w:right="709" w:hanging="233"/>
        <w:jc w:val="both"/>
        <w:rPr>
          <w:rFonts w:ascii="Arial" w:hAnsi="Arial" w:cs="Arial"/>
          <w:color w:val="000000" w:themeColor="text1"/>
          <w:sz w:val="21"/>
          <w:lang w:val="es-MX"/>
        </w:rPr>
      </w:pPr>
      <w:r w:rsidRPr="00552A54">
        <w:rPr>
          <w:rFonts w:ascii="Arial" w:hAnsi="Arial" w:cs="Arial"/>
          <w:color w:val="000000" w:themeColor="text1"/>
          <w:sz w:val="21"/>
          <w:lang w:val="es-MX"/>
        </w:rPr>
        <w:t>Las percibidas por concepto de sustitución</w:t>
      </w:r>
      <w:r w:rsidRPr="00552A54">
        <w:rPr>
          <w:rFonts w:ascii="Arial" w:hAnsi="Arial" w:cs="Arial"/>
          <w:color w:val="000000" w:themeColor="text1"/>
          <w:spacing w:val="-8"/>
          <w:sz w:val="21"/>
          <w:lang w:val="es-MX"/>
        </w:rPr>
        <w:t xml:space="preserve"> </w:t>
      </w:r>
      <w:r w:rsidRPr="00552A54">
        <w:rPr>
          <w:rFonts w:ascii="Arial" w:hAnsi="Arial" w:cs="Arial"/>
          <w:color w:val="000000" w:themeColor="text1"/>
          <w:sz w:val="21"/>
          <w:lang w:val="es-MX"/>
        </w:rPr>
        <w:t>pensional;</w:t>
      </w:r>
    </w:p>
    <w:p w14:paraId="7EB56F03"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1"/>
          <w:lang w:val="es-ES"/>
        </w:rPr>
      </w:pPr>
    </w:p>
    <w:p w14:paraId="1170B19D" w14:textId="77777777" w:rsidR="00E1685B" w:rsidRPr="00552A54" w:rsidRDefault="00E1685B" w:rsidP="00E1685B">
      <w:pPr>
        <w:widowControl w:val="0"/>
        <w:numPr>
          <w:ilvl w:val="0"/>
          <w:numId w:val="2"/>
        </w:numPr>
        <w:tabs>
          <w:tab w:val="left" w:pos="1253"/>
        </w:tabs>
        <w:autoSpaceDE w:val="0"/>
        <w:autoSpaceDN w:val="0"/>
        <w:ind w:left="954" w:right="709" w:hanging="245"/>
        <w:jc w:val="both"/>
        <w:rPr>
          <w:rFonts w:ascii="Arial" w:hAnsi="Arial" w:cs="Arial"/>
          <w:color w:val="000000" w:themeColor="text1"/>
          <w:sz w:val="21"/>
          <w:lang w:val="es-MX"/>
        </w:rPr>
      </w:pPr>
      <w:r w:rsidRPr="00552A54">
        <w:rPr>
          <w:rFonts w:ascii="Arial" w:hAnsi="Arial" w:cs="Arial"/>
          <w:color w:val="000000" w:themeColor="text1"/>
          <w:sz w:val="21"/>
          <w:lang w:val="es-MX"/>
        </w:rPr>
        <w:t>Los honorarios percibidos por concepto de</w:t>
      </w:r>
      <w:r w:rsidRPr="00552A54">
        <w:rPr>
          <w:rFonts w:ascii="Arial" w:hAnsi="Arial" w:cs="Arial"/>
          <w:color w:val="000000" w:themeColor="text1"/>
          <w:spacing w:val="-8"/>
          <w:sz w:val="21"/>
          <w:lang w:val="es-MX"/>
        </w:rPr>
        <w:t xml:space="preserve"> </w:t>
      </w:r>
      <w:r w:rsidRPr="00552A54">
        <w:rPr>
          <w:rFonts w:ascii="Arial" w:hAnsi="Arial" w:cs="Arial"/>
          <w:color w:val="000000" w:themeColor="text1"/>
          <w:sz w:val="21"/>
          <w:lang w:val="es-MX"/>
        </w:rPr>
        <w:t>hora-cátedra;</w:t>
      </w:r>
    </w:p>
    <w:p w14:paraId="2B5AA0B0"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1"/>
          <w:lang w:val="es-ES"/>
        </w:rPr>
      </w:pPr>
    </w:p>
    <w:p w14:paraId="4ED352CF" w14:textId="77777777" w:rsidR="00E1685B" w:rsidRPr="00552A54" w:rsidRDefault="00E1685B" w:rsidP="00E1685B">
      <w:pPr>
        <w:widowControl w:val="0"/>
        <w:numPr>
          <w:ilvl w:val="0"/>
          <w:numId w:val="2"/>
        </w:numPr>
        <w:tabs>
          <w:tab w:val="left" w:pos="1253"/>
        </w:tabs>
        <w:autoSpaceDE w:val="0"/>
        <w:autoSpaceDN w:val="0"/>
        <w:ind w:left="954" w:right="709" w:hanging="245"/>
        <w:jc w:val="both"/>
        <w:rPr>
          <w:rFonts w:ascii="Arial" w:hAnsi="Arial" w:cs="Arial"/>
          <w:color w:val="000000" w:themeColor="text1"/>
          <w:sz w:val="21"/>
          <w:lang w:val="es-MX"/>
        </w:rPr>
      </w:pPr>
      <w:r w:rsidRPr="00552A54">
        <w:rPr>
          <w:rFonts w:ascii="Arial" w:hAnsi="Arial" w:cs="Arial"/>
          <w:color w:val="000000" w:themeColor="text1"/>
          <w:sz w:val="21"/>
          <w:lang w:val="es-MX"/>
        </w:rPr>
        <w:t>Los honorarios percibidos por concepto de servicios profesionales de</w:t>
      </w:r>
      <w:r w:rsidRPr="00552A54">
        <w:rPr>
          <w:rFonts w:ascii="Arial" w:hAnsi="Arial" w:cs="Arial"/>
          <w:color w:val="000000" w:themeColor="text1"/>
          <w:spacing w:val="-19"/>
          <w:sz w:val="21"/>
          <w:lang w:val="es-MX"/>
        </w:rPr>
        <w:t xml:space="preserve"> </w:t>
      </w:r>
      <w:r w:rsidRPr="00552A54">
        <w:rPr>
          <w:rFonts w:ascii="Arial" w:hAnsi="Arial" w:cs="Arial"/>
          <w:color w:val="000000" w:themeColor="text1"/>
          <w:sz w:val="21"/>
          <w:lang w:val="es-MX"/>
        </w:rPr>
        <w:t>salud;</w:t>
      </w:r>
    </w:p>
    <w:p w14:paraId="1C1CA4FF"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0"/>
          <w:lang w:val="es-ES"/>
        </w:rPr>
      </w:pPr>
    </w:p>
    <w:p w14:paraId="11F27D4B" w14:textId="77777777" w:rsidR="00E1685B" w:rsidRPr="00552A54" w:rsidRDefault="00E1685B" w:rsidP="00E1685B">
      <w:pPr>
        <w:widowControl w:val="0"/>
        <w:numPr>
          <w:ilvl w:val="0"/>
          <w:numId w:val="2"/>
        </w:numPr>
        <w:tabs>
          <w:tab w:val="left" w:pos="1198"/>
        </w:tabs>
        <w:autoSpaceDE w:val="0"/>
        <w:autoSpaceDN w:val="0"/>
        <w:ind w:left="709" w:right="709" w:firstLine="0"/>
        <w:jc w:val="both"/>
        <w:rPr>
          <w:rFonts w:ascii="Arial" w:hAnsi="Arial" w:cs="Arial"/>
          <w:color w:val="000000" w:themeColor="text1"/>
          <w:sz w:val="21"/>
          <w:lang w:val="es-MX"/>
        </w:rPr>
      </w:pPr>
      <w:r w:rsidRPr="00552A54">
        <w:rPr>
          <w:rFonts w:ascii="Arial" w:hAnsi="Arial" w:cs="Arial"/>
          <w:color w:val="000000" w:themeColor="text1"/>
          <w:sz w:val="21"/>
          <w:lang w:val="es-MX"/>
        </w:rPr>
        <w:t>Los honorarios percibidos por los miembros de las Juntas Directivas, en razón de su asistencia a las mismas, siempre que no se trate de más de dos</w:t>
      </w:r>
      <w:r w:rsidRPr="00552A54">
        <w:rPr>
          <w:rFonts w:ascii="Arial" w:hAnsi="Arial" w:cs="Arial"/>
          <w:color w:val="000000" w:themeColor="text1"/>
          <w:spacing w:val="-18"/>
          <w:sz w:val="21"/>
          <w:lang w:val="es-MX"/>
        </w:rPr>
        <w:t xml:space="preserve"> </w:t>
      </w:r>
      <w:r w:rsidRPr="00552A54">
        <w:rPr>
          <w:rFonts w:ascii="Arial" w:hAnsi="Arial" w:cs="Arial"/>
          <w:color w:val="000000" w:themeColor="text1"/>
          <w:sz w:val="21"/>
          <w:lang w:val="es-MX"/>
        </w:rPr>
        <w:t>juntas;</w:t>
      </w:r>
    </w:p>
    <w:p w14:paraId="1EBD51A2"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1"/>
          <w:lang w:val="es-ES"/>
        </w:rPr>
      </w:pPr>
    </w:p>
    <w:p w14:paraId="5FF16DD8" w14:textId="77777777" w:rsidR="00E1685B" w:rsidRPr="00552A54" w:rsidRDefault="00E1685B" w:rsidP="00E1685B">
      <w:pPr>
        <w:widowControl w:val="0"/>
        <w:numPr>
          <w:ilvl w:val="0"/>
          <w:numId w:val="2"/>
        </w:numPr>
        <w:tabs>
          <w:tab w:val="left" w:pos="1308"/>
        </w:tabs>
        <w:autoSpaceDE w:val="0"/>
        <w:autoSpaceDN w:val="0"/>
        <w:ind w:left="709" w:right="709" w:firstLine="0"/>
        <w:jc w:val="both"/>
        <w:rPr>
          <w:rFonts w:ascii="Arial" w:hAnsi="Arial" w:cs="Arial"/>
          <w:color w:val="000000" w:themeColor="text1"/>
          <w:sz w:val="21"/>
          <w:lang w:val="es-MX"/>
        </w:rPr>
      </w:pPr>
      <w:r w:rsidRPr="00552A54">
        <w:rPr>
          <w:rFonts w:ascii="Arial" w:hAnsi="Arial" w:cs="Arial"/>
          <w:color w:val="000000" w:themeColor="text1"/>
          <w:sz w:val="21"/>
          <w:lang w:val="es-MX"/>
        </w:rPr>
        <w:t>Las que a la fecha de entrar en vigencia la presente Ley beneficien a los servidores oficiales docentes</w:t>
      </w:r>
      <w:r w:rsidRPr="00552A54">
        <w:rPr>
          <w:rFonts w:ascii="Arial" w:hAnsi="Arial" w:cs="Arial"/>
          <w:color w:val="000000" w:themeColor="text1"/>
          <w:spacing w:val="-4"/>
          <w:sz w:val="21"/>
          <w:lang w:val="es-MX"/>
        </w:rPr>
        <w:t xml:space="preserve"> </w:t>
      </w:r>
      <w:r w:rsidRPr="00552A54">
        <w:rPr>
          <w:rFonts w:ascii="Arial" w:hAnsi="Arial" w:cs="Arial"/>
          <w:color w:val="000000" w:themeColor="text1"/>
          <w:sz w:val="21"/>
          <w:lang w:val="es-MX"/>
        </w:rPr>
        <w:t>pensionados.</w:t>
      </w:r>
    </w:p>
    <w:p w14:paraId="4C0FE7F0"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1"/>
          <w:lang w:val="es-ES"/>
        </w:rPr>
      </w:pPr>
    </w:p>
    <w:p w14:paraId="1941AE51" w14:textId="77777777" w:rsidR="00E1685B" w:rsidRPr="00552A54" w:rsidRDefault="00E1685B" w:rsidP="00E1685B">
      <w:pPr>
        <w:ind w:left="709" w:right="709"/>
        <w:jc w:val="both"/>
        <w:rPr>
          <w:rFonts w:ascii="Arial" w:hAnsi="Arial" w:cs="Arial"/>
          <w:color w:val="000000" w:themeColor="text1"/>
          <w:sz w:val="21"/>
        </w:rPr>
      </w:pPr>
      <w:r w:rsidRPr="00552A54">
        <w:rPr>
          <w:rFonts w:ascii="Arial" w:hAnsi="Arial" w:cs="Arial"/>
          <w:color w:val="000000" w:themeColor="text1"/>
          <w:sz w:val="21"/>
        </w:rPr>
        <w:t>Parágrafo. No se podrán recibir honorarios que sumados correspondan a más de ocho (8) horas diarias de trabajo a varias entidades”.</w:t>
      </w:r>
    </w:p>
    <w:p w14:paraId="07C921E3" w14:textId="77777777" w:rsidR="00E1685B" w:rsidRPr="00552A54" w:rsidRDefault="00E1685B" w:rsidP="00E1685B">
      <w:pPr>
        <w:widowControl w:val="0"/>
        <w:autoSpaceDE w:val="0"/>
        <w:autoSpaceDN w:val="0"/>
        <w:spacing w:line="276" w:lineRule="auto"/>
        <w:jc w:val="both"/>
        <w:rPr>
          <w:rFonts w:ascii="Arial" w:eastAsia="Arial" w:hAnsi="Arial" w:cs="Arial"/>
          <w:color w:val="000000" w:themeColor="text1"/>
          <w:lang w:val="es-ES"/>
        </w:rPr>
      </w:pPr>
    </w:p>
    <w:p w14:paraId="4A25A761" w14:textId="77777777" w:rsidR="00E1685B" w:rsidRPr="00BF139D" w:rsidRDefault="00E1685B" w:rsidP="00E1685B">
      <w:pPr>
        <w:widowControl w:val="0"/>
        <w:autoSpaceDE w:val="0"/>
        <w:autoSpaceDN w:val="0"/>
        <w:spacing w:after="120" w:line="276" w:lineRule="auto"/>
        <w:ind w:firstLine="709"/>
        <w:jc w:val="both"/>
        <w:rPr>
          <w:rFonts w:ascii="Arial" w:eastAsia="Arial" w:hAnsi="Arial" w:cs="Arial"/>
          <w:color w:val="000000" w:themeColor="text1"/>
          <w:lang w:val="es-ES"/>
        </w:rPr>
      </w:pPr>
      <w:r w:rsidRPr="00BF139D">
        <w:rPr>
          <w:rFonts w:ascii="Arial" w:eastAsia="Arial" w:hAnsi="Arial" w:cs="Arial"/>
          <w:color w:val="000000" w:themeColor="text1"/>
          <w:lang w:val="es-ES"/>
        </w:rPr>
        <w:t>De conformidad con el artículo 128 de la Carta y con la Ley 4 de 1992, la prohibición de recibir doble asignación está directamente relacionada con las personas que ejercen empleos públicos. Al respecto, la Sala de Consulta y Servicio Civil del Consejo de Estado, en</w:t>
      </w:r>
      <w:r w:rsidRPr="00BF139D">
        <w:rPr>
          <w:rFonts w:ascii="Arial" w:eastAsia="Arial" w:hAnsi="Arial" w:cs="Arial"/>
          <w:color w:val="000000" w:themeColor="text1"/>
          <w:spacing w:val="53"/>
          <w:lang w:val="es-ES"/>
        </w:rPr>
        <w:t xml:space="preserve"> </w:t>
      </w:r>
      <w:r w:rsidRPr="00BF139D">
        <w:rPr>
          <w:rFonts w:ascii="Arial" w:eastAsia="Arial" w:hAnsi="Arial" w:cs="Arial"/>
          <w:color w:val="000000" w:themeColor="text1"/>
          <w:lang w:val="es-ES"/>
        </w:rPr>
        <w:t>concepto</w:t>
      </w:r>
      <w:r w:rsidRPr="00BF139D">
        <w:rPr>
          <w:rFonts w:ascii="Arial" w:eastAsia="Arial" w:hAnsi="Arial" w:cs="Arial"/>
          <w:color w:val="000000" w:themeColor="text1"/>
          <w:spacing w:val="54"/>
          <w:lang w:val="es-ES"/>
        </w:rPr>
        <w:t xml:space="preserve"> </w:t>
      </w:r>
      <w:r w:rsidRPr="00BF139D">
        <w:rPr>
          <w:rFonts w:ascii="Arial" w:eastAsia="Arial" w:hAnsi="Arial" w:cs="Arial"/>
          <w:color w:val="000000" w:themeColor="text1"/>
          <w:lang w:val="es-ES"/>
        </w:rPr>
        <w:t>No</w:t>
      </w:r>
      <w:r w:rsidRPr="00BF139D">
        <w:rPr>
          <w:rFonts w:ascii="Arial" w:eastAsia="Arial" w:hAnsi="Arial" w:cs="Arial"/>
          <w:color w:val="000000" w:themeColor="text1"/>
          <w:spacing w:val="54"/>
          <w:lang w:val="es-ES"/>
        </w:rPr>
        <w:t xml:space="preserve"> </w:t>
      </w:r>
      <w:r w:rsidRPr="00BF139D">
        <w:rPr>
          <w:rFonts w:ascii="Arial" w:eastAsia="Arial" w:hAnsi="Arial" w:cs="Arial"/>
          <w:color w:val="000000" w:themeColor="text1"/>
          <w:lang w:val="es-ES"/>
        </w:rPr>
        <w:t>1.344,</w:t>
      </w:r>
      <w:r w:rsidRPr="00BF139D">
        <w:rPr>
          <w:rFonts w:ascii="Arial" w:eastAsia="Arial" w:hAnsi="Arial" w:cs="Arial"/>
          <w:color w:val="000000" w:themeColor="text1"/>
          <w:spacing w:val="54"/>
          <w:lang w:val="es-ES"/>
        </w:rPr>
        <w:t xml:space="preserve"> </w:t>
      </w:r>
      <w:r w:rsidRPr="00BF139D">
        <w:rPr>
          <w:rFonts w:ascii="Arial" w:eastAsia="Arial" w:hAnsi="Arial" w:cs="Arial"/>
          <w:color w:val="000000" w:themeColor="text1"/>
          <w:lang w:val="es-ES"/>
        </w:rPr>
        <w:t>del</w:t>
      </w:r>
      <w:r w:rsidRPr="00BF139D">
        <w:rPr>
          <w:rFonts w:ascii="Arial" w:eastAsia="Arial" w:hAnsi="Arial" w:cs="Arial"/>
          <w:color w:val="000000" w:themeColor="text1"/>
          <w:spacing w:val="55"/>
          <w:lang w:val="es-ES"/>
        </w:rPr>
        <w:t xml:space="preserve"> </w:t>
      </w:r>
      <w:r w:rsidRPr="00BF139D">
        <w:rPr>
          <w:rFonts w:ascii="Arial" w:eastAsia="Arial" w:hAnsi="Arial" w:cs="Arial"/>
          <w:color w:val="000000" w:themeColor="text1"/>
          <w:lang w:val="es-ES"/>
        </w:rPr>
        <w:t>10</w:t>
      </w:r>
      <w:r w:rsidRPr="00BF139D">
        <w:rPr>
          <w:rFonts w:ascii="Arial" w:eastAsia="Arial" w:hAnsi="Arial" w:cs="Arial"/>
          <w:color w:val="000000" w:themeColor="text1"/>
          <w:spacing w:val="54"/>
          <w:lang w:val="es-ES"/>
        </w:rPr>
        <w:t xml:space="preserve"> </w:t>
      </w:r>
      <w:r w:rsidRPr="00BF139D">
        <w:rPr>
          <w:rFonts w:ascii="Arial" w:eastAsia="Arial" w:hAnsi="Arial" w:cs="Arial"/>
          <w:color w:val="000000" w:themeColor="text1"/>
          <w:lang w:val="es-ES"/>
        </w:rPr>
        <w:t>de</w:t>
      </w:r>
      <w:r w:rsidRPr="00BF139D">
        <w:rPr>
          <w:rFonts w:ascii="Arial" w:eastAsia="Arial" w:hAnsi="Arial" w:cs="Arial"/>
          <w:color w:val="000000" w:themeColor="text1"/>
          <w:spacing w:val="53"/>
          <w:lang w:val="es-ES"/>
        </w:rPr>
        <w:t xml:space="preserve"> </w:t>
      </w:r>
      <w:r w:rsidRPr="00BF139D">
        <w:rPr>
          <w:rFonts w:ascii="Arial" w:eastAsia="Arial" w:hAnsi="Arial" w:cs="Arial"/>
          <w:color w:val="000000" w:themeColor="text1"/>
          <w:lang w:val="es-ES"/>
        </w:rPr>
        <w:t>mayo</w:t>
      </w:r>
      <w:r w:rsidRPr="00BF139D">
        <w:rPr>
          <w:rFonts w:ascii="Arial" w:eastAsia="Arial" w:hAnsi="Arial" w:cs="Arial"/>
          <w:color w:val="000000" w:themeColor="text1"/>
          <w:spacing w:val="54"/>
          <w:lang w:val="es-ES"/>
        </w:rPr>
        <w:t xml:space="preserve"> </w:t>
      </w:r>
      <w:r w:rsidRPr="00BF139D">
        <w:rPr>
          <w:rFonts w:ascii="Arial" w:eastAsia="Arial" w:hAnsi="Arial" w:cs="Arial"/>
          <w:color w:val="000000" w:themeColor="text1"/>
          <w:lang w:val="es-ES"/>
        </w:rPr>
        <w:t>de</w:t>
      </w:r>
      <w:r w:rsidRPr="00BF139D">
        <w:rPr>
          <w:rFonts w:ascii="Arial" w:eastAsia="Arial" w:hAnsi="Arial" w:cs="Arial"/>
          <w:color w:val="000000" w:themeColor="text1"/>
          <w:spacing w:val="54"/>
          <w:lang w:val="es-ES"/>
        </w:rPr>
        <w:t xml:space="preserve"> </w:t>
      </w:r>
      <w:r w:rsidRPr="00BF139D">
        <w:rPr>
          <w:rFonts w:ascii="Arial" w:eastAsia="Arial" w:hAnsi="Arial" w:cs="Arial"/>
          <w:color w:val="000000" w:themeColor="text1"/>
          <w:lang w:val="es-ES"/>
        </w:rPr>
        <w:t>2001,</w:t>
      </w:r>
      <w:r w:rsidRPr="00BF139D">
        <w:rPr>
          <w:rFonts w:ascii="Arial" w:eastAsia="Arial" w:hAnsi="Arial" w:cs="Arial"/>
          <w:color w:val="000000" w:themeColor="text1"/>
          <w:spacing w:val="52"/>
          <w:lang w:val="es-ES"/>
        </w:rPr>
        <w:t xml:space="preserve"> </w:t>
      </w:r>
      <w:r w:rsidRPr="00BF139D">
        <w:rPr>
          <w:rFonts w:ascii="Arial" w:eastAsia="Arial" w:hAnsi="Arial" w:cs="Arial"/>
          <w:color w:val="000000" w:themeColor="text1"/>
          <w:lang w:val="es-ES"/>
        </w:rPr>
        <w:t>con</w:t>
      </w:r>
      <w:r w:rsidRPr="00BF139D">
        <w:rPr>
          <w:rFonts w:ascii="Arial" w:eastAsia="Arial" w:hAnsi="Arial" w:cs="Arial"/>
          <w:color w:val="000000" w:themeColor="text1"/>
          <w:spacing w:val="53"/>
          <w:lang w:val="es-ES"/>
        </w:rPr>
        <w:t xml:space="preserve"> </w:t>
      </w:r>
      <w:r w:rsidRPr="00BF139D">
        <w:rPr>
          <w:rFonts w:ascii="Arial" w:eastAsia="Arial" w:hAnsi="Arial" w:cs="Arial"/>
          <w:color w:val="000000" w:themeColor="text1"/>
          <w:lang w:val="es-ES"/>
        </w:rPr>
        <w:t>ponencia</w:t>
      </w:r>
      <w:r w:rsidRPr="00BF139D">
        <w:rPr>
          <w:rFonts w:ascii="Arial" w:eastAsia="Arial" w:hAnsi="Arial" w:cs="Arial"/>
          <w:color w:val="000000" w:themeColor="text1"/>
          <w:spacing w:val="54"/>
          <w:lang w:val="es-ES"/>
        </w:rPr>
        <w:t xml:space="preserve"> </w:t>
      </w:r>
      <w:r w:rsidRPr="00BF139D">
        <w:rPr>
          <w:rFonts w:ascii="Arial" w:eastAsia="Arial" w:hAnsi="Arial" w:cs="Arial"/>
          <w:color w:val="000000" w:themeColor="text1"/>
          <w:lang w:val="es-ES"/>
        </w:rPr>
        <w:t>del</w:t>
      </w:r>
      <w:r w:rsidRPr="00BF139D">
        <w:rPr>
          <w:rFonts w:ascii="Arial" w:eastAsia="Arial" w:hAnsi="Arial" w:cs="Arial"/>
          <w:color w:val="000000" w:themeColor="text1"/>
          <w:spacing w:val="55"/>
          <w:lang w:val="es-ES"/>
        </w:rPr>
        <w:t xml:space="preserve"> </w:t>
      </w:r>
      <w:r w:rsidRPr="00BF139D">
        <w:rPr>
          <w:rFonts w:ascii="Arial" w:eastAsia="Arial" w:hAnsi="Arial" w:cs="Arial"/>
          <w:color w:val="000000" w:themeColor="text1"/>
          <w:lang w:val="es-ES"/>
        </w:rPr>
        <w:t>Consejero</w:t>
      </w:r>
      <w:r w:rsidRPr="00BF139D">
        <w:rPr>
          <w:rFonts w:ascii="Arial" w:eastAsia="Arial" w:hAnsi="Arial" w:cs="Arial"/>
          <w:color w:val="000000" w:themeColor="text1"/>
          <w:spacing w:val="59"/>
          <w:lang w:val="es-ES"/>
        </w:rPr>
        <w:t xml:space="preserve"> </w:t>
      </w:r>
      <w:r w:rsidRPr="00BF139D">
        <w:rPr>
          <w:rFonts w:ascii="Arial" w:eastAsia="Arial" w:hAnsi="Arial" w:cs="Arial"/>
          <w:color w:val="000000" w:themeColor="text1"/>
          <w:lang w:val="es-ES"/>
        </w:rPr>
        <w:t>Flavio Augusto Rodríguez Arce, estudió la expresión “asignación” que se encuentra en la norma constitucional, expresando que tiene relación “con el ejercicio de empleos en el sector oficial o con el pago de prestaciones provenientes del ejercicio de estos empleos”. De igual forma, expresó que las asignaciones a las que hace relación el artículo 128 de la Constitución y el artículo 19 de la Ley 4 de 1992 comprenden salarios, prestaciones sociales y “toda clase de remuneración que tenga como fundamento un vínculo o relación laboral con entidades del Estado”.</w:t>
      </w:r>
    </w:p>
    <w:p w14:paraId="21930AA2" w14:textId="77777777" w:rsidR="00E1685B" w:rsidRPr="00BF139D" w:rsidRDefault="00E1685B" w:rsidP="00E1685B">
      <w:pPr>
        <w:widowControl w:val="0"/>
        <w:autoSpaceDE w:val="0"/>
        <w:autoSpaceDN w:val="0"/>
        <w:spacing w:line="276" w:lineRule="auto"/>
        <w:ind w:firstLine="709"/>
        <w:jc w:val="both"/>
        <w:rPr>
          <w:rFonts w:ascii="Arial" w:eastAsia="Arial" w:hAnsi="Arial" w:cs="Arial"/>
          <w:color w:val="000000" w:themeColor="text1"/>
          <w:lang w:val="es-ES"/>
        </w:rPr>
      </w:pPr>
      <w:r w:rsidRPr="00BF139D">
        <w:rPr>
          <w:rFonts w:ascii="Arial" w:eastAsia="Arial" w:hAnsi="Arial" w:cs="Arial"/>
          <w:color w:val="000000" w:themeColor="text1"/>
          <w:lang w:val="es-ES"/>
        </w:rPr>
        <w:t>La Corte Constitucional, en la sentencia C-133 del 1 de abril de 1993, Magistrado Ponente Vladimiro Naranjo Mesa, analizó la demanda de inconstitucionalidad contra el artículo 19 de la Ley 4 de 1992. Señaló que la expresión “asignación” comprende todo tipo de remuneración que proviene del tesoro</w:t>
      </w:r>
      <w:r w:rsidRPr="00BF139D">
        <w:rPr>
          <w:rFonts w:ascii="Arial" w:eastAsia="Arial" w:hAnsi="Arial" w:cs="Arial"/>
          <w:color w:val="000000" w:themeColor="text1"/>
          <w:spacing w:val="-8"/>
          <w:lang w:val="es-ES"/>
        </w:rPr>
        <w:t xml:space="preserve"> </w:t>
      </w:r>
      <w:r w:rsidRPr="00BF139D">
        <w:rPr>
          <w:rFonts w:ascii="Arial" w:eastAsia="Arial" w:hAnsi="Arial" w:cs="Arial"/>
          <w:color w:val="000000" w:themeColor="text1"/>
          <w:lang w:val="es-ES"/>
        </w:rPr>
        <w:t>público:</w:t>
      </w:r>
    </w:p>
    <w:p w14:paraId="210BACE3" w14:textId="77777777" w:rsidR="00E1685B" w:rsidRPr="00552A54" w:rsidRDefault="00E1685B" w:rsidP="00E1685B">
      <w:pPr>
        <w:widowControl w:val="0"/>
        <w:autoSpaceDE w:val="0"/>
        <w:autoSpaceDN w:val="0"/>
        <w:spacing w:line="276" w:lineRule="auto"/>
        <w:jc w:val="both"/>
        <w:rPr>
          <w:rFonts w:ascii="Arial" w:eastAsia="Arial" w:hAnsi="Arial" w:cs="Arial"/>
          <w:color w:val="000000" w:themeColor="text1"/>
          <w:lang w:val="es-ES"/>
        </w:rPr>
      </w:pPr>
    </w:p>
    <w:p w14:paraId="57F4579B" w14:textId="77777777" w:rsidR="00E1685B" w:rsidRPr="00552A54" w:rsidRDefault="00E1685B" w:rsidP="00E1685B">
      <w:pPr>
        <w:ind w:left="709" w:right="709"/>
        <w:jc w:val="both"/>
        <w:rPr>
          <w:rFonts w:ascii="Arial" w:hAnsi="Arial" w:cs="Arial"/>
          <w:color w:val="000000" w:themeColor="text1"/>
          <w:sz w:val="21"/>
        </w:rPr>
      </w:pPr>
      <w:r w:rsidRPr="00552A54">
        <w:rPr>
          <w:rFonts w:ascii="Arial" w:hAnsi="Arial" w:cs="Arial"/>
          <w:color w:val="000000" w:themeColor="text1"/>
          <w:sz w:val="21"/>
        </w:rPr>
        <w:t>“Si bien es cierto que en el artículo 128 C.P. se consagra una incompatibilidad, no lo es menos que ésta se encuentra en íntima relación de conexidad con la remuneración de los servidores estatales; basta ver que en ella se prohíbe la concurrencia de dos o más cargos públicos en una misma persona, tanto como recibir más de una asignación que provenga del erario público. El término "asignación” comprende toda clase de remuneración que emane del tesoro público, llámese sueldo, honorario, mesada pensional, etc. Siendo así, bien podía el legislador ordinario establecer dicha incompatibilidad dentro de la citada Ley 4a. de 1992, sin contrariar mandato constitucional alguno. Aún en el remoto caso de que se hubiere concluido que el régimen de inhabilidades e incompatibilidades para los funcionarios públicos debía ser regulado por medio de ley ordinaria, el artículo 19, objeto de acusación, tampoco sería inconstitucional, por cuanto el legislador estaba perfectamente facultado para hacerlo”.</w:t>
      </w:r>
    </w:p>
    <w:p w14:paraId="53D1B8AA" w14:textId="77777777" w:rsidR="00E1685B" w:rsidRPr="00552A54" w:rsidRDefault="00E1685B" w:rsidP="00E1685B">
      <w:pPr>
        <w:widowControl w:val="0"/>
        <w:autoSpaceDE w:val="0"/>
        <w:autoSpaceDN w:val="0"/>
        <w:spacing w:line="276" w:lineRule="auto"/>
        <w:jc w:val="both"/>
        <w:rPr>
          <w:rFonts w:ascii="Arial" w:eastAsia="Arial" w:hAnsi="Arial" w:cs="Arial"/>
          <w:color w:val="000000" w:themeColor="text1"/>
          <w:lang w:val="es-ES"/>
        </w:rPr>
      </w:pPr>
    </w:p>
    <w:p w14:paraId="2FA6260E" w14:textId="77777777" w:rsidR="00E1685B" w:rsidRPr="00BF139D" w:rsidRDefault="00E1685B" w:rsidP="00E1685B">
      <w:pPr>
        <w:widowControl w:val="0"/>
        <w:autoSpaceDE w:val="0"/>
        <w:autoSpaceDN w:val="0"/>
        <w:spacing w:after="120" w:line="276" w:lineRule="auto"/>
        <w:ind w:firstLine="708"/>
        <w:jc w:val="both"/>
        <w:rPr>
          <w:rFonts w:ascii="Arial" w:eastAsia="Arial" w:hAnsi="Arial" w:cs="Arial"/>
          <w:color w:val="000000" w:themeColor="text1"/>
          <w:lang w:val="es-ES"/>
        </w:rPr>
      </w:pPr>
      <w:r w:rsidRPr="00BF139D">
        <w:rPr>
          <w:rFonts w:ascii="Arial" w:eastAsia="Arial" w:hAnsi="Arial" w:cs="Arial"/>
          <w:color w:val="000000" w:themeColor="text1"/>
          <w:lang w:val="es-ES"/>
        </w:rPr>
        <w:t xml:space="preserve">En el concepto citado anteriormente, la Sala consideró necesario utilizar diferentes criterios de interpretación de estas normas, toda vez que le permitirían concluir que la finalidad de la norma está dirigida a: i) prevenir que existan en una misma persona más de un empleo público remunerado, con la acumulación de funciones públicas y ii) evitar que un funcionario público reciba otra asignación proveniente del tesoro público, además de su salario, y por consiguiente la </w:t>
      </w:r>
      <w:r w:rsidRPr="00BF139D">
        <w:rPr>
          <w:rFonts w:ascii="Arial" w:eastAsia="Arial" w:hAnsi="Arial" w:cs="Arial"/>
          <w:color w:val="000000" w:themeColor="text1"/>
          <w:lang w:val="es-ES"/>
        </w:rPr>
        <w:lastRenderedPageBreak/>
        <w:t>necesidad de prohibir constitucionalmente la doble asignación que emane del tesoro</w:t>
      </w:r>
      <w:r w:rsidRPr="00BF139D">
        <w:rPr>
          <w:rFonts w:ascii="Arial" w:eastAsia="Arial" w:hAnsi="Arial" w:cs="Arial"/>
          <w:color w:val="000000" w:themeColor="text1"/>
          <w:spacing w:val="-6"/>
          <w:lang w:val="es-ES"/>
        </w:rPr>
        <w:t xml:space="preserve"> </w:t>
      </w:r>
      <w:r w:rsidRPr="00BF139D">
        <w:rPr>
          <w:rFonts w:ascii="Arial" w:eastAsia="Arial" w:hAnsi="Arial" w:cs="Arial"/>
          <w:color w:val="000000" w:themeColor="text1"/>
          <w:lang w:val="es-ES"/>
        </w:rPr>
        <w:t>público.</w:t>
      </w:r>
    </w:p>
    <w:p w14:paraId="140EA7D4" w14:textId="77777777" w:rsidR="00E1685B" w:rsidRPr="00BF139D" w:rsidRDefault="00E1685B" w:rsidP="00E1685B">
      <w:pPr>
        <w:widowControl w:val="0"/>
        <w:autoSpaceDE w:val="0"/>
        <w:autoSpaceDN w:val="0"/>
        <w:spacing w:after="120" w:line="276" w:lineRule="auto"/>
        <w:ind w:firstLine="708"/>
        <w:jc w:val="both"/>
        <w:rPr>
          <w:rFonts w:ascii="Arial" w:eastAsia="Arial" w:hAnsi="Arial" w:cs="Arial"/>
          <w:color w:val="000000" w:themeColor="text1"/>
          <w:lang w:val="es-ES"/>
        </w:rPr>
      </w:pPr>
      <w:r w:rsidRPr="00BF139D">
        <w:rPr>
          <w:rFonts w:ascii="Arial" w:eastAsia="Arial" w:hAnsi="Arial" w:cs="Arial"/>
          <w:color w:val="000000" w:themeColor="text1"/>
          <w:lang w:val="es-ES"/>
        </w:rPr>
        <w:t>Finalmente, la Sala precisó que si bien lo anterior se relaciona con los empleos públicos, no se puede olvidar lo previsto en el artículo 123 de la Constitución Política, que incluye en la clasificación de servidores públicos a los miembros de las corporaciones públicas, quienes no son empleados públicos ni tienen un vínculo laboral con el Estado, pero que de conformidad</w:t>
      </w:r>
      <w:r w:rsidRPr="00BF139D">
        <w:rPr>
          <w:rFonts w:ascii="Arial" w:eastAsia="Arial" w:hAnsi="Arial" w:cs="Arial"/>
          <w:color w:val="000000" w:themeColor="text1"/>
          <w:spacing w:val="17"/>
          <w:lang w:val="es-ES"/>
        </w:rPr>
        <w:t xml:space="preserve"> </w:t>
      </w:r>
      <w:r w:rsidRPr="00BF139D">
        <w:rPr>
          <w:rFonts w:ascii="Arial" w:eastAsia="Arial" w:hAnsi="Arial" w:cs="Arial"/>
          <w:color w:val="000000" w:themeColor="text1"/>
          <w:lang w:val="es-ES"/>
        </w:rPr>
        <w:t>con</w:t>
      </w:r>
      <w:r w:rsidRPr="00BF139D">
        <w:rPr>
          <w:rFonts w:ascii="Arial" w:eastAsia="Arial" w:hAnsi="Arial" w:cs="Arial"/>
          <w:color w:val="000000" w:themeColor="text1"/>
          <w:spacing w:val="18"/>
          <w:lang w:val="es-ES"/>
        </w:rPr>
        <w:t xml:space="preserve"> </w:t>
      </w:r>
      <w:r w:rsidRPr="00BF139D">
        <w:rPr>
          <w:rFonts w:ascii="Arial" w:eastAsia="Arial" w:hAnsi="Arial" w:cs="Arial"/>
          <w:color w:val="000000" w:themeColor="text1"/>
          <w:lang w:val="es-ES"/>
        </w:rPr>
        <w:t>las</w:t>
      </w:r>
      <w:r w:rsidRPr="00BF139D">
        <w:rPr>
          <w:rFonts w:ascii="Arial" w:eastAsia="Arial" w:hAnsi="Arial" w:cs="Arial"/>
          <w:color w:val="000000" w:themeColor="text1"/>
          <w:spacing w:val="18"/>
          <w:lang w:val="es-ES"/>
        </w:rPr>
        <w:t xml:space="preserve"> </w:t>
      </w:r>
      <w:r w:rsidRPr="00BF139D">
        <w:rPr>
          <w:rFonts w:ascii="Arial" w:eastAsia="Arial" w:hAnsi="Arial" w:cs="Arial"/>
          <w:color w:val="000000" w:themeColor="text1"/>
          <w:lang w:val="es-ES"/>
        </w:rPr>
        <w:t>normas</w:t>
      </w:r>
      <w:r w:rsidRPr="00BF139D">
        <w:rPr>
          <w:rFonts w:ascii="Arial" w:eastAsia="Arial" w:hAnsi="Arial" w:cs="Arial"/>
          <w:color w:val="000000" w:themeColor="text1"/>
          <w:spacing w:val="17"/>
          <w:lang w:val="es-ES"/>
        </w:rPr>
        <w:t xml:space="preserve"> </w:t>
      </w:r>
      <w:r w:rsidRPr="00BF139D">
        <w:rPr>
          <w:rFonts w:ascii="Arial" w:eastAsia="Arial" w:hAnsi="Arial" w:cs="Arial"/>
          <w:color w:val="000000" w:themeColor="text1"/>
          <w:lang w:val="es-ES"/>
        </w:rPr>
        <w:t>especiales</w:t>
      </w:r>
      <w:r w:rsidRPr="00BF139D">
        <w:rPr>
          <w:rFonts w:ascii="Arial" w:eastAsia="Arial" w:hAnsi="Arial" w:cs="Arial"/>
          <w:color w:val="000000" w:themeColor="text1"/>
          <w:spacing w:val="19"/>
          <w:lang w:val="es-ES"/>
        </w:rPr>
        <w:t xml:space="preserve"> </w:t>
      </w:r>
      <w:r w:rsidRPr="00BF139D">
        <w:rPr>
          <w:rFonts w:ascii="Arial" w:eastAsia="Arial" w:hAnsi="Arial" w:cs="Arial"/>
          <w:color w:val="000000" w:themeColor="text1"/>
          <w:lang w:val="es-ES"/>
        </w:rPr>
        <w:t>para</w:t>
      </w:r>
      <w:r w:rsidRPr="00BF139D">
        <w:rPr>
          <w:rFonts w:ascii="Arial" w:eastAsia="Arial" w:hAnsi="Arial" w:cs="Arial"/>
          <w:color w:val="000000" w:themeColor="text1"/>
          <w:spacing w:val="16"/>
          <w:lang w:val="es-ES"/>
        </w:rPr>
        <w:t xml:space="preserve"> </w:t>
      </w:r>
      <w:r w:rsidRPr="00BF139D">
        <w:rPr>
          <w:rFonts w:ascii="Arial" w:eastAsia="Arial" w:hAnsi="Arial" w:cs="Arial"/>
          <w:color w:val="000000" w:themeColor="text1"/>
          <w:lang w:val="es-ES"/>
        </w:rPr>
        <w:t>cada</w:t>
      </w:r>
      <w:r w:rsidRPr="00BF139D">
        <w:rPr>
          <w:rFonts w:ascii="Arial" w:eastAsia="Arial" w:hAnsi="Arial" w:cs="Arial"/>
          <w:color w:val="000000" w:themeColor="text1"/>
          <w:spacing w:val="19"/>
          <w:lang w:val="es-ES"/>
        </w:rPr>
        <w:t xml:space="preserve"> </w:t>
      </w:r>
      <w:r w:rsidRPr="00BF139D">
        <w:rPr>
          <w:rFonts w:ascii="Arial" w:eastAsia="Arial" w:hAnsi="Arial" w:cs="Arial"/>
          <w:color w:val="000000" w:themeColor="text1"/>
          <w:lang w:val="es-ES"/>
        </w:rPr>
        <w:t>respectivo</w:t>
      </w:r>
      <w:r w:rsidRPr="00BF139D">
        <w:rPr>
          <w:rFonts w:ascii="Arial" w:eastAsia="Arial" w:hAnsi="Arial" w:cs="Arial"/>
          <w:color w:val="000000" w:themeColor="text1"/>
          <w:spacing w:val="17"/>
          <w:lang w:val="es-ES"/>
        </w:rPr>
        <w:t xml:space="preserve"> </w:t>
      </w:r>
      <w:r w:rsidRPr="00BF139D">
        <w:rPr>
          <w:rFonts w:ascii="Arial" w:eastAsia="Arial" w:hAnsi="Arial" w:cs="Arial"/>
          <w:color w:val="000000" w:themeColor="text1"/>
          <w:lang w:val="es-ES"/>
        </w:rPr>
        <w:t>miembro</w:t>
      </w:r>
      <w:r w:rsidRPr="00BF139D">
        <w:rPr>
          <w:rFonts w:ascii="Arial" w:eastAsia="Arial" w:hAnsi="Arial" w:cs="Arial"/>
          <w:color w:val="000000" w:themeColor="text1"/>
          <w:spacing w:val="17"/>
          <w:lang w:val="es-ES"/>
        </w:rPr>
        <w:t xml:space="preserve"> </w:t>
      </w:r>
      <w:r w:rsidRPr="00BF139D">
        <w:rPr>
          <w:rFonts w:ascii="Arial" w:eastAsia="Arial" w:hAnsi="Arial" w:cs="Arial"/>
          <w:color w:val="000000" w:themeColor="text1"/>
          <w:lang w:val="es-ES"/>
        </w:rPr>
        <w:t>de</w:t>
      </w:r>
      <w:r w:rsidRPr="00BF139D">
        <w:rPr>
          <w:rFonts w:ascii="Arial" w:eastAsia="Arial" w:hAnsi="Arial" w:cs="Arial"/>
          <w:color w:val="000000" w:themeColor="text1"/>
          <w:spacing w:val="14"/>
          <w:lang w:val="es-ES"/>
        </w:rPr>
        <w:t xml:space="preserve"> </w:t>
      </w:r>
      <w:r w:rsidRPr="00BF139D">
        <w:rPr>
          <w:rFonts w:ascii="Arial" w:eastAsia="Arial" w:hAnsi="Arial" w:cs="Arial"/>
          <w:color w:val="000000" w:themeColor="text1"/>
          <w:lang w:val="es-ES"/>
        </w:rPr>
        <w:t>la</w:t>
      </w:r>
      <w:r w:rsidRPr="00BF139D">
        <w:rPr>
          <w:rFonts w:ascii="Arial" w:eastAsia="Arial" w:hAnsi="Arial" w:cs="Arial"/>
          <w:color w:val="000000" w:themeColor="text1"/>
          <w:spacing w:val="18"/>
          <w:lang w:val="es-ES"/>
        </w:rPr>
        <w:t xml:space="preserve"> </w:t>
      </w:r>
      <w:r w:rsidRPr="00BF139D">
        <w:rPr>
          <w:rFonts w:ascii="Arial" w:eastAsia="Arial" w:hAnsi="Arial" w:cs="Arial"/>
          <w:color w:val="000000" w:themeColor="text1"/>
          <w:lang w:val="es-ES"/>
        </w:rPr>
        <w:t>corporación, se les prohíbe desempeñar cargo alguno en la administración pública o vincularse como trabajador oficial</w:t>
      </w:r>
      <w:r w:rsidRPr="00BF139D">
        <w:rPr>
          <w:rFonts w:ascii="Arial" w:eastAsia="Arial" w:hAnsi="Arial" w:cs="Arial"/>
          <w:color w:val="000000" w:themeColor="text1"/>
          <w:vertAlign w:val="superscript"/>
          <w:lang w:val="es-ES"/>
        </w:rPr>
        <w:footnoteReference w:id="22"/>
      </w:r>
      <w:r w:rsidRPr="00BF139D">
        <w:rPr>
          <w:rFonts w:ascii="Arial" w:eastAsia="Arial" w:hAnsi="Arial" w:cs="Arial"/>
          <w:color w:val="000000" w:themeColor="text1"/>
          <w:lang w:val="es-ES"/>
        </w:rPr>
        <w:t>.</w:t>
      </w:r>
    </w:p>
    <w:p w14:paraId="11492119" w14:textId="77777777" w:rsidR="00E1685B" w:rsidRPr="00BF139D" w:rsidRDefault="00E1685B" w:rsidP="00E1685B">
      <w:pPr>
        <w:widowControl w:val="0"/>
        <w:autoSpaceDE w:val="0"/>
        <w:autoSpaceDN w:val="0"/>
        <w:spacing w:after="120" w:line="276" w:lineRule="auto"/>
        <w:ind w:firstLine="708"/>
        <w:jc w:val="both"/>
        <w:rPr>
          <w:rFonts w:ascii="Arial" w:eastAsia="Arial" w:hAnsi="Arial" w:cs="Arial"/>
          <w:color w:val="000000" w:themeColor="text1"/>
          <w:lang w:val="es-ES"/>
        </w:rPr>
      </w:pPr>
      <w:r w:rsidRPr="00BF139D">
        <w:rPr>
          <w:rFonts w:ascii="Arial" w:eastAsia="Arial" w:hAnsi="Arial" w:cs="Arial"/>
          <w:color w:val="000000" w:themeColor="text1"/>
          <w:lang w:val="es-ES"/>
        </w:rPr>
        <w:t xml:space="preserve">En este orden de ideas, la prohibición de recibir doble asignación </w:t>
      </w:r>
      <w:bookmarkStart w:id="8" w:name="_Hlk141120008"/>
      <w:r w:rsidRPr="00BF139D">
        <w:rPr>
          <w:rFonts w:ascii="Arial" w:eastAsia="Arial" w:hAnsi="Arial" w:cs="Arial"/>
          <w:color w:val="000000" w:themeColor="text1"/>
          <w:lang w:val="es-ES"/>
        </w:rPr>
        <w:t xml:space="preserve">del tesoro público </w:t>
      </w:r>
      <w:bookmarkEnd w:id="8"/>
      <w:r w:rsidRPr="00BF139D">
        <w:rPr>
          <w:rFonts w:ascii="Arial" w:eastAsia="Arial" w:hAnsi="Arial" w:cs="Arial"/>
          <w:color w:val="000000" w:themeColor="text1"/>
          <w:lang w:val="es-ES"/>
        </w:rPr>
        <w:t>recae sobre los servidores públicos, incluidos los miembros de las corporaciones públicas, donde el término “asignación” comprende los dineros y recursos que provienen del tesoro público, o de empresas o de instituciones en las que tenga parte mayoritaria el Estado, en calidad de pago para retribuir un servicio laboral.</w:t>
      </w:r>
    </w:p>
    <w:p w14:paraId="3D876E96" w14:textId="77777777" w:rsidR="00E1685B" w:rsidRPr="00BF139D" w:rsidRDefault="00E1685B" w:rsidP="00E1685B">
      <w:pPr>
        <w:widowControl w:val="0"/>
        <w:autoSpaceDE w:val="0"/>
        <w:autoSpaceDN w:val="0"/>
        <w:spacing w:line="276" w:lineRule="auto"/>
        <w:ind w:firstLine="709"/>
        <w:jc w:val="both"/>
        <w:rPr>
          <w:rFonts w:ascii="Arial" w:eastAsia="Arial" w:hAnsi="Arial" w:cs="Arial"/>
          <w:color w:val="000000" w:themeColor="text1"/>
          <w:lang w:val="es-ES"/>
        </w:rPr>
      </w:pPr>
      <w:r w:rsidRPr="00BF139D">
        <w:rPr>
          <w:rFonts w:ascii="Arial" w:eastAsia="Arial" w:hAnsi="Arial" w:cs="Arial"/>
          <w:color w:val="000000" w:themeColor="text1"/>
          <w:lang w:val="es-ES"/>
        </w:rPr>
        <w:t xml:space="preserve">De conformidad con lo anterior, y </w:t>
      </w:r>
      <w:bookmarkStart w:id="9" w:name="_Hlk141119984"/>
      <w:r w:rsidRPr="00BF139D">
        <w:rPr>
          <w:rFonts w:ascii="Arial" w:eastAsia="Arial" w:hAnsi="Arial" w:cs="Arial"/>
          <w:color w:val="000000" w:themeColor="text1"/>
          <w:lang w:val="es-ES"/>
        </w:rPr>
        <w:t xml:space="preserve">teniendo en cuenta la naturaleza jurídica del contrato de prestación de servicios, la prohibición de percibir doble asignación no es aplicable, pues estos, en virtud del artículo 32 de la Ley 80 de 1993, no comportan una relación laboral, sino que son fruto de la libre autonomía de la voluntad de los contratantes, por consiguiente el contratista no es considerado un servidor público, al no tener un vínculo de subordinación con el Estado, elemento propio de un contrato laboral. </w:t>
      </w:r>
      <w:bookmarkEnd w:id="9"/>
      <w:r w:rsidRPr="00BF139D">
        <w:rPr>
          <w:rFonts w:ascii="Arial" w:eastAsia="Arial" w:hAnsi="Arial" w:cs="Arial"/>
          <w:color w:val="000000" w:themeColor="text1"/>
          <w:lang w:val="es-ES"/>
        </w:rPr>
        <w:t>En este contexto, el Consejo de Estado, en el citado concepto, expresó que la retribución económica de los contratistas de prestación de servicios no constituye salario y, por lo tanto, no puede considerarse asignación presupuestal a la que hace referencia el artículo 128 de la Constitución. Al respecto</w:t>
      </w:r>
      <w:r w:rsidRPr="00BF139D">
        <w:rPr>
          <w:rFonts w:ascii="Arial" w:eastAsia="Arial" w:hAnsi="Arial" w:cs="Arial"/>
          <w:color w:val="000000" w:themeColor="text1"/>
          <w:spacing w:val="-4"/>
          <w:lang w:val="es-ES"/>
        </w:rPr>
        <w:t xml:space="preserve"> </w:t>
      </w:r>
      <w:r w:rsidRPr="00BF139D">
        <w:rPr>
          <w:rFonts w:ascii="Arial" w:eastAsia="Arial" w:hAnsi="Arial" w:cs="Arial"/>
          <w:color w:val="000000" w:themeColor="text1"/>
          <w:lang w:val="es-ES"/>
        </w:rPr>
        <w:t>expresó:</w:t>
      </w:r>
    </w:p>
    <w:p w14:paraId="0FAA344E" w14:textId="77777777" w:rsidR="00E1685B" w:rsidRPr="00552A54" w:rsidRDefault="00E1685B" w:rsidP="00E1685B">
      <w:pPr>
        <w:widowControl w:val="0"/>
        <w:autoSpaceDE w:val="0"/>
        <w:autoSpaceDN w:val="0"/>
        <w:spacing w:line="276" w:lineRule="auto"/>
        <w:jc w:val="both"/>
        <w:rPr>
          <w:rFonts w:ascii="Arial" w:eastAsia="Arial" w:hAnsi="Arial" w:cs="Arial"/>
          <w:color w:val="000000" w:themeColor="text1"/>
          <w:lang w:val="es-ES"/>
        </w:rPr>
      </w:pPr>
    </w:p>
    <w:p w14:paraId="0FA55693"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1"/>
          <w:szCs w:val="21"/>
          <w:lang w:val="es-ES"/>
        </w:rPr>
      </w:pPr>
      <w:r w:rsidRPr="00552A54">
        <w:rPr>
          <w:rFonts w:ascii="Arial" w:eastAsia="Arial" w:hAnsi="Arial" w:cs="Arial"/>
          <w:color w:val="000000" w:themeColor="text1"/>
          <w:sz w:val="21"/>
          <w:szCs w:val="21"/>
          <w:lang w:val="es-ES"/>
        </w:rPr>
        <w:t xml:space="preserve">“Es así como los trabajadores oficiales perciben por sus servicios un salario,  que constituye asignación, la retribución de los contratistas de prestación de servicios son los honorarios, que no tienen tal carácter. Así, la fuente del reconocimiento </w:t>
      </w:r>
      <w:r w:rsidRPr="00552A54">
        <w:rPr>
          <w:rFonts w:ascii="Arial" w:eastAsia="Arial" w:hAnsi="Arial" w:cs="Arial"/>
          <w:color w:val="000000" w:themeColor="text1"/>
          <w:sz w:val="21"/>
          <w:szCs w:val="21"/>
          <w:lang w:val="es-ES"/>
        </w:rPr>
        <w:lastRenderedPageBreak/>
        <w:t>es bien distinta: en el primero, la vinculación laboral administrativa y, en el segundo, el negocio jurídico, fundado en la autonomía de la</w:t>
      </w:r>
      <w:r w:rsidRPr="00552A54">
        <w:rPr>
          <w:rFonts w:ascii="Arial" w:eastAsia="Arial" w:hAnsi="Arial" w:cs="Arial"/>
          <w:color w:val="000000" w:themeColor="text1"/>
          <w:spacing w:val="-2"/>
          <w:sz w:val="21"/>
          <w:szCs w:val="21"/>
          <w:lang w:val="es-ES"/>
        </w:rPr>
        <w:t xml:space="preserve"> </w:t>
      </w:r>
      <w:r w:rsidRPr="00552A54">
        <w:rPr>
          <w:rFonts w:ascii="Arial" w:eastAsia="Arial" w:hAnsi="Arial" w:cs="Arial"/>
          <w:color w:val="000000" w:themeColor="text1"/>
          <w:sz w:val="21"/>
          <w:szCs w:val="21"/>
          <w:lang w:val="es-ES"/>
        </w:rPr>
        <w:t>voluntad.</w:t>
      </w:r>
    </w:p>
    <w:p w14:paraId="54F70EC2"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1"/>
          <w:szCs w:val="21"/>
          <w:lang w:val="es-ES"/>
        </w:rPr>
      </w:pPr>
    </w:p>
    <w:p w14:paraId="24FDFBA6" w14:textId="77777777" w:rsidR="00E1685B" w:rsidRPr="00552A54" w:rsidRDefault="00E1685B" w:rsidP="00E1685B">
      <w:pPr>
        <w:widowControl w:val="0"/>
        <w:autoSpaceDE w:val="0"/>
        <w:autoSpaceDN w:val="0"/>
        <w:ind w:left="709" w:right="709"/>
        <w:jc w:val="both"/>
        <w:rPr>
          <w:rFonts w:ascii="Arial" w:eastAsia="Arial" w:hAnsi="Arial" w:cs="Arial"/>
          <w:color w:val="000000" w:themeColor="text1"/>
          <w:sz w:val="21"/>
          <w:szCs w:val="21"/>
          <w:lang w:val="es-ES"/>
        </w:rPr>
      </w:pPr>
      <w:r w:rsidRPr="00552A54">
        <w:rPr>
          <w:rFonts w:ascii="Arial" w:eastAsia="Arial" w:hAnsi="Arial" w:cs="Arial"/>
          <w:color w:val="000000" w:themeColor="text1"/>
          <w:sz w:val="21"/>
          <w:szCs w:val="21"/>
          <w:lang w:val="es-ES"/>
        </w:rPr>
        <w:t>De los presupuestos de la definición legal y de los elementos analizados, se concluye que particulares que colaboran con el Estado mediante un contrato de prestación de servicios o cualquier otro, tipificado en la ley 80 de l993 o producto de la autonomía de la voluntad, no están subsumidos en el contexto de la función pública, ni son, por tanto, servidores públicos y, por lo mismo, no reciben “asignación” en los términos establecidos, lo que hace imposible aplicarles el régimen de estos”.</w:t>
      </w:r>
    </w:p>
    <w:p w14:paraId="3EABDA9C" w14:textId="77777777" w:rsidR="00E1685B" w:rsidRPr="00552A54" w:rsidRDefault="00E1685B" w:rsidP="00E1685B">
      <w:pPr>
        <w:widowControl w:val="0"/>
        <w:autoSpaceDE w:val="0"/>
        <w:autoSpaceDN w:val="0"/>
        <w:spacing w:line="276" w:lineRule="auto"/>
        <w:jc w:val="both"/>
        <w:rPr>
          <w:rFonts w:ascii="Arial" w:eastAsia="Arial" w:hAnsi="Arial" w:cs="Arial"/>
          <w:color w:val="000000" w:themeColor="text1"/>
          <w:lang w:val="es-ES"/>
        </w:rPr>
      </w:pPr>
    </w:p>
    <w:p w14:paraId="61EE5B33" w14:textId="77777777" w:rsidR="00E1685B" w:rsidRPr="00BF139D" w:rsidRDefault="00E1685B" w:rsidP="00E1685B">
      <w:pPr>
        <w:widowControl w:val="0"/>
        <w:autoSpaceDE w:val="0"/>
        <w:autoSpaceDN w:val="0"/>
        <w:spacing w:line="276" w:lineRule="auto"/>
        <w:ind w:firstLine="708"/>
        <w:jc w:val="both"/>
        <w:rPr>
          <w:rFonts w:ascii="Arial" w:eastAsia="Arial" w:hAnsi="Arial" w:cs="Arial"/>
          <w:color w:val="000000" w:themeColor="text1"/>
          <w:lang w:val="es-ES"/>
        </w:rPr>
      </w:pPr>
      <w:r w:rsidRPr="00BF139D">
        <w:rPr>
          <w:rFonts w:ascii="Arial" w:eastAsia="Arial" w:hAnsi="Arial" w:cs="Arial"/>
          <w:color w:val="000000" w:themeColor="text1"/>
          <w:lang w:val="es-ES"/>
        </w:rPr>
        <w:t>Por consiguiente, a los contratistas del Estado no les aplica la prohibición del artículo 128 de la Constitución Política, toda vez que no se consideran servidores públicos porque su relación con el Estado está dada en el marco de un negocio jurídico y no en virtud de una relación laboral.</w:t>
      </w:r>
    </w:p>
    <w:p w14:paraId="102DAD24" w14:textId="77777777" w:rsidR="00E1685B" w:rsidRPr="00BF139D" w:rsidRDefault="00E1685B" w:rsidP="00E1685B">
      <w:pPr>
        <w:spacing w:line="276" w:lineRule="auto"/>
        <w:jc w:val="both"/>
        <w:rPr>
          <w:rFonts w:ascii="Arial" w:eastAsia="Calibri" w:hAnsi="Arial" w:cs="Arial"/>
          <w:color w:val="000000" w:themeColor="text1"/>
          <w:lang w:val="es-ES"/>
        </w:rPr>
      </w:pPr>
    </w:p>
    <w:p w14:paraId="4357E9FC" w14:textId="77777777" w:rsidR="00E1685B" w:rsidRPr="00BF139D" w:rsidRDefault="00E1685B" w:rsidP="00E1685B">
      <w:pPr>
        <w:tabs>
          <w:tab w:val="left" w:pos="426"/>
        </w:tabs>
        <w:spacing w:line="276" w:lineRule="auto"/>
        <w:jc w:val="both"/>
        <w:rPr>
          <w:rFonts w:ascii="Arial" w:eastAsia="Yu Gothic UI Semibold" w:hAnsi="Arial" w:cs="Arial"/>
          <w:b/>
          <w:bCs/>
          <w:color w:val="000000" w:themeColor="text1"/>
          <w:lang w:val="es-ES_tradnl"/>
        </w:rPr>
      </w:pPr>
      <w:bookmarkStart w:id="10" w:name="_Hlk134177522"/>
      <w:r w:rsidRPr="00BF139D">
        <w:rPr>
          <w:rFonts w:ascii="Arial" w:eastAsia="Yu Gothic UI Semibold" w:hAnsi="Arial" w:cs="Arial"/>
          <w:b/>
          <w:bCs/>
          <w:color w:val="000000" w:themeColor="text1"/>
          <w:lang w:eastAsia="es-MX"/>
        </w:rPr>
        <w:t xml:space="preserve">2.3. </w:t>
      </w:r>
      <w:bookmarkStart w:id="11" w:name="_Hlk134189487"/>
      <w:r w:rsidRPr="00BF139D">
        <w:rPr>
          <w:rFonts w:ascii="Arial" w:eastAsia="Calibri" w:hAnsi="Arial" w:cs="Arial"/>
          <w:b/>
          <w:bCs/>
          <w:color w:val="000000" w:themeColor="text1"/>
          <w:lang w:val="es-ES_tradnl"/>
        </w:rPr>
        <w:t>Posibilidad de celebrar dos contratos de prestación de servicios con la misma entidad, y que además coexistan</w:t>
      </w:r>
    </w:p>
    <w:bookmarkEnd w:id="10"/>
    <w:bookmarkEnd w:id="11"/>
    <w:p w14:paraId="1EB85352" w14:textId="77777777" w:rsidR="00E1685B" w:rsidRPr="00552A54" w:rsidRDefault="00E1685B" w:rsidP="00E1685B">
      <w:pPr>
        <w:spacing w:line="276" w:lineRule="auto"/>
        <w:jc w:val="both"/>
        <w:rPr>
          <w:rFonts w:ascii="Arial" w:eastAsia="Yu Gothic UI Semibold" w:hAnsi="Arial" w:cs="Arial"/>
          <w:color w:val="000000" w:themeColor="text1"/>
          <w:lang w:val="es-ES_tradnl"/>
        </w:rPr>
      </w:pPr>
    </w:p>
    <w:p w14:paraId="20614469" w14:textId="77777777" w:rsidR="00E1685B" w:rsidRPr="00BF139D" w:rsidRDefault="00E1685B" w:rsidP="00E1685B">
      <w:pPr>
        <w:spacing w:after="120" w:line="276" w:lineRule="auto"/>
        <w:jc w:val="both"/>
        <w:rPr>
          <w:rFonts w:ascii="Arial" w:hAnsi="Arial" w:cs="Arial"/>
          <w:color w:val="000000" w:themeColor="text1"/>
          <w:lang w:eastAsia="es-CO"/>
        </w:rPr>
      </w:pPr>
      <w:r w:rsidRPr="00BF139D">
        <w:rPr>
          <w:rFonts w:ascii="Arial" w:eastAsia="Yu Gothic UI Semibold" w:hAnsi="Arial" w:cs="Arial"/>
          <w:color w:val="000000" w:themeColor="text1"/>
          <w:lang w:val="es-ES_tradnl"/>
        </w:rPr>
        <w:t xml:space="preserve">En este punto, por interesar a la consulta, conviene recordar que, en materia de contratación estatal, la capacidad jurídica también configura </w:t>
      </w:r>
      <w:r w:rsidRPr="00BF139D">
        <w:rPr>
          <w:rFonts w:ascii="Arial" w:hAnsi="Arial" w:cs="Arial"/>
          <w:color w:val="000000" w:themeColor="text1"/>
          <w:lang w:eastAsia="es-CO"/>
        </w:rPr>
        <w:t>un requisito de validez de los contratos, tanto en el régimen de las entidades sujetas al EGCAP</w:t>
      </w:r>
      <w:r w:rsidRPr="00BF139D">
        <w:rPr>
          <w:rFonts w:ascii="Arial" w:hAnsi="Arial" w:cs="Arial"/>
          <w:color w:val="000000" w:themeColor="text1"/>
          <w:vertAlign w:val="superscript"/>
          <w:lang w:eastAsia="es-CO"/>
        </w:rPr>
        <w:footnoteReference w:id="23"/>
      </w:r>
      <w:r w:rsidRPr="00BF139D">
        <w:rPr>
          <w:rFonts w:ascii="Arial" w:hAnsi="Arial" w:cs="Arial"/>
          <w:color w:val="000000" w:themeColor="text1"/>
          <w:lang w:eastAsia="es-CO"/>
        </w:rPr>
        <w:t xml:space="preserve"> como en el de las entidades exceptuadas de aquel</w:t>
      </w:r>
      <w:r w:rsidRPr="00BF139D">
        <w:rPr>
          <w:rFonts w:ascii="Arial" w:hAnsi="Arial" w:cs="Arial"/>
          <w:color w:val="000000" w:themeColor="text1"/>
          <w:vertAlign w:val="superscript"/>
          <w:lang w:eastAsia="es-CO"/>
        </w:rPr>
        <w:footnoteReference w:id="24"/>
      </w:r>
      <w:r w:rsidRPr="00BF139D">
        <w:rPr>
          <w:rFonts w:ascii="Arial" w:hAnsi="Arial" w:cs="Arial"/>
          <w:color w:val="000000" w:themeColor="text1"/>
          <w:lang w:eastAsia="es-CO"/>
        </w:rPr>
        <w:t>. Si bien la regulación de la capacidad se integra por varias disposiciones y exigencias especiales – como el requisito de inscribirse, por regla general, en el RUP-, se destaca también el régimen de inhabilidades e incompatibilidades como un conjunto de enunciados normativos que imponen restricciones para los sujetos que, eventualmente, pretendan participar en los procedimientos de selección o celebrar contratos con las Entidades Estatales. Este régimen de inhabilidades e incompatibilidades aplica, incluso en el marco de los contratos no sometidos a la Ley 80 de 1993, en los términos del artículo 13 de la Ley 1150 de 2007, como respuesta, si se quiere, a la tendencia de asegurar que la provisión de los bienes y servicios por parte de las Entidades Estatales se efectúe cumpliendo con los principios de la función administrativa y de la gestión fiscal, especialmente con probidad y transparencia.</w:t>
      </w:r>
    </w:p>
    <w:p w14:paraId="4E8A3EE5" w14:textId="77777777" w:rsidR="00E1685B" w:rsidRPr="00BF139D" w:rsidRDefault="00E1685B" w:rsidP="00E1685B">
      <w:pPr>
        <w:spacing w:after="120" w:line="276" w:lineRule="auto"/>
        <w:ind w:firstLine="708"/>
        <w:jc w:val="both"/>
        <w:rPr>
          <w:rFonts w:ascii="Arial" w:hAnsi="Arial" w:cs="Arial"/>
          <w:color w:val="000000" w:themeColor="text1"/>
          <w:lang w:eastAsia="es-CO"/>
        </w:rPr>
      </w:pPr>
      <w:r w:rsidRPr="00BF139D">
        <w:rPr>
          <w:rFonts w:ascii="Arial" w:hAnsi="Arial" w:cs="Arial"/>
          <w:color w:val="000000" w:themeColor="text1"/>
          <w:lang w:eastAsia="es-CO"/>
        </w:rPr>
        <w:lastRenderedPageBreak/>
        <w:t>En definitiva, las inhabilidades e incompatibilidades constituyen restricciones o límites especiales a la capacidad para presentar ofertas y celebrar contratos estatales, las cuales están tipificadas en la ley, es decir, que deben satisfacer el principio de legalidad.</w:t>
      </w:r>
    </w:p>
    <w:p w14:paraId="289BAD5C" w14:textId="77777777" w:rsidR="00E1685B" w:rsidRPr="00BF139D" w:rsidRDefault="00E1685B" w:rsidP="00E1685B">
      <w:pPr>
        <w:spacing w:after="120" w:line="276" w:lineRule="auto"/>
        <w:ind w:firstLine="708"/>
        <w:jc w:val="both"/>
        <w:rPr>
          <w:rFonts w:ascii="Arial" w:hAnsi="Arial" w:cs="Arial"/>
          <w:color w:val="000000" w:themeColor="text1"/>
          <w:lang w:eastAsia="es-CO"/>
        </w:rPr>
      </w:pPr>
      <w:r w:rsidRPr="00BF139D">
        <w:rPr>
          <w:rFonts w:ascii="Arial" w:hAnsi="Arial" w:cs="Arial"/>
          <w:color w:val="000000" w:themeColor="text1"/>
          <w:lang w:eastAsia="es-CO"/>
        </w:rPr>
        <w:t xml:space="preserve">Hecha esta claridad, cabe señalar que </w:t>
      </w:r>
      <w:bookmarkStart w:id="12" w:name="_Hlk134189783"/>
      <w:r w:rsidRPr="00BF139D">
        <w:rPr>
          <w:rFonts w:ascii="Arial" w:hAnsi="Arial" w:cs="Arial"/>
          <w:color w:val="000000" w:themeColor="text1"/>
          <w:lang w:eastAsia="es-CO"/>
        </w:rPr>
        <w:t>no existe inhabilidad, incompatibilidad o prohibición alguna de otra naturaleza para que una Entidad Estatal celebre dos o más contratos de prestación de servicios con una misma persona, así dichos contratos coexistan en el tiempo. Ello, por cuanto, como ya se señaló, las inhabilidades e incompatibilidades, al ser limitaciones a la capacidad contractual que afectan derechos como la libre concurrencia o la libertad de ejercicio de la profesión u oficio, es decir, al ser enunciados normativos gravosos, deben interpretarse de forma restrictiva. Esto supone que su aplicación no admite una interpretación amplia, extensiva o analógica.</w:t>
      </w:r>
    </w:p>
    <w:bookmarkEnd w:id="12"/>
    <w:p w14:paraId="775677E9" w14:textId="77777777" w:rsidR="00E1685B" w:rsidRPr="00BF139D" w:rsidRDefault="00E1685B" w:rsidP="00E1685B">
      <w:pPr>
        <w:spacing w:after="120" w:line="276" w:lineRule="auto"/>
        <w:ind w:firstLine="708"/>
        <w:jc w:val="both"/>
        <w:rPr>
          <w:rFonts w:ascii="Arial" w:hAnsi="Arial" w:cs="Arial"/>
          <w:color w:val="000000" w:themeColor="text1"/>
        </w:rPr>
      </w:pPr>
      <w:r w:rsidRPr="00BF139D">
        <w:rPr>
          <w:rFonts w:ascii="Arial" w:hAnsi="Arial" w:cs="Arial"/>
          <w:color w:val="000000" w:themeColor="text1"/>
          <w:lang w:eastAsia="es-CO"/>
        </w:rPr>
        <w:t xml:space="preserve">Precisamente, </w:t>
      </w:r>
      <w:bookmarkStart w:id="13" w:name="_Hlk141120039"/>
      <w:r w:rsidRPr="00BF139D">
        <w:rPr>
          <w:rFonts w:ascii="Arial" w:hAnsi="Arial" w:cs="Arial"/>
          <w:color w:val="000000" w:themeColor="text1"/>
          <w:lang w:eastAsia="es-CO"/>
        </w:rPr>
        <w:t>revisadas las causales previstas en la Carta Política de 1991, así como en el artículo 8º de la Ley 80 de 1993 y en otras disposiciones complementarias, no se evidencia la existencia de una prohibición para que una misma persona natural preste sus servicios a una entidad, a través de contratos distintos y concomitantes o simultáneos. Sumado a que</w:t>
      </w:r>
      <w:bookmarkEnd w:id="13"/>
      <w:r w:rsidRPr="00BF139D">
        <w:rPr>
          <w:rFonts w:ascii="Arial" w:hAnsi="Arial" w:cs="Arial"/>
          <w:color w:val="000000" w:themeColor="text1"/>
          <w:lang w:eastAsia="es-CO"/>
        </w:rPr>
        <w:t xml:space="preserve"> tal y como se expuso en el acápite anterior, a los contratistas de prestación de servicios </w:t>
      </w:r>
      <w:r w:rsidRPr="00BF139D">
        <w:rPr>
          <w:rFonts w:ascii="Arial" w:hAnsi="Arial" w:cs="Arial"/>
          <w:color w:val="000000" w:themeColor="text1"/>
        </w:rPr>
        <w:t>no les aplica la prohibición del artículo 128 de la Constitución Política, que prohíbe percibir doble asignación del erario.</w:t>
      </w:r>
    </w:p>
    <w:p w14:paraId="4B432F83" w14:textId="77777777" w:rsidR="00E1685B" w:rsidRPr="00BF139D" w:rsidRDefault="00E1685B" w:rsidP="00E1685B">
      <w:pPr>
        <w:spacing w:after="120" w:line="276" w:lineRule="auto"/>
        <w:ind w:firstLine="708"/>
        <w:jc w:val="both"/>
        <w:rPr>
          <w:rFonts w:ascii="Arial" w:hAnsi="Arial" w:cs="Arial"/>
          <w:color w:val="000000" w:themeColor="text1"/>
          <w:lang w:eastAsia="es-CO"/>
        </w:rPr>
      </w:pPr>
      <w:bookmarkStart w:id="14" w:name="_Hlk141120059"/>
      <w:r w:rsidRPr="00BF139D">
        <w:rPr>
          <w:rFonts w:ascii="Arial" w:hAnsi="Arial" w:cs="Arial"/>
          <w:color w:val="000000" w:themeColor="text1"/>
          <w:lang w:eastAsia="es-CO"/>
        </w:rPr>
        <w:t xml:space="preserve">Sin embargo, el hecho de que no haya una causal de inhabilidad o de incompatibilidad no significa que siempre se pueda celebrar el contrato de prestación de servicios, en la medida que para que ello sea viable, deben cumplirse los requisitos a los que se hizo referencia en el numeral 2.1. de este concepto, pues se recuerda que la celebración del contrato de prestación de servicios con una persona natural es de carácter excepcional, en tanto sólo es admisible cuando las “actividades no puedan realizarse con personal de planta o requieran conocimientos especializados”, lo cual debe justificarse satisfactoriamente en los Estudios Previos. Adicionalmente, el respectivo contrato debe ser temporal y no puede servir para la creación de nóminas paralelas. </w:t>
      </w:r>
    </w:p>
    <w:p w14:paraId="6B8296D2" w14:textId="77777777" w:rsidR="00E1685B" w:rsidRPr="00BF139D" w:rsidRDefault="00E1685B" w:rsidP="00E1685B">
      <w:pPr>
        <w:spacing w:after="120" w:line="276" w:lineRule="auto"/>
        <w:ind w:firstLine="708"/>
        <w:jc w:val="both"/>
        <w:rPr>
          <w:rFonts w:ascii="Arial" w:hAnsi="Arial" w:cs="Arial"/>
          <w:color w:val="000000" w:themeColor="text1"/>
          <w:lang w:eastAsia="es-CO"/>
        </w:rPr>
      </w:pPr>
      <w:r w:rsidRPr="00BF139D">
        <w:rPr>
          <w:rFonts w:ascii="Arial" w:hAnsi="Arial" w:cs="Arial"/>
          <w:color w:val="000000" w:themeColor="text1"/>
          <w:lang w:eastAsia="es-CO"/>
        </w:rPr>
        <w:t xml:space="preserve">Por otro lado, las Entidades Estatales deben ser diligentes en el análisis de las condiciones de ejecución del contrato de prestación de servicios, evaluando la complejidad y el alcance de las labores encomendadas al contratista, pues solo de esta manera pueden determinar razonablemente si el mismo contratista tiene la capacidad, no solo jurídica sino también técnica y económica, para celebrar otro </w:t>
      </w:r>
      <w:r w:rsidRPr="00BF139D">
        <w:rPr>
          <w:rFonts w:ascii="Arial" w:hAnsi="Arial" w:cs="Arial"/>
          <w:color w:val="000000" w:themeColor="text1"/>
          <w:lang w:eastAsia="es-CO"/>
        </w:rPr>
        <w:lastRenderedPageBreak/>
        <w:t>contrato de prestación de servicios. Si tales factores no se tienen en cuenta, existe el riesgo de que el contratista termine incumpliendo sus obligaciones, por la sobrecarga de actividades.</w:t>
      </w:r>
    </w:p>
    <w:p w14:paraId="0BE0D527" w14:textId="77777777" w:rsidR="00E1685B" w:rsidRPr="00BF139D" w:rsidRDefault="00E1685B" w:rsidP="00E1685B">
      <w:pPr>
        <w:spacing w:line="276" w:lineRule="auto"/>
        <w:ind w:firstLine="709"/>
        <w:jc w:val="both"/>
        <w:rPr>
          <w:rFonts w:ascii="Arial" w:hAnsi="Arial" w:cs="Arial"/>
          <w:color w:val="000000" w:themeColor="text1"/>
          <w:lang w:eastAsia="es-CO"/>
        </w:rPr>
      </w:pPr>
      <w:bookmarkStart w:id="15" w:name="_Hlk141120214"/>
      <w:bookmarkEnd w:id="14"/>
      <w:r w:rsidRPr="00BF139D">
        <w:rPr>
          <w:rFonts w:ascii="Arial" w:hAnsi="Arial" w:cs="Arial"/>
          <w:color w:val="000000" w:themeColor="text1"/>
          <w:lang w:eastAsia="es-CO"/>
        </w:rPr>
        <w:t xml:space="preserve">Ahora bien, </w:t>
      </w:r>
      <w:bookmarkStart w:id="16" w:name="_Hlk134189849"/>
      <w:r w:rsidRPr="00BF139D">
        <w:rPr>
          <w:rFonts w:ascii="Arial" w:hAnsi="Arial" w:cs="Arial"/>
          <w:color w:val="000000" w:themeColor="text1"/>
          <w:lang w:eastAsia="es-CO"/>
        </w:rPr>
        <w:t xml:space="preserve">tratándose de contratos de prestación de servicios de apoyo a la gestión, a los cuales se hace referencia en la petición, debe tomarse en consideración que la Directiva Presidencial No. 08 del 17 de septiembre de 2022 había establecido como medida para la optimización de recursos en la contratación pública que, en materia de contratos de prestación de servicios de apoyo a la gestión: </w:t>
      </w:r>
    </w:p>
    <w:p w14:paraId="4B5DEB25" w14:textId="77777777" w:rsidR="00E1685B" w:rsidRPr="00552A54" w:rsidRDefault="00E1685B" w:rsidP="00E1685B">
      <w:pPr>
        <w:spacing w:line="276" w:lineRule="auto"/>
        <w:ind w:firstLine="709"/>
        <w:contextualSpacing/>
        <w:jc w:val="both"/>
        <w:rPr>
          <w:rFonts w:ascii="Arial" w:hAnsi="Arial" w:cs="Arial"/>
          <w:color w:val="000000" w:themeColor="text1"/>
          <w:lang w:eastAsia="es-CO"/>
        </w:rPr>
      </w:pPr>
    </w:p>
    <w:p w14:paraId="6D12CA33" w14:textId="77777777" w:rsidR="00E1685B" w:rsidRPr="00552A54" w:rsidRDefault="00E1685B" w:rsidP="00E1685B">
      <w:pPr>
        <w:ind w:left="709" w:right="709"/>
        <w:jc w:val="both"/>
        <w:rPr>
          <w:rFonts w:ascii="Arial" w:hAnsi="Arial" w:cs="Arial"/>
          <w:color w:val="000000" w:themeColor="text1"/>
          <w:sz w:val="20"/>
          <w:szCs w:val="20"/>
          <w:lang w:eastAsia="es-CO"/>
        </w:rPr>
      </w:pPr>
      <w:r w:rsidRPr="00552A54">
        <w:rPr>
          <w:rFonts w:ascii="Arial" w:hAnsi="Arial" w:cs="Arial"/>
          <w:color w:val="000000" w:themeColor="text1"/>
          <w:sz w:val="20"/>
          <w:szCs w:val="20"/>
          <w:lang w:eastAsia="es-CO"/>
        </w:rPr>
        <w:t>“[l]as entidades públicas solo podrán celebrar contratos de prestación de servicios de apoyo a la gestión cuando estos sean estrictamente necesarios por el volumen de trabajo que tenga a su cargo su personal de planta, o por la necesidad de conocimientos especializados.</w:t>
      </w:r>
    </w:p>
    <w:p w14:paraId="04E3E59E" w14:textId="77777777" w:rsidR="00E1685B" w:rsidRPr="00552A54" w:rsidRDefault="00E1685B" w:rsidP="00E1685B">
      <w:pPr>
        <w:ind w:left="709" w:right="709"/>
        <w:jc w:val="both"/>
        <w:rPr>
          <w:rFonts w:ascii="Arial" w:hAnsi="Arial" w:cs="Arial"/>
          <w:color w:val="000000" w:themeColor="text1"/>
          <w:sz w:val="20"/>
          <w:szCs w:val="20"/>
          <w:lang w:eastAsia="es-CO"/>
        </w:rPr>
      </w:pPr>
    </w:p>
    <w:p w14:paraId="35EC7ED8" w14:textId="77777777" w:rsidR="00E1685B" w:rsidRPr="00552A54" w:rsidRDefault="00E1685B" w:rsidP="00E1685B">
      <w:pPr>
        <w:ind w:left="709" w:right="709"/>
        <w:jc w:val="both"/>
        <w:rPr>
          <w:rFonts w:ascii="Arial" w:hAnsi="Arial" w:cs="Arial"/>
          <w:color w:val="000000" w:themeColor="text1"/>
          <w:sz w:val="20"/>
          <w:szCs w:val="20"/>
          <w:lang w:eastAsia="es-CO"/>
        </w:rPr>
      </w:pPr>
      <w:r w:rsidRPr="00552A54">
        <w:rPr>
          <w:rFonts w:ascii="Arial" w:hAnsi="Arial" w:cs="Arial"/>
          <w:color w:val="000000" w:themeColor="text1"/>
          <w:sz w:val="20"/>
          <w:szCs w:val="20"/>
          <w:lang w:eastAsia="es-CO"/>
        </w:rPr>
        <w:t>La necesidad de estos contratos deberá justificarse detalladamente, caso a caso, en los documentos precontractuales, entre otros, con las cifras de procesos, el número de proyectos, la gestión mensual, razones de la complejidad del servicio a contratar y el tiempo durante el cual se requerirá ese apoyo, que en ningún caso tendrá vocación de permanencia.</w:t>
      </w:r>
    </w:p>
    <w:p w14:paraId="4CCAF0E5" w14:textId="77777777" w:rsidR="00E1685B" w:rsidRPr="00552A54" w:rsidRDefault="00E1685B" w:rsidP="00E1685B">
      <w:pPr>
        <w:ind w:left="709" w:right="709"/>
        <w:jc w:val="both"/>
        <w:rPr>
          <w:rFonts w:ascii="Arial" w:hAnsi="Arial" w:cs="Arial"/>
          <w:color w:val="000000" w:themeColor="text1"/>
          <w:sz w:val="20"/>
          <w:szCs w:val="20"/>
          <w:lang w:eastAsia="es-CO"/>
        </w:rPr>
      </w:pPr>
    </w:p>
    <w:p w14:paraId="20886586" w14:textId="77777777" w:rsidR="00E1685B" w:rsidRPr="00552A54" w:rsidRDefault="00E1685B" w:rsidP="00E1685B">
      <w:pPr>
        <w:ind w:left="709" w:right="709"/>
        <w:jc w:val="both"/>
        <w:rPr>
          <w:rFonts w:ascii="Arial" w:hAnsi="Arial" w:cs="Arial"/>
          <w:color w:val="000000" w:themeColor="text1"/>
          <w:sz w:val="20"/>
          <w:szCs w:val="20"/>
          <w:lang w:eastAsia="es-CO"/>
        </w:rPr>
      </w:pPr>
      <w:r w:rsidRPr="00552A54">
        <w:rPr>
          <w:rFonts w:ascii="Arial" w:hAnsi="Arial" w:cs="Arial"/>
          <w:color w:val="000000" w:themeColor="text1"/>
          <w:sz w:val="20"/>
          <w:szCs w:val="20"/>
          <w:lang w:eastAsia="es-CO"/>
        </w:rPr>
        <w:t>Cuando estos contratos sean necesarios por la insuficiencia del personal de planta, la respectiva entidad iniciará la adopción de las medidas que sean necesarias para asegurar que las correspondientes labores puedan ser desarrolladas por su personal de planta lo más pronto posible.</w:t>
      </w:r>
    </w:p>
    <w:p w14:paraId="2BAB8179" w14:textId="77777777" w:rsidR="00E1685B" w:rsidRPr="00552A54" w:rsidRDefault="00E1685B" w:rsidP="00E1685B">
      <w:pPr>
        <w:ind w:left="709" w:right="709"/>
        <w:jc w:val="both"/>
        <w:rPr>
          <w:rFonts w:ascii="Arial" w:hAnsi="Arial" w:cs="Arial"/>
          <w:color w:val="000000" w:themeColor="text1"/>
          <w:sz w:val="20"/>
          <w:szCs w:val="20"/>
          <w:lang w:eastAsia="es-CO"/>
        </w:rPr>
      </w:pPr>
    </w:p>
    <w:p w14:paraId="6D92D6D8" w14:textId="77777777" w:rsidR="00E1685B" w:rsidRPr="00552A54" w:rsidRDefault="00E1685B" w:rsidP="00E1685B">
      <w:pPr>
        <w:ind w:left="709" w:right="709"/>
        <w:jc w:val="both"/>
        <w:rPr>
          <w:rFonts w:ascii="Arial" w:hAnsi="Arial" w:cs="Arial"/>
          <w:color w:val="000000" w:themeColor="text1"/>
          <w:sz w:val="20"/>
          <w:szCs w:val="20"/>
          <w:lang w:eastAsia="es-CO"/>
        </w:rPr>
      </w:pPr>
      <w:r w:rsidRPr="00552A54">
        <w:rPr>
          <w:rFonts w:ascii="Arial" w:hAnsi="Arial" w:cs="Arial"/>
          <w:color w:val="000000" w:themeColor="text1"/>
          <w:sz w:val="20"/>
          <w:szCs w:val="20"/>
          <w:lang w:eastAsia="es-CO"/>
        </w:rPr>
        <w:t>Excepcionalmente se podrán suscribir con recursos de proyectos de inversión, contratos de prestación de servicios para apoyar la gestión de las entidades estatales. Al estructurarse nuevos proyectos de inversión, el Departamento Nacional de Planeación verificará la razonabilidad de los porcentajes que se incluyan en las fichas de los proyectos para rubros como Gastos o Apoyo a la Gerencia del proyecto.</w:t>
      </w:r>
    </w:p>
    <w:p w14:paraId="35491F25" w14:textId="77777777" w:rsidR="00E1685B" w:rsidRPr="00552A54" w:rsidRDefault="00E1685B" w:rsidP="00E1685B">
      <w:pPr>
        <w:ind w:left="709" w:right="709"/>
        <w:jc w:val="both"/>
        <w:rPr>
          <w:rFonts w:ascii="Arial" w:hAnsi="Arial" w:cs="Arial"/>
          <w:color w:val="000000" w:themeColor="text1"/>
          <w:sz w:val="20"/>
          <w:szCs w:val="20"/>
          <w:lang w:eastAsia="es-CO"/>
        </w:rPr>
      </w:pPr>
    </w:p>
    <w:p w14:paraId="513C9FE3" w14:textId="77777777" w:rsidR="00E1685B" w:rsidRPr="00552A54" w:rsidRDefault="00E1685B" w:rsidP="00E1685B">
      <w:pPr>
        <w:ind w:left="709" w:right="709"/>
        <w:jc w:val="both"/>
        <w:rPr>
          <w:rFonts w:ascii="Arial" w:hAnsi="Arial" w:cs="Arial"/>
          <w:color w:val="000000" w:themeColor="text1"/>
          <w:sz w:val="20"/>
          <w:szCs w:val="20"/>
          <w:lang w:eastAsia="es-CO"/>
        </w:rPr>
      </w:pPr>
      <w:r w:rsidRPr="00552A54">
        <w:rPr>
          <w:rFonts w:ascii="Arial" w:hAnsi="Arial" w:cs="Arial"/>
          <w:color w:val="000000" w:themeColor="text1"/>
          <w:sz w:val="20"/>
          <w:szCs w:val="20"/>
          <w:lang w:eastAsia="es-CO"/>
        </w:rPr>
        <w:t xml:space="preserve">Las entidades públicas no podrán justificar la celebración de contratos de prestación de servicios de apoyo a la gestión por insuficiencia de personal de planta para evacuar el respectivo trabajo, </w:t>
      </w:r>
      <w:r w:rsidRPr="00552A54">
        <w:rPr>
          <w:rFonts w:ascii="Arial" w:hAnsi="Arial" w:cs="Arial"/>
          <w:color w:val="000000" w:themeColor="text1"/>
          <w:sz w:val="20"/>
          <w:szCs w:val="20"/>
          <w:u w:val="single"/>
          <w:lang w:eastAsia="es-CO"/>
        </w:rPr>
        <w:t>si tales contratos serán suscritos con personas naturales que ya tienen otros contratos de prestación de servicios con otras entidades públicas</w:t>
      </w:r>
      <w:r w:rsidRPr="00552A54">
        <w:rPr>
          <w:rFonts w:ascii="Arial" w:hAnsi="Arial" w:cs="Arial"/>
          <w:color w:val="000000" w:themeColor="text1"/>
          <w:sz w:val="20"/>
          <w:szCs w:val="20"/>
          <w:lang w:eastAsia="es-CO"/>
        </w:rPr>
        <w:t>, lo cual verificarán previamente en la plataforma del SECOP. Tampoco si en sus plantas de personal hay carpos en vacancia definitiva por más de 6 meses.</w:t>
      </w:r>
    </w:p>
    <w:p w14:paraId="1DCEB251" w14:textId="77777777" w:rsidR="00E1685B" w:rsidRPr="00552A54" w:rsidRDefault="00E1685B" w:rsidP="00E1685B">
      <w:pPr>
        <w:ind w:left="709" w:right="709"/>
        <w:jc w:val="both"/>
        <w:rPr>
          <w:rFonts w:ascii="Arial" w:hAnsi="Arial" w:cs="Arial"/>
          <w:color w:val="000000" w:themeColor="text1"/>
          <w:sz w:val="20"/>
          <w:szCs w:val="20"/>
          <w:lang w:eastAsia="es-CO"/>
        </w:rPr>
      </w:pPr>
    </w:p>
    <w:p w14:paraId="1D9B81A7" w14:textId="77777777" w:rsidR="00E1685B" w:rsidRPr="00552A54" w:rsidRDefault="00E1685B" w:rsidP="00E1685B">
      <w:pPr>
        <w:ind w:left="709" w:right="709"/>
        <w:jc w:val="both"/>
        <w:rPr>
          <w:rFonts w:ascii="Arial" w:hAnsi="Arial" w:cs="Arial"/>
          <w:color w:val="000000" w:themeColor="text1"/>
          <w:sz w:val="20"/>
          <w:szCs w:val="20"/>
          <w:lang w:eastAsia="es-CO"/>
        </w:rPr>
      </w:pPr>
      <w:r w:rsidRPr="00552A54">
        <w:rPr>
          <w:rFonts w:ascii="Arial" w:hAnsi="Arial" w:cs="Arial"/>
          <w:color w:val="000000" w:themeColor="text1"/>
          <w:sz w:val="20"/>
          <w:szCs w:val="20"/>
          <w:lang w:eastAsia="es-CO"/>
        </w:rPr>
        <w:t>Cada representante legal verificará que la entidad que representa cumpla con lo establecido en esta directiva en relación con este tipo de contratos” (Subrayas no originales).</w:t>
      </w:r>
    </w:p>
    <w:p w14:paraId="71C9AE4B" w14:textId="77777777" w:rsidR="00E1685B" w:rsidRPr="00552A54" w:rsidRDefault="00E1685B" w:rsidP="00E1685B">
      <w:pPr>
        <w:spacing w:line="276" w:lineRule="auto"/>
        <w:ind w:right="709"/>
        <w:jc w:val="both"/>
        <w:rPr>
          <w:rFonts w:ascii="Arial" w:hAnsi="Arial" w:cs="Arial"/>
          <w:color w:val="000000" w:themeColor="text1"/>
          <w:lang w:eastAsia="es-CO"/>
        </w:rPr>
      </w:pPr>
    </w:p>
    <w:p w14:paraId="61307026" w14:textId="77777777" w:rsidR="00E1685B" w:rsidRPr="00552A54" w:rsidRDefault="00E1685B" w:rsidP="00E1685B">
      <w:pPr>
        <w:spacing w:after="120" w:line="276" w:lineRule="auto"/>
        <w:ind w:firstLine="708"/>
        <w:jc w:val="both"/>
        <w:rPr>
          <w:rFonts w:ascii="Arial" w:hAnsi="Arial" w:cs="Arial"/>
          <w:color w:val="000000" w:themeColor="text1"/>
          <w:lang w:eastAsia="es-CO"/>
        </w:rPr>
      </w:pPr>
      <w:r w:rsidRPr="00552A54">
        <w:rPr>
          <w:rFonts w:ascii="Arial" w:hAnsi="Arial" w:cs="Arial"/>
          <w:color w:val="000000" w:themeColor="text1"/>
          <w:lang w:eastAsia="es-CO"/>
        </w:rPr>
        <w:t xml:space="preserve">No obstante, la restricción antes citada fue objeto de una medida cautelar de suspensión provisional decretada por parte del Consejo de Estado -Sala de lo </w:t>
      </w:r>
      <w:r w:rsidRPr="00552A54">
        <w:rPr>
          <w:rFonts w:ascii="Arial" w:hAnsi="Arial" w:cs="Arial"/>
          <w:color w:val="000000" w:themeColor="text1"/>
          <w:lang w:eastAsia="es-CO"/>
        </w:rPr>
        <w:lastRenderedPageBreak/>
        <w:t>Contencioso Administrativo, Sección Tercera, Subsección A- en providencia del 22 de febrero de 2023</w:t>
      </w:r>
      <w:r w:rsidRPr="00552A54">
        <w:rPr>
          <w:rFonts w:ascii="Arial" w:hAnsi="Arial" w:cs="Arial"/>
          <w:color w:val="000000" w:themeColor="text1"/>
          <w:vertAlign w:val="superscript"/>
          <w:lang w:eastAsia="es-CO"/>
        </w:rPr>
        <w:footnoteReference w:id="25"/>
      </w:r>
      <w:r w:rsidRPr="00552A54">
        <w:rPr>
          <w:rFonts w:ascii="Arial" w:hAnsi="Arial" w:cs="Arial"/>
          <w:color w:val="000000" w:themeColor="text1"/>
          <w:lang w:eastAsia="es-CO"/>
        </w:rPr>
        <w:t>. Igualmente, la Directiva Presidencial No. 2 del 30 de marzo de 2023</w:t>
      </w:r>
      <w:r w:rsidRPr="00552A54">
        <w:rPr>
          <w:rFonts w:ascii="Arial" w:hAnsi="Arial" w:cs="Arial"/>
          <w:color w:val="000000" w:themeColor="text1"/>
          <w:vertAlign w:val="superscript"/>
          <w:lang w:eastAsia="es-CO"/>
        </w:rPr>
        <w:footnoteReference w:id="26"/>
      </w:r>
      <w:r w:rsidRPr="00552A54">
        <w:rPr>
          <w:rFonts w:ascii="Arial" w:hAnsi="Arial" w:cs="Arial"/>
          <w:color w:val="000000" w:themeColor="text1"/>
          <w:lang w:eastAsia="es-CO"/>
        </w:rPr>
        <w:t xml:space="preserve"> dispuso dejar sin efectos las medidas establecidas, entre otras, en la Directiva Presidencial No. 08 del 17 de septiembre de 2022, hasta tanto el Gobierno Nacional expida nuevas directrices en materia de gasto, austeridad y eficiencia del Estado conforme a la reglamentación recientemente expedida para la vigencia 2023. Al haberse dejado sin efectos la disposición contenida en la Directiva Presidencial 08 de septiembre de 2022, en la actualidad no se encuentra vigente la restricción consistente en la celebración de más de un contrato de prestación de servicios de apoyo a la gestión. </w:t>
      </w:r>
    </w:p>
    <w:bookmarkEnd w:id="16"/>
    <w:p w14:paraId="1A4B5A38" w14:textId="77777777" w:rsidR="00E1685B" w:rsidRPr="00771D2F" w:rsidRDefault="00E1685B" w:rsidP="00E1685B">
      <w:pPr>
        <w:spacing w:after="120" w:line="276" w:lineRule="auto"/>
        <w:ind w:firstLine="708"/>
        <w:jc w:val="both"/>
        <w:rPr>
          <w:rFonts w:ascii="Arial" w:hAnsi="Arial" w:cs="Arial"/>
          <w:color w:val="000000" w:themeColor="text1"/>
          <w:lang w:eastAsia="es-CO"/>
        </w:rPr>
      </w:pPr>
      <w:r w:rsidRPr="00552A54">
        <w:rPr>
          <w:rFonts w:ascii="Arial" w:hAnsi="Arial" w:cs="Arial"/>
          <w:color w:val="000000" w:themeColor="text1"/>
          <w:lang w:eastAsia="es-CO"/>
        </w:rPr>
        <w:t>Todo lo anterior, sin perjuicio del Plan de Austeridad del Gasto 2023 para los órganos que hacen parte del Presupuesto General de la Nación contenido en el Decreto 444 del 29 de marzo de 2023, en el que se dispuso en relación con la contratación de personal para la prestación de servicios profesionales y de apoyo a la gestión que las entidades deben realizar una revisión previa de las razones que justifiquen la contratación de personal para la prestación de servicios profesionales y de apoyo a la gestión. Esto, con el propósito de que, conforme con lo previsto en el artículo 32 de la Ley 80 de 1993 y el artículo 2.8.4.4.5. y siguientes del Decreto 1068 de 2015, solo se celebren los contratos que sean estrictamente necesarios para coadyuvar al cumplimiento de las funciones y fines de cada entidad, cuando dichas actividades no puedan realizarse con personal de planta o requieran conocimientos especializados.</w:t>
      </w:r>
    </w:p>
    <w:p w14:paraId="57D0C5D9" w14:textId="77777777" w:rsidR="00E1685B" w:rsidRPr="00552A54" w:rsidRDefault="00E1685B" w:rsidP="00E1685B">
      <w:pPr>
        <w:spacing w:line="276" w:lineRule="auto"/>
        <w:ind w:firstLine="708"/>
        <w:jc w:val="both"/>
        <w:rPr>
          <w:rFonts w:ascii="Arial" w:hAnsi="Arial" w:cs="Arial"/>
          <w:color w:val="000000" w:themeColor="text1"/>
          <w:sz w:val="20"/>
          <w:szCs w:val="20"/>
          <w:lang w:eastAsia="es-CO"/>
        </w:rPr>
      </w:pPr>
      <w:r w:rsidRPr="00552A54">
        <w:rPr>
          <w:rFonts w:ascii="Arial" w:hAnsi="Arial" w:cs="Arial"/>
          <w:color w:val="000000" w:themeColor="text1"/>
          <w:lang w:eastAsia="es-CO"/>
        </w:rPr>
        <w:t xml:space="preserve">Por otro lado, las Entidades Estatales deben ser diligentes en el análisis de las condiciones de ejecución del contrato de prestación de servicios, evaluando la complejidad y el alcance de las labores encomendadas al contratista, pues solo de esta manera pueden determinar razonablemente si el mismo contratista tiene la capacidad, no solo jurídica sino también técnica y económica, para mantener una relación </w:t>
      </w:r>
      <w:r>
        <w:rPr>
          <w:rFonts w:ascii="Arial" w:hAnsi="Arial" w:cs="Arial"/>
          <w:color w:val="000000" w:themeColor="text1"/>
          <w:lang w:eastAsia="es-CO"/>
        </w:rPr>
        <w:t xml:space="preserve">contractual </w:t>
      </w:r>
      <w:r w:rsidRPr="00552A54">
        <w:rPr>
          <w:rFonts w:ascii="Arial" w:hAnsi="Arial" w:cs="Arial"/>
          <w:color w:val="000000" w:themeColor="text1"/>
          <w:lang w:eastAsia="es-CO"/>
        </w:rPr>
        <w:t>al tiempo que se ejecuta el contrato estatal</w:t>
      </w:r>
      <w:r>
        <w:rPr>
          <w:rFonts w:ascii="Arial" w:hAnsi="Arial" w:cs="Arial"/>
          <w:color w:val="000000" w:themeColor="text1"/>
          <w:lang w:eastAsia="es-CO"/>
        </w:rPr>
        <w:t>, incluso con la misma entidad</w:t>
      </w:r>
      <w:r w:rsidRPr="00552A54">
        <w:rPr>
          <w:rFonts w:ascii="Arial" w:hAnsi="Arial" w:cs="Arial"/>
          <w:color w:val="000000" w:themeColor="text1"/>
          <w:lang w:eastAsia="es-CO"/>
        </w:rPr>
        <w:t>. Si tales factores no se tienen en cuenta, existe el riesgo de que el contratista termine incumpliendo sus obligaciones, por la sobrecarga de actividades.</w:t>
      </w:r>
    </w:p>
    <w:p w14:paraId="7F42F5D0" w14:textId="77777777" w:rsidR="00E1685B" w:rsidRPr="00552A54" w:rsidRDefault="00E1685B" w:rsidP="00E1685B">
      <w:pPr>
        <w:spacing w:line="276" w:lineRule="auto"/>
        <w:ind w:firstLine="709"/>
        <w:contextualSpacing/>
        <w:jc w:val="both"/>
        <w:rPr>
          <w:rFonts w:ascii="Arial" w:hAnsi="Arial" w:cs="Arial"/>
          <w:color w:val="000000" w:themeColor="text1"/>
          <w:lang w:eastAsia="es-CO"/>
        </w:rPr>
      </w:pPr>
    </w:p>
    <w:p w14:paraId="46DD208D" w14:textId="77777777" w:rsidR="00E1685B" w:rsidRDefault="00E1685B" w:rsidP="00E1685B">
      <w:pPr>
        <w:spacing w:line="276" w:lineRule="auto"/>
        <w:jc w:val="both"/>
        <w:rPr>
          <w:rFonts w:ascii="Arial" w:eastAsia="Calibri" w:hAnsi="Arial" w:cs="Arial"/>
          <w:b/>
          <w:bCs/>
          <w:color w:val="000000" w:themeColor="text1"/>
        </w:rPr>
      </w:pPr>
      <w:r w:rsidRPr="00552A54">
        <w:rPr>
          <w:rFonts w:ascii="Arial" w:eastAsia="Calibri" w:hAnsi="Arial" w:cs="Arial"/>
          <w:b/>
          <w:bCs/>
          <w:color w:val="000000" w:themeColor="text1"/>
        </w:rPr>
        <w:t>2.4. Competencia consultiva de la Agencia Nacional de Contratación Pública – Colombia Compra Eficiente</w:t>
      </w:r>
    </w:p>
    <w:p w14:paraId="2C36A1F5" w14:textId="77777777" w:rsidR="00E1685B" w:rsidRPr="00552A54" w:rsidRDefault="00E1685B" w:rsidP="00E1685B">
      <w:pPr>
        <w:spacing w:line="276" w:lineRule="auto"/>
        <w:jc w:val="both"/>
        <w:rPr>
          <w:rFonts w:ascii="Arial" w:eastAsia="Calibri" w:hAnsi="Arial" w:cs="Arial"/>
          <w:b/>
          <w:bCs/>
          <w:color w:val="000000" w:themeColor="text1"/>
        </w:rPr>
      </w:pPr>
    </w:p>
    <w:p w14:paraId="46EFFA96" w14:textId="77777777" w:rsidR="00E1685B" w:rsidRPr="00552A54" w:rsidRDefault="00E1685B" w:rsidP="00E1685B">
      <w:pPr>
        <w:spacing w:line="276" w:lineRule="auto"/>
        <w:jc w:val="both"/>
        <w:rPr>
          <w:rFonts w:ascii="Arial" w:hAnsi="Arial" w:cs="Arial"/>
          <w:color w:val="000000" w:themeColor="text1"/>
        </w:rPr>
      </w:pPr>
      <w:r w:rsidRPr="00552A54">
        <w:rPr>
          <w:rFonts w:ascii="Arial" w:hAnsi="Arial" w:cs="Arial"/>
          <w:color w:val="000000" w:themeColor="text1"/>
          <w:shd w:val="clear" w:color="auto" w:fill="FFFFFF"/>
        </w:rPr>
        <w:t>Como en la consulta que se resuelve en esta oportunidad se hacen algunos comentarios a partir de un caso concreto, 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p>
    <w:p w14:paraId="7F6D2A60" w14:textId="77777777" w:rsidR="00E1685B" w:rsidRPr="00552A54" w:rsidRDefault="00E1685B" w:rsidP="00E1685B">
      <w:pPr>
        <w:spacing w:before="120" w:line="276" w:lineRule="auto"/>
        <w:ind w:firstLine="708"/>
        <w:jc w:val="both"/>
        <w:rPr>
          <w:rFonts w:ascii="Arial" w:hAnsi="Arial" w:cs="Arial"/>
          <w:color w:val="000000" w:themeColor="text1"/>
        </w:rPr>
      </w:pPr>
      <w:r w:rsidRPr="00552A54">
        <w:rPr>
          <w:rFonts w:ascii="Arial" w:hAnsi="Arial" w:cs="Arial"/>
          <w:color w:val="000000" w:themeColor="text1"/>
        </w:rPr>
        <w:t xml:space="preserve">Al respecto, </w:t>
      </w:r>
      <w:bookmarkStart w:id="17" w:name="_Hlk94773931"/>
      <w:r w:rsidRPr="00552A54">
        <w:rPr>
          <w:rFonts w:ascii="Arial" w:hAnsi="Arial" w:cs="Arial"/>
          <w:color w:val="000000" w:themeColor="text1"/>
        </w:rPr>
        <w:t>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552A54">
        <w:rPr>
          <w:rFonts w:ascii="Arial" w:eastAsia="Calibri" w:hAnsi="Arial" w:cs="Arial"/>
          <w:color w:val="000000" w:themeColor="text1"/>
        </w:rPr>
        <w:t xml:space="preserve"> </w:t>
      </w:r>
      <w:r w:rsidRPr="00552A54">
        <w:rPr>
          <w:rFonts w:ascii="Arial" w:hAnsi="Arial" w:cs="Arial"/>
          <w:color w:val="000000" w:themeColor="text1"/>
          <w:shd w:val="clear" w:color="auto" w:fill="FFFFFF"/>
        </w:rPr>
        <w:t> </w:t>
      </w:r>
      <w:bookmarkEnd w:id="17"/>
    </w:p>
    <w:p w14:paraId="19FF9592" w14:textId="77777777" w:rsidR="00E1685B" w:rsidRPr="00552A54" w:rsidRDefault="00E1685B" w:rsidP="00E1685B">
      <w:pPr>
        <w:spacing w:before="120" w:line="276" w:lineRule="auto"/>
        <w:ind w:firstLine="708"/>
        <w:jc w:val="both"/>
        <w:rPr>
          <w:rFonts w:ascii="Arial" w:hAnsi="Arial" w:cs="Arial"/>
          <w:color w:val="000000" w:themeColor="text1"/>
        </w:rPr>
      </w:pPr>
      <w:r w:rsidRPr="00552A54">
        <w:rPr>
          <w:rFonts w:ascii="Arial" w:hAnsi="Arial" w:cs="Arial"/>
          <w:color w:val="000000" w:themeColor="text1"/>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552A54">
        <w:rPr>
          <w:rFonts w:ascii="Arial" w:hAnsi="Arial" w:cs="Arial"/>
          <w:color w:val="000000" w:themeColor="text1"/>
          <w:vertAlign w:val="superscript"/>
        </w:rPr>
        <w:footnoteReference w:id="27"/>
      </w:r>
      <w:r w:rsidRPr="00552A54">
        <w:rPr>
          <w:rFonts w:ascii="Arial" w:hAnsi="Arial" w:cs="Arial"/>
          <w:color w:val="000000" w:themeColor="text1"/>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552A54">
        <w:rPr>
          <w:rFonts w:ascii="Arial" w:eastAsia="Calibri" w:hAnsi="Arial" w:cs="Arial"/>
          <w:color w:val="000000" w:themeColor="text1"/>
        </w:rPr>
        <w:t> </w:t>
      </w:r>
    </w:p>
    <w:p w14:paraId="7D19BCB4" w14:textId="77777777" w:rsidR="00E1685B" w:rsidRPr="00552A54" w:rsidRDefault="00E1685B" w:rsidP="00E1685B">
      <w:pPr>
        <w:tabs>
          <w:tab w:val="left" w:pos="426"/>
        </w:tabs>
        <w:spacing w:before="120" w:line="276" w:lineRule="auto"/>
        <w:jc w:val="both"/>
        <w:rPr>
          <w:rFonts w:ascii="Arial" w:hAnsi="Arial" w:cs="Arial"/>
          <w:color w:val="000000" w:themeColor="text1"/>
        </w:rPr>
      </w:pPr>
      <w:r w:rsidRPr="00552A54">
        <w:rPr>
          <w:rFonts w:ascii="Arial" w:hAnsi="Arial" w:cs="Arial"/>
          <w:color w:val="000000" w:themeColor="text1"/>
        </w:rPr>
        <w:tab/>
      </w:r>
      <w:r w:rsidRPr="00552A54">
        <w:rPr>
          <w:rFonts w:ascii="Arial" w:hAnsi="Arial" w:cs="Arial"/>
          <w:color w:val="000000" w:themeColor="text1"/>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w:t>
      </w:r>
      <w:r w:rsidRPr="00552A54">
        <w:rPr>
          <w:rFonts w:ascii="Arial" w:hAnsi="Arial" w:cs="Arial"/>
          <w:color w:val="000000" w:themeColor="text1"/>
        </w:rPr>
        <w:lastRenderedPageBreak/>
        <w:t xml:space="preserve">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552A54">
        <w:rPr>
          <w:rFonts w:ascii="Arial" w:eastAsia="Calibri" w:hAnsi="Arial" w:cs="Arial"/>
          <w:bCs/>
          <w:color w:val="000000" w:themeColor="text1"/>
        </w:rPr>
        <w:t> </w:t>
      </w:r>
    </w:p>
    <w:p w14:paraId="5F694E35" w14:textId="77777777" w:rsidR="00E1685B" w:rsidRPr="00552A54" w:rsidRDefault="00E1685B" w:rsidP="00E1685B">
      <w:pPr>
        <w:tabs>
          <w:tab w:val="left" w:pos="426"/>
        </w:tabs>
        <w:spacing w:after="120"/>
        <w:ind w:left="709" w:right="709"/>
        <w:jc w:val="both"/>
        <w:rPr>
          <w:rFonts w:ascii="Arial" w:eastAsia="Calibri" w:hAnsi="Arial" w:cs="Arial"/>
          <w:bCs/>
          <w:color w:val="000000" w:themeColor="text1"/>
          <w:sz w:val="21"/>
          <w:szCs w:val="21"/>
        </w:rPr>
      </w:pPr>
      <w:r w:rsidRPr="00552A54">
        <w:rPr>
          <w:rFonts w:ascii="Arial" w:hAnsi="Arial" w:cs="Arial"/>
          <w:color w:val="000000" w:themeColor="text1"/>
          <w:sz w:val="21"/>
          <w:szCs w:val="21"/>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552A54">
        <w:rPr>
          <w:rFonts w:ascii="Arial" w:eastAsia="Calibri" w:hAnsi="Arial" w:cs="Arial"/>
          <w:bCs/>
          <w:color w:val="000000" w:themeColor="text1"/>
          <w:sz w:val="21"/>
          <w:szCs w:val="21"/>
        </w:rPr>
        <w:t>.</w:t>
      </w:r>
      <w:r w:rsidRPr="00552A54">
        <w:rPr>
          <w:rFonts w:ascii="Arial" w:hAnsi="Arial" w:cs="Arial"/>
          <w:color w:val="000000" w:themeColor="text1"/>
          <w:sz w:val="21"/>
          <w:szCs w:val="21"/>
        </w:rPr>
        <w:t>”</w:t>
      </w:r>
      <w:r w:rsidRPr="00552A54">
        <w:rPr>
          <w:rFonts w:ascii="Arial" w:eastAsia="Calibri" w:hAnsi="Arial" w:cs="Arial"/>
          <w:bCs/>
          <w:color w:val="000000" w:themeColor="text1"/>
          <w:sz w:val="21"/>
          <w:szCs w:val="21"/>
        </w:rPr>
        <w:t> </w:t>
      </w:r>
    </w:p>
    <w:p w14:paraId="65EA3B2A" w14:textId="77777777" w:rsidR="00E1685B" w:rsidRPr="00552A54" w:rsidRDefault="00E1685B" w:rsidP="00E1685B">
      <w:pPr>
        <w:tabs>
          <w:tab w:val="left" w:pos="426"/>
        </w:tabs>
        <w:spacing w:after="120" w:line="276" w:lineRule="auto"/>
        <w:jc w:val="both"/>
        <w:rPr>
          <w:rFonts w:ascii="Arial" w:hAnsi="Arial" w:cs="Arial"/>
          <w:color w:val="000000" w:themeColor="text1"/>
        </w:rPr>
      </w:pPr>
      <w:r w:rsidRPr="00552A54">
        <w:rPr>
          <w:rFonts w:ascii="Arial" w:eastAsia="Calibri" w:hAnsi="Arial" w:cs="Arial"/>
          <w:bCs/>
          <w:color w:val="000000" w:themeColor="text1"/>
        </w:rPr>
        <w:tab/>
      </w:r>
      <w:r w:rsidRPr="00552A54">
        <w:rPr>
          <w:rFonts w:ascii="Arial" w:eastAsia="Calibri" w:hAnsi="Arial" w:cs="Arial"/>
          <w:bCs/>
          <w:color w:val="000000" w:themeColor="text1"/>
        </w:rPr>
        <w:tab/>
      </w:r>
      <w:r w:rsidRPr="00552A54">
        <w:rPr>
          <w:rFonts w:ascii="Arial" w:hAnsi="Arial" w:cs="Arial"/>
          <w:color w:val="000000" w:themeColor="text1"/>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552A54">
        <w:rPr>
          <w:rFonts w:ascii="Arial" w:eastAsia="Calibri" w:hAnsi="Arial" w:cs="Arial"/>
          <w:bCs/>
          <w:color w:val="000000" w:themeColor="text1"/>
        </w:rPr>
        <w:t> </w:t>
      </w:r>
    </w:p>
    <w:p w14:paraId="65ECBA62" w14:textId="77777777" w:rsidR="00E1685B" w:rsidRPr="00552A54" w:rsidRDefault="00E1685B" w:rsidP="00E1685B">
      <w:pPr>
        <w:spacing w:before="120" w:after="120" w:line="276" w:lineRule="auto"/>
        <w:ind w:firstLine="708"/>
        <w:jc w:val="both"/>
        <w:rPr>
          <w:rFonts w:ascii="Arial" w:hAnsi="Arial" w:cs="Arial"/>
          <w:color w:val="000000" w:themeColor="text1"/>
        </w:rPr>
      </w:pPr>
      <w:r w:rsidRPr="00552A54">
        <w:rPr>
          <w:rFonts w:ascii="Arial" w:hAnsi="Arial" w:cs="Arial"/>
          <w:color w:val="000000" w:themeColor="text1"/>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552A54">
        <w:rPr>
          <w:rFonts w:ascii="Arial" w:eastAsia="Calibri" w:hAnsi="Arial" w:cs="Arial"/>
          <w:bCs/>
          <w:color w:val="000000" w:themeColor="text1"/>
        </w:rPr>
        <w:t> </w:t>
      </w:r>
    </w:p>
    <w:p w14:paraId="45B732AB" w14:textId="77777777" w:rsidR="00E1685B" w:rsidRPr="00552A54" w:rsidRDefault="00E1685B" w:rsidP="00E1685B">
      <w:pPr>
        <w:tabs>
          <w:tab w:val="left" w:pos="709"/>
        </w:tabs>
        <w:spacing w:before="120" w:line="276" w:lineRule="auto"/>
        <w:jc w:val="both"/>
        <w:rPr>
          <w:rFonts w:ascii="Arial" w:hAnsi="Arial" w:cs="Arial"/>
          <w:color w:val="000000" w:themeColor="text1"/>
        </w:rPr>
      </w:pPr>
      <w:r w:rsidRPr="00552A54">
        <w:rPr>
          <w:rFonts w:ascii="Arial" w:hAnsi="Arial" w:cs="Arial"/>
          <w:color w:val="000000" w:themeColor="text1"/>
          <w:shd w:val="clear" w:color="auto" w:fill="FFFFFF"/>
        </w:rPr>
        <w:tab/>
        <w:t>En concordancia con ello, es importante resaltar que e</w:t>
      </w:r>
      <w:r w:rsidRPr="00552A54">
        <w:rPr>
          <w:rFonts w:ascii="Arial" w:hAnsi="Arial" w:cs="Arial"/>
          <w:color w:val="000000" w:themeColor="text1"/>
        </w:rPr>
        <w:t>sta posición es compartida por varias entidades públicas que ejercen similar función. Por ejemplo, la Procuraduría General de la Nación</w:t>
      </w:r>
      <w:r w:rsidRPr="00552A54">
        <w:rPr>
          <w:rFonts w:ascii="Arial" w:hAnsi="Arial" w:cs="Arial"/>
          <w:color w:val="000000" w:themeColor="text1"/>
          <w:vertAlign w:val="superscript"/>
        </w:rPr>
        <w:footnoteReference w:id="28"/>
      </w:r>
      <w:r w:rsidRPr="00552A54">
        <w:rPr>
          <w:rFonts w:ascii="Arial" w:hAnsi="Arial" w:cs="Arial"/>
          <w:color w:val="000000" w:themeColor="text1"/>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552A54">
        <w:rPr>
          <w:rFonts w:ascii="Arial" w:hAnsi="Arial" w:cs="Arial"/>
          <w:color w:val="000000" w:themeColor="text1"/>
          <w:vertAlign w:val="superscript"/>
        </w:rPr>
        <w:footnoteReference w:id="29"/>
      </w:r>
      <w:r w:rsidRPr="00552A54">
        <w:rPr>
          <w:rFonts w:ascii="Arial" w:hAnsi="Arial" w:cs="Arial"/>
          <w:color w:val="000000" w:themeColor="text1"/>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552A54">
        <w:rPr>
          <w:rFonts w:ascii="Arial" w:eastAsia="Calibri" w:hAnsi="Arial" w:cs="Arial"/>
          <w:bCs/>
          <w:color w:val="000000" w:themeColor="text1"/>
        </w:rPr>
        <w:t> </w:t>
      </w:r>
    </w:p>
    <w:p w14:paraId="201FA7A2" w14:textId="77777777" w:rsidR="00E1685B" w:rsidRPr="00552A54" w:rsidRDefault="00E1685B" w:rsidP="00E1685B">
      <w:pPr>
        <w:tabs>
          <w:tab w:val="left" w:pos="709"/>
        </w:tabs>
        <w:spacing w:before="120" w:after="120" w:line="276" w:lineRule="auto"/>
        <w:jc w:val="both"/>
        <w:rPr>
          <w:rFonts w:ascii="Arial" w:hAnsi="Arial" w:cs="Arial"/>
          <w:color w:val="000000" w:themeColor="text1"/>
        </w:rPr>
      </w:pPr>
      <w:r w:rsidRPr="00552A54">
        <w:rPr>
          <w:rFonts w:ascii="Arial" w:eastAsia="Calibri" w:hAnsi="Arial" w:cs="Arial"/>
          <w:bCs/>
          <w:color w:val="000000" w:themeColor="text1"/>
        </w:rPr>
        <w:lastRenderedPageBreak/>
        <w:tab/>
      </w:r>
      <w:r w:rsidRPr="00552A54">
        <w:rPr>
          <w:rFonts w:ascii="Arial" w:hAnsi="Arial" w:cs="Arial"/>
          <w:color w:val="000000" w:themeColor="text1"/>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552A54">
        <w:rPr>
          <w:rFonts w:ascii="Arial" w:hAnsi="Arial" w:cs="Arial"/>
          <w:color w:val="000000" w:themeColor="text1"/>
          <w:vertAlign w:val="superscript"/>
        </w:rPr>
        <w:footnoteReference w:id="30"/>
      </w:r>
      <w:r w:rsidRPr="00552A54">
        <w:rPr>
          <w:rFonts w:ascii="Arial" w:hAnsi="Arial" w:cs="Arial"/>
          <w:color w:val="000000" w:themeColor="text1"/>
        </w:rPr>
        <w:t xml:space="preserve">. </w:t>
      </w:r>
    </w:p>
    <w:p w14:paraId="796EBFB3" w14:textId="77777777" w:rsidR="00E1685B" w:rsidRPr="00552A54" w:rsidRDefault="00E1685B" w:rsidP="00E1685B">
      <w:pPr>
        <w:spacing w:before="120" w:after="120" w:line="276" w:lineRule="auto"/>
        <w:ind w:firstLine="709"/>
        <w:jc w:val="both"/>
        <w:rPr>
          <w:rFonts w:ascii="Arial" w:hAnsi="Arial" w:cs="Arial"/>
          <w:color w:val="000000" w:themeColor="text1"/>
        </w:rPr>
      </w:pPr>
      <w:r w:rsidRPr="00552A54">
        <w:rPr>
          <w:rFonts w:ascii="Arial" w:hAnsi="Arial" w:cs="Arial"/>
          <w:color w:val="000000" w:themeColor="text1"/>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28BD2BAB" w14:textId="77777777" w:rsidR="00E1685B" w:rsidRDefault="00E1685B" w:rsidP="00E1685B">
      <w:pPr>
        <w:spacing w:line="276" w:lineRule="auto"/>
        <w:ind w:firstLine="708"/>
        <w:jc w:val="both"/>
        <w:rPr>
          <w:rFonts w:ascii="Arial" w:hAnsi="Arial" w:cs="Arial"/>
          <w:color w:val="000000" w:themeColor="text1"/>
        </w:rPr>
      </w:pPr>
      <w:r w:rsidRPr="00552A54">
        <w:rPr>
          <w:rFonts w:ascii="Arial" w:hAnsi="Arial" w:cs="Arial"/>
          <w:color w:val="000000" w:themeColor="text1"/>
        </w:rPr>
        <w:t>De todos modos, esto no significa, necesariamente, que el criterio de una u otra tenga prevalencia sobre la otra, ya que se trata de opiniones emitidas a título de concepto, pese a que entre las entidades exista jerarquía, o de la naturaleza y competencias que se prediquen de una y otra. Incluso, aun cuando los jueces interpreten con autoridad el sentido de la disposición normativa, el concepto emitido por la entidad no deja de ser un concepto y no adquiere efectos vinculantes, así coincida con el de la autoridad judicial, pues, en esa hipótesis, lo que vincula es la decisión del juez, no el concepto de la entidad que ejerció la función consultiva, pues, como se viene diciendo, dicha competencia se enmarca en el artículo 28 de la Ley 1437 de 2011. Así pues, como lo establece esta forma, los conceptos “no serán de obligatorio cumplimiento o ejecución”. Por lo anterior, esta autoridad administrativa, no cuenta con competencia para dirimir un conflicto entre los actores dentro del sistema de compra pública, a quienes tales disputas solo pueden ser resueltas por el juez competente según corresponda.</w:t>
      </w:r>
    </w:p>
    <w:p w14:paraId="7C40F97D" w14:textId="77777777" w:rsidR="00E1685B" w:rsidRPr="00552A54" w:rsidRDefault="00E1685B" w:rsidP="00E1685B">
      <w:pPr>
        <w:spacing w:line="276" w:lineRule="auto"/>
        <w:ind w:firstLine="708"/>
        <w:jc w:val="both"/>
        <w:rPr>
          <w:rFonts w:ascii="Arial" w:hAnsi="Arial" w:cs="Arial"/>
          <w:color w:val="000000" w:themeColor="text1"/>
        </w:rPr>
      </w:pPr>
    </w:p>
    <w:p w14:paraId="63B01D5B" w14:textId="77777777" w:rsidR="00E1685B" w:rsidRPr="00552A54" w:rsidRDefault="00E1685B" w:rsidP="00E1685B">
      <w:pPr>
        <w:tabs>
          <w:tab w:val="left" w:pos="426"/>
        </w:tabs>
        <w:rPr>
          <w:rFonts w:ascii="Arial" w:eastAsia="Calibri" w:hAnsi="Arial" w:cs="Arial"/>
          <w:b/>
          <w:bCs/>
          <w:color w:val="000000" w:themeColor="text1"/>
        </w:rPr>
      </w:pPr>
      <w:r w:rsidRPr="00552A54">
        <w:rPr>
          <w:rFonts w:ascii="Arial" w:hAnsi="Arial" w:cs="Arial"/>
          <w:b/>
          <w:bCs/>
          <w:color w:val="000000" w:themeColor="text1"/>
          <w:lang w:eastAsia="es-CO"/>
        </w:rPr>
        <w:t>2.5</w:t>
      </w:r>
      <w:r w:rsidRPr="00552A54">
        <w:rPr>
          <w:rFonts w:ascii="Arial" w:hAnsi="Arial" w:cs="Arial"/>
          <w:color w:val="000000" w:themeColor="text1"/>
          <w:lang w:eastAsia="es-CO"/>
        </w:rPr>
        <w:t xml:space="preserve"> </w:t>
      </w:r>
      <w:r w:rsidRPr="00552A54">
        <w:rPr>
          <w:rFonts w:ascii="Arial" w:eastAsia="Calibri" w:hAnsi="Arial" w:cs="Arial"/>
          <w:b/>
          <w:bCs/>
          <w:color w:val="000000" w:themeColor="text1"/>
        </w:rPr>
        <w:t>El principio de “arreglo directo” en la contratación estatal y las fórmulas para su aplicación</w:t>
      </w:r>
    </w:p>
    <w:p w14:paraId="76630A17" w14:textId="77777777" w:rsidR="00E1685B" w:rsidRPr="00552A54" w:rsidRDefault="00E1685B" w:rsidP="00E1685B">
      <w:pPr>
        <w:tabs>
          <w:tab w:val="left" w:pos="426"/>
        </w:tabs>
        <w:rPr>
          <w:rFonts w:ascii="Arial" w:eastAsia="Calibri" w:hAnsi="Arial" w:cs="Arial"/>
          <w:b/>
          <w:bCs/>
          <w:color w:val="000000" w:themeColor="text1"/>
        </w:rPr>
      </w:pPr>
    </w:p>
    <w:p w14:paraId="508712FC" w14:textId="77777777" w:rsidR="00E1685B" w:rsidRPr="00552A54" w:rsidRDefault="00E1685B" w:rsidP="00E1685B">
      <w:pPr>
        <w:pStyle w:val="NormalWeb"/>
        <w:shd w:val="clear" w:color="auto" w:fill="FFFFFF"/>
        <w:spacing w:before="0" w:beforeAutospacing="0" w:after="120" w:afterAutospacing="0"/>
        <w:jc w:val="both"/>
        <w:rPr>
          <w:rFonts w:ascii="Arial" w:hAnsi="Arial" w:cs="Arial"/>
          <w:color w:val="000000" w:themeColor="text1"/>
          <w:sz w:val="22"/>
          <w:szCs w:val="22"/>
          <w:lang w:eastAsia="es-ES_tradnl"/>
        </w:rPr>
      </w:pPr>
      <w:bookmarkStart w:id="18" w:name="_Hlk82570391"/>
      <w:r w:rsidRPr="00552A54">
        <w:rPr>
          <w:rFonts w:ascii="Arial" w:hAnsi="Arial" w:cs="Arial"/>
          <w:color w:val="000000" w:themeColor="text1"/>
          <w:sz w:val="22"/>
          <w:szCs w:val="22"/>
          <w:lang w:eastAsia="es-ES_tradnl"/>
        </w:rPr>
        <w:lastRenderedPageBreak/>
        <w:t>La Ley 80 de 1993 marcó un hito en la solución de controversias surgidas de la celebración, ejecución o liquidación del contrato estatal. A lo largo de su articulado, pretendió dotar al sistema de compra pública con las herramientas e instrumentos necesarios y suficientes para garantizar un escenario que permitiera una pronta, célere y eficiente solución de controversias. En esta medida, brindó espacios, oportunidades y alternativas diferentes a las tradicionales fórmulas jurisdiccionales o contenciosas.</w:t>
      </w:r>
    </w:p>
    <w:p w14:paraId="68F0267C" w14:textId="77777777" w:rsidR="00E1685B" w:rsidRPr="00552A54" w:rsidRDefault="00E1685B" w:rsidP="00E1685B">
      <w:pPr>
        <w:pStyle w:val="NormalWeb"/>
        <w:shd w:val="clear" w:color="auto" w:fill="FFFFFF"/>
        <w:spacing w:before="0" w:beforeAutospacing="0" w:after="120" w:afterAutospacing="0"/>
        <w:ind w:firstLine="709"/>
        <w:jc w:val="both"/>
        <w:rPr>
          <w:rFonts w:ascii="Arial" w:hAnsi="Arial" w:cs="Arial"/>
          <w:color w:val="000000" w:themeColor="text1"/>
          <w:sz w:val="22"/>
          <w:szCs w:val="22"/>
          <w:lang w:eastAsia="es-ES_tradnl"/>
        </w:rPr>
      </w:pPr>
      <w:r w:rsidRPr="00552A54">
        <w:rPr>
          <w:rFonts w:ascii="Arial" w:hAnsi="Arial" w:cs="Arial"/>
          <w:color w:val="000000" w:themeColor="text1"/>
          <w:sz w:val="22"/>
          <w:szCs w:val="22"/>
          <w:lang w:eastAsia="es-ES_tradnl"/>
        </w:rPr>
        <w:t>Lo anterior con fundamento en las tesis modernas que buscan descongestionar los despachos judiciales de todas aquellas materias respecto de los cuales las propias partes pueden arreglar directamente sus diferencias o sus conflictos. Por ello, como efecto trascendental del postulado de la autonomía de la voluntad, el cual caracteriza al contrato estatal</w:t>
      </w:r>
      <w:r w:rsidRPr="00552A54">
        <w:rPr>
          <w:rStyle w:val="Refdenotaalpie"/>
          <w:rFonts w:ascii="Arial" w:hAnsi="Arial" w:cs="Arial"/>
          <w:color w:val="000000" w:themeColor="text1"/>
          <w:sz w:val="22"/>
          <w:szCs w:val="22"/>
          <w:lang w:eastAsia="es-ES_tradnl"/>
        </w:rPr>
        <w:footnoteReference w:id="31"/>
      </w:r>
      <w:r w:rsidRPr="00552A54">
        <w:rPr>
          <w:rFonts w:ascii="Arial" w:hAnsi="Arial" w:cs="Arial"/>
          <w:color w:val="000000" w:themeColor="text1"/>
          <w:sz w:val="22"/>
          <w:szCs w:val="22"/>
          <w:lang w:eastAsia="es-ES_tradnl"/>
        </w:rPr>
        <w:t>, el EGCAP consagró una serie de mecanismos ágiles, sencillos, claros que se orientan a que las partes contratantes solucionen directamente tanto los problemas como las diferencias y discrepancias surgidas de la actividad contractual, evitando, en lo posible, las vías judiciales</w:t>
      </w:r>
      <w:r w:rsidRPr="00552A54">
        <w:rPr>
          <w:rStyle w:val="Refdenotaalpie"/>
          <w:rFonts w:ascii="Arial" w:eastAsia="Calibri" w:hAnsi="Arial" w:cs="Arial"/>
          <w:color w:val="000000" w:themeColor="text1"/>
          <w:sz w:val="22"/>
        </w:rPr>
        <w:footnoteReference w:id="32"/>
      </w:r>
      <w:r w:rsidRPr="00552A54">
        <w:rPr>
          <w:rFonts w:ascii="Arial" w:eastAsia="Calibri" w:hAnsi="Arial" w:cs="Arial"/>
          <w:color w:val="000000" w:themeColor="text1"/>
          <w:sz w:val="22"/>
        </w:rPr>
        <w:t>.</w:t>
      </w:r>
      <w:r w:rsidRPr="00552A54">
        <w:rPr>
          <w:rFonts w:ascii="Arial" w:hAnsi="Arial" w:cs="Arial"/>
          <w:color w:val="000000" w:themeColor="text1"/>
          <w:sz w:val="22"/>
          <w:szCs w:val="22"/>
          <w:lang w:eastAsia="es-ES_tradnl"/>
        </w:rPr>
        <w:t xml:space="preserve"> Estos mecanismos están desarrollados en la Ley 80 de 1993 para la transparencia, la celeridad, la agilidad, los menores costos y la justicia contractual.</w:t>
      </w:r>
    </w:p>
    <w:bookmarkEnd w:id="18"/>
    <w:p w14:paraId="60015430" w14:textId="77777777" w:rsidR="00E1685B" w:rsidRPr="00552A54" w:rsidRDefault="00E1685B" w:rsidP="00E1685B">
      <w:pPr>
        <w:pStyle w:val="NormalWeb"/>
        <w:shd w:val="clear" w:color="auto" w:fill="FFFFFF"/>
        <w:spacing w:before="0" w:beforeAutospacing="0" w:after="120" w:afterAutospacing="0"/>
        <w:ind w:firstLine="708"/>
        <w:jc w:val="both"/>
        <w:rPr>
          <w:rFonts w:ascii="Arial" w:hAnsi="Arial" w:cs="Arial"/>
          <w:color w:val="000000" w:themeColor="text1"/>
          <w:sz w:val="22"/>
          <w:szCs w:val="22"/>
          <w:lang w:eastAsia="es-ES_tradnl"/>
        </w:rPr>
      </w:pPr>
      <w:r w:rsidRPr="00552A54">
        <w:rPr>
          <w:rFonts w:ascii="Arial" w:hAnsi="Arial" w:cs="Arial"/>
          <w:color w:val="000000" w:themeColor="text1"/>
          <w:sz w:val="22"/>
          <w:szCs w:val="22"/>
          <w:lang w:eastAsia="es-ES_tradnl"/>
        </w:rPr>
        <w:t xml:space="preserve">Es así como el numeral 5 del artículo 25 de la Ley 80 de 1993, en desarrollo del principio de economía, establece que se deberán adoptar procedimientos que garanticen una pronta solución de las diferencias y controversias que se presenten con motivo de la celebración y ejecución del contrato estatal. Igualmente, el numeral 9 del artículo 4 </w:t>
      </w:r>
      <w:r w:rsidRPr="00552A54">
        <w:rPr>
          <w:rFonts w:ascii="Arial" w:hAnsi="Arial" w:cs="Arial"/>
          <w:i/>
          <w:iCs/>
          <w:color w:val="000000" w:themeColor="text1"/>
          <w:sz w:val="22"/>
          <w:szCs w:val="22"/>
          <w:lang w:eastAsia="es-ES_tradnl"/>
        </w:rPr>
        <w:t>ibidem</w:t>
      </w:r>
      <w:r w:rsidRPr="00552A54">
        <w:rPr>
          <w:rFonts w:ascii="Arial" w:hAnsi="Arial" w:cs="Arial"/>
          <w:color w:val="000000" w:themeColor="text1"/>
          <w:sz w:val="22"/>
          <w:szCs w:val="22"/>
          <w:lang w:eastAsia="es-ES_tradnl"/>
        </w:rPr>
        <w:t xml:space="preserve">, obliga a las entidades estatales a corregir los desajustes que pudieren presentarse y que afecten o generen mayor onerosidad al contratista y, la vez, permite el acuerdo de mecanismos y procedimientos pertinentes para precaver o solucionar rápida y eficazmente las diferencias o situaciones litigiosas. </w:t>
      </w:r>
    </w:p>
    <w:p w14:paraId="2E0799EB" w14:textId="77777777" w:rsidR="00E1685B" w:rsidRPr="00552A54" w:rsidRDefault="00E1685B" w:rsidP="00E1685B">
      <w:pPr>
        <w:pStyle w:val="NormalWeb"/>
        <w:shd w:val="clear" w:color="auto" w:fill="FFFFFF"/>
        <w:spacing w:before="0" w:beforeAutospacing="0" w:after="120" w:afterAutospacing="0"/>
        <w:ind w:firstLine="708"/>
        <w:jc w:val="both"/>
        <w:rPr>
          <w:rFonts w:ascii="Arial" w:hAnsi="Arial" w:cs="Arial"/>
          <w:color w:val="000000" w:themeColor="text1"/>
          <w:sz w:val="22"/>
          <w:szCs w:val="22"/>
          <w:lang w:eastAsia="es-ES_tradnl"/>
        </w:rPr>
      </w:pPr>
      <w:r w:rsidRPr="00552A54">
        <w:rPr>
          <w:rFonts w:ascii="Arial" w:hAnsi="Arial" w:cs="Arial"/>
          <w:color w:val="000000" w:themeColor="text1"/>
          <w:sz w:val="22"/>
          <w:szCs w:val="22"/>
          <w:lang w:eastAsia="es-ES_tradnl"/>
        </w:rPr>
        <w:t>En similar sentido, el inciso primero del artículo 27 del EGCAP dispone que ante la afectación del equilibrio de la ecuación contractual por causas no imputables a quien resulte afectado por él, las partes adoptarán, en el menor tiempo posible, las medidas necesarias para su restablecimiento. De otro lado, si en la ejecución o desarrollo del contrato o a su terminación e incluso en la etapa de liquidación se presentan conflictos o divergencias, prioritariamente las partes son quienes pueden solucionarlos directamente a través de mecanismos contemplados en diferentes normas legales tales como la transacción</w:t>
      </w:r>
      <w:r w:rsidRPr="00552A54">
        <w:rPr>
          <w:rStyle w:val="Refdenotaalpie"/>
          <w:rFonts w:ascii="Arial" w:hAnsi="Arial" w:cs="Arial"/>
          <w:color w:val="000000" w:themeColor="text1"/>
          <w:sz w:val="22"/>
          <w:szCs w:val="22"/>
          <w:lang w:eastAsia="es-ES_tradnl"/>
        </w:rPr>
        <w:footnoteReference w:id="33"/>
      </w:r>
      <w:r w:rsidRPr="00552A54">
        <w:rPr>
          <w:rFonts w:ascii="Arial" w:hAnsi="Arial" w:cs="Arial"/>
          <w:color w:val="000000" w:themeColor="text1"/>
          <w:sz w:val="22"/>
          <w:szCs w:val="22"/>
          <w:lang w:eastAsia="es-ES_tradnl"/>
        </w:rPr>
        <w:t xml:space="preserve"> y la conciliación</w:t>
      </w:r>
      <w:r w:rsidRPr="00552A54">
        <w:rPr>
          <w:rStyle w:val="Refdenotaalpie"/>
          <w:rFonts w:ascii="Arial" w:hAnsi="Arial" w:cs="Arial"/>
          <w:color w:val="000000" w:themeColor="text1"/>
          <w:sz w:val="22"/>
          <w:szCs w:val="22"/>
          <w:lang w:eastAsia="es-ES_tradnl"/>
        </w:rPr>
        <w:footnoteReference w:id="34"/>
      </w:r>
      <w:r w:rsidRPr="00552A54">
        <w:rPr>
          <w:rFonts w:ascii="Arial" w:hAnsi="Arial" w:cs="Arial"/>
          <w:color w:val="000000" w:themeColor="text1"/>
          <w:sz w:val="22"/>
          <w:szCs w:val="22"/>
          <w:lang w:eastAsia="es-ES_tradnl"/>
        </w:rPr>
        <w:t>.</w:t>
      </w:r>
    </w:p>
    <w:p w14:paraId="74A89619" w14:textId="77777777" w:rsidR="00E1685B" w:rsidRPr="00552A54" w:rsidRDefault="00E1685B" w:rsidP="00E1685B">
      <w:pPr>
        <w:pStyle w:val="NormalWeb"/>
        <w:shd w:val="clear" w:color="auto" w:fill="FFFFFF"/>
        <w:spacing w:before="0" w:beforeAutospacing="0" w:after="120" w:afterAutospacing="0"/>
        <w:ind w:firstLine="708"/>
        <w:jc w:val="both"/>
        <w:rPr>
          <w:rFonts w:ascii="Arial" w:hAnsi="Arial" w:cs="Arial"/>
          <w:color w:val="000000" w:themeColor="text1"/>
          <w:sz w:val="22"/>
          <w:szCs w:val="22"/>
          <w:lang w:eastAsia="es-ES_tradnl"/>
        </w:rPr>
      </w:pPr>
      <w:r w:rsidRPr="00552A54">
        <w:rPr>
          <w:rFonts w:ascii="Arial" w:hAnsi="Arial" w:cs="Arial"/>
          <w:color w:val="000000" w:themeColor="text1"/>
          <w:sz w:val="22"/>
          <w:szCs w:val="22"/>
          <w:lang w:eastAsia="es-ES_tradnl"/>
        </w:rPr>
        <w:lastRenderedPageBreak/>
        <w:t xml:space="preserve">Las normas mencionadas del EGCAP a título de ejemplo y los citados mecanismos autocompositivos consagrados en la ley evidencian la intención del legislador de promover la solución de controversias directamente por las partes del contrato, sin necesidad de la intervención del aparato jurisdiccional. Esto implicaría no solo la optimización en el gasto de los recursos públicos derivada de la mayor agilidad y celeridad que caracteriza los mecanismos alternativos de solución de conflictos -MASC- sino una mayor descongestión del sistema judicial. </w:t>
      </w:r>
    </w:p>
    <w:p w14:paraId="02933319" w14:textId="77777777" w:rsidR="00E1685B" w:rsidRPr="00552A54" w:rsidRDefault="00E1685B" w:rsidP="00E1685B">
      <w:pPr>
        <w:pStyle w:val="NormalWeb"/>
        <w:shd w:val="clear" w:color="auto" w:fill="FFFFFF"/>
        <w:spacing w:before="0" w:beforeAutospacing="0" w:after="0" w:afterAutospacing="0"/>
        <w:ind w:firstLine="708"/>
        <w:jc w:val="both"/>
        <w:rPr>
          <w:rFonts w:ascii="Arial" w:hAnsi="Arial" w:cs="Arial"/>
          <w:color w:val="000000" w:themeColor="text1"/>
          <w:sz w:val="22"/>
          <w:szCs w:val="22"/>
          <w:lang w:eastAsia="es-ES_tradnl"/>
        </w:rPr>
      </w:pPr>
      <w:r w:rsidRPr="00552A54">
        <w:rPr>
          <w:rFonts w:ascii="Arial" w:hAnsi="Arial" w:cs="Arial"/>
          <w:color w:val="000000" w:themeColor="text1"/>
          <w:sz w:val="22"/>
          <w:szCs w:val="22"/>
          <w:lang w:eastAsia="es-ES_tradnl"/>
        </w:rPr>
        <w:t>De lo anterior surge la noción del principio de arreglo directo de controversias, conforme al cual, durante el desarrollo de todo el proceso contractual, esto es, en sus etapas preparativas, de ejecución y liquidación, los distintos partícipes –oferentes o contratantes, según el caso– deberán preferir, siempre que ello sea posible, las fórmulas e instrumentos que el ordenamiento jurídico ha dispuesto para que solucionen directamente sus discrepancias. El adjetivo “directo” atribuible al arreglo, hace referencia a que la controversia debería ser solucionada entre las partes directamente involucradas o interesadas en la solución, o, dicho de otra manera, las que podrían resultar directa y principalmente afectadas por la solución lograda. Este principio</w:t>
      </w:r>
      <w:r w:rsidRPr="00552A54">
        <w:rPr>
          <w:rStyle w:val="Refdenotaalpie"/>
          <w:rFonts w:ascii="Arial" w:hAnsi="Arial" w:cs="Arial"/>
          <w:color w:val="000000" w:themeColor="text1"/>
          <w:sz w:val="22"/>
          <w:szCs w:val="22"/>
          <w:lang w:eastAsia="es-ES_tradnl"/>
        </w:rPr>
        <w:footnoteReference w:id="35"/>
      </w:r>
      <w:r w:rsidRPr="00552A54">
        <w:rPr>
          <w:rFonts w:ascii="Arial" w:hAnsi="Arial" w:cs="Arial"/>
          <w:color w:val="000000" w:themeColor="text1"/>
          <w:sz w:val="22"/>
          <w:szCs w:val="22"/>
          <w:lang w:eastAsia="es-ES_tradnl"/>
        </w:rPr>
        <w:t xml:space="preserve"> ha sido reconocido por la jurisprudencia de la Corte Constitucional en los siguientes términos: </w:t>
      </w:r>
    </w:p>
    <w:p w14:paraId="641BFCDA" w14:textId="77777777" w:rsidR="00E1685B" w:rsidRPr="00552A54" w:rsidRDefault="00E1685B" w:rsidP="00E1685B">
      <w:pPr>
        <w:pStyle w:val="NormalWeb"/>
        <w:shd w:val="clear" w:color="auto" w:fill="FFFFFF"/>
        <w:spacing w:before="0" w:beforeAutospacing="0" w:after="0" w:afterAutospacing="0"/>
        <w:ind w:firstLine="708"/>
        <w:jc w:val="both"/>
        <w:rPr>
          <w:rFonts w:ascii="Arial" w:hAnsi="Arial" w:cs="Arial"/>
          <w:color w:val="000000" w:themeColor="text1"/>
          <w:sz w:val="22"/>
          <w:szCs w:val="22"/>
          <w:lang w:eastAsia="es-ES_tradnl"/>
        </w:rPr>
      </w:pPr>
    </w:p>
    <w:p w14:paraId="20C02EEF" w14:textId="77777777" w:rsidR="00E1685B" w:rsidRPr="00552A54" w:rsidRDefault="00E1685B" w:rsidP="00E1685B">
      <w:pPr>
        <w:pStyle w:val="NormalWeb"/>
        <w:shd w:val="clear" w:color="auto" w:fill="FFFFFF"/>
        <w:spacing w:before="0" w:beforeAutospacing="0" w:after="120" w:afterAutospacing="0"/>
        <w:ind w:left="709" w:right="709"/>
        <w:jc w:val="both"/>
        <w:rPr>
          <w:rFonts w:ascii="Arial" w:hAnsi="Arial" w:cs="Arial"/>
          <w:color w:val="000000" w:themeColor="text1"/>
          <w:sz w:val="21"/>
          <w:szCs w:val="21"/>
          <w:lang w:eastAsia="es-ES_tradnl"/>
        </w:rPr>
      </w:pPr>
      <w:r w:rsidRPr="00552A54">
        <w:rPr>
          <w:rFonts w:ascii="Arial" w:hAnsi="Arial" w:cs="Arial"/>
          <w:color w:val="000000" w:themeColor="text1"/>
          <w:sz w:val="21"/>
          <w:szCs w:val="21"/>
          <w:lang w:eastAsia="es-ES_tradnl"/>
        </w:rPr>
        <w:t xml:space="preserve">El principio de arreglo directo constituye uno de los pilares fundamentales bajo los cuales se edifica el Estatuto de la Contratación Estatal o Administrativa. Su propósito consiste en someter las controversias o divergencias que se presentan en la ejecución y desarrollo de la actividad contractual a la solución de manera rápida, inmediatez y directa de las partes. </w:t>
      </w:r>
    </w:p>
    <w:p w14:paraId="07D55B59" w14:textId="77777777" w:rsidR="00E1685B" w:rsidRPr="00552A54" w:rsidRDefault="00E1685B" w:rsidP="00E1685B">
      <w:pPr>
        <w:spacing w:after="120"/>
        <w:ind w:left="709" w:right="709"/>
        <w:jc w:val="both"/>
        <w:rPr>
          <w:rFonts w:ascii="Arial" w:hAnsi="Arial" w:cs="Arial"/>
          <w:b/>
          <w:bCs/>
          <w:color w:val="000000" w:themeColor="text1"/>
          <w:sz w:val="21"/>
          <w:szCs w:val="21"/>
        </w:rPr>
      </w:pPr>
      <w:r w:rsidRPr="00552A54">
        <w:rPr>
          <w:rFonts w:ascii="Arial" w:hAnsi="Arial" w:cs="Arial"/>
          <w:color w:val="000000" w:themeColor="text1"/>
          <w:sz w:val="21"/>
          <w:szCs w:val="21"/>
        </w:rPr>
        <w:t>[…] El estatuto […] relaciona el principio del arreglo directo con los principios de economía y de garantía del patrimonio económico de los contratistas. En relación con el primero de ellos, al reconocer que la adopción de mecanismos para consolidar la pronta solución de controversias, permite indirectamente velar por una recta y prudente administración de los recursos públicos y evitar el riesgo que envuelve una solución procesal, especialmente, como lo reconoce la doctrina, por las demoras que ella comporta y “por el peligro de la equivocación conceptual o de error en la valoración de la prueba”. Y frente al segundo, al disponer que uno de los mecanismos para preservar el equilibro de la ecuación económica financiera, es a través de la adopción de herramientas legales y contractuales que hagan efectivas las medidas necesarias para salvaguardar el restablecimiento de las partes, en el menor tiempo posible. </w:t>
      </w:r>
    </w:p>
    <w:p w14:paraId="1F1E149D" w14:textId="77777777" w:rsidR="00E1685B" w:rsidRPr="00552A54" w:rsidRDefault="00E1685B" w:rsidP="00E1685B">
      <w:pPr>
        <w:ind w:left="708" w:right="709"/>
        <w:jc w:val="both"/>
        <w:rPr>
          <w:rFonts w:ascii="Arial" w:hAnsi="Arial" w:cs="Arial"/>
          <w:b/>
          <w:bCs/>
          <w:color w:val="000000" w:themeColor="text1"/>
          <w:sz w:val="21"/>
          <w:szCs w:val="21"/>
        </w:rPr>
      </w:pPr>
      <w:r w:rsidRPr="00552A54">
        <w:rPr>
          <w:rFonts w:ascii="Arial" w:hAnsi="Arial" w:cs="Arial"/>
          <w:color w:val="000000" w:themeColor="text1"/>
          <w:sz w:val="21"/>
          <w:szCs w:val="21"/>
        </w:rPr>
        <w:lastRenderedPageBreak/>
        <w:t>Así las cosas, la exigencia de acceder a una solución rápida y ágil de las controversias que se derivan de la ejecución de un contrato estatal, no corresponde a un simple deber social carente de un vínculo personal que lo haga exigible, pues en realidad se trata de un derecho de los contratistas como de una obligación de las entidades estatales destinado a perpetrar el logro de algunos de los fines reconocidos en la Constitución, entre ellos, se destacan, velar por la eficacia, celeridad, responsabilidad y economía en la prestación y suministro de los bienes y servicios que se le encomiendan a la administración pública.</w:t>
      </w:r>
      <w:r w:rsidRPr="00552A54">
        <w:rPr>
          <w:rStyle w:val="Refdenotaalpie"/>
          <w:rFonts w:ascii="Arial" w:hAnsi="Arial" w:cs="Arial"/>
          <w:color w:val="000000" w:themeColor="text1"/>
          <w:sz w:val="21"/>
          <w:szCs w:val="21"/>
        </w:rPr>
        <w:footnoteReference w:id="36"/>
      </w:r>
    </w:p>
    <w:p w14:paraId="6009961D" w14:textId="77777777" w:rsidR="00E1685B" w:rsidRPr="00552A54" w:rsidRDefault="00E1685B" w:rsidP="00E1685B">
      <w:pPr>
        <w:pStyle w:val="NormalWeb"/>
        <w:shd w:val="clear" w:color="auto" w:fill="FFFFFF"/>
        <w:spacing w:before="0" w:beforeAutospacing="0" w:after="0" w:afterAutospacing="0"/>
        <w:ind w:firstLine="708"/>
        <w:jc w:val="both"/>
        <w:rPr>
          <w:rFonts w:ascii="Arial" w:hAnsi="Arial" w:cs="Arial"/>
          <w:color w:val="000000" w:themeColor="text1"/>
          <w:sz w:val="22"/>
          <w:szCs w:val="22"/>
          <w:lang w:eastAsia="es-ES_tradnl"/>
        </w:rPr>
      </w:pPr>
    </w:p>
    <w:p w14:paraId="6AD0B086" w14:textId="77777777" w:rsidR="00E1685B" w:rsidRPr="00552A54" w:rsidRDefault="00E1685B" w:rsidP="00E1685B">
      <w:pPr>
        <w:pStyle w:val="NormalWeb"/>
        <w:shd w:val="clear" w:color="auto" w:fill="FFFFFF"/>
        <w:spacing w:before="0" w:beforeAutospacing="0" w:after="120" w:afterAutospacing="0"/>
        <w:ind w:firstLine="709"/>
        <w:jc w:val="both"/>
        <w:rPr>
          <w:rFonts w:ascii="Arial" w:hAnsi="Arial" w:cs="Arial"/>
          <w:color w:val="000000" w:themeColor="text1"/>
          <w:sz w:val="22"/>
          <w:szCs w:val="22"/>
          <w:lang w:eastAsia="es-ES_tradnl"/>
        </w:rPr>
      </w:pPr>
      <w:r w:rsidRPr="00552A54">
        <w:rPr>
          <w:rFonts w:ascii="Arial" w:hAnsi="Arial" w:cs="Arial"/>
          <w:color w:val="000000" w:themeColor="text1"/>
          <w:sz w:val="22"/>
          <w:szCs w:val="22"/>
          <w:lang w:eastAsia="es-ES_tradnl"/>
        </w:rPr>
        <w:t xml:space="preserve">En tal sentido, el arreglo directo de las controversias surgidas dentro del contexto de la contratación estatal, más que una simple opción para las entidades públicas y contratistas, resulta ser un deber que tanto aquellas como estos deben cumplir al momento de saldar sus diferencias. Así, dicho deber no se limita a la simple formalización de un procedimiento o al establecimiento de trámites vacuos que solo pretenden un arreglo en apariencia, sino que debe estar animado de una real intención de los participantes de solucionar directamente sus controversias y de precaver eventuales litigios. </w:t>
      </w:r>
    </w:p>
    <w:p w14:paraId="6310E449" w14:textId="77777777" w:rsidR="00E1685B" w:rsidRPr="00552A54" w:rsidRDefault="00E1685B" w:rsidP="00E1685B">
      <w:pPr>
        <w:pStyle w:val="NormalWeb"/>
        <w:shd w:val="clear" w:color="auto" w:fill="FFFFFF"/>
        <w:spacing w:before="0" w:beforeAutospacing="0" w:after="120" w:afterAutospacing="0"/>
        <w:ind w:firstLine="709"/>
        <w:jc w:val="both"/>
        <w:rPr>
          <w:rFonts w:ascii="Arial" w:hAnsi="Arial" w:cs="Arial"/>
          <w:color w:val="000000" w:themeColor="text1"/>
          <w:sz w:val="22"/>
          <w:szCs w:val="22"/>
          <w:lang w:eastAsia="es-ES_tradnl"/>
        </w:rPr>
      </w:pPr>
      <w:r w:rsidRPr="00552A54">
        <w:rPr>
          <w:rFonts w:ascii="Arial" w:hAnsi="Arial" w:cs="Arial"/>
          <w:color w:val="000000" w:themeColor="text1"/>
          <w:sz w:val="22"/>
          <w:szCs w:val="22"/>
          <w:lang w:eastAsia="es-ES_tradnl"/>
        </w:rPr>
        <w:t xml:space="preserve">Lo anterior, empero, debe comprenderse en el sentido que el deber de las entidades públicas y contratistas se limita al intento real de solucionar sus controversias de manera directa, mas no a la solución efectiva. En otros términos, no es obligación de las entidades y contratistas el lograr un acuerdo o solución a sus divergencias, por cuanto este tipo de mecanismos están dotados de un importante sustrato voluntarista que permite que las partes involucradas, bien logren la solución pretendida o, por el contrario, decidan no hacerlo, siempre, eso sí, dejando a salvo la garantía de los principios que rigen la función administrativa y que limitan, por ende, el ejercicio de la autonomía de la voluntad. </w:t>
      </w:r>
    </w:p>
    <w:p w14:paraId="1A12BC08" w14:textId="77777777" w:rsidR="00E1685B" w:rsidRPr="00552A54" w:rsidRDefault="00E1685B" w:rsidP="00E1685B">
      <w:pPr>
        <w:pStyle w:val="NormalWeb"/>
        <w:shd w:val="clear" w:color="auto" w:fill="FFFFFF"/>
        <w:spacing w:before="0" w:beforeAutospacing="0" w:after="120" w:afterAutospacing="0"/>
        <w:ind w:firstLine="709"/>
        <w:jc w:val="both"/>
        <w:rPr>
          <w:rFonts w:ascii="Arial" w:hAnsi="Arial" w:cs="Arial"/>
          <w:color w:val="000000" w:themeColor="text1"/>
          <w:sz w:val="22"/>
          <w:szCs w:val="22"/>
          <w:lang w:eastAsia="es-ES_tradnl"/>
        </w:rPr>
      </w:pPr>
      <w:r w:rsidRPr="00552A54">
        <w:rPr>
          <w:rFonts w:ascii="Arial" w:hAnsi="Arial" w:cs="Arial"/>
          <w:color w:val="000000" w:themeColor="text1"/>
          <w:sz w:val="22"/>
          <w:szCs w:val="22"/>
          <w:lang w:eastAsia="es-ES_tradnl"/>
        </w:rPr>
        <w:t xml:space="preserve">Ahora bien, debe recordarse que los Mecanismos Alternativos de Solución de Controversias no se limitan a formas de arreglo directo, pues existen fórmulas heterocompositivas, también alternativas al proceso judicial, que implican la participación de terceros distintos a las partes directamente involucradas a los que se les dota de cierto poder decisorio, tal y como sucede, por ejemplo, con el proceso arbitral. </w:t>
      </w:r>
    </w:p>
    <w:p w14:paraId="5BC44DE1" w14:textId="77777777" w:rsidR="00E1685B" w:rsidRPr="00552A54" w:rsidRDefault="00E1685B" w:rsidP="00E1685B">
      <w:pPr>
        <w:pStyle w:val="NormalWeb"/>
        <w:shd w:val="clear" w:color="auto" w:fill="FFFFFF"/>
        <w:spacing w:before="0" w:beforeAutospacing="0" w:after="120" w:afterAutospacing="0"/>
        <w:ind w:firstLine="709"/>
        <w:jc w:val="both"/>
        <w:rPr>
          <w:rFonts w:ascii="Arial" w:hAnsi="Arial" w:cs="Arial"/>
          <w:color w:val="000000" w:themeColor="text1"/>
          <w:sz w:val="22"/>
          <w:szCs w:val="22"/>
          <w:lang w:eastAsia="es-ES_tradnl"/>
        </w:rPr>
      </w:pPr>
      <w:r w:rsidRPr="00552A54">
        <w:rPr>
          <w:rFonts w:ascii="Arial" w:hAnsi="Arial" w:cs="Arial"/>
          <w:color w:val="000000" w:themeColor="text1"/>
          <w:sz w:val="22"/>
          <w:szCs w:val="22"/>
          <w:lang w:eastAsia="es-ES_tradnl"/>
        </w:rPr>
        <w:t>Dentro de las modalidades que el ordenamiento normativo permite como fórmulas de arreglo directo controversias, se destacan, por ser incluidas dentro de la consulta que ahora se resuelve, al arreglo directo “propiamente dicho” y la transacción. Junto a estas, la conciliación extrajudicial y judicial también podría ser considerada como una forma aplicativa del principio de arreglo directo de controversias, sin perjuicio que dentro de ella se haga necesaria la participación de un tercero neutral y distinto a las partes directamente interesadas, siendo a estas últimas a quienes corresponde la configuración y logro del eventual acuerdo</w:t>
      </w:r>
      <w:r w:rsidRPr="00552A54">
        <w:rPr>
          <w:rStyle w:val="Refdenotaalpie"/>
          <w:rFonts w:ascii="Arial" w:hAnsi="Arial" w:cs="Arial"/>
          <w:color w:val="000000" w:themeColor="text1"/>
          <w:sz w:val="22"/>
          <w:szCs w:val="22"/>
          <w:lang w:eastAsia="es-ES_tradnl"/>
        </w:rPr>
        <w:footnoteReference w:id="37"/>
      </w:r>
      <w:r w:rsidRPr="00552A54">
        <w:rPr>
          <w:rFonts w:ascii="Arial" w:hAnsi="Arial" w:cs="Arial"/>
          <w:color w:val="000000" w:themeColor="text1"/>
          <w:sz w:val="22"/>
          <w:szCs w:val="22"/>
          <w:lang w:eastAsia="es-ES_tradnl"/>
        </w:rPr>
        <w:t xml:space="preserve">. En el mismo sentido, la amigable composición resulta ser otro mecanismo de arreglo directo de controversias, tal y como lo indicó la Corte Constitucional en la decisión que arriba se comentó. Además, su regulación y aplicación dentro del </w:t>
      </w:r>
      <w:r w:rsidRPr="00552A54">
        <w:rPr>
          <w:rFonts w:ascii="Arial" w:hAnsi="Arial" w:cs="Arial"/>
          <w:color w:val="000000" w:themeColor="text1"/>
          <w:sz w:val="22"/>
          <w:szCs w:val="22"/>
          <w:lang w:eastAsia="es-ES_tradnl"/>
        </w:rPr>
        <w:lastRenderedPageBreak/>
        <w:t>contexto administrativo, encuentra fundamento, principalmente, en el artículo 59 de la Ley 1563 de 2012</w:t>
      </w:r>
      <w:r w:rsidRPr="00552A54">
        <w:rPr>
          <w:rStyle w:val="Refdenotaalpie"/>
          <w:rFonts w:ascii="Arial" w:hAnsi="Arial" w:cs="Arial"/>
          <w:color w:val="000000" w:themeColor="text1"/>
          <w:sz w:val="22"/>
          <w:szCs w:val="22"/>
          <w:lang w:eastAsia="es-ES_tradnl"/>
        </w:rPr>
        <w:footnoteReference w:id="38"/>
      </w:r>
      <w:r w:rsidRPr="00552A54">
        <w:rPr>
          <w:rFonts w:ascii="Arial" w:hAnsi="Arial" w:cs="Arial"/>
          <w:color w:val="000000" w:themeColor="text1"/>
          <w:sz w:val="22"/>
          <w:szCs w:val="22"/>
          <w:lang w:eastAsia="es-ES_tradnl"/>
        </w:rPr>
        <w:t xml:space="preserve">. </w:t>
      </w:r>
    </w:p>
    <w:p w14:paraId="14EC9BD0" w14:textId="77777777" w:rsidR="00E1685B" w:rsidRPr="00552A54" w:rsidRDefault="00E1685B" w:rsidP="00E1685B">
      <w:pPr>
        <w:spacing w:after="120"/>
        <w:jc w:val="both"/>
        <w:rPr>
          <w:rFonts w:ascii="Arial" w:eastAsia="Calibri" w:hAnsi="Arial" w:cs="Arial"/>
          <w:color w:val="000000" w:themeColor="text1"/>
          <w:lang w:val="es-ES_tradnl"/>
        </w:rPr>
      </w:pPr>
      <w:r w:rsidRPr="00552A54">
        <w:rPr>
          <w:rFonts w:ascii="Arial" w:eastAsia="Calibri" w:hAnsi="Arial" w:cs="Arial"/>
          <w:color w:val="000000" w:themeColor="text1"/>
          <w:lang w:val="es-ES_tradnl"/>
        </w:rPr>
        <w:t xml:space="preserve">La transacción como uno de los mecanismos alternativos de resolución de conflictos de carácter </w:t>
      </w:r>
      <w:r w:rsidRPr="00552A54">
        <w:rPr>
          <w:rFonts w:ascii="Arial" w:eastAsia="Calibri" w:hAnsi="Arial" w:cs="Arial"/>
          <w:i/>
          <w:iCs/>
          <w:color w:val="000000" w:themeColor="text1"/>
          <w:lang w:val="es-ES_tradnl"/>
        </w:rPr>
        <w:t>autocompositivo,</w:t>
      </w:r>
      <w:r w:rsidRPr="00552A54">
        <w:rPr>
          <w:rFonts w:ascii="Arial" w:eastAsia="Calibri" w:hAnsi="Arial" w:cs="Arial"/>
          <w:color w:val="000000" w:themeColor="text1"/>
          <w:lang w:val="es-ES_tradnl"/>
        </w:rPr>
        <w:t xml:space="preserve"> las partes involucradas en una controversia acuerdan directamente la forma de resolverla, esto es, solucionan el conflicto por voluntad propia –efectuando concesiones recíprocas– y no por la imposición de un tercero. De ahí que la transacción revista los rasgos de un </w:t>
      </w:r>
      <w:r w:rsidRPr="00552A54">
        <w:rPr>
          <w:rFonts w:ascii="Arial" w:eastAsia="Calibri" w:hAnsi="Arial" w:cs="Arial"/>
          <w:i/>
          <w:iCs/>
          <w:color w:val="000000" w:themeColor="text1"/>
          <w:lang w:val="es-ES_tradnl"/>
        </w:rPr>
        <w:t>negocio jurídico</w:t>
      </w:r>
      <w:r w:rsidRPr="00552A54">
        <w:rPr>
          <w:rFonts w:ascii="Arial" w:eastAsia="Calibri" w:hAnsi="Arial" w:cs="Arial"/>
          <w:color w:val="000000" w:themeColor="text1"/>
          <w:lang w:val="es-ES_tradnl"/>
        </w:rPr>
        <w:t xml:space="preserve"> o </w:t>
      </w:r>
      <w:r w:rsidRPr="00552A54">
        <w:rPr>
          <w:rFonts w:ascii="Arial" w:eastAsia="Calibri" w:hAnsi="Arial" w:cs="Arial"/>
          <w:i/>
          <w:iCs/>
          <w:color w:val="000000" w:themeColor="text1"/>
          <w:lang w:val="es-ES_tradnl"/>
        </w:rPr>
        <w:t>contrato</w:t>
      </w:r>
      <w:r w:rsidRPr="00552A54">
        <w:rPr>
          <w:rFonts w:ascii="Arial" w:eastAsia="Calibri" w:hAnsi="Arial" w:cs="Arial"/>
          <w:color w:val="000000" w:themeColor="text1"/>
          <w:lang w:val="es-ES_tradnl"/>
        </w:rPr>
        <w:t>, pues es un acuerdo de voluntades para crear, modificar o extinguir derechos y obligaciones</w:t>
      </w:r>
      <w:r w:rsidRPr="00552A54">
        <w:rPr>
          <w:rStyle w:val="Refdenotaalpie"/>
          <w:rFonts w:ascii="Arial" w:eastAsia="Calibri" w:hAnsi="Arial" w:cs="Arial"/>
          <w:color w:val="000000" w:themeColor="text1"/>
          <w:lang w:val="es-ES_tradnl"/>
        </w:rPr>
        <w:footnoteReference w:id="39"/>
      </w:r>
      <w:r w:rsidRPr="00552A54">
        <w:rPr>
          <w:rFonts w:ascii="Arial" w:eastAsia="Calibri" w:hAnsi="Arial" w:cs="Arial"/>
          <w:color w:val="000000" w:themeColor="text1"/>
          <w:lang w:val="es-ES_tradnl"/>
        </w:rPr>
        <w:t xml:space="preserve">. Esto diferencia a la transacción, como se había dicho, de los mecanismos </w:t>
      </w:r>
      <w:r w:rsidRPr="00552A54">
        <w:rPr>
          <w:rFonts w:ascii="Arial" w:eastAsia="Calibri" w:hAnsi="Arial" w:cs="Arial"/>
          <w:i/>
          <w:iCs/>
          <w:color w:val="000000" w:themeColor="text1"/>
          <w:lang w:val="es-ES_tradnl"/>
        </w:rPr>
        <w:t>heterocompositivos</w:t>
      </w:r>
      <w:r w:rsidRPr="00552A54">
        <w:rPr>
          <w:rFonts w:ascii="Arial" w:eastAsia="Calibri" w:hAnsi="Arial" w:cs="Arial"/>
          <w:color w:val="000000" w:themeColor="text1"/>
          <w:lang w:val="es-ES_tradnl"/>
        </w:rPr>
        <w:t>, en los que un sujeto distinto a las partes decide con autoridad a cuál de ellas le asiste la razón.</w:t>
      </w:r>
    </w:p>
    <w:p w14:paraId="542243B1" w14:textId="77777777" w:rsidR="00E1685B" w:rsidRPr="00552A54" w:rsidRDefault="00E1685B" w:rsidP="00E1685B">
      <w:pPr>
        <w:spacing w:after="120"/>
        <w:ind w:firstLine="709"/>
        <w:jc w:val="both"/>
        <w:rPr>
          <w:rFonts w:ascii="Arial" w:eastAsia="Calibri" w:hAnsi="Arial" w:cs="Arial"/>
          <w:color w:val="000000" w:themeColor="text1"/>
          <w:lang w:val="es-ES_tradnl"/>
        </w:rPr>
      </w:pPr>
      <w:r w:rsidRPr="00552A54">
        <w:rPr>
          <w:rFonts w:ascii="Arial" w:eastAsia="Calibri" w:hAnsi="Arial" w:cs="Arial"/>
          <w:color w:val="000000" w:themeColor="text1"/>
          <w:lang w:val="es-ES_tradnl"/>
        </w:rPr>
        <w:t>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Solo procede sobre derechos inciertos y discutibles. ii) Las partes deben tener capacidad para disponer del objeto del negocio jurídico, lo que no obsta para que se otorgue poder mediante la celebración de un contrato de mandato. iii) No puede versar sobre materias prohibidas, como el estado civil de las personas, derechos ajenos o que no existen. iv) Únicamente surte efecto entre las partes. Además, el artículo 1625, numeral 3, del mismo Código prevé la transacción como uno de los modos de extinción de las obligaciones</w:t>
      </w:r>
      <w:r w:rsidRPr="00552A54">
        <w:rPr>
          <w:rStyle w:val="Refdenotaalpie"/>
          <w:rFonts w:ascii="Arial" w:eastAsia="Calibri" w:hAnsi="Arial" w:cs="Arial"/>
          <w:color w:val="000000" w:themeColor="text1"/>
          <w:lang w:val="es-ES_tradnl"/>
        </w:rPr>
        <w:footnoteReference w:id="40"/>
      </w:r>
      <w:r w:rsidRPr="00552A54">
        <w:rPr>
          <w:rFonts w:ascii="Arial" w:eastAsia="Calibri" w:hAnsi="Arial" w:cs="Arial"/>
          <w:color w:val="000000" w:themeColor="text1"/>
          <w:lang w:val="es-ES_tradnl"/>
        </w:rPr>
        <w:t>.</w:t>
      </w:r>
    </w:p>
    <w:p w14:paraId="418BC1EE" w14:textId="77777777" w:rsidR="00E1685B" w:rsidRDefault="00E1685B" w:rsidP="00E1685B">
      <w:pPr>
        <w:ind w:firstLine="709"/>
        <w:jc w:val="both"/>
        <w:rPr>
          <w:rFonts w:ascii="Arial" w:eastAsia="Calibri" w:hAnsi="Arial" w:cs="Arial"/>
          <w:color w:val="000000" w:themeColor="text1"/>
          <w:lang w:val="es-ES_tradnl"/>
        </w:rPr>
      </w:pPr>
      <w:r w:rsidRPr="00552A54">
        <w:rPr>
          <w:rFonts w:ascii="Arial" w:eastAsia="Calibri" w:hAnsi="Arial" w:cs="Arial"/>
          <w:color w:val="000000" w:themeColor="text1"/>
          <w:lang w:val="es-ES_tradnl"/>
        </w:rPr>
        <w:lastRenderedPageBreak/>
        <w:t>En consonancia, con lo antes dicho será la determinación jurídica de la forma de solucionar el asunto controvertido según la consideración particular que se dispongan sobre el tema a resolver dentro del contrato, siendo que si se trata del incumplimiento por parte de una entidad contratante, se tendrá que advertir según las regulaciones del respectivo instrumento contractual, si resulta obligatorio acudir a alguno de los mecanismos para la solución del conflicto, o incluso evaluarse si se trata de una obligación cierta e indiscutible para su cobro ejecutivo, lo cual solo podrá llevarse a cabo una vez se cumplan los requisitos para ello, lo  que deberá examinar el juez que por competencia legal corresponda.</w:t>
      </w:r>
    </w:p>
    <w:p w14:paraId="299B9F21" w14:textId="77777777" w:rsidR="00E1685B" w:rsidRPr="00552A54" w:rsidRDefault="00E1685B" w:rsidP="00E1685B">
      <w:pPr>
        <w:ind w:firstLine="709"/>
        <w:jc w:val="both"/>
        <w:rPr>
          <w:rFonts w:ascii="Arial" w:eastAsia="Calibri" w:hAnsi="Arial" w:cs="Arial"/>
          <w:color w:val="000000" w:themeColor="text1"/>
          <w:lang w:val="es-ES_tradnl"/>
        </w:rPr>
      </w:pPr>
    </w:p>
    <w:bookmarkEnd w:id="15"/>
    <w:p w14:paraId="52347C65" w14:textId="77777777" w:rsidR="00E1685B" w:rsidRPr="00552A54" w:rsidRDefault="00E1685B" w:rsidP="00E1685B">
      <w:pPr>
        <w:tabs>
          <w:tab w:val="left" w:pos="0"/>
        </w:tabs>
        <w:jc w:val="both"/>
        <w:rPr>
          <w:rFonts w:ascii="Arial" w:eastAsia="Calibri" w:hAnsi="Arial" w:cs="Arial"/>
          <w:b/>
          <w:color w:val="000000" w:themeColor="text1"/>
          <w:lang w:val="es-ES_tradnl"/>
        </w:rPr>
      </w:pPr>
      <w:r w:rsidRPr="00552A54">
        <w:rPr>
          <w:rFonts w:ascii="Arial" w:eastAsia="Calibri" w:hAnsi="Arial" w:cs="Arial"/>
          <w:b/>
          <w:color w:val="000000" w:themeColor="text1"/>
          <w:lang w:val="es-ES_tradnl"/>
        </w:rPr>
        <w:t>3. Respuesta</w:t>
      </w:r>
    </w:p>
    <w:p w14:paraId="42950C80" w14:textId="77777777" w:rsidR="00E1685B" w:rsidRPr="00552A54" w:rsidRDefault="00E1685B" w:rsidP="00E1685B">
      <w:pPr>
        <w:tabs>
          <w:tab w:val="left" w:pos="0"/>
        </w:tabs>
        <w:jc w:val="both"/>
        <w:rPr>
          <w:rFonts w:ascii="Arial" w:eastAsia="Calibri" w:hAnsi="Arial" w:cs="Arial"/>
          <w:color w:val="000000" w:themeColor="text1"/>
          <w:lang w:val="es-ES_tradnl"/>
        </w:rPr>
      </w:pPr>
    </w:p>
    <w:p w14:paraId="6B0D7439"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 xml:space="preserve">1. ¿Cuál es la normativa vigente que regula la posibilidad de que una entidad pública o comprador contrate con un proveedor o contratista que tenga dos contratos con la misma entidad, siempre y cuando involucren diferentes actividades o funciones? </w:t>
      </w:r>
    </w:p>
    <w:p w14:paraId="7E3093DB"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“2. ¿Existe alguna restricción específica en la normativa para la coordinación de múltiples contratos con la misma entidad en el ámbito de compras públicas?</w:t>
      </w:r>
    </w:p>
    <w:p w14:paraId="28A54128"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“3. ¿Cuáles son los fundamentos y criterios que se utilizan para evaluar la legalidad y de tener varios contratos con la misma entidad, particularmente cuando se trata de diferentes actividades o funciones?</w:t>
      </w:r>
    </w:p>
    <w:p w14:paraId="66C1541A"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“4. ¿Cuál es el proceso para garantizar que los contratos con la misma entidad no generen conflictos de interés o situaciones de competencia?</w:t>
      </w:r>
    </w:p>
    <w:p w14:paraId="00333B53" w14:textId="77777777" w:rsidR="006629D5" w:rsidRDefault="006629D5" w:rsidP="00E1685B">
      <w:pPr>
        <w:spacing w:after="120" w:line="276" w:lineRule="auto"/>
        <w:ind w:firstLine="708"/>
        <w:jc w:val="both"/>
        <w:rPr>
          <w:rFonts w:ascii="Arial" w:hAnsi="Arial" w:cs="Arial"/>
          <w:color w:val="000000" w:themeColor="text1"/>
          <w:lang w:eastAsia="es-CO"/>
        </w:rPr>
      </w:pPr>
    </w:p>
    <w:p w14:paraId="21C4489B" w14:textId="3323D1C5" w:rsidR="00E1685B" w:rsidRPr="00552A54" w:rsidRDefault="00E1685B" w:rsidP="00E1685B">
      <w:pPr>
        <w:spacing w:after="120" w:line="276" w:lineRule="auto"/>
        <w:ind w:firstLine="708"/>
        <w:jc w:val="both"/>
        <w:rPr>
          <w:rFonts w:ascii="Arial" w:hAnsi="Arial" w:cs="Arial"/>
          <w:color w:val="000000" w:themeColor="text1"/>
          <w:lang w:eastAsia="es-CO"/>
        </w:rPr>
      </w:pPr>
      <w:r>
        <w:rPr>
          <w:rFonts w:ascii="Arial" w:hAnsi="Arial" w:cs="Arial"/>
          <w:color w:val="000000" w:themeColor="text1"/>
          <w:lang w:eastAsia="es-CO"/>
        </w:rPr>
        <w:t>Sin perjuicio de todo lo antes indicado, frente a los interrogantes, en concreto se debe manifestar que l</w:t>
      </w:r>
      <w:r w:rsidRPr="00552A54">
        <w:rPr>
          <w:rFonts w:ascii="Arial" w:hAnsi="Arial" w:cs="Arial"/>
          <w:color w:val="000000" w:themeColor="text1"/>
          <w:lang w:eastAsia="es-CO"/>
        </w:rPr>
        <w:t>as inhabilidades e incompatibilidades constituyen restricciones o límites especiales a la capacidad para presentar ofertas y celebrar contratos estatales, las cuales están tipificadas en la ley, es decir, que deben satisfacer el principio de legalidad.</w:t>
      </w:r>
    </w:p>
    <w:p w14:paraId="02223003" w14:textId="77777777" w:rsidR="00E1685B" w:rsidRPr="00552A54" w:rsidRDefault="00E1685B" w:rsidP="00E1685B">
      <w:pPr>
        <w:spacing w:after="120" w:line="276" w:lineRule="auto"/>
        <w:ind w:firstLine="708"/>
        <w:jc w:val="both"/>
        <w:rPr>
          <w:rFonts w:ascii="Arial" w:hAnsi="Arial" w:cs="Arial"/>
          <w:color w:val="000000" w:themeColor="text1"/>
          <w:lang w:eastAsia="es-CO"/>
        </w:rPr>
      </w:pPr>
      <w:r w:rsidRPr="00552A54">
        <w:rPr>
          <w:rFonts w:ascii="Arial" w:hAnsi="Arial" w:cs="Arial"/>
          <w:color w:val="000000" w:themeColor="text1"/>
          <w:lang w:eastAsia="es-CO"/>
        </w:rPr>
        <w:t xml:space="preserve">Hecha esta claridad, cabe señalar que no existe inhabilidad, incompatibilidad o prohibición alguna de otra naturaleza para que una Entidad Estatal celebre dos o más contratos de prestación de servicios con una misma persona, así dichos contratos coexistan en el tiempo. Ello, por cuanto, como ya se señaló, las inhabilidades e incompatibilidades, al ser limitaciones a la capacidad contractual que afectan derechos como la libre concurrencia o la libertad de ejercicio de la profesión u oficio, es decir, al ser enunciados normativos gravosos, deben </w:t>
      </w:r>
      <w:r w:rsidRPr="00552A54">
        <w:rPr>
          <w:rFonts w:ascii="Arial" w:hAnsi="Arial" w:cs="Arial"/>
          <w:color w:val="000000" w:themeColor="text1"/>
          <w:lang w:eastAsia="es-CO"/>
        </w:rPr>
        <w:lastRenderedPageBreak/>
        <w:t>interpretarse de forma restrictiva. Esto supone que su aplicación no admite una interpretación amplia, extensiva o analógica.</w:t>
      </w:r>
    </w:p>
    <w:p w14:paraId="7498A46D" w14:textId="77777777" w:rsidR="00E1685B" w:rsidRPr="00771D2F" w:rsidRDefault="00E1685B" w:rsidP="00E1685B">
      <w:pPr>
        <w:spacing w:after="120" w:line="276" w:lineRule="auto"/>
        <w:ind w:firstLine="708"/>
        <w:jc w:val="both"/>
        <w:rPr>
          <w:rFonts w:ascii="Arial" w:hAnsi="Arial" w:cs="Arial"/>
          <w:color w:val="000000" w:themeColor="text1"/>
          <w:lang w:eastAsia="es-CO"/>
        </w:rPr>
      </w:pPr>
      <w:r w:rsidRPr="00552A54">
        <w:rPr>
          <w:rFonts w:ascii="Arial" w:hAnsi="Arial" w:cs="Arial"/>
          <w:color w:val="000000" w:themeColor="text1"/>
          <w:lang w:val="es-ES"/>
        </w:rPr>
        <w:t xml:space="preserve">Conforme a lo anterior, </w:t>
      </w:r>
      <w:r w:rsidRPr="00552A54">
        <w:rPr>
          <w:rFonts w:ascii="Arial" w:hAnsi="Arial" w:cs="Arial"/>
          <w:color w:val="000000" w:themeColor="text1"/>
          <w:lang w:eastAsia="es-CO"/>
        </w:rPr>
        <w:t>sin perjuicio del Plan de Austeridad del Gasto 2023 para los órganos que hacen parte del Presupuesto General de la Nación contenido en el Decreto 444 del 29 de marzo de 2023, en el que se dispuso en relación con la contratación de personal para la prestación de servicios profesionales y de apoyo a la gestión que las entidades deben realizar una revisión previa de las razones que justifiquen la contratación de personal para la prestación de servicios profesionales y de apoyo a la gestión. Esto, con el propósito de que, conforme con lo previsto en el artículo 32 de la Ley 80 de 1993 y el artículo 2.8.4.4.5. y siguientes del Decreto 1068 de 2015, solo se celebren los contratos que sean estrictamente necesarios para coadyuvar al cumplimiento de las funciones y fines de cada entidad, cuando dichas actividades no puedan realizarse con personal de planta o requieran conocimientos especializados.</w:t>
      </w:r>
    </w:p>
    <w:p w14:paraId="1EE8D26D" w14:textId="77777777" w:rsidR="00E1685B" w:rsidRPr="00552A54" w:rsidRDefault="00E1685B" w:rsidP="00E1685B">
      <w:pPr>
        <w:spacing w:after="120" w:line="276" w:lineRule="auto"/>
        <w:ind w:firstLine="708"/>
        <w:jc w:val="both"/>
        <w:rPr>
          <w:rFonts w:ascii="Arial" w:hAnsi="Arial" w:cs="Arial"/>
          <w:color w:val="000000" w:themeColor="text1"/>
          <w:sz w:val="20"/>
          <w:szCs w:val="20"/>
          <w:lang w:eastAsia="es-CO"/>
        </w:rPr>
      </w:pPr>
      <w:r w:rsidRPr="00552A54">
        <w:rPr>
          <w:rFonts w:ascii="Arial" w:hAnsi="Arial" w:cs="Arial"/>
          <w:color w:val="000000" w:themeColor="text1"/>
          <w:lang w:eastAsia="es-CO"/>
        </w:rPr>
        <w:t xml:space="preserve">Por otro lado, las Entidades Estatales deben ser diligentes en el análisis de las condiciones de ejecución del contrato de prestación de servicios, evaluando la complejidad y el alcance de las labores encomendadas al contratista, pues solo de esta manera pueden determinar razonablemente si el mismo contratista tiene la capacidad, no solo jurídica sino también técnica y económica, para mantener una relación </w:t>
      </w:r>
      <w:r>
        <w:rPr>
          <w:rFonts w:ascii="Arial" w:hAnsi="Arial" w:cs="Arial"/>
          <w:color w:val="000000" w:themeColor="text1"/>
          <w:lang w:eastAsia="es-CO"/>
        </w:rPr>
        <w:t xml:space="preserve">contractual simultanea </w:t>
      </w:r>
      <w:r w:rsidRPr="00552A54">
        <w:rPr>
          <w:rFonts w:ascii="Arial" w:hAnsi="Arial" w:cs="Arial"/>
          <w:color w:val="000000" w:themeColor="text1"/>
          <w:lang w:eastAsia="es-CO"/>
        </w:rPr>
        <w:t>al tiempo que se ejecuta el contrato estatal</w:t>
      </w:r>
      <w:r>
        <w:rPr>
          <w:rFonts w:ascii="Arial" w:hAnsi="Arial" w:cs="Arial"/>
          <w:color w:val="000000" w:themeColor="text1"/>
          <w:lang w:eastAsia="es-CO"/>
        </w:rPr>
        <w:t>, incluso con la misma entidad.</w:t>
      </w:r>
      <w:r w:rsidRPr="00552A54">
        <w:rPr>
          <w:rFonts w:ascii="Arial" w:hAnsi="Arial" w:cs="Arial"/>
          <w:color w:val="000000" w:themeColor="text1"/>
          <w:lang w:eastAsia="es-CO"/>
        </w:rPr>
        <w:t xml:space="preserve"> Si tales factores no se tienen en cuenta, existe el riesgo de que el contratista termine incumpliendo sus obligaciones, por la sobrecarga de actividades.</w:t>
      </w:r>
    </w:p>
    <w:p w14:paraId="64DD6E7F" w14:textId="77777777" w:rsidR="00E1685B" w:rsidRPr="00552A54" w:rsidRDefault="00E1685B" w:rsidP="00E1685B">
      <w:pPr>
        <w:ind w:right="709"/>
        <w:jc w:val="both"/>
        <w:rPr>
          <w:rFonts w:ascii="Arial" w:hAnsi="Arial" w:cs="Arial"/>
          <w:color w:val="000000" w:themeColor="text1"/>
          <w:sz w:val="20"/>
          <w:szCs w:val="20"/>
        </w:rPr>
      </w:pPr>
    </w:p>
    <w:p w14:paraId="1DE4E23E"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“6. ¿Qué papel desempeña ANCP - CCE en la resolución de conflictos entre proveedores o contratistas y entidades públicas en relación con contratos de compras públicas?</w:t>
      </w:r>
    </w:p>
    <w:p w14:paraId="70C831C6" w14:textId="77777777" w:rsidR="00E1685B" w:rsidRPr="00552A54" w:rsidRDefault="00E1685B" w:rsidP="00E1685B">
      <w:pPr>
        <w:tabs>
          <w:tab w:val="left" w:pos="709"/>
        </w:tabs>
        <w:spacing w:before="120" w:after="120" w:line="276" w:lineRule="auto"/>
        <w:jc w:val="both"/>
        <w:rPr>
          <w:rFonts w:ascii="Arial" w:hAnsi="Arial" w:cs="Arial"/>
          <w:color w:val="000000" w:themeColor="text1"/>
        </w:rPr>
      </w:pPr>
      <w:r w:rsidRPr="00552A54">
        <w:rPr>
          <w:rFonts w:ascii="Arial" w:hAnsi="Arial" w:cs="Arial"/>
          <w:color w:val="000000" w:themeColor="text1"/>
        </w:rPr>
        <w:t xml:space="preserve">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w:t>
      </w:r>
      <w:r w:rsidRPr="00552A54">
        <w:rPr>
          <w:rFonts w:ascii="Arial" w:hAnsi="Arial" w:cs="Arial"/>
          <w:color w:val="000000" w:themeColor="text1"/>
        </w:rPr>
        <w:lastRenderedPageBreak/>
        <w:t>partes o la persona que solicita la consulta, circunstancia que no descarta interpretaciones diferentes</w:t>
      </w:r>
      <w:r w:rsidRPr="00552A54">
        <w:rPr>
          <w:rFonts w:ascii="Arial" w:hAnsi="Arial" w:cs="Arial"/>
          <w:color w:val="000000" w:themeColor="text1"/>
          <w:vertAlign w:val="superscript"/>
        </w:rPr>
        <w:footnoteReference w:id="41"/>
      </w:r>
      <w:r w:rsidRPr="00552A54">
        <w:rPr>
          <w:rFonts w:ascii="Arial" w:hAnsi="Arial" w:cs="Arial"/>
          <w:color w:val="000000" w:themeColor="text1"/>
        </w:rPr>
        <w:t xml:space="preserve">. </w:t>
      </w:r>
    </w:p>
    <w:p w14:paraId="4B2A5D2F" w14:textId="77777777" w:rsidR="00E1685B" w:rsidRPr="00552A54" w:rsidRDefault="00E1685B" w:rsidP="00E1685B">
      <w:pPr>
        <w:spacing w:before="120" w:after="120" w:line="276" w:lineRule="auto"/>
        <w:ind w:firstLine="709"/>
        <w:jc w:val="both"/>
        <w:rPr>
          <w:rFonts w:ascii="Arial" w:hAnsi="Arial" w:cs="Arial"/>
          <w:color w:val="000000" w:themeColor="text1"/>
        </w:rPr>
      </w:pPr>
      <w:r w:rsidRPr="00552A54">
        <w:rPr>
          <w:rFonts w:ascii="Arial" w:hAnsi="Arial" w:cs="Arial"/>
          <w:color w:val="000000" w:themeColor="text1"/>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3345AF6A" w14:textId="77777777" w:rsidR="00E1685B" w:rsidRPr="00552A54" w:rsidRDefault="00E1685B" w:rsidP="00E1685B">
      <w:pPr>
        <w:spacing w:line="276" w:lineRule="auto"/>
        <w:ind w:firstLine="708"/>
        <w:jc w:val="both"/>
        <w:rPr>
          <w:rFonts w:ascii="Arial" w:hAnsi="Arial" w:cs="Arial"/>
          <w:color w:val="000000" w:themeColor="text1"/>
        </w:rPr>
      </w:pPr>
      <w:r w:rsidRPr="00552A54">
        <w:rPr>
          <w:rFonts w:ascii="Arial" w:hAnsi="Arial" w:cs="Arial"/>
          <w:color w:val="000000" w:themeColor="text1"/>
        </w:rPr>
        <w:t>De todos modos, esto no significa, necesariamente, que el criterio de una u otra tenga prevalencia sobre la otra, ya que se trata de opiniones emitidas a título de concepto, pese a que entre las entidades exista jerarquía, o de la naturaleza y competencias que se prediquen de una y otra. Incluso, aun cuando los jueces interpreten con autoridad el sentido de la disposición normativa, el concepto emitido por la entidad no deja de ser un concepto y no adquiere efectos vinculantes, así coincida con el de la autoridad judicial, pues, en esa hipótesis, lo que vincula es la decisión del juez, no el concepto de la entidad que ejerció la función consultiva, pues, como se viene diciendo, dicha competencia se enmarca en el artículo 28 de la Ley 1437 de 2011. Así pues, como lo establece esta forma, los conceptos “no serán de obligatorio cumplimiento o ejecución”. Por lo anterior, esta autoridad administrativa, no cuenta con competencia para dirimir un conflicto entre los actores dentro del sistema de compra pública, a quienes tales disputas solo pueden ser resueltas por el juez competente según corresponda.</w:t>
      </w:r>
    </w:p>
    <w:p w14:paraId="13673919"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5. ¿Qué medidas se pueden tomar cuando una entidad pública incumple sus obligaciones contractuales, como el pago de salarios y actividades cumplidas, y mantiene retenidos los pagos?.</w:t>
      </w:r>
    </w:p>
    <w:p w14:paraId="7A062169"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“7. ¿Cuáles son los pasos recomendados para un proveedor o contratista que enfrenta problemas con una entidad pública en el marco de contratos firmados y aceptados con una entidad pública?</w:t>
      </w:r>
    </w:p>
    <w:p w14:paraId="583CB53A"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8. ¿Existen mecanismos de mediación o arbitraje recomendados para resolver disputas entre proveedores o contratistas y entidades públicas en el ámbito de compras públicas?.</w:t>
      </w:r>
    </w:p>
    <w:p w14:paraId="2C01441E" w14:textId="77777777" w:rsidR="00E1685B" w:rsidRPr="00552A54" w:rsidRDefault="00E1685B" w:rsidP="00E1685B">
      <w:pPr>
        <w:ind w:left="709" w:right="709"/>
        <w:jc w:val="both"/>
        <w:rPr>
          <w:rFonts w:ascii="Arial" w:hAnsi="Arial" w:cs="Arial"/>
          <w:color w:val="000000" w:themeColor="text1"/>
          <w:sz w:val="20"/>
          <w:szCs w:val="20"/>
        </w:rPr>
      </w:pPr>
      <w:r w:rsidRPr="00552A54">
        <w:rPr>
          <w:rFonts w:ascii="Arial" w:hAnsi="Arial" w:cs="Arial"/>
          <w:color w:val="000000" w:themeColor="text1"/>
          <w:sz w:val="20"/>
          <w:szCs w:val="20"/>
        </w:rPr>
        <w:t>9. Que puede hacer un contratista que ha cumplido con las actividades contractuales planteadas y que no ha recibido el pago de sus honorarios laborales.</w:t>
      </w:r>
      <w:r>
        <w:rPr>
          <w:rFonts w:ascii="Arial" w:hAnsi="Arial" w:cs="Arial"/>
          <w:color w:val="000000" w:themeColor="text1"/>
          <w:sz w:val="20"/>
          <w:szCs w:val="20"/>
        </w:rPr>
        <w:t>”.</w:t>
      </w:r>
    </w:p>
    <w:p w14:paraId="479F08C4" w14:textId="77777777" w:rsidR="00E1685B" w:rsidRPr="00552A54" w:rsidRDefault="00E1685B" w:rsidP="00E1685B">
      <w:pPr>
        <w:spacing w:after="120"/>
        <w:ind w:firstLine="709"/>
        <w:jc w:val="both"/>
        <w:rPr>
          <w:rFonts w:ascii="Arial" w:eastAsia="Calibri" w:hAnsi="Arial" w:cs="Arial"/>
          <w:color w:val="000000" w:themeColor="text1"/>
          <w:lang w:val="es-ES_tradnl"/>
        </w:rPr>
      </w:pPr>
      <w:r w:rsidRPr="00552A54">
        <w:rPr>
          <w:rFonts w:ascii="Arial" w:eastAsia="Calibri" w:hAnsi="Arial" w:cs="Arial"/>
          <w:color w:val="000000" w:themeColor="text1"/>
          <w:lang w:val="es-ES_tradnl"/>
        </w:rPr>
        <w:lastRenderedPageBreak/>
        <w:t>En consonancia, con lo antes dicho será la determinación jurídica de la forma de solucionar el asunto controvertido según la consideración particular que se dispongan sobre el tema a resolver dentro del contrato, siendo que si se trata del incumplimiento por parte de una entidad contratante, se tendrá que advertir según las regulaciones del respectivo instrumento contractual, si resulta obligatorio acudir a alguno de los mecanismos para la solución del conflicto, o incluso evaluarse si se trata de una obligación cierta e indiscutible para su cobro ejecutivo, lo cual solo podrá llevarse a cabo una vez se cumplan los requisitos para ello, lo que deberá examinar el juez que por competencia legal corresponda.</w:t>
      </w:r>
    </w:p>
    <w:p w14:paraId="3B202730" w14:textId="77777777" w:rsidR="00E1685B" w:rsidRPr="00552A54" w:rsidRDefault="00E1685B" w:rsidP="00E1685B">
      <w:pPr>
        <w:spacing w:line="276" w:lineRule="auto"/>
        <w:ind w:firstLine="708"/>
        <w:jc w:val="both"/>
        <w:rPr>
          <w:rFonts w:ascii="Arial" w:hAnsi="Arial" w:cs="Arial"/>
          <w:color w:val="000000" w:themeColor="text1"/>
          <w:lang w:val="es-ES_tradnl"/>
        </w:rPr>
      </w:pPr>
      <w:r w:rsidRPr="00552A54">
        <w:rPr>
          <w:rFonts w:ascii="Arial" w:hAnsi="Arial" w:cs="Arial"/>
          <w:color w:val="000000" w:themeColor="text1"/>
          <w:lang w:val="es-ES_tradnl"/>
        </w:rPr>
        <w:t>Este concepto tiene el alcance previsto en el artículo 28 del Código de Procedimiento Administrativo y de lo Contencioso Administrativo.</w:t>
      </w:r>
    </w:p>
    <w:p w14:paraId="5B8C2A10" w14:textId="77777777" w:rsidR="00E1685B" w:rsidRPr="00552A54" w:rsidRDefault="00E1685B" w:rsidP="00E1685B">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B36888C" w14:textId="77777777" w:rsidR="00E1685B" w:rsidRPr="00552A54" w:rsidRDefault="00E1685B" w:rsidP="00E1685B">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52A54">
        <w:rPr>
          <w:rFonts w:ascii="Arial" w:hAnsi="Arial" w:cs="Arial"/>
          <w:color w:val="000000" w:themeColor="text1"/>
          <w:sz w:val="22"/>
          <w:szCs w:val="22"/>
          <w:lang w:val="es-ES_tradnl"/>
        </w:rPr>
        <w:t>Atentamente,</w:t>
      </w:r>
    </w:p>
    <w:p w14:paraId="66212971" w14:textId="00EA84BC" w:rsidR="00E1685B" w:rsidRPr="00552A54" w:rsidRDefault="00B20B4A" w:rsidP="00E1685B">
      <w:pPr>
        <w:spacing w:before="240" w:after="120" w:line="276" w:lineRule="auto"/>
        <w:jc w:val="center"/>
        <w:rPr>
          <w:rFonts w:ascii="Arial" w:eastAsia="Calibri" w:hAnsi="Arial" w:cs="Arial"/>
          <w:color w:val="000000" w:themeColor="text1"/>
        </w:rPr>
      </w:pPr>
      <w:r>
        <w:rPr>
          <w:noProof/>
        </w:rPr>
        <w:drawing>
          <wp:inline distT="0" distB="0" distL="0" distR="0" wp14:anchorId="24E7B080" wp14:editId="32D06CCB">
            <wp:extent cx="3155950" cy="1212850"/>
            <wp:effectExtent l="0" t="0" r="6350" b="6350"/>
            <wp:docPr id="449571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1685B" w:rsidRPr="00552A54" w14:paraId="714AAC00" w14:textId="77777777" w:rsidTr="00EC72F2">
        <w:trPr>
          <w:trHeight w:val="315"/>
        </w:trPr>
        <w:tc>
          <w:tcPr>
            <w:tcW w:w="812" w:type="dxa"/>
            <w:vAlign w:val="center"/>
            <w:hideMark/>
          </w:tcPr>
          <w:bookmarkEnd w:id="7"/>
          <w:p w14:paraId="213FB1F0" w14:textId="77777777" w:rsidR="00E1685B" w:rsidRPr="00552A54" w:rsidRDefault="00E1685B" w:rsidP="00EC72F2">
            <w:pPr>
              <w:rPr>
                <w:rFonts w:ascii="Arial" w:hAnsi="Arial" w:cs="Arial"/>
                <w:color w:val="000000" w:themeColor="text1"/>
                <w:sz w:val="16"/>
                <w:szCs w:val="16"/>
                <w:lang w:val="es-ES" w:eastAsia="es-ES"/>
              </w:rPr>
            </w:pPr>
            <w:r w:rsidRPr="00552A54">
              <w:rPr>
                <w:rFonts w:ascii="Arial" w:hAnsi="Arial" w:cs="Arial"/>
                <w:color w:val="000000" w:themeColor="text1"/>
                <w:sz w:val="16"/>
                <w:szCs w:val="16"/>
                <w:lang w:val="es-ES" w:eastAsia="es-ES"/>
              </w:rPr>
              <w:t>Elaboró:</w:t>
            </w:r>
          </w:p>
        </w:tc>
        <w:tc>
          <w:tcPr>
            <w:tcW w:w="4413" w:type="dxa"/>
            <w:tcBorders>
              <w:top w:val="nil"/>
              <w:left w:val="nil"/>
              <w:bottom w:val="dotted" w:sz="4" w:space="0" w:color="7F7F7F"/>
              <w:right w:val="nil"/>
            </w:tcBorders>
            <w:vAlign w:val="center"/>
            <w:hideMark/>
          </w:tcPr>
          <w:p w14:paraId="239A0E85" w14:textId="77777777" w:rsidR="00E1685B" w:rsidRPr="00552A54" w:rsidRDefault="00E1685B" w:rsidP="00EC72F2">
            <w:pPr>
              <w:rPr>
                <w:rFonts w:ascii="Arial" w:eastAsia="Calibri" w:hAnsi="Arial" w:cs="Arial"/>
                <w:color w:val="000000" w:themeColor="text1"/>
                <w:sz w:val="16"/>
                <w:szCs w:val="16"/>
                <w:lang w:val="es-ES_tradnl" w:eastAsia="es-ES"/>
              </w:rPr>
            </w:pPr>
            <w:r w:rsidRPr="00552A54">
              <w:rPr>
                <w:rFonts w:ascii="Arial" w:eastAsia="Calibri" w:hAnsi="Arial" w:cs="Arial"/>
                <w:color w:val="000000" w:themeColor="text1"/>
                <w:sz w:val="16"/>
                <w:szCs w:val="16"/>
                <w:lang w:val="es-ES_tradnl" w:eastAsia="es-ES"/>
              </w:rPr>
              <w:t>Jorge Mario Payares Villa</w:t>
            </w:r>
          </w:p>
          <w:p w14:paraId="682BBEFC" w14:textId="77777777" w:rsidR="00E1685B" w:rsidRPr="00552A54" w:rsidRDefault="00E1685B" w:rsidP="00EC72F2">
            <w:pPr>
              <w:rPr>
                <w:rFonts w:ascii="Arial" w:hAnsi="Arial" w:cs="Arial"/>
                <w:color w:val="000000" w:themeColor="text1"/>
                <w:sz w:val="16"/>
                <w:szCs w:val="16"/>
                <w:lang w:val="es-ES" w:eastAsia="es-ES"/>
              </w:rPr>
            </w:pPr>
            <w:r w:rsidRPr="00552A54">
              <w:rPr>
                <w:rFonts w:ascii="Arial" w:eastAsia="Calibri" w:hAnsi="Arial" w:cs="Arial"/>
                <w:color w:val="000000" w:themeColor="text1"/>
                <w:sz w:val="16"/>
                <w:szCs w:val="16"/>
                <w:lang w:val="es-ES_tradnl" w:eastAsia="es-ES"/>
              </w:rPr>
              <w:t xml:space="preserve">Contratista </w:t>
            </w:r>
            <w:r w:rsidRPr="00552A54">
              <w:rPr>
                <w:rFonts w:ascii="Arial" w:hAnsi="Arial" w:cs="Arial"/>
                <w:color w:val="000000" w:themeColor="text1"/>
                <w:sz w:val="16"/>
                <w:szCs w:val="16"/>
                <w:lang w:val="es-ES" w:eastAsia="es-ES"/>
              </w:rPr>
              <w:t>de la Subdirección de Gestión Contractual</w:t>
            </w:r>
          </w:p>
        </w:tc>
      </w:tr>
      <w:tr w:rsidR="00E1685B" w:rsidRPr="00552A54" w14:paraId="783F9631" w14:textId="77777777" w:rsidTr="00EC72F2">
        <w:trPr>
          <w:trHeight w:val="330"/>
        </w:trPr>
        <w:tc>
          <w:tcPr>
            <w:tcW w:w="812" w:type="dxa"/>
            <w:vAlign w:val="center"/>
            <w:hideMark/>
          </w:tcPr>
          <w:p w14:paraId="58B56FC3" w14:textId="77777777" w:rsidR="00E1685B" w:rsidRPr="00552A54" w:rsidRDefault="00E1685B" w:rsidP="00EC72F2">
            <w:pPr>
              <w:rPr>
                <w:rFonts w:ascii="Arial" w:hAnsi="Arial" w:cs="Arial"/>
                <w:color w:val="000000" w:themeColor="text1"/>
                <w:sz w:val="16"/>
                <w:szCs w:val="16"/>
                <w:lang w:val="es-ES" w:eastAsia="es-ES"/>
              </w:rPr>
            </w:pPr>
            <w:r w:rsidRPr="00552A54">
              <w:rPr>
                <w:rFonts w:ascii="Arial" w:hAnsi="Arial" w:cs="Arial"/>
                <w:color w:val="000000" w:themeColor="text1"/>
                <w:sz w:val="16"/>
                <w:szCs w:val="16"/>
                <w:lang w:val="es-ES" w:eastAsia="es-ES"/>
              </w:rPr>
              <w:t>Revisó:</w:t>
            </w:r>
          </w:p>
        </w:tc>
        <w:tc>
          <w:tcPr>
            <w:tcW w:w="4413" w:type="dxa"/>
            <w:tcBorders>
              <w:top w:val="dotted" w:sz="4" w:space="0" w:color="7F7F7F"/>
              <w:left w:val="nil"/>
              <w:bottom w:val="dotted" w:sz="4" w:space="0" w:color="7F7F7F"/>
              <w:right w:val="nil"/>
            </w:tcBorders>
            <w:vAlign w:val="center"/>
            <w:hideMark/>
          </w:tcPr>
          <w:p w14:paraId="438D7E1B" w14:textId="77777777" w:rsidR="00E1685B" w:rsidRPr="00552A54" w:rsidRDefault="00E1685B" w:rsidP="00EC72F2">
            <w:pPr>
              <w:rPr>
                <w:rFonts w:ascii="Arial" w:eastAsia="Calibri" w:hAnsi="Arial" w:cs="Arial"/>
                <w:color w:val="000000" w:themeColor="text1"/>
                <w:sz w:val="16"/>
                <w:szCs w:val="16"/>
                <w:lang w:val="es-ES_tradnl" w:eastAsia="es-ES"/>
              </w:rPr>
            </w:pPr>
            <w:r w:rsidRPr="00552A54">
              <w:rPr>
                <w:rFonts w:ascii="Arial" w:eastAsia="Calibri" w:hAnsi="Arial" w:cs="Arial"/>
                <w:color w:val="000000" w:themeColor="text1"/>
                <w:sz w:val="16"/>
                <w:szCs w:val="16"/>
                <w:lang w:val="es-ES_tradnl" w:eastAsia="es-ES"/>
              </w:rPr>
              <w:t>Juan David Cárdenas</w:t>
            </w:r>
            <w:r>
              <w:rPr>
                <w:rFonts w:ascii="Arial" w:eastAsia="Calibri" w:hAnsi="Arial" w:cs="Arial"/>
                <w:color w:val="000000" w:themeColor="text1"/>
                <w:sz w:val="16"/>
                <w:szCs w:val="16"/>
                <w:lang w:val="es-ES_tradnl" w:eastAsia="es-ES"/>
              </w:rPr>
              <w:t xml:space="preserve"> Cabeza</w:t>
            </w:r>
          </w:p>
          <w:p w14:paraId="262BABB9" w14:textId="77777777" w:rsidR="00E1685B" w:rsidRDefault="00E1685B" w:rsidP="00EC72F2">
            <w:pPr>
              <w:rPr>
                <w:rFonts w:ascii="Arial" w:hAnsi="Arial" w:cs="Arial"/>
                <w:color w:val="000000" w:themeColor="text1"/>
                <w:sz w:val="16"/>
                <w:szCs w:val="16"/>
                <w:lang w:val="es-ES" w:eastAsia="es-ES"/>
              </w:rPr>
            </w:pPr>
            <w:r w:rsidRPr="00552A54">
              <w:rPr>
                <w:rFonts w:ascii="Arial" w:eastAsia="Calibri" w:hAnsi="Arial" w:cs="Arial"/>
                <w:color w:val="000000" w:themeColor="text1"/>
                <w:sz w:val="16"/>
                <w:szCs w:val="16"/>
                <w:lang w:val="es-ES_tradnl" w:eastAsia="es-ES"/>
              </w:rPr>
              <w:t xml:space="preserve">Contratista </w:t>
            </w:r>
            <w:r w:rsidRPr="00552A54">
              <w:rPr>
                <w:rFonts w:ascii="Arial" w:hAnsi="Arial" w:cs="Arial"/>
                <w:color w:val="000000" w:themeColor="text1"/>
                <w:sz w:val="16"/>
                <w:szCs w:val="16"/>
                <w:lang w:val="es-ES" w:eastAsia="es-ES"/>
              </w:rPr>
              <w:t>de la Subdirección de Gestión Contractual</w:t>
            </w:r>
          </w:p>
          <w:p w14:paraId="7467B0D8" w14:textId="77777777" w:rsidR="00E1685B" w:rsidRDefault="00E1685B" w:rsidP="00EC72F2">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Gabriel Mendoza </w:t>
            </w:r>
          </w:p>
          <w:p w14:paraId="48F84A1A" w14:textId="77777777" w:rsidR="00E1685B" w:rsidRPr="00552A54" w:rsidRDefault="00E1685B" w:rsidP="00EC72F2">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Contratista de la Subdirección de Gestión Contractual </w:t>
            </w:r>
          </w:p>
        </w:tc>
      </w:tr>
      <w:tr w:rsidR="00E1685B" w:rsidRPr="00552A54" w14:paraId="135BAB78" w14:textId="77777777" w:rsidTr="00EC72F2">
        <w:trPr>
          <w:trHeight w:val="300"/>
        </w:trPr>
        <w:tc>
          <w:tcPr>
            <w:tcW w:w="812" w:type="dxa"/>
            <w:vAlign w:val="center"/>
          </w:tcPr>
          <w:p w14:paraId="3A71D255" w14:textId="77777777" w:rsidR="00E1685B" w:rsidRPr="00552A54" w:rsidRDefault="00E1685B" w:rsidP="00EC72F2">
            <w:pPr>
              <w:rPr>
                <w:rFonts w:ascii="Arial" w:hAnsi="Arial" w:cs="Arial"/>
                <w:color w:val="000000" w:themeColor="text1"/>
                <w:sz w:val="16"/>
                <w:szCs w:val="16"/>
                <w:lang w:val="es-ES" w:eastAsia="es-ES"/>
              </w:rPr>
            </w:pPr>
            <w:r w:rsidRPr="00552A54">
              <w:rPr>
                <w:rFonts w:ascii="Arial" w:hAnsi="Arial" w:cs="Arial"/>
                <w:color w:val="000000" w:themeColor="text1"/>
                <w:sz w:val="16"/>
                <w:szCs w:val="16"/>
                <w:lang w:val="es-ES" w:eastAsia="es-ES"/>
              </w:rPr>
              <w:t>Aprobó:</w:t>
            </w:r>
          </w:p>
        </w:tc>
        <w:tc>
          <w:tcPr>
            <w:tcW w:w="4413" w:type="dxa"/>
            <w:tcBorders>
              <w:top w:val="dotted" w:sz="4" w:space="0" w:color="7F7F7F"/>
              <w:left w:val="nil"/>
              <w:bottom w:val="dotted" w:sz="4" w:space="0" w:color="7F7F7F"/>
              <w:right w:val="nil"/>
            </w:tcBorders>
            <w:vAlign w:val="center"/>
          </w:tcPr>
          <w:p w14:paraId="3B9EDC86" w14:textId="77777777" w:rsidR="00E1685B" w:rsidRPr="00552A54" w:rsidRDefault="00E1685B" w:rsidP="00EC72F2">
            <w:pPr>
              <w:rPr>
                <w:rFonts w:ascii="Arial" w:eastAsia="Calibri" w:hAnsi="Arial" w:cs="Arial"/>
                <w:color w:val="000000" w:themeColor="text1"/>
                <w:sz w:val="16"/>
                <w:szCs w:val="16"/>
                <w:lang w:val="pt-BR" w:eastAsia="es-ES"/>
              </w:rPr>
            </w:pPr>
            <w:r w:rsidRPr="00552A54">
              <w:rPr>
                <w:rFonts w:ascii="Arial" w:eastAsia="Calibri" w:hAnsi="Arial" w:cs="Arial"/>
                <w:color w:val="000000" w:themeColor="text1"/>
                <w:sz w:val="16"/>
                <w:szCs w:val="16"/>
                <w:lang w:val="pt-BR" w:eastAsia="es-ES"/>
              </w:rPr>
              <w:t>Nohelia del Carmen Zawady Palacio</w:t>
            </w:r>
          </w:p>
          <w:p w14:paraId="587ECBC2" w14:textId="77777777" w:rsidR="00E1685B" w:rsidRPr="00552A54" w:rsidRDefault="00E1685B" w:rsidP="00EC72F2">
            <w:pPr>
              <w:rPr>
                <w:rFonts w:ascii="Arial" w:eastAsia="Calibri" w:hAnsi="Arial" w:cs="Arial"/>
                <w:color w:val="000000" w:themeColor="text1"/>
                <w:sz w:val="16"/>
                <w:szCs w:val="16"/>
                <w:lang w:val="pt-BR" w:eastAsia="es-ES"/>
              </w:rPr>
            </w:pPr>
            <w:r w:rsidRPr="00552A54">
              <w:rPr>
                <w:rFonts w:ascii="Arial" w:eastAsia="Calibri" w:hAnsi="Arial" w:cs="Arial"/>
                <w:color w:val="000000" w:themeColor="text1"/>
                <w:sz w:val="16"/>
                <w:szCs w:val="16"/>
                <w:lang w:eastAsia="es-ES"/>
              </w:rPr>
              <w:t>Subdirectora</w:t>
            </w:r>
            <w:r w:rsidRPr="00552A54">
              <w:rPr>
                <w:rFonts w:ascii="Arial" w:eastAsia="Calibri" w:hAnsi="Arial" w:cs="Arial"/>
                <w:color w:val="000000" w:themeColor="text1"/>
                <w:sz w:val="16"/>
                <w:szCs w:val="16"/>
                <w:lang w:val="pt-BR" w:eastAsia="es-ES"/>
              </w:rPr>
              <w:t xml:space="preserve"> de Gestión Contractual ANCP – CCE</w:t>
            </w:r>
          </w:p>
        </w:tc>
      </w:tr>
    </w:tbl>
    <w:p w14:paraId="3ECDD3D7" w14:textId="77777777" w:rsidR="00E1685B" w:rsidRPr="00552A54" w:rsidRDefault="00E1685B" w:rsidP="00E1685B">
      <w:pPr>
        <w:rPr>
          <w:rFonts w:ascii="Arial" w:hAnsi="Arial" w:cs="Arial"/>
          <w:color w:val="000000" w:themeColor="text1"/>
          <w:lang w:eastAsia="es-ES"/>
        </w:rPr>
      </w:pPr>
    </w:p>
    <w:p w14:paraId="7944B040" w14:textId="77777777" w:rsidR="00E1685B" w:rsidRPr="00552A54" w:rsidRDefault="00E1685B" w:rsidP="00E1685B">
      <w:pPr>
        <w:rPr>
          <w:rFonts w:ascii="Arial" w:hAnsi="Arial" w:cs="Arial"/>
          <w:color w:val="000000" w:themeColor="text1"/>
        </w:rPr>
      </w:pPr>
    </w:p>
    <w:p w14:paraId="605AEBAD" w14:textId="77777777" w:rsidR="00FB347B" w:rsidRPr="00552A54" w:rsidRDefault="00FB347B" w:rsidP="00E1685B">
      <w:pPr>
        <w:jc w:val="both"/>
        <w:rPr>
          <w:rFonts w:ascii="Arial" w:hAnsi="Arial" w:cs="Arial"/>
          <w:color w:val="000000" w:themeColor="text1"/>
        </w:rPr>
      </w:pPr>
    </w:p>
    <w:sectPr w:rsidR="00FB347B" w:rsidRPr="00552A54" w:rsidSect="00FC0252">
      <w:headerReference w:type="default" r:id="rId13"/>
      <w:footerReference w:type="default" r:id="rId14"/>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45A8" w14:textId="77777777" w:rsidR="007D1255" w:rsidRDefault="007D1255" w:rsidP="00950DF7">
      <w:r>
        <w:separator/>
      </w:r>
    </w:p>
  </w:endnote>
  <w:endnote w:type="continuationSeparator" w:id="0">
    <w:p w14:paraId="3E214E2C" w14:textId="77777777" w:rsidR="007D1255" w:rsidRDefault="007D1255" w:rsidP="00950DF7">
      <w:r>
        <w:continuationSeparator/>
      </w:r>
    </w:p>
  </w:endnote>
  <w:endnote w:type="continuationNotice" w:id="1">
    <w:p w14:paraId="61E77C0B" w14:textId="77777777" w:rsidR="007D1255" w:rsidRDefault="007D1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43FC" w14:textId="77777777" w:rsidR="00FC0252" w:rsidRDefault="00FC0252" w:rsidP="00FC0252">
    <w:pPr>
      <w:pStyle w:val="Piedepgina"/>
    </w:pPr>
    <w:r>
      <w:rPr>
        <w:noProof/>
      </w:rPr>
      <w:drawing>
        <wp:inline distT="0" distB="0" distL="0" distR="0" wp14:anchorId="62A5DDD2" wp14:editId="103BABFD">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0" behindDoc="0" locked="0" layoutInCell="1" allowOverlap="1" wp14:anchorId="5C41D58F" wp14:editId="64AAC8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0252" w:rsidRPr="00080DA3" w14:paraId="6CBE64F4" w14:textId="77777777">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ACB114F"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B63D9B8"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42F68"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5BB47CD"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4AD1B6F0" w14:textId="77777777" w:rsidR="00950DF7" w:rsidRPr="00FC0252" w:rsidRDefault="00950DF7" w:rsidP="00FC0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9857" w14:textId="77777777" w:rsidR="007D1255" w:rsidRDefault="007D1255" w:rsidP="00950DF7">
      <w:r>
        <w:separator/>
      </w:r>
    </w:p>
  </w:footnote>
  <w:footnote w:type="continuationSeparator" w:id="0">
    <w:p w14:paraId="3FF21122" w14:textId="77777777" w:rsidR="007D1255" w:rsidRDefault="007D1255" w:rsidP="00950DF7">
      <w:r>
        <w:continuationSeparator/>
      </w:r>
    </w:p>
  </w:footnote>
  <w:footnote w:type="continuationNotice" w:id="1">
    <w:p w14:paraId="365ABE61" w14:textId="77777777" w:rsidR="007D1255" w:rsidRDefault="007D1255"/>
  </w:footnote>
  <w:footnote w:id="2">
    <w:p w14:paraId="2DE9508C" w14:textId="77777777" w:rsidR="00E1685B" w:rsidRPr="005D3FDD" w:rsidRDefault="00E1685B" w:rsidP="00E1685B">
      <w:pPr>
        <w:pStyle w:val="Textonotapie"/>
        <w:ind w:firstLine="708"/>
        <w:jc w:val="both"/>
        <w:rPr>
          <w:rFonts w:ascii="Arial" w:hAnsi="Arial" w:cs="Arial"/>
          <w:sz w:val="18"/>
          <w:szCs w:val="18"/>
          <w:lang w:val="es-ES"/>
        </w:rPr>
      </w:pPr>
      <w:r w:rsidRPr="005D3FDD">
        <w:rPr>
          <w:rFonts w:ascii="Arial" w:eastAsia="Calibri" w:hAnsi="Arial" w:cs="Arial"/>
          <w:sz w:val="18"/>
          <w:szCs w:val="18"/>
          <w:vertAlign w:val="superscript"/>
          <w:lang w:val="es-ES" w:eastAsia="es-ES_tradnl"/>
        </w:rPr>
        <w:footnoteRef/>
      </w:r>
      <w:r w:rsidRPr="005D3FDD">
        <w:rPr>
          <w:rFonts w:ascii="Arial" w:eastAsia="Calibri" w:hAnsi="Arial" w:cs="Arial"/>
          <w:sz w:val="18"/>
          <w:szCs w:val="18"/>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AC3E73E" w14:textId="77777777" w:rsidR="00E1685B" w:rsidRPr="005D3FDD" w:rsidRDefault="00E1685B" w:rsidP="00E1685B">
      <w:pPr>
        <w:pStyle w:val="Textonotapie"/>
        <w:ind w:firstLine="708"/>
        <w:jc w:val="both"/>
        <w:rPr>
          <w:rFonts w:ascii="Arial" w:hAnsi="Arial" w:cs="Arial"/>
          <w:sz w:val="18"/>
          <w:szCs w:val="18"/>
        </w:rPr>
      </w:pPr>
      <w:r w:rsidRPr="005D3FDD">
        <w:rPr>
          <w:rFonts w:ascii="Arial" w:hAnsi="Arial" w:cs="Arial"/>
          <w:sz w:val="18"/>
          <w:szCs w:val="18"/>
          <w:vertAlign w:val="superscript"/>
        </w:rPr>
        <w:footnoteRef/>
      </w:r>
      <w:r w:rsidRPr="005D3FDD">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D3FDD">
          <w:rPr>
            <w:rStyle w:val="Hipervnculo"/>
            <w:rFonts w:ascii="Arial" w:hAnsi="Arial" w:cs="Arial"/>
            <w:sz w:val="18"/>
            <w:szCs w:val="18"/>
          </w:rPr>
          <w:t>https://relatoria.colombiacompra.gov.co/busqueda/conceptos</w:t>
        </w:r>
      </w:hyperlink>
      <w:r w:rsidRPr="005D3FDD">
        <w:rPr>
          <w:rFonts w:ascii="Arial" w:hAnsi="Arial" w:cs="Arial"/>
          <w:sz w:val="18"/>
          <w:szCs w:val="18"/>
          <w:shd w:val="clear" w:color="auto" w:fill="E6E6E6"/>
        </w:rPr>
        <w:t xml:space="preserve"> </w:t>
      </w:r>
    </w:p>
  </w:footnote>
  <w:footnote w:id="4">
    <w:p w14:paraId="788B344D" w14:textId="77777777" w:rsidR="00E1685B" w:rsidRPr="006504B6" w:rsidRDefault="00E1685B" w:rsidP="00E1685B">
      <w:pPr>
        <w:pStyle w:val="Textonotapie"/>
        <w:ind w:firstLine="709"/>
        <w:contextualSpacing/>
        <w:jc w:val="both"/>
        <w:rPr>
          <w:rFonts w:ascii="Arial" w:hAnsi="Arial" w:cs="Arial"/>
          <w:color w:val="000000" w:themeColor="text1"/>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Decreto 1068 de 2015: “</w:t>
      </w:r>
      <w:r w:rsidRPr="006504B6">
        <w:rPr>
          <w:rFonts w:ascii="Arial" w:hAnsi="Arial" w:cs="Arial"/>
          <w:color w:val="000000" w:themeColor="text1"/>
          <w:sz w:val="16"/>
          <w:szCs w:val="16"/>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0F6254B4" w14:textId="77777777" w:rsidR="00E1685B" w:rsidRPr="006504B6" w:rsidRDefault="00E1685B" w:rsidP="00E1685B">
      <w:pPr>
        <w:pStyle w:val="Textonotapie"/>
        <w:ind w:firstLine="709"/>
        <w:contextualSpacing/>
        <w:jc w:val="both"/>
        <w:rPr>
          <w:rFonts w:ascii="Arial" w:hAnsi="Arial" w:cs="Arial"/>
          <w:color w:val="000000" w:themeColor="text1"/>
          <w:sz w:val="16"/>
          <w:szCs w:val="16"/>
        </w:rPr>
      </w:pPr>
      <w:r w:rsidRPr="006504B6">
        <w:rPr>
          <w:rFonts w:ascii="Arial" w:hAnsi="Arial" w:cs="Arial"/>
          <w:color w:val="000000" w:themeColor="text1"/>
          <w:sz w:val="16"/>
          <w:szCs w:val="16"/>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4A583211" w14:textId="77777777" w:rsidR="00E1685B" w:rsidRPr="006504B6" w:rsidRDefault="00E1685B" w:rsidP="00E1685B">
      <w:pPr>
        <w:pStyle w:val="Textonotapie"/>
        <w:ind w:firstLine="708"/>
        <w:contextualSpacing/>
        <w:jc w:val="both"/>
        <w:rPr>
          <w:rFonts w:ascii="Arial" w:hAnsi="Arial" w:cs="Arial"/>
          <w:sz w:val="16"/>
          <w:szCs w:val="16"/>
        </w:rPr>
      </w:pPr>
      <w:r w:rsidRPr="006504B6">
        <w:rPr>
          <w:rFonts w:ascii="Arial" w:hAnsi="Arial" w:cs="Arial"/>
          <w:color w:val="000000" w:themeColor="text1"/>
          <w:sz w:val="16"/>
          <w:szCs w:val="16"/>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34858441" w14:textId="77777777" w:rsidR="00E1685B" w:rsidRPr="006504B6" w:rsidRDefault="00E1685B" w:rsidP="00E1685B">
      <w:pPr>
        <w:pStyle w:val="Textonotapie"/>
        <w:ind w:firstLine="708"/>
        <w:contextualSpacing/>
        <w:jc w:val="both"/>
        <w:rPr>
          <w:rFonts w:ascii="Arial" w:hAnsi="Arial" w:cs="Arial"/>
          <w:sz w:val="16"/>
          <w:szCs w:val="16"/>
        </w:rPr>
      </w:pPr>
      <w:r w:rsidRPr="006504B6">
        <w:rPr>
          <w:rFonts w:ascii="Arial" w:hAnsi="Arial" w:cs="Arial"/>
          <w:sz w:val="16"/>
          <w:szCs w:val="16"/>
        </w:rPr>
        <w:t xml:space="preserve"> </w:t>
      </w:r>
    </w:p>
  </w:footnote>
  <w:footnote w:id="5">
    <w:p w14:paraId="012F6F6F"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13D2A32F"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2. Quien presta el servicio se denomina trabajador, quien lo recibe y remunera, empleador, y la remuneración, cualquiera que sea su forma, salario”.</w:t>
      </w:r>
    </w:p>
    <w:p w14:paraId="12CAFBD9"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6">
    <w:p w14:paraId="102C7489"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CORTE CONSTITUCIONAL. Sentencia C-154 de 1997. Magistrado Ponente: Hernando Herrera Vergara.</w:t>
      </w:r>
    </w:p>
    <w:p w14:paraId="147F6C8C"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7">
    <w:p w14:paraId="7773FE9A"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Ibíd.</w:t>
      </w:r>
    </w:p>
    <w:p w14:paraId="37FB43EF"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8">
    <w:p w14:paraId="3D69EBEF"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238D0DF0"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55C690E"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La Entidad Estatal, para la contratación de trabajos artísticos que solamente puedan en­comendarse a determinadas personas naturales, debe justificar esta situación en los estudios y documentos previos”.</w:t>
      </w:r>
    </w:p>
    <w:p w14:paraId="7537391E"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9">
    <w:p w14:paraId="629717A0"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CONSEJO DE ESTADO. Sección Tercera. Subsección C. Sentencia del 2 de diciembre de 2013. Exp. 41719. Consejero Ponente: Jaime Orlando Santofimio Gamboa.</w:t>
      </w:r>
    </w:p>
    <w:p w14:paraId="59724C56"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10">
    <w:p w14:paraId="10E758B6"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Ibíd.</w:t>
      </w:r>
    </w:p>
    <w:p w14:paraId="1642ECF3"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11">
    <w:p w14:paraId="2088EDE9"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Ibíd.</w:t>
      </w:r>
    </w:p>
    <w:p w14:paraId="401BCFFF"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12">
    <w:p w14:paraId="06074700"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03B8AEA"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Son también contratos de consultoría los que tienen por objeto la interventoría, asesoría, gerencia de obra o de proyectos, dirección, programación y la ejecución de diseños, planos, anteproyectos y proyectos.</w:t>
      </w:r>
    </w:p>
    <w:p w14:paraId="674D0A86"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11999684"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13">
    <w:p w14:paraId="4C3005A4"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Así lo prevé el artículo 2.2.1.2.1.4.1. del Decreto 1082 de 2015: “La Entidad Estatal debe señalar en un acto administrativo la justificación para contratar bajo la modalidad de contratación directa, el cual debe contener:</w:t>
      </w:r>
    </w:p>
    <w:p w14:paraId="69554D8D"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1. La causal que invoca para contratar directamente.</w:t>
      </w:r>
    </w:p>
    <w:p w14:paraId="088D066C"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2. El objeto del contrato.</w:t>
      </w:r>
    </w:p>
    <w:p w14:paraId="253C1BCD"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3. El presupuesto para la contratación y las condiciones que exigirá al contratista.</w:t>
      </w:r>
    </w:p>
    <w:p w14:paraId="0E0354A7"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4. El lugar en el cual los interesados pueden consultar los estudios y documentos previos.</w:t>
      </w:r>
    </w:p>
    <w:p w14:paraId="30D34197"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33881D2A"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14">
    <w:p w14:paraId="07D3AFE6"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Esta norma expresa: “</w:t>
      </w:r>
      <w:r w:rsidRPr="006504B6">
        <w:rPr>
          <w:rFonts w:ascii="Arial" w:hAnsi="Arial" w:cs="Arial"/>
          <w:color w:val="000000"/>
          <w:sz w:val="16"/>
          <w:szCs w:val="16"/>
        </w:rPr>
        <w:t>P</w:t>
      </w:r>
      <w:r w:rsidRPr="006504B6">
        <w:rPr>
          <w:rFonts w:ascii="Arial" w:hAnsi="Arial" w:cs="Arial"/>
          <w:color w:val="000000"/>
          <w:sz w:val="16"/>
          <w:szCs w:val="16"/>
          <w:lang w:val="es-ES"/>
        </w:rPr>
        <w:t>ara el cumplimiento de los fines de la contratación, las entidades estatales al celebrar un contrato:</w:t>
      </w:r>
    </w:p>
    <w:p w14:paraId="5F0FC3A6"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w:t>
      </w:r>
    </w:p>
    <w:p w14:paraId="7AD1A0E0"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5715AEF4"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Las entidades estatales podrán pactar estas cláusulas en los contratos de suministro y de prestación de servicios.</w:t>
      </w:r>
    </w:p>
    <w:p w14:paraId="75E5B0F6"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w:t>
      </w:r>
    </w:p>
    <w:p w14:paraId="07C2C3E8"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15">
    <w:p w14:paraId="55E25C8B"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La norma dispone: “La liquidación a que se refiere el presente artículo no será obligatoria en los contratos de prestación de servicios profesionales y de apoyo a la gestión”.</w:t>
      </w:r>
    </w:p>
    <w:p w14:paraId="6805225A"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16">
    <w:p w14:paraId="2803B914" w14:textId="77777777" w:rsidR="00E1685B" w:rsidRPr="006504B6" w:rsidRDefault="00E1685B" w:rsidP="00E1685B">
      <w:pPr>
        <w:pStyle w:val="Textonotapie"/>
        <w:ind w:firstLine="709"/>
        <w:contextualSpacing/>
        <w:jc w:val="both"/>
        <w:rPr>
          <w:rFonts w:ascii="Arial" w:hAnsi="Arial" w:cs="Arial"/>
          <w:color w:val="000000"/>
          <w:sz w:val="16"/>
          <w:szCs w:val="16"/>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1DFFAB3" w14:textId="77777777" w:rsidR="00E1685B" w:rsidRPr="006504B6" w:rsidRDefault="00E1685B" w:rsidP="00E1685B">
      <w:pPr>
        <w:pStyle w:val="Textonotapie"/>
        <w:ind w:firstLine="709"/>
        <w:contextualSpacing/>
        <w:jc w:val="both"/>
        <w:rPr>
          <w:rFonts w:ascii="Arial" w:hAnsi="Arial" w:cs="Arial"/>
          <w:color w:val="000000"/>
          <w:sz w:val="16"/>
          <w:szCs w:val="16"/>
        </w:rPr>
      </w:pPr>
      <w:r w:rsidRPr="006504B6">
        <w:rPr>
          <w:rFonts w:ascii="Arial" w:hAnsi="Arial" w:cs="Arial"/>
          <w:color w:val="000000"/>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8A174F9" w14:textId="77777777" w:rsidR="00E1685B" w:rsidRPr="006504B6" w:rsidRDefault="00E1685B" w:rsidP="00E1685B">
      <w:pPr>
        <w:pStyle w:val="Textonotapie"/>
        <w:ind w:firstLine="709"/>
        <w:contextualSpacing/>
        <w:jc w:val="both"/>
        <w:rPr>
          <w:rFonts w:ascii="Arial" w:hAnsi="Arial" w:cs="Arial"/>
          <w:color w:val="000000"/>
          <w:sz w:val="16"/>
          <w:szCs w:val="16"/>
        </w:rPr>
      </w:pPr>
      <w:r w:rsidRPr="006504B6">
        <w:rPr>
          <w:rFonts w:ascii="Arial" w:hAnsi="Arial" w:cs="Arial"/>
          <w:color w:val="000000"/>
          <w:sz w:val="16"/>
          <w:szCs w:val="16"/>
        </w:rPr>
        <w:t>[…]”.</w:t>
      </w:r>
    </w:p>
    <w:p w14:paraId="65116D64"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17">
    <w:p w14:paraId="689E75C2"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22188AEA" w14:textId="77777777" w:rsidR="00E1685B" w:rsidRPr="006504B6" w:rsidRDefault="00E1685B" w:rsidP="00E1685B">
      <w:pPr>
        <w:pStyle w:val="Textonotapie"/>
        <w:ind w:firstLine="709"/>
        <w:contextualSpacing/>
        <w:jc w:val="both"/>
        <w:rPr>
          <w:rFonts w:ascii="Arial" w:hAnsi="Arial" w:cs="Arial"/>
          <w:color w:val="000000"/>
          <w:sz w:val="16"/>
          <w:szCs w:val="16"/>
          <w:lang w:val="es-ES"/>
        </w:rPr>
      </w:pPr>
    </w:p>
  </w:footnote>
  <w:footnote w:id="18">
    <w:p w14:paraId="2295FB04" w14:textId="77777777" w:rsidR="00E1685B" w:rsidRPr="006504B6" w:rsidRDefault="00E1685B" w:rsidP="00E1685B">
      <w:pPr>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Constitución Política de 1886: “Artículo 64.- Nadie podrá recibir dos sueldos del Tesoro público, salvo lo que para casos especiales determinen las leyes”.</w:t>
      </w:r>
    </w:p>
    <w:p w14:paraId="6ECB9148" w14:textId="77777777" w:rsidR="00E1685B" w:rsidRPr="006504B6" w:rsidRDefault="00E1685B" w:rsidP="00E1685B">
      <w:pPr>
        <w:pStyle w:val="Textonotapie"/>
        <w:contextualSpacing/>
        <w:jc w:val="both"/>
        <w:rPr>
          <w:rFonts w:ascii="Arial" w:hAnsi="Arial" w:cs="Arial"/>
          <w:sz w:val="16"/>
          <w:szCs w:val="16"/>
          <w:lang w:val="es-CO"/>
        </w:rPr>
      </w:pPr>
    </w:p>
  </w:footnote>
  <w:footnote w:id="19">
    <w:p w14:paraId="12916647" w14:textId="77777777" w:rsidR="00E1685B" w:rsidRPr="006504B6" w:rsidRDefault="00E1685B" w:rsidP="00E1685B">
      <w:pPr>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Ley 78 de 1931: “Artículo 1°: Entiéndese por tesoro público el dinero que, a cualquier título, ingrese a las oficinas públicas, sean nacionales, departamentales o municipales.</w:t>
      </w:r>
    </w:p>
    <w:p w14:paraId="6F0D73A7" w14:textId="77777777" w:rsidR="00E1685B" w:rsidRPr="006504B6" w:rsidRDefault="00E1685B" w:rsidP="00E1685B">
      <w:pPr>
        <w:pStyle w:val="Textoindependiente"/>
        <w:spacing w:after="0" w:line="240" w:lineRule="auto"/>
        <w:contextualSpacing/>
        <w:jc w:val="both"/>
        <w:rPr>
          <w:rFonts w:ascii="Arial" w:hAnsi="Arial" w:cs="Arial"/>
          <w:sz w:val="16"/>
          <w:szCs w:val="16"/>
        </w:rPr>
      </w:pPr>
    </w:p>
    <w:p w14:paraId="721AC0E8" w14:textId="77777777" w:rsidR="00E1685B" w:rsidRPr="006504B6" w:rsidRDefault="00E1685B" w:rsidP="00E1685B">
      <w:pPr>
        <w:contextualSpacing/>
        <w:jc w:val="both"/>
        <w:rPr>
          <w:rFonts w:ascii="Arial" w:hAnsi="Arial" w:cs="Arial"/>
          <w:sz w:val="16"/>
          <w:szCs w:val="16"/>
        </w:rPr>
      </w:pPr>
      <w:r w:rsidRPr="006504B6">
        <w:rPr>
          <w:rFonts w:ascii="Arial" w:hAnsi="Arial" w:cs="Arial"/>
          <w:sz w:val="16"/>
          <w:szCs w:val="16"/>
        </w:rPr>
        <w:t>“En consecuencia, la prohibición de que trata el artículo 64 de la Constitución comprende a los individuos que devengan simultáneamente sueldos de la nación, del departamento o del municipio”.</w:t>
      </w:r>
    </w:p>
    <w:p w14:paraId="07676C36" w14:textId="77777777" w:rsidR="00E1685B" w:rsidRPr="006504B6" w:rsidRDefault="00E1685B" w:rsidP="00E1685B">
      <w:pPr>
        <w:pStyle w:val="Textonotapie"/>
        <w:contextualSpacing/>
        <w:jc w:val="both"/>
        <w:rPr>
          <w:rFonts w:ascii="Arial" w:hAnsi="Arial" w:cs="Arial"/>
          <w:sz w:val="16"/>
          <w:szCs w:val="16"/>
          <w:lang w:val="es-CO"/>
        </w:rPr>
      </w:pPr>
    </w:p>
  </w:footnote>
  <w:footnote w:id="20">
    <w:p w14:paraId="25AF04B2" w14:textId="77777777" w:rsidR="00E1685B" w:rsidRPr="006504B6" w:rsidRDefault="00E1685B" w:rsidP="00E1685B">
      <w:pPr>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Acto legislativo No. 1 de 1936: “Artículo 23: Nadie podrá recibir más de una asignación que provenga del Tesoro Público o de empresas o instituciones en que tenga parte principal el Estado, salvo lo que para casos especiales determinen las leyes. Entiéndese por Tesoro Público el de la Nación, los Departamentos y los</w:t>
      </w:r>
      <w:r w:rsidRPr="006504B6">
        <w:rPr>
          <w:rFonts w:ascii="Arial" w:hAnsi="Arial" w:cs="Arial"/>
          <w:spacing w:val="-2"/>
          <w:sz w:val="16"/>
          <w:szCs w:val="16"/>
        </w:rPr>
        <w:t xml:space="preserve"> </w:t>
      </w:r>
      <w:r w:rsidRPr="006504B6">
        <w:rPr>
          <w:rFonts w:ascii="Arial" w:hAnsi="Arial" w:cs="Arial"/>
          <w:sz w:val="16"/>
          <w:szCs w:val="16"/>
        </w:rPr>
        <w:t>Municipios”.</w:t>
      </w:r>
    </w:p>
    <w:p w14:paraId="4653F987" w14:textId="77777777" w:rsidR="00E1685B" w:rsidRPr="006504B6" w:rsidRDefault="00E1685B" w:rsidP="00E1685B">
      <w:pPr>
        <w:pStyle w:val="Textonotapie"/>
        <w:contextualSpacing/>
        <w:jc w:val="both"/>
        <w:rPr>
          <w:rFonts w:ascii="Arial" w:hAnsi="Arial" w:cs="Arial"/>
          <w:sz w:val="16"/>
          <w:szCs w:val="16"/>
          <w:lang w:val="es-CO"/>
        </w:rPr>
      </w:pPr>
    </w:p>
  </w:footnote>
  <w:footnote w:id="21">
    <w:p w14:paraId="1E989A38" w14:textId="77777777" w:rsidR="00E1685B" w:rsidRPr="006504B6" w:rsidRDefault="00E1685B" w:rsidP="00E1685B">
      <w:pPr>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w:t>
      </w:r>
      <w:hyperlink r:id="rId2" w:anchor="150">
        <w:r w:rsidRPr="006504B6">
          <w:rPr>
            <w:rFonts w:ascii="Arial" w:hAnsi="Arial" w:cs="Arial"/>
            <w:sz w:val="16"/>
            <w:szCs w:val="16"/>
          </w:rPr>
          <w:t>150,</w:t>
        </w:r>
      </w:hyperlink>
      <w:r w:rsidRPr="006504B6">
        <w:rPr>
          <w:rFonts w:ascii="Arial" w:hAnsi="Arial" w:cs="Arial"/>
          <w:sz w:val="16"/>
          <w:szCs w:val="16"/>
        </w:rPr>
        <w:t xml:space="preserve"> numeral 19, literales e) y f) de la Constitución</w:t>
      </w:r>
      <w:r w:rsidRPr="006504B6">
        <w:rPr>
          <w:rFonts w:ascii="Arial" w:hAnsi="Arial" w:cs="Arial"/>
          <w:spacing w:val="-5"/>
          <w:sz w:val="16"/>
          <w:szCs w:val="16"/>
        </w:rPr>
        <w:t xml:space="preserve"> </w:t>
      </w:r>
      <w:r w:rsidRPr="006504B6">
        <w:rPr>
          <w:rFonts w:ascii="Arial" w:hAnsi="Arial" w:cs="Arial"/>
          <w:sz w:val="16"/>
          <w:szCs w:val="16"/>
        </w:rPr>
        <w:t>Política.</w:t>
      </w:r>
    </w:p>
    <w:p w14:paraId="5F611894" w14:textId="77777777" w:rsidR="00E1685B" w:rsidRPr="006504B6" w:rsidRDefault="00E1685B" w:rsidP="00E1685B">
      <w:pPr>
        <w:pStyle w:val="Textonotapie"/>
        <w:contextualSpacing/>
        <w:jc w:val="both"/>
        <w:rPr>
          <w:rFonts w:ascii="Arial" w:hAnsi="Arial" w:cs="Arial"/>
          <w:sz w:val="16"/>
          <w:szCs w:val="16"/>
          <w:lang w:val="es-CO"/>
        </w:rPr>
      </w:pPr>
    </w:p>
  </w:footnote>
  <w:footnote w:id="22">
    <w:p w14:paraId="2AF8D57C" w14:textId="77777777" w:rsidR="00E1685B" w:rsidRPr="006504B6" w:rsidRDefault="00E1685B" w:rsidP="00E1685B">
      <w:pPr>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Consejo de Estado, Sala de Consulta y servicio Civil, concepto No 1.344, del 10 de mayo de 2001. Consejero Ponente: Flavio Augusto Rodríguez Arce: “El artículo 123, a su vez, dentro de la clasificación de los servidores públicos, incluye a los miembros de las corporaciones públicas quienes, aunque ejercen funciones públicas, no tienen la calidad de empleados públicos ni poseen nexo laboral con el Estado, por lo que la prohibición se les aplica a estos, no con fundamento en el artículo 128, sino en las normas especiales de los respectivos regímenes de incompatibilidades que prohíben, a los congresistas, desempeñar cargo o empleo público - arts. 180.1 de la C.P. y 282.1, ley 5ª/92-; a los diputados, aceptar o desempeñar cargo como empleado oficial - art. 34.1 ley 617/00, y a los concejales, aceptar o desempeñar cargo alguno en la administración pública o vincularse como trabajador oficial - art. 45.1 ley 136/94, sustituido por el art. 3° de la ley</w:t>
      </w:r>
      <w:r w:rsidRPr="006504B6">
        <w:rPr>
          <w:rFonts w:ascii="Arial" w:hAnsi="Arial" w:cs="Arial"/>
          <w:spacing w:val="-4"/>
          <w:sz w:val="16"/>
          <w:szCs w:val="16"/>
        </w:rPr>
        <w:t xml:space="preserve"> </w:t>
      </w:r>
      <w:r w:rsidRPr="006504B6">
        <w:rPr>
          <w:rFonts w:ascii="Arial" w:hAnsi="Arial" w:cs="Arial"/>
          <w:sz w:val="16"/>
          <w:szCs w:val="16"/>
        </w:rPr>
        <w:t>177/94”.</w:t>
      </w:r>
    </w:p>
    <w:p w14:paraId="2722C938" w14:textId="77777777" w:rsidR="00E1685B" w:rsidRPr="006504B6" w:rsidRDefault="00E1685B" w:rsidP="00E1685B">
      <w:pPr>
        <w:pStyle w:val="Textonotapie"/>
        <w:contextualSpacing/>
        <w:jc w:val="both"/>
        <w:rPr>
          <w:rFonts w:ascii="Arial" w:hAnsi="Arial" w:cs="Arial"/>
          <w:sz w:val="16"/>
          <w:szCs w:val="16"/>
          <w:lang w:val="es-CO"/>
        </w:rPr>
      </w:pPr>
    </w:p>
  </w:footnote>
  <w:footnote w:id="23">
    <w:p w14:paraId="7C8E34A5" w14:textId="77777777" w:rsidR="00E1685B" w:rsidRPr="006504B6" w:rsidRDefault="00E1685B" w:rsidP="00E1685B">
      <w:pPr>
        <w:pStyle w:val="Textonotapie"/>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El artículo 6 de la Ley 80 de 1993 dispone “Pueden celebrar contratos con las entidades estatales las personas consideradas legalmente capaces en las disposiciones vigentes. También podrán celebrar contratos con las entidades estatales, los consorcios y uniones temporales. Las personas jurídicas nacionales y extranjeras deberán acreditar que su duración no será inferior a la del plazo del contrato y un año más”.</w:t>
      </w:r>
    </w:p>
  </w:footnote>
  <w:footnote w:id="24">
    <w:p w14:paraId="76868CD5" w14:textId="77777777" w:rsidR="00E1685B" w:rsidRPr="006504B6" w:rsidRDefault="00E1685B" w:rsidP="00E1685B">
      <w:pPr>
        <w:pStyle w:val="Textonotapie"/>
        <w:contextualSpacing/>
        <w:jc w:val="both"/>
        <w:rPr>
          <w:rFonts w:ascii="Arial" w:hAnsi="Arial" w:cs="Arial"/>
          <w:sz w:val="16"/>
          <w:szCs w:val="16"/>
        </w:rPr>
      </w:pPr>
    </w:p>
    <w:p w14:paraId="22D5C0FD" w14:textId="77777777" w:rsidR="00E1685B" w:rsidRPr="006504B6" w:rsidRDefault="00E1685B" w:rsidP="00E1685B">
      <w:pPr>
        <w:pStyle w:val="Textonotapie"/>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Artículo 1502 del Código Civil.</w:t>
      </w:r>
    </w:p>
  </w:footnote>
  <w:footnote w:id="25">
    <w:p w14:paraId="7D597C41" w14:textId="77777777" w:rsidR="00E1685B" w:rsidRPr="006504B6" w:rsidRDefault="00E1685B" w:rsidP="00E1685B">
      <w:pPr>
        <w:pStyle w:val="Textonotapie"/>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C.P. José Roberto Sáchica Méndez. Radicación: 11001-03-24-000-2022-00393-00 (69.231).</w:t>
      </w:r>
    </w:p>
  </w:footnote>
  <w:footnote w:id="26">
    <w:p w14:paraId="6D00BB5A" w14:textId="77777777" w:rsidR="00E1685B" w:rsidRPr="006504B6" w:rsidRDefault="00E1685B" w:rsidP="00E1685B">
      <w:pPr>
        <w:pStyle w:val="Textonotapie"/>
        <w:ind w:firstLine="707"/>
        <w:contextualSpacing/>
        <w:jc w:val="both"/>
        <w:rPr>
          <w:rFonts w:ascii="Arial" w:hAnsi="Arial" w:cs="Arial"/>
          <w:sz w:val="16"/>
          <w:szCs w:val="16"/>
        </w:rPr>
      </w:pPr>
    </w:p>
    <w:p w14:paraId="502061B5" w14:textId="77777777" w:rsidR="00E1685B" w:rsidRPr="006504B6" w:rsidRDefault="00E1685B" w:rsidP="00E1685B">
      <w:pPr>
        <w:pStyle w:val="Textonotapie"/>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Consultar el siguiente enlace web: </w:t>
      </w:r>
      <w:hyperlink r:id="rId3" w:history="1">
        <w:r w:rsidRPr="006504B6">
          <w:rPr>
            <w:rFonts w:ascii="Arial" w:hAnsi="Arial" w:cs="Arial"/>
            <w:color w:val="0000FF"/>
            <w:sz w:val="16"/>
            <w:szCs w:val="16"/>
            <w:u w:val="single"/>
          </w:rPr>
          <w:t>Directiva 02 de 2023 Presidencia de la Republica - Gestor Normativo - Función Pública (funcionpublica.gov.co)</w:t>
        </w:r>
      </w:hyperlink>
    </w:p>
  </w:footnote>
  <w:footnote w:id="27">
    <w:p w14:paraId="055139E5" w14:textId="77777777" w:rsidR="00E1685B" w:rsidRPr="002B1E35" w:rsidRDefault="00E1685B" w:rsidP="00E1685B">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w:t>
      </w:r>
      <w:r>
        <w:rPr>
          <w:rFonts w:ascii="Arial" w:hAnsi="Arial" w:cs="Arial"/>
          <w:color w:val="000000"/>
          <w:sz w:val="19"/>
          <w:szCs w:val="19"/>
        </w:rPr>
        <w:t>“</w:t>
      </w:r>
      <w:r w:rsidRPr="002B1E35">
        <w:rPr>
          <w:rFonts w:ascii="Arial" w:hAnsi="Arial" w:cs="Arial"/>
          <w:color w:val="000000"/>
          <w:sz w:val="19"/>
          <w:szCs w:val="19"/>
        </w:rPr>
        <w:t>[a]bsolver consultas sobre la aplicación de normas de carácter general y expedir circulares externas en materia de compras y contratación pública</w:t>
      </w:r>
      <w:r>
        <w:rPr>
          <w:rFonts w:ascii="Arial" w:hAnsi="Arial" w:cs="Arial"/>
          <w:color w:val="000000"/>
          <w:sz w:val="19"/>
          <w:szCs w:val="19"/>
        </w:rPr>
        <w:t>”</w:t>
      </w:r>
      <w:r w:rsidRPr="002B1E35">
        <w:rPr>
          <w:rFonts w:ascii="Arial" w:hAnsi="Arial" w:cs="Arial"/>
          <w:color w:val="000000"/>
          <w:sz w:val="19"/>
          <w:szCs w:val="19"/>
        </w:rPr>
        <w:t xml:space="preserve">. Seguidamente, el numeral 8º del artículo 11 ibidem señala que es función de la Subdirección de Gestión Contractual: </w:t>
      </w:r>
      <w:r>
        <w:rPr>
          <w:rFonts w:ascii="Arial" w:hAnsi="Arial" w:cs="Arial"/>
          <w:color w:val="000000"/>
          <w:sz w:val="19"/>
          <w:szCs w:val="19"/>
        </w:rPr>
        <w:t>“</w:t>
      </w:r>
      <w:r w:rsidRPr="002B1E35">
        <w:rPr>
          <w:rFonts w:ascii="Arial" w:hAnsi="Arial" w:cs="Arial"/>
          <w:color w:val="000000"/>
          <w:sz w:val="19"/>
          <w:szCs w:val="19"/>
        </w:rPr>
        <w:t>[a]bsolver consultas sobre la aplicación de normas de carácter general</w:t>
      </w:r>
      <w:r>
        <w:rPr>
          <w:rFonts w:ascii="Arial" w:hAnsi="Arial" w:cs="Arial"/>
          <w:color w:val="000000"/>
          <w:sz w:val="19"/>
          <w:szCs w:val="19"/>
        </w:rPr>
        <w:t>”</w:t>
      </w:r>
      <w:r w:rsidRPr="002B1E35">
        <w:rPr>
          <w:rFonts w:ascii="Arial" w:hAnsi="Arial" w:cs="Arial"/>
          <w:color w:val="000000"/>
          <w:sz w:val="19"/>
          <w:szCs w:val="19"/>
        </w:rPr>
        <w:t>.</w:t>
      </w:r>
    </w:p>
  </w:footnote>
  <w:footnote w:id="28">
    <w:p w14:paraId="1826B134" w14:textId="77777777" w:rsidR="00E1685B" w:rsidRPr="002B1E35" w:rsidRDefault="00E1685B" w:rsidP="00E1685B">
      <w:pPr>
        <w:pStyle w:val="Textonotapie"/>
        <w:ind w:firstLine="709"/>
        <w:jc w:val="both"/>
        <w:rPr>
          <w:rFonts w:ascii="Arial" w:hAnsi="Arial" w:cs="Arial"/>
          <w:color w:val="000000"/>
          <w:sz w:val="19"/>
          <w:szCs w:val="19"/>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Procuraduría General de la Nación. Concepto del 15 de octubre de 2014. Procuraduría Delegada para Asuntos Disciplinarios. Radicado PAD C-114-2014.</w:t>
      </w:r>
    </w:p>
    <w:p w14:paraId="1F68D569" w14:textId="77777777" w:rsidR="00E1685B" w:rsidRPr="002B1E35" w:rsidRDefault="00E1685B" w:rsidP="00E1685B">
      <w:pPr>
        <w:pStyle w:val="Textonotapie"/>
        <w:ind w:firstLine="709"/>
        <w:jc w:val="both"/>
        <w:rPr>
          <w:rFonts w:ascii="Arial" w:hAnsi="Arial" w:cs="Arial"/>
          <w:sz w:val="19"/>
          <w:szCs w:val="19"/>
          <w:lang w:val="es-ES"/>
        </w:rPr>
      </w:pPr>
    </w:p>
  </w:footnote>
  <w:footnote w:id="29">
    <w:p w14:paraId="13CFD57E" w14:textId="77777777" w:rsidR="00E1685B" w:rsidRPr="002B1E35" w:rsidRDefault="00E1685B" w:rsidP="00E1685B">
      <w:pPr>
        <w:pStyle w:val="Textonotapie"/>
        <w:ind w:firstLine="709"/>
        <w:jc w:val="both"/>
        <w:rPr>
          <w:rFonts w:ascii="Arial" w:hAnsi="Arial" w:cs="Arial"/>
          <w:color w:val="000000"/>
          <w:sz w:val="19"/>
          <w:szCs w:val="19"/>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Contraloría General de la República. Oficina Jurídica. Concepto 80112-OJ-008 2017.</w:t>
      </w:r>
    </w:p>
    <w:p w14:paraId="273E0D07" w14:textId="77777777" w:rsidR="00E1685B" w:rsidRPr="002B1E35" w:rsidRDefault="00E1685B" w:rsidP="00E1685B">
      <w:pPr>
        <w:pStyle w:val="Textonotapie"/>
        <w:ind w:firstLine="709"/>
        <w:jc w:val="both"/>
        <w:rPr>
          <w:rFonts w:ascii="Arial" w:hAnsi="Arial" w:cs="Arial"/>
          <w:sz w:val="19"/>
          <w:szCs w:val="19"/>
          <w:lang w:val="es-ES"/>
        </w:rPr>
      </w:pPr>
    </w:p>
  </w:footnote>
  <w:footnote w:id="30">
    <w:p w14:paraId="12869F9C" w14:textId="77777777" w:rsidR="00E1685B" w:rsidRPr="002B1E35" w:rsidRDefault="00E1685B" w:rsidP="00E1685B">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ARBOLEDA PERDOMO, Enrique José. Comentarios al Nuevo Código de Procedimiento Administrativo y de lo Contencioso Administrativo (2ª ed.). Editorial Legis. Bogotá. 2012. p. 59</w:t>
      </w:r>
    </w:p>
  </w:footnote>
  <w:footnote w:id="31">
    <w:p w14:paraId="51A5E3E2" w14:textId="77777777" w:rsidR="00E1685B" w:rsidRPr="00CA1613" w:rsidRDefault="00E1685B" w:rsidP="00E1685B">
      <w:pPr>
        <w:pStyle w:val="Textonotapie"/>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w:t>
      </w:r>
      <w:r w:rsidRPr="00CA1613">
        <w:rPr>
          <w:rFonts w:ascii="Arial" w:hAnsi="Arial" w:cs="Arial"/>
          <w:sz w:val="19"/>
          <w:szCs w:val="19"/>
          <w:lang w:eastAsia="es-ES_tradnl"/>
        </w:rPr>
        <w:t>Artículos 32 y 40 de la Ley 80 de 1993.</w:t>
      </w:r>
    </w:p>
  </w:footnote>
  <w:footnote w:id="32">
    <w:p w14:paraId="6424487D" w14:textId="77777777" w:rsidR="00E1685B" w:rsidRPr="00CA1613" w:rsidRDefault="00E1685B" w:rsidP="00E1685B">
      <w:pPr>
        <w:pStyle w:val="Textonotapie"/>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GACETA DEL CONGRESO No. 75 del 23 de septiembre de 1992. Exposición de motivos de la Ley 80 de 1993.</w:t>
      </w:r>
    </w:p>
  </w:footnote>
  <w:footnote w:id="33">
    <w:p w14:paraId="5EFDD91F" w14:textId="77777777" w:rsidR="00E1685B" w:rsidRPr="00CA1613" w:rsidRDefault="00E1685B" w:rsidP="00E1685B">
      <w:pPr>
        <w:pStyle w:val="Textonotapie"/>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La transacción, como se explicará más adelante, es un contrato y a la vez un mecanismo de solución de conflictos que carece de regulación en el Estatuto General de Contratación de la Administración Pública, razón por la cual es menester acudir a la definición que de este consagra el Código Civil. El artículo 2469 del citado Código, aplicable a los contratos estatales, lo define como un contrato en el que las partes terminan extrajudicialmente un litigio pendiente o precaven uno eventual. De manera que a través de este negocio jurídico las partes inmersas en un conflicto presente o futuro convienen en solucionarlo o evitarlo haciéndose concesiones entre ellas y de forma definitiva como quiera que en los términos de los artículos 1625 y 2483 </w:t>
      </w:r>
      <w:r w:rsidRPr="00CA1613">
        <w:rPr>
          <w:rFonts w:ascii="Arial" w:hAnsi="Arial" w:cs="Arial"/>
          <w:i/>
          <w:iCs/>
          <w:sz w:val="19"/>
          <w:szCs w:val="19"/>
        </w:rPr>
        <w:t>ibídem</w:t>
      </w:r>
      <w:r w:rsidRPr="00CA1613">
        <w:rPr>
          <w:rFonts w:ascii="Arial" w:hAnsi="Arial" w:cs="Arial"/>
          <w:sz w:val="19"/>
          <w:szCs w:val="19"/>
        </w:rPr>
        <w:t xml:space="preserve"> es una forma de extinción de las obligaciones y produce los efectos de la cosa juzgada.</w:t>
      </w:r>
    </w:p>
  </w:footnote>
  <w:footnote w:id="34">
    <w:p w14:paraId="4B7F61D0" w14:textId="77777777" w:rsidR="00E1685B" w:rsidRPr="00CA1613" w:rsidRDefault="00E1685B" w:rsidP="00E1685B">
      <w:pPr>
        <w:pStyle w:val="Textonotapie"/>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Según el artículo 64 de la Ley 446 de 1998, la conciliación es un mecanismo de resolución de conflictos a través del cual, dos o más personas gestionan por sí mismas la solución de sus diferencias, con la ayuda de un tercero neutral y calificado, denominado conciliador. </w:t>
      </w:r>
      <w:r w:rsidRPr="00A41D10">
        <w:rPr>
          <w:rFonts w:ascii="Arial" w:hAnsi="Arial" w:cs="Arial"/>
          <w:sz w:val="19"/>
          <w:szCs w:val="19"/>
        </w:rPr>
        <w:t>Son conciliables todos los asuntos susceptibles de transacción, desistimiento y aquellos que expresamente determine la ley (art</w:t>
      </w:r>
      <w:r w:rsidRPr="00CA1613">
        <w:rPr>
          <w:rFonts w:ascii="Arial" w:hAnsi="Arial" w:cs="Arial"/>
          <w:sz w:val="19"/>
          <w:szCs w:val="19"/>
        </w:rPr>
        <w:t xml:space="preserve">ículo </w:t>
      </w:r>
      <w:r w:rsidRPr="00A41D10">
        <w:rPr>
          <w:rFonts w:ascii="Arial" w:hAnsi="Arial" w:cs="Arial"/>
          <w:sz w:val="19"/>
          <w:szCs w:val="19"/>
        </w:rPr>
        <w:t>65 Ley 446</w:t>
      </w:r>
      <w:r w:rsidRPr="00CA1613">
        <w:rPr>
          <w:rFonts w:ascii="Arial" w:hAnsi="Arial" w:cs="Arial"/>
          <w:sz w:val="19"/>
          <w:szCs w:val="19"/>
        </w:rPr>
        <w:t xml:space="preserve"> de 1998 </w:t>
      </w:r>
      <w:r w:rsidRPr="00A41D10">
        <w:rPr>
          <w:rFonts w:ascii="Arial" w:hAnsi="Arial" w:cs="Arial"/>
          <w:sz w:val="19"/>
          <w:szCs w:val="19"/>
        </w:rPr>
        <w:t>y 19 de la Ley 640</w:t>
      </w:r>
      <w:r w:rsidRPr="00CA1613">
        <w:rPr>
          <w:rFonts w:ascii="Arial" w:hAnsi="Arial" w:cs="Arial"/>
          <w:sz w:val="19"/>
          <w:szCs w:val="19"/>
        </w:rPr>
        <w:t xml:space="preserve"> de </w:t>
      </w:r>
      <w:r w:rsidRPr="00A41D10">
        <w:rPr>
          <w:rFonts w:ascii="Arial" w:hAnsi="Arial" w:cs="Arial"/>
          <w:sz w:val="19"/>
          <w:szCs w:val="19"/>
        </w:rPr>
        <w:t>2001). El acuerdo conciliatorio hace tránsito a cosa juzgada y el acta de conciliación presta mérito ejecutivo (art</w:t>
      </w:r>
      <w:r w:rsidRPr="00CA1613">
        <w:rPr>
          <w:rFonts w:ascii="Arial" w:hAnsi="Arial" w:cs="Arial"/>
          <w:sz w:val="19"/>
          <w:szCs w:val="19"/>
        </w:rPr>
        <w:t xml:space="preserve">ículo </w:t>
      </w:r>
      <w:r w:rsidRPr="00A41D10">
        <w:rPr>
          <w:rFonts w:ascii="Arial" w:hAnsi="Arial" w:cs="Arial"/>
          <w:sz w:val="19"/>
          <w:szCs w:val="19"/>
        </w:rPr>
        <w:t>66 Ley 446</w:t>
      </w:r>
      <w:r w:rsidRPr="00CA1613">
        <w:rPr>
          <w:rFonts w:ascii="Arial" w:hAnsi="Arial" w:cs="Arial"/>
          <w:sz w:val="19"/>
          <w:szCs w:val="19"/>
        </w:rPr>
        <w:t xml:space="preserve"> de 19</w:t>
      </w:r>
      <w:r w:rsidRPr="00A41D10">
        <w:rPr>
          <w:rFonts w:ascii="Arial" w:hAnsi="Arial" w:cs="Arial"/>
          <w:sz w:val="19"/>
          <w:szCs w:val="19"/>
        </w:rPr>
        <w:t xml:space="preserve">98). </w:t>
      </w:r>
      <w:r w:rsidRPr="00CA1613">
        <w:rPr>
          <w:rFonts w:ascii="Arial" w:hAnsi="Arial" w:cs="Arial"/>
          <w:sz w:val="19"/>
          <w:szCs w:val="19"/>
        </w:rPr>
        <w:t>De conformidad con el artículo 70 de la Ley 446 de 1998 pueden conciliar, total o parcialmente en las etapas prejudicial o judicial, las personas de derecho público, a través de sus representantes legales o por conducto de apoderado, sobre conflictos de carácter particular y contenido económico de que conozca o pueda conocer la Jurisdicción de lo Contencioso Administrativo mediante el medio de control de controversias contractuales (artículo 141 de la Ley 1437 de 2011).</w:t>
      </w:r>
    </w:p>
  </w:footnote>
  <w:footnote w:id="35">
    <w:p w14:paraId="70D84373" w14:textId="77777777" w:rsidR="00E1685B" w:rsidRPr="00CA1613" w:rsidRDefault="00E1685B" w:rsidP="00E1685B">
      <w:pPr>
        <w:pStyle w:val="Textonotapie"/>
        <w:ind w:firstLine="709"/>
        <w:rPr>
          <w:rFonts w:ascii="Arial" w:hAnsi="Arial" w:cs="Arial"/>
          <w:sz w:val="19"/>
          <w:szCs w:val="19"/>
          <w:lang w:val="es-ES"/>
        </w:rPr>
      </w:pPr>
      <w:r w:rsidRPr="00CA1613">
        <w:rPr>
          <w:rStyle w:val="Refdenotaalpie"/>
          <w:rFonts w:ascii="Arial" w:hAnsi="Arial" w:cs="Arial"/>
          <w:sz w:val="19"/>
          <w:szCs w:val="19"/>
        </w:rPr>
        <w:footnoteRef/>
      </w:r>
      <w:r w:rsidRPr="00CA1613">
        <w:rPr>
          <w:rFonts w:ascii="Arial" w:hAnsi="Arial" w:cs="Arial"/>
          <w:sz w:val="19"/>
          <w:szCs w:val="19"/>
        </w:rPr>
        <w:t xml:space="preserve"> </w:t>
      </w:r>
      <w:r w:rsidRPr="00CA1613">
        <w:rPr>
          <w:rFonts w:ascii="Arial" w:hAnsi="Arial" w:cs="Arial"/>
          <w:sz w:val="19"/>
          <w:szCs w:val="19"/>
          <w:lang w:val="es-ES"/>
        </w:rPr>
        <w:t xml:space="preserve">Que en realidad podría ser visto como un conjunto de reglas derivadas de principios rectores de la contratación pública y, en general, de la función administrativa, tales como la eficacia, la celeridad, la economía, entre otros.  </w:t>
      </w:r>
    </w:p>
  </w:footnote>
  <w:footnote w:id="36">
    <w:p w14:paraId="33A07948" w14:textId="77777777" w:rsidR="00E1685B" w:rsidRPr="00CA1613" w:rsidRDefault="00E1685B" w:rsidP="00E1685B">
      <w:pPr>
        <w:pStyle w:val="Textonotapie"/>
        <w:ind w:firstLine="709"/>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Corte Constitucional, Sentencia T-017 de 20 de enero de 2005, expediente T-973352, M.P. Rodrigo Escobar G</w:t>
      </w:r>
      <w:r>
        <w:rPr>
          <w:rFonts w:ascii="Arial" w:hAnsi="Arial" w:cs="Arial"/>
          <w:sz w:val="19"/>
          <w:szCs w:val="19"/>
        </w:rPr>
        <w:t>il</w:t>
      </w:r>
      <w:r w:rsidRPr="00CA1613">
        <w:rPr>
          <w:rFonts w:ascii="Arial" w:hAnsi="Arial" w:cs="Arial"/>
          <w:sz w:val="19"/>
          <w:szCs w:val="19"/>
        </w:rPr>
        <w:t xml:space="preserve">. En similar sentido, Consejo de Estado, Sala de Consulta y Servicio Civil, Concepto de </w:t>
      </w:r>
      <w:r>
        <w:rPr>
          <w:rFonts w:ascii="Arial" w:hAnsi="Arial" w:cs="Arial"/>
          <w:sz w:val="19"/>
          <w:szCs w:val="19"/>
        </w:rPr>
        <w:t xml:space="preserve">12 de diciembre de 2017, </w:t>
      </w:r>
      <w:r w:rsidRPr="00CA1613">
        <w:rPr>
          <w:rFonts w:ascii="Arial" w:hAnsi="Arial" w:cs="Arial"/>
          <w:sz w:val="19"/>
          <w:szCs w:val="19"/>
        </w:rPr>
        <w:t>Rad. 2338, C.P. Oscar Darío Amaya Navas.</w:t>
      </w:r>
    </w:p>
  </w:footnote>
  <w:footnote w:id="37">
    <w:p w14:paraId="2E598537" w14:textId="77777777" w:rsidR="00E1685B" w:rsidRPr="000B66C7" w:rsidRDefault="00E1685B" w:rsidP="00E1685B">
      <w:pPr>
        <w:pStyle w:val="Textonotapie"/>
        <w:ind w:firstLine="708"/>
        <w:rPr>
          <w:rFonts w:ascii="Arial" w:hAnsi="Arial" w:cs="Arial"/>
          <w:lang w:val="es-ES"/>
        </w:rPr>
      </w:pPr>
      <w:r w:rsidRPr="000B66C7">
        <w:rPr>
          <w:rStyle w:val="Refdenotaalpie"/>
          <w:rFonts w:ascii="Arial" w:hAnsi="Arial" w:cs="Arial"/>
        </w:rPr>
        <w:footnoteRef/>
      </w:r>
      <w:r w:rsidRPr="000B66C7">
        <w:rPr>
          <w:rFonts w:ascii="Arial" w:hAnsi="Arial" w:cs="Arial"/>
        </w:rPr>
        <w:t xml:space="preserve"> Respecto a la conciliación extra judicial y judicial, ver las leyes 446 de 1998 y 640 de 2001. </w:t>
      </w:r>
    </w:p>
  </w:footnote>
  <w:footnote w:id="38">
    <w:p w14:paraId="3B586274" w14:textId="77777777" w:rsidR="00E1685B" w:rsidRPr="00CA1613" w:rsidRDefault="00E1685B" w:rsidP="00E1685B">
      <w:pPr>
        <w:pStyle w:val="Textonotapie"/>
        <w:ind w:firstLine="708"/>
        <w:rPr>
          <w:rFonts w:ascii="Arial" w:hAnsi="Arial" w:cs="Arial"/>
          <w:sz w:val="19"/>
          <w:szCs w:val="19"/>
        </w:rPr>
      </w:pPr>
      <w:r w:rsidRPr="00CA1613">
        <w:rPr>
          <w:rStyle w:val="Refdenotaalpie"/>
          <w:rFonts w:ascii="Arial" w:hAnsi="Arial" w:cs="Arial"/>
          <w:sz w:val="19"/>
          <w:szCs w:val="19"/>
        </w:rPr>
        <w:footnoteRef/>
      </w:r>
      <w:r w:rsidRPr="00CA1613">
        <w:rPr>
          <w:rFonts w:ascii="Arial" w:hAnsi="Arial" w:cs="Arial"/>
          <w:sz w:val="19"/>
          <w:szCs w:val="19"/>
        </w:rPr>
        <w:t xml:space="preserve"> </w:t>
      </w:r>
      <w:bookmarkStart w:id="19" w:name="_Hlk82556240"/>
      <w:r w:rsidRPr="00CA1613">
        <w:rPr>
          <w:rFonts w:ascii="Arial" w:hAnsi="Arial" w:cs="Arial"/>
          <w:sz w:val="19"/>
          <w:szCs w:val="19"/>
        </w:rPr>
        <w:t xml:space="preserve">El artículo 59 de la ley 1563 de 2012 define la amigable composición de la siguiente manera: </w:t>
      </w:r>
      <w:r>
        <w:rPr>
          <w:rFonts w:ascii="Arial" w:eastAsia="Calibri" w:hAnsi="Arial" w:cs="Arial"/>
          <w:bCs/>
          <w:sz w:val="19"/>
          <w:szCs w:val="19"/>
          <w:lang w:val="es-CO"/>
        </w:rPr>
        <w:t>“</w:t>
      </w:r>
      <w:r w:rsidRPr="00CA1613">
        <w:rPr>
          <w:rFonts w:ascii="Arial" w:hAnsi="Arial" w:cs="Arial"/>
          <w:sz w:val="19"/>
          <w:szCs w:val="19"/>
        </w:rPr>
        <w:t>Artículo 59. Definición. La amigable composición es un mecanismo alternativo de solución de conflictos, por medio del cual, dos o más particulares, un particular y una o más entidades públicas, o varias entidades públicas, o quien desempeñe funciones administrativas, delegan en un tercero, denominado amigable componedor, la facultad de definir, con fuerza vinculante para las partes, una controversia contractual de libre disposición.</w:t>
      </w:r>
      <w:r>
        <w:rPr>
          <w:rFonts w:ascii="Arial" w:eastAsia="Calibri" w:hAnsi="Arial" w:cs="Arial"/>
          <w:sz w:val="19"/>
          <w:szCs w:val="19"/>
        </w:rPr>
        <w:t>”</w:t>
      </w:r>
      <w:bookmarkEnd w:id="19"/>
    </w:p>
  </w:footnote>
  <w:footnote w:id="39">
    <w:p w14:paraId="48C5BCF4" w14:textId="77777777" w:rsidR="00E1685B" w:rsidRPr="00CA1613" w:rsidRDefault="00E1685B" w:rsidP="00E1685B">
      <w:pPr>
        <w:pStyle w:val="Textonotapie"/>
        <w:ind w:firstLine="709"/>
        <w:rPr>
          <w:rFonts w:ascii="Arial" w:hAnsi="Arial" w:cs="Arial"/>
          <w:b/>
          <w:bCs/>
          <w:sz w:val="19"/>
          <w:szCs w:val="19"/>
        </w:rPr>
      </w:pPr>
      <w:r w:rsidRPr="00E23478">
        <w:rPr>
          <w:rStyle w:val="Refdenotaalpie"/>
          <w:rFonts w:ascii="Arial" w:hAnsi="Arial" w:cs="Arial"/>
          <w:color w:val="000000" w:themeColor="text1"/>
          <w:sz w:val="19"/>
          <w:szCs w:val="19"/>
        </w:rPr>
        <w:footnoteRef/>
      </w:r>
      <w:r w:rsidRPr="00E23478">
        <w:rPr>
          <w:rFonts w:ascii="Arial" w:hAnsi="Arial" w:cs="Arial"/>
          <w:color w:val="000000" w:themeColor="text1"/>
          <w:sz w:val="19"/>
          <w:szCs w:val="19"/>
        </w:rPr>
        <w:t xml:space="preserve"> Procuraduría General </w:t>
      </w:r>
      <w:r w:rsidRPr="00F002AE">
        <w:rPr>
          <w:rFonts w:ascii="Arial" w:hAnsi="Arial" w:cs="Arial"/>
          <w:color w:val="000000" w:themeColor="text1"/>
          <w:sz w:val="19"/>
          <w:szCs w:val="19"/>
        </w:rPr>
        <w:t xml:space="preserve">de la Nación. Los mecanismos </w:t>
      </w:r>
      <w:r w:rsidRPr="00CA1613">
        <w:rPr>
          <w:rFonts w:ascii="Arial" w:hAnsi="Arial" w:cs="Arial"/>
          <w:sz w:val="19"/>
          <w:szCs w:val="19"/>
        </w:rPr>
        <w:t>alternativos de solución de conflictos en Colombia. MASC. Estudios, caracterización y compilación normativa y jurisprudencial. Tomo III, p. 53. En: https://www.procuraduria.gov.co/iemp/media/file/img/noticias/Los%20mecanismos%20alternativos%20%20de%20soluci%C3%B3n%20de%20conflictos%20en%20Colombia%20+%20MASC.pdf</w:t>
      </w:r>
    </w:p>
  </w:footnote>
  <w:footnote w:id="40">
    <w:p w14:paraId="64EEBB0C"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sidRPr="00CA1613">
        <w:rPr>
          <w:rStyle w:val="Refdenotaalpie"/>
          <w:rFonts w:ascii="Arial" w:hAnsi="Arial" w:cs="Arial"/>
          <w:color w:val="000000" w:themeColor="text1"/>
          <w:sz w:val="19"/>
          <w:szCs w:val="19"/>
        </w:rPr>
        <w:footnoteRef/>
      </w:r>
      <w:r w:rsidRPr="00CA1613">
        <w:rPr>
          <w:rFonts w:ascii="Arial" w:hAnsi="Arial" w:cs="Arial"/>
          <w:color w:val="000000" w:themeColor="text1"/>
          <w:sz w:val="19"/>
          <w:szCs w:val="19"/>
        </w:rPr>
        <w:t xml:space="preserve"> </w:t>
      </w:r>
      <w:r w:rsidRPr="00CA1613">
        <w:rPr>
          <w:rFonts w:ascii="Arial" w:hAnsi="Arial" w:cs="Arial"/>
          <w:color w:val="000000" w:themeColor="text1"/>
          <w:sz w:val="19"/>
          <w:szCs w:val="19"/>
          <w:lang w:val="es-ES"/>
        </w:rPr>
        <w:t xml:space="preserve">La redacción del artículo 1.625 es la siguiente: </w:t>
      </w:r>
      <w:r>
        <w:rPr>
          <w:rFonts w:ascii="Arial" w:hAnsi="Arial" w:cs="Arial"/>
          <w:color w:val="000000" w:themeColor="text1"/>
          <w:sz w:val="19"/>
          <w:szCs w:val="19"/>
          <w:lang w:val="es-ES"/>
        </w:rPr>
        <w:t>“</w:t>
      </w:r>
      <w:r w:rsidRPr="00CA1613">
        <w:rPr>
          <w:rFonts w:ascii="Arial" w:hAnsi="Arial" w:cs="Arial"/>
          <w:color w:val="000000" w:themeColor="text1"/>
          <w:sz w:val="19"/>
          <w:szCs w:val="19"/>
        </w:rPr>
        <w:t>Toda obligación puede extinguirse por una convención en que las partes interesadas, siendo capaces de disponer libremente de lo suyo, consientan en darla por nula.</w:t>
      </w:r>
    </w:p>
    <w:p w14:paraId="358AB678"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Las obligaciones se extinguen además en todo o en parte:</w:t>
      </w:r>
    </w:p>
    <w:p w14:paraId="2586DDC8"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1o.) Por la solución o pago efectivo.</w:t>
      </w:r>
    </w:p>
    <w:p w14:paraId="41F7005F"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2o.) Por la novación.</w:t>
      </w:r>
    </w:p>
    <w:p w14:paraId="3BD617A0"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3o.) Por la transacción.</w:t>
      </w:r>
    </w:p>
    <w:p w14:paraId="1F552A2C"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4o.) Por la remisión.</w:t>
      </w:r>
    </w:p>
    <w:p w14:paraId="213F93AE"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5o.) Por la compensación.</w:t>
      </w:r>
    </w:p>
    <w:p w14:paraId="1F114ECF"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6o.) Por la confusión.</w:t>
      </w:r>
    </w:p>
    <w:p w14:paraId="76091172"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7o.) Por la pérdida de la cosa que se debe.</w:t>
      </w:r>
    </w:p>
    <w:p w14:paraId="54EF2FBC"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8o.) Por la declaración de nulidad o por la rescisión.</w:t>
      </w:r>
    </w:p>
    <w:p w14:paraId="770719BB"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9o.) Por el evento de la condición resolutoria.</w:t>
      </w:r>
    </w:p>
    <w:p w14:paraId="6673245A"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10.) Por la prescripción.</w:t>
      </w:r>
    </w:p>
    <w:p w14:paraId="6A466FA1" w14:textId="77777777" w:rsidR="00E1685B" w:rsidRPr="00CA1613" w:rsidRDefault="00E1685B" w:rsidP="00E1685B">
      <w:pPr>
        <w:pStyle w:val="NormalWeb"/>
        <w:spacing w:before="0" w:beforeAutospacing="0" w:after="0" w:afterAutospacing="0"/>
        <w:ind w:firstLine="709"/>
        <w:rPr>
          <w:rFonts w:ascii="Arial" w:hAnsi="Arial" w:cs="Arial"/>
          <w:color w:val="000000" w:themeColor="text1"/>
          <w:sz w:val="19"/>
          <w:szCs w:val="19"/>
        </w:rPr>
      </w:pPr>
      <w:r>
        <w:rPr>
          <w:rFonts w:ascii="Arial" w:hAnsi="Arial" w:cs="Arial"/>
          <w:color w:val="000000" w:themeColor="text1"/>
          <w:sz w:val="19"/>
          <w:szCs w:val="19"/>
        </w:rPr>
        <w:t>“</w:t>
      </w:r>
      <w:r w:rsidRPr="00CA1613">
        <w:rPr>
          <w:rFonts w:ascii="Arial" w:hAnsi="Arial" w:cs="Arial"/>
          <w:color w:val="000000" w:themeColor="text1"/>
          <w:sz w:val="19"/>
          <w:szCs w:val="19"/>
        </w:rPr>
        <w:t>De la transacción y la prescripción se tratará al fin de este libro; de la condición resolutoria se ha tratado en el título De las obligaciones condicionales</w:t>
      </w:r>
      <w:r>
        <w:rPr>
          <w:rFonts w:ascii="Arial" w:hAnsi="Arial" w:cs="Arial"/>
          <w:color w:val="000000" w:themeColor="text1"/>
          <w:sz w:val="19"/>
          <w:szCs w:val="19"/>
        </w:rPr>
        <w:t>”</w:t>
      </w:r>
      <w:r w:rsidRPr="00CA1613">
        <w:rPr>
          <w:rFonts w:ascii="Arial" w:hAnsi="Arial" w:cs="Arial"/>
          <w:color w:val="000000" w:themeColor="text1"/>
          <w:sz w:val="19"/>
          <w:szCs w:val="19"/>
        </w:rPr>
        <w:t>.</w:t>
      </w:r>
    </w:p>
    <w:p w14:paraId="2B3552A6" w14:textId="77777777" w:rsidR="00E1685B" w:rsidRPr="00CA1613" w:rsidRDefault="00E1685B" w:rsidP="00E1685B">
      <w:pPr>
        <w:pStyle w:val="Textonotapie"/>
        <w:ind w:firstLine="709"/>
        <w:rPr>
          <w:rFonts w:ascii="Arial" w:hAnsi="Arial" w:cs="Arial"/>
          <w:color w:val="000000" w:themeColor="text1"/>
          <w:sz w:val="19"/>
          <w:szCs w:val="19"/>
          <w:lang w:val="es-CO"/>
        </w:rPr>
      </w:pPr>
    </w:p>
  </w:footnote>
  <w:footnote w:id="41">
    <w:p w14:paraId="37B07802" w14:textId="77777777" w:rsidR="00E1685B" w:rsidRPr="002B1E35" w:rsidRDefault="00E1685B" w:rsidP="00E1685B">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ARBOLEDA PERDOMO, Enrique José. Comentarios al Nuevo Código de Procedimiento Administrativo y de lo Contencioso Administrativo (2ª ed.). Editorial Legis. Bogotá. 2012. p.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F2FF" w14:textId="77777777" w:rsidR="0020617F" w:rsidRDefault="0020617F" w:rsidP="0020617F">
    <w:pPr>
      <w:pStyle w:val="Encabezado"/>
    </w:pPr>
    <w:r>
      <w:rPr>
        <w:noProof/>
      </w:rPr>
      <w:drawing>
        <wp:anchor distT="0" distB="0" distL="114300" distR="114300" simplePos="0" relativeHeight="251658241" behindDoc="1" locked="0" layoutInCell="1" allowOverlap="1" wp14:anchorId="5DD8D809" wp14:editId="62E4B453">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rPr>
      <w:drawing>
        <wp:anchor distT="0" distB="0" distL="114300" distR="114300" simplePos="0" relativeHeight="251658244" behindDoc="0" locked="0" layoutInCell="1" allowOverlap="1" wp14:anchorId="7AE6B2EF" wp14:editId="7F6B726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rPr>
      <w:drawing>
        <wp:anchor distT="0" distB="0" distL="114300" distR="114300" simplePos="0" relativeHeight="251658243" behindDoc="0" locked="0" layoutInCell="1" allowOverlap="1" wp14:anchorId="5810FC16" wp14:editId="1EA3BF0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E3F34B" wp14:editId="65F93AD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91DD875" w14:textId="77777777" w:rsidR="0020617F" w:rsidRDefault="0020617F" w:rsidP="0020617F">
    <w:pPr>
      <w:pStyle w:val="Encabezado"/>
    </w:pPr>
  </w:p>
  <w:p w14:paraId="3905E6B5" w14:textId="77777777" w:rsidR="0020617F" w:rsidRDefault="0020617F" w:rsidP="0020617F">
    <w:pPr>
      <w:pStyle w:val="Encabezado"/>
    </w:pPr>
  </w:p>
  <w:p w14:paraId="32707E4E" w14:textId="77777777" w:rsidR="0020617F" w:rsidRPr="004A305D" w:rsidRDefault="0020617F" w:rsidP="0020617F">
    <w:pPr>
      <w:rPr>
        <w:rFonts w:ascii="Century Gothic" w:hAnsi="Century Gothic"/>
        <w:color w:val="002060"/>
        <w:sz w:val="16"/>
        <w:szCs w:val="16"/>
      </w:rPr>
    </w:pPr>
    <w:r w:rsidRPr="004A305D">
      <w:rPr>
        <w:rFonts w:ascii="Century Gothic" w:hAnsi="Century Gothic"/>
        <w:color w:val="002060"/>
        <w:sz w:val="16"/>
        <w:szCs w:val="16"/>
      </w:rPr>
      <w:t>FORMATO PQRSD</w:t>
    </w:r>
  </w:p>
  <w:p w14:paraId="20AA33EE" w14:textId="77777777" w:rsidR="0020617F" w:rsidRPr="004A305D" w:rsidRDefault="0020617F" w:rsidP="0020617F">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C96F0C7" w14:textId="77777777" w:rsidR="0020617F" w:rsidRDefault="0020617F" w:rsidP="0020617F">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5E5DA52" w14:textId="45BF26AF" w:rsidR="00C11EE9" w:rsidRPr="0020617F" w:rsidRDefault="00C11EE9" w:rsidP="00206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490511C0"/>
    <w:multiLevelType w:val="hybridMultilevel"/>
    <w:tmpl w:val="487E7AC6"/>
    <w:lvl w:ilvl="0" w:tplc="7E5AA202">
      <w:start w:val="1"/>
      <w:numFmt w:val="lowerLetter"/>
      <w:lvlText w:val="%1)"/>
      <w:lvlJc w:val="left"/>
      <w:pPr>
        <w:ind w:left="1008" w:hanging="330"/>
      </w:pPr>
      <w:rPr>
        <w:rFonts w:ascii="Arial" w:eastAsia="Arial" w:hAnsi="Arial" w:cs="Arial" w:hint="default"/>
        <w:color w:val="4E4D4D"/>
        <w:spacing w:val="-28"/>
        <w:w w:val="100"/>
        <w:sz w:val="21"/>
        <w:szCs w:val="21"/>
        <w:lang w:val="es-ES" w:eastAsia="en-US" w:bidi="ar-SA"/>
      </w:rPr>
    </w:lvl>
    <w:lvl w:ilvl="1" w:tplc="BFF6E084">
      <w:numFmt w:val="bullet"/>
      <w:lvlText w:val="•"/>
      <w:lvlJc w:val="left"/>
      <w:pPr>
        <w:ind w:left="1834" w:hanging="330"/>
      </w:pPr>
      <w:rPr>
        <w:rFonts w:hint="default"/>
        <w:lang w:val="es-ES" w:eastAsia="en-US" w:bidi="ar-SA"/>
      </w:rPr>
    </w:lvl>
    <w:lvl w:ilvl="2" w:tplc="E9E0C728">
      <w:numFmt w:val="bullet"/>
      <w:lvlText w:val="•"/>
      <w:lvlJc w:val="left"/>
      <w:pPr>
        <w:ind w:left="2668" w:hanging="330"/>
      </w:pPr>
      <w:rPr>
        <w:rFonts w:hint="default"/>
        <w:lang w:val="es-ES" w:eastAsia="en-US" w:bidi="ar-SA"/>
      </w:rPr>
    </w:lvl>
    <w:lvl w:ilvl="3" w:tplc="C75CB3C4">
      <w:numFmt w:val="bullet"/>
      <w:lvlText w:val="•"/>
      <w:lvlJc w:val="left"/>
      <w:pPr>
        <w:ind w:left="3502" w:hanging="330"/>
      </w:pPr>
      <w:rPr>
        <w:rFonts w:hint="default"/>
        <w:lang w:val="es-ES" w:eastAsia="en-US" w:bidi="ar-SA"/>
      </w:rPr>
    </w:lvl>
    <w:lvl w:ilvl="4" w:tplc="065A04CE">
      <w:numFmt w:val="bullet"/>
      <w:lvlText w:val="•"/>
      <w:lvlJc w:val="left"/>
      <w:pPr>
        <w:ind w:left="4336" w:hanging="330"/>
      </w:pPr>
      <w:rPr>
        <w:rFonts w:hint="default"/>
        <w:lang w:val="es-ES" w:eastAsia="en-US" w:bidi="ar-SA"/>
      </w:rPr>
    </w:lvl>
    <w:lvl w:ilvl="5" w:tplc="A70A964C">
      <w:numFmt w:val="bullet"/>
      <w:lvlText w:val="•"/>
      <w:lvlJc w:val="left"/>
      <w:pPr>
        <w:ind w:left="5170" w:hanging="330"/>
      </w:pPr>
      <w:rPr>
        <w:rFonts w:hint="default"/>
        <w:lang w:val="es-ES" w:eastAsia="en-US" w:bidi="ar-SA"/>
      </w:rPr>
    </w:lvl>
    <w:lvl w:ilvl="6" w:tplc="76AAE404">
      <w:numFmt w:val="bullet"/>
      <w:lvlText w:val="•"/>
      <w:lvlJc w:val="left"/>
      <w:pPr>
        <w:ind w:left="6004" w:hanging="330"/>
      </w:pPr>
      <w:rPr>
        <w:rFonts w:hint="default"/>
        <w:lang w:val="es-ES" w:eastAsia="en-US" w:bidi="ar-SA"/>
      </w:rPr>
    </w:lvl>
    <w:lvl w:ilvl="7" w:tplc="1AAA4116">
      <w:numFmt w:val="bullet"/>
      <w:lvlText w:val="•"/>
      <w:lvlJc w:val="left"/>
      <w:pPr>
        <w:ind w:left="6838" w:hanging="330"/>
      </w:pPr>
      <w:rPr>
        <w:rFonts w:hint="default"/>
        <w:lang w:val="es-ES" w:eastAsia="en-US" w:bidi="ar-SA"/>
      </w:rPr>
    </w:lvl>
    <w:lvl w:ilvl="8" w:tplc="597439B4">
      <w:numFmt w:val="bullet"/>
      <w:lvlText w:val="•"/>
      <w:lvlJc w:val="left"/>
      <w:pPr>
        <w:ind w:left="7672" w:hanging="330"/>
      </w:pPr>
      <w:rPr>
        <w:rFonts w:hint="default"/>
        <w:lang w:val="es-ES" w:eastAsia="en-US" w:bidi="ar-SA"/>
      </w:rPr>
    </w:lvl>
  </w:abstractNum>
  <w:num w:numId="1" w16cid:durableId="1645500354">
    <w:abstractNumId w:val="0"/>
  </w:num>
  <w:num w:numId="2" w16cid:durableId="376663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CA7"/>
    <w:rsid w:val="00040E76"/>
    <w:rsid w:val="000460CE"/>
    <w:rsid w:val="0004698F"/>
    <w:rsid w:val="0005405C"/>
    <w:rsid w:val="000636D4"/>
    <w:rsid w:val="00070833"/>
    <w:rsid w:val="000868A6"/>
    <w:rsid w:val="00092218"/>
    <w:rsid w:val="00094407"/>
    <w:rsid w:val="000977C9"/>
    <w:rsid w:val="000A0743"/>
    <w:rsid w:val="000A5435"/>
    <w:rsid w:val="000B46EA"/>
    <w:rsid w:val="000B5520"/>
    <w:rsid w:val="000B7248"/>
    <w:rsid w:val="000C3009"/>
    <w:rsid w:val="000C5926"/>
    <w:rsid w:val="000D68A1"/>
    <w:rsid w:val="000E40F0"/>
    <w:rsid w:val="000F2799"/>
    <w:rsid w:val="000F3F7E"/>
    <w:rsid w:val="000F6D56"/>
    <w:rsid w:val="00101285"/>
    <w:rsid w:val="001155BC"/>
    <w:rsid w:val="00117742"/>
    <w:rsid w:val="001235AB"/>
    <w:rsid w:val="00125FAE"/>
    <w:rsid w:val="001310BD"/>
    <w:rsid w:val="0013218A"/>
    <w:rsid w:val="001425C6"/>
    <w:rsid w:val="00155AA4"/>
    <w:rsid w:val="00172302"/>
    <w:rsid w:val="00175731"/>
    <w:rsid w:val="00181A0F"/>
    <w:rsid w:val="00184421"/>
    <w:rsid w:val="00187C2F"/>
    <w:rsid w:val="001957A4"/>
    <w:rsid w:val="001A0BEF"/>
    <w:rsid w:val="001A5C14"/>
    <w:rsid w:val="001B561E"/>
    <w:rsid w:val="001B7D44"/>
    <w:rsid w:val="001C7A05"/>
    <w:rsid w:val="001E22AC"/>
    <w:rsid w:val="001F0E5D"/>
    <w:rsid w:val="0020617F"/>
    <w:rsid w:val="00211FD1"/>
    <w:rsid w:val="00212893"/>
    <w:rsid w:val="00241891"/>
    <w:rsid w:val="0024319D"/>
    <w:rsid w:val="00246C39"/>
    <w:rsid w:val="0025058A"/>
    <w:rsid w:val="00255DF7"/>
    <w:rsid w:val="00256066"/>
    <w:rsid w:val="00264399"/>
    <w:rsid w:val="002669E5"/>
    <w:rsid w:val="00290C3D"/>
    <w:rsid w:val="00293329"/>
    <w:rsid w:val="002B3621"/>
    <w:rsid w:val="002C0664"/>
    <w:rsid w:val="002C1CE3"/>
    <w:rsid w:val="002D5C6B"/>
    <w:rsid w:val="002E5EF3"/>
    <w:rsid w:val="002F7C3F"/>
    <w:rsid w:val="003168A5"/>
    <w:rsid w:val="0031762F"/>
    <w:rsid w:val="00334AF9"/>
    <w:rsid w:val="00341E32"/>
    <w:rsid w:val="0034655E"/>
    <w:rsid w:val="00350F02"/>
    <w:rsid w:val="00351231"/>
    <w:rsid w:val="003532FE"/>
    <w:rsid w:val="0036284A"/>
    <w:rsid w:val="00362D7B"/>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D06F0"/>
    <w:rsid w:val="003D162E"/>
    <w:rsid w:val="003D3123"/>
    <w:rsid w:val="003E6501"/>
    <w:rsid w:val="004054C5"/>
    <w:rsid w:val="00414B63"/>
    <w:rsid w:val="00416A9E"/>
    <w:rsid w:val="00427B2C"/>
    <w:rsid w:val="00435597"/>
    <w:rsid w:val="00437115"/>
    <w:rsid w:val="00442C55"/>
    <w:rsid w:val="00444818"/>
    <w:rsid w:val="00445994"/>
    <w:rsid w:val="00445B9A"/>
    <w:rsid w:val="00445F15"/>
    <w:rsid w:val="00457114"/>
    <w:rsid w:val="00461E1C"/>
    <w:rsid w:val="00471153"/>
    <w:rsid w:val="004730E2"/>
    <w:rsid w:val="004845C5"/>
    <w:rsid w:val="004B2C2B"/>
    <w:rsid w:val="004E4FED"/>
    <w:rsid w:val="004F59CA"/>
    <w:rsid w:val="004F5B4B"/>
    <w:rsid w:val="00504FC6"/>
    <w:rsid w:val="0050546B"/>
    <w:rsid w:val="00526101"/>
    <w:rsid w:val="00526B09"/>
    <w:rsid w:val="00532050"/>
    <w:rsid w:val="00534DAE"/>
    <w:rsid w:val="00535949"/>
    <w:rsid w:val="005505E3"/>
    <w:rsid w:val="0055220E"/>
    <w:rsid w:val="00552A54"/>
    <w:rsid w:val="005709F1"/>
    <w:rsid w:val="00592023"/>
    <w:rsid w:val="005A0728"/>
    <w:rsid w:val="005A3120"/>
    <w:rsid w:val="005A3892"/>
    <w:rsid w:val="005A7C99"/>
    <w:rsid w:val="005B31EF"/>
    <w:rsid w:val="005C0C3C"/>
    <w:rsid w:val="005C1093"/>
    <w:rsid w:val="005D3FDD"/>
    <w:rsid w:val="005D53D8"/>
    <w:rsid w:val="005E29BF"/>
    <w:rsid w:val="005F0149"/>
    <w:rsid w:val="005F5F4C"/>
    <w:rsid w:val="00603258"/>
    <w:rsid w:val="00613B8F"/>
    <w:rsid w:val="00615CC7"/>
    <w:rsid w:val="006378BA"/>
    <w:rsid w:val="00642FAD"/>
    <w:rsid w:val="00644B47"/>
    <w:rsid w:val="0064684E"/>
    <w:rsid w:val="00657573"/>
    <w:rsid w:val="006629D5"/>
    <w:rsid w:val="00671C54"/>
    <w:rsid w:val="00673576"/>
    <w:rsid w:val="006737CF"/>
    <w:rsid w:val="006774A8"/>
    <w:rsid w:val="0069070E"/>
    <w:rsid w:val="00693B1C"/>
    <w:rsid w:val="00695E0C"/>
    <w:rsid w:val="00696EC8"/>
    <w:rsid w:val="006A1EF0"/>
    <w:rsid w:val="006A6928"/>
    <w:rsid w:val="006D319F"/>
    <w:rsid w:val="006E7609"/>
    <w:rsid w:val="006E77C5"/>
    <w:rsid w:val="006E7B77"/>
    <w:rsid w:val="00701046"/>
    <w:rsid w:val="00716AB2"/>
    <w:rsid w:val="007307A6"/>
    <w:rsid w:val="00744227"/>
    <w:rsid w:val="00747FBC"/>
    <w:rsid w:val="00754E16"/>
    <w:rsid w:val="00761B62"/>
    <w:rsid w:val="00762584"/>
    <w:rsid w:val="00763E43"/>
    <w:rsid w:val="00773849"/>
    <w:rsid w:val="00781AC2"/>
    <w:rsid w:val="0079188E"/>
    <w:rsid w:val="007969EF"/>
    <w:rsid w:val="00797A18"/>
    <w:rsid w:val="007A2F39"/>
    <w:rsid w:val="007A617C"/>
    <w:rsid w:val="007B0D03"/>
    <w:rsid w:val="007B79FF"/>
    <w:rsid w:val="007C753D"/>
    <w:rsid w:val="007D1255"/>
    <w:rsid w:val="007D2258"/>
    <w:rsid w:val="007D4B63"/>
    <w:rsid w:val="007D76AC"/>
    <w:rsid w:val="007F7197"/>
    <w:rsid w:val="00804297"/>
    <w:rsid w:val="00804BAA"/>
    <w:rsid w:val="00805FE9"/>
    <w:rsid w:val="008074E3"/>
    <w:rsid w:val="00815DA5"/>
    <w:rsid w:val="00825DA8"/>
    <w:rsid w:val="00832B24"/>
    <w:rsid w:val="0083520B"/>
    <w:rsid w:val="00837844"/>
    <w:rsid w:val="00840E20"/>
    <w:rsid w:val="00860608"/>
    <w:rsid w:val="00867946"/>
    <w:rsid w:val="00890DA4"/>
    <w:rsid w:val="008A7F2B"/>
    <w:rsid w:val="0090423F"/>
    <w:rsid w:val="00912B2C"/>
    <w:rsid w:val="00941D0A"/>
    <w:rsid w:val="00947206"/>
    <w:rsid w:val="00950DF7"/>
    <w:rsid w:val="009545C2"/>
    <w:rsid w:val="009564CC"/>
    <w:rsid w:val="00963831"/>
    <w:rsid w:val="00971389"/>
    <w:rsid w:val="00973329"/>
    <w:rsid w:val="00980630"/>
    <w:rsid w:val="00983F0D"/>
    <w:rsid w:val="009919FC"/>
    <w:rsid w:val="009A16C1"/>
    <w:rsid w:val="009A1EDA"/>
    <w:rsid w:val="009A24F7"/>
    <w:rsid w:val="009B34D3"/>
    <w:rsid w:val="009B6FA0"/>
    <w:rsid w:val="009C4859"/>
    <w:rsid w:val="009D6C30"/>
    <w:rsid w:val="009D7A03"/>
    <w:rsid w:val="009E45F6"/>
    <w:rsid w:val="009E696A"/>
    <w:rsid w:val="009F0C6B"/>
    <w:rsid w:val="00A12113"/>
    <w:rsid w:val="00A1362C"/>
    <w:rsid w:val="00A16495"/>
    <w:rsid w:val="00A23285"/>
    <w:rsid w:val="00A24BA5"/>
    <w:rsid w:val="00A30368"/>
    <w:rsid w:val="00A319D2"/>
    <w:rsid w:val="00A35D77"/>
    <w:rsid w:val="00A40C33"/>
    <w:rsid w:val="00A551D2"/>
    <w:rsid w:val="00A6242E"/>
    <w:rsid w:val="00A62746"/>
    <w:rsid w:val="00A62F8E"/>
    <w:rsid w:val="00A720F6"/>
    <w:rsid w:val="00A76FE8"/>
    <w:rsid w:val="00A83365"/>
    <w:rsid w:val="00AA1BA1"/>
    <w:rsid w:val="00AB126D"/>
    <w:rsid w:val="00AB2EE3"/>
    <w:rsid w:val="00AB3C82"/>
    <w:rsid w:val="00AE1316"/>
    <w:rsid w:val="00AE405B"/>
    <w:rsid w:val="00AE49BF"/>
    <w:rsid w:val="00AE6492"/>
    <w:rsid w:val="00B01E4F"/>
    <w:rsid w:val="00B13910"/>
    <w:rsid w:val="00B17550"/>
    <w:rsid w:val="00B20B4A"/>
    <w:rsid w:val="00B2709C"/>
    <w:rsid w:val="00B37381"/>
    <w:rsid w:val="00B43CF0"/>
    <w:rsid w:val="00B43FFA"/>
    <w:rsid w:val="00B5194C"/>
    <w:rsid w:val="00B715F0"/>
    <w:rsid w:val="00B742E2"/>
    <w:rsid w:val="00B8410B"/>
    <w:rsid w:val="00B910BF"/>
    <w:rsid w:val="00BC55DC"/>
    <w:rsid w:val="00BD15AC"/>
    <w:rsid w:val="00BE0F40"/>
    <w:rsid w:val="00BF139D"/>
    <w:rsid w:val="00C05B77"/>
    <w:rsid w:val="00C074A7"/>
    <w:rsid w:val="00C11EE9"/>
    <w:rsid w:val="00C25A81"/>
    <w:rsid w:val="00C420A8"/>
    <w:rsid w:val="00C439CA"/>
    <w:rsid w:val="00C44944"/>
    <w:rsid w:val="00C44D80"/>
    <w:rsid w:val="00C54739"/>
    <w:rsid w:val="00C60F43"/>
    <w:rsid w:val="00C85A5E"/>
    <w:rsid w:val="00C87954"/>
    <w:rsid w:val="00CA6A03"/>
    <w:rsid w:val="00CB307A"/>
    <w:rsid w:val="00CB70FF"/>
    <w:rsid w:val="00CC0496"/>
    <w:rsid w:val="00CD3735"/>
    <w:rsid w:val="00CD3AFA"/>
    <w:rsid w:val="00CE15DC"/>
    <w:rsid w:val="00CE3A6E"/>
    <w:rsid w:val="00CF537D"/>
    <w:rsid w:val="00D04574"/>
    <w:rsid w:val="00D11C34"/>
    <w:rsid w:val="00D26202"/>
    <w:rsid w:val="00D31F6A"/>
    <w:rsid w:val="00D33F26"/>
    <w:rsid w:val="00D42ECD"/>
    <w:rsid w:val="00D47C17"/>
    <w:rsid w:val="00D51C98"/>
    <w:rsid w:val="00D51D91"/>
    <w:rsid w:val="00D56015"/>
    <w:rsid w:val="00D706E2"/>
    <w:rsid w:val="00D74DA1"/>
    <w:rsid w:val="00D905F1"/>
    <w:rsid w:val="00D94E36"/>
    <w:rsid w:val="00DA0FBF"/>
    <w:rsid w:val="00DB3131"/>
    <w:rsid w:val="00DB4A50"/>
    <w:rsid w:val="00DC4C54"/>
    <w:rsid w:val="00DD6108"/>
    <w:rsid w:val="00DE6E19"/>
    <w:rsid w:val="00DE7E5B"/>
    <w:rsid w:val="00DF0BBC"/>
    <w:rsid w:val="00DF15CC"/>
    <w:rsid w:val="00DF41C8"/>
    <w:rsid w:val="00E02EDC"/>
    <w:rsid w:val="00E06284"/>
    <w:rsid w:val="00E1685B"/>
    <w:rsid w:val="00E213CE"/>
    <w:rsid w:val="00E37348"/>
    <w:rsid w:val="00E42D0E"/>
    <w:rsid w:val="00E64259"/>
    <w:rsid w:val="00E73D76"/>
    <w:rsid w:val="00E778CC"/>
    <w:rsid w:val="00E8794F"/>
    <w:rsid w:val="00E92452"/>
    <w:rsid w:val="00E96512"/>
    <w:rsid w:val="00EB2EFA"/>
    <w:rsid w:val="00EC1D3B"/>
    <w:rsid w:val="00EC48F7"/>
    <w:rsid w:val="00ED0108"/>
    <w:rsid w:val="00ED1561"/>
    <w:rsid w:val="00EE0CF7"/>
    <w:rsid w:val="00EE601D"/>
    <w:rsid w:val="00EF7E7B"/>
    <w:rsid w:val="00F0413A"/>
    <w:rsid w:val="00F25A79"/>
    <w:rsid w:val="00F304EA"/>
    <w:rsid w:val="00F32DE5"/>
    <w:rsid w:val="00F33DC1"/>
    <w:rsid w:val="00F3626D"/>
    <w:rsid w:val="00F43B1B"/>
    <w:rsid w:val="00F51B7C"/>
    <w:rsid w:val="00F51F9C"/>
    <w:rsid w:val="00F564C0"/>
    <w:rsid w:val="00F61653"/>
    <w:rsid w:val="00F72B91"/>
    <w:rsid w:val="00F81C41"/>
    <w:rsid w:val="00F941DB"/>
    <w:rsid w:val="00F95148"/>
    <w:rsid w:val="00F96587"/>
    <w:rsid w:val="00FB347B"/>
    <w:rsid w:val="00FC0252"/>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132CAFD2-296D-4E45-8581-B5C252F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BA"/>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39"/>
    <w:qFormat/>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customStyle="1" w:styleId="paragraph">
    <w:name w:val="paragraph"/>
    <w:basedOn w:val="Normal"/>
    <w:rsid w:val="00F51F9C"/>
    <w:pPr>
      <w:spacing w:before="100" w:beforeAutospacing="1" w:after="100" w:afterAutospacing="1"/>
    </w:pPr>
    <w:rPr>
      <w:lang w:eastAsia="es-CO"/>
    </w:rPr>
  </w:style>
  <w:style w:type="character" w:customStyle="1" w:styleId="eop">
    <w:name w:val="eop"/>
    <w:basedOn w:val="Fuentedeprrafopredeter"/>
    <w:rsid w:val="00F51F9C"/>
  </w:style>
  <w:style w:type="paragraph" w:styleId="Textoindependiente">
    <w:name w:val="Body Text"/>
    <w:basedOn w:val="Normal"/>
    <w:link w:val="TextoindependienteCar"/>
    <w:uiPriority w:val="99"/>
    <w:semiHidden/>
    <w:unhideWhenUsed/>
    <w:rsid w:val="00F81C41"/>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F8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2298">
      <w:bodyDiv w:val="1"/>
      <w:marLeft w:val="0"/>
      <w:marRight w:val="0"/>
      <w:marTop w:val="0"/>
      <w:marBottom w:val="0"/>
      <w:divBdr>
        <w:top w:val="none" w:sz="0" w:space="0" w:color="auto"/>
        <w:left w:val="none" w:sz="0" w:space="0" w:color="auto"/>
        <w:bottom w:val="none" w:sz="0" w:space="0" w:color="auto"/>
        <w:right w:val="none" w:sz="0" w:space="0" w:color="auto"/>
      </w:divBdr>
    </w:div>
    <w:div w:id="390156066">
      <w:bodyDiv w:val="1"/>
      <w:marLeft w:val="0"/>
      <w:marRight w:val="0"/>
      <w:marTop w:val="0"/>
      <w:marBottom w:val="0"/>
      <w:divBdr>
        <w:top w:val="none" w:sz="0" w:space="0" w:color="auto"/>
        <w:left w:val="none" w:sz="0" w:space="0" w:color="auto"/>
        <w:bottom w:val="none" w:sz="0" w:space="0" w:color="auto"/>
        <w:right w:val="none" w:sz="0" w:space="0" w:color="auto"/>
      </w:divBdr>
    </w:div>
    <w:div w:id="423845316">
      <w:bodyDiv w:val="1"/>
      <w:marLeft w:val="0"/>
      <w:marRight w:val="0"/>
      <w:marTop w:val="0"/>
      <w:marBottom w:val="0"/>
      <w:divBdr>
        <w:top w:val="none" w:sz="0" w:space="0" w:color="auto"/>
        <w:left w:val="none" w:sz="0" w:space="0" w:color="auto"/>
        <w:bottom w:val="none" w:sz="0" w:space="0" w:color="auto"/>
        <w:right w:val="none" w:sz="0" w:space="0" w:color="auto"/>
      </w:divBdr>
    </w:div>
    <w:div w:id="771903315">
      <w:bodyDiv w:val="1"/>
      <w:marLeft w:val="0"/>
      <w:marRight w:val="0"/>
      <w:marTop w:val="0"/>
      <w:marBottom w:val="0"/>
      <w:divBdr>
        <w:top w:val="none" w:sz="0" w:space="0" w:color="auto"/>
        <w:left w:val="none" w:sz="0" w:space="0" w:color="auto"/>
        <w:bottom w:val="none" w:sz="0" w:space="0" w:color="auto"/>
        <w:right w:val="none" w:sz="0" w:space="0" w:color="auto"/>
      </w:divBdr>
      <w:divsChild>
        <w:div w:id="722411169">
          <w:marLeft w:val="0"/>
          <w:marRight w:val="0"/>
          <w:marTop w:val="0"/>
          <w:marBottom w:val="0"/>
          <w:divBdr>
            <w:top w:val="none" w:sz="0" w:space="0" w:color="auto"/>
            <w:left w:val="none" w:sz="0" w:space="0" w:color="auto"/>
            <w:bottom w:val="none" w:sz="0" w:space="0" w:color="auto"/>
            <w:right w:val="none" w:sz="0" w:space="0" w:color="auto"/>
          </w:divBdr>
          <w:divsChild>
            <w:div w:id="1856840831">
              <w:marLeft w:val="0"/>
              <w:marRight w:val="0"/>
              <w:marTop w:val="0"/>
              <w:marBottom w:val="0"/>
              <w:divBdr>
                <w:top w:val="none" w:sz="0" w:space="0" w:color="auto"/>
                <w:left w:val="none" w:sz="0" w:space="0" w:color="auto"/>
                <w:bottom w:val="none" w:sz="0" w:space="0" w:color="auto"/>
                <w:right w:val="none" w:sz="0" w:space="0" w:color="auto"/>
              </w:divBdr>
            </w:div>
          </w:divsChild>
        </w:div>
        <w:div w:id="1754430499">
          <w:marLeft w:val="0"/>
          <w:marRight w:val="0"/>
          <w:marTop w:val="0"/>
          <w:marBottom w:val="0"/>
          <w:divBdr>
            <w:top w:val="none" w:sz="0" w:space="0" w:color="auto"/>
            <w:left w:val="none" w:sz="0" w:space="0" w:color="auto"/>
            <w:bottom w:val="none" w:sz="0" w:space="0" w:color="auto"/>
            <w:right w:val="none" w:sz="0" w:space="0" w:color="auto"/>
          </w:divBdr>
          <w:divsChild>
            <w:div w:id="454956224">
              <w:marLeft w:val="0"/>
              <w:marRight w:val="0"/>
              <w:marTop w:val="0"/>
              <w:marBottom w:val="0"/>
              <w:divBdr>
                <w:top w:val="none" w:sz="0" w:space="0" w:color="auto"/>
                <w:left w:val="none" w:sz="0" w:space="0" w:color="auto"/>
                <w:bottom w:val="none" w:sz="0" w:space="0" w:color="auto"/>
                <w:right w:val="none" w:sz="0" w:space="0" w:color="auto"/>
              </w:divBdr>
            </w:div>
            <w:div w:id="615646031">
              <w:marLeft w:val="0"/>
              <w:marRight w:val="0"/>
              <w:marTop w:val="0"/>
              <w:marBottom w:val="0"/>
              <w:divBdr>
                <w:top w:val="none" w:sz="0" w:space="0" w:color="auto"/>
                <w:left w:val="none" w:sz="0" w:space="0" w:color="auto"/>
                <w:bottom w:val="none" w:sz="0" w:space="0" w:color="auto"/>
                <w:right w:val="none" w:sz="0" w:space="0" w:color="auto"/>
              </w:divBdr>
            </w:div>
            <w:div w:id="853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252">
      <w:bodyDiv w:val="1"/>
      <w:marLeft w:val="0"/>
      <w:marRight w:val="0"/>
      <w:marTop w:val="0"/>
      <w:marBottom w:val="0"/>
      <w:divBdr>
        <w:top w:val="none" w:sz="0" w:space="0" w:color="auto"/>
        <w:left w:val="none" w:sz="0" w:space="0" w:color="auto"/>
        <w:bottom w:val="none" w:sz="0" w:space="0" w:color="auto"/>
        <w:right w:val="none" w:sz="0" w:space="0" w:color="auto"/>
      </w:divBdr>
    </w:div>
    <w:div w:id="1160731972">
      <w:bodyDiv w:val="1"/>
      <w:marLeft w:val="0"/>
      <w:marRight w:val="0"/>
      <w:marTop w:val="0"/>
      <w:marBottom w:val="0"/>
      <w:divBdr>
        <w:top w:val="none" w:sz="0" w:space="0" w:color="auto"/>
        <w:left w:val="none" w:sz="0" w:space="0" w:color="auto"/>
        <w:bottom w:val="none" w:sz="0" w:space="0" w:color="auto"/>
        <w:right w:val="none" w:sz="0" w:space="0" w:color="auto"/>
      </w:divBdr>
    </w:div>
    <w:div w:id="1222324325">
      <w:bodyDiv w:val="1"/>
      <w:marLeft w:val="0"/>
      <w:marRight w:val="0"/>
      <w:marTop w:val="0"/>
      <w:marBottom w:val="0"/>
      <w:divBdr>
        <w:top w:val="none" w:sz="0" w:space="0" w:color="auto"/>
        <w:left w:val="none" w:sz="0" w:space="0" w:color="auto"/>
        <w:bottom w:val="none" w:sz="0" w:space="0" w:color="auto"/>
        <w:right w:val="none" w:sz="0" w:space="0" w:color="auto"/>
      </w:divBdr>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445492731">
      <w:bodyDiv w:val="1"/>
      <w:marLeft w:val="0"/>
      <w:marRight w:val="0"/>
      <w:marTop w:val="0"/>
      <w:marBottom w:val="0"/>
      <w:divBdr>
        <w:top w:val="none" w:sz="0" w:space="0" w:color="auto"/>
        <w:left w:val="none" w:sz="0" w:space="0" w:color="auto"/>
        <w:bottom w:val="none" w:sz="0" w:space="0" w:color="auto"/>
        <w:right w:val="none" w:sz="0" w:space="0" w:color="auto"/>
      </w:divBdr>
    </w:div>
    <w:div w:id="1784106041">
      <w:bodyDiv w:val="1"/>
      <w:marLeft w:val="0"/>
      <w:marRight w:val="0"/>
      <w:marTop w:val="0"/>
      <w:marBottom w:val="0"/>
      <w:divBdr>
        <w:top w:val="none" w:sz="0" w:space="0" w:color="auto"/>
        <w:left w:val="none" w:sz="0" w:space="0" w:color="auto"/>
        <w:bottom w:val="none" w:sz="0" w:space="0" w:color="auto"/>
        <w:right w:val="none" w:sz="0" w:space="0" w:color="auto"/>
      </w:divBdr>
    </w:div>
    <w:div w:id="182276917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 w:id="1938057723">
      <w:bodyDiv w:val="1"/>
      <w:marLeft w:val="0"/>
      <w:marRight w:val="0"/>
      <w:marTop w:val="0"/>
      <w:marBottom w:val="0"/>
      <w:divBdr>
        <w:top w:val="none" w:sz="0" w:space="0" w:color="auto"/>
        <w:left w:val="none" w:sz="0" w:space="0" w:color="auto"/>
        <w:bottom w:val="none" w:sz="0" w:space="0" w:color="auto"/>
        <w:right w:val="none" w:sz="0" w:space="0" w:color="auto"/>
      </w:divBdr>
    </w:div>
    <w:div w:id="2106538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205603" TargetMode="External"/><Relationship Id="rId2" Type="http://schemas.openxmlformats.org/officeDocument/2006/relationships/hyperlink" Target="http://www.secretariasenado.gov.co/senado/basedoc/constitucion_politica_1991_pr004.html"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A073B3F0-58F6-4A01-8AC9-A2EA24ED50E9}"/>
</file>

<file path=customXml/itemProps2.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customXml/itemProps3.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4.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11333</Words>
  <Characters>62335</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73521</CharactersWithSpaces>
  <SharedDoc>false</SharedDoc>
  <HLinks>
    <vt:vector size="1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Jorge Mario Payares Villa</cp:lastModifiedBy>
  <cp:revision>3</cp:revision>
  <dcterms:created xsi:type="dcterms:W3CDTF">2023-11-29T02:44:00Z</dcterms:created>
  <dcterms:modified xsi:type="dcterms:W3CDTF">2023-11-29T02:51:00Z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