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0E1A" w14:textId="77777777" w:rsidR="00CD08FE" w:rsidRPr="00B133A0" w:rsidRDefault="00CD08FE" w:rsidP="00CD08FE">
      <w:pPr>
        <w:spacing w:line="276" w:lineRule="auto"/>
        <w:contextualSpacing/>
        <w:jc w:val="both"/>
        <w:rPr>
          <w:rFonts w:ascii="Arial" w:eastAsia="Times New Roman" w:hAnsi="Arial" w:cs="Arial"/>
          <w:b/>
          <w:bCs/>
          <w:lang w:val="es-ES_tradnl" w:eastAsia="es-MX"/>
        </w:rPr>
      </w:pPr>
      <w:r w:rsidRPr="00B133A0">
        <w:rPr>
          <w:rFonts w:ascii="Arial" w:eastAsia="Times New Roman" w:hAnsi="Arial" w:cs="Arial"/>
          <w:b/>
          <w:bCs/>
          <w:lang w:val="es-ES_tradnl" w:eastAsia="es-MX"/>
        </w:rPr>
        <w:t xml:space="preserve">REQUISITOS HABILITANTES – Concepto </w:t>
      </w:r>
    </w:p>
    <w:p w14:paraId="42B4E52B" w14:textId="77777777" w:rsidR="00CD08FE" w:rsidRPr="00B133A0" w:rsidRDefault="00CD08FE" w:rsidP="00CD08FE">
      <w:pPr>
        <w:spacing w:line="276" w:lineRule="auto"/>
        <w:contextualSpacing/>
        <w:jc w:val="both"/>
        <w:rPr>
          <w:rFonts w:ascii="Arial" w:eastAsia="Times New Roman" w:hAnsi="Arial" w:cs="Arial"/>
          <w:b/>
          <w:bCs/>
          <w:lang w:val="es-ES_tradnl" w:eastAsia="es-MX"/>
        </w:rPr>
      </w:pPr>
    </w:p>
    <w:p w14:paraId="30C887DA" w14:textId="77777777" w:rsidR="00CD08FE" w:rsidRPr="00B133A0" w:rsidRDefault="00CD08FE" w:rsidP="00CD08FE">
      <w:pPr>
        <w:spacing w:line="276" w:lineRule="auto"/>
        <w:contextualSpacing/>
        <w:jc w:val="both"/>
        <w:rPr>
          <w:rFonts w:ascii="Arial" w:eastAsia="Calibri" w:hAnsi="Arial" w:cs="Arial"/>
          <w:sz w:val="20"/>
          <w:szCs w:val="20"/>
          <w:lang w:val="es-ES_tradnl" w:eastAsia="es-MX"/>
        </w:rPr>
      </w:pPr>
      <w:r w:rsidRPr="00B133A0">
        <w:rPr>
          <w:rFonts w:ascii="Arial" w:eastAsia="Calibri" w:hAnsi="Arial" w:cs="Arial"/>
          <w:sz w:val="20"/>
          <w:szCs w:val="20"/>
          <w:lang w:val="es-ES_tradnl" w:eastAsia="es-MX"/>
        </w:rPr>
        <w:t>Los requisitos habilitantes se definen como aquellas exigencias de participación en los procedimientos de selección, establecidas en disposiciones normativas, de carácter legal o reglamentario, o contenidas en el acto administrativo que regula las reglas de la convocatoria – es decir, en el Pliego de Condiciones o el documento equivalente a este –. Se diferencian de los criterios de evaluación – también conocidos como criterios de calificación – en que estos son los factores definidos por la Entidad Estatal para la asignación de puntaje en el momento de la comparación de las ofertas y que, a partir de su ponderación, permiten establecer el orden de elegibilidad y, por ende, la propuesta ganadora.</w:t>
      </w:r>
    </w:p>
    <w:p w14:paraId="181078E2" w14:textId="77777777" w:rsidR="00CD08FE" w:rsidRPr="00B133A0" w:rsidRDefault="00CD08FE" w:rsidP="00CD08FE">
      <w:pPr>
        <w:spacing w:line="276" w:lineRule="auto"/>
        <w:contextualSpacing/>
        <w:jc w:val="both"/>
        <w:rPr>
          <w:rFonts w:ascii="Arial" w:eastAsia="Times New Roman" w:hAnsi="Arial" w:cs="Arial"/>
          <w:sz w:val="20"/>
          <w:szCs w:val="20"/>
          <w:lang w:val="es-ES_tradnl" w:eastAsia="es-ES_tradnl"/>
        </w:rPr>
      </w:pPr>
    </w:p>
    <w:p w14:paraId="4AFA42E7" w14:textId="77777777" w:rsidR="00CD08FE" w:rsidRPr="00B133A0" w:rsidRDefault="00CD08FE" w:rsidP="00CD08FE">
      <w:pPr>
        <w:spacing w:line="276" w:lineRule="auto"/>
        <w:contextualSpacing/>
        <w:jc w:val="both"/>
        <w:rPr>
          <w:rFonts w:ascii="Arial" w:eastAsia="Times New Roman" w:hAnsi="Arial" w:cs="Arial"/>
          <w:sz w:val="20"/>
          <w:szCs w:val="20"/>
          <w:lang w:eastAsia="es-ES_tradnl"/>
        </w:rPr>
      </w:pPr>
      <w:r w:rsidRPr="00B133A0">
        <w:rPr>
          <w:rFonts w:ascii="Arial" w:eastAsia="Times New Roman" w:hAnsi="Arial" w:cs="Arial"/>
          <w:sz w:val="20"/>
          <w:szCs w:val="20"/>
          <w:lang w:eastAsia="es-ES_tradnl"/>
        </w:rPr>
        <w:t xml:space="preserve">[…] </w:t>
      </w:r>
    </w:p>
    <w:p w14:paraId="7DE578B9" w14:textId="77777777" w:rsidR="00CD08FE" w:rsidRPr="00B133A0" w:rsidRDefault="00CD08FE" w:rsidP="00CD08FE">
      <w:pPr>
        <w:spacing w:line="276" w:lineRule="auto"/>
        <w:contextualSpacing/>
        <w:jc w:val="both"/>
        <w:rPr>
          <w:rFonts w:ascii="Arial" w:eastAsia="Times New Roman" w:hAnsi="Arial" w:cs="Arial"/>
          <w:sz w:val="20"/>
          <w:szCs w:val="20"/>
          <w:lang w:eastAsia="es-ES_tradnl"/>
        </w:rPr>
      </w:pPr>
    </w:p>
    <w:p w14:paraId="6755451E" w14:textId="77777777" w:rsidR="00CD08FE" w:rsidRPr="00B133A0" w:rsidRDefault="00CD08FE" w:rsidP="00CD08FE">
      <w:pPr>
        <w:spacing w:line="276" w:lineRule="auto"/>
        <w:contextualSpacing/>
        <w:jc w:val="both"/>
        <w:rPr>
          <w:rFonts w:ascii="Arial" w:eastAsia="Times New Roman" w:hAnsi="Arial" w:cs="Arial"/>
          <w:sz w:val="20"/>
          <w:szCs w:val="20"/>
          <w:lang w:val="es-ES" w:eastAsia="es-ES_tradnl"/>
        </w:rPr>
      </w:pPr>
      <w:r w:rsidRPr="00B133A0">
        <w:rPr>
          <w:rFonts w:ascii="Arial" w:eastAsia="Calibri" w:hAnsi="Arial" w:cs="Arial"/>
          <w:sz w:val="20"/>
          <w:szCs w:val="20"/>
          <w:lang w:val="es-ES_tradnl" w:eastAsia="es-MX"/>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B133A0">
        <w:rPr>
          <w:rFonts w:ascii="Arial" w:eastAsia="Calibri" w:hAnsi="Arial" w:cs="Arial"/>
          <w:sz w:val="20"/>
          <w:szCs w:val="20"/>
          <w:lang w:val="es-ES_tradnl" w:eastAsia="es-MX"/>
        </w:rPr>
        <w:t>ii</w:t>
      </w:r>
      <w:proofErr w:type="spellEnd"/>
      <w:r w:rsidRPr="00B133A0">
        <w:rPr>
          <w:rFonts w:ascii="Arial" w:eastAsia="Calibri" w:hAnsi="Arial" w:cs="Arial"/>
          <w:sz w:val="20"/>
          <w:szCs w:val="20"/>
          <w:lang w:val="es-ES_tradnl" w:eastAsia="es-MX"/>
        </w:rPr>
        <w:t xml:space="preserve">) la experiencia; </w:t>
      </w:r>
      <w:proofErr w:type="spellStart"/>
      <w:r w:rsidRPr="00B133A0">
        <w:rPr>
          <w:rFonts w:ascii="Arial" w:eastAsia="Calibri" w:hAnsi="Arial" w:cs="Arial"/>
          <w:sz w:val="20"/>
          <w:szCs w:val="20"/>
          <w:lang w:val="es-ES_tradnl" w:eastAsia="es-MX"/>
        </w:rPr>
        <w:t>iii</w:t>
      </w:r>
      <w:proofErr w:type="spellEnd"/>
      <w:r w:rsidRPr="00B133A0">
        <w:rPr>
          <w:rFonts w:ascii="Arial" w:eastAsia="Calibri" w:hAnsi="Arial" w:cs="Arial"/>
          <w:sz w:val="20"/>
          <w:szCs w:val="20"/>
          <w:lang w:val="es-ES_tradnl" w:eastAsia="es-MX"/>
        </w:rPr>
        <w:t xml:space="preserve">) la capacidad financiera y </w:t>
      </w:r>
      <w:proofErr w:type="spellStart"/>
      <w:r w:rsidRPr="00B133A0">
        <w:rPr>
          <w:rFonts w:ascii="Arial" w:eastAsia="Calibri" w:hAnsi="Arial" w:cs="Arial"/>
          <w:sz w:val="20"/>
          <w:szCs w:val="20"/>
          <w:lang w:val="es-ES_tradnl" w:eastAsia="es-MX"/>
        </w:rPr>
        <w:t>iv</w:t>
      </w:r>
      <w:proofErr w:type="spellEnd"/>
      <w:r w:rsidRPr="00B133A0">
        <w:rPr>
          <w:rFonts w:ascii="Arial" w:eastAsia="Calibri" w:hAnsi="Arial" w:cs="Arial"/>
          <w:sz w:val="20"/>
          <w:szCs w:val="20"/>
          <w:lang w:val="es-ES_tradnl" w:eastAsia="es-MX"/>
        </w:rPr>
        <w:t>) la capacidad de organización.</w:t>
      </w:r>
    </w:p>
    <w:p w14:paraId="4D49901A" w14:textId="77777777" w:rsidR="00CD08FE" w:rsidRPr="00B133A0" w:rsidRDefault="00CD08FE" w:rsidP="00CD08FE">
      <w:pPr>
        <w:spacing w:line="276" w:lineRule="auto"/>
        <w:contextualSpacing/>
        <w:jc w:val="both"/>
        <w:rPr>
          <w:rFonts w:ascii="Arial" w:eastAsia="Calibri" w:hAnsi="Arial" w:cs="Arial"/>
          <w:sz w:val="20"/>
          <w:szCs w:val="20"/>
          <w:lang w:val="es-ES_tradnl" w:eastAsia="es-MX"/>
        </w:rPr>
      </w:pPr>
    </w:p>
    <w:p w14:paraId="1A2A071F" w14:textId="77777777" w:rsidR="00CD08FE" w:rsidRPr="00B133A0" w:rsidRDefault="00CD08FE" w:rsidP="00CD08FE">
      <w:pPr>
        <w:spacing w:line="276" w:lineRule="auto"/>
        <w:contextualSpacing/>
        <w:jc w:val="both"/>
        <w:rPr>
          <w:rFonts w:ascii="Arial" w:eastAsia="Times New Roman" w:hAnsi="Arial" w:cs="Arial"/>
          <w:b/>
          <w:bCs/>
          <w:lang w:val="es-ES_tradnl" w:eastAsia="es-MX"/>
        </w:rPr>
      </w:pPr>
      <w:r w:rsidRPr="00B133A0">
        <w:rPr>
          <w:rFonts w:ascii="Arial" w:eastAsia="Times New Roman" w:hAnsi="Arial" w:cs="Arial"/>
          <w:b/>
          <w:bCs/>
          <w:lang w:val="es-ES_tradnl" w:eastAsia="es-MX"/>
        </w:rPr>
        <w:t>REQUISITOS HABILITANTES – Carácter enunciativo – Artículo 5 de la Ley 1150 de 2007</w:t>
      </w:r>
    </w:p>
    <w:p w14:paraId="595FE349" w14:textId="77777777" w:rsidR="00CD08FE" w:rsidRPr="00B133A0" w:rsidRDefault="00CD08FE" w:rsidP="00CD08FE">
      <w:pPr>
        <w:spacing w:line="276" w:lineRule="auto"/>
        <w:contextualSpacing/>
        <w:jc w:val="both"/>
        <w:rPr>
          <w:rFonts w:ascii="Arial" w:eastAsia="Times New Roman" w:hAnsi="Arial" w:cs="Arial"/>
          <w:b/>
          <w:bCs/>
          <w:sz w:val="20"/>
          <w:szCs w:val="20"/>
          <w:lang w:val="es-ES_tradnl" w:eastAsia="es-MX"/>
        </w:rPr>
      </w:pPr>
    </w:p>
    <w:p w14:paraId="4E9F5C1B" w14:textId="77777777" w:rsidR="00CD08FE" w:rsidRPr="00B133A0" w:rsidRDefault="00CD08FE" w:rsidP="00CD08FE">
      <w:pPr>
        <w:spacing w:line="276" w:lineRule="auto"/>
        <w:contextualSpacing/>
        <w:jc w:val="both"/>
        <w:rPr>
          <w:rFonts w:ascii="Arial" w:eastAsia="Times New Roman" w:hAnsi="Arial" w:cs="Arial"/>
          <w:sz w:val="20"/>
          <w:szCs w:val="20"/>
          <w:lang w:val="es-ES_tradnl" w:eastAsia="es-MX"/>
        </w:rPr>
      </w:pPr>
      <w:r w:rsidRPr="00B133A0">
        <w:rPr>
          <w:rFonts w:ascii="Arial" w:eastAsia="Times New Roman" w:hAnsi="Arial" w:cs="Arial"/>
          <w:sz w:val="20"/>
          <w:szCs w:val="20"/>
          <w:lang w:val="es-ES_tradnl" w:eastAsia="es-MX"/>
        </w:rPr>
        <w:t xml:space="preserve">La Agencia Nacional de Contratación Pública – Colombia Compra Eficiente ha defendido el carácter </w:t>
      </w:r>
      <w:r w:rsidRPr="00B133A0">
        <w:rPr>
          <w:rFonts w:ascii="Arial" w:eastAsia="Times New Roman" w:hAnsi="Arial" w:cs="Arial"/>
          <w:i/>
          <w:iCs/>
          <w:sz w:val="20"/>
          <w:szCs w:val="20"/>
          <w:lang w:val="es-ES_tradnl" w:eastAsia="es-MX"/>
        </w:rPr>
        <w:t>enunciativo</w:t>
      </w:r>
      <w:r w:rsidRPr="00B133A0">
        <w:rPr>
          <w:rFonts w:ascii="Arial" w:eastAsia="Times New Roman" w:hAnsi="Arial" w:cs="Arial"/>
          <w:sz w:val="20"/>
          <w:szCs w:val="20"/>
          <w:lang w:val="es-ES_tradnl" w:eastAsia="es-MX"/>
        </w:rPr>
        <w:t xml:space="preserve">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w:t>
      </w:r>
    </w:p>
    <w:p w14:paraId="529D69EC" w14:textId="77777777" w:rsidR="00CD08FE" w:rsidRPr="00B133A0" w:rsidRDefault="00CD08FE" w:rsidP="00CD08FE">
      <w:pPr>
        <w:spacing w:line="276" w:lineRule="auto"/>
        <w:contextualSpacing/>
        <w:jc w:val="both"/>
        <w:rPr>
          <w:rFonts w:ascii="Arial" w:eastAsia="Times New Roman" w:hAnsi="Arial" w:cs="Arial"/>
          <w:sz w:val="20"/>
          <w:szCs w:val="20"/>
          <w:lang w:val="es-ES_tradnl" w:eastAsia="es-MX"/>
        </w:rPr>
      </w:pPr>
    </w:p>
    <w:p w14:paraId="7BF57512" w14:textId="77777777" w:rsidR="00CD08FE" w:rsidRPr="00B133A0" w:rsidRDefault="00CD08FE" w:rsidP="00CD08FE">
      <w:pPr>
        <w:spacing w:line="276" w:lineRule="auto"/>
        <w:contextualSpacing/>
        <w:jc w:val="both"/>
        <w:rPr>
          <w:rFonts w:ascii="Arial" w:eastAsia="Times New Roman" w:hAnsi="Arial" w:cs="Arial"/>
          <w:sz w:val="20"/>
          <w:szCs w:val="20"/>
          <w:lang w:val="es-ES_tradnl" w:eastAsia="es-MX"/>
        </w:rPr>
      </w:pPr>
      <w:r w:rsidRPr="00B133A0">
        <w:rPr>
          <w:rFonts w:ascii="Arial" w:eastAsia="Times New Roman" w:hAnsi="Arial" w:cs="Arial"/>
          <w:sz w:val="20"/>
          <w:szCs w:val="20"/>
          <w:lang w:val="es-ES_tradnl" w:eastAsia="es-MX"/>
        </w:rPr>
        <w:t xml:space="preserve">[…] 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p>
    <w:p w14:paraId="12993ACA"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1B71059E" w14:textId="77777777" w:rsidR="00CD08FE" w:rsidRPr="00B133A0" w:rsidRDefault="00CD08FE" w:rsidP="00CD08FE">
      <w:pPr>
        <w:tabs>
          <w:tab w:val="left" w:pos="426"/>
        </w:tabs>
        <w:spacing w:line="276" w:lineRule="auto"/>
        <w:contextualSpacing/>
        <w:jc w:val="both"/>
        <w:rPr>
          <w:rFonts w:ascii="Arial" w:eastAsia="Calibri" w:hAnsi="Arial" w:cs="Arial"/>
          <w:b/>
          <w:bCs/>
          <w:lang w:eastAsia="es-ES_tradnl"/>
        </w:rPr>
      </w:pPr>
      <w:r w:rsidRPr="00B133A0">
        <w:rPr>
          <w:rFonts w:ascii="Arial" w:eastAsia="Calibri" w:hAnsi="Arial" w:cs="Arial"/>
          <w:b/>
          <w:bCs/>
          <w:lang w:eastAsia="es-ES_tradnl"/>
        </w:rPr>
        <w:t>CAPACIDAD JURÍDICA – Definición – Personas jurídicas</w:t>
      </w:r>
    </w:p>
    <w:p w14:paraId="59F134A5" w14:textId="77777777" w:rsidR="00CD08FE" w:rsidRPr="00B133A0" w:rsidRDefault="00CD08FE" w:rsidP="00CD08FE">
      <w:pPr>
        <w:tabs>
          <w:tab w:val="left" w:pos="426"/>
        </w:tabs>
        <w:spacing w:line="276" w:lineRule="auto"/>
        <w:contextualSpacing/>
        <w:jc w:val="both"/>
        <w:rPr>
          <w:rFonts w:ascii="Arial" w:eastAsia="Calibri" w:hAnsi="Arial" w:cs="Arial"/>
          <w:b/>
          <w:bCs/>
          <w:lang w:eastAsia="es-ES_tradnl"/>
        </w:rPr>
      </w:pPr>
    </w:p>
    <w:p w14:paraId="157D8B44"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r w:rsidRPr="00B133A0">
        <w:rPr>
          <w:rFonts w:ascii="Arial" w:eastAsia="Calibri" w:hAnsi="Arial" w:cs="Arial"/>
          <w:sz w:val="20"/>
          <w:szCs w:val="20"/>
          <w:lang w:val="es-ES_tradnl" w:eastAsia="es-ES_tradnl"/>
        </w:rPr>
        <w:t xml:space="preserve">La capacidad jurídica es la aptitud que recae en los sujeto activos o pasivos de las relaciones jurídicas. Para efectos de las relaciones contractuales en las que uno de los extremos de la relación sea una Entidad Estatal, la capacidad jurídica es la facultad que tiene una persona natural o jurídica para celebrar contratos con una Entidad Estatal. En otras palabras, es i) la capacidad de obligarse a cumplir el objeto del contrato y </w:t>
      </w:r>
      <w:proofErr w:type="spellStart"/>
      <w:r w:rsidRPr="00B133A0">
        <w:rPr>
          <w:rFonts w:ascii="Arial" w:eastAsia="Calibri" w:hAnsi="Arial" w:cs="Arial"/>
          <w:sz w:val="20"/>
          <w:szCs w:val="20"/>
          <w:lang w:val="es-ES_tradnl" w:eastAsia="es-ES_tradnl"/>
        </w:rPr>
        <w:t>ii</w:t>
      </w:r>
      <w:proofErr w:type="spellEnd"/>
      <w:r w:rsidRPr="00B133A0">
        <w:rPr>
          <w:rFonts w:ascii="Arial" w:eastAsia="Calibri" w:hAnsi="Arial" w:cs="Arial"/>
          <w:sz w:val="20"/>
          <w:szCs w:val="20"/>
          <w:lang w:val="es-ES_tradnl" w:eastAsia="es-ES_tradnl"/>
        </w:rPr>
        <w:t>) de no estar incursa en inhabilidades o incompatibilidades que impidan la celebración del contrato.</w:t>
      </w:r>
    </w:p>
    <w:p w14:paraId="0C5463B5"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p>
    <w:p w14:paraId="1C81CC7B"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r w:rsidRPr="00B133A0">
        <w:rPr>
          <w:rFonts w:ascii="Arial" w:eastAsia="Calibri" w:hAnsi="Arial" w:cs="Arial"/>
          <w:sz w:val="20"/>
          <w:szCs w:val="20"/>
          <w:lang w:val="es-ES_tradnl" w:eastAsia="es-ES_tradnl"/>
        </w:rPr>
        <w:lastRenderedPageBreak/>
        <w:t xml:space="preserve">[…] </w:t>
      </w:r>
    </w:p>
    <w:p w14:paraId="3A8E473A"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p>
    <w:p w14:paraId="7F4F4CEA"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r w:rsidRPr="00B133A0">
        <w:rPr>
          <w:rFonts w:ascii="Arial" w:eastAsia="Calibri" w:hAnsi="Arial" w:cs="Arial"/>
          <w:sz w:val="20"/>
          <w:szCs w:val="20"/>
          <w:lang w:val="es-ES_tradnl" w:eastAsia="es-ES_tradnl"/>
        </w:rPr>
        <w:t>[…] en tratándose de personas jurídicas, la capacidad jurídica hace referencia a la posibilidad que tienen para adelantar actividades en el marco de su objeto social, las facultades que le han sido otorgadas al representante legal y a la ausencia de inhabilidades, incompatibilidades o prohibiciones para contratar, derivadas de la ley.</w:t>
      </w:r>
    </w:p>
    <w:p w14:paraId="2046ACD6" w14:textId="77777777" w:rsidR="00CD08FE" w:rsidRPr="00B133A0" w:rsidRDefault="00CD08FE" w:rsidP="00CD08FE">
      <w:pPr>
        <w:spacing w:line="276" w:lineRule="auto"/>
        <w:contextualSpacing/>
        <w:jc w:val="both"/>
        <w:rPr>
          <w:rFonts w:ascii="Arial" w:eastAsia="Calibri" w:hAnsi="Arial" w:cs="Arial"/>
          <w:sz w:val="20"/>
          <w:szCs w:val="20"/>
          <w:lang w:val="es-ES_tradnl" w:eastAsia="es-ES_tradnl"/>
        </w:rPr>
      </w:pPr>
    </w:p>
    <w:p w14:paraId="52616316" w14:textId="77777777" w:rsidR="00CD08FE" w:rsidRPr="00B133A0" w:rsidRDefault="00CD08FE" w:rsidP="00CD08FE">
      <w:pPr>
        <w:spacing w:line="276" w:lineRule="auto"/>
        <w:contextualSpacing/>
        <w:jc w:val="both"/>
        <w:rPr>
          <w:rFonts w:ascii="Arial" w:eastAsia="Calibri" w:hAnsi="Arial" w:cs="Arial"/>
          <w:b/>
          <w:bCs/>
          <w:sz w:val="20"/>
          <w:szCs w:val="20"/>
          <w:lang w:val="es-ES_tradnl" w:eastAsia="es-ES_tradnl"/>
        </w:rPr>
      </w:pPr>
      <w:r w:rsidRPr="00B133A0">
        <w:rPr>
          <w:rFonts w:ascii="Arial" w:eastAsia="Calibri" w:hAnsi="Arial" w:cs="Arial"/>
          <w:b/>
          <w:bCs/>
          <w:sz w:val="20"/>
          <w:szCs w:val="20"/>
          <w:lang w:val="es-ES_tradnl" w:eastAsia="es-ES_tradnl"/>
        </w:rPr>
        <w:t>CAPACIDAD JURÍDICA – Objeto Social determinado – Sociedades por Acciones Simplificadas</w:t>
      </w:r>
    </w:p>
    <w:p w14:paraId="7D23188F" w14:textId="77777777" w:rsidR="00CD08FE" w:rsidRPr="00B133A0" w:rsidRDefault="00CD08FE" w:rsidP="00CD08FE">
      <w:pPr>
        <w:spacing w:line="276" w:lineRule="auto"/>
        <w:contextualSpacing/>
        <w:jc w:val="both"/>
        <w:rPr>
          <w:rFonts w:ascii="Arial" w:eastAsia="Calibri" w:hAnsi="Arial" w:cs="Arial"/>
          <w:b/>
          <w:bCs/>
          <w:sz w:val="20"/>
          <w:szCs w:val="20"/>
          <w:lang w:val="es-ES_tradnl" w:eastAsia="es-ES_tradnl"/>
        </w:rPr>
      </w:pPr>
      <w:r w:rsidRPr="00B133A0">
        <w:rPr>
          <w:rFonts w:ascii="Arial" w:eastAsia="Calibri" w:hAnsi="Arial" w:cs="Arial"/>
          <w:b/>
          <w:bCs/>
          <w:sz w:val="20"/>
          <w:szCs w:val="20"/>
          <w:lang w:val="es-ES_tradnl" w:eastAsia="es-ES_tradnl"/>
        </w:rPr>
        <w:t xml:space="preserve"> </w:t>
      </w:r>
    </w:p>
    <w:p w14:paraId="4672106C" w14:textId="77777777" w:rsidR="00CD08FE" w:rsidRPr="00B133A0" w:rsidRDefault="00CD08FE" w:rsidP="00CD08FE">
      <w:pPr>
        <w:spacing w:line="276" w:lineRule="auto"/>
        <w:jc w:val="both"/>
        <w:rPr>
          <w:rFonts w:ascii="Arial" w:hAnsi="Arial" w:cs="Arial"/>
          <w:sz w:val="20"/>
          <w:szCs w:val="20"/>
        </w:rPr>
      </w:pPr>
      <w:r w:rsidRPr="00B133A0">
        <w:rPr>
          <w:rFonts w:ascii="Arial" w:hAnsi="Arial" w:cs="Arial"/>
          <w:sz w:val="20"/>
          <w:szCs w:val="20"/>
        </w:rPr>
        <w:t>Cuando el</w:t>
      </w:r>
      <w:r w:rsidRPr="00B133A0">
        <w:rPr>
          <w:rFonts w:ascii="Arial" w:eastAsia="Calibri" w:hAnsi="Arial" w:cs="Arial"/>
          <w:bCs/>
          <w:sz w:val="20"/>
          <w:szCs w:val="20"/>
        </w:rPr>
        <w:t xml:space="preserve"> proponente defina de forma clara, completa y precisa las actividades comerciales sobre las cuales versa su objeto, sin mencionar la posibilidad de realizar otro tipo de actividades de carácter lícito, solo tendrán capacidad para participar en procedimientos de selección y celebrar contratos cuyo objeto se relacione con las actividades definidas en su documento de </w:t>
      </w:r>
      <w:r w:rsidRPr="00B133A0">
        <w:rPr>
          <w:rFonts w:ascii="Arial" w:hAnsi="Arial" w:cs="Arial"/>
          <w:sz w:val="20"/>
          <w:szCs w:val="20"/>
        </w:rPr>
        <w:t>constitución, tal como sucede con otras sociedades comerciales. Ahora bien, sobre este punto vale resaltar que las Entidades Estatales deben verificar que el objeto social de las de las personas jurídicas les permite desarrollar el objeto del contrato, bien porque la actividad está prevista como una actividad del objeto social principal o como una actividad conexa o porque al tratarse de una sociedad por acciones simplificada puede realizar actividades comerciales o civiles.</w:t>
      </w:r>
    </w:p>
    <w:p w14:paraId="20ECDD6C" w14:textId="77777777" w:rsidR="00CD08FE" w:rsidRPr="00B133A0" w:rsidRDefault="00CD08FE" w:rsidP="00CD08FE">
      <w:pPr>
        <w:spacing w:line="276" w:lineRule="auto"/>
        <w:contextualSpacing/>
        <w:jc w:val="both"/>
        <w:rPr>
          <w:rFonts w:ascii="Arial" w:eastAsia="Calibri" w:hAnsi="Arial" w:cs="Arial"/>
          <w:b/>
          <w:bCs/>
          <w:sz w:val="20"/>
          <w:szCs w:val="20"/>
          <w:lang w:val="es-ES" w:eastAsia="es-ES_tradnl"/>
        </w:rPr>
      </w:pPr>
    </w:p>
    <w:p w14:paraId="39F73813"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5C2F0173"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12577CBC"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4158F79D"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0D20082C"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20E63410"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3A680681"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43CE61A6"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5F84EE86"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09BF86FD"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13AA5880"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0911F002"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10313779"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4B29E004"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2083E919"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7F923048"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26532FF2"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60631F11"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55ABCC4E"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3AC9B337" w14:textId="77777777" w:rsidR="00CD08FE" w:rsidRPr="00B133A0" w:rsidRDefault="00CD08FE" w:rsidP="00CD08FE">
      <w:pPr>
        <w:tabs>
          <w:tab w:val="left" w:pos="426"/>
        </w:tabs>
        <w:spacing w:line="276" w:lineRule="auto"/>
        <w:contextualSpacing/>
        <w:jc w:val="both"/>
        <w:rPr>
          <w:rFonts w:ascii="Arial" w:eastAsia="Times New Roman" w:hAnsi="Arial" w:cs="Arial"/>
          <w:sz w:val="20"/>
          <w:szCs w:val="20"/>
          <w:lang w:val="es-ES_tradnl" w:eastAsia="es-MX"/>
        </w:rPr>
      </w:pPr>
    </w:p>
    <w:p w14:paraId="66ED0784" w14:textId="77777777" w:rsidR="00CD08FE" w:rsidRPr="00B133A0" w:rsidRDefault="00CD08FE" w:rsidP="00CD08FE">
      <w:pPr>
        <w:spacing w:line="276" w:lineRule="auto"/>
        <w:contextualSpacing/>
        <w:jc w:val="both"/>
        <w:rPr>
          <w:rFonts w:ascii="Arial" w:hAnsi="Arial" w:cs="Arial"/>
          <w:lang w:val="es-ES_tradnl"/>
        </w:rPr>
      </w:pPr>
    </w:p>
    <w:p w14:paraId="2E46382F" w14:textId="77777777" w:rsidR="00CD08FE" w:rsidRPr="00B133A0" w:rsidRDefault="00CD08FE" w:rsidP="00CD08FE">
      <w:pPr>
        <w:spacing w:line="276" w:lineRule="auto"/>
        <w:contextualSpacing/>
        <w:jc w:val="both"/>
        <w:rPr>
          <w:rFonts w:ascii="Arial" w:hAnsi="Arial" w:cs="Arial"/>
          <w:lang w:val="es-ES_tradnl"/>
        </w:rPr>
      </w:pPr>
    </w:p>
    <w:p w14:paraId="56E625C2" w14:textId="77777777" w:rsidR="00CD08FE" w:rsidRPr="00B133A0" w:rsidRDefault="00CD08FE" w:rsidP="00CD08FE">
      <w:pPr>
        <w:spacing w:line="276" w:lineRule="auto"/>
        <w:contextualSpacing/>
        <w:jc w:val="both"/>
        <w:rPr>
          <w:rFonts w:ascii="Arial" w:hAnsi="Arial" w:cs="Arial"/>
          <w:lang w:val="es-ES_tradnl"/>
        </w:rPr>
      </w:pPr>
    </w:p>
    <w:p w14:paraId="564376A4" w14:textId="77777777" w:rsidR="00CD08FE" w:rsidRPr="00B133A0" w:rsidRDefault="00CD08FE" w:rsidP="00CD08FE">
      <w:pPr>
        <w:spacing w:line="276" w:lineRule="auto"/>
        <w:contextualSpacing/>
        <w:jc w:val="both"/>
        <w:rPr>
          <w:rFonts w:ascii="Arial" w:hAnsi="Arial" w:cs="Arial"/>
          <w:lang w:val="es-ES_tradnl"/>
        </w:rPr>
      </w:pPr>
    </w:p>
    <w:p w14:paraId="752B5262" w14:textId="77777777" w:rsidR="00CD08FE" w:rsidRPr="00B133A0" w:rsidRDefault="00CD08FE" w:rsidP="00CD08FE">
      <w:pPr>
        <w:spacing w:line="276" w:lineRule="auto"/>
        <w:contextualSpacing/>
        <w:jc w:val="both"/>
        <w:rPr>
          <w:rFonts w:ascii="Arial" w:hAnsi="Arial" w:cs="Arial"/>
        </w:rPr>
      </w:pPr>
      <w:r w:rsidRPr="00B133A0">
        <w:rPr>
          <w:rFonts w:ascii="Arial" w:hAnsi="Arial" w:cs="Arial"/>
        </w:rPr>
        <w:lastRenderedPageBreak/>
        <w:t>Bogotá D.C., [Día] [</w:t>
      </w:r>
      <w:proofErr w:type="spellStart"/>
      <w:r w:rsidRPr="00B133A0">
        <w:rPr>
          <w:rFonts w:ascii="Arial" w:hAnsi="Arial" w:cs="Arial"/>
        </w:rPr>
        <w:t>Mes.NombreCapitalizado</w:t>
      </w:r>
      <w:proofErr w:type="spellEnd"/>
      <w:r w:rsidRPr="00B133A0">
        <w:rPr>
          <w:rFonts w:ascii="Arial" w:hAnsi="Arial" w:cs="Arial"/>
        </w:rPr>
        <w:t>] [Año]</w:t>
      </w:r>
      <w:r w:rsidRPr="00B133A0">
        <w:rPr>
          <w:rFonts w:ascii="Arial" w:hAnsi="Arial" w:cs="Arial"/>
        </w:rPr>
        <w:tab/>
      </w:r>
    </w:p>
    <w:p w14:paraId="1A046D85" w14:textId="77777777" w:rsidR="00CD08FE" w:rsidRPr="00B133A0" w:rsidRDefault="00CD08FE" w:rsidP="00CD08FE">
      <w:pPr>
        <w:spacing w:line="276" w:lineRule="auto"/>
        <w:contextualSpacing/>
        <w:jc w:val="both"/>
        <w:rPr>
          <w:rFonts w:ascii="Arial" w:eastAsia="Times New Roman" w:hAnsi="Arial" w:cs="Arial"/>
          <w:sz w:val="20"/>
          <w:szCs w:val="20"/>
          <w:lang w:val="es-ES_tradnl" w:eastAsia="es-MX"/>
        </w:rPr>
      </w:pPr>
    </w:p>
    <w:p w14:paraId="36EA3ACB" w14:textId="77777777" w:rsidR="00CD08FE" w:rsidRDefault="00CD08FE" w:rsidP="00CD08FE">
      <w:pPr>
        <w:spacing w:line="276" w:lineRule="auto"/>
        <w:contextualSpacing/>
        <w:jc w:val="both"/>
        <w:rPr>
          <w:rFonts w:ascii="Arial" w:eastAsia="Calibri" w:hAnsi="Arial" w:cs="Arial"/>
          <w:lang w:val="es-ES_tradnl" w:eastAsia="es-ES_tradnl"/>
        </w:rPr>
      </w:pPr>
    </w:p>
    <w:p w14:paraId="43737DEE" w14:textId="77777777" w:rsidR="004B6C14" w:rsidRPr="00B133A0" w:rsidRDefault="004B6C14" w:rsidP="00CD08FE">
      <w:pPr>
        <w:spacing w:line="276" w:lineRule="auto"/>
        <w:contextualSpacing/>
        <w:jc w:val="both"/>
        <w:rPr>
          <w:rFonts w:ascii="Arial" w:eastAsia="Calibri" w:hAnsi="Arial" w:cs="Arial"/>
          <w:lang w:val="es-ES_tradnl" w:eastAsia="es-ES_tradnl"/>
        </w:rPr>
      </w:pPr>
    </w:p>
    <w:p w14:paraId="52DE4F6B" w14:textId="77777777" w:rsidR="00CD08FE" w:rsidRPr="00B133A0" w:rsidRDefault="00CD08FE" w:rsidP="00CD08FE">
      <w:pPr>
        <w:spacing w:line="276" w:lineRule="auto"/>
        <w:contextualSpacing/>
        <w:jc w:val="both"/>
        <w:rPr>
          <w:rFonts w:ascii="Arial" w:eastAsia="Calibri" w:hAnsi="Arial" w:cs="Arial"/>
          <w:lang w:eastAsia="es-ES_tradnl"/>
        </w:rPr>
      </w:pPr>
      <w:r w:rsidRPr="00B133A0">
        <w:rPr>
          <w:rFonts w:ascii="Arial" w:eastAsia="Calibri" w:hAnsi="Arial" w:cs="Arial"/>
          <w:lang w:eastAsia="es-ES_tradnl"/>
        </w:rPr>
        <w:t>Señor</w:t>
      </w:r>
    </w:p>
    <w:p w14:paraId="35999543" w14:textId="77777777" w:rsidR="00CD08FE" w:rsidRPr="00B133A0" w:rsidRDefault="00CD08FE" w:rsidP="00CD08FE">
      <w:pPr>
        <w:spacing w:line="276" w:lineRule="auto"/>
        <w:contextualSpacing/>
        <w:rPr>
          <w:rFonts w:ascii="Arial" w:eastAsia="Calibri" w:hAnsi="Arial" w:cs="Arial"/>
          <w:b/>
          <w:bCs/>
          <w:lang w:eastAsia="es-ES_tradnl"/>
        </w:rPr>
      </w:pPr>
      <w:r w:rsidRPr="00B133A0">
        <w:rPr>
          <w:rFonts w:ascii="Arial" w:eastAsia="Calibri" w:hAnsi="Arial" w:cs="Arial"/>
          <w:b/>
          <w:bCs/>
          <w:lang w:eastAsia="es-ES_tradnl"/>
        </w:rPr>
        <w:t>Edgar David González Medrano</w:t>
      </w:r>
    </w:p>
    <w:p w14:paraId="5FFFF990" w14:textId="77777777" w:rsidR="00CD08FE" w:rsidRPr="00B133A0" w:rsidRDefault="00CD08FE" w:rsidP="00CD08FE">
      <w:pPr>
        <w:spacing w:line="276" w:lineRule="auto"/>
        <w:contextualSpacing/>
        <w:rPr>
          <w:rFonts w:ascii="Arial" w:eastAsia="Calibri" w:hAnsi="Arial" w:cs="Arial"/>
          <w:lang w:val="es-ES_tradnl" w:eastAsia="es-ES_tradnl"/>
        </w:rPr>
      </w:pPr>
      <w:r w:rsidRPr="00B133A0">
        <w:rPr>
          <w:rFonts w:ascii="Arial" w:eastAsia="Calibri" w:hAnsi="Arial" w:cs="Arial"/>
          <w:bCs/>
          <w:lang w:val="es-ES_tradnl" w:eastAsia="es-ES_tradnl"/>
        </w:rPr>
        <w:t>Turbaco, Bolívar</w:t>
      </w:r>
    </w:p>
    <w:p w14:paraId="7A15FB6D" w14:textId="77777777" w:rsidR="00CD08FE" w:rsidRPr="00B133A0" w:rsidRDefault="00CD08FE" w:rsidP="00CD08FE">
      <w:pPr>
        <w:spacing w:line="276" w:lineRule="auto"/>
        <w:contextualSpacing/>
        <w:rPr>
          <w:rFonts w:ascii="Arial" w:eastAsia="Calibri" w:hAnsi="Arial" w:cs="Arial"/>
          <w:lang w:val="es-ES_tradnl" w:eastAsia="es-ES_tradnl"/>
        </w:rPr>
      </w:pPr>
    </w:p>
    <w:p w14:paraId="385B76F0" w14:textId="77777777" w:rsidR="00CD08FE" w:rsidRPr="00B133A0" w:rsidRDefault="00CD08FE" w:rsidP="00CD08FE">
      <w:pPr>
        <w:spacing w:line="276" w:lineRule="auto"/>
        <w:contextualSpacing/>
        <w:rPr>
          <w:rFonts w:ascii="Arial" w:eastAsia="Calibri" w:hAnsi="Arial" w:cs="Arial"/>
          <w:lang w:val="es-ES_tradnl" w:eastAsia="es-ES_tradnl"/>
        </w:rPr>
      </w:pPr>
    </w:p>
    <w:p w14:paraId="27EEB639" w14:textId="77777777" w:rsidR="00CD08FE" w:rsidRPr="00B133A0" w:rsidRDefault="00CD08FE" w:rsidP="00CD08FE">
      <w:pPr>
        <w:spacing w:line="276" w:lineRule="auto"/>
        <w:ind w:left="2694"/>
        <w:contextualSpacing/>
        <w:rPr>
          <w:rFonts w:ascii="Arial" w:eastAsia="Calibri" w:hAnsi="Arial" w:cs="Arial"/>
          <w:b/>
          <w:bCs/>
          <w:lang w:eastAsia="es-ES_tradnl"/>
        </w:rPr>
      </w:pPr>
      <w:r w:rsidRPr="00B133A0">
        <w:rPr>
          <w:rFonts w:ascii="Arial" w:eastAsia="Calibri" w:hAnsi="Arial" w:cs="Arial"/>
          <w:b/>
          <w:bCs/>
          <w:lang w:eastAsia="es-ES_tradnl"/>
        </w:rPr>
        <w:t>Concepto C-374 de 2023</w:t>
      </w:r>
    </w:p>
    <w:p w14:paraId="0BD164CE" w14:textId="77777777" w:rsidR="00CD08FE" w:rsidRPr="00B133A0" w:rsidRDefault="00CD08FE" w:rsidP="00CD08FE">
      <w:pPr>
        <w:spacing w:line="276" w:lineRule="auto"/>
        <w:contextualSpacing/>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D08FE" w:rsidRPr="00B133A0" w14:paraId="01F83982" w14:textId="77777777" w:rsidTr="00561587">
        <w:trPr>
          <w:jc w:val="right"/>
        </w:trPr>
        <w:tc>
          <w:tcPr>
            <w:tcW w:w="1838" w:type="dxa"/>
          </w:tcPr>
          <w:p w14:paraId="7B14D9DF" w14:textId="77777777" w:rsidR="00CD08FE" w:rsidRPr="00B133A0" w:rsidRDefault="00CD08FE" w:rsidP="00561587">
            <w:pPr>
              <w:spacing w:after="160" w:line="276" w:lineRule="auto"/>
              <w:contextualSpacing/>
              <w:jc w:val="center"/>
              <w:rPr>
                <w:rFonts w:ascii="Arial" w:eastAsia="Calibri" w:hAnsi="Arial" w:cs="Arial"/>
                <w:lang w:val="es-ES_tradnl" w:eastAsia="es-ES_tradnl"/>
              </w:rPr>
            </w:pPr>
            <w:r w:rsidRPr="00B133A0">
              <w:rPr>
                <w:rFonts w:ascii="Arial" w:eastAsia="Calibri" w:hAnsi="Arial" w:cs="Arial"/>
                <w:b/>
                <w:lang w:val="es-ES_tradnl" w:eastAsia="es-ES_tradnl"/>
              </w:rPr>
              <w:t>Temas:</w:t>
            </w:r>
          </w:p>
        </w:tc>
        <w:tc>
          <w:tcPr>
            <w:tcW w:w="6237" w:type="dxa"/>
          </w:tcPr>
          <w:p w14:paraId="69F73233" w14:textId="77777777" w:rsidR="00CD08FE" w:rsidRPr="00B133A0" w:rsidRDefault="00CD08FE" w:rsidP="00561587">
            <w:pPr>
              <w:spacing w:after="160" w:line="276" w:lineRule="auto"/>
              <w:contextualSpacing/>
              <w:jc w:val="both"/>
              <w:rPr>
                <w:rFonts w:ascii="Arial" w:eastAsia="Calibri" w:hAnsi="Arial" w:cs="Arial"/>
                <w:lang w:val="es-ES_tradnl" w:eastAsia="es-ES_tradnl"/>
              </w:rPr>
            </w:pPr>
            <w:r w:rsidRPr="00B133A0">
              <w:rPr>
                <w:rFonts w:ascii="Arial" w:eastAsia="Times New Roman" w:hAnsi="Arial" w:cs="Arial"/>
                <w:lang w:val="es-ES_tradnl" w:eastAsia="es-MX"/>
              </w:rPr>
              <w:t xml:space="preserve">REQUISITOS HABILITANTES – Concepto / REQUISITOS HABILITANTES – Carácter enunciativo – Artículo 5 de la Ley 1150 de 2007 / CAPACIDAD JURÍDICA – Definición – Personas jurídicas </w:t>
            </w:r>
            <w:r w:rsidRPr="00B133A0">
              <w:rPr>
                <w:rFonts w:ascii="Arial" w:eastAsia="Calibri" w:hAnsi="Arial" w:cs="Arial"/>
                <w:lang w:eastAsia="es-ES_tradnl"/>
              </w:rPr>
              <w:t>/ CAPACIDAD JURÍDICA – Objeto Social determinado – Sociedades por Acciones Simplificadas</w:t>
            </w:r>
          </w:p>
          <w:p w14:paraId="4B4DC7D6" w14:textId="77777777" w:rsidR="00CD08FE" w:rsidRPr="00B133A0" w:rsidRDefault="00CD08FE" w:rsidP="00561587">
            <w:pPr>
              <w:spacing w:after="160" w:line="276" w:lineRule="auto"/>
              <w:contextualSpacing/>
              <w:jc w:val="both"/>
              <w:rPr>
                <w:rFonts w:ascii="Arial" w:eastAsia="Times New Roman" w:hAnsi="Arial" w:cs="Arial"/>
                <w:lang w:val="es-ES_tradnl" w:eastAsia="es-ES_tradnl"/>
              </w:rPr>
            </w:pPr>
          </w:p>
        </w:tc>
      </w:tr>
      <w:tr w:rsidR="00CD08FE" w:rsidRPr="00B133A0" w14:paraId="441A036C" w14:textId="77777777" w:rsidTr="00561587">
        <w:trPr>
          <w:jc w:val="right"/>
        </w:trPr>
        <w:tc>
          <w:tcPr>
            <w:tcW w:w="1838" w:type="dxa"/>
          </w:tcPr>
          <w:p w14:paraId="2AC2DEC2" w14:textId="77777777" w:rsidR="00CD08FE" w:rsidRPr="00B133A0" w:rsidRDefault="00CD08FE" w:rsidP="00561587">
            <w:pPr>
              <w:spacing w:after="160" w:line="276" w:lineRule="auto"/>
              <w:contextualSpacing/>
              <w:jc w:val="center"/>
              <w:rPr>
                <w:rFonts w:ascii="Arial" w:eastAsia="Calibri" w:hAnsi="Arial" w:cs="Arial"/>
                <w:b/>
                <w:lang w:val="es-ES" w:eastAsia="es-ES_tradnl"/>
              </w:rPr>
            </w:pPr>
            <w:r w:rsidRPr="00B133A0">
              <w:rPr>
                <w:rFonts w:ascii="Arial" w:eastAsia="Calibri" w:hAnsi="Arial" w:cs="Arial"/>
                <w:b/>
                <w:lang w:val="es-ES" w:eastAsia="es-ES_tradnl"/>
              </w:rPr>
              <w:t>Radicación:</w:t>
            </w:r>
          </w:p>
        </w:tc>
        <w:tc>
          <w:tcPr>
            <w:tcW w:w="6237" w:type="dxa"/>
          </w:tcPr>
          <w:p w14:paraId="10E88A9A" w14:textId="77777777" w:rsidR="00CD08FE" w:rsidRPr="00B133A0" w:rsidRDefault="00CD08FE" w:rsidP="00561587">
            <w:pPr>
              <w:spacing w:after="160" w:line="276" w:lineRule="auto"/>
              <w:contextualSpacing/>
              <w:jc w:val="both"/>
              <w:rPr>
                <w:rFonts w:ascii="Arial" w:eastAsia="Calibri" w:hAnsi="Arial" w:cs="Arial"/>
                <w:lang w:val="es-ES" w:eastAsia="es-ES_tradnl"/>
              </w:rPr>
            </w:pPr>
            <w:r w:rsidRPr="00B133A0">
              <w:rPr>
                <w:rFonts w:ascii="Arial" w:eastAsia="Calibri" w:hAnsi="Arial" w:cs="Arial"/>
                <w:lang w:val="es-ES" w:eastAsia="es-ES_tradnl"/>
              </w:rPr>
              <w:t xml:space="preserve">Respuesta a consulta </w:t>
            </w:r>
            <w:r w:rsidRPr="00B133A0">
              <w:rPr>
                <w:rFonts w:ascii="Arial" w:eastAsia="Times New Roman" w:hAnsi="Arial" w:cs="Arial"/>
                <w:lang w:eastAsia="es-ES_tradnl"/>
              </w:rPr>
              <w:t>P20230805013983</w:t>
            </w:r>
          </w:p>
        </w:tc>
      </w:tr>
    </w:tbl>
    <w:p w14:paraId="35021908" w14:textId="77777777" w:rsidR="00CD08FE" w:rsidRDefault="00CD08FE" w:rsidP="00CD08FE">
      <w:pPr>
        <w:spacing w:line="276" w:lineRule="auto"/>
        <w:jc w:val="both"/>
        <w:rPr>
          <w:rFonts w:ascii="Arial" w:eastAsia="Calibri" w:hAnsi="Arial" w:cs="Arial"/>
          <w:lang w:val="es-ES_tradnl" w:eastAsia="es-ES_tradnl"/>
        </w:rPr>
      </w:pPr>
    </w:p>
    <w:p w14:paraId="2C438045" w14:textId="77777777" w:rsidR="004B6C14" w:rsidRPr="00B133A0" w:rsidRDefault="004B6C14" w:rsidP="00CD08FE">
      <w:pPr>
        <w:spacing w:line="276" w:lineRule="auto"/>
        <w:jc w:val="both"/>
        <w:rPr>
          <w:rFonts w:ascii="Arial" w:eastAsia="Calibri" w:hAnsi="Arial" w:cs="Arial"/>
          <w:lang w:val="es-ES_tradnl" w:eastAsia="es-ES_tradnl"/>
        </w:rPr>
      </w:pPr>
    </w:p>
    <w:p w14:paraId="2C8716BB" w14:textId="77777777" w:rsidR="00CD08FE" w:rsidRPr="00B133A0" w:rsidRDefault="00CD08FE" w:rsidP="00CD08FE">
      <w:pPr>
        <w:spacing w:line="276" w:lineRule="auto"/>
        <w:jc w:val="both"/>
        <w:rPr>
          <w:rFonts w:ascii="Arial" w:eastAsia="Calibri" w:hAnsi="Arial" w:cs="Arial"/>
          <w:lang w:val="es-ES_tradnl" w:eastAsia="es-ES_tradnl"/>
        </w:rPr>
      </w:pPr>
    </w:p>
    <w:p w14:paraId="557FE112" w14:textId="77777777" w:rsidR="00CD08FE" w:rsidRPr="00B133A0" w:rsidRDefault="00CD08FE" w:rsidP="00CD08FE">
      <w:pPr>
        <w:spacing w:line="276" w:lineRule="auto"/>
        <w:jc w:val="both"/>
        <w:rPr>
          <w:rFonts w:ascii="Arial" w:eastAsia="Calibri" w:hAnsi="Arial" w:cs="Arial"/>
          <w:bCs/>
          <w:lang w:val="es-ES_tradnl" w:eastAsia="es-ES_tradnl"/>
        </w:rPr>
      </w:pPr>
      <w:r w:rsidRPr="00B133A0">
        <w:rPr>
          <w:rFonts w:ascii="Arial" w:eastAsia="Calibri" w:hAnsi="Arial" w:cs="Arial"/>
          <w:lang w:val="es-ES_tradnl" w:eastAsia="es-ES_tradnl"/>
        </w:rPr>
        <w:t xml:space="preserve">Estimado señor </w:t>
      </w:r>
      <w:r w:rsidRPr="00B133A0">
        <w:rPr>
          <w:rFonts w:ascii="Arial" w:eastAsia="Calibri" w:hAnsi="Arial" w:cs="Arial"/>
          <w:bCs/>
          <w:lang w:val="es-ES_tradnl" w:eastAsia="es-ES_tradnl"/>
        </w:rPr>
        <w:t>Gonzales:</w:t>
      </w:r>
    </w:p>
    <w:p w14:paraId="25EA40EA" w14:textId="77777777" w:rsidR="00CD08FE" w:rsidRDefault="00CD08FE" w:rsidP="00CD08FE">
      <w:pPr>
        <w:spacing w:line="276" w:lineRule="auto"/>
        <w:jc w:val="both"/>
        <w:rPr>
          <w:rFonts w:ascii="Arial" w:eastAsia="Calibri" w:hAnsi="Arial" w:cs="Arial"/>
          <w:lang w:eastAsia="es-ES_tradnl"/>
        </w:rPr>
      </w:pPr>
      <w:r w:rsidRPr="00B133A0">
        <w:rPr>
          <w:rFonts w:ascii="Arial" w:eastAsia="Calibri" w:hAnsi="Arial" w:cs="Arial"/>
          <w:lang w:eastAsia="es-ES_tradnl"/>
        </w:rPr>
        <w:t xml:space="preserve">En ejercicio de la competencia otorgada por el numeral 8° del artículo 11 y el numeral 5° del artículo 3 del Decreto Ley 4170 de 2011, </w:t>
      </w:r>
      <w:r w:rsidRPr="00B133A0">
        <w:rPr>
          <w:rFonts w:ascii="Arial" w:eastAsia="Times New Roman" w:hAnsi="Arial" w:cs="Arial"/>
          <w:lang w:eastAsia="es-ES_tradnl"/>
        </w:rPr>
        <w:t>así como lo establecido en la Resolución 1707 de 2018 expedida por esta Entidad</w:t>
      </w:r>
      <w:r w:rsidRPr="00B133A0">
        <w:rPr>
          <w:rFonts w:ascii="Arial" w:eastAsia="Calibri" w:hAnsi="Arial" w:cs="Arial"/>
          <w:lang w:eastAsia="es-ES_tradnl"/>
        </w:rPr>
        <w:t>, la Agencia Nacional de Contratación Pública ― Colombia Compra Eficiente responde su consulta del 5 de agosto de 2023.</w:t>
      </w:r>
    </w:p>
    <w:p w14:paraId="26C90E87" w14:textId="77777777" w:rsidR="00CD08FE" w:rsidRPr="00B133A0" w:rsidRDefault="00CD08FE" w:rsidP="00CD08FE">
      <w:pPr>
        <w:spacing w:after="0" w:line="276" w:lineRule="auto"/>
        <w:jc w:val="both"/>
        <w:rPr>
          <w:rFonts w:ascii="Arial" w:eastAsia="Calibri" w:hAnsi="Arial" w:cs="Arial"/>
          <w:lang w:eastAsia="es-ES_tradnl"/>
        </w:rPr>
      </w:pPr>
    </w:p>
    <w:p w14:paraId="0A3F0965" w14:textId="77777777" w:rsidR="00CD08FE" w:rsidRPr="00B133A0" w:rsidRDefault="00CD08FE" w:rsidP="00CD08FE">
      <w:pPr>
        <w:pStyle w:val="Prrafodelista"/>
        <w:numPr>
          <w:ilvl w:val="0"/>
          <w:numId w:val="1"/>
        </w:numPr>
        <w:tabs>
          <w:tab w:val="left" w:pos="0"/>
          <w:tab w:val="left" w:pos="142"/>
          <w:tab w:val="left" w:pos="284"/>
        </w:tabs>
        <w:spacing w:line="276" w:lineRule="auto"/>
        <w:jc w:val="both"/>
        <w:rPr>
          <w:rFonts w:ascii="Arial" w:eastAsia="Calibri" w:hAnsi="Arial" w:cs="Arial"/>
          <w:b/>
          <w:lang w:val="es-ES_tradnl"/>
        </w:rPr>
      </w:pPr>
      <w:r w:rsidRPr="00B133A0">
        <w:rPr>
          <w:rFonts w:ascii="Arial" w:eastAsia="Calibri" w:hAnsi="Arial" w:cs="Arial"/>
          <w:b/>
          <w:lang w:val="es-ES_tradnl"/>
        </w:rPr>
        <w:t xml:space="preserve">Problema planteado </w:t>
      </w:r>
    </w:p>
    <w:p w14:paraId="2F580B95" w14:textId="77777777" w:rsidR="00CD08FE" w:rsidRPr="00B133A0" w:rsidRDefault="00CD08FE" w:rsidP="00CD08FE">
      <w:pPr>
        <w:spacing w:line="276" w:lineRule="auto"/>
        <w:jc w:val="both"/>
        <w:rPr>
          <w:rFonts w:ascii="Arial" w:eastAsia="Times New Roman" w:hAnsi="Arial" w:cs="Arial"/>
          <w:lang w:eastAsia="es-ES_tradnl"/>
        </w:rPr>
      </w:pPr>
      <w:r w:rsidRPr="00B133A0">
        <w:rPr>
          <w:rFonts w:ascii="Arial" w:eastAsia="Times New Roman" w:hAnsi="Arial" w:cs="Arial"/>
          <w:lang w:eastAsia="es-ES_tradnl"/>
        </w:rPr>
        <w:t xml:space="preserve">Usted formula la siguiente consulta: </w:t>
      </w:r>
    </w:p>
    <w:p w14:paraId="5FC12D31" w14:textId="77777777" w:rsidR="00CD08FE" w:rsidRPr="00B133A0" w:rsidRDefault="00CD08FE" w:rsidP="00CD08FE">
      <w:pPr>
        <w:spacing w:line="276" w:lineRule="auto"/>
        <w:ind w:left="709" w:right="709"/>
        <w:jc w:val="both"/>
        <w:rPr>
          <w:rFonts w:ascii="Arial" w:hAnsi="Arial" w:cs="Arial"/>
        </w:rPr>
      </w:pPr>
      <w:r w:rsidRPr="00B133A0">
        <w:rPr>
          <w:rFonts w:ascii="Arial" w:eastAsia="Times New Roman" w:hAnsi="Arial" w:cs="Arial"/>
          <w:lang w:eastAsia="es-ES_tradnl"/>
        </w:rPr>
        <w:t xml:space="preserve">“[…] </w:t>
      </w:r>
      <w:r w:rsidRPr="00B133A0">
        <w:rPr>
          <w:rFonts w:ascii="Arial" w:hAnsi="Arial" w:cs="Arial"/>
        </w:rPr>
        <w:t xml:space="preserve">si durante la etapa de verificación de ofertas se advierte que la persona jurídica organizada en forma de "SAS" especifica en su objeto social las actividades principales que puede realizar, sin agregar que se encuentre posibilitada para ejecutar cualquier otra actividad lícita, ¿Es posible determinar que si su objeto social no guarda relación con el objeto del proceso contractual, se concluya que la misma no se encuentra habilitada? o en su defecto, ¿siempre debe considerarse que la persona jurídica </w:t>
      </w:r>
      <w:r w:rsidRPr="00B133A0">
        <w:rPr>
          <w:rFonts w:ascii="Arial" w:hAnsi="Arial" w:cs="Arial"/>
        </w:rPr>
        <w:lastRenderedPageBreak/>
        <w:t>organizada y constituida como una "SAS" se encuentra habilitada para realizar cualquier actividad lícita en Colombia, sin importar lo que determine en su objeto social?” (sic)</w:t>
      </w:r>
    </w:p>
    <w:p w14:paraId="10EF9761" w14:textId="77777777" w:rsidR="00CD08FE" w:rsidRPr="00B133A0" w:rsidRDefault="00CD08FE" w:rsidP="00CD08FE">
      <w:pPr>
        <w:spacing w:line="276" w:lineRule="auto"/>
        <w:ind w:right="709"/>
        <w:jc w:val="both"/>
        <w:rPr>
          <w:rFonts w:ascii="Arial" w:hAnsi="Arial" w:cs="Arial"/>
        </w:rPr>
      </w:pPr>
    </w:p>
    <w:p w14:paraId="528F3144" w14:textId="77777777" w:rsidR="00CD08FE" w:rsidRPr="00B133A0" w:rsidRDefault="00CD08FE" w:rsidP="00CD08FE">
      <w:pPr>
        <w:pStyle w:val="Prrafodelista"/>
        <w:numPr>
          <w:ilvl w:val="0"/>
          <w:numId w:val="1"/>
        </w:numPr>
        <w:spacing w:line="276" w:lineRule="auto"/>
        <w:ind w:right="709"/>
        <w:jc w:val="both"/>
        <w:rPr>
          <w:rFonts w:ascii="Arial" w:eastAsia="Times New Roman" w:hAnsi="Arial" w:cs="Arial"/>
          <w:b/>
          <w:bCs/>
          <w:lang w:eastAsia="es-ES_tradnl"/>
        </w:rPr>
      </w:pPr>
      <w:r w:rsidRPr="00B133A0">
        <w:rPr>
          <w:rFonts w:ascii="Arial" w:eastAsia="Times New Roman" w:hAnsi="Arial" w:cs="Arial"/>
          <w:b/>
          <w:bCs/>
          <w:lang w:eastAsia="es-ES_tradnl"/>
        </w:rPr>
        <w:t>Consideraciones</w:t>
      </w:r>
    </w:p>
    <w:p w14:paraId="5A61CD0D" w14:textId="77777777" w:rsidR="00CD08FE" w:rsidRPr="00B133A0" w:rsidRDefault="00CD08FE" w:rsidP="00CD08FE">
      <w:pPr>
        <w:spacing w:line="276" w:lineRule="auto"/>
        <w:jc w:val="both"/>
        <w:rPr>
          <w:rFonts w:ascii="Arial" w:eastAsia="Times New Roman" w:hAnsi="Arial" w:cs="Arial"/>
          <w:lang w:eastAsia="es-ES_tradnl"/>
        </w:rPr>
      </w:pPr>
      <w:r w:rsidRPr="00B133A0">
        <w:rPr>
          <w:rFonts w:ascii="Arial" w:eastAsia="Times New Roman" w:hAnsi="Arial"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5045345" w14:textId="77777777" w:rsidR="00CD08FE" w:rsidRPr="00B133A0" w:rsidRDefault="00CD08FE" w:rsidP="00CD08FE">
      <w:pPr>
        <w:spacing w:line="276" w:lineRule="auto"/>
        <w:ind w:firstLine="708"/>
        <w:jc w:val="both"/>
        <w:rPr>
          <w:rFonts w:ascii="Arial" w:eastAsia="Times New Roman" w:hAnsi="Arial" w:cs="Arial"/>
          <w:lang w:eastAsia="es-ES_tradnl"/>
        </w:rPr>
      </w:pPr>
      <w:r w:rsidRPr="00B133A0">
        <w:rPr>
          <w:rFonts w:ascii="Arial" w:eastAsia="Times New Roman" w:hAnsi="Arial" w:cs="Arial"/>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133A0">
        <w:rPr>
          <w:rFonts w:ascii="Arial" w:eastAsia="Times New Roman" w:hAnsi="Arial" w:cs="Arial"/>
          <w:vertAlign w:val="superscript"/>
          <w:lang w:eastAsia="es-ES_tradnl"/>
        </w:rPr>
        <w:footnoteReference w:id="1"/>
      </w:r>
      <w:r w:rsidRPr="00B133A0">
        <w:rPr>
          <w:rFonts w:ascii="Arial" w:eastAsia="Times New Roman" w:hAnsi="Arial" w:cs="Arial"/>
          <w:lang w:eastAsia="es-ES_tradn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1FB7F51" w14:textId="77777777" w:rsidR="00CD08FE" w:rsidRPr="00B133A0" w:rsidRDefault="00CD08FE" w:rsidP="00CD08FE">
      <w:pPr>
        <w:tabs>
          <w:tab w:val="left" w:pos="426"/>
        </w:tabs>
        <w:spacing w:line="276" w:lineRule="auto"/>
        <w:jc w:val="both"/>
        <w:rPr>
          <w:rFonts w:ascii="Arial" w:eastAsia="Calibri" w:hAnsi="Arial" w:cs="Arial"/>
          <w:lang w:val="es-ES_tradnl" w:eastAsia="es-MX"/>
        </w:rPr>
      </w:pPr>
      <w:r w:rsidRPr="00B133A0">
        <w:rPr>
          <w:rFonts w:ascii="Arial" w:eastAsia="Times New Roman" w:hAnsi="Arial" w:cs="Arial"/>
          <w:lang w:eastAsia="es-ES_tradnl"/>
        </w:rPr>
        <w:tab/>
        <w:t xml:space="preserve">Sin perjuicio de lo anterior, la Subdirección –dentro de los límites de sus atribuciones, esto es, haciendo abstracción del caso particular expuesto por el peticionario– resolverá la </w:t>
      </w:r>
      <w:r w:rsidRPr="00B133A0">
        <w:rPr>
          <w:rFonts w:ascii="Arial" w:eastAsia="Times New Roman" w:hAnsi="Arial" w:cs="Arial"/>
          <w:lang w:eastAsia="es-ES_tradnl"/>
        </w:rPr>
        <w:lastRenderedPageBreak/>
        <w:t xml:space="preserve">consulta conforme a las normas generales en materia de contratación estatal. Con este objetivo se analizarán </w:t>
      </w:r>
      <w:r w:rsidRPr="00B133A0">
        <w:rPr>
          <w:rFonts w:ascii="Arial" w:eastAsia="Calibri" w:hAnsi="Arial" w:cs="Arial"/>
          <w:lang w:eastAsia="es-ES_tradnl"/>
        </w:rPr>
        <w:t>los siguientes temas</w:t>
      </w:r>
      <w:r w:rsidRPr="00B133A0">
        <w:rPr>
          <w:rFonts w:ascii="Arial" w:eastAsia="Times New Roman" w:hAnsi="Arial" w:cs="Arial"/>
          <w:lang w:eastAsia="es-ES_tradnl"/>
        </w:rPr>
        <w:t xml:space="preserve">: </w:t>
      </w:r>
      <w:r w:rsidRPr="00B133A0">
        <w:rPr>
          <w:rFonts w:ascii="Arial" w:eastAsia="Calibri" w:hAnsi="Arial" w:cs="Arial"/>
          <w:lang w:val="es-ES_tradnl" w:eastAsia="es-MX"/>
        </w:rPr>
        <w:t xml:space="preserve">i) determinación de los requisitos habilitantes en los procesos de contratación; </w:t>
      </w:r>
      <w:proofErr w:type="spellStart"/>
      <w:r w:rsidRPr="00B133A0">
        <w:rPr>
          <w:rFonts w:ascii="Arial" w:eastAsia="Calibri" w:hAnsi="Arial" w:cs="Arial"/>
          <w:lang w:val="es-ES_tradnl" w:eastAsia="es-MX"/>
        </w:rPr>
        <w:t>ii</w:t>
      </w:r>
      <w:proofErr w:type="spellEnd"/>
      <w:r w:rsidRPr="00B133A0">
        <w:rPr>
          <w:rFonts w:ascii="Arial" w:eastAsia="Calibri" w:hAnsi="Arial" w:cs="Arial"/>
          <w:lang w:val="es-ES_tradnl" w:eastAsia="es-MX"/>
        </w:rPr>
        <w:t xml:space="preserve">) la capacidad jurídica como requisito habilitante y su forma de acreditación y; </w:t>
      </w:r>
      <w:proofErr w:type="spellStart"/>
      <w:r w:rsidRPr="00B133A0">
        <w:rPr>
          <w:rFonts w:ascii="Arial" w:eastAsia="Calibri" w:hAnsi="Arial" w:cs="Arial"/>
          <w:lang w:val="es-ES_tradnl" w:eastAsia="es-MX"/>
        </w:rPr>
        <w:t>iii</w:t>
      </w:r>
      <w:proofErr w:type="spellEnd"/>
      <w:r w:rsidRPr="00B133A0">
        <w:rPr>
          <w:rFonts w:ascii="Arial" w:eastAsia="Calibri" w:hAnsi="Arial" w:cs="Arial"/>
          <w:lang w:val="es-ES_tradnl" w:eastAsia="es-MX"/>
        </w:rPr>
        <w:t>) la capacidad jurídica de las Sociedades por Acciones Simplificadas conforme a su objeto social determinado o indeterminado.</w:t>
      </w:r>
    </w:p>
    <w:p w14:paraId="68502D00" w14:textId="77777777" w:rsidR="00CD08FE" w:rsidRPr="00B133A0" w:rsidRDefault="00CD08FE" w:rsidP="00CD08FE">
      <w:pPr>
        <w:spacing w:line="276" w:lineRule="auto"/>
        <w:ind w:firstLine="709"/>
        <w:jc w:val="both"/>
        <w:rPr>
          <w:rFonts w:ascii="Arial" w:eastAsia="Calibri" w:hAnsi="Arial" w:cs="Arial"/>
          <w:lang w:eastAsia="es-ES_tradnl"/>
        </w:rPr>
      </w:pPr>
      <w:r w:rsidRPr="00B133A0">
        <w:rPr>
          <w:rFonts w:ascii="Arial" w:eastAsia="Calibri" w:hAnsi="Arial" w:cs="Arial"/>
          <w:lang w:eastAsia="es-ES_tradnl"/>
        </w:rPr>
        <w:t>La Agencia Nacional de Contratación Pública – Colombia Compra Eficiente,</w:t>
      </w:r>
      <w:r w:rsidRPr="00B133A0">
        <w:rPr>
          <w:rFonts w:ascii="Arial" w:eastAsia="Calibri" w:hAnsi="Arial" w:cs="Arial"/>
          <w:lang w:val="es-ES_tradnl" w:eastAsia="es-MX"/>
        </w:rPr>
        <w:t xml:space="preserv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 C-142 del 30 de marzo de 2022, entre otros, analizó la naturaleza de los requisitos habilitantes y  el carácter enunciativo de los mencionados en el artículo 5-1 de la Ley 1150 de 2007</w:t>
      </w:r>
      <w:r w:rsidRPr="00B133A0">
        <w:rPr>
          <w:rFonts w:ascii="Arial" w:eastAsia="Calibri" w:hAnsi="Arial" w:cs="Arial"/>
          <w:vertAlign w:val="superscript"/>
          <w:lang w:eastAsia="es-ES_tradnl"/>
        </w:rPr>
        <w:footnoteReference w:id="2"/>
      </w:r>
      <w:r w:rsidRPr="00B133A0">
        <w:rPr>
          <w:rFonts w:ascii="Arial" w:eastAsia="Calibri" w:hAnsi="Arial" w:cs="Arial"/>
          <w:lang w:eastAsia="es-ES_tradnl"/>
        </w:rPr>
        <w:t xml:space="preserve">. Las tesis expuestas en estos conceptos se reiteran a continuación y se complementan en lo pertinente, teniendo en cuenta los interrogantes planteados. </w:t>
      </w:r>
    </w:p>
    <w:p w14:paraId="66DB4C63" w14:textId="77777777" w:rsidR="00CD08FE" w:rsidRPr="00B133A0" w:rsidRDefault="00CD08FE" w:rsidP="00CD08FE">
      <w:pPr>
        <w:pStyle w:val="Prrafodelista"/>
        <w:numPr>
          <w:ilvl w:val="1"/>
          <w:numId w:val="1"/>
        </w:numPr>
        <w:spacing w:line="276" w:lineRule="auto"/>
        <w:jc w:val="both"/>
        <w:rPr>
          <w:rFonts w:ascii="Arial" w:eastAsia="Calibri" w:hAnsi="Arial" w:cs="Arial"/>
          <w:lang w:eastAsia="es-ES_tradnl"/>
        </w:rPr>
      </w:pPr>
      <w:r w:rsidRPr="00B133A0">
        <w:rPr>
          <w:rFonts w:ascii="Arial" w:eastAsia="Calibri" w:hAnsi="Arial" w:cs="Arial"/>
          <w:b/>
          <w:bCs/>
          <w:lang w:eastAsia="es-ES_tradnl"/>
        </w:rPr>
        <w:t>Determinación de los requisitos habilitantes en los procesos de contratación</w:t>
      </w:r>
    </w:p>
    <w:p w14:paraId="060E67AE" w14:textId="77777777" w:rsidR="00CD08FE" w:rsidRPr="00B133A0" w:rsidRDefault="00CD08FE" w:rsidP="00CD08FE">
      <w:pPr>
        <w:spacing w:line="276" w:lineRule="auto"/>
        <w:jc w:val="both"/>
        <w:rPr>
          <w:rFonts w:ascii="Arial" w:eastAsia="Calibri" w:hAnsi="Arial" w:cs="Arial"/>
          <w:lang w:val="es-ES_tradnl" w:eastAsia="es-MX"/>
        </w:rPr>
      </w:pPr>
      <w:bookmarkStart w:id="0" w:name="_Hlk99546562"/>
      <w:r w:rsidRPr="00B133A0">
        <w:rPr>
          <w:rFonts w:ascii="Arial" w:eastAsia="Calibri" w:hAnsi="Arial" w:cs="Arial"/>
          <w:lang w:val="es-ES_tradnl" w:eastAsia="es-MX"/>
        </w:rPr>
        <w:t xml:space="preserve">Los </w:t>
      </w:r>
      <w:r w:rsidRPr="00B133A0">
        <w:rPr>
          <w:rFonts w:ascii="Arial" w:eastAsia="Calibri" w:hAnsi="Arial" w:cs="Arial"/>
          <w:i/>
          <w:iCs/>
          <w:lang w:val="es-ES_tradnl" w:eastAsia="es-MX"/>
        </w:rPr>
        <w:t>requisitos habilitantes</w:t>
      </w:r>
      <w:r w:rsidRPr="00B133A0">
        <w:rPr>
          <w:rFonts w:ascii="Arial" w:eastAsia="Calibri" w:hAnsi="Arial" w:cs="Arial"/>
          <w:lang w:val="es-ES_tradnl" w:eastAsia="es-MX"/>
        </w:rPr>
        <w:t xml:space="preserve"> se definen como aquellas exigencias de participación en los procedimientos de selección, establecidas en disposiciones normativas, de carácter legal o reglamentario, o contenidas en el acto administrativo que regula las reglas de la convocatoria – es decir, en el Pliego de Condiciones o el documento equivalente a este –. Se diferencian de los </w:t>
      </w:r>
      <w:r w:rsidRPr="00B133A0">
        <w:rPr>
          <w:rFonts w:ascii="Arial" w:eastAsia="Calibri" w:hAnsi="Arial" w:cs="Arial"/>
          <w:i/>
          <w:iCs/>
          <w:lang w:val="es-ES_tradnl" w:eastAsia="es-MX"/>
        </w:rPr>
        <w:t>criterios de evaluación</w:t>
      </w:r>
      <w:r w:rsidRPr="00B133A0">
        <w:rPr>
          <w:rFonts w:ascii="Arial" w:eastAsia="Calibri" w:hAnsi="Arial" w:cs="Arial"/>
          <w:lang w:val="es-ES_tradnl" w:eastAsia="es-MX"/>
        </w:rPr>
        <w:t xml:space="preserve"> – también conocidos como criterios de calificación – en que estos son los factores definidos por la Entidad Estatal para la asignación de puntaje en el momento de la comparación de las ofertas y que, a partir de su ponderación, permiten establecer el orden de elegibilidad y, por ende, la propuesta ganadora. </w:t>
      </w:r>
    </w:p>
    <w:p w14:paraId="71AC3F65" w14:textId="77777777" w:rsidR="00CD08FE" w:rsidRPr="00B133A0" w:rsidRDefault="00CD08FE" w:rsidP="00CD08FE">
      <w:pPr>
        <w:spacing w:line="276" w:lineRule="auto"/>
        <w:ind w:firstLine="708"/>
        <w:jc w:val="both"/>
        <w:rPr>
          <w:rFonts w:ascii="Arial" w:eastAsia="Calibri" w:hAnsi="Arial" w:cs="Arial"/>
          <w:lang w:val="es-ES_tradnl" w:eastAsia="es-MX"/>
        </w:rPr>
      </w:pPr>
      <w:r w:rsidRPr="00B133A0">
        <w:rPr>
          <w:rFonts w:ascii="Arial" w:eastAsia="Calibri" w:hAnsi="Arial" w:cs="Arial"/>
          <w:lang w:val="es-ES_tradnl" w:eastAsia="es-MX"/>
        </w:rPr>
        <w:t xml:space="preserve">Los requisitos habilitantes constituyen los requerimientos mínimos con los que deben cumplir los proponentes para poder participar en el procedimiento de selección, razón por la que los mismos no se valoran con un puntaje tendiente a determinar el orden de escogencia, sino que se analizan como criterios previos a la evaluación en sentido estricto, de manera que quienes no los reúnan no pueden continuar en el procedimiento de selección, es decir, incurren en causal de rechazo. Esto sin perjuicio del derecho que tienen </w:t>
      </w:r>
      <w:r w:rsidRPr="00B133A0">
        <w:rPr>
          <w:rFonts w:ascii="Arial" w:eastAsia="Calibri" w:hAnsi="Arial" w:cs="Arial"/>
          <w:lang w:val="es-ES_tradnl" w:eastAsia="es-MX"/>
        </w:rPr>
        <w:lastRenderedPageBreak/>
        <w:t>los oferentes de subsanar los defectos que se presenten en la prueba de tales requisitos, de conformidad con el artículo 5, parágrafos 1º al 4º, de la Ley 1150 de 2007.</w:t>
      </w:r>
    </w:p>
    <w:p w14:paraId="780906F1" w14:textId="77777777" w:rsidR="00CD08FE" w:rsidRPr="00B133A0" w:rsidRDefault="00CD08FE" w:rsidP="00CD08FE">
      <w:pPr>
        <w:spacing w:line="276" w:lineRule="auto"/>
        <w:ind w:firstLine="708"/>
        <w:jc w:val="both"/>
        <w:rPr>
          <w:rFonts w:ascii="Arial" w:eastAsia="Calibri" w:hAnsi="Arial" w:cs="Arial"/>
          <w:lang w:val="es-ES_tradnl" w:eastAsia="es-MX"/>
        </w:rPr>
      </w:pPr>
      <w:r w:rsidRPr="00B133A0">
        <w:rPr>
          <w:rFonts w:ascii="Arial" w:eastAsia="Calibri" w:hAnsi="Arial" w:cs="Arial"/>
          <w:lang w:val="es-ES_tradnl" w:eastAsia="es-MX"/>
        </w:rPr>
        <w:t xml:space="preserve">El mencionado artículo dispone que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0D5C3222" w14:textId="77777777" w:rsidR="00CD08FE" w:rsidRPr="00B133A0" w:rsidRDefault="00CD08FE" w:rsidP="00CD08FE">
      <w:pPr>
        <w:spacing w:line="276" w:lineRule="auto"/>
        <w:ind w:firstLine="709"/>
        <w:contextualSpacing/>
        <w:jc w:val="both"/>
        <w:rPr>
          <w:rFonts w:ascii="Arial" w:eastAsia="Calibri" w:hAnsi="Arial" w:cs="Arial"/>
          <w:lang w:val="es-ES_tradnl" w:eastAsia="es-MX"/>
        </w:rPr>
      </w:pPr>
      <w:r w:rsidRPr="00B133A0">
        <w:rPr>
          <w:rFonts w:ascii="Arial" w:eastAsia="Calibri" w:hAnsi="Arial" w:cs="Arial"/>
          <w:lang w:val="es-ES_tradnl" w:eastAsia="es-MX"/>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B133A0">
        <w:rPr>
          <w:rFonts w:ascii="Arial" w:eastAsia="Calibri" w:hAnsi="Arial" w:cs="Arial"/>
          <w:lang w:val="es-ES_tradnl" w:eastAsia="es-MX"/>
        </w:rPr>
        <w:t>ii</w:t>
      </w:r>
      <w:proofErr w:type="spellEnd"/>
      <w:r w:rsidRPr="00B133A0">
        <w:rPr>
          <w:rFonts w:ascii="Arial" w:eastAsia="Calibri" w:hAnsi="Arial" w:cs="Arial"/>
          <w:lang w:val="es-ES_tradnl" w:eastAsia="es-MX"/>
        </w:rPr>
        <w:t xml:space="preserve">) la experiencia; </w:t>
      </w:r>
      <w:proofErr w:type="spellStart"/>
      <w:r w:rsidRPr="00B133A0">
        <w:rPr>
          <w:rFonts w:ascii="Arial" w:eastAsia="Calibri" w:hAnsi="Arial" w:cs="Arial"/>
          <w:lang w:val="es-ES_tradnl" w:eastAsia="es-MX"/>
        </w:rPr>
        <w:t>iii</w:t>
      </w:r>
      <w:proofErr w:type="spellEnd"/>
      <w:r w:rsidRPr="00B133A0">
        <w:rPr>
          <w:rFonts w:ascii="Arial" w:eastAsia="Calibri" w:hAnsi="Arial" w:cs="Arial"/>
          <w:lang w:val="es-ES_tradnl" w:eastAsia="es-MX"/>
        </w:rPr>
        <w:t xml:space="preserve">) la capacidad financiera y </w:t>
      </w:r>
      <w:proofErr w:type="spellStart"/>
      <w:r w:rsidRPr="00B133A0">
        <w:rPr>
          <w:rFonts w:ascii="Arial" w:eastAsia="Calibri" w:hAnsi="Arial" w:cs="Arial"/>
          <w:lang w:val="es-ES_tradnl" w:eastAsia="es-MX"/>
        </w:rPr>
        <w:t>iv</w:t>
      </w:r>
      <w:proofErr w:type="spellEnd"/>
      <w:r w:rsidRPr="00B133A0">
        <w:rPr>
          <w:rFonts w:ascii="Arial" w:eastAsia="Calibri" w:hAnsi="Arial" w:cs="Arial"/>
          <w:lang w:val="es-ES_tradnl" w:eastAsia="es-MX"/>
        </w:rPr>
        <w:t xml:space="preserve">) la capacidad de organización. En efecto, la normativa citada dispone: </w:t>
      </w:r>
    </w:p>
    <w:p w14:paraId="24FBE917" w14:textId="77777777" w:rsidR="00CD08FE" w:rsidRPr="00B133A0" w:rsidRDefault="00CD08FE" w:rsidP="00CD08FE">
      <w:pPr>
        <w:spacing w:line="276" w:lineRule="auto"/>
        <w:ind w:firstLine="709"/>
        <w:contextualSpacing/>
        <w:jc w:val="both"/>
        <w:rPr>
          <w:rFonts w:ascii="Arial" w:eastAsia="Calibri" w:hAnsi="Arial" w:cs="Arial"/>
          <w:lang w:val="es-ES_tradnl" w:eastAsia="es-MX"/>
        </w:rPr>
      </w:pPr>
    </w:p>
    <w:p w14:paraId="6F29EDAC" w14:textId="77777777" w:rsidR="00CD08FE" w:rsidRPr="00B133A0" w:rsidRDefault="00CD08FE" w:rsidP="00CD08FE">
      <w:pPr>
        <w:spacing w:line="276" w:lineRule="auto"/>
        <w:ind w:left="709" w:right="709"/>
        <w:contextualSpacing/>
        <w:jc w:val="both"/>
        <w:rPr>
          <w:rFonts w:ascii="Arial" w:eastAsia="Calibri" w:hAnsi="Arial" w:cs="Arial"/>
          <w:sz w:val="20"/>
          <w:szCs w:val="20"/>
          <w:lang w:val="es-ES_tradnl" w:eastAsia="es-MX"/>
        </w:rPr>
      </w:pPr>
      <w:r w:rsidRPr="00B133A0">
        <w:rPr>
          <w:rFonts w:ascii="Arial" w:eastAsia="Calibri" w:hAnsi="Arial" w:cs="Arial"/>
          <w:sz w:val="20"/>
          <w:szCs w:val="20"/>
          <w:lang w:val="es-ES_tradnl" w:eastAsia="es-MX"/>
        </w:rPr>
        <w:t xml:space="preserve">“Artículo 5. De la Selección Objetiva. </w:t>
      </w:r>
    </w:p>
    <w:p w14:paraId="368FC2EA" w14:textId="77777777" w:rsidR="00CD08FE" w:rsidRPr="00B133A0" w:rsidRDefault="00CD08FE" w:rsidP="00CD08FE">
      <w:pPr>
        <w:spacing w:line="276" w:lineRule="auto"/>
        <w:ind w:left="709" w:right="709"/>
        <w:contextualSpacing/>
        <w:jc w:val="both"/>
        <w:rPr>
          <w:rFonts w:ascii="Arial" w:eastAsia="Calibri" w:hAnsi="Arial" w:cs="Arial"/>
          <w:sz w:val="20"/>
          <w:szCs w:val="20"/>
          <w:lang w:val="es-ES_tradnl" w:eastAsia="es-MX"/>
        </w:rPr>
      </w:pPr>
    </w:p>
    <w:p w14:paraId="44356658" w14:textId="77777777" w:rsidR="00CD08FE" w:rsidRPr="00B133A0" w:rsidRDefault="00CD08FE" w:rsidP="00CD08FE">
      <w:pPr>
        <w:spacing w:line="276" w:lineRule="auto"/>
        <w:ind w:left="709" w:right="709"/>
        <w:contextualSpacing/>
        <w:jc w:val="both"/>
        <w:rPr>
          <w:rFonts w:ascii="Arial" w:eastAsia="Calibri" w:hAnsi="Arial" w:cs="Arial"/>
          <w:sz w:val="20"/>
          <w:szCs w:val="20"/>
          <w:lang w:val="es-ES_tradnl" w:eastAsia="es-MX"/>
        </w:rPr>
      </w:pPr>
      <w:r w:rsidRPr="00B133A0">
        <w:rPr>
          <w:rFonts w:ascii="Arial" w:eastAsia="Calibri" w:hAnsi="Arial" w:cs="Arial"/>
          <w:sz w:val="20"/>
          <w:szCs w:val="20"/>
          <w:lang w:val="es-ES_tradnl" w:eastAsia="es-MX"/>
        </w:rPr>
        <w:t>[…]</w:t>
      </w:r>
    </w:p>
    <w:p w14:paraId="4FA427EB" w14:textId="77777777" w:rsidR="00CD08FE" w:rsidRPr="00B133A0" w:rsidRDefault="00CD08FE" w:rsidP="00CD08FE">
      <w:pPr>
        <w:spacing w:line="276" w:lineRule="auto"/>
        <w:ind w:left="709" w:right="709"/>
        <w:contextualSpacing/>
        <w:jc w:val="both"/>
        <w:rPr>
          <w:rFonts w:ascii="Arial" w:eastAsia="Calibri" w:hAnsi="Arial" w:cs="Arial"/>
          <w:sz w:val="20"/>
          <w:szCs w:val="20"/>
          <w:lang w:val="es-ES_tradnl"/>
        </w:rPr>
      </w:pPr>
    </w:p>
    <w:p w14:paraId="679C3610" w14:textId="77777777" w:rsidR="00CD08FE" w:rsidRPr="00B133A0" w:rsidRDefault="00CD08FE" w:rsidP="00CD08FE">
      <w:pPr>
        <w:spacing w:line="276" w:lineRule="auto"/>
        <w:ind w:left="708" w:right="709"/>
        <w:jc w:val="both"/>
        <w:rPr>
          <w:rFonts w:ascii="Arial" w:eastAsia="Calibri" w:hAnsi="Arial" w:cs="Arial"/>
          <w:sz w:val="20"/>
          <w:szCs w:val="20"/>
          <w:lang w:val="es-ES_tradnl"/>
        </w:rPr>
      </w:pPr>
      <w:r w:rsidRPr="00B133A0">
        <w:rPr>
          <w:rFonts w:ascii="Arial" w:eastAsia="Calibri" w:hAnsi="Arial" w:cs="Arial"/>
          <w:sz w:val="20"/>
          <w:szCs w:val="20"/>
          <w:lang w:val="es-ES_tradnl"/>
        </w:rPr>
        <w:t>1.La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6ED2FFE4" w14:textId="77777777" w:rsidR="00CD08FE" w:rsidRPr="00B133A0" w:rsidRDefault="00CD08FE" w:rsidP="00CD08FE">
      <w:pPr>
        <w:spacing w:line="276" w:lineRule="auto"/>
        <w:ind w:firstLine="708"/>
        <w:jc w:val="both"/>
        <w:rPr>
          <w:rFonts w:ascii="Arial" w:eastAsia="Times New Roman" w:hAnsi="Arial" w:cs="Arial"/>
          <w:lang w:val="es-ES_tradnl" w:eastAsia="es-MX"/>
        </w:rPr>
      </w:pPr>
      <w:bookmarkStart w:id="1" w:name="_Hlk99547809"/>
      <w:bookmarkStart w:id="2" w:name="_Hlk99546625"/>
      <w:r w:rsidRPr="00B133A0">
        <w:rPr>
          <w:rFonts w:ascii="Arial" w:eastAsia="Times New Roman" w:hAnsi="Arial" w:cs="Arial"/>
          <w:lang w:val="es-ES_tradnl" w:eastAsia="es-MX"/>
        </w:rPr>
        <w:t xml:space="preserve">La Agencia Nacional de Contratación Pública – Colombia Compra Eficiente ha defendido el carácter </w:t>
      </w:r>
      <w:bookmarkStart w:id="3" w:name="_Hlk99547799"/>
      <w:r w:rsidRPr="00B133A0">
        <w:rPr>
          <w:rFonts w:ascii="Arial" w:eastAsia="Times New Roman" w:hAnsi="Arial" w:cs="Arial"/>
          <w:i/>
          <w:iCs/>
          <w:lang w:val="es-ES_tradnl" w:eastAsia="es-MX"/>
        </w:rPr>
        <w:t>enunciativo</w:t>
      </w:r>
      <w:r w:rsidRPr="00B133A0">
        <w:rPr>
          <w:rFonts w:ascii="Arial" w:eastAsia="Times New Roman" w:hAnsi="Arial" w:cs="Arial"/>
          <w:lang w:val="es-ES_tradnl" w:eastAsia="es-MX"/>
        </w:rPr>
        <w:t xml:space="preserve">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 </w:t>
      </w:r>
      <w:bookmarkEnd w:id="1"/>
      <w:bookmarkEnd w:id="3"/>
      <w:r w:rsidRPr="00B133A0">
        <w:rPr>
          <w:rFonts w:ascii="Arial" w:eastAsia="Times New Roman" w:hAnsi="Arial" w:cs="Arial"/>
          <w:lang w:val="es-ES_tradnl" w:eastAsia="es-MX"/>
        </w:rPr>
        <w:t xml:space="preserve">Esta conclusión además se apoya en una la lectura integral de las normas que regulan la contratación estatal, en virtud de la cual es posible evidenciar que existen otras condiciones que deben cumplirse para la contratación con Entidades Públicas, de las que derivan </w:t>
      </w:r>
      <w:r w:rsidRPr="00B133A0">
        <w:rPr>
          <w:rFonts w:ascii="Arial" w:eastAsia="Times New Roman" w:hAnsi="Arial" w:cs="Arial"/>
          <w:lang w:val="es-ES_tradnl" w:eastAsia="es-MX"/>
        </w:rPr>
        <w:lastRenderedPageBreak/>
        <w:t>requisitos habilitantes, como sucede, por ejemplo, con la capacidad residual a la que se refiere el artículo 6º, parágrafo 1, de la Ley 1150 de 2007</w:t>
      </w:r>
      <w:bookmarkEnd w:id="2"/>
      <w:r w:rsidRPr="00B133A0">
        <w:rPr>
          <w:rFonts w:ascii="Arial" w:eastAsia="Times New Roman" w:hAnsi="Arial" w:cs="Arial"/>
          <w:vertAlign w:val="superscript"/>
          <w:lang w:val="es-ES_tradnl" w:eastAsia="es-MX"/>
        </w:rPr>
        <w:footnoteReference w:id="3"/>
      </w:r>
      <w:r w:rsidRPr="00B133A0">
        <w:rPr>
          <w:rFonts w:ascii="Arial" w:eastAsia="Times New Roman" w:hAnsi="Arial" w:cs="Arial"/>
          <w:lang w:val="es-ES_tradnl" w:eastAsia="es-MX"/>
        </w:rPr>
        <w:t xml:space="preserve">. </w:t>
      </w:r>
    </w:p>
    <w:p w14:paraId="2FAFC63D" w14:textId="77777777" w:rsidR="00CD08FE" w:rsidRPr="00B133A0" w:rsidRDefault="00CD08FE" w:rsidP="00CD08FE">
      <w:pPr>
        <w:spacing w:line="276" w:lineRule="auto"/>
        <w:ind w:firstLine="709"/>
        <w:jc w:val="both"/>
        <w:rPr>
          <w:rFonts w:ascii="Arial" w:eastAsia="Times New Roman" w:hAnsi="Arial" w:cs="Arial"/>
          <w:lang w:val="es-ES_tradnl" w:eastAsia="es-MX"/>
        </w:rPr>
      </w:pPr>
      <w:r w:rsidRPr="00B133A0">
        <w:rPr>
          <w:rFonts w:ascii="Arial" w:eastAsia="Times New Roman" w:hAnsi="Arial" w:cs="Arial"/>
          <w:lang w:val="es-ES_tradnl" w:eastAsia="es-MX"/>
        </w:rPr>
        <w:t>Por otro lado, en el “Manual para determinar y verificar los requisitos habilitantes en los Procesos de Contratación”</w:t>
      </w:r>
      <w:r w:rsidRPr="00B133A0">
        <w:rPr>
          <w:rFonts w:ascii="Arial" w:eastAsia="Calibri" w:hAnsi="Arial" w:cs="Arial"/>
          <w:lang w:val="es-ES_tradnl" w:eastAsia="es-MX"/>
        </w:rPr>
        <w:t>,</w:t>
      </w:r>
      <w:r w:rsidRPr="00B133A0">
        <w:rPr>
          <w:rFonts w:ascii="Arial" w:eastAsia="Times New Roman" w:hAnsi="Arial" w:cs="Arial"/>
          <w:lang w:val="es-ES_tradnl" w:eastAsia="es-MX"/>
        </w:rPr>
        <w:t xml:space="preserve"> expedido por la </w:t>
      </w:r>
      <w:r w:rsidRPr="00B133A0">
        <w:rPr>
          <w:rFonts w:ascii="Arial" w:eastAsia="Calibri" w:hAnsi="Arial" w:cs="Arial"/>
          <w:lang w:val="es-ES_tradnl" w:eastAsia="es-MX"/>
        </w:rPr>
        <w:t>Agencia Nacional de Contratación Pública – Colombia Compra Eficiente</w:t>
      </w:r>
      <w:r w:rsidRPr="00B133A0">
        <w:rPr>
          <w:rFonts w:ascii="Arial" w:eastAsia="Times New Roman" w:hAnsi="Arial" w:cs="Arial"/>
          <w:lang w:val="es-ES_tradnl" w:eastAsia="es-MX"/>
        </w:rPr>
        <w:t xml:space="preserve"> se determinaron los parámetros para establecer, acreditar y subsanar los requisitos habilitantes. Allí también se precisó que estos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Así las cosas,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0554E81B" w14:textId="77777777" w:rsidR="00CD08FE" w:rsidRPr="00B133A0" w:rsidRDefault="00CD08FE" w:rsidP="00CD08FE">
      <w:pPr>
        <w:spacing w:line="276" w:lineRule="auto"/>
        <w:ind w:firstLine="709"/>
        <w:jc w:val="both"/>
        <w:rPr>
          <w:rFonts w:ascii="Arial" w:eastAsia="Times New Roman" w:hAnsi="Arial" w:cs="Arial"/>
          <w:lang w:val="es-ES_tradnl" w:eastAsia="es-MX"/>
        </w:rPr>
      </w:pPr>
      <w:r w:rsidRPr="00B133A0">
        <w:rPr>
          <w:rFonts w:ascii="Arial" w:eastAsia="Times New Roman" w:hAnsi="Arial" w:cs="Arial"/>
          <w:lang w:val="es-ES_tradnl" w:eastAsia="es-MX"/>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25591466" w14:textId="77777777" w:rsidR="00CD08FE" w:rsidRPr="00B133A0" w:rsidRDefault="00CD08FE" w:rsidP="00CD08FE">
      <w:pPr>
        <w:tabs>
          <w:tab w:val="left" w:pos="426"/>
        </w:tabs>
        <w:spacing w:line="276" w:lineRule="auto"/>
        <w:ind w:firstLine="709"/>
        <w:jc w:val="both"/>
        <w:rPr>
          <w:rFonts w:ascii="Arial" w:eastAsia="Times New Roman" w:hAnsi="Arial" w:cs="Arial"/>
          <w:lang w:val="es-ES_tradnl" w:eastAsia="es-MX"/>
        </w:rPr>
      </w:pPr>
      <w:bookmarkStart w:id="4" w:name="_Hlk99548027"/>
      <w:r w:rsidRPr="00B133A0">
        <w:rPr>
          <w:rFonts w:ascii="Arial" w:eastAsia="Times New Roman" w:hAnsi="Arial" w:cs="Arial"/>
          <w:lang w:val="es-ES_tradnl" w:eastAsia="es-MX"/>
        </w:rPr>
        <w:t xml:space="preserve">En ese sentido, si bien </w:t>
      </w:r>
      <w:r w:rsidRPr="00B133A0">
        <w:rPr>
          <w:rFonts w:ascii="Arial" w:eastAsia="Calibri" w:hAnsi="Arial" w:cs="Arial"/>
          <w:lang w:val="es-ES_tradnl" w:eastAsia="es-MX"/>
        </w:rPr>
        <w:t xml:space="preserve">la Ley 1150 de 2007 estableció unos requisitos habilitantes para los proponentes –la capacidad jurídica, las condiciones de experiencia, la capacidad financiera y la capacidad de organización–, estos no son taxativos. </w:t>
      </w:r>
      <w:r w:rsidRPr="00B133A0">
        <w:rPr>
          <w:rFonts w:ascii="Arial" w:eastAsia="Times New Roman" w:hAnsi="Arial" w:cs="Arial"/>
          <w:lang w:val="es-ES_tradnl" w:eastAsia="es-MX"/>
        </w:rPr>
        <w:t xml:space="preserve">En consecuencia, corresponde a las Entidades Estatales, durante la etapa de planeación del contrato estatal, estudiar y </w:t>
      </w:r>
      <w:r w:rsidRPr="00B133A0">
        <w:rPr>
          <w:rFonts w:ascii="Arial" w:eastAsia="Times New Roman" w:hAnsi="Arial" w:cs="Arial"/>
          <w:bCs/>
          <w:iCs/>
          <w:lang w:val="es-ES_tradnl" w:eastAsia="es-MX"/>
        </w:rPr>
        <w:t>determinar</w:t>
      </w:r>
      <w:r w:rsidRPr="00B133A0">
        <w:rPr>
          <w:rFonts w:ascii="Arial" w:eastAsia="Times New Roman" w:hAnsi="Arial" w:cs="Arial"/>
          <w:lang w:val="es-ES_tradnl" w:eastAsia="es-MX"/>
        </w:rPr>
        <w:t xml:space="preserve"> los requisitos habilitantes que establecerán en los Pliegos de Condiciones, los cuales deben fijarse de forma adecuada y proporcional. </w:t>
      </w:r>
    </w:p>
    <w:p w14:paraId="6570568F" w14:textId="77777777" w:rsidR="00CD08FE" w:rsidRPr="00B133A0" w:rsidRDefault="00CD08FE" w:rsidP="00CD08FE">
      <w:pPr>
        <w:tabs>
          <w:tab w:val="left" w:pos="426"/>
        </w:tabs>
        <w:spacing w:line="276" w:lineRule="auto"/>
        <w:ind w:firstLine="709"/>
        <w:jc w:val="both"/>
        <w:rPr>
          <w:rFonts w:ascii="Arial" w:eastAsia="Times New Roman" w:hAnsi="Arial" w:cs="Arial"/>
          <w:lang w:val="es-ES_tradnl" w:eastAsia="es-MX"/>
        </w:rPr>
      </w:pPr>
      <w:r w:rsidRPr="00B133A0">
        <w:rPr>
          <w:rFonts w:ascii="Arial" w:eastAsia="Times New Roman" w:hAnsi="Arial" w:cs="Arial"/>
          <w:lang w:val="es-ES_tradnl" w:eastAsia="es-MX"/>
        </w:rPr>
        <w:t xml:space="preserve">El Decreto 1082 de 2015 en su artículo 2.2.1.1.1.6.2 reglamenta los requisitos habilitantes, estableciendo que estos deben ser señalados en los Pliegos de Condiciones </w:t>
      </w:r>
      <w:r w:rsidRPr="00B133A0">
        <w:rPr>
          <w:rFonts w:ascii="Arial" w:eastAsia="Times New Roman" w:hAnsi="Arial" w:cs="Arial"/>
          <w:lang w:val="es-ES_tradnl" w:eastAsia="es-MX"/>
        </w:rPr>
        <w:lastRenderedPageBreak/>
        <w:t>o en la invitación</w:t>
      </w:r>
      <w:r w:rsidRPr="00B133A0">
        <w:rPr>
          <w:rFonts w:ascii="Arial" w:eastAsia="Times New Roman" w:hAnsi="Arial" w:cs="Arial"/>
          <w:vertAlign w:val="superscript"/>
          <w:lang w:val="es-ES_tradnl" w:eastAsia="es-MX"/>
        </w:rPr>
        <w:footnoteReference w:id="4"/>
      </w:r>
      <w:r w:rsidRPr="00B133A0">
        <w:rPr>
          <w:rFonts w:ascii="Arial" w:eastAsia="Times New Roman" w:hAnsi="Arial" w:cs="Arial"/>
          <w:lang w:val="es-ES_tradnl" w:eastAsia="es-MX"/>
        </w:rPr>
        <w:t>, lo cual es concordante con el numeral 5 del artículo 2.2.1.1.2.1.3, en el que se establece como uno de los componentes mínimos de los Pliegos de Condiciones</w:t>
      </w:r>
      <w:r w:rsidRPr="00B133A0">
        <w:rPr>
          <w:rFonts w:ascii="Arial" w:hAnsi="Arial" w:cs="Arial"/>
          <w:color w:val="000000"/>
        </w:rPr>
        <w:t xml:space="preserve"> a las reglas aplicables a la presentación y evaluación de las ofertas, entre las que se inscriben las relativas a la acreditación de las condiciones habilitantes. </w:t>
      </w:r>
      <w:r w:rsidRPr="00B133A0">
        <w:rPr>
          <w:rFonts w:ascii="Arial" w:eastAsia="Times New Roman" w:hAnsi="Arial" w:cs="Arial"/>
          <w:lang w:val="es-ES_tradnl" w:eastAsia="es-MX"/>
        </w:rPr>
        <w:t xml:space="preserve">Establece además el artículo 2.2.1.1.1.6.2 que la determinación de los requisitos habilitantes debe ser realizada en función de criterios como el riesgo del Proceso de Contratación, el valor del contrato, el análisis del sector económico respectivo y el conocimiento de fondo de los posibles oferentes desde la perspectiva comercial. </w:t>
      </w:r>
    </w:p>
    <w:p w14:paraId="21B58D0F" w14:textId="77777777" w:rsidR="00CD08FE" w:rsidRPr="00B133A0" w:rsidRDefault="00CD08FE" w:rsidP="00CD08FE">
      <w:pPr>
        <w:tabs>
          <w:tab w:val="left" w:pos="426"/>
        </w:tabs>
        <w:spacing w:line="276" w:lineRule="auto"/>
        <w:ind w:firstLine="709"/>
        <w:jc w:val="both"/>
        <w:rPr>
          <w:rFonts w:ascii="Arial" w:eastAsia="Times New Roman" w:hAnsi="Arial" w:cs="Arial"/>
          <w:lang w:val="es-ES_tradnl" w:eastAsia="es-MX"/>
        </w:rPr>
      </w:pPr>
      <w:r w:rsidRPr="00B133A0">
        <w:rPr>
          <w:rFonts w:ascii="Arial" w:eastAsia="Times New Roman" w:hAnsi="Arial" w:cs="Arial"/>
          <w:lang w:val="es-ES_tradnl" w:eastAsia="es-MX"/>
        </w:rPr>
        <w:t xml:space="preserve">Los mencionados criterios deben ser aplicados de manera tal que de la ponderación de los mismos resulten requisitos que permitan medir la aptitud de los oferentes para cumplir con el contrato y que, además de ser proporcionales y adecuados al objeto del contrato, no limiten la participación en el Proceso de Selección. 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p>
    <w:p w14:paraId="4CF13B82" w14:textId="77777777" w:rsidR="00CD08FE" w:rsidRPr="00B133A0" w:rsidRDefault="00CD08FE" w:rsidP="00CD08FE">
      <w:pPr>
        <w:tabs>
          <w:tab w:val="left" w:pos="426"/>
        </w:tabs>
        <w:spacing w:line="276" w:lineRule="auto"/>
        <w:ind w:firstLine="709"/>
        <w:jc w:val="both"/>
        <w:rPr>
          <w:rFonts w:ascii="Arial" w:hAnsi="Arial" w:cs="Arial"/>
        </w:rPr>
      </w:pPr>
      <w:r w:rsidRPr="00B133A0">
        <w:rPr>
          <w:rFonts w:ascii="Arial" w:eastAsia="Times New Roman" w:hAnsi="Arial" w:cs="Arial"/>
          <w:lang w:val="es-ES_tradnl" w:eastAsia="es-MX"/>
        </w:rPr>
        <w:t xml:space="preserve">Aunado a lo anterior, es menester mencionar que la libertad configurativa de requisitos habilitantes por parte de las entidades estatales debe sujetarse a los objetivos de </w:t>
      </w:r>
      <w:r w:rsidRPr="00B133A0">
        <w:rPr>
          <w:rFonts w:ascii="Arial" w:eastAsia="Times New Roman" w:hAnsi="Arial" w:cs="Arial"/>
          <w:lang w:val="es-ES_tradnl" w:eastAsia="es-MX"/>
        </w:rPr>
        <w:lastRenderedPageBreak/>
        <w:t xml:space="preserve">la contratación estatal, particularmente a la promoción de la competencia. En consecuencia, </w:t>
      </w:r>
      <w:r w:rsidRPr="00B133A0">
        <w:rPr>
          <w:rFonts w:ascii="Arial" w:hAnsi="Arial" w:cs="Arial"/>
        </w:rPr>
        <w:t>los requisitos habilitantes no son ni pueden ser una forma de restringir la participación en los procesos de contratación. El sistema de compras y contratación pública debe promover la participación de más proponentes y el crecimiento de la industria nacional de bienes y servicios y por eso los requisitos habilitantes deben ser adecuados y proporcionales.</w:t>
      </w:r>
    </w:p>
    <w:p w14:paraId="5D84D9DE" w14:textId="77777777" w:rsidR="00CD08FE" w:rsidRPr="00B133A0" w:rsidRDefault="00CD08FE" w:rsidP="00CD08FE">
      <w:pPr>
        <w:tabs>
          <w:tab w:val="left" w:pos="426"/>
        </w:tabs>
        <w:spacing w:line="276" w:lineRule="auto"/>
        <w:ind w:firstLine="709"/>
        <w:jc w:val="both"/>
        <w:rPr>
          <w:rFonts w:ascii="Arial" w:eastAsia="Times New Roman" w:hAnsi="Arial" w:cs="Arial"/>
          <w:lang w:val="es-ES_tradnl" w:eastAsia="es-MX"/>
        </w:rPr>
      </w:pPr>
      <w:r w:rsidRPr="00B133A0">
        <w:rPr>
          <w:rFonts w:ascii="Arial" w:hAnsi="Arial" w:cs="Arial"/>
        </w:rPr>
        <w:t>A modo de conclusión</w:t>
      </w:r>
      <w:r w:rsidRPr="00B133A0">
        <w:rPr>
          <w:rFonts w:ascii="Arial" w:eastAsia="Times New Roman" w:hAnsi="Arial" w:cs="Arial"/>
          <w:lang w:val="es-ES_tradnl" w:eastAsia="es-MX"/>
        </w:rPr>
        <w:t>,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w:t>
      </w:r>
    </w:p>
    <w:p w14:paraId="4CA70C37" w14:textId="77777777" w:rsidR="00CD08FE" w:rsidRPr="00B133A0" w:rsidRDefault="00CD08FE" w:rsidP="00CD08FE">
      <w:pPr>
        <w:pStyle w:val="Prrafodelista"/>
        <w:numPr>
          <w:ilvl w:val="1"/>
          <w:numId w:val="1"/>
        </w:numPr>
        <w:tabs>
          <w:tab w:val="left" w:pos="426"/>
        </w:tabs>
        <w:spacing w:line="276" w:lineRule="auto"/>
        <w:jc w:val="both"/>
        <w:rPr>
          <w:rFonts w:ascii="Arial" w:eastAsia="Times New Roman" w:hAnsi="Arial" w:cs="Arial"/>
          <w:b/>
          <w:bCs/>
          <w:lang w:val="es-ES_tradnl" w:eastAsia="es-MX"/>
        </w:rPr>
      </w:pPr>
      <w:r w:rsidRPr="00B133A0">
        <w:rPr>
          <w:rFonts w:ascii="Arial" w:eastAsia="Calibri" w:hAnsi="Arial" w:cs="Arial"/>
          <w:b/>
        </w:rPr>
        <w:t>La capacidad jurídica como requisito habilitante y su acreditación</w:t>
      </w:r>
    </w:p>
    <w:p w14:paraId="3F8C6968" w14:textId="77777777" w:rsidR="00CD08FE" w:rsidRPr="00B133A0" w:rsidRDefault="00CD08FE" w:rsidP="00CD08FE">
      <w:pPr>
        <w:tabs>
          <w:tab w:val="left" w:pos="426"/>
        </w:tabs>
        <w:spacing w:line="276" w:lineRule="auto"/>
        <w:jc w:val="both"/>
        <w:rPr>
          <w:rFonts w:ascii="Arial" w:eastAsia="Calibri" w:hAnsi="Arial" w:cs="Arial"/>
          <w:lang w:val="es-ES_tradnl" w:eastAsia="es-ES_tradnl"/>
        </w:rPr>
      </w:pPr>
      <w:r w:rsidRPr="00B133A0">
        <w:rPr>
          <w:rFonts w:ascii="Arial" w:eastAsia="Calibri" w:hAnsi="Arial" w:cs="Arial"/>
          <w:lang w:val="es-ES_tradnl" w:eastAsia="es-ES_tradnl"/>
        </w:rPr>
        <w:t>La capacidad jurídica es la aptitud que recae en los sujeto activos o pasivos de las relaciones jurídicas</w:t>
      </w:r>
      <w:r w:rsidRPr="00B133A0">
        <w:rPr>
          <w:rFonts w:ascii="Arial" w:eastAsia="Calibri" w:hAnsi="Arial" w:cs="Arial"/>
          <w:vertAlign w:val="superscript"/>
          <w:lang w:val="es-ES_tradnl" w:eastAsia="es-ES_tradnl"/>
        </w:rPr>
        <w:footnoteReference w:id="5"/>
      </w:r>
      <w:r w:rsidRPr="00B133A0">
        <w:rPr>
          <w:rFonts w:ascii="Arial" w:eastAsia="Calibri" w:hAnsi="Arial" w:cs="Arial"/>
          <w:lang w:val="es-ES_tradnl" w:eastAsia="es-ES_tradnl"/>
        </w:rPr>
        <w:t xml:space="preserve">. Para efectos de las relaciones contractuales en las que uno de los extremos de la relación sea una Entidad Estatal, la capacidad jurídica es la facultad que tiene una persona natural o jurídica para celebrar contratos con una Entidad Estatal. En otras palabras, es i) la capacidad de obligarse a cumplir el objeto del contrato y </w:t>
      </w:r>
      <w:proofErr w:type="spellStart"/>
      <w:r w:rsidRPr="00B133A0">
        <w:rPr>
          <w:rFonts w:ascii="Arial" w:eastAsia="Calibri" w:hAnsi="Arial" w:cs="Arial"/>
          <w:lang w:val="es-ES_tradnl" w:eastAsia="es-ES_tradnl"/>
        </w:rPr>
        <w:t>ii</w:t>
      </w:r>
      <w:proofErr w:type="spellEnd"/>
      <w:r w:rsidRPr="00B133A0">
        <w:rPr>
          <w:rFonts w:ascii="Arial" w:eastAsia="Calibri" w:hAnsi="Arial" w:cs="Arial"/>
          <w:lang w:val="es-ES_tradnl" w:eastAsia="es-ES_tradnl"/>
        </w:rPr>
        <w:t>) de no estar incursa en inhabilidades o incompatibilidades que impidan la celebración del contrato.</w:t>
      </w:r>
    </w:p>
    <w:p w14:paraId="08B482F1" w14:textId="77777777" w:rsidR="00CD08FE" w:rsidRPr="00B133A0" w:rsidRDefault="00CD08FE" w:rsidP="00CD08FE">
      <w:pPr>
        <w:spacing w:line="276" w:lineRule="auto"/>
        <w:ind w:firstLine="709"/>
        <w:jc w:val="both"/>
        <w:rPr>
          <w:rFonts w:ascii="Arial" w:eastAsia="Times New Roman" w:hAnsi="Arial" w:cs="Arial"/>
          <w:lang w:eastAsia="es-ES_tradnl"/>
        </w:rPr>
      </w:pPr>
      <w:r w:rsidRPr="00B133A0">
        <w:rPr>
          <w:rFonts w:ascii="Arial" w:eastAsia="Calibri" w:hAnsi="Arial" w:cs="Arial"/>
          <w:lang w:val="es-ES_tradnl" w:eastAsia="es-ES_tradnl"/>
        </w:rPr>
        <w:t>Para efectos de la aplicación de la aplicación del EGCAP, la capacidad para contratar la tienen las personas consideradas legalmente capaces en las disposiciones vigentes</w:t>
      </w:r>
      <w:r w:rsidRPr="00B133A0">
        <w:rPr>
          <w:rFonts w:ascii="Arial" w:eastAsia="Calibri" w:hAnsi="Arial" w:cs="Arial"/>
          <w:vertAlign w:val="superscript"/>
          <w:lang w:val="es-ES_tradnl" w:eastAsia="es-ES_tradnl"/>
        </w:rPr>
        <w:footnoteReference w:id="6"/>
      </w:r>
      <w:r w:rsidRPr="00B133A0">
        <w:rPr>
          <w:rFonts w:ascii="Arial" w:eastAsia="Times New Roman" w:hAnsi="Arial" w:cs="Arial"/>
          <w:lang w:eastAsia="es-ES_tradnl"/>
        </w:rPr>
        <w:t>, así como otras formas asociativas. En efecto, el artículo 6 de la Ley 80 de 1993 establece que “[p]</w:t>
      </w:r>
      <w:proofErr w:type="spellStart"/>
      <w:r w:rsidRPr="00B133A0">
        <w:rPr>
          <w:rFonts w:ascii="Arial" w:eastAsia="Times New Roman" w:hAnsi="Arial" w:cs="Arial"/>
          <w:lang w:eastAsia="es-ES_tradnl"/>
        </w:rPr>
        <w:t>ueden</w:t>
      </w:r>
      <w:proofErr w:type="spellEnd"/>
      <w:r w:rsidRPr="00B133A0">
        <w:rPr>
          <w:rFonts w:ascii="Arial" w:eastAsia="Times New Roman" w:hAnsi="Arial" w:cs="Arial"/>
          <w:lang w:eastAsia="es-ES_tradnl"/>
        </w:rPr>
        <w:t xml:space="preserve"> celebrar contratos con las entidades estatales las personas consideradas legalmente capaces en las disposiciones vigentes […]”, así como también dispone que podrán hacerlo “[…] los consorcios y uniones temporales”.</w:t>
      </w:r>
    </w:p>
    <w:p w14:paraId="101007F5" w14:textId="77777777" w:rsidR="00CD08FE" w:rsidRPr="00B133A0" w:rsidRDefault="00CD08FE" w:rsidP="00CD08FE">
      <w:pPr>
        <w:spacing w:line="276" w:lineRule="auto"/>
        <w:ind w:firstLine="709"/>
        <w:jc w:val="both"/>
        <w:rPr>
          <w:rFonts w:ascii="Arial" w:eastAsia="Calibri" w:hAnsi="Arial" w:cs="Arial"/>
          <w:lang w:val="es-ES_tradnl" w:eastAsia="es-ES_tradnl"/>
        </w:rPr>
      </w:pPr>
      <w:r w:rsidRPr="00B133A0">
        <w:rPr>
          <w:rFonts w:ascii="Arial" w:eastAsia="Times New Roman" w:hAnsi="Arial" w:cs="Arial"/>
          <w:lang w:eastAsia="es-ES_tradnl"/>
        </w:rPr>
        <w:t>En primer lugar, l</w:t>
      </w:r>
      <w:r w:rsidRPr="00B133A0">
        <w:rPr>
          <w:rFonts w:ascii="Arial" w:eastAsia="Calibri" w:hAnsi="Arial" w:cs="Arial"/>
          <w:lang w:val="es-ES_tradnl" w:eastAsia="es-ES_tradnl"/>
        </w:rPr>
        <w:t>as personas naturales que tienen capacidad jurídica para contratar son los mayores de edad, a menos que por disposición expresa se encuentren limitados por decisión judicial, como la interdicción judicial, y que no estén incursas en inhabilidades, incompatibilidades o prohibiciones para contratar derivadas de la ley.</w:t>
      </w:r>
    </w:p>
    <w:p w14:paraId="520E0284" w14:textId="77777777" w:rsidR="00CD08FE" w:rsidRPr="00B133A0" w:rsidRDefault="00CD08FE" w:rsidP="00CD08FE">
      <w:pPr>
        <w:spacing w:line="276" w:lineRule="auto"/>
        <w:ind w:firstLine="709"/>
        <w:jc w:val="both"/>
        <w:rPr>
          <w:rFonts w:ascii="Arial" w:eastAsia="Calibri" w:hAnsi="Arial" w:cs="Arial"/>
          <w:lang w:val="es-ES_tradnl" w:eastAsia="es-ES_tradnl"/>
        </w:rPr>
      </w:pPr>
      <w:r w:rsidRPr="00B133A0">
        <w:rPr>
          <w:rFonts w:ascii="Arial" w:eastAsia="Calibri" w:hAnsi="Arial" w:cs="Arial"/>
          <w:lang w:val="es-ES_tradnl" w:eastAsia="es-ES_tradnl"/>
        </w:rPr>
        <w:t xml:space="preserve">Por otra parte y teniendo en cuenta el objeto de su consulta es preciso mencionar que, en tratándose de personas jurídicas la capacidad jurídica hace referencia a la posibilidad que tienen para adelantar actividades en el marco de su objeto social, las </w:t>
      </w:r>
      <w:r w:rsidRPr="00B133A0">
        <w:rPr>
          <w:rFonts w:ascii="Arial" w:eastAsia="Calibri" w:hAnsi="Arial" w:cs="Arial"/>
          <w:lang w:val="es-ES_tradnl" w:eastAsia="es-ES_tradnl"/>
        </w:rPr>
        <w:lastRenderedPageBreak/>
        <w:t>facultades que le han sido otorgadas al representante legal y a la ausencia de inhabilidades, incompatibilidades o prohibiciones para contratar, derivadas de la ley.</w:t>
      </w:r>
    </w:p>
    <w:p w14:paraId="7E836AD9" w14:textId="77777777" w:rsidR="00CD08FE" w:rsidRPr="00B133A0" w:rsidRDefault="00CD08FE" w:rsidP="00CD08FE">
      <w:pPr>
        <w:spacing w:line="276" w:lineRule="auto"/>
        <w:ind w:firstLine="709"/>
        <w:contextualSpacing/>
        <w:jc w:val="both"/>
        <w:rPr>
          <w:rFonts w:ascii="Arial" w:eastAsia="Calibri" w:hAnsi="Arial" w:cs="Arial"/>
          <w:lang w:val="es-ES_tradnl" w:eastAsia="es-ES_tradnl"/>
        </w:rPr>
      </w:pPr>
      <w:r w:rsidRPr="00B133A0">
        <w:rPr>
          <w:rFonts w:ascii="Arial" w:eastAsia="Calibri" w:hAnsi="Arial" w:cs="Arial"/>
          <w:lang w:val="es-ES_tradnl" w:eastAsia="es-ES_tradnl"/>
        </w:rPr>
        <w:t>Ahora bien, en el marco de los procesos de selección, las Entidades Estatales deben solicitar a los proponentes toda la información necesaria para conocer su idoneidad en la ejecución del contrato a celebrar, que le permita verificar su honestidad e integridad en el manejo de los recursos públicos que involucra la contratación estatal. El Consejo de Estado ha exhortado a las Entidades Estatales para conocer la calidad en la que actúa el proponente, así</w:t>
      </w:r>
      <w:r w:rsidRPr="00B133A0">
        <w:rPr>
          <w:rFonts w:ascii="Arial" w:eastAsia="Calibri" w:hAnsi="Arial" w:cs="Arial"/>
          <w:vertAlign w:val="superscript"/>
          <w:lang w:val="es-ES_tradnl" w:eastAsia="es-ES_tradnl"/>
        </w:rPr>
        <w:footnoteReference w:id="7"/>
      </w:r>
      <w:r w:rsidRPr="00B133A0">
        <w:rPr>
          <w:rFonts w:ascii="Arial" w:eastAsia="Calibri" w:hAnsi="Arial" w:cs="Arial"/>
          <w:lang w:val="es-ES_tradnl" w:eastAsia="es-ES_tradnl"/>
        </w:rPr>
        <w:t>:</w:t>
      </w:r>
    </w:p>
    <w:p w14:paraId="12A7126D" w14:textId="77777777" w:rsidR="00CD08FE" w:rsidRPr="00B133A0" w:rsidRDefault="00CD08FE" w:rsidP="00CD08FE">
      <w:pPr>
        <w:widowControl w:val="0"/>
        <w:autoSpaceDE w:val="0"/>
        <w:autoSpaceDN w:val="0"/>
        <w:spacing w:line="276" w:lineRule="auto"/>
        <w:ind w:left="709" w:right="709"/>
        <w:contextualSpacing/>
        <w:jc w:val="both"/>
        <w:rPr>
          <w:rFonts w:ascii="Arial" w:eastAsia="Arial" w:hAnsi="Arial" w:cs="Arial"/>
          <w:sz w:val="20"/>
          <w:szCs w:val="20"/>
          <w:lang w:eastAsia="es-ES" w:bidi="es-ES"/>
        </w:rPr>
      </w:pPr>
      <w:r w:rsidRPr="00B133A0">
        <w:rPr>
          <w:rFonts w:ascii="Arial" w:eastAsia="Arial" w:hAnsi="Arial" w:cs="Arial"/>
          <w:sz w:val="20"/>
          <w:szCs w:val="20"/>
          <w:lang w:eastAsia="es-ES" w:bidi="es-ES"/>
        </w:rPr>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w:t>
      </w:r>
      <w:r w:rsidRPr="00B133A0">
        <w:rPr>
          <w:rFonts w:ascii="Arial" w:eastAsia="Arial" w:hAnsi="Arial" w:cs="Arial"/>
          <w:spacing w:val="-11"/>
          <w:sz w:val="20"/>
          <w:szCs w:val="20"/>
          <w:lang w:eastAsia="es-ES" w:bidi="es-ES"/>
        </w:rPr>
        <w:t xml:space="preserve"> </w:t>
      </w:r>
      <w:r w:rsidRPr="00B133A0">
        <w:rPr>
          <w:rFonts w:ascii="Arial" w:eastAsia="Arial" w:hAnsi="Arial" w:cs="Arial"/>
          <w:sz w:val="20"/>
          <w:szCs w:val="20"/>
          <w:lang w:eastAsia="es-ES" w:bidi="es-ES"/>
        </w:rPr>
        <w:t>particular”.</w:t>
      </w:r>
    </w:p>
    <w:p w14:paraId="2E7AA25C" w14:textId="77777777" w:rsidR="00CD08FE" w:rsidRPr="00B133A0" w:rsidRDefault="00CD08FE" w:rsidP="00CD08FE">
      <w:pPr>
        <w:widowControl w:val="0"/>
        <w:autoSpaceDE w:val="0"/>
        <w:autoSpaceDN w:val="0"/>
        <w:spacing w:line="276" w:lineRule="auto"/>
        <w:contextualSpacing/>
        <w:rPr>
          <w:rFonts w:ascii="Arial" w:eastAsia="Arial" w:hAnsi="Arial" w:cs="Arial"/>
          <w:lang w:eastAsia="es-ES" w:bidi="es-ES"/>
        </w:rPr>
      </w:pPr>
    </w:p>
    <w:p w14:paraId="31B37731" w14:textId="77777777" w:rsidR="00CD08FE" w:rsidRPr="00B133A0" w:rsidRDefault="00CD08FE" w:rsidP="00CD08FE">
      <w:pPr>
        <w:spacing w:line="276" w:lineRule="auto"/>
        <w:ind w:firstLine="709"/>
        <w:jc w:val="both"/>
        <w:rPr>
          <w:rFonts w:ascii="Arial" w:eastAsia="Times New Roman" w:hAnsi="Arial" w:cs="Arial"/>
          <w:color w:val="000000" w:themeColor="text1"/>
          <w:lang w:val="es-ES_tradnl" w:eastAsia="es-ES_tradnl"/>
        </w:rPr>
      </w:pPr>
      <w:r w:rsidRPr="00B133A0">
        <w:rPr>
          <w:rFonts w:ascii="Arial" w:eastAsia="Times New Roman" w:hAnsi="Arial" w:cs="Arial"/>
          <w:color w:val="000000" w:themeColor="text1"/>
          <w:lang w:val="es-ES_tradnl" w:eastAsia="es-ES_tradnl"/>
        </w:rPr>
        <w:t xml:space="preserve">Teniendo en cuenta la pregunta que nos allega en su consulta, se debe señalar que, en su calidad de comerciantes, los proponentes deben estar inscritos en el Registro Único Empresarial y Social – en adelante RUES– administrado por las cámaras de comercio. En dicho documento se encuentra el listado de las actividades económicas que conforman el objeto de las empresas, según los códigos de la Clasificación Industrial Internacional </w:t>
      </w:r>
      <w:r w:rsidRPr="00B133A0">
        <w:rPr>
          <w:rFonts w:ascii="Arial" w:eastAsia="Times New Roman" w:hAnsi="Arial" w:cs="Arial"/>
          <w:color w:val="000000" w:themeColor="text1"/>
          <w:lang w:val="es-ES_tradnl" w:eastAsia="es-ES_tradnl"/>
        </w:rPr>
        <w:lastRenderedPageBreak/>
        <w:t>Uniforme (CIIU), en virtud de lo dispuesto en el artículo 11 de la Ley 590 de 2000</w:t>
      </w:r>
      <w:r w:rsidRPr="00B133A0">
        <w:rPr>
          <w:rFonts w:ascii="Arial" w:eastAsia="Times New Roman" w:hAnsi="Arial" w:cs="Arial"/>
          <w:color w:val="000000" w:themeColor="text1"/>
          <w:vertAlign w:val="superscript"/>
          <w:lang w:val="es-ES_tradnl" w:eastAsia="es-ES_tradnl"/>
        </w:rPr>
        <w:footnoteReference w:id="8"/>
      </w:r>
      <w:r w:rsidRPr="00B133A0">
        <w:rPr>
          <w:rFonts w:ascii="Arial" w:eastAsia="Times New Roman" w:hAnsi="Arial" w:cs="Arial"/>
          <w:color w:val="000000" w:themeColor="text1"/>
          <w:lang w:val="es-ES_tradnl" w:eastAsia="es-ES_tradnl"/>
        </w:rPr>
        <w:t xml:space="preserve"> y el artículo 166 del Decreto 019 de 2012</w:t>
      </w:r>
      <w:r w:rsidRPr="00B133A0">
        <w:rPr>
          <w:rFonts w:ascii="Arial" w:eastAsia="Times New Roman" w:hAnsi="Arial" w:cs="Arial"/>
          <w:color w:val="000000" w:themeColor="text1"/>
          <w:vertAlign w:val="superscript"/>
          <w:lang w:val="es-ES_tradnl" w:eastAsia="es-ES_tradnl"/>
        </w:rPr>
        <w:footnoteReference w:id="9"/>
      </w:r>
      <w:r w:rsidRPr="00B133A0">
        <w:rPr>
          <w:rFonts w:ascii="Arial" w:eastAsia="Times New Roman" w:hAnsi="Arial" w:cs="Arial"/>
          <w:color w:val="000000" w:themeColor="text1"/>
          <w:lang w:val="es-ES_tradnl" w:eastAsia="es-ES_tradnl"/>
        </w:rPr>
        <w:t>.</w:t>
      </w:r>
    </w:p>
    <w:p w14:paraId="4CF06F7D" w14:textId="77777777" w:rsidR="00CD08FE" w:rsidRPr="00B133A0" w:rsidRDefault="00CD08FE" w:rsidP="00CD08FE">
      <w:pPr>
        <w:spacing w:line="276" w:lineRule="auto"/>
        <w:ind w:firstLine="709"/>
        <w:jc w:val="both"/>
        <w:rPr>
          <w:rFonts w:ascii="Arial" w:eastAsia="Times New Roman" w:hAnsi="Arial" w:cs="Arial"/>
          <w:color w:val="000000" w:themeColor="text1"/>
          <w:lang w:val="es-ES_tradnl" w:eastAsia="es-ES_tradnl"/>
        </w:rPr>
      </w:pPr>
      <w:r w:rsidRPr="00B133A0">
        <w:rPr>
          <w:rFonts w:ascii="Arial" w:eastAsia="Times New Roman" w:hAnsi="Arial" w:cs="Arial"/>
          <w:color w:val="000000" w:themeColor="text1"/>
          <w:lang w:val="es-ES_tradnl" w:eastAsia="es-ES_tradnl"/>
        </w:rPr>
        <w:lastRenderedPageBreak/>
        <w:t xml:space="preserve">Es así como, de conformidad con lo planteado en este acápite, se concluye que </w:t>
      </w:r>
      <w:r w:rsidRPr="00B133A0">
        <w:rPr>
          <w:rFonts w:ascii="Arial" w:eastAsia="Calibri" w:hAnsi="Arial" w:cs="Arial"/>
          <w:lang w:val="es-ES_tradnl" w:eastAsia="es-ES_tradnl"/>
        </w:rPr>
        <w:t xml:space="preserve">en el ordenamiento colombiano pueden celebrar contratos estatales las personas jurídicas que tengan dentro de su objeto social actividades relacionadas con el objeto a contratar. En el </w:t>
      </w:r>
      <w:r w:rsidRPr="00B133A0">
        <w:rPr>
          <w:rFonts w:ascii="Arial" w:eastAsia="Times New Roman" w:hAnsi="Arial" w:cs="Arial"/>
          <w:color w:val="000000" w:themeColor="text1"/>
          <w:lang w:val="es-ES_tradnl" w:eastAsia="es-ES_tradnl"/>
        </w:rPr>
        <w:t>RUES, administrado por las cámaras de comercio se encuentra el listado de las actividades económicas que conforman el objeto de las empresas, según los códigos de la Clasificación Industrial Internacional Uniforme (CIIU), en virtud de lo dispuesto en el artículo 11 de la Ley 590 de 2000</w:t>
      </w:r>
      <w:r w:rsidRPr="00B133A0">
        <w:rPr>
          <w:rFonts w:ascii="Arial" w:eastAsia="Times New Roman" w:hAnsi="Arial" w:cs="Arial"/>
          <w:color w:val="000000" w:themeColor="text1"/>
          <w:vertAlign w:val="superscript"/>
          <w:lang w:val="es-ES_tradnl" w:eastAsia="es-ES_tradnl"/>
        </w:rPr>
        <w:footnoteReference w:id="10"/>
      </w:r>
      <w:r w:rsidRPr="00B133A0">
        <w:rPr>
          <w:rFonts w:ascii="Arial" w:eastAsia="Times New Roman" w:hAnsi="Arial" w:cs="Arial"/>
          <w:color w:val="000000" w:themeColor="text1"/>
          <w:lang w:val="es-ES_tradnl" w:eastAsia="es-ES_tradnl"/>
        </w:rPr>
        <w:t xml:space="preserve"> y el artículo 166 del Decreto 019 de 2012, por lo cual las Entidades Estatales pueden corroborar a través de este documento si la persona jurídica puede o no ejecutar el objeto contractual. </w:t>
      </w:r>
    </w:p>
    <w:p w14:paraId="3EF1DC56" w14:textId="77777777" w:rsidR="00CD08FE" w:rsidRPr="00B133A0" w:rsidRDefault="00CD08FE" w:rsidP="00CD08FE">
      <w:pPr>
        <w:pStyle w:val="Prrafodelista"/>
        <w:numPr>
          <w:ilvl w:val="1"/>
          <w:numId w:val="1"/>
        </w:numPr>
        <w:spacing w:line="276" w:lineRule="auto"/>
        <w:jc w:val="both"/>
        <w:rPr>
          <w:rFonts w:ascii="Arial" w:eastAsia="Calibri" w:hAnsi="Arial" w:cs="Arial"/>
          <w:b/>
          <w:bCs/>
          <w:lang w:val="es-ES_tradnl" w:eastAsia="es-ES_tradnl"/>
        </w:rPr>
      </w:pPr>
      <w:r w:rsidRPr="00B133A0">
        <w:rPr>
          <w:rFonts w:ascii="Arial" w:eastAsia="Calibri" w:hAnsi="Arial" w:cs="Arial"/>
          <w:b/>
          <w:bCs/>
          <w:lang w:val="es-ES_tradnl" w:eastAsia="es-MX"/>
        </w:rPr>
        <w:t>La capacidad jurídica de las Sociedades por Acciones Simplificadas conforme a su objeto social determinado o indeterminado.</w:t>
      </w:r>
    </w:p>
    <w:p w14:paraId="5F9EA57C" w14:textId="77777777" w:rsidR="00CD08FE" w:rsidRPr="00B133A0" w:rsidRDefault="00CD08FE" w:rsidP="00CD08FE">
      <w:pPr>
        <w:spacing w:before="120" w:line="276" w:lineRule="auto"/>
        <w:jc w:val="both"/>
        <w:rPr>
          <w:rFonts w:ascii="Arial" w:hAnsi="Arial" w:cs="Arial"/>
        </w:rPr>
      </w:pPr>
      <w:r w:rsidRPr="00B133A0">
        <w:rPr>
          <w:rFonts w:ascii="Arial" w:hAnsi="Arial" w:cs="Arial"/>
        </w:rPr>
        <w:t>A partir de su aparición en el ordenamiento jurídico colombiano, por medio de la Ley 1258 de 2008, las Sociedades por Acciones Simplificadas, fueron definidas por la doctrina como una de las innovaciones más relevantes del derecho societario colombiano, por la posibilidad de conformación a través de un acto unipersonal, la limitación de responsabilidad por obligaciones sociales, la viabilidad de poder contar con un objeto indeterminado para desarrollar actividades lícitas, el término de duración indefinido, la posibilidad de renunciar al derecho de ser convocado a reuniones de la asamblea, entre otras tantas que hicieron de ellas uno de los modelos societarios más atractivos para la conformación empresarial</w:t>
      </w:r>
      <w:r w:rsidRPr="00B133A0">
        <w:rPr>
          <w:rStyle w:val="Refdenotaalpie"/>
          <w:rFonts w:ascii="Arial" w:hAnsi="Arial" w:cs="Arial"/>
        </w:rPr>
        <w:footnoteReference w:id="11"/>
      </w:r>
      <w:r w:rsidRPr="00B133A0">
        <w:rPr>
          <w:rFonts w:ascii="Arial" w:hAnsi="Arial" w:cs="Arial"/>
        </w:rPr>
        <w:t xml:space="preserve">. </w:t>
      </w:r>
    </w:p>
    <w:p w14:paraId="643F6282" w14:textId="77777777" w:rsidR="00CD08FE" w:rsidRPr="00B133A0" w:rsidRDefault="00CD08FE" w:rsidP="00CD08FE">
      <w:pPr>
        <w:spacing w:before="120" w:line="276" w:lineRule="auto"/>
        <w:ind w:firstLine="708"/>
        <w:jc w:val="both"/>
        <w:rPr>
          <w:rFonts w:ascii="Arial" w:hAnsi="Arial" w:cs="Arial"/>
        </w:rPr>
      </w:pPr>
      <w:r w:rsidRPr="00B133A0">
        <w:rPr>
          <w:rFonts w:ascii="Arial" w:hAnsi="Arial" w:cs="Arial"/>
        </w:rPr>
        <w:t>Ahora bien, en cuanto al objeto social, de acuerdo con el numeral 5° del artículo 5° de la ley 1258 de 2008, se estableció la posibilidad de fijar un objeto social indeterminado, teniendo en cuenta lo citado a continuación:</w:t>
      </w:r>
    </w:p>
    <w:p w14:paraId="6EB2F49C" w14:textId="77777777" w:rsidR="00CD08FE" w:rsidRPr="00B133A0" w:rsidRDefault="00CD08FE" w:rsidP="00CD08FE">
      <w:pPr>
        <w:spacing w:line="276" w:lineRule="auto"/>
        <w:ind w:left="709" w:right="758"/>
        <w:jc w:val="both"/>
        <w:rPr>
          <w:rFonts w:ascii="Arial" w:hAnsi="Arial" w:cs="Arial"/>
          <w:iCs/>
          <w:sz w:val="21"/>
          <w:szCs w:val="21"/>
        </w:rPr>
      </w:pPr>
      <w:r w:rsidRPr="00B133A0">
        <w:rPr>
          <w:rFonts w:ascii="Arial" w:hAnsi="Arial" w:cs="Arial"/>
          <w:iCs/>
          <w:sz w:val="21"/>
          <w:szCs w:val="21"/>
        </w:rPr>
        <w:t xml:space="preserve">Artículo 5o. Contenido del documento de constitución. La sociedad por acciones simplificada se creará mediante contrato o acto unilateral que conste en documento privado, inscrito en el Registro Mercantil de la Cámara de Comercio </w:t>
      </w:r>
      <w:r w:rsidRPr="00B133A0">
        <w:rPr>
          <w:rFonts w:ascii="Arial" w:hAnsi="Arial" w:cs="Arial"/>
          <w:iCs/>
          <w:sz w:val="21"/>
          <w:szCs w:val="21"/>
        </w:rPr>
        <w:lastRenderedPageBreak/>
        <w:t>del lugar en que la sociedad establezca su domicilio principal, en el cual se expresará cuando menos lo siguiente:</w:t>
      </w:r>
    </w:p>
    <w:p w14:paraId="625EE747" w14:textId="77777777" w:rsidR="00CD08FE" w:rsidRPr="00B133A0" w:rsidRDefault="00CD08FE" w:rsidP="00CD08FE">
      <w:pPr>
        <w:spacing w:line="276" w:lineRule="auto"/>
        <w:ind w:left="709" w:right="758"/>
        <w:jc w:val="both"/>
        <w:rPr>
          <w:rFonts w:ascii="Arial" w:hAnsi="Arial" w:cs="Arial"/>
          <w:iCs/>
          <w:sz w:val="21"/>
          <w:szCs w:val="21"/>
        </w:rPr>
      </w:pPr>
      <w:r w:rsidRPr="00B133A0">
        <w:rPr>
          <w:rFonts w:ascii="Arial" w:hAnsi="Arial" w:cs="Arial"/>
          <w:iCs/>
          <w:sz w:val="21"/>
          <w:szCs w:val="21"/>
        </w:rPr>
        <w:t>[…]</w:t>
      </w:r>
    </w:p>
    <w:p w14:paraId="6DDB6A21" w14:textId="77777777" w:rsidR="00CD08FE" w:rsidRPr="00B133A0" w:rsidRDefault="00CD08FE" w:rsidP="00CD08FE">
      <w:pPr>
        <w:spacing w:line="276" w:lineRule="auto"/>
        <w:ind w:left="709" w:right="758"/>
        <w:jc w:val="both"/>
        <w:rPr>
          <w:rFonts w:ascii="Arial" w:hAnsi="Arial" w:cs="Arial"/>
          <w:iCs/>
          <w:sz w:val="21"/>
          <w:szCs w:val="21"/>
        </w:rPr>
      </w:pPr>
    </w:p>
    <w:p w14:paraId="15835DF1" w14:textId="77777777" w:rsidR="00CD08FE" w:rsidRPr="00B133A0" w:rsidRDefault="00CD08FE" w:rsidP="00CD08FE">
      <w:pPr>
        <w:spacing w:line="276" w:lineRule="auto"/>
        <w:ind w:left="709" w:right="758"/>
        <w:jc w:val="both"/>
        <w:rPr>
          <w:rFonts w:ascii="Arial" w:hAnsi="Arial" w:cs="Arial"/>
        </w:rPr>
      </w:pPr>
      <w:r w:rsidRPr="00B133A0">
        <w:rPr>
          <w:rFonts w:ascii="Arial" w:hAnsi="Arial" w:cs="Arial"/>
          <w:iCs/>
          <w:sz w:val="21"/>
          <w:szCs w:val="21"/>
        </w:rPr>
        <w:t xml:space="preserve">5o. Una enunciación clara y completa de las actividades principales, a menos que se exprese que la sociedad podrá realizar cualquier actividad comercial o civil, lícita. Si nada se expresa en el acto de constitución, se entenderá que la </w:t>
      </w:r>
      <w:r w:rsidRPr="00B133A0">
        <w:rPr>
          <w:rFonts w:ascii="Arial" w:hAnsi="Arial" w:cs="Arial"/>
        </w:rPr>
        <w:t xml:space="preserve">sociedad podrá realizar cualquier actividad lícita. </w:t>
      </w:r>
    </w:p>
    <w:p w14:paraId="6BB79408" w14:textId="77777777" w:rsidR="00CD08FE" w:rsidRPr="00B133A0" w:rsidRDefault="00CD08FE" w:rsidP="00CD08FE">
      <w:pPr>
        <w:spacing w:line="276" w:lineRule="auto"/>
        <w:ind w:firstLine="708"/>
        <w:jc w:val="both"/>
        <w:rPr>
          <w:rFonts w:ascii="Arial" w:hAnsi="Arial" w:cs="Arial"/>
        </w:rPr>
      </w:pPr>
      <w:r w:rsidRPr="00B133A0">
        <w:rPr>
          <w:rFonts w:ascii="Arial" w:hAnsi="Arial" w:cs="Arial"/>
        </w:rPr>
        <w:t>En contraste a lo desarrollado por el legislador en el año 2008, por regla general, según lo establecido en el artículo 99 del Código de Comercio, la capacidad de una sociedad se circunscribirá al desarrollo de la empresa o a la actividad prevista en su objeto. Esta capacidad, según la jurisprudencia del Consejo de Estado, se refleja en la idoneidad para ejercer sus derechos por sí misma, como una capacidad de obrar.</w:t>
      </w:r>
    </w:p>
    <w:p w14:paraId="7CB6DA8F" w14:textId="77777777" w:rsidR="00CD08FE" w:rsidRPr="00B133A0" w:rsidRDefault="00CD08FE" w:rsidP="00CD08FE">
      <w:pPr>
        <w:spacing w:before="120" w:line="276" w:lineRule="auto"/>
        <w:ind w:firstLine="709"/>
        <w:jc w:val="both"/>
        <w:rPr>
          <w:rFonts w:ascii="Arial" w:hAnsi="Arial" w:cs="Arial"/>
        </w:rPr>
      </w:pPr>
      <w:r w:rsidRPr="00B133A0">
        <w:rPr>
          <w:rFonts w:ascii="Arial" w:hAnsi="Arial" w:cs="Arial"/>
        </w:rPr>
        <w:t>Con la aparición de las Sociedades por Acciones Simplificadas, se da un giro sustancial a la regla general definida por el artículo 99 del Código de Comercio, debido a que se le otorga a sus asociados, la posibilidad de: definir su capacidad jurídica de forma autónoma, configurando su objeto social y actividades que desarrolla la compañía de forma discrecional, sin que sea necesario que exista una conexidad directa entre ellas o, por otro, facultar a la sociedad para desempeñar cualquier actividad de carácter lícito. Frente a lo anterior se refirió la Superintendencia de Sociedades en el Concepto 0673 de diciembre 30 de 2010, así:</w:t>
      </w:r>
    </w:p>
    <w:p w14:paraId="0DEB9045" w14:textId="77777777" w:rsidR="00CD08FE" w:rsidRPr="00B133A0" w:rsidRDefault="00CD08FE" w:rsidP="00CD08FE">
      <w:pPr>
        <w:spacing w:line="276" w:lineRule="auto"/>
        <w:ind w:left="709" w:right="709"/>
        <w:jc w:val="both"/>
        <w:rPr>
          <w:rFonts w:ascii="Arial" w:hAnsi="Arial" w:cs="Arial"/>
          <w:iCs/>
          <w:sz w:val="21"/>
          <w:szCs w:val="21"/>
        </w:rPr>
      </w:pPr>
      <w:r w:rsidRPr="00B133A0">
        <w:rPr>
          <w:rFonts w:ascii="Arial" w:hAnsi="Arial" w:cs="Arial"/>
          <w:iCs/>
          <w:sz w:val="21"/>
          <w:szCs w:val="21"/>
        </w:rPr>
        <w:t xml:space="preserve">De lo expuesto se desprende que es enteramente discrecional de los asociados acoger según su conveniencia y necesidad, un objeto social determinado o indeterminado. En el primer caso se deberán identificar de manera explícita el acto o los actos que constituyan la empresa, en el entendido que la capacidad de la sociedad, como las actuaciones del representante legal y los administradores se han de establecer igualmente en consideración a las actividades en él enunciadas, con sujeción a las reglas y las consecuencias que al efecto prevén las disposiciones consagradas el Código de Comercio, particularmente el artículo 110, ordinal 4º, en concordancia con el 99 </w:t>
      </w:r>
      <w:proofErr w:type="spellStart"/>
      <w:r w:rsidRPr="00B133A0">
        <w:rPr>
          <w:rFonts w:ascii="Arial" w:hAnsi="Arial" w:cs="Arial"/>
          <w:iCs/>
          <w:sz w:val="21"/>
          <w:szCs w:val="21"/>
        </w:rPr>
        <w:t>ibídem</w:t>
      </w:r>
      <w:proofErr w:type="spellEnd"/>
      <w:r w:rsidRPr="00B133A0">
        <w:rPr>
          <w:rFonts w:ascii="Arial" w:hAnsi="Arial" w:cs="Arial"/>
          <w:iCs/>
          <w:sz w:val="21"/>
          <w:szCs w:val="21"/>
        </w:rPr>
        <w:t xml:space="preserve">. En el segundo caso, se podrá optar por un objeto indeterminado que bien identifique una o algunas de las actividades a las que especialmente se pretenda aplicar la empresa y, adicionalmente incluya las demás actividades licitas; o simplemente exprese que la sociedad podrá realizar cualquier actividad comercial o civil, lícita sin mencionar en particular ninguna, lo que igualmente se entenderá para todos </w:t>
      </w:r>
      <w:r w:rsidRPr="00B133A0">
        <w:rPr>
          <w:rFonts w:ascii="Arial" w:hAnsi="Arial" w:cs="Arial"/>
          <w:iCs/>
          <w:sz w:val="21"/>
          <w:szCs w:val="21"/>
        </w:rPr>
        <w:lastRenderedPageBreak/>
        <w:t>los efectos cuando en el acto de constitución no se diga nada sobre ese aspecto y en estos casos la capacidad de la compañía será de todas formas ilimitada</w:t>
      </w:r>
      <w:r w:rsidRPr="00B133A0">
        <w:rPr>
          <w:rStyle w:val="Refdenotaalpie"/>
          <w:rFonts w:ascii="Arial" w:hAnsi="Arial" w:cs="Arial"/>
          <w:iCs/>
          <w:sz w:val="21"/>
          <w:szCs w:val="21"/>
        </w:rPr>
        <w:footnoteReference w:id="12"/>
      </w:r>
      <w:r w:rsidRPr="00B133A0">
        <w:rPr>
          <w:rFonts w:ascii="Arial" w:hAnsi="Arial" w:cs="Arial"/>
          <w:iCs/>
          <w:sz w:val="21"/>
          <w:szCs w:val="21"/>
        </w:rPr>
        <w:t xml:space="preserve">. </w:t>
      </w:r>
    </w:p>
    <w:p w14:paraId="210A6556" w14:textId="77777777" w:rsidR="00CD08FE" w:rsidRPr="00B133A0" w:rsidRDefault="00CD08FE" w:rsidP="00CD08FE">
      <w:pPr>
        <w:spacing w:before="120" w:line="276" w:lineRule="auto"/>
        <w:ind w:firstLine="709"/>
        <w:jc w:val="both"/>
        <w:rPr>
          <w:rFonts w:ascii="Arial" w:hAnsi="Arial" w:cs="Arial"/>
        </w:rPr>
      </w:pPr>
      <w:r w:rsidRPr="00B133A0">
        <w:rPr>
          <w:rFonts w:ascii="Arial" w:hAnsi="Arial" w:cs="Arial"/>
        </w:rPr>
        <w:t xml:space="preserve">De modo que, la Ley 1258 de 2008 suprimió la limitación para las Sociedades por Acciones Simplificadas, que contemplaba el Código de Comercio frente a la indeterminación del objeto social, pues estableció que el silencio de los constituyentes en el contrato o acto de constitución implicaba la indeterminación en el objeto social. Ahora bien, valga decir que dicha supresión no implica que bajo esta tipología societaria no se pueda determinar el objeto social de la misma, no obstante, en estos casos la capacidad jurídica de las Sociedades por Acciones Simplificadas estará limitada a las actividades enunciadas en su objeto social, de conformidad con lo prescrito por el artículo 99 y 110 Numeral 4 del Código de Comerio. </w:t>
      </w:r>
    </w:p>
    <w:p w14:paraId="26DE458C" w14:textId="77777777" w:rsidR="00CD08FE" w:rsidRPr="00B133A0" w:rsidRDefault="00CD08FE" w:rsidP="00CD08FE">
      <w:pPr>
        <w:spacing w:before="120" w:line="276" w:lineRule="auto"/>
        <w:ind w:firstLine="709"/>
        <w:jc w:val="both"/>
        <w:rPr>
          <w:rFonts w:ascii="Arial" w:hAnsi="Arial" w:cs="Arial"/>
        </w:rPr>
      </w:pPr>
      <w:r w:rsidRPr="00B133A0">
        <w:rPr>
          <w:rFonts w:ascii="Arial" w:hAnsi="Arial" w:cs="Arial"/>
        </w:rPr>
        <w:t xml:space="preserve">Óscar Humberto González Benjumea se refiere a la seguridad jurídica de contratar con este tipo de sociedades, entendiendo que puede ocurrir que la sociedad con la que se va a contratar se dedique a múltiples actos y que, en el certificado de existencia y representación legal, no se precise cuál es su especialidad. Asegura que un manejo adecuado de la permisión legislativa que caracteriza a estas sociedades abre espacios de contratación y evita que se vean inmersas en procesos de nulidad por falta de capacidad para contratar. Lo que en contraposición ocurre con los modelos societarios tradicionales contemplados en el Código de Comercio, pues deben acogerse imperativamente a lo dispuesto en el artículo 99 del mismo Código, so pena de verse inmersos en una demanda por nulidad, al ejecutar un acto fuera del objeto social. </w:t>
      </w:r>
    </w:p>
    <w:p w14:paraId="381ED344" w14:textId="77777777" w:rsidR="00CD08FE" w:rsidRPr="00B133A0" w:rsidRDefault="00CD08FE" w:rsidP="00CD08FE">
      <w:pPr>
        <w:spacing w:line="276" w:lineRule="auto"/>
        <w:ind w:left="708" w:right="758"/>
        <w:jc w:val="both"/>
        <w:rPr>
          <w:rFonts w:ascii="Arial" w:hAnsi="Arial" w:cs="Arial"/>
          <w:iCs/>
          <w:sz w:val="21"/>
          <w:szCs w:val="21"/>
        </w:rPr>
      </w:pPr>
      <w:r w:rsidRPr="00B133A0">
        <w:rPr>
          <w:rFonts w:ascii="Arial" w:hAnsi="Arial" w:cs="Arial"/>
          <w:iCs/>
          <w:sz w:val="21"/>
          <w:szCs w:val="21"/>
        </w:rPr>
        <w:t>Se pregunta, ¿será acaso lógico y pertinente contratar la producción de un bien o la prestación de un servicio con una sociedad en la cual se desconoce cuál es su actividad principal y especial?, ¿qué seguridad ofrece contratar la fabricación de este producto o la prestación de este servicio, del cual depende mi cadena de producción, con una sociedad que se dedica a múltiples actos y que, en el certificado de existencia y representación legal, no precisa cuál es su especialidad? […] Se recomienda en todos los eventos indicar la actividad principal de la sociedad, a fin de brindar a los posibles clientes certeza sobre los bienes, productos o servicios ofrecidos. No obstante, se sugiere indicar que la sociedad podrá realizar, además, cualquier actividad comercial o civil lícita. Se sigue de lo anterior, que un manejo adecuado de tal permisión legislativa, abre los espacios de contratación de las sociedades y evita que la misma se vea inmersa en procesos de nulidad por falta de capacidad para contratar</w:t>
      </w:r>
      <w:r w:rsidRPr="00B133A0">
        <w:rPr>
          <w:rStyle w:val="Refdenotaalpie"/>
          <w:rFonts w:ascii="Arial" w:hAnsi="Arial" w:cs="Arial"/>
        </w:rPr>
        <w:footnoteReference w:id="13"/>
      </w:r>
      <w:r w:rsidRPr="00B133A0">
        <w:rPr>
          <w:rFonts w:ascii="Arial" w:hAnsi="Arial" w:cs="Arial"/>
          <w:iCs/>
          <w:sz w:val="21"/>
          <w:szCs w:val="21"/>
        </w:rPr>
        <w:t>.</w:t>
      </w:r>
    </w:p>
    <w:p w14:paraId="119BB584" w14:textId="77777777" w:rsidR="00CD08FE" w:rsidRPr="00B133A0" w:rsidRDefault="00CD08FE" w:rsidP="00CD08FE">
      <w:pPr>
        <w:spacing w:before="120" w:line="276" w:lineRule="auto"/>
        <w:ind w:firstLine="709"/>
        <w:jc w:val="both"/>
        <w:rPr>
          <w:rFonts w:ascii="Arial" w:hAnsi="Arial" w:cs="Arial"/>
        </w:rPr>
      </w:pPr>
      <w:r w:rsidRPr="00B133A0">
        <w:rPr>
          <w:rFonts w:ascii="Arial" w:hAnsi="Arial" w:cs="Arial"/>
        </w:rPr>
        <w:lastRenderedPageBreak/>
        <w:t>En relación con la capacidad de las sociedades comerciales, se precisa citar al tratadista Néstor Humberto Martínez Neira:</w:t>
      </w:r>
    </w:p>
    <w:p w14:paraId="1D8F4C51" w14:textId="77777777" w:rsidR="00CD08FE" w:rsidRPr="00B133A0" w:rsidRDefault="00CD08FE" w:rsidP="00CD08FE">
      <w:pPr>
        <w:spacing w:line="276" w:lineRule="auto"/>
        <w:ind w:left="709" w:right="758"/>
        <w:jc w:val="both"/>
        <w:rPr>
          <w:rFonts w:ascii="Arial" w:hAnsi="Arial" w:cs="Arial"/>
          <w:iCs/>
          <w:sz w:val="21"/>
          <w:szCs w:val="21"/>
        </w:rPr>
      </w:pPr>
      <w:r w:rsidRPr="00B133A0">
        <w:rPr>
          <w:rFonts w:ascii="Arial" w:hAnsi="Arial" w:cs="Arial"/>
          <w:sz w:val="21"/>
          <w:szCs w:val="21"/>
        </w:rPr>
        <w:t>Toda</w:t>
      </w:r>
      <w:r w:rsidRPr="00B133A0">
        <w:rPr>
          <w:rFonts w:ascii="Arial" w:hAnsi="Arial" w:cs="Arial"/>
          <w:iCs/>
          <w:sz w:val="21"/>
          <w:szCs w:val="21"/>
        </w:rPr>
        <w:t xml:space="preserve"> sociedad, por el hecho de existir, se beneficia del atributo de la capacidad de goce; por ende, puede ser titular de derecho y sujeto de obligaciones. Sin embargo, la capacidad legal de la sociedad se circunscribe al objeto social, como lo advierte el art. 99 del Código de Comercio. Es decir, la sociedad goza de capacidad jurídica para llevar adelante los actos propios de sus actividades principales o que constituyan actos conexos</w:t>
      </w:r>
      <w:r w:rsidRPr="00B133A0">
        <w:rPr>
          <w:rStyle w:val="Refdenotaalpie"/>
          <w:rFonts w:ascii="Arial" w:hAnsi="Arial" w:cs="Arial"/>
          <w:iCs/>
          <w:sz w:val="21"/>
          <w:szCs w:val="21"/>
        </w:rPr>
        <w:footnoteReference w:id="14"/>
      </w:r>
      <w:r w:rsidRPr="00B133A0">
        <w:rPr>
          <w:rFonts w:ascii="Arial" w:hAnsi="Arial" w:cs="Arial"/>
          <w:iCs/>
          <w:sz w:val="21"/>
          <w:szCs w:val="21"/>
        </w:rPr>
        <w:t>.</w:t>
      </w:r>
    </w:p>
    <w:p w14:paraId="1D6F7E38" w14:textId="77777777" w:rsidR="00CD08FE" w:rsidRPr="00B133A0" w:rsidRDefault="00CD08FE" w:rsidP="00CD08FE">
      <w:pPr>
        <w:spacing w:before="120" w:line="276" w:lineRule="auto"/>
        <w:ind w:firstLine="709"/>
        <w:jc w:val="both"/>
        <w:rPr>
          <w:rFonts w:ascii="Arial" w:hAnsi="Arial" w:cs="Arial"/>
        </w:rPr>
      </w:pPr>
      <w:r w:rsidRPr="00B133A0">
        <w:rPr>
          <w:rFonts w:ascii="Arial" w:eastAsia="Calibri" w:hAnsi="Arial" w:cs="Arial"/>
          <w:bCs/>
        </w:rPr>
        <w:t xml:space="preserve">Por las razones expuestas, que se originan en la amplitud del objeto y las actividades que pueden desarrollar las Sociedades por Acciones Simplificadas, al analizar su participación en un procedimiento de selección de contratistas, esta Subdirección considera, conforme a la interpretación del numeral 5º del artículo 5 de la Ley 1258 de 2008, que su capacidad contractual se encuentra estrechamente ligada al documento de constitución en los siguientes </w:t>
      </w:r>
      <w:r w:rsidRPr="00B133A0">
        <w:rPr>
          <w:rFonts w:ascii="Arial" w:hAnsi="Arial" w:cs="Arial"/>
        </w:rPr>
        <w:t xml:space="preserve">términos: </w:t>
      </w:r>
    </w:p>
    <w:p w14:paraId="5949E60F" w14:textId="77777777" w:rsidR="00CD08FE" w:rsidRPr="00B133A0" w:rsidRDefault="00CD08FE" w:rsidP="00CD08FE">
      <w:pPr>
        <w:pStyle w:val="Prrafodelista"/>
        <w:numPr>
          <w:ilvl w:val="0"/>
          <w:numId w:val="2"/>
        </w:numPr>
        <w:spacing w:before="120" w:line="276" w:lineRule="auto"/>
        <w:ind w:left="720"/>
        <w:jc w:val="both"/>
        <w:rPr>
          <w:rFonts w:ascii="Arial" w:hAnsi="Arial" w:cs="Arial"/>
        </w:rPr>
      </w:pPr>
      <w:r w:rsidRPr="00B133A0">
        <w:rPr>
          <w:rFonts w:ascii="Arial" w:hAnsi="Arial" w:cs="Arial"/>
        </w:rPr>
        <w:t>Cuando el</w:t>
      </w:r>
      <w:r w:rsidRPr="00B133A0">
        <w:rPr>
          <w:rFonts w:ascii="Arial" w:eastAsia="Calibri" w:hAnsi="Arial" w:cs="Arial"/>
          <w:bCs/>
        </w:rPr>
        <w:t xml:space="preserve"> proponente defina de forma clara, completa y precisa las actividades comerciales sobre las cuales versa su objeto, sin mencionar la posibilidad de realizar otro tipo de actividades de carácter lícito, solo tendrán capacidad para participar en procedimientos de selección y celebrar contratos cuyo objeto se relacione con las actividades definidas en su documento de </w:t>
      </w:r>
      <w:r w:rsidRPr="00B133A0">
        <w:rPr>
          <w:rFonts w:ascii="Arial" w:hAnsi="Arial" w:cs="Arial"/>
        </w:rPr>
        <w:t>constitución, tal como sucede con otras sociedades comerciales. Ahora bien, sobre este punto vale resaltar que las Entidades Estatales deben verificar que el objeto social de las de las personas jurídicas les permite desarrollar el objeto del contrato, bien porque la actividad está prevista como una actividad del objeto social principal o como una actividad conexa o porque al tratarse de una sociedad por acciones simplificada puede realizar actividades comerciales o civiles.</w:t>
      </w:r>
    </w:p>
    <w:p w14:paraId="030BC4BD" w14:textId="77777777" w:rsidR="00CD08FE" w:rsidRPr="00B133A0" w:rsidRDefault="00CD08FE" w:rsidP="00CD08FE">
      <w:pPr>
        <w:pStyle w:val="Prrafodelista"/>
        <w:numPr>
          <w:ilvl w:val="0"/>
          <w:numId w:val="2"/>
        </w:numPr>
        <w:spacing w:before="120" w:line="276" w:lineRule="auto"/>
        <w:ind w:left="720"/>
        <w:jc w:val="both"/>
        <w:rPr>
          <w:rFonts w:ascii="Arial" w:eastAsia="Calibri" w:hAnsi="Arial" w:cs="Arial"/>
          <w:bCs/>
        </w:rPr>
      </w:pPr>
      <w:r w:rsidRPr="00B133A0">
        <w:rPr>
          <w:rFonts w:ascii="Arial" w:hAnsi="Arial" w:cs="Arial"/>
        </w:rPr>
        <w:t>Cuando</w:t>
      </w:r>
      <w:r w:rsidRPr="00B133A0">
        <w:rPr>
          <w:rFonts w:ascii="Arial" w:eastAsia="Calibri" w:hAnsi="Arial" w:cs="Arial"/>
          <w:bCs/>
        </w:rPr>
        <w:t xml:space="preserve"> el proponente defina de forma clara y precisa las principales actividades comerciales sobre los cuales versa su objeto; pero además señale de forma expresa dentro del documento de constitución que, además de las señaladas, podrá realizar cualquier actividad lícita, su capacidad contractual será amplia y podrá participar en cualquier procedimiento de selección y celebrar cualquier contrato. </w:t>
      </w:r>
    </w:p>
    <w:p w14:paraId="758740BA" w14:textId="77777777" w:rsidR="00CD08FE" w:rsidRPr="00B133A0" w:rsidRDefault="00CD08FE" w:rsidP="00CD08FE">
      <w:pPr>
        <w:pStyle w:val="Prrafodelista"/>
        <w:numPr>
          <w:ilvl w:val="0"/>
          <w:numId w:val="2"/>
        </w:numPr>
        <w:spacing w:before="120" w:line="276" w:lineRule="auto"/>
        <w:ind w:left="720"/>
        <w:jc w:val="both"/>
        <w:rPr>
          <w:rFonts w:ascii="Arial" w:eastAsia="Calibri" w:hAnsi="Arial" w:cs="Arial"/>
          <w:bCs/>
        </w:rPr>
      </w:pPr>
      <w:r w:rsidRPr="00B133A0">
        <w:rPr>
          <w:rFonts w:ascii="Arial" w:eastAsia="Calibri" w:hAnsi="Arial" w:cs="Arial"/>
          <w:bCs/>
        </w:rPr>
        <w:t xml:space="preserve">Cuando nada de lo anterior se exprese en el acto de constitución, la entidad entenderá que la sociedad se encuentra facultada para realizar cualquier actividad lícita y podrá participar en cualquier procedimiento de selección y celebrar cualquier contrato. </w:t>
      </w:r>
    </w:p>
    <w:p w14:paraId="60CB1702" w14:textId="77777777" w:rsidR="00CD08FE" w:rsidRPr="00B133A0" w:rsidRDefault="00CD08FE" w:rsidP="00CD08FE">
      <w:pPr>
        <w:spacing w:before="120" w:line="276" w:lineRule="auto"/>
        <w:ind w:firstLine="709"/>
        <w:jc w:val="both"/>
        <w:rPr>
          <w:rFonts w:ascii="Arial" w:eastAsia="Calibri" w:hAnsi="Arial" w:cs="Arial"/>
          <w:bCs/>
        </w:rPr>
      </w:pPr>
      <w:r w:rsidRPr="00B133A0">
        <w:rPr>
          <w:rFonts w:ascii="Arial" w:eastAsia="Calibri" w:hAnsi="Arial" w:cs="Arial"/>
          <w:bCs/>
        </w:rPr>
        <w:lastRenderedPageBreak/>
        <w:t xml:space="preserve">Lo anterior únicamente obedece a la capacidad jurídica del proponente, debido a que existen otros elementos y requisitos habilitantes que podrá exigir la entidad y que tendrán que cumplir los oferentes. Con esto se hace referencia, entre otras cosas, a la experiencia, la cual, según como lo determine la entidad contratante en los pliegos de condiciones, debe relacionarse con el objeto a contratar. Lo anterior implica que contar con la capacidad jurídica, no presenta una conexidad directa con el cumplimiento del requisito de experiencia. </w:t>
      </w:r>
    </w:p>
    <w:p w14:paraId="6A3E86CF" w14:textId="77777777" w:rsidR="00CD08FE" w:rsidRPr="00B133A0" w:rsidRDefault="00CD08FE" w:rsidP="00CD08FE">
      <w:pPr>
        <w:spacing w:before="120" w:line="276" w:lineRule="auto"/>
        <w:ind w:firstLine="708"/>
        <w:jc w:val="both"/>
        <w:rPr>
          <w:rFonts w:ascii="Arial" w:eastAsia="Calibri" w:hAnsi="Arial" w:cs="Arial"/>
          <w:bCs/>
        </w:rPr>
      </w:pPr>
      <w:r w:rsidRPr="00B133A0">
        <w:rPr>
          <w:rFonts w:ascii="Arial" w:eastAsia="Calibri" w:hAnsi="Arial" w:cs="Arial"/>
          <w:bCs/>
        </w:rPr>
        <w:t>Para prever esta situación en la que un proponente pueda desarrollar cualquier tipo de actividad lícita, conforme a la autorización legal para las Sociedades por Acciones Simplificadas, la entidad contratante debe exigir de forma objetiva, dentro de sus análisis de planeación del proceso de contratación, la experiencia mínima con la que deben contar los proponentes para desarrollar el objeto a contratar de forma satisfactoria.</w:t>
      </w:r>
    </w:p>
    <w:p w14:paraId="7BC6A04B" w14:textId="77777777" w:rsidR="00CD08FE" w:rsidRPr="00B133A0" w:rsidRDefault="00CD08FE" w:rsidP="00CD08FE">
      <w:pPr>
        <w:pStyle w:val="Prrafodelista"/>
        <w:numPr>
          <w:ilvl w:val="0"/>
          <w:numId w:val="1"/>
        </w:numPr>
        <w:spacing w:before="120" w:line="276" w:lineRule="auto"/>
        <w:jc w:val="both"/>
        <w:rPr>
          <w:rFonts w:ascii="Arial" w:hAnsi="Arial" w:cs="Arial"/>
          <w:b/>
        </w:rPr>
      </w:pPr>
      <w:r w:rsidRPr="00B133A0">
        <w:rPr>
          <w:rFonts w:ascii="Arial" w:hAnsi="Arial" w:cs="Arial"/>
          <w:b/>
        </w:rPr>
        <w:t xml:space="preserve">Respuesta </w:t>
      </w:r>
    </w:p>
    <w:p w14:paraId="0E004912" w14:textId="77777777" w:rsidR="00CD08FE" w:rsidRPr="00B133A0" w:rsidRDefault="00CD08FE" w:rsidP="00CD08FE">
      <w:pPr>
        <w:spacing w:line="276" w:lineRule="auto"/>
        <w:ind w:left="709" w:right="709"/>
        <w:jc w:val="both"/>
        <w:rPr>
          <w:rFonts w:ascii="Arial" w:hAnsi="Arial" w:cs="Arial"/>
        </w:rPr>
      </w:pPr>
      <w:r w:rsidRPr="00B133A0">
        <w:rPr>
          <w:rFonts w:ascii="Arial" w:eastAsia="Times New Roman" w:hAnsi="Arial" w:cs="Arial"/>
          <w:lang w:eastAsia="es-ES_tradnl"/>
        </w:rPr>
        <w:t xml:space="preserve">“[…] </w:t>
      </w:r>
      <w:r w:rsidRPr="00B133A0">
        <w:rPr>
          <w:rFonts w:ascii="Arial" w:hAnsi="Arial" w:cs="Arial"/>
        </w:rPr>
        <w:t>si durante la etapa de verificación de ofertas se advierte que la persona jurídica organizada en forma de "SAS" especifica en su objeto social las actividades principales que puede realizar, sin agregar que se encuentre posibilitada para ejecutar cualquier otra actividad lícita, ¿Es posible determinar que si su objeto social no guarda relación con el objeto del proceso contractual, se concluya que la misma no se encuentra habilitada? o en su defecto, ¿siempre debe considerarse que la persona jurídica organizada y constituida como una "SAS" se encuentra habilitada para realizar cualquier actividad lícita en Colombia, sin importar lo que determine en su objeto social?” (sic)</w:t>
      </w:r>
    </w:p>
    <w:p w14:paraId="3BFFF9B4" w14:textId="77777777" w:rsidR="00CD08FE" w:rsidRPr="00B133A0" w:rsidRDefault="00CD08FE" w:rsidP="00CD08FE">
      <w:pPr>
        <w:spacing w:line="276" w:lineRule="auto"/>
        <w:jc w:val="both"/>
        <w:rPr>
          <w:rFonts w:ascii="Arial" w:eastAsia="Calibri" w:hAnsi="Arial" w:cs="Arial"/>
          <w:lang w:val="es-ES_tradnl" w:eastAsia="es-ES_tradnl"/>
        </w:rPr>
      </w:pPr>
      <w:r w:rsidRPr="00B133A0">
        <w:rPr>
          <w:rFonts w:ascii="Arial" w:hAnsi="Arial" w:cs="Arial"/>
        </w:rPr>
        <w:t>L</w:t>
      </w:r>
      <w:r w:rsidRPr="00B133A0">
        <w:rPr>
          <w:rFonts w:ascii="Arial" w:eastAsia="Calibri" w:hAnsi="Arial" w:cs="Arial"/>
          <w:lang w:val="es-ES_tradnl" w:eastAsia="es-ES_tradnl"/>
        </w:rPr>
        <w:t>a capacidad jurídica de las personas jurídicas hace referencia a la posibilidad que tienen para adelantar actividades en el marco de su objeto social, las facultades que le han sido otorgadas al representante legal y a la ausencia de inhabilidades, incompatibilidades o prohibiciones para contratar, derivadas de la ley.</w:t>
      </w:r>
    </w:p>
    <w:p w14:paraId="661B30C6" w14:textId="77777777" w:rsidR="00CD08FE" w:rsidRPr="00B133A0" w:rsidRDefault="00CD08FE" w:rsidP="00CD08FE">
      <w:pPr>
        <w:spacing w:before="120" w:line="276" w:lineRule="auto"/>
        <w:ind w:firstLine="708"/>
        <w:jc w:val="both"/>
        <w:rPr>
          <w:rFonts w:ascii="Arial" w:hAnsi="Arial" w:cs="Arial"/>
        </w:rPr>
      </w:pPr>
      <w:r w:rsidRPr="00B133A0">
        <w:rPr>
          <w:rFonts w:ascii="Arial" w:eastAsia="Calibri" w:hAnsi="Arial" w:cs="Arial"/>
          <w:lang w:val="es-ES_tradnl" w:eastAsia="es-ES_tradnl"/>
        </w:rPr>
        <w:t>En ese sentido,</w:t>
      </w:r>
      <w:r w:rsidRPr="00B133A0">
        <w:rPr>
          <w:rFonts w:ascii="Arial" w:hAnsi="Arial" w:cs="Arial"/>
        </w:rPr>
        <w:t xml:space="preserve"> cuando el</w:t>
      </w:r>
      <w:r w:rsidRPr="00B133A0">
        <w:rPr>
          <w:rFonts w:ascii="Arial" w:eastAsia="Calibri" w:hAnsi="Arial" w:cs="Arial"/>
          <w:bCs/>
        </w:rPr>
        <w:t xml:space="preserve"> proponente defina de forma clara, completa y precisa las actividades comerciales sobre las cuales versa su objeto, sin mencionar la posibilidad de realizar otro tipo de actividades de carácter lícito, solo tendrán capacidad para participar en procedimientos de selección y celebrar contratos cuyo objeto se relacione con las actividades definidas en su documento de </w:t>
      </w:r>
      <w:r w:rsidRPr="00B133A0">
        <w:rPr>
          <w:rFonts w:ascii="Arial" w:hAnsi="Arial" w:cs="Arial"/>
        </w:rPr>
        <w:t>constitución, tal como sucede con otras sociedades comerciales. Ahora bien, vale precisar que las Entidades Estatales deben verificar que el objeto social de las de las personas jurídicas les permite desarrollar el objeto del contrato, bien porque la actividad está prevista como una actividad del objeto social principal o como una actividad conexa o porque al tratarse de una sociedad por acciones simplificada puede realizar actividades comerciales o civiles.</w:t>
      </w:r>
    </w:p>
    <w:p w14:paraId="3C2B1996" w14:textId="77777777" w:rsidR="00CD08FE" w:rsidRPr="00B133A0" w:rsidRDefault="00CD08FE" w:rsidP="00CD08FE">
      <w:pPr>
        <w:spacing w:before="120" w:line="276" w:lineRule="auto"/>
        <w:ind w:firstLine="708"/>
        <w:jc w:val="both"/>
        <w:rPr>
          <w:rFonts w:ascii="Arial" w:eastAsia="Calibri" w:hAnsi="Arial" w:cs="Arial"/>
          <w:bCs/>
        </w:rPr>
      </w:pPr>
      <w:r w:rsidRPr="00B133A0">
        <w:rPr>
          <w:rFonts w:ascii="Arial" w:hAnsi="Arial" w:cs="Arial"/>
        </w:rPr>
        <w:lastRenderedPageBreak/>
        <w:t>Cuando</w:t>
      </w:r>
      <w:r w:rsidRPr="00B133A0">
        <w:rPr>
          <w:rFonts w:ascii="Arial" w:eastAsia="Calibri" w:hAnsi="Arial" w:cs="Arial"/>
          <w:bCs/>
        </w:rPr>
        <w:t xml:space="preserve"> el proponente defina de forma clara y precisa las principales actividades comerciales sobre los cuales versa su objeto; pero además señale de forma expresa dentro del documento de constitución que, además de las señaladas, podrá realizar cualquier actividad lícita, su capacidad contractual será amplia y podrá participar en cualquier procedimiento de selección y celebrar cualquier contrato. </w:t>
      </w:r>
    </w:p>
    <w:p w14:paraId="5C815A6B" w14:textId="77777777" w:rsidR="00CD08FE" w:rsidRPr="00B133A0" w:rsidRDefault="00CD08FE" w:rsidP="00CD08FE">
      <w:pPr>
        <w:spacing w:line="276" w:lineRule="auto"/>
        <w:ind w:firstLine="708"/>
        <w:jc w:val="both"/>
        <w:rPr>
          <w:rFonts w:ascii="Arial" w:eastAsia="Calibri" w:hAnsi="Arial" w:cs="Arial"/>
          <w:bCs/>
        </w:rPr>
      </w:pPr>
      <w:r w:rsidRPr="00B133A0">
        <w:rPr>
          <w:rFonts w:ascii="Arial" w:eastAsia="Calibri" w:hAnsi="Arial" w:cs="Arial"/>
          <w:bCs/>
        </w:rPr>
        <w:t>Cuando nada de lo anterior se exprese en el acto de constitución, la entidad entenderá que la sociedad se encuentra facultada para realizar cualquier actividad lícita y podrá participar en cualquier procedimiento de selección y celebrar cualquier contrato.</w:t>
      </w:r>
    </w:p>
    <w:p w14:paraId="6976AD49" w14:textId="77777777" w:rsidR="00CD08FE" w:rsidRPr="00B133A0" w:rsidRDefault="00CD08FE" w:rsidP="00CD08FE">
      <w:pPr>
        <w:spacing w:line="276" w:lineRule="auto"/>
        <w:ind w:firstLine="708"/>
        <w:jc w:val="both"/>
        <w:rPr>
          <w:rFonts w:ascii="Arial" w:eastAsia="Calibri" w:hAnsi="Arial" w:cs="Arial"/>
        </w:rPr>
      </w:pPr>
      <w:r w:rsidRPr="00B133A0">
        <w:rPr>
          <w:rFonts w:ascii="Arial" w:eastAsia="Calibri" w:hAnsi="Arial" w:cs="Arial"/>
          <w:bCs/>
        </w:rPr>
        <w:t xml:space="preserve">En consonancia con lo previamente esgrimido, </w:t>
      </w:r>
      <w:r w:rsidRPr="00B133A0">
        <w:rPr>
          <w:rFonts w:ascii="Arial" w:eastAsia="Calibri" w:hAnsi="Arial" w:cs="Arial"/>
        </w:rPr>
        <w:t xml:space="preserve">es posible que una Sociedad por Acciones Simplificadas participe en un proceso de contratación sin que dentro de su objeto social se encuentren actividades relacionadas directamente con el objeto a contratar; siempre y cuando dentro del documento de constitución se señale de forma expresa la capacidad de realizar cualquier tipo de actividad lícita o se opte por guardar silencio frente a sus actividades en el acta de constitución, vacío que suple la ley al prescribir que pueden desarrollar cualquier actividad lícita. Si por el contrario, el proponente define de forma clara y completa sus actividades principales, sin que medie alguna de las circunstancias mencionadas anteriormente, su capacidad se circunscribe a aquellos procedimientos de selección y contratos que tengan relación con las actividades señaladas en su objeto social. Sin perjuicio de lo anterior, es deber de la entidad estatal, conforme a los estudios previos del proceso de contratación, exigir y verificar la experiencia del proponente y su relación con el objeto a contratar. </w:t>
      </w:r>
    </w:p>
    <w:p w14:paraId="08E2B160" w14:textId="77777777" w:rsidR="00CD08FE" w:rsidRPr="00B133A0" w:rsidRDefault="00CD08FE" w:rsidP="00CD08FE">
      <w:pPr>
        <w:spacing w:line="276" w:lineRule="auto"/>
        <w:jc w:val="both"/>
        <w:rPr>
          <w:rFonts w:ascii="Arial" w:eastAsia="Times New Roman" w:hAnsi="Arial" w:cs="Arial"/>
          <w:lang w:val="es-ES_tradnl" w:eastAsia="es-ES_tradnl"/>
        </w:rPr>
      </w:pPr>
      <w:r w:rsidRPr="00B133A0">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BBB59E8" w14:textId="77777777" w:rsidR="00CD08FE" w:rsidRPr="00B133A0" w:rsidRDefault="00CD08FE" w:rsidP="00CD08FE">
      <w:pPr>
        <w:spacing w:line="276" w:lineRule="auto"/>
        <w:jc w:val="both"/>
        <w:rPr>
          <w:rFonts w:ascii="Arial" w:eastAsia="Times New Roman" w:hAnsi="Arial" w:cs="Arial"/>
          <w:lang w:val="es-ES_tradnl" w:eastAsia="es-ES_tradnl"/>
        </w:rPr>
      </w:pPr>
    </w:p>
    <w:p w14:paraId="221302D0" w14:textId="14A4FA16" w:rsidR="00CD08FE" w:rsidRDefault="004B6C14" w:rsidP="004B6C14">
      <w:pPr>
        <w:spacing w:line="276" w:lineRule="auto"/>
        <w:jc w:val="center"/>
        <w:rPr>
          <w:rFonts w:ascii="Arial" w:eastAsia="Times New Roman" w:hAnsi="Arial" w:cs="Arial"/>
          <w:lang w:val="es-ES_tradnl" w:eastAsia="es-ES_tradnl"/>
        </w:rPr>
      </w:pPr>
      <w:r>
        <w:rPr>
          <w:noProof/>
        </w:rPr>
        <w:drawing>
          <wp:inline distT="0" distB="0" distL="0" distR="0" wp14:anchorId="3395C1D1" wp14:editId="13394865">
            <wp:extent cx="2781300" cy="1066800"/>
            <wp:effectExtent l="0" t="0" r="0" b="0"/>
            <wp:docPr id="1553241880" name="Imagen 1553241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81300" cy="1066800"/>
                    </a:xfrm>
                    <a:prstGeom prst="rect">
                      <a:avLst/>
                    </a:prstGeom>
                  </pic:spPr>
                </pic:pic>
              </a:graphicData>
            </a:graphic>
          </wp:inline>
        </w:drawing>
      </w:r>
    </w:p>
    <w:p w14:paraId="5A441ED9" w14:textId="77777777" w:rsidR="004B6C14" w:rsidRPr="004B6C14" w:rsidRDefault="004B6C14" w:rsidP="004B6C14">
      <w:pPr>
        <w:spacing w:line="276" w:lineRule="auto"/>
        <w:jc w:val="center"/>
        <w:rPr>
          <w:rFonts w:ascii="Arial" w:eastAsia="Times New Roman" w:hAnsi="Arial" w:cs="Arial"/>
          <w:lang w:val="es-ES_tradnl" w:eastAsia="es-ES_tradn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CD08FE" w:rsidRPr="00B133A0" w14:paraId="7FD99DE1" w14:textId="77777777" w:rsidTr="00561587">
        <w:trPr>
          <w:trHeight w:val="286"/>
        </w:trPr>
        <w:tc>
          <w:tcPr>
            <w:tcW w:w="817" w:type="dxa"/>
            <w:vAlign w:val="center"/>
          </w:tcPr>
          <w:p w14:paraId="4E5FA0D5" w14:textId="77777777" w:rsidR="00CD08FE" w:rsidRPr="00B133A0" w:rsidRDefault="00CD08FE" w:rsidP="00561587">
            <w:pPr>
              <w:spacing w:line="276" w:lineRule="auto"/>
              <w:rPr>
                <w:rFonts w:ascii="Arial" w:eastAsia="Times New Roman" w:hAnsi="Arial" w:cs="Arial"/>
                <w:sz w:val="16"/>
                <w:szCs w:val="16"/>
                <w:lang w:eastAsia="es-ES_tradnl"/>
              </w:rPr>
            </w:pPr>
            <w:r w:rsidRPr="00B133A0">
              <w:rPr>
                <w:rFonts w:ascii="Arial" w:eastAsia="Times New Roman" w:hAnsi="Arial" w:cs="Arial"/>
                <w:sz w:val="16"/>
                <w:szCs w:val="16"/>
                <w:lang w:eastAsia="es-ES_tradnl"/>
              </w:rPr>
              <w:lastRenderedPageBreak/>
              <w:t>Elaboró:</w:t>
            </w:r>
          </w:p>
        </w:tc>
        <w:tc>
          <w:tcPr>
            <w:tcW w:w="4445" w:type="dxa"/>
            <w:tcBorders>
              <w:bottom w:val="dotted" w:sz="4" w:space="0" w:color="7F7F7F" w:themeColor="text1" w:themeTint="80"/>
            </w:tcBorders>
            <w:vAlign w:val="center"/>
          </w:tcPr>
          <w:p w14:paraId="45A9D8DB" w14:textId="77777777" w:rsidR="00CD08FE" w:rsidRPr="00B133A0" w:rsidRDefault="00CD08FE" w:rsidP="00561587">
            <w:pPr>
              <w:spacing w:line="276" w:lineRule="auto"/>
              <w:textAlignment w:val="baseline"/>
              <w:rPr>
                <w:rFonts w:ascii="Arial" w:eastAsia="Times New Roman" w:hAnsi="Arial" w:cs="Arial"/>
                <w:sz w:val="16"/>
                <w:szCs w:val="16"/>
                <w:lang w:eastAsia="es-CO"/>
              </w:rPr>
            </w:pPr>
            <w:r w:rsidRPr="00B133A0">
              <w:rPr>
                <w:rFonts w:ascii="Arial" w:eastAsia="Times New Roman" w:hAnsi="Arial" w:cs="Arial"/>
                <w:sz w:val="16"/>
                <w:szCs w:val="16"/>
                <w:lang w:eastAsia="es-CO"/>
              </w:rPr>
              <w:t xml:space="preserve">Julio César Martelo </w:t>
            </w:r>
            <w:proofErr w:type="spellStart"/>
            <w:r w:rsidRPr="00B133A0">
              <w:rPr>
                <w:rFonts w:ascii="Arial" w:eastAsia="Times New Roman" w:hAnsi="Arial" w:cs="Arial"/>
                <w:sz w:val="16"/>
                <w:szCs w:val="16"/>
                <w:lang w:eastAsia="es-CO"/>
              </w:rPr>
              <w:t>Martelo</w:t>
            </w:r>
            <w:proofErr w:type="spellEnd"/>
          </w:p>
          <w:p w14:paraId="1FF11C5B" w14:textId="77777777" w:rsidR="00CD08FE" w:rsidRPr="00B133A0" w:rsidRDefault="00CD08FE" w:rsidP="00561587">
            <w:pPr>
              <w:spacing w:line="276" w:lineRule="auto"/>
              <w:textAlignment w:val="baseline"/>
              <w:rPr>
                <w:rFonts w:ascii="Arial" w:eastAsia="Times New Roman" w:hAnsi="Arial" w:cs="Arial"/>
                <w:sz w:val="16"/>
                <w:szCs w:val="16"/>
                <w:lang w:eastAsia="es-CO"/>
              </w:rPr>
            </w:pPr>
            <w:r w:rsidRPr="00B133A0">
              <w:rPr>
                <w:rFonts w:ascii="Arial" w:eastAsia="Times New Roman" w:hAnsi="Arial" w:cs="Arial"/>
                <w:sz w:val="16"/>
                <w:szCs w:val="16"/>
                <w:lang w:eastAsia="es-CO"/>
              </w:rPr>
              <w:t>Contratista de la Subdirección de Gestión Contractual </w:t>
            </w:r>
          </w:p>
        </w:tc>
      </w:tr>
      <w:tr w:rsidR="00CD08FE" w:rsidRPr="00B133A0" w14:paraId="6286C73D" w14:textId="77777777" w:rsidTr="00561587">
        <w:trPr>
          <w:trHeight w:val="286"/>
        </w:trPr>
        <w:tc>
          <w:tcPr>
            <w:tcW w:w="817" w:type="dxa"/>
            <w:vAlign w:val="center"/>
          </w:tcPr>
          <w:p w14:paraId="5A8AC43C" w14:textId="77777777" w:rsidR="00CD08FE" w:rsidRPr="00B133A0" w:rsidRDefault="00CD08FE" w:rsidP="00561587">
            <w:pPr>
              <w:spacing w:line="276" w:lineRule="auto"/>
              <w:rPr>
                <w:rFonts w:ascii="Arial" w:eastAsia="Times New Roman" w:hAnsi="Arial" w:cs="Arial"/>
                <w:sz w:val="16"/>
                <w:szCs w:val="16"/>
                <w:lang w:eastAsia="es-ES_tradnl"/>
              </w:rPr>
            </w:pPr>
            <w:r w:rsidRPr="00B133A0">
              <w:rPr>
                <w:rFonts w:ascii="Arial" w:eastAsia="Times New Roman" w:hAnsi="Arial" w:cs="Arial"/>
                <w:sz w:val="16"/>
                <w:szCs w:val="16"/>
                <w:lang w:eastAsia="es-ES_tradnl"/>
              </w:rPr>
              <w:t>Revisó:</w:t>
            </w:r>
          </w:p>
        </w:tc>
        <w:tc>
          <w:tcPr>
            <w:tcW w:w="4445" w:type="dxa"/>
            <w:tcBorders>
              <w:bottom w:val="dotted" w:sz="4" w:space="0" w:color="7F7F7F" w:themeColor="text1" w:themeTint="80"/>
            </w:tcBorders>
            <w:vAlign w:val="center"/>
          </w:tcPr>
          <w:p w14:paraId="1897299C" w14:textId="77777777" w:rsidR="00CD08FE" w:rsidRPr="00B133A0" w:rsidRDefault="00CD08FE" w:rsidP="00561587">
            <w:pPr>
              <w:spacing w:line="276" w:lineRule="auto"/>
              <w:textAlignment w:val="baseline"/>
              <w:rPr>
                <w:rFonts w:ascii="Arial" w:eastAsia="Times New Roman" w:hAnsi="Arial" w:cs="Arial"/>
                <w:sz w:val="16"/>
                <w:szCs w:val="16"/>
                <w:lang w:eastAsia="es-ES_tradnl"/>
              </w:rPr>
            </w:pPr>
            <w:r w:rsidRPr="00B133A0">
              <w:rPr>
                <w:rFonts w:ascii="Arial" w:eastAsia="Times New Roman" w:hAnsi="Arial" w:cs="Arial"/>
                <w:sz w:val="16"/>
                <w:szCs w:val="16"/>
                <w:lang w:eastAsia="es-CO"/>
              </w:rPr>
              <w:t>Juan David Cárdenas Cabeza</w:t>
            </w:r>
          </w:p>
          <w:p w14:paraId="7A240A27" w14:textId="77777777" w:rsidR="00CD08FE" w:rsidRPr="00B133A0" w:rsidRDefault="00CD08FE" w:rsidP="00561587">
            <w:pPr>
              <w:spacing w:line="276" w:lineRule="auto"/>
              <w:textAlignment w:val="baseline"/>
              <w:rPr>
                <w:rFonts w:ascii="Arial" w:eastAsia="Times New Roman" w:hAnsi="Arial" w:cs="Arial"/>
                <w:sz w:val="16"/>
                <w:szCs w:val="16"/>
                <w:lang w:eastAsia="es-CO"/>
              </w:rPr>
            </w:pPr>
            <w:r w:rsidRPr="228AE718">
              <w:rPr>
                <w:rFonts w:ascii="Arial" w:eastAsia="Times New Roman" w:hAnsi="Arial" w:cs="Arial"/>
                <w:sz w:val="16"/>
                <w:szCs w:val="16"/>
                <w:lang w:eastAsia="es-CO"/>
              </w:rPr>
              <w:t>Contratista de la Subdirección de Gestión Contractual</w:t>
            </w:r>
          </w:p>
          <w:p w14:paraId="53A67B1E" w14:textId="77777777" w:rsidR="00CD08FE" w:rsidRPr="00B133A0" w:rsidRDefault="00CD08FE" w:rsidP="00561587">
            <w:pPr>
              <w:spacing w:line="276" w:lineRule="auto"/>
              <w:textAlignment w:val="baseline"/>
              <w:rPr>
                <w:rFonts w:ascii="Arial" w:eastAsia="Times New Roman" w:hAnsi="Arial" w:cs="Arial"/>
                <w:sz w:val="16"/>
                <w:szCs w:val="16"/>
                <w:lang w:eastAsia="es-CO"/>
              </w:rPr>
            </w:pPr>
            <w:r w:rsidRPr="228AE718">
              <w:rPr>
                <w:rFonts w:ascii="Arial" w:eastAsia="Times New Roman" w:hAnsi="Arial" w:cs="Arial"/>
                <w:sz w:val="16"/>
                <w:szCs w:val="16"/>
                <w:lang w:eastAsia="es-CO"/>
              </w:rPr>
              <w:t>Gabriel Mendoza</w:t>
            </w:r>
          </w:p>
          <w:p w14:paraId="34CE1EF7" w14:textId="77777777" w:rsidR="00CD08FE" w:rsidRPr="00B133A0" w:rsidRDefault="00CD08FE" w:rsidP="00561587">
            <w:pPr>
              <w:spacing w:line="276" w:lineRule="auto"/>
              <w:textAlignment w:val="baseline"/>
              <w:rPr>
                <w:rFonts w:ascii="Arial" w:eastAsia="Times New Roman" w:hAnsi="Arial" w:cs="Arial"/>
                <w:sz w:val="16"/>
                <w:szCs w:val="16"/>
                <w:lang w:eastAsia="es-CO"/>
              </w:rPr>
            </w:pPr>
            <w:r w:rsidRPr="228AE718">
              <w:rPr>
                <w:rFonts w:ascii="Arial" w:eastAsia="Times New Roman" w:hAnsi="Arial" w:cs="Arial"/>
                <w:sz w:val="16"/>
                <w:szCs w:val="16"/>
                <w:lang w:eastAsia="es-CO"/>
              </w:rPr>
              <w:t>Contratista de la Subdirección de Gestión Contractual </w:t>
            </w:r>
          </w:p>
        </w:tc>
      </w:tr>
      <w:tr w:rsidR="00CD08FE" w:rsidRPr="00B133A0" w14:paraId="7912EFF9" w14:textId="77777777" w:rsidTr="00561587">
        <w:trPr>
          <w:trHeight w:val="299"/>
        </w:trPr>
        <w:tc>
          <w:tcPr>
            <w:tcW w:w="817" w:type="dxa"/>
            <w:vAlign w:val="center"/>
          </w:tcPr>
          <w:p w14:paraId="6796635F" w14:textId="77777777" w:rsidR="00CD08FE" w:rsidRPr="00B133A0" w:rsidRDefault="00CD08FE" w:rsidP="00561587">
            <w:pPr>
              <w:spacing w:line="276" w:lineRule="auto"/>
              <w:rPr>
                <w:rFonts w:ascii="Arial" w:eastAsia="Times New Roman" w:hAnsi="Arial" w:cs="Arial"/>
                <w:sz w:val="16"/>
                <w:szCs w:val="16"/>
                <w:lang w:eastAsia="es-ES_tradnl"/>
              </w:rPr>
            </w:pPr>
            <w:r w:rsidRPr="00B133A0">
              <w:rPr>
                <w:rFonts w:ascii="Arial" w:eastAsia="Times New Roman" w:hAnsi="Arial" w:cs="Arial"/>
                <w:sz w:val="16"/>
                <w:szCs w:val="16"/>
                <w:lang w:eastAsia="es-ES_tradnl"/>
              </w:rPr>
              <w:t>Aprobó:</w:t>
            </w:r>
          </w:p>
        </w:tc>
        <w:tc>
          <w:tcPr>
            <w:tcW w:w="4445" w:type="dxa"/>
            <w:tcBorders>
              <w:top w:val="dotted" w:sz="4" w:space="0" w:color="7F7F7F" w:themeColor="text1" w:themeTint="80"/>
              <w:bottom w:val="dotted" w:sz="4" w:space="0" w:color="7F7F7F" w:themeColor="text1" w:themeTint="80"/>
            </w:tcBorders>
            <w:vAlign w:val="center"/>
          </w:tcPr>
          <w:p w14:paraId="0F6F2927" w14:textId="77777777" w:rsidR="00CD08FE" w:rsidRPr="00B133A0" w:rsidRDefault="00CD08FE" w:rsidP="00561587">
            <w:pPr>
              <w:spacing w:line="276" w:lineRule="auto"/>
              <w:rPr>
                <w:rFonts w:ascii="Arial" w:eastAsia="Times New Roman" w:hAnsi="Arial" w:cs="Arial"/>
                <w:sz w:val="16"/>
                <w:szCs w:val="16"/>
                <w:lang w:eastAsia="es-ES_tradnl"/>
              </w:rPr>
            </w:pPr>
            <w:r w:rsidRPr="00B133A0">
              <w:rPr>
                <w:rFonts w:ascii="Arial" w:eastAsia="Times New Roman" w:hAnsi="Arial" w:cs="Arial"/>
                <w:sz w:val="16"/>
                <w:szCs w:val="16"/>
                <w:lang w:eastAsia="es-ES_tradnl"/>
              </w:rPr>
              <w:t xml:space="preserve">Nohelia Del Carmen </w:t>
            </w:r>
            <w:proofErr w:type="spellStart"/>
            <w:r w:rsidRPr="00B133A0">
              <w:rPr>
                <w:rFonts w:ascii="Arial" w:eastAsia="Times New Roman" w:hAnsi="Arial" w:cs="Arial"/>
                <w:sz w:val="16"/>
                <w:szCs w:val="16"/>
                <w:lang w:eastAsia="es-ES_tradnl"/>
              </w:rPr>
              <w:t>Zawady</w:t>
            </w:r>
            <w:proofErr w:type="spellEnd"/>
            <w:r w:rsidRPr="00B133A0">
              <w:rPr>
                <w:rFonts w:ascii="Arial" w:eastAsia="Times New Roman" w:hAnsi="Arial" w:cs="Arial"/>
                <w:sz w:val="16"/>
                <w:szCs w:val="16"/>
                <w:lang w:eastAsia="es-ES_tradnl"/>
              </w:rPr>
              <w:t xml:space="preserve"> Palacio</w:t>
            </w:r>
          </w:p>
          <w:p w14:paraId="368A7763" w14:textId="77777777" w:rsidR="00CD08FE" w:rsidRPr="00B133A0" w:rsidRDefault="00CD08FE" w:rsidP="00561587">
            <w:pPr>
              <w:spacing w:line="276" w:lineRule="auto"/>
              <w:rPr>
                <w:rFonts w:ascii="Arial" w:eastAsia="Times New Roman" w:hAnsi="Arial" w:cs="Arial"/>
                <w:sz w:val="16"/>
                <w:szCs w:val="16"/>
                <w:lang w:eastAsia="es-ES_tradnl"/>
              </w:rPr>
            </w:pPr>
            <w:r w:rsidRPr="00B133A0">
              <w:rPr>
                <w:rFonts w:ascii="Arial" w:eastAsia="Times New Roman" w:hAnsi="Arial" w:cs="Arial"/>
                <w:sz w:val="16"/>
                <w:szCs w:val="16"/>
                <w:lang w:eastAsia="es-ES_tradnl"/>
              </w:rPr>
              <w:t xml:space="preserve">Subdirectora de Gestión Contractual ANCP – CCE </w:t>
            </w:r>
          </w:p>
        </w:tc>
      </w:tr>
    </w:tbl>
    <w:p w14:paraId="668D0995" w14:textId="77777777" w:rsidR="00CD08FE" w:rsidRPr="00B133A0" w:rsidRDefault="00CD08FE" w:rsidP="00CD08FE">
      <w:pPr>
        <w:spacing w:after="0" w:line="276" w:lineRule="auto"/>
        <w:jc w:val="both"/>
        <w:rPr>
          <w:rFonts w:ascii="Arial" w:eastAsia="Times New Roman" w:hAnsi="Arial" w:cs="Arial"/>
          <w:lang w:eastAsia="es-ES_tradnl"/>
        </w:rPr>
      </w:pPr>
    </w:p>
    <w:p w14:paraId="4BB58925" w14:textId="77777777" w:rsidR="00CD08FE" w:rsidRPr="00B133A0" w:rsidRDefault="00CD08FE" w:rsidP="00CD08FE">
      <w:pPr>
        <w:spacing w:after="0" w:line="276" w:lineRule="auto"/>
        <w:jc w:val="both"/>
        <w:rPr>
          <w:rFonts w:ascii="Arial" w:eastAsia="Calibri" w:hAnsi="Arial" w:cs="Arial"/>
          <w:lang w:val="es-ES_tradnl"/>
        </w:rPr>
      </w:pPr>
    </w:p>
    <w:p w14:paraId="0E5B3F7D" w14:textId="77777777" w:rsidR="00CD08FE" w:rsidRPr="00B133A0" w:rsidRDefault="00CD08FE" w:rsidP="00CD08FE">
      <w:pPr>
        <w:spacing w:after="0" w:line="276" w:lineRule="auto"/>
        <w:jc w:val="both"/>
        <w:rPr>
          <w:rFonts w:ascii="Arial" w:hAnsi="Arial" w:cs="Arial"/>
        </w:rPr>
      </w:pPr>
    </w:p>
    <w:p w14:paraId="5D9F593A" w14:textId="77777777" w:rsidR="00CD08FE" w:rsidRPr="00B133A0" w:rsidRDefault="00CD08FE" w:rsidP="00CD08FE">
      <w:pPr>
        <w:spacing w:after="0" w:line="276" w:lineRule="auto"/>
        <w:ind w:right="709"/>
        <w:jc w:val="both"/>
        <w:rPr>
          <w:rFonts w:ascii="Arial" w:hAnsi="Arial" w:cs="Arial"/>
          <w:lang w:val="es-ES_tradnl"/>
        </w:rPr>
      </w:pPr>
    </w:p>
    <w:p w14:paraId="452EF676" w14:textId="77777777" w:rsidR="00CD08FE" w:rsidRPr="00B133A0" w:rsidRDefault="00CD08FE" w:rsidP="00CD08FE">
      <w:pPr>
        <w:spacing w:before="120" w:line="276" w:lineRule="auto"/>
        <w:jc w:val="both"/>
        <w:rPr>
          <w:rFonts w:ascii="Arial" w:hAnsi="Arial" w:cs="Arial"/>
          <w:b/>
        </w:rPr>
      </w:pPr>
    </w:p>
    <w:p w14:paraId="35B1F864" w14:textId="77777777" w:rsidR="00CD08FE" w:rsidRPr="00B133A0" w:rsidRDefault="00CD08FE" w:rsidP="00CD08FE">
      <w:pPr>
        <w:spacing w:before="120" w:line="276" w:lineRule="auto"/>
        <w:jc w:val="both"/>
        <w:rPr>
          <w:rFonts w:ascii="Arial" w:hAnsi="Arial" w:cs="Arial"/>
          <w:b/>
        </w:rPr>
      </w:pPr>
    </w:p>
    <w:p w14:paraId="0792E0E9" w14:textId="77777777" w:rsidR="00CD08FE" w:rsidRPr="00B133A0" w:rsidRDefault="00CD08FE" w:rsidP="00CD08FE">
      <w:pPr>
        <w:spacing w:line="276" w:lineRule="auto"/>
        <w:ind w:left="709" w:right="758"/>
        <w:jc w:val="both"/>
        <w:rPr>
          <w:rFonts w:ascii="Arial" w:hAnsi="Arial" w:cs="Arial"/>
          <w:iCs/>
          <w:sz w:val="21"/>
          <w:szCs w:val="21"/>
        </w:rPr>
      </w:pPr>
    </w:p>
    <w:p w14:paraId="28CAF02F" w14:textId="77777777" w:rsidR="00CD08FE" w:rsidRPr="00B133A0" w:rsidRDefault="00CD08FE" w:rsidP="00CD08FE">
      <w:pPr>
        <w:spacing w:before="120" w:line="276" w:lineRule="auto"/>
        <w:jc w:val="both"/>
        <w:rPr>
          <w:rFonts w:ascii="Arial" w:hAnsi="Arial" w:cs="Arial"/>
        </w:rPr>
      </w:pPr>
    </w:p>
    <w:p w14:paraId="0C6D14FE" w14:textId="77777777" w:rsidR="00CD08FE" w:rsidRPr="00B133A0" w:rsidRDefault="00CD08FE" w:rsidP="00CD08FE">
      <w:pPr>
        <w:spacing w:before="120" w:line="276" w:lineRule="auto"/>
        <w:ind w:firstLine="709"/>
        <w:jc w:val="both"/>
        <w:rPr>
          <w:rFonts w:ascii="Arial" w:hAnsi="Arial" w:cs="Arial"/>
        </w:rPr>
      </w:pPr>
    </w:p>
    <w:p w14:paraId="4FCB068D" w14:textId="77777777" w:rsidR="00CD08FE" w:rsidRPr="00B133A0" w:rsidRDefault="00CD08FE" w:rsidP="00CD08FE">
      <w:pPr>
        <w:spacing w:before="120" w:line="276" w:lineRule="auto"/>
        <w:ind w:firstLine="709"/>
        <w:jc w:val="both"/>
        <w:rPr>
          <w:rFonts w:ascii="Arial" w:hAnsi="Arial" w:cs="Arial"/>
        </w:rPr>
      </w:pPr>
    </w:p>
    <w:p w14:paraId="3AC7247E" w14:textId="77777777" w:rsidR="00CD08FE" w:rsidRPr="00B133A0" w:rsidRDefault="00CD08FE" w:rsidP="00CD08FE">
      <w:pPr>
        <w:spacing w:line="276" w:lineRule="auto"/>
        <w:ind w:right="709"/>
        <w:jc w:val="both"/>
        <w:rPr>
          <w:rFonts w:ascii="Arial" w:hAnsi="Arial" w:cs="Arial"/>
          <w:iCs/>
          <w:sz w:val="21"/>
          <w:szCs w:val="21"/>
        </w:rPr>
      </w:pPr>
    </w:p>
    <w:p w14:paraId="04CFC461" w14:textId="77777777" w:rsidR="00CD08FE" w:rsidRPr="00B133A0" w:rsidRDefault="00CD08FE" w:rsidP="00CD08FE">
      <w:pPr>
        <w:spacing w:line="276" w:lineRule="auto"/>
        <w:ind w:firstLine="708"/>
        <w:jc w:val="both"/>
        <w:rPr>
          <w:rFonts w:ascii="Arial" w:hAnsi="Arial" w:cs="Arial"/>
        </w:rPr>
      </w:pPr>
    </w:p>
    <w:p w14:paraId="31AD5F1B" w14:textId="77777777" w:rsidR="00CD08FE" w:rsidRPr="00B133A0" w:rsidRDefault="00CD08FE" w:rsidP="00CD08FE">
      <w:pPr>
        <w:spacing w:before="120" w:line="276" w:lineRule="auto"/>
        <w:jc w:val="both"/>
        <w:rPr>
          <w:rFonts w:ascii="Arial" w:hAnsi="Arial" w:cs="Arial"/>
        </w:rPr>
      </w:pPr>
    </w:p>
    <w:p w14:paraId="63266C8B" w14:textId="77777777" w:rsidR="00CD08FE" w:rsidRPr="00B133A0" w:rsidRDefault="00CD08FE" w:rsidP="00CD08FE">
      <w:pPr>
        <w:spacing w:before="120" w:line="276" w:lineRule="auto"/>
        <w:jc w:val="both"/>
        <w:rPr>
          <w:rFonts w:ascii="Arial" w:hAnsi="Arial" w:cs="Arial"/>
        </w:rPr>
      </w:pPr>
    </w:p>
    <w:p w14:paraId="541EF340" w14:textId="77777777" w:rsidR="00CD08FE" w:rsidRPr="00B133A0" w:rsidRDefault="00CD08FE" w:rsidP="00CD08FE">
      <w:pPr>
        <w:spacing w:line="276" w:lineRule="auto"/>
        <w:jc w:val="both"/>
        <w:rPr>
          <w:rFonts w:ascii="Arial" w:eastAsia="Calibri" w:hAnsi="Arial" w:cs="Arial"/>
          <w:b/>
          <w:bCs/>
          <w:lang w:eastAsia="es-ES_tradnl"/>
        </w:rPr>
      </w:pPr>
    </w:p>
    <w:p w14:paraId="4266C786" w14:textId="77777777" w:rsidR="00CD08FE" w:rsidRPr="00B133A0" w:rsidRDefault="00CD08FE" w:rsidP="00CD08FE">
      <w:pPr>
        <w:spacing w:line="276" w:lineRule="auto"/>
        <w:jc w:val="both"/>
        <w:rPr>
          <w:rFonts w:ascii="Arial" w:eastAsia="Calibri" w:hAnsi="Arial" w:cs="Arial"/>
          <w:lang w:val="es-ES_tradnl" w:eastAsia="es-ES_tradnl"/>
        </w:rPr>
      </w:pPr>
    </w:p>
    <w:p w14:paraId="7C014162" w14:textId="77777777" w:rsidR="00CD08FE" w:rsidRPr="00B133A0" w:rsidRDefault="00CD08FE" w:rsidP="00CD08FE">
      <w:pPr>
        <w:spacing w:line="276" w:lineRule="auto"/>
        <w:ind w:firstLine="709"/>
        <w:jc w:val="both"/>
        <w:rPr>
          <w:rFonts w:ascii="Arial" w:eastAsia="Times New Roman" w:hAnsi="Arial" w:cs="Arial"/>
          <w:color w:val="000000" w:themeColor="text1"/>
          <w:highlight w:val="yellow"/>
          <w:lang w:val="es-ES_tradnl" w:eastAsia="es-ES_tradnl"/>
        </w:rPr>
      </w:pPr>
    </w:p>
    <w:p w14:paraId="57364768" w14:textId="77777777" w:rsidR="00CD08FE" w:rsidRPr="00B133A0" w:rsidRDefault="00CD08FE" w:rsidP="00CD08FE">
      <w:pPr>
        <w:spacing w:line="276" w:lineRule="auto"/>
        <w:ind w:firstLine="709"/>
        <w:jc w:val="both"/>
        <w:rPr>
          <w:rFonts w:ascii="Arial" w:eastAsia="Calibri" w:hAnsi="Arial" w:cs="Arial"/>
          <w:highlight w:val="yellow"/>
          <w:lang w:val="es-ES_tradnl" w:eastAsia="es-ES_tradnl"/>
        </w:rPr>
      </w:pPr>
    </w:p>
    <w:p w14:paraId="585E55E5" w14:textId="77777777" w:rsidR="00CD08FE" w:rsidRPr="00B133A0" w:rsidRDefault="00CD08FE" w:rsidP="00CD08FE">
      <w:pPr>
        <w:tabs>
          <w:tab w:val="left" w:pos="426"/>
        </w:tabs>
        <w:spacing w:line="276" w:lineRule="auto"/>
        <w:jc w:val="both"/>
        <w:rPr>
          <w:rFonts w:ascii="Arial" w:eastAsia="Times New Roman" w:hAnsi="Arial" w:cs="Arial"/>
          <w:b/>
          <w:bCs/>
          <w:lang w:val="es-ES_tradnl" w:eastAsia="es-MX"/>
        </w:rPr>
      </w:pPr>
    </w:p>
    <w:p w14:paraId="3612085C" w14:textId="77777777" w:rsidR="00CD08FE" w:rsidRPr="00B133A0" w:rsidRDefault="00CD08FE" w:rsidP="00CD08FE">
      <w:pPr>
        <w:tabs>
          <w:tab w:val="left" w:pos="426"/>
        </w:tabs>
        <w:spacing w:line="276" w:lineRule="auto"/>
        <w:ind w:firstLine="709"/>
        <w:jc w:val="both"/>
        <w:rPr>
          <w:rFonts w:ascii="Arial" w:eastAsia="Times New Roman" w:hAnsi="Arial" w:cs="Arial"/>
          <w:lang w:val="es-ES_tradnl" w:eastAsia="es-MX"/>
        </w:rPr>
      </w:pPr>
    </w:p>
    <w:bookmarkEnd w:id="4"/>
    <w:p w14:paraId="6CD786EA" w14:textId="77777777" w:rsidR="00CD08FE" w:rsidRPr="00B133A0" w:rsidRDefault="00CD08FE" w:rsidP="00CD08FE">
      <w:pPr>
        <w:spacing w:line="276" w:lineRule="auto"/>
        <w:ind w:firstLine="709"/>
        <w:jc w:val="both"/>
        <w:rPr>
          <w:rFonts w:ascii="Arial" w:eastAsia="Times New Roman" w:hAnsi="Arial" w:cs="Arial"/>
          <w:lang w:val="es-ES_tradnl" w:eastAsia="es-MX"/>
        </w:rPr>
      </w:pPr>
    </w:p>
    <w:p w14:paraId="235FA284" w14:textId="77777777" w:rsidR="00CD08FE" w:rsidRPr="00B133A0" w:rsidRDefault="00CD08FE" w:rsidP="00CD08FE">
      <w:pPr>
        <w:spacing w:line="276" w:lineRule="auto"/>
        <w:ind w:firstLine="709"/>
        <w:jc w:val="both"/>
        <w:rPr>
          <w:rFonts w:ascii="Arial" w:eastAsia="Times New Roman" w:hAnsi="Arial" w:cs="Arial"/>
          <w:lang w:val="es-ES_tradnl" w:eastAsia="es-MX"/>
        </w:rPr>
      </w:pPr>
    </w:p>
    <w:p w14:paraId="26EA5DD3" w14:textId="77777777" w:rsidR="00CD08FE" w:rsidRPr="00B133A0" w:rsidRDefault="00CD08FE" w:rsidP="00CD08FE">
      <w:pPr>
        <w:spacing w:line="276" w:lineRule="auto"/>
        <w:ind w:firstLine="709"/>
        <w:jc w:val="both"/>
        <w:rPr>
          <w:rFonts w:ascii="Arial" w:eastAsia="Times New Roman" w:hAnsi="Arial" w:cs="Arial"/>
          <w:lang w:val="es-ES_tradnl" w:eastAsia="es-MX"/>
        </w:rPr>
      </w:pPr>
    </w:p>
    <w:p w14:paraId="081E2027" w14:textId="77777777" w:rsidR="00CD08FE" w:rsidRPr="00B133A0" w:rsidRDefault="00CD08FE" w:rsidP="00CD08FE">
      <w:pPr>
        <w:spacing w:line="276" w:lineRule="auto"/>
        <w:ind w:firstLine="708"/>
        <w:jc w:val="both"/>
        <w:rPr>
          <w:rFonts w:ascii="Arial" w:eastAsia="Times New Roman" w:hAnsi="Arial" w:cs="Arial"/>
          <w:lang w:val="es-ES_tradnl" w:eastAsia="es-MX"/>
        </w:rPr>
      </w:pPr>
    </w:p>
    <w:p w14:paraId="06C42A00" w14:textId="77777777" w:rsidR="00CD08FE" w:rsidRPr="00B133A0" w:rsidRDefault="00CD08FE" w:rsidP="00CD08FE">
      <w:pPr>
        <w:spacing w:line="276" w:lineRule="auto"/>
        <w:ind w:right="709"/>
        <w:jc w:val="both"/>
        <w:rPr>
          <w:rFonts w:ascii="Arial" w:eastAsia="Calibri" w:hAnsi="Arial" w:cs="Arial"/>
          <w:sz w:val="20"/>
          <w:szCs w:val="20"/>
          <w:lang w:val="es-ES_tradnl"/>
        </w:rPr>
      </w:pPr>
    </w:p>
    <w:p w14:paraId="2E8BED76" w14:textId="77777777" w:rsidR="00CD08FE" w:rsidRPr="00B133A0" w:rsidRDefault="00CD08FE" w:rsidP="00CD08FE">
      <w:pPr>
        <w:spacing w:line="276" w:lineRule="auto"/>
        <w:ind w:left="709" w:right="709"/>
        <w:contextualSpacing/>
        <w:jc w:val="both"/>
        <w:rPr>
          <w:rFonts w:ascii="Arial" w:eastAsia="Calibri" w:hAnsi="Arial" w:cs="Arial"/>
          <w:lang w:val="es-ES_tradnl"/>
        </w:rPr>
      </w:pPr>
    </w:p>
    <w:p w14:paraId="492188D4" w14:textId="77777777" w:rsidR="00CD08FE" w:rsidRPr="00B133A0" w:rsidRDefault="00CD08FE" w:rsidP="00CD08FE">
      <w:pPr>
        <w:spacing w:line="276" w:lineRule="auto"/>
        <w:ind w:firstLine="708"/>
        <w:jc w:val="both"/>
        <w:rPr>
          <w:rFonts w:ascii="Arial" w:eastAsia="Calibri" w:hAnsi="Arial" w:cs="Arial"/>
          <w:lang w:val="es-ES_tradnl" w:eastAsia="es-MX"/>
        </w:rPr>
      </w:pPr>
    </w:p>
    <w:p w14:paraId="268B195D" w14:textId="77777777" w:rsidR="00CD08FE" w:rsidRPr="00B133A0" w:rsidRDefault="00CD08FE" w:rsidP="00CD08FE">
      <w:pPr>
        <w:spacing w:line="276" w:lineRule="auto"/>
        <w:ind w:firstLine="708"/>
        <w:jc w:val="both"/>
        <w:rPr>
          <w:rFonts w:ascii="Arial" w:eastAsia="Calibri" w:hAnsi="Arial" w:cs="Arial"/>
          <w:lang w:val="es-ES_tradnl" w:eastAsia="es-MX"/>
        </w:rPr>
      </w:pPr>
    </w:p>
    <w:p w14:paraId="4158D14A" w14:textId="77777777" w:rsidR="00CD08FE" w:rsidRPr="00B133A0" w:rsidRDefault="00CD08FE" w:rsidP="00CD08FE">
      <w:pPr>
        <w:spacing w:line="276" w:lineRule="auto"/>
        <w:jc w:val="both"/>
        <w:rPr>
          <w:rFonts w:ascii="Arial" w:eastAsia="Calibri" w:hAnsi="Arial" w:cs="Arial"/>
          <w:lang w:val="es-ES_tradnl" w:eastAsia="es-MX"/>
        </w:rPr>
      </w:pPr>
    </w:p>
    <w:p w14:paraId="0761C8D2" w14:textId="77777777" w:rsidR="00CD08FE" w:rsidRPr="00B133A0" w:rsidRDefault="00CD08FE" w:rsidP="00CD08FE">
      <w:pPr>
        <w:spacing w:line="276" w:lineRule="auto"/>
        <w:jc w:val="both"/>
        <w:rPr>
          <w:rFonts w:ascii="Arial" w:eastAsia="Calibri" w:hAnsi="Arial" w:cs="Arial"/>
          <w:lang w:val="es-ES_tradnl" w:eastAsia="es-MX"/>
        </w:rPr>
      </w:pPr>
    </w:p>
    <w:bookmarkEnd w:id="0"/>
    <w:p w14:paraId="4D61D7F6" w14:textId="77777777" w:rsidR="00CD08FE" w:rsidRPr="00B133A0" w:rsidRDefault="00CD08FE" w:rsidP="00CD08FE">
      <w:pPr>
        <w:spacing w:line="276" w:lineRule="auto"/>
        <w:jc w:val="both"/>
        <w:rPr>
          <w:rFonts w:ascii="Arial" w:eastAsia="Calibri" w:hAnsi="Arial" w:cs="Arial"/>
          <w:lang w:val="es-ES_tradnl" w:eastAsia="es-ES_tradnl"/>
        </w:rPr>
      </w:pPr>
    </w:p>
    <w:p w14:paraId="3DA6D0A2" w14:textId="77777777" w:rsidR="00CD08FE" w:rsidRPr="00B133A0" w:rsidRDefault="00CD08FE" w:rsidP="00CD08FE">
      <w:pPr>
        <w:tabs>
          <w:tab w:val="left" w:pos="426"/>
        </w:tabs>
        <w:spacing w:line="276" w:lineRule="auto"/>
        <w:jc w:val="both"/>
        <w:rPr>
          <w:rFonts w:ascii="Arial" w:eastAsia="Times New Roman" w:hAnsi="Arial" w:cs="Arial"/>
          <w:bCs/>
          <w:lang w:eastAsia="es-ES_tradnl"/>
        </w:rPr>
      </w:pPr>
    </w:p>
    <w:p w14:paraId="439EAFA4" w14:textId="77777777" w:rsidR="00CD08FE" w:rsidRPr="00B133A0" w:rsidRDefault="00CD08FE" w:rsidP="00CD08FE">
      <w:pPr>
        <w:spacing w:line="276" w:lineRule="auto"/>
        <w:ind w:firstLine="708"/>
        <w:jc w:val="both"/>
        <w:rPr>
          <w:rFonts w:ascii="Arial" w:eastAsia="Times New Roman" w:hAnsi="Arial" w:cs="Arial"/>
          <w:lang w:eastAsia="es-ES_tradnl"/>
        </w:rPr>
      </w:pPr>
    </w:p>
    <w:p w14:paraId="39C509C9" w14:textId="77777777" w:rsidR="00CD08FE" w:rsidRPr="00B133A0" w:rsidRDefault="00CD08FE" w:rsidP="00CD08FE">
      <w:pPr>
        <w:spacing w:line="276" w:lineRule="auto"/>
        <w:rPr>
          <w:rFonts w:ascii="Arial" w:hAnsi="Arial" w:cs="Arial"/>
        </w:rPr>
      </w:pPr>
    </w:p>
    <w:p w14:paraId="57152A60" w14:textId="77777777" w:rsidR="00CD08FE" w:rsidRPr="00B133A0" w:rsidRDefault="00CD08FE" w:rsidP="00CD08FE">
      <w:pPr>
        <w:spacing w:after="0" w:line="240" w:lineRule="auto"/>
        <w:jc w:val="both"/>
        <w:textAlignment w:val="baseline"/>
        <w:rPr>
          <w:rFonts w:ascii="Arial" w:eastAsia="Times New Roman" w:hAnsi="Arial" w:cs="Arial"/>
          <w:color w:val="000000"/>
          <w:sz w:val="18"/>
          <w:szCs w:val="18"/>
          <w:lang w:eastAsia="es-CO"/>
        </w:rPr>
      </w:pPr>
      <w:r w:rsidRPr="00B133A0">
        <w:rPr>
          <w:rFonts w:ascii="Arial" w:eastAsia="Times New Roman" w:hAnsi="Arial" w:cs="Arial"/>
          <w:color w:val="000000"/>
          <w:lang w:eastAsia="es-CO"/>
        </w:rPr>
        <w:t> </w:t>
      </w:r>
    </w:p>
    <w:p w14:paraId="62079437" w14:textId="77777777" w:rsidR="00CD08FE" w:rsidRPr="00B133A0" w:rsidRDefault="00CD08FE" w:rsidP="00CD08FE">
      <w:pPr>
        <w:spacing w:after="0" w:line="240" w:lineRule="auto"/>
        <w:jc w:val="both"/>
        <w:textAlignment w:val="baseline"/>
        <w:rPr>
          <w:rFonts w:ascii="Arial" w:eastAsia="Times New Roman" w:hAnsi="Arial" w:cs="Arial"/>
          <w:sz w:val="18"/>
          <w:szCs w:val="18"/>
          <w:lang w:eastAsia="es-CO"/>
        </w:rPr>
      </w:pPr>
      <w:r w:rsidRPr="00B133A0">
        <w:rPr>
          <w:rFonts w:ascii="Arial" w:eastAsia="Times New Roman" w:hAnsi="Arial" w:cs="Arial"/>
          <w:lang w:eastAsia="es-CO"/>
        </w:rPr>
        <w:t> </w:t>
      </w:r>
    </w:p>
    <w:p w14:paraId="57CDFF09" w14:textId="77777777" w:rsidR="00CD08FE" w:rsidRPr="00B133A0" w:rsidRDefault="00CD08FE" w:rsidP="00CD08FE">
      <w:pPr>
        <w:spacing w:after="0" w:line="240" w:lineRule="auto"/>
        <w:jc w:val="both"/>
        <w:textAlignment w:val="baseline"/>
        <w:rPr>
          <w:rFonts w:ascii="Arial" w:eastAsia="Times New Roman" w:hAnsi="Arial" w:cs="Arial"/>
          <w:sz w:val="18"/>
          <w:szCs w:val="18"/>
          <w:lang w:eastAsia="es-CO"/>
        </w:rPr>
      </w:pPr>
      <w:r w:rsidRPr="00B133A0">
        <w:rPr>
          <w:rFonts w:ascii="Arial" w:eastAsia="Times New Roman" w:hAnsi="Arial" w:cs="Arial"/>
          <w:lang w:eastAsia="es-CO"/>
        </w:rPr>
        <w:t> </w:t>
      </w:r>
    </w:p>
    <w:p w14:paraId="14BDDC2E" w14:textId="77777777" w:rsidR="00CD08FE" w:rsidRPr="00B133A0" w:rsidRDefault="00CD08FE" w:rsidP="00CD08FE">
      <w:pPr>
        <w:spacing w:after="0" w:line="240" w:lineRule="auto"/>
        <w:jc w:val="both"/>
        <w:textAlignment w:val="baseline"/>
        <w:rPr>
          <w:rFonts w:ascii="Arial" w:eastAsia="Times New Roman" w:hAnsi="Arial" w:cs="Arial"/>
          <w:sz w:val="18"/>
          <w:szCs w:val="18"/>
          <w:lang w:eastAsia="es-CO"/>
        </w:rPr>
      </w:pPr>
      <w:r w:rsidRPr="00B133A0">
        <w:rPr>
          <w:rFonts w:ascii="Arial" w:eastAsia="Times New Roman" w:hAnsi="Arial" w:cs="Arial"/>
          <w:lang w:eastAsia="es-CO"/>
        </w:rPr>
        <w:t> </w:t>
      </w:r>
    </w:p>
    <w:p w14:paraId="52B4975E" w14:textId="77777777" w:rsidR="00CD08FE" w:rsidRPr="00B133A0" w:rsidRDefault="00CD08FE" w:rsidP="00CD08FE">
      <w:pPr>
        <w:spacing w:after="0" w:line="240" w:lineRule="auto"/>
        <w:jc w:val="both"/>
        <w:textAlignment w:val="baseline"/>
        <w:rPr>
          <w:rFonts w:ascii="Arial" w:eastAsia="Times New Roman" w:hAnsi="Arial" w:cs="Arial"/>
          <w:sz w:val="18"/>
          <w:szCs w:val="18"/>
          <w:lang w:eastAsia="es-CO"/>
        </w:rPr>
      </w:pPr>
      <w:r w:rsidRPr="00B133A0">
        <w:rPr>
          <w:rFonts w:ascii="Arial" w:eastAsia="Times New Roman" w:hAnsi="Arial" w:cs="Arial"/>
          <w:lang w:eastAsia="es-CO"/>
        </w:rPr>
        <w:t>  </w:t>
      </w:r>
    </w:p>
    <w:p w14:paraId="751FD600" w14:textId="77777777" w:rsidR="00CD08FE" w:rsidRPr="00B133A0" w:rsidRDefault="00CD08FE" w:rsidP="00CD08FE">
      <w:pPr>
        <w:spacing w:after="0"/>
        <w:jc w:val="both"/>
        <w:rPr>
          <w:rFonts w:ascii="Arial" w:hAnsi="Arial" w:cs="Arial"/>
        </w:rPr>
      </w:pPr>
    </w:p>
    <w:p w14:paraId="5B2E1D72" w14:textId="77777777" w:rsidR="00E561BE" w:rsidRDefault="00E561BE"/>
    <w:sectPr w:rsidR="00E561BE" w:rsidSect="002E4FD9">
      <w:headerReference w:type="default" r:id="rId8"/>
      <w:footerReference w:type="default" r:id="rId9"/>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49BF" w14:textId="77777777" w:rsidR="00070490" w:rsidRDefault="00070490" w:rsidP="00CD08FE">
      <w:pPr>
        <w:spacing w:after="0" w:line="240" w:lineRule="auto"/>
      </w:pPr>
      <w:r>
        <w:separator/>
      </w:r>
    </w:p>
  </w:endnote>
  <w:endnote w:type="continuationSeparator" w:id="0">
    <w:p w14:paraId="3A578C9F" w14:textId="77777777" w:rsidR="00070490" w:rsidRDefault="00070490" w:rsidP="00CD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5023" w14:textId="77777777" w:rsidR="00930E4D" w:rsidRDefault="00000000">
    <w:pPr>
      <w:pStyle w:val="Piedepgina"/>
    </w:pPr>
    <w:r>
      <w:rPr>
        <w:noProof/>
      </w:rPr>
      <w:drawing>
        <wp:inline distT="0" distB="0" distL="0" distR="0" wp14:anchorId="71C3A398" wp14:editId="7967FF0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25AF45F3" wp14:editId="501B3AB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7D03D5D6"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A6D3E48" w14:textId="77777777" w:rsidR="00930E4D" w:rsidRPr="003F3941" w:rsidRDefault="00000000"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FB3BD4" w14:textId="77777777" w:rsidR="00930E4D" w:rsidRPr="003F3941" w:rsidRDefault="0000000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0330E87" w14:textId="77777777" w:rsidR="00930E4D" w:rsidRPr="003F3941" w:rsidRDefault="0000000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1C13B11" w14:textId="77777777" w:rsidR="00930E4D" w:rsidRPr="003F3941" w:rsidRDefault="0000000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172F6AB5" w14:textId="77777777" w:rsidR="00930E4D" w:rsidRDefault="00930E4D"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5A61" w14:textId="77777777" w:rsidR="00070490" w:rsidRDefault="00070490" w:rsidP="00CD08FE">
      <w:pPr>
        <w:spacing w:after="0" w:line="240" w:lineRule="auto"/>
      </w:pPr>
      <w:r>
        <w:separator/>
      </w:r>
    </w:p>
  </w:footnote>
  <w:footnote w:type="continuationSeparator" w:id="0">
    <w:p w14:paraId="560EEC22" w14:textId="77777777" w:rsidR="00070490" w:rsidRDefault="00070490" w:rsidP="00CD08FE">
      <w:pPr>
        <w:spacing w:after="0" w:line="240" w:lineRule="auto"/>
      </w:pPr>
      <w:r>
        <w:continuationSeparator/>
      </w:r>
    </w:p>
  </w:footnote>
  <w:footnote w:id="1">
    <w:p w14:paraId="05BDC839" w14:textId="77777777" w:rsidR="00CD08FE" w:rsidRPr="00B133A0" w:rsidRDefault="00CD08FE" w:rsidP="00CD08FE">
      <w:pPr>
        <w:pStyle w:val="Textonotapie"/>
        <w:ind w:firstLine="708"/>
        <w:contextualSpacing/>
        <w:jc w:val="both"/>
        <w:rPr>
          <w:rFonts w:ascii="Arial" w:eastAsia="Calibri" w:hAnsi="Arial" w:cs="Arial"/>
          <w:sz w:val="18"/>
          <w:szCs w:val="18"/>
          <w:lang w:val="es-ES" w:eastAsia="es-ES_tradnl"/>
        </w:rPr>
      </w:pPr>
      <w:r w:rsidRPr="00B133A0">
        <w:rPr>
          <w:rFonts w:ascii="Arial" w:eastAsia="Calibri" w:hAnsi="Arial" w:cs="Arial"/>
          <w:sz w:val="18"/>
          <w:szCs w:val="18"/>
          <w:vertAlign w:val="superscript"/>
          <w:lang w:val="es-ES" w:eastAsia="es-ES_tradnl"/>
        </w:rPr>
        <w:footnoteRef/>
      </w:r>
      <w:r w:rsidRPr="00B133A0">
        <w:rPr>
          <w:rFonts w:ascii="Arial" w:eastAsia="Calibri" w:hAnsi="Arial"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B133A0">
        <w:rPr>
          <w:rFonts w:ascii="Arial" w:eastAsia="Calibri" w:hAnsi="Arial" w:cs="Arial"/>
          <w:sz w:val="18"/>
          <w:szCs w:val="18"/>
          <w:lang w:val="es-ES" w:eastAsia="es-ES_tradnl"/>
        </w:rPr>
        <w:t>bsolver</w:t>
      </w:r>
      <w:proofErr w:type="spellEnd"/>
      <w:r w:rsidRPr="00B133A0">
        <w:rPr>
          <w:rFonts w:ascii="Arial" w:eastAsia="Calibri" w:hAnsi="Arial" w:cs="Arial"/>
          <w:sz w:val="18"/>
          <w:szCs w:val="18"/>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133A0">
        <w:rPr>
          <w:rFonts w:ascii="Arial" w:eastAsia="Calibri" w:hAnsi="Arial" w:cs="Arial"/>
          <w:sz w:val="18"/>
          <w:szCs w:val="18"/>
          <w:lang w:val="es-ES" w:eastAsia="es-ES_tradnl"/>
        </w:rPr>
        <w:t>bsolver</w:t>
      </w:r>
      <w:proofErr w:type="spellEnd"/>
      <w:r w:rsidRPr="00B133A0">
        <w:rPr>
          <w:rFonts w:ascii="Arial" w:eastAsia="Calibri" w:hAnsi="Arial" w:cs="Arial"/>
          <w:sz w:val="18"/>
          <w:szCs w:val="18"/>
          <w:lang w:val="es-ES" w:eastAsia="es-ES_tradnl"/>
        </w:rPr>
        <w:t xml:space="preserve"> consultas sobre la aplicación de normas de carácter general”.</w:t>
      </w:r>
    </w:p>
    <w:p w14:paraId="5CB6E761" w14:textId="77777777" w:rsidR="00CD08FE" w:rsidRPr="00B133A0" w:rsidRDefault="00CD08FE" w:rsidP="00CD08FE">
      <w:pPr>
        <w:pStyle w:val="Textonotapie"/>
        <w:ind w:firstLine="708"/>
        <w:contextualSpacing/>
        <w:jc w:val="both"/>
        <w:rPr>
          <w:rFonts w:ascii="Arial" w:hAnsi="Arial" w:cs="Arial"/>
          <w:sz w:val="18"/>
          <w:szCs w:val="18"/>
          <w:lang w:val="es-ES"/>
        </w:rPr>
      </w:pPr>
    </w:p>
  </w:footnote>
  <w:footnote w:id="2">
    <w:p w14:paraId="6FD768AD" w14:textId="77777777" w:rsidR="00CD08FE" w:rsidRPr="00B133A0" w:rsidRDefault="00CD08FE" w:rsidP="00CD08FE">
      <w:pPr>
        <w:pStyle w:val="Textonotapie"/>
        <w:ind w:firstLine="708"/>
        <w:contextualSpacing/>
        <w:jc w:val="both"/>
        <w:rPr>
          <w:rFonts w:ascii="Arial" w:hAnsi="Arial" w:cs="Arial"/>
          <w:sz w:val="18"/>
          <w:szCs w:val="18"/>
          <w:shd w:val="clear" w:color="auto" w:fill="E6E6E6"/>
        </w:rPr>
      </w:pPr>
      <w:r w:rsidRPr="00B133A0">
        <w:rPr>
          <w:rFonts w:ascii="Arial" w:hAnsi="Arial" w:cs="Arial"/>
          <w:sz w:val="18"/>
          <w:szCs w:val="18"/>
          <w:vertAlign w:val="superscript"/>
        </w:rPr>
        <w:footnoteRef/>
      </w:r>
      <w:r w:rsidRPr="00B133A0">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133A0">
          <w:rPr>
            <w:rStyle w:val="Hipervnculo"/>
            <w:rFonts w:ascii="Arial" w:hAnsi="Arial" w:cs="Arial"/>
            <w:sz w:val="18"/>
            <w:szCs w:val="18"/>
          </w:rPr>
          <w:t>https://relatoria.colombiacompra.gov.co/busqueda/conceptos</w:t>
        </w:r>
      </w:hyperlink>
      <w:r w:rsidRPr="00B133A0">
        <w:rPr>
          <w:rFonts w:ascii="Arial" w:hAnsi="Arial" w:cs="Arial"/>
          <w:sz w:val="18"/>
          <w:szCs w:val="18"/>
          <w:shd w:val="clear" w:color="auto" w:fill="E6E6E6"/>
        </w:rPr>
        <w:t xml:space="preserve"> </w:t>
      </w:r>
    </w:p>
    <w:p w14:paraId="35D79907" w14:textId="77777777" w:rsidR="00CD08FE" w:rsidRPr="00B133A0" w:rsidRDefault="00CD08FE" w:rsidP="00CD08FE">
      <w:pPr>
        <w:pStyle w:val="Textonotapie"/>
        <w:ind w:firstLine="708"/>
        <w:contextualSpacing/>
        <w:jc w:val="both"/>
        <w:rPr>
          <w:rFonts w:ascii="Arial" w:hAnsi="Arial" w:cs="Arial"/>
          <w:sz w:val="18"/>
          <w:szCs w:val="18"/>
        </w:rPr>
      </w:pPr>
    </w:p>
  </w:footnote>
  <w:footnote w:id="3">
    <w:p w14:paraId="2B1675D7" w14:textId="77777777" w:rsidR="00CD08FE" w:rsidRPr="00B133A0" w:rsidRDefault="00CD08FE" w:rsidP="00CD08FE">
      <w:pPr>
        <w:pStyle w:val="NormalWeb"/>
        <w:spacing w:after="0"/>
        <w:ind w:firstLine="709"/>
        <w:contextualSpacing/>
        <w:jc w:val="both"/>
        <w:rPr>
          <w:rFonts w:ascii="Arial" w:hAnsi="Arial" w:cs="Arial"/>
          <w:sz w:val="18"/>
          <w:szCs w:val="18"/>
        </w:rPr>
      </w:pPr>
      <w:r w:rsidRPr="00B133A0">
        <w:rPr>
          <w:rStyle w:val="Refdenotaalpie"/>
          <w:rFonts w:ascii="Arial" w:hAnsi="Arial" w:cs="Arial"/>
          <w:sz w:val="18"/>
          <w:szCs w:val="18"/>
        </w:rPr>
        <w:footnoteRef/>
      </w:r>
      <w:r w:rsidRPr="00B133A0">
        <w:rPr>
          <w:rFonts w:ascii="Arial" w:hAnsi="Arial" w:cs="Arial"/>
          <w:sz w:val="18"/>
          <w:szCs w:val="18"/>
        </w:rPr>
        <w:t xml:space="preserve"> </w:t>
      </w:r>
      <w:r w:rsidRPr="00B133A0">
        <w:rPr>
          <w:rFonts w:ascii="Arial" w:hAnsi="Arial" w:cs="Arial"/>
          <w:sz w:val="18"/>
          <w:szCs w:val="18"/>
          <w:lang w:val="es-ES"/>
        </w:rPr>
        <w:t>“</w:t>
      </w:r>
      <w:r w:rsidRPr="00B133A0">
        <w:rPr>
          <w:rFonts w:ascii="Arial" w:hAnsi="Arial" w:cs="Arial"/>
          <w:sz w:val="18"/>
          <w:szCs w:val="18"/>
        </w:rPr>
        <w:t xml:space="preserve">Para poder participar en los procesos de selección de los contratos de obra, la capacidad residual del proponente o K de contratación deberá ser igual o superior al que la entidad haya establecido para el efecto en los pliegos de condiciones. </w:t>
      </w:r>
    </w:p>
    <w:p w14:paraId="17B379D9" w14:textId="77777777" w:rsidR="00CD08FE" w:rsidRPr="00B133A0" w:rsidRDefault="00CD08FE" w:rsidP="00CD08FE">
      <w:pPr>
        <w:spacing w:after="0" w:line="240" w:lineRule="auto"/>
        <w:ind w:firstLine="709"/>
        <w:contextualSpacing/>
        <w:jc w:val="both"/>
        <w:rPr>
          <w:rFonts w:ascii="Arial" w:hAnsi="Arial" w:cs="Arial"/>
          <w:sz w:val="18"/>
          <w:szCs w:val="18"/>
        </w:rPr>
      </w:pPr>
      <w:r w:rsidRPr="00B133A0">
        <w:rPr>
          <w:rFonts w:ascii="Arial" w:hAnsi="Arial" w:cs="Arial"/>
          <w:sz w:val="18"/>
          <w:szCs w:val="18"/>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B562AE9" w14:textId="77777777" w:rsidR="00CD08FE" w:rsidRPr="00B133A0" w:rsidRDefault="00CD08FE" w:rsidP="00CD08FE">
      <w:pPr>
        <w:spacing w:after="0" w:line="240" w:lineRule="auto"/>
        <w:ind w:firstLine="709"/>
        <w:contextualSpacing/>
        <w:jc w:val="both"/>
        <w:rPr>
          <w:rFonts w:ascii="Arial" w:hAnsi="Arial" w:cs="Arial"/>
          <w:sz w:val="18"/>
          <w:szCs w:val="18"/>
        </w:rPr>
      </w:pPr>
    </w:p>
  </w:footnote>
  <w:footnote w:id="4">
    <w:p w14:paraId="13B90583" w14:textId="77777777" w:rsidR="00CD08FE" w:rsidRPr="00B133A0" w:rsidRDefault="00CD08FE" w:rsidP="00CD08FE">
      <w:pPr>
        <w:pStyle w:val="NormalWeb"/>
        <w:spacing w:after="0"/>
        <w:ind w:firstLine="709"/>
        <w:contextualSpacing/>
        <w:jc w:val="both"/>
        <w:rPr>
          <w:rFonts w:ascii="Arial" w:hAnsi="Arial" w:cs="Arial"/>
          <w:sz w:val="18"/>
          <w:szCs w:val="18"/>
          <w:lang w:val="es-ES"/>
        </w:rPr>
      </w:pPr>
      <w:r w:rsidRPr="00B133A0">
        <w:rPr>
          <w:rStyle w:val="Refdenotaalpie"/>
          <w:rFonts w:ascii="Arial" w:hAnsi="Arial" w:cs="Arial"/>
          <w:sz w:val="18"/>
          <w:szCs w:val="18"/>
        </w:rPr>
        <w:footnoteRef/>
      </w:r>
      <w:r w:rsidRPr="00B133A0">
        <w:rPr>
          <w:rStyle w:val="Refdenotaalpie"/>
          <w:rFonts w:ascii="Arial" w:hAnsi="Arial" w:cs="Arial"/>
          <w:sz w:val="18"/>
          <w:szCs w:val="18"/>
        </w:rPr>
        <w:t xml:space="preserve"> “</w:t>
      </w:r>
      <w:r w:rsidRPr="00B133A0">
        <w:rPr>
          <w:rFonts w:ascii="Arial" w:hAnsi="Arial" w:cs="Arial"/>
          <w:sz w:val="18"/>
          <w:szCs w:val="18"/>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C153667" w14:textId="77777777" w:rsidR="00CD08FE" w:rsidRPr="00B133A0" w:rsidRDefault="00CD08FE" w:rsidP="00CD08FE">
      <w:pPr>
        <w:pStyle w:val="NormalWeb"/>
        <w:spacing w:after="0"/>
        <w:ind w:firstLine="709"/>
        <w:contextualSpacing/>
        <w:jc w:val="both"/>
        <w:rPr>
          <w:rFonts w:ascii="Arial" w:hAnsi="Arial" w:cs="Arial"/>
          <w:sz w:val="18"/>
          <w:szCs w:val="18"/>
          <w:lang w:val="es-ES"/>
        </w:rPr>
      </w:pPr>
      <w:r w:rsidRPr="00B133A0">
        <w:rPr>
          <w:rFonts w:ascii="Arial" w:hAnsi="Arial" w:cs="Arial"/>
          <w:sz w:val="18"/>
          <w:szCs w:val="18"/>
          <w:lang w:val="es-ES"/>
        </w:rPr>
        <w:t>Parágrafo Transitorio. </w:t>
      </w:r>
      <w:hyperlink r:id="rId2" w:tgtFrame="_blank" w:history="1">
        <w:r>
          <w:t>https://colaboracion.dnp.gov.co/CDT/Normatividad/DECRETO 579 DEL 31 DE MAYO DE 2021.pdf</w:t>
        </w:r>
      </w:hyperlink>
      <w:r w:rsidRPr="00B133A0">
        <w:rPr>
          <w:rFonts w:ascii="Arial" w:hAnsi="Arial" w:cs="Arial"/>
          <w:sz w:val="18"/>
          <w:szCs w:val="18"/>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w:t>
      </w:r>
    </w:p>
    <w:p w14:paraId="14D4CFA8" w14:textId="77777777" w:rsidR="00CD08FE" w:rsidRPr="00B133A0" w:rsidRDefault="00CD08FE" w:rsidP="00CD08FE">
      <w:pPr>
        <w:pStyle w:val="NormalWeb"/>
        <w:spacing w:after="0"/>
        <w:ind w:firstLine="709"/>
        <w:contextualSpacing/>
        <w:jc w:val="both"/>
        <w:rPr>
          <w:rFonts w:ascii="Arial" w:hAnsi="Arial" w:cs="Arial"/>
          <w:sz w:val="18"/>
          <w:szCs w:val="18"/>
          <w:lang w:val="es-ES"/>
        </w:rPr>
      </w:pPr>
      <w:r w:rsidRPr="00B133A0">
        <w:rPr>
          <w:rFonts w:ascii="Arial" w:hAnsi="Arial" w:cs="Arial"/>
          <w:sz w:val="18"/>
          <w:szCs w:val="18"/>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w:t>
      </w:r>
      <w:proofErr w:type="spellStart"/>
      <w:r w:rsidRPr="00B133A0">
        <w:rPr>
          <w:rFonts w:ascii="Arial" w:hAnsi="Arial" w:cs="Arial"/>
          <w:sz w:val="18"/>
          <w:szCs w:val="18"/>
          <w:lang w:val="es-ES"/>
        </w:rPr>
        <w:t>índicadores</w:t>
      </w:r>
      <w:proofErr w:type="spellEnd"/>
      <w:r w:rsidRPr="00B133A0">
        <w:rPr>
          <w:rFonts w:ascii="Arial" w:hAnsi="Arial" w:cs="Arial"/>
          <w:sz w:val="18"/>
          <w:szCs w:val="18"/>
          <w:lang w:val="es-ES"/>
        </w:rPr>
        <w:t xml:space="preserve">, teniendo en cuenta el mejor año fiscal que se refleje en el </w:t>
      </w:r>
      <w:proofErr w:type="spellStart"/>
      <w:r w:rsidRPr="00B133A0">
        <w:rPr>
          <w:rFonts w:ascii="Arial" w:hAnsi="Arial" w:cs="Arial"/>
          <w:sz w:val="18"/>
          <w:szCs w:val="18"/>
          <w:lang w:val="es-ES"/>
        </w:rPr>
        <w:t>regístro</w:t>
      </w:r>
      <w:proofErr w:type="spellEnd"/>
      <w:r w:rsidRPr="00B133A0">
        <w:rPr>
          <w:rFonts w:ascii="Arial" w:hAnsi="Arial" w:cs="Arial"/>
          <w:sz w:val="18"/>
          <w:szCs w:val="18"/>
          <w:lang w:val="es-ES"/>
        </w:rPr>
        <w:t xml:space="preserve"> de cada proponente​.</w:t>
      </w:r>
    </w:p>
    <w:p w14:paraId="432F2963" w14:textId="77777777" w:rsidR="00CD08FE" w:rsidRPr="00B133A0" w:rsidRDefault="00CD08FE" w:rsidP="00CD08FE">
      <w:pPr>
        <w:pStyle w:val="NormalWeb"/>
        <w:spacing w:after="0"/>
        <w:ind w:firstLine="709"/>
        <w:contextualSpacing/>
        <w:jc w:val="both"/>
        <w:rPr>
          <w:rFonts w:ascii="Arial" w:hAnsi="Arial" w:cs="Arial"/>
          <w:sz w:val="18"/>
          <w:szCs w:val="18"/>
          <w:lang w:val="es-ES"/>
        </w:rPr>
      </w:pPr>
    </w:p>
    <w:p w14:paraId="03538E24" w14:textId="77777777" w:rsidR="00CD08FE" w:rsidRPr="00B133A0" w:rsidRDefault="00CD08FE" w:rsidP="00CD08FE">
      <w:pPr>
        <w:pStyle w:val="NormalWeb"/>
        <w:spacing w:after="0"/>
        <w:ind w:firstLine="709"/>
        <w:contextualSpacing/>
        <w:jc w:val="both"/>
        <w:rPr>
          <w:rStyle w:val="Refdenotaalpie"/>
          <w:rFonts w:ascii="Arial" w:hAnsi="Arial" w:cs="Arial"/>
          <w:sz w:val="18"/>
          <w:szCs w:val="18"/>
        </w:rPr>
      </w:pPr>
    </w:p>
  </w:footnote>
  <w:footnote w:id="5">
    <w:p w14:paraId="3780A005" w14:textId="77777777" w:rsidR="00CD08FE" w:rsidRPr="00B133A0" w:rsidRDefault="00CD08FE" w:rsidP="00CD08FE">
      <w:pPr>
        <w:pStyle w:val="Textonotapie"/>
        <w:ind w:firstLine="720"/>
        <w:contextualSpacing/>
        <w:jc w:val="both"/>
        <w:rPr>
          <w:rFonts w:ascii="Arial" w:hAnsi="Arial" w:cs="Arial"/>
          <w:color w:val="000000" w:themeColor="text1"/>
          <w:sz w:val="18"/>
          <w:szCs w:val="18"/>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Corte Constitucional. Sala Plena. Sentencia C 178 de 29 de abril de 1996. Magistrado Ponente: Antonio Barrera Carbonell. Expediente No. D-974. </w:t>
      </w:r>
    </w:p>
    <w:p w14:paraId="5C87A859" w14:textId="77777777" w:rsidR="00CD08FE" w:rsidRPr="00B133A0" w:rsidRDefault="00CD08FE" w:rsidP="00CD08FE">
      <w:pPr>
        <w:pStyle w:val="Textonotapie"/>
        <w:ind w:firstLine="720"/>
        <w:contextualSpacing/>
        <w:jc w:val="both"/>
        <w:rPr>
          <w:rFonts w:ascii="Arial" w:hAnsi="Arial" w:cs="Arial"/>
          <w:color w:val="000000" w:themeColor="text1"/>
          <w:sz w:val="18"/>
          <w:szCs w:val="18"/>
          <w:lang w:val="es-CO"/>
        </w:rPr>
      </w:pPr>
    </w:p>
  </w:footnote>
  <w:footnote w:id="6">
    <w:p w14:paraId="5B524894" w14:textId="77777777" w:rsidR="00CD08FE" w:rsidRPr="00B133A0" w:rsidRDefault="00CD08FE" w:rsidP="00CD08FE">
      <w:pPr>
        <w:spacing w:after="0" w:line="240" w:lineRule="auto"/>
        <w:ind w:firstLine="420"/>
        <w:contextualSpacing/>
        <w:jc w:val="both"/>
        <w:rPr>
          <w:rFonts w:ascii="Arial" w:hAnsi="Arial" w:cs="Arial"/>
          <w:color w:val="000000" w:themeColor="text1"/>
          <w:sz w:val="18"/>
          <w:szCs w:val="18"/>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“Artículo 6o. De la capacidad para contratar. Pueden celebrar contratos con las entidades estatales las personas consideradas legalmente capaces en las disposiciones vigentes”.</w:t>
      </w:r>
    </w:p>
    <w:p w14:paraId="7EB74555" w14:textId="77777777" w:rsidR="00CD08FE" w:rsidRPr="00B133A0" w:rsidRDefault="00CD08FE" w:rsidP="00CD08FE">
      <w:pPr>
        <w:pStyle w:val="Textonotapie"/>
        <w:contextualSpacing/>
        <w:jc w:val="both"/>
        <w:rPr>
          <w:rFonts w:ascii="Arial" w:hAnsi="Arial" w:cs="Arial"/>
          <w:color w:val="000000" w:themeColor="text1"/>
          <w:sz w:val="18"/>
          <w:szCs w:val="18"/>
        </w:rPr>
      </w:pPr>
    </w:p>
  </w:footnote>
  <w:footnote w:id="7">
    <w:p w14:paraId="57EBB97A" w14:textId="77777777" w:rsidR="00CD08FE" w:rsidRPr="00B133A0" w:rsidRDefault="00CD08FE" w:rsidP="00CD08FE">
      <w:pPr>
        <w:pStyle w:val="Textonotapie"/>
        <w:ind w:firstLine="408"/>
        <w:contextualSpacing/>
        <w:jc w:val="both"/>
        <w:rPr>
          <w:rFonts w:ascii="Arial" w:hAnsi="Arial" w:cs="Arial"/>
          <w:color w:val="000000" w:themeColor="text1"/>
          <w:sz w:val="18"/>
          <w:szCs w:val="18"/>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Consejo de Estado. Sala de Consulta y Servicio Civil. Consejero Ponente: Álvaro </w:t>
      </w:r>
      <w:proofErr w:type="spellStart"/>
      <w:r w:rsidRPr="00B133A0">
        <w:rPr>
          <w:rFonts w:ascii="Arial" w:hAnsi="Arial" w:cs="Arial"/>
          <w:color w:val="000000" w:themeColor="text1"/>
          <w:sz w:val="18"/>
          <w:szCs w:val="18"/>
        </w:rPr>
        <w:t>Namén</w:t>
      </w:r>
      <w:proofErr w:type="spellEnd"/>
      <w:r w:rsidRPr="00B133A0">
        <w:rPr>
          <w:rFonts w:ascii="Arial" w:hAnsi="Arial" w:cs="Arial"/>
          <w:color w:val="000000" w:themeColor="text1"/>
          <w:sz w:val="18"/>
          <w:szCs w:val="18"/>
        </w:rPr>
        <w:t xml:space="preserve"> Vargas. Bogotá, 10 de agosto de 2015. Radicación número: 11001-03-06-000-2015-00118-00(2.260).</w:t>
      </w:r>
    </w:p>
    <w:p w14:paraId="093750DE" w14:textId="77777777" w:rsidR="00CD08FE" w:rsidRPr="00B133A0" w:rsidRDefault="00CD08FE" w:rsidP="00CD08FE">
      <w:pPr>
        <w:pStyle w:val="Textonotapie"/>
        <w:ind w:firstLine="408"/>
        <w:contextualSpacing/>
        <w:jc w:val="both"/>
        <w:rPr>
          <w:rFonts w:ascii="Arial" w:hAnsi="Arial" w:cs="Arial"/>
          <w:color w:val="000000" w:themeColor="text1"/>
          <w:sz w:val="18"/>
          <w:szCs w:val="18"/>
          <w:lang w:val="es-CO"/>
        </w:rPr>
      </w:pPr>
    </w:p>
  </w:footnote>
  <w:footnote w:id="8">
    <w:p w14:paraId="2A261C6E"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w:t>
      </w:r>
      <w:r w:rsidRPr="00B133A0">
        <w:rPr>
          <w:rFonts w:ascii="Arial" w:hAnsi="Arial" w:cs="Arial"/>
          <w:color w:val="000000" w:themeColor="text1"/>
          <w:sz w:val="18"/>
          <w:szCs w:val="18"/>
          <w:lang w:val="es-ES"/>
        </w:rPr>
        <w:t>Esta norma establece: “Con el propósito de reducir los trámites ante el Estado, el registro mercantil y el registro único de proponentes se integrarán en el Registro Único Empresarial, a cargo de las Cámaras de Comercio, el cual tendrá validez general para todos los trámites, gestiones y obligaciones, sin perjuicio de lo previsto en las disposiciones especiales sobre materias tributarias, arancelarias y sanitarias.</w:t>
      </w:r>
    </w:p>
    <w:p w14:paraId="131D8241"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Atendiendo criterios de eficacia, economía, buena fe, simplificación y facilitación de la actividad empresarial, la Superintendencia de Industria y Comercio, regulará la organización y funcionamiento del Registro Único Empresarial, garantizando que, específicamente, se reduzcan los trámites, requisitos, e información a cargo de las micro, pequeñas y medianas empresas, y que todas las gestiones se puedan adelantar, además, por internet y otras formas electrónicas.</w:t>
      </w:r>
    </w:p>
    <w:p w14:paraId="6E1AA65E"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PARÁGRAFO. La regulación que realice la Superintendencia de Industria y Comercio deberá, en todo caso, hacerse en armonía con las disposiciones estatutarias y con las contenidas en códigos, respecto de los registros de que trata el presente artículo”.</w:t>
      </w:r>
    </w:p>
    <w:p w14:paraId="0F6D4B2E" w14:textId="77777777" w:rsidR="00CD08FE" w:rsidRPr="00B133A0" w:rsidRDefault="00CD08FE" w:rsidP="00CD08FE">
      <w:pPr>
        <w:pStyle w:val="Textonotapie"/>
        <w:ind w:firstLine="709"/>
        <w:contextualSpacing/>
        <w:jc w:val="both"/>
        <w:rPr>
          <w:rFonts w:ascii="Arial" w:hAnsi="Arial" w:cs="Arial"/>
          <w:color w:val="000000" w:themeColor="text1"/>
          <w:sz w:val="18"/>
          <w:szCs w:val="18"/>
        </w:rPr>
      </w:pPr>
    </w:p>
  </w:footnote>
  <w:footnote w:id="9">
    <w:p w14:paraId="6EE9CDE5"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Según esta disposición: </w:t>
      </w:r>
      <w:r w:rsidRPr="00B133A0">
        <w:rPr>
          <w:rFonts w:ascii="Arial" w:hAnsi="Arial" w:cs="Arial"/>
          <w:color w:val="000000" w:themeColor="text1"/>
          <w:sz w:val="18"/>
          <w:szCs w:val="18"/>
          <w:lang w:val="es-ES"/>
        </w:rPr>
        <w:t>“Al Registro Único Empresarial (RUE) de que trata el artículo 11 de la Ley 590 de 2000, que integró el Registro Mercantil y el Registro Único de Proponentes, se incorporarán e integrarán las operaciones del Registro de Entidades sin Ánimo de Lucro creado por el Decreto 2150 de 1995, del Registro Nacional Público de las personas naturales y jurídicas que ejerzan la actividad de vendedores de Juegos de Suerte y Azar de que trata la Ley 643 de 2001, del Registro Público de Veedurías Ciudadanas de que trata la Ley 850 de 2003, del Registro Nacional de Turismo de que trata la Ley 1101 de 2006, del Registro de Entidades Extranjeras de Derecho Privado sin Ánimo de Lucro con domicilio en el exterior que establezcan negocios permanentes en Colombia de que trata el Decreto 2893 de 2011, y del Registro de la Economía Solidaria de que trata la Ley 454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14:paraId="1A8CAE26"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 xml:space="preserve">“Con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 Los </w:t>
      </w:r>
      <w:proofErr w:type="gramStart"/>
      <w:r w:rsidRPr="00B133A0">
        <w:rPr>
          <w:rFonts w:ascii="Arial" w:hAnsi="Arial" w:cs="Arial"/>
          <w:color w:val="000000" w:themeColor="text1"/>
          <w:sz w:val="18"/>
          <w:szCs w:val="18"/>
          <w:lang w:val="es-ES"/>
        </w:rPr>
        <w:t>registros mercantil</w:t>
      </w:r>
      <w:proofErr w:type="gramEnd"/>
      <w:r w:rsidRPr="00B133A0">
        <w:rPr>
          <w:rFonts w:ascii="Arial" w:hAnsi="Arial" w:cs="Arial"/>
          <w:color w:val="000000" w:themeColor="text1"/>
          <w:sz w:val="18"/>
          <w:szCs w:val="18"/>
          <w:lang w:val="es-ES"/>
        </w:rPr>
        <w:t xml:space="preserve"> y de proponentes continuarán renovándose de acuerdo con las reglas vigentes.</w:t>
      </w:r>
    </w:p>
    <w:p w14:paraId="2201A745"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“El organismo que ejerza el control y vigilancia de las cámaras de comercio regulará la integración e implementación del Registro Único Empresarial y Social, garantizando que, 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14:paraId="347AD623"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“Los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del mismo no los causan.</w:t>
      </w:r>
    </w:p>
    <w:p w14:paraId="6775CEE9"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“Los ingresos provenientes de los registros públicos y los bienes adquiridos con éstos, continuarán afectos a las funciones atribuidas a las Cámaras de Comercio por la ley o por el Gobierno Nacional en aplicación del numeral 12 del artículo 86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(1o.) de marzo de 2012”.</w:t>
      </w:r>
    </w:p>
    <w:p w14:paraId="2D8FA473" w14:textId="77777777" w:rsidR="00CD08FE" w:rsidRPr="00B133A0" w:rsidRDefault="00CD08FE" w:rsidP="00CD08FE">
      <w:pPr>
        <w:pStyle w:val="Textonotapie"/>
        <w:ind w:firstLine="709"/>
        <w:contextualSpacing/>
        <w:jc w:val="both"/>
        <w:rPr>
          <w:rFonts w:ascii="Arial" w:hAnsi="Arial" w:cs="Arial"/>
          <w:color w:val="000000" w:themeColor="text1"/>
          <w:sz w:val="18"/>
          <w:szCs w:val="18"/>
        </w:rPr>
      </w:pPr>
    </w:p>
  </w:footnote>
  <w:footnote w:id="10">
    <w:p w14:paraId="7AA4A784"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Style w:val="Refdenotaalpie"/>
          <w:rFonts w:ascii="Arial" w:hAnsi="Arial" w:cs="Arial"/>
          <w:color w:val="000000" w:themeColor="text1"/>
          <w:sz w:val="18"/>
          <w:szCs w:val="18"/>
        </w:rPr>
        <w:footnoteRef/>
      </w:r>
      <w:r w:rsidRPr="00B133A0">
        <w:rPr>
          <w:rFonts w:ascii="Arial" w:hAnsi="Arial" w:cs="Arial"/>
          <w:color w:val="000000" w:themeColor="text1"/>
          <w:sz w:val="18"/>
          <w:szCs w:val="18"/>
        </w:rPr>
        <w:t xml:space="preserve"> </w:t>
      </w:r>
      <w:r w:rsidRPr="00B133A0">
        <w:rPr>
          <w:rFonts w:ascii="Arial" w:hAnsi="Arial" w:cs="Arial"/>
          <w:color w:val="000000" w:themeColor="text1"/>
          <w:sz w:val="18"/>
          <w:szCs w:val="18"/>
          <w:lang w:val="es-ES"/>
        </w:rPr>
        <w:t>Esta norma establece: “Con el propósito de reducir los trámites ante el Estado, el registro mercantil y el registro único de proponentes se integrarán en el Registro Único Empresarial, a cargo de las Cámaras de Comercio, el cual tendrá validez general para todos los trámites, gestiones y obligaciones, sin perjuicio de lo previsto en las disposiciones especiales sobre materias tributarias, arancelarias y sanitarias.</w:t>
      </w:r>
    </w:p>
    <w:p w14:paraId="19BB67B2"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Atendiendo criterios de eficacia, economía, buena fe, simplificación y facilitación de la actividad empresarial, la Superintendencia de Industria y Comercio, regulará la organización y funcionamiento del Registro Único Empresarial, garantizando que, específicamente, se reduzcan los trámites, requisitos, e información a cargo de las micro, pequeñas y medianas empresas, y que todas las gestiones se puedan adelantar, además, por internet y otras formas electrónicas.</w:t>
      </w:r>
    </w:p>
    <w:p w14:paraId="4585CB24" w14:textId="77777777" w:rsidR="00CD08FE" w:rsidRPr="00B133A0" w:rsidRDefault="00CD08FE" w:rsidP="00CD08FE">
      <w:pPr>
        <w:pStyle w:val="Textonotapie"/>
        <w:ind w:firstLine="709"/>
        <w:contextualSpacing/>
        <w:jc w:val="both"/>
        <w:rPr>
          <w:rFonts w:ascii="Arial" w:hAnsi="Arial" w:cs="Arial"/>
          <w:color w:val="000000" w:themeColor="text1"/>
          <w:sz w:val="18"/>
          <w:szCs w:val="18"/>
          <w:lang w:val="es-ES"/>
        </w:rPr>
      </w:pPr>
      <w:r w:rsidRPr="00B133A0">
        <w:rPr>
          <w:rFonts w:ascii="Arial" w:hAnsi="Arial" w:cs="Arial"/>
          <w:color w:val="000000" w:themeColor="text1"/>
          <w:sz w:val="18"/>
          <w:szCs w:val="18"/>
          <w:lang w:val="es-ES"/>
        </w:rPr>
        <w:t>PARÁGRAFO. La regulación que realice la Superintendencia de Industria y Comercio deberá, en todo caso, hacerse en armonía con las disposiciones estatutarias y con las contenidas en códigos, respecto de los registros de que trata el presente artículo”.</w:t>
      </w:r>
    </w:p>
    <w:p w14:paraId="38CEF5C0" w14:textId="77777777" w:rsidR="00CD08FE" w:rsidRPr="00B133A0" w:rsidRDefault="00CD08FE" w:rsidP="00CD08FE">
      <w:pPr>
        <w:pStyle w:val="Textonotapie"/>
        <w:ind w:firstLine="709"/>
        <w:contextualSpacing/>
        <w:jc w:val="both"/>
        <w:rPr>
          <w:rFonts w:ascii="Arial" w:hAnsi="Arial" w:cs="Arial"/>
          <w:color w:val="000000" w:themeColor="text1"/>
          <w:sz w:val="18"/>
          <w:szCs w:val="18"/>
        </w:rPr>
      </w:pPr>
    </w:p>
  </w:footnote>
  <w:footnote w:id="11">
    <w:p w14:paraId="76B6A023" w14:textId="77777777" w:rsidR="00CD08FE" w:rsidRPr="00B133A0" w:rsidRDefault="00CD08FE" w:rsidP="00CD08FE">
      <w:pPr>
        <w:pStyle w:val="Textonotapie"/>
        <w:ind w:firstLine="709"/>
        <w:jc w:val="both"/>
        <w:rPr>
          <w:sz w:val="18"/>
          <w:szCs w:val="18"/>
        </w:rPr>
      </w:pPr>
      <w:r w:rsidRPr="00B133A0">
        <w:rPr>
          <w:rStyle w:val="Refdenotaalpie"/>
          <w:sz w:val="18"/>
          <w:szCs w:val="18"/>
        </w:rPr>
        <w:footnoteRef/>
      </w:r>
      <w:r w:rsidRPr="00B133A0">
        <w:rPr>
          <w:sz w:val="18"/>
          <w:szCs w:val="18"/>
        </w:rPr>
        <w:t xml:space="preserve"> </w:t>
      </w:r>
      <w:r w:rsidRPr="00B133A0">
        <w:rPr>
          <w:rFonts w:ascii="Arial" w:hAnsi="Arial" w:cs="Arial"/>
          <w:sz w:val="18"/>
          <w:szCs w:val="18"/>
        </w:rPr>
        <w:t>Reyes, F. (2013). La sociedad por acciones simplificada SAS. (3a. ed.) Legis. Recuperado de https://www.ebooks7-24.com:443/?il=1891&amp;pg=125</w:t>
      </w:r>
    </w:p>
  </w:footnote>
  <w:footnote w:id="12">
    <w:p w14:paraId="572A534D" w14:textId="77777777" w:rsidR="00CD08FE" w:rsidRPr="00B133A0" w:rsidRDefault="00CD08FE" w:rsidP="00CD08FE">
      <w:pPr>
        <w:pStyle w:val="Textonotapie"/>
        <w:ind w:firstLine="709"/>
        <w:jc w:val="both"/>
        <w:rPr>
          <w:rFonts w:ascii="Arial" w:hAnsi="Arial" w:cs="Arial"/>
          <w:sz w:val="18"/>
          <w:szCs w:val="18"/>
        </w:rPr>
      </w:pPr>
      <w:r w:rsidRPr="00B133A0">
        <w:rPr>
          <w:rStyle w:val="Refdenotaalpie"/>
          <w:sz w:val="18"/>
          <w:szCs w:val="18"/>
        </w:rPr>
        <w:footnoteRef/>
      </w:r>
      <w:r w:rsidRPr="00B133A0">
        <w:rPr>
          <w:sz w:val="18"/>
          <w:szCs w:val="18"/>
        </w:rPr>
        <w:t xml:space="preserve"> </w:t>
      </w:r>
      <w:r w:rsidRPr="00B133A0">
        <w:rPr>
          <w:rFonts w:ascii="Arial" w:hAnsi="Arial" w:cs="Arial"/>
          <w:sz w:val="18"/>
          <w:szCs w:val="18"/>
        </w:rPr>
        <w:t>Superintendencia de Sociedades. Concepto 0673, diciembre 30 de 2010</w:t>
      </w:r>
    </w:p>
  </w:footnote>
  <w:footnote w:id="13">
    <w:p w14:paraId="0DCAA318" w14:textId="77777777" w:rsidR="00CD08FE" w:rsidRPr="00B133A0" w:rsidRDefault="00CD08FE" w:rsidP="00CD08FE">
      <w:pPr>
        <w:pStyle w:val="Textonotapie"/>
        <w:ind w:firstLine="709"/>
        <w:jc w:val="both"/>
        <w:rPr>
          <w:rFonts w:ascii="Arial" w:hAnsi="Arial" w:cs="Arial"/>
          <w:sz w:val="18"/>
          <w:szCs w:val="18"/>
        </w:rPr>
      </w:pPr>
      <w:r w:rsidRPr="00B133A0">
        <w:rPr>
          <w:rStyle w:val="Refdenotaalpie"/>
          <w:rFonts w:ascii="Arial" w:hAnsi="Arial" w:cs="Arial"/>
          <w:sz w:val="18"/>
          <w:szCs w:val="18"/>
        </w:rPr>
        <w:footnoteRef/>
      </w:r>
      <w:r w:rsidRPr="00B133A0">
        <w:rPr>
          <w:rFonts w:ascii="Arial" w:hAnsi="Arial" w:cs="Arial"/>
          <w:sz w:val="18"/>
          <w:szCs w:val="18"/>
        </w:rPr>
        <w:t xml:space="preserve"> GONZÁLEZ BENJUMEA, Óscar Humberto. Sociedad por Acciones Simplificada Innovaciones legislativas, doctrinales y desarrollo jurisprudencial. Editorial </w:t>
      </w:r>
      <w:proofErr w:type="spellStart"/>
      <w:r w:rsidRPr="00B133A0">
        <w:rPr>
          <w:rFonts w:ascii="Arial" w:hAnsi="Arial" w:cs="Arial"/>
          <w:sz w:val="18"/>
          <w:szCs w:val="18"/>
        </w:rPr>
        <w:t>Unaula</w:t>
      </w:r>
      <w:proofErr w:type="spellEnd"/>
      <w:r w:rsidRPr="00B133A0">
        <w:rPr>
          <w:rFonts w:ascii="Arial" w:hAnsi="Arial" w:cs="Arial"/>
          <w:sz w:val="18"/>
          <w:szCs w:val="18"/>
        </w:rPr>
        <w:t>, Medellín, 1ª. Edición, 2012, p. 48</w:t>
      </w:r>
    </w:p>
  </w:footnote>
  <w:footnote w:id="14">
    <w:p w14:paraId="31DF7555" w14:textId="77777777" w:rsidR="00CD08FE" w:rsidRPr="00B133A0" w:rsidRDefault="00CD08FE" w:rsidP="00CD08FE">
      <w:pPr>
        <w:pStyle w:val="Textonotapie"/>
        <w:ind w:firstLine="709"/>
        <w:jc w:val="both"/>
        <w:rPr>
          <w:rFonts w:ascii="Arial" w:hAnsi="Arial" w:cs="Arial"/>
          <w:sz w:val="18"/>
          <w:szCs w:val="18"/>
        </w:rPr>
      </w:pPr>
      <w:r w:rsidRPr="00B133A0">
        <w:rPr>
          <w:rStyle w:val="Refdenotaalpie"/>
          <w:sz w:val="18"/>
          <w:szCs w:val="18"/>
        </w:rPr>
        <w:footnoteRef/>
      </w:r>
      <w:r w:rsidRPr="00B133A0">
        <w:rPr>
          <w:sz w:val="18"/>
          <w:szCs w:val="18"/>
        </w:rPr>
        <w:t xml:space="preserve"> </w:t>
      </w:r>
      <w:r w:rsidRPr="00B133A0">
        <w:rPr>
          <w:rFonts w:ascii="Arial" w:hAnsi="Arial" w:cs="Arial"/>
          <w:sz w:val="18"/>
          <w:szCs w:val="18"/>
        </w:rPr>
        <w:t>MARTÍNEZ NEIRA, Néstor Humberto. Cátedra de Derecho Contractual Societario, regulación comercial y bursátil de los actos y contratos societarios. Editorial Abeledo Perrot, Buenos Aires, 1ª. Edición, 2010, p.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1EC2" w14:textId="77777777" w:rsidR="00930E4D" w:rsidRDefault="00000000">
    <w:pPr>
      <w:pStyle w:val="Encabezado"/>
    </w:pPr>
    <w:r>
      <w:rPr>
        <w:noProof/>
      </w:rPr>
      <w:drawing>
        <wp:anchor distT="0" distB="0" distL="114300" distR="114300" simplePos="0" relativeHeight="251659264" behindDoc="1" locked="0" layoutInCell="1" allowOverlap="1" wp14:anchorId="2C41D6C8" wp14:editId="74D97DE9">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56C049E1" wp14:editId="29DF2EDB">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72155388" wp14:editId="37328FA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9BDCE44" wp14:editId="719EBCF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D99F35C" w14:textId="77777777" w:rsidR="00930E4D" w:rsidRDefault="00930E4D">
    <w:pPr>
      <w:pStyle w:val="Encabezado"/>
    </w:pPr>
  </w:p>
  <w:p w14:paraId="0619E612" w14:textId="77777777" w:rsidR="00930E4D" w:rsidRDefault="00930E4D">
    <w:pPr>
      <w:pStyle w:val="Encabezado"/>
    </w:pPr>
  </w:p>
  <w:p w14:paraId="2A9BE541" w14:textId="77777777" w:rsidR="00930E4D" w:rsidRPr="004A305D" w:rsidRDefault="0000000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9B6C89A" w14:textId="77777777" w:rsidR="00930E4D" w:rsidRPr="004A305D" w:rsidRDefault="00000000"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343A9B8E" w14:textId="77777777" w:rsidR="00930E4D" w:rsidRPr="004A305D" w:rsidRDefault="00000000"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476E67BC" w14:textId="77777777" w:rsidR="00930E4D" w:rsidRDefault="00930E4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8A7"/>
    <w:multiLevelType w:val="hybridMultilevel"/>
    <w:tmpl w:val="E0EEB9AE"/>
    <w:lvl w:ilvl="0" w:tplc="4F1A1D9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60B37F22"/>
    <w:multiLevelType w:val="multilevel"/>
    <w:tmpl w:val="EFEE1A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67999153">
    <w:abstractNumId w:val="1"/>
  </w:num>
  <w:num w:numId="2" w16cid:durableId="120798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70490"/>
    <w:rsid w:val="00276F04"/>
    <w:rsid w:val="004B6C14"/>
    <w:rsid w:val="00884FDD"/>
    <w:rsid w:val="00930E4D"/>
    <w:rsid w:val="00CD08FE"/>
    <w:rsid w:val="00E56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0948"/>
  <w15:chartTrackingRefBased/>
  <w15:docId w15:val="{7BC0D6F7-DF80-4550-B55E-EC19FB40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F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0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8FE"/>
    <w:rPr>
      <w:kern w:val="0"/>
      <w14:ligatures w14:val="none"/>
    </w:rPr>
  </w:style>
  <w:style w:type="paragraph" w:styleId="Piedepgina">
    <w:name w:val="footer"/>
    <w:basedOn w:val="Normal"/>
    <w:link w:val="PiedepginaCar"/>
    <w:uiPriority w:val="99"/>
    <w:unhideWhenUsed/>
    <w:rsid w:val="00CD0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8F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D08F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D08F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D08F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D08FE"/>
    <w:rPr>
      <w:vertAlign w:val="superscript"/>
    </w:rPr>
  </w:style>
  <w:style w:type="table" w:styleId="Tablaconcuadrcula">
    <w:name w:val="Table Grid"/>
    <w:basedOn w:val="Tablanormal"/>
    <w:uiPriority w:val="39"/>
    <w:rsid w:val="00CD08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08FE"/>
    <w:pPr>
      <w:ind w:left="720"/>
      <w:contextualSpacing/>
    </w:pPr>
    <w:rPr>
      <w:rFonts w:ascii="Geomanist Light" w:hAnsi="Geomanist Light"/>
      <w:lang w:val="es-ES"/>
    </w:rPr>
  </w:style>
  <w:style w:type="character" w:styleId="Hipervnculo">
    <w:name w:val="Hyperlink"/>
    <w:basedOn w:val="Fuentedeprrafopredeter"/>
    <w:uiPriority w:val="99"/>
    <w:unhideWhenUsed/>
    <w:rsid w:val="00CD08FE"/>
    <w:rPr>
      <w:color w:val="0000FF"/>
      <w:u w:val="single"/>
    </w:rPr>
  </w:style>
  <w:style w:type="paragraph" w:styleId="NormalWeb">
    <w:name w:val="Normal (Web)"/>
    <w:basedOn w:val="Normal"/>
    <w:uiPriority w:val="99"/>
    <w:semiHidden/>
    <w:unhideWhenUsed/>
    <w:rsid w:val="00CD08F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CD08FE"/>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59"/>
    <w:rsid w:val="00CD08FE"/>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Normatividad/DECRETO%20579%20DEL%2031%20DE%20MAYO%20DE%20202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4C8D7257-56B5-4E32-8BF6-A8062AD6B749}"/>
</file>

<file path=customXml/itemProps2.xml><?xml version="1.0" encoding="utf-8"?>
<ds:datastoreItem xmlns:ds="http://schemas.openxmlformats.org/officeDocument/2006/customXml" ds:itemID="{CC85A8AB-4EFF-4D9D-A203-70377FBF2920}"/>
</file>

<file path=customXml/itemProps3.xml><?xml version="1.0" encoding="utf-8"?>
<ds:datastoreItem xmlns:ds="http://schemas.openxmlformats.org/officeDocument/2006/customXml" ds:itemID="{B7A0A74E-BB04-4786-8876-D11591C4D8E1}"/>
</file>

<file path=docProps/app.xml><?xml version="1.0" encoding="utf-8"?>
<Properties xmlns="http://schemas.openxmlformats.org/officeDocument/2006/extended-properties" xmlns:vt="http://schemas.openxmlformats.org/officeDocument/2006/docPropsVTypes">
  <Template>Normal</Template>
  <TotalTime>2</TotalTime>
  <Pages>19</Pages>
  <Words>5630</Words>
  <Characters>30971</Characters>
  <Application>Microsoft Office Word</Application>
  <DocSecurity>0</DocSecurity>
  <Lines>258</Lines>
  <Paragraphs>73</Paragraphs>
  <ScaleCrop>false</ScaleCrop>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Martelo Martelo</dc:creator>
  <cp:keywords/>
  <dc:description/>
  <cp:lastModifiedBy>Julio Cesar Martelo Martelo</cp:lastModifiedBy>
  <cp:revision>2</cp:revision>
  <dcterms:created xsi:type="dcterms:W3CDTF">2023-09-18T22:23:00Z</dcterms:created>
  <dcterms:modified xsi:type="dcterms:W3CDTF">2023-09-20T01:50:00Z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