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821B6" w:rsidR="00994B18" w:rsidP="00994B18" w:rsidRDefault="00994B18" w14:paraId="230950B2" w14:textId="77777777">
      <w:pPr>
        <w:tabs>
          <w:tab w:val="left" w:pos="3374"/>
        </w:tabs>
        <w:spacing w:after="0" w:line="240" w:lineRule="auto"/>
        <w:jc w:val="both"/>
        <w:rPr>
          <w:rFonts w:ascii="Century Gothic" w:hAnsi="Century Gothic" w:cs="Arial"/>
          <w:b/>
          <w:bCs/>
          <w:sz w:val="20"/>
          <w:szCs w:val="20"/>
        </w:rPr>
      </w:pPr>
      <w:bookmarkStart w:name="_Hlk94281581" w:id="0"/>
      <w:bookmarkStart w:name="_Hlk102489058" w:id="1"/>
      <w:bookmarkStart w:name="_Hlk34951122" w:id="2"/>
    </w:p>
    <w:p w:rsidRPr="004821B6" w:rsidR="00994B18" w:rsidP="00994B18" w:rsidRDefault="00994B18" w14:paraId="376983C6" w14:textId="77777777">
      <w:pPr>
        <w:tabs>
          <w:tab w:val="left" w:pos="3374"/>
        </w:tabs>
        <w:spacing w:after="0" w:line="240" w:lineRule="auto"/>
        <w:jc w:val="both"/>
        <w:rPr>
          <w:rFonts w:ascii="Century Gothic" w:hAnsi="Century Gothic" w:cs="Arial"/>
          <w:b/>
          <w:bCs/>
        </w:rPr>
      </w:pPr>
      <w:r w:rsidRPr="004821B6">
        <w:rPr>
          <w:rFonts w:ascii="Century Gothic" w:hAnsi="Century Gothic" w:cs="Arial"/>
          <w:b/>
          <w:bCs/>
        </w:rPr>
        <w:t>ASOCIACIONES DE MUNICIPIOS – Naturaleza</w:t>
      </w:r>
    </w:p>
    <w:p w:rsidRPr="004821B6" w:rsidR="00994B18" w:rsidP="00994B18" w:rsidRDefault="00994B18" w14:paraId="65F104DD" w14:textId="77777777">
      <w:pPr>
        <w:tabs>
          <w:tab w:val="left" w:pos="3374"/>
        </w:tabs>
        <w:spacing w:after="0" w:line="240" w:lineRule="auto"/>
        <w:jc w:val="both"/>
        <w:rPr>
          <w:rFonts w:ascii="Century Gothic" w:hAnsi="Century Gothic"/>
          <w:color w:val="000000" w:themeColor="text1"/>
          <w:sz w:val="20"/>
          <w:szCs w:val="20"/>
        </w:rPr>
      </w:pPr>
    </w:p>
    <w:p w:rsidRPr="004821B6" w:rsidR="00994B18" w:rsidP="00994B18" w:rsidRDefault="00994B18" w14:paraId="6A548C7E" w14:textId="77777777">
      <w:pPr>
        <w:pStyle w:val="Textoindependiente"/>
        <w:ind w:right="108"/>
        <w:jc w:val="both"/>
        <w:rPr>
          <w:rFonts w:ascii="Century Gothic" w:hAnsi="Century Gothic" w:eastAsiaTheme="minorHAnsi"/>
          <w:sz w:val="20"/>
          <w:szCs w:val="20"/>
          <w:lang w:val="es-CO"/>
        </w:rPr>
      </w:pPr>
      <w:r w:rsidRPr="004821B6">
        <w:rPr>
          <w:rFonts w:ascii="Century Gothic" w:hAnsi="Century Gothic" w:eastAsiaTheme="minorHAnsi"/>
          <w:sz w:val="20"/>
          <w:szCs w:val="20"/>
          <w:lang w:val="es-CO"/>
        </w:rPr>
        <w:t xml:space="preserve">La Ley 1454 de 2011, orgánica del ordenamiento territorial, concibió a las asociaciones de municipios como una clase de los denominados esquemas asociativos territoriales,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rsidRPr="004821B6" w:rsidR="00994B18" w:rsidP="00994B18" w:rsidRDefault="00994B18" w14:paraId="489EA16E" w14:textId="77777777">
      <w:pPr>
        <w:pStyle w:val="Textoindependiente"/>
        <w:ind w:right="108" w:firstLine="709"/>
        <w:jc w:val="both"/>
        <w:rPr>
          <w:rFonts w:ascii="Century Gothic" w:hAnsi="Century Gothic" w:eastAsiaTheme="minorHAnsi"/>
          <w:sz w:val="20"/>
          <w:szCs w:val="20"/>
          <w:lang w:val="es-CO"/>
        </w:rPr>
      </w:pPr>
    </w:p>
    <w:p w:rsidRPr="004821B6" w:rsidR="00994B18" w:rsidP="00994B18" w:rsidRDefault="00994B18" w14:paraId="08A3C2C5" w14:textId="77777777">
      <w:pPr>
        <w:tabs>
          <w:tab w:val="left" w:pos="3374"/>
        </w:tabs>
        <w:spacing w:after="0" w:line="240" w:lineRule="auto"/>
        <w:jc w:val="both"/>
        <w:rPr>
          <w:rFonts w:ascii="Century Gothic" w:hAnsi="Century Gothic" w:cs="Arial"/>
          <w:sz w:val="20"/>
          <w:szCs w:val="20"/>
        </w:rPr>
      </w:pPr>
      <w:r w:rsidRPr="004821B6">
        <w:rPr>
          <w:rFonts w:ascii="Century Gothic" w:hAnsi="Century Gothic" w:cs="Arial"/>
          <w:sz w:val="20"/>
          <w:szCs w:val="20"/>
        </w:rPr>
        <w:t>En cuanto a la manera como se conforman las asociaciones de municipios, tanto la Ley 136 de 1994 –artículo 150–, como la Ley 1454 de 2011 –artículo 14–, establecen que se hace a través de convenios, en los términos indicados en dichas disposiciones.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rsidRPr="004821B6" w:rsidR="00994B18" w:rsidP="00994B18" w:rsidRDefault="00994B18" w14:paraId="0D73AFD3" w14:textId="77777777">
      <w:pPr>
        <w:spacing w:after="0" w:line="240" w:lineRule="auto"/>
        <w:jc w:val="both"/>
        <w:rPr>
          <w:rFonts w:ascii="Century Gothic" w:hAnsi="Century Gothic" w:eastAsia="Calibri" w:cs="Arial"/>
          <w:bCs/>
          <w:color w:val="000000" w:themeColor="text1"/>
          <w:sz w:val="20"/>
          <w:szCs w:val="20"/>
        </w:rPr>
      </w:pPr>
    </w:p>
    <w:p w:rsidRPr="004821B6" w:rsidR="00994B18" w:rsidP="00994B18" w:rsidRDefault="00994B18" w14:paraId="2A2CE43B" w14:textId="77777777">
      <w:pPr>
        <w:spacing w:after="0" w:line="240" w:lineRule="auto"/>
        <w:contextualSpacing/>
        <w:jc w:val="both"/>
        <w:rPr>
          <w:rFonts w:ascii="Century Gothic" w:hAnsi="Century Gothic" w:eastAsia="Arial" w:cs="Arial"/>
          <w:b/>
          <w:bCs/>
          <w:lang w:val="es-ES" w:eastAsia="es-ES" w:bidi="es-ES"/>
        </w:rPr>
      </w:pPr>
      <w:r w:rsidRPr="004821B6">
        <w:rPr>
          <w:rFonts w:ascii="Century Gothic" w:hAnsi="Century Gothic" w:eastAsia="Arial" w:cs="Arial"/>
          <w:b/>
          <w:bCs/>
          <w:lang w:val="es-ES" w:eastAsia="es-ES" w:bidi="es-ES"/>
        </w:rPr>
        <w:t xml:space="preserve">CONVENIOS </w:t>
      </w:r>
      <w:r w:rsidRPr="004821B6">
        <w:rPr>
          <w:rFonts w:ascii="Century Gothic" w:hAnsi="Century Gothic" w:cs="Arial"/>
          <w:b/>
          <w:color w:val="000000" w:themeColor="text1"/>
        </w:rPr>
        <w:t>INTERADMINISTRATIVOS</w:t>
      </w:r>
      <w:r w:rsidRPr="004821B6">
        <w:rPr>
          <w:rFonts w:ascii="Century Gothic" w:hAnsi="Century Gothic" w:eastAsia="Arial" w:cs="Arial"/>
          <w:b/>
          <w:bCs/>
          <w:lang w:val="es-ES" w:eastAsia="es-ES" w:bidi="es-ES"/>
        </w:rPr>
        <w:t xml:space="preserve"> – Asociaciones de Municipios </w:t>
      </w:r>
    </w:p>
    <w:p w:rsidRPr="004821B6" w:rsidR="00994B18" w:rsidP="00994B18" w:rsidRDefault="00994B18" w14:paraId="173C7637" w14:textId="77777777">
      <w:pPr>
        <w:spacing w:after="0" w:line="240" w:lineRule="auto"/>
        <w:contextualSpacing/>
        <w:jc w:val="both"/>
        <w:rPr>
          <w:rFonts w:ascii="Century Gothic" w:hAnsi="Century Gothic" w:eastAsia="Arial" w:cs="Arial"/>
          <w:b/>
          <w:bCs/>
          <w:sz w:val="20"/>
          <w:szCs w:val="20"/>
          <w:lang w:val="es-ES" w:eastAsia="es-ES" w:bidi="es-ES"/>
        </w:rPr>
      </w:pPr>
    </w:p>
    <w:p w:rsidRPr="004821B6" w:rsidR="00994B18" w:rsidP="00994B18" w:rsidRDefault="00994B18" w14:paraId="058FDA1A" w14:textId="77777777">
      <w:pPr>
        <w:spacing w:after="0" w:line="240" w:lineRule="auto"/>
        <w:jc w:val="both"/>
        <w:rPr>
          <w:rFonts w:ascii="Century Gothic" w:hAnsi="Century Gothic" w:eastAsia="Calibri" w:cs="Arial"/>
          <w:color w:val="000000" w:themeColor="text1"/>
          <w:sz w:val="20"/>
          <w:szCs w:val="20"/>
          <w:lang w:val="es-ES_tradnl"/>
        </w:rPr>
      </w:pPr>
      <w:r w:rsidRPr="004821B6">
        <w:rPr>
          <w:rFonts w:ascii="Century Gothic" w:hAnsi="Century Gothic" w:eastAsia="Calibri" w:cs="Arial"/>
          <w:color w:val="000000" w:themeColor="text1"/>
          <w:sz w:val="20"/>
          <w:szCs w:val="20"/>
          <w:lang w:val="es-ES_tradnl"/>
        </w:rPr>
        <w:t>[…] es posible que los esquemas asociativos celebren convenios interadministrativos con otras entidades estatales. Sin perjuicio de lo anterior, en función de la naturaleza jurídica que se termine en cada caso concreto, deben observarse las prohibiciones establecidas en el artículo 10 de la Ley 1150 de 2007 y en el artículo 92 de la Ley 1474 de 2011, los cuales limitan la modalidad de contratación directa. Esto además de otras restricciones como la prevista en el artículo 38 de la Ley 996 de 2005.</w:t>
      </w:r>
    </w:p>
    <w:p w:rsidRPr="004821B6" w:rsidR="00994B18" w:rsidP="00994B18" w:rsidRDefault="00994B18" w14:paraId="7AAEBACF" w14:textId="77777777">
      <w:pPr>
        <w:spacing w:after="0" w:line="240" w:lineRule="auto"/>
        <w:jc w:val="both"/>
        <w:rPr>
          <w:rFonts w:ascii="Century Gothic" w:hAnsi="Century Gothic" w:eastAsia="Calibri" w:cs="Arial"/>
          <w:color w:val="000000" w:themeColor="text1"/>
          <w:sz w:val="20"/>
          <w:szCs w:val="20"/>
        </w:rPr>
      </w:pPr>
      <w:r w:rsidRPr="004821B6">
        <w:rPr>
          <w:rFonts w:ascii="Century Gothic" w:hAnsi="Century Gothic" w:eastAsia="Calibri" w:cs="Arial"/>
          <w:color w:val="000000" w:themeColor="text1"/>
          <w:sz w:val="20"/>
          <w:szCs w:val="20"/>
        </w:rPr>
        <w:t xml:space="preserve"> </w:t>
      </w:r>
    </w:p>
    <w:p w:rsidRPr="004821B6" w:rsidR="00994B18" w:rsidP="00994B18" w:rsidRDefault="00994B18" w14:paraId="1C418D37" w14:textId="77777777">
      <w:pPr>
        <w:tabs>
          <w:tab w:val="left" w:pos="426"/>
        </w:tabs>
        <w:spacing w:after="0" w:line="240" w:lineRule="auto"/>
        <w:contextualSpacing/>
        <w:jc w:val="both"/>
        <w:rPr>
          <w:rFonts w:ascii="Century Gothic" w:hAnsi="Century Gothic" w:eastAsia="Calibri" w:cs="Arial"/>
          <w:b/>
          <w:bCs/>
          <w:lang w:val="es-MX"/>
        </w:rPr>
      </w:pPr>
      <w:bookmarkStart w:name="_Hlk77152637" w:id="3"/>
      <w:bookmarkStart w:name="_Hlk77157066" w:id="4"/>
      <w:bookmarkStart w:name="_Hlk78821436" w:id="5"/>
      <w:r w:rsidRPr="004821B6">
        <w:rPr>
          <w:rFonts w:ascii="Century Gothic" w:hAnsi="Century Gothic" w:eastAsia="Calibri" w:cs="Arial"/>
          <w:b/>
          <w:bCs/>
          <w:lang w:val="es-MX"/>
        </w:rPr>
        <w:t xml:space="preserve">LEY DE GARANTÍAS ELECTORALES </w:t>
      </w:r>
      <w:r w:rsidRPr="004821B6">
        <w:rPr>
          <w:rFonts w:ascii="Arial" w:hAnsi="Arial" w:eastAsia="Calibri" w:cs="Arial"/>
          <w:b/>
          <w:bCs/>
          <w:lang w:val="es-MX"/>
        </w:rPr>
        <w:t>‒</w:t>
      </w:r>
      <w:r w:rsidRPr="004821B6">
        <w:rPr>
          <w:rFonts w:ascii="Century Gothic" w:hAnsi="Century Gothic" w:eastAsia="Calibri" w:cs="Arial"/>
          <w:b/>
          <w:bCs/>
          <w:lang w:val="es-MX"/>
        </w:rPr>
        <w:t xml:space="preserve"> Finalidad</w:t>
      </w:r>
    </w:p>
    <w:p w:rsidRPr="004821B6" w:rsidR="00994B18" w:rsidP="00994B18" w:rsidRDefault="00994B18" w14:paraId="19D32DC1" w14:textId="77777777">
      <w:pPr>
        <w:tabs>
          <w:tab w:val="left" w:pos="426"/>
        </w:tabs>
        <w:spacing w:after="0" w:line="240" w:lineRule="auto"/>
        <w:contextualSpacing/>
        <w:jc w:val="both"/>
        <w:rPr>
          <w:rFonts w:ascii="Century Gothic" w:hAnsi="Century Gothic" w:eastAsia="Calibri" w:cs="Arial"/>
          <w:b/>
          <w:bCs/>
          <w:sz w:val="20"/>
          <w:szCs w:val="20"/>
          <w:lang w:val="es-MX"/>
        </w:rPr>
      </w:pPr>
    </w:p>
    <w:p w:rsidRPr="004821B6" w:rsidR="00994B18" w:rsidP="00994B18" w:rsidRDefault="00994B18" w14:paraId="558F167C" w14:textId="77777777">
      <w:pPr>
        <w:tabs>
          <w:tab w:val="left" w:pos="426"/>
        </w:tabs>
        <w:spacing w:after="0" w:line="240" w:lineRule="auto"/>
        <w:contextualSpacing/>
        <w:jc w:val="both"/>
        <w:rPr>
          <w:rFonts w:ascii="Century Gothic" w:hAnsi="Century Gothic" w:eastAsia="Times New Roman" w:cs="Arial"/>
          <w:bCs/>
          <w:sz w:val="20"/>
          <w:szCs w:val="20"/>
          <w:lang w:val="es-MX" w:eastAsia="es-CO"/>
        </w:rPr>
      </w:pPr>
      <w:r w:rsidRPr="004821B6">
        <w:rPr>
          <w:rFonts w:ascii="Century Gothic" w:hAnsi="Century Gothic" w:eastAsia="Calibri" w:cs="Arial"/>
          <w:noProof/>
          <w:sz w:val="20"/>
          <w:szCs w:val="20"/>
          <w:lang w:val="es-ES_tradnl"/>
        </w:rPr>
        <w:t xml:space="preserve">[…], </w:t>
      </w:r>
      <w:r w:rsidRPr="004821B6">
        <w:rPr>
          <w:rFonts w:ascii="Century Gothic" w:hAnsi="Century Gothic" w:eastAsia="Times New Roman"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rsidRPr="004821B6" w:rsidR="00994B18" w:rsidP="00994B18" w:rsidRDefault="00994B18" w14:paraId="6D5E76ED" w14:textId="77777777">
      <w:pPr>
        <w:tabs>
          <w:tab w:val="left" w:pos="426"/>
        </w:tabs>
        <w:spacing w:after="0" w:line="240" w:lineRule="auto"/>
        <w:contextualSpacing/>
        <w:jc w:val="both"/>
        <w:rPr>
          <w:rFonts w:ascii="Century Gothic" w:hAnsi="Century Gothic" w:eastAsia="Calibri" w:cs="Arial"/>
          <w:b/>
          <w:bCs/>
          <w:sz w:val="20"/>
          <w:szCs w:val="20"/>
          <w:lang w:val="es-MX"/>
        </w:rPr>
      </w:pPr>
    </w:p>
    <w:p w:rsidRPr="004821B6" w:rsidR="00994B18" w:rsidP="00994B18" w:rsidRDefault="00994B18" w14:paraId="5C0540CE" w14:textId="77777777">
      <w:pPr>
        <w:tabs>
          <w:tab w:val="left" w:pos="426"/>
        </w:tabs>
        <w:spacing w:after="0" w:line="240" w:lineRule="auto"/>
        <w:contextualSpacing/>
        <w:jc w:val="both"/>
        <w:rPr>
          <w:rFonts w:ascii="Century Gothic" w:hAnsi="Century Gothic" w:eastAsia="Calibri" w:cs="Arial"/>
          <w:b/>
          <w:bCs/>
          <w:lang w:val="es-MX"/>
        </w:rPr>
      </w:pPr>
      <w:r w:rsidRPr="004821B6">
        <w:rPr>
          <w:rFonts w:ascii="Century Gothic" w:hAnsi="Century Gothic" w:eastAsia="Calibri" w:cs="Arial"/>
          <w:b/>
          <w:bCs/>
          <w:lang w:val="es-MX"/>
        </w:rPr>
        <w:t xml:space="preserve">LEY DE GARANTÍAS ELECTORALES </w:t>
      </w:r>
      <w:r w:rsidRPr="004821B6">
        <w:rPr>
          <w:rFonts w:ascii="Arial" w:hAnsi="Arial" w:eastAsia="Calibri" w:cs="Arial"/>
          <w:b/>
          <w:bCs/>
          <w:lang w:val="es-MX"/>
        </w:rPr>
        <w:t>‒</w:t>
      </w:r>
      <w:bookmarkEnd w:id="3"/>
      <w:r w:rsidRPr="004821B6">
        <w:rPr>
          <w:rFonts w:ascii="Century Gothic" w:hAnsi="Century Gothic" w:eastAsia="Calibri" w:cs="Arial"/>
          <w:b/>
          <w:bCs/>
          <w:lang w:val="es-MX"/>
        </w:rPr>
        <w:t xml:space="preserve"> Tipos de restricciones </w:t>
      </w:r>
      <w:bookmarkStart w:name="_Hlk77157034" w:id="6"/>
      <w:r w:rsidRPr="004821B6">
        <w:rPr>
          <w:rFonts w:ascii="Arial" w:hAnsi="Arial" w:eastAsia="Calibri" w:cs="Arial"/>
          <w:b/>
          <w:bCs/>
          <w:lang w:val="es-MX"/>
        </w:rPr>
        <w:t>‒</w:t>
      </w:r>
      <w:r w:rsidRPr="004821B6">
        <w:rPr>
          <w:rFonts w:ascii="Century Gothic" w:hAnsi="Century Gothic" w:eastAsia="Calibri" w:cs="Arial"/>
          <w:b/>
          <w:bCs/>
          <w:lang w:val="es-MX"/>
        </w:rPr>
        <w:t xml:space="preserve"> </w:t>
      </w:r>
      <w:bookmarkStart w:name="_Hlk77153098" w:id="7"/>
      <w:bookmarkEnd w:id="6"/>
      <w:r w:rsidRPr="004821B6">
        <w:rPr>
          <w:rFonts w:ascii="Century Gothic" w:hAnsi="Century Gothic" w:eastAsia="Calibri" w:cs="Century Gothic"/>
          <w:b/>
          <w:bCs/>
          <w:lang w:val="es-MX"/>
        </w:rPr>
        <w:t>Á</w:t>
      </w:r>
      <w:r w:rsidRPr="004821B6">
        <w:rPr>
          <w:rFonts w:ascii="Century Gothic" w:hAnsi="Century Gothic" w:eastAsia="Calibri" w:cs="Arial"/>
          <w:b/>
          <w:bCs/>
          <w:lang w:val="es-MX"/>
        </w:rPr>
        <w:t xml:space="preserve">mbito temporal </w:t>
      </w:r>
      <w:bookmarkEnd w:id="7"/>
    </w:p>
    <w:p w:rsidRPr="004821B6" w:rsidR="00994B18" w:rsidP="00994B18" w:rsidRDefault="00994B18" w14:paraId="50940F74" w14:textId="77777777">
      <w:pPr>
        <w:tabs>
          <w:tab w:val="left" w:pos="426"/>
        </w:tabs>
        <w:spacing w:after="0" w:line="240" w:lineRule="auto"/>
        <w:contextualSpacing/>
        <w:jc w:val="both"/>
        <w:rPr>
          <w:rFonts w:ascii="Century Gothic" w:hAnsi="Century Gothic" w:eastAsia="Calibri" w:cs="Arial"/>
          <w:b/>
          <w:bCs/>
          <w:sz w:val="20"/>
          <w:szCs w:val="20"/>
          <w:lang w:val="es-MX"/>
        </w:rPr>
      </w:pPr>
    </w:p>
    <w:bookmarkEnd w:id="4"/>
    <w:p w:rsidRPr="004821B6" w:rsidR="00994B18" w:rsidP="00994B18" w:rsidRDefault="00994B18" w14:paraId="5B21AF34" w14:textId="77777777">
      <w:pPr>
        <w:spacing w:after="0" w:line="240" w:lineRule="auto"/>
        <w:contextualSpacing/>
        <w:jc w:val="both"/>
        <w:rPr>
          <w:rFonts w:ascii="Century Gothic" w:hAnsi="Century Gothic" w:eastAsia="Arial" w:cs="Arial"/>
          <w:sz w:val="20"/>
          <w:szCs w:val="20"/>
          <w:lang w:val="es-ES" w:eastAsia="es-ES" w:bidi="es-ES"/>
        </w:rPr>
      </w:pPr>
      <w:r w:rsidRPr="004821B6">
        <w:rPr>
          <w:rFonts w:ascii="Century Gothic" w:hAnsi="Century Gothic" w:eastAsia="Calibri" w:cs="Arial"/>
          <w:noProof/>
          <w:sz w:val="20"/>
          <w:szCs w:val="20"/>
          <w:lang w:val="es-ES_tradnl"/>
        </w:rPr>
        <w:t xml:space="preserve">[…] </w:t>
      </w:r>
      <w:bookmarkStart w:name="_Hlk77165666" w:id="8"/>
      <w:r w:rsidRPr="004821B6">
        <w:rPr>
          <w:rFonts w:ascii="Century Gothic" w:hAnsi="Century Gothic" w:eastAsia="Arial" w:cs="Arial"/>
          <w:sz w:val="20"/>
          <w:szCs w:val="20"/>
          <w:lang w:val="es-ES" w:eastAsia="es-ES" w:bidi="es-ES"/>
        </w:rPr>
        <w:t xml:space="preserve">la Ley 996 de 2005 establece dos (2) tipos de restricciones en materia de contratación, las cuales coinciden parcialmente. </w:t>
      </w:r>
      <w:r w:rsidRPr="004821B6">
        <w:rPr>
          <w:rFonts w:ascii="Century Gothic" w:hAnsi="Century Gothic" w:eastAsia="Arial" w:cs="Arial"/>
          <w:i/>
          <w:iCs/>
          <w:sz w:val="20"/>
          <w:szCs w:val="20"/>
          <w:lang w:val="es-ES" w:eastAsia="es-ES" w:bidi="es-ES"/>
        </w:rPr>
        <w:t>En primer lugar</w:t>
      </w:r>
      <w:r w:rsidRPr="004821B6">
        <w:rPr>
          <w:rFonts w:ascii="Century Gothic" w:hAnsi="Century Gothic" w:eastAsia="Arial" w:cs="Arial"/>
          <w:sz w:val="20"/>
          <w:szCs w:val="20"/>
          <w:lang w:val="es-ES" w:eastAsia="es-ES" w:bidi="es-ES"/>
        </w:rPr>
        <w:t xml:space="preserve">, la del artículo 33 que opera solo respecto de las elecciones presidenciales, en virtud de la cual queda proscrita la </w:t>
      </w:r>
      <w:r w:rsidRPr="004821B6">
        <w:rPr>
          <w:rFonts w:ascii="Century Gothic" w:hAnsi="Century Gothic" w:eastAsia="Arial" w:cs="Arial"/>
          <w:sz w:val="20"/>
          <w:szCs w:val="20"/>
          <w:lang w:val="es-ES" w:eastAsia="es-ES" w:bidi="es-ES"/>
        </w:rPr>
        <w:t xml:space="preserve">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21B6">
        <w:rPr>
          <w:rFonts w:ascii="Century Gothic" w:hAnsi="Century Gothic" w:eastAsia="Arial" w:cs="Arial"/>
          <w:i/>
          <w:iCs/>
          <w:sz w:val="20"/>
          <w:szCs w:val="20"/>
          <w:lang w:val="es-ES" w:eastAsia="es-ES" w:bidi="es-ES"/>
        </w:rPr>
        <w:t>En segundo lugar</w:t>
      </w:r>
      <w:r w:rsidRPr="004821B6">
        <w:rPr>
          <w:rFonts w:ascii="Century Gothic" w:hAnsi="Century Gothic" w:eastAsia="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8"/>
    <w:p w:rsidRPr="004821B6" w:rsidR="00994B18" w:rsidP="00994B18" w:rsidRDefault="00994B18" w14:paraId="364B4478" w14:textId="77777777">
      <w:pPr>
        <w:tabs>
          <w:tab w:val="left" w:pos="426"/>
        </w:tabs>
        <w:spacing w:after="0" w:line="240" w:lineRule="auto"/>
        <w:contextualSpacing/>
        <w:jc w:val="both"/>
        <w:rPr>
          <w:rFonts w:ascii="Century Gothic" w:hAnsi="Century Gothic" w:eastAsia="Calibri" w:cs="Arial"/>
          <w:sz w:val="20"/>
          <w:szCs w:val="20"/>
          <w:lang w:val="es-MX"/>
        </w:rPr>
      </w:pPr>
    </w:p>
    <w:p w:rsidRPr="004821B6" w:rsidR="00994B18" w:rsidP="00994B18" w:rsidRDefault="00994B18" w14:paraId="008E7CA0" w14:textId="77777777">
      <w:pPr>
        <w:tabs>
          <w:tab w:val="left" w:pos="426"/>
        </w:tabs>
        <w:spacing w:after="0" w:line="240" w:lineRule="auto"/>
        <w:contextualSpacing/>
        <w:jc w:val="both"/>
        <w:rPr>
          <w:rFonts w:ascii="Century Gothic" w:hAnsi="Century Gothic" w:eastAsia="Calibri" w:cs="Arial"/>
          <w:b/>
          <w:bCs/>
          <w:lang w:val="es-MX"/>
        </w:rPr>
      </w:pPr>
      <w:r w:rsidRPr="004821B6">
        <w:rPr>
          <w:rFonts w:ascii="Century Gothic" w:hAnsi="Century Gothic" w:eastAsia="Calibri" w:cs="Arial"/>
          <w:b/>
          <w:bCs/>
          <w:lang w:val="es-MX"/>
        </w:rPr>
        <w:t xml:space="preserve">LEY DE GARANTÍAS ELECTORALES </w:t>
      </w:r>
      <w:r w:rsidRPr="004821B6">
        <w:rPr>
          <w:rFonts w:ascii="Arial" w:hAnsi="Arial" w:eastAsia="Calibri" w:cs="Arial"/>
          <w:b/>
          <w:bCs/>
          <w:lang w:val="es-MX"/>
        </w:rPr>
        <w:t>‒</w:t>
      </w:r>
      <w:r w:rsidRPr="004821B6">
        <w:rPr>
          <w:rFonts w:ascii="Century Gothic" w:hAnsi="Century Gothic" w:eastAsia="Calibri" w:cs="Arial"/>
          <w:b/>
          <w:bCs/>
          <w:lang w:val="es-MX"/>
        </w:rPr>
        <w:t xml:space="preserve"> Prohibici</w:t>
      </w:r>
      <w:r w:rsidRPr="004821B6">
        <w:rPr>
          <w:rFonts w:ascii="Century Gothic" w:hAnsi="Century Gothic" w:eastAsia="Calibri" w:cs="Century Gothic"/>
          <w:b/>
          <w:bCs/>
          <w:lang w:val="es-MX"/>
        </w:rPr>
        <w:t>ó</w:t>
      </w:r>
      <w:r w:rsidRPr="004821B6">
        <w:rPr>
          <w:rFonts w:ascii="Century Gothic" w:hAnsi="Century Gothic" w:eastAsia="Calibri" w:cs="Arial"/>
          <w:b/>
          <w:bCs/>
          <w:lang w:val="es-MX"/>
        </w:rPr>
        <w:t>n por elecci</w:t>
      </w:r>
      <w:r w:rsidRPr="004821B6">
        <w:rPr>
          <w:rFonts w:ascii="Century Gothic" w:hAnsi="Century Gothic" w:eastAsia="Calibri" w:cs="Century Gothic"/>
          <w:b/>
          <w:bCs/>
          <w:lang w:val="es-MX"/>
        </w:rPr>
        <w:t>ó</w:t>
      </w:r>
      <w:r w:rsidRPr="004821B6">
        <w:rPr>
          <w:rFonts w:ascii="Century Gothic" w:hAnsi="Century Gothic" w:eastAsia="Calibri" w:cs="Arial"/>
          <w:b/>
          <w:bCs/>
          <w:lang w:val="es-MX"/>
        </w:rPr>
        <w:t xml:space="preserve">n de cargos populares </w:t>
      </w:r>
      <w:r w:rsidRPr="004821B6">
        <w:rPr>
          <w:rFonts w:ascii="Century Gothic" w:hAnsi="Century Gothic" w:eastAsia="Calibri" w:cs="Century Gothic"/>
          <w:b/>
          <w:bCs/>
          <w:lang w:val="es-MX"/>
        </w:rPr>
        <w:t>–</w:t>
      </w:r>
      <w:r w:rsidRPr="004821B6">
        <w:rPr>
          <w:rFonts w:ascii="Century Gothic" w:hAnsi="Century Gothic" w:eastAsia="Calibri" w:cs="Arial"/>
          <w:b/>
          <w:bCs/>
          <w:lang w:val="es-MX"/>
        </w:rPr>
        <w:t xml:space="preserve"> Convenios y contratos interadministrativos </w:t>
      </w:r>
      <w:r w:rsidRPr="004821B6">
        <w:rPr>
          <w:rFonts w:ascii="Century Gothic" w:hAnsi="Century Gothic" w:eastAsia="Calibri" w:cs="Arial"/>
          <w:b/>
          <w:lang w:val="es-MX"/>
        </w:rPr>
        <w:t>– Definición – Criterio orgánico</w:t>
      </w:r>
    </w:p>
    <w:p w:rsidRPr="004821B6" w:rsidR="00994B18" w:rsidP="00994B18" w:rsidRDefault="00994B18" w14:paraId="754FAF1C" w14:textId="77777777">
      <w:pPr>
        <w:tabs>
          <w:tab w:val="left" w:pos="426"/>
        </w:tabs>
        <w:spacing w:after="0" w:line="240" w:lineRule="auto"/>
        <w:contextualSpacing/>
        <w:jc w:val="both"/>
        <w:rPr>
          <w:rFonts w:ascii="Century Gothic" w:hAnsi="Century Gothic" w:eastAsia="Calibri" w:cs="Arial"/>
          <w:sz w:val="20"/>
          <w:szCs w:val="20"/>
          <w:lang w:val="es-MX"/>
        </w:rPr>
      </w:pPr>
    </w:p>
    <w:p w:rsidRPr="004821B6" w:rsidR="00994B18" w:rsidP="00994B18" w:rsidRDefault="00994B18" w14:paraId="0CFDACBA" w14:textId="77777777">
      <w:pPr>
        <w:tabs>
          <w:tab w:val="left" w:pos="426"/>
        </w:tabs>
        <w:spacing w:after="0" w:line="240" w:lineRule="auto"/>
        <w:contextualSpacing/>
        <w:jc w:val="both"/>
        <w:rPr>
          <w:rFonts w:ascii="Century Gothic" w:hAnsi="Century Gothic" w:eastAsia="Calibri" w:cs="Arial"/>
          <w:sz w:val="20"/>
          <w:szCs w:val="20"/>
          <w:lang w:val="es-MX"/>
        </w:rPr>
      </w:pPr>
      <w:r w:rsidRPr="004821B6">
        <w:rPr>
          <w:rFonts w:ascii="Century Gothic" w:hAnsi="Century Gothic" w:eastAsia="Calibri"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rsidRPr="004821B6" w:rsidR="00994B18" w:rsidP="00994B18" w:rsidRDefault="00994B18" w14:paraId="7AD81BA1" w14:textId="77777777">
      <w:pPr>
        <w:tabs>
          <w:tab w:val="left" w:pos="426"/>
        </w:tabs>
        <w:spacing w:after="0" w:line="240" w:lineRule="auto"/>
        <w:contextualSpacing/>
        <w:jc w:val="both"/>
        <w:rPr>
          <w:rFonts w:ascii="Century Gothic" w:hAnsi="Century Gothic" w:eastAsia="Calibri" w:cs="Arial"/>
          <w:sz w:val="20"/>
          <w:szCs w:val="20"/>
          <w:lang w:val="es-MX"/>
        </w:rPr>
      </w:pPr>
    </w:p>
    <w:p w:rsidRPr="004821B6" w:rsidR="00994B18" w:rsidP="00994B18" w:rsidRDefault="00994B18" w14:paraId="4FA8FB4E" w14:textId="77777777">
      <w:pPr>
        <w:widowControl w:val="0"/>
        <w:autoSpaceDE w:val="0"/>
        <w:autoSpaceDN w:val="0"/>
        <w:spacing w:after="0" w:line="240" w:lineRule="auto"/>
        <w:contextualSpacing/>
        <w:jc w:val="both"/>
        <w:rPr>
          <w:rFonts w:ascii="Century Gothic" w:hAnsi="Century Gothic" w:eastAsia="Arial" w:cs="Arial"/>
          <w:sz w:val="20"/>
          <w:szCs w:val="20"/>
          <w:lang w:val="es-ES" w:eastAsia="es-ES" w:bidi="es-ES"/>
        </w:rPr>
      </w:pPr>
      <w:r w:rsidRPr="004821B6">
        <w:rPr>
          <w:rFonts w:ascii="Century Gothic" w:hAnsi="Century Gothic" w:eastAsia="Calibri" w:cs="Arial"/>
          <w:sz w:val="20"/>
          <w:szCs w:val="20"/>
          <w:lang w:val="es-MX"/>
        </w:rPr>
        <w:t xml:space="preserve">[…] </w:t>
      </w:r>
      <w:r w:rsidRPr="004821B6">
        <w:rPr>
          <w:rFonts w:ascii="Century Gothic" w:hAnsi="Century Gothic" w:eastAsia="Calibri"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4821B6">
        <w:rPr>
          <w:rFonts w:ascii="Century Gothic" w:hAnsi="Century Gothic" w:eastAsia="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821B6">
        <w:rPr>
          <w:rFonts w:ascii="Century Gothic" w:hAnsi="Century Gothic" w:eastAsia="Arial" w:cs="Arial"/>
          <w:spacing w:val="-6"/>
          <w:sz w:val="20"/>
          <w:szCs w:val="20"/>
          <w:lang w:val="es-ES" w:eastAsia="es-ES" w:bidi="es-ES"/>
        </w:rPr>
        <w:t xml:space="preserve"> </w:t>
      </w:r>
      <w:r w:rsidRPr="004821B6">
        <w:rPr>
          <w:rFonts w:ascii="Century Gothic" w:hAnsi="Century Gothic" w:eastAsia="Arial" w:cs="Arial"/>
          <w:sz w:val="20"/>
          <w:szCs w:val="20"/>
          <w:lang w:val="es-ES" w:eastAsia="es-ES" w:bidi="es-ES"/>
        </w:rPr>
        <w:t>estatales.</w:t>
      </w:r>
      <w:bookmarkEnd w:id="5"/>
    </w:p>
    <w:p w:rsidR="00994B18" w:rsidP="0062384D" w:rsidRDefault="00994B18" w14:paraId="07CF4D64" w14:textId="77777777">
      <w:pPr>
        <w:spacing w:after="0"/>
        <w:rPr>
          <w:rFonts w:ascii="Century Gothic" w:hAnsi="Century Gothic" w:eastAsia="Geomanist Light" w:cs="Arial"/>
          <w:color w:val="000000" w:themeColor="text1"/>
          <w:lang w:val="es-MX"/>
        </w:rPr>
      </w:pPr>
    </w:p>
    <w:p w:rsidR="00994B18" w:rsidP="0062384D" w:rsidRDefault="00994B18" w14:paraId="35B179B2" w14:textId="77777777">
      <w:pPr>
        <w:spacing w:after="0"/>
        <w:rPr>
          <w:rFonts w:ascii="Century Gothic" w:hAnsi="Century Gothic" w:eastAsia="Geomanist Light" w:cs="Arial"/>
          <w:color w:val="000000" w:themeColor="text1"/>
          <w:lang w:val="es-MX"/>
        </w:rPr>
      </w:pPr>
    </w:p>
    <w:p w:rsidR="00994B18" w:rsidP="0062384D" w:rsidRDefault="00994B18" w14:paraId="4A048CF1" w14:textId="77777777">
      <w:pPr>
        <w:spacing w:after="0"/>
        <w:rPr>
          <w:rFonts w:ascii="Century Gothic" w:hAnsi="Century Gothic" w:eastAsia="Geomanist Light" w:cs="Arial"/>
          <w:color w:val="000000" w:themeColor="text1"/>
          <w:lang w:val="es-MX"/>
        </w:rPr>
      </w:pPr>
    </w:p>
    <w:p w:rsidR="00994B18" w:rsidP="0062384D" w:rsidRDefault="00994B18" w14:paraId="2FFB984A" w14:textId="77777777">
      <w:pPr>
        <w:spacing w:after="0"/>
        <w:rPr>
          <w:rFonts w:ascii="Century Gothic" w:hAnsi="Century Gothic" w:eastAsia="Geomanist Light" w:cs="Arial"/>
          <w:color w:val="000000" w:themeColor="text1"/>
          <w:lang w:val="es-MX"/>
        </w:rPr>
      </w:pPr>
    </w:p>
    <w:p w:rsidR="00994B18" w:rsidP="0062384D" w:rsidRDefault="00994B18" w14:paraId="550C0991" w14:textId="77777777">
      <w:pPr>
        <w:spacing w:after="0"/>
        <w:rPr>
          <w:rFonts w:ascii="Century Gothic" w:hAnsi="Century Gothic" w:eastAsia="Geomanist Light" w:cs="Arial"/>
          <w:color w:val="000000" w:themeColor="text1"/>
          <w:lang w:val="es-MX"/>
        </w:rPr>
      </w:pPr>
    </w:p>
    <w:p w:rsidR="00994B18" w:rsidP="0062384D" w:rsidRDefault="00994B18" w14:paraId="7A361DCF" w14:textId="77777777">
      <w:pPr>
        <w:spacing w:after="0"/>
        <w:rPr>
          <w:rFonts w:ascii="Century Gothic" w:hAnsi="Century Gothic" w:eastAsia="Geomanist Light" w:cs="Arial"/>
          <w:color w:val="000000" w:themeColor="text1"/>
          <w:lang w:val="es-MX"/>
        </w:rPr>
      </w:pPr>
    </w:p>
    <w:p w:rsidR="00994B18" w:rsidP="0062384D" w:rsidRDefault="00994B18" w14:paraId="0DE0559E" w14:textId="77777777">
      <w:pPr>
        <w:spacing w:after="0"/>
        <w:rPr>
          <w:rFonts w:ascii="Century Gothic" w:hAnsi="Century Gothic" w:eastAsia="Geomanist Light" w:cs="Arial"/>
          <w:color w:val="000000" w:themeColor="text1"/>
          <w:lang w:val="es-MX"/>
        </w:rPr>
      </w:pPr>
    </w:p>
    <w:p w:rsidR="00994B18" w:rsidP="0062384D" w:rsidRDefault="00994B18" w14:paraId="4BD9A7EF" w14:textId="77777777">
      <w:pPr>
        <w:spacing w:after="0"/>
        <w:rPr>
          <w:rFonts w:ascii="Century Gothic" w:hAnsi="Century Gothic" w:eastAsia="Geomanist Light" w:cs="Arial"/>
          <w:color w:val="000000" w:themeColor="text1"/>
          <w:lang w:val="es-MX"/>
        </w:rPr>
      </w:pPr>
    </w:p>
    <w:p w:rsidR="00994B18" w:rsidP="0062384D" w:rsidRDefault="00994B18" w14:paraId="0F5E487B" w14:textId="77777777">
      <w:pPr>
        <w:spacing w:after="0"/>
        <w:rPr>
          <w:rFonts w:ascii="Century Gothic" w:hAnsi="Century Gothic" w:eastAsia="Geomanist Light" w:cs="Arial"/>
          <w:color w:val="000000" w:themeColor="text1"/>
          <w:lang w:val="es-MX"/>
        </w:rPr>
      </w:pPr>
    </w:p>
    <w:p w:rsidR="00994B18" w:rsidP="0062384D" w:rsidRDefault="00994B18" w14:paraId="7954D049" w14:textId="77777777">
      <w:pPr>
        <w:spacing w:after="0"/>
        <w:rPr>
          <w:rFonts w:ascii="Century Gothic" w:hAnsi="Century Gothic" w:eastAsia="Geomanist Light" w:cs="Arial"/>
          <w:color w:val="000000" w:themeColor="text1"/>
          <w:lang w:val="es-MX"/>
        </w:rPr>
      </w:pPr>
    </w:p>
    <w:p w:rsidR="00994B18" w:rsidP="0062384D" w:rsidRDefault="00994B18" w14:paraId="1248C375" w14:textId="77777777">
      <w:pPr>
        <w:spacing w:after="0"/>
        <w:rPr>
          <w:rFonts w:ascii="Century Gothic" w:hAnsi="Century Gothic" w:eastAsia="Geomanist Light" w:cs="Arial"/>
          <w:color w:val="000000" w:themeColor="text1"/>
          <w:lang w:val="es-MX"/>
        </w:rPr>
      </w:pPr>
    </w:p>
    <w:p w:rsidR="00994B18" w:rsidP="0062384D" w:rsidRDefault="00994B18" w14:paraId="01AEDCDE" w14:textId="77777777">
      <w:pPr>
        <w:spacing w:after="0"/>
        <w:rPr>
          <w:rFonts w:ascii="Century Gothic" w:hAnsi="Century Gothic" w:eastAsia="Geomanist Light" w:cs="Arial"/>
          <w:color w:val="000000" w:themeColor="text1"/>
          <w:lang w:val="es-MX"/>
        </w:rPr>
      </w:pPr>
    </w:p>
    <w:p w:rsidR="00994B18" w:rsidP="0062384D" w:rsidRDefault="00994B18" w14:paraId="5E1FFC38" w14:textId="77777777">
      <w:pPr>
        <w:spacing w:after="0"/>
        <w:rPr>
          <w:rFonts w:ascii="Century Gothic" w:hAnsi="Century Gothic" w:eastAsia="Geomanist Light" w:cs="Arial"/>
          <w:color w:val="000000" w:themeColor="text1"/>
          <w:lang w:val="es-MX"/>
        </w:rPr>
      </w:pPr>
    </w:p>
    <w:p w:rsidR="00994B18" w:rsidP="0062384D" w:rsidRDefault="00994B18" w14:paraId="309A1AF7" w14:textId="77777777">
      <w:pPr>
        <w:spacing w:after="0"/>
        <w:rPr>
          <w:rFonts w:ascii="Century Gothic" w:hAnsi="Century Gothic" w:eastAsia="Geomanist Light" w:cs="Arial"/>
          <w:color w:val="000000" w:themeColor="text1"/>
          <w:lang w:val="es-MX"/>
        </w:rPr>
      </w:pPr>
    </w:p>
    <w:p w:rsidRPr="004821B6" w:rsidR="0062384D" w:rsidP="0062384D" w:rsidRDefault="0062384D" w14:paraId="6FA57DDC" w14:textId="36D8A762">
      <w:pPr>
        <w:spacing w:after="0"/>
        <w:rPr>
          <w:rFonts w:ascii="Century Gothic" w:hAnsi="Century Gothic" w:eastAsia="Geomanist Light" w:cs="Arial"/>
          <w:color w:val="201F1E"/>
          <w:lang w:val="es-MX"/>
        </w:rPr>
      </w:pPr>
      <w:r w:rsidRPr="004821B6">
        <w:rPr>
          <w:rFonts w:ascii="Century Gothic" w:hAnsi="Century Gothic" w:eastAsia="Geomanist Light" w:cs="Arial"/>
          <w:color w:val="000000" w:themeColor="text1"/>
          <w:lang w:val="es-MX"/>
        </w:rPr>
        <w:t>Bogotá D.C., </w:t>
      </w:r>
      <w:r w:rsidRPr="008E56D5" w:rsidR="008E56D5">
        <w:rPr>
          <w:rFonts w:ascii="Century Gothic" w:hAnsi="Century Gothic" w:eastAsia="Geomanist Light" w:cs="Arial"/>
          <w:color w:val="000000" w:themeColor="text1"/>
          <w:lang w:val="es-MX"/>
        </w:rPr>
        <w:t xml:space="preserve">19 de </w:t>
      </w:r>
      <w:proofErr w:type="gramStart"/>
      <w:r w:rsidRPr="008E56D5" w:rsidR="008E56D5">
        <w:rPr>
          <w:rFonts w:ascii="Century Gothic" w:hAnsi="Century Gothic" w:eastAsia="Geomanist Light" w:cs="Arial"/>
          <w:color w:val="000000" w:themeColor="text1"/>
          <w:lang w:val="es-MX"/>
        </w:rPr>
        <w:t>Octubre</w:t>
      </w:r>
      <w:proofErr w:type="gramEnd"/>
      <w:r w:rsidRPr="008E56D5" w:rsidR="008E56D5">
        <w:rPr>
          <w:rFonts w:ascii="Century Gothic" w:hAnsi="Century Gothic" w:eastAsia="Geomanist Light" w:cs="Arial"/>
          <w:color w:val="000000" w:themeColor="text1"/>
          <w:lang w:val="es-MX"/>
        </w:rPr>
        <w:t xml:space="preserve"> de 2023</w:t>
      </w:r>
    </w:p>
    <w:p w:rsidRPr="004821B6" w:rsidR="0062384D" w:rsidP="0062384D" w:rsidRDefault="0062384D" w14:paraId="3ADA5DD4" w14:textId="77777777">
      <w:pPr>
        <w:spacing w:after="0"/>
        <w:rPr>
          <w:rFonts w:ascii="Century Gothic" w:hAnsi="Century Gothic" w:eastAsia="Geomanist Light" w:cs="Arial"/>
          <w:color w:val="201F1E"/>
          <w:lang w:val="es-MX"/>
        </w:rPr>
      </w:pPr>
    </w:p>
    <w:p w:rsidR="0062384D" w:rsidP="008E56D5" w:rsidRDefault="008E56D5" w14:paraId="664E600F" w14:textId="637E7858">
      <w:pPr>
        <w:spacing w:after="0"/>
        <w:contextualSpacing/>
        <w:jc w:val="right"/>
        <w:rPr>
          <w:rFonts w:ascii="Century Gothic" w:hAnsi="Century Gothic" w:eastAsia="Calibri" w:cs="Arial"/>
          <w:lang w:val="es-ES_tradnl" w:eastAsia="es-ES_tradnl"/>
        </w:rPr>
      </w:pPr>
      <w:r>
        <w:rPr>
          <w:noProof/>
        </w:rPr>
        <w:drawing>
          <wp:inline distT="0" distB="0" distL="0" distR="0" wp14:anchorId="05DBAEA0" wp14:editId="46250682">
            <wp:extent cx="2732284" cy="657225"/>
            <wp:effectExtent l="0" t="0" r="0" b="0"/>
            <wp:docPr id="1066258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58671" name=""/>
                    <pic:cNvPicPr/>
                  </pic:nvPicPr>
                  <pic:blipFill>
                    <a:blip r:embed="rId10"/>
                    <a:stretch>
                      <a:fillRect/>
                    </a:stretch>
                  </pic:blipFill>
                  <pic:spPr>
                    <a:xfrm>
                      <a:off x="0" y="0"/>
                      <a:ext cx="2736263" cy="658182"/>
                    </a:xfrm>
                    <a:prstGeom prst="rect">
                      <a:avLst/>
                    </a:prstGeom>
                  </pic:spPr>
                </pic:pic>
              </a:graphicData>
            </a:graphic>
          </wp:inline>
        </w:drawing>
      </w:r>
    </w:p>
    <w:p w:rsidRPr="004821B6" w:rsidR="008E56D5" w:rsidP="0062384D" w:rsidRDefault="008E56D5" w14:paraId="08A15A98" w14:textId="77777777">
      <w:pPr>
        <w:spacing w:after="0"/>
        <w:contextualSpacing/>
        <w:jc w:val="both"/>
        <w:rPr>
          <w:rFonts w:ascii="Century Gothic" w:hAnsi="Century Gothic" w:eastAsia="Calibri" w:cs="Arial"/>
          <w:lang w:val="es-ES_tradnl" w:eastAsia="es-ES_tradnl"/>
        </w:rPr>
      </w:pPr>
    </w:p>
    <w:p w:rsidRPr="004821B6" w:rsidR="0062384D" w:rsidP="0062384D" w:rsidRDefault="0062384D" w14:paraId="67C81BAE" w14:textId="77777777">
      <w:pPr>
        <w:contextualSpacing/>
        <w:jc w:val="both"/>
        <w:rPr>
          <w:rFonts w:ascii="Century Gothic" w:hAnsi="Century Gothic" w:eastAsia="Calibri" w:cs="Arial"/>
          <w:lang w:eastAsia="es-ES_tradnl"/>
        </w:rPr>
      </w:pPr>
      <w:r w:rsidRPr="004821B6">
        <w:rPr>
          <w:rFonts w:ascii="Century Gothic" w:hAnsi="Century Gothic" w:eastAsia="Calibri" w:cs="Arial"/>
          <w:lang w:eastAsia="es-ES_tradnl"/>
        </w:rPr>
        <w:t>Doctor</w:t>
      </w:r>
    </w:p>
    <w:p w:rsidRPr="004821B6" w:rsidR="0062384D" w:rsidP="0062384D" w:rsidRDefault="0062384D" w14:paraId="02DAC233" w14:textId="77777777">
      <w:pPr>
        <w:contextualSpacing/>
        <w:jc w:val="both"/>
        <w:rPr>
          <w:rFonts w:ascii="Century Gothic" w:hAnsi="Century Gothic" w:eastAsia="Calibri" w:cs="Arial"/>
          <w:b/>
          <w:lang w:eastAsia="es-ES_tradnl"/>
        </w:rPr>
      </w:pPr>
      <w:r w:rsidRPr="004821B6">
        <w:rPr>
          <w:rFonts w:ascii="Century Gothic" w:hAnsi="Century Gothic" w:eastAsia="Calibri" w:cs="Arial"/>
          <w:b/>
          <w:lang w:eastAsia="es-ES_tradnl"/>
        </w:rPr>
        <w:t>Luis Enrique Escudero Londoño</w:t>
      </w:r>
    </w:p>
    <w:p w:rsidRPr="004821B6" w:rsidR="0062384D" w:rsidP="0062384D" w:rsidRDefault="0062384D" w14:paraId="1D58C5CB" w14:textId="77777777">
      <w:pPr>
        <w:contextualSpacing/>
        <w:jc w:val="both"/>
        <w:rPr>
          <w:rFonts w:ascii="Century Gothic" w:hAnsi="Century Gothic" w:eastAsia="Geomanist Light" w:cs="Arial"/>
          <w:color w:val="000000" w:themeColor="text1"/>
          <w:lang w:val="es-MX"/>
        </w:rPr>
      </w:pPr>
      <w:r w:rsidRPr="004821B6">
        <w:rPr>
          <w:rFonts w:ascii="Century Gothic" w:hAnsi="Century Gothic" w:eastAsia="Geomanist Light" w:cs="Arial"/>
          <w:color w:val="000000" w:themeColor="text1"/>
          <w:lang w:val="es-MX"/>
        </w:rPr>
        <w:t>Director Ejecutivo de la Asociación de Municipios del Occidente Antioqueño</w:t>
      </w:r>
    </w:p>
    <w:p w:rsidRPr="004821B6" w:rsidR="0062384D" w:rsidP="0062384D" w:rsidRDefault="0062384D" w14:paraId="71A8B71D" w14:textId="77777777">
      <w:pPr>
        <w:contextualSpacing/>
        <w:jc w:val="both"/>
        <w:rPr>
          <w:rFonts w:ascii="Century Gothic" w:hAnsi="Century Gothic" w:eastAsia="Calibri" w:cs="Arial"/>
          <w:bCs/>
          <w:lang w:eastAsia="es-ES_tradnl"/>
        </w:rPr>
      </w:pPr>
      <w:r w:rsidRPr="004821B6">
        <w:rPr>
          <w:rFonts w:ascii="Century Gothic" w:hAnsi="Century Gothic" w:eastAsia="Geomanist Light" w:cs="Arial"/>
          <w:color w:val="000000" w:themeColor="text1"/>
          <w:lang w:val="es-MX"/>
        </w:rPr>
        <w:t>Medellín, Antioquia</w:t>
      </w:r>
      <w:r w:rsidRPr="004821B6">
        <w:rPr>
          <w:rFonts w:ascii="Century Gothic" w:hAnsi="Century Gothic" w:eastAsia="Calibri" w:cs="Arial"/>
          <w:lang w:eastAsia="es-ES_tradnl"/>
        </w:rPr>
        <w:t xml:space="preserve">  </w:t>
      </w:r>
    </w:p>
    <w:p w:rsidRPr="004821B6" w:rsidR="0062384D" w:rsidP="0062384D" w:rsidRDefault="0062384D" w14:paraId="7085D77B" w14:textId="77777777">
      <w:pPr>
        <w:contextualSpacing/>
        <w:jc w:val="both"/>
        <w:rPr>
          <w:rFonts w:ascii="Century Gothic" w:hAnsi="Century Gothic" w:eastAsia="Calibri" w:cs="Arial"/>
          <w:lang w:val="es-ES_tradnl" w:eastAsia="es-ES_tradnl"/>
        </w:rPr>
      </w:pPr>
    </w:p>
    <w:p w:rsidRPr="004821B6" w:rsidR="0062384D" w:rsidP="0062384D" w:rsidRDefault="0062384D" w14:paraId="59A884F0" w14:textId="77777777">
      <w:pPr>
        <w:contextualSpacing/>
        <w:rPr>
          <w:rFonts w:ascii="Century Gothic" w:hAnsi="Century Gothic" w:eastAsia="Calibri" w:cs="Arial"/>
          <w:b/>
          <w:bCs/>
          <w:lang w:val="es-ES_tradnl" w:eastAsia="es-ES_tradnl"/>
        </w:rPr>
      </w:pPr>
    </w:p>
    <w:p w:rsidRPr="004821B6" w:rsidR="0062384D" w:rsidP="71FA522B" w:rsidRDefault="0062384D" w14:paraId="3100E3C0" w14:textId="7E2DE8EF">
      <w:pPr>
        <w:spacing/>
        <w:ind w:left="2124" w:firstLine="570"/>
        <w:contextualSpacing/>
        <w:rPr>
          <w:rFonts w:ascii="Century Gothic" w:hAnsi="Century Gothic" w:eastAsia="Calibri" w:cs="Arial"/>
          <w:b w:val="1"/>
          <w:bCs w:val="1"/>
          <w:lang w:val="es-ES" w:eastAsia="es-ES"/>
        </w:rPr>
      </w:pPr>
      <w:r w:rsidRPr="71FA522B" w:rsidR="0062384D">
        <w:rPr>
          <w:rFonts w:ascii="Century Gothic" w:hAnsi="Century Gothic" w:eastAsia="Calibri" w:cs="Arial"/>
          <w:b w:val="1"/>
          <w:bCs w:val="1"/>
          <w:lang w:val="es-ES" w:eastAsia="es-ES"/>
        </w:rPr>
        <w:t>Concepto C–379 de 2023</w:t>
      </w:r>
    </w:p>
    <w:p w:rsidRPr="004821B6" w:rsidR="0062384D" w:rsidP="0062384D" w:rsidRDefault="0062384D" w14:paraId="0A2DFA32"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821B6" w:rsidR="0062384D" w:rsidTr="00574E57" w14:paraId="714CA820" w14:textId="77777777">
        <w:tc>
          <w:tcPr>
            <w:tcW w:w="2689" w:type="dxa"/>
          </w:tcPr>
          <w:p w:rsidRPr="004821B6" w:rsidR="0062384D" w:rsidP="00574E57" w:rsidRDefault="0062384D" w14:paraId="20E4018B" w14:textId="77777777">
            <w:pPr>
              <w:contextualSpacing/>
              <w:jc w:val="both"/>
              <w:rPr>
                <w:rFonts w:ascii="Century Gothic" w:hAnsi="Century Gothic" w:eastAsia="Calibri" w:cs="Arial"/>
                <w:lang w:val="es-ES_tradnl" w:eastAsia="es-ES_tradnl"/>
              </w:rPr>
            </w:pPr>
            <w:r w:rsidRPr="004821B6">
              <w:rPr>
                <w:rFonts w:ascii="Century Gothic" w:hAnsi="Century Gothic" w:eastAsia="Calibri" w:cs="Arial"/>
                <w:b/>
                <w:lang w:val="es-ES_tradnl" w:eastAsia="es-ES_tradnl"/>
              </w:rPr>
              <w:t>Temas:</w:t>
            </w:r>
            <w:r w:rsidRPr="004821B6">
              <w:rPr>
                <w:rFonts w:ascii="Century Gothic" w:hAnsi="Century Gothic" w:eastAsia="Calibri" w:cs="Arial"/>
                <w:lang w:val="es-ES_tradnl" w:eastAsia="es-ES_tradnl"/>
              </w:rPr>
              <w:t xml:space="preserve">                                      </w:t>
            </w:r>
          </w:p>
        </w:tc>
        <w:tc>
          <w:tcPr>
            <w:tcW w:w="6237" w:type="dxa"/>
          </w:tcPr>
          <w:p w:rsidRPr="004821B6" w:rsidR="0062384D" w:rsidP="00574E57" w:rsidRDefault="0062384D" w14:paraId="661BFFDE" w14:textId="77777777">
            <w:pPr>
              <w:spacing w:after="120"/>
              <w:contextualSpacing/>
              <w:jc w:val="both"/>
              <w:rPr>
                <w:rFonts w:ascii="Century Gothic" w:hAnsi="Century Gothic" w:eastAsia="Calibri" w:cs="Arial"/>
                <w:bCs/>
                <w:lang w:val="es-MX" w:eastAsia="es-ES_tradnl"/>
              </w:rPr>
            </w:pPr>
            <w:r w:rsidRPr="004821B6">
              <w:rPr>
                <w:rFonts w:ascii="Century Gothic" w:hAnsi="Century Gothic" w:eastAsia="Calibri" w:cs="Arial"/>
                <w:bCs/>
                <w:lang w:val="es-MX" w:eastAsia="es-ES_tradnl"/>
              </w:rPr>
              <w:t xml:space="preserve">ASOCIACIONES DE MUNICIPIOS – Naturaleza / CONVENIOS INTERADMINISTRATIVOS – Asociaciones de Municipios / LEY DE GARANTÍAS ELECTORALES </w:t>
            </w:r>
            <w:r w:rsidRPr="004821B6">
              <w:rPr>
                <w:rFonts w:ascii="Arial" w:hAnsi="Arial" w:eastAsia="Calibri" w:cs="Arial"/>
                <w:bCs/>
                <w:lang w:val="es-MX" w:eastAsia="es-ES_tradnl"/>
              </w:rPr>
              <w:t>‒</w:t>
            </w:r>
            <w:r w:rsidRPr="004821B6">
              <w:rPr>
                <w:rFonts w:ascii="Century Gothic" w:hAnsi="Century Gothic" w:eastAsia="Calibri" w:cs="Arial"/>
                <w:bCs/>
                <w:lang w:val="es-MX" w:eastAsia="es-ES_tradnl"/>
              </w:rPr>
              <w:t xml:space="preserve"> Finalidad / LEY DE GARANT</w:t>
            </w:r>
            <w:r w:rsidRPr="004821B6">
              <w:rPr>
                <w:rFonts w:ascii="Century Gothic" w:hAnsi="Century Gothic" w:eastAsia="Calibri" w:cs="Century Gothic"/>
                <w:bCs/>
                <w:lang w:val="es-MX" w:eastAsia="es-ES_tradnl"/>
              </w:rPr>
              <w:t>Í</w:t>
            </w:r>
            <w:r w:rsidRPr="004821B6">
              <w:rPr>
                <w:rFonts w:ascii="Century Gothic" w:hAnsi="Century Gothic" w:eastAsia="Calibri" w:cs="Arial"/>
                <w:bCs/>
                <w:lang w:val="es-MX" w:eastAsia="es-ES_tradnl"/>
              </w:rPr>
              <w:t xml:space="preserve">AS ELECTORALES </w:t>
            </w:r>
            <w:r w:rsidRPr="004821B6">
              <w:rPr>
                <w:rFonts w:ascii="Arial" w:hAnsi="Arial" w:eastAsia="Calibri" w:cs="Arial"/>
                <w:bCs/>
                <w:lang w:val="es-MX" w:eastAsia="es-ES_tradnl"/>
              </w:rPr>
              <w:t>‒</w:t>
            </w:r>
            <w:r w:rsidRPr="004821B6">
              <w:rPr>
                <w:rFonts w:ascii="Century Gothic" w:hAnsi="Century Gothic" w:eastAsia="Calibri" w:cs="Arial"/>
                <w:bCs/>
                <w:lang w:val="es-MX" w:eastAsia="es-ES_tradnl"/>
              </w:rPr>
              <w:t xml:space="preserve"> Tipos de restricciones </w:t>
            </w:r>
            <w:r w:rsidRPr="004821B6">
              <w:rPr>
                <w:rFonts w:ascii="Arial" w:hAnsi="Arial" w:eastAsia="Calibri" w:cs="Arial"/>
                <w:bCs/>
                <w:lang w:val="es-MX" w:eastAsia="es-ES_tradnl"/>
              </w:rPr>
              <w:t>‒</w:t>
            </w:r>
            <w:r w:rsidRPr="004821B6">
              <w:rPr>
                <w:rFonts w:ascii="Century Gothic" w:hAnsi="Century Gothic" w:eastAsia="Calibri" w:cs="Arial"/>
                <w:bCs/>
                <w:lang w:val="es-MX" w:eastAsia="es-ES_tradnl"/>
              </w:rPr>
              <w:t xml:space="preserve"> </w:t>
            </w:r>
            <w:r w:rsidRPr="004821B6">
              <w:rPr>
                <w:rFonts w:ascii="Century Gothic" w:hAnsi="Century Gothic" w:eastAsia="Calibri" w:cs="Century Gothic"/>
                <w:bCs/>
                <w:lang w:val="es-MX" w:eastAsia="es-ES_tradnl"/>
              </w:rPr>
              <w:t>Á</w:t>
            </w:r>
            <w:r w:rsidRPr="004821B6">
              <w:rPr>
                <w:rFonts w:ascii="Century Gothic" w:hAnsi="Century Gothic" w:eastAsia="Calibri" w:cs="Arial"/>
                <w:bCs/>
                <w:lang w:val="es-MX" w:eastAsia="es-ES_tradnl"/>
              </w:rPr>
              <w:t>mbito temporal / LEY DE GARANT</w:t>
            </w:r>
            <w:r w:rsidRPr="004821B6">
              <w:rPr>
                <w:rFonts w:ascii="Century Gothic" w:hAnsi="Century Gothic" w:eastAsia="Calibri" w:cs="Century Gothic"/>
                <w:bCs/>
                <w:lang w:val="es-MX" w:eastAsia="es-ES_tradnl"/>
              </w:rPr>
              <w:t>Í</w:t>
            </w:r>
            <w:r w:rsidRPr="004821B6">
              <w:rPr>
                <w:rFonts w:ascii="Century Gothic" w:hAnsi="Century Gothic" w:eastAsia="Calibri" w:cs="Arial"/>
                <w:bCs/>
                <w:lang w:val="es-MX" w:eastAsia="es-ES_tradnl"/>
              </w:rPr>
              <w:t xml:space="preserve">AS ELECTORALES </w:t>
            </w:r>
            <w:r w:rsidRPr="004821B6">
              <w:rPr>
                <w:rFonts w:ascii="Arial" w:hAnsi="Arial" w:eastAsia="Calibri" w:cs="Arial"/>
                <w:bCs/>
                <w:lang w:val="es-MX" w:eastAsia="es-ES_tradnl"/>
              </w:rPr>
              <w:t>‒</w:t>
            </w:r>
            <w:r w:rsidRPr="004821B6">
              <w:rPr>
                <w:rFonts w:ascii="Century Gothic" w:hAnsi="Century Gothic" w:eastAsia="Calibri" w:cs="Arial"/>
                <w:bCs/>
                <w:lang w:val="es-MX" w:eastAsia="es-ES_tradnl"/>
              </w:rPr>
              <w:t xml:space="preserve"> Prohibici</w:t>
            </w:r>
            <w:r w:rsidRPr="004821B6">
              <w:rPr>
                <w:rFonts w:ascii="Century Gothic" w:hAnsi="Century Gothic" w:eastAsia="Calibri" w:cs="Century Gothic"/>
                <w:bCs/>
                <w:lang w:val="es-MX" w:eastAsia="es-ES_tradnl"/>
              </w:rPr>
              <w:t>ó</w:t>
            </w:r>
            <w:r w:rsidRPr="004821B6">
              <w:rPr>
                <w:rFonts w:ascii="Century Gothic" w:hAnsi="Century Gothic" w:eastAsia="Calibri" w:cs="Arial"/>
                <w:bCs/>
                <w:lang w:val="es-MX" w:eastAsia="es-ES_tradnl"/>
              </w:rPr>
              <w:t>n por elecci</w:t>
            </w:r>
            <w:r w:rsidRPr="004821B6">
              <w:rPr>
                <w:rFonts w:ascii="Century Gothic" w:hAnsi="Century Gothic" w:eastAsia="Calibri" w:cs="Century Gothic"/>
                <w:bCs/>
                <w:lang w:val="es-MX" w:eastAsia="es-ES_tradnl"/>
              </w:rPr>
              <w:t>ó</w:t>
            </w:r>
            <w:r w:rsidRPr="004821B6">
              <w:rPr>
                <w:rFonts w:ascii="Century Gothic" w:hAnsi="Century Gothic" w:eastAsia="Calibri" w:cs="Arial"/>
                <w:bCs/>
                <w:lang w:val="es-MX" w:eastAsia="es-ES_tradnl"/>
              </w:rPr>
              <w:t xml:space="preserve">n de cargos populares </w:t>
            </w:r>
            <w:r w:rsidRPr="004821B6">
              <w:rPr>
                <w:rFonts w:ascii="Century Gothic" w:hAnsi="Century Gothic" w:eastAsia="Calibri" w:cs="Century Gothic"/>
                <w:bCs/>
                <w:lang w:val="es-MX" w:eastAsia="es-ES_tradnl"/>
              </w:rPr>
              <w:t>–</w:t>
            </w:r>
            <w:r w:rsidRPr="004821B6">
              <w:rPr>
                <w:rFonts w:ascii="Century Gothic" w:hAnsi="Century Gothic" w:eastAsia="Calibri" w:cs="Arial"/>
                <w:bCs/>
                <w:lang w:val="es-MX" w:eastAsia="es-ES_tradnl"/>
              </w:rPr>
              <w:t xml:space="preserve"> Convenios y contratos interadministrativos </w:t>
            </w:r>
            <w:r w:rsidRPr="004821B6">
              <w:rPr>
                <w:rFonts w:ascii="Century Gothic" w:hAnsi="Century Gothic" w:eastAsia="Calibri" w:cs="Century Gothic"/>
                <w:bCs/>
                <w:lang w:val="es-MX" w:eastAsia="es-ES_tradnl"/>
              </w:rPr>
              <w:t>–</w:t>
            </w:r>
            <w:r w:rsidRPr="004821B6">
              <w:rPr>
                <w:rFonts w:ascii="Century Gothic" w:hAnsi="Century Gothic" w:eastAsia="Calibri" w:cs="Arial"/>
                <w:bCs/>
                <w:lang w:val="es-MX" w:eastAsia="es-ES_tradnl"/>
              </w:rPr>
              <w:t xml:space="preserve"> Definici</w:t>
            </w:r>
            <w:r w:rsidRPr="004821B6">
              <w:rPr>
                <w:rFonts w:ascii="Century Gothic" w:hAnsi="Century Gothic" w:eastAsia="Calibri" w:cs="Century Gothic"/>
                <w:bCs/>
                <w:lang w:val="es-MX" w:eastAsia="es-ES_tradnl"/>
              </w:rPr>
              <w:t>ó</w:t>
            </w:r>
            <w:r w:rsidRPr="004821B6">
              <w:rPr>
                <w:rFonts w:ascii="Century Gothic" w:hAnsi="Century Gothic" w:eastAsia="Calibri" w:cs="Arial"/>
                <w:bCs/>
                <w:lang w:val="es-MX" w:eastAsia="es-ES_tradnl"/>
              </w:rPr>
              <w:t xml:space="preserve">n </w:t>
            </w:r>
            <w:r w:rsidRPr="004821B6">
              <w:rPr>
                <w:rFonts w:ascii="Century Gothic" w:hAnsi="Century Gothic" w:eastAsia="Calibri" w:cs="Century Gothic"/>
                <w:bCs/>
                <w:lang w:val="es-MX" w:eastAsia="es-ES_tradnl"/>
              </w:rPr>
              <w:t>–</w:t>
            </w:r>
            <w:r w:rsidRPr="004821B6">
              <w:rPr>
                <w:rFonts w:ascii="Century Gothic" w:hAnsi="Century Gothic" w:eastAsia="Calibri" w:cs="Arial"/>
                <w:bCs/>
                <w:lang w:val="es-MX" w:eastAsia="es-ES_tradnl"/>
              </w:rPr>
              <w:t xml:space="preserve"> Criterio org</w:t>
            </w:r>
            <w:r w:rsidRPr="004821B6">
              <w:rPr>
                <w:rFonts w:ascii="Century Gothic" w:hAnsi="Century Gothic" w:eastAsia="Calibri" w:cs="Century Gothic"/>
                <w:bCs/>
                <w:lang w:val="es-MX" w:eastAsia="es-ES_tradnl"/>
              </w:rPr>
              <w:t>á</w:t>
            </w:r>
            <w:r w:rsidRPr="004821B6">
              <w:rPr>
                <w:rFonts w:ascii="Century Gothic" w:hAnsi="Century Gothic" w:eastAsia="Calibri" w:cs="Arial"/>
                <w:bCs/>
                <w:lang w:val="es-MX" w:eastAsia="es-ES_tradnl"/>
              </w:rPr>
              <w:t>nico</w:t>
            </w:r>
          </w:p>
          <w:p w:rsidRPr="004821B6" w:rsidR="0062384D" w:rsidP="00574E57" w:rsidRDefault="0062384D" w14:paraId="5B33E7B3" w14:textId="77777777">
            <w:pPr>
              <w:spacing w:after="120"/>
              <w:contextualSpacing/>
              <w:jc w:val="both"/>
              <w:rPr>
                <w:rFonts w:ascii="Century Gothic" w:hAnsi="Century Gothic" w:eastAsia="Calibri" w:cs="Arial"/>
                <w:bCs/>
                <w:sz w:val="12"/>
                <w:szCs w:val="12"/>
                <w:lang w:val="es-ES_tradnl" w:eastAsia="es-ES_tradnl"/>
              </w:rPr>
            </w:pPr>
          </w:p>
        </w:tc>
      </w:tr>
      <w:tr w:rsidRPr="004821B6" w:rsidR="0062384D" w:rsidTr="00574E57" w14:paraId="42FE7ECF" w14:textId="77777777">
        <w:trPr>
          <w:trHeight w:val="227"/>
        </w:trPr>
        <w:tc>
          <w:tcPr>
            <w:tcW w:w="2689" w:type="dxa"/>
          </w:tcPr>
          <w:p w:rsidRPr="004821B6" w:rsidR="0062384D" w:rsidP="00574E57" w:rsidRDefault="0062384D" w14:paraId="24DAB542" w14:textId="77777777">
            <w:pPr>
              <w:contextualSpacing/>
              <w:jc w:val="both"/>
              <w:rPr>
                <w:rFonts w:ascii="Century Gothic" w:hAnsi="Century Gothic" w:eastAsia="Calibri" w:cs="Arial"/>
                <w:b/>
                <w:lang w:val="es-ES_tradnl" w:eastAsia="es-ES_tradnl"/>
              </w:rPr>
            </w:pPr>
            <w:r w:rsidRPr="004821B6">
              <w:rPr>
                <w:rFonts w:ascii="Century Gothic" w:hAnsi="Century Gothic" w:eastAsia="Calibri" w:cs="Arial"/>
                <w:b/>
                <w:lang w:val="es-ES_tradnl" w:eastAsia="es-ES_tradnl"/>
              </w:rPr>
              <w:t>Radicación:</w:t>
            </w:r>
            <w:r w:rsidRPr="004821B6">
              <w:rPr>
                <w:rFonts w:ascii="Century Gothic" w:hAnsi="Century Gothic" w:eastAsia="Calibri" w:cs="Arial"/>
                <w:lang w:val="es-ES_tradnl" w:eastAsia="es-ES_tradnl"/>
              </w:rPr>
              <w:t xml:space="preserve">                             </w:t>
            </w:r>
          </w:p>
        </w:tc>
        <w:tc>
          <w:tcPr>
            <w:tcW w:w="6237" w:type="dxa"/>
          </w:tcPr>
          <w:p w:rsidRPr="004821B6" w:rsidR="0062384D" w:rsidP="00574E57" w:rsidRDefault="0062384D" w14:paraId="75687286" w14:textId="77777777">
            <w:pPr>
              <w:contextualSpacing/>
              <w:jc w:val="both"/>
              <w:rPr>
                <w:rFonts w:ascii="Century Gothic" w:hAnsi="Century Gothic" w:eastAsia="Calibri" w:cs="Arial"/>
                <w:lang w:val="es-ES_tradnl" w:eastAsia="es-ES_tradnl"/>
              </w:rPr>
            </w:pPr>
            <w:r w:rsidRPr="004821B6">
              <w:rPr>
                <w:rFonts w:ascii="Century Gothic" w:hAnsi="Century Gothic" w:eastAsia="Calibri" w:cs="Arial"/>
                <w:lang w:val="es-ES_tradnl" w:eastAsia="es-ES_tradnl"/>
              </w:rPr>
              <w:t xml:space="preserve">Respuesta a consultas </w:t>
            </w:r>
            <w:bookmarkStart w:name="_Hlk147480437" w:id="9"/>
            <w:r w:rsidRPr="004821B6">
              <w:rPr>
                <w:rFonts w:ascii="Century Gothic" w:hAnsi="Century Gothic" w:eastAsia="Calibri" w:cs="Arial"/>
                <w:lang w:val="es-ES_tradnl" w:eastAsia="es-ES_tradnl"/>
              </w:rPr>
              <w:t>P20230809014041</w:t>
            </w:r>
            <w:bookmarkEnd w:id="9"/>
            <w:r w:rsidRPr="004821B6">
              <w:rPr>
                <w:rFonts w:ascii="Century Gothic" w:hAnsi="Century Gothic" w:eastAsia="Calibri" w:cs="Arial"/>
                <w:lang w:val="es-ES_tradnl" w:eastAsia="es-ES_tradnl"/>
              </w:rPr>
              <w:t xml:space="preserve">, </w:t>
            </w:r>
            <w:bookmarkStart w:name="_Hlk147480522" w:id="10"/>
            <w:r w:rsidRPr="004821B6">
              <w:rPr>
                <w:rFonts w:ascii="Century Gothic" w:hAnsi="Century Gothic" w:eastAsia="Calibri" w:cs="Arial"/>
                <w:lang w:val="es-ES_tradnl" w:eastAsia="es-ES_tradnl"/>
              </w:rPr>
              <w:t>P20230823014431, P20230828014600 y P20230929015561</w:t>
            </w:r>
            <w:bookmarkEnd w:id="10"/>
            <w:r w:rsidRPr="004821B6">
              <w:rPr>
                <w:rFonts w:ascii="Century Gothic" w:hAnsi="Century Gothic" w:eastAsia="Calibri" w:cs="Arial"/>
                <w:lang w:val="es-ES_tradnl" w:eastAsia="es-ES_tradnl"/>
              </w:rPr>
              <w:t xml:space="preserve"> –Acumuladas–</w:t>
            </w:r>
          </w:p>
        </w:tc>
      </w:tr>
    </w:tbl>
    <w:p w:rsidRPr="004821B6" w:rsidR="0062384D" w:rsidP="0062384D" w:rsidRDefault="0062384D" w14:paraId="3853960E" w14:textId="77777777">
      <w:pPr>
        <w:contextualSpacing/>
        <w:jc w:val="both"/>
        <w:rPr>
          <w:rFonts w:ascii="Century Gothic" w:hAnsi="Century Gothic" w:eastAsia="Calibri" w:cs="Arial"/>
          <w:lang w:val="es-ES_tradnl" w:eastAsia="es-ES_tradnl"/>
        </w:rPr>
      </w:pPr>
    </w:p>
    <w:p w:rsidRPr="004821B6" w:rsidR="0062384D" w:rsidP="0062384D" w:rsidRDefault="0062384D" w14:paraId="79B05C2B" w14:textId="77777777">
      <w:pPr>
        <w:contextualSpacing/>
        <w:jc w:val="both"/>
        <w:rPr>
          <w:rFonts w:ascii="Century Gothic" w:hAnsi="Century Gothic" w:eastAsia="Calibri" w:cs="Arial"/>
          <w:lang w:val="es-ES_tradnl" w:eastAsia="es-ES_tradnl"/>
        </w:rPr>
      </w:pPr>
    </w:p>
    <w:p w:rsidRPr="004821B6" w:rsidR="0062384D" w:rsidP="0062384D" w:rsidRDefault="0062384D" w14:paraId="7DCCC997" w14:textId="77777777">
      <w:pPr>
        <w:contextualSpacing/>
        <w:jc w:val="both"/>
        <w:rPr>
          <w:rFonts w:ascii="Century Gothic" w:hAnsi="Century Gothic" w:eastAsia="Calibri" w:cs="Arial"/>
          <w:lang w:val="es-ES" w:eastAsia="es-ES"/>
        </w:rPr>
      </w:pPr>
      <w:r w:rsidRPr="004821B6">
        <w:rPr>
          <w:rFonts w:ascii="Century Gothic" w:hAnsi="Century Gothic" w:eastAsia="Calibri" w:cs="Arial"/>
          <w:lang w:val="es-ES" w:eastAsia="es-ES"/>
        </w:rPr>
        <w:t xml:space="preserve">Respetado doctor Escudero Londoño: </w:t>
      </w:r>
    </w:p>
    <w:p w:rsidRPr="004821B6" w:rsidR="0062384D" w:rsidP="0062384D" w:rsidRDefault="0062384D" w14:paraId="345E9C51"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4821B6" w:rsidR="0062384D" w:rsidP="0062384D" w:rsidRDefault="0062384D" w14:paraId="2C9FB003" w14:textId="77777777">
      <w:pPr>
        <w:spacing w:after="120" w:line="276" w:lineRule="auto"/>
        <w:jc w:val="both"/>
        <w:rPr>
          <w:rFonts w:ascii="Century Gothic" w:hAnsi="Century Gothic" w:eastAsia="Calibri" w:cs="Arial"/>
          <w:color w:val="000000" w:themeColor="text1"/>
          <w:lang w:val="es-ES_tradnl"/>
        </w:rPr>
      </w:pPr>
      <w:r w:rsidRPr="004821B6">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11"/>
      <w:r w:rsidRPr="004821B6">
        <w:rPr>
          <w:rFonts w:ascii="Century Gothic" w:hAnsi="Century Gothic" w:eastAsia="Arial MT" w:cs="Arial MT"/>
          <w:lang w:val="es-ES"/>
        </w:rPr>
        <w:t xml:space="preserve">, </w:t>
      </w:r>
      <w:bookmarkEnd w:id="11"/>
      <w:r w:rsidRPr="004821B6">
        <w:rPr>
          <w:rFonts w:ascii="Century Gothic" w:hAnsi="Century Gothic" w:eastAsia="Calibri" w:cs="Arial"/>
          <w:color w:val="000000" w:themeColor="text1"/>
          <w:lang w:val="es-ES_tradnl"/>
        </w:rPr>
        <w:t>la Agencia Nacional de Contratación Pública – Colombia Compra Eficiente responde la consulta radicada el 8 de agosto de 2023, solicitud que fue reiterada el 23 de agosto, el 28 de agosto y el 29 de septiembre del año en curso.</w:t>
      </w:r>
    </w:p>
    <w:p w:rsidRPr="004821B6" w:rsidR="0062384D" w:rsidP="0062384D" w:rsidRDefault="0062384D" w14:paraId="05301BBD" w14:textId="77777777">
      <w:pPr>
        <w:spacing w:after="0" w:line="276" w:lineRule="auto"/>
        <w:ind w:firstLine="708"/>
        <w:jc w:val="both"/>
        <w:rPr>
          <w:rFonts w:ascii="Century Gothic" w:hAnsi="Century Gothic" w:eastAsia="Calibri" w:cs="Arial"/>
          <w:color w:val="000000" w:themeColor="text1"/>
          <w:lang w:val="es-ES_tradnl"/>
        </w:rPr>
      </w:pPr>
      <w:r w:rsidRPr="004821B6">
        <w:rPr>
          <w:rFonts w:ascii="Century Gothic" w:hAnsi="Century Gothic" w:eastAsia="Calibri" w:cs="Arial"/>
          <w:color w:val="000000" w:themeColor="text1"/>
          <w:lang w:val="es-ES_tradnl"/>
        </w:rPr>
        <w:t xml:space="preserve">Es necesario tener en cuenta que, de acuerdo con el oficio RS20230814008681 del 14 de agosto de 2023, la Agencia explicó que carecía de competencia para responder las preguntas 1, 6, 8, 10 y 11, lo cual se reiteró mediante los oficios RS20230904009546 del 4 de septiembre de 2023 y RS20230906009642 del 6 de septiembre de 2023. En contexto, a pesar de que el sistema reporta el desistimiento del radicado P20230809014041 con fecha del 5 de </w:t>
      </w:r>
      <w:r w:rsidRPr="004821B6">
        <w:rPr>
          <w:rFonts w:ascii="Century Gothic" w:hAnsi="Century Gothic" w:eastAsia="Calibri" w:cs="Arial"/>
          <w:color w:val="000000" w:themeColor="text1"/>
          <w:lang w:val="es-ES_tradnl"/>
        </w:rPr>
        <w:t xml:space="preserve">octubre de 2023, la Agencia resolverá las preguntas 2, 3, 4, 5, 7, 9, especialmente, cuando las peticiones con radicado P20230823014431, P20230828014600 y P20230929015561 no han sido desistidas y, por tanto, en el ámbito de las competencias de esta entidad, deben resolverse de fondo.  </w:t>
      </w:r>
    </w:p>
    <w:p w:rsidRPr="004821B6" w:rsidR="0062384D" w:rsidP="0062384D" w:rsidRDefault="0062384D" w14:paraId="21A4E16D" w14:textId="77777777">
      <w:pPr>
        <w:spacing w:after="0" w:line="276" w:lineRule="auto"/>
        <w:jc w:val="both"/>
        <w:rPr>
          <w:rFonts w:ascii="Century Gothic" w:hAnsi="Century Gothic" w:eastAsia="Calibri" w:cs="Arial"/>
          <w:b/>
          <w:color w:val="000000" w:themeColor="text1"/>
          <w:lang w:val="es-ES_tradnl"/>
        </w:rPr>
      </w:pPr>
    </w:p>
    <w:p w:rsidRPr="004821B6" w:rsidR="0062384D" w:rsidP="0062384D" w:rsidRDefault="0062384D" w14:paraId="4D68DC2D" w14:textId="77777777">
      <w:pPr>
        <w:pStyle w:val="Prrafodelista"/>
        <w:numPr>
          <w:ilvl w:val="0"/>
          <w:numId w:val="17"/>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4821B6">
        <w:rPr>
          <w:rFonts w:ascii="Century Gothic" w:hAnsi="Century Gothic" w:eastAsia="Calibri" w:cs="Arial"/>
          <w:b/>
          <w:color w:val="000000" w:themeColor="text1"/>
          <w:lang w:val="es-ES_tradnl"/>
        </w:rPr>
        <w:t xml:space="preserve">Problemas planteados </w:t>
      </w:r>
    </w:p>
    <w:p w:rsidRPr="004821B6" w:rsidR="0062384D" w:rsidP="0062384D" w:rsidRDefault="0062384D" w14:paraId="4AD3926C" w14:textId="77777777">
      <w:pPr>
        <w:tabs>
          <w:tab w:val="left" w:pos="426"/>
        </w:tabs>
        <w:spacing w:after="0" w:line="276" w:lineRule="auto"/>
        <w:jc w:val="both"/>
        <w:rPr>
          <w:rFonts w:ascii="Century Gothic" w:hAnsi="Century Gothic" w:eastAsia="Calibri" w:cs="Arial"/>
          <w:b/>
          <w:color w:val="000000" w:themeColor="text1"/>
          <w:lang w:val="es-ES_tradnl"/>
        </w:rPr>
      </w:pPr>
    </w:p>
    <w:p w:rsidRPr="004821B6" w:rsidR="0062384D" w:rsidP="0062384D" w:rsidRDefault="0062384D" w14:paraId="31A51E8A" w14:textId="77777777">
      <w:pPr>
        <w:spacing w:after="0" w:line="276" w:lineRule="auto"/>
        <w:jc w:val="both"/>
        <w:rPr>
          <w:rFonts w:ascii="Century Gothic" w:hAnsi="Century Gothic" w:cs="Arial"/>
          <w:color w:val="000000" w:themeColor="text1"/>
          <w:lang w:val="es-ES_tradnl"/>
        </w:rPr>
      </w:pPr>
      <w:bookmarkStart w:name="_Hlk132728388" w:id="12"/>
      <w:r w:rsidRPr="004821B6">
        <w:rPr>
          <w:rFonts w:ascii="Century Gothic" w:hAnsi="Century Gothic" w:cs="Arial"/>
          <w:color w:val="000000" w:themeColor="text1"/>
          <w:lang w:val="es-ES_tradnl"/>
        </w:rPr>
        <w:t>Usted realiza las siguientes preguntas:</w:t>
      </w:r>
      <w:bookmarkEnd w:id="12"/>
      <w:r w:rsidRPr="004821B6">
        <w:rPr>
          <w:rFonts w:ascii="Century Gothic" w:hAnsi="Century Gothic"/>
          <w:color w:val="000000" w:themeColor="text1"/>
        </w:rPr>
        <w:t xml:space="preserve"> </w:t>
      </w:r>
      <w:bookmarkStart w:name="_Hlk132728466" w:id="13"/>
      <w:bookmarkStart w:name="_Hlk134095577" w:id="14"/>
      <w:bookmarkStart w:name="_Hlk137047447" w:id="15"/>
      <w:r w:rsidRPr="004821B6">
        <w:rPr>
          <w:rFonts w:ascii="Century Gothic" w:hAnsi="Century Gothic" w:cs="Arial"/>
          <w:color w:val="000000" w:themeColor="text1"/>
          <w:lang w:val="es-ES_tradnl"/>
        </w:rPr>
        <w:t>i)</w:t>
      </w:r>
      <w:bookmarkEnd w:id="13"/>
      <w:bookmarkEnd w:id="14"/>
      <w:bookmarkEnd w:id="15"/>
      <w:r w:rsidRPr="004821B6">
        <w:rPr>
          <w:rFonts w:ascii="Century Gothic" w:hAnsi="Century Gothic" w:cs="Arial"/>
          <w:color w:val="000000" w:themeColor="text1"/>
          <w:lang w:val="es-ES_tradnl"/>
        </w:rPr>
        <w:t xml:space="preserve"> “¿Bajo la modalidad de selección de contratación directa, pueden los Municipios celebrar contratos de obra pública (contratos interadministrativos) con las asociaciones de Municipios de naturaleza pública (creadas por la ley 136 - 1994, artículos 148 y 149)?”, </w:t>
      </w:r>
      <w:proofErr w:type="spellStart"/>
      <w:r w:rsidRPr="004821B6">
        <w:rPr>
          <w:rFonts w:ascii="Century Gothic" w:hAnsi="Century Gothic" w:cs="Arial"/>
          <w:color w:val="000000" w:themeColor="text1"/>
          <w:lang w:val="es-ES_tradnl"/>
        </w:rPr>
        <w:t>ii</w:t>
      </w:r>
      <w:proofErr w:type="spellEnd"/>
      <w:r w:rsidRPr="004821B6">
        <w:rPr>
          <w:rFonts w:ascii="Century Gothic" w:hAnsi="Century Gothic" w:cs="Arial"/>
          <w:color w:val="000000" w:themeColor="text1"/>
          <w:lang w:val="es-ES_tradnl"/>
        </w:rPr>
        <w:t xml:space="preserve">) “¿En qué casos específicos procede la modalidad de contratación directa, teniendo en cuenta los dispuesto por la Ley 80-93, modificado por el artículo 92 de la Ley 1474 de 2011, y de existir excepciones cuales serían los contratos exceptuados?”, </w:t>
      </w:r>
      <w:proofErr w:type="spellStart"/>
      <w:r w:rsidRPr="004821B6">
        <w:rPr>
          <w:rFonts w:ascii="Century Gothic" w:hAnsi="Century Gothic" w:cs="Arial"/>
          <w:color w:val="000000" w:themeColor="text1"/>
          <w:lang w:val="es-ES_tradnl"/>
        </w:rPr>
        <w:t>iii</w:t>
      </w:r>
      <w:proofErr w:type="spellEnd"/>
      <w:r w:rsidRPr="004821B6">
        <w:rPr>
          <w:rFonts w:ascii="Century Gothic" w:hAnsi="Century Gothic" w:cs="Arial"/>
          <w:color w:val="000000" w:themeColor="text1"/>
          <w:lang w:val="es-ES_tradnl"/>
        </w:rPr>
        <w:t xml:space="preserve">) “¿Cuál es la diferencia entre asociaciones de entidades territoriales y asociaciones de Municipios de naturaleza pública?”, </w:t>
      </w:r>
      <w:proofErr w:type="spellStart"/>
      <w:r w:rsidRPr="004821B6">
        <w:rPr>
          <w:rFonts w:ascii="Century Gothic" w:hAnsi="Century Gothic" w:cs="Arial"/>
          <w:color w:val="000000" w:themeColor="text1"/>
          <w:lang w:val="es-ES_tradnl"/>
        </w:rPr>
        <w:t>iv</w:t>
      </w:r>
      <w:proofErr w:type="spellEnd"/>
      <w:r w:rsidRPr="004821B6">
        <w:rPr>
          <w:rFonts w:ascii="Century Gothic" w:hAnsi="Century Gothic" w:cs="Arial"/>
          <w:color w:val="000000" w:themeColor="text1"/>
          <w:lang w:val="es-ES_tradnl"/>
        </w:rPr>
        <w:t xml:space="preserve">) “¿Requiero con todo respeto claridad legal respecto de la excepción contenida en el artículo 92 de la Ley 1474-2011 que subrogó el artículo 2, numeral 4, de la Ley 1150 de 2007, a que tipo de asociaciones se refiere?”, v) “¿Le es aplicable la prohibición contenida en el artículo 92 de la Ley 1474-2011 a las asociaciones de Municipios?”, vi) “Según la doctrina, porque se manifiesta que las asociaciones de Municipios son entidades administrativas dentro de la tipología de entidades públicas y de ser cierto lo manifestado por lo doctrinantes, entonces las asociaciones de Municipios de naturaleza pública, ¿estarían sujetas a las prohibiciones que contiene el artículo 92 de la Ley 1474 de 2011?”.   </w:t>
      </w:r>
    </w:p>
    <w:p w:rsidRPr="004821B6" w:rsidR="0062384D" w:rsidP="0062384D" w:rsidRDefault="0062384D" w14:paraId="26915DCA" w14:textId="77777777">
      <w:pPr>
        <w:spacing w:after="0" w:line="276" w:lineRule="auto"/>
        <w:ind w:right="709"/>
        <w:jc w:val="both"/>
        <w:rPr>
          <w:rFonts w:ascii="Century Gothic" w:hAnsi="Century Gothic" w:cs="Arial"/>
          <w:color w:val="000000" w:themeColor="text1"/>
          <w:sz w:val="21"/>
          <w:szCs w:val="21"/>
        </w:rPr>
      </w:pPr>
    </w:p>
    <w:p w:rsidRPr="004821B6" w:rsidR="0062384D" w:rsidP="0062384D" w:rsidRDefault="0062384D" w14:paraId="31C7D710" w14:textId="77777777">
      <w:pPr>
        <w:pStyle w:val="Prrafodelista"/>
        <w:numPr>
          <w:ilvl w:val="0"/>
          <w:numId w:val="17"/>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4821B6">
        <w:rPr>
          <w:rFonts w:ascii="Century Gothic" w:hAnsi="Century Gothic" w:eastAsia="Calibri" w:cs="Arial"/>
          <w:b/>
          <w:color w:val="000000" w:themeColor="text1"/>
          <w:lang w:val="es-ES_tradnl"/>
        </w:rPr>
        <w:t>Consideraciones</w:t>
      </w:r>
    </w:p>
    <w:p w:rsidRPr="004821B6" w:rsidR="0062384D" w:rsidP="0062384D" w:rsidRDefault="0062384D" w14:paraId="5A9261FE" w14:textId="77777777">
      <w:pPr>
        <w:spacing w:after="0" w:line="276" w:lineRule="auto"/>
        <w:jc w:val="both"/>
        <w:rPr>
          <w:rFonts w:ascii="Century Gothic" w:hAnsi="Century Gothic" w:eastAsia="Calibri" w:cs="Arial"/>
          <w:color w:val="000000" w:themeColor="text1"/>
          <w:lang w:val="es-ES"/>
        </w:rPr>
      </w:pPr>
    </w:p>
    <w:p w:rsidRPr="004821B6" w:rsidR="0062384D" w:rsidP="0062384D" w:rsidRDefault="0062384D" w14:paraId="3CC63DAB" w14:textId="77777777">
      <w:pPr>
        <w:spacing w:after="120" w:line="276" w:lineRule="auto"/>
        <w:jc w:val="both"/>
        <w:rPr>
          <w:rFonts w:ascii="Century Gothic" w:hAnsi="Century Gothic" w:cs="Arial"/>
          <w:lang w:val="es-ES"/>
        </w:rPr>
      </w:pPr>
      <w:r w:rsidRPr="004821B6">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4821B6">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4821B6">
        <w:rPr>
          <w:rFonts w:ascii="Century Gothic" w:hAnsi="Century Gothic" w:cs="Arial"/>
          <w:bCs/>
        </w:rPr>
        <w:t xml:space="preserve"> de todos los partícipes de la contratación estatal.</w:t>
      </w:r>
    </w:p>
    <w:p w:rsidRPr="004821B6" w:rsidR="0062384D" w:rsidP="0062384D" w:rsidRDefault="0062384D" w14:paraId="1C388E48" w14:textId="77777777">
      <w:pPr>
        <w:spacing w:after="120" w:line="276" w:lineRule="auto"/>
        <w:ind w:firstLine="708"/>
        <w:jc w:val="both"/>
        <w:rPr>
          <w:rFonts w:ascii="Century Gothic" w:hAnsi="Century Gothic" w:cs="Arial"/>
          <w:lang w:val="es-ES"/>
        </w:rPr>
      </w:pPr>
      <w:r w:rsidRPr="004821B6">
        <w:rPr>
          <w:rFonts w:ascii="Century Gothic" w:hAnsi="Century Gothic" w:cs="Arial"/>
          <w:lang w:val="es-ES"/>
        </w:rPr>
        <w:t xml:space="preserve">La competencia de esta entidad se fija con límites claros, con el objeto de evitar que la Agencia actúe como una instancia de validación de las actuaciones </w:t>
      </w:r>
      <w:r w:rsidRPr="004821B6">
        <w:rPr>
          <w:rFonts w:ascii="Century Gothic" w:hAnsi="Century Gothic" w:cs="Arial"/>
          <w:lang w:val="es-ES"/>
        </w:rPr>
        <w:t>de las entidades sujetas a la Ley 80 de 1993 o de los demás participantes de la contratación pública</w:t>
      </w:r>
      <w:r w:rsidRPr="004821B6">
        <w:rPr>
          <w:rFonts w:ascii="Century Gothic" w:hAnsi="Century Gothic" w:cs="Arial"/>
          <w:vertAlign w:val="superscript"/>
          <w:lang w:val="es-ES"/>
        </w:rPr>
        <w:footnoteReference w:id="2"/>
      </w:r>
      <w:r w:rsidRPr="004821B6">
        <w:rPr>
          <w:rFonts w:ascii="Century Gothic" w:hAnsi="Century Gothic" w:cs="Arial"/>
          <w:lang w:val="es-ES"/>
        </w:rPr>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negocio en específico.</w:t>
      </w:r>
    </w:p>
    <w:p w:rsidRPr="004821B6" w:rsidR="0062384D" w:rsidP="0062384D" w:rsidRDefault="0062384D" w14:paraId="40B72CBC" w14:textId="77777777">
      <w:pPr>
        <w:spacing w:line="276" w:lineRule="auto"/>
        <w:ind w:firstLine="708"/>
        <w:jc w:val="both"/>
        <w:rPr>
          <w:rFonts w:ascii="Century Gothic" w:hAnsi="Century Gothic" w:cs="Arial"/>
          <w:bCs/>
          <w:color w:val="000000" w:themeColor="text1"/>
          <w:lang w:val="es-ES"/>
        </w:rPr>
      </w:pPr>
      <w:r w:rsidRPr="004821B6">
        <w:rPr>
          <w:rFonts w:ascii="Century Gothic" w:hAnsi="Century Gothic" w:eastAsia="Calibri" w:cs="Arial"/>
          <w:bCs/>
        </w:rPr>
        <w:t xml:space="preserve">Sin perjuicio de lo anterior, la Agencia –dentro de los límites de sus atribuciones– resolverá la consulta conforme a las normas generales del sistema de compras públicas. Con este objetivo se abordarán </w:t>
      </w:r>
      <w:r w:rsidRPr="004821B6">
        <w:rPr>
          <w:rFonts w:ascii="Century Gothic" w:hAnsi="Century Gothic" w:eastAsia="Calibri" w:cs="Arial"/>
          <w:bCs/>
          <w:lang w:val="es-ES"/>
        </w:rPr>
        <w:t>los siguientes temas:</w:t>
      </w:r>
      <w:r w:rsidRPr="004821B6">
        <w:rPr>
          <w:rFonts w:ascii="Century Gothic" w:hAnsi="Century Gothic" w:cs="Arial"/>
          <w:color w:val="000000" w:themeColor="text1"/>
          <w:lang w:val="es-ES"/>
        </w:rPr>
        <w:t xml:space="preserve"> </w:t>
      </w:r>
      <w:r w:rsidRPr="004821B6">
        <w:rPr>
          <w:rFonts w:ascii="Century Gothic" w:hAnsi="Century Gothic" w:cs="Arial"/>
          <w:color w:val="000000" w:themeColor="text1"/>
          <w:lang w:val="es-ES_tradnl"/>
        </w:rPr>
        <w:t xml:space="preserve">i) naturaleza de las asociaciones de municipios, </w:t>
      </w:r>
      <w:proofErr w:type="spellStart"/>
      <w:r w:rsidRPr="004821B6">
        <w:rPr>
          <w:rFonts w:ascii="Century Gothic" w:hAnsi="Century Gothic" w:cs="Arial"/>
          <w:color w:val="000000" w:themeColor="text1"/>
          <w:lang w:val="es-ES_tradnl"/>
        </w:rPr>
        <w:t>ii</w:t>
      </w:r>
      <w:proofErr w:type="spellEnd"/>
      <w:r w:rsidRPr="004821B6">
        <w:rPr>
          <w:rFonts w:ascii="Century Gothic" w:hAnsi="Century Gothic" w:cs="Arial"/>
          <w:color w:val="000000" w:themeColor="text1"/>
          <w:lang w:val="es-ES_tradnl"/>
        </w:rPr>
        <w:t xml:space="preserve">) celebración de contratos interadministrativos, </w:t>
      </w:r>
      <w:proofErr w:type="spellStart"/>
      <w:r w:rsidRPr="004821B6">
        <w:rPr>
          <w:rFonts w:ascii="Century Gothic" w:hAnsi="Century Gothic" w:cs="Arial"/>
          <w:color w:val="000000" w:themeColor="text1"/>
          <w:lang w:val="es-ES_tradnl"/>
        </w:rPr>
        <w:t>iii</w:t>
      </w:r>
      <w:proofErr w:type="spellEnd"/>
      <w:r w:rsidRPr="004821B6">
        <w:rPr>
          <w:rFonts w:ascii="Century Gothic" w:hAnsi="Century Gothic" w:cs="Arial"/>
          <w:color w:val="000000" w:themeColor="text1"/>
          <w:lang w:val="es-ES_tradnl"/>
        </w:rPr>
        <w:t xml:space="preserve">) definición y finalidad de la Ley de Garantías Electorales y </w:t>
      </w:r>
      <w:proofErr w:type="spellStart"/>
      <w:r w:rsidRPr="004821B6">
        <w:rPr>
          <w:rFonts w:ascii="Century Gothic" w:hAnsi="Century Gothic" w:cs="Arial"/>
          <w:color w:val="000000" w:themeColor="text1"/>
          <w:lang w:val="es-ES_tradnl"/>
        </w:rPr>
        <w:t>iv</w:t>
      </w:r>
      <w:proofErr w:type="spellEnd"/>
      <w:r w:rsidRPr="004821B6">
        <w:rPr>
          <w:rFonts w:ascii="Century Gothic" w:hAnsi="Century Gothic" w:cs="Arial"/>
          <w:color w:val="000000" w:themeColor="text1"/>
          <w:lang w:val="es-ES_tradnl"/>
        </w:rPr>
        <w:t xml:space="preserve">) restricciones en los comicios para cargos de elección popular.   </w:t>
      </w:r>
    </w:p>
    <w:p w:rsidRPr="004821B6" w:rsidR="0062384D" w:rsidP="0062384D" w:rsidRDefault="0062384D" w14:paraId="4E3BF433" w14:textId="77777777">
      <w:pPr>
        <w:spacing w:before="120" w:after="0" w:line="276" w:lineRule="auto"/>
        <w:ind w:firstLine="709"/>
        <w:jc w:val="both"/>
        <w:rPr>
          <w:rFonts w:ascii="Century Gothic" w:hAnsi="Century Gothic" w:eastAsia="Calibri" w:cs="Arial"/>
          <w:color w:val="000000" w:themeColor="text1"/>
          <w:lang w:val="es-ES"/>
        </w:rPr>
      </w:pPr>
      <w:r w:rsidRPr="004821B6">
        <w:rPr>
          <w:rFonts w:ascii="Century Gothic" w:hAnsi="Century Gothic" w:eastAsia="Calibri" w:cs="Arial"/>
          <w:color w:val="000000" w:themeColor="text1"/>
          <w:lang w:val="es-ES"/>
        </w:rPr>
        <w:t xml:space="preserve">La Agencia Nacional de Contratación Pública – Colombia Compra Eficiente, en los Conceptos 2201913000005444 del 30 de julio de 2019, 2201913000005649 del 8 de agosto de 2019, </w:t>
      </w:r>
      <w:r w:rsidRPr="004821B6">
        <w:rPr>
          <w:rStyle w:val="normaltextrun"/>
          <w:rFonts w:ascii="Century Gothic" w:hAnsi="Century Gothic" w:cs="Arial"/>
          <w:color w:val="000000"/>
          <w:bdr w:val="none" w:color="auto" w:sz="0" w:space="0" w:frame="1"/>
          <w:lang w:val="es-ES"/>
        </w:rPr>
        <w:t xml:space="preserve">4201912000007676 del 20 de diciembre de 2019, C-059 del 25 de febrero de 2020, </w:t>
      </w:r>
      <w:r w:rsidRPr="004821B6">
        <w:rPr>
          <w:rFonts w:ascii="Century Gothic" w:hAnsi="Century Gothic" w:eastAsia="Calibri" w:cs="Arial"/>
          <w:color w:val="000000" w:themeColor="text1"/>
          <w:lang w:val="es-ES"/>
        </w:rPr>
        <w:t>C-659 del 10 de noviembre de 2020,</w:t>
      </w:r>
      <w:r w:rsidRPr="004821B6">
        <w:rPr>
          <w:rFonts w:ascii="Century Gothic" w:hAnsi="Century Gothic" w:eastAsia="Calibri" w:cs="Arial"/>
          <w:color w:val="000000" w:themeColor="text1"/>
          <w:lang w:val="es-MX" w:eastAsia="en-GB"/>
        </w:rPr>
        <w:t xml:space="preserve"> C-788 del 21 de enero de 2021, C-054 del 10 de marzo de 2021, C-116 del 30 de marzo de 2021, C-149 de 8 de abril de 2021, C-173 del 16 de abril de 2021, C-214 del 13 de mayo de 2021, C-284 del 18 de junio de 2021, C-347 del 23 de julio de 2021, C-664 del 30 de agosto de 2021, C-554 del 6 de octubre de 2021, C-249 del 16 de junio de 2022, C-033 del 27 de febrero de 2023 y C-285 del 4 de julio de 2023</w:t>
      </w:r>
      <w:r w:rsidRPr="004821B6">
        <w:rPr>
          <w:rFonts w:ascii="Century Gothic" w:hAnsi="Century Gothic" w:eastAsia="Calibri" w:cs="Arial"/>
          <w:color w:val="000000" w:themeColor="text1"/>
          <w:lang w:val="es-ES"/>
        </w:rPr>
        <w:t xml:space="preserve">, se ha pronunciado sobre los esquemas asociativos de entidades territoriales y la celebración de contratos interadministrativos. </w:t>
      </w:r>
    </w:p>
    <w:p w:rsidRPr="004821B6" w:rsidR="0062384D" w:rsidP="0062384D" w:rsidRDefault="0062384D" w14:paraId="6D142270" w14:textId="77777777">
      <w:pPr>
        <w:spacing w:before="120" w:after="0" w:line="276" w:lineRule="auto"/>
        <w:ind w:firstLine="709"/>
        <w:jc w:val="both"/>
        <w:rPr>
          <w:rFonts w:ascii="Century Gothic" w:hAnsi="Century Gothic" w:eastAsia="Calibri" w:cs="Arial"/>
          <w:color w:val="000000" w:themeColor="text1"/>
          <w:lang w:val="es-ES"/>
        </w:rPr>
      </w:pPr>
      <w:r w:rsidRPr="004821B6">
        <w:rPr>
          <w:rFonts w:ascii="Century Gothic" w:hAnsi="Century Gothic" w:eastAsia="Calibri" w:cs="Arial"/>
          <w:color w:val="000000" w:themeColor="text1"/>
          <w:lang w:val="es-ES"/>
        </w:rPr>
        <w:t xml:space="preserve">Asimismo, en los Conceptos </w:t>
      </w:r>
      <w:r w:rsidRPr="004821B6">
        <w:rPr>
          <w:rStyle w:val="normaltextrun"/>
          <w:rFonts w:ascii="Century Gothic" w:hAnsi="Century Gothic" w:cs="Arial"/>
          <w:color w:val="000000"/>
          <w:shd w:val="clear" w:color="auto" w:fill="FFFFFF"/>
          <w:lang w:val="es-ES"/>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w:t>
      </w:r>
      <w:r w:rsidRPr="004821B6">
        <w:rPr>
          <w:rStyle w:val="normaltextrun"/>
          <w:rFonts w:ascii="Century Gothic" w:hAnsi="Century Gothic" w:cs="Arial"/>
          <w:color w:val="000000"/>
          <w:shd w:val="clear" w:color="auto" w:fill="FFFFFF"/>
          <w:lang w:val="es-ES"/>
        </w:rPr>
        <w:t xml:space="preserve">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4821B6">
        <w:rPr>
          <w:rStyle w:val="normaltextrun"/>
          <w:rFonts w:ascii="Century Gothic" w:hAnsi="Century Gothic" w:cs="Arial"/>
          <w:color w:val="000000"/>
          <w:shd w:val="clear" w:color="auto" w:fill="FFFFFF"/>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y C-145 del 18 de mayo de 2023, la Agencia también se ha pronunciado sobre la aplicación de la Ley de garantías</w:t>
      </w:r>
      <w:r w:rsidRPr="004821B6">
        <w:rPr>
          <w:rStyle w:val="Refdenotaalpie"/>
          <w:rFonts w:ascii="Century Gothic" w:hAnsi="Century Gothic" w:eastAsia="Calibri" w:cs="Arial"/>
        </w:rPr>
        <w:footnoteReference w:id="3"/>
      </w:r>
      <w:r w:rsidRPr="004821B6">
        <w:rPr>
          <w:rStyle w:val="normaltextrun"/>
          <w:rFonts w:ascii="Century Gothic" w:hAnsi="Century Gothic" w:cs="Arial"/>
          <w:color w:val="000000"/>
          <w:shd w:val="clear" w:color="auto" w:fill="FFFFFF"/>
        </w:rPr>
        <w:t xml:space="preserve">. </w:t>
      </w:r>
      <w:r w:rsidRPr="004821B6">
        <w:rPr>
          <w:rFonts w:ascii="Century Gothic" w:hAnsi="Century Gothic" w:eastAsia="Calibri" w:cs="Arial"/>
          <w:color w:val="000000" w:themeColor="text1"/>
          <w:lang w:val="es-ES_tradnl"/>
        </w:rPr>
        <w:t xml:space="preserve">La tesis propuesta en estos conceptos se reitera a continuación y se complementa en lo pertinente. </w:t>
      </w:r>
    </w:p>
    <w:p w:rsidRPr="004821B6" w:rsidR="0062384D" w:rsidP="0062384D" w:rsidRDefault="0062384D" w14:paraId="387A21B1" w14:textId="77777777">
      <w:pPr>
        <w:spacing w:after="0" w:line="276" w:lineRule="auto"/>
        <w:contextualSpacing/>
        <w:jc w:val="both"/>
        <w:rPr>
          <w:rFonts w:ascii="Century Gothic" w:hAnsi="Century Gothic" w:eastAsia="Times New Roman" w:cs="Arial"/>
          <w:b/>
          <w:bCs/>
          <w:szCs w:val="24"/>
          <w:lang w:eastAsia="es-ES_tradnl"/>
        </w:rPr>
      </w:pPr>
    </w:p>
    <w:p w:rsidRPr="004821B6" w:rsidR="0062384D" w:rsidP="0062384D" w:rsidRDefault="0062384D" w14:paraId="406B58A5" w14:textId="77777777">
      <w:pPr>
        <w:spacing w:after="0" w:line="276" w:lineRule="auto"/>
        <w:contextualSpacing/>
        <w:jc w:val="both"/>
        <w:rPr>
          <w:rFonts w:ascii="Century Gothic" w:hAnsi="Century Gothic" w:eastAsia="Times New Roman" w:cs="Arial"/>
          <w:b/>
          <w:bCs/>
          <w:szCs w:val="24"/>
          <w:lang w:eastAsia="es-ES_tradnl"/>
        </w:rPr>
      </w:pPr>
      <w:r w:rsidRPr="004821B6">
        <w:rPr>
          <w:rFonts w:ascii="Century Gothic" w:hAnsi="Century Gothic" w:eastAsia="Times New Roman" w:cs="Arial"/>
          <w:b/>
          <w:bCs/>
          <w:szCs w:val="24"/>
          <w:lang w:eastAsia="es-ES_tradnl"/>
        </w:rPr>
        <w:t>2.1. Naturaleza de las asociaciones de municipios: régimen contractual aplicable</w:t>
      </w:r>
    </w:p>
    <w:p w:rsidRPr="004821B6" w:rsidR="0062384D" w:rsidP="0062384D" w:rsidRDefault="0062384D" w14:paraId="71348782" w14:textId="77777777">
      <w:pPr>
        <w:autoSpaceDE w:val="0"/>
        <w:autoSpaceDN w:val="0"/>
        <w:adjustRightInd w:val="0"/>
        <w:spacing w:after="0" w:line="276" w:lineRule="auto"/>
        <w:jc w:val="both"/>
        <w:rPr>
          <w:rFonts w:ascii="Century Gothic" w:hAnsi="Century Gothic" w:eastAsia="Times New Roman" w:cs="Arial"/>
          <w:color w:val="000000"/>
          <w:szCs w:val="24"/>
          <w:lang w:val="es-ES_tradnl" w:eastAsia="es-ES_tradnl"/>
        </w:rPr>
      </w:pPr>
    </w:p>
    <w:p w:rsidRPr="004821B6" w:rsidR="0062384D" w:rsidP="0062384D" w:rsidRDefault="0062384D" w14:paraId="073F70B4" w14:textId="77777777">
      <w:pPr>
        <w:pStyle w:val="Textoindependiente"/>
        <w:spacing w:after="120" w:line="276" w:lineRule="auto"/>
        <w:ind w:right="103"/>
        <w:jc w:val="both"/>
        <w:rPr>
          <w:rFonts w:ascii="Century Gothic" w:hAnsi="Century Gothic"/>
          <w:color w:val="000000" w:themeColor="text1"/>
        </w:rPr>
      </w:pPr>
      <w:r w:rsidRPr="004821B6">
        <w:rPr>
          <w:rFonts w:ascii="Century Gothic" w:hAnsi="Century Gothic"/>
          <w:color w:val="000000" w:themeColor="text1"/>
        </w:rPr>
        <w:t>Una de las primeras disposiciones relacionadas con</w:t>
      </w:r>
      <w:r w:rsidRPr="004821B6" w:rsidDel="00307A32">
        <w:rPr>
          <w:rFonts w:ascii="Century Gothic" w:hAnsi="Century Gothic"/>
          <w:color w:val="000000" w:themeColor="text1"/>
        </w:rPr>
        <w:t xml:space="preserve"> </w:t>
      </w:r>
      <w:r w:rsidRPr="004821B6">
        <w:rPr>
          <w:rFonts w:ascii="Century Gothic" w:hAnsi="Century Gothic"/>
          <w:color w:val="000000" w:themeColor="text1"/>
        </w:rPr>
        <w:t xml:space="preserve">las asociaciones de municipios </w:t>
      </w:r>
      <w:r w:rsidRPr="004821B6">
        <w:rPr>
          <w:rFonts w:ascii="Century Gothic" w:hAnsi="Century Gothic"/>
          <w:color w:val="000000" w:themeColor="text1"/>
        </w:rPr>
        <w:t>es el artículo 63 del Acto Legislativo 1 de 1968, con el cual se modificó el artículo 198 de la Constitución de 1886, en el sentido de indicar, entre otras cosas, que “La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Pr="004821B6">
        <w:rPr>
          <w:rFonts w:ascii="Century Gothic" w:hAnsi="Century Gothic"/>
          <w:color w:val="000000" w:themeColor="text1"/>
          <w:spacing w:val="-4"/>
        </w:rPr>
        <w:t xml:space="preserve"> </w:t>
      </w:r>
      <w:r w:rsidRPr="004821B6">
        <w:rPr>
          <w:rFonts w:ascii="Century Gothic" w:hAnsi="Century Gothic"/>
          <w:color w:val="000000" w:themeColor="text1"/>
        </w:rPr>
        <w:t>requieran”.</w:t>
      </w:r>
    </w:p>
    <w:p w:rsidRPr="004821B6" w:rsidR="0062384D" w:rsidP="0062384D" w:rsidRDefault="0062384D" w14:paraId="27D36137"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En desarrollo de lo anterior fue expedida la Ley 1 de 1975, a través de la cual se regularon aspectos como la naturaleza jurídica de las asociaciones de municipios, la manera de conformarlas y su funcionamiento</w:t>
      </w:r>
      <w:r w:rsidRPr="004821B6">
        <w:rPr>
          <w:rStyle w:val="Refdenotaalpie"/>
          <w:rFonts w:ascii="Century Gothic" w:hAnsi="Century Gothic"/>
          <w:color w:val="000000" w:themeColor="text1"/>
        </w:rPr>
        <w:footnoteReference w:id="4"/>
      </w:r>
      <w:r w:rsidRPr="004821B6">
        <w:rPr>
          <w:rFonts w:ascii="Century Gothic" w:hAnsi="Century Gothic"/>
          <w:color w:val="000000" w:themeColor="text1"/>
        </w:rPr>
        <w:t>. Posteriormente, la Ley 136 de 1994, en el artículo 149, reiteró el primero de dichos aspectos, al señalar 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p>
    <w:p w:rsidRPr="004821B6" w:rsidR="0062384D" w:rsidP="0062384D" w:rsidRDefault="0062384D" w14:paraId="73453AD1"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Por su parte, el artículo 148 de la referida Ley 136 de 1994 autorizó que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p>
    <w:p w:rsidRPr="004821B6" w:rsidR="0062384D" w:rsidP="0062384D" w:rsidRDefault="0062384D" w14:paraId="41EE5AD6"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A su vez, la Ley 1454 de 2011, orgánica del ordenamiento territorial, concibió a las asociaciones de municipios como una clase de los denominados esquemas asociativos territoriales</w:t>
      </w:r>
      <w:r w:rsidRPr="004821B6">
        <w:rPr>
          <w:rFonts w:ascii="Century Gothic" w:hAnsi="Century Gothic"/>
          <w:vertAlign w:val="superscript"/>
        </w:rPr>
        <w:footnoteReference w:id="5"/>
      </w:r>
      <w:r w:rsidRPr="004821B6">
        <w:rPr>
          <w:rFonts w:ascii="Century Gothic" w:hAnsi="Century Gothic"/>
          <w:color w:val="000000" w:themeColor="text1"/>
        </w:rPr>
        <w:t xml:space="preserve">,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w:t>
      </w:r>
      <w:r w:rsidRPr="004821B6">
        <w:rPr>
          <w:rFonts w:ascii="Century Gothic" w:hAnsi="Century Gothic"/>
          <w:color w:val="000000" w:themeColor="text1"/>
        </w:rPr>
        <w:t>personas jurídicas de derecho público o derecho privado”. Es decir, la diferencia entre las asociaciones de entidades territoriales y las asociaciones de municipios es de género y especie: si bien todas las asociaciones de municipios son asociaciones de entidades territoriales, no todas las asociaciones de entidades territoriales son asociaciones de municipios.</w:t>
      </w:r>
    </w:p>
    <w:p w:rsidRPr="004821B6" w:rsidR="0062384D" w:rsidP="0062384D" w:rsidRDefault="0062384D" w14:paraId="701FA7C5"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En cuanto a la manera como se conforman las asociaciones de municipios, tanto la Ley 136 de 1994 –artículo 150–</w:t>
      </w:r>
      <w:r w:rsidRPr="004821B6">
        <w:rPr>
          <w:rFonts w:ascii="Century Gothic" w:hAnsi="Century Gothic"/>
          <w:vertAlign w:val="superscript"/>
        </w:rPr>
        <w:footnoteReference w:id="6"/>
      </w:r>
      <w:r w:rsidRPr="004821B6">
        <w:rPr>
          <w:rFonts w:ascii="Century Gothic" w:hAnsi="Century Gothic"/>
          <w:color w:val="000000" w:themeColor="text1"/>
        </w:rPr>
        <w:t>, como la Ley 1454 de 2011 –artículo 14–, establecen que se hace a través de convenios, en los términos indicados en dichas disposiciones</w:t>
      </w:r>
      <w:r w:rsidRPr="004821B6">
        <w:rPr>
          <w:rFonts w:ascii="Century Gothic" w:hAnsi="Century Gothic"/>
          <w:vertAlign w:val="superscript"/>
        </w:rPr>
        <w:footnoteReference w:id="7"/>
      </w:r>
      <w:r w:rsidRPr="004821B6">
        <w:rPr>
          <w:rFonts w:ascii="Century Gothic" w:hAnsi="Century Gothic"/>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rsidRPr="004821B6" w:rsidR="0062384D" w:rsidP="0062384D" w:rsidRDefault="0062384D" w14:paraId="09741D37" w14:textId="77777777">
      <w:pPr>
        <w:pStyle w:val="Textoindependiente"/>
        <w:spacing w:after="120" w:line="276" w:lineRule="auto"/>
        <w:ind w:firstLine="709"/>
        <w:jc w:val="both"/>
        <w:rPr>
          <w:rFonts w:ascii="Century Gothic" w:hAnsi="Century Gothic"/>
          <w:color w:val="000000" w:themeColor="text1"/>
        </w:rPr>
      </w:pPr>
      <w:r w:rsidRPr="004821B6">
        <w:rPr>
          <w:rFonts w:ascii="Century Gothic" w:hAnsi="Century Gothic"/>
          <w:color w:val="000000" w:themeColor="text1"/>
        </w:rPr>
        <w:t>Ahora bien, la normativa expuesta se relaciona con las asociaciones de entidades territoriales, particularmente de municipios. Sin embargo, lo anterior no implica desconocer la posibilidad que existe, en general, para las demás entidades estatales para asociarse, particularmente, con fundamento en lo prescrito en el artículo 95 de la Ley 489 de 1998, que permite la asociación de entidades públicas, estableciendo la posibilidad de conformar personas jurídicas sin ánimo de lucro</w:t>
      </w:r>
      <w:r w:rsidRPr="004821B6">
        <w:rPr>
          <w:rStyle w:val="Refdenotaalpie"/>
          <w:rFonts w:ascii="Century Gothic" w:hAnsi="Century Gothic"/>
          <w:color w:val="000000" w:themeColor="text1"/>
        </w:rPr>
        <w:footnoteReference w:id="8"/>
      </w:r>
      <w:r w:rsidRPr="004821B6">
        <w:rPr>
          <w:rFonts w:ascii="Century Gothic" w:hAnsi="Century Gothic"/>
          <w:color w:val="000000" w:themeColor="text1"/>
        </w:rPr>
        <w:t xml:space="preserve">. </w:t>
      </w:r>
      <w:r w:rsidRPr="004821B6">
        <w:rPr>
          <w:rStyle w:val="normaltextrun"/>
          <w:rFonts w:ascii="Century Gothic" w:hAnsi="Century Gothic"/>
          <w:color w:val="000000"/>
          <w:shd w:val="clear" w:color="auto" w:fill="FFFFFF"/>
        </w:rPr>
        <w:t>De este modo, la naturaleza y el carácter de persona jurídica que dichas leyes le atribuyen a las asociaciones de municipios conducen a entender que son entidades diferentes a los municipios que las conforman.</w:t>
      </w:r>
      <w:r w:rsidRPr="004821B6">
        <w:rPr>
          <w:rStyle w:val="eop"/>
          <w:rFonts w:ascii="Century Gothic" w:hAnsi="Century Gothic"/>
          <w:color w:val="000000"/>
          <w:shd w:val="clear" w:color="auto" w:fill="FFFFFF"/>
        </w:rPr>
        <w:t> </w:t>
      </w:r>
    </w:p>
    <w:p w:rsidRPr="004821B6" w:rsidR="0062384D" w:rsidP="0062384D" w:rsidRDefault="0062384D" w14:paraId="46918924" w14:textId="77777777">
      <w:pPr>
        <w:pStyle w:val="paragraph"/>
        <w:shd w:val="clear" w:color="auto" w:fill="FFFFFF"/>
        <w:spacing w:before="0" w:beforeAutospacing="0" w:after="120" w:afterAutospacing="0" w:line="276" w:lineRule="auto"/>
        <w:ind w:firstLine="703"/>
        <w:jc w:val="both"/>
        <w:textAlignment w:val="baseline"/>
        <w:rPr>
          <w:rFonts w:ascii="Century Gothic" w:hAnsi="Century Gothic" w:cs="Segoe UI"/>
          <w:sz w:val="18"/>
          <w:szCs w:val="18"/>
        </w:rPr>
      </w:pPr>
      <w:r w:rsidRPr="004821B6">
        <w:rPr>
          <w:rStyle w:val="normaltextrun"/>
          <w:rFonts w:ascii="Century Gothic" w:hAnsi="Century Gothic" w:cs="Arial"/>
          <w:color w:val="000000"/>
          <w:sz w:val="22"/>
          <w:szCs w:val="22"/>
        </w:rPr>
        <w:t xml:space="preserve">Dicho lo anterior, en relación con la naturaleza jurídica de las asociaciones de municipios, puede afirmarse que su régimen de contratación es el general. Lo </w:t>
      </w:r>
      <w:r w:rsidRPr="004821B6">
        <w:rPr>
          <w:rStyle w:val="normaltextrun"/>
          <w:rFonts w:ascii="Century Gothic" w:hAnsi="Century Gothic" w:cs="Arial"/>
          <w:color w:val="000000"/>
          <w:sz w:val="22"/>
          <w:szCs w:val="22"/>
        </w:rPr>
        <w:t xml:space="preserve">anterior se desprende, además, de lo previsto en el numeral 1 del artículo 2 de la Ley 80 de 1993, que define como entidades estatales, sujetas a dicho estatuto a: “La Nación, las regiones, los departamentos, las provincias, el distrito capital y los distritos especiales, las áreas metropolitanas, </w:t>
      </w:r>
      <w:r w:rsidRPr="004821B6">
        <w:rPr>
          <w:rStyle w:val="normaltextrun"/>
          <w:rFonts w:ascii="Century Gothic" w:hAnsi="Century Gothic" w:cs="Arial"/>
          <w:i/>
          <w:iCs/>
          <w:color w:val="000000"/>
          <w:sz w:val="22"/>
          <w:szCs w:val="22"/>
        </w:rPr>
        <w:t>las asociaciones de municipios</w:t>
      </w:r>
      <w:r w:rsidRPr="004821B6">
        <w:rPr>
          <w:rStyle w:val="normaltextrun"/>
          <w:rFonts w:ascii="Century Gothic" w:hAnsi="Century Gothic" w:cs="Arial"/>
          <w:color w:val="000000"/>
          <w:sz w:val="22"/>
          <w:szCs w:val="22"/>
        </w:rPr>
        <w:t>, los territorios indígenas y los municipios (…)” (Énfasis fuera de texto). Así las cosas, el Estatuto General de Contratación de la Administración Pública establece que las asociaciones de municipios son entidades estatales para efectos contractuales, razón por la cual</w:t>
      </w:r>
      <w:r w:rsidRPr="004821B6">
        <w:rPr>
          <w:rStyle w:val="normaltextrun"/>
          <w:rFonts w:ascii="Arial" w:hAnsi="Arial" w:cs="Arial"/>
          <w:color w:val="000000"/>
          <w:sz w:val="22"/>
          <w:szCs w:val="22"/>
        </w:rPr>
        <w:t> </w:t>
      </w:r>
      <w:r w:rsidRPr="004821B6">
        <w:rPr>
          <w:rStyle w:val="normaltextrun"/>
          <w:rFonts w:ascii="Century Gothic" w:hAnsi="Century Gothic" w:cs="Arial"/>
          <w:color w:val="000000"/>
          <w:sz w:val="22"/>
          <w:szCs w:val="22"/>
        </w:rPr>
        <w:t>se someten a dicho estatuto.</w:t>
      </w:r>
      <w:r w:rsidRPr="004821B6">
        <w:rPr>
          <w:rStyle w:val="normaltextrun"/>
          <w:rFonts w:ascii="Arial" w:hAnsi="Arial" w:cs="Arial"/>
          <w:color w:val="000000"/>
          <w:sz w:val="22"/>
          <w:szCs w:val="22"/>
        </w:rPr>
        <w:t>  </w:t>
      </w:r>
      <w:r w:rsidRPr="004821B6">
        <w:rPr>
          <w:rStyle w:val="eop"/>
          <w:rFonts w:ascii="Century Gothic" w:hAnsi="Century Gothic" w:eastAsia="Arial"/>
          <w:color w:val="000000"/>
          <w:sz w:val="22"/>
          <w:szCs w:val="22"/>
        </w:rPr>
        <w:t> </w:t>
      </w:r>
    </w:p>
    <w:p w:rsidRPr="004821B6" w:rsidR="0062384D" w:rsidP="0062384D" w:rsidRDefault="0062384D" w14:paraId="584712D4" w14:textId="77777777">
      <w:pPr>
        <w:pStyle w:val="paragraph"/>
        <w:shd w:val="clear" w:color="auto" w:fill="FFFFFF"/>
        <w:spacing w:before="0" w:beforeAutospacing="0" w:after="0" w:afterAutospacing="0" w:line="276" w:lineRule="auto"/>
        <w:ind w:firstLine="705"/>
        <w:jc w:val="both"/>
        <w:textAlignment w:val="baseline"/>
        <w:rPr>
          <w:rStyle w:val="eop"/>
          <w:rFonts w:ascii="Century Gothic" w:hAnsi="Century Gothic" w:eastAsia="Arial"/>
          <w:color w:val="000000"/>
          <w:sz w:val="22"/>
          <w:szCs w:val="22"/>
        </w:rPr>
      </w:pPr>
      <w:r w:rsidRPr="004821B6">
        <w:rPr>
          <w:rStyle w:val="normaltextrun"/>
          <w:rFonts w:ascii="Century Gothic" w:hAnsi="Century Gothic" w:cs="Arial"/>
          <w:color w:val="000000"/>
          <w:sz w:val="22"/>
          <w:szCs w:val="22"/>
        </w:rPr>
        <w:t xml:space="preserve">De forma más precisa, el artículo 10 de la Ley 1150 de 2007 establece que “Las cooperativas, las asociaciones conformadas por entidades territoriales y en general los entes solidarios de carácter público estarán sometidos a las disposiciones del Estatuto General de Contratación de la Administración Pública […]”. Dicho lo anterior, resulta claro que el régimen contractual de las asociaciones de municipios no es especial, puesto que por mandato legal se someten al EGCAP. </w:t>
      </w:r>
      <w:r w:rsidRPr="004821B6">
        <w:rPr>
          <w:rStyle w:val="normaltextrun"/>
          <w:rFonts w:ascii="Arial" w:hAnsi="Arial" w:cs="Arial"/>
          <w:color w:val="000000"/>
          <w:sz w:val="22"/>
          <w:szCs w:val="22"/>
        </w:rPr>
        <w:t> </w:t>
      </w:r>
      <w:r w:rsidRPr="004821B6">
        <w:rPr>
          <w:rStyle w:val="eop"/>
          <w:rFonts w:ascii="Century Gothic" w:hAnsi="Century Gothic" w:eastAsia="Arial"/>
          <w:color w:val="000000"/>
          <w:sz w:val="22"/>
          <w:szCs w:val="22"/>
        </w:rPr>
        <w:t> </w:t>
      </w:r>
    </w:p>
    <w:p w:rsidRPr="004821B6" w:rsidR="0062384D" w:rsidP="0062384D" w:rsidRDefault="0062384D" w14:paraId="39AA264F" w14:textId="77777777">
      <w:pPr>
        <w:pStyle w:val="paragraph"/>
        <w:shd w:val="clear" w:color="auto" w:fill="FFFFFF"/>
        <w:spacing w:before="0" w:beforeAutospacing="0" w:after="0" w:afterAutospacing="0" w:line="276" w:lineRule="auto"/>
        <w:jc w:val="both"/>
        <w:textAlignment w:val="baseline"/>
        <w:rPr>
          <w:rStyle w:val="eop"/>
          <w:rFonts w:ascii="Century Gothic" w:hAnsi="Century Gothic" w:eastAsia="Arial"/>
          <w:color w:val="000000"/>
          <w:sz w:val="22"/>
          <w:szCs w:val="22"/>
        </w:rPr>
      </w:pPr>
    </w:p>
    <w:p w:rsidRPr="004821B6" w:rsidR="0062384D" w:rsidP="0062384D" w:rsidRDefault="0062384D" w14:paraId="4F8C6FA0" w14:textId="77777777">
      <w:pPr>
        <w:pStyle w:val="paragraph"/>
        <w:shd w:val="clear" w:color="auto" w:fill="FFFFFF"/>
        <w:spacing w:before="0" w:beforeAutospacing="0" w:after="0" w:afterAutospacing="0" w:line="276" w:lineRule="auto"/>
        <w:jc w:val="both"/>
        <w:textAlignment w:val="baseline"/>
        <w:rPr>
          <w:rFonts w:ascii="Century Gothic" w:hAnsi="Century Gothic" w:cs="Arial"/>
          <w:b/>
          <w:bCs/>
          <w:color w:val="000000"/>
          <w:sz w:val="22"/>
          <w:szCs w:val="22"/>
        </w:rPr>
      </w:pPr>
      <w:r w:rsidRPr="004821B6">
        <w:rPr>
          <w:rStyle w:val="eop"/>
          <w:rFonts w:ascii="Century Gothic" w:hAnsi="Century Gothic" w:eastAsia="Arial"/>
          <w:b/>
          <w:bCs/>
          <w:color w:val="000000"/>
          <w:sz w:val="22"/>
          <w:szCs w:val="22"/>
        </w:rPr>
        <w:t>2.2. Posibilidad de que las asociaciones de municipios celebren contratos o convenios interadministrativos</w:t>
      </w:r>
    </w:p>
    <w:p w:rsidRPr="004821B6" w:rsidR="0062384D" w:rsidP="0062384D" w:rsidRDefault="0062384D" w14:paraId="59A33F8A" w14:textId="77777777">
      <w:pPr>
        <w:pStyle w:val="Textoindependiente"/>
        <w:spacing w:before="1"/>
        <w:rPr>
          <w:rFonts w:ascii="Century Gothic" w:hAnsi="Century Gothic"/>
          <w:b/>
          <w:color w:val="000000" w:themeColor="text1"/>
        </w:rPr>
      </w:pPr>
    </w:p>
    <w:p w:rsidRPr="004821B6" w:rsidR="0062384D" w:rsidP="0062384D" w:rsidRDefault="0062384D" w14:paraId="66C978FB" w14:textId="77777777">
      <w:pPr>
        <w:pStyle w:val="Textoindependiente"/>
        <w:spacing w:line="276" w:lineRule="auto"/>
        <w:ind w:right="108"/>
        <w:jc w:val="both"/>
        <w:rPr>
          <w:rFonts w:ascii="Century Gothic" w:hAnsi="Century Gothic"/>
          <w:color w:val="000000" w:themeColor="text1"/>
        </w:rPr>
      </w:pPr>
      <w:r w:rsidRPr="004821B6">
        <w:rPr>
          <w:rFonts w:ascii="Century Gothic" w:hAnsi="Century Gothic"/>
          <w:color w:val="000000" w:themeColor="text1"/>
        </w:rPr>
        <w:t>Para desarrollar el tema propuesto, es necesario estudiar el marco jurídico, iniciando por un análisis histórico. En tal sentido, la Ley 80 de 1993, en el parágrafo 1 del artículo 2, incluía a las cooperativas y asociaciones de entidades territoriales dentro de la categoría de entidades estatales sometidas a la Ley 80 de 1993, y las facultaba para suscribir convenios</w:t>
      </w:r>
      <w:r w:rsidRPr="004821B6">
        <w:rPr>
          <w:rFonts w:ascii="Century Gothic" w:hAnsi="Century Gothic"/>
          <w:color w:val="000000" w:themeColor="text1"/>
          <w:spacing w:val="-18"/>
        </w:rPr>
        <w:t xml:space="preserve"> </w:t>
      </w:r>
      <w:r w:rsidRPr="004821B6">
        <w:rPr>
          <w:rFonts w:ascii="Century Gothic" w:hAnsi="Century Gothic"/>
          <w:color w:val="000000" w:themeColor="text1"/>
        </w:rPr>
        <w:t>interadministrativos:</w:t>
      </w:r>
    </w:p>
    <w:p w:rsidRPr="004821B6" w:rsidR="0062384D" w:rsidP="0062384D" w:rsidRDefault="0062384D" w14:paraId="5A332BF2" w14:textId="77777777">
      <w:pPr>
        <w:pStyle w:val="Textoindependiente"/>
        <w:spacing w:before="3" w:line="276" w:lineRule="auto"/>
        <w:rPr>
          <w:rFonts w:ascii="Century Gothic" w:hAnsi="Century Gothic"/>
          <w:color w:val="000000" w:themeColor="text1"/>
        </w:rPr>
      </w:pPr>
    </w:p>
    <w:p w:rsidRPr="004821B6" w:rsidR="0062384D" w:rsidP="0062384D" w:rsidRDefault="0062384D" w14:paraId="7829B8EE" w14:textId="77777777">
      <w:pPr>
        <w:pStyle w:val="Textoindependiente"/>
        <w:ind w:left="652" w:right="652"/>
        <w:jc w:val="both"/>
        <w:rPr>
          <w:rFonts w:ascii="Century Gothic" w:hAnsi="Century Gothic"/>
          <w:color w:val="000000" w:themeColor="text1"/>
          <w:sz w:val="21"/>
          <w:szCs w:val="21"/>
        </w:rPr>
      </w:pPr>
      <w:r w:rsidRPr="004821B6">
        <w:rPr>
          <w:rFonts w:ascii="Century Gothic" w:hAnsi="Century Gothic"/>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rsidRPr="004821B6" w:rsidR="0062384D" w:rsidP="0062384D" w:rsidRDefault="0062384D" w14:paraId="73A87061" w14:textId="77777777">
      <w:pPr>
        <w:pStyle w:val="Textoindependiente"/>
        <w:spacing w:before="3" w:line="276" w:lineRule="auto"/>
        <w:rPr>
          <w:rFonts w:ascii="Century Gothic" w:hAnsi="Century Gothic"/>
          <w:color w:val="000000" w:themeColor="text1"/>
        </w:rPr>
      </w:pPr>
    </w:p>
    <w:p w:rsidRPr="004821B6" w:rsidR="0062384D" w:rsidP="0062384D" w:rsidRDefault="0062384D" w14:paraId="1FEC2510" w14:textId="77777777">
      <w:pPr>
        <w:pStyle w:val="Textoindependiente"/>
        <w:spacing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En virtud de lo anterior, el parágrafo del artículo 2 de la Ley 80 de 1993 facultaba a las cooperativas y asociaciones de entidades territoriales para celebrar convenios interadministrativos. 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 competitivos, convenios interadministrativos, siempre que se </w:t>
      </w:r>
      <w:r w:rsidRPr="004821B6">
        <w:rPr>
          <w:rFonts w:ascii="Century Gothic" w:hAnsi="Century Gothic"/>
          <w:color w:val="000000" w:themeColor="text1"/>
        </w:rPr>
        <w:t>acreditaran los siguientes requisitos establecidos en la norma indicada:</w:t>
      </w:r>
    </w:p>
    <w:p w:rsidRPr="004821B6" w:rsidR="0062384D" w:rsidP="0062384D" w:rsidRDefault="0062384D" w14:paraId="415698F9" w14:textId="77777777">
      <w:pPr>
        <w:pStyle w:val="Textoindependiente"/>
        <w:spacing w:before="2" w:line="276" w:lineRule="auto"/>
        <w:rPr>
          <w:rFonts w:ascii="Century Gothic" w:hAnsi="Century Gothic"/>
          <w:color w:val="000000" w:themeColor="text1"/>
        </w:rPr>
      </w:pPr>
    </w:p>
    <w:p w:rsidRPr="004821B6" w:rsidR="0062384D" w:rsidP="0062384D" w:rsidRDefault="0062384D" w14:paraId="32377135" w14:textId="77777777">
      <w:pPr>
        <w:pStyle w:val="Textoindependiente"/>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“Artículo 14. De conformidad con lo previsto en el parágrafo del artículo 2o. de la Ley 80 de 1993, los contratos que se celebren en desarrollo de los convenios interadministrativos estarán sujetos a dicha ley.</w:t>
      </w:r>
    </w:p>
    <w:p w:rsidRPr="004821B6" w:rsidR="0062384D" w:rsidP="0062384D" w:rsidRDefault="0062384D" w14:paraId="13FED58C"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w:t>
      </w:r>
    </w:p>
    <w:p w:rsidRPr="004821B6" w:rsidR="0062384D" w:rsidP="0062384D" w:rsidRDefault="0062384D" w14:paraId="325326CA" w14:textId="77777777">
      <w:pPr>
        <w:pStyle w:val="Textoindependiente"/>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rsidRPr="004821B6" w:rsidR="0062384D" w:rsidP="0062384D" w:rsidRDefault="0062384D" w14:paraId="3B03DF70" w14:textId="77777777">
      <w:pPr>
        <w:pStyle w:val="Textoindependiente"/>
        <w:spacing w:before="3" w:line="276" w:lineRule="auto"/>
        <w:rPr>
          <w:rFonts w:ascii="Century Gothic" w:hAnsi="Century Gothic"/>
          <w:color w:val="000000" w:themeColor="text1"/>
        </w:rPr>
      </w:pPr>
    </w:p>
    <w:p w:rsidRPr="004821B6" w:rsidR="0062384D" w:rsidP="0062384D" w:rsidRDefault="0062384D" w14:paraId="1E9F8D2D" w14:textId="77777777">
      <w:pPr>
        <w:pStyle w:val="Textoindependiente"/>
        <w:spacing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4821B6">
        <w:rPr>
          <w:rFonts w:ascii="Century Gothic" w:hAnsi="Century Gothic"/>
          <w:color w:val="000000" w:themeColor="text1"/>
          <w:spacing w:val="40"/>
        </w:rPr>
        <w:t xml:space="preserve"> </w:t>
      </w:r>
      <w:r w:rsidRPr="004821B6">
        <w:rPr>
          <w:rFonts w:ascii="Century Gothic" w:hAnsi="Century Gothic"/>
          <w:color w:val="000000" w:themeColor="text1"/>
        </w:rPr>
        <w:t>29</w:t>
      </w:r>
      <w:r w:rsidRPr="004821B6">
        <w:rPr>
          <w:rFonts w:ascii="Century Gothic" w:hAnsi="Century Gothic"/>
          <w:color w:val="000000" w:themeColor="text1"/>
          <w:spacing w:val="40"/>
        </w:rPr>
        <w:t xml:space="preserve"> </w:t>
      </w:r>
      <w:r w:rsidRPr="004821B6">
        <w:rPr>
          <w:rFonts w:ascii="Century Gothic" w:hAnsi="Century Gothic"/>
          <w:color w:val="000000" w:themeColor="text1"/>
        </w:rPr>
        <w:t>de</w:t>
      </w:r>
      <w:r w:rsidRPr="004821B6">
        <w:rPr>
          <w:rFonts w:ascii="Century Gothic" w:hAnsi="Century Gothic"/>
          <w:color w:val="000000" w:themeColor="text1"/>
          <w:spacing w:val="41"/>
        </w:rPr>
        <w:t xml:space="preserve"> </w:t>
      </w:r>
      <w:r w:rsidRPr="004821B6">
        <w:rPr>
          <w:rFonts w:ascii="Century Gothic" w:hAnsi="Century Gothic"/>
          <w:color w:val="000000" w:themeColor="text1"/>
        </w:rPr>
        <w:t>la</w:t>
      </w:r>
      <w:r w:rsidRPr="004821B6">
        <w:rPr>
          <w:rFonts w:ascii="Century Gothic" w:hAnsi="Century Gothic"/>
          <w:color w:val="000000" w:themeColor="text1"/>
          <w:spacing w:val="40"/>
        </w:rPr>
        <w:t xml:space="preserve"> </w:t>
      </w:r>
      <w:r w:rsidRPr="004821B6">
        <w:rPr>
          <w:rFonts w:ascii="Century Gothic" w:hAnsi="Century Gothic"/>
          <w:color w:val="000000" w:themeColor="text1"/>
        </w:rPr>
        <w:t>Ley</w:t>
      </w:r>
      <w:r w:rsidRPr="004821B6">
        <w:rPr>
          <w:rFonts w:ascii="Century Gothic" w:hAnsi="Century Gothic"/>
          <w:color w:val="000000" w:themeColor="text1"/>
          <w:spacing w:val="38"/>
        </w:rPr>
        <w:t xml:space="preserve"> </w:t>
      </w:r>
      <w:r w:rsidRPr="004821B6">
        <w:rPr>
          <w:rFonts w:ascii="Century Gothic" w:hAnsi="Century Gothic"/>
          <w:color w:val="000000" w:themeColor="text1"/>
        </w:rPr>
        <w:t>80</w:t>
      </w:r>
      <w:r w:rsidRPr="004821B6">
        <w:rPr>
          <w:rFonts w:ascii="Century Gothic" w:hAnsi="Century Gothic"/>
          <w:color w:val="000000" w:themeColor="text1"/>
          <w:spacing w:val="44"/>
        </w:rPr>
        <w:t xml:space="preserve"> </w:t>
      </w:r>
      <w:r w:rsidRPr="004821B6">
        <w:rPr>
          <w:rFonts w:ascii="Century Gothic" w:hAnsi="Century Gothic"/>
          <w:color w:val="000000" w:themeColor="text1"/>
        </w:rPr>
        <w:t>de</w:t>
      </w:r>
      <w:r w:rsidRPr="004821B6">
        <w:rPr>
          <w:rFonts w:ascii="Century Gothic" w:hAnsi="Century Gothic"/>
          <w:color w:val="000000" w:themeColor="text1"/>
          <w:spacing w:val="40"/>
        </w:rPr>
        <w:t xml:space="preserve"> </w:t>
      </w:r>
      <w:r w:rsidRPr="004821B6">
        <w:rPr>
          <w:rFonts w:ascii="Century Gothic" w:hAnsi="Century Gothic"/>
          <w:color w:val="000000" w:themeColor="text1"/>
        </w:rPr>
        <w:t>1993,</w:t>
      </w:r>
      <w:r w:rsidRPr="004821B6">
        <w:rPr>
          <w:rFonts w:ascii="Century Gothic" w:hAnsi="Century Gothic"/>
          <w:color w:val="000000" w:themeColor="text1"/>
          <w:spacing w:val="39"/>
        </w:rPr>
        <w:t xml:space="preserve"> </w:t>
      </w:r>
      <w:r w:rsidRPr="004821B6">
        <w:rPr>
          <w:rFonts w:ascii="Century Gothic" w:hAnsi="Century Gothic"/>
          <w:color w:val="000000" w:themeColor="text1"/>
        </w:rPr>
        <w:t>normativa</w:t>
      </w:r>
      <w:r w:rsidRPr="004821B6">
        <w:rPr>
          <w:rFonts w:ascii="Century Gothic" w:hAnsi="Century Gothic"/>
          <w:color w:val="000000" w:themeColor="text1"/>
          <w:spacing w:val="41"/>
        </w:rPr>
        <w:t xml:space="preserve"> </w:t>
      </w:r>
      <w:r w:rsidRPr="004821B6">
        <w:rPr>
          <w:rFonts w:ascii="Century Gothic" w:hAnsi="Century Gothic"/>
          <w:color w:val="000000" w:themeColor="text1"/>
        </w:rPr>
        <w:t>que</w:t>
      </w:r>
      <w:r w:rsidRPr="004821B6">
        <w:rPr>
          <w:rFonts w:ascii="Century Gothic" w:hAnsi="Century Gothic"/>
          <w:color w:val="000000" w:themeColor="text1"/>
          <w:spacing w:val="41"/>
        </w:rPr>
        <w:t xml:space="preserve"> </w:t>
      </w:r>
      <w:r w:rsidRPr="004821B6">
        <w:rPr>
          <w:rFonts w:ascii="Century Gothic" w:hAnsi="Century Gothic"/>
          <w:color w:val="000000" w:themeColor="text1"/>
        </w:rPr>
        <w:t>desarrolla</w:t>
      </w:r>
      <w:r w:rsidRPr="004821B6">
        <w:rPr>
          <w:rFonts w:ascii="Century Gothic" w:hAnsi="Century Gothic"/>
          <w:color w:val="000000" w:themeColor="text1"/>
          <w:spacing w:val="40"/>
        </w:rPr>
        <w:t xml:space="preserve"> </w:t>
      </w:r>
      <w:r w:rsidRPr="004821B6">
        <w:rPr>
          <w:rFonts w:ascii="Century Gothic" w:hAnsi="Century Gothic"/>
          <w:color w:val="000000" w:themeColor="text1"/>
        </w:rPr>
        <w:t>la</w:t>
      </w:r>
      <w:r w:rsidRPr="004821B6">
        <w:rPr>
          <w:rFonts w:ascii="Century Gothic" w:hAnsi="Century Gothic"/>
          <w:color w:val="000000" w:themeColor="text1"/>
          <w:spacing w:val="41"/>
        </w:rPr>
        <w:t xml:space="preserve"> </w:t>
      </w:r>
      <w:r w:rsidRPr="004821B6">
        <w:rPr>
          <w:rFonts w:ascii="Century Gothic" w:hAnsi="Century Gothic"/>
          <w:color w:val="000000" w:themeColor="text1"/>
        </w:rPr>
        <w:t>selección</w:t>
      </w:r>
      <w:r w:rsidRPr="004821B6">
        <w:rPr>
          <w:rFonts w:ascii="Century Gothic" w:hAnsi="Century Gothic"/>
          <w:color w:val="000000" w:themeColor="text1"/>
          <w:spacing w:val="38"/>
        </w:rPr>
        <w:t xml:space="preserve"> </w:t>
      </w:r>
      <w:r w:rsidRPr="004821B6">
        <w:rPr>
          <w:rFonts w:ascii="Century Gothic" w:hAnsi="Century Gothic"/>
          <w:color w:val="000000" w:themeColor="text1"/>
        </w:rPr>
        <w:t>objetiva</w:t>
      </w:r>
      <w:r w:rsidRPr="004821B6">
        <w:rPr>
          <w:rFonts w:ascii="Century Gothic" w:hAnsi="Century Gothic"/>
          <w:color w:val="000000" w:themeColor="text1"/>
          <w:spacing w:val="41"/>
        </w:rPr>
        <w:t xml:space="preserve"> </w:t>
      </w:r>
      <w:r w:rsidRPr="004821B6">
        <w:rPr>
          <w:rFonts w:ascii="Century Gothic" w:hAnsi="Century Gothic"/>
          <w:color w:val="000000" w:themeColor="text1"/>
        </w:rPr>
        <w:t>como principio orientador para los procesos de selección sometidos al Estatuto General de Contratación de la Administración Pública:</w:t>
      </w:r>
    </w:p>
    <w:p w:rsidRPr="004821B6" w:rsidR="0062384D" w:rsidP="0062384D" w:rsidRDefault="0062384D" w14:paraId="69F7C7BE" w14:textId="77777777">
      <w:pPr>
        <w:pStyle w:val="Textoindependiente"/>
        <w:spacing w:before="1" w:line="276" w:lineRule="auto"/>
        <w:rPr>
          <w:rFonts w:ascii="Century Gothic" w:hAnsi="Century Gothic"/>
          <w:color w:val="000000" w:themeColor="text1"/>
        </w:rPr>
      </w:pPr>
    </w:p>
    <w:p w:rsidRPr="004821B6" w:rsidR="0062384D" w:rsidP="0062384D" w:rsidRDefault="0062384D" w14:paraId="61B6C067"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rsidRPr="004821B6" w:rsidR="0062384D" w:rsidP="0062384D" w:rsidRDefault="0062384D" w14:paraId="3B001D57"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La selección de estas entidades se hará conforme a las siguientes reglas:</w:t>
      </w:r>
    </w:p>
    <w:p w:rsidRPr="004821B6" w:rsidR="0062384D" w:rsidP="0062384D" w:rsidRDefault="0062384D" w14:paraId="0E7257FE"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rsidRPr="004821B6" w:rsidR="0062384D" w:rsidP="0062384D" w:rsidRDefault="0062384D" w14:paraId="53A66664" w14:textId="77777777">
      <w:pPr>
        <w:pStyle w:val="Textoindependiente"/>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rsidRPr="004821B6" w:rsidR="0062384D" w:rsidP="0062384D" w:rsidRDefault="0062384D" w14:paraId="31B2F03B" w14:textId="77777777">
      <w:pPr>
        <w:pStyle w:val="Textoindependiente"/>
        <w:spacing w:line="276" w:lineRule="auto"/>
        <w:ind w:left="668" w:right="531"/>
        <w:jc w:val="both"/>
        <w:rPr>
          <w:rFonts w:ascii="Century Gothic" w:hAnsi="Century Gothic"/>
          <w:color w:val="000000" w:themeColor="text1"/>
        </w:rPr>
      </w:pPr>
      <w:r w:rsidRPr="004821B6">
        <w:rPr>
          <w:rFonts w:ascii="Century Gothic" w:hAnsi="Century Gothic"/>
          <w:color w:val="000000" w:themeColor="text1"/>
          <w:sz w:val="21"/>
          <w:szCs w:val="21"/>
        </w:rPr>
        <w:tab/>
      </w:r>
    </w:p>
    <w:p w:rsidRPr="004821B6" w:rsidR="0062384D" w:rsidP="0062384D" w:rsidRDefault="0062384D" w14:paraId="38B6E279"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De este modo, la modificación realizada por el artículo 1 del Decreto 4375 </w:t>
      </w:r>
      <w:r w:rsidRPr="004821B6">
        <w:rPr>
          <w:rFonts w:ascii="Century Gothic" w:hAnsi="Century Gothic"/>
          <w:color w:val="000000" w:themeColor="text1"/>
        </w:rPr>
        <w:t>de 2006 restringió la libertad contractual de las cooperativas y asociaciones de entidades territoriales para celebrar convenios interadministrativos de forma directa, sometiéndolas a las reglas de la selección objetiva indicadas en caso de que estas pretendieran contratar o ser contratadas por una entidad</w:t>
      </w:r>
      <w:r w:rsidRPr="004821B6">
        <w:rPr>
          <w:rFonts w:ascii="Century Gothic" w:hAnsi="Century Gothic"/>
          <w:color w:val="000000" w:themeColor="text1"/>
          <w:spacing w:val="-2"/>
        </w:rPr>
        <w:t xml:space="preserve"> </w:t>
      </w:r>
      <w:r w:rsidRPr="004821B6">
        <w:rPr>
          <w:rFonts w:ascii="Century Gothic" w:hAnsi="Century Gothic"/>
          <w:color w:val="000000" w:themeColor="text1"/>
        </w:rPr>
        <w:t>estatal.</w:t>
      </w:r>
    </w:p>
    <w:p w:rsidRPr="004821B6" w:rsidR="0062384D" w:rsidP="0062384D" w:rsidRDefault="0062384D" w14:paraId="5B1B0A08" w14:textId="77777777">
      <w:pPr>
        <w:pStyle w:val="Textoindependiente"/>
        <w:spacing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A su vez, con la vigencia de la Ley 1150 de 2007, normativa que introdujo medidas para la eficiencia y la transparencia en la contratación pública, se establecieron nuevos criterios para la celebración de convenios interadministrativos para la actividad contractual de cooperativas y asociaciones de entidades territoriales. Particularmente, el artículo 32 de la Ley 1150 de 2007 derogó de manera expresa el parágrafo 1 del artículo 2 de la Ley 80 de 1993, que permitía la celebración de convenios interadministrativos por parte de cooperativas y asociaciones de entidades</w:t>
      </w:r>
      <w:r w:rsidRPr="004821B6">
        <w:rPr>
          <w:rFonts w:ascii="Century Gothic" w:hAnsi="Century Gothic"/>
          <w:color w:val="000000" w:themeColor="text1"/>
          <w:spacing w:val="-12"/>
        </w:rPr>
        <w:t xml:space="preserve"> </w:t>
      </w:r>
      <w:r w:rsidRPr="004821B6">
        <w:rPr>
          <w:rFonts w:ascii="Century Gothic" w:hAnsi="Century Gothic"/>
          <w:color w:val="000000" w:themeColor="text1"/>
        </w:rPr>
        <w:t>territoriales</w:t>
      </w:r>
      <w:r w:rsidRPr="004821B6">
        <w:rPr>
          <w:rStyle w:val="Refdenotaalpie"/>
          <w:rFonts w:ascii="Century Gothic" w:hAnsi="Century Gothic"/>
          <w:color w:val="000000" w:themeColor="text1"/>
        </w:rPr>
        <w:footnoteReference w:id="9"/>
      </w:r>
      <w:r w:rsidRPr="004821B6">
        <w:rPr>
          <w:rFonts w:ascii="Century Gothic" w:hAnsi="Century Gothic"/>
          <w:color w:val="000000" w:themeColor="text1"/>
        </w:rPr>
        <w:t>. Además, en armonía con lo anterior, el artículo 10 de la Ley 1150 de 2007 estableció:</w:t>
      </w:r>
    </w:p>
    <w:p w:rsidRPr="004821B6" w:rsidR="0062384D" w:rsidP="0062384D" w:rsidRDefault="0062384D" w14:paraId="375CB916" w14:textId="77777777">
      <w:pPr>
        <w:pStyle w:val="Textoindependiente"/>
        <w:spacing w:before="8" w:line="276" w:lineRule="auto"/>
        <w:rPr>
          <w:rFonts w:ascii="Century Gothic" w:hAnsi="Century Gothic"/>
          <w:color w:val="000000" w:themeColor="text1"/>
        </w:rPr>
      </w:pPr>
    </w:p>
    <w:p w:rsidRPr="004821B6" w:rsidR="0062384D" w:rsidP="0062384D" w:rsidRDefault="0062384D" w14:paraId="7B355535" w14:textId="77777777">
      <w:pPr>
        <w:pStyle w:val="Textoindependiente"/>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rsidRPr="004821B6" w:rsidR="0062384D" w:rsidP="0062384D" w:rsidRDefault="0062384D" w14:paraId="4812D8C0" w14:textId="77777777">
      <w:pPr>
        <w:pStyle w:val="Textoindependiente"/>
        <w:spacing w:before="4" w:line="276" w:lineRule="auto"/>
        <w:rPr>
          <w:rFonts w:ascii="Century Gothic" w:hAnsi="Century Gothic"/>
          <w:color w:val="000000" w:themeColor="text1"/>
        </w:rPr>
      </w:pPr>
    </w:p>
    <w:p w:rsidRPr="004821B6" w:rsidR="0062384D" w:rsidP="0062384D" w:rsidRDefault="0062384D" w14:paraId="16121964"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A partir de la norma citada, la celebración de contratos con entidades estatales, las cooperativas y asociaciones conformadas por entidades territoriales deben someterse a los procesos de selección de la Ley 1150 de 2007, en igualdad de condiciones con los particulares. </w:t>
      </w:r>
      <w:r w:rsidRPr="004821B6">
        <w:rPr>
          <w:rStyle w:val="normaltextrun"/>
          <w:rFonts w:ascii="Century Gothic" w:hAnsi="Century Gothic"/>
          <w:color w:val="000000"/>
          <w:shd w:val="clear" w:color="auto" w:fill="FFFFFF"/>
        </w:rPr>
        <w:t xml:space="preserve">Así las cosas, la finalidad de la norma consiste en establecer que 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w:t>
      </w:r>
    </w:p>
    <w:p w:rsidRPr="004821B6" w:rsidR="0062384D" w:rsidP="0062384D" w:rsidRDefault="0062384D" w14:paraId="4F64CA6C"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De la evolución normativa expuesta se advierte que la prohibición de celebrar contratos mediante la modalidad de contratación directa, incluyendo la imposibilidad de acudir a la causal de contratos interadministrativos, por parte de </w:t>
      </w:r>
      <w:r w:rsidRPr="004821B6">
        <w:rPr>
          <w:rFonts w:ascii="Century Gothic" w:hAnsi="Century Gothic"/>
          <w:color w:val="000000" w:themeColor="text1"/>
        </w:rPr>
        <w:t xml:space="preserve">asociaciones de entidades territoriales tiene como fundamento: i) la derogatoria expresa del artículo 32 de la Ley 1150 de 2007, que dejó sin efectos el parágrafo 1 del artículo 2 de la Ley 80 de 1993; y, particularmente, </w:t>
      </w:r>
      <w:proofErr w:type="spellStart"/>
      <w:r w:rsidRPr="004821B6">
        <w:rPr>
          <w:rFonts w:ascii="Century Gothic" w:hAnsi="Century Gothic"/>
          <w:color w:val="000000" w:themeColor="text1"/>
        </w:rPr>
        <w:t>ii</w:t>
      </w:r>
      <w:proofErr w:type="spellEnd"/>
      <w:r w:rsidRPr="004821B6">
        <w:rPr>
          <w:rFonts w:ascii="Century Gothic" w:hAnsi="Century Gothic"/>
          <w:color w:val="000000" w:themeColor="text1"/>
        </w:rPr>
        <w:t>) el artículo 10 de la ley 1150 de 2007 que establece que la celebración de contratos entre una entidad estatal con, entre otras, asociaciones de entidades territoriales  únicamente se pueden realizar mediante un proceso competitivo, pues deben participar “en igualdad de condiciones con los particulares” y no mediante la modalidad de contratación directa, incluyendo en la prohibición acudir a la causal de los contratos interadministrativos.</w:t>
      </w:r>
    </w:p>
    <w:p w:rsidRPr="004821B6" w:rsidR="0062384D" w:rsidP="0062384D" w:rsidRDefault="0062384D" w14:paraId="68B67ACE" w14:textId="77777777">
      <w:pPr>
        <w:pStyle w:val="Textoindependiente"/>
        <w:spacing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No obstante, continuando con el análisis del desarrollo normativo, debe tenerse en cuenta que posterior a la Ley 1150 de 2007 se expidió la Ley 1454 de 2011, que en el parágrafo del artículo 17 es concluyente frente a la posibilidad que tienen las asociaciones de departamentos, las provincias y las asociaciones de distritos y de municipios de suscribir convenios interadministrativos, en los términos establecidos en el artículo 95 de la ley 489 de 1998:</w:t>
      </w:r>
    </w:p>
    <w:p w:rsidRPr="004821B6" w:rsidR="0062384D" w:rsidP="0062384D" w:rsidRDefault="0062384D" w14:paraId="3B922E6B" w14:textId="77777777">
      <w:pPr>
        <w:pStyle w:val="Textoindependiente"/>
        <w:spacing w:line="276" w:lineRule="auto"/>
        <w:ind w:right="108" w:firstLine="709"/>
        <w:jc w:val="both"/>
        <w:rPr>
          <w:rFonts w:ascii="Century Gothic" w:hAnsi="Century Gothic"/>
          <w:color w:val="000000" w:themeColor="text1"/>
        </w:rPr>
      </w:pPr>
    </w:p>
    <w:p w:rsidRPr="004821B6" w:rsidR="0062384D" w:rsidP="0062384D" w:rsidRDefault="0062384D" w14:paraId="720B82D4" w14:textId="77777777">
      <w:pPr>
        <w:pStyle w:val="Textoindependiente"/>
        <w:spacing w:after="120"/>
        <w:ind w:left="709" w:right="709"/>
        <w:jc w:val="both"/>
        <w:rPr>
          <w:rFonts w:ascii="Century Gothic" w:hAnsi="Century Gothic"/>
          <w:color w:val="000000" w:themeColor="text1"/>
          <w:sz w:val="21"/>
          <w:szCs w:val="21"/>
        </w:rPr>
      </w:pPr>
      <w:bookmarkStart w:name="17" w:id="16"/>
      <w:r w:rsidRPr="004821B6">
        <w:rPr>
          <w:rFonts w:ascii="Century Gothic" w:hAnsi="Century Gothic"/>
          <w:color w:val="000000" w:themeColor="text1"/>
          <w:sz w:val="21"/>
          <w:szCs w:val="21"/>
        </w:rPr>
        <w:t>“Artículo 17. Naturaleza y funcionamiento de los esquemas asociativos.</w:t>
      </w:r>
      <w:bookmarkEnd w:id="16"/>
      <w:r w:rsidRPr="004821B6">
        <w:rPr>
          <w:rFonts w:ascii="Century Gothic" w:hAnsi="Century Gothic"/>
          <w:color w:val="000000" w:themeColor="text1"/>
          <w:sz w:val="21"/>
          <w:szCs w:val="21"/>
        </w:rPr>
        <w:t xml:space="preserve"> Las asociaciones de departamentos, las provincias y las </w:t>
      </w:r>
      <w:r w:rsidRPr="004821B6">
        <w:rPr>
          <w:rFonts w:ascii="Century Gothic" w:hAnsi="Century Gothic"/>
          <w:i/>
          <w:iCs/>
          <w:color w:val="000000" w:themeColor="text1"/>
          <w:sz w:val="21"/>
          <w:szCs w:val="21"/>
        </w:rPr>
        <w:t>asociaciones de distritos y de municipios</w:t>
      </w:r>
      <w:r w:rsidRPr="004821B6">
        <w:rPr>
          <w:rFonts w:ascii="Century Gothic" w:hAnsi="Century Gothic"/>
          <w:color w:val="000000" w:themeColor="text1"/>
          <w:sz w:val="21"/>
          <w:szCs w:val="21"/>
        </w:rPr>
        <w:t xml:space="preserve"> son entidades administrativas de derecho público, con personería jurídica y patrimonio propio e independiente de los entes que la conforman.</w:t>
      </w:r>
    </w:p>
    <w:p w:rsidRPr="004821B6" w:rsidR="0062384D" w:rsidP="0062384D" w:rsidRDefault="0062384D" w14:paraId="3EA6F58D"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Las asociaciones de departamentos podrán constituirse en regiones administrativas y de planificación, previa autorización de sus asambleas departamentales.</w:t>
      </w:r>
    </w:p>
    <w:p w:rsidRPr="004821B6" w:rsidR="0062384D" w:rsidP="0062384D" w:rsidRDefault="0062384D" w14:paraId="262709DA"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rsidRPr="004821B6" w:rsidR="0062384D" w:rsidP="0062384D" w:rsidRDefault="0062384D" w14:paraId="42B1ABB0" w14:textId="77777777">
      <w:pPr>
        <w:pStyle w:val="Textoindependiente"/>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PARÁGRAFO. En concordancia con lo previsto en el artículo </w:t>
      </w:r>
      <w:hyperlink w:history="1" w:anchor="95" r:id="rId11">
        <w:r w:rsidRPr="004821B6">
          <w:rPr>
            <w:rFonts w:ascii="Century Gothic" w:hAnsi="Century Gothic"/>
            <w:color w:val="000000" w:themeColor="text1"/>
            <w:sz w:val="21"/>
            <w:szCs w:val="21"/>
          </w:rPr>
          <w:t>95</w:t>
        </w:r>
      </w:hyperlink>
      <w:r w:rsidRPr="004821B6">
        <w:rPr>
          <w:rFonts w:ascii="Century Gothic" w:hAnsi="Century Gothic"/>
          <w:color w:val="000000" w:themeColor="text1"/>
          <w:sz w:val="21"/>
          <w:szCs w:val="21"/>
        </w:rPr>
        <w:t xml:space="preserve"> de la Ley 489 de 1998, las Entidades Territoriales podrán continuar asociándose mediante la celebración de convenios interadministrativos o mediante la conformación de personas jurídicas de derecho público o derecho privado”. </w:t>
      </w:r>
    </w:p>
    <w:p w:rsidRPr="004821B6" w:rsidR="0062384D" w:rsidP="0062384D" w:rsidRDefault="0062384D" w14:paraId="35146152" w14:textId="77777777">
      <w:pPr>
        <w:pStyle w:val="Textoindependiente"/>
        <w:spacing w:line="276" w:lineRule="auto"/>
        <w:ind w:right="108" w:firstLine="709"/>
        <w:jc w:val="both"/>
        <w:rPr>
          <w:rFonts w:ascii="Century Gothic" w:hAnsi="Century Gothic"/>
          <w:color w:val="000000" w:themeColor="text1"/>
        </w:rPr>
      </w:pPr>
    </w:p>
    <w:p w:rsidRPr="004821B6" w:rsidR="0062384D" w:rsidP="0062384D" w:rsidRDefault="0062384D" w14:paraId="69E64D38" w14:textId="77777777">
      <w:pPr>
        <w:pStyle w:val="Textoindependiente"/>
        <w:spacing w:line="276" w:lineRule="auto"/>
        <w:ind w:right="108"/>
        <w:jc w:val="both"/>
        <w:rPr>
          <w:rFonts w:ascii="Century Gothic" w:hAnsi="Century Gothic"/>
          <w:color w:val="000000" w:themeColor="text1"/>
        </w:rPr>
      </w:pPr>
      <w:r w:rsidRPr="004821B6">
        <w:rPr>
          <w:rFonts w:ascii="Century Gothic" w:hAnsi="Century Gothic"/>
          <w:color w:val="000000" w:themeColor="text1"/>
        </w:rPr>
        <w:tab/>
      </w:r>
      <w:r w:rsidRPr="004821B6">
        <w:rPr>
          <w:rFonts w:ascii="Century Gothic" w:hAnsi="Century Gothic"/>
          <w:color w:val="000000" w:themeColor="text1"/>
        </w:rPr>
        <w:t>Para finalizar el recuento normativo, es necesario hacer referencia a la modificación realizada por el artículo 92 de la Ley 1474 de 2011 al literal </w:t>
      </w:r>
      <w:hyperlink w:history="1" w:anchor="2.4.c" r:id="rId12">
        <w:r w:rsidRPr="004821B6">
          <w:rPr>
            <w:rFonts w:ascii="Century Gothic" w:hAnsi="Century Gothic"/>
            <w:color w:val="000000" w:themeColor="text1"/>
          </w:rPr>
          <w:t>c)</w:t>
        </w:r>
      </w:hyperlink>
      <w:r w:rsidRPr="004821B6">
        <w:rPr>
          <w:rFonts w:ascii="Century Gothic" w:hAnsi="Century Gothic"/>
          <w:color w:val="000000" w:themeColor="text1"/>
        </w:rPr>
        <w:t xml:space="preserve"> del numeral 4 del artículo 2 de la Ley 1150 de 2007. En efecto, el artículo 92 indicado prohíbe acudir a la causal de contratación directa para celebrar ciertas tipologías y objetos contractuales por parte de ciertas entidades, donde se incluye esta </w:t>
      </w:r>
      <w:r w:rsidRPr="004821B6">
        <w:rPr>
          <w:rFonts w:ascii="Century Gothic" w:hAnsi="Century Gothic"/>
          <w:color w:val="000000" w:themeColor="text1"/>
        </w:rPr>
        <w:t>restricción precisa frente a las asociaciones de entidades públicas. En efecto, la disposición establece:</w:t>
      </w:r>
    </w:p>
    <w:p w:rsidRPr="004821B6" w:rsidR="0062384D" w:rsidP="0062384D" w:rsidRDefault="0062384D" w14:paraId="432D53A8" w14:textId="77777777">
      <w:pPr>
        <w:pStyle w:val="Textoindependiente"/>
        <w:spacing w:line="276" w:lineRule="auto"/>
        <w:ind w:right="108" w:firstLine="708"/>
        <w:jc w:val="both"/>
        <w:rPr>
          <w:rFonts w:ascii="Century Gothic" w:hAnsi="Century Gothic"/>
          <w:color w:val="000000" w:themeColor="text1"/>
        </w:rPr>
      </w:pPr>
    </w:p>
    <w:p w:rsidRPr="004821B6" w:rsidR="0062384D" w:rsidP="0062384D" w:rsidRDefault="0062384D" w14:paraId="3CEF269A"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 xml:space="preserve">“Artículo 92. Contratos interadministrativos. </w:t>
      </w:r>
      <w:proofErr w:type="spellStart"/>
      <w:r w:rsidRPr="004821B6">
        <w:rPr>
          <w:rFonts w:ascii="Century Gothic" w:hAnsi="Century Gothic"/>
          <w:color w:val="000000" w:themeColor="text1"/>
          <w:sz w:val="21"/>
          <w:szCs w:val="21"/>
        </w:rPr>
        <w:t>Modifícase</w:t>
      </w:r>
      <w:proofErr w:type="spellEnd"/>
      <w:r w:rsidRPr="004821B6">
        <w:rPr>
          <w:rFonts w:ascii="Century Gothic" w:hAnsi="Century Gothic"/>
          <w:color w:val="000000" w:themeColor="text1"/>
          <w:sz w:val="21"/>
          <w:szCs w:val="21"/>
        </w:rPr>
        <w:t xml:space="preserve"> el inciso primero del literal c) del numeral 4 del artículo 2o de la Ley 1150 de 2007, el cual quedará así:</w:t>
      </w:r>
    </w:p>
    <w:p w:rsidRPr="004821B6" w:rsidR="0062384D" w:rsidP="0062384D" w:rsidRDefault="0062384D" w14:paraId="3DA8C23B" w14:textId="77777777">
      <w:pPr>
        <w:pStyle w:val="Textoindependiente"/>
        <w:spacing w:after="120"/>
        <w:ind w:left="709" w:right="709"/>
        <w:jc w:val="both"/>
        <w:rPr>
          <w:rFonts w:ascii="Century Gothic" w:hAnsi="Century Gothic"/>
          <w:color w:val="000000" w:themeColor="text1"/>
          <w:sz w:val="21"/>
          <w:szCs w:val="21"/>
        </w:rPr>
      </w:pPr>
      <w:r w:rsidRPr="004821B6">
        <w:rPr>
          <w:rFonts w:ascii="Century Gothic" w:hAnsi="Century Gothic"/>
          <w:color w:val="000000" w:themeColor="text1"/>
          <w:sz w:val="21"/>
          <w:szCs w:val="21"/>
        </w:rPr>
        <w:t>c) Contratos interadministrativos, siempre que las obligaciones derivadas del mismo tengan relación directa con el objeto de la entidad ejecutora señalado en la ley o en sus reglamentos.</w:t>
      </w:r>
    </w:p>
    <w:p w:rsidRPr="004821B6" w:rsidR="0062384D" w:rsidP="0062384D" w:rsidRDefault="0062384D" w14:paraId="0E301493" w14:textId="77777777">
      <w:pPr>
        <w:pStyle w:val="Textoindependiente"/>
        <w:ind w:left="709" w:right="709"/>
        <w:jc w:val="both"/>
        <w:rPr>
          <w:rFonts w:ascii="Century Gothic" w:hAnsi="Century Gothic"/>
          <w:color w:val="000000" w:themeColor="text1"/>
          <w:sz w:val="21"/>
          <w:szCs w:val="21"/>
        </w:rPr>
      </w:pPr>
      <w:r w:rsidRPr="004821B6">
        <w:rPr>
          <w:rFonts w:ascii="Century Gothic" w:hAnsi="Century Gothic"/>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4821B6">
        <w:rPr>
          <w:rFonts w:ascii="Century Gothic" w:hAnsi="Century Gothic"/>
          <w:color w:val="000000" w:themeColor="text1"/>
          <w:sz w:val="21"/>
          <w:szCs w:val="21"/>
        </w:rPr>
        <w:t xml:space="preserve"> las instituciones de educación superior públicas o las Sociedades de Economía Mixta con participación mayoritaria del Estado, o </w:t>
      </w:r>
      <w:r w:rsidRPr="004821B6">
        <w:rPr>
          <w:rFonts w:ascii="Century Gothic" w:hAnsi="Century Gothic"/>
          <w:i/>
          <w:iCs/>
          <w:color w:val="000000" w:themeColor="text1"/>
          <w:sz w:val="21"/>
          <w:szCs w:val="21"/>
        </w:rPr>
        <w:t>las personas jurídicas sin ánimo de lucro conformadas por la asociación de entidades públicas</w:t>
      </w:r>
      <w:r w:rsidRPr="004821B6">
        <w:rPr>
          <w:rFonts w:ascii="Century Gothic" w:hAnsi="Century Gothic"/>
          <w:color w:val="000000" w:themeColor="text1"/>
          <w:sz w:val="21"/>
          <w:szCs w:val="21"/>
        </w:rPr>
        <w:t>, o</w:t>
      </w:r>
      <w:r w:rsidRPr="004821B6">
        <w:rPr>
          <w:rFonts w:ascii="Century Gothic" w:hAnsi="Century Gothic"/>
          <w:i/>
          <w:iCs/>
          <w:color w:val="000000" w:themeColor="text1"/>
          <w:sz w:val="21"/>
          <w:szCs w:val="21"/>
        </w:rPr>
        <w:t xml:space="preserve"> </w:t>
      </w:r>
      <w:r w:rsidRPr="004821B6">
        <w:rPr>
          <w:rFonts w:ascii="Century Gothic" w:hAnsi="Century Gothic"/>
          <w:color w:val="000000" w:themeColor="text1"/>
          <w:sz w:val="21"/>
          <w:szCs w:val="21"/>
        </w:rPr>
        <w:t>las federaciones de entidades territoriales</w:t>
      </w:r>
      <w:r w:rsidRPr="004821B6">
        <w:rPr>
          <w:rFonts w:ascii="Century Gothic" w:hAnsi="Century Gothic"/>
          <w:i/>
          <w:iCs/>
          <w:color w:val="000000" w:themeColor="text1"/>
          <w:sz w:val="21"/>
          <w:szCs w:val="21"/>
        </w:rPr>
        <w:t xml:space="preserve"> sean las ejecutoras</w:t>
      </w:r>
      <w:r w:rsidRPr="004821B6">
        <w:rPr>
          <w:rFonts w:ascii="Century Gothic" w:hAnsi="Century Gothic"/>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 (Énfasis fuera de texto)</w:t>
      </w:r>
    </w:p>
    <w:p w:rsidRPr="004821B6" w:rsidR="0062384D" w:rsidP="0062384D" w:rsidRDefault="0062384D" w14:paraId="6591F549" w14:textId="77777777">
      <w:pPr>
        <w:pStyle w:val="Textoindependiente"/>
        <w:spacing w:line="276" w:lineRule="auto"/>
        <w:ind w:right="108" w:firstLine="709"/>
        <w:jc w:val="both"/>
        <w:rPr>
          <w:rFonts w:ascii="Century Gothic" w:hAnsi="Century Gothic"/>
          <w:color w:val="000000" w:themeColor="text1"/>
        </w:rPr>
      </w:pPr>
    </w:p>
    <w:p w:rsidRPr="004821B6" w:rsidR="0062384D" w:rsidP="0062384D" w:rsidRDefault="0062384D" w14:paraId="2B7BDFF7"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La anterior constituye otra prohibición precisa para celebrar ciertos objetos y tipologías contractuales por parte de personas jurídicas sin ánimo de lucro conformadas por la asociación de entidades públicas. En particular,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 Teniendo en cuenta que es una norma de excepción, no es posible aplicarla extensiva ni analógicamente. Por tanto, corresponde a cada ente verificar su naturaleza jurídica para determinar si es o no una persona jurídica sin ánimo de lucro conformada por la asociación de entidades públicas, lo cual podrá validar –por ejemplo– con los fundamentos, el contenido del respetivo acto de creación y su objeto.</w:t>
      </w:r>
    </w:p>
    <w:p w:rsidRPr="004821B6" w:rsidR="0062384D" w:rsidP="0062384D" w:rsidRDefault="0062384D" w14:paraId="4A4BD687"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Para el caso específico de las asociaciones de municipios, el inciso primero del artículo 18 de la Ley 1454 de 2011 –en concordancia con los dispone que la nación podrá contratar o convenir con estos entes asociativos la ejecución asociada de proyectos estratégicos de desarrollo territorial. Asimismo, el inciso segundo </w:t>
      </w:r>
      <w:r w:rsidRPr="004821B6">
        <w:rPr>
          <w:rFonts w:ascii="Century Gothic" w:hAnsi="Century Gothic"/>
          <w:i/>
          <w:iCs/>
          <w:color w:val="000000" w:themeColor="text1"/>
        </w:rPr>
        <w:t>ibidem</w:t>
      </w:r>
      <w:r w:rsidRPr="004821B6">
        <w:rPr>
          <w:rFonts w:ascii="Century Gothic" w:hAnsi="Century Gothic"/>
          <w:color w:val="000000" w:themeColor="text1"/>
        </w:rPr>
        <w:t xml:space="preserve"> prescribe que ambas podrán contratar la ejecución de programas del Plan Nacional de Desarrollo, cuando lo considere pertinente y el </w:t>
      </w:r>
      <w:r w:rsidRPr="004821B6">
        <w:rPr>
          <w:rFonts w:ascii="Century Gothic" w:hAnsi="Century Gothic"/>
          <w:color w:val="000000" w:themeColor="text1"/>
        </w:rPr>
        <w:t>objeto para el cual fueron creadas dichas asociaciones lo permita</w:t>
      </w:r>
      <w:r w:rsidRPr="004821B6">
        <w:rPr>
          <w:rStyle w:val="Refdenotaalpie"/>
          <w:rFonts w:ascii="Century Gothic" w:hAnsi="Century Gothic"/>
          <w:color w:val="000000" w:themeColor="text1"/>
        </w:rPr>
        <w:footnoteReference w:id="10"/>
      </w:r>
      <w:r w:rsidRPr="004821B6">
        <w:rPr>
          <w:rFonts w:ascii="Century Gothic" w:hAnsi="Century Gothic"/>
          <w:color w:val="000000" w:themeColor="text1"/>
        </w:rPr>
        <w:t xml:space="preserve">. En concordancia con los artículos 7 y 8 de la Ley 1450 de 2011, “Por la cual se expide el Plan Nacional de Desarrollo, 2010-2014”, la Ley Orgánica de Ordenamiento Territorial tipifica estos negocios jurídicos con el nombre de contratos o convenios plan, los cuales se reglamentan en el Decreto 819 de 2012 y se definen como acuerdos de voluntades cuyo objeto es el desarrollo mancomunado del territorio. </w:t>
      </w:r>
    </w:p>
    <w:p w:rsidRPr="004821B6" w:rsidR="0062384D" w:rsidP="0062384D" w:rsidRDefault="0062384D" w14:paraId="5A71E40A"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Pese a la especialidad del régimen jurídico, las normas citadas en el párrafo precedente no mencionan explícitamente la modalidad de selección para suscribir estos contratos o convenios. Sin embargo, teniendo en cuenta que tanto la nación como los esquemas asociativos territoriales son entidades estatales, dichos contratos o convenios tienen la naturaleza de interadministrativos</w:t>
      </w:r>
      <w:r w:rsidRPr="004821B6">
        <w:rPr>
          <w:rStyle w:val="Refdenotaalpie"/>
          <w:rFonts w:ascii="Century Gothic" w:hAnsi="Century Gothic"/>
          <w:color w:val="000000" w:themeColor="text1"/>
        </w:rPr>
        <w:footnoteReference w:id="11"/>
      </w:r>
      <w:r w:rsidRPr="004821B6">
        <w:rPr>
          <w:rFonts w:ascii="Century Gothic" w:hAnsi="Century Gothic"/>
          <w:color w:val="000000" w:themeColor="text1"/>
        </w:rPr>
        <w:t xml:space="preserve">. En este contexto, es necesario tener en cuenta que las causales de contratación directa excepcionan los mecanismos de selección objetiva por convocatoria pública definidos en el Estatuto General de Contratación de la Administración Pública, por lo que se interpretan restrictivamente, es decir, conforme al tenor literal de las normas. Por tanto, esta será procedente en las condiciones que disponga el numeral 4 del artículo 2 de la Ley 1150 de 2007, sin perjuicio del análisis que en cada caso específico realice la entidad pública sobre el alcance de las prohibiciones establecidas en el artículo 10 de la Ley 1150 de 2007 y en el artículo 92 de la Ley 1474 de 2011 en función de criterios como la naturaleza jurídica, el objeto del ente asociativo, etc. Esto teniendo en cuenta que la Leyes 1450 y 1454 de 2011 no derogaron expresamente estas restricciones.   </w:t>
      </w:r>
    </w:p>
    <w:p w:rsidRPr="004821B6" w:rsidR="0062384D" w:rsidP="0062384D" w:rsidRDefault="0062384D" w14:paraId="5E463C28" w14:textId="77777777">
      <w:pPr>
        <w:pStyle w:val="Textoindependiente"/>
        <w:spacing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De lo expuesto se concluye la posibilidad de que los esquemas asociativos celebren convenios interadministrativos con otras entidades estatales. Sin perjuicio de lo anterior, en función de la naturaleza jurídica que se termine en cada caso concreto, deben observarse las prohibiciones establecidas en el artículo 10 de la Ley 1150 de 2007 y en el artículo 92 de la Ley 1474 de 2011, los cuales limitan la </w:t>
      </w:r>
      <w:r w:rsidRPr="004821B6">
        <w:rPr>
          <w:rFonts w:ascii="Century Gothic" w:hAnsi="Century Gothic"/>
          <w:color w:val="000000" w:themeColor="text1"/>
        </w:rPr>
        <w:t>modalidad de contratación directa. Esto además de otras restricciones como la prevista en el artículo 38 de la Ley 996 de 2005, tema que se aborda a continuación.</w:t>
      </w:r>
    </w:p>
    <w:p w:rsidRPr="004821B6" w:rsidR="0062384D" w:rsidP="0062384D" w:rsidRDefault="0062384D" w14:paraId="477EB348" w14:textId="77777777">
      <w:pPr>
        <w:widowControl w:val="0"/>
        <w:autoSpaceDE w:val="0"/>
        <w:autoSpaceDN w:val="0"/>
        <w:spacing w:after="0" w:line="276" w:lineRule="auto"/>
        <w:jc w:val="both"/>
        <w:rPr>
          <w:rFonts w:ascii="Century Gothic" w:hAnsi="Century Gothic" w:cs="Arial"/>
        </w:rPr>
      </w:pPr>
    </w:p>
    <w:p w:rsidRPr="004821B6" w:rsidR="0062384D" w:rsidP="0062384D" w:rsidRDefault="0062384D" w14:paraId="62B0A872" w14:textId="77777777">
      <w:pPr>
        <w:tabs>
          <w:tab w:val="left" w:pos="426"/>
        </w:tabs>
        <w:spacing w:after="0" w:line="276" w:lineRule="auto"/>
        <w:contextualSpacing/>
        <w:jc w:val="both"/>
        <w:rPr>
          <w:rFonts w:ascii="Century Gothic" w:hAnsi="Century Gothic" w:eastAsia="Calibri" w:cs="Arial"/>
          <w:b/>
          <w:bCs/>
        </w:rPr>
      </w:pPr>
      <w:r w:rsidRPr="004821B6">
        <w:rPr>
          <w:rFonts w:ascii="Century Gothic" w:hAnsi="Century Gothic" w:eastAsia="Calibri" w:cs="Arial"/>
          <w:b/>
          <w:bCs/>
        </w:rPr>
        <w:t>2.3. Definición y finalidad de la Ley de Garantías Electorales: alcance de las restricciones</w:t>
      </w:r>
    </w:p>
    <w:p w:rsidRPr="004821B6" w:rsidR="0062384D" w:rsidP="0062384D" w:rsidRDefault="0062384D" w14:paraId="2E3B0EB5" w14:textId="77777777">
      <w:pPr>
        <w:tabs>
          <w:tab w:val="left" w:pos="426"/>
        </w:tabs>
        <w:spacing w:after="0" w:line="276" w:lineRule="auto"/>
        <w:ind w:firstLine="709"/>
        <w:contextualSpacing/>
        <w:jc w:val="both"/>
        <w:rPr>
          <w:rFonts w:ascii="Century Gothic" w:hAnsi="Century Gothic" w:eastAsia="Calibri" w:cs="Arial"/>
          <w:bCs/>
        </w:rPr>
      </w:pPr>
    </w:p>
    <w:p w:rsidRPr="004821B6" w:rsidR="0062384D" w:rsidP="0062384D" w:rsidRDefault="0062384D" w14:paraId="2AB001CF" w14:textId="77777777">
      <w:pPr>
        <w:tabs>
          <w:tab w:val="left" w:pos="426"/>
        </w:tabs>
        <w:spacing w:after="120" w:line="276" w:lineRule="auto"/>
        <w:jc w:val="both"/>
        <w:rPr>
          <w:rFonts w:ascii="Century Gothic" w:hAnsi="Century Gothic" w:eastAsia="Times New Roman" w:cs="Arial"/>
          <w:bCs/>
          <w:lang w:eastAsia="es-CO"/>
        </w:rPr>
      </w:pPr>
      <w:r w:rsidRPr="004821B6">
        <w:rPr>
          <w:rFonts w:ascii="Century Gothic" w:hAnsi="Century Gothic" w:eastAsia="Calibri" w:cs="Arial"/>
          <w:bCs/>
        </w:rPr>
        <w:t>El ordenamiento jurídico colombiano contempla previsiones claras para evitar la obtención de beneficios personales en asuntos propios de la administración pública</w:t>
      </w:r>
      <w:r w:rsidRPr="004821B6">
        <w:rPr>
          <w:rFonts w:ascii="Century Gothic" w:hAnsi="Century Gothic" w:eastAsia="Calibri" w:cs="Arial"/>
          <w:bCs/>
          <w:i/>
          <w:iCs/>
        </w:rPr>
        <w:t xml:space="preserve">. </w:t>
      </w:r>
      <w:r w:rsidRPr="004821B6">
        <w:rPr>
          <w:rFonts w:ascii="Century Gothic" w:hAnsi="Century Gothic" w:eastAsia="Calibri"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4821B6">
        <w:rPr>
          <w:rFonts w:ascii="Century Gothic" w:hAnsi="Century Gothic" w:eastAsia="Calibri" w:cs="Arial"/>
          <w:bCs/>
          <w:vertAlign w:val="superscript"/>
        </w:rPr>
        <w:footnoteReference w:id="12"/>
      </w:r>
      <w:r w:rsidRPr="004821B6">
        <w:rPr>
          <w:rFonts w:ascii="Century Gothic" w:hAnsi="Century Gothic" w:eastAsia="Calibri" w:cs="Arial"/>
          <w:bCs/>
        </w:rPr>
        <w:t xml:space="preserve">. </w:t>
      </w:r>
    </w:p>
    <w:p w:rsidRPr="004821B6" w:rsidR="0062384D" w:rsidP="0062384D" w:rsidRDefault="0062384D" w14:paraId="3D4223B0" w14:textId="77777777">
      <w:pPr>
        <w:tabs>
          <w:tab w:val="left" w:pos="426"/>
        </w:tabs>
        <w:spacing w:after="0" w:line="276" w:lineRule="auto"/>
        <w:ind w:firstLine="709"/>
        <w:jc w:val="both"/>
        <w:rPr>
          <w:rFonts w:ascii="Century Gothic" w:hAnsi="Century Gothic" w:eastAsia="Times New Roman" w:cs="Arial"/>
          <w:bCs/>
          <w:lang w:val="es-MX" w:eastAsia="es-CO"/>
        </w:rPr>
      </w:pPr>
      <w:r w:rsidRPr="004821B6">
        <w:rPr>
          <w:rFonts w:ascii="Century Gothic" w:hAnsi="Century Gothic" w:eastAsia="Times New Roman" w:cs="Arial"/>
          <w:bCs/>
          <w:lang w:eastAsia="es-CO"/>
        </w:rPr>
        <w:t>En el mismo sentido</w:t>
      </w:r>
      <w:r w:rsidRPr="004821B6">
        <w:rPr>
          <w:rFonts w:ascii="Century Gothic" w:hAnsi="Century Gothic" w:eastAsia="Times New Roman" w:cs="Arial"/>
          <w:bCs/>
          <w:lang w:val="es-MX" w:eastAsia="es-CO"/>
        </w:rPr>
        <w:t xml:space="preserve">, </w:t>
      </w:r>
      <w:bookmarkStart w:name="_Hlk137045755" w:id="17"/>
      <w:bookmarkStart w:name="_Hlk99576829" w:id="18"/>
      <w:r w:rsidRPr="004821B6">
        <w:rPr>
          <w:rFonts w:ascii="Century Gothic" w:hAnsi="Century Gothic" w:eastAsia="Times New Roman" w:cs="Arial"/>
          <w:bCs/>
          <w:lang w:val="es-MX" w:eastAsia="es-CO"/>
        </w:rPr>
        <w:t>la Ley 996 de 2005</w:t>
      </w:r>
      <w:bookmarkEnd w:id="17"/>
      <w:r w:rsidRPr="004821B6">
        <w:rPr>
          <w:rFonts w:ascii="Century Gothic" w:hAnsi="Century Gothic" w:eastAsia="Times New Roman" w:cs="Arial"/>
          <w:bCs/>
          <w:lang w:val="es-MX" w:eastAsia="es-CO"/>
        </w:rPr>
        <w:t>,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21B6">
        <w:rPr>
          <w:rFonts w:ascii="Century Gothic" w:hAnsi="Century Gothic" w:eastAsia="Times New Roman" w:cs="Arial"/>
          <w:bCs/>
          <w:vertAlign w:val="superscript"/>
          <w:lang w:val="es-MX" w:eastAsia="es-CO"/>
        </w:rPr>
        <w:footnoteReference w:id="13"/>
      </w:r>
      <w:r w:rsidRPr="004821B6">
        <w:rPr>
          <w:rFonts w:ascii="Century Gothic" w:hAnsi="Century Gothic" w:eastAsia="Times New Roman"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821B6">
        <w:rPr>
          <w:rFonts w:ascii="Century Gothic" w:hAnsi="Century Gothic" w:eastAsia="Calibri" w:cs="Arial"/>
          <w:noProof/>
          <w:lang w:val="es-ES_tradnl"/>
        </w:rPr>
        <w:t xml:space="preserve"> </w:t>
      </w:r>
      <w:bookmarkEnd w:id="18"/>
      <w:r w:rsidRPr="004821B6">
        <w:rPr>
          <w:rFonts w:ascii="Century Gothic" w:hAnsi="Century Gothic" w:eastAsia="Times New Roman" w:cs="Arial"/>
          <w:bCs/>
          <w:lang w:val="es-MX" w:eastAsia="es-CO"/>
        </w:rPr>
        <w:t>En armonía con lo anterior, la Corte Constitucional ha abordado la definición de la Ley de Garantías Electorales. De esta manera, explica que tiene como propósito:</w:t>
      </w:r>
    </w:p>
    <w:p w:rsidRPr="004821B6" w:rsidR="0062384D" w:rsidP="0062384D" w:rsidRDefault="0062384D" w14:paraId="5FED1306" w14:textId="77777777">
      <w:pPr>
        <w:spacing w:after="0" w:line="276" w:lineRule="auto"/>
        <w:ind w:right="709"/>
        <w:contextualSpacing/>
        <w:jc w:val="both"/>
        <w:rPr>
          <w:rFonts w:ascii="Century Gothic" w:hAnsi="Century Gothic" w:eastAsia="Times New Roman" w:cs="Arial"/>
          <w:sz w:val="21"/>
          <w:szCs w:val="21"/>
          <w:lang w:val="es-ES" w:eastAsia="es-CO"/>
        </w:rPr>
      </w:pPr>
    </w:p>
    <w:p w:rsidRPr="004821B6" w:rsidR="0062384D" w:rsidP="0062384D" w:rsidRDefault="0062384D" w14:paraId="24FFA838" w14:textId="77777777">
      <w:pPr>
        <w:spacing w:after="0" w:line="240" w:lineRule="auto"/>
        <w:ind w:left="709" w:right="709"/>
        <w:contextualSpacing/>
        <w:jc w:val="both"/>
        <w:rPr>
          <w:rFonts w:ascii="Century Gothic" w:hAnsi="Century Gothic" w:eastAsia="Times New Roman" w:cs="Arial"/>
          <w:bCs/>
          <w:sz w:val="21"/>
          <w:szCs w:val="21"/>
          <w:lang w:val="es-MX" w:eastAsia="es-CO"/>
        </w:rPr>
      </w:pPr>
      <w:r w:rsidRPr="004821B6">
        <w:rPr>
          <w:rFonts w:ascii="Century Gothic" w:hAnsi="Century Gothic" w:eastAsia="Times New Roman" w:cs="Arial"/>
          <w:sz w:val="21"/>
          <w:szCs w:val="21"/>
          <w:lang w:val="es-ES" w:eastAsia="es-CO"/>
        </w:rPr>
        <w:t xml:space="preserve">“[…] </w:t>
      </w:r>
      <w:r w:rsidRPr="004821B6">
        <w:rPr>
          <w:rFonts w:ascii="Century Gothic" w:hAnsi="Century Gothic" w:eastAsia="Times New Roman" w:cs="Arial"/>
          <w:bCs/>
          <w:sz w:val="21"/>
          <w:szCs w:val="21"/>
          <w:lang w:val="es-MX" w:eastAsia="es-CO"/>
        </w:rPr>
        <w:t>la definición de reglas claras que permitan acceder a los canales de expresión democrática de manera efectiva e igualitaria. El objetivo de una ley de garantías es definir esas reglas.</w:t>
      </w:r>
    </w:p>
    <w:p w:rsidRPr="004821B6" w:rsidR="0062384D" w:rsidP="0062384D" w:rsidRDefault="0062384D" w14:paraId="7EE53A6A" w14:textId="77777777">
      <w:pPr>
        <w:spacing w:after="0" w:line="240" w:lineRule="auto"/>
        <w:ind w:left="709" w:right="709"/>
        <w:contextualSpacing/>
        <w:jc w:val="both"/>
        <w:rPr>
          <w:rFonts w:ascii="Century Gothic" w:hAnsi="Century Gothic" w:eastAsia="Times New Roman" w:cs="Arial"/>
          <w:bCs/>
          <w:sz w:val="12"/>
          <w:szCs w:val="12"/>
          <w:lang w:val="es-MX" w:eastAsia="es-CO"/>
        </w:rPr>
      </w:pPr>
    </w:p>
    <w:p w:rsidRPr="004821B6" w:rsidR="0062384D" w:rsidP="0062384D" w:rsidRDefault="0062384D" w14:paraId="3AFEFF0D" w14:textId="77777777">
      <w:pPr>
        <w:spacing w:after="0" w:line="240" w:lineRule="auto"/>
        <w:ind w:left="709" w:right="709"/>
        <w:contextualSpacing/>
        <w:jc w:val="both"/>
        <w:rPr>
          <w:rFonts w:ascii="Century Gothic" w:hAnsi="Century Gothic" w:eastAsia="Times New Roman" w:cs="Arial"/>
          <w:bCs/>
          <w:sz w:val="21"/>
          <w:szCs w:val="21"/>
          <w:lang w:val="es-MX" w:eastAsia="es-CO"/>
        </w:rPr>
      </w:pPr>
      <w:r w:rsidRPr="004821B6">
        <w:rPr>
          <w:rFonts w:ascii="Century Gothic" w:hAnsi="Century Gothic" w:eastAsia="Times New Roman" w:cs="Arial"/>
          <w:bCs/>
          <w:sz w:val="21"/>
          <w:szCs w:val="21"/>
          <w:lang w:val="es-MX" w:eastAsia="es-CO"/>
        </w:rPr>
        <w:t xml:space="preserve">[…] </w:t>
      </w:r>
    </w:p>
    <w:p w:rsidRPr="004821B6" w:rsidR="0062384D" w:rsidP="0062384D" w:rsidRDefault="0062384D" w14:paraId="638B6A04" w14:textId="77777777">
      <w:pPr>
        <w:spacing w:after="0" w:line="240" w:lineRule="auto"/>
        <w:ind w:left="709" w:right="709"/>
        <w:contextualSpacing/>
        <w:jc w:val="both"/>
        <w:rPr>
          <w:rFonts w:ascii="Century Gothic" w:hAnsi="Century Gothic" w:eastAsia="Times New Roman" w:cs="Arial"/>
          <w:bCs/>
          <w:sz w:val="12"/>
          <w:szCs w:val="12"/>
          <w:lang w:val="es-MX" w:eastAsia="es-CO"/>
        </w:rPr>
      </w:pPr>
    </w:p>
    <w:p w:rsidRPr="004821B6" w:rsidR="0062384D" w:rsidP="0062384D" w:rsidRDefault="0062384D" w14:paraId="766F028D" w14:textId="77777777">
      <w:pPr>
        <w:spacing w:after="0" w:line="240" w:lineRule="auto"/>
        <w:ind w:left="709" w:right="709"/>
        <w:contextualSpacing/>
        <w:jc w:val="both"/>
        <w:rPr>
          <w:rFonts w:ascii="Century Gothic" w:hAnsi="Century Gothic" w:eastAsia="Times New Roman" w:cs="Arial"/>
          <w:bCs/>
          <w:sz w:val="21"/>
          <w:szCs w:val="21"/>
          <w:lang w:val="es-MX" w:eastAsia="es-CO"/>
        </w:rPr>
      </w:pPr>
      <w:r w:rsidRPr="004821B6">
        <w:rPr>
          <w:rFonts w:ascii="Century Gothic" w:hAnsi="Century Gothic" w:eastAsia="Times New Roman" w:cs="Arial"/>
          <w:bCs/>
          <w:sz w:val="21"/>
          <w:szCs w:val="21"/>
          <w:lang w:val="es-MX" w:eastAsia="es-CO"/>
        </w:rPr>
        <w:t xml:space="preserve">Una ley de garantías electorales es una guía para el ejercicio equitativo y transparente de la democracia representativa. Un estatuto diseñado </w:t>
      </w:r>
      <w:r w:rsidRPr="004821B6">
        <w:rPr>
          <w:rFonts w:ascii="Century Gothic" w:hAnsi="Century Gothic" w:eastAsia="Times New Roman" w:cs="Arial"/>
          <w:bCs/>
          <w:sz w:val="21"/>
          <w:szCs w:val="21"/>
          <w:lang w:val="es-MX" w:eastAsia="es-CO"/>
        </w:rPr>
        <w:t>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21B6">
        <w:rPr>
          <w:rFonts w:ascii="Century Gothic" w:hAnsi="Century Gothic" w:eastAsia="Calibri" w:cs="Arial"/>
          <w:sz w:val="20"/>
          <w:szCs w:val="20"/>
          <w:vertAlign w:val="superscript"/>
          <w:lang w:val="es-MX"/>
        </w:rPr>
        <w:footnoteReference w:id="14"/>
      </w:r>
      <w:r w:rsidRPr="004821B6">
        <w:rPr>
          <w:rFonts w:ascii="Century Gothic" w:hAnsi="Century Gothic" w:eastAsia="Times New Roman" w:cs="Arial"/>
          <w:bCs/>
          <w:sz w:val="21"/>
          <w:szCs w:val="21"/>
          <w:lang w:val="es-MX" w:eastAsia="es-CO"/>
        </w:rPr>
        <w:t>.</w:t>
      </w:r>
    </w:p>
    <w:p w:rsidRPr="004821B6" w:rsidR="0062384D" w:rsidP="0062384D" w:rsidRDefault="0062384D" w14:paraId="1BC1D908" w14:textId="77777777">
      <w:pPr>
        <w:spacing w:after="0" w:line="276" w:lineRule="auto"/>
        <w:ind w:left="709" w:right="709"/>
        <w:contextualSpacing/>
        <w:jc w:val="both"/>
        <w:rPr>
          <w:rFonts w:ascii="Century Gothic" w:hAnsi="Century Gothic" w:eastAsia="Times New Roman" w:cs="Arial"/>
          <w:bCs/>
          <w:sz w:val="21"/>
          <w:szCs w:val="21"/>
          <w:lang w:val="es-MX" w:eastAsia="es-CO"/>
        </w:rPr>
      </w:pPr>
    </w:p>
    <w:p w:rsidRPr="004821B6" w:rsidR="0062384D" w:rsidP="0062384D" w:rsidRDefault="0062384D" w14:paraId="76AFBA7B" w14:textId="77777777">
      <w:pPr>
        <w:spacing w:after="0" w:line="276" w:lineRule="auto"/>
        <w:ind w:firstLine="709"/>
        <w:jc w:val="both"/>
        <w:rPr>
          <w:rFonts w:ascii="Century Gothic" w:hAnsi="Century Gothic" w:eastAsia="Times New Roman" w:cs="Arial"/>
          <w:bCs/>
          <w:lang w:val="es-MX" w:eastAsia="es-CO"/>
        </w:rPr>
      </w:pPr>
      <w:bookmarkStart w:name="_Hlk78818186" w:id="19"/>
      <w:r w:rsidRPr="004821B6">
        <w:rPr>
          <w:rFonts w:ascii="Century Gothic" w:hAnsi="Century Gothic" w:eastAsia="Times New Roman"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9"/>
      <w:r w:rsidRPr="004821B6">
        <w:rPr>
          <w:rFonts w:ascii="Century Gothic" w:hAnsi="Century Gothic" w:eastAsia="Times New Roman"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rsidRPr="004821B6" w:rsidR="0062384D" w:rsidP="0062384D" w:rsidRDefault="0062384D" w14:paraId="4E91F1D3" w14:textId="77777777">
      <w:pPr>
        <w:spacing w:after="0" w:line="276" w:lineRule="auto"/>
        <w:ind w:firstLine="709"/>
        <w:contextualSpacing/>
        <w:jc w:val="both"/>
        <w:rPr>
          <w:rFonts w:ascii="Century Gothic" w:hAnsi="Century Gothic" w:eastAsia="Times New Roman" w:cs="Arial"/>
          <w:bCs/>
          <w:lang w:val="es-MX" w:eastAsia="es-CO"/>
        </w:rPr>
      </w:pPr>
    </w:p>
    <w:p w:rsidRPr="004821B6" w:rsidR="0062384D" w:rsidP="0062384D" w:rsidRDefault="0062384D" w14:paraId="4FF71048" w14:textId="77777777">
      <w:pPr>
        <w:spacing w:after="0" w:line="240" w:lineRule="auto"/>
        <w:ind w:left="709" w:right="709"/>
        <w:contextualSpacing/>
        <w:jc w:val="both"/>
        <w:rPr>
          <w:rFonts w:ascii="Century Gothic" w:hAnsi="Century Gothic" w:eastAsia="Times New Roman" w:cs="Arial"/>
          <w:bCs/>
          <w:sz w:val="21"/>
          <w:szCs w:val="21"/>
          <w:lang w:val="es-MX" w:eastAsia="es-CO"/>
        </w:rPr>
      </w:pPr>
      <w:r w:rsidRPr="004821B6">
        <w:rPr>
          <w:rFonts w:ascii="Century Gothic" w:hAnsi="Century Gothic" w:eastAsia="Times New Roman"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21B6">
        <w:rPr>
          <w:rFonts w:ascii="Century Gothic" w:hAnsi="Century Gothic" w:eastAsia="Times New Roman" w:cs="Arial"/>
          <w:bCs/>
          <w:sz w:val="21"/>
          <w:szCs w:val="21"/>
          <w:lang w:val="es-MX" w:eastAsia="es-CO"/>
        </w:rPr>
        <w:t>legis</w:t>
      </w:r>
      <w:proofErr w:type="spellEnd"/>
      <w:r w:rsidRPr="004821B6">
        <w:rPr>
          <w:rFonts w:ascii="Century Gothic" w:hAnsi="Century Gothic" w:eastAsia="Times New Roman"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4821B6" w:rsidR="0062384D" w:rsidP="0062384D" w:rsidRDefault="0062384D" w14:paraId="543871D2" w14:textId="77777777">
      <w:pPr>
        <w:spacing w:after="0" w:line="240" w:lineRule="auto"/>
        <w:ind w:left="709" w:right="709"/>
        <w:contextualSpacing/>
        <w:jc w:val="both"/>
        <w:rPr>
          <w:rFonts w:ascii="Century Gothic" w:hAnsi="Century Gothic" w:eastAsia="Times New Roman" w:cs="Arial"/>
          <w:bCs/>
          <w:sz w:val="12"/>
          <w:szCs w:val="12"/>
          <w:lang w:val="es-MX" w:eastAsia="es-CO"/>
        </w:rPr>
      </w:pPr>
    </w:p>
    <w:p w:rsidRPr="004821B6" w:rsidR="0062384D" w:rsidP="0062384D" w:rsidRDefault="0062384D" w14:paraId="14737310" w14:textId="77777777">
      <w:pPr>
        <w:spacing w:after="0" w:line="240" w:lineRule="auto"/>
        <w:ind w:left="709" w:right="709"/>
        <w:contextualSpacing/>
        <w:jc w:val="both"/>
        <w:rPr>
          <w:rFonts w:ascii="Century Gothic" w:hAnsi="Century Gothic" w:eastAsia="Times New Roman" w:cs="Arial"/>
          <w:bCs/>
          <w:sz w:val="21"/>
          <w:szCs w:val="21"/>
          <w:lang w:val="es-MX" w:eastAsia="es-CO"/>
        </w:rPr>
      </w:pPr>
      <w:r w:rsidRPr="004821B6">
        <w:rPr>
          <w:rFonts w:ascii="Century Gothic" w:hAnsi="Century Gothic" w:eastAsia="Times New Roman" w:cs="Arial"/>
          <w:bCs/>
          <w:sz w:val="21"/>
          <w:szCs w:val="21"/>
          <w:lang w:val="es-MX" w:eastAsia="es-CO"/>
        </w:rPr>
        <w:t>La jurisprudencia de la Corte Constitucional</w:t>
      </w:r>
      <w:r w:rsidRPr="004821B6">
        <w:rPr>
          <w:rFonts w:ascii="Century Gothic" w:hAnsi="Century Gothic" w:eastAsia="Times New Roman" w:cs="Arial"/>
          <w:bCs/>
          <w:sz w:val="21"/>
          <w:szCs w:val="21"/>
          <w:vertAlign w:val="superscript"/>
          <w:lang w:val="es-MX" w:eastAsia="es-CO"/>
        </w:rPr>
        <w:footnoteReference w:id="15"/>
      </w:r>
      <w:r w:rsidRPr="004821B6">
        <w:rPr>
          <w:rFonts w:ascii="Century Gothic" w:hAnsi="Century Gothic" w:eastAsia="Times New Roman" w:cs="Arial"/>
          <w:bCs/>
          <w:sz w:val="21"/>
          <w:szCs w:val="21"/>
          <w:lang w:val="es-MX" w:eastAsia="es-CO"/>
        </w:rPr>
        <w:t> y del Consejo de Estado</w:t>
      </w:r>
      <w:r w:rsidRPr="004821B6">
        <w:rPr>
          <w:rFonts w:ascii="Century Gothic" w:hAnsi="Century Gothic" w:eastAsia="Times New Roman" w:cs="Arial"/>
          <w:bCs/>
          <w:sz w:val="21"/>
          <w:szCs w:val="21"/>
          <w:vertAlign w:val="superscript"/>
          <w:lang w:val="es-MX" w:eastAsia="es-CO"/>
        </w:rPr>
        <w:footnoteReference w:id="16"/>
      </w:r>
      <w:r w:rsidRPr="004821B6">
        <w:rPr>
          <w:rFonts w:ascii="Century Gothic" w:hAnsi="Century Gothic" w:eastAsia="Times New Roman"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w:t>
      </w:r>
      <w:r w:rsidRPr="004821B6">
        <w:rPr>
          <w:rFonts w:ascii="Century Gothic" w:hAnsi="Century Gothic" w:eastAsia="Times New Roman" w:cs="Arial"/>
          <w:bCs/>
          <w:sz w:val="21"/>
          <w:szCs w:val="21"/>
          <w:lang w:val="es-MX" w:eastAsia="es-CO"/>
        </w:rPr>
        <w:t>la libertad de actuar o capacidad de obrar, sobrepasar sus precisos términos comporta el desconocimiento de la voluntad del legislador”</w:t>
      </w:r>
      <w:r w:rsidRPr="004821B6">
        <w:rPr>
          <w:rFonts w:ascii="Century Gothic" w:hAnsi="Century Gothic" w:eastAsia="Times New Roman" w:cs="Arial"/>
          <w:bCs/>
          <w:vertAlign w:val="superscript"/>
          <w:lang w:val="es-MX" w:eastAsia="es-CO"/>
        </w:rPr>
        <w:footnoteReference w:id="17"/>
      </w:r>
      <w:r w:rsidRPr="004821B6">
        <w:rPr>
          <w:rFonts w:ascii="Century Gothic" w:hAnsi="Century Gothic" w:eastAsia="Times New Roman" w:cs="Arial"/>
          <w:bCs/>
          <w:sz w:val="21"/>
          <w:szCs w:val="21"/>
          <w:lang w:val="es-MX" w:eastAsia="es-CO"/>
        </w:rPr>
        <w:t>.</w:t>
      </w:r>
    </w:p>
    <w:p w:rsidRPr="004821B6" w:rsidR="0062384D" w:rsidP="0062384D" w:rsidRDefault="0062384D" w14:paraId="2C11E443" w14:textId="77777777">
      <w:pPr>
        <w:spacing w:after="0" w:line="276" w:lineRule="auto"/>
        <w:ind w:right="709"/>
        <w:contextualSpacing/>
        <w:jc w:val="both"/>
        <w:rPr>
          <w:rFonts w:ascii="Century Gothic" w:hAnsi="Century Gothic" w:eastAsia="Times New Roman" w:cs="Arial"/>
          <w:bCs/>
          <w:sz w:val="21"/>
          <w:szCs w:val="21"/>
          <w:lang w:val="es-MX" w:eastAsia="es-CO"/>
        </w:rPr>
      </w:pPr>
    </w:p>
    <w:p w:rsidRPr="004821B6" w:rsidR="0062384D" w:rsidP="0062384D" w:rsidRDefault="0062384D" w14:paraId="456EA1B3" w14:textId="77777777">
      <w:pPr>
        <w:spacing w:after="120" w:line="276" w:lineRule="auto"/>
        <w:jc w:val="both"/>
        <w:rPr>
          <w:rFonts w:ascii="Century Gothic" w:hAnsi="Century Gothic" w:eastAsia="Arial" w:cs="Arial"/>
          <w:lang w:val="es-ES" w:eastAsia="es-ES" w:bidi="es-ES"/>
        </w:rPr>
      </w:pPr>
      <w:r w:rsidRPr="004821B6">
        <w:rPr>
          <w:rFonts w:ascii="Century Gothic" w:hAnsi="Century Gothic" w:eastAsia="Times New Roman" w:cs="Arial"/>
          <w:bCs/>
          <w:lang w:val="es-MX" w:eastAsia="es-CO"/>
        </w:rPr>
        <w:tab/>
      </w:r>
      <w:r w:rsidRPr="004821B6">
        <w:rPr>
          <w:rFonts w:ascii="Century Gothic" w:hAnsi="Century Gothic" w:eastAsia="Times New Roman" w:cs="Arial"/>
          <w:bCs/>
          <w:lang w:val="es-MX" w:eastAsia="es-CO"/>
        </w:rPr>
        <w:t>De</w:t>
      </w:r>
      <w:r w:rsidRPr="004821B6">
        <w:rPr>
          <w:rFonts w:ascii="Century Gothic" w:hAnsi="Century Gothic" w:eastAsia="Arial" w:cs="Arial"/>
          <w:lang w:val="es-ES" w:eastAsia="es-ES" w:bidi="es-ES"/>
        </w:rPr>
        <w:t xml:space="preserve"> conformidad con lo anterior, </w:t>
      </w:r>
      <w:bookmarkStart w:name="_Hlk77236098" w:id="20"/>
      <w:bookmarkStart w:name="_Hlk100679383" w:id="21"/>
      <w:r w:rsidRPr="004821B6">
        <w:rPr>
          <w:rFonts w:ascii="Century Gothic" w:hAnsi="Century Gothic" w:eastAsia="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20"/>
    </w:p>
    <w:p w:rsidRPr="004821B6" w:rsidR="0062384D" w:rsidP="0062384D" w:rsidRDefault="0062384D" w14:paraId="403E352E" w14:textId="77777777">
      <w:pPr>
        <w:spacing w:after="120" w:line="276" w:lineRule="auto"/>
        <w:ind w:firstLine="708"/>
        <w:jc w:val="both"/>
        <w:rPr>
          <w:rFonts w:ascii="Century Gothic" w:hAnsi="Century Gothic" w:eastAsia="Calibri" w:cs="Arial"/>
        </w:rPr>
      </w:pPr>
      <w:r w:rsidRPr="004821B6">
        <w:rPr>
          <w:rFonts w:ascii="Century Gothic" w:hAnsi="Century Gothic" w:eastAsia="Calibri" w:cs="Arial"/>
        </w:rPr>
        <w:t xml:space="preserve">Por un lado, el artículo 33 de la Ley 996 de 2005 prohíbe </w:t>
      </w:r>
      <w:r w:rsidRPr="004821B6">
        <w:rPr>
          <w:rFonts w:ascii="Century Gothic" w:hAnsi="Century Gothic" w:eastAsia="Calibri" w:cs="Arial"/>
          <w:bCs/>
        </w:rPr>
        <w:t xml:space="preserve">“[…] </w:t>
      </w:r>
      <w:r w:rsidRPr="004821B6">
        <w:rPr>
          <w:rFonts w:ascii="Century Gothic" w:hAnsi="Century Gothic" w:eastAsia="Calibri" w:cs="Arial"/>
        </w:rPr>
        <w:t>la contratación directa por parte de todos los entes del Estado</w:t>
      </w:r>
      <w:r w:rsidRPr="004821B6">
        <w:rPr>
          <w:rFonts w:ascii="Century Gothic" w:hAnsi="Century Gothic" w:eastAsia="Calibri" w:cs="Arial"/>
          <w:bCs/>
        </w:rPr>
        <w:t>”</w:t>
      </w:r>
      <w:r w:rsidRPr="004821B6">
        <w:rPr>
          <w:rFonts w:ascii="Century Gothic" w:hAnsi="Century Gothic" w:eastAsia="Calibri" w:cs="Arial"/>
        </w:rPr>
        <w:t xml:space="preserve"> durante los cuatro (4) meses anteriores a las elecciones presidenciales, salvo </w:t>
      </w:r>
      <w:r w:rsidRPr="004821B6">
        <w:rPr>
          <w:rFonts w:ascii="Century Gothic" w:hAnsi="Century Gothic" w:eastAsia="Calibri" w:cs="Arial"/>
          <w:bCs/>
        </w:rPr>
        <w:t xml:space="preserve">“[…] </w:t>
      </w:r>
      <w:r w:rsidRPr="004821B6">
        <w:rPr>
          <w:rFonts w:ascii="Century Gothic" w:hAnsi="Century Gothic" w:eastAsia="Calibri"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21B6">
        <w:rPr>
          <w:rFonts w:ascii="Century Gothic" w:hAnsi="Century Gothic" w:eastAsia="Calibri" w:cs="Arial"/>
          <w:bCs/>
        </w:rPr>
        <w:t>”</w:t>
      </w:r>
      <w:r w:rsidRPr="004821B6">
        <w:rPr>
          <w:rFonts w:ascii="Century Gothic" w:hAnsi="Century Gothic" w:eastAsia="Calibri" w:cs="Arial"/>
          <w:bCs/>
          <w:vertAlign w:val="superscript"/>
        </w:rPr>
        <w:footnoteReference w:id="18"/>
      </w:r>
      <w:r w:rsidRPr="004821B6">
        <w:rPr>
          <w:rFonts w:ascii="Century Gothic" w:hAnsi="Century Gothic" w:eastAsia="Calibri" w:cs="Arial"/>
        </w:rPr>
        <w:t>.</w:t>
      </w:r>
    </w:p>
    <w:p w:rsidRPr="004821B6" w:rsidR="0062384D" w:rsidP="0062384D" w:rsidRDefault="0062384D" w14:paraId="2D8B07CB" w14:textId="77777777">
      <w:pPr>
        <w:widowControl w:val="0"/>
        <w:autoSpaceDE w:val="0"/>
        <w:autoSpaceDN w:val="0"/>
        <w:spacing w:after="0" w:line="276" w:lineRule="auto"/>
        <w:ind w:right="113" w:firstLine="708"/>
        <w:contextualSpacing/>
        <w:jc w:val="both"/>
        <w:rPr>
          <w:rFonts w:ascii="Century Gothic" w:hAnsi="Century Gothic" w:eastAsia="Arial" w:cs="Arial"/>
          <w:lang w:val="es-ES" w:eastAsia="es-ES" w:bidi="es-ES"/>
        </w:rPr>
      </w:pPr>
      <w:r w:rsidRPr="004821B6">
        <w:rPr>
          <w:rFonts w:ascii="Century Gothic" w:hAnsi="Century Gothic" w:eastAsia="Calibri"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21B6">
        <w:rPr>
          <w:rFonts w:ascii="Century Gothic" w:hAnsi="Century Gothic" w:eastAsia="Calibri" w:cs="Arial"/>
          <w:bCs/>
        </w:rPr>
        <w:t xml:space="preserve">“[…] </w:t>
      </w:r>
      <w:r w:rsidRPr="004821B6">
        <w:rPr>
          <w:rFonts w:ascii="Century Gothic" w:hAnsi="Century Gothic" w:eastAsia="Calibri"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21B6">
        <w:rPr>
          <w:rFonts w:ascii="Century Gothic" w:hAnsi="Century Gothic" w:eastAsia="Calibri" w:cs="Arial"/>
          <w:bCs/>
          <w:sz w:val="19"/>
          <w:szCs w:val="19"/>
        </w:rPr>
        <w:t>”</w:t>
      </w:r>
      <w:bookmarkEnd w:id="21"/>
      <w:r w:rsidRPr="004821B6">
        <w:rPr>
          <w:rFonts w:ascii="Century Gothic" w:hAnsi="Century Gothic" w:eastAsia="Calibri" w:cs="Arial"/>
          <w:bCs/>
          <w:sz w:val="19"/>
          <w:szCs w:val="19"/>
          <w:vertAlign w:val="superscript"/>
        </w:rPr>
        <w:footnoteReference w:id="19"/>
      </w:r>
      <w:r w:rsidRPr="004821B6">
        <w:rPr>
          <w:rFonts w:ascii="Century Gothic" w:hAnsi="Century Gothic" w:eastAsia="Calibri" w:cs="Arial"/>
          <w:lang w:val="es-MX"/>
        </w:rPr>
        <w:t>.</w:t>
      </w:r>
      <w:r w:rsidRPr="004821B6">
        <w:rPr>
          <w:rFonts w:ascii="Century Gothic" w:hAnsi="Century Gothic" w:eastAsia="Arial" w:cs="Arial"/>
          <w:lang w:val="es-ES" w:eastAsia="es-ES" w:bidi="es-ES"/>
        </w:rPr>
        <w:t xml:space="preserve"> </w:t>
      </w:r>
      <w:r w:rsidRPr="004821B6">
        <w:rPr>
          <w:rFonts w:ascii="Century Gothic" w:hAnsi="Century Gothic" w:eastAsia="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rsidRPr="004821B6" w:rsidR="0062384D" w:rsidP="0062384D" w:rsidRDefault="0062384D" w14:paraId="49B6C7AB" w14:textId="77777777">
      <w:pPr>
        <w:widowControl w:val="0"/>
        <w:autoSpaceDE w:val="0"/>
        <w:autoSpaceDN w:val="0"/>
        <w:spacing w:after="0" w:line="276" w:lineRule="auto"/>
        <w:ind w:left="805" w:right="812"/>
        <w:contextualSpacing/>
        <w:jc w:val="both"/>
        <w:rPr>
          <w:rFonts w:ascii="Century Gothic" w:hAnsi="Century Gothic" w:eastAsia="Arial" w:cs="Arial"/>
          <w:lang w:val="es-ES" w:eastAsia="es-ES" w:bidi="es-ES"/>
        </w:rPr>
      </w:pPr>
    </w:p>
    <w:p w:rsidRPr="004821B6" w:rsidR="0062384D" w:rsidP="0062384D" w:rsidRDefault="0062384D" w14:paraId="0416CB8F" w14:textId="77777777">
      <w:pPr>
        <w:widowControl w:val="0"/>
        <w:autoSpaceDE w:val="0"/>
        <w:autoSpaceDN w:val="0"/>
        <w:spacing w:after="0" w:line="240" w:lineRule="auto"/>
        <w:ind w:left="709" w:right="709"/>
        <w:contextualSpacing/>
        <w:jc w:val="both"/>
        <w:rPr>
          <w:rFonts w:ascii="Century Gothic" w:hAnsi="Century Gothic" w:eastAsia="Arial" w:cs="Arial"/>
          <w:sz w:val="21"/>
          <w:szCs w:val="21"/>
          <w:lang w:val="es-ES" w:eastAsia="es-ES" w:bidi="es-ES"/>
        </w:rPr>
      </w:pPr>
      <w:r w:rsidRPr="004821B6">
        <w:rPr>
          <w:rFonts w:ascii="Century Gothic" w:hAnsi="Century Gothic"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24"/>
      <w:r w:rsidRPr="004821B6">
        <w:rPr>
          <w:rFonts w:ascii="Century Gothic" w:hAnsi="Century Gothic" w:eastAsia="Arial" w:cs="Arial"/>
          <w:sz w:val="21"/>
          <w:szCs w:val="21"/>
          <w:lang w:val="es-ES" w:eastAsia="es-ES" w:bidi="es-ES"/>
        </w:rPr>
        <w:t>se integran parcialmente</w:t>
      </w:r>
      <w:bookmarkEnd w:id="24"/>
      <w:r w:rsidRPr="004821B6">
        <w:rPr>
          <w:rFonts w:ascii="Century Gothic" w:hAnsi="Century Gothic"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21B6">
        <w:rPr>
          <w:rFonts w:ascii="Century Gothic" w:hAnsi="Century Gothic" w:eastAsia="Arial" w:cs="Arial"/>
          <w:bCs/>
          <w:sz w:val="21"/>
          <w:szCs w:val="21"/>
          <w:lang w:val="es-ES" w:eastAsia="es-ES" w:bidi="es-ES"/>
        </w:rPr>
        <w:t xml:space="preserve">En cambio, para elecciones en general, excluyendo las correspondientes a </w:t>
      </w:r>
      <w:proofErr w:type="gramStart"/>
      <w:r w:rsidRPr="004821B6">
        <w:rPr>
          <w:rFonts w:ascii="Century Gothic" w:hAnsi="Century Gothic" w:eastAsia="Arial" w:cs="Arial"/>
          <w:bCs/>
          <w:sz w:val="21"/>
          <w:szCs w:val="21"/>
          <w:lang w:val="es-ES" w:eastAsia="es-ES" w:bidi="es-ES"/>
        </w:rPr>
        <w:t>Presidente</w:t>
      </w:r>
      <w:proofErr w:type="gramEnd"/>
      <w:r w:rsidRPr="004821B6">
        <w:rPr>
          <w:rFonts w:ascii="Century Gothic" w:hAnsi="Century Gothic"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4821B6">
        <w:rPr>
          <w:rFonts w:ascii="Century Gothic" w:hAnsi="Century Gothic" w:eastAsia="Arial" w:cs="Arial"/>
          <w:sz w:val="21"/>
          <w:szCs w:val="21"/>
          <w:vertAlign w:val="superscript"/>
          <w:lang w:val="es-ES" w:eastAsia="es-ES" w:bidi="es-ES"/>
        </w:rPr>
        <w:footnoteReference w:id="20"/>
      </w:r>
      <w:r w:rsidRPr="004821B6">
        <w:rPr>
          <w:rFonts w:ascii="Century Gothic" w:hAnsi="Century Gothic" w:eastAsia="Arial" w:cs="Arial"/>
          <w:bCs/>
          <w:sz w:val="21"/>
          <w:szCs w:val="21"/>
          <w:lang w:val="es-ES" w:eastAsia="es-ES" w:bidi="es-ES"/>
        </w:rPr>
        <w:t>.</w:t>
      </w:r>
    </w:p>
    <w:p w:rsidRPr="004821B6" w:rsidR="0062384D" w:rsidP="0062384D" w:rsidRDefault="0062384D" w14:paraId="798BD7A8" w14:textId="77777777">
      <w:pPr>
        <w:widowControl w:val="0"/>
        <w:autoSpaceDE w:val="0"/>
        <w:autoSpaceDN w:val="0"/>
        <w:spacing w:after="0" w:line="276" w:lineRule="auto"/>
        <w:contextualSpacing/>
        <w:rPr>
          <w:rFonts w:ascii="Century Gothic" w:hAnsi="Century Gothic" w:eastAsia="Arial" w:cs="Arial"/>
          <w:lang w:val="es-ES" w:eastAsia="es-ES" w:bidi="es-ES"/>
        </w:rPr>
      </w:pPr>
    </w:p>
    <w:p w:rsidRPr="004821B6" w:rsidR="0062384D" w:rsidP="0062384D" w:rsidRDefault="0062384D" w14:paraId="04DD3668" w14:textId="77777777">
      <w:pPr>
        <w:spacing w:after="120" w:line="276" w:lineRule="auto"/>
        <w:ind w:firstLine="709"/>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 xml:space="preserve">De conformidad con lo anterior, </w:t>
      </w:r>
      <w:bookmarkStart w:name="_Hlk77236420" w:id="25"/>
      <w:bookmarkStart w:name="_Hlk78818435" w:id="26"/>
      <w:bookmarkStart w:name="_Hlk75780333" w:id="27"/>
      <w:r w:rsidRPr="004821B6">
        <w:rPr>
          <w:rFonts w:ascii="Century Gothic" w:hAnsi="Century Gothic" w:eastAsia="Arial" w:cs="Arial"/>
          <w:lang w:val="es-ES" w:eastAsia="es-ES" w:bidi="es-ES"/>
        </w:rPr>
        <w:t xml:space="preserve">la Ley 996 de 2005 establece dos (2) tipos de restricciones en materia de contratación, las cuales coinciden parcialmente. </w:t>
      </w:r>
      <w:r w:rsidRPr="004821B6">
        <w:rPr>
          <w:rFonts w:ascii="Century Gothic" w:hAnsi="Century Gothic" w:eastAsia="Arial" w:cs="Arial"/>
          <w:i/>
          <w:iCs/>
          <w:lang w:val="es-ES" w:eastAsia="es-ES" w:bidi="es-ES"/>
        </w:rPr>
        <w:t>En primer lugar</w:t>
      </w:r>
      <w:r w:rsidRPr="004821B6">
        <w:rPr>
          <w:rFonts w:ascii="Century Gothic" w:hAnsi="Century Gothic" w:eastAsia="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21B6">
        <w:rPr>
          <w:rFonts w:ascii="Century Gothic" w:hAnsi="Century Gothic" w:eastAsia="Arial" w:cs="Arial"/>
          <w:i/>
          <w:iCs/>
          <w:lang w:val="es-ES" w:eastAsia="es-ES" w:bidi="es-ES"/>
        </w:rPr>
        <w:t>En segundo lugar</w:t>
      </w:r>
      <w:r w:rsidRPr="004821B6">
        <w:rPr>
          <w:rFonts w:ascii="Century Gothic" w:hAnsi="Century Gothic" w:eastAsia="Arial" w:cs="Arial"/>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w:t>
      </w:r>
      <w:r w:rsidRPr="004821B6">
        <w:rPr>
          <w:rFonts w:ascii="Century Gothic" w:hAnsi="Century Gothic" w:eastAsia="Arial" w:cs="Arial"/>
          <w:lang w:val="es-ES" w:eastAsia="es-ES" w:bidi="es-ES"/>
        </w:rPr>
        <w:t>ejecución de recursos públicos dentro de los cuatro (4) meses anteriores a la respectiva jornada de votaciones.</w:t>
      </w:r>
      <w:bookmarkEnd w:id="25"/>
    </w:p>
    <w:bookmarkEnd w:id="26"/>
    <w:p w:rsidRPr="004821B6" w:rsidR="0062384D" w:rsidP="0062384D" w:rsidRDefault="0062384D" w14:paraId="357CD653" w14:textId="77777777">
      <w:pPr>
        <w:spacing w:after="120" w:line="276" w:lineRule="auto"/>
        <w:ind w:firstLine="709"/>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 xml:space="preserve">Ambas restricciones no son excluyentes, lo que permite concluir que en el período preelectoral para elección de </w:t>
      </w:r>
      <w:proofErr w:type="gramStart"/>
      <w:r w:rsidRPr="004821B6">
        <w:rPr>
          <w:rFonts w:ascii="Century Gothic" w:hAnsi="Century Gothic" w:eastAsia="Arial" w:cs="Arial"/>
          <w:lang w:val="es-ES" w:eastAsia="es-ES" w:bidi="es-ES"/>
        </w:rPr>
        <w:t>Presidente</w:t>
      </w:r>
      <w:proofErr w:type="gramEnd"/>
      <w:r w:rsidRPr="004821B6">
        <w:rPr>
          <w:rFonts w:ascii="Century Gothic" w:hAnsi="Century Gothic" w:eastAsia="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21B6">
        <w:rPr>
          <w:rFonts w:ascii="Century Gothic" w:hAnsi="Century Gothic" w:eastAsia="Arial" w:cs="Arial"/>
          <w:lang w:val="es-ES" w:eastAsia="es-ES" w:bidi="es-ES"/>
        </w:rPr>
        <w:t>Presidente</w:t>
      </w:r>
      <w:proofErr w:type="gramEnd"/>
      <w:r w:rsidRPr="004821B6">
        <w:rPr>
          <w:rFonts w:ascii="Century Gothic" w:hAnsi="Century Gothic" w:eastAsia="Arial" w:cs="Arial"/>
          <w:lang w:val="es-ES" w:eastAsia="es-ES" w:bidi="es-ES"/>
        </w:rPr>
        <w:t xml:space="preserve"> de la República, las autoridades allí mencionadas sólo deben aplicar las restricciones contenidas en el parágrafo del artículo 38.</w:t>
      </w:r>
    </w:p>
    <w:bookmarkEnd w:id="27"/>
    <w:p w:rsidRPr="004821B6" w:rsidR="0062384D" w:rsidP="0062384D" w:rsidRDefault="0062384D" w14:paraId="1136FDE1" w14:textId="77777777">
      <w:pPr>
        <w:spacing w:after="0" w:line="276" w:lineRule="auto"/>
        <w:ind w:firstLine="708"/>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821B6">
        <w:rPr>
          <w:rFonts w:ascii="Century Gothic" w:hAnsi="Century Gothic" w:eastAsia="Arial" w:cs="Arial"/>
          <w:lang w:val="es-ES" w:eastAsia="es-ES" w:bidi="es-ES"/>
        </w:rPr>
        <w:t>Presidente</w:t>
      </w:r>
      <w:proofErr w:type="gramEnd"/>
      <w:r w:rsidRPr="004821B6">
        <w:rPr>
          <w:rFonts w:ascii="Century Gothic" w:hAnsi="Century Gothic" w:eastAsia="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4821B6" w:rsidR="0062384D" w:rsidP="0062384D" w:rsidRDefault="0062384D" w14:paraId="05B65E68" w14:textId="77777777">
      <w:pPr>
        <w:spacing w:after="0" w:line="276" w:lineRule="auto"/>
        <w:jc w:val="both"/>
        <w:rPr>
          <w:rFonts w:ascii="Century Gothic" w:hAnsi="Century Gothic" w:eastAsia="Calibri" w:cs="Arial"/>
          <w:lang w:val="es-MX"/>
        </w:rPr>
      </w:pPr>
    </w:p>
    <w:p w:rsidRPr="004821B6" w:rsidR="0062384D" w:rsidP="0062384D" w:rsidRDefault="0062384D" w14:paraId="40508210" w14:textId="77777777">
      <w:pPr>
        <w:spacing w:after="0" w:line="276" w:lineRule="auto"/>
        <w:jc w:val="both"/>
        <w:rPr>
          <w:rFonts w:ascii="Century Gothic" w:hAnsi="Century Gothic" w:eastAsia="Calibri" w:cs="Arial"/>
          <w:b/>
          <w:bCs/>
          <w:lang w:val="es-MX"/>
        </w:rPr>
      </w:pPr>
      <w:bookmarkStart w:name="_Hlk75784645" w:id="28"/>
      <w:r w:rsidRPr="004821B6">
        <w:rPr>
          <w:rFonts w:ascii="Century Gothic" w:hAnsi="Century Gothic" w:eastAsia="Calibri" w:cs="Arial"/>
          <w:b/>
          <w:bCs/>
          <w:lang w:val="es-MX"/>
        </w:rPr>
        <w:t xml:space="preserve">2.4. </w:t>
      </w:r>
      <w:bookmarkStart w:name="_Hlk77153296" w:id="29"/>
      <w:r w:rsidRPr="004821B6">
        <w:rPr>
          <w:rFonts w:ascii="Century Gothic" w:hAnsi="Century Gothic" w:eastAsia="Times New Roman" w:cs="Arial"/>
          <w:b/>
          <w:bCs/>
          <w:lang w:val="es-MX" w:eastAsia="es-CO"/>
        </w:rPr>
        <w:t xml:space="preserve">Restricciones </w:t>
      </w:r>
      <w:bookmarkStart w:name="_Hlk75643279" w:id="30"/>
      <w:r w:rsidRPr="004821B6">
        <w:rPr>
          <w:rFonts w:ascii="Century Gothic" w:hAnsi="Century Gothic" w:eastAsia="Times New Roman" w:cs="Arial"/>
          <w:b/>
          <w:bCs/>
          <w:lang w:val="es-MX" w:eastAsia="es-CO"/>
        </w:rPr>
        <w:t xml:space="preserve">para la celebración de contratos y convenios interadministrativos en los comicios para cargos de elección popular </w:t>
      </w:r>
    </w:p>
    <w:p w:rsidRPr="004821B6" w:rsidR="0062384D" w:rsidP="0062384D" w:rsidRDefault="0062384D" w14:paraId="6B9A882F" w14:textId="77777777">
      <w:pPr>
        <w:tabs>
          <w:tab w:val="left" w:pos="426"/>
        </w:tabs>
        <w:spacing w:after="0" w:line="276" w:lineRule="auto"/>
        <w:jc w:val="both"/>
        <w:rPr>
          <w:rFonts w:ascii="Century Gothic" w:hAnsi="Century Gothic" w:eastAsia="Calibri" w:cs="Arial"/>
          <w:bCs/>
        </w:rPr>
      </w:pPr>
      <w:bookmarkStart w:name="_Hlk88210558" w:id="31"/>
      <w:bookmarkEnd w:id="29"/>
      <w:bookmarkEnd w:id="30"/>
    </w:p>
    <w:p w:rsidRPr="004821B6" w:rsidR="0062384D" w:rsidP="0062384D" w:rsidRDefault="0062384D" w14:paraId="22677441" w14:textId="77777777">
      <w:pPr>
        <w:tabs>
          <w:tab w:val="left" w:pos="426"/>
        </w:tabs>
        <w:spacing w:after="120" w:line="276" w:lineRule="auto"/>
        <w:jc w:val="both"/>
        <w:rPr>
          <w:rFonts w:ascii="Century Gothic" w:hAnsi="Century Gothic" w:eastAsia="Calibri" w:cs="Arial"/>
          <w:bCs/>
        </w:rPr>
      </w:pPr>
      <w:r w:rsidRPr="004821B6">
        <w:rPr>
          <w:rFonts w:ascii="Century Gothic" w:hAnsi="Century Gothic" w:eastAsia="Calibri" w:cs="Arial"/>
          <w:bCs/>
        </w:rPr>
        <w:t xml:space="preserve">El parágrafo del artículo 38 de la Ley 996 de 2005 dispone que “[l]os Gobernadores, </w:t>
      </w:r>
      <w:proofErr w:type="gramStart"/>
      <w:r w:rsidRPr="004821B6">
        <w:rPr>
          <w:rFonts w:ascii="Century Gothic" w:hAnsi="Century Gothic" w:eastAsia="Calibri" w:cs="Arial"/>
          <w:bCs/>
        </w:rPr>
        <w:t>Alcaldes</w:t>
      </w:r>
      <w:proofErr w:type="gramEnd"/>
      <w:r w:rsidRPr="004821B6">
        <w:rPr>
          <w:rFonts w:ascii="Century Gothic" w:hAnsi="Century Gothic" w:eastAsia="Calibri"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821B6">
        <w:rPr>
          <w:rFonts w:ascii="Century Gothic" w:hAnsi="Century Gothic" w:eastAsia="Times New Roman" w:cs="Arial"/>
          <w:bCs/>
          <w:iCs/>
          <w:lang w:val="es-MX" w:eastAsia="x-none"/>
        </w:rPr>
        <w:t xml:space="preserve"> </w:t>
      </w:r>
      <w:bookmarkStart w:name="_Hlk99578153" w:id="32"/>
      <w:bookmarkEnd w:id="31"/>
      <w:r w:rsidRPr="004821B6">
        <w:rPr>
          <w:rFonts w:ascii="Century Gothic" w:hAnsi="Century Gothic" w:eastAsia="Times New Roman" w:cs="Arial"/>
          <w:bCs/>
          <w:iCs/>
          <w:lang w:val="es-MX" w:eastAsia="x-none"/>
        </w:rPr>
        <w:t xml:space="preserve">Los convenios o contratos interadministrativos que se restringen en el parágrafo del artículo 38 de la Ley 996 de 2005, son únicamente aquellos en que se dispone la ejecución de </w:t>
      </w:r>
      <w:r w:rsidRPr="004821B6">
        <w:rPr>
          <w:rFonts w:ascii="Century Gothic" w:hAnsi="Century Gothic" w:eastAsia="Times New Roman" w:cs="Arial"/>
          <w:bCs/>
          <w:iCs/>
          <w:lang w:val="es-MX" w:eastAsia="x-none"/>
        </w:rPr>
        <w:t>recursos públicos, para evitar que mediante la suscripción de estos se comprometa el erario con fines políticos o partidistas</w:t>
      </w:r>
      <w:bookmarkEnd w:id="32"/>
      <w:r w:rsidRPr="004821B6">
        <w:rPr>
          <w:rFonts w:ascii="Century Gothic" w:hAnsi="Century Gothic" w:eastAsia="Times New Roman" w:cs="Arial"/>
          <w:bCs/>
          <w:iCs/>
          <w:vertAlign w:val="superscript"/>
          <w:lang w:val="es-MX" w:eastAsia="x-none"/>
        </w:rPr>
        <w:footnoteReference w:id="21"/>
      </w:r>
      <w:r w:rsidRPr="004821B6">
        <w:rPr>
          <w:rFonts w:ascii="Century Gothic" w:hAnsi="Century Gothic" w:eastAsia="Times New Roman" w:cs="Arial"/>
          <w:bCs/>
          <w:iCs/>
          <w:lang w:val="es-MX" w:eastAsia="x-none"/>
        </w:rPr>
        <w:t>.</w:t>
      </w:r>
      <w:r w:rsidRPr="004821B6">
        <w:rPr>
          <w:rFonts w:ascii="Century Gothic" w:hAnsi="Century Gothic" w:eastAsia="Calibri" w:cs="Arial"/>
          <w:sz w:val="24"/>
          <w:lang w:val="es-MX"/>
        </w:rPr>
        <w:t xml:space="preserve"> </w:t>
      </w:r>
    </w:p>
    <w:p w:rsidRPr="004821B6" w:rsidR="0062384D" w:rsidP="0062384D" w:rsidRDefault="0062384D" w14:paraId="75E39AC8" w14:textId="77777777">
      <w:pPr>
        <w:widowControl w:val="0"/>
        <w:autoSpaceDE w:val="0"/>
        <w:autoSpaceDN w:val="0"/>
        <w:spacing w:after="120" w:line="276" w:lineRule="auto"/>
        <w:ind w:firstLine="707"/>
        <w:jc w:val="both"/>
        <w:rPr>
          <w:rFonts w:ascii="Century Gothic" w:hAnsi="Century Gothic" w:eastAsia="Arial" w:cs="Arial"/>
          <w:lang w:val="es-ES" w:eastAsia="es-ES" w:bidi="es-ES"/>
        </w:rPr>
      </w:pPr>
      <w:r w:rsidRPr="004821B6">
        <w:rPr>
          <w:rFonts w:ascii="Century Gothic" w:hAnsi="Century Gothic" w:eastAsia="Calibri" w:cs="Arial"/>
          <w:bCs/>
          <w:lang w:eastAsia="es-ES" w:bidi="es-ES"/>
        </w:rPr>
        <w:t xml:space="preserve">Ahora bien, </w:t>
      </w:r>
      <w:bookmarkStart w:name="_Hlk78820161" w:id="33"/>
      <w:r w:rsidRPr="004821B6">
        <w:rPr>
          <w:rFonts w:ascii="Century Gothic" w:hAnsi="Century Gothic" w:eastAsia="Calibri" w:cs="Arial"/>
          <w:bCs/>
          <w:lang w:eastAsia="es-ES" w:bidi="es-ES"/>
        </w:rPr>
        <w:t xml:space="preserve">para determinar el alcance de la prohibición consagrada por la Ley de Garantías Electorales, conviene precisar la tipología de convenios o contratos interadministrativos. </w:t>
      </w:r>
      <w:r w:rsidRPr="004821B6">
        <w:rPr>
          <w:rFonts w:ascii="Century Gothic" w:hAnsi="Century Gothic" w:eastAsia="Arial" w:cs="Arial"/>
          <w:lang w:val="es-ES" w:eastAsia="es-ES" w:bidi="es-ES"/>
        </w:rPr>
        <w:t>Aunque la ley no la definió ni desarrolló, el Decreto 1082 de 2015 califica a los convenios o contratos interadministrativos como aquella contratación entre entidades estatales</w:t>
      </w:r>
      <w:r w:rsidRPr="004821B6">
        <w:rPr>
          <w:rFonts w:ascii="Century Gothic" w:hAnsi="Century Gothic" w:eastAsia="Arial" w:cs="Arial"/>
          <w:vertAlign w:val="superscript"/>
          <w:lang w:val="es-ES" w:eastAsia="es-ES" w:bidi="es-ES"/>
        </w:rPr>
        <w:footnoteReference w:id="22"/>
      </w:r>
      <w:r w:rsidRPr="004821B6">
        <w:rPr>
          <w:rFonts w:ascii="Century Gothic" w:hAnsi="Century Gothic" w:eastAsia="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821B6">
        <w:rPr>
          <w:rFonts w:ascii="Century Gothic" w:hAnsi="Century Gothic" w:eastAsia="Arial" w:cs="Arial"/>
          <w:spacing w:val="-6"/>
          <w:lang w:val="es-ES" w:eastAsia="es-ES" w:bidi="es-ES"/>
        </w:rPr>
        <w:t xml:space="preserve"> </w:t>
      </w:r>
      <w:r w:rsidRPr="004821B6">
        <w:rPr>
          <w:rFonts w:ascii="Century Gothic" w:hAnsi="Century Gothic" w:eastAsia="Arial" w:cs="Arial"/>
          <w:lang w:val="es-ES" w:eastAsia="es-ES" w:bidi="es-ES"/>
        </w:rPr>
        <w:t>estatales.</w:t>
      </w:r>
    </w:p>
    <w:p w:rsidRPr="004821B6" w:rsidR="0062384D" w:rsidP="0062384D" w:rsidRDefault="0062384D" w14:paraId="37B5DB33" w14:textId="77777777">
      <w:pPr>
        <w:widowControl w:val="0"/>
        <w:autoSpaceDE w:val="0"/>
        <w:autoSpaceDN w:val="0"/>
        <w:spacing w:before="117" w:after="120" w:line="276" w:lineRule="auto"/>
        <w:ind w:firstLine="707"/>
        <w:jc w:val="both"/>
        <w:rPr>
          <w:rFonts w:ascii="Century Gothic" w:hAnsi="Century Gothic" w:eastAsia="Calibri" w:cs="Arial"/>
          <w:bCs/>
          <w:lang w:val="es-ES"/>
        </w:rPr>
      </w:pPr>
      <w:bookmarkStart w:name="_Hlk78820654" w:id="34"/>
      <w:bookmarkEnd w:id="33"/>
      <w:r w:rsidRPr="004821B6">
        <w:rPr>
          <w:rFonts w:ascii="Century Gothic" w:hAnsi="Century Gothic" w:eastAsia="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4821B6">
        <w:rPr>
          <w:rFonts w:ascii="Century Gothic" w:hAnsi="Century Gothic" w:eastAsia="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rsidRPr="004821B6" w:rsidR="0062384D" w:rsidP="0062384D" w:rsidRDefault="0062384D" w14:paraId="56A706C6" w14:textId="77777777">
      <w:pPr>
        <w:widowControl w:val="0"/>
        <w:autoSpaceDE w:val="0"/>
        <w:autoSpaceDN w:val="0"/>
        <w:spacing w:before="121" w:after="120" w:line="276" w:lineRule="auto"/>
        <w:ind w:firstLine="707"/>
        <w:jc w:val="both"/>
        <w:rPr>
          <w:rFonts w:ascii="Century Gothic" w:hAnsi="Century Gothic" w:eastAsia="Arial" w:cs="Arial"/>
          <w:lang w:val="es-ES" w:eastAsia="es-ES" w:bidi="es-ES"/>
        </w:rPr>
      </w:pPr>
      <w:bookmarkStart w:name="_Hlk99578261" w:id="35"/>
      <w:bookmarkEnd w:id="34"/>
      <w:r w:rsidRPr="004821B6">
        <w:rPr>
          <w:rFonts w:ascii="Century Gothic" w:hAnsi="Century Gothic" w:eastAsia="Arial" w:cs="Arial"/>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w:t>
      </w:r>
      <w:r w:rsidRPr="004821B6">
        <w:rPr>
          <w:rFonts w:ascii="Century Gothic" w:hAnsi="Century Gothic" w:eastAsia="Arial" w:cs="Arial"/>
          <w:lang w:val="es-ES" w:eastAsia="es-ES" w:bidi="es-ES"/>
        </w:rPr>
        <w:t>la ley o en sus reglamentos, a menos que, según las excepciones previstas en dicha ley, deba adelantarse un procedimiento con pluralidad de oferentes</w:t>
      </w:r>
      <w:r w:rsidRPr="004821B6">
        <w:rPr>
          <w:rFonts w:ascii="Century Gothic" w:hAnsi="Century Gothic" w:eastAsia="Arial" w:cs="Arial"/>
          <w:vertAlign w:val="superscript"/>
          <w:lang w:val="es-ES" w:eastAsia="es-ES" w:bidi="es-ES"/>
        </w:rPr>
        <w:footnoteReference w:id="23"/>
      </w:r>
      <w:r w:rsidRPr="004821B6">
        <w:rPr>
          <w:rFonts w:ascii="Century Gothic" w:hAnsi="Century Gothic" w:eastAsia="Arial" w:cs="Arial"/>
          <w:lang w:val="es-ES" w:eastAsia="es-ES" w:bidi="es-ES"/>
        </w:rPr>
        <w:t>. Nótese que, en este caso, lo que cambia es la modalidad de selección y no la naturaleza de contrato</w:t>
      </w:r>
      <w:r w:rsidRPr="004821B6">
        <w:rPr>
          <w:rFonts w:ascii="Century Gothic" w:hAnsi="Century Gothic" w:eastAsia="Arial" w:cs="Arial"/>
          <w:spacing w:val="-18"/>
          <w:lang w:val="es-ES" w:eastAsia="es-ES" w:bidi="es-ES"/>
        </w:rPr>
        <w:t xml:space="preserve"> </w:t>
      </w:r>
      <w:r w:rsidRPr="004821B6">
        <w:rPr>
          <w:rFonts w:ascii="Century Gothic" w:hAnsi="Century Gothic" w:eastAsia="Arial" w:cs="Arial"/>
          <w:lang w:val="es-ES" w:eastAsia="es-ES" w:bidi="es-ES"/>
        </w:rPr>
        <w:t>interadministrativo.</w:t>
      </w:r>
    </w:p>
    <w:bookmarkEnd w:id="35"/>
    <w:p w:rsidRPr="004821B6" w:rsidR="0062384D" w:rsidP="0062384D" w:rsidRDefault="0062384D" w14:paraId="60BBAC33" w14:textId="77777777">
      <w:pPr>
        <w:widowControl w:val="0"/>
        <w:autoSpaceDE w:val="0"/>
        <w:autoSpaceDN w:val="0"/>
        <w:spacing w:before="114" w:after="0" w:line="276" w:lineRule="auto"/>
        <w:ind w:firstLine="707"/>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821B6">
        <w:rPr>
          <w:rFonts w:ascii="Century Gothic" w:hAnsi="Century Gothic" w:eastAsia="Arial" w:cs="Arial"/>
          <w:spacing w:val="-13"/>
          <w:lang w:val="es-ES" w:eastAsia="es-ES" w:bidi="es-ES"/>
        </w:rPr>
        <w:t xml:space="preserve"> </w:t>
      </w:r>
      <w:r w:rsidRPr="004821B6">
        <w:rPr>
          <w:rFonts w:ascii="Century Gothic" w:hAnsi="Century Gothic" w:eastAsia="Arial" w:cs="Arial"/>
          <w:lang w:val="es-ES" w:eastAsia="es-ES" w:bidi="es-ES"/>
        </w:rPr>
        <w:t>que:</w:t>
      </w:r>
    </w:p>
    <w:p w:rsidRPr="004821B6" w:rsidR="0062384D" w:rsidP="0062384D" w:rsidRDefault="0062384D" w14:paraId="1ACA0B4E" w14:textId="77777777">
      <w:pPr>
        <w:widowControl w:val="0"/>
        <w:autoSpaceDE w:val="0"/>
        <w:autoSpaceDN w:val="0"/>
        <w:spacing w:after="0" w:line="276" w:lineRule="auto"/>
        <w:ind w:firstLine="707"/>
        <w:contextualSpacing/>
        <w:jc w:val="both"/>
        <w:rPr>
          <w:rFonts w:ascii="Century Gothic" w:hAnsi="Century Gothic" w:eastAsia="Arial" w:cs="Arial"/>
          <w:lang w:val="es-ES" w:eastAsia="es-ES" w:bidi="es-ES"/>
        </w:rPr>
      </w:pPr>
    </w:p>
    <w:p w:rsidRPr="004821B6" w:rsidR="0062384D" w:rsidP="0062384D" w:rsidRDefault="0062384D" w14:paraId="54205C97" w14:textId="77777777">
      <w:pPr>
        <w:spacing w:after="0" w:line="240" w:lineRule="auto"/>
        <w:ind w:left="709" w:right="709"/>
        <w:contextualSpacing/>
        <w:jc w:val="both"/>
        <w:rPr>
          <w:rFonts w:ascii="Century Gothic" w:hAnsi="Century Gothic" w:eastAsia="Calibri" w:cs="Arial"/>
          <w:sz w:val="21"/>
          <w:lang w:val="es-MX"/>
        </w:rPr>
      </w:pPr>
      <w:r w:rsidRPr="004821B6">
        <w:rPr>
          <w:rFonts w:ascii="Century Gothic" w:hAnsi="Century Gothic" w:eastAsia="Calibri"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821B6">
        <w:rPr>
          <w:rFonts w:ascii="Century Gothic" w:hAnsi="Century Gothic" w:eastAsia="Calibri" w:cs="Arial"/>
          <w:sz w:val="21"/>
          <w:lang w:val="es-MX"/>
        </w:rPr>
        <w:t>ii</w:t>
      </w:r>
      <w:proofErr w:type="spellEnd"/>
      <w:r w:rsidRPr="004821B6">
        <w:rPr>
          <w:rFonts w:ascii="Century Gothic" w:hAnsi="Century Gothic" w:eastAsia="Calibri" w:cs="Arial"/>
          <w:sz w:val="21"/>
          <w:lang w:val="es-MX"/>
        </w:rPr>
        <w:t>) tienen como fuente la autonomía contractual; (</w:t>
      </w:r>
      <w:proofErr w:type="spellStart"/>
      <w:r w:rsidRPr="004821B6">
        <w:rPr>
          <w:rFonts w:ascii="Century Gothic" w:hAnsi="Century Gothic" w:eastAsia="Calibri" w:cs="Arial"/>
          <w:sz w:val="21"/>
          <w:lang w:val="es-MX"/>
        </w:rPr>
        <w:t>iii</w:t>
      </w:r>
      <w:proofErr w:type="spellEnd"/>
      <w:r w:rsidRPr="004821B6">
        <w:rPr>
          <w:rFonts w:ascii="Century Gothic" w:hAnsi="Century Gothic" w:eastAsia="Calibri" w:cs="Arial"/>
          <w:sz w:val="21"/>
          <w:lang w:val="es-MX"/>
        </w:rPr>
        <w:t>) son contratos nominados puesto que están mencionados en la ley; (</w:t>
      </w:r>
      <w:proofErr w:type="spellStart"/>
      <w:r w:rsidRPr="004821B6">
        <w:rPr>
          <w:rFonts w:ascii="Century Gothic" w:hAnsi="Century Gothic" w:eastAsia="Calibri" w:cs="Arial"/>
          <w:sz w:val="21"/>
          <w:lang w:val="es-MX"/>
        </w:rPr>
        <w:t>iv</w:t>
      </w:r>
      <w:proofErr w:type="spellEnd"/>
      <w:r w:rsidRPr="004821B6">
        <w:rPr>
          <w:rFonts w:ascii="Century Gothic" w:hAnsi="Century Gothic" w:eastAsia="Calibri"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821B6">
        <w:rPr>
          <w:rFonts w:ascii="Century Gothic" w:hAnsi="Century Gothic" w:eastAsia="Calibri" w:cs="Arial"/>
          <w:sz w:val="21"/>
          <w:lang w:val="es-MX"/>
        </w:rPr>
        <w:t>vii</w:t>
      </w:r>
      <w:proofErr w:type="spellEnd"/>
      <w:r w:rsidRPr="004821B6">
        <w:rPr>
          <w:rFonts w:ascii="Century Gothic" w:hAnsi="Century Gothic" w:eastAsia="Calibri" w:cs="Arial"/>
          <w:sz w:val="21"/>
          <w:lang w:val="es-MX"/>
        </w:rPr>
        <w:t>) persiguen  una finalidad común a través de la realización de intereses compartidos entre las entidades vinculadas; (</w:t>
      </w:r>
      <w:proofErr w:type="spellStart"/>
      <w:r w:rsidRPr="004821B6">
        <w:rPr>
          <w:rFonts w:ascii="Century Gothic" w:hAnsi="Century Gothic" w:eastAsia="Calibri" w:cs="Arial"/>
          <w:sz w:val="21"/>
          <w:lang w:val="es-MX"/>
        </w:rPr>
        <w:t>viii</w:t>
      </w:r>
      <w:proofErr w:type="spellEnd"/>
      <w:r w:rsidRPr="004821B6">
        <w:rPr>
          <w:rFonts w:ascii="Century Gothic" w:hAnsi="Century Gothic" w:eastAsia="Calibri" w:cs="Arial"/>
          <w:sz w:val="21"/>
          <w:lang w:val="es-MX"/>
        </w:rPr>
        <w:t>) la acción mediante la cual se deben ventilar las diferencias que sobre el particular surjan es la de controversias contractuales</w:t>
      </w:r>
      <w:r w:rsidRPr="004821B6">
        <w:rPr>
          <w:rFonts w:ascii="Century Gothic" w:hAnsi="Century Gothic" w:eastAsia="Calibri" w:cs="Arial"/>
          <w:sz w:val="21"/>
          <w:vertAlign w:val="superscript"/>
          <w:lang w:val="es-MX"/>
        </w:rPr>
        <w:footnoteReference w:id="24"/>
      </w:r>
      <w:r w:rsidRPr="004821B6">
        <w:rPr>
          <w:rFonts w:ascii="Century Gothic" w:hAnsi="Century Gothic" w:eastAsia="Calibri" w:cs="Arial"/>
          <w:sz w:val="21"/>
          <w:lang w:val="es-MX"/>
        </w:rPr>
        <w:t>.</w:t>
      </w:r>
    </w:p>
    <w:p w:rsidRPr="004821B6" w:rsidR="0062384D" w:rsidP="0062384D" w:rsidRDefault="0062384D" w14:paraId="788D01F7" w14:textId="77777777">
      <w:pPr>
        <w:spacing w:after="0" w:line="276" w:lineRule="auto"/>
        <w:ind w:left="709" w:right="709"/>
        <w:contextualSpacing/>
        <w:jc w:val="both"/>
        <w:rPr>
          <w:rFonts w:ascii="Century Gothic" w:hAnsi="Century Gothic" w:eastAsia="Calibri" w:cs="Arial"/>
          <w:lang w:val="es-MX"/>
        </w:rPr>
      </w:pPr>
    </w:p>
    <w:p w:rsidRPr="004821B6" w:rsidR="0062384D" w:rsidP="0062384D" w:rsidRDefault="0062384D" w14:paraId="54915D43" w14:textId="77777777">
      <w:pPr>
        <w:widowControl w:val="0"/>
        <w:autoSpaceDE w:val="0"/>
        <w:autoSpaceDN w:val="0"/>
        <w:spacing w:after="120" w:line="276" w:lineRule="auto"/>
        <w:ind w:firstLine="707"/>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 xml:space="preserve">En ese sentido, los convenios interadministrativos se caracterizan por los </w:t>
      </w:r>
      <w:r w:rsidRPr="004821B6">
        <w:rPr>
          <w:rFonts w:ascii="Century Gothic" w:hAnsi="Century Gothic" w:eastAsia="Arial" w:cs="Arial"/>
          <w:lang w:val="es-ES" w:eastAsia="es-ES" w:bidi="es-ES"/>
        </w:rPr>
        <w:t>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Pr="004821B6" w:rsidR="0062384D" w:rsidP="0062384D" w:rsidRDefault="0062384D" w14:paraId="67B3A8FB" w14:textId="77777777">
      <w:pPr>
        <w:widowControl w:val="0"/>
        <w:autoSpaceDE w:val="0"/>
        <w:autoSpaceDN w:val="0"/>
        <w:spacing w:before="119" w:after="120" w:line="276" w:lineRule="auto"/>
        <w:ind w:firstLine="707"/>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821B6">
        <w:rPr>
          <w:rFonts w:ascii="Century Gothic" w:hAnsi="Century Gothic" w:eastAsia="Arial" w:cs="Arial"/>
          <w:spacing w:val="-3"/>
          <w:lang w:val="es-ES" w:eastAsia="es-ES" w:bidi="es-ES"/>
        </w:rPr>
        <w:t xml:space="preserve"> </w:t>
      </w:r>
      <w:r w:rsidRPr="004821B6">
        <w:rPr>
          <w:rFonts w:ascii="Century Gothic" w:hAnsi="Century Gothic" w:eastAsia="Arial" w:cs="Arial"/>
          <w:lang w:val="es-ES" w:eastAsia="es-ES" w:bidi="es-ES"/>
        </w:rPr>
        <w:t>estatales.</w:t>
      </w:r>
    </w:p>
    <w:p w:rsidRPr="004821B6" w:rsidR="0062384D" w:rsidP="0062384D" w:rsidRDefault="0062384D" w14:paraId="7266969F" w14:textId="77777777">
      <w:pPr>
        <w:widowControl w:val="0"/>
        <w:autoSpaceDE w:val="0"/>
        <w:autoSpaceDN w:val="0"/>
        <w:spacing w:before="120" w:after="120" w:line="276" w:lineRule="auto"/>
        <w:ind w:firstLine="709"/>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821B6">
        <w:rPr>
          <w:rFonts w:ascii="Century Gothic" w:hAnsi="Century Gothic" w:eastAsia="Arial" w:cs="Arial"/>
          <w:spacing w:val="-4"/>
          <w:lang w:val="es-ES" w:eastAsia="es-ES" w:bidi="es-ES"/>
        </w:rPr>
        <w:t xml:space="preserve"> </w:t>
      </w:r>
      <w:r w:rsidRPr="004821B6">
        <w:rPr>
          <w:rFonts w:ascii="Century Gothic" w:hAnsi="Century Gothic" w:eastAsia="Arial" w:cs="Arial"/>
          <w:lang w:val="es-ES" w:eastAsia="es-ES" w:bidi="es-ES"/>
        </w:rPr>
        <w:t>estatales.</w:t>
      </w:r>
    </w:p>
    <w:p w:rsidRPr="004821B6" w:rsidR="0062384D" w:rsidP="0062384D" w:rsidRDefault="0062384D" w14:paraId="64AD521D" w14:textId="77777777">
      <w:pPr>
        <w:widowControl w:val="0"/>
        <w:autoSpaceDE w:val="0"/>
        <w:autoSpaceDN w:val="0"/>
        <w:spacing w:before="122" w:after="120" w:line="276" w:lineRule="auto"/>
        <w:ind w:firstLine="708"/>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 xml:space="preserve">Es bueno destacar que el Decreto 1082 de 2015 dispone que los convenios o contratos interadministrativos, así denominados en su artículo 2.2.1.2.1.4.4, se contratan directamente, por lo que no hay lugar a dudas que representan lo mismo </w:t>
      </w:r>
      <w:r w:rsidRPr="004821B6">
        <w:rPr>
          <w:rFonts w:ascii="Century Gothic" w:hAnsi="Century Gothic" w:eastAsia="Arial" w:cs="Arial"/>
          <w:lang w:val="es-ES" w:eastAsia="es-ES" w:bidi="es-ES"/>
        </w:rPr>
        <w:t>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4821B6" w:rsidR="0062384D" w:rsidP="0062384D" w:rsidRDefault="0062384D" w14:paraId="68340237" w14:textId="77777777">
      <w:pPr>
        <w:widowControl w:val="0"/>
        <w:autoSpaceDE w:val="0"/>
        <w:autoSpaceDN w:val="0"/>
        <w:spacing w:after="120" w:line="276" w:lineRule="auto"/>
        <w:ind w:firstLine="708"/>
        <w:jc w:val="both"/>
        <w:rPr>
          <w:rFonts w:ascii="Century Gothic" w:hAnsi="Century Gothic" w:eastAsia="Calibri" w:cs="Arial"/>
          <w:bCs/>
          <w:lang w:eastAsia="es-ES" w:bidi="es-ES"/>
        </w:rPr>
      </w:pPr>
      <w:r w:rsidRPr="004821B6">
        <w:rPr>
          <w:rFonts w:ascii="Century Gothic" w:hAnsi="Century Gothic" w:eastAsia="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821B6">
        <w:rPr>
          <w:rFonts w:ascii="Century Gothic" w:hAnsi="Century Gothic" w:eastAsia="Arial" w:cs="Arial"/>
          <w:spacing w:val="-4"/>
          <w:lang w:val="es-ES" w:eastAsia="es-ES" w:bidi="es-ES"/>
        </w:rPr>
        <w:t xml:space="preserve"> </w:t>
      </w:r>
      <w:r w:rsidRPr="004821B6">
        <w:rPr>
          <w:rFonts w:ascii="Century Gothic" w:hAnsi="Century Gothic" w:eastAsia="Arial" w:cs="Arial"/>
          <w:lang w:val="es-ES" w:eastAsia="es-ES" w:bidi="es-ES"/>
        </w:rPr>
        <w:t>[…]”</w:t>
      </w:r>
      <w:r w:rsidRPr="004821B6">
        <w:rPr>
          <w:rFonts w:ascii="Century Gothic" w:hAnsi="Century Gothic" w:eastAsia="Arial" w:cs="Arial"/>
          <w:vertAlign w:val="superscript"/>
          <w:lang w:val="es-ES" w:eastAsia="es-ES" w:bidi="es-ES"/>
        </w:rPr>
        <w:footnoteReference w:id="25"/>
      </w:r>
      <w:r w:rsidRPr="004821B6">
        <w:rPr>
          <w:rFonts w:ascii="Century Gothic" w:hAnsi="Century Gothic" w:eastAsia="Arial" w:cs="Arial"/>
          <w:lang w:val="es-ES" w:eastAsia="es-ES" w:bidi="es-ES"/>
        </w:rPr>
        <w:t>.</w:t>
      </w:r>
      <w:bookmarkStart w:name="_Hlk77171241" w:id="36"/>
    </w:p>
    <w:p w:rsidRPr="004821B6" w:rsidR="0062384D" w:rsidP="0062384D" w:rsidRDefault="0062384D" w14:paraId="2E45F676" w14:textId="77777777">
      <w:pPr>
        <w:widowControl w:val="0"/>
        <w:autoSpaceDE w:val="0"/>
        <w:autoSpaceDN w:val="0"/>
        <w:spacing w:after="0" w:line="276" w:lineRule="auto"/>
        <w:ind w:firstLine="709"/>
        <w:contextualSpacing/>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rsidRPr="004821B6" w:rsidR="0062384D" w:rsidP="0062384D" w:rsidRDefault="0062384D" w14:paraId="4D0CD7B8" w14:textId="77777777">
      <w:pPr>
        <w:widowControl w:val="0"/>
        <w:autoSpaceDE w:val="0"/>
        <w:autoSpaceDN w:val="0"/>
        <w:spacing w:after="0" w:line="276" w:lineRule="auto"/>
        <w:ind w:firstLine="709"/>
        <w:contextualSpacing/>
        <w:jc w:val="both"/>
        <w:rPr>
          <w:rFonts w:ascii="Century Gothic" w:hAnsi="Century Gothic" w:eastAsia="Arial" w:cs="Arial"/>
          <w:lang w:val="es-ES" w:eastAsia="es-ES" w:bidi="es-ES"/>
        </w:rPr>
      </w:pPr>
    </w:p>
    <w:p w:rsidRPr="004821B6" w:rsidR="0062384D" w:rsidP="0062384D" w:rsidRDefault="0062384D" w14:paraId="00BC994C" w14:textId="77777777">
      <w:pPr>
        <w:spacing w:after="120" w:line="240" w:lineRule="auto"/>
        <w:ind w:left="709" w:right="709"/>
        <w:contextualSpacing/>
        <w:jc w:val="both"/>
        <w:rPr>
          <w:rFonts w:ascii="Century Gothic" w:hAnsi="Century Gothic" w:eastAsia="Calibri" w:cs="Arial"/>
          <w:sz w:val="21"/>
          <w:szCs w:val="21"/>
          <w:lang w:val="es-ES_tradnl"/>
        </w:rPr>
      </w:pPr>
      <w:r w:rsidRPr="004821B6">
        <w:rPr>
          <w:rFonts w:ascii="Century Gothic" w:hAnsi="Century Gothic" w:eastAsia="Calibri" w:cs="Arial"/>
          <w:sz w:val="21"/>
          <w:szCs w:val="21"/>
          <w:lang w:val="es-ES_tradnl"/>
        </w:rPr>
        <w:t>La Sala de Consulta y Servicio Civil</w:t>
      </w:r>
      <w:r w:rsidRPr="004821B6">
        <w:rPr>
          <w:rFonts w:ascii="Century Gothic" w:hAnsi="Century Gothic" w:eastAsia="Calibri" w:cs="Arial"/>
          <w:sz w:val="21"/>
          <w:szCs w:val="21"/>
          <w:vertAlign w:val="superscript"/>
          <w:lang w:val="es-ES_tradnl"/>
        </w:rPr>
        <w:footnoteReference w:id="26"/>
      </w:r>
      <w:r w:rsidRPr="004821B6">
        <w:rPr>
          <w:rFonts w:ascii="Century Gothic" w:hAnsi="Century Gothic" w:eastAsia="Calibri" w:cs="Arial"/>
          <w:sz w:val="21"/>
          <w:szCs w:val="21"/>
          <w:lang w:val="es-ES_tradnl"/>
        </w:rPr>
        <w:t xml:space="preserve"> de esta Corporación se ha referido a los </w:t>
      </w:r>
      <w:r w:rsidRPr="004821B6">
        <w:rPr>
          <w:rFonts w:ascii="Century Gothic" w:hAnsi="Century Gothic" w:eastAsia="Calibri" w:cs="Arial"/>
          <w:i/>
          <w:sz w:val="21"/>
          <w:szCs w:val="21"/>
          <w:lang w:val="es-ES_tradnl"/>
        </w:rPr>
        <w:t>“convenios interadministrativos”</w:t>
      </w:r>
      <w:r w:rsidRPr="004821B6">
        <w:rPr>
          <w:rFonts w:ascii="Century Gothic" w:hAnsi="Century Gothic" w:eastAsia="Calibri" w:cs="Arial"/>
          <w:sz w:val="21"/>
          <w:szCs w:val="21"/>
          <w:lang w:val="es-ES_tradnl"/>
        </w:rPr>
        <w:t xml:space="preserve"> a los cuales alude el artículo 95 de la Ley 489 de 1998, calificándolos de </w:t>
      </w:r>
      <w:r w:rsidRPr="004821B6">
        <w:rPr>
          <w:rFonts w:ascii="Century Gothic" w:hAnsi="Century Gothic" w:eastAsia="Calibri" w:cs="Arial"/>
          <w:i/>
          <w:sz w:val="21"/>
          <w:szCs w:val="21"/>
          <w:lang w:val="es-ES_tradnl"/>
        </w:rPr>
        <w:t xml:space="preserve">“puros” </w:t>
      </w:r>
      <w:r w:rsidRPr="004821B6">
        <w:rPr>
          <w:rFonts w:ascii="Century Gothic" w:hAnsi="Century Gothic" w:eastAsia="Calibri" w:cs="Arial"/>
          <w:sz w:val="21"/>
          <w:szCs w:val="21"/>
          <w:lang w:val="es-ES_tradnl"/>
        </w:rPr>
        <w:t xml:space="preserve">y entendiendo que estos, además de perseguir la finalidad de cooperación antes indicada, no implican intereses contrapuestos ni tampoco se circunscriben a un </w:t>
      </w:r>
      <w:r w:rsidRPr="004821B6">
        <w:rPr>
          <w:rFonts w:ascii="Century Gothic" w:hAnsi="Century Gothic" w:eastAsia="Calibri" w:cs="Arial"/>
          <w:i/>
          <w:sz w:val="21"/>
          <w:szCs w:val="21"/>
          <w:lang w:val="es-ES_tradnl"/>
        </w:rPr>
        <w:t>“intercambio patrimonial”</w:t>
      </w:r>
      <w:r w:rsidRPr="004821B6">
        <w:rPr>
          <w:rFonts w:ascii="Century Gothic" w:hAnsi="Century Gothic" w:eastAsia="Calibri" w:cs="Arial"/>
          <w:sz w:val="21"/>
          <w:szCs w:val="21"/>
          <w:lang w:val="es-ES_tradnl"/>
        </w:rPr>
        <w:t>. Sin perjuicio de lo anterior, en otra oportunidad, la misma Sala</w:t>
      </w:r>
      <w:r w:rsidRPr="004821B6">
        <w:rPr>
          <w:rFonts w:ascii="Century Gothic" w:hAnsi="Century Gothic" w:eastAsia="Calibri" w:cs="Arial"/>
          <w:sz w:val="21"/>
          <w:szCs w:val="21"/>
          <w:vertAlign w:val="superscript"/>
          <w:lang w:val="es-ES_tradnl"/>
        </w:rPr>
        <w:footnoteReference w:id="27"/>
      </w:r>
      <w:r w:rsidRPr="004821B6">
        <w:rPr>
          <w:rFonts w:ascii="Century Gothic" w:hAnsi="Century Gothic" w:eastAsia="Calibri" w:cs="Arial"/>
          <w:sz w:val="21"/>
          <w:szCs w:val="21"/>
          <w:lang w:val="es-ES_tradnl"/>
        </w:rPr>
        <w:t xml:space="preserve"> había indicado que, si bien en dichos convenios no se daba un </w:t>
      </w:r>
      <w:r w:rsidRPr="004821B6">
        <w:rPr>
          <w:rFonts w:ascii="Century Gothic" w:hAnsi="Century Gothic" w:eastAsia="Calibri" w:cs="Arial"/>
          <w:i/>
          <w:sz w:val="21"/>
          <w:szCs w:val="21"/>
          <w:lang w:val="es-ES_tradnl"/>
        </w:rPr>
        <w:t>“verdadero intercambio de bienes o servicios (contrato conmutativo)”</w:t>
      </w:r>
      <w:r w:rsidRPr="004821B6">
        <w:rPr>
          <w:rFonts w:ascii="Century Gothic" w:hAnsi="Century Gothic" w:eastAsia="Calibri" w:cs="Arial"/>
          <w:sz w:val="21"/>
          <w:szCs w:val="21"/>
          <w:lang w:val="es-ES_tradnl"/>
        </w:rPr>
        <w:t>, ello no impedía que se conviniera una remuneración a cargo de alguna(s) entidad(es).</w:t>
      </w:r>
    </w:p>
    <w:p w:rsidRPr="004821B6" w:rsidR="0062384D" w:rsidP="0062384D" w:rsidRDefault="0062384D" w14:paraId="5E5197DA" w14:textId="77777777">
      <w:pPr>
        <w:spacing w:after="120" w:line="240" w:lineRule="auto"/>
        <w:ind w:left="709" w:right="709"/>
        <w:contextualSpacing/>
        <w:jc w:val="both"/>
        <w:rPr>
          <w:rFonts w:ascii="Century Gothic" w:hAnsi="Century Gothic" w:eastAsia="Calibri" w:cs="Arial"/>
          <w:sz w:val="12"/>
          <w:szCs w:val="12"/>
          <w:lang w:val="es-ES_tradnl"/>
        </w:rPr>
      </w:pPr>
    </w:p>
    <w:p w:rsidRPr="004821B6" w:rsidR="0062384D" w:rsidP="0062384D" w:rsidRDefault="0062384D" w14:paraId="7B3B7C94" w14:textId="77777777">
      <w:pPr>
        <w:widowControl w:val="0"/>
        <w:autoSpaceDE w:val="0"/>
        <w:autoSpaceDN w:val="0"/>
        <w:spacing w:after="0" w:line="240" w:lineRule="auto"/>
        <w:ind w:left="709" w:right="709"/>
        <w:contextualSpacing/>
        <w:jc w:val="both"/>
        <w:rPr>
          <w:rFonts w:ascii="Century Gothic" w:hAnsi="Century Gothic" w:eastAsia="Arial" w:cs="Arial"/>
          <w:sz w:val="21"/>
          <w:szCs w:val="21"/>
          <w:lang w:val="es-ES" w:eastAsia="es-ES" w:bidi="es-ES"/>
        </w:rPr>
      </w:pPr>
      <w:r w:rsidRPr="004821B6">
        <w:rPr>
          <w:rFonts w:ascii="Century Gothic" w:hAnsi="Century Gothic" w:eastAsia="Arial" w:cs="Arial"/>
          <w:sz w:val="21"/>
          <w:szCs w:val="21"/>
          <w:lang w:val="es-ES_tradnl" w:eastAsia="es-ES" w:bidi="es-ES"/>
        </w:rPr>
        <w:t xml:space="preserve">Lo expuesto evidencia que, en general, las interpretaciones en torno a </w:t>
      </w:r>
      <w:r w:rsidRPr="004821B6">
        <w:rPr>
          <w:rFonts w:ascii="Century Gothic" w:hAnsi="Century Gothic" w:eastAsia="Arial" w:cs="Arial"/>
          <w:sz w:val="21"/>
          <w:szCs w:val="21"/>
          <w:lang w:val="es-ES_tradnl" w:eastAsia="es-ES" w:bidi="es-ES"/>
        </w:rPr>
        <w:t xml:space="preserve">los </w:t>
      </w:r>
      <w:r w:rsidRPr="004821B6">
        <w:rPr>
          <w:rFonts w:ascii="Century Gothic" w:hAnsi="Century Gothic" w:eastAsia="Arial" w:cs="Arial"/>
          <w:i/>
          <w:sz w:val="21"/>
          <w:szCs w:val="21"/>
          <w:lang w:val="es-ES_tradnl" w:eastAsia="es-ES" w:bidi="es-ES"/>
        </w:rPr>
        <w:t>“convenios interadministrativos”</w:t>
      </w:r>
      <w:r w:rsidRPr="004821B6">
        <w:rPr>
          <w:rFonts w:ascii="Century Gothic" w:hAnsi="Century Gothic" w:eastAsia="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821B6">
        <w:rPr>
          <w:rFonts w:ascii="Century Gothic" w:hAnsi="Century Gothic" w:eastAsia="Arial" w:cs="Arial"/>
          <w:sz w:val="21"/>
          <w:szCs w:val="21"/>
          <w:vertAlign w:val="superscript"/>
          <w:lang w:val="es-ES_tradnl" w:eastAsia="es-ES" w:bidi="es-ES"/>
        </w:rPr>
        <w:footnoteReference w:id="28"/>
      </w:r>
      <w:r w:rsidRPr="004821B6">
        <w:rPr>
          <w:rFonts w:ascii="Century Gothic" w:hAnsi="Century Gothic" w:eastAsia="Arial" w:cs="Arial"/>
          <w:sz w:val="21"/>
          <w:szCs w:val="21"/>
          <w:lang w:val="es-ES_tradnl" w:eastAsia="es-ES" w:bidi="es-ES"/>
        </w:rPr>
        <w:t xml:space="preserve"> </w:t>
      </w:r>
      <w:r w:rsidRPr="004821B6">
        <w:rPr>
          <w:rFonts w:ascii="Century Gothic" w:hAnsi="Century Gothic" w:eastAsia="Arial" w:cs="Arial"/>
          <w:sz w:val="21"/>
          <w:szCs w:val="21"/>
          <w:vertAlign w:val="superscript"/>
          <w:lang w:val="es-ES_tradnl" w:eastAsia="es-ES" w:bidi="es-ES"/>
        </w:rPr>
        <w:footnoteReference w:id="29"/>
      </w:r>
      <w:r w:rsidRPr="004821B6">
        <w:rPr>
          <w:rFonts w:ascii="Century Gothic" w:hAnsi="Century Gothic" w:eastAsia="Arial" w:cs="Arial"/>
          <w:sz w:val="21"/>
          <w:szCs w:val="21"/>
          <w:lang w:val="es-ES_tradnl" w:eastAsia="es-ES" w:bidi="es-ES"/>
        </w:rPr>
        <w:t>.</w:t>
      </w:r>
    </w:p>
    <w:p w:rsidRPr="004821B6" w:rsidR="0062384D" w:rsidP="0062384D" w:rsidRDefault="0062384D" w14:paraId="34274522" w14:textId="77777777">
      <w:pPr>
        <w:widowControl w:val="0"/>
        <w:autoSpaceDE w:val="0"/>
        <w:autoSpaceDN w:val="0"/>
        <w:spacing w:after="0" w:line="276" w:lineRule="auto"/>
        <w:contextualSpacing/>
        <w:jc w:val="both"/>
        <w:rPr>
          <w:rFonts w:ascii="Century Gothic" w:hAnsi="Century Gothic" w:eastAsia="Arial" w:cs="Arial"/>
          <w:lang w:val="es-ES" w:eastAsia="es-ES" w:bidi="es-ES"/>
        </w:rPr>
      </w:pPr>
    </w:p>
    <w:p w:rsidRPr="004821B6" w:rsidR="0062384D" w:rsidP="0062384D" w:rsidRDefault="0062384D" w14:paraId="6193FD7F" w14:textId="77777777">
      <w:pPr>
        <w:widowControl w:val="0"/>
        <w:autoSpaceDE w:val="0"/>
        <w:autoSpaceDN w:val="0"/>
        <w:spacing w:after="120" w:line="276" w:lineRule="auto"/>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ab/>
      </w:r>
      <w:r w:rsidRPr="004821B6">
        <w:rPr>
          <w:rFonts w:ascii="Century Gothic" w:hAnsi="Century Gothic" w:eastAsia="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4821B6">
        <w:rPr>
          <w:rFonts w:ascii="Century Gothic" w:hAnsi="Century Gothic" w:eastAsia="Arial" w:cs="Arial"/>
          <w:vertAlign w:val="superscript"/>
          <w:lang w:val="es-ES" w:eastAsia="es-ES" w:bidi="es-ES"/>
        </w:rPr>
        <w:footnoteReference w:id="30"/>
      </w:r>
      <w:r w:rsidRPr="004821B6">
        <w:rPr>
          <w:rFonts w:ascii="Century Gothic" w:hAnsi="Century Gothic" w:eastAsia="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4821B6">
        <w:rPr>
          <w:rFonts w:ascii="Century Gothic" w:hAnsi="Century Gothic" w:eastAsia="Arial" w:cs="Arial"/>
          <w:vertAlign w:val="superscript"/>
          <w:lang w:val="es-ES" w:eastAsia="es-ES" w:bidi="es-ES"/>
        </w:rPr>
        <w:footnoteReference w:id="31"/>
      </w:r>
      <w:r w:rsidRPr="004821B6">
        <w:rPr>
          <w:rFonts w:ascii="Century Gothic" w:hAnsi="Century Gothic" w:eastAsia="Arial" w:cs="Arial"/>
          <w:lang w:val="es-ES" w:eastAsia="es-ES" w:bidi="es-ES"/>
        </w:rPr>
        <w:t>.</w:t>
      </w:r>
    </w:p>
    <w:p w:rsidRPr="004821B6" w:rsidR="0062384D" w:rsidP="0062384D" w:rsidRDefault="0062384D" w14:paraId="0570CA4E" w14:textId="77777777">
      <w:pPr>
        <w:widowControl w:val="0"/>
        <w:autoSpaceDE w:val="0"/>
        <w:autoSpaceDN w:val="0"/>
        <w:spacing w:after="0" w:line="276" w:lineRule="auto"/>
        <w:contextualSpacing/>
        <w:jc w:val="both"/>
        <w:rPr>
          <w:rFonts w:ascii="Century Gothic" w:hAnsi="Century Gothic" w:eastAsia="Arial" w:cs="Arial"/>
          <w:lang w:val="es-ES" w:eastAsia="es-ES" w:bidi="es-ES"/>
        </w:rPr>
      </w:pPr>
      <w:r w:rsidRPr="004821B6">
        <w:rPr>
          <w:rFonts w:ascii="Century Gothic" w:hAnsi="Century Gothic" w:eastAsia="Arial" w:cs="Arial"/>
          <w:lang w:val="es-ES" w:eastAsia="es-ES" w:bidi="es-ES"/>
        </w:rPr>
        <w:tab/>
      </w:r>
      <w:r w:rsidRPr="004821B6">
        <w:rPr>
          <w:rFonts w:ascii="Century Gothic" w:hAnsi="Century Gothic" w:eastAsia="Arial" w:cs="Arial"/>
          <w:lang w:val="es-ES" w:eastAsia="es-ES" w:bidi="es-ES"/>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rsidRPr="004821B6" w:rsidR="0062384D" w:rsidP="0062384D" w:rsidRDefault="0062384D" w14:paraId="530DCBA8" w14:textId="77777777">
      <w:pPr>
        <w:widowControl w:val="0"/>
        <w:autoSpaceDE w:val="0"/>
        <w:autoSpaceDN w:val="0"/>
        <w:spacing w:after="0" w:line="276" w:lineRule="auto"/>
        <w:contextualSpacing/>
        <w:jc w:val="both"/>
        <w:rPr>
          <w:rFonts w:ascii="Century Gothic" w:hAnsi="Century Gothic" w:eastAsia="Arial" w:cs="Arial"/>
          <w:lang w:val="es-ES" w:eastAsia="es-ES" w:bidi="es-ES"/>
        </w:rPr>
      </w:pPr>
    </w:p>
    <w:p w:rsidRPr="004821B6" w:rsidR="0062384D" w:rsidP="0062384D" w:rsidRDefault="0062384D" w14:paraId="534AC425" w14:textId="77777777">
      <w:pPr>
        <w:spacing w:after="120" w:line="240" w:lineRule="auto"/>
        <w:ind w:left="709" w:right="709"/>
        <w:contextualSpacing/>
        <w:jc w:val="both"/>
        <w:rPr>
          <w:rFonts w:ascii="Century Gothic" w:hAnsi="Century Gothic" w:eastAsia="Calibri" w:cs="Arial"/>
          <w:sz w:val="21"/>
          <w:szCs w:val="21"/>
          <w:lang w:val="es-MX"/>
        </w:rPr>
      </w:pPr>
      <w:r w:rsidRPr="004821B6">
        <w:rPr>
          <w:rFonts w:ascii="Century Gothic" w:hAnsi="Century Gothic" w:eastAsia="Calibri"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821B6">
        <w:rPr>
          <w:rFonts w:ascii="Century Gothic" w:hAnsi="Century Gothic" w:eastAsia="Calibri"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rsidRPr="004821B6" w:rsidR="0062384D" w:rsidP="0062384D" w:rsidRDefault="0062384D" w14:paraId="7653B0A8" w14:textId="77777777">
      <w:pPr>
        <w:spacing w:after="120" w:line="240" w:lineRule="auto"/>
        <w:ind w:left="709" w:right="709"/>
        <w:contextualSpacing/>
        <w:jc w:val="both"/>
        <w:rPr>
          <w:rFonts w:ascii="Century Gothic" w:hAnsi="Century Gothic" w:eastAsia="Calibri" w:cs="Arial"/>
          <w:sz w:val="12"/>
          <w:szCs w:val="12"/>
          <w:lang w:val="es-MX"/>
        </w:rPr>
      </w:pPr>
    </w:p>
    <w:p w:rsidRPr="004821B6" w:rsidR="0062384D" w:rsidP="0062384D" w:rsidRDefault="0062384D" w14:paraId="03AD087C" w14:textId="77777777">
      <w:pPr>
        <w:spacing w:after="120" w:line="240" w:lineRule="auto"/>
        <w:ind w:left="709" w:right="709"/>
        <w:contextualSpacing/>
        <w:jc w:val="both"/>
        <w:rPr>
          <w:rFonts w:ascii="Century Gothic" w:hAnsi="Century Gothic" w:eastAsia="Calibri" w:cs="Arial"/>
          <w:sz w:val="21"/>
          <w:szCs w:val="21"/>
          <w:lang w:val="es-MX"/>
        </w:rPr>
      </w:pPr>
      <w:r w:rsidRPr="004821B6">
        <w:rPr>
          <w:rFonts w:ascii="Century Gothic" w:hAnsi="Century Gothic" w:eastAsia="Calibri"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Pr="004821B6" w:rsidR="0062384D" w:rsidP="0062384D" w:rsidRDefault="0062384D" w14:paraId="202B1C72" w14:textId="77777777">
      <w:pPr>
        <w:spacing w:after="120" w:line="240" w:lineRule="auto"/>
        <w:ind w:left="709" w:right="709"/>
        <w:contextualSpacing/>
        <w:jc w:val="both"/>
        <w:rPr>
          <w:rFonts w:ascii="Century Gothic" w:hAnsi="Century Gothic" w:eastAsia="Calibri" w:cs="Arial"/>
          <w:sz w:val="12"/>
          <w:szCs w:val="12"/>
          <w:lang w:val="es-MX"/>
        </w:rPr>
      </w:pPr>
    </w:p>
    <w:p w:rsidRPr="004821B6" w:rsidR="0062384D" w:rsidP="0062384D" w:rsidRDefault="0062384D" w14:paraId="30EEF903" w14:textId="77777777">
      <w:pPr>
        <w:spacing w:after="0" w:line="240" w:lineRule="auto"/>
        <w:ind w:left="709" w:right="709"/>
        <w:contextualSpacing/>
        <w:jc w:val="both"/>
        <w:rPr>
          <w:rFonts w:ascii="Century Gothic" w:hAnsi="Century Gothic" w:eastAsia="Calibri" w:cs="Times New Roman"/>
          <w:sz w:val="24"/>
          <w:lang w:val="es-MX"/>
        </w:rPr>
      </w:pPr>
      <w:r w:rsidRPr="004821B6">
        <w:rPr>
          <w:rFonts w:ascii="Century Gothic" w:hAnsi="Century Gothic" w:eastAsia="Calibri"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rsidRPr="004821B6" w:rsidR="0062384D" w:rsidP="0062384D" w:rsidRDefault="0062384D" w14:paraId="5AD3B963" w14:textId="77777777">
      <w:pPr>
        <w:widowControl w:val="0"/>
        <w:autoSpaceDE w:val="0"/>
        <w:autoSpaceDN w:val="0"/>
        <w:spacing w:after="0" w:line="276" w:lineRule="auto"/>
        <w:contextualSpacing/>
        <w:jc w:val="both"/>
        <w:rPr>
          <w:rFonts w:ascii="Century Gothic" w:hAnsi="Century Gothic" w:eastAsia="Arial" w:cs="Arial"/>
          <w:lang w:val="es-ES" w:eastAsia="es-ES" w:bidi="es-ES"/>
        </w:rPr>
      </w:pPr>
    </w:p>
    <w:p w:rsidRPr="004821B6" w:rsidR="0062384D" w:rsidP="0062384D" w:rsidRDefault="0062384D" w14:paraId="077BE7E1" w14:textId="77777777">
      <w:pPr>
        <w:widowControl w:val="0"/>
        <w:autoSpaceDE w:val="0"/>
        <w:autoSpaceDN w:val="0"/>
        <w:spacing w:after="120" w:line="276" w:lineRule="auto"/>
        <w:jc w:val="both"/>
        <w:rPr>
          <w:rFonts w:ascii="Century Gothic" w:hAnsi="Century Gothic" w:eastAsia="Calibri" w:cs="Arial"/>
          <w:bCs/>
          <w:lang w:eastAsia="es-ES" w:bidi="es-ES"/>
        </w:rPr>
      </w:pPr>
      <w:r w:rsidRPr="004821B6">
        <w:rPr>
          <w:rFonts w:ascii="Century Gothic" w:hAnsi="Century Gothic" w:eastAsia="Arial" w:cs="Arial"/>
          <w:sz w:val="25"/>
          <w:lang w:val="es-ES" w:eastAsia="es-ES" w:bidi="es-ES"/>
        </w:rPr>
        <w:tab/>
      </w:r>
      <w:r w:rsidRPr="004821B6">
        <w:rPr>
          <w:rFonts w:ascii="Century Gothic" w:hAnsi="Century Gothic" w:eastAsia="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6"/>
    </w:p>
    <w:p w:rsidRPr="004821B6" w:rsidR="0062384D" w:rsidP="0062384D" w:rsidRDefault="0062384D" w14:paraId="377B5F35" w14:textId="77777777">
      <w:pPr>
        <w:tabs>
          <w:tab w:val="left" w:pos="426"/>
        </w:tabs>
        <w:spacing w:after="120" w:line="276" w:lineRule="auto"/>
        <w:ind w:firstLine="709"/>
        <w:jc w:val="both"/>
        <w:rPr>
          <w:rFonts w:ascii="Century Gothic" w:hAnsi="Century Gothic" w:eastAsia="Times New Roman" w:cs="Arial"/>
          <w:bCs/>
          <w:lang w:val="es-MX" w:eastAsia="es-CO"/>
        </w:rPr>
      </w:pPr>
      <w:r w:rsidRPr="004821B6">
        <w:rPr>
          <w:rFonts w:ascii="Century Gothic" w:hAnsi="Century Gothic" w:eastAsia="Times New Roman" w:cs="Arial"/>
          <w:bCs/>
          <w:lang w:eastAsia="es-CO"/>
        </w:rPr>
        <w:t xml:space="preserve">Se observa entonces que </w:t>
      </w:r>
      <w:r w:rsidRPr="004821B6">
        <w:rPr>
          <w:rFonts w:ascii="Century Gothic" w:hAnsi="Century Gothic" w:eastAsia="Times New Roman"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821B6">
        <w:rPr>
          <w:rFonts w:ascii="Century Gothic" w:hAnsi="Century Gothic" w:eastAsia="Times New Roman" w:cs="Arial"/>
          <w:bCs/>
          <w:i/>
          <w:iCs/>
          <w:lang w:val="es-MX" w:eastAsia="es-CO"/>
        </w:rPr>
        <w:t>ibidem</w:t>
      </w:r>
      <w:r w:rsidRPr="004821B6">
        <w:rPr>
          <w:rFonts w:ascii="Century Gothic" w:hAnsi="Century Gothic" w:eastAsia="Times New Roman" w:cs="Arial"/>
          <w:bCs/>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p>
    <w:p w:rsidRPr="004821B6" w:rsidR="0062384D" w:rsidP="0062384D" w:rsidRDefault="0062384D" w14:paraId="13003E23" w14:textId="77777777">
      <w:pPr>
        <w:widowControl w:val="0"/>
        <w:autoSpaceDE w:val="0"/>
        <w:autoSpaceDN w:val="0"/>
        <w:spacing w:after="0" w:line="276" w:lineRule="auto"/>
        <w:ind w:firstLine="709"/>
        <w:contextualSpacing/>
        <w:jc w:val="both"/>
        <w:rPr>
          <w:rFonts w:ascii="Century Gothic" w:hAnsi="Century Gothic" w:eastAsia="Calibri" w:cs="Arial"/>
          <w:lang w:eastAsia="es-ES" w:bidi="es-ES"/>
        </w:rPr>
      </w:pPr>
      <w:bookmarkStart w:name="_Hlk77154098" w:id="37"/>
      <w:r w:rsidRPr="004821B6">
        <w:rPr>
          <w:rFonts w:ascii="Century Gothic" w:hAnsi="Century Gothic" w:eastAsia="Times New Roman" w:cs="Arial"/>
          <w:bCs/>
          <w:lang w:val="es-ES" w:eastAsia="es-CO" w:bidi="es-ES"/>
        </w:rPr>
        <w:t>En todo caso</w:t>
      </w:r>
      <w:r w:rsidRPr="004821B6">
        <w:rPr>
          <w:rFonts w:ascii="Century Gothic" w:hAnsi="Century Gothic" w:eastAsia="Arial" w:cs="Arial"/>
          <w:lang w:val="es-ES" w:eastAsia="es-ES" w:bidi="es-ES"/>
        </w:rPr>
        <w:t xml:space="preserve">, es importante resaltar que la Sala de Consulta y Servicio Civil del Consejo de Estado se ha pronunciado en el sentido de que </w:t>
      </w:r>
      <w:bookmarkStart w:name="_Hlk78820889" w:id="38"/>
      <w:r w:rsidRPr="004821B6">
        <w:rPr>
          <w:rFonts w:ascii="Century Gothic" w:hAnsi="Century Gothic" w:eastAsia="Arial"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8"/>
      <w:r w:rsidRPr="004821B6">
        <w:rPr>
          <w:rFonts w:ascii="Century Gothic" w:hAnsi="Century Gothic" w:eastAsia="Arial" w:cs="Arial"/>
          <w:vertAlign w:val="superscript"/>
          <w:lang w:val="es-ES" w:eastAsia="es-ES" w:bidi="es-ES"/>
        </w:rPr>
        <w:footnoteReference w:id="32"/>
      </w:r>
      <w:r w:rsidRPr="004821B6">
        <w:rPr>
          <w:rFonts w:ascii="Century Gothic" w:hAnsi="Century Gothic" w:eastAsia="Calibri" w:cs="Arial"/>
          <w:lang w:eastAsia="es-ES" w:bidi="es-ES"/>
        </w:rPr>
        <w:t>.</w:t>
      </w:r>
      <w:bookmarkEnd w:id="37"/>
    </w:p>
    <w:bookmarkEnd w:id="28"/>
    <w:p w:rsidRPr="004821B6" w:rsidR="0062384D" w:rsidP="0062384D" w:rsidRDefault="0062384D" w14:paraId="0B5C7BF1" w14:textId="77777777">
      <w:pPr>
        <w:spacing w:after="0" w:line="276" w:lineRule="auto"/>
        <w:jc w:val="both"/>
        <w:rPr>
          <w:rFonts w:ascii="Century Gothic" w:hAnsi="Century Gothic" w:cs="Arial"/>
          <w:color w:val="000000" w:themeColor="text1"/>
          <w:lang w:eastAsia="es-MX"/>
        </w:rPr>
      </w:pPr>
    </w:p>
    <w:p w:rsidRPr="004821B6" w:rsidR="0062384D" w:rsidP="0062384D" w:rsidRDefault="0062384D" w14:paraId="760B7B01" w14:textId="77777777">
      <w:pPr>
        <w:tabs>
          <w:tab w:val="left" w:pos="0"/>
        </w:tabs>
        <w:spacing w:after="0"/>
        <w:jc w:val="both"/>
        <w:rPr>
          <w:rFonts w:ascii="Century Gothic" w:hAnsi="Century Gothic" w:eastAsia="Calibri" w:cs="Arial"/>
          <w:b/>
          <w:color w:val="000000" w:themeColor="text1"/>
          <w:lang w:val="es-ES_tradnl"/>
        </w:rPr>
      </w:pPr>
      <w:r w:rsidRPr="004821B6">
        <w:rPr>
          <w:rFonts w:ascii="Century Gothic" w:hAnsi="Century Gothic" w:eastAsia="Calibri" w:cs="Arial"/>
          <w:b/>
          <w:color w:val="000000" w:themeColor="text1"/>
          <w:lang w:val="es-ES_tradnl"/>
        </w:rPr>
        <w:t>3. Respuesta</w:t>
      </w:r>
    </w:p>
    <w:p w:rsidRPr="004821B6" w:rsidR="0062384D" w:rsidP="0062384D" w:rsidRDefault="0062384D" w14:paraId="317AC6E2" w14:textId="77777777">
      <w:pPr>
        <w:spacing w:after="0" w:line="276" w:lineRule="auto"/>
        <w:jc w:val="both"/>
        <w:rPr>
          <w:rFonts w:ascii="Century Gothic" w:hAnsi="Century Gothic" w:cs="Arial"/>
          <w:color w:val="000000" w:themeColor="text1"/>
        </w:rPr>
      </w:pPr>
    </w:p>
    <w:p w:rsidRPr="004821B6" w:rsidR="0062384D" w:rsidP="0062384D" w:rsidRDefault="0062384D" w14:paraId="4E2C86C5" w14:textId="77777777">
      <w:pPr>
        <w:spacing w:after="120" w:line="240" w:lineRule="auto"/>
        <w:ind w:left="709" w:right="709"/>
        <w:jc w:val="both"/>
        <w:rPr>
          <w:rFonts w:ascii="Century Gothic" w:hAnsi="Century Gothic" w:cs="Arial"/>
          <w:color w:val="000000" w:themeColor="text1"/>
          <w:sz w:val="21"/>
          <w:szCs w:val="21"/>
          <w:lang w:val="es-ES_tradnl"/>
        </w:rPr>
      </w:pPr>
      <w:r w:rsidRPr="004821B6">
        <w:rPr>
          <w:rFonts w:ascii="Century Gothic" w:hAnsi="Century Gothic" w:cs="Arial"/>
          <w:color w:val="000000" w:themeColor="text1"/>
          <w:sz w:val="21"/>
          <w:szCs w:val="21"/>
          <w:lang w:val="es-ES_tradnl"/>
        </w:rPr>
        <w:t>i) “¿Bajo la modalidad de selección de contratación directa, pueden los Municipios celebrar contratos de obra pública (contratos interadministrativos) con las asociaciones de Municipios de naturaleza pública (creadas por la ley 136 - 1994, artículos 148 y 149)?”.</w:t>
      </w:r>
    </w:p>
    <w:p w:rsidRPr="004821B6" w:rsidR="0062384D" w:rsidP="0062384D" w:rsidRDefault="0062384D" w14:paraId="1D3B1606" w14:textId="77777777">
      <w:pPr>
        <w:spacing w:after="120" w:line="240" w:lineRule="auto"/>
        <w:ind w:left="709" w:right="709"/>
        <w:jc w:val="both"/>
        <w:rPr>
          <w:rFonts w:ascii="Century Gothic" w:hAnsi="Century Gothic" w:cs="Arial"/>
          <w:color w:val="000000" w:themeColor="text1"/>
          <w:sz w:val="21"/>
          <w:szCs w:val="21"/>
          <w:lang w:val="es-ES_tradnl"/>
        </w:rPr>
      </w:pPr>
      <w:proofErr w:type="spellStart"/>
      <w:r w:rsidRPr="004821B6">
        <w:rPr>
          <w:rFonts w:ascii="Century Gothic" w:hAnsi="Century Gothic" w:cs="Arial"/>
          <w:color w:val="000000" w:themeColor="text1"/>
          <w:sz w:val="21"/>
          <w:szCs w:val="21"/>
          <w:lang w:val="es-ES_tradnl"/>
        </w:rPr>
        <w:t>ii</w:t>
      </w:r>
      <w:proofErr w:type="spellEnd"/>
      <w:r w:rsidRPr="004821B6">
        <w:rPr>
          <w:rFonts w:ascii="Century Gothic" w:hAnsi="Century Gothic" w:cs="Arial"/>
          <w:color w:val="000000" w:themeColor="text1"/>
          <w:sz w:val="21"/>
          <w:szCs w:val="21"/>
          <w:lang w:val="es-ES_tradnl"/>
        </w:rPr>
        <w:t>) “¿En qué casos específicos procede la modalidad de contratación directa, teniendo en cuenta los dispuesto por la Ley 80-93, modificado por el artículo 92 de la Ley 1474 de 2011, y de existir excepciones cuales serían los contratos exceptuados?”.</w:t>
      </w:r>
    </w:p>
    <w:p w:rsidRPr="004821B6" w:rsidR="0062384D" w:rsidP="0062384D" w:rsidRDefault="0062384D" w14:paraId="7EC8B194" w14:textId="77777777">
      <w:pPr>
        <w:spacing w:after="120" w:line="240" w:lineRule="auto"/>
        <w:ind w:left="709" w:right="709"/>
        <w:jc w:val="both"/>
        <w:rPr>
          <w:rFonts w:ascii="Century Gothic" w:hAnsi="Century Gothic" w:cs="Arial"/>
          <w:color w:val="000000" w:themeColor="text1"/>
          <w:sz w:val="21"/>
          <w:szCs w:val="21"/>
          <w:lang w:val="es-ES_tradnl"/>
        </w:rPr>
      </w:pPr>
      <w:proofErr w:type="spellStart"/>
      <w:r w:rsidRPr="004821B6">
        <w:rPr>
          <w:rFonts w:ascii="Century Gothic" w:hAnsi="Century Gothic" w:cs="Arial"/>
          <w:color w:val="000000" w:themeColor="text1"/>
          <w:sz w:val="21"/>
          <w:szCs w:val="21"/>
          <w:lang w:val="es-ES_tradnl"/>
        </w:rPr>
        <w:t>iii</w:t>
      </w:r>
      <w:proofErr w:type="spellEnd"/>
      <w:r w:rsidRPr="004821B6">
        <w:rPr>
          <w:rFonts w:ascii="Century Gothic" w:hAnsi="Century Gothic" w:cs="Arial"/>
          <w:color w:val="000000" w:themeColor="text1"/>
          <w:sz w:val="21"/>
          <w:szCs w:val="21"/>
          <w:lang w:val="es-ES_tradnl"/>
        </w:rPr>
        <w:t xml:space="preserve">) “¿Cuál es la diferencia entre asociaciones de entidades territoriales y asociaciones de Municipios de naturaleza pública?”. </w:t>
      </w:r>
    </w:p>
    <w:p w:rsidRPr="004821B6" w:rsidR="0062384D" w:rsidP="0062384D" w:rsidRDefault="0062384D" w14:paraId="74516CF4" w14:textId="77777777">
      <w:pPr>
        <w:spacing w:after="120" w:line="240" w:lineRule="auto"/>
        <w:ind w:left="709" w:right="709"/>
        <w:jc w:val="both"/>
        <w:rPr>
          <w:rFonts w:ascii="Century Gothic" w:hAnsi="Century Gothic" w:cs="Arial"/>
          <w:color w:val="000000" w:themeColor="text1"/>
          <w:sz w:val="21"/>
          <w:szCs w:val="21"/>
          <w:lang w:val="es-ES_tradnl"/>
        </w:rPr>
      </w:pPr>
      <w:proofErr w:type="spellStart"/>
      <w:r w:rsidRPr="004821B6">
        <w:rPr>
          <w:rFonts w:ascii="Century Gothic" w:hAnsi="Century Gothic" w:cs="Arial"/>
          <w:color w:val="000000" w:themeColor="text1"/>
          <w:sz w:val="21"/>
          <w:szCs w:val="21"/>
          <w:lang w:val="es-ES_tradnl"/>
        </w:rPr>
        <w:t>iv</w:t>
      </w:r>
      <w:proofErr w:type="spellEnd"/>
      <w:r w:rsidRPr="004821B6">
        <w:rPr>
          <w:rFonts w:ascii="Century Gothic" w:hAnsi="Century Gothic" w:cs="Arial"/>
          <w:color w:val="000000" w:themeColor="text1"/>
          <w:sz w:val="21"/>
          <w:szCs w:val="21"/>
          <w:lang w:val="es-ES_tradnl"/>
        </w:rPr>
        <w:t>) “¿Requiero con todo respeto claridad legal respecto de la excepción contenida en el artículo 92 de la Ley 1474-2011 que subrogó el artículo 2, numeral 4, de la Ley 1150 de 2007, a que tipo de asociaciones se refiere?”.</w:t>
      </w:r>
    </w:p>
    <w:p w:rsidRPr="004821B6" w:rsidR="0062384D" w:rsidP="0062384D" w:rsidRDefault="0062384D" w14:paraId="72CDC5F2" w14:textId="77777777">
      <w:pPr>
        <w:spacing w:after="120" w:line="240" w:lineRule="auto"/>
        <w:ind w:left="709" w:right="709"/>
        <w:jc w:val="both"/>
        <w:rPr>
          <w:rFonts w:ascii="Century Gothic" w:hAnsi="Century Gothic" w:cs="Arial"/>
          <w:color w:val="000000" w:themeColor="text1"/>
          <w:sz w:val="21"/>
          <w:szCs w:val="21"/>
          <w:lang w:val="es-ES_tradnl"/>
        </w:rPr>
      </w:pPr>
      <w:r w:rsidRPr="004821B6">
        <w:rPr>
          <w:rFonts w:ascii="Century Gothic" w:hAnsi="Century Gothic" w:cs="Arial"/>
          <w:color w:val="000000" w:themeColor="text1"/>
          <w:sz w:val="21"/>
          <w:szCs w:val="21"/>
          <w:lang w:val="es-ES_tradnl"/>
        </w:rPr>
        <w:t xml:space="preserve">v) “¿Le es aplicable la prohibición contenida en el artículo 92 de la Ley 1474-2011 a las asociaciones de Municipios?”. </w:t>
      </w:r>
    </w:p>
    <w:p w:rsidRPr="004821B6" w:rsidR="0062384D" w:rsidP="0062384D" w:rsidRDefault="0062384D" w14:paraId="5B2FD81D" w14:textId="77777777">
      <w:pPr>
        <w:spacing w:after="0" w:line="240" w:lineRule="auto"/>
        <w:ind w:left="709" w:right="709"/>
        <w:jc w:val="both"/>
        <w:rPr>
          <w:rFonts w:ascii="Century Gothic" w:hAnsi="Century Gothic" w:cs="Arial"/>
          <w:color w:val="000000" w:themeColor="text1"/>
          <w:sz w:val="21"/>
          <w:szCs w:val="21"/>
        </w:rPr>
      </w:pPr>
      <w:r w:rsidRPr="004821B6">
        <w:rPr>
          <w:rFonts w:ascii="Century Gothic" w:hAnsi="Century Gothic" w:cs="Arial"/>
          <w:color w:val="000000" w:themeColor="text1"/>
          <w:sz w:val="21"/>
          <w:szCs w:val="21"/>
          <w:lang w:val="es-ES_tradnl"/>
        </w:rPr>
        <w:t>vi) “Según la doctrina, porque se manifiesta que las asociaciones de Municipios son entidades administrativas dentro de la tipología de entidades públicas y de ser cierto lo manifestado por lo doctrinantes, entonces las asociaciones de Municipios de naturaleza pública, ¿estarían sujetas a las prohibiciones que contiene el artículo 92 de la Ley 1474 de 2011?”.</w:t>
      </w:r>
    </w:p>
    <w:p w:rsidRPr="004821B6" w:rsidR="0062384D" w:rsidP="0062384D" w:rsidRDefault="0062384D" w14:paraId="5582AC79" w14:textId="77777777">
      <w:pPr>
        <w:spacing w:after="0" w:line="276" w:lineRule="auto"/>
        <w:ind w:left="709" w:right="709"/>
        <w:jc w:val="both"/>
        <w:rPr>
          <w:rFonts w:ascii="Century Gothic" w:hAnsi="Century Gothic" w:cs="Arial"/>
          <w:color w:val="000000" w:themeColor="text1"/>
        </w:rPr>
      </w:pPr>
      <w:r w:rsidRPr="004821B6">
        <w:rPr>
          <w:rFonts w:ascii="Century Gothic" w:hAnsi="Century Gothic" w:cs="Arial"/>
          <w:color w:val="000000" w:themeColor="text1"/>
          <w:sz w:val="21"/>
          <w:szCs w:val="21"/>
        </w:rPr>
        <w:t xml:space="preserve">  </w:t>
      </w:r>
    </w:p>
    <w:p w:rsidRPr="004821B6" w:rsidR="0062384D" w:rsidP="0062384D" w:rsidRDefault="0062384D" w14:paraId="111F72EE" w14:textId="77777777">
      <w:pPr>
        <w:pStyle w:val="Textoindependiente"/>
        <w:spacing w:after="120" w:line="276" w:lineRule="auto"/>
        <w:ind w:right="108"/>
        <w:jc w:val="both"/>
        <w:rPr>
          <w:rFonts w:ascii="Century Gothic" w:hAnsi="Century Gothic"/>
          <w:color w:val="000000" w:themeColor="text1"/>
        </w:rPr>
      </w:pPr>
      <w:bookmarkStart w:name="_Hlk131064197" w:id="39"/>
      <w:r w:rsidRPr="004821B6">
        <w:rPr>
          <w:rFonts w:ascii="Century Gothic" w:hAnsi="Century Gothic" w:eastAsia="Calibri"/>
          <w:color w:val="000000" w:themeColor="text1"/>
        </w:rPr>
        <w:t xml:space="preserve">De acuerdo con la interpretación general de las normas que conforman el sistema de compras públicas, el artículo 10 de la Ley </w:t>
      </w:r>
      <w:r w:rsidRPr="004821B6">
        <w:rPr>
          <w:rFonts w:ascii="Century Gothic" w:hAnsi="Century Gothic"/>
          <w:color w:val="000000" w:themeColor="text1"/>
        </w:rPr>
        <w:t xml:space="preserve">Orgánica del Ordenamiento territorial concibe a las asociaciones de municipios como una clase de los denominados esquemas asociativos territoriales,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rsidRPr="004821B6" w:rsidR="0062384D" w:rsidP="0062384D" w:rsidRDefault="0062384D" w14:paraId="7E88C72F" w14:textId="77777777">
      <w:pPr>
        <w:pStyle w:val="Textoindependiente"/>
        <w:spacing w:after="120" w:line="276" w:lineRule="auto"/>
        <w:ind w:right="108" w:firstLine="708"/>
        <w:jc w:val="both"/>
        <w:rPr>
          <w:rFonts w:ascii="Century Gothic" w:hAnsi="Century Gothic"/>
          <w:color w:val="000000" w:themeColor="text1"/>
        </w:rPr>
      </w:pPr>
      <w:r w:rsidRPr="004821B6">
        <w:rPr>
          <w:rFonts w:ascii="Century Gothic" w:hAnsi="Century Gothic"/>
          <w:color w:val="000000" w:themeColor="text1"/>
        </w:rPr>
        <w:t xml:space="preserve">En este contexto, la diferencia entre las asociaciones de entidades territoriales y las asociaciones de municipios es de género y especie: si bien todas las asociaciones de municipios son asociaciones de entidades territoriales, no todas las asociaciones de entidades territoriales son asociaciones de municipios. Estos esquemas asociativos pueden celebrar convenios interadministrativos con otras entidades estatales. Sin perjuicio de lo anterior, en función de la naturaleza jurídica que se termine en cada caso concreto, deben observarse las prohibiciones establecidas en el artículo 10 de la Ley 1150 de 2007 y en el artículo 92 de la Ley 1474 de 2011, los cuales limitan la modalidad de contratación directa. </w:t>
      </w:r>
    </w:p>
    <w:p w:rsidRPr="004821B6" w:rsidR="0062384D" w:rsidP="0062384D" w:rsidRDefault="0062384D" w14:paraId="604E5527" w14:textId="77777777">
      <w:pPr>
        <w:pStyle w:val="Textoindependiente"/>
        <w:spacing w:after="120" w:line="276" w:lineRule="auto"/>
        <w:ind w:right="108" w:firstLine="709"/>
        <w:jc w:val="both"/>
        <w:rPr>
          <w:rStyle w:val="normaltextrun"/>
          <w:rFonts w:ascii="Century Gothic" w:hAnsi="Century Gothic"/>
          <w:color w:val="000000"/>
          <w:shd w:val="clear" w:color="auto" w:fill="FFFFFF"/>
        </w:rPr>
      </w:pPr>
      <w:r w:rsidRPr="004821B6">
        <w:rPr>
          <w:rFonts w:ascii="Century Gothic" w:hAnsi="Century Gothic"/>
          <w:color w:val="000000" w:themeColor="text1"/>
        </w:rPr>
        <w:t xml:space="preserve">Por un lado, la celebración de contratos con entidades estatales, las cooperativas y asociaciones conformadas por entidades territoriales deben someterse a los procesos de selección de la Ley 1150 de 2007, en igualdad de condiciones con los particulares. </w:t>
      </w:r>
      <w:r w:rsidRPr="004821B6">
        <w:rPr>
          <w:rStyle w:val="normaltextrun"/>
          <w:rFonts w:ascii="Century Gothic" w:hAnsi="Century Gothic"/>
          <w:color w:val="000000"/>
          <w:shd w:val="clear" w:color="auto" w:fill="FFFFFF"/>
        </w:rPr>
        <w:t xml:space="preserve">Así las cosas, la finalidad del artículo 10 </w:t>
      </w:r>
      <w:r w:rsidRPr="004821B6">
        <w:rPr>
          <w:rStyle w:val="normaltextrun"/>
          <w:rFonts w:ascii="Century Gothic" w:hAnsi="Century Gothic"/>
          <w:i/>
          <w:iCs/>
          <w:color w:val="000000"/>
          <w:shd w:val="clear" w:color="auto" w:fill="FFFFFF"/>
        </w:rPr>
        <w:t>ibidem</w:t>
      </w:r>
      <w:r w:rsidRPr="004821B6">
        <w:rPr>
          <w:rStyle w:val="normaltextrun"/>
          <w:rFonts w:ascii="Century Gothic" w:hAnsi="Century Gothic"/>
          <w:color w:val="000000"/>
          <w:shd w:val="clear" w:color="auto" w:fill="FFFFFF"/>
        </w:rPr>
        <w:t xml:space="preserve"> consiste en establecer que 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w:t>
      </w:r>
    </w:p>
    <w:p w:rsidRPr="004821B6" w:rsidR="0062384D" w:rsidP="0062384D" w:rsidRDefault="0062384D" w14:paraId="38259568" w14:textId="77777777">
      <w:pPr>
        <w:pStyle w:val="Textoindependiente"/>
        <w:spacing w:after="120" w:line="276" w:lineRule="auto"/>
        <w:ind w:right="108" w:firstLine="709"/>
        <w:jc w:val="both"/>
        <w:rPr>
          <w:rFonts w:ascii="Century Gothic" w:hAnsi="Century Gothic"/>
          <w:color w:val="000000" w:themeColor="text1"/>
        </w:rPr>
      </w:pPr>
      <w:r w:rsidRPr="004821B6">
        <w:rPr>
          <w:rStyle w:val="normaltextrun"/>
          <w:rFonts w:ascii="Century Gothic" w:hAnsi="Century Gothic"/>
          <w:color w:val="000000"/>
          <w:shd w:val="clear" w:color="auto" w:fill="FFFFFF"/>
        </w:rPr>
        <w:t xml:space="preserve">Por otra parte, </w:t>
      </w:r>
      <w:r w:rsidRPr="004821B6">
        <w:rPr>
          <w:rFonts w:ascii="Century Gothic" w:hAnsi="Century Gothic"/>
          <w:color w:val="000000" w:themeColor="text1"/>
        </w:rPr>
        <w:t>el artículo 92 de la Ley 1474 de 2011constituye otra prohibición precisa para celebrar ciertos objetos y tipologías contractuales por parte de personas jurídicas sin ánimo de lucro conformadas por la asociación de entidades públicas. En particular,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 Teniendo en cuenta que es una norma de excepción, no es posible aplicarla extensiva ni analógicamente. Por tanto, corresponde a cada ente verificar su naturaleza jurídica para determinar si es o no una persona jurídica sin ánimo de lucro conformada por la asociación de entidades públicas, lo cual podrá validar –por ejemplo– con los fundamentos, el contenido del respetivo acto de creación y su objeto.</w:t>
      </w:r>
    </w:p>
    <w:p w:rsidRPr="004821B6" w:rsidR="0062384D" w:rsidP="0062384D" w:rsidRDefault="0062384D" w14:paraId="14E18143"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Para el caso específico de las asociaciones de municipios, el inciso primero del artículo 18 de la Ley 1454 de 2011 –en concordancia con los dispone que la nación podrá contratar o convenir con estos entes asociativos la ejecución asociada de proyectos estratégicos de desarrollo territorial. Asimismo, el inciso segundo </w:t>
      </w:r>
      <w:r w:rsidRPr="004821B6">
        <w:rPr>
          <w:rFonts w:ascii="Century Gothic" w:hAnsi="Century Gothic"/>
          <w:i/>
          <w:iCs/>
          <w:color w:val="000000" w:themeColor="text1"/>
        </w:rPr>
        <w:t>ibidem</w:t>
      </w:r>
      <w:r w:rsidRPr="004821B6">
        <w:rPr>
          <w:rFonts w:ascii="Century Gothic" w:hAnsi="Century Gothic"/>
          <w:color w:val="000000" w:themeColor="text1"/>
        </w:rPr>
        <w:t xml:space="preserve"> prescribe que ambas podrán contratar la ejecución de programas del Plan Nacional de Desarrollo, cuando lo considere pertinente y el objeto para el cual fueron creadas dichas asociaciones lo permita. En concordancia con los artículos 7 y 8 de la Ley 1450 de 2011, “Por la cual se expide el Plan Nacional de Desarrollo, 2010-2014”, la Ley Orgánica de Ordenamiento Territorial tipifica estos negocios jurídicos con el nombre de contratos o convenios plan, los cuales se reglamentan en el Decreto 819 de 2012 y se definen como acuerdos de voluntades cuyo objeto es el desarrollo mancomunado del territorio. </w:t>
      </w:r>
    </w:p>
    <w:p w:rsidRPr="004821B6" w:rsidR="0062384D" w:rsidP="0062384D" w:rsidRDefault="0062384D" w14:paraId="2A28AFF2"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 xml:space="preserve">Pese a la especialidad del régimen jurídico, las normas citadas en el párrafo precedente no mencionan explícitamente la modalidad de selección para suscribir estos contratos o convenios. Sin embargo, teniendo en cuenta que tanto la nación como los esquemas asociativos territoriales son entidades estatales, dichos contratos o convenios tienen la naturaleza de interadministrativos. En este contexto, es necesario tener en cuenta que las causales de contratación directa excepcionan los mecanismos de selección objetiva por convocatoria pública definidos en el Estatuto General de Contratación de la Administración Pública, por lo que se interpretan restrictivamente, es decir, conforme al tenor literal de las normas. Por tanto, esta será procedente en las condiciones que disponga el numeral 4 del artículo 2 de la Ley 1150 de 2007, sin perjuicio del análisis que en cada caso específico realice la entidad pública sobre el alcance de las </w:t>
      </w:r>
      <w:r w:rsidRPr="004821B6">
        <w:rPr>
          <w:rFonts w:ascii="Century Gothic" w:hAnsi="Century Gothic"/>
          <w:color w:val="000000" w:themeColor="text1"/>
        </w:rPr>
        <w:t xml:space="preserve">prohibiciones establecidas en el artículo 10 de la Ley 1150 de 2007 y en el artículo 92 de la Ley 1474 de 2011 en función de criterios como la naturaleza jurídica, el objeto del ente asociativo, etc. Esto teniendo en cuenta que la Leyes 1450 y 1454 de 2011 no derogaron expresamente estas restricciones.   </w:t>
      </w:r>
    </w:p>
    <w:p w:rsidRPr="004821B6" w:rsidR="0062384D" w:rsidP="0062384D" w:rsidRDefault="0062384D" w14:paraId="75F2B120" w14:textId="77777777">
      <w:pPr>
        <w:tabs>
          <w:tab w:val="left" w:pos="426"/>
        </w:tabs>
        <w:spacing w:after="120" w:line="276" w:lineRule="auto"/>
        <w:ind w:firstLine="709"/>
        <w:jc w:val="both"/>
        <w:rPr>
          <w:rFonts w:ascii="Century Gothic" w:hAnsi="Century Gothic" w:eastAsia="Times New Roman" w:cs="Arial"/>
          <w:bCs/>
          <w:lang w:val="es-MX" w:eastAsia="es-CO"/>
        </w:rPr>
      </w:pPr>
      <w:r w:rsidRPr="004821B6">
        <w:rPr>
          <w:rFonts w:ascii="Century Gothic" w:hAnsi="Century Gothic" w:cs="Arial"/>
          <w:color w:val="000000" w:themeColor="text1"/>
        </w:rPr>
        <w:t>Por lo demás,</w:t>
      </w:r>
      <w:r w:rsidRPr="004821B6">
        <w:rPr>
          <w:rFonts w:ascii="Century Gothic" w:hAnsi="Century Gothic"/>
          <w:color w:val="000000" w:themeColor="text1"/>
        </w:rPr>
        <w:t xml:space="preserve"> </w:t>
      </w:r>
      <w:r w:rsidRPr="004821B6">
        <w:rPr>
          <w:rFonts w:ascii="Century Gothic" w:hAnsi="Century Gothic" w:eastAsia="Times New Roman"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821B6">
        <w:rPr>
          <w:rFonts w:ascii="Century Gothic" w:hAnsi="Century Gothic" w:eastAsia="Times New Roman" w:cs="Arial"/>
          <w:bCs/>
          <w:i/>
          <w:iCs/>
          <w:lang w:val="es-MX" w:eastAsia="es-CO"/>
        </w:rPr>
        <w:t>ibidem</w:t>
      </w:r>
      <w:r w:rsidRPr="004821B6">
        <w:rPr>
          <w:rFonts w:ascii="Century Gothic" w:hAnsi="Century Gothic" w:eastAsia="Times New Roman" w:cs="Arial"/>
          <w:bCs/>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p>
    <w:p w:rsidRPr="004821B6" w:rsidR="0062384D" w:rsidP="0062384D" w:rsidRDefault="0062384D" w14:paraId="7A820D23" w14:textId="77777777">
      <w:pPr>
        <w:pStyle w:val="Textoindependiente"/>
        <w:spacing w:after="120"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De lo expuesto se concluye la posibilidad de que los esquemas asociativos celebren convenios interadministrativos con otras entidades estatales. Sin perjuicio de lo anterior, en función de la naturaleza jurídica que se termine en cada caso concreto, deben observarse las prohibiciones establecidas en el artículo 10 de la Ley 1150 de 2007 y en el artículo 92 de la Ley 1474 de 2011, los cuales limitan la modalidad de contratación directa. Esto además de otras restricciones como la prevista en el artículo 38 de la Ley 996 de 2005 como se explicó en el acápite respectivo.</w:t>
      </w:r>
    </w:p>
    <w:p w:rsidRPr="004821B6" w:rsidR="0062384D" w:rsidP="0062384D" w:rsidRDefault="0062384D" w14:paraId="6A3EE2EF" w14:textId="77777777">
      <w:pPr>
        <w:pStyle w:val="Textoindependiente"/>
        <w:spacing w:line="276" w:lineRule="auto"/>
        <w:ind w:right="108" w:firstLine="709"/>
        <w:jc w:val="both"/>
        <w:rPr>
          <w:rFonts w:ascii="Century Gothic" w:hAnsi="Century Gothic"/>
          <w:color w:val="000000" w:themeColor="text1"/>
        </w:rPr>
      </w:pPr>
      <w:r w:rsidRPr="004821B6">
        <w:rPr>
          <w:rFonts w:ascii="Century Gothic" w:hAnsi="Century Gothic"/>
          <w:color w:val="000000" w:themeColor="text1"/>
        </w:rPr>
        <w:t>En este marco, corresponde a cada entidad pública, en ejercicio de su competencia y previa valoración de los elementos fácticos y jurídicos, determinar la forma que adelanta su gestión contractual. La Agencia, por vía consultiva, únicamente brinda elementos hermenéuticos de carácter general para que los partícipes del sistema de compras y contratación pública adopten la decisión que corresponda, lo cual es acorde con el principio de juridicidad. Dado que Colombia Compra Eficiente no una instancia de validación de las actuaciones de las entidades sujetas a la Ley 80 de 1993 o de los demás participantes de la contratación pública, previo concepto de sus órganos asesores, la solución de casos particulares es responsabilidad exclusiva de la entidad que debe adoptar la decisión correspondiente y, en caso de conflicto, de las autoridades judiciales, fiscales y disciplinarias.</w:t>
      </w:r>
    </w:p>
    <w:bookmarkEnd w:id="39"/>
    <w:p w:rsidRPr="004821B6" w:rsidR="0062384D" w:rsidP="0062384D" w:rsidRDefault="0062384D" w14:paraId="0994E855" w14:textId="77777777">
      <w:pPr>
        <w:tabs>
          <w:tab w:val="left" w:pos="426"/>
        </w:tabs>
        <w:spacing w:after="120" w:line="276" w:lineRule="auto"/>
        <w:jc w:val="both"/>
        <w:rPr>
          <w:rFonts w:ascii="Century Gothic" w:hAnsi="Century Gothic" w:eastAsia="Arial" w:cs="Arial"/>
          <w:lang w:val="es-ES" w:eastAsia="es-ES" w:bidi="es-ES"/>
        </w:rPr>
      </w:pPr>
    </w:p>
    <w:p w:rsidRPr="004821B6" w:rsidR="0062384D" w:rsidP="0062384D" w:rsidRDefault="0062384D" w14:paraId="30A1C1DF"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4821B6">
        <w:rPr>
          <w:rFonts w:ascii="Century Gothic" w:hAnsi="Century Gothic" w:cs="Arial"/>
          <w:color w:val="000000" w:themeColor="text1"/>
          <w:lang w:val="es-ES_tradnl"/>
        </w:rPr>
        <w:t xml:space="preserve">Este concepto tiene el alcance previsto en el artículo 28 del Código de </w:t>
      </w:r>
      <w:r w:rsidRPr="004821B6">
        <w:rPr>
          <w:rFonts w:ascii="Century Gothic" w:hAnsi="Century Gothic" w:cs="Arial"/>
          <w:color w:val="000000" w:themeColor="text1"/>
          <w:lang w:val="es-ES_tradnl"/>
        </w:rPr>
        <w:t>Procedimiento Administrativo y de lo Contencioso Administrativo.</w:t>
      </w:r>
    </w:p>
    <w:p w:rsidRPr="004821B6" w:rsidR="0062384D" w:rsidP="0062384D" w:rsidRDefault="0062384D" w14:paraId="48975C4E"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4821B6" w:rsidR="0062384D" w:rsidP="0062384D" w:rsidRDefault="0062384D" w14:paraId="71BD036F" w14:textId="77777777">
      <w:pPr>
        <w:tabs>
          <w:tab w:val="left" w:pos="426"/>
        </w:tabs>
        <w:spacing w:line="276" w:lineRule="auto"/>
        <w:jc w:val="both"/>
        <w:rPr>
          <w:rFonts w:ascii="Century Gothic" w:hAnsi="Century Gothic" w:eastAsia="Times New Roman" w:cs="Arial"/>
          <w:color w:val="000000" w:themeColor="text1"/>
        </w:rPr>
      </w:pPr>
      <w:r w:rsidRPr="004821B6">
        <w:rPr>
          <w:rFonts w:ascii="Century Gothic" w:hAnsi="Century Gothic" w:eastAsia="Times New Roman" w:cs="Arial"/>
          <w:color w:val="000000" w:themeColor="text1"/>
        </w:rPr>
        <w:t>Atentamente,</w:t>
      </w:r>
    </w:p>
    <w:p w:rsidRPr="004821B6" w:rsidR="0062384D" w:rsidP="0062384D" w:rsidRDefault="008B4CF5" w14:paraId="7B39B720" w14:textId="3FBDA9E0">
      <w:pPr>
        <w:jc w:val="center"/>
        <w:rPr>
          <w:rFonts w:ascii="Century Gothic" w:hAnsi="Century Gothic" w:eastAsia="Times New Roman" w:cs="Arial"/>
          <w:lang w:eastAsia="es-CO"/>
        </w:rPr>
      </w:pPr>
      <w:r>
        <w:rPr>
          <w:noProof/>
        </w:rPr>
        <w:drawing>
          <wp:inline distT="0" distB="0" distL="0" distR="0" wp14:anchorId="6A2ABE87" wp14:editId="04DC3E2D">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4821B6" w:rsidR="0062384D" w:rsidTr="00574E57" w14:paraId="2DF4C525" w14:textId="77777777">
        <w:trPr>
          <w:trHeight w:val="409"/>
        </w:trPr>
        <w:tc>
          <w:tcPr>
            <w:tcW w:w="817" w:type="dxa"/>
            <w:tcBorders>
              <w:top w:val="nil"/>
              <w:left w:val="nil"/>
              <w:bottom w:val="nil"/>
              <w:right w:val="nil"/>
            </w:tcBorders>
            <w:vAlign w:val="center"/>
            <w:hideMark/>
          </w:tcPr>
          <w:p w:rsidRPr="004821B6" w:rsidR="0062384D" w:rsidP="00574E57" w:rsidRDefault="0062384D" w14:paraId="703345ED" w14:textId="77777777">
            <w:pPr>
              <w:spacing w:after="0" w:line="240" w:lineRule="auto"/>
              <w:jc w:val="both"/>
              <w:rPr>
                <w:rFonts w:ascii="Century Gothic" w:hAnsi="Century Gothic" w:cs="Arial"/>
                <w:sz w:val="16"/>
                <w:szCs w:val="16"/>
              </w:rPr>
            </w:pPr>
            <w:r w:rsidRPr="004821B6">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4821B6" w:rsidR="0062384D" w:rsidP="00574E57" w:rsidRDefault="0062384D" w14:paraId="7A0E8650" w14:textId="77777777">
            <w:pPr>
              <w:spacing w:after="0" w:line="240" w:lineRule="auto"/>
              <w:jc w:val="both"/>
              <w:rPr>
                <w:rFonts w:ascii="Century Gothic" w:hAnsi="Century Gothic" w:cs="Arial"/>
                <w:sz w:val="16"/>
                <w:szCs w:val="16"/>
              </w:rPr>
            </w:pPr>
            <w:r w:rsidRPr="004821B6">
              <w:rPr>
                <w:rFonts w:ascii="Century Gothic" w:hAnsi="Century Gothic" w:cs="Arial"/>
                <w:sz w:val="16"/>
                <w:szCs w:val="16"/>
              </w:rPr>
              <w:t>Juan David Montoya Penagos</w:t>
            </w:r>
          </w:p>
          <w:p w:rsidRPr="004821B6" w:rsidR="0062384D" w:rsidP="00574E57" w:rsidRDefault="0062384D" w14:paraId="1A439696" w14:textId="77777777">
            <w:pPr>
              <w:spacing w:after="0" w:line="240" w:lineRule="auto"/>
              <w:jc w:val="both"/>
              <w:rPr>
                <w:rFonts w:ascii="Century Gothic" w:hAnsi="Century Gothic" w:cs="Arial"/>
                <w:sz w:val="16"/>
                <w:szCs w:val="16"/>
              </w:rPr>
            </w:pPr>
            <w:r w:rsidRPr="004821B6">
              <w:rPr>
                <w:rFonts w:ascii="Century Gothic" w:hAnsi="Century Gothic" w:cs="Arial"/>
                <w:sz w:val="16"/>
                <w:szCs w:val="16"/>
              </w:rPr>
              <w:t>Contratista de la Subdirección de Gestión Contractual</w:t>
            </w:r>
          </w:p>
        </w:tc>
      </w:tr>
      <w:tr w:rsidRPr="004821B6" w:rsidR="0062384D" w:rsidTr="00574E57" w14:paraId="04602827" w14:textId="77777777">
        <w:trPr>
          <w:trHeight w:val="409"/>
        </w:trPr>
        <w:tc>
          <w:tcPr>
            <w:tcW w:w="817" w:type="dxa"/>
            <w:tcBorders>
              <w:top w:val="nil"/>
              <w:left w:val="nil"/>
              <w:right w:val="nil"/>
            </w:tcBorders>
            <w:vAlign w:val="center"/>
          </w:tcPr>
          <w:p w:rsidRPr="004821B6" w:rsidR="0062384D" w:rsidP="00574E57" w:rsidRDefault="0062384D" w14:paraId="223BEF50" w14:textId="77777777">
            <w:pPr>
              <w:jc w:val="both"/>
              <w:rPr>
                <w:rFonts w:ascii="Century Gothic" w:hAnsi="Century Gothic" w:cs="Arial"/>
                <w:sz w:val="16"/>
                <w:szCs w:val="16"/>
              </w:rPr>
            </w:pPr>
            <w:r w:rsidRPr="004821B6">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4821B6" w:rsidR="0062384D" w:rsidP="00574E57" w:rsidRDefault="0062384D" w14:paraId="7058A5DA" w14:textId="77777777">
            <w:pPr>
              <w:spacing w:after="0" w:line="240" w:lineRule="auto"/>
              <w:jc w:val="both"/>
              <w:rPr>
                <w:rFonts w:ascii="Century Gothic" w:hAnsi="Century Gothic" w:cs="Arial"/>
                <w:sz w:val="16"/>
                <w:szCs w:val="16"/>
              </w:rPr>
            </w:pPr>
            <w:r w:rsidRPr="004821B6">
              <w:rPr>
                <w:rFonts w:ascii="Century Gothic" w:hAnsi="Century Gothic" w:cs="Arial"/>
                <w:sz w:val="16"/>
                <w:szCs w:val="16"/>
              </w:rPr>
              <w:t>Martha Alicia Romero Vargas</w:t>
            </w:r>
          </w:p>
          <w:p w:rsidRPr="004821B6" w:rsidR="0062384D" w:rsidP="00574E57" w:rsidRDefault="0062384D" w14:paraId="13DF9B94" w14:textId="389F2387">
            <w:pPr>
              <w:spacing w:after="0" w:line="240" w:lineRule="auto"/>
              <w:jc w:val="both"/>
              <w:rPr>
                <w:rFonts w:ascii="Century Gothic" w:hAnsi="Century Gothic" w:cs="Arial"/>
                <w:sz w:val="16"/>
                <w:szCs w:val="16"/>
              </w:rPr>
            </w:pPr>
            <w:r w:rsidRPr="004821B6">
              <w:rPr>
                <w:rFonts w:ascii="Century Gothic" w:hAnsi="Century Gothic" w:cs="Arial"/>
                <w:sz w:val="16"/>
                <w:szCs w:val="16"/>
              </w:rPr>
              <w:t xml:space="preserve">Gestor T1 </w:t>
            </w:r>
            <w:r w:rsidRPr="004821B6">
              <w:rPr>
                <w:rFonts w:ascii="Arial" w:hAnsi="Arial" w:cs="Arial"/>
                <w:sz w:val="16"/>
                <w:szCs w:val="16"/>
              </w:rPr>
              <w:t>‒</w:t>
            </w:r>
            <w:r w:rsidRPr="004821B6">
              <w:rPr>
                <w:rFonts w:ascii="Century Gothic" w:hAnsi="Century Gothic" w:cs="Arial"/>
                <w:sz w:val="16"/>
                <w:szCs w:val="16"/>
              </w:rPr>
              <w:t xml:space="preserve"> 15 de la Subdirecci</w:t>
            </w:r>
            <w:r w:rsidRPr="004821B6">
              <w:rPr>
                <w:rFonts w:ascii="Century Gothic" w:hAnsi="Century Gothic" w:cs="Century Gothic"/>
                <w:sz w:val="16"/>
                <w:szCs w:val="16"/>
              </w:rPr>
              <w:t>ó</w:t>
            </w:r>
            <w:r w:rsidRPr="004821B6">
              <w:rPr>
                <w:rFonts w:ascii="Century Gothic" w:hAnsi="Century Gothic" w:cs="Arial"/>
                <w:sz w:val="16"/>
                <w:szCs w:val="16"/>
              </w:rPr>
              <w:t>n de Gesti</w:t>
            </w:r>
            <w:r w:rsidRPr="004821B6">
              <w:rPr>
                <w:rFonts w:ascii="Century Gothic" w:hAnsi="Century Gothic" w:cs="Century Gothic"/>
                <w:sz w:val="16"/>
                <w:szCs w:val="16"/>
              </w:rPr>
              <w:t>ó</w:t>
            </w:r>
            <w:r w:rsidRPr="004821B6">
              <w:rPr>
                <w:rFonts w:ascii="Century Gothic" w:hAnsi="Century Gothic" w:cs="Arial"/>
                <w:sz w:val="16"/>
                <w:szCs w:val="16"/>
              </w:rPr>
              <w:t>n Contractual</w:t>
            </w:r>
          </w:p>
        </w:tc>
      </w:tr>
      <w:tr w:rsidRPr="004821B6" w:rsidR="0062384D" w:rsidTr="00574E57" w14:paraId="112CA76A" w14:textId="77777777">
        <w:trPr>
          <w:trHeight w:val="389"/>
        </w:trPr>
        <w:tc>
          <w:tcPr>
            <w:tcW w:w="817" w:type="dxa"/>
            <w:tcBorders>
              <w:top w:val="nil"/>
              <w:left w:val="nil"/>
              <w:bottom w:val="nil"/>
              <w:right w:val="nil"/>
            </w:tcBorders>
            <w:vAlign w:val="center"/>
            <w:hideMark/>
          </w:tcPr>
          <w:p w:rsidRPr="004821B6" w:rsidR="0062384D" w:rsidP="00574E57" w:rsidRDefault="0062384D" w14:paraId="77F11A29" w14:textId="77777777">
            <w:pPr>
              <w:spacing w:after="0" w:line="240" w:lineRule="auto"/>
              <w:jc w:val="both"/>
              <w:rPr>
                <w:rFonts w:ascii="Century Gothic" w:hAnsi="Century Gothic" w:cs="Arial"/>
                <w:sz w:val="16"/>
                <w:szCs w:val="16"/>
              </w:rPr>
            </w:pPr>
            <w:r w:rsidRPr="004821B6">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4821B6" w:rsidR="0062384D" w:rsidP="00574E57" w:rsidRDefault="0062384D" w14:paraId="7785875C" w14:textId="77777777">
            <w:pPr>
              <w:spacing w:after="0" w:line="240" w:lineRule="auto"/>
              <w:jc w:val="both"/>
              <w:rPr>
                <w:rFonts w:ascii="Century Gothic" w:hAnsi="Century Gothic" w:cs="Arial"/>
                <w:sz w:val="16"/>
                <w:szCs w:val="16"/>
              </w:rPr>
            </w:pPr>
            <w:r w:rsidRPr="004821B6">
              <w:rPr>
                <w:rFonts w:ascii="Century Gothic" w:hAnsi="Century Gothic" w:cs="Arial"/>
                <w:sz w:val="16"/>
                <w:szCs w:val="16"/>
              </w:rPr>
              <w:t xml:space="preserve">Nohelia del Carmen </w:t>
            </w:r>
            <w:proofErr w:type="spellStart"/>
            <w:r w:rsidRPr="004821B6">
              <w:rPr>
                <w:rFonts w:ascii="Century Gothic" w:hAnsi="Century Gothic" w:cs="Arial"/>
                <w:sz w:val="16"/>
                <w:szCs w:val="16"/>
              </w:rPr>
              <w:t>Zawady</w:t>
            </w:r>
            <w:proofErr w:type="spellEnd"/>
            <w:r w:rsidRPr="004821B6">
              <w:rPr>
                <w:rFonts w:ascii="Century Gothic" w:hAnsi="Century Gothic" w:cs="Arial"/>
                <w:sz w:val="16"/>
                <w:szCs w:val="16"/>
              </w:rPr>
              <w:t xml:space="preserve"> Palacio</w:t>
            </w:r>
          </w:p>
          <w:p w:rsidRPr="004821B6" w:rsidR="0062384D" w:rsidP="00574E57" w:rsidRDefault="0062384D" w14:paraId="58A6C6FC" w14:textId="77777777">
            <w:pPr>
              <w:spacing w:after="0" w:line="240" w:lineRule="auto"/>
              <w:jc w:val="both"/>
              <w:rPr>
                <w:rFonts w:ascii="Century Gothic" w:hAnsi="Century Gothic" w:cs="Arial"/>
                <w:sz w:val="16"/>
                <w:szCs w:val="16"/>
              </w:rPr>
            </w:pPr>
            <w:r w:rsidRPr="004821B6">
              <w:rPr>
                <w:rFonts w:ascii="Century Gothic" w:hAnsi="Century Gothic" w:cs="Arial"/>
                <w:sz w:val="16"/>
                <w:szCs w:val="16"/>
              </w:rPr>
              <w:t>Subdirectora de Gestión Contractual ANCP - CCE</w:t>
            </w:r>
          </w:p>
        </w:tc>
      </w:tr>
      <w:bookmarkEnd w:id="2"/>
    </w:tbl>
    <w:p w:rsidRPr="004821B6" w:rsidR="0062384D" w:rsidP="0062384D" w:rsidRDefault="0062384D" w14:paraId="791F3644" w14:textId="77777777">
      <w:pPr>
        <w:tabs>
          <w:tab w:val="left" w:pos="0"/>
        </w:tabs>
        <w:spacing w:line="276" w:lineRule="auto"/>
        <w:contextualSpacing/>
        <w:jc w:val="both"/>
        <w:rPr>
          <w:rFonts w:ascii="Century Gothic" w:hAnsi="Century Gothic"/>
          <w:lang w:val="es-MX"/>
        </w:rPr>
      </w:pPr>
    </w:p>
    <w:p w:rsidRPr="004821B6" w:rsidR="0062384D" w:rsidP="0062384D" w:rsidRDefault="0062384D" w14:paraId="3D71C7B6" w14:textId="77777777">
      <w:pPr>
        <w:rPr>
          <w:rFonts w:ascii="Century Gothic" w:hAnsi="Century Gothic"/>
        </w:rPr>
      </w:pPr>
    </w:p>
    <w:p w:rsidRPr="00C26CF8" w:rsidR="00127233" w:rsidP="00C26CF8" w:rsidRDefault="00127233" w14:paraId="0F293BF4" w14:textId="7BBFAB11"/>
    <w:sectPr w:rsidRPr="00C26CF8" w:rsidR="00127233" w:rsidSect="002E4FD9">
      <w:headerReference w:type="default" r:id="rId14"/>
      <w:footerReference w:type="default" r:id="rId15"/>
      <w:pgSz w:w="12240" w:h="15840" w:orient="portrait"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DFD" w:rsidP="004A1847" w:rsidRDefault="00DE7DFD" w14:paraId="00F3C4D9" w14:textId="77777777">
      <w:pPr>
        <w:spacing w:after="0" w:line="240" w:lineRule="auto"/>
      </w:pPr>
      <w:r>
        <w:separator/>
      </w:r>
    </w:p>
  </w:endnote>
  <w:endnote w:type="continuationSeparator" w:id="0">
    <w:p w:rsidR="00DE7DFD" w:rsidP="004A1847" w:rsidRDefault="00DE7DFD" w14:paraId="236D8A32" w14:textId="77777777">
      <w:pPr>
        <w:spacing w:after="0" w:line="240" w:lineRule="auto"/>
      </w:pPr>
      <w:r>
        <w:continuationSeparator/>
      </w:r>
    </w:p>
  </w:endnote>
  <w:endnote w:type="continuationNotice" w:id="1">
    <w:p w:rsidR="00DE7DFD" w:rsidRDefault="00DE7DFD" w14:paraId="175834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322A85" w:rsidP="00322A85" w:rsidRDefault="003F3941" w14:paraId="171D456F" w14:textId="56C74A82">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415501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061B2A">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F4E4C24">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DFD" w:rsidP="004A1847" w:rsidRDefault="00DE7DFD" w14:paraId="35F3D11F" w14:textId="77777777">
      <w:pPr>
        <w:spacing w:after="0" w:line="240" w:lineRule="auto"/>
      </w:pPr>
      <w:r>
        <w:separator/>
      </w:r>
    </w:p>
  </w:footnote>
  <w:footnote w:type="continuationSeparator" w:id="0">
    <w:p w:rsidR="00DE7DFD" w:rsidP="004A1847" w:rsidRDefault="00DE7DFD" w14:paraId="52AF1966" w14:textId="77777777">
      <w:pPr>
        <w:spacing w:after="0" w:line="240" w:lineRule="auto"/>
      </w:pPr>
      <w:r>
        <w:continuationSeparator/>
      </w:r>
    </w:p>
  </w:footnote>
  <w:footnote w:type="continuationNotice" w:id="1">
    <w:p w:rsidR="00DE7DFD" w:rsidRDefault="00DE7DFD" w14:paraId="7826EC16" w14:textId="77777777">
      <w:pPr>
        <w:spacing w:after="0" w:line="240" w:lineRule="auto"/>
      </w:pPr>
    </w:p>
  </w:footnote>
  <w:footnote w:id="2">
    <w:p w:rsidRPr="004821B6" w:rsidR="0062384D" w:rsidP="0062384D" w:rsidRDefault="0062384D" w14:paraId="0DEBDC8F" w14:textId="77777777">
      <w:pPr>
        <w:pStyle w:val="Textonotapie"/>
        <w:ind w:firstLine="708"/>
        <w:jc w:val="both"/>
        <w:rPr>
          <w:rFonts w:ascii="Century Gothic" w:hAnsi="Century Gothic" w:cs="Arial"/>
          <w:sz w:val="14"/>
          <w:szCs w:val="14"/>
          <w:lang w:val="es-ES"/>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La Agencia Nacional de Contratación Pública </w:t>
      </w:r>
      <w:r w:rsidRPr="004821B6">
        <w:rPr>
          <w:rFonts w:ascii="Arial" w:hAnsi="Arial" w:cs="Arial"/>
          <w:sz w:val="14"/>
          <w:szCs w:val="14"/>
        </w:rPr>
        <w:t>‒</w:t>
      </w:r>
      <w:r w:rsidRPr="004821B6">
        <w:rPr>
          <w:rFonts w:ascii="Century Gothic" w:hAnsi="Century Gothic" w:cs="Arial"/>
          <w:sz w:val="14"/>
          <w:szCs w:val="14"/>
        </w:rPr>
        <w:t xml:space="preserve"> Colombia Compra Eficiente fue creada por el Decreto Ley 4170 de 2011. Su objetivo es servir como ente rector de la pol</w:t>
      </w:r>
      <w:r w:rsidRPr="004821B6">
        <w:rPr>
          <w:rFonts w:ascii="Century Gothic" w:hAnsi="Century Gothic" w:cs="Century Gothic"/>
          <w:sz w:val="14"/>
          <w:szCs w:val="14"/>
        </w:rPr>
        <w:t>í</w:t>
      </w:r>
      <w:r w:rsidRPr="004821B6">
        <w:rPr>
          <w:rFonts w:ascii="Century Gothic" w:hAnsi="Century Gothic" w:cs="Arial"/>
          <w:sz w:val="14"/>
          <w:szCs w:val="14"/>
        </w:rPr>
        <w:t>tica de compras y contrataci</w:t>
      </w:r>
      <w:r w:rsidRPr="004821B6">
        <w:rPr>
          <w:rFonts w:ascii="Century Gothic" w:hAnsi="Century Gothic" w:cs="Century Gothic"/>
          <w:sz w:val="14"/>
          <w:szCs w:val="14"/>
        </w:rPr>
        <w:t>ó</w:t>
      </w:r>
      <w:r w:rsidRPr="004821B6">
        <w:rPr>
          <w:rFonts w:ascii="Century Gothic" w:hAnsi="Century Gothic" w:cs="Arial"/>
          <w:sz w:val="14"/>
          <w:szCs w:val="14"/>
        </w:rPr>
        <w:t xml:space="preserve">n del Estado. Para tales fines, como </w:t>
      </w:r>
      <w:r w:rsidRPr="004821B6">
        <w:rPr>
          <w:rFonts w:ascii="Century Gothic" w:hAnsi="Century Gothic" w:cs="Century Gothic"/>
          <w:sz w:val="14"/>
          <w:szCs w:val="14"/>
        </w:rPr>
        <w:t>ó</w:t>
      </w:r>
      <w:r w:rsidRPr="004821B6">
        <w:rPr>
          <w:rFonts w:ascii="Century Gothic" w:hAnsi="Century Gothic" w:cs="Arial"/>
          <w:sz w:val="14"/>
          <w:szCs w:val="14"/>
        </w:rPr>
        <w:t>rgano t</w:t>
      </w:r>
      <w:r w:rsidRPr="004821B6">
        <w:rPr>
          <w:rFonts w:ascii="Century Gothic" w:hAnsi="Century Gothic" w:cs="Century Gothic"/>
          <w:sz w:val="14"/>
          <w:szCs w:val="14"/>
        </w:rPr>
        <w:t>é</w:t>
      </w:r>
      <w:r w:rsidRPr="004821B6">
        <w:rPr>
          <w:rFonts w:ascii="Century Gothic" w:hAnsi="Century Gothic" w:cs="Arial"/>
          <w:sz w:val="14"/>
          <w:szCs w:val="14"/>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4821B6">
        <w:rPr>
          <w:rFonts w:ascii="Century Gothic" w:hAnsi="Century Gothic" w:cs="Arial"/>
          <w:i/>
          <w:iCs/>
          <w:sz w:val="14"/>
          <w:szCs w:val="14"/>
        </w:rPr>
        <w:t xml:space="preserve">ibidem </w:t>
      </w:r>
      <w:r w:rsidRPr="004821B6">
        <w:rPr>
          <w:rFonts w:ascii="Century Gothic" w:hAnsi="Century Gothic" w:cs="Arial"/>
          <w:sz w:val="14"/>
          <w:szCs w:val="14"/>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4821B6" w:rsidR="0062384D" w:rsidP="0062384D" w:rsidRDefault="0062384D" w14:paraId="2C791EE3" w14:textId="77777777">
      <w:pPr>
        <w:pStyle w:val="Textonotapie"/>
        <w:ind w:firstLine="708"/>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4821B6">
          <w:rPr>
            <w:rStyle w:val="Hipervnculo"/>
            <w:rFonts w:ascii="Century Gothic" w:hAnsi="Century Gothic" w:cs="Arial"/>
            <w:sz w:val="14"/>
            <w:szCs w:val="14"/>
          </w:rPr>
          <w:t>https://relatoria.colombiacompra.gov.co/busqueda/conceptos</w:t>
        </w:r>
      </w:hyperlink>
      <w:r w:rsidRPr="004821B6">
        <w:rPr>
          <w:rStyle w:val="Hipervnculo"/>
          <w:rFonts w:ascii="Century Gothic" w:hAnsi="Century Gothic" w:cs="Arial"/>
          <w:sz w:val="14"/>
          <w:szCs w:val="14"/>
        </w:rPr>
        <w:t xml:space="preserve">. </w:t>
      </w:r>
      <w:r w:rsidRPr="004821B6">
        <w:rPr>
          <w:rFonts w:ascii="Century Gothic" w:hAnsi="Century Gothic" w:cs="Arial"/>
          <w:sz w:val="14"/>
          <w:szCs w:val="14"/>
          <w:shd w:val="clear" w:color="auto" w:fill="E6E6E6"/>
        </w:rPr>
        <w:t xml:space="preserve"> </w:t>
      </w:r>
    </w:p>
  </w:footnote>
  <w:footnote w:id="4">
    <w:p w:rsidRPr="004821B6" w:rsidR="0062384D" w:rsidP="0062384D" w:rsidRDefault="0062384D" w14:paraId="3DA2A223" w14:textId="77777777">
      <w:pPr>
        <w:pStyle w:val="Textonotapie"/>
        <w:ind w:firstLine="720"/>
        <w:jc w:val="both"/>
        <w:rPr>
          <w:rFonts w:ascii="Century Gothic" w:hAnsi="Century Gothic" w:cs="Arial"/>
          <w:color w:val="000000" w:themeColor="text1"/>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w:t>
      </w:r>
      <w:r w:rsidRPr="004821B6">
        <w:rPr>
          <w:rFonts w:ascii="Century Gothic" w:hAnsi="Century Gothic" w:cs="Arial"/>
          <w:color w:val="000000" w:themeColor="text1"/>
          <w:sz w:val="14"/>
          <w:szCs w:val="14"/>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footnote>
  <w:footnote w:id="5">
    <w:p w:rsidRPr="004821B6" w:rsidR="0062384D" w:rsidP="0062384D" w:rsidRDefault="0062384D" w14:paraId="2332F0FC" w14:textId="77777777">
      <w:pPr>
        <w:spacing w:after="0" w:line="240" w:lineRule="auto"/>
        <w:ind w:firstLine="720"/>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footnote>
  <w:footnote w:id="6">
    <w:p w:rsidRPr="004821B6" w:rsidR="0062384D" w:rsidP="0062384D" w:rsidRDefault="0062384D" w14:paraId="7453A5F9" w14:textId="77777777">
      <w:pPr>
        <w:spacing w:after="0" w:line="240" w:lineRule="auto"/>
        <w:ind w:firstLine="720"/>
        <w:jc w:val="both"/>
        <w:rPr>
          <w:rFonts w:ascii="Century Gothic" w:hAnsi="Century Gothic" w:cs="Arial"/>
          <w:color w:val="000000" w:themeColor="text1"/>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Ley 136 de 1994: </w:t>
      </w:r>
      <w:r w:rsidRPr="004821B6">
        <w:rPr>
          <w:rFonts w:ascii="Century Gothic" w:hAnsi="Century Gothic" w:cs="Arial"/>
          <w:color w:val="000000" w:themeColor="text1"/>
          <w:sz w:val="14"/>
          <w:szCs w:val="14"/>
        </w:rPr>
        <w:t>“Artículo 150. Conformación y funcionamiento. Las asociaciones para su conformación y funcionamiento se sujetarán a las siguientes reglas:</w:t>
      </w:r>
    </w:p>
    <w:p w:rsidRPr="004821B6" w:rsidR="0062384D" w:rsidP="0062384D" w:rsidRDefault="0062384D" w14:paraId="481324A9" w14:textId="77777777">
      <w:pPr>
        <w:spacing w:after="0" w:line="240" w:lineRule="auto"/>
        <w:ind w:firstLine="720"/>
        <w:jc w:val="both"/>
        <w:rPr>
          <w:rFonts w:ascii="Century Gothic" w:hAnsi="Century Gothic" w:cs="Arial"/>
          <w:color w:val="000000" w:themeColor="text1"/>
          <w:sz w:val="14"/>
          <w:szCs w:val="14"/>
        </w:rPr>
      </w:pPr>
      <w:r w:rsidRPr="004821B6">
        <w:rPr>
          <w:rFonts w:ascii="Century Gothic" w:hAnsi="Century Gothic" w:cs="Arial"/>
          <w:color w:val="000000" w:themeColor="text1"/>
          <w:sz w:val="14"/>
          <w:szCs w:val="14"/>
        </w:rPr>
        <w:t xml:space="preserve">1. Toda asociación de municipios será siempre voluntaria. </w:t>
      </w:r>
      <w:r w:rsidRPr="004821B6">
        <w:rPr>
          <w:rFonts w:ascii="Century Gothic" w:hAnsi="Century Gothic" w:cs="Arial"/>
          <w:i/>
          <w:iCs/>
          <w:color w:val="000000" w:themeColor="text1"/>
          <w:sz w:val="14"/>
          <w:szCs w:val="14"/>
        </w:rPr>
        <w:t>Se conformará mediante convenio</w:t>
      </w:r>
      <w:r w:rsidRPr="004821B6">
        <w:rPr>
          <w:rFonts w:ascii="Century Gothic" w:hAnsi="Century Gothic" w:cs="Arial"/>
          <w:color w:val="000000" w:themeColor="text1"/>
          <w:sz w:val="14"/>
          <w:szCs w:val="14"/>
        </w:rPr>
        <w:t xml:space="preserve"> suscrito por sus alcaldes, previa autorización de los respectivos concejos” (Cursiva fuera de texto).</w:t>
      </w:r>
    </w:p>
  </w:footnote>
  <w:footnote w:id="7">
    <w:p w:rsidRPr="004821B6" w:rsidR="0062384D" w:rsidP="0062384D" w:rsidRDefault="0062384D" w14:paraId="2172541E" w14:textId="77777777">
      <w:pPr>
        <w:spacing w:after="0" w:line="240" w:lineRule="auto"/>
        <w:ind w:firstLine="720"/>
        <w:jc w:val="both"/>
        <w:rPr>
          <w:rFonts w:ascii="Century Gothic" w:hAnsi="Century Gothic" w:cs="Arial"/>
          <w:color w:val="000000" w:themeColor="text1"/>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w:t>
      </w:r>
      <w:r w:rsidRPr="004821B6">
        <w:rPr>
          <w:rFonts w:ascii="Century Gothic" w:hAnsi="Century Gothic" w:cs="Arial"/>
          <w:color w:val="000000" w:themeColor="text1"/>
          <w:position w:val="6"/>
          <w:sz w:val="14"/>
          <w:szCs w:val="14"/>
        </w:rPr>
        <w:t xml:space="preserve"> </w:t>
      </w:r>
      <w:r w:rsidRPr="004821B6">
        <w:rPr>
          <w:rFonts w:ascii="Century Gothic" w:hAnsi="Century Gothic" w:cs="Arial"/>
          <w:color w:val="000000" w:themeColor="text1"/>
          <w:sz w:val="14"/>
          <w:szCs w:val="14"/>
        </w:rPr>
        <w:t xml:space="preserve">Ley 1454 de 2011: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4821B6">
        <w:rPr>
          <w:rFonts w:ascii="Century Gothic" w:hAnsi="Century Gothic" w:cs="Arial"/>
          <w:i/>
          <w:iCs/>
          <w:color w:val="000000" w:themeColor="text1"/>
          <w:sz w:val="14"/>
          <w:szCs w:val="14"/>
        </w:rPr>
        <w:t>mediante convenio o contrato-plan</w:t>
      </w:r>
      <w:r w:rsidRPr="004821B6">
        <w:rPr>
          <w:rFonts w:ascii="Century Gothic" w:hAnsi="Century Gothic" w:cs="Arial"/>
          <w:color w:val="000000" w:themeColor="text1"/>
          <w:sz w:val="14"/>
          <w:szCs w:val="14"/>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 (Cursiva fuera de texto).</w:t>
      </w:r>
    </w:p>
  </w:footnote>
  <w:footnote w:id="8">
    <w:p w:rsidRPr="004821B6" w:rsidR="0062384D" w:rsidP="0062384D" w:rsidRDefault="0062384D" w14:paraId="3A11CBE1" w14:textId="77777777">
      <w:pPr>
        <w:spacing w:after="0" w:line="240" w:lineRule="auto"/>
        <w:ind w:firstLine="720"/>
        <w:jc w:val="both"/>
        <w:rPr>
          <w:rFonts w:ascii="Century Gothic" w:hAnsi="Century Gothic" w:cs="Arial"/>
          <w:color w:val="000000" w:themeColor="text1"/>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w:t>
      </w:r>
      <w:r w:rsidRPr="004821B6">
        <w:rPr>
          <w:rFonts w:ascii="Century Gothic" w:hAnsi="Century Gothic" w:cs="Arial"/>
          <w:color w:val="000000" w:themeColor="text1"/>
          <w:sz w:val="14"/>
          <w:szCs w:val="14"/>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w:t>
      </w:r>
      <w:r w:rsidRPr="004821B6">
        <w:rPr>
          <w:rFonts w:ascii="Century Gothic" w:hAnsi="Century Gothic" w:cs="Arial"/>
          <w:color w:val="000000" w:themeColor="text1"/>
          <w:spacing w:val="-4"/>
          <w:sz w:val="14"/>
          <w:szCs w:val="14"/>
        </w:rPr>
        <w:t xml:space="preserve"> </w:t>
      </w:r>
      <w:r w:rsidRPr="004821B6">
        <w:rPr>
          <w:rFonts w:ascii="Century Gothic" w:hAnsi="Century Gothic" w:cs="Arial"/>
          <w:color w:val="000000" w:themeColor="text1"/>
          <w:sz w:val="14"/>
          <w:szCs w:val="14"/>
        </w:rPr>
        <w:t>lucro.</w:t>
      </w:r>
    </w:p>
    <w:p w:rsidRPr="004821B6" w:rsidR="0062384D" w:rsidP="0062384D" w:rsidRDefault="0062384D" w14:paraId="57C74D6E" w14:textId="77777777">
      <w:pPr>
        <w:spacing w:after="0" w:line="240" w:lineRule="auto"/>
        <w:ind w:firstLine="720"/>
        <w:jc w:val="both"/>
        <w:rPr>
          <w:rFonts w:ascii="Century Gothic" w:hAnsi="Century Gothic" w:cs="Arial"/>
          <w:color w:val="000000" w:themeColor="text1"/>
          <w:sz w:val="14"/>
          <w:szCs w:val="14"/>
        </w:rPr>
      </w:pPr>
      <w:r w:rsidRPr="004821B6">
        <w:rPr>
          <w:rFonts w:ascii="Century Gothic" w:hAnsi="Century Gothic" w:cs="Arial"/>
          <w:color w:val="000000" w:themeColor="text1"/>
          <w:sz w:val="14"/>
          <w:szCs w:val="14"/>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9">
    <w:p w:rsidRPr="004821B6" w:rsidR="0062384D" w:rsidP="0062384D" w:rsidRDefault="0062384D" w14:paraId="13F254DF" w14:textId="77777777">
      <w:pPr>
        <w:spacing w:after="0" w:line="240" w:lineRule="auto"/>
        <w:ind w:firstLine="720"/>
        <w:jc w:val="both"/>
        <w:rPr>
          <w:rFonts w:ascii="Century Gothic" w:hAnsi="Century Gothic" w:cs="Arial"/>
          <w:color w:val="000000" w:themeColor="text1"/>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w:t>
      </w:r>
      <w:r w:rsidRPr="004821B6">
        <w:rPr>
          <w:rFonts w:ascii="Century Gothic" w:hAnsi="Century Gothic" w:cs="Arial"/>
          <w:color w:val="000000" w:themeColor="text1"/>
          <w:sz w:val="14"/>
          <w:szCs w:val="14"/>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4821B6">
        <w:rPr>
          <w:rFonts w:ascii="Century Gothic" w:hAnsi="Century Gothic" w:cs="Arial"/>
          <w:color w:val="000000" w:themeColor="text1"/>
          <w:spacing w:val="-5"/>
          <w:sz w:val="14"/>
          <w:szCs w:val="14"/>
        </w:rPr>
        <w:t xml:space="preserve"> </w:t>
      </w:r>
      <w:r w:rsidRPr="004821B6">
        <w:rPr>
          <w:rFonts w:ascii="Century Gothic" w:hAnsi="Century Gothic" w:cs="Arial"/>
          <w:color w:val="000000" w:themeColor="text1"/>
          <w:sz w:val="14"/>
          <w:szCs w:val="14"/>
        </w:rPr>
        <w:t>entidades”.</w:t>
      </w:r>
    </w:p>
  </w:footnote>
  <w:footnote w:id="10">
    <w:p w:rsidRPr="004821B6" w:rsidR="0062384D" w:rsidP="0062384D" w:rsidRDefault="0062384D" w14:paraId="52AEB5AB" w14:textId="77777777">
      <w:pPr>
        <w:pStyle w:val="Textonotapie"/>
        <w:ind w:firstLine="708"/>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El artículo 18 de la Ley Orgánica de Ordenamiento Territorial dispone que “La Nación podrá contratar o convenir con las entidades territoriales, con las asociaciones de entidades territoriales y con las áreas metropolitanas, la ejecución asociada de proyectos estratégicos de desarrollo territorial. En los contratos plan que celebren las partes, se establecerán los aportes que harán así como las fuentes de financiación respectivas.</w:t>
      </w:r>
    </w:p>
    <w:p w:rsidRPr="004821B6" w:rsidR="0062384D" w:rsidP="0062384D" w:rsidRDefault="0062384D" w14:paraId="137C45FA" w14:textId="77777777">
      <w:pPr>
        <w:pStyle w:val="Textonotapie"/>
        <w:ind w:firstLine="708"/>
        <w:jc w:val="both"/>
        <w:rPr>
          <w:rFonts w:ascii="Century Gothic" w:hAnsi="Century Gothic" w:cs="Arial"/>
          <w:sz w:val="14"/>
          <w:szCs w:val="14"/>
        </w:rPr>
      </w:pPr>
      <w:r w:rsidRPr="004821B6">
        <w:rPr>
          <w:rFonts w:ascii="Century Gothic" w:hAnsi="Century Gothic" w:cs="Arial"/>
          <w:sz w:val="14"/>
          <w:szCs w:val="14"/>
        </w:rPr>
        <w:t>La Nación también podrá contratar con las asociaciones de entidades territoriales y las áreas metropolitanas la ejecución de programas del Plan Nacional de Desarrollo, cuando lo considere pertinente y el objeto para el cual fueron creadas dichas asociaciones lo permita; previa aprobación de su órgano máximo de administración, atendiendo los principios consagrados en la presente ley.</w:t>
      </w:r>
    </w:p>
    <w:p w:rsidRPr="004821B6" w:rsidR="0062384D" w:rsidP="0062384D" w:rsidRDefault="0062384D" w14:paraId="21954E08" w14:textId="77777777">
      <w:pPr>
        <w:pStyle w:val="Textonotapie"/>
        <w:ind w:firstLine="708"/>
        <w:jc w:val="both"/>
        <w:rPr>
          <w:rFonts w:ascii="Century Gothic" w:hAnsi="Century Gothic" w:cs="Arial"/>
          <w:sz w:val="14"/>
          <w:szCs w:val="14"/>
        </w:rPr>
      </w:pPr>
      <w:r w:rsidRPr="004821B6">
        <w:rPr>
          <w:rFonts w:ascii="Century Gothic" w:hAnsi="Century Gothic" w:cs="Arial"/>
          <w:sz w:val="14"/>
          <w:szCs w:val="14"/>
        </w:rPr>
        <w:t>Se priorizarán con el Fondo de Desarrollo Regional los esquemas asociativos, así como las entidades territoriales que desarrollen contratos o convenios plan de acuerdo con los numerales 6, 8 y 10 del artículo 3° de la presente ley”.</w:t>
      </w:r>
    </w:p>
  </w:footnote>
  <w:footnote w:id="11">
    <w:p w:rsidRPr="004821B6" w:rsidR="0062384D" w:rsidP="0062384D" w:rsidRDefault="0062384D" w14:paraId="77DF43F2" w14:textId="77777777">
      <w:pPr>
        <w:pStyle w:val="Textonotapie"/>
        <w:ind w:firstLine="708"/>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Para la doctrina, “[…] los artículos 12 a 15 y 18 de la Ley 1454 de 2011 prevén el convenio o contrato plan, asimilándolo expresamente a un convenio interadministrativo y autorizando su celebración entre departamentos, entre distritos, entre municipios, entre las áreas metropolitanas e igualmente, por la nación con las entidades territoriales, con las asociaciones de entidades territoriales y con las áreas metropolitanas […]” (CHÁVEZ MARÍN, Augusto Ramón. Los convenios de la administración pública: entre la gestión pública y la actividad contractual. Cuarta edición. Bogotá: Temis, 2020. p. 278).   </w:t>
      </w:r>
    </w:p>
  </w:footnote>
  <w:footnote w:id="12">
    <w:p w:rsidRPr="004821B6" w:rsidR="0062384D" w:rsidP="0062384D" w:rsidRDefault="0062384D" w14:paraId="4B3EA036" w14:textId="77777777">
      <w:pPr>
        <w:pStyle w:val="Textonotapie"/>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4821B6" w:rsidR="0062384D" w:rsidP="0062384D" w:rsidRDefault="0062384D" w14:paraId="3C9516DA" w14:textId="77777777">
      <w:pPr>
        <w:pStyle w:val="Textonotapie"/>
        <w:ind w:firstLine="709"/>
        <w:contextualSpacing/>
        <w:jc w:val="both"/>
        <w:rPr>
          <w:rFonts w:ascii="Century Gothic" w:hAnsi="Century Gothic" w:cs="Arial"/>
          <w:sz w:val="14"/>
          <w:szCs w:val="14"/>
        </w:rPr>
      </w:pPr>
      <w:r w:rsidRPr="004821B6">
        <w:rPr>
          <w:rFonts w:ascii="Century Gothic" w:hAnsi="Century Gothic" w:cs="Arial"/>
          <w:sz w:val="14"/>
          <w:szCs w:val="14"/>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13">
    <w:p w:rsidRPr="004821B6" w:rsidR="0062384D" w:rsidP="0062384D" w:rsidRDefault="0062384D" w14:paraId="3E9A7DDD" w14:textId="77777777">
      <w:pPr>
        <w:pStyle w:val="Textonotapie"/>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Gaceta del Congreso de la República No. 71 del 2005.</w:t>
      </w:r>
    </w:p>
  </w:footnote>
  <w:footnote w:id="14">
    <w:p w:rsidRPr="004821B6" w:rsidR="0062384D" w:rsidP="0062384D" w:rsidRDefault="0062384D" w14:paraId="47DB6ADD" w14:textId="77777777">
      <w:pPr>
        <w:pStyle w:val="Textonotapie"/>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Corte Constitucional, Sentencia C- 1153 de 2005, M.P. Marco Gerardo Monroy Cabra.</w:t>
      </w:r>
    </w:p>
  </w:footnote>
  <w:footnote w:id="15">
    <w:p w:rsidRPr="004821B6" w:rsidR="0062384D" w:rsidP="0062384D" w:rsidRDefault="0062384D" w14:paraId="479F897C" w14:textId="77777777">
      <w:pPr>
        <w:pStyle w:val="Textonotapie"/>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16">
    <w:p w:rsidRPr="004821B6" w:rsidR="0062384D" w:rsidP="0062384D" w:rsidRDefault="0062384D" w14:paraId="4E6A34C9" w14:textId="77777777">
      <w:pPr>
        <w:pStyle w:val="Textonotapie"/>
        <w:ind w:firstLine="709"/>
        <w:contextualSpacing/>
        <w:jc w:val="both"/>
        <w:rPr>
          <w:rFonts w:ascii="Century Gothic" w:hAnsi="Century Gothic" w:cs="Arial"/>
          <w:sz w:val="14"/>
          <w:szCs w:val="14"/>
          <w:lang w:val="es-CO"/>
        </w:rPr>
      </w:pPr>
      <w:r w:rsidRPr="004821B6">
        <w:rPr>
          <w:rStyle w:val="Refdenotaalpie"/>
          <w:rFonts w:ascii="Century Gothic" w:hAnsi="Century Gothic" w:cs="Arial"/>
          <w:sz w:val="14"/>
          <w:szCs w:val="14"/>
        </w:rPr>
        <w:footnoteRef/>
      </w:r>
      <w:r w:rsidRPr="004821B6">
        <w:rPr>
          <w:rFonts w:ascii="Century Gothic" w:hAnsi="Century Gothic" w:cs="Arial"/>
          <w:sz w:val="14"/>
          <w:szCs w:val="14"/>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17">
    <w:p w:rsidRPr="004821B6" w:rsidR="0062384D" w:rsidP="0062384D" w:rsidRDefault="0062384D" w14:paraId="5B77DB95" w14:textId="77777777">
      <w:pPr>
        <w:pStyle w:val="Textonotapie"/>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Consejo de Estado, Sala de Consulta y Servicio Civil de fecha 24 de julio de 2013, radicado 2166, Consejero Ponente: Álvaro Namén Vargas.  </w:t>
      </w:r>
    </w:p>
  </w:footnote>
  <w:footnote w:id="18">
    <w:p w:rsidRPr="004821B6" w:rsidR="0062384D" w:rsidP="0062384D" w:rsidRDefault="0062384D" w14:paraId="202FD7CB" w14:textId="77777777">
      <w:pPr>
        <w:spacing w:after="0" w:line="240" w:lineRule="auto"/>
        <w:ind w:firstLine="709"/>
        <w:contextualSpacing/>
        <w:jc w:val="both"/>
        <w:rPr>
          <w:rFonts w:ascii="Century Gothic" w:hAnsi="Century Gothic" w:eastAsia="Times New Roman"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w:t>
      </w:r>
      <w:bookmarkStart w:name="33" w:id="22"/>
      <w:r w:rsidRPr="004821B6">
        <w:rPr>
          <w:rFonts w:ascii="Century Gothic" w:hAnsi="Century Gothic" w:eastAsia="Calibri" w:cs="Arial"/>
          <w:bCs/>
          <w:color w:val="000000"/>
          <w:sz w:val="14"/>
          <w:szCs w:val="14"/>
        </w:rPr>
        <w:t>“</w:t>
      </w:r>
      <w:r w:rsidRPr="004821B6">
        <w:rPr>
          <w:rFonts w:ascii="Century Gothic" w:hAnsi="Century Gothic" w:eastAsia="Times New Roman" w:cs="Arial"/>
          <w:sz w:val="14"/>
          <w:szCs w:val="14"/>
        </w:rPr>
        <w:t>Artículo 33. Restricciones a la contratación pública.</w:t>
      </w:r>
      <w:bookmarkEnd w:id="22"/>
      <w:r w:rsidRPr="004821B6">
        <w:rPr>
          <w:rFonts w:ascii="Century Gothic" w:hAnsi="Century Gothic" w:eastAsia="Times New Roman" w:cs="Arial"/>
          <w:sz w:val="14"/>
          <w:szCs w:val="14"/>
        </w:rPr>
        <w:t> Durante los cuatro (4) meses anteriores a la elección presidencial y hasta la realización de la elección en la segunda vuelta, si fuere el caso, queda prohibida la contratación directa por parte de todos los entes del Estado.</w:t>
      </w:r>
    </w:p>
    <w:p w:rsidRPr="004821B6" w:rsidR="0062384D" w:rsidP="0062384D" w:rsidRDefault="0062384D" w14:paraId="66765977" w14:textId="77777777">
      <w:pPr>
        <w:spacing w:after="0" w:line="240" w:lineRule="auto"/>
        <w:ind w:firstLine="709"/>
        <w:contextualSpacing/>
        <w:jc w:val="both"/>
        <w:rPr>
          <w:rFonts w:ascii="Century Gothic" w:hAnsi="Century Gothic" w:eastAsia="Times New Roman" w:cs="Arial"/>
          <w:sz w:val="14"/>
          <w:szCs w:val="14"/>
        </w:rPr>
      </w:pPr>
      <w:r w:rsidRPr="004821B6">
        <w:rPr>
          <w:rFonts w:ascii="Century Gothic" w:hAnsi="Century Gothic" w:eastAsia="Times New Roman" w:cs="Arial"/>
          <w:sz w:val="14"/>
          <w:szCs w:val="14"/>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21B6">
        <w:rPr>
          <w:rFonts w:ascii="Century Gothic" w:hAnsi="Century Gothic" w:eastAsia="Calibri" w:cs="Arial"/>
          <w:bCs/>
          <w:color w:val="000000"/>
          <w:sz w:val="14"/>
          <w:szCs w:val="14"/>
        </w:rPr>
        <w:t>”</w:t>
      </w:r>
      <w:r w:rsidRPr="004821B6">
        <w:rPr>
          <w:rFonts w:ascii="Century Gothic" w:hAnsi="Century Gothic" w:eastAsia="Times New Roman" w:cs="Arial"/>
          <w:sz w:val="14"/>
          <w:szCs w:val="14"/>
        </w:rPr>
        <w:t>.</w:t>
      </w:r>
    </w:p>
  </w:footnote>
  <w:footnote w:id="19">
    <w:p w:rsidRPr="004821B6" w:rsidR="0062384D" w:rsidP="0062384D" w:rsidRDefault="0062384D" w14:paraId="65531873" w14:textId="77777777">
      <w:pPr>
        <w:pStyle w:val="NormalWeb"/>
        <w:spacing w:before="0" w:beforeAutospacing="0" w:after="0" w:afterAutospacing="0"/>
        <w:ind w:firstLine="709"/>
        <w:contextualSpacing/>
        <w:jc w:val="both"/>
        <w:rPr>
          <w:rFonts w:ascii="Century Gothic" w:hAnsi="Century Gothic" w:cs="Arial"/>
          <w:sz w:val="14"/>
          <w:szCs w:val="14"/>
          <w:lang w:val="es-MX"/>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w:t>
      </w:r>
      <w:bookmarkStart w:name="38" w:id="23"/>
      <w:r w:rsidRPr="004821B6">
        <w:rPr>
          <w:rFonts w:ascii="Century Gothic" w:hAnsi="Century Gothic" w:eastAsia="Calibri" w:cs="Arial"/>
          <w:bCs/>
          <w:color w:val="000000"/>
          <w:sz w:val="14"/>
          <w:szCs w:val="14"/>
        </w:rPr>
        <w:t>“</w:t>
      </w:r>
      <w:r w:rsidRPr="004821B6">
        <w:rPr>
          <w:rFonts w:ascii="Century Gothic" w:hAnsi="Century Gothic" w:cs="Arial"/>
          <w:sz w:val="14"/>
          <w:szCs w:val="14"/>
          <w:lang w:val="es-MX"/>
        </w:rPr>
        <w:t>Artículo 38. Prohibiciones para los servidores públicos. A los empleados del Estado les está prohibido:</w:t>
      </w:r>
      <w:bookmarkEnd w:id="23"/>
    </w:p>
    <w:p w:rsidRPr="004821B6" w:rsidR="0062384D" w:rsidP="0062384D" w:rsidRDefault="0062384D" w14:paraId="3FDDD509" w14:textId="77777777">
      <w:pPr>
        <w:pStyle w:val="NormalWeb"/>
        <w:spacing w:before="0" w:beforeAutospacing="0" w:after="0" w:afterAutospacing="0"/>
        <w:ind w:firstLine="709"/>
        <w:contextualSpacing/>
        <w:jc w:val="both"/>
        <w:rPr>
          <w:rFonts w:ascii="Century Gothic" w:hAnsi="Century Gothic" w:cs="Arial"/>
          <w:sz w:val="14"/>
          <w:szCs w:val="14"/>
          <w:lang w:val="es-MX"/>
        </w:rPr>
      </w:pPr>
      <w:r w:rsidRPr="004821B6">
        <w:rPr>
          <w:rFonts w:ascii="Century Gothic" w:hAnsi="Century Gothic" w:cs="Arial"/>
          <w:sz w:val="14"/>
          <w:szCs w:val="14"/>
          <w:lang w:val="es-MX"/>
        </w:rPr>
        <w:t>[…]</w:t>
      </w:r>
    </w:p>
    <w:p w:rsidRPr="004821B6" w:rsidR="0062384D" w:rsidP="0062384D" w:rsidRDefault="0062384D" w14:paraId="3C428B44" w14:textId="77777777">
      <w:pPr>
        <w:pStyle w:val="NormalWeb"/>
        <w:spacing w:before="0" w:beforeAutospacing="0" w:after="0" w:afterAutospacing="0"/>
        <w:ind w:firstLine="709"/>
        <w:contextualSpacing/>
        <w:jc w:val="both"/>
        <w:rPr>
          <w:rFonts w:ascii="Century Gothic" w:hAnsi="Century Gothic" w:cs="Arial"/>
          <w:sz w:val="14"/>
          <w:szCs w:val="14"/>
          <w:lang w:val="es-MX"/>
        </w:rPr>
      </w:pPr>
      <w:r w:rsidRPr="004821B6">
        <w:rPr>
          <w:rStyle w:val="baj"/>
          <w:rFonts w:ascii="Century Gothic" w:hAnsi="Century Gothic" w:cs="Arial"/>
          <w:sz w:val="14"/>
          <w:szCs w:val="14"/>
          <w:lang w:val="es-MX"/>
        </w:rPr>
        <w:t>Parágrafo.</w:t>
      </w:r>
      <w:r w:rsidRPr="004821B6">
        <w:rPr>
          <w:rFonts w:ascii="Century Gothic" w:hAnsi="Century Gothic" w:cs="Arial"/>
          <w:sz w:val="14"/>
          <w:szCs w:val="14"/>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21B6">
        <w:rPr>
          <w:rFonts w:ascii="Century Gothic" w:hAnsi="Century Gothic" w:eastAsia="Calibri" w:cs="Arial"/>
          <w:bCs/>
          <w:color w:val="000000"/>
          <w:sz w:val="14"/>
          <w:szCs w:val="14"/>
        </w:rPr>
        <w:t>”</w:t>
      </w:r>
      <w:r w:rsidRPr="004821B6">
        <w:rPr>
          <w:rFonts w:ascii="Century Gothic" w:hAnsi="Century Gothic" w:cs="Arial"/>
          <w:sz w:val="14"/>
          <w:szCs w:val="14"/>
          <w:lang w:val="es-MX"/>
        </w:rPr>
        <w:t>.</w:t>
      </w:r>
    </w:p>
  </w:footnote>
  <w:footnote w:id="20">
    <w:p w:rsidRPr="004821B6" w:rsidR="0062384D" w:rsidP="0062384D" w:rsidRDefault="0062384D" w14:paraId="5FE5971A" w14:textId="77777777">
      <w:pPr>
        <w:spacing w:after="0" w:line="240" w:lineRule="auto"/>
        <w:ind w:left="100" w:right="244" w:firstLine="709"/>
        <w:contextualSpacing/>
        <w:jc w:val="both"/>
        <w:rPr>
          <w:rFonts w:ascii="Century Gothic" w:hAnsi="Century Gothic" w:cs="Arial"/>
          <w:sz w:val="14"/>
          <w:szCs w:val="14"/>
          <w:lang w:val="es-ES"/>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Consejo de Estado. Sala de Consulta y Servicio Civil. Concepto del 17 de febrero de 2015. C.P. William Zambrano Cetina. Radicación No. 11001-03-06-000-2015-00164-00(2269).</w:t>
      </w:r>
    </w:p>
  </w:footnote>
  <w:footnote w:id="21">
    <w:p w:rsidRPr="004821B6" w:rsidR="0062384D" w:rsidP="0062384D" w:rsidRDefault="0062384D" w14:paraId="05E2B3C4" w14:textId="77777777">
      <w:pPr>
        <w:pStyle w:val="Textonotapie"/>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Consejo de Estado. Sala de Consulta y Servicio Civil. Concepto de 20 de febrero de2006. Radicación 11001-03-06-000-2006-00023-00(1724). Consejero Ponente: Flavio Augusto Rodríguez Arce.</w:t>
      </w:r>
    </w:p>
  </w:footnote>
  <w:footnote w:id="22">
    <w:p w:rsidRPr="004821B6" w:rsidR="0062384D" w:rsidP="0062384D" w:rsidRDefault="0062384D" w14:paraId="65170838" w14:textId="77777777">
      <w:pPr>
        <w:spacing w:after="0" w:line="240" w:lineRule="auto"/>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rsidRPr="004821B6" w:rsidR="0062384D" w:rsidP="0062384D" w:rsidRDefault="0062384D" w14:paraId="3FA33804" w14:textId="77777777">
      <w:pPr>
        <w:spacing w:after="0" w:line="240" w:lineRule="auto"/>
        <w:ind w:firstLine="709"/>
        <w:contextualSpacing/>
        <w:jc w:val="both"/>
        <w:rPr>
          <w:rFonts w:ascii="Century Gothic" w:hAnsi="Century Gothic" w:cs="Arial"/>
          <w:sz w:val="14"/>
          <w:szCs w:val="14"/>
        </w:rPr>
      </w:pPr>
      <w:r w:rsidRPr="004821B6">
        <w:rPr>
          <w:rFonts w:ascii="Century Gothic" w:hAnsi="Century Gothic" w:cs="Arial"/>
          <w:sz w:val="14"/>
          <w:szCs w:val="14"/>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821B6">
        <w:rPr>
          <w:rFonts w:ascii="Century Gothic" w:hAnsi="Century Gothic" w:cs="Arial"/>
          <w:spacing w:val="-1"/>
          <w:sz w:val="14"/>
          <w:szCs w:val="14"/>
        </w:rPr>
        <w:t xml:space="preserve"> </w:t>
      </w:r>
      <w:r w:rsidRPr="004821B6">
        <w:rPr>
          <w:rFonts w:ascii="Century Gothic" w:hAnsi="Century Gothic" w:cs="Arial"/>
          <w:sz w:val="14"/>
          <w:szCs w:val="14"/>
        </w:rPr>
        <w:t>Estatales”.</w:t>
      </w:r>
    </w:p>
  </w:footnote>
  <w:footnote w:id="23">
    <w:p w:rsidRPr="004821B6" w:rsidR="0062384D" w:rsidP="0062384D" w:rsidRDefault="0062384D" w14:paraId="73A8CBF7" w14:textId="77777777">
      <w:pPr>
        <w:spacing w:after="0" w:line="240" w:lineRule="auto"/>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821B6">
        <w:rPr>
          <w:rFonts w:ascii="Century Gothic" w:hAnsi="Century Gothic" w:cs="Arial"/>
          <w:spacing w:val="-6"/>
          <w:sz w:val="14"/>
          <w:szCs w:val="14"/>
        </w:rPr>
        <w:t xml:space="preserve"> </w:t>
      </w:r>
      <w:r w:rsidRPr="004821B6">
        <w:rPr>
          <w:rFonts w:ascii="Century Gothic" w:hAnsi="Century Gothic" w:cs="Arial"/>
          <w:sz w:val="14"/>
          <w:szCs w:val="14"/>
        </w:rPr>
        <w:t>artículo”.</w:t>
      </w:r>
    </w:p>
  </w:footnote>
  <w:footnote w:id="24">
    <w:p w:rsidRPr="004821B6" w:rsidR="0062384D" w:rsidP="0062384D" w:rsidRDefault="0062384D" w14:paraId="2DA5ACC1" w14:textId="77777777">
      <w:pPr>
        <w:spacing w:after="0" w:line="240" w:lineRule="auto"/>
        <w:ind w:right="454"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position w:val="7"/>
          <w:sz w:val="14"/>
          <w:szCs w:val="14"/>
        </w:rPr>
        <w:t xml:space="preserve"> </w:t>
      </w:r>
      <w:r w:rsidRPr="004821B6">
        <w:rPr>
          <w:rFonts w:ascii="Century Gothic" w:hAnsi="Century Gothic" w:cs="Arial"/>
          <w:sz w:val="14"/>
          <w:szCs w:val="14"/>
        </w:rPr>
        <w:t>Consejo de Estado. Sección Tercera. Sentencia del 23 de junio de 2010. Radicación No. 66001-23-31-000-1998-00261-01(17.860). Consejero Ponente: Mauricio Fajardo Gómez.</w:t>
      </w:r>
    </w:p>
  </w:footnote>
  <w:footnote w:id="25">
    <w:p w:rsidRPr="004821B6" w:rsidR="0062384D" w:rsidP="0062384D" w:rsidRDefault="0062384D" w14:paraId="47E142DA" w14:textId="77777777">
      <w:pPr>
        <w:spacing w:after="0" w:line="240" w:lineRule="auto"/>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Consejo de Estado. Sección Tercera. Subsección C. Sentencia del 11 de diciembre de 2019. Exp. 46.986. C.P. Jaime Enrique Rodríguez Navas.</w:t>
      </w:r>
    </w:p>
  </w:footnote>
  <w:footnote w:id="26">
    <w:p w:rsidRPr="004821B6" w:rsidR="0062384D" w:rsidP="0062384D" w:rsidRDefault="0062384D" w14:paraId="27CE7DC3" w14:textId="77777777">
      <w:pPr>
        <w:pStyle w:val="Textonotapie"/>
        <w:ind w:firstLine="708"/>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[Referencia propia de la cita] “CE. SCSC. Concepto de 1 de noviembre de 2016 [Rad. 11001-03-06-000-2016-00125-00(2305)]. MP. Germán Alberto Bula Escobar”.</w:t>
      </w:r>
    </w:p>
  </w:footnote>
  <w:footnote w:id="27">
    <w:p w:rsidRPr="004821B6" w:rsidR="0062384D" w:rsidP="0062384D" w:rsidRDefault="0062384D" w14:paraId="37BB7024" w14:textId="77777777">
      <w:pPr>
        <w:pStyle w:val="Textonotapie"/>
        <w:ind w:firstLine="708"/>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[Referencia propia de la cita] “CE. SCSC. Concepto de 30 de abril de 2008 [Rad. 11001-03-06-000-2008-00013-00(1881)]. MP. Enrique José Arboleda Perdomo. En esta oportunidad, la Sala indicó que el contenido </w:t>
      </w:r>
      <w:r w:rsidRPr="004821B6">
        <w:rPr>
          <w:rFonts w:ascii="Century Gothic" w:hAnsi="Century Gothic" w:cs="Arial"/>
          <w:i/>
          <w:sz w:val="14"/>
          <w:szCs w:val="14"/>
        </w:rPr>
        <w:t>“obligacional”</w:t>
      </w:r>
      <w:r w:rsidRPr="004821B6">
        <w:rPr>
          <w:rFonts w:ascii="Century Gothic" w:hAnsi="Century Gothic" w:cs="Arial"/>
          <w:sz w:val="14"/>
          <w:szCs w:val="14"/>
        </w:rPr>
        <w:t xml:space="preserve"> de los convenios se estructura definiendo el resultado querido por las partes y los medios que cada entidad despliega para la obtención del respectivo objeto”.</w:t>
      </w:r>
    </w:p>
  </w:footnote>
  <w:footnote w:id="28">
    <w:p w:rsidRPr="004821B6" w:rsidR="0062384D" w:rsidP="0062384D" w:rsidRDefault="0062384D" w14:paraId="2CC9E7CD" w14:textId="77777777">
      <w:pPr>
        <w:pStyle w:val="Textonotapie"/>
        <w:ind w:firstLine="708"/>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[Referencia propia de la cita] “La normativa vigente del EGCAP </w:t>
      </w:r>
      <w:r w:rsidRPr="004821B6">
        <w:rPr>
          <w:rFonts w:ascii="Century Gothic" w:hAnsi="Century Gothic" w:cs="Arial"/>
          <w:i/>
          <w:sz w:val="14"/>
          <w:szCs w:val="14"/>
        </w:rPr>
        <w:t>[literal c) del numeral 4. del artículo 2 de la Ley 1150/07]</w:t>
      </w:r>
      <w:r w:rsidRPr="004821B6">
        <w:rPr>
          <w:rFonts w:ascii="Century Gothic" w:hAnsi="Century Gothic" w:cs="Arial"/>
          <w:sz w:val="14"/>
          <w:szCs w:val="14"/>
        </w:rPr>
        <w:t xml:space="preserve"> se refiere a </w:t>
      </w:r>
      <w:r w:rsidRPr="004821B6">
        <w:rPr>
          <w:rFonts w:ascii="Century Gothic" w:hAnsi="Century Gothic" w:cs="Arial"/>
          <w:i/>
          <w:sz w:val="14"/>
          <w:szCs w:val="14"/>
        </w:rPr>
        <w:t>“contratos interadministrativos”</w:t>
      </w:r>
      <w:r w:rsidRPr="004821B6">
        <w:rPr>
          <w:rFonts w:ascii="Century Gothic" w:hAnsi="Century Gothic" w:cs="Arial"/>
          <w:sz w:val="14"/>
          <w:szCs w:val="14"/>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9">
    <w:p w:rsidRPr="004821B6" w:rsidR="0062384D" w:rsidP="0062384D" w:rsidRDefault="0062384D" w14:paraId="58CE6B54" w14:textId="77777777">
      <w:pPr>
        <w:pStyle w:val="Textonotapie"/>
        <w:ind w:firstLine="708"/>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0">
    <w:p w:rsidRPr="004821B6" w:rsidR="0062384D" w:rsidP="0062384D" w:rsidRDefault="0062384D" w14:paraId="01F856C7" w14:textId="77777777">
      <w:pPr>
        <w:pStyle w:val="Textonotapie"/>
        <w:ind w:firstLine="708"/>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Es lo que sucede, por ejemplo, con el Decreto 092 de 2017, que en su desarrollo hace referencia tanto a los “contratos” como a los “convenios”. </w:t>
      </w:r>
    </w:p>
  </w:footnote>
  <w:footnote w:id="31">
    <w:p w:rsidRPr="004821B6" w:rsidR="0062384D" w:rsidP="0062384D" w:rsidRDefault="0062384D" w14:paraId="2F25BAEE" w14:textId="77777777">
      <w:pPr>
        <w:pStyle w:val="Textonotapie"/>
        <w:ind w:firstLine="708"/>
        <w:contextualSpacing/>
        <w:jc w:val="both"/>
        <w:rPr>
          <w:rFonts w:ascii="Century Gothic" w:hAnsi="Century Gothic" w:cs="Arial"/>
          <w:sz w:val="14"/>
          <w:szCs w:val="14"/>
          <w:lang w:val="es-CO"/>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2">
    <w:p w:rsidRPr="004821B6" w:rsidR="0062384D" w:rsidP="0062384D" w:rsidRDefault="0062384D" w14:paraId="5580FD80" w14:textId="77777777">
      <w:pPr>
        <w:pStyle w:val="Textonotapie"/>
        <w:ind w:firstLine="709"/>
        <w:contextualSpacing/>
        <w:jc w:val="both"/>
        <w:rPr>
          <w:rFonts w:ascii="Century Gothic" w:hAnsi="Century Gothic" w:cs="Arial"/>
          <w:sz w:val="14"/>
          <w:szCs w:val="14"/>
        </w:rPr>
      </w:pPr>
      <w:r w:rsidRPr="004821B6">
        <w:rPr>
          <w:rStyle w:val="Refdenotaalpie"/>
          <w:rFonts w:ascii="Century Gothic" w:hAnsi="Century Gothic" w:cs="Arial"/>
          <w:sz w:val="14"/>
          <w:szCs w:val="14"/>
        </w:rPr>
        <w:footnoteRef/>
      </w:r>
      <w:r w:rsidRPr="004821B6">
        <w:rPr>
          <w:rFonts w:ascii="Century Gothic" w:hAnsi="Century Gothic" w:cs="Arial"/>
          <w:sz w:val="14"/>
          <w:szCs w:val="14"/>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D6F55FC">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061B2A">
      <w:rPr>
        <w:rFonts w:ascii="Century Gothic" w:hAnsi="Century Gothic" w:eastAsia="Geo" w:cs="Geo"/>
        <w:bCs/>
        <w:color w:val="000000"/>
        <w:sz w:val="16"/>
        <w:szCs w:val="16"/>
        <w:lang w:eastAsia="es-CO"/>
      </w:rPr>
      <w:t>7</w:t>
    </w:r>
  </w:p>
  <w:p w:rsidRPr="004A305D" w:rsidR="004A305D" w:rsidP="004A305D" w:rsidRDefault="004A305D" w14:paraId="5E18350A" w14:textId="39FD735C">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322A85">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DEL </w:t>
    </w:r>
    <w:r w:rsidR="002E4FD9">
      <w:rPr>
        <w:rFonts w:ascii="Century Gothic" w:hAnsi="Century Gothic" w:eastAsia="Geo" w:cs="Geo"/>
        <w:sz w:val="16"/>
        <w:szCs w:val="16"/>
        <w:lang w:eastAsia="es-CO"/>
      </w:rPr>
      <w:t>31</w:t>
    </w:r>
    <w:r w:rsidR="00CB6357">
      <w:rPr>
        <w:rFonts w:ascii="Century Gothic" w:hAnsi="Century Gothic" w:eastAsia="Geo" w:cs="Geo"/>
        <w:sz w:val="16"/>
        <w:szCs w:val="16"/>
        <w:lang w:eastAsia="es-CO"/>
      </w:rPr>
      <w:t xml:space="preserve"> </w:t>
    </w:r>
    <w:r w:rsidRPr="004A305D">
      <w:rPr>
        <w:rFonts w:ascii="Century Gothic" w:hAnsi="Century Gothic" w:eastAsia="Geo" w:cs="Geo"/>
        <w:sz w:val="16"/>
        <w:szCs w:val="16"/>
        <w:lang w:eastAsia="es-CO"/>
      </w:rPr>
      <w:t xml:space="preserve">DE </w:t>
    </w:r>
    <w:r w:rsidR="00322A85">
      <w:rPr>
        <w:rFonts w:ascii="Century Gothic" w:hAnsi="Century Gothic" w:eastAsia="Geo" w:cs="Geo"/>
        <w:sz w:val="16"/>
        <w:szCs w:val="16"/>
        <w:lang w:eastAsia="es-CO"/>
      </w:rPr>
      <w:t>AGOSTO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609" style="width:11.25pt;height:11.25pt" o:bullet="t" type="#_x0000_t75">
        <v:imagedata o:title="mso1B13" r:id="rId1"/>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242325">
    <w:abstractNumId w:val="7"/>
  </w:num>
  <w:num w:numId="2" w16cid:durableId="1903591324">
    <w:abstractNumId w:val="3"/>
  </w:num>
  <w:num w:numId="3" w16cid:durableId="580061193">
    <w:abstractNumId w:val="5"/>
  </w:num>
  <w:num w:numId="4" w16cid:durableId="1385761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221239">
    <w:abstractNumId w:val="3"/>
  </w:num>
  <w:num w:numId="6" w16cid:durableId="24142827">
    <w:abstractNumId w:val="13"/>
  </w:num>
  <w:num w:numId="7" w16cid:durableId="2059354806">
    <w:abstractNumId w:val="6"/>
  </w:num>
  <w:num w:numId="8" w16cid:durableId="1100562187">
    <w:abstractNumId w:val="12"/>
  </w:num>
  <w:num w:numId="9" w16cid:durableId="2013993525">
    <w:abstractNumId w:val="8"/>
  </w:num>
  <w:num w:numId="10" w16cid:durableId="2031645207">
    <w:abstractNumId w:val="11"/>
  </w:num>
  <w:num w:numId="11" w16cid:durableId="1078795895">
    <w:abstractNumId w:val="9"/>
  </w:num>
  <w:num w:numId="12" w16cid:durableId="358894628">
    <w:abstractNumId w:val="2"/>
  </w:num>
  <w:num w:numId="13" w16cid:durableId="598493317">
    <w:abstractNumId w:val="4"/>
  </w:num>
  <w:num w:numId="14" w16cid:durableId="2141536640">
    <w:abstractNumId w:val="14"/>
  </w:num>
  <w:num w:numId="15" w16cid:durableId="676344579">
    <w:abstractNumId w:val="10"/>
  </w:num>
  <w:num w:numId="16" w16cid:durableId="772285293">
    <w:abstractNumId w:val="0"/>
  </w:num>
  <w:num w:numId="17" w16cid:durableId="11036453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3457C"/>
    <w:rsid w:val="00061B2A"/>
    <w:rsid w:val="00082362"/>
    <w:rsid w:val="000A683E"/>
    <w:rsid w:val="000B19B9"/>
    <w:rsid w:val="000D0334"/>
    <w:rsid w:val="000F6486"/>
    <w:rsid w:val="00125105"/>
    <w:rsid w:val="00127233"/>
    <w:rsid w:val="0015352A"/>
    <w:rsid w:val="001E4177"/>
    <w:rsid w:val="001F7DC6"/>
    <w:rsid w:val="002421BB"/>
    <w:rsid w:val="002707A2"/>
    <w:rsid w:val="002951A0"/>
    <w:rsid w:val="002962BC"/>
    <w:rsid w:val="002A093D"/>
    <w:rsid w:val="002A0DD0"/>
    <w:rsid w:val="002A49AC"/>
    <w:rsid w:val="002A64FD"/>
    <w:rsid w:val="002C7A84"/>
    <w:rsid w:val="002E4FD9"/>
    <w:rsid w:val="00322A85"/>
    <w:rsid w:val="003448F4"/>
    <w:rsid w:val="00351AF2"/>
    <w:rsid w:val="00363DF7"/>
    <w:rsid w:val="00374F5E"/>
    <w:rsid w:val="00377E3E"/>
    <w:rsid w:val="003A779E"/>
    <w:rsid w:val="003D0F4D"/>
    <w:rsid w:val="003D5B0D"/>
    <w:rsid w:val="003D60C6"/>
    <w:rsid w:val="003E0499"/>
    <w:rsid w:val="003E1F8D"/>
    <w:rsid w:val="003F3941"/>
    <w:rsid w:val="00406575"/>
    <w:rsid w:val="004140FE"/>
    <w:rsid w:val="0042722E"/>
    <w:rsid w:val="004A1847"/>
    <w:rsid w:val="004A305D"/>
    <w:rsid w:val="004F21C4"/>
    <w:rsid w:val="004F685F"/>
    <w:rsid w:val="005566E8"/>
    <w:rsid w:val="00574867"/>
    <w:rsid w:val="00591460"/>
    <w:rsid w:val="005A2340"/>
    <w:rsid w:val="005C3777"/>
    <w:rsid w:val="005C5CDC"/>
    <w:rsid w:val="005D476C"/>
    <w:rsid w:val="006219F8"/>
    <w:rsid w:val="0062384D"/>
    <w:rsid w:val="00665D70"/>
    <w:rsid w:val="006900D9"/>
    <w:rsid w:val="006F7521"/>
    <w:rsid w:val="00706C16"/>
    <w:rsid w:val="00756841"/>
    <w:rsid w:val="007649AB"/>
    <w:rsid w:val="00771D0C"/>
    <w:rsid w:val="007833AC"/>
    <w:rsid w:val="007845D3"/>
    <w:rsid w:val="007B268C"/>
    <w:rsid w:val="007B7171"/>
    <w:rsid w:val="007C3DC2"/>
    <w:rsid w:val="007E5497"/>
    <w:rsid w:val="00806F5F"/>
    <w:rsid w:val="00820278"/>
    <w:rsid w:val="008843B6"/>
    <w:rsid w:val="00891928"/>
    <w:rsid w:val="008A446D"/>
    <w:rsid w:val="008B4CF5"/>
    <w:rsid w:val="008D180B"/>
    <w:rsid w:val="008E56D5"/>
    <w:rsid w:val="008F0EA7"/>
    <w:rsid w:val="00923EEF"/>
    <w:rsid w:val="009419F9"/>
    <w:rsid w:val="00961B09"/>
    <w:rsid w:val="00965334"/>
    <w:rsid w:val="0097093E"/>
    <w:rsid w:val="00994B18"/>
    <w:rsid w:val="009A6976"/>
    <w:rsid w:val="009C69A7"/>
    <w:rsid w:val="009C71FA"/>
    <w:rsid w:val="009C72E7"/>
    <w:rsid w:val="009F3A13"/>
    <w:rsid w:val="00A122D3"/>
    <w:rsid w:val="00A17F13"/>
    <w:rsid w:val="00A20739"/>
    <w:rsid w:val="00A33C78"/>
    <w:rsid w:val="00AB02C6"/>
    <w:rsid w:val="00AB0ADB"/>
    <w:rsid w:val="00B72CD3"/>
    <w:rsid w:val="00B72FFF"/>
    <w:rsid w:val="00BC3D36"/>
    <w:rsid w:val="00BD7F72"/>
    <w:rsid w:val="00C04FB3"/>
    <w:rsid w:val="00C152BB"/>
    <w:rsid w:val="00C26CF8"/>
    <w:rsid w:val="00C330EB"/>
    <w:rsid w:val="00C633A0"/>
    <w:rsid w:val="00C754BE"/>
    <w:rsid w:val="00C76B1C"/>
    <w:rsid w:val="00CB6357"/>
    <w:rsid w:val="00CC1B26"/>
    <w:rsid w:val="00D423A2"/>
    <w:rsid w:val="00D63AC2"/>
    <w:rsid w:val="00D7383B"/>
    <w:rsid w:val="00DA231B"/>
    <w:rsid w:val="00DE7DFD"/>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 w:val="20B96B65"/>
    <w:rsid w:val="70C5AF18"/>
    <w:rsid w:val="71FA52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62384D"/>
    <w:pPr>
      <w:spacing w:line="240" w:lineRule="exact"/>
    </w:pPr>
    <w:rPr>
      <w:vertAlign w:val="superscript"/>
    </w:rPr>
  </w:style>
  <w:style w:type="character" w:styleId="NormalWebCar" w:customStyle="1">
    <w:name w:val="Normal (Web) Car"/>
    <w:link w:val="NormalWeb"/>
    <w:uiPriority w:val="99"/>
    <w:rsid w:val="0062384D"/>
    <w:rPr>
      <w:rFonts w:ascii="Times New Roman" w:hAnsi="Times New Roman" w:eastAsia="Times New Roman" w:cs="Times New Roman"/>
      <w:sz w:val="24"/>
      <w:szCs w:val="24"/>
      <w:lang w:eastAsia="es-CO"/>
    </w:rPr>
  </w:style>
  <w:style w:type="character" w:styleId="baj" w:customStyle="1">
    <w:name w:val="b_aj"/>
    <w:basedOn w:val="Fuentedeprrafopredeter"/>
    <w:rsid w:val="0062384D"/>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2384D"/>
    <w:rPr>
      <w:rFonts w:ascii="Geomanist Light" w:hAnsi="Geomanist Light"/>
      <w:lang w:val="es-ES"/>
    </w:rPr>
  </w:style>
  <w:style w:type="paragraph" w:styleId="Textoindependiente">
    <w:name w:val="Body Text"/>
    <w:basedOn w:val="Normal"/>
    <w:link w:val="TextoindependienteCar"/>
    <w:uiPriority w:val="1"/>
    <w:qFormat/>
    <w:rsid w:val="0062384D"/>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62384D"/>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uncionpublica.gov.co/eva/gestornormativo/norma.php?i=25678"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ecretariasenado.gov.co/senado/basedoc/ley_0489_1998_pr002.html"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E374396-2CE2-4851-92D9-6ED07C5C5B3A}"/>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Santiago Alberto Herrera Morillo</lastModifiedBy>
  <revision>6</revision>
  <lastPrinted>2023-01-10T21:18:00.0000000Z</lastPrinted>
  <dcterms:created xsi:type="dcterms:W3CDTF">2023-10-20T01:44:00.0000000Z</dcterms:created>
  <dcterms:modified xsi:type="dcterms:W3CDTF">2024-01-16T16:51:10.9246231Z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