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C6D6" w14:textId="77777777" w:rsidR="005B71D5" w:rsidRPr="0096534C" w:rsidRDefault="005B71D5" w:rsidP="005B71D5">
      <w:pPr>
        <w:spacing w:line="240" w:lineRule="auto"/>
        <w:jc w:val="both"/>
        <w:rPr>
          <w:rFonts w:ascii="Arial" w:hAnsi="Arial" w:cs="Arial"/>
          <w:b/>
          <w:bCs/>
          <w:sz w:val="20"/>
          <w:szCs w:val="20"/>
          <w:lang w:val="es-ES"/>
        </w:rPr>
      </w:pPr>
      <w:bookmarkStart w:id="0" w:name="_Hlk57650395"/>
      <w:r w:rsidRPr="0096534C">
        <w:rPr>
          <w:rFonts w:ascii="Arial" w:hAnsi="Arial" w:cs="Arial"/>
          <w:b/>
          <w:bCs/>
          <w:sz w:val="20"/>
          <w:szCs w:val="20"/>
          <w:lang w:val="es-ES"/>
        </w:rPr>
        <w:t>INHABILIDADES – Definición – Finalidad – Limitación a capacidad</w:t>
      </w:r>
    </w:p>
    <w:p w14:paraId="1C7630A1" w14:textId="2965AE29" w:rsidR="005B71D5" w:rsidRPr="005B71D5" w:rsidRDefault="005B71D5" w:rsidP="005B71D5">
      <w:pPr>
        <w:pStyle w:val="Sinespaciado"/>
        <w:spacing w:after="120"/>
        <w:jc w:val="both"/>
        <w:rPr>
          <w:rFonts w:ascii="Arial" w:hAnsi="Arial" w:cs="Arial"/>
          <w:sz w:val="20"/>
          <w:szCs w:val="20"/>
          <w:lang w:val="es-ES"/>
        </w:rPr>
      </w:pPr>
      <w:r w:rsidRPr="0096534C">
        <w:rPr>
          <w:rFonts w:ascii="Arial" w:hAnsi="Arial" w:cs="Arial"/>
          <w:sz w:val="20"/>
          <w:szCs w:val="20"/>
          <w:lang w:val="es-ES"/>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6D59627C" w14:textId="7A4DF9D4" w:rsidR="005B71D5" w:rsidRPr="0096534C" w:rsidRDefault="005B71D5" w:rsidP="005B71D5">
      <w:pPr>
        <w:spacing w:line="240" w:lineRule="auto"/>
        <w:jc w:val="both"/>
        <w:rPr>
          <w:rFonts w:ascii="Arial" w:hAnsi="Arial" w:cs="Arial"/>
          <w:b/>
          <w:bCs/>
          <w:sz w:val="20"/>
          <w:szCs w:val="20"/>
          <w:lang w:val="es-ES"/>
        </w:rPr>
      </w:pPr>
      <w:r w:rsidRPr="0096534C">
        <w:rPr>
          <w:rFonts w:ascii="Arial" w:hAnsi="Arial" w:cs="Arial"/>
          <w:b/>
          <w:bCs/>
          <w:sz w:val="20"/>
          <w:szCs w:val="20"/>
          <w:lang w:val="es-ES"/>
        </w:rPr>
        <w:t xml:space="preserve">INHABILIDADES – Taxatividad – Principio de legalidad – Interpretación restrictiva </w:t>
      </w:r>
    </w:p>
    <w:p w14:paraId="19242A88" w14:textId="77777777" w:rsidR="005B71D5" w:rsidRPr="0096534C" w:rsidRDefault="005B71D5" w:rsidP="005B71D5">
      <w:pPr>
        <w:spacing w:line="240" w:lineRule="auto"/>
        <w:jc w:val="both"/>
        <w:rPr>
          <w:rFonts w:ascii="Arial" w:hAnsi="Arial" w:cs="Arial"/>
          <w:b/>
          <w:bCs/>
          <w:sz w:val="20"/>
          <w:szCs w:val="20"/>
          <w:lang w:val="es-ES"/>
        </w:rPr>
      </w:pPr>
      <w:r w:rsidRPr="0096534C">
        <w:rPr>
          <w:rFonts w:ascii="Arial" w:eastAsia="Calibri" w:hAnsi="Arial" w:cs="Arial"/>
          <w:sz w:val="20"/>
          <w:szCs w:val="20"/>
          <w:lang w:val="es-ES"/>
        </w:rPr>
        <w:t xml:space="preserve">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6534C">
        <w:rPr>
          <w:rFonts w:ascii="Arial" w:eastAsia="Calibri" w:hAnsi="Arial" w:cs="Arial"/>
          <w:i/>
          <w:iCs/>
          <w:sz w:val="20"/>
          <w:szCs w:val="20"/>
          <w:lang w:val="es-ES"/>
        </w:rPr>
        <w:t>restrictiva</w:t>
      </w:r>
      <w:r w:rsidRPr="0096534C">
        <w:rPr>
          <w:rFonts w:ascii="Arial" w:eastAsia="Calibri" w:hAnsi="Arial" w:cs="Arial"/>
          <w:sz w:val="20"/>
          <w:szCs w:val="20"/>
          <w:lang w:val="es-ES"/>
        </w:rPr>
        <w:t>,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1B806412" w14:textId="77777777" w:rsidR="005B71D5" w:rsidRPr="0096534C" w:rsidRDefault="005B71D5" w:rsidP="005B71D5">
      <w:pPr>
        <w:spacing w:line="240" w:lineRule="auto"/>
        <w:jc w:val="both"/>
        <w:rPr>
          <w:rFonts w:ascii="Arial" w:hAnsi="Arial" w:cs="Arial"/>
          <w:b/>
          <w:bCs/>
          <w:sz w:val="20"/>
          <w:szCs w:val="20"/>
          <w:lang w:val="es-ES"/>
        </w:rPr>
      </w:pPr>
      <w:r w:rsidRPr="0096534C">
        <w:rPr>
          <w:rFonts w:ascii="Arial" w:hAnsi="Arial" w:cs="Arial"/>
          <w:b/>
          <w:bCs/>
          <w:sz w:val="20"/>
          <w:szCs w:val="20"/>
          <w:lang w:val="es-ES"/>
        </w:rPr>
        <w:t>INHABILIDAD SOBREVINIENTE – Sobre consorcio o unión temporal</w:t>
      </w:r>
    </w:p>
    <w:p w14:paraId="278BD704" w14:textId="77777777" w:rsidR="005B71D5" w:rsidRPr="0096534C" w:rsidRDefault="005B71D5" w:rsidP="005B71D5">
      <w:pPr>
        <w:tabs>
          <w:tab w:val="left" w:pos="709"/>
        </w:tabs>
        <w:spacing w:after="120" w:line="240" w:lineRule="auto"/>
        <w:jc w:val="both"/>
        <w:rPr>
          <w:rFonts w:ascii="Arial" w:eastAsia="Calibri" w:hAnsi="Arial" w:cs="Arial"/>
          <w:color w:val="000000" w:themeColor="text1"/>
          <w:sz w:val="20"/>
          <w:szCs w:val="20"/>
        </w:rPr>
      </w:pPr>
      <w:r w:rsidRPr="0096534C">
        <w:rPr>
          <w:rFonts w:ascii="Arial" w:eastAsia="Calibri" w:hAnsi="Arial" w:cs="Arial"/>
          <w:color w:val="000000" w:themeColor="text1"/>
          <w:sz w:val="20"/>
          <w:szCs w:val="20"/>
        </w:rPr>
        <w:t>Según se desprende del texto del artículo 9 de la Ley 80 de 1993, y sin perjuicio de la regla especial establecida en el parágrafo 1 de dicho artículo, (…) si la inhabilidad o incompatibilidad sobreviene en un procedimiento de selección, (…) el proponente renuncia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 (…).</w:t>
      </w:r>
    </w:p>
    <w:p w14:paraId="3AC46B14" w14:textId="77777777" w:rsidR="005B71D5" w:rsidRPr="0096534C" w:rsidRDefault="005B71D5" w:rsidP="005B71D5">
      <w:pPr>
        <w:tabs>
          <w:tab w:val="left" w:pos="709"/>
        </w:tabs>
        <w:spacing w:after="120" w:line="240" w:lineRule="auto"/>
        <w:jc w:val="both"/>
        <w:rPr>
          <w:rFonts w:ascii="Arial" w:hAnsi="Arial" w:cs="Arial"/>
          <w:i/>
          <w:iCs/>
          <w:sz w:val="20"/>
          <w:szCs w:val="20"/>
        </w:rPr>
      </w:pPr>
      <w:r w:rsidRPr="0096534C">
        <w:rPr>
          <w:rFonts w:ascii="Arial" w:hAnsi="Arial" w:cs="Arial"/>
          <w:sz w:val="20"/>
          <w:szCs w:val="20"/>
        </w:rPr>
        <w:t>Conforme a lo anterior,</w:t>
      </w:r>
      <w:r w:rsidRPr="0096534C">
        <w:rPr>
          <w:rFonts w:ascii="Arial" w:hAnsi="Arial" w:cs="Arial"/>
          <w:color w:val="000000" w:themeColor="text1"/>
          <w:sz w:val="20"/>
          <w:szCs w:val="20"/>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 (…)</w:t>
      </w:r>
      <w:r w:rsidRPr="0096534C">
        <w:rPr>
          <w:rFonts w:ascii="Arial" w:hAnsi="Arial" w:cs="Arial"/>
          <w:sz w:val="20"/>
          <w:szCs w:val="20"/>
        </w:rPr>
        <w:t xml:space="preserve"> a excepción de la inhabilidad contemplada en el literal j) del numeral 1 del artículo 8º de la Ley 80 de 1993, ya que en dicho caso la Ley prohíbe la renuncia del contrato por parte del contratista a quién se le haya sancionado por corrupción, siendo obligatorio para la Entidad Estatal ordenar mediante acto administrativo motivado la cesión o terminación unilateral, “</w:t>
      </w:r>
      <w:r w:rsidRPr="0096534C">
        <w:rPr>
          <w:rFonts w:ascii="Arial" w:hAnsi="Arial" w:cs="Arial"/>
          <w:i/>
          <w:iCs/>
          <w:sz w:val="20"/>
          <w:szCs w:val="20"/>
        </w:rPr>
        <w:t>sin lugar a indemnización alguna al contratista inhábil.”</w:t>
      </w:r>
    </w:p>
    <w:p w14:paraId="1C4CA1B4" w14:textId="77777777" w:rsidR="005B71D5" w:rsidRPr="0096534C" w:rsidRDefault="005B71D5" w:rsidP="005B71D5">
      <w:pPr>
        <w:tabs>
          <w:tab w:val="left" w:pos="709"/>
        </w:tabs>
        <w:spacing w:after="120" w:line="240" w:lineRule="auto"/>
        <w:jc w:val="both"/>
        <w:rPr>
          <w:rFonts w:ascii="Arial" w:eastAsia="Calibri" w:hAnsi="Arial" w:cs="Arial"/>
          <w:color w:val="000000" w:themeColor="text1"/>
          <w:sz w:val="20"/>
          <w:szCs w:val="20"/>
        </w:rPr>
      </w:pPr>
      <w:r w:rsidRPr="0096534C">
        <w:rPr>
          <w:rFonts w:ascii="Arial" w:hAnsi="Arial" w:cs="Arial"/>
          <w:sz w:val="20"/>
          <w:szCs w:val="20"/>
        </w:rPr>
        <w:t>(…)</w:t>
      </w:r>
      <w:r>
        <w:rPr>
          <w:rFonts w:ascii="Arial" w:hAnsi="Arial" w:cs="Arial"/>
          <w:sz w:val="20"/>
          <w:szCs w:val="20"/>
        </w:rPr>
        <w:t xml:space="preserve"> </w:t>
      </w:r>
      <w:r w:rsidRPr="0096534C">
        <w:rPr>
          <w:rFonts w:ascii="Arial" w:eastAsia="Calibri" w:hAnsi="Arial" w:cs="Arial"/>
          <w:color w:val="000000" w:themeColor="text1"/>
          <w:sz w:val="20"/>
          <w:szCs w:val="20"/>
        </w:rPr>
        <w:t>Ahora bien, nótese que la norma dispone que cuando sobreviene una inhabilidad o una incompatibilidad en uno de los integrantes del consorcio o unión temporal, el contrato se continuará ejecutando, pero para ello el integrante afectado por la inhabilidad deberá ceder su participación a un tercero previa autorización escrita de la entidad contratante, y proscribe expresamente la posibilidad de hacer la cesión entre sus integrantes (…).</w:t>
      </w:r>
    </w:p>
    <w:p w14:paraId="4890D6FC" w14:textId="50A6617D" w:rsidR="008F1E66" w:rsidRPr="006337DF" w:rsidRDefault="008F1E66" w:rsidP="008F1E66">
      <w:pPr>
        <w:jc w:val="both"/>
        <w:rPr>
          <w:rFonts w:ascii="Arial" w:hAnsi="Arial" w:cs="Arial"/>
          <w:b/>
          <w:bCs/>
          <w:color w:val="000000" w:themeColor="text1"/>
          <w:sz w:val="20"/>
          <w:szCs w:val="20"/>
        </w:rPr>
      </w:pPr>
      <w:r w:rsidRPr="006337DF">
        <w:rPr>
          <w:rFonts w:ascii="Arial" w:hAnsi="Arial" w:cs="Arial"/>
          <w:b/>
          <w:bCs/>
          <w:noProof/>
          <w:color w:val="000000" w:themeColor="text1"/>
          <w:sz w:val="20"/>
          <w:szCs w:val="20"/>
          <w:lang w:val="es-ES_tradnl"/>
        </w:rPr>
        <w:t xml:space="preserve">TERMINACIÓN UNILATERAL – Cláusula </w:t>
      </w:r>
      <w:r w:rsidRPr="006337DF">
        <w:rPr>
          <w:rFonts w:ascii="Arial" w:hAnsi="Arial" w:cs="Arial"/>
          <w:b/>
          <w:bCs/>
          <w:color w:val="000000" w:themeColor="text1"/>
          <w:sz w:val="20"/>
          <w:szCs w:val="20"/>
        </w:rPr>
        <w:t xml:space="preserve">excepcional – Finalidad </w:t>
      </w:r>
    </w:p>
    <w:p w14:paraId="77945696" w14:textId="77777777" w:rsidR="008F1E66" w:rsidRPr="006337DF" w:rsidRDefault="008F1E66" w:rsidP="008F1E66">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t>[…] las cláusulas excepcionales al derecho común de terminación, interpretación y modificación unilaterales, el numeral 2 del mencionado artículo 14 regula su ejercicio en atención al tipo de contrato de que se trate. En la exposición de motivos de la Ley 80 de 1993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10CABEEB" w14:textId="77777777" w:rsidR="008F1E66" w:rsidRPr="006337DF" w:rsidRDefault="008F1E66" w:rsidP="008F1E66">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lastRenderedPageBreak/>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4D0AEBC0" w14:textId="77777777" w:rsidR="008F1E66" w:rsidRPr="006337DF" w:rsidRDefault="008F1E66" w:rsidP="008F1E66">
      <w:pPr>
        <w:spacing w:before="120" w:after="120"/>
        <w:jc w:val="both"/>
        <w:rPr>
          <w:rFonts w:ascii="Arial" w:hAnsi="Arial" w:cs="Arial"/>
          <w:color w:val="000000" w:themeColor="text1"/>
          <w:sz w:val="20"/>
          <w:szCs w:val="20"/>
        </w:rPr>
      </w:pPr>
      <w:r w:rsidRPr="006337DF">
        <w:rPr>
          <w:rFonts w:ascii="Arial" w:hAnsi="Arial" w:cs="Arial"/>
          <w:color w:val="000000" w:themeColor="text1"/>
          <w:sz w:val="20"/>
          <w:szCs w:val="20"/>
        </w:rPr>
        <w:t> 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w:t>
      </w:r>
      <w:r>
        <w:rPr>
          <w:rFonts w:ascii="Arial" w:hAnsi="Arial" w:cs="Arial"/>
          <w:color w:val="000000" w:themeColor="text1"/>
          <w:sz w:val="20"/>
          <w:szCs w:val="20"/>
        </w:rPr>
        <w:t xml:space="preserve"> </w:t>
      </w:r>
      <w:r w:rsidRPr="006337DF">
        <w:rPr>
          <w:rFonts w:ascii="Arial" w:hAnsi="Arial" w:cs="Arial"/>
          <w:color w:val="000000" w:themeColor="text1"/>
          <w:sz w:val="20"/>
          <w:szCs w:val="20"/>
        </w:rPr>
        <w:t>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37030F4D" w14:textId="78C94DC1" w:rsidR="008F1E66" w:rsidRPr="006337DF" w:rsidRDefault="00E94AC8" w:rsidP="008F1E66">
      <w:pPr>
        <w:spacing w:after="120"/>
        <w:jc w:val="both"/>
        <w:rPr>
          <w:rFonts w:ascii="Arial" w:eastAsia="Calibri" w:hAnsi="Arial" w:cs="Arial"/>
          <w:b/>
          <w:color w:val="000000" w:themeColor="text1"/>
          <w:sz w:val="20"/>
          <w:szCs w:val="20"/>
          <w:lang w:val="es-ES_tradnl"/>
        </w:rPr>
      </w:pPr>
      <w:r>
        <w:rPr>
          <w:rFonts w:ascii="Arial" w:eastAsia="Calibri" w:hAnsi="Arial" w:cs="Arial"/>
          <w:b/>
          <w:color w:val="000000" w:themeColor="text1"/>
          <w:sz w:val="20"/>
          <w:szCs w:val="20"/>
          <w:lang w:val="es-ES_tradnl"/>
        </w:rPr>
        <w:t xml:space="preserve">DISOLUCIÓN </w:t>
      </w:r>
      <w:r w:rsidR="008F1E66" w:rsidRPr="006337DF">
        <w:rPr>
          <w:rFonts w:ascii="Arial" w:eastAsia="Calibri" w:hAnsi="Arial" w:cs="Arial"/>
          <w:b/>
          <w:color w:val="000000" w:themeColor="text1"/>
          <w:sz w:val="20"/>
          <w:szCs w:val="20"/>
          <w:lang w:val="es-ES_tradnl"/>
        </w:rPr>
        <w:t xml:space="preserve"> DEL CONTRATISTA – Causal de terminación unilateral del contrato </w:t>
      </w:r>
    </w:p>
    <w:p w14:paraId="0B6EBBB1" w14:textId="77777777" w:rsidR="008F1E66" w:rsidRPr="006337DF" w:rsidRDefault="008F1E66" w:rsidP="008F1E66">
      <w:pPr>
        <w:spacing w:before="120" w:after="120"/>
        <w:jc w:val="both"/>
        <w:rPr>
          <w:rFonts w:ascii="Arial" w:hAnsi="Arial" w:cs="Arial"/>
          <w:sz w:val="20"/>
          <w:szCs w:val="20"/>
        </w:rPr>
      </w:pPr>
      <w:r w:rsidRPr="006337DF">
        <w:rPr>
          <w:rFonts w:ascii="Arial" w:hAnsi="Arial" w:cs="Arial"/>
          <w:sz w:val="20"/>
          <w:szCs w:val="20"/>
        </w:rPr>
        <w:t xml:space="preserve">Esta causal se explica, tanto para la persona natural como para la persona jurídica, por la naturaleza </w:t>
      </w:r>
      <w:r w:rsidRPr="006337DF">
        <w:rPr>
          <w:rFonts w:ascii="Arial" w:hAnsi="Arial" w:cs="Arial"/>
          <w:i/>
          <w:iCs/>
          <w:sz w:val="20"/>
          <w:szCs w:val="20"/>
        </w:rPr>
        <w:t>intuito personae</w:t>
      </w:r>
      <w:r w:rsidRPr="006337DF">
        <w:rPr>
          <w:rFonts w:ascii="Arial" w:hAnsi="Arial" w:cs="Arial"/>
          <w:sz w:val="20"/>
          <w:szCs w:val="20"/>
        </w:rPr>
        <w:t xml:space="preserve"> del contrato estatal, según lo previsto en el inciso tercero del artículo 41 de la Ley 80 de 1993. Por ello, ante la muerte o discapacidad permanente de la persona natural o ante la disolución de la persona jurídica, resulta lógico que las calidades que determinaron la escogencia del contratista desaparecen y, las mismas, no se trasmiten a sus herederos o causahabientes.</w:t>
      </w:r>
    </w:p>
    <w:p w14:paraId="32232A0D" w14:textId="77777777" w:rsidR="008F1E66" w:rsidRPr="006337DF" w:rsidRDefault="008F1E66" w:rsidP="008F1E66">
      <w:pPr>
        <w:spacing w:before="120" w:after="120"/>
        <w:jc w:val="both"/>
        <w:rPr>
          <w:rFonts w:ascii="Arial" w:hAnsi="Arial" w:cs="Arial"/>
          <w:sz w:val="20"/>
          <w:szCs w:val="20"/>
        </w:rPr>
      </w:pPr>
      <w:r w:rsidRPr="006337DF">
        <w:rPr>
          <w:rFonts w:ascii="Arial" w:hAnsi="Arial" w:cs="Arial"/>
          <w:sz w:val="20"/>
          <w:szCs w:val="20"/>
        </w:rPr>
        <w:t>Con todo, en aplicación del derecho civil, la muerte de una persona natural puede implicar la apertura de un proceso de sucesión, mediante el cual se transmiten todos los derechos y obligaciones que estaban a nombre del causante, es decir, si el causante tenía un contrato vigente al momento de fallecer, esta posición podría llegar a ser ocupada por sus herederos, si cumplen con las condiciones necesarias para ejecutar el contrato.</w:t>
      </w:r>
    </w:p>
    <w:p w14:paraId="0A1109C5" w14:textId="77777777" w:rsidR="008F1E66" w:rsidRPr="006337DF" w:rsidRDefault="008F1E66" w:rsidP="008F1E66">
      <w:pPr>
        <w:spacing w:after="120"/>
        <w:jc w:val="both"/>
        <w:rPr>
          <w:rFonts w:ascii="Arial" w:eastAsia="Calibri" w:hAnsi="Arial" w:cs="Arial"/>
          <w:b/>
          <w:color w:val="000000" w:themeColor="text1"/>
          <w:sz w:val="20"/>
          <w:szCs w:val="20"/>
          <w:lang w:val="es-ES_tradnl"/>
        </w:rPr>
      </w:pPr>
      <w:r w:rsidRPr="006337DF">
        <w:rPr>
          <w:rFonts w:ascii="Arial" w:eastAsia="Calibri" w:hAnsi="Arial" w:cs="Arial"/>
          <w:b/>
          <w:color w:val="000000" w:themeColor="text1"/>
          <w:sz w:val="20"/>
          <w:szCs w:val="20"/>
          <w:lang w:val="es-ES_tradnl"/>
        </w:rPr>
        <w:t xml:space="preserve">APLICACIÓN DE LA CAUSAL DE TERMINACIÓN UNILATERAL – Consorcios y uniones temporales </w:t>
      </w:r>
    </w:p>
    <w:p w14:paraId="4AB08443" w14:textId="77777777" w:rsidR="008F1E66" w:rsidRPr="0076673A" w:rsidRDefault="008F1E66" w:rsidP="008F1E66">
      <w:pPr>
        <w:spacing w:before="120" w:after="120"/>
        <w:jc w:val="both"/>
        <w:rPr>
          <w:rFonts w:ascii="Arial" w:eastAsia="Calibri" w:hAnsi="Arial" w:cs="Arial"/>
          <w:noProof/>
          <w:sz w:val="20"/>
          <w:szCs w:val="20"/>
          <w:lang w:val="es-ES_tradnl"/>
        </w:rPr>
      </w:pPr>
      <w:r w:rsidRPr="0076673A">
        <w:rPr>
          <w:rFonts w:ascii="Arial" w:eastAsia="Calibri" w:hAnsi="Arial" w:cs="Arial"/>
          <w:noProof/>
          <w:sz w:val="20"/>
          <w:szCs w:val="20"/>
          <w:lang w:val="es-ES_tradnl"/>
        </w:rPr>
        <w:t>En consecuencia, en el ordenamiento colombiano, pueden celebrar contratos estatales las entidades del Estado las personas naturales, las personas jurídicas que tengan dentro de su objeto social actividades relacionadas con el objeto a contratar y, por virtud de la ley, también lo pueden hacer</w:t>
      </w:r>
      <w:r w:rsidRPr="0076673A">
        <w:rPr>
          <w:sz w:val="20"/>
          <w:szCs w:val="20"/>
        </w:rPr>
        <w:t xml:space="preserve"> </w:t>
      </w:r>
      <w:r w:rsidRPr="0076673A">
        <w:rPr>
          <w:rFonts w:ascii="Arial" w:eastAsia="Calibri" w:hAnsi="Arial" w:cs="Arial"/>
          <w:noProof/>
          <w:sz w:val="20"/>
          <w:szCs w:val="20"/>
          <w:lang w:val="es-ES_tradnl"/>
        </w:rPr>
        <w:t xml:space="preserve">los Cabildos Indígenas, las asociaciones de Autoridades Tradicionales Indígenas, los consejos comunitarios de las comunidades negras, los consorcios y las uniones temporales. Ahora bien, como es pacífico en la doctrina y la jurisprudencia, los consorcios y uniones temporales no son personas jurídicas </w:t>
      </w:r>
    </w:p>
    <w:p w14:paraId="70CED2EE" w14:textId="77777777" w:rsidR="008F1E66" w:rsidRPr="0076673A" w:rsidRDefault="008F1E66" w:rsidP="008F1E66">
      <w:pPr>
        <w:spacing w:after="120"/>
        <w:jc w:val="both"/>
        <w:rPr>
          <w:rFonts w:ascii="Arial" w:eastAsia="Calibri" w:hAnsi="Arial" w:cs="Arial"/>
          <w:b/>
          <w:color w:val="000000" w:themeColor="text1"/>
          <w:sz w:val="20"/>
          <w:szCs w:val="20"/>
          <w:lang w:val="es-ES_tradnl"/>
        </w:rPr>
      </w:pPr>
      <w:r w:rsidRPr="0076673A">
        <w:rPr>
          <w:rFonts w:ascii="Arial" w:eastAsia="Calibri" w:hAnsi="Arial" w:cs="Arial"/>
          <w:noProof/>
          <w:sz w:val="20"/>
          <w:szCs w:val="20"/>
          <w:lang w:val="es-ES_tradnl"/>
        </w:rPr>
        <w:t>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w:t>
      </w:r>
    </w:p>
    <w:p w14:paraId="1D76E898" w14:textId="36F3C730" w:rsidR="008F1E66" w:rsidRDefault="008F1E66" w:rsidP="00CB16D9">
      <w:pPr>
        <w:widowControl w:val="0"/>
        <w:autoSpaceDE w:val="0"/>
        <w:autoSpaceDN w:val="0"/>
        <w:spacing w:before="94"/>
        <w:ind w:right="533"/>
        <w:rPr>
          <w:rFonts w:ascii="Arial" w:eastAsia="Calibri" w:hAnsi="Arial" w:cs="Arial"/>
          <w:b/>
          <w:color w:val="000000" w:themeColor="text1"/>
          <w:sz w:val="20"/>
          <w:szCs w:val="20"/>
          <w:lang w:val="es-ES_tradnl"/>
        </w:rPr>
      </w:pPr>
    </w:p>
    <w:p w14:paraId="412D5F58" w14:textId="77777777" w:rsidR="00CB16D9" w:rsidRDefault="00CB16D9" w:rsidP="00CB16D9">
      <w:pPr>
        <w:widowControl w:val="0"/>
        <w:autoSpaceDE w:val="0"/>
        <w:autoSpaceDN w:val="0"/>
        <w:spacing w:before="94"/>
        <w:ind w:right="533"/>
        <w:rPr>
          <w:rFonts w:ascii="Arial" w:eastAsia="Arial MT" w:hAnsi="Arial MT" w:cs="Arial MT"/>
          <w:b/>
          <w:color w:val="585858"/>
          <w:sz w:val="18"/>
          <w:lang w:val="es-ES"/>
        </w:rPr>
      </w:pPr>
    </w:p>
    <w:p w14:paraId="75C5C9CF" w14:textId="77777777" w:rsidR="008F1E66" w:rsidRPr="009B122B" w:rsidRDefault="008F1E66" w:rsidP="008F1E66">
      <w:pPr>
        <w:widowControl w:val="0"/>
        <w:autoSpaceDE w:val="0"/>
        <w:autoSpaceDN w:val="0"/>
        <w:ind w:right="533"/>
        <w:jc w:val="right"/>
        <w:rPr>
          <w:rFonts w:ascii="Arial" w:eastAsia="Arial MT" w:hAnsi="Arial MT" w:cs="Arial MT"/>
          <w:b/>
          <w:sz w:val="16"/>
          <w:szCs w:val="20"/>
          <w:lang w:val="es-ES"/>
        </w:rPr>
      </w:pPr>
      <w:r w:rsidRPr="009B122B">
        <w:rPr>
          <w:rFonts w:ascii="Arial" w:eastAsia="Arial MT" w:hAnsi="Arial MT" w:cs="Arial MT"/>
          <w:b/>
          <w:color w:val="585858"/>
          <w:sz w:val="16"/>
          <w:szCs w:val="20"/>
          <w:lang w:val="es-ES"/>
        </w:rPr>
        <w:lastRenderedPageBreak/>
        <w:t>CCE-DES-FM-17</w:t>
      </w:r>
    </w:p>
    <w:p w14:paraId="09706D49" w14:textId="15058772" w:rsidR="0091438F" w:rsidRPr="00DE0BB9" w:rsidRDefault="008F1E66" w:rsidP="0091438F">
      <w:pPr>
        <w:pStyle w:val="Sinespaciado"/>
        <w:spacing w:line="276" w:lineRule="auto"/>
        <w:rPr>
          <w:rFonts w:ascii="Century Gothic" w:eastAsia="Calibri" w:hAnsi="Century Gothic" w:cs="Arial"/>
          <w:color w:val="000000" w:themeColor="text1"/>
          <w:sz w:val="22"/>
        </w:rPr>
      </w:pPr>
      <w:r>
        <w:fldChar w:fldCharType="begin"/>
      </w:r>
      <w:r>
        <w:instrText xml:space="preserve"> INCLUDEPICTURE "C:\\var\\folders\\tb\\0fmk9b510f57pz5rwhv8lnpw0000gp\\T\\com.microsoft.Word\\WebArchiveCopyPasteTempFiles\\page1image2619775808" \* MERGEFORMAT </w:instrText>
      </w:r>
      <w:r>
        <w:fldChar w:fldCharType="end"/>
      </w:r>
      <w:r w:rsidR="0091438F" w:rsidRPr="0091438F">
        <w:rPr>
          <w:rFonts w:ascii="Century Gothic" w:eastAsia="Calibri" w:hAnsi="Century Gothic" w:cs="Arial"/>
          <w:color w:val="000000" w:themeColor="text1"/>
        </w:rPr>
        <w:t xml:space="preserve"> </w:t>
      </w:r>
      <w:r w:rsidR="0091438F" w:rsidRPr="00DE0BB9">
        <w:rPr>
          <w:rFonts w:ascii="Century Gothic" w:eastAsia="Calibri" w:hAnsi="Century Gothic" w:cs="Arial"/>
          <w:color w:val="000000" w:themeColor="text1"/>
          <w:sz w:val="22"/>
        </w:rPr>
        <w:t>Señora</w:t>
      </w:r>
    </w:p>
    <w:p w14:paraId="391D489C" w14:textId="77777777" w:rsidR="0091438F" w:rsidRPr="00DE0BB9" w:rsidRDefault="0091438F" w:rsidP="0091438F">
      <w:pPr>
        <w:pStyle w:val="Sinespaciado"/>
        <w:spacing w:line="276" w:lineRule="auto"/>
        <w:rPr>
          <w:rFonts w:ascii="Century Gothic" w:eastAsia="Calibri" w:hAnsi="Century Gothic" w:cs="Arial"/>
          <w:b/>
          <w:color w:val="000000" w:themeColor="text1"/>
          <w:sz w:val="22"/>
        </w:rPr>
      </w:pPr>
      <w:r w:rsidRPr="00DE0BB9">
        <w:rPr>
          <w:rFonts w:ascii="Century Gothic" w:eastAsia="Calibri" w:hAnsi="Century Gothic" w:cs="Arial"/>
          <w:b/>
          <w:color w:val="000000" w:themeColor="text1"/>
          <w:sz w:val="22"/>
        </w:rPr>
        <w:t>Marta Arroyo Franco</w:t>
      </w:r>
    </w:p>
    <w:p w14:paraId="33776044" w14:textId="77777777" w:rsidR="0091438F" w:rsidRPr="00DE0BB9" w:rsidRDefault="0091438F" w:rsidP="0091438F">
      <w:pPr>
        <w:pStyle w:val="Sinespaciado"/>
        <w:spacing w:line="276" w:lineRule="auto"/>
        <w:rPr>
          <w:rFonts w:ascii="Century Gothic" w:eastAsia="Calibri" w:hAnsi="Century Gothic" w:cs="Arial"/>
          <w:color w:val="000000" w:themeColor="text1"/>
          <w:sz w:val="22"/>
        </w:rPr>
      </w:pPr>
      <w:r w:rsidRPr="00DE0BB9">
        <w:rPr>
          <w:rFonts w:ascii="Century Gothic" w:eastAsia="Calibri" w:hAnsi="Century Gothic" w:cs="Arial"/>
          <w:color w:val="000000" w:themeColor="text1"/>
          <w:sz w:val="22"/>
        </w:rPr>
        <w:t>Jefe área jurídica</w:t>
      </w:r>
    </w:p>
    <w:p w14:paraId="05B4D125" w14:textId="77777777" w:rsidR="0091438F" w:rsidRPr="00DE0BB9" w:rsidRDefault="0091438F" w:rsidP="0091438F">
      <w:pPr>
        <w:pStyle w:val="Sinespaciado"/>
        <w:spacing w:line="276" w:lineRule="auto"/>
        <w:rPr>
          <w:rFonts w:ascii="Century Gothic" w:eastAsia="Calibri" w:hAnsi="Century Gothic" w:cs="Arial"/>
          <w:color w:val="000000" w:themeColor="text1"/>
          <w:sz w:val="22"/>
        </w:rPr>
      </w:pPr>
      <w:r w:rsidRPr="00DE0BB9">
        <w:rPr>
          <w:rFonts w:ascii="Century Gothic" w:eastAsia="Calibri" w:hAnsi="Century Gothic" w:cs="Arial"/>
          <w:color w:val="000000" w:themeColor="text1"/>
          <w:sz w:val="22"/>
        </w:rPr>
        <w:t>Aguas de Córdoba S.A. E.S.P,</w:t>
      </w:r>
    </w:p>
    <w:p w14:paraId="04C83403" w14:textId="77777777" w:rsidR="0091438F" w:rsidRPr="00DE0BB9" w:rsidRDefault="0091438F" w:rsidP="0091438F">
      <w:pPr>
        <w:pStyle w:val="Sinespaciado"/>
        <w:spacing w:line="276" w:lineRule="auto"/>
        <w:rPr>
          <w:rFonts w:ascii="Century Gothic" w:eastAsia="Calibri" w:hAnsi="Century Gothic" w:cs="Arial"/>
          <w:bCs/>
          <w:color w:val="000000" w:themeColor="text1"/>
          <w:sz w:val="22"/>
        </w:rPr>
      </w:pPr>
      <w:r w:rsidRPr="00DE0BB9">
        <w:rPr>
          <w:rFonts w:ascii="Century Gothic" w:eastAsia="Calibri" w:hAnsi="Century Gothic" w:cs="Arial"/>
          <w:bCs/>
          <w:color w:val="000000" w:themeColor="text1"/>
          <w:sz w:val="22"/>
        </w:rPr>
        <w:t>Montería, Córdoba</w:t>
      </w:r>
    </w:p>
    <w:p w14:paraId="0F801A14" w14:textId="77777777" w:rsidR="0091438F" w:rsidRPr="00DE0BB9" w:rsidRDefault="0091438F" w:rsidP="0091438F">
      <w:pPr>
        <w:pStyle w:val="Sinespaciado"/>
        <w:spacing w:line="276" w:lineRule="auto"/>
        <w:rPr>
          <w:rFonts w:ascii="Century Gothic" w:eastAsia="Calibri" w:hAnsi="Century Gothic" w:cs="Arial"/>
          <w:bCs/>
          <w:color w:val="000000" w:themeColor="text1"/>
          <w:sz w:val="22"/>
        </w:rPr>
      </w:pPr>
    </w:p>
    <w:p w14:paraId="40753394" w14:textId="77777777" w:rsidR="0091438F" w:rsidRPr="00DE0BB9" w:rsidRDefault="0091438F" w:rsidP="0091438F">
      <w:pPr>
        <w:spacing w:line="276" w:lineRule="auto"/>
        <w:rPr>
          <w:rFonts w:ascii="Century Gothic" w:eastAsia="Calibri" w:hAnsi="Century Gothic" w:cs="Arial"/>
          <w:b/>
          <w:bCs/>
          <w:color w:val="000000" w:themeColor="text1"/>
          <w:lang w:val="es-ES_tradnl"/>
        </w:rPr>
      </w:pPr>
      <w:r w:rsidRPr="00DE0BB9">
        <w:rPr>
          <w:rFonts w:ascii="Century Gothic" w:eastAsia="Calibri" w:hAnsi="Century Gothic" w:cs="Arial"/>
          <w:b/>
          <w:bCs/>
          <w:color w:val="000000" w:themeColor="text1"/>
        </w:rPr>
        <w:t xml:space="preserve">                                            </w:t>
      </w:r>
      <w:r w:rsidRPr="00DE0BB9">
        <w:rPr>
          <w:rFonts w:ascii="Century Gothic" w:eastAsia="Calibri" w:hAnsi="Century Gothic" w:cs="Arial"/>
          <w:b/>
          <w:bCs/>
          <w:color w:val="000000" w:themeColor="text1"/>
          <w:lang w:val="es-ES_tradnl"/>
        </w:rPr>
        <w:t>Concepto C-407 de 2023</w:t>
      </w: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91438F" w:rsidRPr="00F707C8" w14:paraId="48E932BF" w14:textId="77777777" w:rsidTr="00AA67D7">
        <w:tc>
          <w:tcPr>
            <w:tcW w:w="2689" w:type="dxa"/>
          </w:tcPr>
          <w:p w14:paraId="6B488516" w14:textId="77777777" w:rsidR="0091438F" w:rsidRPr="00DE0BB9" w:rsidRDefault="0091438F" w:rsidP="00AA67D7">
            <w:pPr>
              <w:spacing w:line="276" w:lineRule="auto"/>
              <w:jc w:val="both"/>
              <w:rPr>
                <w:rFonts w:ascii="Century Gothic" w:eastAsia="Calibri" w:hAnsi="Century Gothic" w:cs="Arial"/>
                <w:color w:val="000000" w:themeColor="text1"/>
                <w:lang w:val="es-ES_tradnl"/>
              </w:rPr>
            </w:pPr>
            <w:r w:rsidRPr="00DE0BB9">
              <w:rPr>
                <w:rFonts w:ascii="Century Gothic" w:eastAsia="Calibri" w:hAnsi="Century Gothic" w:cs="Arial"/>
                <w:b/>
                <w:color w:val="000000" w:themeColor="text1"/>
                <w:lang w:val="es-ES_tradnl"/>
              </w:rPr>
              <w:t>Temas:</w:t>
            </w:r>
            <w:r w:rsidRPr="00DE0BB9">
              <w:rPr>
                <w:rFonts w:ascii="Century Gothic" w:eastAsia="Calibri" w:hAnsi="Century Gothic" w:cs="Arial"/>
                <w:color w:val="000000" w:themeColor="text1"/>
                <w:lang w:val="es-ES_tradnl"/>
              </w:rPr>
              <w:t xml:space="preserve">                                      </w:t>
            </w:r>
          </w:p>
        </w:tc>
        <w:tc>
          <w:tcPr>
            <w:tcW w:w="6237" w:type="dxa"/>
          </w:tcPr>
          <w:p w14:paraId="58269267" w14:textId="77777777" w:rsidR="0091438F" w:rsidRPr="00DE0BB9" w:rsidRDefault="0091438F" w:rsidP="00AA67D7">
            <w:pPr>
              <w:spacing w:line="276" w:lineRule="auto"/>
              <w:jc w:val="both"/>
              <w:rPr>
                <w:rFonts w:ascii="Century Gothic" w:eastAsia="Calibri" w:hAnsi="Century Gothic" w:cs="Arial"/>
                <w:color w:val="000000" w:themeColor="text1"/>
                <w:lang w:val="es-ES_tradnl"/>
              </w:rPr>
            </w:pPr>
            <w:r w:rsidRPr="00DE0BB9">
              <w:rPr>
                <w:rFonts w:ascii="Century Gothic" w:hAnsi="Century Gothic" w:cs="Arial"/>
                <w:lang w:val="es-ES"/>
              </w:rPr>
              <w:t>INHABILIDADES – Definición – Finalidad – Limitación a capacidad INHABILIDADES – Taxatividad – Principio de legalidad – Interpretación restrictiva / INHABILIDAD SOBREVINIENTE – Sobre consorcio o unión temporal</w:t>
            </w:r>
            <w:r w:rsidRPr="00DE0BB9">
              <w:rPr>
                <w:rFonts w:ascii="Century Gothic" w:hAnsi="Century Gothic" w:cs="Arial"/>
                <w:b/>
                <w:bCs/>
                <w:lang w:val="es-ES"/>
              </w:rPr>
              <w:t xml:space="preserve"> </w:t>
            </w:r>
            <w:r w:rsidRPr="00DE0BB9">
              <w:rPr>
                <w:rFonts w:ascii="Century Gothic" w:hAnsi="Century Gothic" w:cs="Arial"/>
                <w:lang w:val="es-ES"/>
              </w:rPr>
              <w:t>/</w:t>
            </w:r>
            <w:r>
              <w:rPr>
                <w:rFonts w:ascii="Century Gothic" w:hAnsi="Century Gothic" w:cs="Arial"/>
                <w:lang w:val="es-ES"/>
              </w:rPr>
              <w:t xml:space="preserve"> </w:t>
            </w:r>
            <w:r w:rsidRPr="00DE0BB9">
              <w:rPr>
                <w:rFonts w:ascii="Century Gothic" w:hAnsi="Century Gothic" w:cs="Arial"/>
                <w:noProof/>
                <w:color w:val="000000" w:themeColor="text1"/>
                <w:lang w:val="es-ES_tradnl"/>
              </w:rPr>
              <w:t xml:space="preserve">TERMINACIÓN UNILATERAL – Cláusula </w:t>
            </w:r>
            <w:r w:rsidRPr="00DE0BB9">
              <w:rPr>
                <w:rFonts w:ascii="Century Gothic" w:hAnsi="Century Gothic" w:cs="Arial"/>
                <w:color w:val="000000" w:themeColor="text1"/>
              </w:rPr>
              <w:t xml:space="preserve">excepcional – Finalidad / </w:t>
            </w:r>
            <w:r w:rsidRPr="00DE0BB9">
              <w:rPr>
                <w:rFonts w:ascii="Century Gothic" w:eastAsia="Calibri" w:hAnsi="Century Gothic" w:cs="Arial"/>
                <w:color w:val="000000" w:themeColor="text1"/>
                <w:lang w:val="es-ES_tradnl"/>
              </w:rPr>
              <w:t xml:space="preserve">DISOLUCIÓN DEL CONTRATISTA – Causal de terminación unilateral del contrato / APLICACIÓN DE LA CAUSAL DE TERMINACIÓN UNILATERAL – Consorcios y uniones temporales </w:t>
            </w:r>
          </w:p>
        </w:tc>
        <w:tc>
          <w:tcPr>
            <w:tcW w:w="6237" w:type="dxa"/>
          </w:tcPr>
          <w:p w14:paraId="5ACB6B88" w14:textId="77777777" w:rsidR="0091438F" w:rsidRPr="00DE0BB9" w:rsidRDefault="0091438F" w:rsidP="00AA67D7">
            <w:pPr>
              <w:spacing w:after="120" w:line="276" w:lineRule="auto"/>
              <w:jc w:val="both"/>
              <w:rPr>
                <w:rFonts w:ascii="Century Gothic" w:eastAsia="Calibri" w:hAnsi="Century Gothic" w:cs="Arial"/>
                <w:bCs/>
                <w:color w:val="000000" w:themeColor="text1"/>
                <w:lang w:val="es-ES_tradnl"/>
              </w:rPr>
            </w:pPr>
          </w:p>
        </w:tc>
      </w:tr>
      <w:tr w:rsidR="0091438F" w:rsidRPr="00F707C8" w14:paraId="2BA36923" w14:textId="77777777" w:rsidTr="00AA67D7">
        <w:trPr>
          <w:gridAfter w:val="1"/>
          <w:wAfter w:w="6237" w:type="dxa"/>
          <w:trHeight w:val="391"/>
        </w:trPr>
        <w:tc>
          <w:tcPr>
            <w:tcW w:w="2689" w:type="dxa"/>
          </w:tcPr>
          <w:p w14:paraId="354CAA45" w14:textId="77777777" w:rsidR="0091438F" w:rsidRPr="00DE0BB9" w:rsidRDefault="0091438F" w:rsidP="00AA67D7">
            <w:pPr>
              <w:spacing w:line="276" w:lineRule="auto"/>
              <w:jc w:val="both"/>
              <w:rPr>
                <w:rFonts w:ascii="Century Gothic" w:eastAsia="Calibri" w:hAnsi="Century Gothic" w:cs="Arial"/>
                <w:color w:val="000000" w:themeColor="text1"/>
                <w:lang w:val="es-ES_tradnl"/>
              </w:rPr>
            </w:pPr>
            <w:r w:rsidRPr="00DE0BB9">
              <w:rPr>
                <w:rFonts w:ascii="Century Gothic" w:eastAsia="Calibri" w:hAnsi="Century Gothic" w:cs="Arial"/>
                <w:b/>
                <w:color w:val="000000" w:themeColor="text1"/>
                <w:lang w:val="es-ES_tradnl"/>
              </w:rPr>
              <w:t>Radicación</w:t>
            </w:r>
            <w:r w:rsidRPr="00DE0BB9">
              <w:rPr>
                <w:rFonts w:ascii="Century Gothic" w:eastAsia="Calibri" w:hAnsi="Century Gothic" w:cs="Arial"/>
                <w:color w:val="000000" w:themeColor="text1"/>
                <w:lang w:val="es-ES_tradnl"/>
              </w:rPr>
              <w:t xml:space="preserve">:                              </w:t>
            </w:r>
          </w:p>
        </w:tc>
        <w:tc>
          <w:tcPr>
            <w:tcW w:w="6237" w:type="dxa"/>
          </w:tcPr>
          <w:p w14:paraId="592CED96" w14:textId="77777777" w:rsidR="0091438F" w:rsidRPr="00DE0BB9" w:rsidRDefault="0091438F" w:rsidP="00AA67D7">
            <w:pPr>
              <w:pStyle w:val="Sinespaciado"/>
              <w:spacing w:line="276" w:lineRule="auto"/>
              <w:jc w:val="both"/>
              <w:rPr>
                <w:rFonts w:ascii="Century Gothic" w:hAnsi="Century Gothic" w:cs="Arial"/>
                <w:sz w:val="22"/>
              </w:rPr>
            </w:pPr>
            <w:r w:rsidRPr="00DE0BB9">
              <w:rPr>
                <w:rFonts w:ascii="Century Gothic" w:eastAsia="Calibri" w:hAnsi="Century Gothic" w:cs="Arial"/>
                <w:color w:val="000000" w:themeColor="text1"/>
                <w:sz w:val="22"/>
                <w:lang w:val="es-ES_tradnl"/>
              </w:rPr>
              <w:t xml:space="preserve">Respuesta a consulta </w:t>
            </w:r>
            <w:r w:rsidRPr="00DE0BB9">
              <w:rPr>
                <w:rFonts w:ascii="Century Gothic" w:hAnsi="Century Gothic" w:cs="Arial"/>
                <w:sz w:val="22"/>
              </w:rPr>
              <w:t>P20231124017219</w:t>
            </w:r>
          </w:p>
        </w:tc>
      </w:tr>
    </w:tbl>
    <w:p w14:paraId="37052ECB" w14:textId="77777777" w:rsidR="0091438F" w:rsidRPr="00DE0BB9" w:rsidRDefault="0091438F" w:rsidP="0091438F">
      <w:pPr>
        <w:spacing w:line="276" w:lineRule="auto"/>
        <w:jc w:val="both"/>
        <w:rPr>
          <w:rFonts w:ascii="Century Gothic" w:eastAsia="Calibri" w:hAnsi="Century Gothic" w:cs="Arial"/>
          <w:color w:val="000000" w:themeColor="text1"/>
          <w:lang w:val="es-ES_tradnl"/>
        </w:rPr>
      </w:pPr>
    </w:p>
    <w:p w14:paraId="5CE0FBBC" w14:textId="77777777" w:rsidR="0091438F" w:rsidRPr="00DE0BB9" w:rsidRDefault="0091438F" w:rsidP="0091438F">
      <w:pPr>
        <w:spacing w:line="276" w:lineRule="auto"/>
        <w:jc w:val="both"/>
        <w:rPr>
          <w:rFonts w:ascii="Century Gothic" w:eastAsia="Calibri" w:hAnsi="Century Gothic" w:cs="Arial"/>
          <w:color w:val="000000" w:themeColor="text1"/>
          <w:lang w:val="es-ES_tradnl"/>
        </w:rPr>
      </w:pPr>
      <w:r w:rsidRPr="00DE0BB9">
        <w:rPr>
          <w:rFonts w:ascii="Century Gothic" w:eastAsia="Calibri" w:hAnsi="Century Gothic" w:cs="Arial"/>
          <w:color w:val="000000" w:themeColor="text1"/>
          <w:lang w:val="es-ES_tradnl"/>
        </w:rPr>
        <w:t>Estimada señora Arroyo:</w:t>
      </w:r>
    </w:p>
    <w:p w14:paraId="3E263AE8" w14:textId="77777777" w:rsidR="0091438F" w:rsidRPr="00DE0BB9" w:rsidRDefault="0091438F" w:rsidP="0091438F">
      <w:pPr>
        <w:spacing w:after="0" w:line="276" w:lineRule="auto"/>
        <w:jc w:val="both"/>
        <w:rPr>
          <w:rFonts w:ascii="Century Gothic" w:eastAsia="Calibri" w:hAnsi="Century Gothic" w:cs="Arial"/>
          <w:color w:val="000000" w:themeColor="text1"/>
          <w:lang w:val="es-ES_tradnl"/>
        </w:rPr>
      </w:pPr>
      <w:r w:rsidRPr="00DE0BB9">
        <w:rPr>
          <w:rFonts w:ascii="Century Gothic" w:eastAsia="Calibri" w:hAnsi="Century Gothic"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a sus consultas del 24 de noviembre de 2023. </w:t>
      </w:r>
    </w:p>
    <w:p w14:paraId="5BAEA76D" w14:textId="77777777" w:rsidR="0091438F" w:rsidRPr="00DE0BB9" w:rsidRDefault="0091438F" w:rsidP="0091438F">
      <w:pPr>
        <w:spacing w:after="0" w:line="276" w:lineRule="auto"/>
        <w:jc w:val="both"/>
        <w:rPr>
          <w:rFonts w:ascii="Century Gothic" w:eastAsia="Calibri" w:hAnsi="Century Gothic" w:cs="Arial"/>
          <w:b/>
          <w:color w:val="000000" w:themeColor="text1"/>
          <w:lang w:val="es-ES_tradnl"/>
        </w:rPr>
      </w:pPr>
    </w:p>
    <w:p w14:paraId="5659F5EF" w14:textId="77777777" w:rsidR="0091438F" w:rsidRPr="00DE0BB9" w:rsidRDefault="0091438F" w:rsidP="0091438F">
      <w:pPr>
        <w:pStyle w:val="Prrafodelista"/>
        <w:numPr>
          <w:ilvl w:val="0"/>
          <w:numId w:val="1"/>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DE0BB9">
        <w:rPr>
          <w:rFonts w:ascii="Century Gothic" w:eastAsia="Calibri" w:hAnsi="Century Gothic" w:cs="Arial"/>
          <w:b/>
          <w:color w:val="000000" w:themeColor="text1"/>
          <w:lang w:val="es-ES_tradnl"/>
        </w:rPr>
        <w:t xml:space="preserve">Problema planteado </w:t>
      </w:r>
    </w:p>
    <w:p w14:paraId="543CBCE5" w14:textId="77777777" w:rsidR="0091438F" w:rsidRPr="00DE0BB9" w:rsidRDefault="0091438F" w:rsidP="0091438F">
      <w:pPr>
        <w:tabs>
          <w:tab w:val="left" w:pos="426"/>
        </w:tabs>
        <w:spacing w:after="0"/>
        <w:jc w:val="both"/>
        <w:rPr>
          <w:rFonts w:ascii="Century Gothic" w:eastAsia="Calibri" w:hAnsi="Century Gothic" w:cs="Arial"/>
          <w:b/>
          <w:color w:val="000000" w:themeColor="text1"/>
          <w:lang w:val="es-ES_tradnl"/>
        </w:rPr>
      </w:pPr>
    </w:p>
    <w:p w14:paraId="39278CAF" w14:textId="77777777" w:rsidR="0091438F" w:rsidRPr="00DE0BB9" w:rsidRDefault="0091438F" w:rsidP="0091438F">
      <w:pPr>
        <w:pStyle w:val="Sinespaciado"/>
        <w:spacing w:line="276" w:lineRule="auto"/>
        <w:ind w:right="49"/>
        <w:jc w:val="both"/>
        <w:rPr>
          <w:rFonts w:ascii="Century Gothic" w:hAnsi="Century Gothic" w:cs="Arial"/>
          <w:color w:val="000000" w:themeColor="text1"/>
          <w:sz w:val="22"/>
          <w:lang w:val="es-ES_tradnl"/>
        </w:rPr>
      </w:pPr>
      <w:r w:rsidRPr="00DE0BB9">
        <w:rPr>
          <w:rFonts w:ascii="Century Gothic" w:hAnsi="Century Gothic" w:cs="Arial"/>
          <w:color w:val="000000" w:themeColor="text1"/>
          <w:sz w:val="22"/>
          <w:lang w:val="es-ES_tradnl"/>
        </w:rPr>
        <w:t xml:space="preserve">Usted realiza las siguientes preguntas: </w:t>
      </w:r>
    </w:p>
    <w:p w14:paraId="3D4CFA34" w14:textId="77777777" w:rsidR="0091438F" w:rsidRPr="00DE0BB9" w:rsidRDefault="0091438F" w:rsidP="0091438F">
      <w:pPr>
        <w:pStyle w:val="Sinespaciado"/>
        <w:spacing w:line="276" w:lineRule="auto"/>
        <w:ind w:right="49"/>
        <w:jc w:val="both"/>
        <w:rPr>
          <w:rFonts w:ascii="Century Gothic" w:hAnsi="Century Gothic" w:cs="Arial"/>
          <w:color w:val="000000" w:themeColor="text1"/>
          <w:sz w:val="22"/>
          <w:lang w:val="es-ES_tradnl"/>
        </w:rPr>
      </w:pPr>
    </w:p>
    <w:p w14:paraId="4D27748E" w14:textId="77777777" w:rsidR="0091438F" w:rsidRPr="00DE0BB9" w:rsidRDefault="0091438F" w:rsidP="0091438F">
      <w:pPr>
        <w:pStyle w:val="Sinespaciado"/>
        <w:ind w:left="709" w:right="709"/>
        <w:jc w:val="both"/>
        <w:rPr>
          <w:rFonts w:ascii="Century Gothic" w:hAnsi="Century Gothic" w:cs="Arial"/>
          <w:color w:val="000000" w:themeColor="text1"/>
          <w:sz w:val="20"/>
          <w:szCs w:val="20"/>
          <w:lang w:val="es-ES_tradnl"/>
        </w:rPr>
      </w:pPr>
      <w:r w:rsidRPr="00DE0BB9">
        <w:rPr>
          <w:rFonts w:ascii="Century Gothic" w:hAnsi="Century Gothic" w:cs="Arial"/>
          <w:sz w:val="20"/>
          <w:szCs w:val="20"/>
        </w:rPr>
        <w:t>“I.</w:t>
      </w:r>
      <w:r>
        <w:rPr>
          <w:rFonts w:ascii="Century Gothic" w:hAnsi="Century Gothic" w:cs="Arial"/>
          <w:sz w:val="20"/>
          <w:szCs w:val="20"/>
        </w:rPr>
        <w:t xml:space="preserve"> </w:t>
      </w:r>
      <w:r w:rsidRPr="00DE0BB9">
        <w:rPr>
          <w:rFonts w:ascii="Century Gothic" w:hAnsi="Century Gothic" w:cs="Arial"/>
          <w:sz w:val="20"/>
          <w:szCs w:val="20"/>
        </w:rPr>
        <w:t>TEMA: LA DISOLUCIÓN DE UNA PERSONA JURÍDICA (SOCIEDAD) INTEGRANTE DE UN CONSORCIO CONTRATISTA Y Su INCIDENCIA EN LA CAPACIDAD JURÍDICA PARA CONTINUAR LA EJECUCIÓN:</w:t>
      </w:r>
    </w:p>
    <w:p w14:paraId="7DAF595A" w14:textId="77777777" w:rsidR="0091438F" w:rsidRPr="00DE0BB9" w:rsidRDefault="0091438F" w:rsidP="0091438F">
      <w:pPr>
        <w:pStyle w:val="Sinespaciado"/>
        <w:numPr>
          <w:ilvl w:val="0"/>
          <w:numId w:val="2"/>
        </w:numPr>
        <w:ind w:left="709" w:right="709" w:firstLine="0"/>
        <w:jc w:val="both"/>
        <w:rPr>
          <w:rFonts w:ascii="Century Gothic" w:hAnsi="Century Gothic" w:cs="Arial"/>
          <w:color w:val="000000" w:themeColor="text1"/>
          <w:sz w:val="20"/>
          <w:szCs w:val="20"/>
          <w:lang w:val="es-ES_tradnl"/>
        </w:rPr>
      </w:pPr>
      <w:r w:rsidRPr="00DE0BB9">
        <w:rPr>
          <w:rFonts w:ascii="Century Gothic" w:hAnsi="Century Gothic" w:cs="Arial"/>
          <w:sz w:val="20"/>
          <w:szCs w:val="20"/>
          <w:lang w:val="es-ES_tradnl"/>
        </w:rPr>
        <w:t xml:space="preserve">La </w:t>
      </w:r>
      <w:r w:rsidRPr="00DE0BB9">
        <w:rPr>
          <w:rFonts w:ascii="Century Gothic" w:hAnsi="Century Gothic" w:cs="Arial"/>
          <w:sz w:val="20"/>
          <w:szCs w:val="20"/>
        </w:rPr>
        <w:t xml:space="preserve"> disolución una sociedad (persona jurídica) integrante de un consorcio, configura o no una pérdida de su capacidad jurídica para contratar y por tanto para continuar con la ejecución del contrato, llevando a que se con figure una inhabilidad sobreviniente?</w:t>
      </w:r>
    </w:p>
    <w:p w14:paraId="4B03D5DE" w14:textId="77777777" w:rsidR="0091438F" w:rsidRPr="00DE0BB9" w:rsidRDefault="0091438F" w:rsidP="0091438F">
      <w:pPr>
        <w:pStyle w:val="Sinespaciado"/>
        <w:numPr>
          <w:ilvl w:val="0"/>
          <w:numId w:val="2"/>
        </w:numPr>
        <w:ind w:left="709" w:right="709" w:firstLine="0"/>
        <w:jc w:val="both"/>
        <w:rPr>
          <w:rFonts w:ascii="Century Gothic" w:hAnsi="Century Gothic" w:cs="Arial"/>
          <w:color w:val="000000" w:themeColor="text1"/>
          <w:sz w:val="20"/>
          <w:szCs w:val="20"/>
          <w:lang w:val="es-ES_tradnl"/>
        </w:rPr>
      </w:pPr>
      <w:r w:rsidRPr="00DE0BB9">
        <w:rPr>
          <w:rFonts w:ascii="Century Gothic" w:hAnsi="Century Gothic" w:cs="Arial"/>
          <w:sz w:val="20"/>
          <w:szCs w:val="20"/>
        </w:rPr>
        <w:lastRenderedPageBreak/>
        <w:t>¿Según los lineamientos de Colombia Compra eficiente, que actuaciones debe hacer una entidad frente a la disolución de una de las personas jurídicas integrantes de un consorcio contratista?</w:t>
      </w:r>
    </w:p>
    <w:p w14:paraId="6D308F5F" w14:textId="77777777" w:rsidR="0091438F" w:rsidRPr="00DE0BB9" w:rsidRDefault="0091438F" w:rsidP="0091438F">
      <w:pPr>
        <w:pStyle w:val="Sinespaciado"/>
        <w:ind w:left="709" w:right="709"/>
        <w:jc w:val="both"/>
        <w:rPr>
          <w:rFonts w:ascii="Century Gothic" w:hAnsi="Century Gothic" w:cs="Arial"/>
          <w:color w:val="000000" w:themeColor="text1"/>
          <w:sz w:val="20"/>
          <w:szCs w:val="20"/>
          <w:lang w:val="es-ES_tradnl"/>
        </w:rPr>
      </w:pPr>
    </w:p>
    <w:p w14:paraId="7AF914A9" w14:textId="77777777" w:rsidR="0091438F" w:rsidRPr="00DE0BB9" w:rsidRDefault="0091438F" w:rsidP="0091438F">
      <w:pPr>
        <w:pStyle w:val="Sinespaciado"/>
        <w:ind w:left="709" w:right="709"/>
        <w:jc w:val="both"/>
        <w:rPr>
          <w:rFonts w:ascii="Century Gothic" w:hAnsi="Century Gothic" w:cs="Arial"/>
          <w:sz w:val="20"/>
          <w:szCs w:val="20"/>
        </w:rPr>
      </w:pPr>
      <w:r w:rsidRPr="00DE0BB9">
        <w:rPr>
          <w:rFonts w:ascii="Century Gothic" w:hAnsi="Century Gothic" w:cs="Arial"/>
          <w:color w:val="000000" w:themeColor="text1"/>
          <w:sz w:val="20"/>
          <w:szCs w:val="20"/>
          <w:lang w:val="es-ES_tradnl"/>
        </w:rPr>
        <w:t xml:space="preserve">II.  </w:t>
      </w:r>
      <w:r w:rsidRPr="00DE0BB9">
        <w:rPr>
          <w:rFonts w:ascii="Century Gothic" w:hAnsi="Century Gothic" w:cs="Arial"/>
          <w:sz w:val="20"/>
          <w:szCs w:val="20"/>
        </w:rPr>
        <w:t>TEMA: APLICACIÓN DE LA CAUSAL No. 2 DEL ARTÍCULO 17 DE LA LEY 80 DE 1993. TERMINACIÓN UNILATERAL DEL CONTRATO POR DISOLUCIÓN DE UNA PERSONA JURÍDICA (SOCIEDAD) INTEGRANTE DE UN CONSORCIO CONTRATISTA</w:t>
      </w:r>
    </w:p>
    <w:p w14:paraId="409A9FFD" w14:textId="77777777" w:rsidR="0091438F" w:rsidRPr="00DE0BB9" w:rsidRDefault="0091438F" w:rsidP="0091438F">
      <w:pPr>
        <w:pStyle w:val="Sinespaciado"/>
        <w:ind w:left="709" w:right="709"/>
        <w:jc w:val="both"/>
        <w:rPr>
          <w:rFonts w:ascii="Century Gothic" w:hAnsi="Century Gothic" w:cs="Arial"/>
          <w:sz w:val="20"/>
          <w:szCs w:val="20"/>
          <w:lang w:val="es-ES_tradnl"/>
        </w:rPr>
      </w:pPr>
    </w:p>
    <w:p w14:paraId="06F88BD9" w14:textId="77777777" w:rsidR="0091438F" w:rsidRPr="00DE0BB9" w:rsidRDefault="0091438F" w:rsidP="0091438F">
      <w:pPr>
        <w:pStyle w:val="Sinespaciado"/>
        <w:numPr>
          <w:ilvl w:val="0"/>
          <w:numId w:val="4"/>
        </w:numPr>
        <w:ind w:left="709" w:right="709" w:firstLine="0"/>
        <w:jc w:val="both"/>
        <w:rPr>
          <w:rFonts w:ascii="Century Gothic" w:hAnsi="Century Gothic" w:cs="Arial"/>
          <w:sz w:val="20"/>
          <w:szCs w:val="20"/>
        </w:rPr>
      </w:pPr>
      <w:r w:rsidRPr="00DE0BB9">
        <w:rPr>
          <w:rFonts w:ascii="Century Gothic" w:hAnsi="Century Gothic" w:cs="Arial"/>
          <w:sz w:val="20"/>
          <w:szCs w:val="20"/>
        </w:rPr>
        <w:t xml:space="preserve">¿Los lineamientos vertidos por la Agencia Nacional de Contratación Pública COLOMBIA COMPRA EFICIENTE, mediante Concepto 286 de 2022, sobre la posibilidad de terminación unilateral del contrato por disolución de una de las personas jurídicas integrante de un consorcio se mantiene vigente a hay algún cambio en los lineamientos sobre el tema? </w:t>
      </w:r>
    </w:p>
    <w:p w14:paraId="0819BCA2" w14:textId="77777777" w:rsidR="0091438F" w:rsidRPr="00DE0BB9" w:rsidRDefault="0091438F" w:rsidP="0091438F">
      <w:pPr>
        <w:pStyle w:val="Sinespaciado"/>
        <w:numPr>
          <w:ilvl w:val="0"/>
          <w:numId w:val="4"/>
        </w:numPr>
        <w:ind w:left="709" w:right="709" w:firstLine="0"/>
        <w:jc w:val="both"/>
        <w:rPr>
          <w:rFonts w:ascii="Century Gothic" w:hAnsi="Century Gothic" w:cs="Arial"/>
          <w:sz w:val="20"/>
          <w:szCs w:val="20"/>
        </w:rPr>
      </w:pPr>
      <w:r w:rsidRPr="00DE0BB9">
        <w:rPr>
          <w:rFonts w:ascii="Century Gothic" w:hAnsi="Century Gothic" w:cs="Arial"/>
          <w:sz w:val="20"/>
          <w:szCs w:val="20"/>
        </w:rPr>
        <w:t xml:space="preserve">Según los lineamientos de Colombia Compra Eficiente, es o no imperativo para una Entidad aplicar la causal #2 del artículo 17 de la Ley 80 de 1993, cuando una de las sociedades integrantes de un consorciado contratista se encuentra en estado de disolución? </w:t>
      </w:r>
    </w:p>
    <w:p w14:paraId="5E663A30" w14:textId="77777777" w:rsidR="0091438F" w:rsidRPr="00DE0BB9" w:rsidRDefault="0091438F" w:rsidP="0091438F">
      <w:pPr>
        <w:pStyle w:val="Sinespaciado"/>
        <w:numPr>
          <w:ilvl w:val="0"/>
          <w:numId w:val="4"/>
        </w:numPr>
        <w:ind w:left="709" w:right="709" w:firstLine="0"/>
        <w:jc w:val="both"/>
        <w:rPr>
          <w:rFonts w:ascii="Century Gothic" w:hAnsi="Century Gothic" w:cs="Arial"/>
          <w:sz w:val="20"/>
          <w:szCs w:val="20"/>
        </w:rPr>
      </w:pPr>
      <w:r w:rsidRPr="00DE0BB9">
        <w:rPr>
          <w:rFonts w:ascii="Century Gothic" w:hAnsi="Century Gothic" w:cs="Arial"/>
          <w:sz w:val="20"/>
          <w:szCs w:val="20"/>
        </w:rPr>
        <w:t>Es posible aplicar la causal #2 del artículo 17 de la Ley 80 de 1993, cuando una de las sociedades integrantes de un consorciado contratista se encuentra en estado de disoluci6n, habiéndose reportado para interventoría un escenario de incumplimiento contractual con fines de multa y caducidad?” [SIC].</w:t>
      </w:r>
    </w:p>
    <w:p w14:paraId="12D32B24" w14:textId="77777777" w:rsidR="0091438F" w:rsidRPr="00DE0BB9" w:rsidRDefault="0091438F" w:rsidP="0091438F">
      <w:pPr>
        <w:jc w:val="both"/>
        <w:rPr>
          <w:rFonts w:ascii="Century Gothic" w:hAnsi="Century Gothic" w:cs="Arial"/>
          <w:color w:val="000000" w:themeColor="text1"/>
          <w:lang w:val="es-ES_tradnl"/>
        </w:rPr>
      </w:pPr>
    </w:p>
    <w:p w14:paraId="4A2AC68A" w14:textId="77777777" w:rsidR="0091438F" w:rsidRPr="00DE0BB9" w:rsidRDefault="0091438F" w:rsidP="0091438F">
      <w:pPr>
        <w:pStyle w:val="Prrafodelista"/>
        <w:numPr>
          <w:ilvl w:val="0"/>
          <w:numId w:val="1"/>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DE0BB9">
        <w:rPr>
          <w:rFonts w:ascii="Century Gothic" w:eastAsia="Calibri" w:hAnsi="Century Gothic" w:cs="Arial"/>
          <w:b/>
          <w:color w:val="000000" w:themeColor="text1"/>
          <w:lang w:val="es-ES_tradnl"/>
        </w:rPr>
        <w:t>Consideraciones</w:t>
      </w:r>
    </w:p>
    <w:p w14:paraId="660F7A64" w14:textId="77777777" w:rsidR="0091438F" w:rsidRPr="00DE0BB9" w:rsidRDefault="0091438F" w:rsidP="0091438F">
      <w:pPr>
        <w:pStyle w:val="Prrafodelista"/>
        <w:tabs>
          <w:tab w:val="left" w:pos="0"/>
          <w:tab w:val="left" w:pos="284"/>
        </w:tabs>
        <w:ind w:left="0"/>
        <w:jc w:val="both"/>
        <w:rPr>
          <w:rFonts w:ascii="Century Gothic" w:eastAsia="Calibri" w:hAnsi="Century Gothic" w:cs="Arial"/>
          <w:b/>
          <w:color w:val="000000" w:themeColor="text1"/>
          <w:sz w:val="14"/>
          <w:szCs w:val="14"/>
          <w:lang w:val="es-ES_tradnl"/>
        </w:rPr>
      </w:pPr>
    </w:p>
    <w:p w14:paraId="7AD73B7F" w14:textId="77777777" w:rsidR="0091438F" w:rsidRPr="00DE0BB9" w:rsidRDefault="0091438F" w:rsidP="0091438F">
      <w:pPr>
        <w:spacing w:after="120" w:line="276" w:lineRule="auto"/>
        <w:jc w:val="both"/>
        <w:rPr>
          <w:rFonts w:ascii="Century Gothic" w:hAnsi="Century Gothic" w:cs="Arial"/>
          <w:lang w:val="es-ES"/>
        </w:rPr>
      </w:pPr>
      <w:r w:rsidRPr="00DE0BB9">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DE0BB9">
        <w:rPr>
          <w:rFonts w:ascii="Century Gothic" w:hAnsi="Century Gothic" w:cs="Arial"/>
        </w:rPr>
        <w:t xml:space="preserve">. </w:t>
      </w:r>
      <w:r w:rsidRPr="00DE0BB9">
        <w:rPr>
          <w:rFonts w:ascii="Century Gothic" w:hAnsi="Century Gothic" w:cs="Arial"/>
          <w:lang w:val="es-ES"/>
        </w:rPr>
        <w:t xml:space="preserve">Es necesario tener en cuenta que </w:t>
      </w:r>
      <w:bookmarkStart w:id="3" w:name="_Hlk61026958"/>
      <w:r w:rsidRPr="00DE0BB9">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E0BB9">
        <w:rPr>
          <w:rFonts w:ascii="Century Gothic" w:hAnsi="Century Gothic" w:cs="Arial"/>
        </w:rPr>
        <w:t xml:space="preserve"> de todos los partícipes de la contratación estatal.</w:t>
      </w:r>
      <w:r w:rsidRPr="00DE0BB9">
        <w:rPr>
          <w:rFonts w:ascii="Century Gothic" w:hAnsi="Century Gothic" w:cs="Arial"/>
          <w:lang w:val="es-ES"/>
        </w:rPr>
        <w:t xml:space="preserve"> </w:t>
      </w:r>
      <w:bookmarkEnd w:id="1"/>
      <w:bookmarkEnd w:id="2"/>
      <w:bookmarkEnd w:id="3"/>
    </w:p>
    <w:p w14:paraId="2E1269EE" w14:textId="77777777" w:rsidR="0091438F" w:rsidRPr="00DE0BB9" w:rsidRDefault="0091438F" w:rsidP="0091438F">
      <w:pPr>
        <w:spacing w:after="120" w:line="276" w:lineRule="auto"/>
        <w:ind w:firstLine="708"/>
        <w:jc w:val="both"/>
        <w:rPr>
          <w:rFonts w:ascii="Century Gothic" w:hAnsi="Century Gothic" w:cs="Arial"/>
          <w:lang w:val="es-ES"/>
        </w:rPr>
      </w:pPr>
      <w:r w:rsidRPr="00DE0BB9">
        <w:rPr>
          <w:rFonts w:ascii="Century Gothic" w:eastAsia="Calibri" w:hAnsi="Century Gothic"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DE0BB9">
        <w:rPr>
          <w:rFonts w:ascii="Century Gothic" w:eastAsia="Calibri" w:hAnsi="Century Gothic" w:cs="Arial"/>
          <w:lang w:val="es-ES"/>
        </w:rPr>
        <w:lastRenderedPageBreak/>
        <w:t>contratación pública</w:t>
      </w:r>
      <w:r w:rsidRPr="00DE0BB9">
        <w:rPr>
          <w:rFonts w:ascii="Century Gothic" w:eastAsia="Calibri" w:hAnsi="Century Gothic" w:cs="Arial"/>
          <w:vertAlign w:val="superscript"/>
          <w:lang w:val="es-ES"/>
        </w:rPr>
        <w:footnoteReference w:id="1"/>
      </w:r>
      <w:r w:rsidRPr="00DE0BB9">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13768D6E" w14:textId="77777777" w:rsidR="0091438F" w:rsidRPr="00DE0BB9" w:rsidRDefault="0091438F" w:rsidP="0091438F">
      <w:pPr>
        <w:spacing w:line="276" w:lineRule="auto"/>
        <w:ind w:firstLine="708"/>
        <w:jc w:val="both"/>
        <w:rPr>
          <w:rFonts w:ascii="Century Gothic" w:hAnsi="Century Gothic" w:cs="Arial"/>
          <w:color w:val="000000" w:themeColor="text1"/>
        </w:rPr>
      </w:pPr>
      <w:r w:rsidRPr="00DE0BB9">
        <w:rPr>
          <w:rFonts w:ascii="Century Gothic" w:eastAsia="Calibri" w:hAnsi="Century Gothic" w:cs="Arial"/>
          <w:color w:val="000000" w:themeColor="text1"/>
          <w:lang w:val="es-ES_tradnl"/>
        </w:rPr>
        <w:t xml:space="preserve">Sin perjuicio de lo anterior, la Agencia –dentro de los límites de sus atribuciones– resolverá la consulta conforme a las normas generales en materia de contratación estatal. </w:t>
      </w:r>
      <w:r w:rsidRPr="00DE0BB9">
        <w:rPr>
          <w:rFonts w:ascii="Century Gothic" w:eastAsia="Calibri" w:hAnsi="Century Gothic" w:cs="Arial"/>
          <w:lang w:val="es-ES_tradnl"/>
        </w:rPr>
        <w:t xml:space="preserve">En este sentido, se analizarán los siguientes temas: </w:t>
      </w:r>
      <w:r w:rsidRPr="00DE0BB9">
        <w:rPr>
          <w:rFonts w:ascii="Century Gothic" w:eastAsia="Calibri" w:hAnsi="Century Gothic" w:cs="Arial"/>
        </w:rPr>
        <w:t xml:space="preserve">i) </w:t>
      </w:r>
      <w:r w:rsidRPr="00DE0BB9">
        <w:rPr>
          <w:rFonts w:ascii="Century Gothic" w:eastAsia="Calibri" w:hAnsi="Century Gothic" w:cs="Arial"/>
          <w:lang w:val="es-ES"/>
        </w:rPr>
        <w:t xml:space="preserve">régimen de inhabilidades e incompatibilidades en la contratación estatal: un límite a la capacidad contractual. La interpretación restrictiva como criterio hermenéutico de los enunciados normativos; </w:t>
      </w:r>
      <w:r w:rsidRPr="00DE0BB9">
        <w:rPr>
          <w:rFonts w:ascii="Century Gothic" w:hAnsi="Century Gothic" w:cs="Arial"/>
        </w:rPr>
        <w:t xml:space="preserve">ii) </w:t>
      </w:r>
      <w:r w:rsidRPr="00DE0BB9">
        <w:rPr>
          <w:rFonts w:ascii="Century Gothic" w:hAnsi="Century Gothic" w:cs="Arial"/>
          <w:bCs/>
          <w:lang w:val="es-ES"/>
        </w:rPr>
        <w:t xml:space="preserve">régimen de inhabilidades e incompatibilidades para contratar con el Estado. Regulación de la inhabilidad sobreviniente; </w:t>
      </w:r>
      <w:r w:rsidRPr="00DE0BB9">
        <w:rPr>
          <w:rFonts w:ascii="Century Gothic" w:eastAsia="Calibri" w:hAnsi="Century Gothic" w:cs="Arial"/>
          <w:color w:val="000000" w:themeColor="text1"/>
          <w:lang w:val="es-ES_tradnl"/>
        </w:rPr>
        <w:t>iii)</w:t>
      </w:r>
      <w:r w:rsidRPr="00DE0BB9">
        <w:rPr>
          <w:rFonts w:ascii="Century Gothic" w:hAnsi="Century Gothic" w:cs="Arial"/>
        </w:rPr>
        <w:t xml:space="preserve"> </w:t>
      </w:r>
      <w:r w:rsidRPr="00DE0BB9">
        <w:rPr>
          <w:rFonts w:ascii="Century Gothic" w:hAnsi="Century Gothic" w:cs="Arial"/>
          <w:color w:val="000000" w:themeColor="text1"/>
        </w:rPr>
        <w:t xml:space="preserve">naturaleza jurídica de los consorcios y uniones temporales: cesión de participación de los miembros; y iv) terminación unilateral del contrato estatal por muerte o incapacidad física permanente del contratista persona natural, o por disolución de la persona jurídica del contratista. Análisis sobre su procedencia respecto de contratistas plurales. </w:t>
      </w:r>
    </w:p>
    <w:p w14:paraId="461C70C1" w14:textId="77777777" w:rsidR="0091438F" w:rsidRPr="00DE0BB9" w:rsidRDefault="0091438F" w:rsidP="0091438F">
      <w:pPr>
        <w:spacing w:before="120" w:line="276" w:lineRule="auto"/>
        <w:ind w:firstLine="708"/>
        <w:jc w:val="both"/>
        <w:rPr>
          <w:rFonts w:ascii="Century Gothic" w:hAnsi="Century Gothic" w:cs="Arial"/>
          <w:noProof/>
          <w:lang w:val="es-ES_tradnl"/>
        </w:rPr>
      </w:pPr>
      <w:r w:rsidRPr="00DE0BB9">
        <w:rPr>
          <w:rFonts w:ascii="Century Gothic" w:hAnsi="Century Gothic" w:cs="Arial"/>
          <w:noProof/>
          <w:lang w:val="es-ES_tradnl"/>
        </w:rPr>
        <w:t xml:space="preserve">La Agencia Nacional de Contratación Pública ― Colombia Compra Eficiente se ha pronunciado frente a los consorcios y uniones temporales, en los conceptos 2201913000007131 del 25 de septiembre de 2019, 2201913000007255 del 25 de septiembre de 2019, 2201913000007980 del 24 de octubre de 2019, 2201913000008703 del 25 de noviembre de 2019, 2201913000009610 y 2201913000009611 del 26 de diciembre de 2019. También en los conceptos C–343 </w:t>
      </w:r>
      <w:r w:rsidRPr="00DE0BB9">
        <w:rPr>
          <w:rFonts w:ascii="Century Gothic" w:hAnsi="Century Gothic" w:cs="Arial"/>
          <w:noProof/>
          <w:lang w:val="es-ES_tradnl"/>
        </w:rPr>
        <w:lastRenderedPageBreak/>
        <w:t xml:space="preserve">del 17 de junio de 2020, C─586 del 31 de agosto de 2020 y C-286 de 12 de mayo de 2022, por lo que, en lo pertinente, se reiteran dichas consideraciones. </w:t>
      </w:r>
    </w:p>
    <w:p w14:paraId="4C1E7401" w14:textId="77777777" w:rsidR="0091438F" w:rsidRPr="00DE0BB9" w:rsidRDefault="0091438F" w:rsidP="0091438F">
      <w:pPr>
        <w:spacing w:line="276" w:lineRule="auto"/>
        <w:ind w:firstLine="708"/>
        <w:jc w:val="both"/>
        <w:rPr>
          <w:rFonts w:ascii="Century Gothic" w:eastAsia="Calibri" w:hAnsi="Century Gothic" w:cs="Arial"/>
          <w:lang w:val="es-ES"/>
        </w:rPr>
      </w:pPr>
      <w:r w:rsidRPr="00DE0BB9">
        <w:rPr>
          <w:rFonts w:ascii="Century Gothic" w:hAnsi="Century Gothic" w:cs="Arial"/>
          <w:noProof/>
          <w:lang w:val="es-ES_tradnl"/>
        </w:rPr>
        <w:t xml:space="preserve">Igualmente, </w:t>
      </w:r>
      <w:r w:rsidRPr="00DE0BB9">
        <w:rPr>
          <w:rFonts w:ascii="Century Gothic" w:hAnsi="Century Gothic" w:cs="Arial"/>
          <w:lang w:val="es-ES"/>
        </w:rPr>
        <w:t xml:space="preserve">La Agencia Nacional de Contratación Pública ― Colombia Compra Eficiente, </w:t>
      </w:r>
      <w:r w:rsidRPr="00DE0BB9">
        <w:rPr>
          <w:rFonts w:ascii="Century Gothic" w:eastAsia="Calibri" w:hAnsi="Century Gothic" w:cs="Arial"/>
          <w:lang w:val="es-ES"/>
        </w:rPr>
        <w:t xml:space="preserve">en los conceptos con radicado número 4201912000003592 del 28 de agosto de 2019, 4201913000005649 del 17 septiembre de 2019, 4201912000006692 del 12 de noviembre de 2019, 4201913000006917 del 21 de noviembre de 2019, C -001 del 23 de abril de 2020, C-007 del 4 de mayo de 2020, C ─ 011 del 27 de abril de 2020, C ─ 085 del 4 de marzo de 2020, C-090 del 24 de febrero de 2020, C -125 de 2020 del 3 de marzo de 2020, C-157 de 2020 del 16 de marzo de 2020, C-239 de 2020 del 16 de abril de 2020, C ─ 246 de 2020 del 3 de abril de 2020, C – 273 de 2020 del 21 de mayo de 2020, C – 402 del 26 de junio de 2020, C-138 de 18 de mayo de 2022, C-514 del 10 de agosto de 2022, C-731 de 10 de noviembre de 2022 y C-059 de 13 de junio de 2023 estudió la naturaleza jurídica del régimen de inhabilidades e incompatibilidades para contratar con el Estado, incluyendo las sobrevinientes, como límite a la capacidad contractual, así como los criterios de interpretación del régimen de inhabilidades e incompatibilidades. Las tesis desarrolladas en estos conceptos se exponen a continuación. </w:t>
      </w:r>
    </w:p>
    <w:p w14:paraId="475526AD" w14:textId="77777777" w:rsidR="0091438F" w:rsidRPr="00DE0BB9" w:rsidRDefault="0091438F" w:rsidP="0091438F">
      <w:pPr>
        <w:tabs>
          <w:tab w:val="left" w:pos="426"/>
        </w:tabs>
        <w:spacing w:line="276" w:lineRule="auto"/>
        <w:jc w:val="both"/>
        <w:rPr>
          <w:rFonts w:ascii="Century Gothic" w:eastAsia="Calibri" w:hAnsi="Century Gothic" w:cs="Arial"/>
          <w:b/>
          <w:lang w:val="es-ES"/>
        </w:rPr>
      </w:pPr>
      <w:r w:rsidRPr="00DE0BB9">
        <w:rPr>
          <w:rFonts w:ascii="Century Gothic" w:eastAsia="Calibri" w:hAnsi="Century Gothic" w:cs="Arial"/>
          <w:b/>
          <w:lang w:val="es-ES"/>
        </w:rPr>
        <w:t>2.1. Régimen de inhabilidades e incompatibilidades en la contratación estatal: un límite a la capacidad contractual. La interpretación restrictiva como criterio hermenéutico de los enunciados normativos</w:t>
      </w:r>
      <w:r>
        <w:rPr>
          <w:rFonts w:ascii="Century Gothic" w:eastAsia="Calibri" w:hAnsi="Century Gothic" w:cs="Arial"/>
          <w:b/>
          <w:lang w:val="es-ES"/>
        </w:rPr>
        <w:t>.</w:t>
      </w:r>
      <w:r w:rsidRPr="00DE0BB9">
        <w:rPr>
          <w:rFonts w:ascii="Century Gothic" w:eastAsia="Calibri" w:hAnsi="Century Gothic" w:cs="Arial"/>
          <w:b/>
          <w:lang w:val="es-ES"/>
        </w:rPr>
        <w:t xml:space="preserve"> </w:t>
      </w:r>
    </w:p>
    <w:p w14:paraId="28B98C4C" w14:textId="77777777" w:rsidR="0091438F" w:rsidRPr="00DE0BB9" w:rsidRDefault="0091438F" w:rsidP="0091438F">
      <w:pPr>
        <w:spacing w:line="276" w:lineRule="auto"/>
        <w:jc w:val="both"/>
        <w:rPr>
          <w:rFonts w:ascii="Century Gothic" w:eastAsia="Calibri" w:hAnsi="Century Gothic" w:cs="Arial"/>
          <w:lang w:val="es-ES"/>
        </w:rPr>
      </w:pPr>
      <w:r w:rsidRPr="00DE0BB9">
        <w:rPr>
          <w:rFonts w:ascii="Century Gothic" w:eastAsia="Calibri" w:hAnsi="Century Gothic" w:cs="Arial"/>
          <w:lang w:val="es-E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71480417" w14:textId="77777777" w:rsidR="0091438F" w:rsidRPr="00DE0BB9" w:rsidRDefault="0091438F" w:rsidP="0091438F">
      <w:pPr>
        <w:spacing w:before="120" w:after="120" w:line="276" w:lineRule="auto"/>
        <w:ind w:firstLine="709"/>
        <w:jc w:val="both"/>
        <w:rPr>
          <w:rFonts w:ascii="Century Gothic" w:eastAsia="Calibri" w:hAnsi="Century Gothic" w:cs="Arial"/>
          <w:lang w:val="es-ES"/>
        </w:rPr>
      </w:pPr>
      <w:r w:rsidRPr="00DE0BB9">
        <w:rPr>
          <w:rFonts w:ascii="Century Gothic" w:eastAsia="Calibri" w:hAnsi="Century Gothic"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de </w:t>
      </w:r>
      <w:r w:rsidRPr="00DE0BB9">
        <w:rPr>
          <w:rFonts w:ascii="Century Gothic" w:eastAsia="Calibri" w:hAnsi="Century Gothic" w:cs="Arial"/>
          <w:lang w:val="es-ES"/>
        </w:rPr>
        <w:lastRenderedPageBreak/>
        <w:t xml:space="preserve">legalidad– y su interpretación debe ser </w:t>
      </w:r>
      <w:r w:rsidRPr="00DE0BB9">
        <w:rPr>
          <w:rFonts w:ascii="Century Gothic" w:eastAsia="Calibri" w:hAnsi="Century Gothic" w:cs="Arial"/>
          <w:i/>
          <w:iCs/>
          <w:lang w:val="es-ES"/>
        </w:rPr>
        <w:t>restrictiva</w:t>
      </w:r>
      <w:r w:rsidRPr="00DE0BB9">
        <w:rPr>
          <w:rFonts w:ascii="Century Gothic" w:eastAsia="Calibri" w:hAnsi="Century Gothic" w:cs="Arial"/>
          <w:vertAlign w:val="superscript"/>
          <w:lang w:val="es-ES"/>
        </w:rPr>
        <w:footnoteReference w:id="2"/>
      </w:r>
      <w:r w:rsidRPr="00DE0BB9">
        <w:rPr>
          <w:rFonts w:ascii="Century Gothic" w:eastAsia="Calibri" w:hAnsi="Century Gothic"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72D1E74E" w14:textId="77777777" w:rsidR="0091438F" w:rsidRPr="00DE0BB9" w:rsidRDefault="0091438F" w:rsidP="0091438F">
      <w:pPr>
        <w:spacing w:line="276" w:lineRule="auto"/>
        <w:ind w:firstLine="709"/>
        <w:jc w:val="both"/>
        <w:rPr>
          <w:rFonts w:ascii="Century Gothic" w:eastAsia="Calibri" w:hAnsi="Century Gothic" w:cs="Arial"/>
          <w:lang w:val="es-ES"/>
        </w:rPr>
      </w:pPr>
      <w:r w:rsidRPr="00DE0BB9">
        <w:rPr>
          <w:rFonts w:ascii="Century Gothic" w:eastAsia="Calibri" w:hAnsi="Century Gothic" w:cs="Arial"/>
          <w:lang w:val="es-ES"/>
        </w:rPr>
        <w:t xml:space="preserve">En efecto, el máximo tribunal constitucional ha indicado que, al tratar de precisar el sentido de este tipo de normas, </w:t>
      </w:r>
      <w:r w:rsidRPr="00DE0BB9">
        <w:rPr>
          <w:rFonts w:ascii="Century Gothic" w:eastAsia="Calibri" w:hAnsi="Century Gothic" w:cs="Arial"/>
          <w:i/>
          <w:iCs/>
          <w:lang w:val="es-ES"/>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DE0BB9">
        <w:rPr>
          <w:rFonts w:ascii="Century Gothic" w:eastAsia="Calibri" w:hAnsi="Century Gothic" w:cs="Arial"/>
          <w:i/>
          <w:iCs/>
          <w:vertAlign w:val="superscript"/>
          <w:lang w:val="es-ES"/>
        </w:rPr>
        <w:footnoteReference w:id="3"/>
      </w:r>
      <w:r w:rsidRPr="00DE0BB9">
        <w:rPr>
          <w:rFonts w:ascii="Century Gothic" w:eastAsia="Calibri" w:hAnsi="Century Gothic" w:cs="Arial"/>
          <w:lang w:val="es-ES"/>
        </w:rPr>
        <w:t>. Por su parte, el Consejo de Estado ha acogido también este criterio, considerando –como expresa la Sala de Consulta y Servicio Civil–, que “</w:t>
      </w:r>
      <w:r w:rsidRPr="00DE0BB9">
        <w:rPr>
          <w:rFonts w:ascii="Century Gothic" w:eastAsia="Calibri" w:hAnsi="Century Gothic" w:cs="Arial"/>
          <w:i/>
          <w:iCs/>
          <w:lang w:val="es-ES"/>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DE0BB9">
        <w:rPr>
          <w:rFonts w:ascii="Century Gothic" w:eastAsia="Calibri" w:hAnsi="Century Gothic" w:cs="Arial"/>
          <w:i/>
          <w:iCs/>
          <w:vertAlign w:val="superscript"/>
          <w:lang w:val="es-ES"/>
        </w:rPr>
        <w:footnoteReference w:id="4"/>
      </w:r>
      <w:r w:rsidRPr="00DE0BB9">
        <w:rPr>
          <w:rFonts w:ascii="Century Gothic" w:eastAsia="Calibri" w:hAnsi="Century Gothic" w:cs="Arial"/>
          <w:i/>
          <w:iCs/>
          <w:lang w:val="es-ES"/>
        </w:rPr>
        <w:t>.</w:t>
      </w:r>
      <w:r w:rsidRPr="00DE0BB9">
        <w:rPr>
          <w:rFonts w:ascii="Century Gothic" w:eastAsia="Calibri" w:hAnsi="Century Gothic" w:cs="Arial"/>
          <w:lang w:val="es-ES"/>
        </w:rPr>
        <w:t xml:space="preserve"> En tal sentido, la Sección Tercera ha señalado que:</w:t>
      </w:r>
    </w:p>
    <w:p w14:paraId="79A38C66" w14:textId="77777777" w:rsidR="0091438F" w:rsidRPr="00DE0BB9" w:rsidRDefault="0091438F" w:rsidP="0091438F">
      <w:pPr>
        <w:spacing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DE0BB9">
        <w:rPr>
          <w:rFonts w:ascii="Century Gothic" w:hAnsi="Century Gothic" w:cs="Arial"/>
          <w:sz w:val="20"/>
          <w:szCs w:val="20"/>
          <w:vertAlign w:val="superscript"/>
          <w:lang w:val="es-ES"/>
        </w:rPr>
        <w:footnoteReference w:id="5"/>
      </w:r>
    </w:p>
    <w:p w14:paraId="124E2902" w14:textId="77777777" w:rsidR="0091438F" w:rsidRPr="00DE0BB9" w:rsidRDefault="0091438F" w:rsidP="0091438F">
      <w:pPr>
        <w:spacing w:line="240" w:lineRule="auto"/>
        <w:ind w:firstLine="709"/>
        <w:jc w:val="both"/>
        <w:rPr>
          <w:rFonts w:ascii="Century Gothic" w:eastAsia="Calibri" w:hAnsi="Century Gothic" w:cs="Arial"/>
          <w:sz w:val="20"/>
          <w:szCs w:val="20"/>
          <w:lang w:val="es-ES"/>
        </w:rPr>
      </w:pPr>
      <w:r w:rsidRPr="00DE0BB9">
        <w:rPr>
          <w:rFonts w:ascii="Century Gothic" w:eastAsia="Calibri" w:hAnsi="Century Gothic" w:cs="Arial"/>
          <w:sz w:val="20"/>
          <w:szCs w:val="20"/>
          <w:lang w:val="es-ES"/>
        </w:rPr>
        <w:t>También ha dicho que:</w:t>
      </w:r>
    </w:p>
    <w:p w14:paraId="5B87E041" w14:textId="77777777" w:rsidR="0091438F" w:rsidRPr="00DE0BB9" w:rsidRDefault="0091438F" w:rsidP="0091438F">
      <w:pPr>
        <w:spacing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rPr>
        <w:lastRenderedPageBreak/>
        <w:t>[</w:t>
      </w:r>
      <w:r w:rsidRPr="00DE0BB9">
        <w:rPr>
          <w:rFonts w:ascii="Century Gothic" w:hAnsi="Century Gothic" w:cs="Arial"/>
          <w:sz w:val="20"/>
          <w:szCs w:val="20"/>
          <w:lang w:val="es-ES"/>
        </w:rPr>
        <w:t xml:space="preserve">L]a aplicación de estos preceptos exige una interpretación restrictiva, dado que según el principio hermenéutico </w:t>
      </w:r>
      <w:r w:rsidRPr="00DE0BB9">
        <w:rPr>
          <w:rFonts w:ascii="Century Gothic" w:hAnsi="Century Gothic" w:cs="Arial"/>
          <w:i/>
          <w:iCs/>
          <w:sz w:val="20"/>
          <w:szCs w:val="20"/>
          <w:lang w:val="es-ES"/>
        </w:rPr>
        <w:t>pro libertate</w:t>
      </w:r>
      <w:r w:rsidRPr="00DE0BB9">
        <w:rPr>
          <w:rFonts w:ascii="Century Gothic" w:hAnsi="Century Gothic" w:cs="Arial"/>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w:t>
      </w:r>
      <w:r w:rsidRPr="00DE0BB9">
        <w:rPr>
          <w:rFonts w:ascii="Century Gothic" w:hAnsi="Century Gothic" w:cs="Arial"/>
          <w:sz w:val="20"/>
          <w:szCs w:val="20"/>
          <w:vertAlign w:val="superscript"/>
          <w:lang w:val="es-ES"/>
        </w:rPr>
        <w:footnoteReference w:id="6"/>
      </w:r>
      <w:r w:rsidRPr="00DE0BB9">
        <w:rPr>
          <w:rFonts w:ascii="Century Gothic" w:hAnsi="Century Gothic" w:cs="Arial"/>
          <w:sz w:val="20"/>
          <w:szCs w:val="20"/>
          <w:lang w:val="es-ES"/>
        </w:rPr>
        <w:t>“</w:t>
      </w:r>
    </w:p>
    <w:p w14:paraId="06B3161A" w14:textId="77777777" w:rsidR="0091438F" w:rsidRPr="00DE0BB9" w:rsidRDefault="0091438F" w:rsidP="0091438F">
      <w:pPr>
        <w:spacing w:line="276" w:lineRule="auto"/>
        <w:ind w:firstLine="708"/>
        <w:jc w:val="both"/>
        <w:rPr>
          <w:rFonts w:ascii="Century Gothic" w:eastAsia="Calibri" w:hAnsi="Century Gothic" w:cs="Arial"/>
          <w:lang w:val="es-ES"/>
        </w:rPr>
      </w:pPr>
      <w:r w:rsidRPr="00DE0BB9">
        <w:rPr>
          <w:rFonts w:ascii="Century Gothic" w:eastAsia="Calibri" w:hAnsi="Century Gothic" w:cs="Arial"/>
          <w:lang w:val="es-ES"/>
        </w:rPr>
        <w:t xml:space="preserve">Como se aprecia, el principio </w:t>
      </w:r>
      <w:r w:rsidRPr="00DE0BB9">
        <w:rPr>
          <w:rFonts w:ascii="Century Gothic" w:eastAsia="Calibri" w:hAnsi="Century Gothic" w:cs="Arial"/>
          <w:i/>
          <w:iCs/>
          <w:lang w:val="es-ES"/>
        </w:rPr>
        <w:t>pro libertate</w:t>
      </w:r>
      <w:r w:rsidRPr="00DE0BB9">
        <w:rPr>
          <w:rFonts w:ascii="Century Gothic" w:eastAsia="Calibri" w:hAnsi="Century Gothic" w:cs="Arial"/>
          <w:lang w:val="es-ES"/>
        </w:rPr>
        <w:t xml:space="preserve"> dirige la interpretación de las disposiciones que consagran restricciones de derechos, como sucede con las causales de inhabilidad e incompatibilidad en la contratación estatal.</w:t>
      </w:r>
    </w:p>
    <w:p w14:paraId="1F6399EC" w14:textId="77777777" w:rsidR="0091438F" w:rsidRPr="00DE0BB9" w:rsidRDefault="0091438F" w:rsidP="0091438F">
      <w:pPr>
        <w:pStyle w:val="Sinespaciado"/>
        <w:widowControl w:val="0"/>
        <w:autoSpaceDE w:val="0"/>
        <w:autoSpaceDN w:val="0"/>
        <w:spacing w:line="276" w:lineRule="auto"/>
        <w:jc w:val="both"/>
        <w:rPr>
          <w:rFonts w:ascii="Century Gothic" w:hAnsi="Century Gothic" w:cs="Arial"/>
          <w:b/>
          <w:sz w:val="22"/>
          <w:lang w:val="es-ES"/>
        </w:rPr>
      </w:pPr>
      <w:r w:rsidRPr="00DE0BB9">
        <w:rPr>
          <w:rFonts w:ascii="Century Gothic" w:hAnsi="Century Gothic" w:cs="Arial"/>
          <w:b/>
          <w:sz w:val="22"/>
          <w:lang w:val="es-ES"/>
        </w:rPr>
        <w:t>2.2 Régimen de inhabilidades e incompatibilidades para contratar con el Estado. Regulación de la inhabilidad sobreviniente.</w:t>
      </w:r>
    </w:p>
    <w:p w14:paraId="4B14A83C" w14:textId="77777777" w:rsidR="0091438F" w:rsidRPr="00DE0BB9" w:rsidRDefault="0091438F" w:rsidP="0091438F">
      <w:pPr>
        <w:pStyle w:val="Sinespaciado"/>
        <w:jc w:val="both"/>
        <w:rPr>
          <w:rFonts w:ascii="Century Gothic" w:hAnsi="Century Gothic" w:cs="Arial"/>
          <w:sz w:val="22"/>
          <w:lang w:val="es-ES"/>
        </w:rPr>
      </w:pPr>
    </w:p>
    <w:p w14:paraId="7286D3CB" w14:textId="77777777" w:rsidR="0091438F" w:rsidRPr="00DE0BB9" w:rsidRDefault="0091438F" w:rsidP="0091438F">
      <w:pPr>
        <w:pStyle w:val="Sinespaciado"/>
        <w:spacing w:after="120" w:line="276" w:lineRule="auto"/>
        <w:jc w:val="both"/>
        <w:rPr>
          <w:rFonts w:ascii="Century Gothic" w:hAnsi="Century Gothic" w:cs="Arial"/>
          <w:sz w:val="22"/>
          <w:lang w:val="es-ES"/>
        </w:rPr>
      </w:pPr>
      <w:r w:rsidRPr="00DE0BB9">
        <w:rPr>
          <w:rFonts w:ascii="Century Gothic" w:hAnsi="Century Gothic"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39781652" w14:textId="77777777" w:rsidR="0091438F" w:rsidRPr="00DE0BB9" w:rsidRDefault="0091438F" w:rsidP="0091438F">
      <w:pPr>
        <w:pStyle w:val="Sinespaciado"/>
        <w:spacing w:before="120" w:after="120" w:line="276" w:lineRule="auto"/>
        <w:ind w:firstLine="708"/>
        <w:jc w:val="both"/>
        <w:rPr>
          <w:rFonts w:ascii="Century Gothic" w:hAnsi="Century Gothic" w:cs="Arial"/>
          <w:i/>
          <w:iCs/>
          <w:sz w:val="22"/>
          <w:lang w:val="es-ES"/>
        </w:rPr>
      </w:pPr>
      <w:r w:rsidRPr="00DE0BB9">
        <w:rPr>
          <w:rFonts w:ascii="Century Gothic" w:hAnsi="Century Gothic" w:cs="Arial"/>
          <w:sz w:val="22"/>
          <w:lang w:val="es-ES"/>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sidRPr="00DE0BB9">
        <w:rPr>
          <w:rFonts w:ascii="Century Gothic" w:hAnsi="Century Gothic" w:cs="Arial"/>
          <w:i/>
          <w:iCs/>
          <w:sz w:val="22"/>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DE0BB9">
        <w:rPr>
          <w:rFonts w:ascii="Century Gothic" w:hAnsi="Century Gothic" w:cs="Arial"/>
          <w:i/>
          <w:iCs/>
          <w:sz w:val="22"/>
          <w:vertAlign w:val="superscript"/>
          <w:lang w:val="es-ES"/>
        </w:rPr>
        <w:footnoteReference w:id="7"/>
      </w:r>
      <w:r w:rsidRPr="00DE0BB9">
        <w:rPr>
          <w:rFonts w:ascii="Century Gothic" w:hAnsi="Century Gothic" w:cs="Arial"/>
          <w:i/>
          <w:iCs/>
          <w:sz w:val="22"/>
          <w:lang w:val="es-ES"/>
        </w:rPr>
        <w:t xml:space="preserve">. </w:t>
      </w:r>
    </w:p>
    <w:p w14:paraId="4EFD2021" w14:textId="77777777" w:rsidR="0091438F" w:rsidRPr="00DE0BB9" w:rsidRDefault="0091438F" w:rsidP="0091438F">
      <w:pPr>
        <w:pStyle w:val="Sinespaciado"/>
        <w:spacing w:before="120" w:line="276" w:lineRule="auto"/>
        <w:ind w:firstLine="709"/>
        <w:jc w:val="both"/>
        <w:rPr>
          <w:rFonts w:ascii="Century Gothic" w:hAnsi="Century Gothic" w:cs="Arial"/>
          <w:sz w:val="22"/>
          <w:lang w:val="es-ES"/>
        </w:rPr>
      </w:pPr>
      <w:r w:rsidRPr="00DE0BB9">
        <w:rPr>
          <w:rFonts w:ascii="Century Gothic" w:hAnsi="Century Gothic"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w:t>
      </w:r>
      <w:r w:rsidRPr="00DE0BB9">
        <w:rPr>
          <w:rFonts w:ascii="Century Gothic" w:hAnsi="Century Gothic" w:cs="Arial"/>
          <w:sz w:val="22"/>
          <w:lang w:val="es-ES"/>
        </w:rPr>
        <w:lastRenderedPageBreak/>
        <w:t xml:space="preserve">ha entendido el Consejo de Estado, quien se ha pronunciado al respecto en los siguientes términos: </w:t>
      </w:r>
    </w:p>
    <w:p w14:paraId="5FC671BF" w14:textId="77777777" w:rsidR="0091438F" w:rsidRPr="00DE0BB9" w:rsidRDefault="0091438F" w:rsidP="0091438F">
      <w:pPr>
        <w:pStyle w:val="Sinespaciado"/>
        <w:spacing w:line="276" w:lineRule="auto"/>
        <w:jc w:val="both"/>
        <w:rPr>
          <w:rFonts w:ascii="Century Gothic" w:hAnsi="Century Gothic" w:cs="Arial"/>
          <w:sz w:val="22"/>
          <w:lang w:val="es-ES"/>
        </w:rPr>
      </w:pPr>
    </w:p>
    <w:p w14:paraId="5B068B78" w14:textId="77777777" w:rsidR="0091438F" w:rsidRPr="00DE0BB9" w:rsidRDefault="0091438F" w:rsidP="0091438F">
      <w:pPr>
        <w:pStyle w:val="NormalWeb"/>
        <w:shd w:val="clear" w:color="auto" w:fill="FFFFFF"/>
        <w:spacing w:after="120"/>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252167B1" w14:textId="77777777" w:rsidR="0091438F" w:rsidRPr="00DE0BB9" w:rsidRDefault="0091438F" w:rsidP="0091438F">
      <w:pPr>
        <w:pStyle w:val="NormalWeb"/>
        <w:shd w:val="clear" w:color="auto" w:fill="FFFFFF"/>
        <w:spacing w:after="0"/>
        <w:ind w:left="709" w:right="709"/>
        <w:jc w:val="both"/>
        <w:rPr>
          <w:rFonts w:ascii="Century Gothic" w:hAnsi="Century Gothic" w:cs="Arial"/>
          <w:sz w:val="21"/>
          <w:szCs w:val="21"/>
          <w:lang w:val="es-ES"/>
        </w:rPr>
      </w:pPr>
      <w:r w:rsidRPr="00DE0BB9">
        <w:rPr>
          <w:rFonts w:ascii="Century Gothic" w:hAnsi="Century Gothic" w:cs="Arial"/>
          <w:sz w:val="20"/>
          <w:szCs w:val="20"/>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DE0BB9">
        <w:rPr>
          <w:rStyle w:val="Refdenotaalpie"/>
          <w:rFonts w:ascii="Century Gothic" w:hAnsi="Century Gothic" w:cs="Arial"/>
          <w:sz w:val="20"/>
          <w:szCs w:val="20"/>
          <w:lang w:val="es-ES"/>
        </w:rPr>
        <w:footnoteReference w:id="8"/>
      </w:r>
      <w:r w:rsidRPr="00DE0BB9">
        <w:rPr>
          <w:rFonts w:ascii="Century Gothic" w:hAnsi="Century Gothic" w:cs="Arial"/>
          <w:sz w:val="20"/>
          <w:szCs w:val="20"/>
          <w:lang w:val="es-ES"/>
        </w:rPr>
        <w:t>.”</w:t>
      </w:r>
      <w:r w:rsidRPr="00DE0BB9">
        <w:rPr>
          <w:rFonts w:ascii="Century Gothic" w:hAnsi="Century Gothic" w:cs="Arial"/>
          <w:sz w:val="21"/>
          <w:szCs w:val="21"/>
          <w:lang w:val="es-ES"/>
        </w:rPr>
        <w:t xml:space="preserve"> </w:t>
      </w:r>
    </w:p>
    <w:p w14:paraId="0D93B6C3" w14:textId="77777777" w:rsidR="0091438F" w:rsidRPr="00DE0BB9" w:rsidRDefault="0091438F" w:rsidP="0091438F">
      <w:pPr>
        <w:pStyle w:val="Sinespaciado"/>
        <w:spacing w:line="276" w:lineRule="auto"/>
        <w:jc w:val="both"/>
        <w:rPr>
          <w:rFonts w:ascii="Century Gothic" w:hAnsi="Century Gothic" w:cs="Arial"/>
          <w:sz w:val="22"/>
          <w:lang w:val="es-ES"/>
        </w:rPr>
      </w:pPr>
    </w:p>
    <w:p w14:paraId="76D718EC" w14:textId="77777777" w:rsidR="0091438F" w:rsidRPr="00DE0BB9" w:rsidRDefault="0091438F" w:rsidP="0091438F">
      <w:pPr>
        <w:pStyle w:val="Sinespaciado"/>
        <w:spacing w:line="276" w:lineRule="auto"/>
        <w:ind w:firstLine="709"/>
        <w:jc w:val="both"/>
        <w:rPr>
          <w:rFonts w:ascii="Century Gothic" w:hAnsi="Century Gothic" w:cs="Arial"/>
          <w:sz w:val="22"/>
          <w:lang w:val="es-ES"/>
        </w:rPr>
      </w:pPr>
      <w:r w:rsidRPr="00DE0BB9">
        <w:rPr>
          <w:rFonts w:ascii="Century Gothic" w:hAnsi="Century Gothic"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34E41DE1" w14:textId="77777777" w:rsidR="0091438F" w:rsidRPr="00DE0BB9" w:rsidRDefault="0091438F" w:rsidP="0091438F">
      <w:pPr>
        <w:spacing w:after="120"/>
        <w:ind w:left="709" w:right="709"/>
        <w:jc w:val="both"/>
        <w:rPr>
          <w:rFonts w:ascii="Century Gothic" w:hAnsi="Century Gothic" w:cs="Arial"/>
          <w:sz w:val="20"/>
          <w:szCs w:val="20"/>
          <w:lang w:val="es-ES"/>
        </w:rPr>
      </w:pPr>
    </w:p>
    <w:p w14:paraId="2E5B1C3A" w14:textId="77777777" w:rsidR="0091438F" w:rsidRPr="00DE0BB9" w:rsidRDefault="0091438F" w:rsidP="0091438F">
      <w:pPr>
        <w:spacing w:after="120"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 xml:space="preserve">“Todo régimen de inhabilidades e incompatibilidades de suyo excluye a ciertas categorías de personas del proceso de contratación, generando incapacidades especiales, impedimentos y prohibiciones de variada </w:t>
      </w:r>
      <w:r w:rsidRPr="00DE0BB9">
        <w:rPr>
          <w:rFonts w:ascii="Century Gothic" w:hAnsi="Century Gothic" w:cs="Arial"/>
          <w:sz w:val="20"/>
          <w:szCs w:val="20"/>
          <w:lang w:val="es-ES"/>
        </w:rPr>
        <w:lastRenderedPageBreak/>
        <w:t>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856AE97" w14:textId="77777777" w:rsidR="0091438F" w:rsidRPr="00DE0BB9" w:rsidRDefault="0091438F" w:rsidP="0091438F">
      <w:pPr>
        <w:spacing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DE0BB9">
        <w:rPr>
          <w:rFonts w:ascii="Century Gothic" w:hAnsi="Century Gothic" w:cs="Arial"/>
          <w:sz w:val="20"/>
          <w:szCs w:val="20"/>
        </w:rPr>
        <w:t>”</w:t>
      </w:r>
      <w:r w:rsidRPr="00DE0BB9">
        <w:rPr>
          <w:rStyle w:val="Refdenotaalpie"/>
          <w:rFonts w:ascii="Century Gothic" w:hAnsi="Century Gothic" w:cs="Arial"/>
          <w:sz w:val="20"/>
          <w:szCs w:val="20"/>
          <w:lang w:val="es-ES"/>
        </w:rPr>
        <w:footnoteReference w:id="9"/>
      </w:r>
    </w:p>
    <w:p w14:paraId="3074C8AC" w14:textId="77777777" w:rsidR="0091438F" w:rsidRPr="00DE0BB9" w:rsidRDefault="0091438F" w:rsidP="0091438F">
      <w:pPr>
        <w:spacing w:line="276" w:lineRule="auto"/>
        <w:ind w:firstLine="709"/>
        <w:jc w:val="both"/>
        <w:rPr>
          <w:rFonts w:ascii="Century Gothic" w:hAnsi="Century Gothic" w:cs="Arial"/>
          <w:lang w:val="es-ES"/>
        </w:rPr>
      </w:pPr>
      <w:r w:rsidRPr="00DE0BB9">
        <w:rPr>
          <w:rFonts w:ascii="Century Gothic" w:hAnsi="Century Gothic"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0B434508" w14:textId="77777777" w:rsidR="0091438F" w:rsidRPr="00DE0BB9" w:rsidRDefault="0091438F" w:rsidP="0091438F">
      <w:pPr>
        <w:pStyle w:val="Sinespaciado"/>
        <w:tabs>
          <w:tab w:val="left" w:pos="1532"/>
        </w:tabs>
        <w:spacing w:line="276" w:lineRule="auto"/>
        <w:jc w:val="both"/>
        <w:rPr>
          <w:rFonts w:ascii="Century Gothic" w:hAnsi="Century Gothic" w:cs="Arial"/>
          <w:sz w:val="22"/>
          <w:lang w:val="es-ES"/>
        </w:rPr>
      </w:pPr>
    </w:p>
    <w:p w14:paraId="2EBBEF84" w14:textId="77777777" w:rsidR="0091438F" w:rsidRPr="00DE0BB9" w:rsidRDefault="0091438F" w:rsidP="0091438F">
      <w:pPr>
        <w:spacing w:after="120"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DE0BB9">
        <w:rPr>
          <w:rFonts w:ascii="Century Gothic" w:hAnsi="Century Gothic" w:cs="Arial"/>
          <w:i/>
          <w:iCs/>
          <w:sz w:val="20"/>
          <w:szCs w:val="20"/>
          <w:lang w:val="es-ES"/>
        </w:rPr>
        <w:t>pro libertate</w:t>
      </w:r>
      <w:r w:rsidRPr="00DE0BB9">
        <w:rPr>
          <w:rFonts w:ascii="Century Gothic" w:hAnsi="Century Gothic" w:cs="Arial"/>
          <w:sz w:val="20"/>
          <w:szCs w:val="20"/>
          <w:lang w:val="es-ES"/>
        </w:rPr>
        <w:t xml:space="preserve">, sino el de legalidad, el que ordena que la función pública debe someterse estrictamente a lo que disponga la Constitución y la ley (CP art. 6). </w:t>
      </w:r>
    </w:p>
    <w:p w14:paraId="7AE069D9" w14:textId="77777777" w:rsidR="0091438F" w:rsidRPr="00DE0BB9" w:rsidRDefault="0091438F" w:rsidP="0091438F">
      <w:pPr>
        <w:spacing w:after="120" w:line="240" w:lineRule="auto"/>
        <w:ind w:left="709" w:right="709"/>
        <w:jc w:val="both"/>
        <w:rPr>
          <w:rFonts w:ascii="Century Gothic" w:hAnsi="Century Gothic" w:cs="Arial"/>
          <w:sz w:val="20"/>
          <w:szCs w:val="20"/>
          <w:lang w:val="es-ES"/>
        </w:rPr>
      </w:pPr>
    </w:p>
    <w:p w14:paraId="0E49B44E" w14:textId="77777777" w:rsidR="0091438F" w:rsidRPr="00DE0BB9" w:rsidRDefault="0091438F" w:rsidP="0091438F">
      <w:pPr>
        <w:spacing w:line="240" w:lineRule="auto"/>
        <w:ind w:left="709" w:right="709"/>
        <w:jc w:val="both"/>
        <w:rPr>
          <w:rFonts w:ascii="Century Gothic" w:hAnsi="Century Gothic" w:cs="Arial"/>
          <w:sz w:val="20"/>
          <w:szCs w:val="20"/>
          <w:lang w:val="es-ES"/>
        </w:rPr>
      </w:pPr>
      <w:r w:rsidRPr="00DE0BB9">
        <w:rPr>
          <w:rFonts w:ascii="Century Gothic" w:hAnsi="Century Gothic" w:cs="Arial"/>
          <w:sz w:val="20"/>
          <w:szCs w:val="20"/>
          <w:lang w:val="es-ES"/>
        </w:rPr>
        <w:t xml:space="preserve">Se comprende con facilidad que el régimen de inhabilidades e incompatibilidades, corresponde a una materia de normal y obligada inclusión en un estatuto contractual. El legislador, a quien se ha confiado </w:t>
      </w:r>
      <w:r w:rsidRPr="00DE0BB9">
        <w:rPr>
          <w:rFonts w:ascii="Century Gothic" w:hAnsi="Century Gothic" w:cs="Arial"/>
          <w:sz w:val="20"/>
          <w:szCs w:val="20"/>
          <w:lang w:val="es-ES"/>
        </w:rPr>
        <w:lastRenderedPageBreak/>
        <w:t>expedir el indicado estatuto, tiene, pues, competencia para establecerlo (CP art. 150).</w:t>
      </w:r>
      <w:r w:rsidRPr="00DE0BB9">
        <w:rPr>
          <w:rStyle w:val="Refdenotaalpie"/>
          <w:rFonts w:ascii="Century Gothic" w:hAnsi="Century Gothic" w:cs="Arial"/>
          <w:sz w:val="20"/>
          <w:szCs w:val="20"/>
          <w:lang w:val="es-ES"/>
        </w:rPr>
        <w:footnoteReference w:id="10"/>
      </w:r>
      <w:r w:rsidRPr="00DE0BB9">
        <w:rPr>
          <w:rFonts w:ascii="Century Gothic" w:hAnsi="Century Gothic" w:cs="Arial"/>
          <w:sz w:val="20"/>
          <w:szCs w:val="20"/>
          <w:lang w:val="es-ES"/>
        </w:rPr>
        <w:t>“</w:t>
      </w:r>
    </w:p>
    <w:p w14:paraId="3C96BB39" w14:textId="77777777" w:rsidR="0091438F" w:rsidRPr="00DE0BB9" w:rsidRDefault="0091438F" w:rsidP="0091438F">
      <w:pPr>
        <w:spacing w:after="120" w:line="276" w:lineRule="auto"/>
        <w:ind w:firstLine="709"/>
        <w:jc w:val="both"/>
        <w:rPr>
          <w:rFonts w:ascii="Century Gothic" w:hAnsi="Century Gothic" w:cs="Arial"/>
          <w:lang w:val="es-ES"/>
        </w:rPr>
      </w:pPr>
      <w:r w:rsidRPr="00DE0BB9">
        <w:rPr>
          <w:rFonts w:ascii="Century Gothic" w:hAnsi="Century Gothic" w:cs="Arial"/>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DE0BB9">
        <w:rPr>
          <w:rStyle w:val="Refdenotaalpie"/>
          <w:rFonts w:ascii="Century Gothic" w:hAnsi="Century Gothic" w:cs="Arial"/>
          <w:lang w:val="es-ES"/>
        </w:rPr>
        <w:footnoteReference w:id="11"/>
      </w:r>
      <w:r w:rsidRPr="00DE0BB9">
        <w:rPr>
          <w:rFonts w:ascii="Century Gothic" w:hAnsi="Century Gothic" w:cs="Arial"/>
          <w:lang w:val="es-ES"/>
        </w:rPr>
        <w:t xml:space="preserve">. </w:t>
      </w:r>
    </w:p>
    <w:p w14:paraId="7D995DF5" w14:textId="77777777" w:rsidR="0091438F" w:rsidRPr="00DE0BB9" w:rsidRDefault="0091438F" w:rsidP="0091438F">
      <w:pPr>
        <w:spacing w:before="120" w:after="120" w:line="276" w:lineRule="auto"/>
        <w:ind w:firstLine="708"/>
        <w:jc w:val="both"/>
        <w:rPr>
          <w:rFonts w:ascii="Century Gothic" w:hAnsi="Century Gothic" w:cs="Arial"/>
          <w:lang w:val="es-ES"/>
        </w:rPr>
      </w:pPr>
      <w:r w:rsidRPr="00DE0BB9">
        <w:rPr>
          <w:rFonts w:ascii="Century Gothic" w:hAnsi="Century Gothic" w:cs="Arial"/>
          <w:lang w:val="es-ES"/>
        </w:rPr>
        <w:t>A manera de ejemplo, en materia contractual, los literales c), d) y j) del numeral 1 del artículo 8 de la Ley 80 de 1993</w:t>
      </w:r>
      <w:r w:rsidRPr="00DE0BB9">
        <w:rPr>
          <w:rFonts w:ascii="Century Gothic" w:hAnsi="Century Gothic" w:cs="Arial"/>
          <w:vertAlign w:val="superscript"/>
          <w:lang w:val="es-ES"/>
        </w:rPr>
        <w:footnoteReference w:id="12"/>
      </w:r>
      <w:r w:rsidRPr="00DE0BB9">
        <w:rPr>
          <w:rFonts w:ascii="Century Gothic" w:hAnsi="Century Gothic" w:cs="Arial"/>
          <w:lang w:val="es-ES"/>
        </w:rPr>
        <w:t xml:space="preserve"> establecen inhabilidades-sanción, </w:t>
      </w:r>
      <w:r w:rsidRPr="00DE0BB9">
        <w:rPr>
          <w:rFonts w:ascii="Century Gothic" w:hAnsi="Century Gothic" w:cs="Arial"/>
          <w:lang w:val="es-ES"/>
        </w:rPr>
        <w:lastRenderedPageBreak/>
        <w:t>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w:t>
      </w:r>
    </w:p>
    <w:p w14:paraId="7FB6818D" w14:textId="77777777" w:rsidR="0091438F" w:rsidRPr="00DE0BB9" w:rsidRDefault="0091438F" w:rsidP="0091438F">
      <w:pPr>
        <w:spacing w:line="276" w:lineRule="auto"/>
        <w:ind w:right="49" w:firstLine="709"/>
        <w:jc w:val="both"/>
        <w:rPr>
          <w:rFonts w:ascii="Century Gothic" w:eastAsia="Calibri" w:hAnsi="Century Gothic" w:cs="Arial"/>
          <w:color w:val="000000" w:themeColor="text1"/>
        </w:rPr>
      </w:pPr>
      <w:r w:rsidRPr="00DE0BB9">
        <w:rPr>
          <w:rFonts w:ascii="Century Gothic" w:hAnsi="Century Gothic" w:cs="Arial"/>
        </w:rPr>
        <w:t xml:space="preserve">Ahora bien, también es posible que la inhabilidad sobrevenga cuando ya está perfeccionado el contrato o incluso durante su ejecución. Para casos como </w:t>
      </w:r>
      <w:r w:rsidRPr="00DE0BB9">
        <w:rPr>
          <w:rFonts w:ascii="Century Gothic" w:hAnsi="Century Gothic" w:cs="Arial"/>
        </w:rPr>
        <w:lastRenderedPageBreak/>
        <w:t xml:space="preserve">este, en el que la inhabilidad se presenta de manera sobreviniente, existe una </w:t>
      </w:r>
      <w:bookmarkStart w:id="4" w:name="_Hlk80369925"/>
      <w:r w:rsidRPr="00DE0BB9">
        <w:rPr>
          <w:rFonts w:ascii="Century Gothic" w:eastAsia="Calibri" w:hAnsi="Century Gothic" w:cs="Arial"/>
          <w:color w:val="000000" w:themeColor="text1"/>
        </w:rPr>
        <w:t>la regulación especial del Estatuto General de la Contratación Pública</w:t>
      </w:r>
      <w:bookmarkEnd w:id="4"/>
      <w:r w:rsidRPr="00DE0BB9">
        <w:rPr>
          <w:rFonts w:ascii="Century Gothic" w:eastAsia="Calibri" w:hAnsi="Century Gothic" w:cs="Arial"/>
          <w:color w:val="000000" w:themeColor="text1"/>
        </w:rPr>
        <w:t>, establecida en el artículo 9 de la Ley 80 de 1993 en los siguientes términos:</w:t>
      </w:r>
    </w:p>
    <w:p w14:paraId="179500AD" w14:textId="77777777" w:rsidR="0091438F" w:rsidRPr="00DE0BB9" w:rsidRDefault="0091438F" w:rsidP="0091438F">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DE0BB9">
        <w:rPr>
          <w:rFonts w:ascii="Century Gothic" w:eastAsia="Calibri" w:hAnsi="Century Gothic" w:cs="Arial"/>
          <w:color w:val="000000" w:themeColor="text1"/>
          <w:sz w:val="20"/>
          <w:szCs w:val="20"/>
        </w:rPr>
        <w:t>“Si llegare a sobrevenir inhabilidad o incompatibilidad en el contratista, este cederá el contrato previa autorización escrita de la entidad contratante o, si ello no fuere posible, renunciará a su ejecución.</w:t>
      </w:r>
    </w:p>
    <w:p w14:paraId="4A47A977" w14:textId="77777777" w:rsidR="0091438F" w:rsidRPr="00DE0BB9" w:rsidRDefault="0091438F" w:rsidP="0091438F">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DE0BB9">
        <w:rPr>
          <w:rFonts w:ascii="Century Gothic" w:eastAsia="Calibri" w:hAnsi="Century Gothic" w:cs="Arial"/>
          <w:color w:val="000000" w:themeColor="text1"/>
          <w:sz w:val="20"/>
          <w:szCs w:val="20"/>
        </w:rPr>
        <w:t>Cuando la inhabilidad o incompatibilidad sobrevenga en un proponente dentro de un proceso de selección, se entenderá que renuncia a la participación en el proceso de selección y a los derechos surgidos del mismo.</w:t>
      </w:r>
    </w:p>
    <w:p w14:paraId="3A3D120C" w14:textId="77777777" w:rsidR="0091438F" w:rsidRPr="00DE0BB9" w:rsidRDefault="0091438F" w:rsidP="0091438F">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DE0BB9">
        <w:rPr>
          <w:rFonts w:ascii="Century Gothic" w:eastAsia="Calibri" w:hAnsi="Century Gothic" w:cs="Arial"/>
          <w:color w:val="000000" w:themeColor="text1"/>
          <w:sz w:val="20"/>
          <w:szCs w:val="20"/>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53EA2BB4" w14:textId="77777777" w:rsidR="0091438F" w:rsidRPr="00DE0BB9" w:rsidRDefault="0091438F" w:rsidP="0091438F">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DE0BB9">
        <w:rPr>
          <w:rFonts w:ascii="Century Gothic" w:eastAsia="Calibri" w:hAnsi="Century Gothic" w:cs="Arial"/>
          <w:color w:val="000000" w:themeColor="text1"/>
          <w:sz w:val="20"/>
          <w:szCs w:val="20"/>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599B6DF5" w14:textId="77777777" w:rsidR="0091438F" w:rsidRPr="00DE0BB9" w:rsidRDefault="0091438F" w:rsidP="0091438F">
      <w:pPr>
        <w:tabs>
          <w:tab w:val="left" w:pos="709"/>
        </w:tabs>
        <w:spacing w:line="240" w:lineRule="auto"/>
        <w:ind w:left="709" w:right="879"/>
        <w:jc w:val="both"/>
        <w:rPr>
          <w:rFonts w:ascii="Century Gothic" w:eastAsia="Calibri" w:hAnsi="Century Gothic" w:cs="Arial"/>
          <w:color w:val="000000" w:themeColor="text1"/>
          <w:sz w:val="20"/>
          <w:szCs w:val="20"/>
        </w:rPr>
      </w:pPr>
      <w:r w:rsidRPr="00DE0BB9">
        <w:rPr>
          <w:rFonts w:ascii="Century Gothic" w:eastAsia="Calibri" w:hAnsi="Century Gothic" w:cs="Arial"/>
          <w:color w:val="000000" w:themeColor="text1"/>
          <w:sz w:val="20"/>
          <w:szCs w:val="20"/>
        </w:rPr>
        <w:t>Para el caso de cesión, será la entidad contratante la encargada de determinar el cesionario del contrato. […]</w:t>
      </w:r>
      <w:bookmarkStart w:id="5" w:name="_Hlk79777330"/>
      <w:r w:rsidRPr="00DE0BB9">
        <w:rPr>
          <w:rFonts w:ascii="Century Gothic" w:eastAsia="Calibri" w:hAnsi="Century Gothic" w:cs="Arial"/>
          <w:color w:val="000000" w:themeColor="text1"/>
          <w:sz w:val="20"/>
          <w:szCs w:val="20"/>
        </w:rPr>
        <w:t>”</w:t>
      </w:r>
      <w:r w:rsidRPr="00DE0BB9">
        <w:rPr>
          <w:rStyle w:val="Refdenotaalpie"/>
          <w:rFonts w:ascii="Century Gothic" w:eastAsia="Calibri" w:hAnsi="Century Gothic" w:cs="Arial"/>
          <w:color w:val="000000" w:themeColor="text1"/>
          <w:sz w:val="20"/>
          <w:szCs w:val="20"/>
        </w:rPr>
        <w:footnoteReference w:id="13"/>
      </w:r>
      <w:r w:rsidRPr="00DE0BB9">
        <w:rPr>
          <w:rFonts w:ascii="Century Gothic" w:eastAsia="Calibri" w:hAnsi="Century Gothic" w:cs="Arial"/>
          <w:color w:val="000000" w:themeColor="text1"/>
          <w:sz w:val="20"/>
          <w:szCs w:val="20"/>
        </w:rPr>
        <w:t xml:space="preserve"> </w:t>
      </w:r>
      <w:bookmarkEnd w:id="5"/>
      <w:r w:rsidRPr="00DE0BB9">
        <w:rPr>
          <w:rFonts w:ascii="Century Gothic" w:eastAsia="Calibri" w:hAnsi="Century Gothic" w:cs="Arial"/>
          <w:color w:val="000000" w:themeColor="text1"/>
          <w:sz w:val="20"/>
          <w:szCs w:val="20"/>
        </w:rPr>
        <w:t>(Cursivas añadidas).</w:t>
      </w:r>
    </w:p>
    <w:p w14:paraId="3AD63A7A" w14:textId="77777777" w:rsidR="0091438F" w:rsidRPr="00DE0BB9" w:rsidRDefault="0091438F" w:rsidP="0091438F">
      <w:pPr>
        <w:tabs>
          <w:tab w:val="left" w:pos="709"/>
        </w:tabs>
        <w:spacing w:line="276" w:lineRule="auto"/>
        <w:jc w:val="both"/>
        <w:rPr>
          <w:rFonts w:ascii="Century Gothic" w:eastAsia="Calibri" w:hAnsi="Century Gothic" w:cs="Arial"/>
          <w:color w:val="000000" w:themeColor="text1"/>
        </w:rPr>
      </w:pPr>
      <w:r w:rsidRPr="00DE0BB9">
        <w:rPr>
          <w:rFonts w:ascii="Century Gothic" w:eastAsia="Calibri" w:hAnsi="Century Gothic" w:cs="Arial"/>
          <w:color w:val="000000" w:themeColor="text1"/>
          <w:sz w:val="21"/>
          <w:szCs w:val="21"/>
        </w:rPr>
        <w:tab/>
      </w:r>
      <w:r w:rsidRPr="00DE0BB9">
        <w:rPr>
          <w:rFonts w:ascii="Century Gothic" w:eastAsia="Calibri" w:hAnsi="Century Gothic" w:cs="Arial"/>
          <w:color w:val="000000" w:themeColor="text1"/>
        </w:rPr>
        <w:t>Esta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478E386E" w14:textId="77777777" w:rsidR="0091438F" w:rsidRPr="00DE0BB9" w:rsidRDefault="0091438F" w:rsidP="0091438F">
      <w:pPr>
        <w:spacing w:line="240" w:lineRule="auto"/>
        <w:ind w:left="709" w:right="709"/>
        <w:jc w:val="both"/>
        <w:rPr>
          <w:rFonts w:ascii="Century Gothic" w:hAnsi="Century Gothic" w:cs="Arial"/>
          <w:color w:val="000000" w:themeColor="text1"/>
          <w:sz w:val="20"/>
          <w:szCs w:val="20"/>
        </w:rPr>
      </w:pPr>
      <w:r w:rsidRPr="00DE0BB9">
        <w:rPr>
          <w:rFonts w:ascii="Century Gothic" w:hAnsi="Century Gothic" w:cs="Arial"/>
          <w:color w:val="000000" w:themeColor="text1"/>
          <w:sz w:val="20"/>
          <w:szCs w:val="20"/>
        </w:rPr>
        <w:t xml:space="preserve">“[…]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w:t>
      </w:r>
      <w:r w:rsidRPr="00DE0BB9">
        <w:rPr>
          <w:rFonts w:ascii="Century Gothic" w:hAnsi="Century Gothic" w:cs="Arial"/>
          <w:color w:val="000000" w:themeColor="text1"/>
          <w:sz w:val="20"/>
          <w:szCs w:val="20"/>
        </w:rPr>
        <w:lastRenderedPageBreak/>
        <w:t>determinación clara de las reglas que han de observarse si ellas aparecen de manera sobreviniente, esto es, cuando la relación contractual ya se había establecido o dentro del tiempo de una licitación o concurso ya iniciados.</w:t>
      </w:r>
    </w:p>
    <w:p w14:paraId="3617B332" w14:textId="77777777" w:rsidR="0091438F" w:rsidRPr="00DE0BB9" w:rsidRDefault="0091438F" w:rsidP="0091438F">
      <w:pPr>
        <w:spacing w:line="240" w:lineRule="auto"/>
        <w:ind w:left="709" w:right="709"/>
        <w:jc w:val="both"/>
        <w:rPr>
          <w:rFonts w:ascii="Century Gothic" w:hAnsi="Century Gothic" w:cs="Arial"/>
          <w:color w:val="000000" w:themeColor="text1"/>
          <w:sz w:val="20"/>
          <w:szCs w:val="20"/>
        </w:rPr>
      </w:pPr>
      <w:r w:rsidRPr="00DE0BB9">
        <w:rPr>
          <w:rFonts w:ascii="Century Gothic" w:hAnsi="Century Gothic" w:cs="Arial"/>
          <w:color w:val="000000" w:themeColor="text1"/>
          <w:sz w:val="20"/>
          <w:szCs w:val="20"/>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DE0BB9">
        <w:rPr>
          <w:rStyle w:val="Refdenotaalpie"/>
          <w:rFonts w:ascii="Century Gothic" w:hAnsi="Century Gothic" w:cs="Arial"/>
          <w:color w:val="000000" w:themeColor="text1"/>
          <w:sz w:val="20"/>
          <w:szCs w:val="20"/>
        </w:rPr>
        <w:footnoteReference w:id="14"/>
      </w:r>
    </w:p>
    <w:p w14:paraId="464259D5" w14:textId="77777777" w:rsidR="0091438F" w:rsidRPr="00DE0BB9" w:rsidRDefault="0091438F" w:rsidP="0091438F">
      <w:pPr>
        <w:tabs>
          <w:tab w:val="left" w:pos="709"/>
        </w:tabs>
        <w:spacing w:after="120" w:line="276" w:lineRule="auto"/>
        <w:jc w:val="both"/>
        <w:rPr>
          <w:rFonts w:ascii="Century Gothic" w:hAnsi="Century Gothic" w:cs="Arial"/>
          <w:color w:val="000000" w:themeColor="text1"/>
        </w:rPr>
      </w:pPr>
      <w:r w:rsidRPr="00DE0BB9">
        <w:rPr>
          <w:rFonts w:ascii="Century Gothic" w:eastAsia="Calibri" w:hAnsi="Century Gothic" w:cs="Arial"/>
          <w:color w:val="000000" w:themeColor="text1"/>
        </w:rPr>
        <w:tab/>
        <w:t xml:space="preserve">En efecto, si el contrato se celebra con personas incursas previamente en una situación de inhabilidad o incompatibilidad, este surge a la vida jurídica viciado de nulidad absoluta. Razón por la cual, el artículo 9 </w:t>
      </w:r>
      <w:r w:rsidRPr="00DE0BB9">
        <w:rPr>
          <w:rFonts w:ascii="Century Gothic" w:hAnsi="Century Gothic" w:cs="Arial"/>
          <w:color w:val="000000" w:themeColor="text1"/>
        </w:rPr>
        <w:t>de la ley 80 de 1993 contempla en su inciso segundo que: “Cuando la inhabilidad o incompatibilidad sobrevenga en un proponente dentro de un proceso de selección, se entenderá que renuncia a la participación en el proceso de selección y a los derechos surgidos del mismo […]”. Dicha presunción de renuncia a la participación y a los derechos surgidos del mismo, en caso de contar con resolución de adjudicación, debe interpretarse en conjunto con el artículo 9 de la Ley 1150 de 2007, el cual consagra dos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caso en el cual, “la entidad podrá aplicar lo previsto en el inciso final del numeral 12 del artículo 30 de la Ley 80 de 1993”.</w:t>
      </w:r>
    </w:p>
    <w:p w14:paraId="7A7D23F5" w14:textId="77777777" w:rsidR="0091438F" w:rsidRPr="00DE0BB9" w:rsidRDefault="0091438F" w:rsidP="0091438F">
      <w:pPr>
        <w:tabs>
          <w:tab w:val="left" w:pos="0"/>
        </w:tabs>
        <w:spacing w:before="120" w:line="276" w:lineRule="auto"/>
        <w:ind w:firstLine="709"/>
        <w:jc w:val="both"/>
        <w:rPr>
          <w:rFonts w:ascii="Century Gothic" w:hAnsi="Century Gothic" w:cs="Arial"/>
          <w:color w:val="000000" w:themeColor="text1"/>
        </w:rPr>
      </w:pPr>
      <w:r w:rsidRPr="00DE0BB9">
        <w:rPr>
          <w:rFonts w:ascii="Century Gothic" w:hAnsi="Century Gothic" w:cs="Arial"/>
          <w:color w:val="000000" w:themeColor="text1"/>
        </w:rPr>
        <w:lastRenderedPageBreak/>
        <w:t>La segunda regla, trata de aquellos casos en que la Entidad Estatal declare la caducidad del contrato y se encuentre pendiente de ejecución un porcentaje igual o superior al cincuenta por ciento (50%) del mismo, la norma indica que la Entidad Estatal podrá contratar al proponente calificado en el segundo lugar en el proceso de selección respectivo, previa revisión de las condiciones a que haya lugar, con excepción de los contratos de concesión.</w:t>
      </w:r>
    </w:p>
    <w:p w14:paraId="2DD95734" w14:textId="77777777" w:rsidR="0091438F" w:rsidRPr="00DE0BB9" w:rsidRDefault="0091438F" w:rsidP="0091438F">
      <w:pPr>
        <w:tabs>
          <w:tab w:val="left" w:pos="0"/>
        </w:tabs>
        <w:spacing w:before="120" w:line="276" w:lineRule="auto"/>
        <w:jc w:val="both"/>
        <w:rPr>
          <w:rFonts w:ascii="Century Gothic" w:hAnsi="Century Gothic" w:cs="Arial"/>
        </w:rPr>
      </w:pPr>
      <w:r w:rsidRPr="00DE0BB9">
        <w:rPr>
          <w:rFonts w:ascii="Century Gothic" w:hAnsi="Century Gothic" w:cs="Arial"/>
        </w:rPr>
        <w:tab/>
        <w:t>Las normas citadas reflejan el querer del legislador de que los Proceso de Contratación adelantados por las entidades estatales cumplan con los fines de la contratación estatal, esto es, que los servidores públicos tengan en consideración al momento de celebrar contratos y con la ejecución de los mismos, que las entidades buscan con ellos la satisfacción de sus necesidades y el cumplimiento de sus fines estatales, por lo cuanto deben garantizar además la continua y eficiente prestación de los servicios públicos y la efectividad de derechos e intereses de los administrados, conforme lo dispuesto en el artículo 3 y el numeral 3 del artículo 25 de la Ley 80 de 1993.</w:t>
      </w:r>
    </w:p>
    <w:p w14:paraId="05F340A2" w14:textId="77777777" w:rsidR="0091438F" w:rsidRPr="00DE0BB9" w:rsidRDefault="0091438F" w:rsidP="0091438F">
      <w:pPr>
        <w:tabs>
          <w:tab w:val="left" w:pos="0"/>
        </w:tabs>
        <w:spacing w:before="120" w:line="276" w:lineRule="auto"/>
        <w:jc w:val="both"/>
        <w:rPr>
          <w:rFonts w:ascii="Century Gothic" w:hAnsi="Century Gothic" w:cs="Arial"/>
          <w:vertAlign w:val="superscript"/>
        </w:rPr>
      </w:pPr>
      <w:r w:rsidRPr="00DE0BB9">
        <w:rPr>
          <w:rFonts w:ascii="Century Gothic" w:hAnsi="Century Gothic" w:cs="Arial"/>
        </w:rPr>
        <w:tab/>
        <w:t>Sobre el tema, el Consejo de Estado se ha pronunciado sobre la obligación de adjudicar un contrato en sentencia del 8 de febrero de 1985</w:t>
      </w:r>
      <w:r w:rsidRPr="00DE0BB9">
        <w:rPr>
          <w:rStyle w:val="Refdenotaalpie"/>
          <w:rFonts w:ascii="Century Gothic" w:hAnsi="Century Gothic" w:cs="Arial"/>
        </w:rPr>
        <w:footnoteReference w:id="15"/>
      </w:r>
      <w:r w:rsidRPr="00DE0BB9">
        <w:rPr>
          <w:rFonts w:ascii="Century Gothic" w:hAnsi="Century Gothic" w:cs="Arial"/>
        </w:rPr>
        <w:t>, según la cual una vez agotadas las etapas de un proceso licitatorio el único camino que le queda a la entidad es proceder a la adjudicación del mismo, indicando que el abstenerse sin motivo valedero puede generarle responsabilidades.</w:t>
      </w:r>
    </w:p>
    <w:p w14:paraId="6003390D" w14:textId="77777777" w:rsidR="0091438F" w:rsidRPr="00DE0BB9" w:rsidRDefault="0091438F" w:rsidP="0091438F">
      <w:pPr>
        <w:spacing w:before="120" w:line="276" w:lineRule="auto"/>
        <w:ind w:firstLine="708"/>
        <w:jc w:val="both"/>
        <w:rPr>
          <w:rFonts w:ascii="Century Gothic" w:hAnsi="Century Gothic" w:cs="Arial"/>
        </w:rPr>
      </w:pPr>
      <w:r w:rsidRPr="00DE0BB9">
        <w:rPr>
          <w:rFonts w:ascii="Century Gothic" w:hAnsi="Century Gothic" w:cs="Arial"/>
        </w:rPr>
        <w:t>Adicionalmente, la doctrina nacional</w:t>
      </w:r>
      <w:r w:rsidRPr="00DE0BB9">
        <w:rPr>
          <w:rFonts w:ascii="Century Gothic" w:hAnsi="Century Gothic" w:cs="Arial"/>
          <w:color w:val="000000" w:themeColor="text1"/>
        </w:rPr>
        <w:t>,</w:t>
      </w:r>
      <w:r w:rsidRPr="00DE0BB9">
        <w:rPr>
          <w:rFonts w:ascii="Century Gothic" w:hAnsi="Century Gothic" w:cs="Arial"/>
        </w:rPr>
        <w:t xml:space="preserve"> que ha considerado que la posibilidad que tiene las entidades estatales para adjudicar un Proceso de Contratación al segundo proponente dentro del orden de elegibilidad, se encuentra acorde con el principio de economía que rige en la contratación estatal, ya que </w:t>
      </w:r>
      <w:r w:rsidRPr="00DE0BB9">
        <w:rPr>
          <w:rFonts w:ascii="Century Gothic" w:hAnsi="Century Gothic" w:cs="Arial"/>
          <w:i/>
          <w:iCs/>
        </w:rPr>
        <w:t>“antes de proceder a ordenar la apertura de un nuevo proceso licitatorio, la entidad tendrá que agotar el mecanismo de llamar aquel que se encuentra ahora en la mejor opción para ejecutar el contrato”</w:t>
      </w:r>
      <w:r w:rsidRPr="00DE0BB9">
        <w:rPr>
          <w:rStyle w:val="Refdenotaalpie"/>
          <w:rFonts w:ascii="Century Gothic" w:hAnsi="Century Gothic" w:cs="Arial"/>
          <w:i/>
          <w:iCs/>
        </w:rPr>
        <w:footnoteReference w:id="16"/>
      </w:r>
    </w:p>
    <w:p w14:paraId="76B09C62" w14:textId="77777777" w:rsidR="0091438F" w:rsidRPr="00DE0BB9" w:rsidRDefault="0091438F" w:rsidP="0091438F">
      <w:pPr>
        <w:spacing w:before="120" w:after="120" w:line="276" w:lineRule="auto"/>
        <w:ind w:firstLine="709"/>
        <w:jc w:val="both"/>
        <w:rPr>
          <w:rFonts w:ascii="Century Gothic" w:hAnsi="Century Gothic" w:cs="Arial"/>
          <w:color w:val="000000" w:themeColor="text1"/>
        </w:rPr>
      </w:pPr>
      <w:r w:rsidRPr="00DE0BB9">
        <w:rPr>
          <w:rFonts w:ascii="Century Gothic" w:hAnsi="Century Gothic" w:cs="Arial"/>
          <w:color w:val="000000" w:themeColor="text1"/>
        </w:rPr>
        <w:t xml:space="preserve">Del análisis realizado se desprende que nuestro ordenamiento jurídico contempló la facultad discrecional de que una Entidad Estatal adjudiqué </w:t>
      </w:r>
      <w:r w:rsidRPr="00DE0BB9">
        <w:rPr>
          <w:rFonts w:ascii="Century Gothic" w:hAnsi="Century Gothic" w:cs="Arial"/>
        </w:rPr>
        <w:t xml:space="preserve">un Proceso de Contratación al segundo proponente dentro del orden de elegibilidad, en los casos previamente descritos, sin embargo, a consideración de esta Agencia, la facultad discrecional que tiene la Entidad Estatal en virtud del numeral 12 del </w:t>
      </w:r>
      <w:r w:rsidRPr="00DE0BB9">
        <w:rPr>
          <w:rFonts w:ascii="Century Gothic" w:hAnsi="Century Gothic" w:cs="Arial"/>
        </w:rPr>
        <w:lastRenderedPageBreak/>
        <w:t xml:space="preserve">artículo 30 de la Ley 80 de 1993, para que dentro de los quince (15) días siguientes, adjudique el contrato al proponente calificado en segundo lugar, </w:t>
      </w:r>
      <w:r w:rsidRPr="00DE0BB9">
        <w:rPr>
          <w:rFonts w:ascii="Century Gothic" w:hAnsi="Century Gothic" w:cs="Arial"/>
          <w:color w:val="000000" w:themeColor="text1"/>
        </w:rPr>
        <w:t>no quiere decir que la misma no deba motivarse a través de acto administrativo, sea cual sea su decisión, pues en ella debe justificar por qué la propuesta del segundo proponente en orden de elegibilidad es o no igualmente favorable para la entidad.</w:t>
      </w:r>
    </w:p>
    <w:p w14:paraId="706C54AF" w14:textId="77777777" w:rsidR="0091438F" w:rsidRPr="00DE0BB9" w:rsidRDefault="0091438F" w:rsidP="0091438F">
      <w:pPr>
        <w:spacing w:line="276" w:lineRule="auto"/>
        <w:ind w:firstLine="708"/>
        <w:jc w:val="both"/>
        <w:rPr>
          <w:rFonts w:ascii="Century Gothic" w:hAnsi="Century Gothic" w:cs="Arial"/>
          <w:i/>
          <w:iCs/>
        </w:rPr>
      </w:pPr>
      <w:r w:rsidRPr="00DE0BB9">
        <w:rPr>
          <w:rFonts w:ascii="Century Gothic" w:hAnsi="Century Gothic" w:cs="Arial"/>
        </w:rPr>
        <w:t xml:space="preserve">Lo anterior se justifica con lo estipulado en el artículo 44 de la Ley 1437 de 2011 (CPACA) que indica: </w:t>
      </w:r>
      <w:r w:rsidRPr="00D260E9">
        <w:rPr>
          <w:rFonts w:ascii="Century Gothic" w:hAnsi="Century Gothic" w:cs="Arial"/>
        </w:rPr>
        <w:t xml:space="preserve"> </w:t>
      </w:r>
      <w:r w:rsidRPr="00DE0BB9">
        <w:rPr>
          <w:rFonts w:ascii="Century Gothic" w:hAnsi="Century Gothic" w:cs="Arial"/>
          <w:i/>
          <w:iCs/>
        </w:rPr>
        <w:t>“Artículo 44. Decisiones discrecionales. En la medida en que el contenido de una decisión de carácter general o particular sea discrecional, debe ser adecuada a los fines de la norma que la autoriza, y proporcional a los hechos que le sirven de causa.”</w:t>
      </w:r>
    </w:p>
    <w:p w14:paraId="06F9ABCC" w14:textId="77777777" w:rsidR="0091438F" w:rsidRPr="00DE0BB9" w:rsidRDefault="0091438F" w:rsidP="0091438F">
      <w:pPr>
        <w:spacing w:line="276" w:lineRule="auto"/>
        <w:ind w:firstLine="709"/>
        <w:jc w:val="both"/>
        <w:rPr>
          <w:rFonts w:ascii="Century Gothic" w:eastAsia="Calibri" w:hAnsi="Century Gothic" w:cs="Arial"/>
          <w:color w:val="000000" w:themeColor="text1"/>
        </w:rPr>
      </w:pPr>
      <w:r w:rsidRPr="00DE0BB9">
        <w:rPr>
          <w:rFonts w:ascii="Century Gothic" w:hAnsi="Century Gothic" w:cs="Arial"/>
          <w:bCs/>
          <w:color w:val="000000" w:themeColor="text1"/>
          <w:lang w:val="es-ES_tradnl"/>
        </w:rPr>
        <w:t>En concordancia, con lo dispuesto en este artículo esta Agencia considera que la decisión discrecional que adopte la Entidad Estatal debe de estar debidamente argumentada y sustentada de por qué la propuesta del proponente calificado en segundo orden de elegibilidad, es decir, de aquel que cumplió con todos los requisitos habilitantes establecidos en el pliego de condiciones y le ha seguido en puntuación al contratista adjudicatario, es o no igualmente favorable para la entidad, esto quiere decir, que se debe justificar por qué dicho proponente es o no idóneo para ejecutar el contrato como el que obtuvo el primer orden de elegibilidad, que son los hechos que le sirven de causa, y el por qué la adjudicación o no del contrato es adecuada a los fines de la contratación estatal.</w:t>
      </w:r>
    </w:p>
    <w:p w14:paraId="33406C14" w14:textId="77777777" w:rsidR="0091438F" w:rsidRPr="00DE0BB9" w:rsidRDefault="0091438F" w:rsidP="0091438F">
      <w:pPr>
        <w:tabs>
          <w:tab w:val="left" w:pos="709"/>
        </w:tabs>
        <w:spacing w:after="120" w:line="276" w:lineRule="auto"/>
        <w:jc w:val="both"/>
        <w:rPr>
          <w:rFonts w:ascii="Century Gothic" w:eastAsia="Calibri" w:hAnsi="Century Gothic" w:cs="Arial"/>
          <w:color w:val="000000" w:themeColor="text1"/>
        </w:rPr>
      </w:pPr>
      <w:r w:rsidRPr="00DE0BB9">
        <w:rPr>
          <w:rFonts w:ascii="Century Gothic" w:eastAsia="Calibri" w:hAnsi="Century Gothic" w:cs="Arial"/>
          <w:color w:val="000000" w:themeColor="text1"/>
        </w:rPr>
        <w:tab/>
        <w:t xml:space="preserve">En contraste, si se genera la inhabilidad o incompatibilidad de forma sobreviniente a un contratista una vez celebrado el contrato, se debe aclarar que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497F133B" w14:textId="77777777" w:rsidR="0091438F" w:rsidRPr="00DE0BB9" w:rsidRDefault="0091438F" w:rsidP="0091438F">
      <w:pPr>
        <w:tabs>
          <w:tab w:val="left" w:pos="709"/>
        </w:tabs>
        <w:spacing w:after="120" w:line="276" w:lineRule="auto"/>
        <w:jc w:val="both"/>
        <w:rPr>
          <w:rFonts w:ascii="Century Gothic" w:eastAsia="Calibri" w:hAnsi="Century Gothic" w:cs="Arial"/>
          <w:color w:val="000000" w:themeColor="text1"/>
        </w:rPr>
      </w:pPr>
      <w:r w:rsidRPr="00DE0BB9">
        <w:rPr>
          <w:rFonts w:ascii="Century Gothic" w:eastAsia="Calibri" w:hAnsi="Century Gothic" w:cs="Arial"/>
          <w:color w:val="000000" w:themeColor="text1"/>
        </w:rPr>
        <w:tab/>
        <w:t>Según se desprende del texto del artículo 9 de la Ley 80 de 1993, y sin perjuicio de la regla especial establecida en el parágrafo 1 de dicho artículo</w:t>
      </w:r>
      <w:r w:rsidRPr="00DE0BB9">
        <w:rPr>
          <w:rStyle w:val="Refdenotaalpie"/>
          <w:rFonts w:ascii="Century Gothic" w:eastAsia="Calibri" w:hAnsi="Century Gothic" w:cs="Arial"/>
          <w:color w:val="000000" w:themeColor="text1"/>
        </w:rPr>
        <w:footnoteReference w:id="17"/>
      </w:r>
      <w:r w:rsidRPr="00DE0BB9">
        <w:rPr>
          <w:rFonts w:ascii="Century Gothic" w:eastAsia="Calibri" w:hAnsi="Century Gothic" w:cs="Arial"/>
          <w:color w:val="000000" w:themeColor="text1"/>
        </w:rPr>
        <w:t xml:space="preserve">, si la </w:t>
      </w:r>
      <w:r w:rsidRPr="00DE0BB9">
        <w:rPr>
          <w:rFonts w:ascii="Century Gothic" w:eastAsia="Calibri" w:hAnsi="Century Gothic" w:cs="Arial"/>
          <w:color w:val="000000" w:themeColor="text1"/>
        </w:rPr>
        <w:lastRenderedPageBreak/>
        <w:t xml:space="preserve">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2B11A1B7" w14:textId="77777777" w:rsidR="0091438F" w:rsidRPr="00DE0BB9" w:rsidRDefault="0091438F" w:rsidP="0091438F">
      <w:pPr>
        <w:tabs>
          <w:tab w:val="left" w:pos="709"/>
        </w:tabs>
        <w:spacing w:after="120" w:line="276" w:lineRule="auto"/>
        <w:jc w:val="both"/>
        <w:rPr>
          <w:rFonts w:ascii="Century Gothic" w:eastAsia="Calibri" w:hAnsi="Century Gothic" w:cs="Arial"/>
          <w:color w:val="000000" w:themeColor="text1"/>
        </w:rPr>
      </w:pPr>
      <w:r w:rsidRPr="00DE0BB9">
        <w:rPr>
          <w:rFonts w:ascii="Century Gothic" w:eastAsia="Calibri" w:hAnsi="Century Gothic" w:cs="Arial"/>
          <w:color w:val="000000" w:themeColor="text1"/>
        </w:rPr>
        <w:tab/>
        <w:t>Por otra parte, conforme al artículo anteriormente citado, si la inhabilidad o incompatibilidad sobreviene en un procedimiento de selección, hay que hacer la aclaración que esta Agencia ha entendido que el proponente renuncia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 por lo tanto, cuando la norma dispone la posibilidad de que un integrante de un proponente plural inhabilitado o con incompatibilidad pueda ceder su participación, esta se ha entendí por la Agencia de que sólo se podrá si cuenta con la autorización escrita del contratante, con la restricción de que el cesionario no puede ser alguno de los demás integrantes del consorcio o la unión temporal</w:t>
      </w:r>
      <w:r w:rsidRPr="00DE0BB9">
        <w:rPr>
          <w:rStyle w:val="Refdenotaalpie"/>
          <w:rFonts w:ascii="Century Gothic" w:eastAsia="Calibri" w:hAnsi="Century Gothic" w:cs="Arial"/>
          <w:color w:val="000000" w:themeColor="text1"/>
        </w:rPr>
        <w:footnoteReference w:id="18"/>
      </w:r>
      <w:r w:rsidRPr="00DE0BB9">
        <w:rPr>
          <w:rFonts w:ascii="Century Gothic" w:eastAsia="Calibri" w:hAnsi="Century Gothic" w:cs="Arial"/>
          <w:color w:val="000000" w:themeColor="text1"/>
        </w:rPr>
        <w:t xml:space="preserve">. </w:t>
      </w:r>
    </w:p>
    <w:p w14:paraId="5E75B6CE" w14:textId="77777777" w:rsidR="0091438F" w:rsidRPr="00DE0BB9" w:rsidRDefault="0091438F" w:rsidP="0091438F">
      <w:pPr>
        <w:tabs>
          <w:tab w:val="left" w:pos="709"/>
        </w:tabs>
        <w:spacing w:after="120" w:line="276" w:lineRule="auto"/>
        <w:jc w:val="both"/>
        <w:rPr>
          <w:rFonts w:ascii="Century Gothic" w:hAnsi="Century Gothic" w:cs="Arial"/>
          <w:i/>
          <w:iCs/>
        </w:rPr>
      </w:pPr>
      <w:r w:rsidRPr="00DE0BB9">
        <w:rPr>
          <w:rFonts w:ascii="Century Gothic" w:eastAsia="Calibri" w:hAnsi="Century Gothic" w:cs="Arial"/>
          <w:color w:val="000000" w:themeColor="text1"/>
        </w:rPr>
        <w:tab/>
        <w:t xml:space="preserve"> </w:t>
      </w:r>
      <w:r w:rsidRPr="00DE0BB9">
        <w:rPr>
          <w:rFonts w:ascii="Century Gothic" w:hAnsi="Century Gothic" w:cs="Arial"/>
        </w:rPr>
        <w:t>Conforme a lo anterior,</w:t>
      </w:r>
      <w:r w:rsidRPr="00DE0BB9">
        <w:rPr>
          <w:rFonts w:ascii="Century Gothic" w:hAnsi="Century Gothic" w:cs="Arial"/>
          <w:color w:val="000000" w:themeColor="text1"/>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 En ese sentido,</w:t>
      </w:r>
      <w:r w:rsidRPr="00DE0BB9">
        <w:rPr>
          <w:rFonts w:ascii="Century Gothic" w:hAnsi="Century Gothic" w:cs="Arial"/>
        </w:rPr>
        <w:t xml:space="preserve"> si durante la ejecución del contrato se llega a configurar alguna de las situaciones establecidas en el artículo 8 de la Ley 80 de 1993, se configuraría una inhabilidad o incompatibilidad sobreviniente y, ante este supuesto, la normativa solo prevé las dos soluciones referidas, a excepción de la inhabilidad contemplada en el literal j) del numeral 1 del artículo 8º de la Ley 80 de 1993, ya que en dicho caso la Ley prohíbe la renuncia del contrato por parte del contratista a quién se le haya sancionado por corrupción, siendo obligatorio para la Entidad Estatal ordenar mediante acto administrativo motivado la cesión o terminación unilateral, “</w:t>
      </w:r>
      <w:r w:rsidRPr="00DE0BB9">
        <w:rPr>
          <w:rFonts w:ascii="Century Gothic" w:hAnsi="Century Gothic" w:cs="Arial"/>
          <w:i/>
          <w:iCs/>
        </w:rPr>
        <w:t>sin lugar a indemnización alguna al contratista inhábil.”</w:t>
      </w:r>
    </w:p>
    <w:p w14:paraId="64F2E80E" w14:textId="77777777" w:rsidR="0091438F" w:rsidRPr="00DE0BB9" w:rsidRDefault="0091438F" w:rsidP="0091438F">
      <w:pPr>
        <w:spacing w:line="276" w:lineRule="auto"/>
        <w:ind w:right="49"/>
        <w:jc w:val="both"/>
        <w:rPr>
          <w:rFonts w:ascii="Century Gothic" w:eastAsia="Calibri" w:hAnsi="Century Gothic" w:cs="Arial"/>
          <w:color w:val="000000" w:themeColor="text1"/>
        </w:rPr>
      </w:pPr>
      <w:r w:rsidRPr="00DE0BB9">
        <w:rPr>
          <w:rFonts w:ascii="Century Gothic" w:hAnsi="Century Gothic" w:cs="Arial"/>
        </w:rPr>
        <w:lastRenderedPageBreak/>
        <w:tab/>
        <w:t xml:space="preserve">En este caso, las implicaciones jurídicas y económicas de prohibir por Ley la renuncia de la ejecución del contrato a aquel contratista sancionado por temas de corrupción, da entender el alcance de dicha figura, pues conforme a ello, cuando sobrevenga una inhabilidad o incompatibilidad sobreviniente a un contratista, diferente a la contemplada en el literal j) del numeral 1 del artículo 8º de la Ley 80 de 1993, </w:t>
      </w:r>
      <w:r w:rsidRPr="00DE0BB9">
        <w:rPr>
          <w:rFonts w:ascii="Century Gothic" w:eastAsia="Calibri" w:hAnsi="Century Gothic" w:cs="Arial"/>
          <w:color w:val="000000" w:themeColor="text1"/>
        </w:rPr>
        <w:t>si bien no se puede mantener el vínculo contractual con ese contratista inhábil, se deberá proceder a su cesión o terminación, aquellas figuras no se tramitaran exclusivamente por la Entidad Estatal de manera unilateral, como también procederá a lugar de reconocer al contratista lo ejecutado hasta el momento, en el respectivo cruce de cuentas que se realice en la cesión del contrato, como en la liquidación del mismo en caso de la terminación.</w:t>
      </w:r>
    </w:p>
    <w:p w14:paraId="55BD5E84" w14:textId="77777777" w:rsidR="0091438F" w:rsidRPr="00DE0BB9" w:rsidRDefault="0091438F" w:rsidP="0091438F">
      <w:pPr>
        <w:spacing w:line="276" w:lineRule="auto"/>
        <w:ind w:right="49" w:firstLine="708"/>
        <w:jc w:val="both"/>
        <w:rPr>
          <w:rFonts w:ascii="Century Gothic" w:eastAsia="Calibri" w:hAnsi="Century Gothic" w:cs="Arial"/>
          <w:color w:val="000000" w:themeColor="text1"/>
        </w:rPr>
      </w:pPr>
      <w:r w:rsidRPr="00DE0BB9">
        <w:rPr>
          <w:rFonts w:ascii="Century Gothic" w:eastAsia="Calibri" w:hAnsi="Century Gothic" w:cs="Arial"/>
          <w:color w:val="000000" w:themeColor="text1"/>
        </w:rPr>
        <w:t>Ahora bien, nótese que la norma dispone que cuando sobreviene una inhabilidad o una incompatibilidad en uno de los integrantes del consorcio o unión temporal, el contrato se continuará ejecutando, pero para ello el integrante afectado por la inhabilidad deberá ceder su participación a un tercero previa autorización escrita de la entidad contratante, y proscribe expresamente la posibilidad de hacer la cesión entre sus integrantes. Dicha cesión resulta de suma importancia en la ejecución de las obligacionales asumidas por cada integrante ya sea de consorcio o unión temporal, cuya responsabilidad es solidaria a consideración del Consejo de Estado</w:t>
      </w:r>
      <w:r w:rsidRPr="00DE0BB9">
        <w:rPr>
          <w:rStyle w:val="Refdenotaalpie"/>
          <w:rFonts w:ascii="Century Gothic" w:eastAsia="Calibri" w:hAnsi="Century Gothic" w:cs="Arial"/>
          <w:color w:val="000000" w:themeColor="text1"/>
        </w:rPr>
        <w:footnoteReference w:id="19"/>
      </w:r>
      <w:r w:rsidRPr="00DE0BB9">
        <w:rPr>
          <w:rFonts w:ascii="Century Gothic" w:eastAsia="Calibri" w:hAnsi="Century Gothic" w:cs="Arial"/>
          <w:color w:val="000000" w:themeColor="text1"/>
        </w:rPr>
        <w:t xml:space="preserve"> frente a la Entidad Estatal, diferenciándose únicamente entre sí, que dicha responsabilidad recaerá sobre el alcance de las actividades por las cuales responde cada integrante según el tipo de figura asociativa, pues en la unión temporal, se limitará a las actividades asumidas por cada integrante en el acuerdo de constitución a diferencia del consorcio.</w:t>
      </w:r>
    </w:p>
    <w:p w14:paraId="5CDFCA57" w14:textId="77777777" w:rsidR="0091438F" w:rsidRPr="00DE0BB9" w:rsidRDefault="0091438F" w:rsidP="0091438F">
      <w:pPr>
        <w:spacing w:line="276" w:lineRule="auto"/>
        <w:jc w:val="both"/>
        <w:rPr>
          <w:rFonts w:ascii="Century Gothic" w:hAnsi="Century Gothic" w:cs="Arial"/>
          <w:b/>
          <w:bCs/>
          <w:color w:val="000000" w:themeColor="text1"/>
        </w:rPr>
      </w:pPr>
      <w:r w:rsidRPr="00DE0BB9">
        <w:rPr>
          <w:rFonts w:ascii="Century Gothic" w:hAnsi="Century Gothic" w:cs="Arial"/>
          <w:b/>
          <w:bCs/>
        </w:rPr>
        <w:t xml:space="preserve">2.3. </w:t>
      </w:r>
      <w:r w:rsidRPr="00DE0BB9">
        <w:rPr>
          <w:rFonts w:ascii="Century Gothic" w:hAnsi="Century Gothic" w:cs="Arial"/>
          <w:b/>
          <w:bCs/>
          <w:color w:val="000000" w:themeColor="text1"/>
        </w:rPr>
        <w:t xml:space="preserve">Naturaleza jurídica de los consorcios y uniones temporales </w:t>
      </w:r>
    </w:p>
    <w:p w14:paraId="10624406" w14:textId="77777777" w:rsidR="0091438F" w:rsidRPr="00DE0BB9" w:rsidRDefault="0091438F" w:rsidP="0091438F">
      <w:pPr>
        <w:spacing w:before="120" w:after="120" w:line="276" w:lineRule="auto"/>
        <w:jc w:val="both"/>
        <w:rPr>
          <w:rFonts w:ascii="Century Gothic" w:eastAsia="Calibri" w:hAnsi="Century Gothic" w:cs="Arial"/>
          <w:noProof/>
          <w:lang w:val="es-ES_tradnl"/>
        </w:rPr>
      </w:pPr>
      <w:r w:rsidRPr="00DE0BB9">
        <w:rPr>
          <w:rFonts w:ascii="Century Gothic" w:eastAsia="Calibri" w:hAnsi="Century Gothic" w:cs="Arial"/>
          <w:noProof/>
          <w:lang w:val="es-ES_tradnl"/>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24D85A8C" w14:textId="77777777" w:rsidR="0091438F" w:rsidRPr="00DE0BB9" w:rsidRDefault="0091438F" w:rsidP="0091438F">
      <w:pPr>
        <w:spacing w:before="120" w:after="120" w:line="276" w:lineRule="auto"/>
        <w:ind w:firstLine="708"/>
        <w:jc w:val="both"/>
        <w:rPr>
          <w:rFonts w:ascii="Century Gothic" w:eastAsia="Calibri" w:hAnsi="Century Gothic" w:cs="Arial"/>
          <w:noProof/>
          <w:lang w:val="es-ES_tradnl"/>
        </w:rPr>
      </w:pPr>
      <w:r w:rsidRPr="00DE0BB9">
        <w:rPr>
          <w:rFonts w:ascii="Century Gothic" w:eastAsia="Calibri" w:hAnsi="Century Gothic" w:cs="Arial"/>
          <w:noProof/>
          <w:lang w:val="es-ES_tradnl"/>
        </w:rPr>
        <w:lastRenderedPageBreak/>
        <w:t>De acuerdo con con lo establecido en el Código Civil, la capacidad</w:t>
      </w:r>
      <w:r w:rsidRPr="00DE0BB9">
        <w:rPr>
          <w:rFonts w:ascii="Century Gothic" w:eastAsia="Calibri" w:hAnsi="Century Gothic" w:cs="Arial"/>
          <w:noProof/>
          <w:vertAlign w:val="superscript"/>
          <w:lang w:val="es-ES_tradnl"/>
        </w:rPr>
        <w:footnoteReference w:id="20"/>
      </w:r>
      <w:r w:rsidRPr="00DE0BB9">
        <w:rPr>
          <w:rFonts w:ascii="Century Gothic" w:eastAsia="Calibri" w:hAnsi="Century Gothic" w:cs="Arial"/>
          <w:noProof/>
          <w:lang w:val="es-ES_tradnl"/>
        </w:rPr>
        <w:t xml:space="preserve"> se refiere a la facultad que la ley le confiere a ciertos sujetos para ejercer derechos y contraer obligaciones, partiendo del supuesto de que todas las personas naturales mayores de edad son capaces, con excepción de aquellas que la ley expresamente excluye de tal presunción </w:t>
      </w:r>
      <w:r w:rsidRPr="00F707C8">
        <w:rPr>
          <w:rFonts w:ascii="Arial" w:eastAsia="Calibri" w:hAnsi="Arial" w:cs="Arial"/>
          <w:noProof/>
          <w:lang w:val="es-ES_tradnl"/>
        </w:rPr>
        <w:t>‒</w:t>
      </w:r>
      <w:r w:rsidRPr="00DE0BB9">
        <w:rPr>
          <w:rFonts w:ascii="Century Gothic" w:eastAsia="Calibri" w:hAnsi="Century Gothic" w:cs="Arial"/>
          <w:noProof/>
          <w:lang w:val="es-ES_tradnl"/>
        </w:rPr>
        <w:t>art</w:t>
      </w:r>
      <w:r w:rsidRPr="00DE0BB9">
        <w:rPr>
          <w:rFonts w:ascii="Century Gothic" w:eastAsia="Calibri" w:hAnsi="Century Gothic" w:cs="Century Gothic"/>
          <w:noProof/>
          <w:lang w:val="es-ES_tradnl"/>
        </w:rPr>
        <w:t>í</w:t>
      </w:r>
      <w:r w:rsidRPr="00DE0BB9">
        <w:rPr>
          <w:rFonts w:ascii="Century Gothic" w:eastAsia="Calibri" w:hAnsi="Century Gothic" w:cs="Arial"/>
          <w:noProof/>
          <w:lang w:val="es-ES_tradnl"/>
        </w:rPr>
        <w:t>culos 1502, 1503 y 1504</w:t>
      </w:r>
      <w:r w:rsidRPr="00F707C8">
        <w:rPr>
          <w:rFonts w:ascii="Arial" w:eastAsia="Calibri" w:hAnsi="Arial" w:cs="Arial"/>
          <w:noProof/>
          <w:lang w:val="es-ES_tradnl"/>
        </w:rPr>
        <w:t>‒</w:t>
      </w:r>
      <w:r w:rsidRPr="00DE0BB9">
        <w:rPr>
          <w:rFonts w:ascii="Century Gothic" w:eastAsia="Calibri" w:hAnsi="Century Gothic" w:cs="Arial"/>
          <w:noProof/>
          <w:lang w:val="es-ES_tradnl"/>
        </w:rPr>
        <w:t>, y de que la capacidad de las personas jur</w:t>
      </w:r>
      <w:r w:rsidRPr="00DE0BB9">
        <w:rPr>
          <w:rFonts w:ascii="Century Gothic" w:eastAsia="Calibri" w:hAnsi="Century Gothic" w:cs="Century Gothic"/>
          <w:noProof/>
          <w:lang w:val="es-ES_tradnl"/>
        </w:rPr>
        <w:t>í</w:t>
      </w:r>
      <w:r w:rsidRPr="00DE0BB9">
        <w:rPr>
          <w:rFonts w:ascii="Century Gothic" w:eastAsia="Calibri" w:hAnsi="Century Gothic" w:cs="Arial"/>
          <w:noProof/>
          <w:lang w:val="es-ES_tradnl"/>
        </w:rPr>
        <w:t>dicas se circunscribe a lo establecido en su objeto social y su forma de creaci</w:t>
      </w:r>
      <w:r w:rsidRPr="00DE0BB9">
        <w:rPr>
          <w:rFonts w:ascii="Century Gothic" w:eastAsia="Calibri" w:hAnsi="Century Gothic" w:cs="Century Gothic"/>
          <w:noProof/>
          <w:lang w:val="es-ES_tradnl"/>
        </w:rPr>
        <w:t>ó</w:t>
      </w:r>
      <w:r w:rsidRPr="00DE0BB9">
        <w:rPr>
          <w:rFonts w:ascii="Century Gothic" w:eastAsia="Calibri" w:hAnsi="Century Gothic" w:cs="Arial"/>
          <w:noProof/>
          <w:lang w:val="es-ES_tradnl"/>
        </w:rPr>
        <w:t>n</w:t>
      </w:r>
      <w:r w:rsidRPr="00DE0BB9">
        <w:rPr>
          <w:rFonts w:ascii="Century Gothic" w:eastAsia="Calibri" w:hAnsi="Century Gothic"/>
          <w:vertAlign w:val="superscript"/>
          <w:lang w:val="es-MX"/>
        </w:rPr>
        <w:footnoteReference w:id="21"/>
      </w:r>
      <w:r w:rsidRPr="00DE0BB9">
        <w:rPr>
          <w:rFonts w:ascii="Century Gothic" w:eastAsia="Calibri" w:hAnsi="Century Gothic"/>
          <w:sz w:val="19"/>
          <w:szCs w:val="19"/>
          <w:vertAlign w:val="superscript"/>
          <w:lang w:val="es-MX"/>
        </w:rPr>
        <w:t>.</w:t>
      </w:r>
    </w:p>
    <w:p w14:paraId="1B166176" w14:textId="77777777" w:rsidR="0091438F" w:rsidRPr="00DE0BB9" w:rsidRDefault="0091438F" w:rsidP="0091438F">
      <w:pPr>
        <w:spacing w:before="120" w:line="276" w:lineRule="auto"/>
        <w:ind w:firstLine="708"/>
        <w:jc w:val="both"/>
        <w:rPr>
          <w:rFonts w:ascii="Century Gothic" w:eastAsia="Calibri" w:hAnsi="Century Gothic" w:cs="Arial"/>
          <w:noProof/>
          <w:lang w:val="es-ES_tradnl"/>
        </w:rPr>
      </w:pPr>
      <w:r w:rsidRPr="00DE0BB9">
        <w:rPr>
          <w:rFonts w:ascii="Century Gothic" w:eastAsia="Calibri" w:hAnsi="Century Gothic" w:cs="Arial"/>
          <w:noProof/>
          <w:lang w:val="es-ES_tradnl"/>
        </w:rPr>
        <w:t>El artículo 6 del Estatuto General de Contratación de la Administración, respecto de quienes pueden celebrar contratos con las entidades estatales, establece lo siguiente:</w:t>
      </w:r>
    </w:p>
    <w:p w14:paraId="44A5B2F9" w14:textId="77777777" w:rsidR="0091438F" w:rsidRPr="00DE0BB9" w:rsidRDefault="0091438F" w:rsidP="0091438F">
      <w:pPr>
        <w:spacing w:line="276" w:lineRule="auto"/>
        <w:ind w:firstLine="708"/>
        <w:jc w:val="both"/>
        <w:rPr>
          <w:rFonts w:ascii="Century Gothic" w:eastAsia="Calibri" w:hAnsi="Century Gothic" w:cs="Arial"/>
          <w:noProof/>
          <w:sz w:val="18"/>
          <w:szCs w:val="18"/>
          <w:lang w:val="es-ES_tradnl"/>
        </w:rPr>
      </w:pPr>
    </w:p>
    <w:p w14:paraId="23CFE2C2" w14:textId="77777777" w:rsidR="0091438F" w:rsidRPr="00DE0BB9" w:rsidRDefault="0091438F" w:rsidP="0091438F">
      <w:pPr>
        <w:widowControl w:val="0"/>
        <w:autoSpaceDE w:val="0"/>
        <w:autoSpaceDN w:val="0"/>
        <w:spacing w:after="0" w:line="240" w:lineRule="auto"/>
        <w:ind w:left="708"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“Artículo 6o. Modificado por la Ley 2160 de 2021, artículo 1º.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793B0051" w14:textId="77777777" w:rsidR="0091438F" w:rsidRDefault="0091438F" w:rsidP="0091438F">
      <w:pPr>
        <w:widowControl w:val="0"/>
        <w:autoSpaceDE w:val="0"/>
        <w:autoSpaceDN w:val="0"/>
        <w:spacing w:after="0" w:line="240" w:lineRule="auto"/>
        <w:ind w:left="708"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67882D71" w14:textId="77777777" w:rsidR="0091438F" w:rsidRPr="00DE0BB9" w:rsidRDefault="0091438F" w:rsidP="0091438F">
      <w:pPr>
        <w:widowControl w:val="0"/>
        <w:autoSpaceDE w:val="0"/>
        <w:autoSpaceDN w:val="0"/>
        <w:spacing w:after="0" w:line="240" w:lineRule="auto"/>
        <w:ind w:left="708" w:right="709"/>
        <w:jc w:val="both"/>
        <w:rPr>
          <w:rFonts w:ascii="Century Gothic" w:eastAsia="Arial" w:hAnsi="Century Gothic" w:cs="Arial"/>
          <w:sz w:val="20"/>
          <w:szCs w:val="20"/>
          <w:lang w:val="es-ES"/>
        </w:rPr>
      </w:pPr>
    </w:p>
    <w:p w14:paraId="6E44385E" w14:textId="77777777" w:rsidR="0091438F" w:rsidRDefault="0091438F" w:rsidP="0091438F">
      <w:pPr>
        <w:widowControl w:val="0"/>
        <w:autoSpaceDE w:val="0"/>
        <w:autoSpaceDN w:val="0"/>
        <w:spacing w:after="0" w:line="240" w:lineRule="auto"/>
        <w:ind w:left="708"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Las personas jurídicas nacionales y extranjeras deberán acreditar que su duración no será inferior a la del plazo del contrato y un año más. […]”</w:t>
      </w:r>
    </w:p>
    <w:p w14:paraId="4A3352B4" w14:textId="77777777" w:rsidR="0091438F" w:rsidRPr="00DE0BB9" w:rsidRDefault="0091438F" w:rsidP="0091438F">
      <w:pPr>
        <w:widowControl w:val="0"/>
        <w:autoSpaceDE w:val="0"/>
        <w:autoSpaceDN w:val="0"/>
        <w:spacing w:after="0" w:line="240" w:lineRule="auto"/>
        <w:ind w:left="708" w:right="709"/>
        <w:jc w:val="both"/>
        <w:rPr>
          <w:rFonts w:ascii="Century Gothic" w:eastAsia="Arial" w:hAnsi="Century Gothic" w:cs="Arial"/>
          <w:sz w:val="20"/>
          <w:szCs w:val="20"/>
          <w:lang w:val="es-ES"/>
        </w:rPr>
      </w:pPr>
    </w:p>
    <w:p w14:paraId="2DF8943D" w14:textId="77777777" w:rsidR="0091438F" w:rsidRPr="00DE0BB9" w:rsidRDefault="0091438F" w:rsidP="0091438F">
      <w:pPr>
        <w:spacing w:line="276" w:lineRule="auto"/>
        <w:ind w:firstLine="708"/>
        <w:jc w:val="both"/>
        <w:rPr>
          <w:rFonts w:ascii="Century Gothic" w:eastAsia="Calibri" w:hAnsi="Century Gothic" w:cs="Arial"/>
          <w:noProof/>
          <w:lang w:val="es-ES_tradnl"/>
        </w:rPr>
      </w:pPr>
      <w:r w:rsidRPr="00DE0BB9">
        <w:rPr>
          <w:rFonts w:ascii="Century Gothic" w:eastAsia="Calibri" w:hAnsi="Century Gothic" w:cs="Arial"/>
          <w:noProof/>
          <w:lang w:val="es-ES_tradnl"/>
        </w:rPr>
        <w:t>En consecuencia, en el ordenamiento colombiano, pueden celebrar contratos estatales las entidades del Estado las personas naturales, las personas jurídicas que tengan dentro de su objeto social actividades relacionadas con el objeto a contratar y, por virtud de la ley, también lo pueden hacer</w:t>
      </w:r>
      <w:r w:rsidRPr="00DE0BB9">
        <w:rPr>
          <w:rFonts w:ascii="Century Gothic" w:hAnsi="Century Gothic"/>
        </w:rPr>
        <w:t xml:space="preserve"> </w:t>
      </w:r>
      <w:r w:rsidRPr="00DE0BB9">
        <w:rPr>
          <w:rFonts w:ascii="Century Gothic" w:eastAsia="Calibri" w:hAnsi="Century Gothic" w:cs="Arial"/>
          <w:noProof/>
          <w:lang w:val="es-ES_tradnl"/>
        </w:rPr>
        <w:t xml:space="preserve">los Cabildos </w:t>
      </w:r>
      <w:r w:rsidRPr="00DE0BB9">
        <w:rPr>
          <w:rFonts w:ascii="Century Gothic" w:eastAsia="Calibri" w:hAnsi="Century Gothic" w:cs="Arial"/>
          <w:noProof/>
          <w:lang w:val="es-ES_tradnl"/>
        </w:rPr>
        <w:lastRenderedPageBreak/>
        <w:t>Indígenas, las asociaciones de Autoridades Tradicionales Indígenas, los consejos comunitarios de las comunidades negras, los consorcios y las uniones temporales. Ahora bien, como es pacífico en la doctrina y la jurisprudencia, los consorcios y uniones temporales no son personas jurídicas. En efecto, el artículo 7 de la Ley 80 de 1993 define estos sujetos de la siguiente manera:</w:t>
      </w:r>
    </w:p>
    <w:p w14:paraId="345BC1A0"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“Artículo 7º. Modificado por la Ley 2160 de 2021, artículo 3º. Entidades a contratar. Para los efectos de esta ley se entiende por:</w:t>
      </w:r>
    </w:p>
    <w:p w14:paraId="3F1FEC52"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46B9CD6C"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w:t>
      </w:r>
    </w:p>
    <w:p w14:paraId="610A7496"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69277BDA"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2AC74079"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39013979"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7F06B6C9"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w:t>
      </w:r>
    </w:p>
    <w:p w14:paraId="3F9F496F"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5CD11072"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5B70DF8C"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Los miembros del consorcio y de la unión temporal deberán designar la persona que, para todos los efectos, representará al consorcio o unión temporal y señalarán las reglas básicas que regulen las relaciones entre ellos y su responsabilidad. […]”</w:t>
      </w:r>
    </w:p>
    <w:p w14:paraId="143CDA8C"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7D98FAC8" w14:textId="77777777" w:rsidR="0091438F" w:rsidRPr="00DE0BB9" w:rsidRDefault="0091438F" w:rsidP="0091438F">
      <w:pPr>
        <w:spacing w:after="120" w:line="276" w:lineRule="auto"/>
        <w:ind w:firstLine="709"/>
        <w:jc w:val="both"/>
        <w:rPr>
          <w:rFonts w:ascii="Century Gothic" w:eastAsia="Calibri" w:hAnsi="Century Gothic" w:cs="Arial"/>
          <w:noProof/>
          <w:lang w:val="es-ES_tradnl"/>
        </w:rPr>
      </w:pPr>
      <w:r w:rsidRPr="00DE0BB9">
        <w:rPr>
          <w:rFonts w:ascii="Century Gothic" w:eastAsia="Calibri" w:hAnsi="Century Gothic" w:cs="Arial"/>
          <w:noProof/>
          <w:lang w:val="es-ES_tradnl"/>
        </w:rPr>
        <w:t>Entonces, los consorcios</w:t>
      </w:r>
      <w:r w:rsidRPr="00DE0BB9">
        <w:rPr>
          <w:rFonts w:ascii="Century Gothic" w:eastAsia="Calibri" w:hAnsi="Century Gothic" w:cs="Arial"/>
          <w:noProof/>
          <w:vertAlign w:val="superscript"/>
          <w:lang w:val="es-ES_tradnl"/>
        </w:rPr>
        <w:footnoteReference w:id="22"/>
      </w:r>
      <w:r w:rsidRPr="00DE0BB9">
        <w:rPr>
          <w:rFonts w:ascii="Century Gothic" w:eastAsia="Calibri" w:hAnsi="Century Gothic" w:cs="Arial"/>
          <w:noProof/>
          <w:vertAlign w:val="superscript"/>
          <w:lang w:val="es-ES_tradnl"/>
        </w:rPr>
        <w:t xml:space="preserve"> </w:t>
      </w:r>
      <w:r w:rsidRPr="00DE0BB9">
        <w:rPr>
          <w:rFonts w:ascii="Century Gothic" w:eastAsia="Calibri" w:hAnsi="Century Gothic" w:cs="Arial"/>
          <w:noProof/>
          <w:lang w:val="es-ES_tradnl"/>
        </w:rPr>
        <w:t xml:space="preserve">o uniones temporales son convenios de asociación fundamentados en la colaboración empresarial, mediante los cuales sus </w:t>
      </w:r>
      <w:r w:rsidRPr="00DE0BB9">
        <w:rPr>
          <w:rFonts w:ascii="Century Gothic" w:eastAsia="Calibri" w:hAnsi="Century Gothic" w:cs="Arial"/>
          <w:noProof/>
          <w:lang w:val="es-ES_tradnl"/>
        </w:rPr>
        <w:lastRenderedPageBreak/>
        <w:t xml:space="preserve">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w:t>
      </w:r>
    </w:p>
    <w:p w14:paraId="70D9C742" w14:textId="77777777" w:rsidR="0091438F" w:rsidRPr="00DE0BB9" w:rsidRDefault="0091438F" w:rsidP="0091438F">
      <w:pPr>
        <w:spacing w:before="120" w:line="276" w:lineRule="auto"/>
        <w:ind w:firstLine="709"/>
        <w:jc w:val="both"/>
        <w:rPr>
          <w:rFonts w:ascii="Century Gothic" w:eastAsia="Calibri" w:hAnsi="Century Gothic" w:cs="Arial"/>
          <w:noProof/>
          <w:lang w:val="es-ES_tradnl"/>
        </w:rPr>
      </w:pPr>
      <w:r w:rsidRPr="00DE0BB9">
        <w:rPr>
          <w:rFonts w:ascii="Century Gothic" w:eastAsia="Calibri" w:hAnsi="Century Gothic" w:cs="Arial"/>
          <w:noProof/>
          <w:lang w:val="es-ES_tradnl"/>
        </w:rPr>
        <w:t>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 En relación con las normasen cita, la Corte Constitucional en sentencia C–949 de 2001</w:t>
      </w:r>
      <w:r w:rsidRPr="00DE0BB9">
        <w:rPr>
          <w:rFonts w:ascii="Century Gothic" w:eastAsia="Calibri" w:hAnsi="Century Gothic" w:cs="Arial"/>
          <w:noProof/>
          <w:vertAlign w:val="superscript"/>
          <w:lang w:val="es-ES_tradnl"/>
        </w:rPr>
        <w:footnoteReference w:id="23"/>
      </w:r>
      <w:r w:rsidRPr="00DE0BB9">
        <w:rPr>
          <w:rFonts w:ascii="Century Gothic" w:eastAsia="Calibri" w:hAnsi="Century Gothic" w:cs="Arial"/>
          <w:noProof/>
          <w:lang w:val="es-ES_tradnl"/>
        </w:rPr>
        <w:t xml:space="preserve"> consideró lo siguiente:</w:t>
      </w:r>
    </w:p>
    <w:p w14:paraId="6DBE31E0" w14:textId="77777777" w:rsidR="0091438F" w:rsidRPr="00DE0BB9" w:rsidRDefault="0091438F" w:rsidP="0091438F">
      <w:pPr>
        <w:widowControl w:val="0"/>
        <w:autoSpaceDE w:val="0"/>
        <w:autoSpaceDN w:val="0"/>
        <w:spacing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DE0BB9">
        <w:rPr>
          <w:rFonts w:ascii="Century Gothic" w:eastAsia="Arial" w:hAnsi="Century Gothic" w:cs="Arial"/>
          <w:spacing w:val="-2"/>
          <w:sz w:val="20"/>
          <w:szCs w:val="20"/>
          <w:lang w:val="es-ES"/>
        </w:rPr>
        <w:t xml:space="preserve"> </w:t>
      </w:r>
      <w:r w:rsidRPr="00DE0BB9">
        <w:rPr>
          <w:rFonts w:ascii="Century Gothic" w:eastAsia="Arial" w:hAnsi="Century Gothic" w:cs="Arial"/>
          <w:sz w:val="20"/>
          <w:szCs w:val="20"/>
          <w:lang w:val="es-ES"/>
        </w:rPr>
        <w:t>contractuales.</w:t>
      </w:r>
    </w:p>
    <w:p w14:paraId="348C44CE" w14:textId="77777777" w:rsidR="0091438F" w:rsidRPr="00DE0BB9" w:rsidRDefault="0091438F" w:rsidP="0091438F">
      <w:pPr>
        <w:widowControl w:val="0"/>
        <w:autoSpaceDE w:val="0"/>
        <w:autoSpaceDN w:val="0"/>
        <w:spacing w:line="240" w:lineRule="auto"/>
        <w:ind w:left="709" w:right="709"/>
        <w:rPr>
          <w:rFonts w:ascii="Century Gothic" w:eastAsia="Arial" w:hAnsi="Century Gothic" w:cs="Arial"/>
          <w:sz w:val="20"/>
          <w:szCs w:val="20"/>
          <w:lang w:val="es-ES"/>
        </w:rPr>
      </w:pPr>
      <w:r w:rsidRPr="00DE0BB9">
        <w:rPr>
          <w:rFonts w:ascii="Century Gothic" w:eastAsia="Arial" w:hAnsi="Century Gothic" w:cs="Arial"/>
          <w:sz w:val="20"/>
          <w:szCs w:val="20"/>
          <w:lang w:val="es-ES"/>
        </w:rPr>
        <w:t>[…]</w:t>
      </w:r>
    </w:p>
    <w:p w14:paraId="04385201" w14:textId="77777777" w:rsidR="0091438F" w:rsidRPr="00DE0BB9" w:rsidRDefault="0091438F" w:rsidP="0091438F">
      <w:pPr>
        <w:widowControl w:val="0"/>
        <w:autoSpaceDE w:val="0"/>
        <w:autoSpaceDN w:val="0"/>
        <w:spacing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7FAEA88E" w14:textId="77777777" w:rsidR="0091438F" w:rsidRPr="00DE0BB9" w:rsidRDefault="0091438F" w:rsidP="0091438F">
      <w:pPr>
        <w:widowControl w:val="0"/>
        <w:autoSpaceDE w:val="0"/>
        <w:autoSpaceDN w:val="0"/>
        <w:spacing w:line="240" w:lineRule="auto"/>
        <w:ind w:left="709" w:right="709"/>
        <w:rPr>
          <w:rFonts w:ascii="Century Gothic" w:eastAsia="Arial" w:hAnsi="Century Gothic" w:cs="Arial"/>
          <w:sz w:val="20"/>
          <w:szCs w:val="20"/>
          <w:lang w:val="es-ES"/>
        </w:rPr>
      </w:pPr>
      <w:r w:rsidRPr="00DE0BB9">
        <w:rPr>
          <w:rFonts w:ascii="Century Gothic" w:eastAsia="Arial" w:hAnsi="Century Gothic" w:cs="Arial"/>
          <w:sz w:val="20"/>
          <w:szCs w:val="20"/>
          <w:lang w:val="es-ES"/>
        </w:rPr>
        <w:t>[…]</w:t>
      </w:r>
    </w:p>
    <w:p w14:paraId="6A8558A1" w14:textId="77777777" w:rsidR="0091438F"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r w:rsidRPr="00DE0BB9">
        <w:rPr>
          <w:rFonts w:ascii="Century Gothic" w:eastAsia="Arial" w:hAnsi="Century Gothic" w:cs="Arial"/>
          <w:sz w:val="20"/>
          <w:szCs w:val="20"/>
          <w:lang w:val="es-ES"/>
        </w:rPr>
        <w:t xml:space="preserve">La Ley 80 de 1993, al crear las figuras de los consorcios y uniones temporales y constituirlas como sujetos de la contratación administrativa, reconoce una </w:t>
      </w:r>
      <w:r w:rsidRPr="00DE0BB9">
        <w:rPr>
          <w:rFonts w:ascii="Century Gothic" w:eastAsia="Arial" w:hAnsi="Century Gothic" w:cs="Arial"/>
          <w:sz w:val="20"/>
          <w:szCs w:val="20"/>
          <w:lang w:val="es-ES"/>
        </w:rPr>
        <w:lastRenderedPageBreak/>
        <w:t>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DE0BB9">
        <w:rPr>
          <w:rFonts w:ascii="Century Gothic" w:eastAsia="Arial" w:hAnsi="Century Gothic" w:cs="Arial"/>
          <w:spacing w:val="-7"/>
          <w:sz w:val="20"/>
          <w:szCs w:val="20"/>
          <w:lang w:val="es-ES"/>
        </w:rPr>
        <w:t xml:space="preserve"> </w:t>
      </w:r>
      <w:r w:rsidRPr="00DE0BB9">
        <w:rPr>
          <w:rFonts w:ascii="Century Gothic" w:eastAsia="Arial" w:hAnsi="Century Gothic" w:cs="Arial"/>
          <w:sz w:val="20"/>
          <w:szCs w:val="20"/>
          <w:lang w:val="es-ES"/>
        </w:rPr>
        <w:t>Superiores)”.</w:t>
      </w:r>
    </w:p>
    <w:p w14:paraId="18A5FADF" w14:textId="77777777" w:rsidR="0091438F" w:rsidRPr="00DE0BB9" w:rsidRDefault="0091438F" w:rsidP="0091438F">
      <w:pPr>
        <w:widowControl w:val="0"/>
        <w:autoSpaceDE w:val="0"/>
        <w:autoSpaceDN w:val="0"/>
        <w:spacing w:after="0" w:line="240" w:lineRule="auto"/>
        <w:ind w:left="709" w:right="709"/>
        <w:jc w:val="both"/>
        <w:rPr>
          <w:rFonts w:ascii="Century Gothic" w:eastAsia="Arial" w:hAnsi="Century Gothic" w:cs="Arial"/>
          <w:sz w:val="20"/>
          <w:szCs w:val="20"/>
          <w:lang w:val="es-ES"/>
        </w:rPr>
      </w:pPr>
    </w:p>
    <w:p w14:paraId="32960372" w14:textId="77777777" w:rsidR="0091438F" w:rsidRDefault="0091438F" w:rsidP="0091438F">
      <w:pPr>
        <w:spacing w:after="0" w:line="276" w:lineRule="auto"/>
        <w:ind w:firstLine="708"/>
        <w:jc w:val="both"/>
        <w:rPr>
          <w:rFonts w:ascii="Century Gothic" w:eastAsia="Calibri" w:hAnsi="Century Gothic" w:cs="Arial"/>
          <w:noProof/>
          <w:lang w:val="es-ES_tradnl"/>
        </w:rPr>
      </w:pPr>
      <w:r w:rsidRPr="00DE0BB9">
        <w:rPr>
          <w:rFonts w:ascii="Century Gothic" w:eastAsia="Calibri" w:hAnsi="Century Gothic" w:cs="Arial"/>
          <w:noProof/>
          <w:lang w:val="es-ES_tradnl"/>
        </w:rPr>
        <w:t>De lo anterior se desprende que, si los consorcios y uniones temporales no son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400EFC5D" w14:textId="77777777" w:rsidR="0091438F" w:rsidRPr="00DE0BB9" w:rsidRDefault="0091438F" w:rsidP="0091438F">
      <w:pPr>
        <w:spacing w:after="0" w:line="276" w:lineRule="auto"/>
        <w:ind w:firstLine="708"/>
        <w:jc w:val="both"/>
        <w:rPr>
          <w:rFonts w:ascii="Century Gothic" w:eastAsia="Calibri" w:hAnsi="Century Gothic" w:cs="Arial"/>
          <w:noProof/>
          <w:lang w:val="es-ES_tradnl"/>
        </w:rPr>
      </w:pPr>
      <w:r w:rsidRPr="00DE0BB9">
        <w:rPr>
          <w:rFonts w:ascii="Century Gothic" w:eastAsia="Calibri" w:hAnsi="Century Gothic" w:cs="Arial"/>
          <w:noProof/>
          <w:lang w:val="es-ES_tradnl"/>
        </w:rPr>
        <w:t xml:space="preserve"> </w:t>
      </w:r>
    </w:p>
    <w:p w14:paraId="19F44E5C" w14:textId="77777777" w:rsidR="0091438F" w:rsidRPr="00DE0BB9" w:rsidRDefault="0091438F" w:rsidP="0091438F">
      <w:pPr>
        <w:spacing w:line="276" w:lineRule="auto"/>
        <w:jc w:val="both"/>
        <w:rPr>
          <w:rFonts w:ascii="Century Gothic" w:hAnsi="Century Gothic" w:cs="Arial"/>
          <w:b/>
          <w:bCs/>
        </w:rPr>
      </w:pPr>
      <w:r w:rsidRPr="00DE0BB9">
        <w:rPr>
          <w:rFonts w:ascii="Century Gothic" w:hAnsi="Century Gothic" w:cs="Arial"/>
          <w:b/>
          <w:bCs/>
        </w:rPr>
        <w:t>2.4. Terminación unilateral del contrato estatal por muerte o incapacidad física permanente del contratista persona natural, o por disolución de la persona jurídica del contratista. Análisis sobre su procedencia respecto de contratistas plurales.</w:t>
      </w:r>
    </w:p>
    <w:p w14:paraId="4C6ED957" w14:textId="77777777" w:rsidR="0091438F" w:rsidRPr="00DE0BB9" w:rsidRDefault="0091438F" w:rsidP="0091438F">
      <w:pPr>
        <w:spacing w:after="120" w:line="276" w:lineRule="auto"/>
        <w:jc w:val="both"/>
        <w:rPr>
          <w:rFonts w:ascii="Century Gothic" w:hAnsi="Century Gothic" w:cs="Arial"/>
          <w:color w:val="000000" w:themeColor="text1"/>
        </w:rPr>
      </w:pPr>
      <w:r w:rsidRPr="00DE0BB9">
        <w:rPr>
          <w:rFonts w:ascii="Century Gothic" w:hAnsi="Century Gothic" w:cs="Arial"/>
          <w:color w:val="000000" w:themeColor="text1"/>
        </w:rPr>
        <w:t>El artículo 3 de la Ley 80 de 1993 dispone que en la celebración de los contratos y en la ejecución de los mismos,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5394C81B" w14:textId="77777777" w:rsidR="0091438F" w:rsidRPr="00DE0BB9" w:rsidRDefault="0091438F" w:rsidP="0091438F">
      <w:pPr>
        <w:spacing w:before="120" w:after="120" w:line="276" w:lineRule="auto"/>
        <w:ind w:firstLine="708"/>
        <w:jc w:val="both"/>
        <w:rPr>
          <w:rFonts w:ascii="Century Gothic" w:hAnsi="Century Gothic" w:cs="Arial"/>
          <w:color w:val="000000" w:themeColor="text1"/>
        </w:rPr>
      </w:pPr>
      <w:r w:rsidRPr="00DE0BB9">
        <w:rPr>
          <w:rFonts w:ascii="Century Gothic" w:hAnsi="Century Gothic" w:cs="Arial"/>
          <w:color w:val="000000" w:themeColor="text1"/>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Es decir, las </w:t>
      </w:r>
      <w:r w:rsidRPr="00DE0BB9">
        <w:rPr>
          <w:rFonts w:ascii="Century Gothic" w:hAnsi="Century Gothic" w:cs="Arial"/>
          <w:color w:val="000000" w:themeColor="text1"/>
        </w:rPr>
        <w:lastRenderedPageBreak/>
        <w:t xml:space="preserve">entidades estatales pueden usar estas potestades “[…] como manifestación de su </w:t>
      </w:r>
      <w:r w:rsidRPr="00DE0BB9">
        <w:rPr>
          <w:rFonts w:ascii="Century Gothic" w:hAnsi="Century Gothic" w:cs="Arial"/>
          <w:i/>
          <w:iCs/>
          <w:color w:val="000000" w:themeColor="text1"/>
        </w:rPr>
        <w:t xml:space="preserve">imperium </w:t>
      </w:r>
      <w:r w:rsidRPr="00DE0BB9">
        <w:rPr>
          <w:rFonts w:ascii="Century Gothic" w:hAnsi="Century Gothic" w:cs="Arial"/>
          <w:color w:val="000000" w:themeColor="text1"/>
        </w:rPr>
        <w:t>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sidRPr="00DE0BB9">
        <w:rPr>
          <w:rStyle w:val="Refdenotaalpie"/>
          <w:rFonts w:ascii="Century Gothic" w:hAnsi="Century Gothic" w:cs="Arial"/>
          <w:color w:val="000000" w:themeColor="text1"/>
        </w:rPr>
        <w:footnoteReference w:id="24"/>
      </w:r>
      <w:r w:rsidRPr="00DE0BB9">
        <w:rPr>
          <w:rFonts w:ascii="Century Gothic" w:hAnsi="Century Gothic" w:cs="Arial"/>
          <w:color w:val="000000" w:themeColor="text1"/>
        </w:rPr>
        <w:t xml:space="preserve">.  </w:t>
      </w:r>
    </w:p>
    <w:p w14:paraId="0DCD840F" w14:textId="77777777" w:rsidR="0091438F" w:rsidRPr="00DE0BB9" w:rsidRDefault="0091438F" w:rsidP="0091438F">
      <w:pPr>
        <w:spacing w:before="120" w:after="120" w:line="276" w:lineRule="auto"/>
        <w:jc w:val="both"/>
        <w:rPr>
          <w:rFonts w:ascii="Century Gothic" w:hAnsi="Century Gothic" w:cs="Arial"/>
          <w:color w:val="000000" w:themeColor="text1"/>
        </w:rPr>
      </w:pPr>
      <w:r w:rsidRPr="00DE0BB9">
        <w:rPr>
          <w:rFonts w:ascii="Century Gothic" w:hAnsi="Century Gothic" w:cs="Arial"/>
          <w:color w:val="000000" w:themeColor="text1"/>
        </w:rPr>
        <w:t> </w:t>
      </w:r>
      <w:r w:rsidRPr="00DE0BB9">
        <w:rPr>
          <w:rFonts w:ascii="Century Gothic" w:hAnsi="Century Gothic" w:cs="Arial"/>
          <w:color w:val="000000" w:themeColor="text1"/>
        </w:rPr>
        <w:tab/>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DE0BB9">
        <w:rPr>
          <w:rStyle w:val="Refdenotaalpie"/>
          <w:rFonts w:ascii="Century Gothic" w:hAnsi="Century Gothic" w:cs="Arial"/>
          <w:color w:val="000000" w:themeColor="text1"/>
        </w:rPr>
        <w:footnoteReference w:id="25"/>
      </w:r>
      <w:r w:rsidRPr="00DE0BB9">
        <w:rPr>
          <w:rFonts w:ascii="Century Gothic" w:hAnsi="Century Gothic" w:cs="Arial"/>
          <w:color w:val="000000" w:themeColor="text1"/>
        </w:rPr>
        <w:t xml:space="preserve">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204FFB88" w14:textId="77777777" w:rsidR="0091438F" w:rsidRPr="00DE0BB9" w:rsidRDefault="0091438F" w:rsidP="0091438F">
      <w:pPr>
        <w:spacing w:before="120" w:after="120" w:line="276" w:lineRule="auto"/>
        <w:ind w:firstLine="708"/>
        <w:jc w:val="both"/>
        <w:rPr>
          <w:rFonts w:ascii="Century Gothic" w:hAnsi="Century Gothic" w:cs="Arial"/>
          <w:color w:val="000000" w:themeColor="text1"/>
        </w:rPr>
      </w:pPr>
      <w:r w:rsidRPr="00DE0BB9">
        <w:rPr>
          <w:rFonts w:ascii="Century Gothic" w:hAnsi="Century Gothic" w:cs="Arial"/>
          <w:color w:val="000000" w:themeColor="text1"/>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37716035" w14:textId="77777777" w:rsidR="0091438F" w:rsidRPr="00DE0BB9" w:rsidRDefault="0091438F" w:rsidP="0091438F">
      <w:pPr>
        <w:spacing w:before="120" w:after="120" w:line="276" w:lineRule="auto"/>
        <w:jc w:val="both"/>
        <w:rPr>
          <w:rFonts w:ascii="Century Gothic" w:hAnsi="Century Gothic" w:cs="Arial"/>
          <w:color w:val="000000" w:themeColor="text1"/>
        </w:rPr>
      </w:pPr>
      <w:r w:rsidRPr="00DE0BB9">
        <w:rPr>
          <w:rFonts w:ascii="Century Gothic" w:hAnsi="Century Gothic" w:cs="Arial"/>
          <w:color w:val="000000" w:themeColor="text1"/>
        </w:rPr>
        <w:t> </w:t>
      </w:r>
      <w:r w:rsidRPr="00DE0BB9">
        <w:rPr>
          <w:rFonts w:ascii="Century Gothic" w:hAnsi="Century Gothic" w:cs="Arial"/>
          <w:color w:val="000000" w:themeColor="text1"/>
        </w:rPr>
        <w:tab/>
        <w:t xml:space="preserve">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w:t>
      </w:r>
      <w:r w:rsidRPr="00DE0BB9">
        <w:rPr>
          <w:rFonts w:ascii="Century Gothic" w:hAnsi="Century Gothic" w:cs="Arial"/>
          <w:color w:val="000000" w:themeColor="text1"/>
        </w:rPr>
        <w:lastRenderedPageBreak/>
        <w:t>debe estar debidamente motivado y iii) que la causal que se alegue en la decisión se encuentre enmarcada en los eventos que la ley ha dispuesto.</w:t>
      </w:r>
    </w:p>
    <w:p w14:paraId="138495E4" w14:textId="77777777" w:rsidR="0091438F" w:rsidRPr="00DE0BB9" w:rsidRDefault="0091438F" w:rsidP="0091438F">
      <w:pPr>
        <w:spacing w:before="120" w:line="276" w:lineRule="auto"/>
        <w:jc w:val="both"/>
        <w:rPr>
          <w:rFonts w:ascii="Century Gothic" w:hAnsi="Century Gothic" w:cs="Arial"/>
          <w:color w:val="000000" w:themeColor="text1"/>
        </w:rPr>
      </w:pPr>
      <w:r w:rsidRPr="00DE0BB9">
        <w:rPr>
          <w:rFonts w:ascii="Century Gothic" w:hAnsi="Century Gothic" w:cs="Arial"/>
          <w:color w:val="000000" w:themeColor="text1"/>
        </w:rPr>
        <w:t> </w:t>
      </w:r>
      <w:r w:rsidRPr="00DE0BB9">
        <w:rPr>
          <w:rFonts w:ascii="Century Gothic" w:hAnsi="Century Gothic" w:cs="Arial"/>
          <w:color w:val="000000" w:themeColor="text1"/>
        </w:rPr>
        <w:tab/>
        <w:t>El artículo 17 de la Ley 80 de 1993 establece expresamente en que eventos procede la terminación unilateral del contrato. Al efecto, la norma establece las siguientes causales:</w:t>
      </w:r>
    </w:p>
    <w:p w14:paraId="60770DFD"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sz w:val="20"/>
          <w:szCs w:val="20"/>
        </w:rPr>
        <w:t>“</w:t>
      </w:r>
      <w:r w:rsidRPr="00DE0BB9">
        <w:rPr>
          <w:rFonts w:ascii="Century Gothic" w:hAnsi="Century Gothic" w:cs="Arial"/>
          <w:color w:val="000000"/>
          <w:sz w:val="20"/>
          <w:szCs w:val="20"/>
          <w:lang w:eastAsia="es-CO"/>
        </w:rPr>
        <w:t>Artículo 17. De la terminación unilateral</w:t>
      </w:r>
      <w:r w:rsidRPr="00DE0BB9">
        <w:rPr>
          <w:rFonts w:ascii="Century Gothic" w:hAnsi="Century Gothic" w:cs="Arial"/>
          <w:b/>
          <w:bCs/>
          <w:color w:val="000000"/>
          <w:sz w:val="20"/>
          <w:szCs w:val="20"/>
          <w:lang w:eastAsia="es-CO"/>
        </w:rPr>
        <w:t>.</w:t>
      </w:r>
      <w:r w:rsidRPr="00DE0BB9">
        <w:rPr>
          <w:rFonts w:ascii="Century Gothic" w:hAnsi="Century Gothic" w:cs="Arial"/>
          <w:color w:val="000000"/>
          <w:sz w:val="20"/>
          <w:szCs w:val="20"/>
          <w:lang w:eastAsia="es-CO"/>
        </w:rPr>
        <w:t> La entidad en acto administrativo debidamente motivado dispondrá la terminación anticipada del contrato en los siguientes eventos: </w:t>
      </w:r>
    </w:p>
    <w:p w14:paraId="52608BA9"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color w:val="000000"/>
          <w:sz w:val="20"/>
          <w:szCs w:val="20"/>
          <w:lang w:eastAsia="es-CO"/>
        </w:rPr>
        <w:t>1o. Cuando las exigencias del servicio público lo requieran o la situación de orden público lo imponga.   </w:t>
      </w:r>
    </w:p>
    <w:p w14:paraId="5CDAA9AF" w14:textId="77777777" w:rsidR="0091438F" w:rsidRPr="00DE0BB9" w:rsidRDefault="0091438F" w:rsidP="0091438F">
      <w:pPr>
        <w:spacing w:line="240" w:lineRule="auto"/>
        <w:ind w:left="709" w:right="709"/>
        <w:jc w:val="both"/>
        <w:rPr>
          <w:rFonts w:ascii="Century Gothic" w:hAnsi="Century Gothic" w:cs="Arial"/>
          <w:i/>
          <w:iCs/>
          <w:color w:val="000000"/>
          <w:sz w:val="20"/>
          <w:szCs w:val="20"/>
          <w:u w:val="single"/>
          <w:lang w:eastAsia="es-CO"/>
        </w:rPr>
      </w:pPr>
      <w:r w:rsidRPr="00DE0BB9">
        <w:rPr>
          <w:rFonts w:ascii="Century Gothic" w:hAnsi="Century Gothic" w:cs="Arial"/>
          <w:i/>
          <w:iCs/>
          <w:color w:val="000000"/>
          <w:sz w:val="20"/>
          <w:szCs w:val="20"/>
          <w:u w:val="single"/>
          <w:lang w:eastAsia="es-CO"/>
        </w:rPr>
        <w:t>2o. Por muerte o incapacidad física permanente del contratista, si es persona natural, o por disolución de la persona jurídica del contratista. </w:t>
      </w:r>
    </w:p>
    <w:p w14:paraId="4BAC8FDE"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color w:val="000000"/>
          <w:sz w:val="20"/>
          <w:szCs w:val="20"/>
          <w:lang w:eastAsia="es-CO"/>
        </w:rPr>
        <w:t>  3o. Por interdicción judicial o declaración de quiebra del contratista. </w:t>
      </w:r>
    </w:p>
    <w:p w14:paraId="361803B4"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color w:val="000000"/>
          <w:sz w:val="20"/>
          <w:szCs w:val="20"/>
          <w:lang w:eastAsia="es-CO"/>
        </w:rPr>
        <w:t>  4o. Por cesación de pagos, concurso de acreedores o embargos judiciales del contratista que afecten de manera grave el cumplimiento del contrato. </w:t>
      </w:r>
    </w:p>
    <w:p w14:paraId="5252D1E1"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color w:val="000000"/>
          <w:sz w:val="20"/>
          <w:szCs w:val="20"/>
          <w:lang w:eastAsia="es-CO"/>
        </w:rPr>
        <w:t>  Sin embargo, en los casos a que se refieren los numerales 2o. y 3o. de este artículo podrá continuarse la ejecución con el garante de la obligación. </w:t>
      </w:r>
    </w:p>
    <w:p w14:paraId="4E4A7523" w14:textId="77777777" w:rsidR="0091438F" w:rsidRPr="00DE0BB9" w:rsidRDefault="0091438F" w:rsidP="0091438F">
      <w:pPr>
        <w:spacing w:line="240" w:lineRule="auto"/>
        <w:ind w:left="709" w:right="709"/>
        <w:jc w:val="both"/>
        <w:rPr>
          <w:rFonts w:ascii="Century Gothic" w:hAnsi="Century Gothic" w:cs="Arial"/>
          <w:color w:val="000000"/>
          <w:sz w:val="20"/>
          <w:szCs w:val="20"/>
          <w:lang w:eastAsia="es-CO"/>
        </w:rPr>
      </w:pPr>
      <w:r w:rsidRPr="00DE0BB9">
        <w:rPr>
          <w:rFonts w:ascii="Century Gothic" w:hAnsi="Century Gothic" w:cs="Arial"/>
          <w:color w:val="000000"/>
          <w:sz w:val="20"/>
          <w:szCs w:val="20"/>
          <w:lang w:eastAsia="es-CO"/>
        </w:rPr>
        <w:t>  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r w:rsidRPr="00DE0BB9">
        <w:rPr>
          <w:rFonts w:ascii="Century Gothic" w:hAnsi="Century Gothic" w:cs="Arial"/>
          <w:sz w:val="20"/>
          <w:szCs w:val="20"/>
        </w:rPr>
        <w:t>”</w:t>
      </w:r>
      <w:r w:rsidRPr="00DE0BB9">
        <w:rPr>
          <w:rFonts w:ascii="Century Gothic" w:hAnsi="Century Gothic" w:cs="Arial"/>
          <w:color w:val="000000"/>
          <w:sz w:val="20"/>
          <w:szCs w:val="20"/>
          <w:lang w:eastAsia="es-CO"/>
        </w:rPr>
        <w:t> [Énfasis fuera de texto]</w:t>
      </w:r>
    </w:p>
    <w:p w14:paraId="197C95BC" w14:textId="77777777" w:rsidR="0091438F" w:rsidRPr="00DE0BB9" w:rsidRDefault="0091438F" w:rsidP="0091438F">
      <w:pPr>
        <w:spacing w:line="276" w:lineRule="auto"/>
        <w:ind w:firstLine="708"/>
        <w:jc w:val="both"/>
        <w:rPr>
          <w:rFonts w:ascii="Century Gothic" w:hAnsi="Century Gothic" w:cs="Arial"/>
          <w:color w:val="000000" w:themeColor="text1"/>
        </w:rPr>
      </w:pPr>
      <w:r w:rsidRPr="00DE0BB9">
        <w:rPr>
          <w:rFonts w:ascii="Century Gothic" w:hAnsi="Century Gothic" w:cs="Arial"/>
          <w:color w:val="000000" w:themeColor="text1"/>
        </w:rPr>
        <w:t>Esta figura no tiene como finalidad sancionar al contratista sino que se encuentra dirigida a evitar la paralización del contrato estatal y garantizar su correcta ejecución. La doctrina ha considerado que “[…] el artículo 17 de la Ley 80 de 1993 consagra, en virtud del principio de legalidad regente para toda la actividad administrativa, la potestad de las entidades estatales de finiquitar la relación contractual con su contratista a partir de la configuración de cualquiera de las causales expresadas en dicha norma […]”</w:t>
      </w:r>
      <w:r w:rsidRPr="00DE0BB9">
        <w:rPr>
          <w:rStyle w:val="Refdenotaalpie"/>
          <w:rFonts w:ascii="Century Gothic" w:hAnsi="Century Gothic" w:cs="Arial"/>
          <w:color w:val="000000" w:themeColor="text1"/>
        </w:rPr>
        <w:footnoteReference w:id="26"/>
      </w:r>
      <w:r w:rsidRPr="00DE0BB9">
        <w:rPr>
          <w:rFonts w:ascii="Century Gothic" w:hAnsi="Century Gothic" w:cs="Arial"/>
          <w:color w:val="000000" w:themeColor="text1"/>
        </w:rPr>
        <w:t xml:space="preserve">. En igual sentido lo ha reconocido el Consejo de Estado al poner de presente que: </w:t>
      </w:r>
    </w:p>
    <w:p w14:paraId="5B8914DA" w14:textId="77777777" w:rsidR="0091438F" w:rsidRPr="00DE0BB9" w:rsidRDefault="0091438F" w:rsidP="0091438F">
      <w:pPr>
        <w:pStyle w:val="NormalWeb"/>
        <w:spacing w:after="0"/>
        <w:ind w:left="709" w:right="709"/>
        <w:jc w:val="both"/>
        <w:rPr>
          <w:rFonts w:ascii="Century Gothic" w:hAnsi="Century Gothic" w:cs="Arial"/>
          <w:sz w:val="20"/>
          <w:szCs w:val="20"/>
        </w:rPr>
      </w:pPr>
      <w:r w:rsidRPr="00DE0BB9">
        <w:rPr>
          <w:rFonts w:ascii="Century Gothic" w:hAnsi="Century Gothic" w:cs="Arial"/>
          <w:sz w:val="20"/>
          <w:szCs w:val="20"/>
        </w:rPr>
        <w:t xml:space="preserve">“Según los explícitos dictados de la referida Ley 80, es claro que dicha forma de terminación unilateral tiene </w:t>
      </w:r>
      <w:r w:rsidRPr="00DE0BB9">
        <w:rPr>
          <w:rFonts w:ascii="Century Gothic" w:hAnsi="Century Gothic" w:cs="Arial"/>
          <w:i/>
          <w:iCs/>
          <w:sz w:val="20"/>
          <w:szCs w:val="20"/>
        </w:rPr>
        <w:t xml:space="preserve">“(...) el exclusivo objeto de evitar la </w:t>
      </w:r>
      <w:r w:rsidRPr="00DE0BB9">
        <w:rPr>
          <w:rFonts w:ascii="Century Gothic" w:hAnsi="Century Gothic" w:cs="Arial"/>
          <w:i/>
          <w:iCs/>
          <w:sz w:val="20"/>
          <w:szCs w:val="20"/>
        </w:rPr>
        <w:lastRenderedPageBreak/>
        <w:t xml:space="preserve">paralización o la afectación grave de los servicios públicos a su cargo </w:t>
      </w:r>
      <w:r w:rsidRPr="00DE0BB9">
        <w:rPr>
          <w:rFonts w:ascii="Century Gothic" w:hAnsi="Century Gothic" w:cs="Arial"/>
          <w:sz w:val="20"/>
          <w:szCs w:val="20"/>
        </w:rPr>
        <w:t xml:space="preserve">[se refiere a la entidad estatal contratante] </w:t>
      </w:r>
      <w:r w:rsidRPr="00DE0BB9">
        <w:rPr>
          <w:rFonts w:ascii="Century Gothic" w:hAnsi="Century Gothic" w:cs="Arial"/>
          <w:i/>
          <w:iCs/>
          <w:sz w:val="20"/>
          <w:szCs w:val="20"/>
        </w:rPr>
        <w:t xml:space="preserve">y asegurar la inmediata, continua y adecuada prestación (...)” </w:t>
      </w:r>
      <w:r w:rsidRPr="00DE0BB9">
        <w:rPr>
          <w:rFonts w:ascii="Century Gothic" w:hAnsi="Century Gothic" w:cs="Arial"/>
          <w:sz w:val="20"/>
          <w:szCs w:val="20"/>
        </w:rPr>
        <w:t xml:space="preserve">de los mismos. </w:t>
      </w:r>
    </w:p>
    <w:p w14:paraId="34F1DAF1" w14:textId="77777777" w:rsidR="0091438F" w:rsidRPr="00DE0BB9" w:rsidRDefault="0091438F" w:rsidP="0091438F">
      <w:pPr>
        <w:pStyle w:val="NormalWeb"/>
        <w:spacing w:after="0"/>
        <w:ind w:left="709" w:right="709"/>
        <w:jc w:val="both"/>
        <w:rPr>
          <w:rFonts w:ascii="Century Gothic" w:hAnsi="Century Gothic" w:cs="Arial"/>
          <w:sz w:val="20"/>
          <w:szCs w:val="20"/>
        </w:rPr>
      </w:pPr>
    </w:p>
    <w:p w14:paraId="3D693108" w14:textId="77777777" w:rsidR="0091438F" w:rsidRPr="00DE0BB9" w:rsidRDefault="0091438F" w:rsidP="0091438F">
      <w:pPr>
        <w:pStyle w:val="NormalWeb"/>
        <w:spacing w:after="0"/>
        <w:ind w:left="709" w:right="709"/>
        <w:jc w:val="both"/>
        <w:rPr>
          <w:rFonts w:ascii="Century Gothic" w:hAnsi="Century Gothic" w:cs="Arial"/>
          <w:sz w:val="20"/>
          <w:szCs w:val="20"/>
        </w:rPr>
      </w:pPr>
      <w:r w:rsidRPr="00DE0BB9">
        <w:rPr>
          <w:rFonts w:ascii="Century Gothic" w:hAnsi="Century Gothic" w:cs="Arial"/>
          <w:sz w:val="20"/>
          <w:szCs w:val="20"/>
        </w:rPr>
        <w:t xml:space="preserve">Esta modalidad de terminación unilateral únicamente puede tener aplicación respecto de aquellos específicos contratos estatales señalados en el numeral 2o del artículo 14 de la Ley 80, esto es: </w:t>
      </w:r>
      <w:r w:rsidRPr="00DE0BB9">
        <w:rPr>
          <w:rFonts w:ascii="Century Gothic" w:hAnsi="Century Gothic" w:cs="Arial"/>
          <w:i/>
          <w:iCs/>
          <w:sz w:val="20"/>
          <w:szCs w:val="20"/>
        </w:rPr>
        <w:t xml:space="preserve">a) “en los contratos que tengan por objeto el ejercicio de una actividad que constituya monopolio estatal”; b) </w:t>
      </w:r>
      <w:r w:rsidRPr="00DE0BB9">
        <w:rPr>
          <w:rFonts w:ascii="Century Gothic" w:hAnsi="Century Gothic" w:cs="Arial"/>
          <w:sz w:val="20"/>
          <w:szCs w:val="20"/>
        </w:rPr>
        <w:t xml:space="preserve">en los contratos que tengan por objeto </w:t>
      </w:r>
      <w:r w:rsidRPr="00DE0BB9">
        <w:rPr>
          <w:rFonts w:ascii="Century Gothic" w:hAnsi="Century Gothic" w:cs="Arial"/>
          <w:i/>
          <w:iCs/>
          <w:sz w:val="20"/>
          <w:szCs w:val="20"/>
        </w:rPr>
        <w:t xml:space="preserve">“la prestación de servicios públicos”; c) </w:t>
      </w:r>
      <w:r w:rsidRPr="00DE0BB9">
        <w:rPr>
          <w:rFonts w:ascii="Century Gothic" w:hAnsi="Century Gothic" w:cs="Arial"/>
          <w:sz w:val="20"/>
          <w:szCs w:val="20"/>
        </w:rPr>
        <w:t xml:space="preserve">en los contratos que tengan por objeto </w:t>
      </w:r>
      <w:r w:rsidRPr="00DE0BB9">
        <w:rPr>
          <w:rFonts w:ascii="Century Gothic" w:hAnsi="Century Gothic" w:cs="Arial"/>
          <w:i/>
          <w:iCs/>
          <w:sz w:val="20"/>
          <w:szCs w:val="20"/>
        </w:rPr>
        <w:t xml:space="preserve">“la explotación y concesión de bienes del Estado” </w:t>
      </w:r>
      <w:r w:rsidRPr="00DE0BB9">
        <w:rPr>
          <w:rFonts w:ascii="Century Gothic" w:hAnsi="Century Gothic" w:cs="Arial"/>
          <w:sz w:val="20"/>
          <w:szCs w:val="20"/>
        </w:rPr>
        <w:t xml:space="preserve">y </w:t>
      </w:r>
      <w:r w:rsidRPr="00DE0BB9">
        <w:rPr>
          <w:rFonts w:ascii="Century Gothic" w:hAnsi="Century Gothic" w:cs="Arial"/>
          <w:i/>
          <w:iCs/>
          <w:sz w:val="20"/>
          <w:szCs w:val="20"/>
        </w:rPr>
        <w:t>d) “en los contratos de obra”</w:t>
      </w:r>
      <w:r w:rsidRPr="00DE0BB9">
        <w:rPr>
          <w:rFonts w:ascii="Century Gothic" w:hAnsi="Century Gothic" w:cs="Arial"/>
          <w:sz w:val="20"/>
          <w:szCs w:val="20"/>
        </w:rPr>
        <w:t>, en cuanto en todos ellos resulta imperativa la inclusión de la cláusula excepcional de terminación unilateral; así́ mismo podr</w:t>
      </w:r>
      <w:r w:rsidRPr="00DE0BB9">
        <w:rPr>
          <w:rFonts w:ascii="Century Gothic" w:hAnsi="Century Gothic" w:cs="Century Gothic"/>
          <w:sz w:val="20"/>
          <w:szCs w:val="20"/>
        </w:rPr>
        <w:t>í</w:t>
      </w:r>
      <w:r w:rsidRPr="00DE0BB9">
        <w:rPr>
          <w:rFonts w:ascii="Century Gothic" w:hAnsi="Century Gothic" w:cs="Arial"/>
          <w:sz w:val="20"/>
          <w:szCs w:val="20"/>
        </w:rPr>
        <w:t xml:space="preserve">a aplicarse en aquellos </w:t>
      </w:r>
      <w:r w:rsidRPr="00DE0BB9">
        <w:rPr>
          <w:rFonts w:ascii="Century Gothic" w:hAnsi="Century Gothic" w:cs="Arial"/>
          <w:i/>
          <w:iCs/>
          <w:sz w:val="20"/>
          <w:szCs w:val="20"/>
        </w:rPr>
        <w:t xml:space="preserve">f) “contratos de suministro” </w:t>
      </w:r>
      <w:r w:rsidRPr="00DE0BB9">
        <w:rPr>
          <w:rFonts w:ascii="Century Gothic" w:hAnsi="Century Gothic" w:cs="Arial"/>
          <w:sz w:val="20"/>
          <w:szCs w:val="20"/>
        </w:rPr>
        <w:t xml:space="preserve">y </w:t>
      </w:r>
      <w:r w:rsidRPr="00DE0BB9">
        <w:rPr>
          <w:rFonts w:ascii="Century Gothic" w:hAnsi="Century Gothic" w:cs="Arial"/>
          <w:i/>
          <w:iCs/>
          <w:sz w:val="20"/>
          <w:szCs w:val="20"/>
        </w:rPr>
        <w:t xml:space="preserve">g) </w:t>
      </w:r>
      <w:r w:rsidRPr="00DE0BB9">
        <w:rPr>
          <w:rFonts w:ascii="Century Gothic" w:hAnsi="Century Gothic" w:cs="Arial"/>
          <w:sz w:val="20"/>
          <w:szCs w:val="20"/>
        </w:rPr>
        <w:t xml:space="preserve">contratos </w:t>
      </w:r>
      <w:r w:rsidRPr="00DE0BB9">
        <w:rPr>
          <w:rFonts w:ascii="Century Gothic" w:hAnsi="Century Gothic" w:cs="Arial"/>
          <w:i/>
          <w:iCs/>
          <w:sz w:val="20"/>
          <w:szCs w:val="20"/>
        </w:rPr>
        <w:t xml:space="preserve">“de prestación de servicios”, </w:t>
      </w:r>
      <w:r w:rsidRPr="00DE0BB9">
        <w:rPr>
          <w:rFonts w:ascii="Century Gothic" w:hAnsi="Century Gothic" w:cs="Arial"/>
          <w:sz w:val="20"/>
          <w:szCs w:val="20"/>
        </w:rPr>
        <w:t xml:space="preserve">en los cuales se hubiere incluido expresamente esa cláusula excepcional, comoquiera que en estos dos (2) últimos dicha estipulación resulta facultativa y, por tanto, se encuentra expresamente autorizada por la ley su inclusión. </w:t>
      </w:r>
    </w:p>
    <w:p w14:paraId="078AE5D0" w14:textId="77777777" w:rsidR="0091438F" w:rsidRPr="00DE0BB9" w:rsidRDefault="0091438F" w:rsidP="0091438F">
      <w:pPr>
        <w:pStyle w:val="NormalWeb"/>
        <w:spacing w:after="0"/>
        <w:ind w:left="709" w:right="709"/>
        <w:jc w:val="both"/>
        <w:rPr>
          <w:rFonts w:ascii="Century Gothic" w:hAnsi="Century Gothic" w:cs="Arial"/>
          <w:sz w:val="20"/>
          <w:szCs w:val="20"/>
        </w:rPr>
      </w:pPr>
    </w:p>
    <w:p w14:paraId="769F113C" w14:textId="77777777" w:rsidR="0091438F" w:rsidRPr="00DE0BB9" w:rsidRDefault="0091438F" w:rsidP="0091438F">
      <w:pPr>
        <w:pStyle w:val="NormalWeb"/>
        <w:spacing w:after="0"/>
        <w:ind w:left="709" w:right="709"/>
        <w:jc w:val="both"/>
        <w:rPr>
          <w:rFonts w:ascii="Century Gothic" w:hAnsi="Century Gothic" w:cs="Arial"/>
          <w:sz w:val="20"/>
          <w:szCs w:val="20"/>
        </w:rPr>
      </w:pPr>
      <w:r w:rsidRPr="00DE0BB9">
        <w:rPr>
          <w:rFonts w:ascii="Century Gothic" w:hAnsi="Century Gothic" w:cs="Arial"/>
          <w:sz w:val="20"/>
          <w:szCs w:val="20"/>
        </w:rPr>
        <w:t xml:space="preserve">Tal como lo ordena el inciso 2o del numeral 1o del citado artículo 14 de la Ley 80, cada vez que una entidad estatal ejerza esta potestad excepcional de terminación unilateral </w:t>
      </w:r>
      <w:r w:rsidRPr="00DE0BB9">
        <w:rPr>
          <w:rFonts w:ascii="Century Gothic" w:hAnsi="Century Gothic" w:cs="Arial"/>
          <w:i/>
          <w:iCs/>
          <w:sz w:val="20"/>
          <w:szCs w:val="20"/>
        </w:rPr>
        <w:t>“(...) deberá́ procederse al reconocimiento y orden de pago de las compensaci</w:t>
      </w:r>
      <w:r w:rsidRPr="00DE0BB9">
        <w:rPr>
          <w:rFonts w:ascii="Century Gothic" w:hAnsi="Century Gothic" w:cs="Century Gothic"/>
          <w:i/>
          <w:iCs/>
          <w:sz w:val="20"/>
          <w:szCs w:val="20"/>
        </w:rPr>
        <w:t>ó</w:t>
      </w:r>
      <w:r w:rsidRPr="00DE0BB9">
        <w:rPr>
          <w:rFonts w:ascii="Century Gothic" w:hAnsi="Century Gothic" w:cs="Arial"/>
          <w:i/>
          <w:iCs/>
          <w:sz w:val="20"/>
          <w:szCs w:val="20"/>
        </w:rPr>
        <w:t>n e indemnizaciones a que tengan derecho las personas objeto de tales medidas y se aplicar</w:t>
      </w:r>
      <w:r w:rsidRPr="00DE0BB9">
        <w:rPr>
          <w:rFonts w:ascii="Century Gothic" w:hAnsi="Century Gothic" w:cs="Century Gothic"/>
          <w:i/>
          <w:iCs/>
          <w:sz w:val="20"/>
          <w:szCs w:val="20"/>
        </w:rPr>
        <w:t>á</w:t>
      </w:r>
      <w:r w:rsidRPr="00DE0BB9">
        <w:rPr>
          <w:rFonts w:ascii="Century Gothic" w:hAnsi="Century Gothic" w:cs="Arial"/>
          <w:i/>
          <w:iCs/>
          <w:sz w:val="20"/>
          <w:szCs w:val="20"/>
        </w:rPr>
        <w:t>n los mecanismos de ajuste de las condiciones y t</w:t>
      </w:r>
      <w:r w:rsidRPr="00DE0BB9">
        <w:rPr>
          <w:rFonts w:ascii="Century Gothic" w:hAnsi="Century Gothic" w:cs="Century Gothic"/>
          <w:i/>
          <w:iCs/>
          <w:sz w:val="20"/>
          <w:szCs w:val="20"/>
        </w:rPr>
        <w:t>é</w:t>
      </w:r>
      <w:r w:rsidRPr="00DE0BB9">
        <w:rPr>
          <w:rFonts w:ascii="Century Gothic" w:hAnsi="Century Gothic" w:cs="Arial"/>
          <w:i/>
          <w:iCs/>
          <w:sz w:val="20"/>
          <w:szCs w:val="20"/>
        </w:rPr>
        <w:t>rminos contractuales a que haya lugar, todo ello con el fin de mantener la ecuaci</w:t>
      </w:r>
      <w:r w:rsidRPr="00DE0BB9">
        <w:rPr>
          <w:rFonts w:ascii="Century Gothic" w:hAnsi="Century Gothic" w:cs="Century Gothic"/>
          <w:i/>
          <w:iCs/>
          <w:sz w:val="20"/>
          <w:szCs w:val="20"/>
        </w:rPr>
        <w:t>ó</w:t>
      </w:r>
      <w:r w:rsidRPr="00DE0BB9">
        <w:rPr>
          <w:rFonts w:ascii="Century Gothic" w:hAnsi="Century Gothic" w:cs="Arial"/>
          <w:i/>
          <w:iCs/>
          <w:sz w:val="20"/>
          <w:szCs w:val="20"/>
        </w:rPr>
        <w:t>n o equilibrio inicial</w:t>
      </w:r>
      <w:r w:rsidRPr="00DE0BB9">
        <w:rPr>
          <w:rFonts w:ascii="Century Gothic" w:hAnsi="Century Gothic" w:cs="Century Gothic"/>
          <w:i/>
          <w:iCs/>
          <w:sz w:val="20"/>
          <w:szCs w:val="20"/>
        </w:rPr>
        <w:t>”</w:t>
      </w:r>
      <w:r w:rsidRPr="00DE0BB9">
        <w:rPr>
          <w:rFonts w:ascii="Century Gothic" w:hAnsi="Century Gothic" w:cs="Arial"/>
          <w:i/>
          <w:iCs/>
          <w:sz w:val="20"/>
          <w:szCs w:val="20"/>
        </w:rPr>
        <w:t xml:space="preserve">. </w:t>
      </w:r>
    </w:p>
    <w:p w14:paraId="4F651F3C" w14:textId="77777777" w:rsidR="0091438F" w:rsidRPr="00DE0BB9" w:rsidRDefault="0091438F" w:rsidP="0091438F">
      <w:pPr>
        <w:pStyle w:val="NormalWeb"/>
        <w:spacing w:after="0"/>
        <w:ind w:left="709" w:right="709"/>
        <w:jc w:val="both"/>
        <w:rPr>
          <w:rFonts w:ascii="Century Gothic" w:hAnsi="Century Gothic" w:cs="Arial"/>
          <w:sz w:val="21"/>
          <w:szCs w:val="21"/>
        </w:rPr>
      </w:pPr>
    </w:p>
    <w:p w14:paraId="756C251F" w14:textId="77777777" w:rsidR="0091438F" w:rsidRPr="00DE0BB9" w:rsidRDefault="0091438F" w:rsidP="0091438F">
      <w:pPr>
        <w:pStyle w:val="NormalWeb"/>
        <w:spacing w:after="0"/>
        <w:ind w:left="709" w:right="709"/>
        <w:jc w:val="both"/>
        <w:rPr>
          <w:rFonts w:ascii="Century Gothic" w:hAnsi="Century Gothic" w:cs="Arial"/>
          <w:sz w:val="20"/>
          <w:szCs w:val="20"/>
        </w:rPr>
      </w:pPr>
      <w:r w:rsidRPr="00DE0BB9">
        <w:rPr>
          <w:rFonts w:ascii="Century Gothic" w:hAnsi="Century Gothic" w:cs="Arial"/>
          <w:sz w:val="20"/>
          <w:szCs w:val="20"/>
        </w:rPr>
        <w:t>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afectado, lo cual, además, encuentra explicación suficiente en las causales, expresamente consagradas en la ley, que dan lugar a su aplicación.”</w:t>
      </w:r>
      <w:r w:rsidRPr="00DE0BB9">
        <w:rPr>
          <w:rStyle w:val="Refdenotaalpie"/>
          <w:rFonts w:ascii="Century Gothic" w:hAnsi="Century Gothic" w:cs="Arial"/>
          <w:sz w:val="20"/>
          <w:szCs w:val="20"/>
        </w:rPr>
        <w:footnoteReference w:id="27"/>
      </w:r>
    </w:p>
    <w:p w14:paraId="50D91EC8" w14:textId="77777777" w:rsidR="0091438F" w:rsidRPr="00DE0BB9" w:rsidRDefault="0091438F" w:rsidP="0091438F">
      <w:pPr>
        <w:pStyle w:val="NormalWeb"/>
        <w:spacing w:after="0"/>
        <w:ind w:left="709" w:right="709"/>
        <w:jc w:val="both"/>
        <w:rPr>
          <w:rFonts w:ascii="Century Gothic" w:hAnsi="Century Gothic" w:cs="Arial"/>
          <w:sz w:val="21"/>
          <w:szCs w:val="21"/>
        </w:rPr>
      </w:pPr>
    </w:p>
    <w:p w14:paraId="347EB6B3" w14:textId="77777777" w:rsidR="0091438F" w:rsidRPr="00DE0BB9" w:rsidRDefault="0091438F" w:rsidP="0091438F">
      <w:pPr>
        <w:spacing w:after="120" w:line="276" w:lineRule="auto"/>
        <w:ind w:firstLine="709"/>
        <w:jc w:val="both"/>
        <w:rPr>
          <w:rFonts w:ascii="Century Gothic" w:hAnsi="Century Gothic" w:cs="Arial"/>
          <w:color w:val="000000"/>
          <w:shd w:val="clear" w:color="auto" w:fill="FFFFFF"/>
          <w:lang w:eastAsia="es-CO"/>
        </w:rPr>
      </w:pPr>
      <w:r w:rsidRPr="00DE0BB9">
        <w:rPr>
          <w:rFonts w:ascii="Century Gothic" w:hAnsi="Century Gothic" w:cs="Arial"/>
        </w:rPr>
        <w:t xml:space="preserve">Conforme a lo anterior, la terminación unilateral del contrato </w:t>
      </w:r>
      <w:r w:rsidRPr="00DE0BB9">
        <w:rPr>
          <w:rFonts w:ascii="Century Gothic" w:hAnsi="Century Gothic" w:cs="Arial"/>
          <w:color w:val="000000"/>
          <w:shd w:val="clear" w:color="auto" w:fill="FFFFFF"/>
        </w:rPr>
        <w:t xml:space="preserve">es una prerrogativa excepcional que, lejos de fungir como un acto represivo contra el contratista o en contra de la ejecución del contrato mismo, constituye una herramienta cuyo fin exclusivo es el de lograr el cabal cumplimiento de los cometidos estatales. En todo caso, el ejercicio de esta potestad supone el reconocimiento y pago de las compensaciones e indemnizaciones a las que haya </w:t>
      </w:r>
      <w:r w:rsidRPr="00DE0BB9">
        <w:rPr>
          <w:rFonts w:ascii="Century Gothic" w:hAnsi="Century Gothic" w:cs="Arial"/>
          <w:color w:val="000000"/>
          <w:shd w:val="clear" w:color="auto" w:fill="FFFFFF"/>
        </w:rPr>
        <w:lastRenderedPageBreak/>
        <w:t xml:space="preserve">lugar, así como la aplicación de los mecanismos de reajuste. </w:t>
      </w:r>
      <w:r w:rsidRPr="00DE0BB9">
        <w:rPr>
          <w:rFonts w:ascii="Century Gothic" w:hAnsi="Century Gothic" w:cs="Arial"/>
          <w:color w:val="000000"/>
          <w:shd w:val="clear" w:color="auto" w:fill="FFFFFF"/>
          <w:lang w:eastAsia="es-CO"/>
        </w:rPr>
        <w:t xml:space="preserve">Lo anterior indica que la terminación unilateral del contrato estatal no entraña una sanción, por lo que,  a partir de su ejecutoria no se genera inhabilidad para el contratista por este solo hecho. </w:t>
      </w:r>
    </w:p>
    <w:p w14:paraId="7C33B4E9" w14:textId="77777777" w:rsidR="0091438F" w:rsidRPr="00DE0BB9" w:rsidRDefault="0091438F" w:rsidP="0091438F">
      <w:pPr>
        <w:pStyle w:val="NormalWeb"/>
        <w:spacing w:after="120" w:line="276" w:lineRule="auto"/>
        <w:ind w:firstLine="709"/>
        <w:jc w:val="both"/>
        <w:rPr>
          <w:rFonts w:ascii="Century Gothic" w:hAnsi="Century Gothic" w:cs="Arial"/>
          <w:sz w:val="22"/>
          <w:szCs w:val="22"/>
        </w:rPr>
      </w:pPr>
      <w:r w:rsidRPr="00DE0BB9">
        <w:rPr>
          <w:rFonts w:ascii="Century Gothic" w:hAnsi="Century Gothic" w:cs="Arial"/>
          <w:sz w:val="22"/>
          <w:szCs w:val="22"/>
        </w:rPr>
        <w:t>Para efectos de resolver la consulta planteada, es necesario analizar la causal de terminación unilateral consagrada en el numeral 2 del artículo 17 de la Ley 80 de 1993.</w:t>
      </w:r>
      <w:r w:rsidRPr="00DE0BB9">
        <w:rPr>
          <w:rFonts w:ascii="Century Gothic" w:hAnsi="Century Gothic" w:cs="Arial"/>
          <w:sz w:val="21"/>
          <w:szCs w:val="21"/>
        </w:rPr>
        <w:t xml:space="preserve"> </w:t>
      </w:r>
      <w:r w:rsidRPr="00DE0BB9">
        <w:rPr>
          <w:rFonts w:ascii="Century Gothic" w:hAnsi="Century Gothic" w:cs="Arial"/>
          <w:sz w:val="22"/>
          <w:szCs w:val="22"/>
        </w:rPr>
        <w:t xml:space="preserve">Esta norma, prevé como supuestos de hecho que ameritan la terminación unilateral y anticipada del contrato la “[…] muerte o incapacidad física permanente del contratista, si es persona natural, o por disolución de la persona jurídica del contratista”. Esta causal se explica, tanto para la persona natural como para la persona jurídica, por la naturaleza </w:t>
      </w:r>
      <w:r w:rsidRPr="00DE0BB9">
        <w:rPr>
          <w:rFonts w:ascii="Century Gothic" w:hAnsi="Century Gothic" w:cs="Arial"/>
          <w:i/>
          <w:iCs/>
          <w:sz w:val="22"/>
          <w:szCs w:val="22"/>
        </w:rPr>
        <w:t>intuito personae</w:t>
      </w:r>
      <w:r w:rsidRPr="00DE0BB9">
        <w:rPr>
          <w:rFonts w:ascii="Century Gothic" w:hAnsi="Century Gothic" w:cs="Arial"/>
          <w:sz w:val="22"/>
          <w:szCs w:val="22"/>
        </w:rPr>
        <w:t xml:space="preserve"> del contrato estatal, según lo previsto en el inciso tercero del artículo 41 de la Ley 80 de 1993</w:t>
      </w:r>
      <w:r w:rsidRPr="00DE0BB9">
        <w:rPr>
          <w:rStyle w:val="Refdenotaalpie"/>
          <w:rFonts w:ascii="Century Gothic" w:hAnsi="Century Gothic" w:cs="Arial"/>
          <w:sz w:val="22"/>
          <w:szCs w:val="22"/>
        </w:rPr>
        <w:footnoteReference w:id="28"/>
      </w:r>
      <w:r w:rsidRPr="00DE0BB9">
        <w:rPr>
          <w:rFonts w:ascii="Century Gothic" w:hAnsi="Century Gothic" w:cs="Arial"/>
          <w:sz w:val="22"/>
          <w:szCs w:val="22"/>
        </w:rPr>
        <w:t>. Por ello, la muerte o discapacidad 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aun considerado que tales calidades no se trasmiten a sus herederos o causahabientes</w:t>
      </w:r>
      <w:r w:rsidRPr="00DE0BB9">
        <w:rPr>
          <w:rStyle w:val="Refdenotaalpie"/>
          <w:rFonts w:ascii="Century Gothic" w:hAnsi="Century Gothic" w:cs="Arial"/>
          <w:sz w:val="22"/>
          <w:szCs w:val="22"/>
        </w:rPr>
        <w:footnoteReference w:id="29"/>
      </w:r>
      <w:r w:rsidRPr="00DE0BB9">
        <w:rPr>
          <w:rFonts w:ascii="Century Gothic" w:hAnsi="Century Gothic" w:cs="Arial"/>
          <w:sz w:val="22"/>
          <w:szCs w:val="22"/>
        </w:rPr>
        <w:t>.</w:t>
      </w:r>
    </w:p>
    <w:p w14:paraId="66B03E36" w14:textId="77777777" w:rsidR="0091438F" w:rsidRPr="00DE0BB9" w:rsidRDefault="0091438F" w:rsidP="0091438F">
      <w:pPr>
        <w:spacing w:before="120" w:after="120" w:line="276" w:lineRule="auto"/>
        <w:ind w:firstLine="708"/>
        <w:jc w:val="both"/>
        <w:rPr>
          <w:rFonts w:ascii="Century Gothic" w:hAnsi="Century Gothic" w:cs="Arial"/>
          <w:color w:val="000000" w:themeColor="text1"/>
        </w:rPr>
      </w:pPr>
      <w:r w:rsidRPr="00DE0BB9">
        <w:rPr>
          <w:rFonts w:ascii="Century Gothic" w:hAnsi="Century Gothic" w:cs="Arial"/>
        </w:rPr>
        <w:t>Con todo, en aplicación del derecho civil, la muerte de una persona natural puede implicar la apertura de un proceso de sucesión, mediante el cual se transmiten todos los derechos y obligaciones que estaban a nombre del causante</w:t>
      </w:r>
      <w:r w:rsidRPr="00DE0BB9">
        <w:rPr>
          <w:rStyle w:val="Refdenotaalpie"/>
          <w:rFonts w:ascii="Century Gothic" w:hAnsi="Century Gothic" w:cs="Arial"/>
        </w:rPr>
        <w:footnoteReference w:id="30"/>
      </w:r>
      <w:r w:rsidRPr="00DE0BB9">
        <w:rPr>
          <w:rFonts w:ascii="Century Gothic" w:hAnsi="Century Gothic" w:cs="Arial"/>
        </w:rPr>
        <w:t xml:space="preserve">, es decir, si el causante tenía un contrato vigente al momento de fallecer, esta posición podría llegar a ser ocupada por sus herederos, si cumplen </w:t>
      </w:r>
      <w:r w:rsidRPr="00DE0BB9">
        <w:rPr>
          <w:rFonts w:ascii="Century Gothic" w:hAnsi="Century Gothic" w:cs="Arial"/>
        </w:rPr>
        <w:lastRenderedPageBreak/>
        <w:t>con las condiciones necesarias para ejecutar el contrato.</w:t>
      </w:r>
      <w:r w:rsidRPr="00DE0BB9">
        <w:rPr>
          <w:rFonts w:ascii="Century Gothic" w:hAnsi="Century Gothic" w:cs="Arial"/>
          <w:color w:val="000000" w:themeColor="text1"/>
        </w:rPr>
        <w:t xml:space="preserve"> Lo anterior ha sido reconocido por parte del Consejo de Estado, donde ha puesto de presente: “[…] </w:t>
      </w:r>
      <w:r w:rsidRPr="00DE0BB9">
        <w:rPr>
          <w:rFonts w:ascii="Century Gothic" w:hAnsi="Century Gothic" w:cs="Arial"/>
        </w:rPr>
        <w:t>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DE0BB9">
        <w:rPr>
          <w:rFonts w:ascii="Century Gothic" w:hAnsi="Century Gothic" w:cs="Arial"/>
          <w:noProof/>
          <w:lang w:val="es-ES_tradnl"/>
        </w:rPr>
        <w:t>”.</w:t>
      </w:r>
      <w:r w:rsidRPr="00DE0BB9">
        <w:rPr>
          <w:rStyle w:val="Refdenotaalpie"/>
          <w:rFonts w:ascii="Century Gothic" w:hAnsi="Century Gothic" w:cs="Arial"/>
        </w:rPr>
        <w:footnoteReference w:id="31"/>
      </w:r>
    </w:p>
    <w:p w14:paraId="124F894B" w14:textId="77777777" w:rsidR="0091438F" w:rsidRPr="00DE0BB9" w:rsidRDefault="0091438F" w:rsidP="0091438F">
      <w:pPr>
        <w:spacing w:before="120" w:after="120" w:line="276" w:lineRule="auto"/>
        <w:ind w:firstLine="708"/>
        <w:jc w:val="both"/>
        <w:rPr>
          <w:rFonts w:ascii="Century Gothic" w:hAnsi="Century Gothic" w:cs="Arial"/>
          <w:noProof/>
          <w:lang w:val="es-ES_tradnl"/>
        </w:rPr>
      </w:pPr>
      <w:r w:rsidRPr="00DE0BB9">
        <w:rPr>
          <w:rFonts w:ascii="Century Gothic" w:hAnsi="Century Gothic" w:cs="Arial"/>
        </w:rPr>
        <w:t xml:space="preserve">Además, sea para contratistas persona natural o persona jurídica, el inciso final del artículo 17 de la Ley 80 de 1993 dispone que “[…] </w:t>
      </w:r>
      <w:r w:rsidRPr="00DE0BB9">
        <w:rPr>
          <w:rFonts w:ascii="Century Gothic" w:hAnsi="Century Gothic" w:cs="Arial"/>
          <w:color w:val="000000" w:themeColor="text1"/>
        </w:rPr>
        <w:t>en los casos a que se refieren los numerales 2o. y 3o. de este artículo podrá continuarse la ejecución con el garante de la obligación</w:t>
      </w:r>
      <w:r w:rsidRPr="00DE0BB9">
        <w:rPr>
          <w:rFonts w:ascii="Century Gothic" w:hAnsi="Century Gothic" w:cs="Arial"/>
          <w:noProof/>
          <w:lang w:val="es-ES_tradnl"/>
        </w:rPr>
        <w:t xml:space="preserve">”. Es decir, si la persona natural muere o es declarada con incapacidad fisica permanente o si la persona jurídica se disuelve, la ejecución contractual puede continuar con el garante de la obligación. </w:t>
      </w:r>
    </w:p>
    <w:p w14:paraId="1052B666" w14:textId="77777777" w:rsidR="0091438F" w:rsidRPr="00DE0BB9" w:rsidRDefault="0091438F" w:rsidP="0091438F">
      <w:pPr>
        <w:spacing w:before="120" w:after="120" w:line="276" w:lineRule="auto"/>
        <w:ind w:firstLine="708"/>
        <w:jc w:val="both"/>
        <w:rPr>
          <w:rFonts w:ascii="Century Gothic" w:eastAsia="Calibri" w:hAnsi="Century Gothic" w:cs="Arial"/>
          <w:noProof/>
          <w:lang w:val="es-ES_tradnl"/>
        </w:rPr>
      </w:pPr>
      <w:r w:rsidRPr="00DE0BB9">
        <w:rPr>
          <w:rFonts w:ascii="Century Gothic" w:hAnsi="Century Gothic" w:cs="Arial"/>
          <w:noProof/>
          <w:lang w:val="es-ES_tradnl"/>
        </w:rPr>
        <w:t xml:space="preserve">Su consulta indaga en particular sobre la procedencia de aplicar la referida causal de términación unilateral en eventos en los que se presenta la muerte o la disolución de alguna de las personas naturales o juridicas que integran un concorcio. Ciertamente, el texto de la causal no alude a consorcios, uniones temporales o contratistas plurales, de lo que se colige la relavancia de la consulta. Esto considerando que, conforme a lo establecido </w:t>
      </w:r>
      <w:r w:rsidRPr="00DE0BB9">
        <w:rPr>
          <w:rFonts w:ascii="Century Gothic" w:hAnsi="Century Gothic" w:cs="Arial"/>
          <w:i/>
          <w:iCs/>
          <w:noProof/>
          <w:lang w:val="es-ES_tradnl"/>
        </w:rPr>
        <w:t xml:space="preserve">ut supra, </w:t>
      </w:r>
      <w:r w:rsidRPr="00DE0BB9">
        <w:rPr>
          <w:rFonts w:ascii="Century Gothic" w:eastAsia="Calibri" w:hAnsi="Century Gothic" w:cs="Arial"/>
          <w:noProof/>
          <w:lang w:val="es-ES_tradnl"/>
        </w:rPr>
        <w:t xml:space="preserve">los consorcios y uniones temporales no constituyen personas jurídicas distintas de sus socios, sino que corresponden a esquemas asociativos entre privados, conformados de cara a la adjudicación y ejecución de un contrato.  </w:t>
      </w:r>
    </w:p>
    <w:p w14:paraId="502C2AB7" w14:textId="77777777" w:rsidR="0091438F" w:rsidRPr="00DE0BB9" w:rsidRDefault="0091438F" w:rsidP="0091438F">
      <w:pPr>
        <w:spacing w:before="120" w:line="276" w:lineRule="auto"/>
        <w:ind w:firstLine="708"/>
        <w:jc w:val="both"/>
        <w:rPr>
          <w:rFonts w:ascii="Century Gothic" w:hAnsi="Century Gothic" w:cs="Arial"/>
          <w:noProof/>
          <w:sz w:val="21"/>
          <w:szCs w:val="21"/>
          <w:lang w:val="es-ES_tradnl"/>
        </w:rPr>
      </w:pPr>
      <w:r w:rsidRPr="00DE0BB9">
        <w:rPr>
          <w:rFonts w:ascii="Century Gothic" w:hAnsi="Century Gothic" w:cs="Arial"/>
          <w:noProof/>
          <w:lang w:val="es-ES_tradnl"/>
        </w:rPr>
        <w:t>Sin embargo, debe advertirse que, ni la particular naturaleza juridica de los consorcios y uniones temporales, ni el hecho de que el numeral 2 del artículo 17 de la Ley 80 de 1993 no los mencione de manera expresa, suponen motivos que descarten la posibilidad de aplicar esta causal de términación unilateral del contrato a proponentes plurales. Esto comoquiera, de cualquier modo, los integrantes de los proponentes plurales son personas naturales o juridicas, suceptibles de ubicarse dentro de los supuestos de hecho contemplados en la norma. Sobre el particular, la doctrina se ha pronunciado en el sentido de avalar la procedencia de la aplicación de esta causal en los casos en los que se presenta la muerte de los integrantes de un proponente plural. En este sentido el autor Pino Ricci ha manifestado:</w:t>
      </w:r>
      <w:r w:rsidRPr="00BF1C9F">
        <w:rPr>
          <w:rFonts w:ascii="Century Gothic" w:hAnsi="Century Gothic" w:cs="Arial"/>
          <w:noProof/>
          <w:lang w:val="es-ES_tradnl"/>
        </w:rPr>
        <w:t xml:space="preserve"> </w:t>
      </w:r>
      <w:r w:rsidRPr="00DE0BB9">
        <w:rPr>
          <w:rFonts w:ascii="Century Gothic" w:hAnsi="Century Gothic" w:cs="Arial"/>
        </w:rPr>
        <w:t>“</w:t>
      </w:r>
      <w:r w:rsidRPr="00DE0BB9">
        <w:rPr>
          <w:rFonts w:ascii="Century Gothic" w:hAnsi="Century Gothic" w:cs="Arial"/>
          <w:i/>
          <w:iCs/>
          <w:noProof/>
          <w:lang w:val="es-ES_tradnl"/>
        </w:rPr>
        <w:t xml:space="preserve">La muerte del contratista genera la terminación unilateral del contrato. Las entidades estatales no pueden asumir las consecuencias de la </w:t>
      </w:r>
      <w:r w:rsidRPr="00DE0BB9">
        <w:rPr>
          <w:rFonts w:ascii="Century Gothic" w:hAnsi="Century Gothic" w:cs="Arial"/>
          <w:i/>
          <w:iCs/>
          <w:noProof/>
          <w:lang w:val="es-ES_tradnl"/>
        </w:rPr>
        <w:lastRenderedPageBreak/>
        <w:t>muerte del contratista frente a sus derechos y obligaciones, particularmente lo relacionado con el juicio o trámite de la sucesión. En el caso de los consorcios y uniones temporales, la muerte de uno de sus integrantes también genera la terminación unilateral del contrato</w:t>
      </w:r>
      <w:r w:rsidRPr="00DE0BB9">
        <w:rPr>
          <w:rFonts w:ascii="Century Gothic" w:hAnsi="Century Gothic" w:cs="Arial"/>
          <w:i/>
          <w:iCs/>
        </w:rPr>
        <w:t>”</w:t>
      </w:r>
      <w:r w:rsidRPr="00DE0BB9">
        <w:rPr>
          <w:rStyle w:val="Refdenotaalpie"/>
          <w:rFonts w:ascii="Century Gothic" w:hAnsi="Century Gothic" w:cs="Arial"/>
          <w:noProof/>
          <w:lang w:val="es-ES_tradnl"/>
        </w:rPr>
        <w:footnoteReference w:id="32"/>
      </w:r>
      <w:r>
        <w:rPr>
          <w:rFonts w:ascii="Century Gothic" w:hAnsi="Century Gothic" w:cs="Arial"/>
        </w:rPr>
        <w:t>.</w:t>
      </w:r>
    </w:p>
    <w:p w14:paraId="496F8925" w14:textId="77777777" w:rsidR="0091438F" w:rsidRPr="00DE0BB9" w:rsidRDefault="0091438F" w:rsidP="0091438F">
      <w:pPr>
        <w:spacing w:line="276" w:lineRule="auto"/>
        <w:ind w:firstLine="708"/>
        <w:jc w:val="both"/>
        <w:rPr>
          <w:rFonts w:ascii="Century Gothic" w:hAnsi="Century Gothic" w:cs="Arial"/>
          <w:noProof/>
          <w:lang w:val="es-ES_tradnl"/>
        </w:rPr>
      </w:pPr>
      <w:r w:rsidRPr="00DE0BB9">
        <w:rPr>
          <w:rFonts w:ascii="Century Gothic" w:hAnsi="Century Gothic" w:cs="Arial"/>
          <w:noProof/>
          <w:lang w:val="es-ES_tradnl"/>
        </w:rPr>
        <w:t>En el mismo sentido, Palacio Hincapié sostiene que la muerte de uno de los integrantes de un consorcio o unión temporal justifica la terminación del contrato, puesto que los demás integrantes del proponente plural no podrían asumir obligaciones del integrante fallecido, considerando la prohibición de cesiones entre los integrantes establecida en la segunda parte del inciso tercero del artículo 9 de la Ley 80 de 1993</w:t>
      </w:r>
      <w:r w:rsidRPr="00DE0BB9">
        <w:rPr>
          <w:rStyle w:val="Refdenotaalpie"/>
          <w:rFonts w:ascii="Century Gothic" w:hAnsi="Century Gothic" w:cs="Arial"/>
          <w:noProof/>
          <w:lang w:val="es-ES_tradnl"/>
        </w:rPr>
        <w:footnoteReference w:id="33"/>
      </w:r>
      <w:r w:rsidRPr="00DE0BB9">
        <w:rPr>
          <w:rFonts w:ascii="Century Gothic" w:hAnsi="Century Gothic" w:cs="Arial"/>
          <w:noProof/>
          <w:lang w:val="es-ES_tradnl"/>
        </w:rPr>
        <w:t>. Al respecto afirma:</w:t>
      </w:r>
    </w:p>
    <w:p w14:paraId="56ED220A" w14:textId="77777777" w:rsidR="0091438F" w:rsidRPr="00DE0BB9" w:rsidRDefault="0091438F" w:rsidP="0091438F">
      <w:pPr>
        <w:ind w:left="709" w:right="709"/>
        <w:jc w:val="both"/>
        <w:rPr>
          <w:rFonts w:ascii="Century Gothic" w:hAnsi="Century Gothic" w:cs="Arial"/>
          <w:noProof/>
          <w:sz w:val="21"/>
          <w:szCs w:val="21"/>
          <w:lang w:val="es-ES_tradnl"/>
        </w:rPr>
      </w:pPr>
      <w:r w:rsidRPr="00DE0BB9">
        <w:rPr>
          <w:rFonts w:ascii="Century Gothic" w:hAnsi="Century Gothic" w:cs="Arial"/>
          <w:sz w:val="21"/>
          <w:szCs w:val="21"/>
        </w:rPr>
        <w:t>“</w:t>
      </w:r>
      <w:r w:rsidRPr="00DE0BB9">
        <w:rPr>
          <w:rFonts w:ascii="Century Gothic" w:hAnsi="Century Gothic" w:cs="Arial"/>
          <w:noProof/>
          <w:sz w:val="21"/>
          <w:szCs w:val="21"/>
          <w:lang w:val="es-ES_tradnl"/>
        </w:rPr>
        <w:t>La terminación unilateral en este evento no es una sanción al contratista, sino la simple reafirmación de que un contrato es intuito personae y no, como lo sostienen algunos, que es por la reducción a una sola parte, dando lugar a la terminación del vínculo; y no lo es porque las partes continúan para los efectos de la liquidación del contrato y para la responsabilidad a que haya lugar, ya que la Administración tendrá derechos y deberes en relación con los causahabientes del contratista. […] Si la muerte recae en uno de los integrantes del consorcio o de la unión temporal, la consecuencia jurídica es la misma, pues el otro integrante del consorcio no puede asumir las obligaciones de quien dejó de existir, pues está prohibida la cesión entre los integrantes del consorcio y de la unión temporal</w:t>
      </w:r>
      <w:r w:rsidRPr="00DE0BB9">
        <w:rPr>
          <w:rFonts w:ascii="Century Gothic" w:hAnsi="Century Gothic" w:cs="Arial"/>
          <w:sz w:val="21"/>
          <w:szCs w:val="21"/>
        </w:rPr>
        <w:t>”</w:t>
      </w:r>
      <w:r w:rsidRPr="00DE0BB9">
        <w:rPr>
          <w:rStyle w:val="Refdenotaalpie"/>
          <w:rFonts w:ascii="Century Gothic" w:hAnsi="Century Gothic" w:cs="Arial"/>
          <w:noProof/>
          <w:sz w:val="21"/>
          <w:szCs w:val="21"/>
          <w:lang w:val="es-ES_tradnl"/>
        </w:rPr>
        <w:footnoteReference w:id="34"/>
      </w:r>
    </w:p>
    <w:p w14:paraId="623FAC0D" w14:textId="77777777" w:rsidR="0091438F" w:rsidRPr="00DE0BB9" w:rsidRDefault="0091438F" w:rsidP="0091438F">
      <w:pPr>
        <w:spacing w:after="120" w:line="276" w:lineRule="auto"/>
        <w:ind w:firstLine="708"/>
        <w:jc w:val="both"/>
        <w:rPr>
          <w:rFonts w:ascii="Century Gothic" w:hAnsi="Century Gothic" w:cs="Arial"/>
        </w:rPr>
      </w:pPr>
      <w:r w:rsidRPr="00DE0BB9">
        <w:rPr>
          <w:rFonts w:ascii="Century Gothic" w:hAnsi="Century Gothic" w:cs="Arial"/>
          <w:noProof/>
          <w:lang w:val="es-ES_tradnl"/>
        </w:rPr>
        <w:lastRenderedPageBreak/>
        <w:t xml:space="preserve">Según estas consideraciones, la causal del numeral 2 del artículo 17 de la Ley 80 de 1993 resulta aplicable a eventos como el descrito en la consulta, en los que se presenta la disolución de uno de los integrantes de un consorcio o una unión temporal. Esto no sólo se justificaría en la imposibilidad de los demás miembros del consorcio de cederse entre sí el componente de ejecución del contrato que correspondía al integrante fallecido, sino también en el carácter </w:t>
      </w:r>
      <w:r w:rsidRPr="00DE0BB9">
        <w:rPr>
          <w:rFonts w:ascii="Century Gothic" w:hAnsi="Century Gothic" w:cs="Arial"/>
          <w:i/>
          <w:iCs/>
        </w:rPr>
        <w:t xml:space="preserve">intuito personae </w:t>
      </w:r>
      <w:r w:rsidRPr="00DE0BB9">
        <w:rPr>
          <w:rFonts w:ascii="Century Gothic" w:hAnsi="Century Gothic" w:cs="Arial"/>
        </w:rPr>
        <w:t>del</w:t>
      </w:r>
      <w:r w:rsidRPr="00DE0BB9">
        <w:rPr>
          <w:rFonts w:ascii="Century Gothic" w:hAnsi="Century Gothic" w:cs="Arial"/>
          <w:i/>
          <w:iCs/>
        </w:rPr>
        <w:t xml:space="preserve"> </w:t>
      </w:r>
      <w:r w:rsidRPr="00DE0BB9">
        <w:rPr>
          <w:rFonts w:ascii="Century Gothic" w:hAnsi="Century Gothic" w:cs="Arial"/>
        </w:rPr>
        <w:t xml:space="preserve">contrato, que se vería afectado por la falta de una de las personas cuyas calidades, aunadas con las demás integrantes, determinaron la escogencia del consorcio como contratista. </w:t>
      </w:r>
    </w:p>
    <w:p w14:paraId="3FB8676F" w14:textId="77777777" w:rsidR="0091438F" w:rsidRPr="00DE0BB9" w:rsidRDefault="0091438F" w:rsidP="0091438F">
      <w:pPr>
        <w:spacing w:after="120" w:line="276" w:lineRule="auto"/>
        <w:ind w:firstLine="708"/>
        <w:jc w:val="both"/>
        <w:rPr>
          <w:rFonts w:ascii="Century Gothic" w:hAnsi="Century Gothic" w:cs="Arial"/>
          <w:noProof/>
          <w:lang w:val="es-ES_tradnl"/>
        </w:rPr>
      </w:pPr>
      <w:r w:rsidRPr="00DE0BB9">
        <w:rPr>
          <w:rFonts w:ascii="Century Gothic" w:hAnsi="Century Gothic" w:cs="Arial"/>
        </w:rPr>
        <w:t xml:space="preserve">Lo anterior permite concluir, con apoyo en la doctrina, que, ante la disolución de uno de los miembros de un consorcio, en principio, resultaría procedente el ejercicio de la potestad de terminación unilateral, considerando </w:t>
      </w:r>
      <w:r w:rsidRPr="00DE0BB9">
        <w:rPr>
          <w:rFonts w:ascii="Century Gothic" w:hAnsi="Century Gothic" w:cs="Arial"/>
          <w:noProof/>
          <w:lang w:val="es-ES_tradnl"/>
        </w:rPr>
        <w:t xml:space="preserve">que la prestación de un servicio y el desarrollo de un contrato podrían afectarse gravemente por este hecho, el cual supone la ausencia de una de las personas encargadas de ejecutar determinado porcentaje o componente del contrato. En ese sentido, en este evento la facultad de dar por terminado de manera unilateral y anticipada el contrato se ofrece como una herramienta para que las entidades estatales puedan garantizar la continua prestación de servicios a su cargo y el cumplimiento de los fines del contrato.  </w:t>
      </w:r>
    </w:p>
    <w:p w14:paraId="2064D8B4" w14:textId="77777777" w:rsidR="0091438F" w:rsidRPr="00DE0BB9" w:rsidRDefault="0091438F" w:rsidP="0091438F">
      <w:pPr>
        <w:spacing w:after="120" w:line="276" w:lineRule="auto"/>
        <w:ind w:firstLine="709"/>
        <w:jc w:val="both"/>
        <w:rPr>
          <w:rFonts w:ascii="Century Gothic" w:hAnsi="Century Gothic" w:cs="Arial"/>
          <w:noProof/>
          <w:lang w:val="es-ES_tradnl"/>
        </w:rPr>
      </w:pPr>
      <w:r w:rsidRPr="00DE0BB9">
        <w:rPr>
          <w:rFonts w:ascii="Century Gothic" w:hAnsi="Century Gothic" w:cs="Arial"/>
          <w:noProof/>
          <w:lang w:val="es-ES_tradnl"/>
        </w:rPr>
        <w:t xml:space="preserve">Sin perjucio de lo anterior, corresponde a cada entidad estatal realizar el análisis  respectivo que permita establecer si las circunstancias particulares de la ejecución del contrato ameritan el ejercicio de la potestad excepcional tendiente a su términación unilateral, para lo que deberá evaluar si, en efecto, la muerte del integrante del contratista plural deriva en la paralización de prestación de servicios o la grave afectación del interés general. En ese sentido, ante la muerte del integrante de un consorcio, la entidad estatal debe determinar si dar por términado el contrato es lo procedente, considerando variables como </w:t>
      </w:r>
      <w:r w:rsidRPr="00DE0BB9">
        <w:rPr>
          <w:rFonts w:ascii="Century Gothic" w:hAnsi="Century Gothic" w:cs="Arial"/>
        </w:rPr>
        <w:t>las fases de ejecución del contrato, los porcentajes de participación en el consorcio y/o el estado de ejecución del contrato al momento de la disolución del integrante del consorcio</w:t>
      </w:r>
      <w:r w:rsidRPr="00DE0BB9">
        <w:rPr>
          <w:rFonts w:ascii="Century Gothic" w:hAnsi="Century Gothic" w:cs="Arial"/>
          <w:noProof/>
          <w:lang w:val="es-ES_tradnl"/>
        </w:rPr>
        <w:t>–ya que puede que, por ejemplo, este haya finiquitado la ejecución del componente que le correspondia antes de su muerte–, asi como  la posibilidad que la misma norma contempla de continuar con la ejecución del contrato con el garante, solución que requiere acuerdo entre este y la entidad estatal</w:t>
      </w:r>
      <w:r w:rsidRPr="00DE0BB9">
        <w:rPr>
          <w:rStyle w:val="Refdenotaalpie"/>
          <w:rFonts w:ascii="Century Gothic" w:hAnsi="Century Gothic" w:cs="Arial"/>
          <w:noProof/>
          <w:lang w:val="es-ES_tradnl"/>
        </w:rPr>
        <w:footnoteReference w:id="35"/>
      </w:r>
      <w:r w:rsidRPr="00DE0BB9">
        <w:rPr>
          <w:rFonts w:ascii="Century Gothic" w:hAnsi="Century Gothic" w:cs="Arial"/>
          <w:noProof/>
          <w:lang w:val="es-ES_tradnl"/>
        </w:rPr>
        <w:t xml:space="preserve">.   </w:t>
      </w:r>
    </w:p>
    <w:p w14:paraId="57DA40E3" w14:textId="77777777" w:rsidR="0091438F" w:rsidRDefault="0091438F" w:rsidP="0091438F">
      <w:pPr>
        <w:spacing w:line="276" w:lineRule="auto"/>
        <w:ind w:firstLine="708"/>
        <w:jc w:val="both"/>
        <w:rPr>
          <w:rFonts w:ascii="Century Gothic" w:hAnsi="Century Gothic" w:cs="Arial"/>
          <w:noProof/>
          <w:lang w:val="es-ES_tradnl"/>
        </w:rPr>
      </w:pPr>
      <w:r w:rsidRPr="00DE0BB9">
        <w:rPr>
          <w:rFonts w:ascii="Century Gothic" w:hAnsi="Century Gothic" w:cs="Arial"/>
          <w:noProof/>
          <w:lang w:val="es-ES_tradnl"/>
        </w:rPr>
        <w:lastRenderedPageBreak/>
        <w:t>En conclusión, si bien, la causal de términación unilateral del numeral 2 del artículo 17, en principio, resulta aplicable a eventos en los que se presente la muerte o disolución de un contratista plural, su procedencia estará determinada por el respectivo estudio que realice la entidad estatal, en el que se establezca que dar por terminado el contrato es lo que corresponde para evitar que se vea afectado el interés público y la finalidad del contrato. De cualquier modo, conforme a lo considerado en el presente concepto, si la entidad decide terminar de manera unilateral el contrato, deberá proceder a realizar las respectivas indemnizaciones, compensaciones y reajustes a los que haya lugar en favor de los involucrados, como, por ejemplo, los demás integrantes del consorcio o los causababientes del integrante fallecido</w:t>
      </w:r>
      <w:r>
        <w:rPr>
          <w:rFonts w:ascii="Century Gothic" w:hAnsi="Century Gothic" w:cs="Arial"/>
          <w:noProof/>
          <w:lang w:val="es-ES_tradnl"/>
        </w:rPr>
        <w:t xml:space="preserve"> o acrredores de la sociedad en disolución</w:t>
      </w:r>
      <w:r w:rsidRPr="00DE0BB9">
        <w:rPr>
          <w:rFonts w:ascii="Century Gothic" w:hAnsi="Century Gothic" w:cs="Arial"/>
          <w:noProof/>
          <w:lang w:val="es-ES_tradnl"/>
        </w:rPr>
        <w:t xml:space="preserve">.    </w:t>
      </w:r>
    </w:p>
    <w:p w14:paraId="6AF839F3" w14:textId="77777777" w:rsidR="0091438F" w:rsidRPr="00DE0BB9" w:rsidRDefault="0091438F" w:rsidP="0091438F">
      <w:pPr>
        <w:tabs>
          <w:tab w:val="left" w:pos="0"/>
        </w:tabs>
        <w:jc w:val="both"/>
        <w:rPr>
          <w:rFonts w:ascii="Century Gothic" w:eastAsia="Calibri" w:hAnsi="Century Gothic" w:cs="Arial"/>
          <w:b/>
          <w:color w:val="000000" w:themeColor="text1"/>
          <w:lang w:val="es-ES_tradnl"/>
        </w:rPr>
      </w:pPr>
      <w:r w:rsidRPr="00DE0BB9">
        <w:rPr>
          <w:rFonts w:ascii="Century Gothic" w:eastAsia="Calibri" w:hAnsi="Century Gothic" w:cs="Arial"/>
          <w:b/>
          <w:color w:val="000000" w:themeColor="text1"/>
          <w:lang w:val="es-ES_tradnl"/>
        </w:rPr>
        <w:t>3. Respuesta</w:t>
      </w:r>
    </w:p>
    <w:p w14:paraId="4FD41849" w14:textId="77777777" w:rsidR="0091438F" w:rsidRDefault="0091438F" w:rsidP="0091438F">
      <w:pPr>
        <w:spacing w:after="0" w:line="240" w:lineRule="auto"/>
        <w:ind w:left="709" w:right="709"/>
        <w:jc w:val="both"/>
        <w:rPr>
          <w:rFonts w:ascii="Century Gothic" w:hAnsi="Century Gothic" w:cs="Arial"/>
          <w:sz w:val="20"/>
          <w:szCs w:val="20"/>
          <w:lang w:val="es-MX"/>
        </w:rPr>
      </w:pPr>
      <w:r w:rsidRPr="00DE0BB9">
        <w:rPr>
          <w:rFonts w:ascii="Century Gothic" w:eastAsia="Calibri" w:hAnsi="Century Gothic" w:cs="Arial"/>
          <w:color w:val="000000" w:themeColor="text1"/>
          <w:sz w:val="20"/>
          <w:szCs w:val="20"/>
          <w:lang w:val="es-ES_tradnl"/>
        </w:rPr>
        <w:t>“</w:t>
      </w:r>
      <w:r w:rsidRPr="00DE0BB9">
        <w:rPr>
          <w:rFonts w:ascii="Century Gothic" w:hAnsi="Century Gothic" w:cs="Arial"/>
          <w:sz w:val="20"/>
          <w:szCs w:val="20"/>
          <w:lang w:val="es-MX"/>
        </w:rPr>
        <w:t>I.</w:t>
      </w:r>
      <w:r w:rsidRPr="00DE0BB9">
        <w:rPr>
          <w:rFonts w:ascii="Century Gothic" w:hAnsi="Century Gothic" w:cs="Arial"/>
          <w:sz w:val="20"/>
          <w:szCs w:val="20"/>
          <w:lang w:val="es-MX"/>
        </w:rPr>
        <w:tab/>
        <w:t>TEMA: LA DISOLUCIÓN DE UNA PERSONA JURÍDICA (SOCIEDAD) INTEGRANTE DE UN CONSORCIO CONTRATISTA Y Su INCIDENCIA EN LA CAPACIDAD JURÍDICA PARA CONTINUAR LA EJECUCIÓN:</w:t>
      </w:r>
    </w:p>
    <w:p w14:paraId="16B48FD9" w14:textId="77777777" w:rsidR="0091438F" w:rsidRPr="00DE0BB9" w:rsidRDefault="0091438F" w:rsidP="0091438F">
      <w:pPr>
        <w:spacing w:after="0" w:line="240" w:lineRule="auto"/>
        <w:ind w:left="709" w:right="709"/>
        <w:jc w:val="both"/>
        <w:rPr>
          <w:rFonts w:ascii="Century Gothic" w:hAnsi="Century Gothic" w:cs="Arial"/>
          <w:sz w:val="20"/>
          <w:szCs w:val="20"/>
          <w:lang w:val="es-MX"/>
        </w:rPr>
      </w:pPr>
    </w:p>
    <w:p w14:paraId="27FF3DD1" w14:textId="77777777" w:rsidR="0091438F" w:rsidRDefault="0091438F" w:rsidP="0091438F">
      <w:pPr>
        <w:spacing w:after="0" w:line="240" w:lineRule="auto"/>
        <w:ind w:left="709" w:right="709"/>
        <w:jc w:val="both"/>
        <w:rPr>
          <w:rFonts w:ascii="Century Gothic" w:hAnsi="Century Gothic" w:cs="Arial"/>
          <w:sz w:val="20"/>
          <w:szCs w:val="20"/>
          <w:lang w:val="es-MX"/>
        </w:rPr>
      </w:pPr>
      <w:r w:rsidRPr="00DE0BB9">
        <w:rPr>
          <w:rFonts w:ascii="Century Gothic" w:hAnsi="Century Gothic" w:cs="Arial"/>
          <w:sz w:val="20"/>
          <w:szCs w:val="20"/>
          <w:lang w:val="es-MX"/>
        </w:rPr>
        <w:t>A.</w:t>
      </w:r>
      <w:r w:rsidRPr="00DE0BB9">
        <w:rPr>
          <w:rFonts w:ascii="Century Gothic" w:hAnsi="Century Gothic" w:cs="Arial"/>
          <w:sz w:val="20"/>
          <w:szCs w:val="20"/>
          <w:lang w:val="es-MX"/>
        </w:rPr>
        <w:tab/>
        <w:t>La  disolución una sociedad (persona jurídica) integrante de un consorcio, configura o no una pérdida de su capacidad jurídica para contratar y por tanto para continuar con la ejecución del contrato, llevando a que se con figure una inhabilidad sobreviniente?</w:t>
      </w:r>
    </w:p>
    <w:p w14:paraId="05F3476E" w14:textId="77777777" w:rsidR="0091438F" w:rsidRPr="00DE0BB9" w:rsidRDefault="0091438F" w:rsidP="0091438F">
      <w:pPr>
        <w:spacing w:after="0" w:line="240" w:lineRule="auto"/>
        <w:ind w:left="709" w:right="709"/>
        <w:jc w:val="both"/>
        <w:rPr>
          <w:rFonts w:ascii="Century Gothic" w:hAnsi="Century Gothic" w:cs="Arial"/>
          <w:sz w:val="20"/>
          <w:szCs w:val="20"/>
          <w:lang w:val="es-MX"/>
        </w:rPr>
      </w:pPr>
    </w:p>
    <w:p w14:paraId="61080BE5" w14:textId="77777777" w:rsidR="0091438F" w:rsidRDefault="0091438F" w:rsidP="0091438F">
      <w:pPr>
        <w:spacing w:after="120" w:line="276" w:lineRule="auto"/>
        <w:ind w:right="51"/>
        <w:jc w:val="both"/>
        <w:rPr>
          <w:rFonts w:ascii="Century Gothic" w:hAnsi="Century Gothic" w:cs="Arial"/>
          <w:lang w:val="es-MX"/>
        </w:rPr>
      </w:pPr>
      <w:r>
        <w:rPr>
          <w:rFonts w:ascii="Century Gothic" w:hAnsi="Century Gothic" w:cs="Arial"/>
          <w:lang w:val="es-MX"/>
        </w:rPr>
        <w:t xml:space="preserve">De acuerdo con lo expuesto, las inhabilidades e incompatibilidades </w:t>
      </w:r>
      <w:r w:rsidRPr="00D01330">
        <w:rPr>
          <w:rFonts w:ascii="Century Gothic" w:hAnsi="Century Gothic" w:cs="Arial"/>
          <w:lang w:val="es-MX"/>
        </w:rPr>
        <w:t>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w:t>
      </w:r>
      <w:r>
        <w:rPr>
          <w:rFonts w:ascii="Century Gothic" w:hAnsi="Century Gothic" w:cs="Arial"/>
          <w:lang w:val="es-MX"/>
        </w:rPr>
        <w:t xml:space="preserve">. En ese sentido, las personas naturales o jurídicas que incurren en los supuestos de hecho de las inhabilidades e incompatibilidades consagradas en disposiciones en el artículo 8 de la Ley 80 de 1993, así como en las demás normas constitucionales y legales que establecen este tipo prohibiciones, tienen restringida la posibilidad de participar en procesos de selección, celebrar o ejecutar contratos estatales. </w:t>
      </w:r>
    </w:p>
    <w:p w14:paraId="0CBD2E3B" w14:textId="77777777" w:rsidR="0091438F" w:rsidRDefault="0091438F" w:rsidP="0091438F">
      <w:pPr>
        <w:spacing w:after="120" w:line="276" w:lineRule="auto"/>
        <w:ind w:right="51"/>
        <w:jc w:val="both"/>
        <w:rPr>
          <w:rFonts w:ascii="Century Gothic" w:hAnsi="Century Gothic" w:cs="Arial"/>
          <w:lang w:val="es-MX"/>
        </w:rPr>
      </w:pPr>
      <w:r>
        <w:rPr>
          <w:rFonts w:ascii="Century Gothic" w:hAnsi="Century Gothic" w:cs="Arial"/>
          <w:lang w:val="es-MX"/>
        </w:rPr>
        <w:tab/>
        <w:t xml:space="preserve">En ese sentido, teniendo en cuenta que la configuración de una inhabilidad puede presentarse de manera sobreviniente, ya sea respecto de un proponente que se encuentra participando en un proceso de selección, de alguien ha sido escogido como adjudicatario o incluso ya en el curso de la ejecución del contrato el artículo 9 de la Ley 80 de 1993 establece como deben proceder las entidades estatales en estos casos. </w:t>
      </w:r>
    </w:p>
    <w:p w14:paraId="50A33F56" w14:textId="77777777" w:rsidR="0091438F" w:rsidRPr="008925ED" w:rsidRDefault="0091438F" w:rsidP="0091438F">
      <w:pPr>
        <w:shd w:val="clear" w:color="auto" w:fill="FFFFFF" w:themeFill="background1"/>
        <w:spacing w:after="120" w:line="276" w:lineRule="auto"/>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lastRenderedPageBreak/>
        <w:t xml:space="preserve"> </w:t>
      </w:r>
      <w:r>
        <w:rPr>
          <w:rFonts w:ascii="Century Gothic" w:eastAsia="Calibri" w:hAnsi="Century Gothic" w:cs="Arial"/>
          <w:lang w:val="es-ES_tradnl"/>
        </w:rPr>
        <w:tab/>
        <w:t xml:space="preserve">Por un lado, </w:t>
      </w:r>
      <w:r w:rsidRPr="008925ED">
        <w:rPr>
          <w:rFonts w:ascii="Century Gothic" w:eastAsia="Calibri" w:hAnsi="Century Gothic" w:cs="Arial"/>
          <w:lang w:val="es-ES_tradnl"/>
        </w:rPr>
        <w:t xml:space="preserve">si la inhabilidad o incompatibilidad sobreviene en un procedimiento de selección, se entiende que el proponente renuncia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 En ese sentido, no habrá lugar a la adjudicación del proceso de selección a dicho proponente en caso de que dicha inhabilidad o incompatibilidad sobreviniente se de en el término del cierre o evaluación de la oferta, pues el proponente no estaría habilitado para ser acreedor de ello y en virtud de dicho artículo se presume su renuncia a la participación y a los derechos surgidos del mismo. </w:t>
      </w:r>
    </w:p>
    <w:p w14:paraId="21C19F09" w14:textId="77777777" w:rsidR="0091438F" w:rsidRPr="008925ED" w:rsidRDefault="0091438F" w:rsidP="0091438F">
      <w:pPr>
        <w:shd w:val="clear" w:color="auto" w:fill="FFFFFF" w:themeFill="background1"/>
        <w:spacing w:after="120" w:line="276" w:lineRule="auto"/>
        <w:ind w:firstLine="709"/>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t>Por el contrario, en caso de contar con resolución de adjudicación, debe interpretarse en conjunto con el artículo 9 de la Ley 1150 de 2007, el cual consagra dos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(como por ejemplo que el proponente estuviese inhabilitado y dicha situación no se hubiese informado o no pudo ser observada por la Entidad Estatal), caso en el cual, la entidad podrá aplicar lo previsto en el inciso final del numeral 12 del artículo 30 de la Ley 80 de 1993, dentro de los 15 días hábiles siguientes al acto administrativo que revocó el acto administrativo de revocatoria.</w:t>
      </w:r>
    </w:p>
    <w:p w14:paraId="1BFED91D" w14:textId="77777777" w:rsidR="0091438F" w:rsidRPr="008925ED" w:rsidRDefault="0091438F" w:rsidP="0091438F">
      <w:pPr>
        <w:shd w:val="clear" w:color="auto" w:fill="FFFFFF" w:themeFill="background1"/>
        <w:spacing w:after="120" w:line="276" w:lineRule="auto"/>
        <w:ind w:firstLine="709"/>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t xml:space="preserve">Por su parte, cuando la inhabilidad o incompatibilidad sobrevine en el contratista o un integrante del consocio o unión temporal que sea contratista, durante la ejecución del contrato, el artículo 9 de la Ley 80 de 1993 dispone la posibilidad de que este pueda ser cedido, sin embargo, cuando se trata de un integrante de un proponente plural inhabilitado o con incompatibilidad la norma permite que se podrá ceder su participación, sólo sí cuenta con la autorización escrita del contratante, con la restricción de que el cesionario no puede ser alguno de los demás integrantes del consorcio o la unión temporal. </w:t>
      </w:r>
    </w:p>
    <w:p w14:paraId="1ADBF3E5" w14:textId="77777777" w:rsidR="0091438F" w:rsidRDefault="0091438F" w:rsidP="0091438F">
      <w:pPr>
        <w:shd w:val="clear" w:color="auto" w:fill="FFFFFF" w:themeFill="background1"/>
        <w:spacing w:after="120" w:line="276" w:lineRule="auto"/>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tab/>
      </w:r>
      <w:r>
        <w:rPr>
          <w:rFonts w:ascii="Century Gothic" w:eastAsia="Calibri" w:hAnsi="Century Gothic" w:cs="Arial"/>
          <w:lang w:val="es-ES_tradnl"/>
        </w:rPr>
        <w:t xml:space="preserve">Sin perjuicio de lo anterior, para responder su consulta es necesario precisar que, lo dispuesto en el artículo 9 no resulta en principio aplicable a situaciones en las que se presenta la muerte del contratista persona natural o la disolución del contratista persona jurídica, ni tampoco cuando estos hechos los afectan en </w:t>
      </w:r>
      <w:r>
        <w:rPr>
          <w:rFonts w:ascii="Century Gothic" w:eastAsia="Calibri" w:hAnsi="Century Gothic" w:cs="Arial"/>
          <w:lang w:val="es-ES_tradnl"/>
        </w:rPr>
        <w:lastRenderedPageBreak/>
        <w:t xml:space="preserve">calidad de integrantes de un contratista plural. Esto por cuanto, ni la muerte de la persona natural ni la disolución de las persona jurídica son circunstancias que </w:t>
      </w:r>
      <w:r w:rsidRPr="00DE0BB9">
        <w:rPr>
          <w:rFonts w:ascii="Century Gothic" w:eastAsia="Calibri" w:hAnsi="Century Gothic" w:cs="Arial"/>
          <w:i/>
          <w:iCs/>
          <w:lang w:val="es-ES_tradnl"/>
        </w:rPr>
        <w:t>per se</w:t>
      </w:r>
      <w:r>
        <w:rPr>
          <w:rFonts w:ascii="Century Gothic" w:eastAsia="Calibri" w:hAnsi="Century Gothic" w:cs="Arial"/>
          <w:lang w:val="es-ES_tradnl"/>
        </w:rPr>
        <w:t xml:space="preserve"> supongan la configuración de una inhabilidad o incompatibilidad. </w:t>
      </w:r>
    </w:p>
    <w:p w14:paraId="0328612D" w14:textId="77777777" w:rsidR="0091438F" w:rsidRDefault="0091438F" w:rsidP="0091438F">
      <w:pPr>
        <w:shd w:val="clear" w:color="auto" w:fill="FFFFFF" w:themeFill="background1"/>
        <w:spacing w:after="120" w:line="276" w:lineRule="auto"/>
        <w:ind w:firstLine="709"/>
        <w:jc w:val="both"/>
        <w:textAlignment w:val="baseline"/>
        <w:rPr>
          <w:rFonts w:ascii="Century Gothic" w:hAnsi="Century Gothic" w:cs="Arial"/>
          <w:lang w:val="es-MX"/>
        </w:rPr>
      </w:pPr>
      <w:r>
        <w:rPr>
          <w:rFonts w:ascii="Century Gothic" w:eastAsia="Calibri" w:hAnsi="Century Gothic" w:cs="Arial"/>
          <w:lang w:val="es-ES_tradnl"/>
        </w:rPr>
        <w:t xml:space="preserve"> Si bien la muerte de la persona natural y la disolución de la persona jurídica son circunstancias que afectan la capacidad jurídica, esto se debe a que estos suponen la desaparición del mundo jurídico de las personas de las que se predica, de lo que se sigue la imposibilidad de obligarse para la suscripción de un contrato estatal. Caso distinto sucede con las inhabilidades e incompatibilidades, las cuales afectan la capacidad jurídica de personas que, a pesar de existir en el mundo jurídico, han incurrido en hecho o circunstancias que han sido tipificadas por el legislador como restricciones a la capacidad contractual.  </w:t>
      </w:r>
      <w:r>
        <w:rPr>
          <w:rFonts w:ascii="Century Gothic" w:hAnsi="Century Gothic" w:cs="Arial"/>
          <w:lang w:val="es-MX"/>
        </w:rPr>
        <w:t xml:space="preserve">En ese sentido, ni la muerte del </w:t>
      </w:r>
      <w:r>
        <w:rPr>
          <w:rFonts w:ascii="Century Gothic" w:eastAsia="Calibri" w:hAnsi="Century Gothic" w:cs="Arial"/>
          <w:lang w:val="es-MX"/>
        </w:rPr>
        <w:t>contratista</w:t>
      </w:r>
      <w:r>
        <w:rPr>
          <w:rFonts w:ascii="Century Gothic" w:eastAsia="Calibri" w:hAnsi="Century Gothic" w:cs="Arial"/>
          <w:lang w:val="es-ES_tradnl"/>
        </w:rPr>
        <w:t xml:space="preserve"> persona natural, ni la disolución de la persona jurídica pueden ser equiparados a la configuración de inhabilidades o incompatibilidades, en tanto el régimen que desarrolla integran estas últimas restricciones está sometido a un criterio de interpretación restrictiva.</w:t>
      </w:r>
    </w:p>
    <w:p w14:paraId="3F24ABAD" w14:textId="77777777" w:rsidR="0091438F" w:rsidRPr="00DE0BB9" w:rsidRDefault="0091438F" w:rsidP="0091438F">
      <w:pPr>
        <w:spacing w:after="0" w:line="240" w:lineRule="auto"/>
        <w:ind w:left="709" w:right="709"/>
        <w:jc w:val="both"/>
        <w:rPr>
          <w:rFonts w:ascii="Century Gothic" w:hAnsi="Century Gothic" w:cs="Arial"/>
          <w:sz w:val="20"/>
          <w:szCs w:val="20"/>
          <w:lang w:val="es-MX"/>
        </w:rPr>
      </w:pPr>
    </w:p>
    <w:p w14:paraId="7CDAEBC1" w14:textId="77777777" w:rsidR="0091438F" w:rsidRPr="00D7753F" w:rsidRDefault="0091438F" w:rsidP="0091438F">
      <w:pPr>
        <w:spacing w:line="240" w:lineRule="auto"/>
        <w:ind w:left="709" w:right="709"/>
        <w:jc w:val="both"/>
        <w:rPr>
          <w:rFonts w:ascii="Century Gothic" w:hAnsi="Century Gothic" w:cs="Arial"/>
          <w:sz w:val="20"/>
          <w:szCs w:val="20"/>
          <w:lang w:val="es-MX"/>
        </w:rPr>
      </w:pPr>
      <w:r w:rsidRPr="00DE0BB9">
        <w:rPr>
          <w:rFonts w:ascii="Century Gothic" w:hAnsi="Century Gothic" w:cs="Arial"/>
          <w:sz w:val="20"/>
          <w:szCs w:val="20"/>
          <w:lang w:val="es-MX"/>
        </w:rPr>
        <w:t>“</w:t>
      </w:r>
      <w:r>
        <w:rPr>
          <w:rFonts w:ascii="Century Gothic" w:hAnsi="Century Gothic" w:cs="Arial"/>
          <w:sz w:val="20"/>
          <w:szCs w:val="20"/>
          <w:lang w:val="es-MX"/>
        </w:rPr>
        <w:t xml:space="preserve">[…] </w:t>
      </w:r>
      <w:r w:rsidRPr="00D7753F">
        <w:rPr>
          <w:rFonts w:ascii="Century Gothic" w:hAnsi="Century Gothic" w:cs="Arial"/>
          <w:sz w:val="20"/>
          <w:szCs w:val="20"/>
          <w:lang w:val="es-MX"/>
        </w:rPr>
        <w:t>B.</w:t>
      </w:r>
      <w:r w:rsidRPr="00D7753F">
        <w:rPr>
          <w:rFonts w:ascii="Century Gothic" w:hAnsi="Century Gothic" w:cs="Arial"/>
          <w:sz w:val="20"/>
          <w:szCs w:val="20"/>
          <w:lang w:val="es-MX"/>
        </w:rPr>
        <w:tab/>
        <w:t>¿Según los lineamientos de Colombia Compra eficiente, que actuaciones debe hacer una entidad frente a la disolución de una de las personas jurídicas integrantes de un consorcio contratista?”</w:t>
      </w:r>
    </w:p>
    <w:p w14:paraId="75934F22" w14:textId="77777777" w:rsidR="0091438F" w:rsidRPr="00DE0BB9" w:rsidRDefault="0091438F" w:rsidP="0091438F">
      <w:pPr>
        <w:spacing w:line="240" w:lineRule="auto"/>
        <w:ind w:left="709" w:right="709"/>
        <w:jc w:val="both"/>
        <w:rPr>
          <w:rFonts w:ascii="Century Gothic" w:hAnsi="Century Gothic" w:cs="Arial"/>
          <w:sz w:val="20"/>
          <w:szCs w:val="20"/>
          <w:lang w:val="es-MX"/>
        </w:rPr>
      </w:pPr>
      <w:r w:rsidRPr="00DE0BB9">
        <w:rPr>
          <w:rFonts w:ascii="Century Gothic" w:hAnsi="Century Gothic" w:cs="Arial"/>
          <w:sz w:val="20"/>
          <w:szCs w:val="20"/>
          <w:lang w:val="es-MX"/>
        </w:rPr>
        <w:t>II.  TEMA: APLICACIÓN DE LA CAUSAL No. 2 DEL ARTÍCULO 17 DE LA LEY 80 DE 1993. TERMINACIÓN UNILATERAL DEL CONTRATO POR DISOLUCIÓN DE UNA PERSONA JURÍDICA (SOCIEDAD) INTEGRANTE DE UN CONSORCIO CONTRATISTA</w:t>
      </w:r>
    </w:p>
    <w:p w14:paraId="2F4FCDA7" w14:textId="77777777" w:rsidR="0091438F" w:rsidRPr="00DE0BB9" w:rsidRDefault="0091438F" w:rsidP="0091438F">
      <w:pPr>
        <w:spacing w:line="240" w:lineRule="auto"/>
        <w:ind w:left="709" w:right="709"/>
        <w:jc w:val="both"/>
        <w:rPr>
          <w:rFonts w:ascii="Century Gothic" w:hAnsi="Century Gothic" w:cs="Arial"/>
          <w:sz w:val="20"/>
          <w:szCs w:val="20"/>
          <w:lang w:val="es-MX"/>
        </w:rPr>
      </w:pPr>
      <w:r w:rsidRPr="00DE0BB9">
        <w:rPr>
          <w:rFonts w:ascii="Century Gothic" w:hAnsi="Century Gothic" w:cs="Arial"/>
          <w:sz w:val="20"/>
          <w:szCs w:val="20"/>
          <w:lang w:val="es-MX"/>
        </w:rPr>
        <w:t>A.</w:t>
      </w:r>
      <w:r w:rsidRPr="00DE0BB9">
        <w:rPr>
          <w:rFonts w:ascii="Century Gothic" w:hAnsi="Century Gothic" w:cs="Arial"/>
          <w:sz w:val="20"/>
          <w:szCs w:val="20"/>
          <w:lang w:val="es-MX"/>
        </w:rPr>
        <w:tab/>
        <w:t xml:space="preserve">¿Los lineamientos vertidos por la Agencia Nacional de Contratación Pública COLOMBIA COMPRA EFICIENTE, mediante Concepto 286 de 2022, sobre la posibilidad de terminación unilateral del contrato por disolución de una de las personas jurídicas integrante de un consorcio se mantiene vigente a hay algún cambio en los lineamientos sobre el tema? </w:t>
      </w:r>
    </w:p>
    <w:p w14:paraId="239154B7" w14:textId="77777777" w:rsidR="0091438F" w:rsidRPr="00DE0BB9" w:rsidRDefault="0091438F" w:rsidP="0091438F">
      <w:pPr>
        <w:spacing w:line="240" w:lineRule="auto"/>
        <w:ind w:left="709" w:right="709"/>
        <w:jc w:val="both"/>
        <w:rPr>
          <w:rFonts w:ascii="Century Gothic" w:hAnsi="Century Gothic" w:cs="Arial"/>
          <w:sz w:val="20"/>
          <w:szCs w:val="20"/>
          <w:lang w:val="es-MX"/>
        </w:rPr>
      </w:pPr>
      <w:r w:rsidRPr="00DE0BB9">
        <w:rPr>
          <w:rFonts w:ascii="Century Gothic" w:hAnsi="Century Gothic" w:cs="Arial"/>
          <w:sz w:val="20"/>
          <w:szCs w:val="20"/>
          <w:lang w:val="es-MX"/>
        </w:rPr>
        <w:t>B.</w:t>
      </w:r>
      <w:r w:rsidRPr="00DE0BB9">
        <w:rPr>
          <w:rFonts w:ascii="Century Gothic" w:hAnsi="Century Gothic" w:cs="Arial"/>
          <w:sz w:val="20"/>
          <w:szCs w:val="20"/>
          <w:lang w:val="es-MX"/>
        </w:rPr>
        <w:tab/>
        <w:t xml:space="preserve">Según los lineamientos de Colombia Compra Eficiente, es o no imperativo para una Entidad aplicar la causal #2 del artículo 17 de la Ley 80 de 1993, cuando una de las sociedades integrantes de un consorciado contratista se encuentra en estado de disolución? </w:t>
      </w:r>
    </w:p>
    <w:p w14:paraId="196BAA2E" w14:textId="77777777" w:rsidR="0091438F" w:rsidRPr="00DE0BB9" w:rsidRDefault="0091438F" w:rsidP="0091438F">
      <w:pPr>
        <w:spacing w:line="240" w:lineRule="auto"/>
        <w:ind w:left="709" w:right="709"/>
        <w:jc w:val="both"/>
        <w:rPr>
          <w:rFonts w:ascii="Century Gothic" w:hAnsi="Century Gothic" w:cs="Arial"/>
          <w:color w:val="000000" w:themeColor="text1"/>
          <w:sz w:val="20"/>
          <w:szCs w:val="20"/>
          <w:lang w:val="es-MX"/>
        </w:rPr>
      </w:pPr>
      <w:r w:rsidRPr="00DE0BB9">
        <w:rPr>
          <w:rFonts w:ascii="Century Gothic" w:hAnsi="Century Gothic" w:cs="Arial"/>
          <w:sz w:val="20"/>
          <w:szCs w:val="20"/>
          <w:lang w:val="es-MX"/>
        </w:rPr>
        <w:t>C.</w:t>
      </w:r>
      <w:r w:rsidRPr="00DE0BB9">
        <w:rPr>
          <w:rFonts w:ascii="Century Gothic" w:hAnsi="Century Gothic" w:cs="Arial"/>
          <w:sz w:val="20"/>
          <w:szCs w:val="20"/>
          <w:lang w:val="es-MX"/>
        </w:rPr>
        <w:tab/>
        <w:t>Es posible aplicar la causal #2 del artículo 17 de la Ley 80 de 1993, cuando una de las sociedades integrantes de un consorciado contratista se encuentra en estado de disoluci6n, habiéndose reportado para interventoría un escenario de incumplimiento contractual con fines de multa y caducidad?”</w:t>
      </w:r>
    </w:p>
    <w:p w14:paraId="526C54F1" w14:textId="77777777" w:rsidR="0091438F" w:rsidRPr="00DE0BB9" w:rsidRDefault="0091438F" w:rsidP="0091438F">
      <w:pPr>
        <w:spacing w:after="120" w:line="276" w:lineRule="auto"/>
        <w:jc w:val="both"/>
        <w:rPr>
          <w:rFonts w:ascii="Century Gothic" w:hAnsi="Century Gothic" w:cs="Arial"/>
        </w:rPr>
      </w:pPr>
      <w:r w:rsidRPr="00DE0BB9">
        <w:rPr>
          <w:rFonts w:ascii="Century Gothic" w:hAnsi="Century Gothic" w:cs="Arial"/>
        </w:rPr>
        <w:lastRenderedPageBreak/>
        <w:t>De conformidad con lo anterior, la causal de terminación anticipada y unilateral del contrato estatal, prevista en el numeral 2 del artículo 17 de la Ley 80 de 1993, procede en los casos de</w:t>
      </w:r>
      <w:r w:rsidRPr="00DE0BB9">
        <w:rPr>
          <w:rFonts w:ascii="Century Gothic" w:hAnsi="Century Gothic"/>
        </w:rPr>
        <w:t xml:space="preserve"> </w:t>
      </w:r>
      <w:r w:rsidRPr="00DE0BB9">
        <w:rPr>
          <w:rFonts w:ascii="Century Gothic" w:hAnsi="Century Gothic" w:cs="Arial"/>
        </w:rPr>
        <w:t xml:space="preserve">“[…] muerte o incapacidad física permanente del contratista, si es persona natural, o por disolución de la persona jurídica del contratista”. Según lo expuesto, en principio, esta causal es aplicable en casos en los que se presenta la  disolución de la persona jurídica integrante de un contratista plural, como es el caso de un consorcio. </w:t>
      </w:r>
    </w:p>
    <w:p w14:paraId="21037E2A" w14:textId="77777777" w:rsidR="0091438F" w:rsidRPr="00DE0BB9" w:rsidRDefault="0091438F" w:rsidP="0091438F">
      <w:pPr>
        <w:spacing w:after="120" w:line="276" w:lineRule="auto"/>
        <w:jc w:val="both"/>
        <w:rPr>
          <w:rFonts w:ascii="Century Gothic" w:hAnsi="Century Gothic" w:cs="Arial"/>
        </w:rPr>
      </w:pPr>
      <w:r w:rsidRPr="00DE0BB9">
        <w:rPr>
          <w:rFonts w:ascii="Century Gothic" w:hAnsi="Century Gothic" w:cs="Arial"/>
        </w:rPr>
        <w:t xml:space="preserve"> </w:t>
      </w:r>
      <w:r w:rsidRPr="00DE0BB9">
        <w:rPr>
          <w:rFonts w:ascii="Century Gothic" w:hAnsi="Century Gothic" w:cs="Arial"/>
        </w:rPr>
        <w:tab/>
        <w:t xml:space="preserve">De acuerdo con la doctrina estudiada, puntualmente lo expuesto en el concepto C-286 de 2022, expedido por esta Agencia, esta posibilidad se sustenta en parte en la prohibición de que los demás miembros del consorcio realicen entre sí cesiones tendientes a remplazar al integrante disuelto. Además, la aplicabilidad de la causal se justifica en el carácter </w:t>
      </w:r>
      <w:r w:rsidRPr="00DE0BB9">
        <w:rPr>
          <w:rFonts w:ascii="Century Gothic" w:hAnsi="Century Gothic" w:cs="Arial"/>
          <w:i/>
          <w:iCs/>
        </w:rPr>
        <w:t>intuito personae</w:t>
      </w:r>
      <w:r w:rsidRPr="00DE0BB9">
        <w:rPr>
          <w:rFonts w:ascii="Century Gothic" w:hAnsi="Century Gothic" w:cs="Arial"/>
        </w:rPr>
        <w:t xml:space="preserve"> del contrato estatal, el cual se vería afectado por la disolución  de una de las personas que integran el contratista, circunstancia que puede proyectar sus efectos hacia la ejecución del contrato, comoquiera que el referido supuesto podría implicar la ausencia de una las personas encargadas de ejecutar algún componente importante del contrato.</w:t>
      </w:r>
    </w:p>
    <w:p w14:paraId="1E0BD838" w14:textId="77777777" w:rsidR="0091438F" w:rsidRPr="00DE0BB9" w:rsidRDefault="0091438F" w:rsidP="0091438F">
      <w:pPr>
        <w:spacing w:line="276" w:lineRule="auto"/>
        <w:jc w:val="both"/>
        <w:rPr>
          <w:rFonts w:ascii="Century Gothic" w:hAnsi="Century Gothic" w:cs="Arial"/>
        </w:rPr>
      </w:pPr>
      <w:r w:rsidRPr="00DE0BB9">
        <w:rPr>
          <w:rFonts w:ascii="Century Gothic" w:hAnsi="Century Gothic" w:cs="Arial"/>
        </w:rPr>
        <w:tab/>
        <w:t xml:space="preserve">En todo caso, en atención a la finalidad de la potestad de terminación unilateral regulada por el artículo 17 de la Ley 80 de 1993, la procedencia de la referida causal está determinada por el análisis de las circunstancias particulares del correspondiente contrato, el cual debe establecer si procede la terminación anticipada del contrato como una decisión tendiente a garantizar la prestación de servicios o evitar afectaciones al interés general. En ese sentido, la entidad estatal deberá entrar a considerar variables como, por ejemplo, las fases de ejecución del contrato, los porcentajes de participación en el consorcio y/o el estado de ejecución del contrato al momento de disolución del integrante del consorcio, así como la posibilidad de continuar la ejecución del contrato con el garante, cuestiones que podrían descartar la necesidad de dar por terminado el contrato.   </w:t>
      </w:r>
    </w:p>
    <w:p w14:paraId="47729058" w14:textId="77777777" w:rsidR="0091438F" w:rsidRPr="00DE0BB9" w:rsidRDefault="0091438F" w:rsidP="0091438F">
      <w:pPr>
        <w:spacing w:line="276" w:lineRule="auto"/>
        <w:jc w:val="both"/>
        <w:rPr>
          <w:rFonts w:ascii="Century Gothic" w:eastAsia="Calibri" w:hAnsi="Century Gothic" w:cs="Arial"/>
          <w:color w:val="000000" w:themeColor="text1"/>
          <w:lang w:val="es-ES_tradnl"/>
        </w:rPr>
      </w:pPr>
      <w:r w:rsidRPr="00DE0BB9">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11185C0F" w14:textId="77777777" w:rsidR="0091438F" w:rsidRPr="00DE0BB9" w:rsidRDefault="0091438F" w:rsidP="0091438F">
      <w:pPr>
        <w:spacing w:after="0" w:line="276" w:lineRule="auto"/>
        <w:jc w:val="both"/>
        <w:rPr>
          <w:rFonts w:ascii="Century Gothic" w:eastAsia="Times New Roman" w:hAnsi="Century Gothic" w:cs="Arial"/>
          <w:lang w:eastAsia="es-CO"/>
        </w:rPr>
      </w:pPr>
      <w:r w:rsidRPr="00DE0BB9">
        <w:rPr>
          <w:rFonts w:ascii="Century Gothic" w:eastAsia="Times New Roman" w:hAnsi="Century Gothic" w:cs="Arial"/>
          <w:lang w:eastAsia="es-CO"/>
        </w:rPr>
        <w:t>Atentamente,</w:t>
      </w:r>
    </w:p>
    <w:p w14:paraId="6E9067FD" w14:textId="77777777" w:rsidR="0091438F" w:rsidRPr="00DE0BB9" w:rsidRDefault="0091438F" w:rsidP="0091438F">
      <w:pPr>
        <w:widowControl w:val="0"/>
        <w:autoSpaceDE w:val="0"/>
        <w:autoSpaceDN w:val="0"/>
        <w:spacing w:after="18"/>
        <w:jc w:val="center"/>
        <w:rPr>
          <w:rFonts w:ascii="Century Gothic" w:eastAsia="Arial" w:hAnsi="Century Gothic" w:cs="Arial"/>
          <w:lang w:val="es-ES" w:eastAsia="es-CO" w:bidi="es-ES"/>
        </w:rPr>
      </w:pPr>
    </w:p>
    <w:p w14:paraId="34F24C1F" w14:textId="0FB0D6FD" w:rsidR="0091438F" w:rsidRPr="00DE0BB9" w:rsidRDefault="00C82952" w:rsidP="0091438F">
      <w:pPr>
        <w:widowControl w:val="0"/>
        <w:autoSpaceDE w:val="0"/>
        <w:autoSpaceDN w:val="0"/>
        <w:spacing w:after="18"/>
        <w:jc w:val="center"/>
        <w:rPr>
          <w:rFonts w:ascii="Century Gothic" w:eastAsia="Arial" w:hAnsi="Century Gothic" w:cs="Arial"/>
          <w:lang w:val="es-ES" w:eastAsia="es-CO" w:bidi="es-ES"/>
        </w:rPr>
      </w:pPr>
      <w:r>
        <w:rPr>
          <w:rFonts w:ascii="Century Gothic" w:eastAsia="Arial" w:hAnsi="Century Gothic" w:cs="Arial"/>
          <w:noProof/>
          <w:lang w:val="en-US"/>
          <w14:ligatures w14:val="standardContextual"/>
        </w:rPr>
        <w:lastRenderedPageBreak/>
        <w:drawing>
          <wp:inline distT="0" distB="0" distL="0" distR="0" wp14:anchorId="0E345C70" wp14:editId="402904BB">
            <wp:extent cx="3153215" cy="1209844"/>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ra nohelia.png"/>
                    <pic:cNvPicPr/>
                  </pic:nvPicPr>
                  <pic:blipFill>
                    <a:blip r:embed="rId11">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4E5F1ACD" w14:textId="77777777" w:rsidR="0091438F" w:rsidRPr="00DE0BB9" w:rsidRDefault="0091438F" w:rsidP="0091438F">
      <w:pPr>
        <w:widowControl w:val="0"/>
        <w:autoSpaceDE w:val="0"/>
        <w:autoSpaceDN w:val="0"/>
        <w:spacing w:after="18"/>
        <w:jc w:val="center"/>
        <w:rPr>
          <w:rFonts w:ascii="Century Gothic" w:eastAsia="Arial" w:hAnsi="Century Gothic" w:cs="Arial"/>
          <w:lang w:val="es-ES" w:eastAsia="es-CO"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gridCol w:w="425"/>
      </w:tblGrid>
      <w:tr w:rsidR="0091438F" w:rsidRPr="00F707C8" w14:paraId="259D8773" w14:textId="77777777" w:rsidTr="00AA67D7">
        <w:trPr>
          <w:gridAfter w:val="1"/>
          <w:wAfter w:w="425" w:type="dxa"/>
          <w:trHeight w:val="286"/>
        </w:trPr>
        <w:tc>
          <w:tcPr>
            <w:tcW w:w="817" w:type="dxa"/>
            <w:vAlign w:val="center"/>
            <w:hideMark/>
          </w:tcPr>
          <w:p w14:paraId="319406A3" w14:textId="77777777" w:rsidR="0091438F" w:rsidRPr="00DE0BB9" w:rsidRDefault="0091438F" w:rsidP="00AA67D7">
            <w:pPr>
              <w:rPr>
                <w:rFonts w:ascii="Century Gothic" w:eastAsia="Arial" w:hAnsi="Century Gothic" w:cs="Arial"/>
                <w:sz w:val="14"/>
                <w:szCs w:val="14"/>
                <w:lang w:val="es-ES" w:eastAsia="es-ES" w:bidi="es-ES"/>
              </w:rPr>
            </w:pPr>
            <w:bookmarkStart w:id="7" w:name="_Hlk70523608"/>
            <w:r w:rsidRPr="00DE0BB9">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themeColor="text1" w:themeTint="80"/>
              <w:right w:val="nil"/>
            </w:tcBorders>
            <w:vAlign w:val="center"/>
            <w:hideMark/>
          </w:tcPr>
          <w:p w14:paraId="16CF5EBA"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eastAsia="es-ES" w:bidi="es-ES"/>
              </w:rPr>
              <w:t>Nina María Padrón Ballestas</w:t>
            </w:r>
          </w:p>
          <w:p w14:paraId="2C71D24C"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Contratista de la Subdirección de Gestión Contractual</w:t>
            </w:r>
          </w:p>
        </w:tc>
      </w:tr>
      <w:tr w:rsidR="0091438F" w:rsidRPr="00F707C8" w14:paraId="274F2896" w14:textId="77777777" w:rsidTr="00AA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817"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hideMark/>
          </w:tcPr>
          <w:p w14:paraId="27621873"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Revisó:</w:t>
            </w:r>
          </w:p>
        </w:tc>
        <w:tc>
          <w:tcPr>
            <w:tcW w:w="4428" w:type="dxa"/>
            <w:gridSpan w:val="2"/>
            <w:tcBorders>
              <w:top w:val="dotted" w:sz="4" w:space="0" w:color="7F7F7F" w:themeColor="text1" w:themeTint="80"/>
              <w:left w:val="nil"/>
              <w:bottom w:val="dotted" w:sz="4" w:space="0" w:color="7F7F7F" w:themeColor="text1" w:themeTint="80"/>
              <w:right w:val="nil"/>
            </w:tcBorders>
            <w:vAlign w:val="center"/>
            <w:hideMark/>
          </w:tcPr>
          <w:p w14:paraId="7950CD2A"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 xml:space="preserve">Alejandro Sarmiento Cantillo </w:t>
            </w:r>
          </w:p>
          <w:p w14:paraId="2BDBB8D9" w14:textId="77777777" w:rsidR="0091438F" w:rsidRPr="00F707C8"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 xml:space="preserve">Gestor T1-15 de la Subdirección de Gestión Contractual </w:t>
            </w:r>
          </w:p>
        </w:tc>
      </w:tr>
      <w:tr w:rsidR="0091438F" w:rsidRPr="00F707C8" w14:paraId="0460FBC1" w14:textId="77777777" w:rsidTr="00AA67D7">
        <w:trPr>
          <w:gridAfter w:val="1"/>
          <w:wAfter w:w="425" w:type="dxa"/>
          <w:trHeight w:val="272"/>
        </w:trPr>
        <w:tc>
          <w:tcPr>
            <w:tcW w:w="817" w:type="dxa"/>
            <w:vAlign w:val="center"/>
            <w:hideMark/>
          </w:tcPr>
          <w:p w14:paraId="22D4CE79"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Aprobó: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5901B27A"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Nohelia del Carmen Zawady Palacio</w:t>
            </w:r>
          </w:p>
          <w:p w14:paraId="3128C6D7" w14:textId="77777777" w:rsidR="0091438F" w:rsidRPr="00DE0BB9" w:rsidRDefault="0091438F" w:rsidP="00AA67D7">
            <w:pPr>
              <w:rPr>
                <w:rFonts w:ascii="Century Gothic" w:eastAsia="Arial" w:hAnsi="Century Gothic" w:cs="Arial"/>
                <w:sz w:val="14"/>
                <w:szCs w:val="14"/>
                <w:lang w:val="es-ES" w:eastAsia="es-ES" w:bidi="es-ES"/>
              </w:rPr>
            </w:pPr>
            <w:r w:rsidRPr="00DE0BB9">
              <w:rPr>
                <w:rFonts w:ascii="Century Gothic" w:eastAsia="Arial" w:hAnsi="Century Gothic" w:cs="Arial"/>
                <w:sz w:val="14"/>
                <w:szCs w:val="14"/>
                <w:lang w:val="es-ES" w:eastAsia="es-ES" w:bidi="es-ES"/>
              </w:rPr>
              <w:t>Subdirector de Gestión Contractual ANCP – CCE</w:t>
            </w:r>
          </w:p>
        </w:tc>
      </w:tr>
      <w:bookmarkEnd w:id="7"/>
    </w:tbl>
    <w:p w14:paraId="17A6BFD5" w14:textId="77777777" w:rsidR="0091438F" w:rsidRPr="00DE0BB9" w:rsidRDefault="0091438F" w:rsidP="0091438F">
      <w:pPr>
        <w:widowControl w:val="0"/>
        <w:autoSpaceDE w:val="0"/>
        <w:autoSpaceDN w:val="0"/>
        <w:spacing w:after="18"/>
        <w:jc w:val="center"/>
        <w:rPr>
          <w:rFonts w:ascii="Century Gothic" w:eastAsia="Arial" w:hAnsi="Century Gothic" w:cs="Arial"/>
          <w:lang w:val="es-ES" w:eastAsia="es-CO" w:bidi="es-ES"/>
        </w:rPr>
      </w:pPr>
    </w:p>
    <w:p w14:paraId="731A0200" w14:textId="77777777" w:rsidR="0091438F" w:rsidRPr="00DE0BB9" w:rsidRDefault="0091438F" w:rsidP="0091438F">
      <w:pPr>
        <w:widowControl w:val="0"/>
        <w:autoSpaceDE w:val="0"/>
        <w:autoSpaceDN w:val="0"/>
        <w:rPr>
          <w:rFonts w:ascii="Century Gothic" w:eastAsia="Arial" w:hAnsi="Century Gothic" w:cs="Arial"/>
          <w:lang w:val="es-ES" w:eastAsia="es-ES" w:bidi="es-ES"/>
        </w:rPr>
      </w:pPr>
    </w:p>
    <w:p w14:paraId="47CBBFF9" w14:textId="77777777" w:rsidR="0091438F" w:rsidRPr="00DE0BB9" w:rsidRDefault="0091438F" w:rsidP="0091438F">
      <w:pPr>
        <w:widowControl w:val="0"/>
        <w:autoSpaceDE w:val="0"/>
        <w:autoSpaceDN w:val="0"/>
        <w:rPr>
          <w:rFonts w:ascii="Century Gothic" w:eastAsia="Arial" w:hAnsi="Century Gothic" w:cs="Arial"/>
          <w:lang w:val="es-ES" w:eastAsia="es-ES" w:bidi="es-ES"/>
        </w:rPr>
      </w:pPr>
    </w:p>
    <w:p w14:paraId="6E90849A" w14:textId="77777777" w:rsidR="0091438F" w:rsidRPr="00DE0BB9" w:rsidRDefault="0091438F" w:rsidP="0091438F">
      <w:pPr>
        <w:rPr>
          <w:rFonts w:ascii="Century Gothic" w:hAnsi="Century Gothic"/>
          <w:lang w:val="es-ES"/>
        </w:rPr>
      </w:pPr>
    </w:p>
    <w:p w14:paraId="393BFD49" w14:textId="77777777" w:rsidR="0091438F" w:rsidRPr="00DE0BB9" w:rsidRDefault="0091438F" w:rsidP="0091438F">
      <w:pPr>
        <w:rPr>
          <w:rFonts w:ascii="Century Gothic" w:hAnsi="Century Gothic"/>
        </w:rPr>
      </w:pPr>
    </w:p>
    <w:p w14:paraId="4D709E61" w14:textId="77777777" w:rsidR="0091438F" w:rsidRPr="00DE0BB9" w:rsidRDefault="0091438F" w:rsidP="0091438F">
      <w:pPr>
        <w:rPr>
          <w:rFonts w:ascii="Century Gothic" w:hAnsi="Century Gothic"/>
        </w:rPr>
      </w:pPr>
      <w:r w:rsidRPr="00DE0BB9">
        <w:rPr>
          <w:rFonts w:ascii="Century Gothic" w:hAnsi="Century Gothic"/>
        </w:rPr>
        <w:t xml:space="preserve"> </w:t>
      </w:r>
    </w:p>
    <w:p w14:paraId="7478C64D" w14:textId="77777777" w:rsidR="0091438F" w:rsidRPr="00F707C8" w:rsidRDefault="0091438F" w:rsidP="0091438F">
      <w:pPr>
        <w:spacing w:after="0"/>
        <w:rPr>
          <w:rFonts w:ascii="Century Gothic" w:hAnsi="Century Gothic"/>
        </w:rPr>
      </w:pPr>
    </w:p>
    <w:p w14:paraId="585C7AB9" w14:textId="77777777" w:rsidR="0091438F" w:rsidRPr="00DE0BB9" w:rsidRDefault="0091438F" w:rsidP="0091438F">
      <w:pPr>
        <w:spacing w:after="0" w:line="276" w:lineRule="auto"/>
        <w:contextualSpacing/>
        <w:jc w:val="both"/>
        <w:rPr>
          <w:rFonts w:ascii="Century Gothic" w:hAnsi="Century Gothic"/>
        </w:rPr>
      </w:pPr>
    </w:p>
    <w:p w14:paraId="6EDCE3B2" w14:textId="77777777" w:rsidR="0091438F" w:rsidRPr="00F707C8" w:rsidRDefault="0091438F" w:rsidP="0091438F">
      <w:pPr>
        <w:spacing w:after="0"/>
        <w:rPr>
          <w:rFonts w:ascii="Century Gothic" w:hAnsi="Century Gothic"/>
        </w:rPr>
      </w:pPr>
    </w:p>
    <w:p w14:paraId="2B18115C" w14:textId="77777777" w:rsidR="0091438F" w:rsidRPr="00F707C8" w:rsidRDefault="0091438F" w:rsidP="0091438F">
      <w:pPr>
        <w:spacing w:after="0"/>
        <w:rPr>
          <w:rFonts w:ascii="Century Gothic" w:hAnsi="Century Gothic"/>
        </w:rPr>
      </w:pPr>
    </w:p>
    <w:bookmarkEnd w:id="0"/>
    <w:p w14:paraId="3FDC0C0D" w14:textId="4662366D" w:rsidR="008F1E66" w:rsidRPr="0091438F" w:rsidRDefault="008F1E66" w:rsidP="00E8724A">
      <w:pPr>
        <w:pStyle w:val="Sinespaciado"/>
        <w:rPr>
          <w:lang w:val="es-CO"/>
        </w:rPr>
      </w:pPr>
    </w:p>
    <w:sectPr w:rsidR="008F1E66" w:rsidRPr="0091438F" w:rsidSect="00C5360B">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DF43" w14:textId="77777777" w:rsidR="00BC171C" w:rsidRDefault="00BC171C" w:rsidP="00EA591E">
      <w:pPr>
        <w:spacing w:after="0" w:line="240" w:lineRule="auto"/>
      </w:pPr>
      <w:r>
        <w:separator/>
      </w:r>
    </w:p>
  </w:endnote>
  <w:endnote w:type="continuationSeparator" w:id="0">
    <w:p w14:paraId="58DA01B7" w14:textId="77777777" w:rsidR="00BC171C" w:rsidRDefault="00BC171C" w:rsidP="00EA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7C30" w14:textId="77777777" w:rsidR="00C5360B" w:rsidRDefault="00C5360B">
    <w:pPr>
      <w:pStyle w:val="Piedepgina"/>
    </w:pPr>
    <w:r>
      <w:rPr>
        <w:noProof/>
        <w:lang w:val="en-US"/>
      </w:rPr>
      <w:drawing>
        <wp:inline distT="0" distB="0" distL="0" distR="0" wp14:anchorId="5C9EED36" wp14:editId="57FF0669">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2336" behindDoc="0" locked="0" layoutInCell="1" allowOverlap="1" wp14:anchorId="6DA5C328" wp14:editId="0B3CCDA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C5360B" w:rsidRPr="00080DA3" w14:paraId="718B5582" w14:textId="77777777" w:rsidTr="00C5360B">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E1183" w14:textId="77777777" w:rsidR="00C5360B" w:rsidRPr="003F3941" w:rsidRDefault="00C5360B" w:rsidP="00C5360B">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0E27A6D" w14:textId="77777777" w:rsidR="00C5360B" w:rsidRPr="003F3941" w:rsidRDefault="00C5360B" w:rsidP="00C5360B">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B7F6509" w14:textId="77777777" w:rsidR="00C5360B" w:rsidRPr="003F3941" w:rsidRDefault="00C5360B" w:rsidP="00C5360B">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15413E0" w14:textId="4D40EC87" w:rsidR="00C5360B" w:rsidRPr="003F3941" w:rsidRDefault="00C5360B" w:rsidP="00C5360B">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C82952">
            <w:rPr>
              <w:rFonts w:ascii="Century Gothic" w:hAnsi="Century Gothic"/>
              <w:b/>
              <w:bCs/>
              <w:noProof/>
              <w:sz w:val="16"/>
              <w:szCs w:val="16"/>
            </w:rPr>
            <w:t>34</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C82952">
            <w:rPr>
              <w:rFonts w:ascii="Century Gothic" w:hAnsi="Century Gothic"/>
              <w:b/>
              <w:bCs/>
              <w:noProof/>
              <w:sz w:val="16"/>
              <w:szCs w:val="16"/>
            </w:rPr>
            <w:t>34</w:t>
          </w:r>
          <w:r w:rsidRPr="003F3941">
            <w:rPr>
              <w:rFonts w:ascii="Century Gothic" w:hAnsi="Century Gothic"/>
              <w:b/>
              <w:bCs/>
              <w:sz w:val="16"/>
              <w:szCs w:val="16"/>
            </w:rPr>
            <w:fldChar w:fldCharType="end"/>
          </w:r>
        </w:p>
      </w:tc>
    </w:tr>
  </w:tbl>
  <w:p w14:paraId="095C53F7" w14:textId="77777777" w:rsidR="00C5360B" w:rsidRDefault="00C5360B" w:rsidP="00C536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34D5" w14:textId="77777777" w:rsidR="00BC171C" w:rsidRDefault="00BC171C" w:rsidP="00EA591E">
      <w:pPr>
        <w:spacing w:after="0" w:line="240" w:lineRule="auto"/>
      </w:pPr>
      <w:r>
        <w:separator/>
      </w:r>
    </w:p>
  </w:footnote>
  <w:footnote w:type="continuationSeparator" w:id="0">
    <w:p w14:paraId="3CFCB5EA" w14:textId="77777777" w:rsidR="00BC171C" w:rsidRDefault="00BC171C" w:rsidP="00EA591E">
      <w:pPr>
        <w:spacing w:after="0" w:line="240" w:lineRule="auto"/>
      </w:pPr>
      <w:r>
        <w:continuationSeparator/>
      </w:r>
    </w:p>
  </w:footnote>
  <w:footnote w:id="1">
    <w:p w14:paraId="5303FCDA"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La Agencia Nacional de Contratación Pública </w:t>
      </w:r>
      <w:r w:rsidRPr="00DE0BB9">
        <w:rPr>
          <w:rFonts w:ascii="Arial" w:hAnsi="Arial" w:cs="Arial"/>
          <w:sz w:val="16"/>
          <w:szCs w:val="16"/>
        </w:rPr>
        <w:t>‒</w:t>
      </w:r>
      <w:r w:rsidRPr="00DE0BB9">
        <w:rPr>
          <w:rFonts w:ascii="Century Gothic" w:hAnsi="Century Gothic" w:cs="Arial"/>
          <w:sz w:val="16"/>
          <w:szCs w:val="16"/>
        </w:rPr>
        <w:t xml:space="preserve"> Colombia Compra Eficiente fue creada por el Decreto Ley 4170 de 2011. Su objetivo es servir como ente rector de la pol</w:t>
      </w:r>
      <w:r w:rsidRPr="00DE0BB9">
        <w:rPr>
          <w:rFonts w:ascii="Century Gothic" w:hAnsi="Century Gothic" w:cs="Century Gothic"/>
          <w:sz w:val="16"/>
          <w:szCs w:val="16"/>
        </w:rPr>
        <w:t>í</w:t>
      </w:r>
      <w:r w:rsidRPr="00DE0BB9">
        <w:rPr>
          <w:rFonts w:ascii="Century Gothic" w:hAnsi="Century Gothic" w:cs="Arial"/>
          <w:sz w:val="16"/>
          <w:szCs w:val="16"/>
        </w:rPr>
        <w:t>tica de compras y contrataci</w:t>
      </w:r>
      <w:r w:rsidRPr="00DE0BB9">
        <w:rPr>
          <w:rFonts w:ascii="Century Gothic" w:hAnsi="Century Gothic" w:cs="Century Gothic"/>
          <w:sz w:val="16"/>
          <w:szCs w:val="16"/>
        </w:rPr>
        <w:t>ó</w:t>
      </w:r>
      <w:r w:rsidRPr="00DE0BB9">
        <w:rPr>
          <w:rFonts w:ascii="Century Gothic" w:hAnsi="Century Gothic" w:cs="Arial"/>
          <w:sz w:val="16"/>
          <w:szCs w:val="16"/>
        </w:rPr>
        <w:t xml:space="preserve">n del Estado. Para tales fines, como </w:t>
      </w:r>
      <w:r w:rsidRPr="00DE0BB9">
        <w:rPr>
          <w:rFonts w:ascii="Century Gothic" w:hAnsi="Century Gothic" w:cs="Century Gothic"/>
          <w:sz w:val="16"/>
          <w:szCs w:val="16"/>
        </w:rPr>
        <w:t>ó</w:t>
      </w:r>
      <w:r w:rsidRPr="00DE0BB9">
        <w:rPr>
          <w:rFonts w:ascii="Century Gothic" w:hAnsi="Century Gothic" w:cs="Arial"/>
          <w:sz w:val="16"/>
          <w:szCs w:val="16"/>
        </w:rPr>
        <w:t>rgano t</w:t>
      </w:r>
      <w:r w:rsidRPr="00DE0BB9">
        <w:rPr>
          <w:rFonts w:ascii="Century Gothic" w:hAnsi="Century Gothic" w:cs="Century Gothic"/>
          <w:sz w:val="16"/>
          <w:szCs w:val="16"/>
        </w:rPr>
        <w:t>é</w:t>
      </w:r>
      <w:r w:rsidRPr="00DE0BB9">
        <w:rPr>
          <w:rFonts w:ascii="Century Gothic" w:hAnsi="Century Gothic" w:cs="Arial"/>
          <w:sz w:val="16"/>
          <w:szCs w:val="16"/>
        </w:rPr>
        <w:t>cnico especializado, le corresponde formular pol</w:t>
      </w:r>
      <w:r w:rsidRPr="00DE0BB9">
        <w:rPr>
          <w:rFonts w:ascii="Century Gothic" w:hAnsi="Century Gothic" w:cs="Century Gothic"/>
          <w:sz w:val="16"/>
          <w:szCs w:val="16"/>
        </w:rPr>
        <w:t>í</w:t>
      </w:r>
      <w:r w:rsidRPr="00DE0BB9">
        <w:rPr>
          <w:rFonts w:ascii="Century Gothic" w:hAnsi="Century Gothic" w:cs="Arial"/>
          <w:sz w:val="16"/>
          <w:szCs w:val="16"/>
        </w:rPr>
        <w:t>ticas p</w:t>
      </w:r>
      <w:r w:rsidRPr="00DE0BB9">
        <w:rPr>
          <w:rFonts w:ascii="Century Gothic" w:hAnsi="Century Gothic" w:cs="Century Gothic"/>
          <w:sz w:val="16"/>
          <w:szCs w:val="16"/>
        </w:rPr>
        <w:t>ú</w:t>
      </w:r>
      <w:r w:rsidRPr="00DE0BB9">
        <w:rPr>
          <w:rFonts w:ascii="Century Gothic" w:hAnsi="Century Gothic" w:cs="Arial"/>
          <w:sz w:val="16"/>
          <w:szCs w:val="16"/>
        </w:rPr>
        <w:t>blicas y normas y unificar los procesos de contrataci</w:t>
      </w:r>
      <w:r w:rsidRPr="00DE0BB9">
        <w:rPr>
          <w:rFonts w:ascii="Century Gothic" w:hAnsi="Century Gothic" w:cs="Century Gothic"/>
          <w:sz w:val="16"/>
          <w:szCs w:val="16"/>
        </w:rPr>
        <w:t>ó</w:t>
      </w:r>
      <w:r w:rsidRPr="00DE0BB9">
        <w:rPr>
          <w:rFonts w:ascii="Century Gothic" w:hAnsi="Century Gothic" w:cs="Arial"/>
          <w:sz w:val="16"/>
          <w:szCs w:val="16"/>
        </w:rPr>
        <w:t>n estatal, con el fin de lograr una mayor eficiencia, transparencia y optimizaci</w:t>
      </w:r>
      <w:r w:rsidRPr="00DE0BB9">
        <w:rPr>
          <w:rFonts w:ascii="Century Gothic" w:hAnsi="Century Gothic" w:cs="Century Gothic"/>
          <w:sz w:val="16"/>
          <w:szCs w:val="16"/>
        </w:rPr>
        <w:t>ó</w:t>
      </w:r>
      <w:r w:rsidRPr="00DE0BB9">
        <w:rPr>
          <w:rFonts w:ascii="Century Gothic" w:hAnsi="Century Gothic" w:cs="Arial"/>
          <w:sz w:val="16"/>
          <w:szCs w:val="16"/>
        </w:rPr>
        <w:t>n de los recursos del Estado. El art</w:t>
      </w:r>
      <w:r w:rsidRPr="00DE0BB9">
        <w:rPr>
          <w:rFonts w:ascii="Century Gothic" w:hAnsi="Century Gothic" w:cs="Century Gothic"/>
          <w:sz w:val="16"/>
          <w:szCs w:val="16"/>
        </w:rPr>
        <w:t>í</w:t>
      </w:r>
      <w:r w:rsidRPr="00DE0BB9">
        <w:rPr>
          <w:rFonts w:ascii="Century Gothic" w:hAnsi="Century Gothic" w:cs="Arial"/>
          <w:sz w:val="16"/>
          <w:szCs w:val="16"/>
        </w:rPr>
        <w:t xml:space="preserve">culo 3 </w:t>
      </w:r>
      <w:r w:rsidRPr="00DE0BB9">
        <w:rPr>
          <w:rFonts w:ascii="Century Gothic" w:hAnsi="Century Gothic" w:cs="Arial"/>
          <w:i/>
          <w:iCs/>
          <w:sz w:val="16"/>
          <w:szCs w:val="16"/>
        </w:rPr>
        <w:t xml:space="preserve">ibidem </w:t>
      </w:r>
      <w:r w:rsidRPr="00DE0BB9">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B081CCC" w14:textId="77777777" w:rsidR="0091438F" w:rsidRPr="00DE0BB9" w:rsidRDefault="0091438F" w:rsidP="0091438F">
      <w:pPr>
        <w:pStyle w:val="Textonotapie"/>
        <w:ind w:firstLine="708"/>
        <w:jc w:val="both"/>
        <w:rPr>
          <w:rFonts w:ascii="Century Gothic" w:hAnsi="Century Gothic" w:cs="Arial"/>
          <w:sz w:val="16"/>
          <w:szCs w:val="16"/>
          <w:lang w:val="es-ES"/>
        </w:rPr>
      </w:pPr>
    </w:p>
  </w:footnote>
  <w:footnote w:id="2">
    <w:p w14:paraId="6145A3A3" w14:textId="77777777" w:rsidR="0091438F" w:rsidRPr="00DE0BB9" w:rsidRDefault="0091438F" w:rsidP="0091438F">
      <w:pPr>
        <w:pStyle w:val="Textonotapie"/>
        <w:ind w:firstLine="709"/>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DÁVILA VINUEZA, Luis Guillermo. </w:t>
      </w:r>
      <w:r w:rsidRPr="00DE0BB9">
        <w:rPr>
          <w:rFonts w:ascii="Century Gothic" w:hAnsi="Century Gothic" w:cs="Arial"/>
          <w:sz w:val="16"/>
          <w:szCs w:val="16"/>
          <w:lang w:val="es-ES"/>
        </w:rPr>
        <w:t xml:space="preserve">Régimen Jurídico De La Contratación Estatal. Recuperado de https://xperta.legis.co, Capítulo VI Inhabilidades e Incompatibilidades, Sección 2 Interpretación Restrictiva. </w:t>
      </w:r>
    </w:p>
    <w:p w14:paraId="47A382C6" w14:textId="77777777" w:rsidR="0091438F" w:rsidRPr="00DE0BB9" w:rsidRDefault="0091438F" w:rsidP="0091438F">
      <w:pPr>
        <w:pStyle w:val="Textonotapie"/>
        <w:ind w:firstLine="709"/>
        <w:jc w:val="both"/>
        <w:rPr>
          <w:rFonts w:ascii="Century Gothic" w:hAnsi="Century Gothic" w:cs="Arial"/>
          <w:sz w:val="16"/>
          <w:szCs w:val="16"/>
          <w:lang w:val="es-ES"/>
        </w:rPr>
      </w:pPr>
    </w:p>
  </w:footnote>
  <w:footnote w:id="3">
    <w:p w14:paraId="66DCC89C" w14:textId="77777777" w:rsidR="0091438F" w:rsidRPr="00DE0BB9" w:rsidRDefault="0091438F" w:rsidP="0091438F">
      <w:pPr>
        <w:pStyle w:val="Textonotapie"/>
        <w:ind w:firstLine="709"/>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3F08EAFA" w14:textId="77777777" w:rsidR="0091438F" w:rsidRPr="00DE0BB9" w:rsidRDefault="0091438F" w:rsidP="0091438F">
      <w:pPr>
        <w:pStyle w:val="Textonotapie"/>
        <w:ind w:firstLine="709"/>
        <w:jc w:val="both"/>
        <w:rPr>
          <w:rFonts w:ascii="Century Gothic" w:hAnsi="Century Gothic" w:cs="Arial"/>
          <w:sz w:val="16"/>
          <w:szCs w:val="16"/>
          <w:lang w:val="es-ES"/>
        </w:rPr>
      </w:pPr>
    </w:p>
  </w:footnote>
  <w:footnote w:id="4">
    <w:p w14:paraId="542B5EA6" w14:textId="77777777" w:rsidR="0091438F" w:rsidRPr="00DE0BB9" w:rsidRDefault="0091438F" w:rsidP="0091438F">
      <w:pPr>
        <w:pStyle w:val="Textonotapie"/>
        <w:ind w:firstLine="709"/>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CONSEJO DE ESTADO. Sala de Consulta y Servicio Civil. Concepto del 30 de abril de 2015. Exp. 2251. Consejero Ponente: Álvaro Namén Vargas.</w:t>
      </w:r>
    </w:p>
    <w:p w14:paraId="1EDADA60" w14:textId="77777777" w:rsidR="0091438F" w:rsidRPr="00DE0BB9" w:rsidRDefault="0091438F" w:rsidP="0091438F">
      <w:pPr>
        <w:pStyle w:val="Textonotapie"/>
        <w:ind w:firstLine="709"/>
        <w:jc w:val="both"/>
        <w:rPr>
          <w:rFonts w:ascii="Century Gothic" w:hAnsi="Century Gothic" w:cs="Arial"/>
          <w:sz w:val="16"/>
          <w:szCs w:val="16"/>
          <w:lang w:val="es-ES"/>
        </w:rPr>
      </w:pPr>
    </w:p>
  </w:footnote>
  <w:footnote w:id="5">
    <w:p w14:paraId="4CF86712"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CONSEJO DE ESTADO. Sección Tercera. Subsección A. Sentencia del 24 de junio de 2015. Rad. 40.635. Consejero Ponente: Hernán Andrade Rincón (E).</w:t>
      </w:r>
    </w:p>
  </w:footnote>
  <w:footnote w:id="6">
    <w:p w14:paraId="70970157"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CONSEJO DE ESTADO. Sección Tercera. Subsección C. Sentencia del 22 de mayo de 2013. Rad. 24.057. Consejera Ponente: Olga Melida Valle De De La Hoz.</w:t>
      </w:r>
    </w:p>
  </w:footnote>
  <w:footnote w:id="7">
    <w:p w14:paraId="6C1B64B5"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CORTE CONSTITUCIONAL. Sentencia C-1016 de 2012. M.P. Jorge Iván Palacio. </w:t>
      </w:r>
    </w:p>
  </w:footnote>
  <w:footnote w:id="8">
    <w:p w14:paraId="71F36890"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CONSEJO DE ESTADO. Sección Tercera. Subsección A. Sentencia del 13 de noviembre de 2013. Rad. 25.646. C.P. Mauricio Fajardo Gómez. </w:t>
      </w:r>
    </w:p>
    <w:p w14:paraId="21FF6369" w14:textId="77777777" w:rsidR="0091438F" w:rsidRPr="00DE0BB9" w:rsidRDefault="0091438F" w:rsidP="0091438F">
      <w:pPr>
        <w:pStyle w:val="Textonotapie"/>
        <w:ind w:firstLine="709"/>
        <w:jc w:val="both"/>
        <w:rPr>
          <w:rFonts w:ascii="Century Gothic" w:hAnsi="Century Gothic" w:cs="Arial"/>
          <w:sz w:val="16"/>
          <w:szCs w:val="16"/>
        </w:rPr>
      </w:pPr>
      <w:r w:rsidRPr="00DE0BB9">
        <w:rPr>
          <w:rFonts w:ascii="Century Gothic" w:hAnsi="Century Gothic" w:cs="Arial"/>
          <w:sz w:val="16"/>
          <w:szCs w:val="16"/>
        </w:rPr>
        <w:t xml:space="preserve"> </w:t>
      </w:r>
    </w:p>
  </w:footnote>
  <w:footnote w:id="9">
    <w:p w14:paraId="5D9579CD" w14:textId="77777777" w:rsidR="0091438F" w:rsidRPr="00DE0BB9" w:rsidRDefault="0091438F" w:rsidP="0091438F">
      <w:pPr>
        <w:pStyle w:val="Textonotapie"/>
        <w:ind w:firstLine="709"/>
        <w:jc w:val="both"/>
        <w:rPr>
          <w:rFonts w:ascii="Century Gothic" w:hAnsi="Century Gothic" w:cs="Arial"/>
          <w:sz w:val="16"/>
          <w:szCs w:val="16"/>
        </w:rPr>
      </w:pPr>
      <w:r w:rsidRPr="00DE0BB9">
        <w:rPr>
          <w:rFonts w:ascii="Century Gothic" w:hAnsi="Century Gothic" w:cs="Arial"/>
          <w:sz w:val="16"/>
          <w:szCs w:val="16"/>
          <w:vertAlign w:val="superscript"/>
        </w:rPr>
        <w:footnoteRef/>
      </w:r>
      <w:r w:rsidRPr="00DE0BB9">
        <w:rPr>
          <w:rFonts w:ascii="Century Gothic" w:hAnsi="Century Gothic" w:cs="Arial"/>
          <w:sz w:val="16"/>
          <w:szCs w:val="16"/>
        </w:rPr>
        <w:t xml:space="preserve"> CORTE CONSTITUCIONAL. Sentencia C-415 de 1994. M.P. Eduardo Cifuentes Muñoz. </w:t>
      </w:r>
    </w:p>
    <w:p w14:paraId="4A6E9253" w14:textId="77777777" w:rsidR="0091438F" w:rsidRPr="00DE0BB9" w:rsidRDefault="0091438F" w:rsidP="0091438F">
      <w:pPr>
        <w:pStyle w:val="Textonotapie"/>
        <w:ind w:firstLine="709"/>
        <w:jc w:val="both"/>
        <w:rPr>
          <w:rFonts w:ascii="Century Gothic" w:hAnsi="Century Gothic" w:cs="Arial"/>
          <w:sz w:val="16"/>
          <w:szCs w:val="16"/>
        </w:rPr>
      </w:pPr>
    </w:p>
  </w:footnote>
  <w:footnote w:id="10">
    <w:p w14:paraId="0EF066BA"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Ibidem. </w:t>
      </w:r>
    </w:p>
  </w:footnote>
  <w:footnote w:id="11">
    <w:p w14:paraId="37A1A89D" w14:textId="77777777" w:rsidR="0091438F" w:rsidRPr="00DE0BB9" w:rsidRDefault="0091438F" w:rsidP="0091438F">
      <w:pPr>
        <w:pStyle w:val="Textonotapie"/>
        <w:ind w:firstLine="709"/>
        <w:jc w:val="both"/>
        <w:rPr>
          <w:rFonts w:ascii="Century Gothic" w:hAnsi="Century Gothic" w:cs="Arial"/>
          <w:sz w:val="16"/>
          <w:szCs w:val="16"/>
        </w:rPr>
      </w:pPr>
    </w:p>
    <w:p w14:paraId="4FCE6DF8"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CORTE CONSTITUCIONAL. Sentencia C-780 de 2001. M.P. Jaime Córdoba Triviño. </w:t>
      </w:r>
    </w:p>
  </w:footnote>
  <w:footnote w:id="12">
    <w:p w14:paraId="3D5DA241" w14:textId="77777777" w:rsidR="0091438F" w:rsidRPr="00DE0BB9" w:rsidRDefault="0091438F" w:rsidP="0091438F">
      <w:pPr>
        <w:pStyle w:val="NormalWeb"/>
        <w:spacing w:after="0"/>
        <w:ind w:firstLine="709"/>
        <w:jc w:val="both"/>
        <w:rPr>
          <w:rFonts w:ascii="Century Gothic" w:hAnsi="Century Gothic" w:cs="Arial"/>
          <w:sz w:val="16"/>
          <w:szCs w:val="16"/>
        </w:rPr>
      </w:pPr>
    </w:p>
    <w:p w14:paraId="4C266550"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Ley 80 de 1993: “Artículo 8: 1o. Son inhábiles para participar en licitaciones o concursos y para celebrar contratos con las entidades estatales: </w:t>
      </w:r>
    </w:p>
    <w:p w14:paraId="780995C3"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“a) Las personas que se hallen inhabilitadas para contratar por la Constitución y las leyes. </w:t>
      </w:r>
    </w:p>
    <w:p w14:paraId="22C342AB"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“b) Quienes participaron en las licitaciones o concursos o celebraron los contratos de que trata el literal anterior estando inhabilitados. </w:t>
      </w:r>
    </w:p>
    <w:p w14:paraId="37E15218"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“c) Quienes dieron lugar a la declaratoria de caducidad. </w:t>
      </w:r>
    </w:p>
    <w:p w14:paraId="5A17307E"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“d) Quienes en sentencia judicial hayan sido condenados a la pena accesoria de interdicción de derechos y funciones públicas y quienes hayan sido sancionados disciplinariamente con destitución. </w:t>
      </w:r>
    </w:p>
    <w:p w14:paraId="46AC4071"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“e) Quienes sin justa causa se abstengan de suscribir el contrato estatal adjudicado. </w:t>
      </w:r>
    </w:p>
    <w:p w14:paraId="593113C1"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“f) Los servidores públicos. </w:t>
      </w:r>
    </w:p>
    <w:p w14:paraId="4ACFB1BF"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1CE2D60A"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539F574"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“i) Los socios de sociedades de personas a las cuales se haya declarado la caducidad, así como las sociedades de personas de las que aquellos formen parte con posterioridad a dicha declaratoria. </w:t>
      </w:r>
    </w:p>
    <w:p w14:paraId="5B8A4957"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32C8584"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3E0AFCE8"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DE0BB9">
        <w:rPr>
          <w:rFonts w:ascii="Century Gothic" w:hAnsi="Century Gothic" w:cs="Arial"/>
          <w:sz w:val="16"/>
          <w:szCs w:val="16"/>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E0BB9">
        <w:rPr>
          <w:rFonts w:ascii="Century Gothic" w:hAnsi="Century Gothic" w:cs="Arial"/>
          <w:sz w:val="16"/>
          <w:szCs w:val="16"/>
          <w:lang w:val="es-ES"/>
        </w:rPr>
        <w:softHyphen/>
        <w:t>cepción de las sociedades anónimas abiertas. También se considerarán inhabilitadas para contratar, las personas jurídicas sobre las cuales se haya ordenado la suspensión de la perso</w:t>
      </w:r>
      <w:r w:rsidRPr="00DE0BB9">
        <w:rPr>
          <w:rFonts w:ascii="Century Gothic" w:hAnsi="Century Gothic" w:cs="Arial"/>
          <w:sz w:val="16"/>
          <w:szCs w:val="16"/>
          <w:lang w:val="es-ES"/>
        </w:rPr>
        <w:softHyphen/>
        <w:t>nería jurídica en los términos de ley, o cuyos representantes legales, ad</w:t>
      </w:r>
      <w:r w:rsidRPr="00DE0BB9">
        <w:rPr>
          <w:rFonts w:ascii="Century Gothic" w:hAnsi="Century Gothic" w:cs="Arial"/>
          <w:sz w:val="16"/>
          <w:szCs w:val="16"/>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DE0BB9">
        <w:rPr>
          <w:rFonts w:ascii="Century Gothic" w:hAnsi="Century Gothic" w:cs="Arial"/>
          <w:sz w:val="16"/>
          <w:szCs w:val="16"/>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69535F5"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w:t>
      </w:r>
    </w:p>
    <w:p w14:paraId="6543E480"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“2o. Tampoco podrán participar en licitaciones o concursos ni celebrar contratos estatales con la entidad respectiva: </w:t>
      </w:r>
    </w:p>
    <w:p w14:paraId="78A1DCEF"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74A5C63D"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16B31776"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“c) El cónyuge, compañero o compañera permanente del servidor público en los niveles directivo, asesor, ejecutivo, o de un miembro de la junta o consejo directivo, o de quien ejerza funciones de control interno o de control fiscal. </w:t>
      </w:r>
    </w:p>
    <w:p w14:paraId="6F97C2BC"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2C16A155"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“e) Los miembros de las juntas o consejos directivos. Esta incompatibilidad sólo se predica respecto de la entidad a la cual prestan sus servicios y de las del sector administrativo al que la misma esté adscrita o vinculada. </w:t>
      </w:r>
    </w:p>
    <w:p w14:paraId="7B37F73E" w14:textId="77777777" w:rsidR="0091438F" w:rsidRPr="00DE0BB9" w:rsidRDefault="0091438F" w:rsidP="0091438F">
      <w:pPr>
        <w:pStyle w:val="NormalWeb"/>
        <w:spacing w:after="0"/>
        <w:ind w:firstLine="709"/>
        <w:jc w:val="both"/>
        <w:rPr>
          <w:rFonts w:ascii="Century Gothic" w:hAnsi="Century Gothic" w:cs="Arial"/>
          <w:sz w:val="16"/>
          <w:szCs w:val="16"/>
          <w:lang w:val="es-ES"/>
        </w:rPr>
      </w:pPr>
      <w:r w:rsidRPr="00DE0BB9">
        <w:rPr>
          <w:rFonts w:ascii="Century Gothic" w:hAnsi="Century Gothic" w:cs="Arial"/>
          <w:sz w:val="16"/>
          <w:szCs w:val="16"/>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w:t>
      </w:r>
    </w:p>
  </w:footnote>
  <w:footnote w:id="13">
    <w:p w14:paraId="2D14FCA9" w14:textId="77777777" w:rsidR="0091438F" w:rsidRPr="00DE0BB9" w:rsidRDefault="0091438F" w:rsidP="0091438F">
      <w:pPr>
        <w:pStyle w:val="Textonotapie"/>
        <w:ind w:firstLine="709"/>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eastAsia="Calibri" w:hAnsi="Century Gothic" w:cs="Arial"/>
          <w:bCs/>
          <w:color w:val="000000" w:themeColor="text1"/>
          <w:sz w:val="16"/>
          <w:szCs w:val="16"/>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6" w:name="_Hlk79776115"/>
      <w:r w:rsidRPr="00DE0BB9">
        <w:rPr>
          <w:rFonts w:ascii="Century Gothic" w:eastAsia="Calibri" w:hAnsi="Century Gothic" w:cs="Arial"/>
          <w:bCs/>
          <w:color w:val="000000" w:themeColor="text1"/>
          <w:sz w:val="16"/>
          <w:szCs w:val="16"/>
        </w:rPr>
        <w:t>: “El Gobierno nacional reglamentará el procedimiento de la cesión del contrato de que trata este artículo, en término no mayor a seis (6) meses.”</w:t>
      </w:r>
      <w:bookmarkEnd w:id="6"/>
    </w:p>
  </w:footnote>
  <w:footnote w:id="14">
    <w:p w14:paraId="192DB20B"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Sentencia de la Corte Constitucional. C-221 de 1996. Magistrado Ponente: José Gregorio Hernández Galindo. </w:t>
      </w:r>
    </w:p>
    <w:p w14:paraId="091410E3" w14:textId="77777777" w:rsidR="0091438F" w:rsidRPr="00DE0BB9" w:rsidRDefault="0091438F" w:rsidP="0091438F">
      <w:pPr>
        <w:pStyle w:val="Textonotapie"/>
        <w:ind w:firstLine="708"/>
        <w:jc w:val="both"/>
        <w:rPr>
          <w:rFonts w:ascii="Century Gothic" w:hAnsi="Century Gothic" w:cs="Arial"/>
          <w:sz w:val="16"/>
          <w:szCs w:val="16"/>
        </w:rPr>
      </w:pPr>
    </w:p>
  </w:footnote>
  <w:footnote w:id="15">
    <w:p w14:paraId="61D8937A" w14:textId="77777777" w:rsidR="0091438F" w:rsidRPr="00DE0BB9" w:rsidRDefault="0091438F" w:rsidP="0091438F">
      <w:pPr>
        <w:pStyle w:val="Textonotapie"/>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CONSEJO DE ESTADO, Sentencia del 8 de febrero de 1985, C.P. Carlos Betancur Jaramillo, Exp. 2.748.</w:t>
      </w:r>
    </w:p>
  </w:footnote>
  <w:footnote w:id="16">
    <w:p w14:paraId="4C9EA64E" w14:textId="77777777" w:rsidR="0091438F" w:rsidRPr="00DE0BB9" w:rsidRDefault="0091438F" w:rsidP="0091438F">
      <w:pPr>
        <w:pStyle w:val="Textonotapie"/>
        <w:ind w:firstLine="708"/>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MATALLANA CAMACHO, Ernesto, “Manual de contratación de la Administración Pública: Reforma de la Ley 80 de 1993, Editorial: Universidad Externado de Colombia, 2015 – 4 edición, Bogotá, pág., 611.</w:t>
      </w:r>
    </w:p>
  </w:footnote>
  <w:footnote w:id="17">
    <w:p w14:paraId="7D5EE941"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p w14:paraId="3D276A89" w14:textId="77777777" w:rsidR="0091438F" w:rsidRPr="00DE0BB9" w:rsidRDefault="0091438F" w:rsidP="0091438F">
      <w:pPr>
        <w:pStyle w:val="Textonotapie"/>
        <w:ind w:firstLine="708"/>
        <w:jc w:val="both"/>
        <w:rPr>
          <w:rFonts w:ascii="Century Gothic" w:hAnsi="Century Gothic" w:cs="Arial"/>
          <w:sz w:val="16"/>
          <w:szCs w:val="16"/>
        </w:rPr>
      </w:pPr>
    </w:p>
  </w:footnote>
  <w:footnote w:id="18">
    <w:p w14:paraId="2C2ED06E" w14:textId="77777777" w:rsidR="0091438F" w:rsidRPr="00DE0BB9" w:rsidRDefault="0091438F" w:rsidP="0091438F">
      <w:pPr>
        <w:pStyle w:val="Textonotapie"/>
        <w:ind w:firstLine="709"/>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Aunque el artículo 9 de la Ley 80 de 1993 no regula el tema de las inhabilidades e incompatibilidades sobrevinientes entre la adjudicación del contrato y su perfeccionamiento, es necesario tener en cuenta que el artículo 9, inciso cuarto, de la Ley 1150 de 2007 establece que “[…] si dentro del plazo comprendido entre la adjudicación del contrato y la suscripción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 (Corchetes fuera de texto).</w:t>
      </w:r>
    </w:p>
  </w:footnote>
  <w:footnote w:id="19">
    <w:p w14:paraId="1AFECA74" w14:textId="77777777" w:rsidR="0091438F" w:rsidRPr="00DE0BB9" w:rsidRDefault="0091438F" w:rsidP="0091438F">
      <w:pPr>
        <w:pStyle w:val="Textonotapie"/>
        <w:jc w:val="both"/>
        <w:rPr>
          <w:rFonts w:ascii="Century Gothic" w:hAnsi="Century Gothic"/>
          <w:sz w:val="16"/>
          <w:szCs w:val="16"/>
          <w:lang w:val="es-CO"/>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Consejo de Estado, Sala de Consulta y Servicio Civil, C.P.: César Hoyos Salazar, 17 de mayo de 2001, radicación número: 1346.</w:t>
      </w:r>
    </w:p>
  </w:footnote>
  <w:footnote w:id="20">
    <w:p w14:paraId="3BA98A59" w14:textId="77777777" w:rsidR="0091438F" w:rsidRPr="00DE0BB9" w:rsidRDefault="0091438F" w:rsidP="0091438F">
      <w:pPr>
        <w:ind w:firstLine="708"/>
        <w:jc w:val="both"/>
        <w:rPr>
          <w:rFonts w:ascii="Century Gothic" w:hAnsi="Century Gothic" w:cs="Arial"/>
          <w:color w:val="000000"/>
          <w:sz w:val="16"/>
          <w:szCs w:val="16"/>
        </w:rPr>
      </w:pPr>
      <w:r w:rsidRPr="00DE0BB9">
        <w:rPr>
          <w:rStyle w:val="Refdenotaalpie"/>
          <w:rFonts w:ascii="Century Gothic" w:hAnsi="Century Gothic" w:cs="Arial"/>
          <w:color w:val="000000"/>
          <w:sz w:val="16"/>
          <w:szCs w:val="16"/>
        </w:rPr>
        <w:footnoteRef/>
      </w:r>
      <w:r w:rsidRPr="00DE0BB9">
        <w:rPr>
          <w:rFonts w:ascii="Century Gothic" w:hAnsi="Century Gothic" w:cs="Arial"/>
          <w:color w:val="000000"/>
          <w:sz w:val="16"/>
          <w:szCs w:val="16"/>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DE0BB9">
        <w:rPr>
          <w:rFonts w:ascii="Century Gothic" w:hAnsi="Century Gothic" w:cs="Arial"/>
          <w:color w:val="000000"/>
          <w:spacing w:val="-20"/>
          <w:sz w:val="16"/>
          <w:szCs w:val="16"/>
        </w:rPr>
        <w:t xml:space="preserve"> </w:t>
      </w:r>
      <w:r w:rsidRPr="00DE0BB9">
        <w:rPr>
          <w:rFonts w:ascii="Century Gothic" w:hAnsi="Century Gothic" w:cs="Arial"/>
          <w:color w:val="000000"/>
          <w:sz w:val="16"/>
          <w:szCs w:val="16"/>
        </w:rPr>
        <w:t>Carbonell).</w:t>
      </w:r>
    </w:p>
    <w:p w14:paraId="722D59BC" w14:textId="77777777" w:rsidR="0091438F" w:rsidRPr="00DE0BB9" w:rsidRDefault="0091438F" w:rsidP="0091438F">
      <w:pPr>
        <w:pStyle w:val="Textonotapie"/>
        <w:jc w:val="both"/>
        <w:rPr>
          <w:rFonts w:ascii="Century Gothic" w:hAnsi="Century Gothic" w:cs="Arial"/>
          <w:color w:val="000000"/>
          <w:sz w:val="16"/>
          <w:szCs w:val="16"/>
        </w:rPr>
      </w:pPr>
    </w:p>
  </w:footnote>
  <w:footnote w:id="21">
    <w:p w14:paraId="50D88698" w14:textId="77777777" w:rsidR="0091438F" w:rsidRPr="00DE0BB9" w:rsidRDefault="0091438F" w:rsidP="0091438F">
      <w:pPr>
        <w:ind w:firstLine="708"/>
        <w:jc w:val="both"/>
        <w:rPr>
          <w:rFonts w:ascii="Century Gothic" w:hAnsi="Century Gothic" w:cs="Arial"/>
          <w:color w:val="000000"/>
          <w:sz w:val="16"/>
          <w:szCs w:val="16"/>
        </w:rPr>
      </w:pPr>
      <w:r w:rsidRPr="00DE0BB9">
        <w:rPr>
          <w:rStyle w:val="Refdenotaalpie"/>
          <w:rFonts w:ascii="Century Gothic" w:hAnsi="Century Gothic" w:cs="Arial"/>
          <w:color w:val="000000"/>
          <w:sz w:val="16"/>
          <w:szCs w:val="16"/>
        </w:rPr>
        <w:footnoteRef/>
      </w:r>
      <w:r w:rsidRPr="00DE0BB9">
        <w:rPr>
          <w:rFonts w:ascii="Century Gothic" w:hAnsi="Century Gothic" w:cs="Arial"/>
          <w:color w:val="000000"/>
          <w:sz w:val="16"/>
          <w:szCs w:val="16"/>
        </w:rPr>
        <w:t xml:space="preserve"> </w:t>
      </w:r>
      <w:r w:rsidRPr="00DE0BB9">
        <w:rPr>
          <w:rFonts w:ascii="Century Gothic" w:hAnsi="Century Gothic" w:cs="Arial"/>
          <w:sz w:val="16"/>
          <w:szCs w:val="16"/>
        </w:rPr>
        <w:t xml:space="preserve">EXPÓSITO VÉLEZ, Juan Carlos. Forma y contenido del contrato estatal, Bogotá: Universidad Externado de Colombia, 2013, p. </w:t>
      </w:r>
      <w:r w:rsidRPr="00DE0BB9">
        <w:rPr>
          <w:rFonts w:ascii="Century Gothic" w:hAnsi="Century Gothic" w:cs="Arial"/>
          <w:color w:val="000000"/>
          <w:sz w:val="16"/>
          <w:szCs w:val="16"/>
        </w:rPr>
        <w:t>112.</w:t>
      </w:r>
    </w:p>
  </w:footnote>
  <w:footnote w:id="22">
    <w:p w14:paraId="1DB05474" w14:textId="77777777" w:rsidR="0091438F" w:rsidRPr="00DE0BB9" w:rsidRDefault="0091438F" w:rsidP="0091438F">
      <w:pPr>
        <w:pStyle w:val="Textonotapie"/>
        <w:ind w:firstLine="708"/>
        <w:jc w:val="both"/>
        <w:rPr>
          <w:rFonts w:ascii="Century Gothic" w:hAnsi="Century Gothic" w:cs="Arial"/>
          <w:color w:val="000000"/>
          <w:sz w:val="16"/>
          <w:szCs w:val="16"/>
        </w:rPr>
      </w:pPr>
      <w:r w:rsidRPr="00DE0BB9">
        <w:rPr>
          <w:rStyle w:val="Refdenotaalpie"/>
          <w:rFonts w:ascii="Century Gothic" w:hAnsi="Century Gothic" w:cs="Arial"/>
          <w:color w:val="000000"/>
          <w:sz w:val="16"/>
          <w:szCs w:val="16"/>
        </w:rPr>
        <w:footnoteRef/>
      </w:r>
      <w:r w:rsidRPr="00DE0BB9">
        <w:rPr>
          <w:rFonts w:ascii="Century Gothic" w:hAnsi="Century Gothic" w:cs="Arial"/>
          <w:color w:val="000000"/>
          <w:sz w:val="16"/>
          <w:szCs w:val="16"/>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DE0BB9">
        <w:rPr>
          <w:rFonts w:ascii="Century Gothic" w:hAnsi="Century Gothic" w:cs="Arial"/>
          <w:color w:val="000000"/>
          <w:spacing w:val="-2"/>
          <w:sz w:val="16"/>
          <w:szCs w:val="16"/>
        </w:rPr>
        <w:t xml:space="preserve"> </w:t>
      </w:r>
      <w:r w:rsidRPr="00DE0BB9">
        <w:rPr>
          <w:rFonts w:ascii="Century Gothic" w:hAnsi="Century Gothic" w:cs="Arial"/>
          <w:color w:val="000000"/>
          <w:sz w:val="16"/>
          <w:szCs w:val="16"/>
        </w:rPr>
        <w:t>Carbonell.</w:t>
      </w:r>
    </w:p>
    <w:p w14:paraId="10A4BAD0" w14:textId="77777777" w:rsidR="0091438F" w:rsidRPr="00DE0BB9" w:rsidRDefault="0091438F" w:rsidP="0091438F">
      <w:pPr>
        <w:pStyle w:val="Textonotapie"/>
        <w:ind w:firstLine="708"/>
        <w:jc w:val="both"/>
        <w:rPr>
          <w:rFonts w:ascii="Century Gothic" w:hAnsi="Century Gothic" w:cs="Arial"/>
          <w:color w:val="000000"/>
          <w:sz w:val="16"/>
          <w:szCs w:val="16"/>
        </w:rPr>
      </w:pPr>
    </w:p>
  </w:footnote>
  <w:footnote w:id="23">
    <w:p w14:paraId="1A9F7AC8" w14:textId="77777777" w:rsidR="0091438F" w:rsidRPr="00DE0BB9" w:rsidRDefault="0091438F" w:rsidP="0091438F">
      <w:pPr>
        <w:ind w:firstLine="708"/>
        <w:jc w:val="both"/>
        <w:rPr>
          <w:rFonts w:ascii="Century Gothic" w:hAnsi="Century Gothic" w:cs="Arial"/>
          <w:color w:val="000000"/>
          <w:sz w:val="16"/>
          <w:szCs w:val="16"/>
        </w:rPr>
      </w:pPr>
      <w:r w:rsidRPr="00DE0BB9">
        <w:rPr>
          <w:rStyle w:val="Refdenotaalpie"/>
          <w:rFonts w:ascii="Century Gothic" w:hAnsi="Century Gothic" w:cs="Arial"/>
          <w:color w:val="000000"/>
          <w:sz w:val="16"/>
          <w:szCs w:val="16"/>
        </w:rPr>
        <w:footnoteRef/>
      </w:r>
      <w:r w:rsidRPr="00DE0BB9">
        <w:rPr>
          <w:rFonts w:ascii="Century Gothic" w:hAnsi="Century Gothic" w:cs="Arial"/>
          <w:color w:val="000000"/>
          <w:sz w:val="16"/>
          <w:szCs w:val="16"/>
        </w:rPr>
        <w:t xml:space="preserve"> Corte Constitucional, sentencia C–949 de 2001, M.P. Clara Inés Vargas Hernández.</w:t>
      </w:r>
    </w:p>
    <w:p w14:paraId="73360D7D" w14:textId="77777777" w:rsidR="0091438F" w:rsidRPr="00DE0BB9" w:rsidRDefault="0091438F" w:rsidP="0091438F">
      <w:pPr>
        <w:pStyle w:val="Textonotapie"/>
        <w:jc w:val="both"/>
        <w:rPr>
          <w:rFonts w:ascii="Century Gothic" w:hAnsi="Century Gothic" w:cs="Arial"/>
          <w:color w:val="000000"/>
          <w:sz w:val="16"/>
          <w:szCs w:val="16"/>
        </w:rPr>
      </w:pPr>
    </w:p>
  </w:footnote>
  <w:footnote w:id="24">
    <w:p w14:paraId="7BB07582"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EXPÓSITO VÉLEZ, Juan Carlos. Forma y contenido del contrato estatal, Bogotá: Universidad Externado de Colombia, 2013, p. 190. </w:t>
      </w:r>
    </w:p>
  </w:footnote>
  <w:footnote w:id="25">
    <w:p w14:paraId="3B98FB3B" w14:textId="77777777" w:rsidR="0091438F" w:rsidRPr="00DE0BB9" w:rsidRDefault="0091438F" w:rsidP="0091438F">
      <w:pPr>
        <w:ind w:firstLine="708"/>
        <w:jc w:val="both"/>
        <w:rPr>
          <w:rFonts w:ascii="Century Gothic" w:hAnsi="Century Gothic" w:cs="Arial"/>
          <w:color w:val="000000" w:themeColor="text1"/>
          <w:sz w:val="16"/>
          <w:szCs w:val="16"/>
        </w:rPr>
      </w:pPr>
      <w:r w:rsidRPr="00DE0BB9">
        <w:rPr>
          <w:rStyle w:val="Refdenotaalpie"/>
          <w:rFonts w:ascii="Century Gothic" w:hAnsi="Century Gothic" w:cs="Arial"/>
          <w:color w:val="000000" w:themeColor="text1"/>
          <w:sz w:val="16"/>
          <w:szCs w:val="16"/>
        </w:rPr>
        <w:footnoteRef/>
      </w:r>
      <w:r w:rsidRPr="00DE0BB9">
        <w:rPr>
          <w:rFonts w:ascii="Century Gothic" w:hAnsi="Century Gothic" w:cs="Arial"/>
          <w:color w:val="000000" w:themeColor="text1"/>
          <w:sz w:val="16"/>
          <w:szCs w:val="16"/>
        </w:rPr>
        <w:t xml:space="preserve"> Diario Oficial No. 41.094 de 28 de octubre de 1993</w:t>
      </w:r>
    </w:p>
    <w:p w14:paraId="76EADBC6" w14:textId="77777777" w:rsidR="0091438F" w:rsidRPr="00DE0BB9" w:rsidRDefault="0091438F" w:rsidP="0091438F">
      <w:pPr>
        <w:pStyle w:val="Textonotapie"/>
        <w:jc w:val="both"/>
        <w:rPr>
          <w:rFonts w:ascii="Century Gothic" w:hAnsi="Century Gothic" w:cs="Arial"/>
          <w:sz w:val="16"/>
          <w:szCs w:val="16"/>
          <w:lang w:val="es-ES"/>
        </w:rPr>
      </w:pPr>
    </w:p>
  </w:footnote>
  <w:footnote w:id="26">
    <w:p w14:paraId="2AFE36DD"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EXPÓSITO VÉLEZ, Juan Carlos. Forma y contenido del contrato estatal, Bogotá: Universidad Externado de Colombia, 2013, p. 202 y 203. </w:t>
      </w:r>
    </w:p>
    <w:p w14:paraId="758B808B" w14:textId="77777777" w:rsidR="0091438F" w:rsidRPr="00DE0BB9" w:rsidRDefault="0091438F" w:rsidP="0091438F">
      <w:pPr>
        <w:pStyle w:val="Textonotapie"/>
        <w:ind w:firstLine="708"/>
        <w:jc w:val="both"/>
        <w:rPr>
          <w:rFonts w:ascii="Century Gothic" w:hAnsi="Century Gothic" w:cs="Arial"/>
          <w:sz w:val="16"/>
          <w:szCs w:val="16"/>
        </w:rPr>
      </w:pPr>
    </w:p>
  </w:footnote>
  <w:footnote w:id="27">
    <w:p w14:paraId="03CF408C" w14:textId="77777777" w:rsidR="0091438F" w:rsidRPr="00DE0BB9" w:rsidRDefault="0091438F" w:rsidP="0091438F">
      <w:pPr>
        <w:pStyle w:val="Textonotapie"/>
        <w:ind w:firstLine="708"/>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CONSEJO DE ESTADO. Sección Tercera. Subsección A. Sentencia de 9 de mayo de 2012. Exp. 20.968. C.P. Mauricio Fajardo Gómez.</w:t>
      </w:r>
    </w:p>
  </w:footnote>
  <w:footnote w:id="28">
    <w:p w14:paraId="40EBEBA3" w14:textId="77777777" w:rsidR="0091438F" w:rsidRPr="00DE0BB9" w:rsidRDefault="0091438F" w:rsidP="0091438F">
      <w:pPr>
        <w:pStyle w:val="Textonotapie"/>
        <w:ind w:firstLine="708"/>
        <w:jc w:val="both"/>
        <w:rPr>
          <w:rFonts w:ascii="Century Gothic" w:hAnsi="Century Gothic" w:cs="Arial"/>
          <w:sz w:val="16"/>
          <w:szCs w:val="16"/>
        </w:rPr>
      </w:pPr>
    </w:p>
    <w:p w14:paraId="35BBAF92"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Artículo 41 de la Ley 80 de 1993. Del perfeccionamiento del contrato estatal: “[…]</w:t>
      </w:r>
    </w:p>
    <w:p w14:paraId="7C4B4854" w14:textId="77777777" w:rsidR="0091438F" w:rsidRPr="00DE0BB9" w:rsidRDefault="0091438F" w:rsidP="0091438F">
      <w:pPr>
        <w:pStyle w:val="Textonotapie"/>
        <w:ind w:firstLine="708"/>
        <w:rPr>
          <w:rFonts w:ascii="Century Gothic" w:hAnsi="Century Gothic" w:cs="Arial"/>
          <w:sz w:val="16"/>
          <w:szCs w:val="16"/>
        </w:rPr>
      </w:pPr>
      <w:r w:rsidRPr="00DE0BB9">
        <w:rPr>
          <w:rFonts w:ascii="Century Gothic" w:hAnsi="Century Gothic" w:cs="Arial"/>
          <w:sz w:val="16"/>
          <w:szCs w:val="16"/>
        </w:rPr>
        <w:t>Los contratos estatales son intuito personae y, en consecuencia, una vez celebrados no podrán cederse sin previa autorización escrita de la entidad contratante. […]”.</w:t>
      </w:r>
    </w:p>
    <w:p w14:paraId="6F22CBFA" w14:textId="77777777" w:rsidR="0091438F" w:rsidRPr="00DE0BB9" w:rsidRDefault="0091438F" w:rsidP="0091438F">
      <w:pPr>
        <w:pStyle w:val="Textonotapie"/>
        <w:ind w:firstLine="708"/>
        <w:rPr>
          <w:rFonts w:ascii="Century Gothic" w:hAnsi="Century Gothic" w:cs="Arial"/>
          <w:sz w:val="16"/>
          <w:szCs w:val="16"/>
        </w:rPr>
      </w:pPr>
    </w:p>
  </w:footnote>
  <w:footnote w:id="29">
    <w:p w14:paraId="24F833A0"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60E15A10"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 xml:space="preserve">“Respecto de la incapacidad física permanente del contratista, la misma se constituye en una causal de terminación unilateral del contrato por las mismas razones determinadas para la muerte del colaborador de la administración. </w:t>
      </w:r>
    </w:p>
    <w:p w14:paraId="404908F4"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footnote>
  <w:footnote w:id="30">
    <w:p w14:paraId="4CE95D1E" w14:textId="77777777" w:rsidR="0091438F" w:rsidRPr="00DE0BB9" w:rsidRDefault="0091438F" w:rsidP="0091438F">
      <w:pPr>
        <w:pStyle w:val="Textonotapie"/>
        <w:jc w:val="both"/>
        <w:rPr>
          <w:rFonts w:ascii="Century Gothic" w:hAnsi="Century Gothic" w:cs="Arial"/>
          <w:sz w:val="16"/>
          <w:szCs w:val="16"/>
        </w:rPr>
      </w:pPr>
    </w:p>
    <w:p w14:paraId="2FA637FE" w14:textId="77777777" w:rsidR="0091438F" w:rsidRPr="00DE0BB9" w:rsidRDefault="0091438F" w:rsidP="0091438F">
      <w:pPr>
        <w:pStyle w:val="Textonotapie"/>
        <w:ind w:firstLine="708"/>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 xml:space="preserve">Artículo 1008 del Código Civil. </w:t>
      </w:r>
    </w:p>
  </w:footnote>
  <w:footnote w:id="31">
    <w:p w14:paraId="16BEDAED" w14:textId="77777777" w:rsidR="0091438F" w:rsidRPr="00DE0BB9" w:rsidRDefault="0091438F" w:rsidP="0091438F">
      <w:pPr>
        <w:pStyle w:val="Textonotapie"/>
        <w:ind w:firstLine="708"/>
        <w:jc w:val="both"/>
        <w:rPr>
          <w:rFonts w:ascii="Century Gothic" w:hAnsi="Century Gothic" w:cs="Arial"/>
          <w:sz w:val="16"/>
          <w:szCs w:val="16"/>
        </w:rPr>
      </w:pPr>
    </w:p>
    <w:p w14:paraId="32E16CCC" w14:textId="77777777" w:rsidR="0091438F" w:rsidRPr="00DE0BB9" w:rsidRDefault="0091438F" w:rsidP="0091438F">
      <w:pPr>
        <w:pStyle w:val="Textonotapie"/>
        <w:ind w:firstLine="708"/>
        <w:jc w:val="both"/>
        <w:rPr>
          <w:rFonts w:ascii="Century Gothic" w:hAnsi="Century Gothic" w:cs="Arial"/>
          <w:sz w:val="16"/>
          <w:szCs w:val="16"/>
          <w:lang w:val="es-ES"/>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w:t>
      </w:r>
      <w:r w:rsidRPr="00DE0BB9">
        <w:rPr>
          <w:rFonts w:ascii="Century Gothic" w:hAnsi="Century Gothic" w:cs="Arial"/>
          <w:sz w:val="16"/>
          <w:szCs w:val="16"/>
          <w:lang w:val="es-ES"/>
        </w:rPr>
        <w:t xml:space="preserve">Consejo de Estado. Sala de lo Contencioso Administrativo. Sección Tercera. Subsección B. Sentencia de 8 de mayo de 2019. Exp: 56343. MP: Martin Bermúdez Muñoz. </w:t>
      </w:r>
    </w:p>
  </w:footnote>
  <w:footnote w:id="32">
    <w:p w14:paraId="0D179884"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PINO RICCI, Jorge. El régimen jurídico de los contratos estatales. Primera edición, 2005, Universidad Externado de Colombia. pp. 354. </w:t>
      </w:r>
    </w:p>
    <w:p w14:paraId="5D42C197" w14:textId="77777777" w:rsidR="0091438F" w:rsidRPr="00DE0BB9" w:rsidRDefault="0091438F" w:rsidP="0091438F">
      <w:pPr>
        <w:pStyle w:val="Textonotapie"/>
        <w:ind w:firstLine="708"/>
        <w:rPr>
          <w:rFonts w:ascii="Century Gothic" w:hAnsi="Century Gothic" w:cs="Arial"/>
          <w:sz w:val="16"/>
          <w:szCs w:val="16"/>
        </w:rPr>
      </w:pPr>
      <w:r w:rsidRPr="00DE0BB9">
        <w:rPr>
          <w:rFonts w:ascii="Century Gothic" w:hAnsi="Century Gothic" w:cs="Arial"/>
          <w:sz w:val="16"/>
          <w:szCs w:val="16"/>
        </w:rPr>
        <w:t xml:space="preserve"> </w:t>
      </w:r>
    </w:p>
  </w:footnote>
  <w:footnote w:id="33">
    <w:p w14:paraId="65099C30" w14:textId="77777777" w:rsidR="0091438F" w:rsidRPr="00DE0BB9" w:rsidRDefault="0091438F" w:rsidP="0091438F">
      <w:pPr>
        <w:pStyle w:val="Textonotapie"/>
        <w:ind w:firstLine="708"/>
        <w:jc w:val="both"/>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“Artículo 9º. De las inhabilidades e incompatibilidades sobrevi­nientes. Si llegare a sobrevenir inhabilidad o incompatibilidad en el contratista, este cederá el contrato previa autorización escrita de la en­tidad contratante o, si ello no fuere posible, renunciará a su ejecución.</w:t>
      </w:r>
    </w:p>
    <w:p w14:paraId="3CB9D194"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“Cuando la inhabilidad o incompatibilidad sobrevenga en un propo­nente dentro de un proceso de selección, se entenderá que renuncia a la participación en el proceso de selección y a los derechos surgidos del mismo.</w:t>
      </w:r>
    </w:p>
    <w:p w14:paraId="3FA9E312"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3790E3D"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06243F29" w14:textId="77777777" w:rsidR="0091438F" w:rsidRPr="00DE0BB9" w:rsidRDefault="0091438F" w:rsidP="0091438F">
      <w:pPr>
        <w:pStyle w:val="Textonotapie"/>
        <w:ind w:firstLine="708"/>
        <w:jc w:val="both"/>
        <w:rPr>
          <w:rFonts w:ascii="Century Gothic" w:hAnsi="Century Gothic" w:cs="Arial"/>
          <w:sz w:val="16"/>
          <w:szCs w:val="16"/>
        </w:rPr>
      </w:pPr>
      <w:r w:rsidRPr="00DE0BB9">
        <w:rPr>
          <w:rFonts w:ascii="Century Gothic" w:hAnsi="Century Gothic" w:cs="Arial"/>
          <w:sz w:val="16"/>
          <w:szCs w:val="16"/>
        </w:rPr>
        <w:t xml:space="preserve">“Para el caso de cesión, será la entidad contratante la encargada de determinar el cesionario del contrato”. </w:t>
      </w:r>
    </w:p>
  </w:footnote>
  <w:footnote w:id="34">
    <w:p w14:paraId="3797CB42" w14:textId="77777777" w:rsidR="0091438F" w:rsidRPr="00DE0BB9" w:rsidRDefault="0091438F" w:rsidP="0091438F">
      <w:pPr>
        <w:pStyle w:val="Textonotapie"/>
        <w:ind w:firstLine="708"/>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PALACIO HINCAPIÉ, Juan A. La contratación de entidades estatales. Octava edición. 2020. Librería Jurídica Sánchez. pp 565-566.</w:t>
      </w:r>
    </w:p>
    <w:p w14:paraId="555D61C4" w14:textId="77777777" w:rsidR="0091438F" w:rsidRPr="00DE0BB9" w:rsidRDefault="0091438F" w:rsidP="0091438F">
      <w:pPr>
        <w:pStyle w:val="Textonotapie"/>
        <w:ind w:firstLine="708"/>
        <w:rPr>
          <w:rFonts w:ascii="Century Gothic" w:hAnsi="Century Gothic" w:cs="Arial"/>
          <w:sz w:val="16"/>
          <w:szCs w:val="16"/>
        </w:rPr>
      </w:pPr>
    </w:p>
  </w:footnote>
  <w:footnote w:id="35">
    <w:p w14:paraId="7A7C7E48" w14:textId="77777777" w:rsidR="0091438F" w:rsidRPr="00DE0BB9" w:rsidRDefault="0091438F" w:rsidP="0091438F">
      <w:pPr>
        <w:pStyle w:val="Textonotapie"/>
        <w:ind w:firstLine="708"/>
        <w:rPr>
          <w:rFonts w:ascii="Century Gothic" w:hAnsi="Century Gothic" w:cs="Arial"/>
          <w:sz w:val="16"/>
          <w:szCs w:val="16"/>
        </w:rPr>
      </w:pPr>
      <w:r w:rsidRPr="00DE0BB9">
        <w:rPr>
          <w:rStyle w:val="Refdenotaalpie"/>
          <w:rFonts w:ascii="Century Gothic" w:hAnsi="Century Gothic" w:cs="Arial"/>
          <w:sz w:val="16"/>
          <w:szCs w:val="16"/>
        </w:rPr>
        <w:footnoteRef/>
      </w:r>
      <w:r w:rsidRPr="00DE0BB9">
        <w:rPr>
          <w:rFonts w:ascii="Century Gothic" w:hAnsi="Century Gothic" w:cs="Arial"/>
          <w:sz w:val="16"/>
          <w:szCs w:val="16"/>
        </w:rPr>
        <w:t xml:space="preserve"> PINO RICCI, Jorge. Op. Cit. pp. 355.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EC8E" w14:textId="77777777" w:rsidR="00C5360B" w:rsidRDefault="00C5360B">
    <w:pPr>
      <w:pStyle w:val="Encabezado"/>
    </w:pPr>
    <w:r>
      <w:rPr>
        <w:noProof/>
        <w:lang w:val="en-US"/>
      </w:rPr>
      <w:drawing>
        <wp:anchor distT="0" distB="0" distL="114300" distR="114300" simplePos="0" relativeHeight="251659264" behindDoc="1" locked="0" layoutInCell="1" allowOverlap="1" wp14:anchorId="4E995756" wp14:editId="6BB8669D">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distT="0" distB="0" distL="114300" distR="114300" simplePos="0" relativeHeight="251663360" behindDoc="0" locked="0" layoutInCell="1" allowOverlap="1" wp14:anchorId="1C459637" wp14:editId="34A0752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distT="0" distB="0" distL="114300" distR="114300" simplePos="0" relativeHeight="251661312" behindDoc="0" locked="0" layoutInCell="1" allowOverlap="1" wp14:anchorId="0ABB235A" wp14:editId="4847E06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879A04D" wp14:editId="3D07504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1E7CB11" w14:textId="77777777" w:rsidR="00C5360B" w:rsidRDefault="00C5360B">
    <w:pPr>
      <w:pStyle w:val="Encabezado"/>
    </w:pPr>
  </w:p>
  <w:p w14:paraId="14662FF5" w14:textId="77777777" w:rsidR="00C5360B" w:rsidRDefault="00C5360B">
    <w:pPr>
      <w:pStyle w:val="Encabezado"/>
    </w:pPr>
  </w:p>
  <w:p w14:paraId="2F4A893F" w14:textId="77777777" w:rsidR="00C5360B" w:rsidRPr="004A305D" w:rsidRDefault="00C5360B" w:rsidP="00C5360B">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597FF50D" w14:textId="77777777" w:rsidR="00C5360B" w:rsidRPr="004A305D" w:rsidRDefault="00C5360B" w:rsidP="00C5360B">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1CE8D249" w14:textId="77777777" w:rsidR="00C5360B" w:rsidRPr="004A305D" w:rsidRDefault="00C5360B" w:rsidP="00C5360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AD7F6D7" w14:textId="77777777" w:rsidR="00C5360B" w:rsidRDefault="00C536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503942"/>
    <w:multiLevelType w:val="hybridMultilevel"/>
    <w:tmpl w:val="373C6C42"/>
    <w:lvl w:ilvl="0" w:tplc="3F10BB7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9561EF0"/>
    <w:multiLevelType w:val="hybridMultilevel"/>
    <w:tmpl w:val="D5548BC8"/>
    <w:lvl w:ilvl="0" w:tplc="49860100">
      <w:start w:val="1"/>
      <w:numFmt w:val="upp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1907AC3"/>
    <w:multiLevelType w:val="hybridMultilevel"/>
    <w:tmpl w:val="3A0AE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624054">
    <w:abstractNumId w:val="0"/>
  </w:num>
  <w:num w:numId="2" w16cid:durableId="866413418">
    <w:abstractNumId w:val="3"/>
  </w:num>
  <w:num w:numId="3" w16cid:durableId="193925401">
    <w:abstractNumId w:val="2"/>
  </w:num>
  <w:num w:numId="4" w16cid:durableId="74823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1E"/>
    <w:rsid w:val="00002322"/>
    <w:rsid w:val="000355BA"/>
    <w:rsid w:val="000474DE"/>
    <w:rsid w:val="000742B7"/>
    <w:rsid w:val="00076DF2"/>
    <w:rsid w:val="00085420"/>
    <w:rsid w:val="000B5847"/>
    <w:rsid w:val="00101877"/>
    <w:rsid w:val="001258C7"/>
    <w:rsid w:val="001623C4"/>
    <w:rsid w:val="00175E14"/>
    <w:rsid w:val="00192AF1"/>
    <w:rsid w:val="001F3000"/>
    <w:rsid w:val="00207181"/>
    <w:rsid w:val="00213195"/>
    <w:rsid w:val="002135CE"/>
    <w:rsid w:val="00235739"/>
    <w:rsid w:val="00246691"/>
    <w:rsid w:val="002E0147"/>
    <w:rsid w:val="00352A22"/>
    <w:rsid w:val="0035635D"/>
    <w:rsid w:val="003568D9"/>
    <w:rsid w:val="003645FE"/>
    <w:rsid w:val="003A5F9F"/>
    <w:rsid w:val="003B5B68"/>
    <w:rsid w:val="003B6AC5"/>
    <w:rsid w:val="003D3FBF"/>
    <w:rsid w:val="003E44D2"/>
    <w:rsid w:val="00435CFF"/>
    <w:rsid w:val="0045768F"/>
    <w:rsid w:val="004A4417"/>
    <w:rsid w:val="004B70EF"/>
    <w:rsid w:val="004D1B95"/>
    <w:rsid w:val="004D1F52"/>
    <w:rsid w:val="004F4C46"/>
    <w:rsid w:val="00530446"/>
    <w:rsid w:val="005B336D"/>
    <w:rsid w:val="005B4E62"/>
    <w:rsid w:val="005B71D5"/>
    <w:rsid w:val="005D0331"/>
    <w:rsid w:val="005D2060"/>
    <w:rsid w:val="00616FC9"/>
    <w:rsid w:val="006263BA"/>
    <w:rsid w:val="00652835"/>
    <w:rsid w:val="0065599B"/>
    <w:rsid w:val="006930D6"/>
    <w:rsid w:val="006A5639"/>
    <w:rsid w:val="006C28CA"/>
    <w:rsid w:val="006D2EC0"/>
    <w:rsid w:val="00752DD3"/>
    <w:rsid w:val="007553C3"/>
    <w:rsid w:val="00767B5C"/>
    <w:rsid w:val="007A086A"/>
    <w:rsid w:val="007D2DC3"/>
    <w:rsid w:val="007F549C"/>
    <w:rsid w:val="00814942"/>
    <w:rsid w:val="008306A0"/>
    <w:rsid w:val="0085391D"/>
    <w:rsid w:val="008600EE"/>
    <w:rsid w:val="00872204"/>
    <w:rsid w:val="00872393"/>
    <w:rsid w:val="00886752"/>
    <w:rsid w:val="008D4FAC"/>
    <w:rsid w:val="008D6507"/>
    <w:rsid w:val="008E7F28"/>
    <w:rsid w:val="008F1E66"/>
    <w:rsid w:val="0091438F"/>
    <w:rsid w:val="00914724"/>
    <w:rsid w:val="009349A0"/>
    <w:rsid w:val="00941CFA"/>
    <w:rsid w:val="00982272"/>
    <w:rsid w:val="009A3A7D"/>
    <w:rsid w:val="009D327A"/>
    <w:rsid w:val="009E1E4D"/>
    <w:rsid w:val="009F2F3C"/>
    <w:rsid w:val="00A33CD2"/>
    <w:rsid w:val="00A57914"/>
    <w:rsid w:val="00A62886"/>
    <w:rsid w:val="00A97DCD"/>
    <w:rsid w:val="00AC4031"/>
    <w:rsid w:val="00AD6C26"/>
    <w:rsid w:val="00AE199A"/>
    <w:rsid w:val="00AF3A32"/>
    <w:rsid w:val="00AF53C8"/>
    <w:rsid w:val="00B13378"/>
    <w:rsid w:val="00B20C65"/>
    <w:rsid w:val="00B80E85"/>
    <w:rsid w:val="00B82761"/>
    <w:rsid w:val="00BC171C"/>
    <w:rsid w:val="00BD4CFA"/>
    <w:rsid w:val="00BD6BCD"/>
    <w:rsid w:val="00BF6C21"/>
    <w:rsid w:val="00C5360B"/>
    <w:rsid w:val="00C57154"/>
    <w:rsid w:val="00C71219"/>
    <w:rsid w:val="00C729B6"/>
    <w:rsid w:val="00C82952"/>
    <w:rsid w:val="00CB16D9"/>
    <w:rsid w:val="00CB2A17"/>
    <w:rsid w:val="00CF19F2"/>
    <w:rsid w:val="00CF3ADB"/>
    <w:rsid w:val="00D12E7A"/>
    <w:rsid w:val="00D14A17"/>
    <w:rsid w:val="00D26879"/>
    <w:rsid w:val="00D42756"/>
    <w:rsid w:val="00D82A18"/>
    <w:rsid w:val="00D84BD2"/>
    <w:rsid w:val="00DD46D4"/>
    <w:rsid w:val="00DD5C22"/>
    <w:rsid w:val="00DD5D4F"/>
    <w:rsid w:val="00E166A7"/>
    <w:rsid w:val="00E318B3"/>
    <w:rsid w:val="00E63B39"/>
    <w:rsid w:val="00E8724A"/>
    <w:rsid w:val="00E94AC8"/>
    <w:rsid w:val="00EA591E"/>
    <w:rsid w:val="00EB1CC5"/>
    <w:rsid w:val="00EC391F"/>
    <w:rsid w:val="00EE1C8B"/>
    <w:rsid w:val="00EF22D8"/>
    <w:rsid w:val="00F5608F"/>
    <w:rsid w:val="00F57151"/>
    <w:rsid w:val="00F85761"/>
    <w:rsid w:val="00FB0210"/>
    <w:rsid w:val="00FB122C"/>
    <w:rsid w:val="00FC528B"/>
    <w:rsid w:val="00FC7782"/>
    <w:rsid w:val="00FF42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E08A"/>
  <w15:chartTrackingRefBased/>
  <w15:docId w15:val="{0C5B1151-E074-4783-9535-63684B87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1E"/>
    <w:rPr>
      <w:kern w:val="0"/>
      <w14:ligatures w14:val="none"/>
    </w:rPr>
  </w:style>
  <w:style w:type="paragraph" w:styleId="Piedepgina">
    <w:name w:val="footer"/>
    <w:basedOn w:val="Normal"/>
    <w:link w:val="PiedepginaCar"/>
    <w:uiPriority w:val="99"/>
    <w:unhideWhenUsed/>
    <w:rsid w:val="00EA5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1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EA591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EA591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A591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EA591E"/>
    <w:rPr>
      <w:vertAlign w:val="superscript"/>
    </w:rPr>
  </w:style>
  <w:style w:type="table" w:styleId="Tablaconcuadrcula">
    <w:name w:val="Table Grid"/>
    <w:basedOn w:val="Tablanormal"/>
    <w:uiPriority w:val="39"/>
    <w:qFormat/>
    <w:rsid w:val="00EA5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591E"/>
    <w:rPr>
      <w:color w:val="0000FF"/>
      <w:u w:val="single"/>
    </w:rPr>
  </w:style>
  <w:style w:type="paragraph" w:customStyle="1" w:styleId="Appelnotedebasde">
    <w:name w:val="Appel note de bas de..."/>
    <w:basedOn w:val="Normal"/>
    <w:link w:val="Refdenotaalpie"/>
    <w:rsid w:val="00EA591E"/>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EA591E"/>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A5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EA591E"/>
    <w:rPr>
      <w:rFonts w:ascii="Times New Roman" w:hAnsi="Times New Roman" w:cs="Times New Roman"/>
      <w:sz w:val="24"/>
      <w:szCs w:val="24"/>
    </w:rPr>
  </w:style>
  <w:style w:type="character" w:customStyle="1" w:styleId="NormalWebCar">
    <w:name w:val="Normal (Web) Car"/>
    <w:link w:val="NormalWeb"/>
    <w:uiPriority w:val="99"/>
    <w:rsid w:val="00EA591E"/>
    <w:rPr>
      <w:rFonts w:ascii="Times New Roman" w:hAnsi="Times New Roman" w:cs="Times New Roman"/>
      <w:kern w:val="0"/>
      <w:sz w:val="24"/>
      <w:szCs w:val="24"/>
      <w14:ligatures w14:val="none"/>
    </w:rPr>
  </w:style>
  <w:style w:type="character" w:customStyle="1" w:styleId="Mencinsinresolver1">
    <w:name w:val="Mención sin resolver1"/>
    <w:basedOn w:val="Fuentedeprrafopredeter"/>
    <w:uiPriority w:val="99"/>
    <w:semiHidden/>
    <w:unhideWhenUsed/>
    <w:rsid w:val="00AC4031"/>
    <w:rPr>
      <w:color w:val="605E5C"/>
      <w:shd w:val="clear" w:color="auto" w:fill="E1DFDD"/>
    </w:rPr>
  </w:style>
  <w:style w:type="character" w:customStyle="1" w:styleId="normaltextrun">
    <w:name w:val="normaltextrun"/>
    <w:basedOn w:val="Fuentedeprrafopredeter"/>
    <w:rsid w:val="005B4E62"/>
  </w:style>
  <w:style w:type="character" w:customStyle="1" w:styleId="eop">
    <w:name w:val="eop"/>
    <w:basedOn w:val="Fuentedeprrafopredeter"/>
    <w:rsid w:val="00D42756"/>
  </w:style>
  <w:style w:type="character" w:styleId="Textoennegrita">
    <w:name w:val="Strong"/>
    <w:basedOn w:val="Fuentedeprrafopredeter"/>
    <w:uiPriority w:val="22"/>
    <w:qFormat/>
    <w:rsid w:val="00EF22D8"/>
    <w:rPr>
      <w:b/>
      <w:bCs/>
    </w:rPr>
  </w:style>
  <w:style w:type="character" w:styleId="Hipervnculovisitado">
    <w:name w:val="FollowedHyperlink"/>
    <w:basedOn w:val="Fuentedeprrafopredeter"/>
    <w:uiPriority w:val="99"/>
    <w:semiHidden/>
    <w:unhideWhenUsed/>
    <w:rsid w:val="00192AF1"/>
    <w:rPr>
      <w:color w:val="954F72" w:themeColor="followedHyperlink"/>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13195"/>
    <w:pPr>
      <w:ind w:left="720"/>
      <w:contextualSpacing/>
    </w:pPr>
    <w:rPr>
      <w:rFonts w:ascii="Geomanist Light" w:hAnsi="Geomanist Light"/>
      <w:lang w:val="es-ES"/>
    </w:rPr>
  </w:style>
  <w:style w:type="paragraph" w:styleId="Sinespaciado">
    <w:name w:val="No Spacing"/>
    <w:aliases w:val="No Indent"/>
    <w:uiPriority w:val="3"/>
    <w:qFormat/>
    <w:rsid w:val="00213195"/>
    <w:pPr>
      <w:spacing w:after="0" w:line="240" w:lineRule="auto"/>
    </w:pPr>
    <w:rPr>
      <w:kern w:val="0"/>
      <w:sz w:val="24"/>
      <w:lang w:val="es-MX"/>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13195"/>
    <w:rPr>
      <w:rFonts w:ascii="Geomanist Light" w:hAnsi="Geomanist Light"/>
      <w:kern w:val="0"/>
      <w:lang w:val="es-ES"/>
      <w14:ligatures w14:val="none"/>
    </w:rPr>
  </w:style>
  <w:style w:type="paragraph" w:customStyle="1" w:styleId="elementtoproof">
    <w:name w:val="elementtoproof"/>
    <w:basedOn w:val="Normal"/>
    <w:uiPriority w:val="99"/>
    <w:semiHidden/>
    <w:rsid w:val="009A3A7D"/>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0EBF8-A2E1-4B1F-9B27-4957A6155120}">
  <ds:schemaRefs>
    <ds:schemaRef ds:uri="http://schemas.openxmlformats.org/officeDocument/2006/bibliography"/>
  </ds:schemaRefs>
</ds:datastoreItem>
</file>

<file path=customXml/itemProps2.xml><?xml version="1.0" encoding="utf-8"?>
<ds:datastoreItem xmlns:ds="http://schemas.openxmlformats.org/officeDocument/2006/customXml" ds:itemID="{2670D69D-0ED5-43C2-8B65-A3682F609F81}">
  <ds:schemaRefs>
    <ds:schemaRef ds:uri="http://schemas.openxmlformats.org/package/2006/metadata/core-properties"/>
    <ds:schemaRef ds:uri="http://schemas.microsoft.com/office/2006/metadata/properties"/>
    <ds:schemaRef ds:uri="a6cb9e4b-f1d1-4245-83ec-6cad768d538a"/>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9d85dbaf-23eb-4e57-a637-93dcacc8b1a1"/>
    <ds:schemaRef ds:uri="http://purl.org/dc/terms/"/>
  </ds:schemaRefs>
</ds:datastoreItem>
</file>

<file path=customXml/itemProps3.xml><?xml version="1.0" encoding="utf-8"?>
<ds:datastoreItem xmlns:ds="http://schemas.openxmlformats.org/officeDocument/2006/customXml" ds:itemID="{44FD33D6-049B-4E8D-9FD4-13EB5EB1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9AF96-1C01-48EB-8B78-3878991F5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11671</Words>
  <Characters>64196</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Oscar David Mórelo Pedroza</cp:lastModifiedBy>
  <cp:revision>2</cp:revision>
  <dcterms:created xsi:type="dcterms:W3CDTF">2024-01-15T20:31:00Z</dcterms:created>
  <dcterms:modified xsi:type="dcterms:W3CDTF">2024-01-15T20:31:00Z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