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1EE7" w14:textId="77777777" w:rsidR="00213195" w:rsidRDefault="00213195" w:rsidP="00213195">
      <w:pPr>
        <w:spacing w:after="0" w:line="240" w:lineRule="auto"/>
        <w:jc w:val="both"/>
        <w:rPr>
          <w:rFonts w:ascii="Arial" w:eastAsia="Calibri" w:hAnsi="Arial" w:cs="Arial"/>
          <w:b/>
          <w:bCs/>
          <w:color w:val="000000" w:themeColor="text1"/>
          <w:lang w:val="es-MX"/>
        </w:rPr>
      </w:pPr>
      <w:bookmarkStart w:id="0" w:name="_Hlk94281581"/>
      <w:bookmarkStart w:id="1" w:name="_Hlk102489058"/>
    </w:p>
    <w:p w14:paraId="310952AB" w14:textId="77777777" w:rsidR="00213195" w:rsidRPr="00922B3B" w:rsidRDefault="00213195" w:rsidP="00213195">
      <w:pPr>
        <w:spacing w:after="0" w:line="240" w:lineRule="auto"/>
        <w:jc w:val="both"/>
        <w:rPr>
          <w:rFonts w:ascii="Arial" w:eastAsia="Calibri" w:hAnsi="Arial" w:cs="Arial"/>
          <w:b/>
          <w:bCs/>
          <w:color w:val="000000" w:themeColor="text1"/>
          <w:lang w:val="es-MX"/>
        </w:rPr>
      </w:pPr>
      <w:r w:rsidRPr="00CA1CBD">
        <w:rPr>
          <w:rFonts w:ascii="Arial" w:eastAsia="Calibri" w:hAnsi="Arial" w:cs="Arial"/>
          <w:b/>
          <w:bCs/>
          <w:color w:val="000000" w:themeColor="text1"/>
          <w:lang w:val="es-MX"/>
        </w:rPr>
        <w:t>INHABILIDADES – Definición – Finalidad – Limitación capacidad contractual</w:t>
      </w:r>
      <w:r w:rsidRPr="00922B3B">
        <w:rPr>
          <w:rFonts w:ascii="Arial" w:eastAsia="Calibri" w:hAnsi="Arial" w:cs="Arial"/>
          <w:b/>
          <w:bCs/>
          <w:color w:val="000000" w:themeColor="text1"/>
          <w:lang w:val="es-ES"/>
        </w:rPr>
        <w:t xml:space="preserve"> </w:t>
      </w:r>
    </w:p>
    <w:p w14:paraId="4DB5404A" w14:textId="77777777" w:rsidR="00213195" w:rsidRPr="00504597" w:rsidRDefault="00213195" w:rsidP="00213195">
      <w:pPr>
        <w:spacing w:after="0" w:line="240" w:lineRule="auto"/>
        <w:jc w:val="both"/>
        <w:rPr>
          <w:rFonts w:ascii="Arial" w:eastAsia="Calibri" w:hAnsi="Arial" w:cs="Arial"/>
          <w:b/>
          <w:bCs/>
          <w:color w:val="000000" w:themeColor="text1"/>
          <w:sz w:val="20"/>
          <w:szCs w:val="20"/>
          <w:lang w:val="es-MX"/>
        </w:rPr>
      </w:pPr>
    </w:p>
    <w:p w14:paraId="3D702C60" w14:textId="77777777" w:rsidR="00213195" w:rsidRDefault="00213195" w:rsidP="00213195">
      <w:pPr>
        <w:spacing w:after="0" w:line="240" w:lineRule="auto"/>
        <w:jc w:val="both"/>
        <w:rPr>
          <w:rFonts w:ascii="Arial" w:eastAsia="Calibri" w:hAnsi="Arial" w:cs="Arial"/>
          <w:bCs/>
          <w:color w:val="000000" w:themeColor="text1"/>
          <w:sz w:val="20"/>
          <w:szCs w:val="20"/>
          <w:lang w:val="es-MX"/>
        </w:rPr>
      </w:pPr>
      <w:r w:rsidRPr="00CA1CBD">
        <w:rPr>
          <w:rFonts w:ascii="Arial" w:eastAsia="Calibri" w:hAnsi="Arial" w:cs="Arial"/>
          <w:bCs/>
          <w:color w:val="000000" w:themeColor="text1"/>
          <w:sz w:val="20"/>
          <w:szCs w:val="20"/>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13634262" w14:textId="77777777" w:rsidR="00213195" w:rsidRPr="00CA1CBD" w:rsidRDefault="00213195" w:rsidP="00213195">
      <w:pPr>
        <w:spacing w:after="0" w:line="240" w:lineRule="auto"/>
        <w:jc w:val="both"/>
        <w:rPr>
          <w:rFonts w:ascii="Arial" w:eastAsia="Calibri" w:hAnsi="Arial" w:cs="Arial"/>
          <w:bCs/>
          <w:color w:val="000000" w:themeColor="text1"/>
          <w:sz w:val="20"/>
          <w:szCs w:val="20"/>
          <w:lang w:val="es-MX"/>
        </w:rPr>
      </w:pPr>
    </w:p>
    <w:p w14:paraId="61F66578" w14:textId="77777777" w:rsidR="00213195" w:rsidRPr="00CA1CBD" w:rsidRDefault="00213195" w:rsidP="00213195">
      <w:pPr>
        <w:spacing w:after="0" w:line="240" w:lineRule="auto"/>
        <w:jc w:val="both"/>
        <w:rPr>
          <w:rFonts w:ascii="Arial" w:eastAsia="Calibri" w:hAnsi="Arial" w:cs="Arial"/>
          <w:bCs/>
          <w:color w:val="000000" w:themeColor="text1"/>
          <w:sz w:val="20"/>
          <w:szCs w:val="20"/>
          <w:lang w:val="es-MX"/>
        </w:rPr>
      </w:pPr>
      <w:r w:rsidRPr="00CA1CBD">
        <w:rPr>
          <w:rFonts w:ascii="Arial" w:eastAsia="Calibri" w:hAnsi="Arial" w:cs="Arial"/>
          <w:bCs/>
          <w:color w:val="000000" w:themeColor="text1"/>
          <w:sz w:val="20"/>
          <w:szCs w:val="20"/>
          <w:lang w:val="es-MX"/>
        </w:rPr>
        <w:t xml:space="preserve">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w:t>
      </w:r>
    </w:p>
    <w:p w14:paraId="449F8B74" w14:textId="77777777" w:rsidR="00213195" w:rsidRPr="00504597" w:rsidRDefault="00213195" w:rsidP="00213195">
      <w:pPr>
        <w:spacing w:after="0" w:line="240" w:lineRule="auto"/>
        <w:jc w:val="both"/>
        <w:rPr>
          <w:rFonts w:ascii="Arial" w:eastAsia="Calibri" w:hAnsi="Arial" w:cs="Arial"/>
          <w:bCs/>
          <w:color w:val="000000" w:themeColor="text1"/>
          <w:sz w:val="20"/>
          <w:szCs w:val="20"/>
          <w:lang w:val="es-ES"/>
        </w:rPr>
      </w:pPr>
    </w:p>
    <w:p w14:paraId="37B5B955" w14:textId="77777777" w:rsidR="00213195" w:rsidRPr="00922B3B" w:rsidRDefault="00213195" w:rsidP="00213195">
      <w:pPr>
        <w:spacing w:after="0" w:line="240" w:lineRule="auto"/>
        <w:jc w:val="both"/>
        <w:rPr>
          <w:rFonts w:ascii="Arial" w:eastAsia="Calibri" w:hAnsi="Arial" w:cs="Arial"/>
          <w:b/>
          <w:bCs/>
          <w:color w:val="000000" w:themeColor="text1"/>
          <w:lang w:val="es-ES"/>
        </w:rPr>
      </w:pPr>
      <w:r w:rsidRPr="00CA1CBD">
        <w:rPr>
          <w:rFonts w:ascii="Arial" w:eastAsia="Calibri" w:hAnsi="Arial" w:cs="Arial"/>
          <w:b/>
          <w:bCs/>
          <w:color w:val="000000" w:themeColor="text1"/>
          <w:lang w:val="es-ES"/>
        </w:rPr>
        <w:t>CONTRATACIÓN ESTATAL – Capacidad – Validez contratos – Régimen de contratación – Inscripción – Limitación de la capacidad</w:t>
      </w:r>
      <w:r w:rsidRPr="00922B3B">
        <w:rPr>
          <w:rFonts w:ascii="Arial" w:eastAsia="Calibri" w:hAnsi="Arial" w:cs="Arial"/>
          <w:b/>
          <w:bCs/>
          <w:color w:val="000000" w:themeColor="text1"/>
          <w:lang w:val="es-ES"/>
        </w:rPr>
        <w:t xml:space="preserve"> </w:t>
      </w:r>
    </w:p>
    <w:p w14:paraId="5193C3B3" w14:textId="77777777" w:rsidR="00213195" w:rsidRPr="00504597" w:rsidRDefault="00213195" w:rsidP="00213195">
      <w:pPr>
        <w:spacing w:after="0" w:line="240" w:lineRule="auto"/>
        <w:jc w:val="both"/>
        <w:rPr>
          <w:rFonts w:ascii="Arial" w:eastAsia="Calibri" w:hAnsi="Arial" w:cs="Arial"/>
          <w:b/>
          <w:bCs/>
          <w:color w:val="000000" w:themeColor="text1"/>
          <w:sz w:val="20"/>
          <w:szCs w:val="20"/>
          <w:lang w:val="es-ES"/>
        </w:rPr>
      </w:pPr>
    </w:p>
    <w:p w14:paraId="2CC7915B" w14:textId="77777777" w:rsidR="00213195" w:rsidRDefault="00213195" w:rsidP="00213195">
      <w:pPr>
        <w:spacing w:after="0" w:line="240" w:lineRule="auto"/>
        <w:jc w:val="both"/>
        <w:rPr>
          <w:rFonts w:ascii="Arial" w:eastAsia="Calibri" w:hAnsi="Arial" w:cs="Arial"/>
          <w:bCs/>
          <w:color w:val="000000" w:themeColor="text1"/>
          <w:sz w:val="20"/>
          <w:szCs w:val="20"/>
          <w:lang w:val="es-ES_tradnl"/>
        </w:rPr>
      </w:pPr>
      <w:r w:rsidRPr="00CA1CBD">
        <w:rPr>
          <w:rFonts w:ascii="Arial" w:eastAsia="Calibri" w:hAnsi="Arial" w:cs="Arial"/>
          <w:bCs/>
          <w:color w:val="000000" w:themeColor="text1"/>
          <w:sz w:val="20"/>
          <w:szCs w:val="20"/>
          <w:lang w:val="es-ES_tradnl"/>
        </w:rPr>
        <w:t xml:space="preserve">En la contratación estatal, la </w:t>
      </w:r>
      <w:r w:rsidRPr="00CA1CBD">
        <w:rPr>
          <w:rFonts w:ascii="Arial" w:eastAsia="Calibri" w:hAnsi="Arial" w:cs="Arial"/>
          <w:bCs/>
          <w:i/>
          <w:iCs/>
          <w:color w:val="000000" w:themeColor="text1"/>
          <w:sz w:val="20"/>
          <w:szCs w:val="20"/>
          <w:lang w:val="es-ES_tradnl"/>
        </w:rPr>
        <w:t>capacidad</w:t>
      </w:r>
      <w:r w:rsidRPr="00CA1CBD">
        <w:rPr>
          <w:rFonts w:ascii="Arial" w:eastAsia="Calibri" w:hAnsi="Arial" w:cs="Arial"/>
          <w:bCs/>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7F20160A" w14:textId="77777777" w:rsidR="00213195" w:rsidRPr="00CA1CBD" w:rsidRDefault="00213195" w:rsidP="00213195">
      <w:pPr>
        <w:spacing w:after="0" w:line="240" w:lineRule="auto"/>
        <w:jc w:val="both"/>
        <w:rPr>
          <w:rFonts w:ascii="Arial" w:eastAsia="Calibri" w:hAnsi="Arial" w:cs="Arial"/>
          <w:bCs/>
          <w:color w:val="000000" w:themeColor="text1"/>
          <w:sz w:val="20"/>
          <w:szCs w:val="20"/>
          <w:lang w:val="es-ES_tradnl"/>
        </w:rPr>
      </w:pPr>
    </w:p>
    <w:p w14:paraId="0CFA7080" w14:textId="77777777" w:rsidR="00213195" w:rsidRPr="00CA1CBD" w:rsidRDefault="00213195" w:rsidP="00213195">
      <w:pPr>
        <w:spacing w:after="0" w:line="240" w:lineRule="auto"/>
        <w:jc w:val="both"/>
        <w:rPr>
          <w:rFonts w:ascii="Arial" w:eastAsia="Calibri" w:hAnsi="Arial" w:cs="Arial"/>
          <w:bCs/>
          <w:color w:val="000000" w:themeColor="text1"/>
          <w:sz w:val="20"/>
          <w:szCs w:val="20"/>
          <w:lang w:val="es-ES_tradnl"/>
        </w:rPr>
      </w:pPr>
      <w:r w:rsidRPr="00CA1CBD">
        <w:rPr>
          <w:rFonts w:ascii="Arial" w:eastAsia="Calibri" w:hAnsi="Arial" w:cs="Arial"/>
          <w:bCs/>
          <w:color w:val="000000" w:themeColor="text1"/>
          <w:sz w:val="20"/>
          <w:szCs w:val="20"/>
          <w:lang w:val="es-ES_tradnl"/>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7EBAA381" w14:textId="77777777" w:rsidR="00213195" w:rsidRPr="00504597" w:rsidRDefault="00213195" w:rsidP="00213195">
      <w:pPr>
        <w:spacing w:after="0" w:line="240" w:lineRule="auto"/>
        <w:jc w:val="both"/>
        <w:rPr>
          <w:rFonts w:ascii="Arial" w:eastAsia="Calibri" w:hAnsi="Arial" w:cs="Arial"/>
          <w:bCs/>
          <w:color w:val="000000" w:themeColor="text1"/>
          <w:sz w:val="20"/>
          <w:szCs w:val="20"/>
          <w:lang w:val="es-ES"/>
        </w:rPr>
      </w:pPr>
    </w:p>
    <w:p w14:paraId="591F973B" w14:textId="77777777" w:rsidR="00213195" w:rsidRPr="00504597" w:rsidRDefault="00213195" w:rsidP="00213195">
      <w:pPr>
        <w:spacing w:after="0" w:line="240" w:lineRule="auto"/>
        <w:jc w:val="both"/>
        <w:rPr>
          <w:rFonts w:ascii="Arial" w:eastAsia="Calibri" w:hAnsi="Arial" w:cs="Arial"/>
          <w:b/>
          <w:bCs/>
          <w:color w:val="000000" w:themeColor="text1"/>
          <w:sz w:val="20"/>
          <w:szCs w:val="20"/>
          <w:lang w:val="es-ES"/>
        </w:rPr>
      </w:pPr>
      <w:r w:rsidRPr="00CA1CBD">
        <w:rPr>
          <w:rFonts w:ascii="Arial" w:eastAsia="Calibri" w:hAnsi="Arial" w:cs="Arial"/>
          <w:b/>
          <w:bCs/>
          <w:color w:val="000000" w:themeColor="text1"/>
          <w:lang w:val="es-ES"/>
        </w:rPr>
        <w:t>INHABILIDADES – Taxatividad – Principio de legalidad – Interpretación restrictiva</w:t>
      </w:r>
    </w:p>
    <w:p w14:paraId="2BF98694" w14:textId="77777777" w:rsidR="00213195" w:rsidRDefault="00213195" w:rsidP="00213195">
      <w:pPr>
        <w:spacing w:after="0" w:line="240" w:lineRule="auto"/>
        <w:jc w:val="both"/>
        <w:rPr>
          <w:rFonts w:ascii="Arial" w:eastAsia="Calibri" w:hAnsi="Arial" w:cs="Arial"/>
          <w:color w:val="000000" w:themeColor="text1"/>
          <w:sz w:val="20"/>
          <w:szCs w:val="20"/>
          <w:lang w:val="es-ES"/>
        </w:rPr>
      </w:pPr>
    </w:p>
    <w:p w14:paraId="1EACB4EF" w14:textId="77777777" w:rsidR="00213195" w:rsidRPr="00CA1CBD" w:rsidRDefault="00213195" w:rsidP="00213195">
      <w:pPr>
        <w:spacing w:after="0" w:line="240" w:lineRule="auto"/>
        <w:jc w:val="both"/>
        <w:rPr>
          <w:rFonts w:ascii="Arial" w:eastAsia="Calibri" w:hAnsi="Arial" w:cs="Arial"/>
          <w:color w:val="000000" w:themeColor="text1"/>
          <w:sz w:val="20"/>
          <w:szCs w:val="20"/>
          <w:lang w:val="es-ES_tradnl"/>
        </w:rPr>
      </w:pPr>
      <w:r w:rsidRPr="00CA1CBD">
        <w:rPr>
          <w:rFonts w:ascii="Arial" w:eastAsia="Calibri" w:hAnsi="Arial" w:cs="Arial"/>
          <w:color w:val="000000" w:themeColor="text1"/>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CA1CBD">
        <w:rPr>
          <w:rFonts w:ascii="Arial" w:eastAsia="Calibri" w:hAnsi="Arial" w:cs="Arial"/>
          <w:i/>
          <w:iCs/>
          <w:color w:val="000000" w:themeColor="text1"/>
          <w:sz w:val="20"/>
          <w:szCs w:val="20"/>
          <w:lang w:val="es-ES_tradnl"/>
        </w:rPr>
        <w:t>restrictiva</w:t>
      </w:r>
      <w:r w:rsidRPr="00CA1CBD">
        <w:rPr>
          <w:rFonts w:ascii="Arial" w:eastAsia="Calibri" w:hAnsi="Arial" w:cs="Arial"/>
          <w:color w:val="000000" w:themeColor="text1"/>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62A5EE24" w14:textId="77777777" w:rsidR="00213195" w:rsidRPr="00504597" w:rsidRDefault="00213195" w:rsidP="00213195">
      <w:pPr>
        <w:spacing w:after="0" w:line="240" w:lineRule="auto"/>
        <w:jc w:val="both"/>
        <w:rPr>
          <w:rFonts w:ascii="Arial" w:eastAsia="Calibri" w:hAnsi="Arial" w:cs="Arial"/>
          <w:b/>
          <w:bCs/>
          <w:color w:val="000000" w:themeColor="text1"/>
          <w:sz w:val="20"/>
          <w:szCs w:val="20"/>
          <w:lang w:val="es-ES"/>
        </w:rPr>
      </w:pPr>
    </w:p>
    <w:p w14:paraId="12ADD98F" w14:textId="77777777" w:rsidR="00213195" w:rsidRPr="00922B3B" w:rsidRDefault="00213195" w:rsidP="00213195">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lang w:val="es-ES"/>
        </w:rPr>
        <w:lastRenderedPageBreak/>
        <w:t>LEY 2097 DE 2021</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REDAM</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Objeto</w:t>
      </w:r>
      <w:r w:rsidRPr="00922B3B">
        <w:rPr>
          <w:rFonts w:ascii="Arial" w:eastAsia="Calibri" w:hAnsi="Arial" w:cs="Arial"/>
          <w:b/>
          <w:bCs/>
          <w:color w:val="000000" w:themeColor="text1"/>
        </w:rPr>
        <w:t xml:space="preserve"> </w:t>
      </w:r>
    </w:p>
    <w:p w14:paraId="32800DCE" w14:textId="77777777" w:rsidR="00213195" w:rsidRPr="00504597" w:rsidRDefault="00213195" w:rsidP="00213195">
      <w:pPr>
        <w:spacing w:after="0" w:line="240" w:lineRule="auto"/>
        <w:jc w:val="both"/>
        <w:rPr>
          <w:rFonts w:ascii="Arial" w:eastAsia="Calibri" w:hAnsi="Arial" w:cs="Arial"/>
          <w:b/>
          <w:bCs/>
          <w:color w:val="000000" w:themeColor="text1"/>
          <w:sz w:val="20"/>
          <w:szCs w:val="20"/>
        </w:rPr>
      </w:pPr>
    </w:p>
    <w:p w14:paraId="759E5CEB" w14:textId="77777777" w:rsidR="00213195" w:rsidRPr="00C71736" w:rsidRDefault="00213195" w:rsidP="00213195">
      <w:pPr>
        <w:spacing w:after="0" w:line="240" w:lineRule="auto"/>
        <w:jc w:val="both"/>
        <w:rPr>
          <w:rFonts w:ascii="Arial" w:eastAsia="Calibri" w:hAnsi="Arial" w:cs="Arial"/>
          <w:bCs/>
          <w:color w:val="000000" w:themeColor="text1"/>
          <w:sz w:val="20"/>
          <w:szCs w:val="20"/>
        </w:rPr>
      </w:pPr>
      <w:r w:rsidRPr="00C71736">
        <w:rPr>
          <w:rFonts w:ascii="Arial" w:eastAsia="Calibri" w:hAnsi="Arial" w:cs="Arial"/>
          <w:bCs/>
          <w:color w:val="000000" w:themeColor="text1"/>
          <w:sz w:val="20"/>
          <w:szCs w:val="20"/>
        </w:rPr>
        <w:t>El 2 de julio de 2021, el gobierno nacional sancionó la Ley Estatutaria 2097 de 2021, cuyo objeto –de acuerdo con el artículo 1– consiste en “[…] establecer medidas para garantizar el cumplimiento de las obligaciones alimentarias y crear el Registro de Deudores Alimentarios Morosos (Redam), como mecanismo de control al incumplimiento de las obligaciones alimentarias”. Conforme a la exposición de motivos del proyecto ley, existe una vulneración de derechos al interior de la institución familiar, cuyo despliegue en materia de política pública ha sido limitado y resulta insuficiente para atender la problemática asociada al incumplimiento de la obligación legal prevista en el Título XXI del Libro Primero del Código Civil, especialmente, en el caso de los menores de edad, con las repercusiones que esta tiene tanto para ellos como para quien tiene la responsabilidad del cuidado y manutención. Por ello, tomado como referencia legislaciones foráneas como Estados Unidos, Perú, Uruguay, así como normatividades análogas en provincias y estados como Buenos Aires y Córdoba, en la Argentina, y la Ciudad de México, en México, los ponentes de la iniciativa concluyeron que “Estas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p>
    <w:p w14:paraId="575F8F57" w14:textId="77777777" w:rsidR="00213195" w:rsidRPr="00504597" w:rsidRDefault="00213195" w:rsidP="00213195">
      <w:pPr>
        <w:spacing w:after="0" w:line="240" w:lineRule="auto"/>
        <w:jc w:val="both"/>
        <w:rPr>
          <w:rFonts w:ascii="Arial" w:eastAsia="Calibri" w:hAnsi="Arial" w:cs="Arial"/>
          <w:b/>
          <w:bCs/>
          <w:color w:val="000000" w:themeColor="text1"/>
          <w:sz w:val="20"/>
          <w:szCs w:val="20"/>
          <w:lang w:val="es-ES"/>
        </w:rPr>
      </w:pPr>
    </w:p>
    <w:p w14:paraId="080AF312" w14:textId="77777777" w:rsidR="00213195" w:rsidRPr="00922B3B" w:rsidRDefault="00213195" w:rsidP="00213195">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lang w:val="es-ES"/>
        </w:rPr>
        <w:t>OBLIGACIÓN ALIMENTARIA</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 xml:space="preserve">Definición </w:t>
      </w:r>
    </w:p>
    <w:p w14:paraId="271BB3AF" w14:textId="77777777" w:rsidR="00213195" w:rsidRPr="00504597" w:rsidRDefault="00213195" w:rsidP="00213195">
      <w:pPr>
        <w:spacing w:after="0" w:line="240" w:lineRule="auto"/>
        <w:jc w:val="both"/>
        <w:rPr>
          <w:rFonts w:ascii="Arial" w:eastAsia="Calibri" w:hAnsi="Arial" w:cs="Arial"/>
          <w:bCs/>
          <w:color w:val="000000" w:themeColor="text1"/>
          <w:sz w:val="20"/>
          <w:szCs w:val="20"/>
          <w:lang w:val="es-ES"/>
        </w:rPr>
      </w:pPr>
    </w:p>
    <w:p w14:paraId="6CC9189D" w14:textId="77777777" w:rsidR="00213195" w:rsidRDefault="00213195" w:rsidP="00213195">
      <w:pPr>
        <w:spacing w:after="0" w:line="240" w:lineRule="auto"/>
        <w:jc w:val="both"/>
        <w:rPr>
          <w:rFonts w:ascii="Arial" w:eastAsia="Calibri" w:hAnsi="Arial" w:cs="Arial"/>
          <w:bCs/>
          <w:color w:val="000000" w:themeColor="text1"/>
          <w:sz w:val="20"/>
          <w:szCs w:val="20"/>
        </w:rPr>
      </w:pPr>
      <w:r w:rsidRPr="00C71736">
        <w:rPr>
          <w:rFonts w:ascii="Arial" w:eastAsia="Calibri" w:hAnsi="Arial" w:cs="Arial"/>
          <w:bCs/>
          <w:color w:val="000000" w:themeColor="text1"/>
          <w:sz w:val="20"/>
          <w:szCs w:val="20"/>
        </w:rPr>
        <w:t xml:space="preserve">Etimológicamente, la palabra “alimentos” deriva de la expresión latina </w:t>
      </w:r>
      <w:r w:rsidRPr="00C71736">
        <w:rPr>
          <w:rFonts w:ascii="Arial" w:eastAsia="Calibri" w:hAnsi="Arial" w:cs="Arial"/>
          <w:bCs/>
          <w:i/>
          <w:iCs/>
          <w:color w:val="000000" w:themeColor="text1"/>
          <w:sz w:val="20"/>
          <w:szCs w:val="20"/>
        </w:rPr>
        <w:t>alimentum</w:t>
      </w:r>
      <w:r w:rsidRPr="00C71736">
        <w:rPr>
          <w:rFonts w:ascii="Arial" w:eastAsia="Calibri" w:hAnsi="Arial" w:cs="Arial"/>
          <w:bCs/>
          <w:color w:val="000000" w:themeColor="text1"/>
          <w:sz w:val="20"/>
          <w:szCs w:val="20"/>
        </w:rPr>
        <w:t xml:space="preserve">, la cual se compone del verbo </w:t>
      </w:r>
      <w:r w:rsidRPr="00C71736">
        <w:rPr>
          <w:rFonts w:ascii="Arial" w:eastAsia="Calibri" w:hAnsi="Arial" w:cs="Arial"/>
          <w:bCs/>
          <w:i/>
          <w:iCs/>
          <w:color w:val="000000" w:themeColor="text1"/>
          <w:sz w:val="20"/>
          <w:szCs w:val="20"/>
        </w:rPr>
        <w:t>alere</w:t>
      </w:r>
      <w:r w:rsidRPr="00C71736">
        <w:rPr>
          <w:rFonts w:ascii="Arial" w:eastAsia="Calibri" w:hAnsi="Arial" w:cs="Arial"/>
          <w:bCs/>
          <w:color w:val="000000" w:themeColor="text1"/>
          <w:sz w:val="20"/>
          <w:szCs w:val="20"/>
        </w:rPr>
        <w:t xml:space="preserve"> –que significa criar</w:t>
      </w:r>
      <w:r>
        <w:rPr>
          <w:rFonts w:ascii="Arial" w:eastAsia="Calibri" w:hAnsi="Arial" w:cs="Arial"/>
          <w:bCs/>
          <w:color w:val="000000" w:themeColor="text1"/>
          <w:sz w:val="20"/>
          <w:szCs w:val="20"/>
        </w:rPr>
        <w:t>,</w:t>
      </w:r>
      <w:r w:rsidRPr="00C71736">
        <w:rPr>
          <w:rFonts w:ascii="Arial" w:eastAsia="Calibri" w:hAnsi="Arial" w:cs="Arial"/>
          <w:bCs/>
          <w:color w:val="000000" w:themeColor="text1"/>
          <w:sz w:val="20"/>
          <w:szCs w:val="20"/>
        </w:rPr>
        <w:t xml:space="preserve"> nutrir o hacer crecer– y el sufijo </w:t>
      </w:r>
      <w:r w:rsidRPr="00C71736">
        <w:rPr>
          <w:rFonts w:ascii="Arial" w:eastAsia="Calibri" w:hAnsi="Arial" w:cs="Arial"/>
          <w:bCs/>
          <w:i/>
          <w:iCs/>
          <w:color w:val="000000" w:themeColor="text1"/>
          <w:sz w:val="20"/>
          <w:szCs w:val="20"/>
        </w:rPr>
        <w:t>mento</w:t>
      </w:r>
      <w:r w:rsidRPr="00C71736">
        <w:rPr>
          <w:rFonts w:ascii="Arial" w:eastAsia="Calibri" w:hAnsi="Arial" w:cs="Arial"/>
          <w:bCs/>
          <w:color w:val="000000" w:themeColor="text1"/>
          <w:sz w:val="20"/>
          <w:szCs w:val="20"/>
        </w:rPr>
        <w:t xml:space="preserve"> –que indica medio, instrumento o modo–. Aunque en el uso coloquial, con fundamento en el Diccionario de la RAE, los alimentos se refieren al “Conjunto de sustancias que los seres vivos comen o beben para subsistir”, en el ámbito jurídico hace referencia a una de las fuentes de las obligaciones previstas en el artículo 1494 del Código Civil. Dicha obligación va más allá del simple deber moral, por lo que la ley positiva la dota de coercibilidad como una obligación civil, la cual se fundamenta en la solidaridad de la familia, es decir, en las estrechas relaciones que deben unir a los miembros de un mismo grupo familiar, lo que impone a estos la obligación estricta de suministrar su subsistencia a aquellos que no alcanzan a asegurarla por su trabajo personal. Por ello, la doctrina define la obligación alimentaria como “[…] la prestación que pesa sobre determinadas personas económicamente posibilitadas, para que en algunos de sus parientes pobres u otras personas que la ley señala puedan subvenir a las necesidades de su existencia”, la cual depende de tres (3) presupuestos básicos: i) el estado de necesidad del alimentario, ii) la capacidad económica del alimentante y iii) la existencia de un vínculo jurídico entre ambos.</w:t>
      </w:r>
    </w:p>
    <w:p w14:paraId="79C22948" w14:textId="77777777" w:rsidR="00213195" w:rsidRDefault="00213195" w:rsidP="00213195">
      <w:pPr>
        <w:spacing w:after="0" w:line="240" w:lineRule="auto"/>
        <w:jc w:val="both"/>
        <w:rPr>
          <w:rFonts w:ascii="Arial" w:eastAsia="Calibri" w:hAnsi="Arial" w:cs="Arial"/>
          <w:bCs/>
          <w:color w:val="000000" w:themeColor="text1"/>
          <w:sz w:val="20"/>
          <w:szCs w:val="20"/>
        </w:rPr>
      </w:pPr>
    </w:p>
    <w:p w14:paraId="28B69EE0" w14:textId="77777777" w:rsidR="00213195" w:rsidRPr="00922B3B" w:rsidRDefault="00213195" w:rsidP="00213195">
      <w:pPr>
        <w:spacing w:after="0" w:line="240" w:lineRule="auto"/>
        <w:jc w:val="both"/>
        <w:rPr>
          <w:rFonts w:ascii="Arial" w:eastAsia="Calibri" w:hAnsi="Arial" w:cs="Arial"/>
          <w:b/>
          <w:bCs/>
          <w:color w:val="000000" w:themeColor="text1"/>
        </w:rPr>
      </w:pPr>
      <w:r>
        <w:rPr>
          <w:rFonts w:ascii="Arial" w:eastAsia="Calibri" w:hAnsi="Arial" w:cs="Arial"/>
          <w:b/>
          <w:bCs/>
          <w:color w:val="000000" w:themeColor="text1"/>
          <w:lang w:val="es-ES"/>
        </w:rPr>
        <w:t>INHABILIDAD</w:t>
      </w:r>
      <w:r w:rsidRPr="00922B3B">
        <w:rPr>
          <w:rFonts w:ascii="Arial" w:eastAsia="Calibri" w:hAnsi="Arial" w:cs="Arial"/>
          <w:b/>
          <w:bCs/>
          <w:color w:val="000000" w:themeColor="text1"/>
          <w:lang w:val="es-ES"/>
        </w:rPr>
        <w:t xml:space="preserve"> </w:t>
      </w:r>
      <w:r w:rsidRPr="00922B3B">
        <w:rPr>
          <w:rFonts w:ascii="Arial" w:eastAsia="Calibri" w:hAnsi="Arial" w:cs="Arial"/>
          <w:b/>
          <w:bCs/>
          <w:color w:val="000000" w:themeColor="text1"/>
        </w:rPr>
        <w:t xml:space="preserve">– </w:t>
      </w:r>
      <w:r>
        <w:rPr>
          <w:rFonts w:ascii="Arial" w:eastAsia="Calibri" w:hAnsi="Arial" w:cs="Arial"/>
          <w:b/>
          <w:bCs/>
          <w:color w:val="000000" w:themeColor="text1"/>
        </w:rPr>
        <w:t xml:space="preserve">REDAM – Ámbito de aplicación – Constitucionalidad </w:t>
      </w:r>
    </w:p>
    <w:p w14:paraId="00F9CAA0" w14:textId="77777777" w:rsidR="00213195" w:rsidRPr="00504597" w:rsidRDefault="00213195" w:rsidP="00213195">
      <w:pPr>
        <w:spacing w:after="0" w:line="240" w:lineRule="auto"/>
        <w:jc w:val="both"/>
        <w:rPr>
          <w:rFonts w:ascii="Arial" w:eastAsia="Calibri" w:hAnsi="Arial" w:cs="Arial"/>
          <w:bCs/>
          <w:color w:val="000000" w:themeColor="text1"/>
          <w:sz w:val="20"/>
          <w:szCs w:val="20"/>
          <w:lang w:val="es-ES"/>
        </w:rPr>
      </w:pPr>
    </w:p>
    <w:p w14:paraId="09DF0809" w14:textId="77777777" w:rsidR="00213195" w:rsidRDefault="00213195" w:rsidP="00213195">
      <w:pPr>
        <w:spacing w:after="0"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C54FBD">
        <w:rPr>
          <w:rFonts w:ascii="Arial" w:eastAsia="Calibri" w:hAnsi="Arial" w:cs="Arial"/>
          <w:bCs/>
          <w:color w:val="000000" w:themeColor="text1"/>
          <w:sz w:val="20"/>
          <w:szCs w:val="20"/>
        </w:rPr>
        <w:t xml:space="preserve">una de las consecuencias más importantes de la inclusión en el REDAM es la aparición de una inhabilidad para celebrar contratos con el Estado. Al respecto, conforme al artículo 6.1 </w:t>
      </w:r>
      <w:r w:rsidRPr="00C54FBD">
        <w:rPr>
          <w:rFonts w:ascii="Arial" w:eastAsia="Calibri" w:hAnsi="Arial" w:cs="Arial"/>
          <w:bCs/>
          <w:i/>
          <w:iCs/>
          <w:color w:val="000000" w:themeColor="text1"/>
          <w:sz w:val="20"/>
          <w:szCs w:val="20"/>
        </w:rPr>
        <w:t>ibidem</w:t>
      </w:r>
      <w:r w:rsidRPr="00C54FBD">
        <w:rPr>
          <w:rFonts w:ascii="Arial" w:eastAsia="Calibri" w:hAnsi="Arial" w:cs="Arial"/>
          <w:bCs/>
          <w:color w:val="000000" w:themeColor="text1"/>
          <w:sz w:val="20"/>
          <w:szCs w:val="20"/>
        </w:rPr>
        <w:t xml:space="preserve">,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 Dicha restricción se suma al catálogo del artículo 8 y siguientes de la Ley 80 de 1993, especialmente, cuando –conforme al literal a) del numeral 1– “Son inhábiles para participar en licitaciones y para celebrar contratos con las entidades estatales […] Las personas que se hallen inhabilitadas para contratar por la Constitución y las leyes”, el cual se extiende también a las entidades de régimen </w:t>
      </w:r>
      <w:r w:rsidRPr="00C54FBD">
        <w:rPr>
          <w:rFonts w:ascii="Arial" w:eastAsia="Calibri" w:hAnsi="Arial" w:cs="Arial"/>
          <w:bCs/>
          <w:color w:val="000000" w:themeColor="text1"/>
          <w:sz w:val="20"/>
          <w:szCs w:val="20"/>
        </w:rPr>
        <w:lastRenderedPageBreak/>
        <w:t xml:space="preserve">exceptuado en virtud del inciso primero del artículo 13 de la Ley 1150 de 2007 y al régimen de las ESAL de acuerdo al artículo 6 del Decreto 092 de 2017. </w:t>
      </w:r>
    </w:p>
    <w:p w14:paraId="4C4405AE" w14:textId="77777777" w:rsidR="00213195" w:rsidRPr="00C54FBD" w:rsidRDefault="00213195" w:rsidP="00213195">
      <w:pPr>
        <w:spacing w:after="0" w:line="240" w:lineRule="auto"/>
        <w:jc w:val="both"/>
        <w:rPr>
          <w:rFonts w:ascii="Arial" w:eastAsia="Calibri" w:hAnsi="Arial" w:cs="Arial"/>
          <w:bCs/>
          <w:color w:val="000000" w:themeColor="text1"/>
          <w:sz w:val="20"/>
          <w:szCs w:val="20"/>
        </w:rPr>
      </w:pPr>
    </w:p>
    <w:p w14:paraId="689AC355" w14:textId="77777777" w:rsidR="00213195" w:rsidRPr="00C54FBD" w:rsidRDefault="00213195" w:rsidP="00213195">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 xml:space="preserve">De acuerdo con el análisis de la Sentencia C-032 de 2021, para la Corte Constitucional dicha norma es exequible, pues “[…] 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 contratistas del Estado”. Lo anterior, agregando la medida cumple con una finalidad importante e imperiosa, la cual consistente en proteger los derechos fundamentales de personas que se ven afectados en su mínimo vital por el hecho del incumplimiento de las obligaciones alimentarias, quienes usualmente son sujetos de especial protección constitucional. La Corte Constitucional considera que la medida es necesaria, porque opera un incentivo para el pago cumplido de esas obligaciones, supeditando la suscripción del contrato respectivo al pago de esa obligación. </w:t>
      </w:r>
    </w:p>
    <w:p w14:paraId="1444713E" w14:textId="77777777" w:rsidR="00213195" w:rsidRDefault="00213195" w:rsidP="00213195">
      <w:pPr>
        <w:spacing w:after="0" w:line="240" w:lineRule="auto"/>
        <w:jc w:val="both"/>
        <w:rPr>
          <w:rFonts w:ascii="Arial" w:eastAsia="Calibri" w:hAnsi="Arial" w:cs="Arial"/>
          <w:bCs/>
          <w:color w:val="000000" w:themeColor="text1"/>
          <w:sz w:val="20"/>
          <w:szCs w:val="20"/>
        </w:rPr>
      </w:pPr>
    </w:p>
    <w:p w14:paraId="32DE77D1" w14:textId="77777777" w:rsidR="00AD6C26" w:rsidRDefault="00213195" w:rsidP="00213195">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Adicionalmente, la Corte Constitucional también estima que ante la contingencia de que el representante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remedios legales para evitar tales consecuencias jurídicas”.</w:t>
      </w:r>
      <w:r w:rsidR="00AD6C26">
        <w:rPr>
          <w:rFonts w:ascii="Arial" w:eastAsia="Calibri" w:hAnsi="Arial" w:cs="Arial"/>
          <w:bCs/>
          <w:color w:val="000000" w:themeColor="text1"/>
          <w:sz w:val="20"/>
          <w:szCs w:val="20"/>
        </w:rPr>
        <w:t xml:space="preserve"> </w:t>
      </w:r>
    </w:p>
    <w:p w14:paraId="5FA93498" w14:textId="77777777" w:rsidR="00AD6C26" w:rsidRDefault="00AD6C26" w:rsidP="00AD6C26">
      <w:pPr>
        <w:tabs>
          <w:tab w:val="left" w:pos="0"/>
        </w:tabs>
        <w:spacing w:after="120" w:line="276" w:lineRule="auto"/>
        <w:jc w:val="both"/>
        <w:rPr>
          <w:rFonts w:ascii="Arial" w:eastAsia="Calibri" w:hAnsi="Arial" w:cs="Arial"/>
          <w:bCs/>
          <w:color w:val="000000" w:themeColor="text1"/>
          <w:sz w:val="20"/>
          <w:szCs w:val="20"/>
        </w:rPr>
      </w:pPr>
    </w:p>
    <w:p w14:paraId="64641079" w14:textId="303F5CD2" w:rsidR="00AD6C26" w:rsidRDefault="00AD6C26" w:rsidP="00AD6C26">
      <w:pPr>
        <w:spacing w:after="120"/>
        <w:contextualSpacing/>
        <w:jc w:val="both"/>
        <w:rPr>
          <w:rFonts w:ascii="Arial" w:eastAsia="Calibri" w:hAnsi="Arial" w:cs="Arial"/>
          <w:b/>
          <w:bCs/>
          <w:lang w:val="es-MX" w:eastAsia="es-ES_tradnl"/>
        </w:rPr>
      </w:pPr>
      <w:r w:rsidRPr="00AD6C26">
        <w:rPr>
          <w:rFonts w:ascii="Arial" w:eastAsia="Calibri" w:hAnsi="Arial" w:cs="Arial"/>
          <w:b/>
          <w:bCs/>
          <w:lang w:val="es-MX" w:eastAsia="es-ES_tradnl"/>
        </w:rPr>
        <w:t>REDAM – Personas obligadas – Representante legales – Personas jurídicas</w:t>
      </w:r>
    </w:p>
    <w:p w14:paraId="09D8A93A" w14:textId="77777777" w:rsidR="00AD6C26" w:rsidRPr="00AD6C26" w:rsidRDefault="00AD6C26" w:rsidP="00AD6C26">
      <w:pPr>
        <w:spacing w:after="120"/>
        <w:contextualSpacing/>
        <w:jc w:val="both"/>
        <w:rPr>
          <w:rFonts w:ascii="Arial" w:eastAsia="Calibri" w:hAnsi="Arial" w:cs="Arial"/>
          <w:b/>
          <w:bCs/>
          <w:lang w:val="es-MX" w:eastAsia="es-ES_tradnl"/>
        </w:rPr>
      </w:pPr>
    </w:p>
    <w:p w14:paraId="21E0A58A" w14:textId="49808DAA" w:rsidR="00AD6C26" w:rsidRPr="00AD6C26" w:rsidRDefault="00AD6C26" w:rsidP="00AD6C26">
      <w:pPr>
        <w:tabs>
          <w:tab w:val="left" w:pos="0"/>
        </w:tabs>
        <w:spacing w:after="120" w:line="276"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lang w:val="es-MX"/>
        </w:rPr>
        <w:t>[L</w:t>
      </w:r>
      <w:r w:rsidRPr="00AD6C26">
        <w:rPr>
          <w:rFonts w:ascii="Arial" w:eastAsia="Calibri" w:hAnsi="Arial" w:cs="Arial"/>
          <w:bCs/>
          <w:color w:val="000000" w:themeColor="text1"/>
          <w:sz w:val="20"/>
          <w:szCs w:val="20"/>
        </w:rPr>
        <w:t>l</w:t>
      </w:r>
      <w:r>
        <w:rPr>
          <w:rFonts w:ascii="Arial" w:eastAsia="Calibri" w:hAnsi="Arial" w:cs="Arial"/>
          <w:bCs/>
          <w:color w:val="000000" w:themeColor="text1"/>
          <w:sz w:val="20"/>
          <w:szCs w:val="20"/>
        </w:rPr>
        <w:t>]</w:t>
      </w:r>
      <w:r w:rsidRPr="00AD6C26">
        <w:rPr>
          <w:rFonts w:ascii="Arial" w:eastAsia="Calibri" w:hAnsi="Arial" w:cs="Arial"/>
          <w:bCs/>
          <w:color w:val="000000" w:themeColor="text1"/>
          <w:sz w:val="20"/>
          <w:szCs w:val="20"/>
        </w:rPr>
        <w:t xml:space="preserve">a Corte Constitucional también estima que ante la contingencia de que el representante legal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remedios legales para evitar tales consecuencias jurídicas. </w:t>
      </w:r>
    </w:p>
    <w:p w14:paraId="423B58C1" w14:textId="77777777" w:rsidR="00AD6C26" w:rsidRPr="00AD6C26" w:rsidRDefault="00AD6C26" w:rsidP="00AD6C26">
      <w:pPr>
        <w:tabs>
          <w:tab w:val="left" w:pos="0"/>
        </w:tabs>
        <w:spacing w:after="120" w:line="276" w:lineRule="auto"/>
        <w:ind w:firstLine="709"/>
        <w:jc w:val="both"/>
        <w:rPr>
          <w:rFonts w:ascii="Arial" w:eastAsia="Calibri" w:hAnsi="Arial" w:cs="Arial"/>
          <w:bCs/>
          <w:color w:val="000000" w:themeColor="text1"/>
          <w:sz w:val="20"/>
          <w:szCs w:val="20"/>
        </w:rPr>
      </w:pPr>
      <w:r w:rsidRPr="00AD6C26">
        <w:rPr>
          <w:rFonts w:ascii="Arial" w:eastAsia="Calibri" w:hAnsi="Arial" w:cs="Arial"/>
          <w:bCs/>
          <w:color w:val="000000" w:themeColor="text1"/>
          <w:sz w:val="20"/>
          <w:szCs w:val="20"/>
        </w:rPr>
        <w:lastRenderedPageBreak/>
        <w:t xml:space="preserve">Así las cosas, la norma es clara en precisar que el representante legal de la persona jurídica registrado en el REDAM inhabilita para contratar con el Estado a la persona jurídica que representa, por lo cual, conforme con lo señalado por la Corte Constitucional en la Sentencia referida, deberá remover del cargo a su representante o exigirle el pago de la obligación. </w:t>
      </w:r>
    </w:p>
    <w:p w14:paraId="20B91771" w14:textId="5FF0C5BB" w:rsidR="00213195" w:rsidRDefault="00213195" w:rsidP="00213195">
      <w:pPr>
        <w:spacing w:after="0" w:line="240" w:lineRule="auto"/>
        <w:jc w:val="both"/>
        <w:rPr>
          <w:rFonts w:ascii="Arial" w:eastAsia="Calibri" w:hAnsi="Arial" w:cs="Arial"/>
          <w:bCs/>
          <w:color w:val="000000" w:themeColor="text1"/>
          <w:sz w:val="20"/>
          <w:szCs w:val="20"/>
        </w:rPr>
      </w:pPr>
      <w:r w:rsidRPr="00C54FBD">
        <w:rPr>
          <w:rFonts w:ascii="Arial" w:eastAsia="Calibri" w:hAnsi="Arial" w:cs="Arial"/>
          <w:bCs/>
          <w:color w:val="000000" w:themeColor="text1"/>
          <w:sz w:val="20"/>
          <w:szCs w:val="20"/>
        </w:rPr>
        <w:t xml:space="preserve"> </w:t>
      </w:r>
    </w:p>
    <w:p w14:paraId="77C4FB33" w14:textId="77777777" w:rsidR="00213195" w:rsidRDefault="00213195" w:rsidP="00213195">
      <w:pPr>
        <w:spacing w:after="0" w:line="240" w:lineRule="auto"/>
        <w:jc w:val="both"/>
        <w:rPr>
          <w:rFonts w:ascii="Arial" w:eastAsia="Calibri" w:hAnsi="Arial" w:cs="Arial"/>
          <w:bCs/>
          <w:color w:val="000000" w:themeColor="text1"/>
          <w:sz w:val="20"/>
          <w:szCs w:val="20"/>
        </w:rPr>
      </w:pPr>
    </w:p>
    <w:p w14:paraId="7EE85AF3" w14:textId="77777777" w:rsidR="00213195" w:rsidRDefault="00213195" w:rsidP="00213195">
      <w:pPr>
        <w:spacing w:after="0"/>
        <w:rPr>
          <w:rFonts w:ascii="Arial" w:eastAsia="Geomanist Light" w:hAnsi="Arial" w:cs="Arial"/>
          <w:color w:val="000000" w:themeColor="text1"/>
          <w:lang w:val="es-MX"/>
        </w:rPr>
      </w:pPr>
    </w:p>
    <w:p w14:paraId="32F6094D" w14:textId="77777777" w:rsidR="00213195" w:rsidRDefault="00213195" w:rsidP="00213195">
      <w:pPr>
        <w:spacing w:after="0"/>
        <w:rPr>
          <w:rFonts w:ascii="Arial" w:eastAsia="Geomanist Light" w:hAnsi="Arial" w:cs="Arial"/>
          <w:color w:val="000000" w:themeColor="text1"/>
          <w:lang w:val="es-MX"/>
        </w:rPr>
      </w:pPr>
    </w:p>
    <w:p w14:paraId="23CF8D8A" w14:textId="77777777" w:rsidR="00213195" w:rsidRDefault="00213195" w:rsidP="00213195">
      <w:pPr>
        <w:spacing w:after="0"/>
        <w:rPr>
          <w:rFonts w:ascii="Arial" w:eastAsia="Geomanist Light" w:hAnsi="Arial" w:cs="Arial"/>
          <w:color w:val="000000" w:themeColor="text1"/>
          <w:lang w:val="es-MX"/>
        </w:rPr>
      </w:pPr>
    </w:p>
    <w:p w14:paraId="6C75B44E" w14:textId="77777777" w:rsidR="00213195" w:rsidRDefault="00213195" w:rsidP="00213195">
      <w:pPr>
        <w:spacing w:after="0"/>
        <w:rPr>
          <w:rFonts w:ascii="Arial" w:eastAsia="Geomanist Light" w:hAnsi="Arial" w:cs="Arial"/>
          <w:color w:val="000000" w:themeColor="text1"/>
          <w:lang w:val="es-MX"/>
        </w:rPr>
      </w:pPr>
    </w:p>
    <w:p w14:paraId="7A9317FB" w14:textId="77777777" w:rsidR="00213195" w:rsidRDefault="00213195" w:rsidP="00213195">
      <w:pPr>
        <w:spacing w:after="0"/>
        <w:rPr>
          <w:rFonts w:ascii="Arial" w:eastAsia="Geomanist Light" w:hAnsi="Arial" w:cs="Arial"/>
          <w:color w:val="000000" w:themeColor="text1"/>
          <w:lang w:val="es-MX"/>
        </w:rPr>
      </w:pPr>
    </w:p>
    <w:p w14:paraId="780BFDED" w14:textId="77777777" w:rsidR="00213195" w:rsidRDefault="00213195" w:rsidP="00213195">
      <w:pPr>
        <w:spacing w:after="0"/>
        <w:rPr>
          <w:rFonts w:ascii="Arial" w:eastAsia="Geomanist Light" w:hAnsi="Arial" w:cs="Arial"/>
          <w:color w:val="000000" w:themeColor="text1"/>
          <w:lang w:val="es-MX"/>
        </w:rPr>
      </w:pPr>
    </w:p>
    <w:p w14:paraId="7F197623" w14:textId="77777777" w:rsidR="00213195" w:rsidRDefault="00213195" w:rsidP="00213195">
      <w:pPr>
        <w:spacing w:after="0"/>
        <w:rPr>
          <w:rFonts w:ascii="Arial" w:eastAsia="Geomanist Light" w:hAnsi="Arial" w:cs="Arial"/>
          <w:color w:val="000000" w:themeColor="text1"/>
          <w:lang w:val="es-MX"/>
        </w:rPr>
      </w:pPr>
    </w:p>
    <w:p w14:paraId="0ED62576" w14:textId="77777777" w:rsidR="00213195" w:rsidRDefault="00213195" w:rsidP="00213195">
      <w:pPr>
        <w:spacing w:after="0"/>
        <w:rPr>
          <w:rFonts w:ascii="Arial" w:eastAsia="Geomanist Light" w:hAnsi="Arial" w:cs="Arial"/>
          <w:color w:val="000000" w:themeColor="text1"/>
          <w:lang w:val="es-MX"/>
        </w:rPr>
      </w:pPr>
    </w:p>
    <w:p w14:paraId="4867E660" w14:textId="77777777" w:rsidR="00213195" w:rsidRDefault="00213195" w:rsidP="00213195">
      <w:pPr>
        <w:spacing w:after="0"/>
        <w:rPr>
          <w:rFonts w:ascii="Arial" w:eastAsia="Geomanist Light" w:hAnsi="Arial" w:cs="Arial"/>
          <w:color w:val="000000" w:themeColor="text1"/>
          <w:lang w:val="es-MX"/>
        </w:rPr>
      </w:pPr>
    </w:p>
    <w:p w14:paraId="54FDC7CA" w14:textId="77777777" w:rsidR="00213195" w:rsidRDefault="00213195" w:rsidP="00213195">
      <w:pPr>
        <w:spacing w:after="0"/>
        <w:rPr>
          <w:rFonts w:ascii="Arial" w:eastAsia="Geomanist Light" w:hAnsi="Arial" w:cs="Arial"/>
          <w:color w:val="000000" w:themeColor="text1"/>
          <w:lang w:val="es-MX"/>
        </w:rPr>
      </w:pPr>
    </w:p>
    <w:p w14:paraId="26E68533" w14:textId="77777777" w:rsidR="00213195" w:rsidRDefault="00213195" w:rsidP="00213195">
      <w:pPr>
        <w:spacing w:after="0"/>
        <w:rPr>
          <w:rFonts w:ascii="Arial" w:eastAsia="Geomanist Light" w:hAnsi="Arial" w:cs="Arial"/>
          <w:color w:val="000000" w:themeColor="text1"/>
          <w:lang w:val="es-MX"/>
        </w:rPr>
      </w:pPr>
    </w:p>
    <w:p w14:paraId="7490AFD2" w14:textId="77777777" w:rsidR="00213195" w:rsidRDefault="00213195" w:rsidP="00213195">
      <w:pPr>
        <w:spacing w:after="0"/>
        <w:rPr>
          <w:rFonts w:ascii="Arial" w:eastAsia="Geomanist Light" w:hAnsi="Arial" w:cs="Arial"/>
          <w:color w:val="000000" w:themeColor="text1"/>
          <w:lang w:val="es-MX"/>
        </w:rPr>
      </w:pPr>
    </w:p>
    <w:p w14:paraId="6DB5F144" w14:textId="77777777" w:rsidR="00213195" w:rsidRDefault="00213195" w:rsidP="00213195">
      <w:pPr>
        <w:spacing w:after="0"/>
        <w:rPr>
          <w:rFonts w:ascii="Arial" w:eastAsia="Geomanist Light" w:hAnsi="Arial" w:cs="Arial"/>
          <w:color w:val="000000" w:themeColor="text1"/>
          <w:lang w:val="es-MX"/>
        </w:rPr>
      </w:pPr>
    </w:p>
    <w:p w14:paraId="77F59FC8" w14:textId="77777777" w:rsidR="00213195" w:rsidRDefault="00213195" w:rsidP="00213195">
      <w:pPr>
        <w:spacing w:after="0"/>
        <w:rPr>
          <w:rFonts w:ascii="Arial" w:eastAsia="Geomanist Light" w:hAnsi="Arial" w:cs="Arial"/>
          <w:color w:val="000000" w:themeColor="text1"/>
          <w:lang w:val="es-MX"/>
        </w:rPr>
      </w:pPr>
    </w:p>
    <w:p w14:paraId="24FFB305" w14:textId="77777777" w:rsidR="00213195" w:rsidRDefault="00213195" w:rsidP="00213195">
      <w:pPr>
        <w:spacing w:after="0"/>
        <w:rPr>
          <w:rFonts w:ascii="Arial" w:eastAsia="Geomanist Light" w:hAnsi="Arial" w:cs="Arial"/>
          <w:color w:val="000000" w:themeColor="text1"/>
          <w:lang w:val="es-MX"/>
        </w:rPr>
      </w:pPr>
    </w:p>
    <w:p w14:paraId="418C8F84" w14:textId="5082185F" w:rsidR="00213195" w:rsidRDefault="00213195" w:rsidP="00213195">
      <w:pPr>
        <w:spacing w:after="0"/>
        <w:rPr>
          <w:rFonts w:ascii="Arial" w:eastAsia="Geomanist Light" w:hAnsi="Arial" w:cs="Arial"/>
          <w:color w:val="000000" w:themeColor="text1"/>
          <w:lang w:val="es-MX"/>
        </w:rPr>
      </w:pPr>
    </w:p>
    <w:p w14:paraId="112D01D1" w14:textId="77777777" w:rsidR="004F4C46" w:rsidRPr="00322A85" w:rsidRDefault="004F4C46" w:rsidP="004F4C46">
      <w:pPr>
        <w:spacing w:after="0"/>
        <w:rPr>
          <w:rFonts w:ascii="Century Gothic" w:hAnsi="Century Gothic"/>
        </w:rPr>
      </w:pPr>
      <w:bookmarkStart w:id="2" w:name="_Hlk143780582"/>
      <w:bookmarkEnd w:id="0"/>
      <w:bookmarkEnd w:id="1"/>
      <w:r w:rsidRPr="00322A85">
        <w:rPr>
          <w:rFonts w:ascii="Century Gothic" w:hAnsi="Century Gothic"/>
        </w:rPr>
        <w:t>Bogotá D.C., [Día]</w:t>
      </w:r>
      <w:r>
        <w:rPr>
          <w:rFonts w:ascii="Century Gothic" w:hAnsi="Century Gothic"/>
        </w:rPr>
        <w:t xml:space="preserve"> </w:t>
      </w:r>
      <w:r w:rsidRPr="00322A85">
        <w:rPr>
          <w:rFonts w:ascii="Century Gothic" w:hAnsi="Century Gothic"/>
        </w:rPr>
        <w:t>[Mes</w:t>
      </w:r>
      <w:r>
        <w:rPr>
          <w:rFonts w:ascii="Century Gothic" w:hAnsi="Century Gothic"/>
        </w:rPr>
        <w:t>.</w:t>
      </w:r>
      <w:r w:rsidRPr="00322A85">
        <w:rPr>
          <w:rFonts w:ascii="Century Gothic" w:hAnsi="Century Gothic"/>
        </w:rPr>
        <w:t>NombreCapitalizado]</w:t>
      </w:r>
      <w:r>
        <w:rPr>
          <w:rFonts w:ascii="Century Gothic" w:hAnsi="Century Gothic"/>
        </w:rPr>
        <w:t xml:space="preserve"> </w:t>
      </w:r>
      <w:r w:rsidRPr="00322A85">
        <w:rPr>
          <w:rFonts w:ascii="Century Gothic" w:hAnsi="Century Gothic"/>
        </w:rPr>
        <w:t>[Año]</w:t>
      </w:r>
      <w:r w:rsidRPr="00322A85">
        <w:rPr>
          <w:rFonts w:ascii="Century Gothic" w:hAnsi="Century Gothic"/>
        </w:rPr>
        <w:tab/>
      </w:r>
    </w:p>
    <w:p w14:paraId="06AB6B79" w14:textId="77777777" w:rsidR="004F4C46" w:rsidRPr="00322A85" w:rsidRDefault="004F4C46" w:rsidP="004F4C46">
      <w:pPr>
        <w:spacing w:after="0"/>
        <w:rPr>
          <w:rFonts w:ascii="Century Gothic" w:hAnsi="Century Gothic"/>
        </w:rPr>
      </w:pPr>
    </w:p>
    <w:p w14:paraId="7946AB70" w14:textId="77777777" w:rsidR="004F4C46" w:rsidRPr="00322A85" w:rsidRDefault="004F4C46" w:rsidP="004F4C46">
      <w:pPr>
        <w:spacing w:after="0"/>
        <w:rPr>
          <w:rFonts w:ascii="Century Gothic" w:hAnsi="Century Gothic"/>
        </w:rPr>
      </w:pPr>
    </w:p>
    <w:bookmarkEnd w:id="2"/>
    <w:p w14:paraId="272BE784" w14:textId="77777777" w:rsidR="004F4C46" w:rsidRPr="0006291B" w:rsidRDefault="004F4C46" w:rsidP="004F4C46">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5A5D884C" w14:textId="77777777" w:rsidR="004F4C46" w:rsidRDefault="004F4C46" w:rsidP="004F4C46">
      <w:pPr>
        <w:contextualSpacing/>
        <w:jc w:val="both"/>
        <w:rPr>
          <w:rFonts w:ascii="Arial" w:eastAsia="Calibri" w:hAnsi="Arial" w:cs="Arial"/>
          <w:b/>
          <w:lang w:eastAsia="es-ES_tradnl"/>
        </w:rPr>
      </w:pPr>
      <w:r>
        <w:rPr>
          <w:rFonts w:ascii="Arial" w:eastAsia="Calibri" w:hAnsi="Arial" w:cs="Arial"/>
          <w:b/>
          <w:lang w:eastAsia="es-ES_tradnl"/>
        </w:rPr>
        <w:t xml:space="preserve">Juan Pablo Bustos </w:t>
      </w:r>
    </w:p>
    <w:p w14:paraId="5142A12D" w14:textId="77777777" w:rsidR="004F4C46" w:rsidRPr="0006291B" w:rsidRDefault="004F4C46" w:rsidP="004F4C46">
      <w:pPr>
        <w:contextualSpacing/>
        <w:jc w:val="both"/>
        <w:rPr>
          <w:rFonts w:ascii="Arial" w:eastAsia="Calibri" w:hAnsi="Arial" w:cs="Arial"/>
          <w:bCs/>
          <w:lang w:eastAsia="es-ES_tradnl"/>
        </w:rPr>
      </w:pPr>
      <w:r w:rsidRPr="00044F0D">
        <w:rPr>
          <w:rFonts w:ascii="Arial" w:eastAsia="Geomanist Light" w:hAnsi="Arial" w:cs="Arial"/>
          <w:color w:val="000000" w:themeColor="text1"/>
          <w:lang w:val="es-MX"/>
        </w:rPr>
        <w:t>Bogotá D.C.</w:t>
      </w:r>
    </w:p>
    <w:p w14:paraId="042E25D3" w14:textId="77777777" w:rsidR="004F4C46" w:rsidRPr="00C046D8" w:rsidRDefault="004F4C46" w:rsidP="004F4C46">
      <w:pPr>
        <w:contextualSpacing/>
        <w:jc w:val="both"/>
        <w:rPr>
          <w:rFonts w:ascii="Arial" w:eastAsia="Calibri" w:hAnsi="Arial" w:cs="Arial"/>
          <w:lang w:val="es-ES_tradnl" w:eastAsia="es-ES_tradnl"/>
        </w:rPr>
      </w:pPr>
    </w:p>
    <w:p w14:paraId="796DC765" w14:textId="77777777" w:rsidR="004F4C46" w:rsidRPr="00C046D8" w:rsidRDefault="004F4C46" w:rsidP="004F4C46">
      <w:pPr>
        <w:contextualSpacing/>
        <w:rPr>
          <w:rFonts w:ascii="Arial" w:eastAsia="Calibri" w:hAnsi="Arial" w:cs="Arial"/>
          <w:b/>
          <w:bCs/>
          <w:lang w:val="es-ES_tradnl" w:eastAsia="es-ES_tradnl"/>
        </w:rPr>
      </w:pPr>
    </w:p>
    <w:p w14:paraId="0387734B" w14:textId="77777777" w:rsidR="004F4C46" w:rsidRPr="00C046D8" w:rsidRDefault="004F4C46" w:rsidP="004F4C46">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281</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7E5EB2A0" w14:textId="77777777" w:rsidR="004F4C46" w:rsidRPr="00C046D8" w:rsidRDefault="004F4C46" w:rsidP="004F4C46">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F4C46" w:rsidRPr="00C046D8" w14:paraId="0E24C20C" w14:textId="77777777" w:rsidTr="00261E57">
        <w:trPr>
          <w:trHeight w:val="2681"/>
        </w:trPr>
        <w:tc>
          <w:tcPr>
            <w:tcW w:w="2689" w:type="dxa"/>
          </w:tcPr>
          <w:p w14:paraId="11F78EAD" w14:textId="77777777" w:rsidR="004F4C46" w:rsidRPr="00C046D8" w:rsidRDefault="004F4C46" w:rsidP="00261E57">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612941B6" w14:textId="77777777" w:rsidR="004F4C46" w:rsidRDefault="004F4C46" w:rsidP="00261E57">
            <w:pPr>
              <w:spacing w:after="120"/>
              <w:contextualSpacing/>
              <w:jc w:val="both"/>
              <w:rPr>
                <w:rFonts w:ascii="Arial" w:eastAsia="Calibri" w:hAnsi="Arial" w:cs="Arial"/>
                <w:bCs/>
                <w:lang w:val="es-MX" w:eastAsia="es-ES_tradnl"/>
              </w:rPr>
            </w:pPr>
            <w:r w:rsidRPr="00C54FBD">
              <w:rPr>
                <w:rFonts w:ascii="Arial" w:eastAsia="Calibri" w:hAnsi="Arial" w:cs="Arial"/>
                <w:bCs/>
                <w:lang w:val="es-MX" w:eastAsia="es-ES_tradnl"/>
              </w:rPr>
              <w:t>INHABILIDADES – Definición – Finalidad – Limitación capacidad contractual</w:t>
            </w:r>
            <w:r>
              <w:rPr>
                <w:rFonts w:ascii="Arial" w:eastAsia="Calibri" w:hAnsi="Arial" w:cs="Arial"/>
                <w:bCs/>
                <w:lang w:val="es-MX" w:eastAsia="es-ES_tradnl"/>
              </w:rPr>
              <w:t xml:space="preserve"> / </w:t>
            </w:r>
            <w:r w:rsidRPr="00C54FBD">
              <w:rPr>
                <w:rFonts w:ascii="Arial" w:eastAsia="Calibri" w:hAnsi="Arial" w:cs="Arial"/>
                <w:bCs/>
                <w:lang w:val="es-MX" w:eastAsia="es-ES_tradnl"/>
              </w:rPr>
              <w:t>CONTRATACIÓN ESTATAL – Capacidad – Validez contratos – Régimen de contratación – Inscripción – Limitación de la capacidad</w:t>
            </w:r>
            <w:r>
              <w:rPr>
                <w:rFonts w:ascii="Arial" w:eastAsia="Calibri" w:hAnsi="Arial" w:cs="Arial"/>
                <w:bCs/>
                <w:lang w:val="es-MX" w:eastAsia="es-ES_tradnl"/>
              </w:rPr>
              <w:t xml:space="preserve"> / </w:t>
            </w:r>
            <w:r w:rsidRPr="00C54FBD">
              <w:rPr>
                <w:rFonts w:ascii="Arial" w:eastAsia="Calibri" w:hAnsi="Arial" w:cs="Arial"/>
                <w:bCs/>
                <w:lang w:val="es-MX" w:eastAsia="es-ES_tradnl"/>
              </w:rPr>
              <w:t>INHABILIDADES – Taxatividad – Principio de legalidad – Interpretación restrictiva</w:t>
            </w:r>
            <w:r>
              <w:rPr>
                <w:rFonts w:ascii="Arial" w:eastAsia="Calibri" w:hAnsi="Arial" w:cs="Arial"/>
                <w:bCs/>
                <w:lang w:val="es-MX" w:eastAsia="es-ES_tradnl"/>
              </w:rPr>
              <w:t xml:space="preserve"> / </w:t>
            </w:r>
            <w:r w:rsidRPr="00C54FBD">
              <w:rPr>
                <w:rFonts w:ascii="Arial" w:eastAsia="Calibri" w:hAnsi="Arial" w:cs="Arial"/>
                <w:bCs/>
                <w:lang w:val="es-MX" w:eastAsia="es-ES_tradnl"/>
              </w:rPr>
              <w:t>LEY 2097 DE 2021 – REDAM – Objeto</w:t>
            </w:r>
            <w:r>
              <w:rPr>
                <w:rFonts w:ascii="Arial" w:eastAsia="Calibri" w:hAnsi="Arial" w:cs="Arial"/>
                <w:bCs/>
                <w:lang w:val="es-MX" w:eastAsia="es-ES_tradnl"/>
              </w:rPr>
              <w:t xml:space="preserve"> / </w:t>
            </w:r>
            <w:r w:rsidRPr="00C54FBD">
              <w:rPr>
                <w:rFonts w:ascii="Arial" w:eastAsia="Calibri" w:hAnsi="Arial" w:cs="Arial"/>
                <w:bCs/>
                <w:lang w:val="es-MX" w:eastAsia="es-ES_tradnl"/>
              </w:rPr>
              <w:t>OBLIGACIÓN ALIMENTARIA – Definición</w:t>
            </w:r>
            <w:r>
              <w:rPr>
                <w:rFonts w:ascii="Arial" w:eastAsia="Calibri" w:hAnsi="Arial" w:cs="Arial"/>
                <w:bCs/>
                <w:lang w:val="es-MX" w:eastAsia="es-ES_tradnl"/>
              </w:rPr>
              <w:t xml:space="preserve"> / </w:t>
            </w:r>
            <w:r w:rsidRPr="00C54FBD">
              <w:rPr>
                <w:rFonts w:ascii="Arial" w:eastAsia="Calibri" w:hAnsi="Arial" w:cs="Arial"/>
                <w:bCs/>
                <w:lang w:val="es-MX" w:eastAsia="es-ES_tradnl"/>
              </w:rPr>
              <w:t>INHABILIDAD – REDAM – Ámbito de aplicación – Constitucionalidad</w:t>
            </w:r>
            <w:r>
              <w:rPr>
                <w:rFonts w:ascii="Arial" w:eastAsia="Calibri" w:hAnsi="Arial" w:cs="Arial"/>
                <w:bCs/>
                <w:lang w:val="es-MX" w:eastAsia="es-ES_tradnl"/>
              </w:rPr>
              <w:t xml:space="preserve"> / </w:t>
            </w:r>
            <w:r w:rsidRPr="00C54FBD">
              <w:rPr>
                <w:rFonts w:ascii="Arial" w:eastAsia="Calibri" w:hAnsi="Arial" w:cs="Arial"/>
                <w:bCs/>
                <w:lang w:val="es-MX" w:eastAsia="es-ES_tradnl"/>
              </w:rPr>
              <w:t xml:space="preserve">REDAM – </w:t>
            </w:r>
            <w:r>
              <w:rPr>
                <w:rFonts w:ascii="Arial" w:eastAsia="Calibri" w:hAnsi="Arial" w:cs="Arial"/>
                <w:bCs/>
                <w:lang w:val="es-MX" w:eastAsia="es-ES_tradnl"/>
              </w:rPr>
              <w:t>Personas obligadas – Representante legales – Personas jurídicas/</w:t>
            </w:r>
          </w:p>
          <w:p w14:paraId="06CACC2C" w14:textId="77777777" w:rsidR="004F4C46" w:rsidRDefault="004F4C46" w:rsidP="00261E57">
            <w:pPr>
              <w:spacing w:after="120"/>
              <w:contextualSpacing/>
              <w:jc w:val="both"/>
              <w:rPr>
                <w:rFonts w:ascii="Arial" w:eastAsia="Calibri" w:hAnsi="Arial" w:cs="Arial"/>
                <w:bCs/>
                <w:sz w:val="12"/>
                <w:szCs w:val="12"/>
                <w:lang w:val="es-MX" w:eastAsia="es-ES_tradnl"/>
              </w:rPr>
            </w:pPr>
          </w:p>
          <w:p w14:paraId="2D075A6D" w14:textId="77777777" w:rsidR="004F4C46" w:rsidRPr="0006291B" w:rsidRDefault="004F4C46" w:rsidP="00261E57">
            <w:pPr>
              <w:spacing w:after="120"/>
              <w:contextualSpacing/>
              <w:jc w:val="both"/>
              <w:rPr>
                <w:rFonts w:ascii="Arial" w:eastAsia="Calibri" w:hAnsi="Arial" w:cs="Arial"/>
                <w:bCs/>
                <w:sz w:val="12"/>
                <w:szCs w:val="12"/>
                <w:lang w:val="es-ES_tradnl" w:eastAsia="es-ES_tradnl"/>
              </w:rPr>
            </w:pPr>
          </w:p>
        </w:tc>
      </w:tr>
      <w:tr w:rsidR="004F4C46" w:rsidRPr="00C046D8" w14:paraId="166DDDD5" w14:textId="77777777" w:rsidTr="00261E57">
        <w:trPr>
          <w:trHeight w:val="227"/>
        </w:trPr>
        <w:tc>
          <w:tcPr>
            <w:tcW w:w="2689" w:type="dxa"/>
          </w:tcPr>
          <w:p w14:paraId="3334ED8C" w14:textId="77777777" w:rsidR="004F4C46" w:rsidRPr="00C046D8" w:rsidRDefault="004F4C46" w:rsidP="00261E57">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lastRenderedPageBreak/>
              <w:t>Radicación:</w:t>
            </w:r>
            <w:r w:rsidRPr="00C046D8">
              <w:rPr>
                <w:rFonts w:ascii="Arial" w:eastAsia="Calibri" w:hAnsi="Arial" w:cs="Arial"/>
                <w:lang w:val="es-ES_tradnl" w:eastAsia="es-ES_tradnl"/>
              </w:rPr>
              <w:t xml:space="preserve">                             </w:t>
            </w:r>
          </w:p>
        </w:tc>
        <w:tc>
          <w:tcPr>
            <w:tcW w:w="6237" w:type="dxa"/>
          </w:tcPr>
          <w:p w14:paraId="1089EDA0" w14:textId="77777777" w:rsidR="004F4C46" w:rsidRPr="00C046D8" w:rsidRDefault="004F4C46" w:rsidP="00261E57">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E63B39">
              <w:rPr>
                <w:rFonts w:ascii="Arial" w:eastAsia="Calibri" w:hAnsi="Arial" w:cs="Arial"/>
                <w:lang w:val="es-ES_tradnl" w:eastAsia="es-ES_tradnl"/>
              </w:rPr>
              <w:t>P20231121017066</w:t>
            </w:r>
          </w:p>
        </w:tc>
      </w:tr>
    </w:tbl>
    <w:p w14:paraId="0FE3EB88" w14:textId="77777777" w:rsidR="004F4C46" w:rsidRPr="00C046D8" w:rsidRDefault="004F4C46" w:rsidP="004F4C46">
      <w:pPr>
        <w:contextualSpacing/>
        <w:jc w:val="both"/>
        <w:rPr>
          <w:rFonts w:ascii="Arial" w:eastAsia="Calibri" w:hAnsi="Arial" w:cs="Arial"/>
          <w:lang w:val="es-ES_tradnl" w:eastAsia="es-ES_tradnl"/>
        </w:rPr>
      </w:pPr>
    </w:p>
    <w:p w14:paraId="35CF67E5" w14:textId="77777777" w:rsidR="004F4C46" w:rsidRPr="00C046D8" w:rsidRDefault="004F4C46" w:rsidP="004F4C46">
      <w:pPr>
        <w:contextualSpacing/>
        <w:jc w:val="both"/>
        <w:rPr>
          <w:rFonts w:ascii="Arial" w:eastAsia="Calibri" w:hAnsi="Arial" w:cs="Arial"/>
          <w:lang w:val="es-ES_tradnl" w:eastAsia="es-ES_tradnl"/>
        </w:rPr>
      </w:pPr>
    </w:p>
    <w:p w14:paraId="70D18B76" w14:textId="77777777" w:rsidR="004F4C46" w:rsidRPr="00C046D8" w:rsidRDefault="004F4C46" w:rsidP="004F4C46">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señor </w:t>
      </w:r>
      <w:r>
        <w:rPr>
          <w:rFonts w:ascii="Arial" w:eastAsia="Calibri" w:hAnsi="Arial" w:cs="Arial"/>
          <w:lang w:val="es-ES" w:eastAsia="es-ES"/>
        </w:rPr>
        <w:t>Bustos</w:t>
      </w:r>
      <w:r w:rsidRPr="293D6149">
        <w:rPr>
          <w:rFonts w:ascii="Arial" w:eastAsia="Calibri" w:hAnsi="Arial" w:cs="Arial"/>
          <w:lang w:val="es-ES" w:eastAsia="es-ES"/>
        </w:rPr>
        <w:t>:</w:t>
      </w:r>
    </w:p>
    <w:p w14:paraId="31E034D0" w14:textId="77777777" w:rsidR="004F4C46" w:rsidRPr="00C046D8" w:rsidRDefault="004F4C46" w:rsidP="004F4C46">
      <w:pPr>
        <w:spacing w:line="276" w:lineRule="auto"/>
        <w:contextualSpacing/>
        <w:jc w:val="both"/>
        <w:rPr>
          <w:rFonts w:ascii="Arial" w:eastAsia="Calibri" w:hAnsi="Arial" w:cs="Arial"/>
          <w:szCs w:val="24"/>
          <w:lang w:val="es-ES_tradnl" w:eastAsia="es-ES_tradnl"/>
        </w:rPr>
      </w:pPr>
    </w:p>
    <w:p w14:paraId="0156EEA7" w14:textId="77777777" w:rsidR="004F4C46" w:rsidRPr="00504597" w:rsidRDefault="004F4C46" w:rsidP="004F4C46">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21 de noviembre de 2023</w:t>
      </w:r>
      <w:r w:rsidRPr="00504597">
        <w:rPr>
          <w:rFonts w:ascii="Arial" w:eastAsia="Calibri" w:hAnsi="Arial" w:cs="Arial"/>
          <w:color w:val="000000" w:themeColor="text1"/>
          <w:lang w:val="es-ES_tradnl"/>
        </w:rPr>
        <w:t>.</w:t>
      </w:r>
    </w:p>
    <w:p w14:paraId="7F0E1D09" w14:textId="77777777" w:rsidR="004F4C46" w:rsidRPr="00504597" w:rsidRDefault="004F4C46" w:rsidP="004F4C46">
      <w:pPr>
        <w:spacing w:after="0" w:line="276" w:lineRule="auto"/>
        <w:jc w:val="both"/>
        <w:rPr>
          <w:rFonts w:ascii="Arial" w:eastAsia="Calibri" w:hAnsi="Arial" w:cs="Arial"/>
          <w:b/>
          <w:color w:val="000000" w:themeColor="text1"/>
          <w:lang w:val="es-ES_tradnl"/>
        </w:rPr>
      </w:pPr>
    </w:p>
    <w:p w14:paraId="5B7CCE17" w14:textId="77777777" w:rsidR="004F4C46" w:rsidRPr="00504597" w:rsidRDefault="004F4C46" w:rsidP="004F4C46">
      <w:pPr>
        <w:pStyle w:val="Prrafodelista"/>
        <w:numPr>
          <w:ilvl w:val="0"/>
          <w:numId w:val="1"/>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5DFB3C6B" w14:textId="77777777" w:rsidR="004F4C46" w:rsidRPr="00504597" w:rsidRDefault="004F4C46" w:rsidP="004F4C46">
      <w:pPr>
        <w:tabs>
          <w:tab w:val="left" w:pos="426"/>
        </w:tabs>
        <w:spacing w:after="0" w:line="276" w:lineRule="auto"/>
        <w:jc w:val="both"/>
        <w:rPr>
          <w:rFonts w:ascii="Arial" w:eastAsia="Calibri" w:hAnsi="Arial" w:cs="Arial"/>
          <w:b/>
          <w:color w:val="000000" w:themeColor="text1"/>
          <w:lang w:val="es-ES_tradnl"/>
        </w:rPr>
      </w:pPr>
    </w:p>
    <w:p w14:paraId="0A49BC93" w14:textId="77777777" w:rsidR="004F4C46" w:rsidRDefault="004F4C46" w:rsidP="004F4C46">
      <w:pPr>
        <w:spacing w:after="0" w:line="276" w:lineRule="auto"/>
        <w:jc w:val="both"/>
        <w:rPr>
          <w:rFonts w:ascii="Arial" w:hAnsi="Arial" w:cs="Arial"/>
          <w:color w:val="000000" w:themeColor="text1"/>
          <w:lang w:val="es-ES_tradnl"/>
        </w:rPr>
      </w:pPr>
      <w:bookmarkStart w:id="4" w:name="_Hlk132033606"/>
      <w:r>
        <w:rPr>
          <w:rFonts w:ascii="Arial" w:hAnsi="Arial" w:cs="Arial"/>
          <w:color w:val="000000" w:themeColor="text1"/>
          <w:lang w:val="es-ES_tradnl"/>
        </w:rPr>
        <w:t>Respecto al alcance del numeral 1 del artículo 6 de la Ley 2097 de 2021, que regula el  Registro de Deudores Alimentarios Morosos</w:t>
      </w:r>
      <w:bookmarkEnd w:id="4"/>
      <w:r>
        <w:rPr>
          <w:rFonts w:ascii="Arial" w:hAnsi="Arial" w:cs="Arial"/>
          <w:color w:val="000000" w:themeColor="text1"/>
          <w:lang w:val="es-ES_tradnl"/>
        </w:rPr>
        <w:t>, usted realiza las siguientes preguntas:</w:t>
      </w:r>
    </w:p>
    <w:p w14:paraId="49D415DD" w14:textId="77777777" w:rsidR="004F4C46" w:rsidRDefault="004F4C46" w:rsidP="004F4C46">
      <w:pPr>
        <w:pStyle w:val="NormalWeb"/>
        <w:spacing w:before="240"/>
        <w:ind w:left="709" w:right="709"/>
        <w:jc w:val="both"/>
        <w:rPr>
          <w:rFonts w:ascii="Arial" w:hAnsi="Arial" w:cs="Arial"/>
          <w:sz w:val="21"/>
          <w:szCs w:val="21"/>
        </w:rPr>
      </w:pPr>
      <w:r w:rsidRPr="009A3A7D">
        <w:rPr>
          <w:rFonts w:ascii="Arial" w:hAnsi="Arial" w:cs="Arial"/>
          <w:color w:val="000000"/>
          <w:sz w:val="21"/>
          <w:szCs w:val="21"/>
        </w:rPr>
        <w:t xml:space="preserve">¿Cuál es el alcance del segundo párrafo del numeral 1 del artículo 6 de la Ley 2097 de 2021 cuando indica </w:t>
      </w:r>
      <w:r w:rsidRPr="009A3A7D">
        <w:rPr>
          <w:rFonts w:ascii="Arial" w:hAnsi="Arial" w:cs="Arial"/>
          <w:i/>
          <w:iCs/>
          <w:color w:val="000000"/>
          <w:sz w:val="21"/>
          <w:szCs w:val="21"/>
        </w:rPr>
        <w:t>“(…) Esta inhabilidad también se predica del deudor alimentario moroso que actúe como representante legal de la persona jurídica que aspira a contratar con el Estado? (…)”?</w:t>
      </w:r>
      <w:r w:rsidRPr="009A3A7D">
        <w:rPr>
          <w:rFonts w:ascii="Arial" w:hAnsi="Arial" w:cs="Arial"/>
          <w:i/>
          <w:iCs/>
          <w:color w:val="000000"/>
          <w:sz w:val="21"/>
          <w:szCs w:val="21"/>
        </w:rPr>
        <w:br/>
      </w:r>
      <w:r w:rsidRPr="009A3A7D">
        <w:rPr>
          <w:rFonts w:ascii="Arial" w:hAnsi="Arial" w:cs="Arial"/>
          <w:i/>
          <w:iCs/>
          <w:color w:val="000000"/>
          <w:sz w:val="21"/>
          <w:szCs w:val="21"/>
        </w:rPr>
        <w:br/>
      </w:r>
      <w:r w:rsidRPr="009A3A7D">
        <w:rPr>
          <w:rFonts w:ascii="Arial" w:hAnsi="Arial" w:cs="Arial"/>
          <w:color w:val="000000"/>
          <w:sz w:val="21"/>
          <w:szCs w:val="21"/>
        </w:rPr>
        <w:t>¿Qué pasa si el representante legal de una persona jurídica aparece inscripción en el Registro de Deudores Alimentarios Morosos -REDAM? ¿La Persona Jurídica queda inhabilitada también?  </w:t>
      </w:r>
    </w:p>
    <w:p w14:paraId="68579D8B" w14:textId="77777777" w:rsidR="004F4C46" w:rsidRPr="009A3A7D" w:rsidRDefault="004F4C46" w:rsidP="004F4C46">
      <w:pPr>
        <w:pStyle w:val="NormalWeb"/>
        <w:spacing w:before="240"/>
        <w:ind w:left="709" w:right="709"/>
        <w:jc w:val="both"/>
        <w:rPr>
          <w:rFonts w:ascii="Arial" w:hAnsi="Arial" w:cs="Arial"/>
          <w:sz w:val="21"/>
          <w:szCs w:val="21"/>
        </w:rPr>
      </w:pPr>
      <w:r w:rsidRPr="009A3A7D">
        <w:rPr>
          <w:rFonts w:ascii="Arial" w:hAnsi="Arial" w:cs="Arial"/>
          <w:color w:val="000000"/>
          <w:sz w:val="21"/>
          <w:szCs w:val="21"/>
          <w:lang w:val="es-ES"/>
        </w:rPr>
        <w:t>¿Qué pasa si la Persona Jurídica nombra un representante legal suplente que no está registrado el Registro de Deudor</w:t>
      </w:r>
      <w:r>
        <w:rPr>
          <w:rFonts w:ascii="Arial" w:hAnsi="Arial" w:cs="Arial"/>
          <w:color w:val="000000"/>
          <w:sz w:val="21"/>
          <w:szCs w:val="21"/>
          <w:lang w:val="es-ES"/>
        </w:rPr>
        <w:t xml:space="preserve">es Alimentarios Morosos -REDAM?”. </w:t>
      </w:r>
    </w:p>
    <w:p w14:paraId="0443CAAC" w14:textId="77777777" w:rsidR="004F4C46" w:rsidRPr="00975B52" w:rsidRDefault="004F4C46" w:rsidP="004F4C46">
      <w:pPr>
        <w:spacing w:after="0" w:line="240" w:lineRule="auto"/>
        <w:ind w:left="709" w:right="709"/>
        <w:jc w:val="both"/>
        <w:rPr>
          <w:rFonts w:ascii="Arial" w:hAnsi="Arial" w:cs="Arial"/>
          <w:color w:val="000000" w:themeColor="text1"/>
          <w:lang w:val="es-ES_tradnl"/>
        </w:rPr>
      </w:pPr>
    </w:p>
    <w:p w14:paraId="37C2CE8C" w14:textId="77777777" w:rsidR="004F4C46" w:rsidRPr="00466C39" w:rsidRDefault="004F4C46" w:rsidP="004F4C46">
      <w:pPr>
        <w:spacing w:after="0" w:line="276" w:lineRule="auto"/>
        <w:ind w:right="709"/>
        <w:jc w:val="both"/>
        <w:rPr>
          <w:rFonts w:ascii="Arial" w:hAnsi="Arial" w:cs="Arial"/>
          <w:color w:val="000000" w:themeColor="text1"/>
        </w:rPr>
      </w:pPr>
    </w:p>
    <w:p w14:paraId="477AB530" w14:textId="77777777" w:rsidR="004F4C46" w:rsidRPr="00504597" w:rsidRDefault="004F4C46" w:rsidP="004F4C46">
      <w:pPr>
        <w:pStyle w:val="Prrafodelista"/>
        <w:numPr>
          <w:ilvl w:val="0"/>
          <w:numId w:val="1"/>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4985D498" w14:textId="77777777" w:rsidR="004F4C46" w:rsidRPr="00504597" w:rsidRDefault="004F4C46" w:rsidP="004F4C46">
      <w:pPr>
        <w:spacing w:after="0" w:line="276" w:lineRule="auto"/>
        <w:jc w:val="both"/>
        <w:rPr>
          <w:rFonts w:ascii="Arial" w:eastAsia="Calibri" w:hAnsi="Arial" w:cs="Arial"/>
          <w:color w:val="000000" w:themeColor="text1"/>
          <w:lang w:val="es-ES"/>
        </w:rPr>
      </w:pPr>
    </w:p>
    <w:p w14:paraId="2E39A31C" w14:textId="77777777" w:rsidR="004F4C46" w:rsidRPr="00202377" w:rsidRDefault="004F4C46" w:rsidP="004F4C46">
      <w:pPr>
        <w:spacing w:after="120" w:line="276" w:lineRule="auto"/>
        <w:ind w:right="49"/>
        <w:jc w:val="both"/>
        <w:rPr>
          <w:rFonts w:ascii="Arial" w:eastAsia="Calibri" w:hAnsi="Arial" w:cs="Arial"/>
          <w:lang w:val="es-ES_tradnl" w:eastAsia="es-ES_tradnl"/>
        </w:rPr>
      </w:pPr>
      <w:r w:rsidRPr="00202377">
        <w:rPr>
          <w:rFonts w:ascii="Arial" w:eastAsia="Calibri" w:hAnsi="Arial" w:cs="Arial"/>
          <w:lang w:val="es-ES_tradnl" w:eastAsia="es-ES_tradnl"/>
        </w:rPr>
        <w:t>Teniendo en cuenta las competencias establecidas en los artículos 3, numeral 5° y 11, numeral 8° del Decreto 4170 de 2011, esta Agencia resuelve las consultas sobre los asuntos de su competencia, esto es, sobre las temáticas de la contratación estatal y compras públicas relacionadas en los artículos citados. Es necesario señalar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7433457B" w14:textId="77777777" w:rsidR="004F4C46" w:rsidRDefault="004F4C46" w:rsidP="004F4C46">
      <w:pPr>
        <w:tabs>
          <w:tab w:val="left" w:pos="426"/>
        </w:tabs>
        <w:spacing w:after="120" w:line="276" w:lineRule="auto"/>
        <w:ind w:right="49" w:firstLine="567"/>
        <w:jc w:val="both"/>
        <w:rPr>
          <w:rFonts w:ascii="Arial" w:eastAsia="Calibri" w:hAnsi="Arial" w:cs="Arial"/>
          <w:color w:val="000000" w:themeColor="text1"/>
          <w:lang w:val="es-ES" w:eastAsia="es-MX"/>
        </w:rPr>
      </w:pPr>
      <w:r w:rsidRPr="00202377">
        <w:rPr>
          <w:rFonts w:ascii="Arial" w:eastAsia="Calibri" w:hAnsi="Arial" w:cs="Arial"/>
          <w:lang w:val="es-ES_tradnl" w:eastAsia="es-ES_tradnl"/>
        </w:rPr>
        <w:t xml:space="preserve">La competencia de esta entidad se fija con límites claros, con el objeto de evitar que la Agencia actúe como una instancia de validación de las actuaciones de las entidades </w:t>
      </w:r>
      <w:r w:rsidRPr="00202377">
        <w:rPr>
          <w:rFonts w:ascii="Arial" w:eastAsia="Calibri" w:hAnsi="Arial" w:cs="Arial"/>
          <w:lang w:val="es-ES_tradnl" w:eastAsia="es-ES_tradnl"/>
        </w:rPr>
        <w:lastRenderedPageBreak/>
        <w:t>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w:t>
      </w:r>
      <w:r>
        <w:rPr>
          <w:rFonts w:ascii="Arial" w:eastAsia="Calibri" w:hAnsi="Arial" w:cs="Arial"/>
          <w:lang w:val="es-ES_tradnl" w:eastAsia="es-ES_tradnl"/>
        </w:rPr>
        <w:t xml:space="preserve"> tal como la señalada en la pregunta 3, sobre la posibilidad de nombrar a representante legal suplente que no está reportado en el REDAM,</w:t>
      </w:r>
      <w:r w:rsidRPr="00202377">
        <w:rPr>
          <w:rFonts w:ascii="Arial" w:eastAsia="Calibri" w:hAnsi="Arial" w:cs="Arial"/>
          <w:lang w:val="es-ES_tradnl" w:eastAsia="es-ES_tradnl"/>
        </w:rPr>
        <w:t xml:space="preserve">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202377">
        <w:rPr>
          <w:rFonts w:ascii="Arial" w:eastAsia="Calibri" w:hAnsi="Arial" w:cs="Arial"/>
          <w:bCs/>
          <w:lang w:eastAsia="es-MX"/>
        </w:rPr>
        <w:t>que adelanta el procedimiento de selección y, en caso de conflicto, a las autoridades judiciales, fiscales y disciplinarias. En consideración a lo anterior</w:t>
      </w:r>
      <w:r w:rsidRPr="00202377">
        <w:rPr>
          <w:rFonts w:ascii="Arial" w:eastAsia="Calibri" w:hAnsi="Arial" w:cs="Arial"/>
          <w:color w:val="000000" w:themeColor="text1"/>
          <w:lang w:val="es-ES" w:eastAsia="es-MX"/>
        </w:rPr>
        <w:t>, la Subdirección, dentro de los límites de sus atribuciones, resolverá la consulta conforme a las normas generales en materia de contratación estatal.</w:t>
      </w:r>
    </w:p>
    <w:p w14:paraId="6DFD777E" w14:textId="77777777" w:rsidR="004F4C46" w:rsidRPr="009A3A7D" w:rsidRDefault="004F4C46" w:rsidP="004F4C46">
      <w:pPr>
        <w:tabs>
          <w:tab w:val="left" w:pos="426"/>
        </w:tabs>
        <w:spacing w:after="120" w:line="276" w:lineRule="auto"/>
        <w:ind w:right="49" w:firstLine="567"/>
        <w:jc w:val="both"/>
        <w:rPr>
          <w:rFonts w:ascii="Arial" w:eastAsia="Calibri" w:hAnsi="Arial" w:cs="Arial"/>
          <w:color w:val="000000" w:themeColor="text1"/>
          <w:lang w:val="es-ES" w:eastAsia="es-MX"/>
        </w:rPr>
      </w:pPr>
      <w:r w:rsidRPr="00504597">
        <w:rPr>
          <w:rFonts w:ascii="Arial" w:eastAsia="Calibri" w:hAnsi="Arial" w:cs="Arial"/>
          <w:color w:val="000000" w:themeColor="text1"/>
        </w:rPr>
        <w:t xml:space="preserve">Para responder </w:t>
      </w:r>
      <w:r>
        <w:rPr>
          <w:rFonts w:ascii="Arial" w:eastAsia="Calibri" w:hAnsi="Arial" w:cs="Arial"/>
          <w:color w:val="000000" w:themeColor="text1"/>
        </w:rPr>
        <w:t>los problemas planteados,</w:t>
      </w:r>
      <w:r w:rsidRPr="00504597">
        <w:rPr>
          <w:rFonts w:ascii="Arial" w:eastAsia="Calibri" w:hAnsi="Arial" w:cs="Arial"/>
          <w:color w:val="000000" w:themeColor="text1"/>
        </w:rPr>
        <w:t xml:space="preserve"> </w:t>
      </w:r>
      <w:r w:rsidRPr="00504597">
        <w:rPr>
          <w:rFonts w:ascii="Arial" w:eastAsia="Calibri" w:hAnsi="Arial" w:cs="Arial"/>
          <w:color w:val="000000" w:themeColor="text1"/>
          <w:lang w:val="es-ES"/>
        </w:rPr>
        <w:t xml:space="preserve">se </w:t>
      </w:r>
      <w:r>
        <w:rPr>
          <w:rFonts w:ascii="Arial" w:eastAsia="Calibri" w:hAnsi="Arial" w:cs="Arial"/>
          <w:color w:val="000000" w:themeColor="text1"/>
          <w:lang w:val="es-ES"/>
        </w:rPr>
        <w:t>abordarán</w:t>
      </w:r>
      <w:r w:rsidRPr="00504597">
        <w:rPr>
          <w:rFonts w:ascii="Arial" w:eastAsia="Calibri" w:hAnsi="Arial" w:cs="Arial"/>
          <w:color w:val="000000" w:themeColor="text1"/>
          <w:lang w:val="es-ES"/>
        </w:rPr>
        <w:t xml:space="preserve"> los siguientes temas</w:t>
      </w:r>
      <w:r w:rsidRPr="00504597">
        <w:rPr>
          <w:rFonts w:ascii="Arial" w:hAnsi="Arial" w:cs="Arial"/>
          <w:color w:val="000000" w:themeColor="text1"/>
          <w:lang w:val="es-ES"/>
        </w:rPr>
        <w:t xml:space="preserve">: </w:t>
      </w:r>
      <w:r w:rsidRPr="00C461A7">
        <w:rPr>
          <w:rFonts w:ascii="Arial" w:hAnsi="Arial" w:cs="Arial"/>
          <w:color w:val="000000" w:themeColor="text1"/>
          <w:lang w:val="es-ES"/>
        </w:rPr>
        <w:t xml:space="preserve">i) régimen de inhabilidades e incompatibilidades para contratar con el Estado, ii) límites de la capacidad contractual en relación con la reserva de ley y la interpretación restrictiva de estas disposiciones, y ii) </w:t>
      </w:r>
      <w:bookmarkStart w:id="5" w:name="_Hlk73971018"/>
      <w:bookmarkStart w:id="6" w:name="_Hlk132011841"/>
      <w:r w:rsidRPr="00C461A7">
        <w:rPr>
          <w:rFonts w:ascii="Arial" w:hAnsi="Arial" w:cs="Arial"/>
          <w:color w:val="000000" w:themeColor="text1"/>
          <w:lang w:val="es-ES"/>
        </w:rPr>
        <w:t xml:space="preserve">alcance </w:t>
      </w:r>
      <w:bookmarkEnd w:id="5"/>
      <w:r>
        <w:rPr>
          <w:rFonts w:ascii="Arial" w:hAnsi="Arial" w:cs="Arial"/>
          <w:color w:val="000000" w:themeColor="text1"/>
          <w:lang w:val="es-ES"/>
        </w:rPr>
        <w:t>de la restricción prevista en el artículo 6.1 de la Ley 2097 de 2021, reglamentada por el Decreto 1310 de 2022</w:t>
      </w:r>
      <w:bookmarkEnd w:id="6"/>
      <w:r w:rsidRPr="00C461A7">
        <w:rPr>
          <w:rFonts w:ascii="Arial" w:hAnsi="Arial" w:cs="Arial"/>
          <w:color w:val="000000" w:themeColor="text1"/>
          <w:lang w:val="es-MX"/>
        </w:rPr>
        <w:t>.</w:t>
      </w:r>
      <w:r w:rsidRPr="00C461A7">
        <w:rPr>
          <w:rFonts w:ascii="Arial" w:hAnsi="Arial" w:cs="Arial"/>
          <w:color w:val="000000" w:themeColor="text1"/>
          <w:lang w:val="es-ES"/>
        </w:rPr>
        <w:t xml:space="preserve"> </w:t>
      </w:r>
    </w:p>
    <w:p w14:paraId="2FDE07B3" w14:textId="77777777" w:rsidR="004F4C46" w:rsidRDefault="004F4C46" w:rsidP="004F4C46">
      <w:pPr>
        <w:spacing w:before="120" w:after="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w:t>
      </w:r>
      <w:r>
        <w:rPr>
          <w:rFonts w:ascii="Arial" w:eastAsia="Calibri" w:hAnsi="Arial" w:cs="Arial"/>
          <w:color w:val="000000" w:themeColor="text1"/>
          <w:lang w:val="es-ES"/>
        </w:rPr>
        <w:t xml:space="preserve"> </w:t>
      </w:r>
      <w:r w:rsidRPr="00DE7E6D">
        <w:rPr>
          <w:rFonts w:ascii="Arial" w:eastAsia="Calibri" w:hAnsi="Arial" w:cs="Arial"/>
          <w:color w:val="000000" w:themeColor="text1"/>
          <w:lang w:val="es-MX"/>
        </w:rPr>
        <w:t>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w:t>
      </w:r>
      <w:r>
        <w:rPr>
          <w:rFonts w:ascii="Arial" w:eastAsia="Calibri" w:hAnsi="Arial" w:cs="Arial"/>
          <w:color w:val="000000" w:themeColor="text1"/>
          <w:lang w:val="es-MX"/>
        </w:rPr>
        <w:t xml:space="preserve">, </w:t>
      </w:r>
      <w:r w:rsidRPr="00CC107C">
        <w:rPr>
          <w:rFonts w:ascii="Arial" w:eastAsia="Calibri" w:hAnsi="Arial" w:cs="Arial"/>
          <w:color w:val="000000" w:themeColor="text1"/>
          <w:lang w:val="es-ES_tradnl"/>
        </w:rPr>
        <w:t>C</w:t>
      </w:r>
      <w:r>
        <w:rPr>
          <w:rFonts w:ascii="Arial" w:eastAsia="Calibri" w:hAnsi="Arial" w:cs="Arial"/>
          <w:color w:val="000000" w:themeColor="text1"/>
          <w:lang w:val="es-ES_tradnl"/>
        </w:rPr>
        <w:t>-</w:t>
      </w:r>
      <w:r w:rsidRPr="00CC107C">
        <w:rPr>
          <w:rFonts w:ascii="Arial" w:eastAsia="Calibri" w:hAnsi="Arial" w:cs="Arial"/>
          <w:color w:val="000000" w:themeColor="text1"/>
          <w:lang w:val="es-ES_tradnl"/>
        </w:rPr>
        <w:t>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_tradnl"/>
        </w:rPr>
        <w:t>C-491 del 14 de septiembre de 2021</w:t>
      </w:r>
      <w:r>
        <w:rPr>
          <w:rFonts w:ascii="Arial" w:eastAsia="Calibri" w:hAnsi="Arial" w:cs="Arial"/>
          <w:color w:val="000000" w:themeColor="text1"/>
          <w:lang w:val="es-ES_tradnl"/>
        </w:rPr>
        <w:t xml:space="preserve">, </w:t>
      </w:r>
      <w:r w:rsidRPr="00CC107C">
        <w:rPr>
          <w:rFonts w:ascii="Arial" w:eastAsia="Calibri" w:hAnsi="Arial" w:cs="Arial"/>
          <w:color w:val="000000" w:themeColor="text1"/>
          <w:lang w:val="es-ES"/>
        </w:rPr>
        <w:t>C-028 del 28 de febrero de 2022</w:t>
      </w:r>
      <w:r>
        <w:rPr>
          <w:rFonts w:ascii="Arial" w:eastAsia="Calibri" w:hAnsi="Arial" w:cs="Arial"/>
          <w:color w:val="000000" w:themeColor="text1"/>
          <w:lang w:val="es-ES"/>
        </w:rPr>
        <w:t>, C-318 del 18 de mayo de 2022 y</w:t>
      </w:r>
      <w:r w:rsidRPr="00CC107C">
        <w:rPr>
          <w:rFonts w:ascii="Arial" w:eastAsia="Calibri" w:hAnsi="Arial" w:cs="Arial"/>
          <w:color w:val="000000" w:themeColor="text1"/>
          <w:lang w:val="es-ES"/>
        </w:rPr>
        <w:t xml:space="preserve"> C-252 del 30 de mayo de 2022</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analizó </w:t>
      </w:r>
      <w:r>
        <w:rPr>
          <w:rFonts w:ascii="Arial" w:eastAsia="Calibri" w:hAnsi="Arial" w:cs="Arial"/>
          <w:color w:val="000000" w:themeColor="text1"/>
          <w:lang w:val="es-ES"/>
        </w:rPr>
        <w:t xml:space="preserve">los contornos generales del régimen de inhabilidades e incompatibilidades en la contratación estatal y en concepto C-126 de 24 de abril de 2023 se pronunció sobre el alcance del numeral 6.1. de la ley 2097 </w:t>
      </w:r>
      <w:r>
        <w:rPr>
          <w:rFonts w:ascii="Arial" w:eastAsia="Calibri" w:hAnsi="Arial" w:cs="Arial"/>
          <w:color w:val="000000" w:themeColor="text1"/>
          <w:lang w:val="es-ES"/>
        </w:rPr>
        <w:lastRenderedPageBreak/>
        <w:t>de 2021</w:t>
      </w:r>
      <w:r w:rsidRPr="00781AC2">
        <w:rPr>
          <w:rStyle w:val="Refdenotaalpie"/>
          <w:rFonts w:ascii="Arial" w:eastAsia="Calibri" w:hAnsi="Arial" w:cs="Arial"/>
        </w:rPr>
        <w:footnoteReference w:id="1"/>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73DA194B" w14:textId="77777777" w:rsidR="004F4C46" w:rsidRDefault="004F4C46" w:rsidP="004F4C46">
      <w:pPr>
        <w:pStyle w:val="Sinespaciado"/>
        <w:widowControl w:val="0"/>
        <w:autoSpaceDE w:val="0"/>
        <w:autoSpaceDN w:val="0"/>
        <w:spacing w:line="276" w:lineRule="auto"/>
        <w:jc w:val="both"/>
        <w:rPr>
          <w:rFonts w:ascii="Arial" w:hAnsi="Arial" w:cs="Arial"/>
          <w:b/>
          <w:sz w:val="22"/>
        </w:rPr>
      </w:pPr>
      <w:r>
        <w:rPr>
          <w:rFonts w:ascii="Arial" w:hAnsi="Arial" w:cs="Arial"/>
          <w:b/>
          <w:sz w:val="22"/>
        </w:rPr>
        <w:t xml:space="preserve">  </w:t>
      </w:r>
    </w:p>
    <w:p w14:paraId="11094617" w14:textId="77777777" w:rsidR="004F4C46" w:rsidRPr="003953CA" w:rsidRDefault="004F4C46" w:rsidP="004F4C46">
      <w:pPr>
        <w:pStyle w:val="Sinespaciado"/>
        <w:widowControl w:val="0"/>
        <w:autoSpaceDE w:val="0"/>
        <w:autoSpaceDN w:val="0"/>
        <w:spacing w:line="276" w:lineRule="auto"/>
        <w:jc w:val="both"/>
        <w:rPr>
          <w:rFonts w:ascii="Arial" w:hAnsi="Arial" w:cs="Arial"/>
          <w:b/>
          <w:sz w:val="22"/>
        </w:rPr>
      </w:pPr>
      <w:r w:rsidRPr="003953CA">
        <w:rPr>
          <w:rFonts w:ascii="Arial" w:hAnsi="Arial" w:cs="Arial"/>
          <w:b/>
          <w:sz w:val="22"/>
        </w:rPr>
        <w:t xml:space="preserve">2.1. </w:t>
      </w:r>
      <w:bookmarkStart w:id="7" w:name="_Hlk73970609"/>
      <w:r w:rsidRPr="003953CA">
        <w:rPr>
          <w:rFonts w:ascii="Arial" w:hAnsi="Arial" w:cs="Arial"/>
          <w:b/>
          <w:sz w:val="22"/>
        </w:rPr>
        <w:t xml:space="preserve">Régimen de inhabilidades e incompatibilidades para contratar con el Estado </w:t>
      </w:r>
      <w:bookmarkEnd w:id="7"/>
    </w:p>
    <w:p w14:paraId="2BD28CF0" w14:textId="77777777" w:rsidR="004F4C46" w:rsidRPr="003953CA" w:rsidRDefault="004F4C46" w:rsidP="004F4C46">
      <w:pPr>
        <w:pStyle w:val="Sinespaciado"/>
        <w:spacing w:line="276" w:lineRule="auto"/>
        <w:jc w:val="both"/>
        <w:rPr>
          <w:rFonts w:ascii="Arial" w:hAnsi="Arial" w:cs="Arial"/>
          <w:sz w:val="22"/>
        </w:rPr>
      </w:pPr>
    </w:p>
    <w:p w14:paraId="4775AFF3" w14:textId="77777777" w:rsidR="004F4C46" w:rsidRPr="003953CA" w:rsidRDefault="004F4C46" w:rsidP="004F4C46">
      <w:pPr>
        <w:pStyle w:val="Sinespaciado"/>
        <w:spacing w:after="120" w:line="276" w:lineRule="auto"/>
        <w:jc w:val="both"/>
        <w:rPr>
          <w:rFonts w:ascii="Arial" w:hAnsi="Arial" w:cs="Arial"/>
          <w:sz w:val="22"/>
        </w:rPr>
      </w:pPr>
      <w:r w:rsidRPr="003953CA">
        <w:rPr>
          <w:rFonts w:ascii="Arial" w:hAnsi="Arial"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8EBD22D" w14:textId="77777777" w:rsidR="004F4C46" w:rsidRDefault="004F4C46" w:rsidP="004F4C46">
      <w:pPr>
        <w:ind w:firstLine="709"/>
        <w:jc w:val="both"/>
        <w:rPr>
          <w:rFonts w:ascii="Arial" w:hAnsi="Arial" w:cs="Arial"/>
        </w:rPr>
      </w:pPr>
      <w:r w:rsidRPr="003953CA">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w:t>
      </w:r>
      <w:r>
        <w:rPr>
          <w:rFonts w:ascii="Arial" w:hAnsi="Arial" w:cs="Arial"/>
        </w:rPr>
        <w:t>“</w:t>
      </w:r>
      <w:r w:rsidRPr="003953CA">
        <w:rPr>
          <w:rFonts w:ascii="Arial" w:hAnsi="Arial" w:cs="Arial"/>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Arial" w:hAnsi="Arial" w:cs="Arial"/>
        </w:rPr>
        <w:t>”</w:t>
      </w:r>
      <w:r>
        <w:rPr>
          <w:rStyle w:val="Refdenotaalpie"/>
          <w:rFonts w:ascii="Arial" w:hAnsi="Arial" w:cs="Arial"/>
        </w:rPr>
        <w:footnoteReference w:id="2"/>
      </w:r>
      <w:r>
        <w:rPr>
          <w:rFonts w:ascii="Arial" w:hAnsi="Arial" w:cs="Arial"/>
        </w:rPr>
        <w:t>.</w:t>
      </w:r>
    </w:p>
    <w:p w14:paraId="59EAB41B" w14:textId="77777777" w:rsidR="004F4C46" w:rsidRPr="00B60131" w:rsidRDefault="004F4C46" w:rsidP="004F4C46">
      <w:pPr>
        <w:pStyle w:val="Sinespaciado"/>
        <w:spacing w:before="120" w:line="276" w:lineRule="auto"/>
        <w:ind w:firstLine="709"/>
        <w:jc w:val="both"/>
        <w:rPr>
          <w:rFonts w:ascii="Arial" w:hAnsi="Arial" w:cs="Arial"/>
          <w:sz w:val="22"/>
        </w:rPr>
      </w:pPr>
      <w:r w:rsidRPr="00B60131">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C0C4CA6" w14:textId="77777777" w:rsidR="004F4C46" w:rsidRPr="00B60131" w:rsidRDefault="004F4C46" w:rsidP="004F4C46">
      <w:pPr>
        <w:pStyle w:val="Sinespaciado"/>
        <w:spacing w:line="276" w:lineRule="auto"/>
        <w:jc w:val="both"/>
        <w:rPr>
          <w:rFonts w:ascii="Arial" w:hAnsi="Arial" w:cs="Arial"/>
          <w:sz w:val="22"/>
        </w:rPr>
      </w:pPr>
    </w:p>
    <w:p w14:paraId="1EE531CE" w14:textId="77777777" w:rsidR="004F4C46" w:rsidRDefault="004F4C46" w:rsidP="004F4C46">
      <w:pPr>
        <w:pStyle w:val="NormalWeb"/>
        <w:shd w:val="clear" w:color="auto" w:fill="FFFFFF"/>
        <w:spacing w:after="120"/>
        <w:ind w:left="709" w:right="709"/>
        <w:jc w:val="both"/>
        <w:rPr>
          <w:rFonts w:ascii="Arial" w:hAnsi="Arial" w:cs="Arial"/>
          <w:sz w:val="21"/>
          <w:szCs w:val="21"/>
          <w:lang w:val="es-ES"/>
        </w:rPr>
      </w:pPr>
      <w:r w:rsidRPr="00B60131">
        <w:rPr>
          <w:rFonts w:ascii="Arial" w:hAnsi="Arial"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59B479D6" w14:textId="77777777" w:rsidR="004F4C46" w:rsidRDefault="004F4C46" w:rsidP="004F4C46">
      <w:pPr>
        <w:pStyle w:val="NormalWeb"/>
        <w:shd w:val="clear" w:color="auto" w:fill="FFFFFF"/>
        <w:spacing w:after="0"/>
        <w:ind w:left="709" w:right="709"/>
        <w:jc w:val="both"/>
        <w:rPr>
          <w:rFonts w:ascii="Arial" w:hAnsi="Arial" w:cs="Arial"/>
          <w:sz w:val="21"/>
          <w:szCs w:val="21"/>
          <w:lang w:val="es-ES"/>
        </w:rPr>
      </w:pPr>
      <w:r w:rsidRPr="00B60131">
        <w:rPr>
          <w:rFonts w:ascii="Arial" w:hAnsi="Arial" w:cs="Arial"/>
          <w:sz w:val="21"/>
          <w:szCs w:val="21"/>
          <w:lang w:val="es-E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w:t>
      </w:r>
      <w:r w:rsidRPr="00B60131">
        <w:rPr>
          <w:rFonts w:ascii="Arial" w:hAnsi="Arial" w:cs="Arial"/>
          <w:sz w:val="21"/>
          <w:szCs w:val="21"/>
          <w:lang w:val="es-ES"/>
        </w:rPr>
        <w:lastRenderedPageBreak/>
        <w:t>Administrativa– se despliega ordenado con base en la protección</w:t>
      </w:r>
      <w:r w:rsidRPr="003953CA">
        <w:rPr>
          <w:rFonts w:ascii="Arial" w:hAnsi="Arial" w:cs="Arial"/>
          <w:sz w:val="21"/>
          <w:szCs w:val="21"/>
          <w:lang w:val="es-ES"/>
        </w:rPr>
        <w:t xml:space="preserve">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Pr>
          <w:rStyle w:val="Refdenotaalpie"/>
          <w:rFonts w:ascii="Arial" w:hAnsi="Arial" w:cs="Arial"/>
          <w:sz w:val="21"/>
          <w:szCs w:val="21"/>
          <w:lang w:val="es-ES"/>
        </w:rPr>
        <w:footnoteReference w:id="3"/>
      </w:r>
      <w:r>
        <w:rPr>
          <w:rFonts w:ascii="Arial" w:hAnsi="Arial" w:cs="Arial"/>
          <w:sz w:val="21"/>
          <w:szCs w:val="21"/>
          <w:lang w:val="es-ES"/>
        </w:rPr>
        <w:t>.</w:t>
      </w:r>
    </w:p>
    <w:p w14:paraId="7BB2E3F3" w14:textId="77777777" w:rsidR="004F4C46" w:rsidRPr="00427F40" w:rsidRDefault="004F4C46" w:rsidP="004F4C46">
      <w:pPr>
        <w:pStyle w:val="NormalWeb"/>
        <w:shd w:val="clear" w:color="auto" w:fill="FFFFFF"/>
        <w:spacing w:after="0" w:line="276" w:lineRule="auto"/>
        <w:ind w:left="709" w:right="709"/>
        <w:jc w:val="both"/>
        <w:rPr>
          <w:rFonts w:ascii="Arial" w:hAnsi="Arial" w:cs="Arial"/>
          <w:sz w:val="22"/>
          <w:szCs w:val="22"/>
          <w:lang w:val="es-ES"/>
        </w:rPr>
      </w:pPr>
    </w:p>
    <w:p w14:paraId="18DFDFFC" w14:textId="77777777" w:rsidR="004F4C46" w:rsidRDefault="004F4C46" w:rsidP="004F4C46">
      <w:pPr>
        <w:pStyle w:val="Sinespaciado"/>
        <w:spacing w:line="276" w:lineRule="auto"/>
        <w:ind w:firstLine="709"/>
        <w:jc w:val="both"/>
        <w:rPr>
          <w:rFonts w:ascii="Arial" w:hAnsi="Arial" w:cs="Arial"/>
          <w:sz w:val="22"/>
        </w:rPr>
      </w:pPr>
      <w:r w:rsidRPr="003953CA">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5FA08004" w14:textId="77777777" w:rsidR="004F4C46" w:rsidRPr="003953CA" w:rsidRDefault="004F4C46" w:rsidP="004F4C46">
      <w:pPr>
        <w:pStyle w:val="Sinespaciado"/>
        <w:spacing w:line="276" w:lineRule="auto"/>
        <w:ind w:firstLine="709"/>
        <w:jc w:val="both"/>
        <w:rPr>
          <w:rFonts w:ascii="Arial" w:hAnsi="Arial" w:cs="Arial"/>
          <w:sz w:val="22"/>
        </w:rPr>
      </w:pPr>
    </w:p>
    <w:p w14:paraId="2B5BFF82" w14:textId="77777777" w:rsidR="004F4C46" w:rsidRDefault="004F4C46" w:rsidP="004F4C46">
      <w:pPr>
        <w:spacing w:line="240" w:lineRule="auto"/>
        <w:ind w:left="709" w:right="709"/>
        <w:jc w:val="both"/>
        <w:rPr>
          <w:rFonts w:ascii="Arial" w:hAnsi="Arial" w:cs="Arial"/>
          <w:sz w:val="21"/>
          <w:szCs w:val="21"/>
        </w:rPr>
      </w:pPr>
      <w:r w:rsidRPr="003953CA">
        <w:rPr>
          <w:rFonts w:ascii="Arial" w:hAnsi="Arial" w:cs="Arial"/>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0365E0D8" w14:textId="77777777" w:rsidR="004F4C46" w:rsidRDefault="004F4C46" w:rsidP="004F4C46">
      <w:pPr>
        <w:spacing w:after="0" w:line="240" w:lineRule="auto"/>
        <w:ind w:left="709" w:right="709"/>
        <w:jc w:val="both"/>
        <w:rPr>
          <w:rFonts w:ascii="Arial" w:hAnsi="Arial" w:cs="Arial"/>
          <w:sz w:val="21"/>
          <w:szCs w:val="21"/>
        </w:rPr>
      </w:pPr>
      <w:r w:rsidRPr="003953CA">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Pr>
          <w:rStyle w:val="Refdenotaalpie"/>
          <w:rFonts w:ascii="Arial" w:hAnsi="Arial" w:cs="Arial"/>
          <w:sz w:val="21"/>
          <w:szCs w:val="21"/>
        </w:rPr>
        <w:footnoteReference w:id="4"/>
      </w:r>
      <w:r>
        <w:rPr>
          <w:rFonts w:ascii="Arial" w:hAnsi="Arial" w:cs="Arial"/>
          <w:sz w:val="21"/>
          <w:szCs w:val="21"/>
        </w:rPr>
        <w:t>.</w:t>
      </w:r>
    </w:p>
    <w:p w14:paraId="766F5DF0" w14:textId="77777777" w:rsidR="004F4C46" w:rsidRPr="00427F40" w:rsidRDefault="004F4C46" w:rsidP="004F4C46">
      <w:pPr>
        <w:spacing w:after="0" w:line="276" w:lineRule="auto"/>
        <w:ind w:right="709"/>
        <w:jc w:val="both"/>
        <w:rPr>
          <w:rFonts w:ascii="Arial" w:hAnsi="Arial" w:cs="Arial"/>
        </w:rPr>
      </w:pPr>
    </w:p>
    <w:p w14:paraId="2973A51E" w14:textId="77777777" w:rsidR="004F4C46" w:rsidRPr="003953CA" w:rsidRDefault="004F4C46" w:rsidP="004F4C46">
      <w:pPr>
        <w:spacing w:after="0"/>
        <w:ind w:firstLine="709"/>
        <w:jc w:val="both"/>
        <w:rPr>
          <w:rFonts w:ascii="Arial" w:hAnsi="Arial" w:cs="Arial"/>
        </w:rPr>
      </w:pPr>
      <w:r w:rsidRPr="003953CA">
        <w:rPr>
          <w:rFonts w:ascii="Arial" w:hAnsi="Arial" w:cs="Arial"/>
        </w:rPr>
        <w:t xml:space="preserve">Además, la Corte Constitucional explica que el legislador tiene la competencia para determinar qué hechos o situaciones generan inhabilidad para contratar, pues este régimen es un aspecto propio del Estatuto General de Contratación </w:t>
      </w:r>
      <w:r>
        <w:rPr>
          <w:rFonts w:ascii="Arial" w:hAnsi="Arial" w:cs="Arial"/>
        </w:rPr>
        <w:t xml:space="preserve">de la Administración </w:t>
      </w:r>
      <w:r w:rsidRPr="003953CA">
        <w:rPr>
          <w:rFonts w:ascii="Arial" w:hAnsi="Arial" w:cs="Arial"/>
        </w:rPr>
        <w:t xml:space="preserve">Pública, </w:t>
      </w:r>
      <w:r w:rsidRPr="003953CA">
        <w:rPr>
          <w:rFonts w:ascii="Arial" w:hAnsi="Arial" w:cs="Arial"/>
        </w:rPr>
        <w:lastRenderedPageBreak/>
        <w:t>cuya expedición compete al Congreso de la República a la luz del artículo 150 de la Constitución Política, y que en esta materia rige el principio de legalidad:</w:t>
      </w:r>
    </w:p>
    <w:p w14:paraId="54923D26" w14:textId="77777777" w:rsidR="004F4C46" w:rsidRPr="003953CA" w:rsidRDefault="004F4C46" w:rsidP="004F4C46">
      <w:pPr>
        <w:pStyle w:val="Sinespaciado"/>
        <w:tabs>
          <w:tab w:val="left" w:pos="1532"/>
        </w:tabs>
        <w:spacing w:line="276" w:lineRule="auto"/>
        <w:jc w:val="both"/>
        <w:rPr>
          <w:rFonts w:ascii="Arial" w:hAnsi="Arial" w:cs="Arial"/>
          <w:sz w:val="22"/>
        </w:rPr>
      </w:pPr>
    </w:p>
    <w:p w14:paraId="0940BF10" w14:textId="77777777" w:rsidR="004F4C46" w:rsidRPr="003953CA" w:rsidRDefault="004F4C46" w:rsidP="004F4C46">
      <w:pPr>
        <w:spacing w:after="0" w:line="240" w:lineRule="auto"/>
        <w:ind w:left="709" w:right="709"/>
        <w:jc w:val="both"/>
        <w:rPr>
          <w:rFonts w:ascii="Arial" w:hAnsi="Arial" w:cs="Arial"/>
          <w:sz w:val="21"/>
          <w:szCs w:val="21"/>
        </w:rPr>
      </w:pPr>
      <w:r w:rsidRPr="003953CA">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427F40">
        <w:rPr>
          <w:rFonts w:ascii="Arial" w:hAnsi="Arial" w:cs="Arial"/>
          <w:i/>
          <w:iCs/>
          <w:sz w:val="21"/>
          <w:szCs w:val="21"/>
        </w:rPr>
        <w:t>pro libertate</w:t>
      </w:r>
      <w:r w:rsidRPr="003953CA">
        <w:rPr>
          <w:rFonts w:ascii="Arial" w:hAnsi="Arial" w:cs="Arial"/>
          <w:sz w:val="21"/>
          <w:szCs w:val="21"/>
        </w:rPr>
        <w:t xml:space="preserve">, sino el de legalidad, el que ordena que la función pública debe someterse estrictamente a lo que disponga la Constitución y la ley (CP art. 6). </w:t>
      </w:r>
    </w:p>
    <w:p w14:paraId="13EE7DA4" w14:textId="77777777" w:rsidR="004F4C46" w:rsidRDefault="004F4C46" w:rsidP="004F4C46">
      <w:pPr>
        <w:spacing w:after="120" w:line="240" w:lineRule="auto"/>
        <w:ind w:left="709" w:right="709"/>
        <w:jc w:val="both"/>
        <w:rPr>
          <w:rFonts w:ascii="Arial" w:hAnsi="Arial" w:cs="Arial"/>
          <w:sz w:val="21"/>
          <w:szCs w:val="21"/>
        </w:rPr>
      </w:pPr>
      <w:r w:rsidRPr="003953CA">
        <w:rPr>
          <w:rFonts w:ascii="Arial" w:hAnsi="Arial" w:cs="Arial"/>
          <w:sz w:val="21"/>
          <w:szCs w:val="21"/>
        </w:rPr>
        <w:t xml:space="preserve">[…] </w:t>
      </w:r>
    </w:p>
    <w:p w14:paraId="3F56B23A" w14:textId="77777777" w:rsidR="004F4C46" w:rsidRDefault="004F4C46" w:rsidP="004F4C46">
      <w:pPr>
        <w:spacing w:after="0" w:line="240" w:lineRule="auto"/>
        <w:ind w:left="709" w:right="709"/>
        <w:jc w:val="both"/>
        <w:rPr>
          <w:rFonts w:ascii="Arial" w:hAnsi="Arial" w:cs="Arial"/>
          <w:sz w:val="21"/>
          <w:szCs w:val="21"/>
        </w:rPr>
      </w:pPr>
      <w:r w:rsidRPr="003953CA">
        <w:rPr>
          <w:rFonts w:ascii="Arial" w:hAnsi="Arial" w:cs="Arial"/>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Pr>
          <w:rStyle w:val="Refdenotaalpie"/>
          <w:rFonts w:ascii="Arial" w:hAnsi="Arial" w:cs="Arial"/>
          <w:sz w:val="21"/>
          <w:szCs w:val="21"/>
        </w:rPr>
        <w:footnoteReference w:id="5"/>
      </w:r>
      <w:r>
        <w:rPr>
          <w:rFonts w:ascii="Arial" w:hAnsi="Arial" w:cs="Arial"/>
          <w:sz w:val="21"/>
          <w:szCs w:val="21"/>
        </w:rPr>
        <w:t>.</w:t>
      </w:r>
    </w:p>
    <w:p w14:paraId="7C003701" w14:textId="77777777" w:rsidR="004F4C46" w:rsidRPr="00427F40" w:rsidRDefault="004F4C46" w:rsidP="004F4C46">
      <w:pPr>
        <w:spacing w:after="0" w:line="276" w:lineRule="auto"/>
        <w:ind w:left="709" w:right="709"/>
        <w:jc w:val="both"/>
        <w:rPr>
          <w:rFonts w:ascii="Arial" w:hAnsi="Arial" w:cs="Arial"/>
        </w:rPr>
      </w:pPr>
    </w:p>
    <w:p w14:paraId="2F4B1CB2" w14:textId="77777777" w:rsidR="004F4C46" w:rsidRDefault="004F4C46" w:rsidP="004F4C46">
      <w:pPr>
        <w:spacing w:after="0"/>
        <w:ind w:firstLine="709"/>
        <w:jc w:val="both"/>
        <w:rPr>
          <w:rFonts w:ascii="Arial" w:hAnsi="Arial" w:cs="Arial"/>
        </w:rPr>
      </w:pPr>
      <w:r w:rsidRPr="003953CA">
        <w:rPr>
          <w:rFonts w:ascii="Arial" w:hAnsi="Arial"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Pr>
          <w:rStyle w:val="Refdenotaalpie"/>
          <w:rFonts w:ascii="Arial" w:hAnsi="Arial" w:cs="Arial"/>
        </w:rPr>
        <w:footnoteReference w:id="6"/>
      </w:r>
      <w:r>
        <w:rPr>
          <w:rFonts w:ascii="Arial" w:hAnsi="Arial" w:cs="Arial"/>
        </w:rPr>
        <w:t>.</w:t>
      </w:r>
    </w:p>
    <w:p w14:paraId="6F98B1E7" w14:textId="77777777" w:rsidR="004F4C46" w:rsidRDefault="004F4C46" w:rsidP="004F4C46">
      <w:pPr>
        <w:spacing w:before="120" w:after="0"/>
        <w:ind w:firstLine="708"/>
        <w:jc w:val="both"/>
        <w:rPr>
          <w:rFonts w:ascii="Arial" w:hAnsi="Arial" w:cs="Arial"/>
        </w:rPr>
      </w:pPr>
      <w:r w:rsidRPr="003953CA">
        <w:rPr>
          <w:rFonts w:ascii="Arial" w:hAnsi="Arial" w:cs="Arial"/>
        </w:rPr>
        <w:t>A manera de ejemplo, en materia contractual, los literales c), d) y j) del numeral 1 del artículo 8 de la Ley 80 de 1993</w:t>
      </w:r>
      <w:r>
        <w:rPr>
          <w:rStyle w:val="Refdenotaalpie"/>
          <w:rFonts w:ascii="Arial" w:hAnsi="Arial" w:cs="Arial"/>
        </w:rPr>
        <w:footnoteReference w:id="7"/>
      </w:r>
      <w:r>
        <w:rPr>
          <w:rFonts w:ascii="Arial" w:hAnsi="Arial" w:cs="Arial"/>
        </w:rPr>
        <w:t xml:space="preserve"> </w:t>
      </w:r>
      <w:r w:rsidRPr="003953CA">
        <w:rPr>
          <w:rFonts w:ascii="Arial" w:hAnsi="Arial" w:cs="Arial"/>
        </w:rPr>
        <w:t xml:space="preserve">establecen inhabilidades-sanción, porque la prohibición </w:t>
      </w:r>
      <w:r w:rsidRPr="003953CA">
        <w:rPr>
          <w:rFonts w:ascii="Arial" w:hAnsi="Arial" w:cs="Arial"/>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8" w:name="_Hlk40976328"/>
      <w:r w:rsidRPr="003953CA">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8"/>
    </w:p>
    <w:p w14:paraId="4FEDD192" w14:textId="77777777" w:rsidR="004F4C46" w:rsidRPr="002D2994" w:rsidRDefault="004F4C46" w:rsidP="004F4C46">
      <w:pPr>
        <w:spacing w:after="0"/>
        <w:ind w:firstLine="709"/>
        <w:jc w:val="both"/>
        <w:rPr>
          <w:rFonts w:ascii="Arial" w:hAnsi="Arial" w:cs="Arial"/>
        </w:rPr>
      </w:pPr>
    </w:p>
    <w:p w14:paraId="718DA22E" w14:textId="77777777" w:rsidR="004F4C46" w:rsidRPr="003953CA" w:rsidRDefault="004F4C46" w:rsidP="004F4C46">
      <w:pPr>
        <w:tabs>
          <w:tab w:val="left" w:pos="426"/>
        </w:tabs>
        <w:spacing w:after="0"/>
        <w:jc w:val="both"/>
        <w:rPr>
          <w:rFonts w:ascii="Arial" w:eastAsia="Calibri" w:hAnsi="Arial" w:cs="Arial"/>
          <w:b/>
          <w:lang w:val="es-ES_tradnl"/>
        </w:rPr>
      </w:pPr>
      <w:r w:rsidRPr="003953CA">
        <w:rPr>
          <w:rFonts w:ascii="Arial" w:eastAsia="Calibri" w:hAnsi="Arial" w:cs="Arial"/>
          <w:b/>
          <w:lang w:val="es-ES_tradnl"/>
        </w:rPr>
        <w:t xml:space="preserve">2.2. Régimen de inhabilidades e incompatibilidades en la contratación estatal: un límite a la capacidad contractual. La interpretación restrictiva como criterio hermenéutico de los enunciados normativos gravosos </w:t>
      </w:r>
      <w:r>
        <w:rPr>
          <w:rFonts w:ascii="Arial" w:eastAsia="Calibri" w:hAnsi="Arial" w:cs="Arial"/>
          <w:b/>
          <w:lang w:val="es-ES_tradnl"/>
        </w:rPr>
        <w:t>y la reserva de ley</w:t>
      </w:r>
    </w:p>
    <w:p w14:paraId="6193BE3D" w14:textId="77777777" w:rsidR="004F4C46" w:rsidRDefault="004F4C46" w:rsidP="004F4C46">
      <w:pPr>
        <w:spacing w:after="0"/>
        <w:ind w:right="709"/>
        <w:jc w:val="both"/>
        <w:rPr>
          <w:rFonts w:ascii="Arial" w:eastAsia="Calibri" w:hAnsi="Arial" w:cs="Arial"/>
          <w:lang w:val="es-ES_tradnl"/>
        </w:rPr>
      </w:pPr>
    </w:p>
    <w:p w14:paraId="7BF609FD" w14:textId="77777777" w:rsidR="004F4C46" w:rsidRDefault="004F4C46" w:rsidP="004F4C46">
      <w:pPr>
        <w:spacing w:after="120"/>
        <w:jc w:val="both"/>
        <w:rPr>
          <w:rFonts w:ascii="Arial" w:eastAsia="Calibri" w:hAnsi="Arial" w:cs="Arial"/>
          <w:lang w:val="es-ES_tradnl"/>
        </w:rPr>
      </w:pPr>
      <w:r w:rsidRPr="003953CA">
        <w:rPr>
          <w:rFonts w:ascii="Arial" w:eastAsia="Calibri" w:hAnsi="Arial" w:cs="Arial"/>
          <w:lang w:val="es-ES_tradnl"/>
        </w:rPr>
        <w:t xml:space="preserve">En la contratación estatal, la </w:t>
      </w:r>
      <w:r w:rsidRPr="003953CA">
        <w:rPr>
          <w:rFonts w:ascii="Arial" w:eastAsia="Calibri" w:hAnsi="Arial" w:cs="Arial"/>
          <w:i/>
          <w:iCs/>
          <w:lang w:val="es-ES_tradnl"/>
        </w:rPr>
        <w:t>capacidad</w:t>
      </w:r>
      <w:r w:rsidRPr="003953CA">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Pr>
          <w:rStyle w:val="Refdenotaalpie"/>
          <w:rFonts w:ascii="Arial" w:eastAsia="Calibri" w:hAnsi="Arial" w:cs="Arial"/>
          <w:lang w:val="es-ES_tradnl"/>
        </w:rPr>
        <w:footnoteReference w:id="8"/>
      </w:r>
      <w:r>
        <w:rPr>
          <w:rFonts w:ascii="Arial" w:eastAsia="Calibri" w:hAnsi="Arial" w:cs="Arial"/>
          <w:lang w:val="es-ES_tradnl"/>
        </w:rPr>
        <w:t xml:space="preserve"> </w:t>
      </w:r>
      <w:r w:rsidRPr="003953CA">
        <w:rPr>
          <w:rFonts w:ascii="Arial" w:eastAsia="Calibri" w:hAnsi="Arial" w:cs="Arial"/>
          <w:lang w:val="es-ES_tradnl"/>
        </w:rPr>
        <w:t>como en el de las entidades exceptuadas de aquel</w:t>
      </w:r>
      <w:r>
        <w:rPr>
          <w:rStyle w:val="Refdenotaalpie"/>
          <w:rFonts w:ascii="Arial" w:eastAsia="Calibri" w:hAnsi="Arial" w:cs="Arial"/>
          <w:lang w:val="es-ES_tradnl"/>
        </w:rPr>
        <w:footnoteReference w:id="9"/>
      </w:r>
      <w:r>
        <w:rPr>
          <w:rFonts w:ascii="Arial" w:eastAsia="Calibri" w:hAnsi="Arial" w:cs="Arial"/>
          <w:lang w:val="es-ES_tradnl"/>
        </w:rPr>
        <w:t xml:space="preserve">. </w:t>
      </w:r>
      <w:r w:rsidRPr="003953CA">
        <w:rPr>
          <w:rFonts w:ascii="Arial" w:eastAsia="Calibri" w:hAnsi="Arial" w:cs="Arial"/>
          <w:lang w:val="es-ES_tradnl"/>
        </w:rPr>
        <w:t xml:space="preserve">Si bien la </w:t>
      </w:r>
      <w:r w:rsidRPr="003953CA">
        <w:rPr>
          <w:rFonts w:ascii="Arial" w:eastAsia="Calibri" w:hAnsi="Arial" w:cs="Arial"/>
          <w:lang w:val="es-ES_tradnl"/>
        </w:rPr>
        <w:lastRenderedPageBreak/>
        <w:t>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Pr>
          <w:rStyle w:val="Refdenotaalpie"/>
          <w:rFonts w:ascii="Arial" w:eastAsia="Calibri" w:hAnsi="Arial" w:cs="Arial"/>
          <w:lang w:val="es-ES_tradnl"/>
        </w:rPr>
        <w:footnoteReference w:id="10"/>
      </w:r>
      <w:r w:rsidRPr="003953CA">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Pr>
          <w:rStyle w:val="Refdenotaalpie"/>
          <w:rFonts w:ascii="Arial" w:eastAsia="Calibri" w:hAnsi="Arial" w:cs="Arial"/>
          <w:lang w:val="es-ES_tradnl"/>
        </w:rPr>
        <w:footnoteReference w:id="11"/>
      </w:r>
      <w:r>
        <w:rPr>
          <w:rFonts w:ascii="Arial" w:eastAsia="Calibri" w:hAnsi="Arial" w:cs="Arial"/>
          <w:lang w:val="es-ES_tradnl"/>
        </w:rPr>
        <w:t>.</w:t>
      </w:r>
    </w:p>
    <w:p w14:paraId="28EA3B54" w14:textId="77777777" w:rsidR="004F4C46" w:rsidRDefault="004F4C46" w:rsidP="004F4C46">
      <w:pPr>
        <w:spacing w:after="120"/>
        <w:ind w:firstLine="709"/>
        <w:jc w:val="both"/>
        <w:rPr>
          <w:rFonts w:ascii="Arial" w:eastAsia="Calibri" w:hAnsi="Arial" w:cs="Arial"/>
          <w:lang w:val="es-ES_tradnl"/>
        </w:rPr>
      </w:pPr>
      <w:r w:rsidRPr="003953CA">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Pr>
          <w:rStyle w:val="Refdenotaalpie"/>
          <w:rFonts w:ascii="Arial" w:eastAsia="Calibri" w:hAnsi="Arial" w:cs="Arial"/>
          <w:lang w:val="es-ES_tradnl"/>
        </w:rPr>
        <w:footnoteReference w:id="12"/>
      </w:r>
      <w:r>
        <w:rPr>
          <w:rFonts w:ascii="Arial" w:eastAsia="Calibri" w:hAnsi="Arial" w:cs="Arial"/>
          <w:lang w:val="es-ES_tradnl"/>
        </w:rPr>
        <w:t xml:space="preserve">, </w:t>
      </w:r>
      <w:r w:rsidRPr="003953CA">
        <w:rPr>
          <w:rFonts w:ascii="Arial" w:eastAsia="Calibri" w:hAnsi="Arial" w:cs="Arial"/>
          <w:lang w:val="es-ES_tradnl"/>
        </w:rPr>
        <w:t xml:space="preserve">ii) de vínculos personales relativos </w:t>
      </w:r>
      <w:r w:rsidRPr="003953CA">
        <w:rPr>
          <w:rFonts w:ascii="Arial" w:eastAsia="Calibri" w:hAnsi="Arial" w:cs="Arial"/>
          <w:lang w:val="es-ES_tradnl"/>
        </w:rPr>
        <w:lastRenderedPageBreak/>
        <w:t>al parentesco o al estado civil</w:t>
      </w:r>
      <w:r>
        <w:rPr>
          <w:rStyle w:val="Refdenotaalpie"/>
          <w:rFonts w:ascii="Arial" w:eastAsia="Calibri" w:hAnsi="Arial" w:cs="Arial"/>
          <w:lang w:val="es-ES_tradnl"/>
        </w:rPr>
        <w:footnoteReference w:id="13"/>
      </w:r>
      <w:r>
        <w:rPr>
          <w:rFonts w:ascii="Arial" w:eastAsia="Calibri" w:hAnsi="Arial" w:cs="Arial"/>
          <w:lang w:val="es-ES_tradnl"/>
        </w:rPr>
        <w:t xml:space="preserve"> </w:t>
      </w:r>
      <w:r w:rsidRPr="003953CA">
        <w:rPr>
          <w:rFonts w:ascii="Arial" w:eastAsia="Calibri" w:hAnsi="Arial" w:cs="Arial"/>
          <w:lang w:val="es-ES_tradnl"/>
        </w:rPr>
        <w:t>o iii) de una actividad u oficio que se desempeñó en el pasado</w:t>
      </w:r>
      <w:r>
        <w:rPr>
          <w:rStyle w:val="Refdenotaalpie"/>
          <w:rFonts w:ascii="Arial" w:eastAsia="Calibri" w:hAnsi="Arial" w:cs="Arial"/>
          <w:lang w:val="es-ES_tradnl"/>
        </w:rPr>
        <w:footnoteReference w:id="14"/>
      </w:r>
      <w:r>
        <w:rPr>
          <w:rFonts w:ascii="Arial" w:eastAsia="Calibri" w:hAnsi="Arial" w:cs="Arial"/>
          <w:lang w:val="es-ES_tradnl"/>
        </w:rPr>
        <w:t xml:space="preserve">. </w:t>
      </w:r>
      <w:r w:rsidRPr="003953CA">
        <w:rPr>
          <w:rFonts w:ascii="Arial" w:eastAsia="Calibri" w:hAnsi="Arial" w:cs="Arial"/>
          <w:lang w:val="es-ES_tradnl"/>
        </w:rPr>
        <w:t>De otro lado, las incompatibilidades</w:t>
      </w:r>
      <w:r>
        <w:rPr>
          <w:rFonts w:ascii="Arial" w:eastAsia="Calibri" w:hAnsi="Arial" w:cs="Arial"/>
          <w:lang w:val="es-ES_tradnl"/>
        </w:rPr>
        <w:t>, según un sector de la doctrina,</w:t>
      </w:r>
      <w:r w:rsidRPr="003953CA">
        <w:rPr>
          <w:rFonts w:ascii="Arial" w:eastAsia="Calibri" w:hAnsi="Arial" w:cs="Arial"/>
          <w:lang w:val="es-ES_tradnl"/>
        </w:rPr>
        <w:t xml:space="preserve"> son prohibiciones para participar en los procedimientos de selección y para celebrar contratos estatales, fundadas en la </w:t>
      </w:r>
      <w:r w:rsidRPr="00894487">
        <w:rPr>
          <w:rFonts w:ascii="Arial" w:eastAsia="Calibri" w:hAnsi="Arial" w:cs="Arial"/>
          <w:lang w:val="es-ES_tradnl"/>
        </w:rPr>
        <w:t>presencia de una calidad que ostenta el sujeto interesado en realizar alguna de dichas actividades, que no puede coexistir con su calidad de proponente o contratista del Estado</w:t>
      </w:r>
      <w:r w:rsidRPr="00894487">
        <w:rPr>
          <w:rStyle w:val="Refdenotaalpie"/>
          <w:rFonts w:ascii="Arial" w:eastAsia="Calibri" w:hAnsi="Arial" w:cs="Arial"/>
          <w:lang w:val="es-ES_tradnl"/>
        </w:rPr>
        <w:footnoteReference w:id="15"/>
      </w:r>
      <w:r w:rsidRPr="00894487">
        <w:rPr>
          <w:rFonts w:ascii="Arial" w:eastAsia="Calibri" w:hAnsi="Arial" w:cs="Arial"/>
          <w:lang w:val="es-ES_tradnl"/>
        </w:rPr>
        <w:t xml:space="preserve">. En todo caso, a pesar de la existencia de distintos criterios para </w:t>
      </w:r>
      <w:r w:rsidRPr="00894487">
        <w:rPr>
          <w:rFonts w:ascii="Arial" w:eastAsia="Calibri" w:hAnsi="Arial" w:cs="Arial"/>
          <w:lang w:val="es-ES_tradnl"/>
        </w:rPr>
        <w:lastRenderedPageBreak/>
        <w:t>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lang w:val="es-ES_tradnl"/>
        </w:rPr>
        <w:footnoteReference w:id="16"/>
      </w:r>
      <w:r>
        <w:rPr>
          <w:rFonts w:ascii="Arial" w:eastAsia="Calibri" w:hAnsi="Arial" w:cs="Arial"/>
          <w:lang w:val="es-ES_tradnl"/>
        </w:rPr>
        <w:t>.</w:t>
      </w:r>
    </w:p>
    <w:p w14:paraId="3CF2C847" w14:textId="77777777" w:rsidR="004F4C46" w:rsidRPr="003953CA" w:rsidRDefault="004F4C46" w:rsidP="004F4C46">
      <w:pPr>
        <w:spacing w:before="120" w:after="120"/>
        <w:ind w:firstLine="709"/>
        <w:jc w:val="both"/>
        <w:rPr>
          <w:rFonts w:ascii="Arial" w:eastAsia="Calibri" w:hAnsi="Arial" w:cs="Arial"/>
          <w:lang w:val="es-ES_tradnl"/>
        </w:rPr>
      </w:pPr>
      <w:r>
        <w:rPr>
          <w:rFonts w:ascii="Arial" w:eastAsia="Calibri" w:hAnsi="Arial" w:cs="Arial"/>
          <w:lang w:val="es-ES_tradnl"/>
        </w:rPr>
        <w:t>De otro lado, e</w:t>
      </w:r>
      <w:r w:rsidRPr="003953CA">
        <w:rPr>
          <w:rFonts w:ascii="Arial" w:eastAsia="Calibri" w:hAnsi="Arial" w:cs="Arial"/>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lang w:val="es-ES_tradnl"/>
        </w:rPr>
        <w:t>, obras y</w:t>
      </w:r>
      <w:r w:rsidRPr="003953CA">
        <w:rPr>
          <w:rFonts w:ascii="Arial" w:eastAsia="Calibri" w:hAnsi="Arial" w:cs="Arial"/>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Pr>
          <w:rFonts w:ascii="Arial" w:eastAsia="Calibri" w:hAnsi="Arial" w:cs="Arial"/>
          <w:lang w:val="es-ES_tradnl"/>
        </w:rPr>
        <w:t>“</w:t>
      </w:r>
      <w:r w:rsidRPr="003953CA">
        <w:rPr>
          <w:rFonts w:ascii="Arial" w:eastAsia="Calibri" w:hAnsi="Arial" w:cs="Arial"/>
          <w:lang w:val="es-ES_tradnl"/>
        </w:rPr>
        <w:t>neopunitiv</w:t>
      </w:r>
      <w:r>
        <w:rPr>
          <w:rFonts w:ascii="Arial" w:eastAsia="Calibri" w:hAnsi="Arial" w:cs="Arial"/>
          <w:lang w:val="es-ES_tradnl"/>
        </w:rPr>
        <w:t>a”</w:t>
      </w:r>
      <w:r>
        <w:rPr>
          <w:rStyle w:val="Refdenotaalpie"/>
          <w:rFonts w:ascii="Arial" w:eastAsia="Calibri" w:hAnsi="Arial" w:cs="Arial"/>
          <w:lang w:val="es-ES_tradnl"/>
        </w:rPr>
        <w:footnoteReference w:id="17"/>
      </w:r>
      <w:r>
        <w:rPr>
          <w:rFonts w:ascii="Arial" w:eastAsia="Calibri" w:hAnsi="Arial" w:cs="Arial"/>
          <w:lang w:val="es-ES_tradnl"/>
        </w:rPr>
        <w:t xml:space="preserve">. </w:t>
      </w:r>
      <w:r w:rsidRPr="003953CA">
        <w:rPr>
          <w:rFonts w:ascii="Arial" w:eastAsia="Calibri" w:hAnsi="Arial" w:cs="Arial"/>
          <w:lang w:val="es-ES_tradnl"/>
        </w:rPr>
        <w:t>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8FA1F90" w14:textId="77777777" w:rsidR="004F4C46" w:rsidRPr="003953CA" w:rsidRDefault="004F4C46" w:rsidP="004F4C46">
      <w:pPr>
        <w:spacing w:before="120" w:after="120"/>
        <w:ind w:firstLine="709"/>
        <w:jc w:val="both"/>
        <w:rPr>
          <w:rFonts w:ascii="Arial" w:eastAsia="Calibri" w:hAnsi="Arial" w:cs="Arial"/>
          <w:lang w:val="es-ES_tradnl"/>
        </w:rPr>
      </w:pPr>
      <w:r w:rsidRPr="003953CA">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w:t>
      </w:r>
      <w:r>
        <w:rPr>
          <w:rFonts w:ascii="Arial" w:eastAsia="Calibri" w:hAnsi="Arial" w:cs="Arial"/>
          <w:lang w:val="es-ES_tradnl"/>
        </w:rPr>
        <w:t xml:space="preserve">o la Constitución </w:t>
      </w:r>
      <w:r w:rsidRPr="003953CA">
        <w:rPr>
          <w:rFonts w:ascii="Arial" w:eastAsia="Calibri" w:hAnsi="Arial" w:cs="Arial"/>
          <w:lang w:val="es-ES_tradnl"/>
        </w:rPr>
        <w:t xml:space="preserve">–o sea, deben satisfacer el principio de legalidad– y su interpretación debe ser </w:t>
      </w:r>
      <w:r w:rsidRPr="003953CA">
        <w:rPr>
          <w:rFonts w:ascii="Arial" w:eastAsia="Calibri" w:hAnsi="Arial" w:cs="Arial"/>
          <w:i/>
          <w:iCs/>
          <w:lang w:val="es-ES_tradnl"/>
        </w:rPr>
        <w:t>restrictiva</w:t>
      </w:r>
      <w:r>
        <w:rPr>
          <w:rStyle w:val="Refdenotaalpie"/>
          <w:rFonts w:ascii="Arial" w:eastAsia="Calibri" w:hAnsi="Arial" w:cs="Arial"/>
          <w:i/>
          <w:iCs/>
          <w:lang w:val="es-ES_tradnl"/>
        </w:rPr>
        <w:footnoteReference w:id="18"/>
      </w:r>
      <w:r>
        <w:rPr>
          <w:rFonts w:ascii="Arial" w:eastAsia="Calibri" w:hAnsi="Arial" w:cs="Arial"/>
          <w:i/>
          <w:iCs/>
          <w:lang w:val="es-ES_tradnl"/>
        </w:rPr>
        <w:t xml:space="preserve">, </w:t>
      </w:r>
      <w:r w:rsidRPr="003953CA">
        <w:rPr>
          <w:rFonts w:ascii="Arial" w:eastAsia="Calibri" w:hAnsi="Arial" w:cs="Arial"/>
          <w:lang w:val="es-ES_tradnl"/>
        </w:rPr>
        <w:t xml:space="preserve">pues si se admitiera una interpretación amplia, </w:t>
      </w:r>
      <w:r w:rsidRPr="003953CA">
        <w:rPr>
          <w:rFonts w:ascii="Arial" w:eastAsia="Calibri" w:hAnsi="Arial" w:cs="Arial"/>
          <w:lang w:val="es-ES_tradnl"/>
        </w:rPr>
        <w:lastRenderedPageBreak/>
        <w:t xml:space="preserve">extensiva o finalista de las mismas, tales enunciados normativos contemplarían múltiples supuestos indeterminados, según el parecer o el sentido común de los operadores jurídicos, poniendo en riesgo principios como la igualdad, el debido proceso, </w:t>
      </w:r>
      <w:r>
        <w:rPr>
          <w:rFonts w:ascii="Arial" w:eastAsia="Calibri" w:hAnsi="Arial" w:cs="Arial"/>
          <w:lang w:val="es-ES_tradnl"/>
        </w:rPr>
        <w:t xml:space="preserve">la seguridad jurídica, </w:t>
      </w:r>
      <w:r w:rsidRPr="003953CA">
        <w:rPr>
          <w:rFonts w:ascii="Arial" w:eastAsia="Calibri" w:hAnsi="Arial" w:cs="Arial"/>
          <w:lang w:val="es-ES_tradnl"/>
        </w:rPr>
        <w:t xml:space="preserve">la libre concurrencia y el ejercicio de la profesión u oficio. Tal ha sido la postura al interior de la jurisprudencia, tanto de la Corte Constitucional como de la Sección Tercera del Consejo de Estado. </w:t>
      </w:r>
    </w:p>
    <w:p w14:paraId="3E99B400" w14:textId="77777777" w:rsidR="004F4C46" w:rsidRPr="003953CA" w:rsidRDefault="004F4C46" w:rsidP="004F4C46">
      <w:pPr>
        <w:spacing w:after="0"/>
        <w:ind w:firstLine="709"/>
        <w:jc w:val="both"/>
        <w:rPr>
          <w:rFonts w:ascii="Arial" w:eastAsia="Calibri" w:hAnsi="Arial" w:cs="Arial"/>
          <w:lang w:val="es-ES_tradnl"/>
        </w:rPr>
      </w:pPr>
      <w:r w:rsidRPr="003953CA">
        <w:rPr>
          <w:rFonts w:ascii="Arial" w:eastAsia="Calibri" w:hAnsi="Arial" w:cs="Arial"/>
          <w:lang w:val="es-ES_tradnl"/>
        </w:rPr>
        <w:t>En efecto, el máximo tribunal constitucional ha indicado</w:t>
      </w:r>
      <w:r>
        <w:rPr>
          <w:rFonts w:ascii="Arial" w:eastAsia="Calibri" w:hAnsi="Arial" w:cs="Arial"/>
          <w:lang w:val="es-ES_tradnl"/>
        </w:rPr>
        <w:t>,</w:t>
      </w:r>
      <w:r w:rsidRPr="003953CA">
        <w:rPr>
          <w:rFonts w:ascii="Arial" w:eastAsia="Calibri" w:hAnsi="Arial" w:cs="Arial"/>
          <w:lang w:val="es-ES_tradnl"/>
        </w:rPr>
        <w:t xml:space="preserve"> al tratar de precisar el sentido de este tipo de normas, </w:t>
      </w:r>
      <w:r>
        <w:rPr>
          <w:rFonts w:ascii="Arial" w:eastAsia="Calibri" w:hAnsi="Arial" w:cs="Arial"/>
          <w:lang w:val="es-ES_tradnl"/>
        </w:rPr>
        <w:t>que “</w:t>
      </w:r>
      <w:r w:rsidRPr="003953CA">
        <w:rPr>
          <w:rFonts w:ascii="Arial" w:eastAsia="Calibri" w:hAnsi="Arial" w:cs="Arial"/>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eastAsia="Calibri" w:hAnsi="Arial" w:cs="Arial"/>
          <w:lang w:val="es-ES_tradnl"/>
        </w:rPr>
        <w:t>”</w:t>
      </w:r>
      <w:r>
        <w:rPr>
          <w:rStyle w:val="Refdenotaalpie"/>
          <w:rFonts w:ascii="Arial" w:eastAsia="Calibri" w:hAnsi="Arial" w:cs="Arial"/>
          <w:lang w:val="es-ES_tradnl"/>
        </w:rPr>
        <w:footnoteReference w:id="19"/>
      </w:r>
      <w:r>
        <w:rPr>
          <w:rFonts w:ascii="Arial" w:eastAsia="Calibri" w:hAnsi="Arial" w:cs="Arial"/>
          <w:lang w:val="es-ES_tradnl"/>
        </w:rPr>
        <w:t xml:space="preserve">. </w:t>
      </w:r>
      <w:r w:rsidRPr="003953CA">
        <w:rPr>
          <w:rFonts w:ascii="Arial" w:eastAsia="Calibri" w:hAnsi="Arial" w:cs="Arial"/>
          <w:lang w:val="es-ES_tradnl"/>
        </w:rPr>
        <w:t xml:space="preserve">Por su parte, el Consejo de Estado ha acogido también este criterio, considerando –como expresa la Sala de Consulta y Servicio Civil–, que </w:t>
      </w:r>
      <w:r>
        <w:rPr>
          <w:rFonts w:ascii="Arial" w:eastAsia="Calibri" w:hAnsi="Arial" w:cs="Arial"/>
          <w:lang w:val="es-ES_tradnl"/>
        </w:rPr>
        <w:t>“</w:t>
      </w:r>
      <w:r w:rsidRPr="003953CA">
        <w:rPr>
          <w:rFonts w:ascii="Arial" w:eastAsia="Calibri" w:hAnsi="Arial" w:cs="Arial"/>
          <w:lang w:val="es-ES_tradnl"/>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Pr>
          <w:rFonts w:ascii="Arial" w:eastAsia="Calibri" w:hAnsi="Arial" w:cs="Arial"/>
          <w:lang w:val="es-ES_tradnl"/>
        </w:rPr>
        <w:t>”</w:t>
      </w:r>
      <w:r>
        <w:rPr>
          <w:rStyle w:val="Refdenotaalpie"/>
          <w:rFonts w:ascii="Arial" w:eastAsia="Calibri" w:hAnsi="Arial" w:cs="Arial"/>
          <w:lang w:val="es-ES_tradnl"/>
        </w:rPr>
        <w:footnoteReference w:id="20"/>
      </w:r>
      <w:r>
        <w:rPr>
          <w:rFonts w:ascii="Arial" w:eastAsia="Calibri" w:hAnsi="Arial" w:cs="Arial"/>
          <w:lang w:val="es-ES_tradnl"/>
        </w:rPr>
        <w:t xml:space="preserve">. </w:t>
      </w:r>
      <w:r w:rsidRPr="003953CA">
        <w:rPr>
          <w:rFonts w:ascii="Arial" w:eastAsia="Calibri" w:hAnsi="Arial" w:cs="Arial"/>
          <w:lang w:val="es-ES_tradnl"/>
        </w:rPr>
        <w:t>En tal sentido, la Sección Tercera ha señalado que:</w:t>
      </w:r>
    </w:p>
    <w:p w14:paraId="299B31ED" w14:textId="77777777" w:rsidR="004F4C46" w:rsidRPr="003953CA" w:rsidRDefault="004F4C46" w:rsidP="004F4C46">
      <w:pPr>
        <w:spacing w:after="0"/>
        <w:ind w:firstLine="709"/>
        <w:jc w:val="both"/>
        <w:rPr>
          <w:rFonts w:ascii="Arial" w:eastAsia="Calibri" w:hAnsi="Arial" w:cs="Arial"/>
          <w:lang w:val="es-ES_tradnl"/>
        </w:rPr>
      </w:pPr>
    </w:p>
    <w:p w14:paraId="41D72757" w14:textId="77777777" w:rsidR="004F4C46" w:rsidRDefault="004F4C46" w:rsidP="004F4C46">
      <w:pPr>
        <w:spacing w:after="0" w:line="240" w:lineRule="auto"/>
        <w:ind w:left="709" w:right="709"/>
        <w:jc w:val="both"/>
        <w:rPr>
          <w:rFonts w:ascii="Arial" w:eastAsia="Calibri" w:hAnsi="Arial" w:cs="Arial"/>
          <w:lang w:val="es-ES_tradnl"/>
        </w:rPr>
      </w:pPr>
      <w:r w:rsidRPr="003953CA">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Pr>
          <w:rStyle w:val="Refdenotaalpie"/>
          <w:rFonts w:ascii="Arial" w:hAnsi="Arial" w:cs="Arial"/>
          <w:sz w:val="21"/>
          <w:szCs w:val="21"/>
          <w:lang w:val="es-ES_tradnl"/>
        </w:rPr>
        <w:footnoteReference w:id="21"/>
      </w:r>
      <w:r>
        <w:rPr>
          <w:rFonts w:ascii="Arial" w:hAnsi="Arial" w:cs="Arial"/>
          <w:sz w:val="21"/>
          <w:szCs w:val="21"/>
          <w:lang w:val="es-ES_tradnl"/>
        </w:rPr>
        <w:t>.</w:t>
      </w:r>
    </w:p>
    <w:p w14:paraId="760D1110" w14:textId="77777777" w:rsidR="004F4C46" w:rsidRDefault="004F4C46" w:rsidP="004F4C46">
      <w:pPr>
        <w:spacing w:after="0" w:line="276" w:lineRule="auto"/>
        <w:ind w:firstLine="709"/>
        <w:jc w:val="both"/>
        <w:rPr>
          <w:rFonts w:ascii="Arial" w:eastAsia="Calibri" w:hAnsi="Arial" w:cs="Arial"/>
          <w:lang w:val="es-ES_tradnl"/>
        </w:rPr>
      </w:pPr>
    </w:p>
    <w:p w14:paraId="6E54988F" w14:textId="77777777" w:rsidR="004F4C46" w:rsidRDefault="004F4C46" w:rsidP="004F4C46">
      <w:pPr>
        <w:ind w:firstLine="709"/>
        <w:jc w:val="both"/>
        <w:rPr>
          <w:rFonts w:ascii="Arial" w:eastAsia="Calibri" w:hAnsi="Arial" w:cs="Arial"/>
          <w:lang w:val="es-ES_tradnl"/>
        </w:rPr>
      </w:pPr>
      <w:r w:rsidRPr="003953CA">
        <w:rPr>
          <w:rFonts w:ascii="Arial" w:eastAsia="Calibri" w:hAnsi="Arial" w:cs="Arial"/>
          <w:lang w:val="es-ES_tradnl"/>
        </w:rPr>
        <w:t>También ha dicho que:</w:t>
      </w:r>
    </w:p>
    <w:p w14:paraId="3E6D88A1" w14:textId="77777777" w:rsidR="004F4C46" w:rsidRDefault="004F4C46" w:rsidP="004F4C46">
      <w:pPr>
        <w:spacing w:after="0" w:line="240" w:lineRule="auto"/>
        <w:ind w:left="709" w:right="616"/>
        <w:jc w:val="both"/>
        <w:rPr>
          <w:rFonts w:ascii="Arial" w:hAnsi="Arial" w:cs="Arial"/>
          <w:sz w:val="21"/>
          <w:szCs w:val="21"/>
          <w:lang w:val="es-ES_tradnl"/>
        </w:rPr>
      </w:pPr>
      <w:r w:rsidRPr="003953CA">
        <w:rPr>
          <w:rFonts w:ascii="Arial" w:hAnsi="Arial" w:cs="Arial"/>
          <w:sz w:val="21"/>
          <w:szCs w:val="21"/>
          <w:lang w:val="es-ES_tradnl"/>
        </w:rPr>
        <w:t xml:space="preserve">[…] la aplicación de estos preceptos exige una interpretación restrictiva, dado que según el principio hermenéutico </w:t>
      </w:r>
      <w:r w:rsidRPr="003953CA">
        <w:rPr>
          <w:rFonts w:ascii="Arial" w:hAnsi="Arial" w:cs="Arial"/>
          <w:i/>
          <w:iCs/>
          <w:sz w:val="21"/>
          <w:szCs w:val="21"/>
          <w:lang w:val="es-ES_tradnl"/>
        </w:rPr>
        <w:t>pro libertate</w:t>
      </w:r>
      <w:r w:rsidRPr="003953CA">
        <w:rPr>
          <w:rFonts w:ascii="Arial" w:hAnsi="Arial" w:cs="Arial"/>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w:t>
      </w:r>
      <w:r w:rsidRPr="003953CA">
        <w:rPr>
          <w:rFonts w:ascii="Arial" w:hAnsi="Arial" w:cs="Arial"/>
          <w:sz w:val="21"/>
          <w:szCs w:val="21"/>
          <w:lang w:val="es-ES_tradnl"/>
        </w:rPr>
        <w:lastRenderedPageBreak/>
        <w:t>vulnerarían los derechos fundamentales al debido proceso (art. 29 CN) y a la igualdad (art. 13 Ibid.); […]</w:t>
      </w:r>
      <w:r>
        <w:rPr>
          <w:rStyle w:val="Refdenotaalpie"/>
          <w:rFonts w:ascii="Arial" w:hAnsi="Arial" w:cs="Arial"/>
          <w:sz w:val="21"/>
          <w:szCs w:val="21"/>
          <w:lang w:val="es-ES_tradnl"/>
        </w:rPr>
        <w:footnoteReference w:id="22"/>
      </w:r>
      <w:r>
        <w:rPr>
          <w:rFonts w:ascii="Arial" w:hAnsi="Arial" w:cs="Arial"/>
          <w:sz w:val="21"/>
          <w:szCs w:val="21"/>
          <w:lang w:val="es-ES_tradnl"/>
        </w:rPr>
        <w:t>.</w:t>
      </w:r>
    </w:p>
    <w:p w14:paraId="0B1F6ADF" w14:textId="77777777" w:rsidR="004F4C46" w:rsidRDefault="004F4C46" w:rsidP="004F4C46">
      <w:pPr>
        <w:spacing w:after="0"/>
        <w:ind w:firstLine="708"/>
        <w:jc w:val="both"/>
        <w:rPr>
          <w:rFonts w:ascii="Arial" w:eastAsia="Arial" w:hAnsi="Arial" w:cs="Arial"/>
          <w:color w:val="000000"/>
          <w:lang w:val="es-ES_tradnl"/>
        </w:rPr>
      </w:pPr>
    </w:p>
    <w:p w14:paraId="4F53B372" w14:textId="77777777" w:rsidR="004F4C46" w:rsidRDefault="004F4C46" w:rsidP="004F4C46">
      <w:pPr>
        <w:spacing w:after="120"/>
        <w:ind w:firstLine="708"/>
        <w:jc w:val="both"/>
        <w:rPr>
          <w:rFonts w:ascii="Arial" w:hAnsi="Arial" w:cs="Arial"/>
          <w:color w:val="000000" w:themeColor="text1"/>
        </w:rPr>
      </w:pPr>
      <w:r>
        <w:rPr>
          <w:rFonts w:ascii="Arial" w:eastAsia="Arial" w:hAnsi="Arial" w:cs="Arial"/>
          <w:color w:val="000000"/>
          <w:lang w:val="es-ES_tradnl"/>
        </w:rPr>
        <w:t xml:space="preserve">Como se aprecia, el principio </w:t>
      </w:r>
      <w:r>
        <w:rPr>
          <w:rFonts w:ascii="Arial" w:eastAsia="Arial" w:hAnsi="Arial" w:cs="Arial"/>
          <w:i/>
          <w:iCs/>
          <w:color w:val="000000"/>
          <w:lang w:val="es-ES_tradnl"/>
        </w:rPr>
        <w:t>pro libertate</w:t>
      </w:r>
      <w:r>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w:t>
      </w:r>
      <w:r w:rsidRPr="009A0FE0">
        <w:rPr>
          <w:rFonts w:ascii="Arial" w:hAnsi="Arial" w:cs="Arial"/>
          <w:color w:val="000000" w:themeColor="text1"/>
        </w:rPr>
        <w:t>Congreso de la República, conforme al artículo 150 de la Constitución Política, y que en esta materia rige el principio de legalidad</w:t>
      </w:r>
      <w:r w:rsidRPr="009A0FE0">
        <w:rPr>
          <w:rStyle w:val="Refdenotaalpie"/>
          <w:rFonts w:ascii="Arial" w:hAnsi="Arial" w:cs="Arial"/>
          <w:color w:val="000000" w:themeColor="text1"/>
        </w:rPr>
        <w:footnoteReference w:id="23"/>
      </w:r>
    </w:p>
    <w:p w14:paraId="5917EC5D" w14:textId="77777777" w:rsidR="004F4C46" w:rsidRPr="00427F40" w:rsidRDefault="004F4C46" w:rsidP="004F4C46">
      <w:pPr>
        <w:spacing w:after="0"/>
        <w:ind w:firstLine="709"/>
        <w:jc w:val="both"/>
        <w:rPr>
          <w:rFonts w:ascii="Arial" w:hAnsi="Arial" w:cs="Arial"/>
          <w:color w:val="000000"/>
          <w:shd w:val="clear" w:color="auto" w:fill="FFFFFF"/>
        </w:rPr>
      </w:pPr>
      <w:r w:rsidRPr="009A0FE0">
        <w:rPr>
          <w:rFonts w:ascii="Arial" w:hAnsi="Arial" w:cs="Arial"/>
          <w:shd w:val="clear" w:color="auto" w:fill="FFFFFF"/>
        </w:rPr>
        <w:t xml:space="preserve">En este sentido, retomando una idea </w:t>
      </w:r>
      <w:r w:rsidRPr="00BA5819">
        <w:rPr>
          <w:rFonts w:ascii="Arial" w:hAnsi="Arial" w:cs="Arial"/>
          <w:shd w:val="clear" w:color="auto" w:fill="FFFFFF"/>
        </w:rPr>
        <w:t xml:space="preserve">esbozada con anterioridad, la doctrina y la jurisprudencia son pacíficas en considerar que la creación de inhabilidades e incompatibilidades es un asunto con reserva de ley, en tanto, </w:t>
      </w:r>
      <w:r>
        <w:rPr>
          <w:rFonts w:ascii="Arial" w:hAnsi="Arial" w:cs="Arial"/>
          <w:shd w:val="clear" w:color="auto" w:fill="FFFFFF"/>
        </w:rPr>
        <w:t>“</w:t>
      </w:r>
      <w:r w:rsidRPr="00BA5819">
        <w:rPr>
          <w:rFonts w:ascii="Arial" w:hAnsi="Arial" w:cs="Arial"/>
          <w:shd w:val="clear" w:color="auto" w:fill="FFFFFF"/>
        </w:rPr>
        <w:t>[…] su previsión y desarrollo es materia exclusiva del legislador (reserva de ley), quien en virtud del principio democrático debe definir y tipificar expresamente sus causas, vigencia, naturaleza y efectos</w:t>
      </w:r>
      <w:r>
        <w:rPr>
          <w:rFonts w:ascii="Arial" w:hAnsi="Arial" w:cs="Arial"/>
          <w:shd w:val="clear" w:color="auto" w:fill="FFFFFF"/>
        </w:rPr>
        <w:t>”</w:t>
      </w:r>
      <w:r w:rsidRPr="00BA5819">
        <w:rPr>
          <w:rStyle w:val="Refdenotaalpie"/>
          <w:rFonts w:ascii="Arial" w:hAnsi="Arial" w:cs="Arial"/>
          <w:shd w:val="clear" w:color="auto" w:fill="FFFFFF"/>
        </w:rPr>
        <w:footnoteReference w:id="24"/>
      </w:r>
      <w:r w:rsidRPr="00BA5819">
        <w:rPr>
          <w:rFonts w:ascii="Arial" w:hAnsi="Arial" w:cs="Arial"/>
          <w:shd w:val="clear" w:color="auto" w:fill="FFFFFF"/>
        </w:rPr>
        <w:t xml:space="preserve"> En similar sentido, la Sala de Consulta y Servicio Civil del Consejo de Estado expresó </w:t>
      </w:r>
      <w:r w:rsidRPr="00BA5819">
        <w:rPr>
          <w:rFonts w:ascii="Arial" w:hAnsi="Arial" w:cs="Arial"/>
          <w:color w:val="000000"/>
          <w:shd w:val="clear" w:color="auto" w:fill="FFFFFF"/>
        </w:rPr>
        <w:t xml:space="preserve">que </w:t>
      </w:r>
      <w:r>
        <w:rPr>
          <w:rFonts w:ascii="Arial" w:hAnsi="Arial" w:cs="Arial"/>
          <w:color w:val="000000"/>
          <w:shd w:val="clear" w:color="auto" w:fill="FFFFFF"/>
        </w:rPr>
        <w:t>“</w:t>
      </w:r>
      <w:r w:rsidRPr="00BA5819">
        <w:rPr>
          <w:rFonts w:ascii="Arial" w:hAnsi="Arial" w:cs="Arial"/>
          <w:color w:val="000000"/>
          <w:shd w:val="clear" w:color="auto" w:fill="FFFFFF"/>
        </w:rPr>
        <w:t>[…] las causales de inhabilidad e incompatibilidad deben estar expresa y taxativamente establecidas en la Constitución o en la ley y son de aplicación e interpretación restrictivas […]</w:t>
      </w:r>
      <w:r>
        <w:rPr>
          <w:rFonts w:ascii="Arial" w:hAnsi="Arial" w:cs="Arial"/>
          <w:color w:val="000000"/>
          <w:shd w:val="clear" w:color="auto" w:fill="FFFFFF"/>
        </w:rPr>
        <w:t>”</w:t>
      </w:r>
      <w:r>
        <w:rPr>
          <w:rStyle w:val="Refdenotaalpie"/>
          <w:rFonts w:ascii="Arial" w:hAnsi="Arial" w:cs="Arial"/>
          <w:color w:val="000000"/>
          <w:shd w:val="clear" w:color="auto" w:fill="FFFFFF"/>
        </w:rPr>
        <w:footnoteReference w:id="25"/>
      </w:r>
      <w:r>
        <w:rPr>
          <w:rFonts w:ascii="Arial" w:hAnsi="Arial" w:cs="Arial"/>
          <w:color w:val="000000"/>
          <w:shd w:val="clear" w:color="auto" w:fill="FFFFFF"/>
        </w:rPr>
        <w:t xml:space="preserve">. </w:t>
      </w:r>
      <w:r w:rsidRPr="0086722E">
        <w:rPr>
          <w:rFonts w:ascii="Arial" w:hAnsi="Arial" w:cs="Arial"/>
          <w:color w:val="000000"/>
          <w:shd w:val="clear" w:color="auto" w:fill="FFFFFF"/>
        </w:rPr>
        <w:t>En este sentido, como se observa, existe consenso</w:t>
      </w:r>
      <w:r>
        <w:rPr>
          <w:rFonts w:ascii="Arial" w:hAnsi="Arial" w:cs="Arial"/>
          <w:color w:val="000000"/>
          <w:shd w:val="clear" w:color="auto" w:fill="FFFFFF"/>
        </w:rPr>
        <w:t xml:space="preserve">, incluso como lo ha expresado esta Agencia en ocasiones anteriores, que la creación de inhabilidades o incompatibilidades está reservada al constituyente o al legislador. </w:t>
      </w:r>
    </w:p>
    <w:p w14:paraId="05D37E5C" w14:textId="77777777" w:rsidR="004F4C46" w:rsidRPr="003953CA" w:rsidRDefault="004F4C46" w:rsidP="004F4C46">
      <w:pPr>
        <w:spacing w:after="0"/>
        <w:jc w:val="both"/>
        <w:rPr>
          <w:rFonts w:ascii="Arial" w:eastAsia="Calibri" w:hAnsi="Arial" w:cs="Arial"/>
          <w:lang w:val="es-ES_tradnl"/>
        </w:rPr>
      </w:pPr>
    </w:p>
    <w:p w14:paraId="1DA34958" w14:textId="77777777" w:rsidR="004F4C46" w:rsidRPr="00504597" w:rsidRDefault="004F4C46" w:rsidP="004F4C46">
      <w:pPr>
        <w:spacing w:after="0" w:line="276" w:lineRule="auto"/>
        <w:jc w:val="both"/>
        <w:rPr>
          <w:rFonts w:ascii="Arial" w:eastAsia="Calibri" w:hAnsi="Arial" w:cs="Arial"/>
          <w:color w:val="000000" w:themeColor="text1"/>
          <w:lang w:val="es-ES"/>
        </w:rPr>
      </w:pPr>
      <w:r w:rsidRPr="003953CA">
        <w:rPr>
          <w:rFonts w:ascii="Arial" w:eastAsia="Calibri" w:hAnsi="Arial" w:cs="Arial"/>
          <w:b/>
          <w:bCs/>
          <w:lang w:val="es-ES_tradnl"/>
        </w:rPr>
        <w:t xml:space="preserve">2.3. </w:t>
      </w:r>
      <w:r w:rsidRPr="00DC1343">
        <w:rPr>
          <w:rFonts w:ascii="Arial" w:eastAsia="Calibri" w:hAnsi="Arial" w:cs="Arial"/>
          <w:b/>
          <w:bCs/>
          <w:lang w:val="es-ES_tradnl"/>
        </w:rPr>
        <w:t>Registro de Deudores Alimentarios Morosos</w:t>
      </w:r>
      <w:r>
        <w:rPr>
          <w:rFonts w:ascii="Arial" w:eastAsia="Calibri" w:hAnsi="Arial" w:cs="Arial"/>
          <w:b/>
          <w:bCs/>
          <w:lang w:val="es-ES_tradnl"/>
        </w:rPr>
        <w:t xml:space="preserve">. </w:t>
      </w:r>
      <w:r>
        <w:rPr>
          <w:rFonts w:ascii="Arial" w:eastAsia="Calibri" w:hAnsi="Arial" w:cs="Arial"/>
          <w:b/>
          <w:bCs/>
          <w:lang w:val="es-ES"/>
        </w:rPr>
        <w:t>A</w:t>
      </w:r>
      <w:r w:rsidRPr="005C7A8F">
        <w:rPr>
          <w:rFonts w:ascii="Arial" w:eastAsia="Calibri" w:hAnsi="Arial" w:cs="Arial"/>
          <w:b/>
          <w:bCs/>
          <w:lang w:val="es-ES"/>
        </w:rPr>
        <w:t>lcance de la restricción prevista en el artículo 6.1 de la Ley 2097 de 2021, reglamentada por el Decreto 1310 de 2022</w:t>
      </w:r>
    </w:p>
    <w:p w14:paraId="1C41781B" w14:textId="77777777" w:rsidR="004F4C46" w:rsidRDefault="004F4C46" w:rsidP="004F4C46">
      <w:pPr>
        <w:tabs>
          <w:tab w:val="left" w:pos="0"/>
        </w:tabs>
        <w:spacing w:after="0" w:line="276" w:lineRule="auto"/>
        <w:jc w:val="both"/>
        <w:rPr>
          <w:rFonts w:ascii="Arial" w:eastAsia="Calibri" w:hAnsi="Arial" w:cs="Arial"/>
          <w:b/>
          <w:color w:val="000000" w:themeColor="text1"/>
        </w:rPr>
      </w:pPr>
    </w:p>
    <w:p w14:paraId="16A9740F" w14:textId="77777777" w:rsidR="004F4C46" w:rsidRDefault="004F4C46" w:rsidP="004F4C46">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 xml:space="preserve">El 2 de julio de 2021, el Gobierno Nacional sancionó la Ley Estatutaria 2097 de 2021, cuyo objeto –de acuerdo con el artículo 1– consiste en “[…] </w:t>
      </w:r>
      <w:r w:rsidRPr="007A0798">
        <w:rPr>
          <w:rFonts w:ascii="Arial" w:eastAsia="Calibri" w:hAnsi="Arial" w:cs="Arial"/>
          <w:bCs/>
          <w:color w:val="000000" w:themeColor="text1"/>
        </w:rPr>
        <w:t xml:space="preserve">establecer medidas para garantizar el cumplimiento de las obligaciones alimentarias y crear el Registro de Deudores </w:t>
      </w:r>
      <w:r w:rsidRPr="007A0798">
        <w:rPr>
          <w:rFonts w:ascii="Arial" w:eastAsia="Calibri" w:hAnsi="Arial" w:cs="Arial"/>
          <w:bCs/>
          <w:color w:val="000000" w:themeColor="text1"/>
        </w:rPr>
        <w:lastRenderedPageBreak/>
        <w:t>Alimentarios Morosos (Redam), como mecanismo de control al incumplimiento de las obligaciones alimentarias</w:t>
      </w:r>
      <w:r>
        <w:rPr>
          <w:rFonts w:ascii="Arial" w:eastAsia="Calibri" w:hAnsi="Arial" w:cs="Arial"/>
          <w:bCs/>
          <w:color w:val="000000" w:themeColor="text1"/>
        </w:rPr>
        <w:t>”</w:t>
      </w:r>
      <w:r w:rsidRPr="007A0798">
        <w:rPr>
          <w:rFonts w:ascii="Arial" w:eastAsia="Calibri" w:hAnsi="Arial" w:cs="Arial"/>
          <w:bCs/>
          <w:color w:val="000000" w:themeColor="text1"/>
        </w:rPr>
        <w:t>.</w:t>
      </w:r>
      <w:r>
        <w:rPr>
          <w:rFonts w:ascii="Arial" w:eastAsia="Calibri" w:hAnsi="Arial" w:cs="Arial"/>
          <w:bCs/>
          <w:color w:val="000000" w:themeColor="text1"/>
        </w:rPr>
        <w:t xml:space="preserve"> Conforme a la exposición de motivos del proyecto ley, e</w:t>
      </w:r>
      <w:r w:rsidRPr="007A0798">
        <w:rPr>
          <w:rFonts w:ascii="Arial" w:eastAsia="Calibri" w:hAnsi="Arial" w:cs="Arial"/>
          <w:bCs/>
          <w:color w:val="000000" w:themeColor="text1"/>
        </w:rPr>
        <w:t xml:space="preserve">xiste </w:t>
      </w:r>
      <w:r>
        <w:rPr>
          <w:rFonts w:ascii="Arial" w:eastAsia="Calibri" w:hAnsi="Arial" w:cs="Arial"/>
          <w:bCs/>
          <w:color w:val="000000" w:themeColor="text1"/>
        </w:rPr>
        <w:t>una</w:t>
      </w:r>
      <w:r w:rsidRPr="007A0798">
        <w:rPr>
          <w:rFonts w:ascii="Arial" w:eastAsia="Calibri" w:hAnsi="Arial" w:cs="Arial"/>
          <w:bCs/>
          <w:color w:val="000000" w:themeColor="text1"/>
        </w:rPr>
        <w:t xml:space="preserve"> vulneración de derechos al interior de la institución familiar</w:t>
      </w:r>
      <w:r>
        <w:rPr>
          <w:rFonts w:ascii="Arial" w:eastAsia="Calibri" w:hAnsi="Arial" w:cs="Arial"/>
          <w:bCs/>
          <w:color w:val="000000" w:themeColor="text1"/>
        </w:rPr>
        <w:t xml:space="preserve">, cuyo </w:t>
      </w:r>
      <w:r w:rsidRPr="007A0798">
        <w:rPr>
          <w:rFonts w:ascii="Arial" w:eastAsia="Calibri" w:hAnsi="Arial" w:cs="Arial"/>
          <w:bCs/>
          <w:color w:val="000000" w:themeColor="text1"/>
        </w:rPr>
        <w:t xml:space="preserve">despliegue en materia de política pública ha sido limitado </w:t>
      </w:r>
      <w:r>
        <w:rPr>
          <w:rFonts w:ascii="Arial" w:eastAsia="Calibri" w:hAnsi="Arial" w:cs="Arial"/>
          <w:bCs/>
          <w:color w:val="000000" w:themeColor="text1"/>
        </w:rPr>
        <w:t>y</w:t>
      </w:r>
      <w:r w:rsidRPr="007A0798">
        <w:rPr>
          <w:rFonts w:ascii="Arial" w:eastAsia="Calibri" w:hAnsi="Arial" w:cs="Arial"/>
          <w:bCs/>
          <w:color w:val="000000" w:themeColor="text1"/>
        </w:rPr>
        <w:t xml:space="preserve"> resulta insuficiente para atender </w:t>
      </w:r>
      <w:r>
        <w:rPr>
          <w:rFonts w:ascii="Arial" w:eastAsia="Calibri" w:hAnsi="Arial" w:cs="Arial"/>
          <w:bCs/>
          <w:color w:val="000000" w:themeColor="text1"/>
        </w:rPr>
        <w:t>la problemática asociada a</w:t>
      </w:r>
      <w:r w:rsidRPr="007A0798">
        <w:rPr>
          <w:rFonts w:ascii="Arial" w:eastAsia="Calibri" w:hAnsi="Arial" w:cs="Arial"/>
          <w:bCs/>
          <w:color w:val="000000" w:themeColor="text1"/>
        </w:rPr>
        <w:t xml:space="preserve">l incumplimiento </w:t>
      </w:r>
      <w:r>
        <w:rPr>
          <w:rFonts w:ascii="Arial" w:eastAsia="Calibri" w:hAnsi="Arial" w:cs="Arial"/>
          <w:bCs/>
          <w:color w:val="000000" w:themeColor="text1"/>
        </w:rPr>
        <w:t xml:space="preserve">de la obligación legal prevista en el Título XXI del Libro Primero del Código Civil, especialmente, en el caso de los menores de edad, </w:t>
      </w:r>
      <w:r w:rsidRPr="00D26743">
        <w:rPr>
          <w:rFonts w:ascii="Arial" w:eastAsia="Calibri" w:hAnsi="Arial" w:cs="Arial"/>
          <w:bCs/>
          <w:color w:val="000000" w:themeColor="text1"/>
        </w:rPr>
        <w:t>con las repercusiones que esta tiene tanto para</w:t>
      </w:r>
      <w:r>
        <w:rPr>
          <w:rFonts w:ascii="Arial" w:eastAsia="Calibri" w:hAnsi="Arial" w:cs="Arial"/>
          <w:bCs/>
          <w:color w:val="000000" w:themeColor="text1"/>
        </w:rPr>
        <w:t xml:space="preserve"> </w:t>
      </w:r>
      <w:r w:rsidRPr="00D26743">
        <w:rPr>
          <w:rFonts w:ascii="Arial" w:eastAsia="Calibri" w:hAnsi="Arial" w:cs="Arial"/>
          <w:bCs/>
          <w:color w:val="000000" w:themeColor="text1"/>
        </w:rPr>
        <w:t xml:space="preserve">ellos como para </w:t>
      </w:r>
      <w:r>
        <w:rPr>
          <w:rFonts w:ascii="Arial" w:eastAsia="Calibri" w:hAnsi="Arial" w:cs="Arial"/>
          <w:bCs/>
          <w:color w:val="000000" w:themeColor="text1"/>
        </w:rPr>
        <w:t xml:space="preserve">quien </w:t>
      </w:r>
      <w:r w:rsidRPr="00D26743">
        <w:rPr>
          <w:rFonts w:ascii="Arial" w:eastAsia="Calibri" w:hAnsi="Arial" w:cs="Arial"/>
          <w:bCs/>
          <w:color w:val="000000" w:themeColor="text1"/>
        </w:rPr>
        <w:t>tiene la</w:t>
      </w:r>
      <w:r>
        <w:rPr>
          <w:rFonts w:ascii="Arial" w:eastAsia="Calibri" w:hAnsi="Arial" w:cs="Arial"/>
          <w:bCs/>
          <w:color w:val="000000" w:themeColor="text1"/>
        </w:rPr>
        <w:t xml:space="preserve"> </w:t>
      </w:r>
      <w:r w:rsidRPr="00D26743">
        <w:rPr>
          <w:rFonts w:ascii="Arial" w:eastAsia="Calibri" w:hAnsi="Arial" w:cs="Arial"/>
          <w:bCs/>
          <w:color w:val="000000" w:themeColor="text1"/>
        </w:rPr>
        <w:t>responsabilidad del cuidado y manutención</w:t>
      </w:r>
      <w:r>
        <w:rPr>
          <w:rFonts w:ascii="Arial" w:eastAsia="Calibri" w:hAnsi="Arial" w:cs="Arial"/>
          <w:bCs/>
          <w:color w:val="000000" w:themeColor="text1"/>
        </w:rPr>
        <w:t xml:space="preserve">. Por ello, tomado como referencia </w:t>
      </w:r>
      <w:r w:rsidRPr="00D26743">
        <w:rPr>
          <w:rFonts w:ascii="Arial" w:eastAsia="Calibri" w:hAnsi="Arial" w:cs="Arial"/>
          <w:bCs/>
          <w:color w:val="000000" w:themeColor="text1"/>
        </w:rPr>
        <w:t>legislaciones</w:t>
      </w:r>
      <w:r>
        <w:rPr>
          <w:rFonts w:ascii="Arial" w:eastAsia="Calibri" w:hAnsi="Arial" w:cs="Arial"/>
          <w:bCs/>
          <w:color w:val="000000" w:themeColor="text1"/>
        </w:rPr>
        <w:t xml:space="preserve"> </w:t>
      </w:r>
      <w:r w:rsidRPr="00D26743">
        <w:rPr>
          <w:rFonts w:ascii="Arial" w:eastAsia="Calibri" w:hAnsi="Arial" w:cs="Arial"/>
          <w:bCs/>
          <w:color w:val="000000" w:themeColor="text1"/>
        </w:rPr>
        <w:t xml:space="preserve">foráneas como Estados Unidos, Perú, Uruguay, </w:t>
      </w:r>
      <w:r>
        <w:rPr>
          <w:rFonts w:ascii="Arial" w:eastAsia="Calibri" w:hAnsi="Arial" w:cs="Arial"/>
          <w:bCs/>
          <w:color w:val="000000" w:themeColor="text1"/>
        </w:rPr>
        <w:t xml:space="preserve">así como </w:t>
      </w:r>
      <w:r w:rsidRPr="00D26743">
        <w:rPr>
          <w:rFonts w:ascii="Arial" w:eastAsia="Calibri" w:hAnsi="Arial" w:cs="Arial"/>
          <w:bCs/>
          <w:color w:val="000000" w:themeColor="text1"/>
        </w:rPr>
        <w:t>normatividades análogas en provincias y estados</w:t>
      </w:r>
      <w:r>
        <w:rPr>
          <w:rFonts w:ascii="Arial" w:eastAsia="Calibri" w:hAnsi="Arial" w:cs="Arial"/>
          <w:bCs/>
          <w:color w:val="000000" w:themeColor="text1"/>
        </w:rPr>
        <w:t xml:space="preserve"> </w:t>
      </w:r>
      <w:r w:rsidRPr="00D26743">
        <w:rPr>
          <w:rFonts w:ascii="Arial" w:eastAsia="Calibri" w:hAnsi="Arial" w:cs="Arial"/>
          <w:bCs/>
          <w:color w:val="000000" w:themeColor="text1"/>
        </w:rPr>
        <w:t>como Buenos Aires y Córdoba, en la Argentina</w:t>
      </w:r>
      <w:r>
        <w:rPr>
          <w:rFonts w:ascii="Arial" w:eastAsia="Calibri" w:hAnsi="Arial" w:cs="Arial"/>
          <w:bCs/>
          <w:color w:val="000000" w:themeColor="text1"/>
        </w:rPr>
        <w:t>,</w:t>
      </w:r>
      <w:r w:rsidRPr="00D26743">
        <w:rPr>
          <w:rFonts w:ascii="Arial" w:eastAsia="Calibri" w:hAnsi="Arial" w:cs="Arial"/>
          <w:bCs/>
          <w:color w:val="000000" w:themeColor="text1"/>
        </w:rPr>
        <w:t xml:space="preserve"> y</w:t>
      </w:r>
      <w:r>
        <w:rPr>
          <w:rFonts w:ascii="Arial" w:eastAsia="Calibri" w:hAnsi="Arial" w:cs="Arial"/>
          <w:bCs/>
          <w:color w:val="000000" w:themeColor="text1"/>
        </w:rPr>
        <w:t xml:space="preserve"> </w:t>
      </w:r>
      <w:r w:rsidRPr="00D26743">
        <w:rPr>
          <w:rFonts w:ascii="Arial" w:eastAsia="Calibri" w:hAnsi="Arial" w:cs="Arial"/>
          <w:bCs/>
          <w:color w:val="000000" w:themeColor="text1"/>
        </w:rPr>
        <w:t>la Ciudad de México, en México</w:t>
      </w:r>
      <w:r>
        <w:rPr>
          <w:rFonts w:ascii="Arial" w:eastAsia="Calibri" w:hAnsi="Arial" w:cs="Arial"/>
          <w:bCs/>
          <w:color w:val="000000" w:themeColor="text1"/>
        </w:rPr>
        <w:t>, los ponentes de la iniciativa concluyeron que “</w:t>
      </w:r>
      <w:r w:rsidRPr="00D26743">
        <w:rPr>
          <w:rFonts w:ascii="Arial" w:eastAsia="Calibri" w:hAnsi="Arial" w:cs="Arial"/>
          <w:bCs/>
          <w:color w:val="000000" w:themeColor="text1"/>
        </w:rPr>
        <w:t>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r>
        <w:rPr>
          <w:rFonts w:ascii="Arial" w:eastAsia="Calibri" w:hAnsi="Arial" w:cs="Arial"/>
          <w:bCs/>
          <w:color w:val="000000" w:themeColor="text1"/>
        </w:rPr>
        <w:t>”</w:t>
      </w:r>
      <w:r>
        <w:rPr>
          <w:rStyle w:val="Refdenotaalpie"/>
          <w:rFonts w:ascii="Arial" w:eastAsia="Calibri" w:hAnsi="Arial" w:cs="Arial"/>
          <w:bCs/>
          <w:color w:val="000000" w:themeColor="text1"/>
        </w:rPr>
        <w:footnoteReference w:id="26"/>
      </w:r>
      <w:r w:rsidRPr="00D26743">
        <w:rPr>
          <w:rFonts w:ascii="Arial" w:eastAsia="Calibri" w:hAnsi="Arial" w:cs="Arial"/>
          <w:bCs/>
          <w:color w:val="000000" w:themeColor="text1"/>
        </w:rPr>
        <w:t>.</w:t>
      </w:r>
    </w:p>
    <w:p w14:paraId="7DD62B87" w14:textId="77777777" w:rsidR="004F4C46" w:rsidRDefault="004F4C46" w:rsidP="004F4C46">
      <w:pPr>
        <w:tabs>
          <w:tab w:val="left" w:pos="0"/>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r>
      <w:bookmarkStart w:id="9" w:name="_Hlk132035301"/>
      <w:r>
        <w:rPr>
          <w:rFonts w:ascii="Arial" w:eastAsia="Calibri" w:hAnsi="Arial" w:cs="Arial"/>
          <w:bCs/>
          <w:color w:val="000000" w:themeColor="text1"/>
        </w:rPr>
        <w:t xml:space="preserve">Etimológicamente, la palabra “alimentos” deriva de la expresión latina </w:t>
      </w:r>
      <w:r w:rsidRPr="00815C45">
        <w:rPr>
          <w:rFonts w:ascii="Arial" w:eastAsia="Calibri" w:hAnsi="Arial" w:cs="Arial"/>
          <w:bCs/>
          <w:i/>
          <w:iCs/>
          <w:color w:val="000000" w:themeColor="text1"/>
        </w:rPr>
        <w:t>alimentum</w:t>
      </w:r>
      <w:r>
        <w:rPr>
          <w:rFonts w:ascii="Arial" w:eastAsia="Calibri" w:hAnsi="Arial" w:cs="Arial"/>
          <w:bCs/>
          <w:color w:val="000000" w:themeColor="text1"/>
        </w:rPr>
        <w:t xml:space="preserve">, la cual se compone del verbo </w:t>
      </w:r>
      <w:r w:rsidRPr="00815C45">
        <w:rPr>
          <w:rFonts w:ascii="Arial" w:eastAsia="Calibri" w:hAnsi="Arial" w:cs="Arial"/>
          <w:bCs/>
          <w:i/>
          <w:iCs/>
          <w:color w:val="000000" w:themeColor="text1"/>
        </w:rPr>
        <w:t>alere</w:t>
      </w:r>
      <w:r>
        <w:rPr>
          <w:rFonts w:ascii="Arial" w:eastAsia="Calibri" w:hAnsi="Arial" w:cs="Arial"/>
          <w:bCs/>
          <w:color w:val="000000" w:themeColor="text1"/>
        </w:rPr>
        <w:t xml:space="preserve"> –que significa criar, nutrir o hacer crecer– y el sufijo </w:t>
      </w:r>
      <w:r w:rsidRPr="00815C45">
        <w:rPr>
          <w:rFonts w:ascii="Arial" w:eastAsia="Calibri" w:hAnsi="Arial" w:cs="Arial"/>
          <w:bCs/>
          <w:i/>
          <w:iCs/>
          <w:color w:val="000000" w:themeColor="text1"/>
        </w:rPr>
        <w:t>mento</w:t>
      </w:r>
      <w:r>
        <w:rPr>
          <w:rFonts w:ascii="Arial" w:eastAsia="Calibri" w:hAnsi="Arial" w:cs="Arial"/>
          <w:bCs/>
          <w:color w:val="000000" w:themeColor="text1"/>
        </w:rPr>
        <w:t xml:space="preserve"> –que indica medio, instrumento o modo–</w:t>
      </w:r>
      <w:r>
        <w:rPr>
          <w:rStyle w:val="Refdenotaalpie"/>
          <w:rFonts w:ascii="Arial" w:eastAsia="Calibri" w:hAnsi="Arial" w:cs="Arial"/>
          <w:bCs/>
          <w:color w:val="000000" w:themeColor="text1"/>
        </w:rPr>
        <w:footnoteReference w:id="27"/>
      </w:r>
      <w:r>
        <w:rPr>
          <w:rFonts w:ascii="Arial" w:eastAsia="Calibri" w:hAnsi="Arial" w:cs="Arial"/>
          <w:bCs/>
          <w:color w:val="000000" w:themeColor="text1"/>
        </w:rPr>
        <w:t>. Aunque en el uso coloquial, con fundamento en el Diccionario de la RAE, los alimentos se refieren al “</w:t>
      </w:r>
      <w:r w:rsidRPr="00D5409E">
        <w:rPr>
          <w:rFonts w:ascii="Arial" w:eastAsia="Calibri" w:hAnsi="Arial" w:cs="Arial"/>
          <w:bCs/>
          <w:color w:val="000000" w:themeColor="text1"/>
        </w:rPr>
        <w:t>Conjunto de sustancias que los seres vivos comen o beben para subsistir</w:t>
      </w:r>
      <w:r>
        <w:rPr>
          <w:rFonts w:ascii="Arial" w:eastAsia="Calibri" w:hAnsi="Arial" w:cs="Arial"/>
          <w:bCs/>
          <w:color w:val="000000" w:themeColor="text1"/>
        </w:rPr>
        <w:t>”, en el ámbito jurídico hace referencia a una de las fuentes de las obligaciones previstas en el artículo 1494 del Código Civil</w:t>
      </w:r>
      <w:r>
        <w:rPr>
          <w:rStyle w:val="Refdenotaalpie"/>
          <w:rFonts w:ascii="Arial" w:eastAsia="Calibri" w:hAnsi="Arial" w:cs="Arial"/>
          <w:bCs/>
          <w:color w:val="000000" w:themeColor="text1"/>
        </w:rPr>
        <w:footnoteReference w:id="28"/>
      </w:r>
      <w:r>
        <w:rPr>
          <w:rFonts w:ascii="Arial" w:eastAsia="Calibri" w:hAnsi="Arial" w:cs="Arial"/>
          <w:bCs/>
          <w:color w:val="000000" w:themeColor="text1"/>
        </w:rPr>
        <w:t>. Dicha obligación va más allá del simple deber moral, por lo que la ley positiva la dota de coercibilidad como una obligación civil, la cual se fundamenta en la solidaridad de la familia, es decir, en las estrechas relaciones que deben unir a los miembros de un mismo grupo familiar, lo que impone a estos la obligación estricta de suministrar su subsistencia a aquellos que no alcanzan a asegurarla por su trabajo personal</w:t>
      </w:r>
      <w:r>
        <w:rPr>
          <w:rStyle w:val="Refdenotaalpie"/>
          <w:rFonts w:ascii="Arial" w:eastAsia="Calibri" w:hAnsi="Arial" w:cs="Arial"/>
          <w:bCs/>
          <w:color w:val="000000" w:themeColor="text1"/>
        </w:rPr>
        <w:footnoteReference w:id="29"/>
      </w:r>
      <w:r>
        <w:rPr>
          <w:rFonts w:ascii="Arial" w:eastAsia="Calibri" w:hAnsi="Arial" w:cs="Arial"/>
          <w:bCs/>
          <w:color w:val="000000" w:themeColor="text1"/>
        </w:rPr>
        <w:t xml:space="preserve">. Por ello, la doctrina define la obligación alimentaria como “[…] la prestación que pesa sobre determinadas personas económicamente posibilitadas, para que en algunos de sus </w:t>
      </w:r>
      <w:r>
        <w:rPr>
          <w:rFonts w:ascii="Arial" w:eastAsia="Calibri" w:hAnsi="Arial" w:cs="Arial"/>
          <w:bCs/>
          <w:color w:val="000000" w:themeColor="text1"/>
        </w:rPr>
        <w:lastRenderedPageBreak/>
        <w:t>parientes pobres u otras personas que la ley señala puedan subvenir a las necesidades de su existencia”</w:t>
      </w:r>
      <w:r>
        <w:rPr>
          <w:rStyle w:val="Refdenotaalpie"/>
          <w:rFonts w:ascii="Arial" w:eastAsia="Calibri" w:hAnsi="Arial" w:cs="Arial"/>
          <w:bCs/>
          <w:color w:val="000000" w:themeColor="text1"/>
        </w:rPr>
        <w:footnoteReference w:id="30"/>
      </w:r>
      <w:r>
        <w:rPr>
          <w:rFonts w:ascii="Arial" w:eastAsia="Calibri" w:hAnsi="Arial" w:cs="Arial"/>
          <w:bCs/>
          <w:color w:val="000000" w:themeColor="text1"/>
        </w:rPr>
        <w:t>, la cual depende de tres (3) presupuestos básicos: i) el estado de necesidad del alimentario, ii) la capacidad económica del alimentante y iii) la existencia de un vínculo jurídico entre ambos.</w:t>
      </w:r>
      <w:bookmarkEnd w:id="9"/>
      <w:r>
        <w:rPr>
          <w:rFonts w:ascii="Arial" w:eastAsia="Calibri" w:hAnsi="Arial" w:cs="Arial"/>
          <w:bCs/>
          <w:color w:val="000000" w:themeColor="text1"/>
        </w:rPr>
        <w:t xml:space="preserve"> Respecto a este último punto, de acuerdo con el artículo 411 del Código Civil, es necesario tener en cuenta que se beben alimentos:</w:t>
      </w:r>
    </w:p>
    <w:p w14:paraId="1C50D035" w14:textId="77777777" w:rsidR="004F4C46" w:rsidRPr="00B82A69" w:rsidRDefault="004F4C46" w:rsidP="004F4C46">
      <w:pPr>
        <w:tabs>
          <w:tab w:val="left" w:pos="0"/>
        </w:tabs>
        <w:spacing w:after="0" w:line="276" w:lineRule="auto"/>
        <w:jc w:val="both"/>
        <w:rPr>
          <w:rFonts w:ascii="Arial" w:eastAsia="Calibri" w:hAnsi="Arial" w:cs="Arial"/>
          <w:bCs/>
          <w:color w:val="000000" w:themeColor="text1"/>
          <w:lang w:val="es-MX"/>
        </w:rPr>
      </w:pPr>
    </w:p>
    <w:p w14:paraId="635045F6"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1. Al cónyuge. </w:t>
      </w:r>
    </w:p>
    <w:p w14:paraId="1998DDDD"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2. A los descendientes</w:t>
      </w:r>
    </w:p>
    <w:p w14:paraId="1884258E"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3. A los ascendientes</w:t>
      </w:r>
    </w:p>
    <w:p w14:paraId="20A169E4"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4. A cargo del cónyuge culpable, al cónyuge divorciado o separado de cuerpos sin su culpa. </w:t>
      </w:r>
    </w:p>
    <w:p w14:paraId="6B68173C"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5. A los hijos naturales, su posteridad y a los nietos naturales.</w:t>
      </w:r>
    </w:p>
    <w:p w14:paraId="1350369C"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6. A los ascendientes naturales.</w:t>
      </w:r>
    </w:p>
    <w:p w14:paraId="074BC209"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MX"/>
        </w:rPr>
        <w:t>7. A los hijos adoptivos.</w:t>
      </w:r>
    </w:p>
    <w:p w14:paraId="005F9210"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8. A los padres adoptantes.</w:t>
      </w:r>
    </w:p>
    <w:p w14:paraId="6D732B87"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9. A los hermanos legítimos. </w:t>
      </w:r>
    </w:p>
    <w:p w14:paraId="7659D154"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10. Al que hizo una donación cuantiosa si no hubiere sido rescindida o revocada.</w:t>
      </w:r>
    </w:p>
    <w:p w14:paraId="6EC07255" w14:textId="77777777" w:rsidR="004F4C46" w:rsidRPr="00B82A69" w:rsidRDefault="004F4C46" w:rsidP="004F4C46">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La acción del donante se dirigirá contra el donatario.</w:t>
      </w:r>
    </w:p>
    <w:p w14:paraId="67EF1998" w14:textId="77777777" w:rsidR="004F4C46" w:rsidRPr="00B82A69" w:rsidRDefault="004F4C46" w:rsidP="004F4C46">
      <w:pPr>
        <w:tabs>
          <w:tab w:val="left" w:pos="0"/>
        </w:tabs>
        <w:spacing w:after="0" w:line="240" w:lineRule="auto"/>
        <w:ind w:left="709" w:right="709"/>
        <w:jc w:val="both"/>
        <w:rPr>
          <w:rFonts w:ascii="Arial" w:eastAsia="Calibri" w:hAnsi="Arial" w:cs="Arial"/>
          <w:bCs/>
          <w:color w:val="000000" w:themeColor="text1"/>
          <w:sz w:val="21"/>
          <w:szCs w:val="21"/>
          <w:lang w:val="es-MX"/>
        </w:rPr>
      </w:pPr>
      <w:r w:rsidRPr="00B82A69">
        <w:rPr>
          <w:rFonts w:ascii="Arial" w:eastAsia="Calibri" w:hAnsi="Arial" w:cs="Arial"/>
          <w:bCs/>
          <w:color w:val="000000" w:themeColor="text1"/>
          <w:sz w:val="21"/>
          <w:szCs w:val="21"/>
          <w:lang w:val="es-ES"/>
        </w:rPr>
        <w:t>No se deben alimentos a las personas aquí designadas en los casos en que una ley se los niegue.</w:t>
      </w:r>
    </w:p>
    <w:p w14:paraId="5AB5B9A7" w14:textId="77777777" w:rsidR="004F4C46" w:rsidRPr="00B82A69" w:rsidRDefault="004F4C46" w:rsidP="004F4C46">
      <w:pPr>
        <w:tabs>
          <w:tab w:val="left" w:pos="0"/>
        </w:tabs>
        <w:spacing w:after="0" w:line="276" w:lineRule="auto"/>
        <w:jc w:val="both"/>
        <w:rPr>
          <w:rFonts w:ascii="Arial" w:eastAsia="Calibri" w:hAnsi="Arial" w:cs="Arial"/>
          <w:bCs/>
          <w:color w:val="000000" w:themeColor="text1"/>
          <w:lang w:val="es-MX"/>
        </w:rPr>
      </w:pPr>
    </w:p>
    <w:p w14:paraId="08A028EB" w14:textId="77777777" w:rsidR="004F4C46" w:rsidRDefault="004F4C46" w:rsidP="004F4C46">
      <w:pPr>
        <w:tabs>
          <w:tab w:val="left" w:pos="0"/>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t>En este contexto, el REDAM es una medida adicional que el legislador establece para el cumplimiento de las obligaciones alimentarias. Dicho registro se suma a la posibilidad de iniciar un proceso declarativo para fijar o aumentar</w:t>
      </w:r>
      <w:r w:rsidRPr="00B60B94">
        <w:rPr>
          <w:rFonts w:ascii="Arial" w:eastAsia="Calibri" w:hAnsi="Arial" w:cs="Arial"/>
          <w:bCs/>
          <w:color w:val="000000" w:themeColor="text1"/>
        </w:rPr>
        <w:t xml:space="preserve"> </w:t>
      </w:r>
      <w:r>
        <w:rPr>
          <w:rFonts w:ascii="Arial" w:eastAsia="Calibri" w:hAnsi="Arial" w:cs="Arial"/>
          <w:bCs/>
          <w:color w:val="000000" w:themeColor="text1"/>
        </w:rPr>
        <w:t xml:space="preserve">la cuota </w:t>
      </w:r>
      <w:r w:rsidRPr="00B60B94">
        <w:rPr>
          <w:rFonts w:ascii="Arial" w:eastAsia="Calibri" w:hAnsi="Arial" w:cs="Arial"/>
          <w:bCs/>
          <w:color w:val="000000" w:themeColor="text1"/>
        </w:rPr>
        <w:t xml:space="preserve">de alimentos, </w:t>
      </w:r>
      <w:r>
        <w:rPr>
          <w:rFonts w:ascii="Arial" w:eastAsia="Calibri" w:hAnsi="Arial" w:cs="Arial"/>
          <w:bCs/>
          <w:color w:val="000000" w:themeColor="text1"/>
        </w:rPr>
        <w:t xml:space="preserve">así como ejecutar la providencia judicial que los decrete, competencia que corresponde a los jueces de familia por el proceso verbal sumario –artículos 21 y 390 del Código General del Proceso, respectivamente–. Lo anterior, sin perjuicio de las medidas especiales previstas en la Ley 1098 de 2006 para </w:t>
      </w:r>
      <w:r w:rsidRPr="008239F8">
        <w:rPr>
          <w:rFonts w:ascii="Arial" w:eastAsia="Calibri" w:hAnsi="Arial" w:cs="Arial"/>
          <w:bCs/>
          <w:color w:val="000000" w:themeColor="text1"/>
        </w:rPr>
        <w:t>la atención de los niños</w:t>
      </w:r>
      <w:r>
        <w:rPr>
          <w:rFonts w:ascii="Arial" w:eastAsia="Calibri" w:hAnsi="Arial" w:cs="Arial"/>
          <w:bCs/>
          <w:color w:val="000000" w:themeColor="text1"/>
        </w:rPr>
        <w:t xml:space="preserve"> y</w:t>
      </w:r>
      <w:r w:rsidRPr="008239F8">
        <w:rPr>
          <w:rFonts w:ascii="Arial" w:eastAsia="Calibri" w:hAnsi="Arial" w:cs="Arial"/>
          <w:bCs/>
          <w:color w:val="000000" w:themeColor="text1"/>
        </w:rPr>
        <w:t xml:space="preserve"> adolescentes</w:t>
      </w:r>
      <w:r>
        <w:rPr>
          <w:rFonts w:ascii="Arial" w:eastAsia="Calibri" w:hAnsi="Arial" w:cs="Arial"/>
          <w:bCs/>
          <w:color w:val="000000" w:themeColor="text1"/>
        </w:rPr>
        <w:t>, así como la aplicación de las sanciones previstas en el artículo 233 de la Ley 599 de 2000, “</w:t>
      </w:r>
      <w:r w:rsidRPr="0082101F">
        <w:rPr>
          <w:rFonts w:ascii="Arial" w:eastAsia="Calibri" w:hAnsi="Arial" w:cs="Arial"/>
          <w:bCs/>
          <w:color w:val="000000" w:themeColor="text1"/>
        </w:rPr>
        <w:t>por la cual se expide el Código Penal</w:t>
      </w:r>
      <w:r>
        <w:rPr>
          <w:rFonts w:ascii="Arial" w:eastAsia="Calibri" w:hAnsi="Arial" w:cs="Arial"/>
          <w:bCs/>
          <w:color w:val="000000" w:themeColor="text1"/>
        </w:rPr>
        <w:t>”, el cual tipifica el delito de inasistencia alimentaria</w:t>
      </w:r>
      <w:r>
        <w:rPr>
          <w:rStyle w:val="Refdenotaalpie"/>
          <w:rFonts w:ascii="Arial" w:eastAsia="Calibri" w:hAnsi="Arial" w:cs="Arial"/>
          <w:bCs/>
          <w:color w:val="000000" w:themeColor="text1"/>
        </w:rPr>
        <w:footnoteReference w:id="31"/>
      </w:r>
      <w:r>
        <w:rPr>
          <w:rFonts w:ascii="Arial" w:eastAsia="Calibri" w:hAnsi="Arial" w:cs="Arial"/>
          <w:bCs/>
          <w:color w:val="000000" w:themeColor="text1"/>
        </w:rPr>
        <w:t xml:space="preserve">. Por ello, en el control </w:t>
      </w:r>
      <w:r>
        <w:rPr>
          <w:rFonts w:ascii="Arial" w:eastAsia="Calibri" w:hAnsi="Arial" w:cs="Arial"/>
          <w:bCs/>
          <w:color w:val="000000" w:themeColor="text1"/>
        </w:rPr>
        <w:lastRenderedPageBreak/>
        <w:t xml:space="preserve">previo realizado a través de la Sentencia C-032 de 2021, con ponencia de la Magistrada </w:t>
      </w:r>
      <w:r w:rsidRPr="00E2559D">
        <w:rPr>
          <w:rFonts w:ascii="Arial" w:eastAsia="Calibri" w:hAnsi="Arial" w:cs="Arial"/>
          <w:bCs/>
          <w:color w:val="000000" w:themeColor="text1"/>
        </w:rPr>
        <w:t>Gloria Stella Ortiz Delgado</w:t>
      </w:r>
      <w:r>
        <w:rPr>
          <w:rFonts w:ascii="Arial" w:eastAsia="Calibri" w:hAnsi="Arial" w:cs="Arial"/>
          <w:bCs/>
          <w:color w:val="000000" w:themeColor="text1"/>
        </w:rPr>
        <w:t xml:space="preserve">, la Corte Constitucional estima que: </w:t>
      </w:r>
    </w:p>
    <w:p w14:paraId="034E6C68" w14:textId="77777777" w:rsidR="004F4C46" w:rsidRDefault="004F4C46" w:rsidP="004F4C46">
      <w:pPr>
        <w:tabs>
          <w:tab w:val="left" w:pos="0"/>
        </w:tabs>
        <w:spacing w:after="0" w:line="276" w:lineRule="auto"/>
        <w:jc w:val="both"/>
        <w:rPr>
          <w:rFonts w:ascii="Arial" w:eastAsia="Calibri" w:hAnsi="Arial" w:cs="Arial"/>
          <w:bCs/>
          <w:color w:val="000000" w:themeColor="text1"/>
        </w:rPr>
      </w:pPr>
    </w:p>
    <w:p w14:paraId="72A18BA0" w14:textId="77777777" w:rsidR="004F4C46" w:rsidRPr="00E2559D" w:rsidRDefault="004F4C46" w:rsidP="004F4C46">
      <w:pPr>
        <w:tabs>
          <w:tab w:val="left" w:pos="851"/>
        </w:tabs>
        <w:spacing w:after="120" w:line="240" w:lineRule="auto"/>
        <w:ind w:left="709" w:right="709"/>
        <w:jc w:val="both"/>
        <w:rPr>
          <w:rFonts w:ascii="Arial" w:eastAsia="Calibri" w:hAnsi="Arial" w:cs="Arial"/>
          <w:bCs/>
          <w:color w:val="000000" w:themeColor="text1"/>
          <w:sz w:val="21"/>
          <w:szCs w:val="21"/>
        </w:rPr>
      </w:pPr>
      <w:r w:rsidRPr="00E2559D">
        <w:rPr>
          <w:rFonts w:ascii="Arial" w:eastAsia="Calibri" w:hAnsi="Arial" w:cs="Arial"/>
          <w:bCs/>
          <w:color w:val="000000" w:themeColor="text1"/>
          <w:sz w:val="21"/>
          <w:szCs w:val="21"/>
        </w:rPr>
        <w:t>[…] el debido cumplimiento de las obligaciones alimentarias cumple con fines constitucionales no solo importantes sino imperiosos, al estar vinculados con la satisfacción del derecho al mínimo vital de sus acreedores. Estos son por lo general sujetos de especial protección constitucional, por lo que el incumplimiento mencionado afecta aspectos esenciales para el Estado constitucional, lo que valida las acciones dirigidas a promover el pago oportuno. De otro lado, también se ha demostrado que el incumplimiento en las obligaciones alimentarias es una problemática que afecta con mucha mayor intensidad a las mujeres, puesto que salvo casos excepcionales, los deudores morosos son hombres. Ello necesariamente impone cargas desproporcionadas a las mujeres que son madres o cuidadoras, pues les obliga a asumir de forma exclusiva los costos de manutención propia y de los acreedores alimentarios.</w:t>
      </w:r>
    </w:p>
    <w:p w14:paraId="3A765BA9" w14:textId="77777777" w:rsidR="004F4C46" w:rsidRDefault="004F4C46" w:rsidP="004F4C46">
      <w:pPr>
        <w:tabs>
          <w:tab w:val="left" w:pos="851"/>
        </w:tabs>
        <w:spacing w:after="0" w:line="240" w:lineRule="auto"/>
        <w:ind w:left="709" w:right="709"/>
        <w:jc w:val="both"/>
        <w:rPr>
          <w:rFonts w:ascii="Arial" w:eastAsia="Calibri" w:hAnsi="Arial" w:cs="Arial"/>
          <w:bCs/>
          <w:color w:val="000000" w:themeColor="text1"/>
        </w:rPr>
      </w:pPr>
      <w:r w:rsidRPr="00E2559D">
        <w:rPr>
          <w:rFonts w:ascii="Arial" w:eastAsia="Calibri" w:hAnsi="Arial" w:cs="Arial"/>
          <w:bCs/>
          <w:color w:val="000000" w:themeColor="text1"/>
          <w:sz w:val="21"/>
          <w:szCs w:val="21"/>
        </w:rPr>
        <w:t xml:space="preserve">Ante esas circunstancias, resulta plenamente justificado desde la perspectiva constitucional la instauración del REDAM y la fijación de la finalidad descrita en el artículo analizado. Ello no solo porque apunta a la satisfacción de bienes constitucionales de primer orden, sino también porque opera como un factor favorable para la reducción de la violencia económica contra las mujeres derivada del incumplimiento en el pago de las obligaciones alimentarias. </w:t>
      </w:r>
    </w:p>
    <w:p w14:paraId="69A72767" w14:textId="77777777" w:rsidR="004F4C46" w:rsidRDefault="004F4C46" w:rsidP="004F4C46">
      <w:pPr>
        <w:tabs>
          <w:tab w:val="left" w:pos="851"/>
        </w:tabs>
        <w:spacing w:after="0" w:line="276" w:lineRule="auto"/>
        <w:ind w:left="709" w:right="709"/>
        <w:jc w:val="both"/>
        <w:rPr>
          <w:rFonts w:ascii="Arial" w:eastAsia="Calibri" w:hAnsi="Arial" w:cs="Arial"/>
          <w:bCs/>
          <w:color w:val="000000" w:themeColor="text1"/>
        </w:rPr>
      </w:pPr>
    </w:p>
    <w:p w14:paraId="4C9F7F6C" w14:textId="77777777" w:rsidR="004F4C46" w:rsidRDefault="004F4C46" w:rsidP="004F4C46">
      <w:pPr>
        <w:tabs>
          <w:tab w:val="left" w:pos="0"/>
        </w:tabs>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En esta perspectiva, el artículo 2 de la Ley 2097 de 2021 dispone que –sin importar que se trate de </w:t>
      </w:r>
      <w:r w:rsidRPr="00E2559D">
        <w:rPr>
          <w:rFonts w:ascii="Arial" w:eastAsia="Calibri" w:hAnsi="Arial" w:cs="Arial"/>
          <w:bCs/>
          <w:color w:val="000000" w:themeColor="text1"/>
        </w:rPr>
        <w:t>alimentos congruos o necesarios, definitivos o provisionales</w:t>
      </w:r>
      <w:r>
        <w:rPr>
          <w:rFonts w:ascii="Arial" w:eastAsia="Calibri" w:hAnsi="Arial" w:cs="Arial"/>
          <w:bCs/>
          <w:color w:val="000000" w:themeColor="text1"/>
        </w:rPr>
        <w:t>– las medidas previstas rigen para “[…]</w:t>
      </w:r>
      <w:r w:rsidRPr="00E2559D">
        <w:rPr>
          <w:rFonts w:ascii="Arial" w:eastAsia="Calibri" w:hAnsi="Arial" w:cs="Arial"/>
          <w:bCs/>
          <w:color w:val="000000" w:themeColor="text1"/>
        </w:rPr>
        <w:t xml:space="preserve"> todas las personas que se encuentren en mora a partir de tres (3) cuotas alimentarias, sucesivas o no, establecidas en sentencias ejecutoriadas, acuerdos de conciliación, o cualquier título ejecutivo que contenga obligaciones de carácter alimentario</w:t>
      </w:r>
      <w:r>
        <w:rPr>
          <w:rFonts w:ascii="Arial" w:eastAsia="Calibri" w:hAnsi="Arial" w:cs="Arial"/>
          <w:bCs/>
          <w:color w:val="000000" w:themeColor="text1"/>
        </w:rPr>
        <w:t>”</w:t>
      </w:r>
      <w:r w:rsidRPr="00E2559D">
        <w:rPr>
          <w:rFonts w:ascii="Arial" w:eastAsia="Calibri" w:hAnsi="Arial" w:cs="Arial"/>
          <w:bCs/>
          <w:color w:val="000000" w:themeColor="text1"/>
        </w:rPr>
        <w:t>.</w:t>
      </w:r>
      <w:r>
        <w:rPr>
          <w:rFonts w:ascii="Arial" w:eastAsia="Calibri" w:hAnsi="Arial" w:cs="Arial"/>
          <w:bCs/>
          <w:color w:val="000000" w:themeColor="text1"/>
        </w:rPr>
        <w:t xml:space="preserve"> Adicionalmente, agrega que “</w:t>
      </w:r>
      <w:r w:rsidRPr="00E2559D">
        <w:rPr>
          <w:rFonts w:ascii="Arial" w:eastAsia="Calibri" w:hAnsi="Arial" w:cs="Arial"/>
          <w:bCs/>
          <w:color w:val="000000" w:themeColor="text1"/>
        </w:rPr>
        <w:t>Esta norma aplica para los deudores alimentarios morosos de las personas titulares de derechos de alimentos estipulados en el artículo 411 del Código Civil colombiano, que incurran en las condiciones consagradas en el presente artículo</w:t>
      </w:r>
      <w:r>
        <w:rPr>
          <w:rFonts w:ascii="Arial" w:eastAsia="Calibri" w:hAnsi="Arial" w:cs="Arial"/>
          <w:bCs/>
          <w:color w:val="000000" w:themeColor="text1"/>
        </w:rPr>
        <w:t>”</w:t>
      </w:r>
      <w:r w:rsidRPr="00E2559D">
        <w:rPr>
          <w:rFonts w:ascii="Arial" w:eastAsia="Calibri" w:hAnsi="Arial" w:cs="Arial"/>
          <w:bCs/>
          <w:color w:val="000000" w:themeColor="text1"/>
        </w:rPr>
        <w:t>.</w:t>
      </w:r>
      <w:r>
        <w:rPr>
          <w:rFonts w:ascii="Arial" w:eastAsia="Calibri" w:hAnsi="Arial" w:cs="Arial"/>
          <w:bCs/>
          <w:color w:val="000000" w:themeColor="text1"/>
        </w:rPr>
        <w:t xml:space="preserve"> Asimismo, el artículo 3 regula el procedimiento de inscripción en los siguientes términos:</w:t>
      </w:r>
    </w:p>
    <w:p w14:paraId="1DE82662" w14:textId="77777777" w:rsidR="004F4C46" w:rsidRDefault="004F4C46" w:rsidP="004F4C46">
      <w:pPr>
        <w:tabs>
          <w:tab w:val="left" w:pos="0"/>
        </w:tabs>
        <w:spacing w:after="0" w:line="276" w:lineRule="auto"/>
        <w:jc w:val="both"/>
        <w:rPr>
          <w:rFonts w:ascii="Arial" w:eastAsia="Calibri" w:hAnsi="Arial" w:cs="Arial"/>
          <w:bCs/>
          <w:color w:val="000000" w:themeColor="text1"/>
        </w:rPr>
      </w:pPr>
    </w:p>
    <w:p w14:paraId="6E153067" w14:textId="77777777" w:rsidR="004F4C46" w:rsidRPr="00B975F2" w:rsidRDefault="004F4C46" w:rsidP="004F4C46">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 xml:space="preserve">El acreedor de alimentos deberá solicitar el registro ante el juez y/o funcionario que conoce o conoció del proceso y/o de alimentos quien, previo a ordenar la inscripción en el Registro de Deudores Alimentarios Morosos, deberá correr traslado de la solicitud al deudor alimentario que se reputa en mora por cinco (5) días hábiles, al término de los cuales resolverá sobre la procedencia o no de la </w:t>
      </w:r>
      <w:r w:rsidRPr="00B975F2">
        <w:rPr>
          <w:rFonts w:ascii="Arial" w:eastAsia="Calibri" w:hAnsi="Arial" w:cs="Arial"/>
          <w:bCs/>
          <w:color w:val="000000" w:themeColor="text1"/>
          <w:sz w:val="21"/>
          <w:szCs w:val="21"/>
        </w:rPr>
        <w:lastRenderedPageBreak/>
        <w:t>misma, con fundamento en la existencia o no de una justa causa. La decisión del juez y/o funcionario podrá ser objeto del recurso de reposición quien dispondrá de cinco (5) días hábiles para resolverlo.</w:t>
      </w:r>
    </w:p>
    <w:p w14:paraId="3DEEBF1A" w14:textId="77777777" w:rsidR="004F4C46" w:rsidRPr="00B975F2" w:rsidRDefault="004F4C46" w:rsidP="004F4C46">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Parágrafo 1º. Una vez en firme la decisión que ordena la inscripción en el Registro de Deudores Alimentarios Morosos, el juez o la autoridad oficiará en un plazo no mayor a cinco (5) días hábiles a la entidad encargada de su operación con el propósito de hacer efectiva la misma.</w:t>
      </w:r>
    </w:p>
    <w:p w14:paraId="0B2620A4" w14:textId="77777777" w:rsidR="004F4C46" w:rsidRPr="00B975F2" w:rsidRDefault="004F4C46" w:rsidP="004F4C46">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 xml:space="preserve">Parágrafo 2º. Solo podrá proponerse como excepción a la solicitud de registro en el Registro de Deudores Alimentarios Morosos el pago de las obligaciones alimentarias que se encuentran en mora, siempre y cuando sea la primera inscripción, en el evento de recurrencia en el incumplimiento de las cuotas alimentarias y el pago de las mismas antes del registro, este se llevará a cabo por tres meses en la segunda oportunidad y por 6 meses en las ocasiones siguientes. </w:t>
      </w:r>
    </w:p>
    <w:p w14:paraId="50BEDF09" w14:textId="77777777" w:rsidR="004F4C46" w:rsidRPr="00B975F2" w:rsidRDefault="004F4C46" w:rsidP="004F4C46">
      <w:pPr>
        <w:tabs>
          <w:tab w:val="left" w:pos="993"/>
        </w:tabs>
        <w:spacing w:after="12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Parágrafo 3º. Cuando se acredite la cancelación total de las cuotas alimentarias en mora, el juez oficiará en un plazo no mayor a cinco (5) días hábiles a la entidad encargada de su operación con el propósito de cancelar la inscripción en el Registro de Deudores Alimentarios Morosos. En el mismo oficio el juez ordenará el retiro inmediato de la información negativa del deudor de alimentos del Registro.</w:t>
      </w:r>
    </w:p>
    <w:p w14:paraId="457F4398" w14:textId="77777777" w:rsidR="004F4C46" w:rsidRPr="00B975F2" w:rsidRDefault="004F4C46" w:rsidP="004F4C46">
      <w:pPr>
        <w:tabs>
          <w:tab w:val="left" w:pos="993"/>
        </w:tabs>
        <w:spacing w:after="0" w:line="240" w:lineRule="auto"/>
        <w:ind w:left="709" w:right="709"/>
        <w:jc w:val="both"/>
        <w:rPr>
          <w:rFonts w:ascii="Arial" w:eastAsia="Calibri" w:hAnsi="Arial" w:cs="Arial"/>
          <w:bCs/>
          <w:color w:val="000000" w:themeColor="text1"/>
          <w:sz w:val="21"/>
          <w:szCs w:val="21"/>
        </w:rPr>
      </w:pPr>
      <w:r w:rsidRPr="00B975F2">
        <w:rPr>
          <w:rFonts w:ascii="Arial" w:eastAsia="Calibri" w:hAnsi="Arial" w:cs="Arial"/>
          <w:bCs/>
          <w:color w:val="000000" w:themeColor="text1"/>
          <w:sz w:val="21"/>
          <w:szCs w:val="21"/>
        </w:rPr>
        <w:t>Parágrafo 4º. Cuando la obligación alimentaria conste en título ejecutivo diferente a sentencia judicial, el acreedor alimentario podrá acudir, a prevención, a una Comisaría de Familia o al Instituto Colombiano de Bienestar Familiar para poner en conocimiento el incumplimiento en las obligaciones alimentarias que dan lugar a la inscripción en el Registro de Deudores Alimentarios Morosos. La Comisaría de Familia o el Instituto Colombiano de Bienestar Familiar, estará obligada a dar inicio al trámite contemplado en el presente artículo, garantizando en todo caso, el derecho de contradicción y de defensa del presunto deudor alimentario moroso.</w:t>
      </w:r>
    </w:p>
    <w:p w14:paraId="3E510A91" w14:textId="77777777" w:rsidR="004F4C46" w:rsidRDefault="004F4C46" w:rsidP="004F4C46">
      <w:pPr>
        <w:tabs>
          <w:tab w:val="left" w:pos="0"/>
        </w:tabs>
        <w:spacing w:after="0" w:line="276" w:lineRule="auto"/>
        <w:jc w:val="both"/>
        <w:rPr>
          <w:rFonts w:ascii="Arial" w:eastAsia="Calibri" w:hAnsi="Arial" w:cs="Arial"/>
          <w:bCs/>
          <w:color w:val="000000" w:themeColor="text1"/>
        </w:rPr>
      </w:pPr>
    </w:p>
    <w:p w14:paraId="460F292D" w14:textId="77777777" w:rsidR="004F4C46" w:rsidRDefault="004F4C46" w:rsidP="004F4C46">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Para efectos del tema sometido a consulta, una de las consecuencias más importantes de la inclusión en el REDAM es la aparición de una inhabilidad para celebrar contratos con el Estado. Al respecto, conforme al artículo 6.1 </w:t>
      </w:r>
      <w:r w:rsidRPr="00B975F2">
        <w:rPr>
          <w:rFonts w:ascii="Arial" w:eastAsia="Calibri" w:hAnsi="Arial" w:cs="Arial"/>
          <w:bCs/>
          <w:i/>
          <w:iCs/>
          <w:color w:val="000000" w:themeColor="text1"/>
        </w:rPr>
        <w:t>ibidem</w:t>
      </w:r>
      <w:r>
        <w:rPr>
          <w:rFonts w:ascii="Arial" w:eastAsia="Calibri" w:hAnsi="Arial" w:cs="Arial"/>
          <w:bCs/>
          <w:color w:val="000000" w:themeColor="text1"/>
        </w:rPr>
        <w:t>, “</w:t>
      </w:r>
      <w:r w:rsidRPr="00B975F2">
        <w:rPr>
          <w:rFonts w:ascii="Arial" w:eastAsia="Calibri" w:hAnsi="Arial" w:cs="Arial"/>
          <w:bCs/>
          <w:color w:val="000000" w:themeColor="text1"/>
        </w:rPr>
        <w:t>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w:t>
      </w:r>
      <w:r>
        <w:rPr>
          <w:rFonts w:ascii="Arial" w:eastAsia="Calibri" w:hAnsi="Arial" w:cs="Arial"/>
          <w:bCs/>
          <w:color w:val="000000" w:themeColor="text1"/>
        </w:rPr>
        <w:t>”</w:t>
      </w:r>
      <w:r w:rsidRPr="00B975F2">
        <w:rPr>
          <w:rFonts w:ascii="Arial" w:eastAsia="Calibri" w:hAnsi="Arial" w:cs="Arial"/>
          <w:bCs/>
          <w:color w:val="000000" w:themeColor="text1"/>
        </w:rPr>
        <w:t>.</w:t>
      </w:r>
      <w:r>
        <w:rPr>
          <w:rFonts w:ascii="Arial" w:eastAsia="Calibri" w:hAnsi="Arial" w:cs="Arial"/>
          <w:bCs/>
          <w:color w:val="000000" w:themeColor="text1"/>
        </w:rPr>
        <w:t xml:space="preserve"> Dicha restricción se suma al catálogo del artículo 8 y siguientes de la Ley 80 de 1993, especialmente, cuando –conforme al literal a) del numeral 1– “</w:t>
      </w:r>
      <w:r w:rsidRPr="00F25148">
        <w:rPr>
          <w:rFonts w:ascii="Arial" w:eastAsia="Calibri" w:hAnsi="Arial" w:cs="Arial"/>
          <w:bCs/>
          <w:color w:val="000000" w:themeColor="text1"/>
        </w:rPr>
        <w:t>Son inhábiles para participar en licitaciones y para celebrar contratos con las entidades estatales</w:t>
      </w:r>
      <w:r>
        <w:rPr>
          <w:rFonts w:ascii="Arial" w:eastAsia="Calibri" w:hAnsi="Arial" w:cs="Arial"/>
          <w:bCs/>
          <w:color w:val="000000" w:themeColor="text1"/>
        </w:rPr>
        <w:t xml:space="preserve"> […] </w:t>
      </w:r>
      <w:r w:rsidRPr="00F25148">
        <w:rPr>
          <w:rFonts w:ascii="Arial" w:eastAsia="Calibri" w:hAnsi="Arial" w:cs="Arial"/>
          <w:bCs/>
          <w:color w:val="000000" w:themeColor="text1"/>
        </w:rPr>
        <w:t>Las personas que se hallen inhabilitadas para contratar por la Constitución y las leyes</w:t>
      </w:r>
      <w:r>
        <w:rPr>
          <w:rFonts w:ascii="Arial" w:eastAsia="Calibri" w:hAnsi="Arial" w:cs="Arial"/>
          <w:bCs/>
          <w:color w:val="000000" w:themeColor="text1"/>
        </w:rPr>
        <w:t xml:space="preserve">”, el cual se extiende también a las entidades de régimen exceptuado en virtud del inciso primero del </w:t>
      </w:r>
      <w:r>
        <w:rPr>
          <w:rFonts w:ascii="Arial" w:eastAsia="Calibri" w:hAnsi="Arial" w:cs="Arial"/>
          <w:bCs/>
          <w:color w:val="000000" w:themeColor="text1"/>
        </w:rPr>
        <w:lastRenderedPageBreak/>
        <w:t>artículo 13 de la Ley 1150 de 2007</w:t>
      </w:r>
      <w:r>
        <w:rPr>
          <w:rStyle w:val="Refdenotaalpie"/>
          <w:rFonts w:ascii="Arial" w:eastAsia="Calibri" w:hAnsi="Arial" w:cs="Arial"/>
          <w:bCs/>
          <w:color w:val="000000" w:themeColor="text1"/>
        </w:rPr>
        <w:footnoteReference w:id="32"/>
      </w:r>
      <w:r>
        <w:rPr>
          <w:rFonts w:ascii="Arial" w:eastAsia="Calibri" w:hAnsi="Arial" w:cs="Arial"/>
          <w:bCs/>
          <w:color w:val="000000" w:themeColor="text1"/>
        </w:rPr>
        <w:t xml:space="preserve"> y al régimen de las ESAL de acuerdo al artículo 6 del Decreto 092 de 2017</w:t>
      </w:r>
      <w:r>
        <w:rPr>
          <w:rStyle w:val="Refdenotaalpie"/>
          <w:rFonts w:ascii="Arial" w:eastAsia="Calibri" w:hAnsi="Arial" w:cs="Arial"/>
          <w:bCs/>
          <w:color w:val="000000" w:themeColor="text1"/>
        </w:rPr>
        <w:footnoteReference w:id="33"/>
      </w:r>
      <w:r>
        <w:rPr>
          <w:rFonts w:ascii="Arial" w:eastAsia="Calibri" w:hAnsi="Arial" w:cs="Arial"/>
          <w:bCs/>
          <w:color w:val="000000" w:themeColor="text1"/>
        </w:rPr>
        <w:t xml:space="preserve">. </w:t>
      </w:r>
    </w:p>
    <w:p w14:paraId="4EAB8EA5" w14:textId="77777777" w:rsidR="004F4C46" w:rsidRDefault="004F4C46" w:rsidP="004F4C46">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acuerdo con el análisis de la precitada Sentencia C-032 de 2021, para la Corte Constitucional dicha norma es exequible, pues “[…] </w:t>
      </w:r>
      <w:r w:rsidRPr="00EE7ABF">
        <w:rPr>
          <w:rFonts w:ascii="Arial" w:eastAsia="Calibri" w:hAnsi="Arial" w:cs="Arial"/>
          <w:bCs/>
          <w:color w:val="000000" w:themeColor="text1"/>
        </w:rPr>
        <w:t xml:space="preserve">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contratistas del Estado</w:t>
      </w:r>
      <w:r>
        <w:rPr>
          <w:rFonts w:ascii="Arial" w:eastAsia="Calibri" w:hAnsi="Arial" w:cs="Arial"/>
          <w:bCs/>
          <w:color w:val="000000" w:themeColor="text1"/>
        </w:rPr>
        <w:t xml:space="preserve">”. Lo anterior, agregando que </w:t>
      </w:r>
      <w:r w:rsidRPr="00A24AC0">
        <w:rPr>
          <w:rFonts w:ascii="Arial" w:eastAsia="Calibri" w:hAnsi="Arial" w:cs="Arial"/>
          <w:bCs/>
          <w:color w:val="000000" w:themeColor="text1"/>
        </w:rPr>
        <w:t>la medida cumple con una finalidad importante</w:t>
      </w:r>
      <w:r>
        <w:rPr>
          <w:rFonts w:ascii="Arial" w:eastAsia="Calibri" w:hAnsi="Arial" w:cs="Arial"/>
          <w:bCs/>
          <w:color w:val="000000" w:themeColor="text1"/>
        </w:rPr>
        <w:t xml:space="preserve"> e</w:t>
      </w:r>
      <w:r w:rsidRPr="00A24AC0">
        <w:rPr>
          <w:rFonts w:ascii="Arial" w:eastAsia="Calibri" w:hAnsi="Arial" w:cs="Arial"/>
          <w:bCs/>
          <w:color w:val="000000" w:themeColor="text1"/>
        </w:rPr>
        <w:t xml:space="preserve"> imperiosa, </w:t>
      </w:r>
      <w:r>
        <w:rPr>
          <w:rFonts w:ascii="Arial" w:eastAsia="Calibri" w:hAnsi="Arial" w:cs="Arial"/>
          <w:bCs/>
          <w:color w:val="000000" w:themeColor="text1"/>
        </w:rPr>
        <w:t xml:space="preserve">la cual </w:t>
      </w:r>
      <w:r w:rsidRPr="00A24AC0">
        <w:rPr>
          <w:rFonts w:ascii="Arial" w:eastAsia="Calibri" w:hAnsi="Arial" w:cs="Arial"/>
          <w:bCs/>
          <w:color w:val="000000" w:themeColor="text1"/>
        </w:rPr>
        <w:t>consistente en proteger los derechos fundamentales de personas que se ven afectados en su mínimo vital por el hecho del incumplimiento de las obligaciones alimentarias, quienes usualmente son sujetos de especial protección constitucional. La</w:t>
      </w:r>
      <w:r>
        <w:rPr>
          <w:rFonts w:ascii="Arial" w:eastAsia="Calibri" w:hAnsi="Arial" w:cs="Arial"/>
          <w:bCs/>
          <w:color w:val="000000" w:themeColor="text1"/>
        </w:rPr>
        <w:t xml:space="preserve"> Corte Constitucional considera que la</w:t>
      </w:r>
      <w:r w:rsidRPr="00A24AC0">
        <w:rPr>
          <w:rFonts w:ascii="Arial" w:eastAsia="Calibri" w:hAnsi="Arial" w:cs="Arial"/>
          <w:bCs/>
          <w:color w:val="000000" w:themeColor="text1"/>
        </w:rPr>
        <w:t xml:space="preserve"> medida es necesaria</w:t>
      </w:r>
      <w:r>
        <w:rPr>
          <w:rFonts w:ascii="Arial" w:eastAsia="Calibri" w:hAnsi="Arial" w:cs="Arial"/>
          <w:bCs/>
          <w:color w:val="000000" w:themeColor="text1"/>
        </w:rPr>
        <w:t>,</w:t>
      </w:r>
      <w:r w:rsidRPr="00A24AC0">
        <w:rPr>
          <w:rFonts w:ascii="Arial" w:eastAsia="Calibri" w:hAnsi="Arial" w:cs="Arial"/>
          <w:bCs/>
          <w:color w:val="000000" w:themeColor="text1"/>
        </w:rPr>
        <w:t xml:space="preserve"> porque opera un incentivo para el pago cumplido de esas obligaciones, </w:t>
      </w:r>
      <w:r>
        <w:rPr>
          <w:rFonts w:ascii="Arial" w:eastAsia="Calibri" w:hAnsi="Arial" w:cs="Arial"/>
          <w:bCs/>
          <w:color w:val="000000" w:themeColor="text1"/>
        </w:rPr>
        <w:t>supeditando</w:t>
      </w:r>
      <w:r w:rsidRPr="00A24AC0">
        <w:rPr>
          <w:rFonts w:ascii="Arial" w:eastAsia="Calibri" w:hAnsi="Arial" w:cs="Arial"/>
          <w:bCs/>
          <w:color w:val="000000" w:themeColor="text1"/>
        </w:rPr>
        <w:t xml:space="preserve"> la suscripción del contrato respectivo al pago de esa obligación</w:t>
      </w:r>
      <w:r>
        <w:rPr>
          <w:rFonts w:ascii="Arial" w:eastAsia="Calibri" w:hAnsi="Arial" w:cs="Arial"/>
          <w:bCs/>
          <w:color w:val="000000" w:themeColor="text1"/>
        </w:rPr>
        <w:t xml:space="preserve">. </w:t>
      </w:r>
    </w:p>
    <w:p w14:paraId="268C2DFA" w14:textId="77777777" w:rsidR="004F4C46" w:rsidRDefault="004F4C46" w:rsidP="004F4C46">
      <w:pPr>
        <w:tabs>
          <w:tab w:val="left" w:pos="0"/>
        </w:tabs>
        <w:spacing w:after="120" w:line="276" w:lineRule="auto"/>
        <w:jc w:val="both"/>
        <w:rPr>
          <w:rFonts w:ascii="Arial" w:eastAsia="Calibri" w:hAnsi="Arial" w:cs="Arial"/>
          <w:b/>
          <w:bCs/>
          <w:color w:val="000000" w:themeColor="text1"/>
        </w:rPr>
      </w:pPr>
      <w:r>
        <w:rPr>
          <w:rFonts w:ascii="Arial" w:eastAsia="Calibri" w:hAnsi="Arial" w:cs="Arial"/>
          <w:bCs/>
          <w:color w:val="000000" w:themeColor="text1"/>
        </w:rPr>
        <w:tab/>
        <w:t xml:space="preserve">Adicionalmente, </w:t>
      </w:r>
      <w:r w:rsidRPr="00F5608F">
        <w:rPr>
          <w:rFonts w:ascii="Arial" w:eastAsia="Calibri" w:hAnsi="Arial" w:cs="Arial"/>
          <w:b/>
          <w:bCs/>
          <w:color w:val="000000" w:themeColor="text1"/>
        </w:rPr>
        <w:t xml:space="preserve">la Corte Constitucional también estima que ante la contingencia de que el representante legal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w:t>
      </w:r>
      <w:r w:rsidRPr="00F5608F">
        <w:rPr>
          <w:rFonts w:ascii="Arial" w:eastAsia="Calibri" w:hAnsi="Arial" w:cs="Arial"/>
          <w:b/>
          <w:bCs/>
          <w:color w:val="000000" w:themeColor="text1"/>
        </w:rPr>
        <w:lastRenderedPageBreak/>
        <w:t>efectos del reporte, no por el simple hecho de un tercero sino ante su propia inacción y negligencia en acudir a los rem</w:t>
      </w:r>
      <w:r>
        <w:rPr>
          <w:rFonts w:ascii="Arial" w:eastAsia="Calibri" w:hAnsi="Arial" w:cs="Arial"/>
          <w:b/>
          <w:bCs/>
          <w:color w:val="000000" w:themeColor="text1"/>
        </w:rPr>
        <w:t xml:space="preserve">edios legales para evitar tales consecuencias jurídicas. </w:t>
      </w:r>
    </w:p>
    <w:p w14:paraId="6ACCA815" w14:textId="77777777" w:rsidR="004F4C46" w:rsidRDefault="004F4C46" w:rsidP="004F4C46">
      <w:pPr>
        <w:spacing w:after="0" w:line="276" w:lineRule="auto"/>
        <w:contextualSpacing/>
        <w:jc w:val="both"/>
        <w:rPr>
          <w:rFonts w:ascii="Arial" w:eastAsia="Calibri" w:hAnsi="Arial" w:cs="Arial"/>
          <w:b/>
        </w:rPr>
      </w:pPr>
      <w:r>
        <w:rPr>
          <w:rFonts w:ascii="Arial" w:eastAsia="Calibri" w:hAnsi="Arial" w:cs="Arial"/>
          <w:b/>
        </w:rPr>
        <w:t>3. Respuesta</w:t>
      </w:r>
    </w:p>
    <w:p w14:paraId="48592CC8" w14:textId="77777777" w:rsidR="004F4C46" w:rsidRDefault="004F4C46" w:rsidP="004F4C46">
      <w:pPr>
        <w:spacing w:after="0" w:line="276" w:lineRule="auto"/>
        <w:contextualSpacing/>
        <w:jc w:val="both"/>
        <w:rPr>
          <w:rFonts w:ascii="Arial" w:eastAsia="Calibri" w:hAnsi="Arial" w:cs="Arial"/>
        </w:rPr>
      </w:pPr>
      <w:bookmarkStart w:id="11" w:name="_Hlk57650395"/>
    </w:p>
    <w:p w14:paraId="2017D7F0" w14:textId="77777777" w:rsidR="004F4C46" w:rsidRDefault="004F4C46" w:rsidP="004F4C46">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Respecto al alcance del numeral 1 del artículo 6 de la Ley 2097 de 2021, que regula el  Registro de Deudores Alimentarios Morosos, usted realiza las siguientes preguntas:</w:t>
      </w:r>
    </w:p>
    <w:p w14:paraId="4DC3DF83" w14:textId="77777777" w:rsidR="004F4C46" w:rsidRDefault="004F4C46" w:rsidP="004F4C46">
      <w:pPr>
        <w:pStyle w:val="NormalWeb"/>
        <w:spacing w:before="240"/>
        <w:ind w:left="709" w:right="709"/>
        <w:jc w:val="both"/>
        <w:rPr>
          <w:rFonts w:ascii="Arial" w:hAnsi="Arial" w:cs="Arial"/>
          <w:sz w:val="21"/>
          <w:szCs w:val="21"/>
        </w:rPr>
      </w:pPr>
      <w:r w:rsidRPr="009A3A7D">
        <w:rPr>
          <w:rFonts w:ascii="Arial" w:hAnsi="Arial" w:cs="Arial"/>
          <w:color w:val="000000"/>
          <w:sz w:val="21"/>
          <w:szCs w:val="21"/>
        </w:rPr>
        <w:t xml:space="preserve">¿Cuál es el alcance del segundo párrafo del numeral 1 del artículo 6 de la Ley 2097 de 2021 cuando indica </w:t>
      </w:r>
      <w:r w:rsidRPr="009A3A7D">
        <w:rPr>
          <w:rFonts w:ascii="Arial" w:hAnsi="Arial" w:cs="Arial"/>
          <w:i/>
          <w:iCs/>
          <w:color w:val="000000"/>
          <w:sz w:val="21"/>
          <w:szCs w:val="21"/>
        </w:rPr>
        <w:t>“(…) Esta inhabilidad también se predica del deudor alimentario moroso que actúe como representante legal de la persona jurídica que aspira a contratar con el Estado? (…)”?</w:t>
      </w:r>
      <w:r w:rsidRPr="009A3A7D">
        <w:rPr>
          <w:rFonts w:ascii="Arial" w:hAnsi="Arial" w:cs="Arial"/>
          <w:i/>
          <w:iCs/>
          <w:color w:val="000000"/>
          <w:sz w:val="21"/>
          <w:szCs w:val="21"/>
        </w:rPr>
        <w:br/>
      </w:r>
      <w:r w:rsidRPr="009A3A7D">
        <w:rPr>
          <w:rFonts w:ascii="Arial" w:hAnsi="Arial" w:cs="Arial"/>
          <w:i/>
          <w:iCs/>
          <w:color w:val="000000"/>
          <w:sz w:val="21"/>
          <w:szCs w:val="21"/>
        </w:rPr>
        <w:br/>
      </w:r>
      <w:r w:rsidRPr="009A3A7D">
        <w:rPr>
          <w:rFonts w:ascii="Arial" w:hAnsi="Arial" w:cs="Arial"/>
          <w:color w:val="000000"/>
          <w:sz w:val="21"/>
          <w:szCs w:val="21"/>
        </w:rPr>
        <w:t>¿Qué pasa si el representante legal de una persona jurídica aparece inscripción en el Registro de Deudores Alimentarios Morosos -REDAM? ¿La Persona Jurídica queda inhabilitada también?  </w:t>
      </w:r>
    </w:p>
    <w:p w14:paraId="6E628FCF" w14:textId="77777777" w:rsidR="004F4C46" w:rsidRPr="009A3A7D" w:rsidRDefault="004F4C46" w:rsidP="004F4C46">
      <w:pPr>
        <w:pStyle w:val="NormalWeb"/>
        <w:spacing w:before="240"/>
        <w:ind w:left="709" w:right="709"/>
        <w:jc w:val="both"/>
        <w:rPr>
          <w:rFonts w:ascii="Arial" w:hAnsi="Arial" w:cs="Arial"/>
          <w:sz w:val="21"/>
          <w:szCs w:val="21"/>
        </w:rPr>
      </w:pPr>
      <w:r w:rsidRPr="009A3A7D">
        <w:rPr>
          <w:rFonts w:ascii="Arial" w:hAnsi="Arial" w:cs="Arial"/>
          <w:color w:val="000000"/>
          <w:sz w:val="21"/>
          <w:szCs w:val="21"/>
          <w:lang w:val="es-ES"/>
        </w:rPr>
        <w:t>¿Qué pasa si la Persona Jurídica nombra un representante legal suplente que no está registrado el Registro de Deudor</w:t>
      </w:r>
      <w:r>
        <w:rPr>
          <w:rFonts w:ascii="Arial" w:hAnsi="Arial" w:cs="Arial"/>
          <w:color w:val="000000"/>
          <w:sz w:val="21"/>
          <w:szCs w:val="21"/>
          <w:lang w:val="es-ES"/>
        </w:rPr>
        <w:t xml:space="preserve">es Alimentarios Morosos -REDAM?”. </w:t>
      </w:r>
    </w:p>
    <w:p w14:paraId="5633F5A1" w14:textId="77777777" w:rsidR="004F4C46" w:rsidRDefault="004F4C46" w:rsidP="004F4C46">
      <w:pPr>
        <w:shd w:val="clear" w:color="auto" w:fill="FFFFFF"/>
        <w:spacing w:after="0" w:line="276" w:lineRule="auto"/>
        <w:jc w:val="both"/>
        <w:rPr>
          <w:rFonts w:ascii="Arial" w:hAnsi="Arial" w:cs="Arial"/>
        </w:rPr>
      </w:pPr>
    </w:p>
    <w:p w14:paraId="2262FE07" w14:textId="77777777" w:rsidR="004F4C46" w:rsidRDefault="004F4C46" w:rsidP="004F4C46">
      <w:pPr>
        <w:tabs>
          <w:tab w:val="left" w:pos="426"/>
        </w:tabs>
        <w:spacing w:after="120" w:line="276" w:lineRule="auto"/>
        <w:ind w:right="49" w:firstLine="567"/>
        <w:jc w:val="both"/>
        <w:rPr>
          <w:rFonts w:ascii="Arial" w:eastAsia="Calibri" w:hAnsi="Arial" w:cs="Arial"/>
          <w:color w:val="000000" w:themeColor="text1"/>
          <w:lang w:val="es-ES" w:eastAsia="es-MX"/>
        </w:rPr>
      </w:pPr>
      <w:r w:rsidRPr="00202377">
        <w:rPr>
          <w:rFonts w:ascii="Arial" w:eastAsia="Calibri" w:hAnsi="Arial" w:cs="Arial"/>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w:t>
      </w:r>
      <w:r>
        <w:rPr>
          <w:rFonts w:ascii="Arial" w:eastAsia="Calibri" w:hAnsi="Arial" w:cs="Arial"/>
          <w:lang w:val="es-ES_tradnl" w:eastAsia="es-ES_tradnl"/>
        </w:rPr>
        <w:t xml:space="preserve"> tal como la señalada en la pregunta 3, sobre la posibilidad de nombrar a representante legal suplente que no está reportado en el REDAM,</w:t>
      </w:r>
      <w:r w:rsidRPr="00202377">
        <w:rPr>
          <w:rFonts w:ascii="Arial" w:eastAsia="Calibri" w:hAnsi="Arial" w:cs="Arial"/>
          <w:lang w:val="es-ES_tradnl" w:eastAsia="es-ES_tradnl"/>
        </w:rPr>
        <w:t xml:space="preserve">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w:t>
      </w:r>
      <w:r w:rsidRPr="00202377">
        <w:rPr>
          <w:rFonts w:ascii="Arial" w:eastAsia="Calibri" w:hAnsi="Arial" w:cs="Arial"/>
          <w:bCs/>
          <w:lang w:eastAsia="es-MX"/>
        </w:rPr>
        <w:t>que adelanta el procedimiento de selección y, en caso de conflicto, a las autoridades judiciales, fiscales y disciplinarias. En consideración a lo anterior</w:t>
      </w:r>
      <w:r w:rsidRPr="00202377">
        <w:rPr>
          <w:rFonts w:ascii="Arial" w:eastAsia="Calibri" w:hAnsi="Arial" w:cs="Arial"/>
          <w:color w:val="000000" w:themeColor="text1"/>
          <w:lang w:val="es-ES" w:eastAsia="es-MX"/>
        </w:rPr>
        <w:t>, la Subdirección, dentro de los límites de sus atribuciones, resolverá la consulta conforme a las normas generales en materia de contratación estatal.</w:t>
      </w:r>
    </w:p>
    <w:p w14:paraId="4AB81288" w14:textId="77777777" w:rsidR="004F4C46" w:rsidRDefault="004F4C46" w:rsidP="004F4C46">
      <w:pPr>
        <w:tabs>
          <w:tab w:val="left" w:pos="0"/>
        </w:tabs>
        <w:spacing w:after="120" w:line="276" w:lineRule="auto"/>
        <w:jc w:val="both"/>
        <w:rPr>
          <w:rFonts w:ascii="Arial" w:eastAsia="Calibri" w:hAnsi="Arial" w:cs="Arial"/>
          <w:bCs/>
          <w:color w:val="000000" w:themeColor="text1"/>
        </w:rPr>
      </w:pPr>
      <w:r>
        <w:rPr>
          <w:rFonts w:ascii="Arial" w:hAnsi="Arial" w:cs="Arial"/>
          <w:lang w:val="es-ES_tradnl"/>
        </w:rPr>
        <w:tab/>
      </w:r>
      <w:r>
        <w:rPr>
          <w:rFonts w:ascii="Arial" w:eastAsia="Calibri" w:hAnsi="Arial" w:cs="Arial"/>
          <w:bCs/>
          <w:color w:val="000000" w:themeColor="text1"/>
        </w:rPr>
        <w:t xml:space="preserve">Para efectos del tema sometido a consulta, una de las consecuencias más importantes de la inclusión en el REDAM es la aparición de una inhabilidad para celebrar contratos con el Estado. Al respecto, conforme al artículo 6.1 </w:t>
      </w:r>
      <w:r w:rsidRPr="00B975F2">
        <w:rPr>
          <w:rFonts w:ascii="Arial" w:eastAsia="Calibri" w:hAnsi="Arial" w:cs="Arial"/>
          <w:bCs/>
          <w:i/>
          <w:iCs/>
          <w:color w:val="000000" w:themeColor="text1"/>
        </w:rPr>
        <w:t>ibidem</w:t>
      </w:r>
      <w:r>
        <w:rPr>
          <w:rFonts w:ascii="Arial" w:eastAsia="Calibri" w:hAnsi="Arial" w:cs="Arial"/>
          <w:bCs/>
          <w:color w:val="000000" w:themeColor="text1"/>
        </w:rPr>
        <w:t>, “</w:t>
      </w:r>
      <w:r w:rsidRPr="00B975F2">
        <w:rPr>
          <w:rFonts w:ascii="Arial" w:eastAsia="Calibri" w:hAnsi="Arial" w:cs="Arial"/>
          <w:bCs/>
          <w:color w:val="000000" w:themeColor="text1"/>
        </w:rPr>
        <w:t xml:space="preserve">El deudor alimentario moroso solo podrá contratar con el Estado una vez se ponga a paz y salvo con sus </w:t>
      </w:r>
      <w:r w:rsidRPr="00B975F2">
        <w:rPr>
          <w:rFonts w:ascii="Arial" w:eastAsia="Calibri" w:hAnsi="Arial" w:cs="Arial"/>
          <w:bCs/>
          <w:color w:val="000000" w:themeColor="text1"/>
        </w:rPr>
        <w:lastRenderedPageBreak/>
        <w:t>obligaciones alimentarias. Esta inhabilidad también se predica del deudor alimentario moroso que actúe como representante legal de la persona jurídica que aspira a contratar con el Estado</w:t>
      </w:r>
      <w:r>
        <w:rPr>
          <w:rFonts w:ascii="Arial" w:eastAsia="Calibri" w:hAnsi="Arial" w:cs="Arial"/>
          <w:bCs/>
          <w:color w:val="000000" w:themeColor="text1"/>
        </w:rPr>
        <w:t>”</w:t>
      </w:r>
      <w:r w:rsidRPr="00B975F2">
        <w:rPr>
          <w:rFonts w:ascii="Arial" w:eastAsia="Calibri" w:hAnsi="Arial" w:cs="Arial"/>
          <w:bCs/>
          <w:color w:val="000000" w:themeColor="text1"/>
        </w:rPr>
        <w:t>.</w:t>
      </w:r>
      <w:r>
        <w:rPr>
          <w:rFonts w:ascii="Arial" w:eastAsia="Calibri" w:hAnsi="Arial" w:cs="Arial"/>
          <w:bCs/>
          <w:color w:val="000000" w:themeColor="text1"/>
        </w:rPr>
        <w:t xml:space="preserve"> Dicha restricción se suma al catálogo del artículo 8 y siguientes de la Ley 80 de 1993, especialmente, cuando –conforme al literal a) del numeral 1– “</w:t>
      </w:r>
      <w:r w:rsidRPr="00F25148">
        <w:rPr>
          <w:rFonts w:ascii="Arial" w:eastAsia="Calibri" w:hAnsi="Arial" w:cs="Arial"/>
          <w:bCs/>
          <w:color w:val="000000" w:themeColor="text1"/>
        </w:rPr>
        <w:t>Son inhábiles para participar en licitaciones y para celebrar contratos con las entidades estatales</w:t>
      </w:r>
      <w:r>
        <w:rPr>
          <w:rFonts w:ascii="Arial" w:eastAsia="Calibri" w:hAnsi="Arial" w:cs="Arial"/>
          <w:bCs/>
          <w:color w:val="000000" w:themeColor="text1"/>
        </w:rPr>
        <w:t xml:space="preserve"> […] </w:t>
      </w:r>
      <w:r w:rsidRPr="00F25148">
        <w:rPr>
          <w:rFonts w:ascii="Arial" w:eastAsia="Calibri" w:hAnsi="Arial" w:cs="Arial"/>
          <w:bCs/>
          <w:color w:val="000000" w:themeColor="text1"/>
        </w:rPr>
        <w:t>Las personas que se hallen inhabilitadas para contratar por la Constitución y las leyes</w:t>
      </w:r>
      <w:r>
        <w:rPr>
          <w:rFonts w:ascii="Arial" w:eastAsia="Calibri" w:hAnsi="Arial" w:cs="Arial"/>
          <w:bCs/>
          <w:color w:val="000000" w:themeColor="text1"/>
        </w:rPr>
        <w:t>”, el cual se extiende también a las entidades de régimen exceptuado en virtud del inciso primero del artículo 13 de la Ley 1150 de 2007</w:t>
      </w:r>
      <w:r>
        <w:rPr>
          <w:rStyle w:val="Refdenotaalpie"/>
          <w:rFonts w:ascii="Arial" w:eastAsia="Calibri" w:hAnsi="Arial" w:cs="Arial"/>
          <w:bCs/>
          <w:color w:val="000000" w:themeColor="text1"/>
        </w:rPr>
        <w:footnoteReference w:id="34"/>
      </w:r>
      <w:r>
        <w:rPr>
          <w:rFonts w:ascii="Arial" w:eastAsia="Calibri" w:hAnsi="Arial" w:cs="Arial"/>
          <w:bCs/>
          <w:color w:val="000000" w:themeColor="text1"/>
        </w:rPr>
        <w:t xml:space="preserve"> y al régimen de las ESAL de acuerdo al artículo 6 del Decreto 092 de 2017</w:t>
      </w:r>
      <w:r>
        <w:rPr>
          <w:rStyle w:val="Refdenotaalpie"/>
          <w:rFonts w:ascii="Arial" w:eastAsia="Calibri" w:hAnsi="Arial" w:cs="Arial"/>
          <w:bCs/>
          <w:color w:val="000000" w:themeColor="text1"/>
        </w:rPr>
        <w:footnoteReference w:id="35"/>
      </w:r>
      <w:r>
        <w:rPr>
          <w:rFonts w:ascii="Arial" w:eastAsia="Calibri" w:hAnsi="Arial" w:cs="Arial"/>
          <w:bCs/>
          <w:color w:val="000000" w:themeColor="text1"/>
        </w:rPr>
        <w:t xml:space="preserve">. </w:t>
      </w:r>
    </w:p>
    <w:p w14:paraId="12ABC9E5" w14:textId="77777777" w:rsidR="004F4C46" w:rsidRDefault="004F4C46" w:rsidP="004F4C46">
      <w:pPr>
        <w:tabs>
          <w:tab w:val="left" w:pos="0"/>
        </w:tabs>
        <w:spacing w:after="120" w:line="276" w:lineRule="auto"/>
        <w:jc w:val="both"/>
        <w:rPr>
          <w:rFonts w:ascii="Arial" w:eastAsia="Calibri" w:hAnsi="Arial" w:cs="Arial"/>
          <w:bCs/>
          <w:color w:val="000000" w:themeColor="text1"/>
        </w:rPr>
      </w:pPr>
      <w:r>
        <w:rPr>
          <w:rFonts w:ascii="Arial" w:eastAsia="Calibri" w:hAnsi="Arial" w:cs="Arial"/>
          <w:bCs/>
          <w:color w:val="000000" w:themeColor="text1"/>
        </w:rPr>
        <w:tab/>
        <w:t xml:space="preserve">De acuerdo con el análisis de la precitada Sentencia C-032 de 2021, para la Corte Constitucional dicha norma es exequible, pues “[…] </w:t>
      </w:r>
      <w:r w:rsidRPr="00EE7ABF">
        <w:rPr>
          <w:rFonts w:ascii="Arial" w:eastAsia="Calibri" w:hAnsi="Arial" w:cs="Arial"/>
          <w:bCs/>
          <w:color w:val="000000" w:themeColor="text1"/>
        </w:rPr>
        <w:t xml:space="preserve">si se reconoce la validez constitucional de medidas altamente invasivas de la autonomía individual, como son las que se derivan del uso de la tipificación penal, resultaría un contrasentido cuestionar instrumentos de menor intensidad, como es la imposición de este requisito para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w:t>
      </w:r>
      <w:r>
        <w:rPr>
          <w:rFonts w:ascii="Arial" w:eastAsia="Calibri" w:hAnsi="Arial" w:cs="Arial"/>
          <w:bCs/>
          <w:color w:val="000000" w:themeColor="text1"/>
        </w:rPr>
        <w:t>[…]</w:t>
      </w:r>
      <w:r w:rsidRPr="00EE7ABF">
        <w:rPr>
          <w:rFonts w:ascii="Arial" w:eastAsia="Calibri" w:hAnsi="Arial" w:cs="Arial"/>
          <w:bCs/>
          <w:color w:val="000000" w:themeColor="text1"/>
        </w:rPr>
        <w:t xml:space="preserve"> contratistas del Estado</w:t>
      </w:r>
      <w:r>
        <w:rPr>
          <w:rFonts w:ascii="Arial" w:eastAsia="Calibri" w:hAnsi="Arial" w:cs="Arial"/>
          <w:bCs/>
          <w:color w:val="000000" w:themeColor="text1"/>
        </w:rPr>
        <w:t xml:space="preserve">”. Lo anterior, agregando que </w:t>
      </w:r>
      <w:r w:rsidRPr="00A24AC0">
        <w:rPr>
          <w:rFonts w:ascii="Arial" w:eastAsia="Calibri" w:hAnsi="Arial" w:cs="Arial"/>
          <w:bCs/>
          <w:color w:val="000000" w:themeColor="text1"/>
        </w:rPr>
        <w:t>la medida cumple con una finalidad importante</w:t>
      </w:r>
      <w:r>
        <w:rPr>
          <w:rFonts w:ascii="Arial" w:eastAsia="Calibri" w:hAnsi="Arial" w:cs="Arial"/>
          <w:bCs/>
          <w:color w:val="000000" w:themeColor="text1"/>
        </w:rPr>
        <w:t xml:space="preserve"> e</w:t>
      </w:r>
      <w:r w:rsidRPr="00A24AC0">
        <w:rPr>
          <w:rFonts w:ascii="Arial" w:eastAsia="Calibri" w:hAnsi="Arial" w:cs="Arial"/>
          <w:bCs/>
          <w:color w:val="000000" w:themeColor="text1"/>
        </w:rPr>
        <w:t xml:space="preserve"> imperiosa, </w:t>
      </w:r>
      <w:r>
        <w:rPr>
          <w:rFonts w:ascii="Arial" w:eastAsia="Calibri" w:hAnsi="Arial" w:cs="Arial"/>
          <w:bCs/>
          <w:color w:val="000000" w:themeColor="text1"/>
        </w:rPr>
        <w:t xml:space="preserve">la cual </w:t>
      </w:r>
      <w:r w:rsidRPr="00A24AC0">
        <w:rPr>
          <w:rFonts w:ascii="Arial" w:eastAsia="Calibri" w:hAnsi="Arial" w:cs="Arial"/>
          <w:bCs/>
          <w:color w:val="000000" w:themeColor="text1"/>
        </w:rPr>
        <w:t>consistente en proteger los derechos fundamentales de personas que se ven afectados en su mínimo vital por el hecho del incumplimiento de las obligaciones alimentarias, quienes usualmente son sujetos de especial protección constitucional. La</w:t>
      </w:r>
      <w:r>
        <w:rPr>
          <w:rFonts w:ascii="Arial" w:eastAsia="Calibri" w:hAnsi="Arial" w:cs="Arial"/>
          <w:bCs/>
          <w:color w:val="000000" w:themeColor="text1"/>
        </w:rPr>
        <w:t xml:space="preserve"> Corte Constitucional considera que la</w:t>
      </w:r>
      <w:r w:rsidRPr="00A24AC0">
        <w:rPr>
          <w:rFonts w:ascii="Arial" w:eastAsia="Calibri" w:hAnsi="Arial" w:cs="Arial"/>
          <w:bCs/>
          <w:color w:val="000000" w:themeColor="text1"/>
        </w:rPr>
        <w:t xml:space="preserve"> medida es necesaria</w:t>
      </w:r>
      <w:r>
        <w:rPr>
          <w:rFonts w:ascii="Arial" w:eastAsia="Calibri" w:hAnsi="Arial" w:cs="Arial"/>
          <w:bCs/>
          <w:color w:val="000000" w:themeColor="text1"/>
        </w:rPr>
        <w:t>,</w:t>
      </w:r>
      <w:r w:rsidRPr="00A24AC0">
        <w:rPr>
          <w:rFonts w:ascii="Arial" w:eastAsia="Calibri" w:hAnsi="Arial" w:cs="Arial"/>
          <w:bCs/>
          <w:color w:val="000000" w:themeColor="text1"/>
        </w:rPr>
        <w:t xml:space="preserve"> porque opera un incentivo para el pago cumplido de esas obligaciones, </w:t>
      </w:r>
      <w:r>
        <w:rPr>
          <w:rFonts w:ascii="Arial" w:eastAsia="Calibri" w:hAnsi="Arial" w:cs="Arial"/>
          <w:bCs/>
          <w:color w:val="000000" w:themeColor="text1"/>
        </w:rPr>
        <w:t>supeditando</w:t>
      </w:r>
      <w:r w:rsidRPr="00A24AC0">
        <w:rPr>
          <w:rFonts w:ascii="Arial" w:eastAsia="Calibri" w:hAnsi="Arial" w:cs="Arial"/>
          <w:bCs/>
          <w:color w:val="000000" w:themeColor="text1"/>
        </w:rPr>
        <w:t xml:space="preserve"> la suscripción del contrato respectivo al pago de esa obligación</w:t>
      </w:r>
      <w:r>
        <w:rPr>
          <w:rFonts w:ascii="Arial" w:eastAsia="Calibri" w:hAnsi="Arial" w:cs="Arial"/>
          <w:bCs/>
          <w:color w:val="000000" w:themeColor="text1"/>
        </w:rPr>
        <w:t xml:space="preserve">. </w:t>
      </w:r>
    </w:p>
    <w:p w14:paraId="636D0B8A" w14:textId="77777777" w:rsidR="004F4C46" w:rsidRDefault="004F4C46" w:rsidP="004F4C46">
      <w:pPr>
        <w:tabs>
          <w:tab w:val="left" w:pos="0"/>
        </w:tabs>
        <w:spacing w:after="120" w:line="276" w:lineRule="auto"/>
        <w:jc w:val="both"/>
        <w:rPr>
          <w:rFonts w:ascii="Arial" w:eastAsia="Calibri" w:hAnsi="Arial" w:cs="Arial"/>
          <w:b/>
          <w:bCs/>
          <w:color w:val="000000" w:themeColor="text1"/>
        </w:rPr>
      </w:pPr>
      <w:r>
        <w:rPr>
          <w:rFonts w:ascii="Arial" w:eastAsia="Calibri" w:hAnsi="Arial" w:cs="Arial"/>
          <w:bCs/>
          <w:color w:val="000000" w:themeColor="text1"/>
        </w:rPr>
        <w:tab/>
        <w:t xml:space="preserve">Adicionalmente, </w:t>
      </w:r>
      <w:r w:rsidRPr="00F5608F">
        <w:rPr>
          <w:rFonts w:ascii="Arial" w:eastAsia="Calibri" w:hAnsi="Arial" w:cs="Arial"/>
          <w:b/>
          <w:bCs/>
          <w:color w:val="000000" w:themeColor="text1"/>
        </w:rPr>
        <w:t xml:space="preserve">la Corte Constitucional también estima que ante la contingencia de que el representante legal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w:t>
      </w:r>
      <w:r w:rsidRPr="00F5608F">
        <w:rPr>
          <w:rFonts w:ascii="Arial" w:eastAsia="Calibri" w:hAnsi="Arial" w:cs="Arial"/>
          <w:b/>
          <w:bCs/>
          <w:color w:val="000000" w:themeColor="text1"/>
        </w:rPr>
        <w:lastRenderedPageBreak/>
        <w:t>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w:t>
      </w:r>
      <w:r>
        <w:rPr>
          <w:rFonts w:ascii="Arial" w:eastAsia="Calibri" w:hAnsi="Arial" w:cs="Arial"/>
          <w:b/>
          <w:bCs/>
          <w:color w:val="000000" w:themeColor="text1"/>
        </w:rPr>
        <w:t xml:space="preserve">edios legales para evitar tales consecuencias jurídicas. </w:t>
      </w:r>
    </w:p>
    <w:p w14:paraId="6960938F" w14:textId="77777777" w:rsidR="004F4C46" w:rsidRDefault="004F4C46" w:rsidP="004F4C46">
      <w:pPr>
        <w:widowControl w:val="0"/>
        <w:autoSpaceDE w:val="0"/>
        <w:autoSpaceDN w:val="0"/>
        <w:spacing w:after="0" w:line="276" w:lineRule="auto"/>
        <w:contextualSpacing/>
        <w:jc w:val="both"/>
        <w:rPr>
          <w:rFonts w:ascii="Arial" w:eastAsia="Calibri" w:hAnsi="Arial" w:cs="Arial"/>
        </w:rPr>
      </w:pPr>
    </w:p>
    <w:p w14:paraId="3909BA67" w14:textId="77777777" w:rsidR="004F4C46" w:rsidRDefault="004F4C46" w:rsidP="004F4C46">
      <w:pPr>
        <w:widowControl w:val="0"/>
        <w:autoSpaceDE w:val="0"/>
        <w:autoSpaceDN w:val="0"/>
        <w:spacing w:after="0" w:line="276" w:lineRule="auto"/>
        <w:contextualSpacing/>
        <w:jc w:val="both"/>
        <w:rPr>
          <w:rFonts w:ascii="Arial" w:eastAsia="Times New Roman" w:hAnsi="Arial" w:cs="Arial"/>
          <w:lang w:eastAsia="es-ES_tradnl"/>
        </w:rPr>
      </w:pPr>
      <w:r>
        <w:rPr>
          <w:rFonts w:ascii="Arial" w:eastAsia="Calibri" w:hAnsi="Arial" w:cs="Arial"/>
        </w:rPr>
        <w:t>Este concepto tiene el alcance previsto en el artículo 28 del Código de Procedimiento Administrativo y de lo Contencioso Administrativo</w:t>
      </w:r>
      <w:r>
        <w:rPr>
          <w:noProof/>
          <w:lang w:val="en-US"/>
        </w:rPr>
        <mc:AlternateContent>
          <mc:Choice Requires="wps">
            <w:drawing>
              <wp:anchor distT="0" distB="0" distL="114300" distR="114300" simplePos="0" relativeHeight="251659264" behindDoc="0" locked="0" layoutInCell="1" allowOverlap="1" wp14:anchorId="1DAA024A" wp14:editId="1E269332">
                <wp:simplePos x="0" y="0"/>
                <wp:positionH relativeFrom="page">
                  <wp:posOffset>1514475</wp:posOffset>
                </wp:positionH>
                <wp:positionV relativeFrom="paragraph">
                  <wp:posOffset>10160</wp:posOffset>
                </wp:positionV>
                <wp:extent cx="46863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626FE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Pr>
          <w:rFonts w:ascii="Arial" w:eastAsia="Calibri" w:hAnsi="Arial" w:cs="Arial"/>
        </w:rPr>
        <w:t xml:space="preserve"> y las expresiones utilizadas con mayúscula inicial deben ser entendidas con el significado que les otorga el artículo 2.2.1.1.1.3.1 del Decreto 1082 de 2015.</w:t>
      </w:r>
    </w:p>
    <w:p w14:paraId="4540D902" w14:textId="77777777" w:rsidR="004F4C46" w:rsidRDefault="004F4C46" w:rsidP="004F4C46">
      <w:pPr>
        <w:spacing w:after="0" w:line="276" w:lineRule="auto"/>
        <w:jc w:val="both"/>
        <w:rPr>
          <w:rFonts w:ascii="Arial" w:hAnsi="Arial" w:cs="Arial"/>
          <w:lang w:val="es-ES_tradnl"/>
        </w:rPr>
      </w:pPr>
    </w:p>
    <w:p w14:paraId="63D20887" w14:textId="77777777" w:rsidR="004F4C46" w:rsidRDefault="004F4C46" w:rsidP="004F4C46">
      <w:pPr>
        <w:spacing w:before="120" w:after="0" w:line="276" w:lineRule="auto"/>
        <w:jc w:val="both"/>
        <w:rPr>
          <w:rFonts w:ascii="Arial" w:eastAsia="Calibri" w:hAnsi="Arial" w:cs="Arial"/>
          <w:lang w:val="es-ES" w:eastAsia="es-MX"/>
        </w:rPr>
      </w:pPr>
    </w:p>
    <w:p w14:paraId="0B9E04FA" w14:textId="77777777" w:rsidR="004F4C46" w:rsidRDefault="004F4C46" w:rsidP="004F4C46">
      <w:pPr>
        <w:spacing w:after="120" w:line="276" w:lineRule="auto"/>
        <w:jc w:val="both"/>
        <w:rPr>
          <w:rFonts w:ascii="Arial" w:eastAsia="Times New Roman" w:hAnsi="Arial" w:cs="Arial"/>
          <w:lang w:eastAsia="es-ES_tradnl"/>
        </w:rPr>
      </w:pPr>
    </w:p>
    <w:p w14:paraId="4831ADCE" w14:textId="77777777" w:rsidR="004F4C46" w:rsidRDefault="004F4C46" w:rsidP="004F4C46">
      <w:pPr>
        <w:spacing w:after="0" w:line="276" w:lineRule="auto"/>
        <w:jc w:val="both"/>
        <w:rPr>
          <w:rFonts w:ascii="Arial" w:eastAsia="Times New Roman" w:hAnsi="Arial" w:cs="Arial"/>
          <w:lang w:eastAsia="es-CO"/>
        </w:rPr>
      </w:pPr>
      <w:r>
        <w:rPr>
          <w:rFonts w:ascii="Arial" w:eastAsia="Times New Roman" w:hAnsi="Arial" w:cs="Arial"/>
          <w:lang w:eastAsia="es-CO"/>
        </w:rPr>
        <w:t>Atentamente,</w:t>
      </w:r>
    </w:p>
    <w:bookmarkEnd w:id="11"/>
    <w:p w14:paraId="34E5A083" w14:textId="77777777" w:rsidR="004F4C46" w:rsidRDefault="004F4C46" w:rsidP="004F4C46">
      <w:pPr>
        <w:widowControl w:val="0"/>
        <w:autoSpaceDE w:val="0"/>
        <w:autoSpaceDN w:val="0"/>
        <w:spacing w:after="18"/>
        <w:jc w:val="center"/>
        <w:rPr>
          <w:rFonts w:ascii="Arial" w:eastAsia="Arial" w:hAnsi="Arial" w:cs="Arial"/>
          <w:lang w:val="es-ES" w:eastAsia="es-CO" w:bidi="es-ES"/>
        </w:rPr>
      </w:pPr>
    </w:p>
    <w:p w14:paraId="684B91E9" w14:textId="56BCDA3F" w:rsidR="004F4C46" w:rsidRDefault="00297597" w:rsidP="004F4C46">
      <w:pPr>
        <w:widowControl w:val="0"/>
        <w:autoSpaceDE w:val="0"/>
        <w:autoSpaceDN w:val="0"/>
        <w:spacing w:after="18"/>
        <w:jc w:val="center"/>
        <w:rPr>
          <w:rFonts w:ascii="Arial" w:eastAsia="Arial" w:hAnsi="Arial" w:cs="Arial"/>
          <w:lang w:val="es-ES" w:eastAsia="es-CO" w:bidi="es-ES"/>
        </w:rPr>
      </w:pPr>
      <w:bookmarkStart w:id="12" w:name="_GoBack"/>
      <w:r>
        <w:rPr>
          <w:rFonts w:ascii="Arial" w:eastAsia="Arial" w:hAnsi="Arial" w:cs="Arial"/>
          <w:noProof/>
          <w:lang w:val="en-US"/>
          <w14:ligatures w14:val="standardContextual"/>
        </w:rPr>
        <w:drawing>
          <wp:inline distT="0" distB="0" distL="0" distR="0" wp14:anchorId="260D7516" wp14:editId="39B9C916">
            <wp:extent cx="3153215" cy="1209844"/>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ra nohelia.png"/>
                    <pic:cNvPicPr/>
                  </pic:nvPicPr>
                  <pic:blipFill>
                    <a:blip r:embed="rId11">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bookmarkEnd w:id="12"/>
    </w:p>
    <w:p w14:paraId="36298D0F" w14:textId="77777777" w:rsidR="004F4C46" w:rsidRDefault="004F4C46" w:rsidP="004F4C46">
      <w:pPr>
        <w:widowControl w:val="0"/>
        <w:autoSpaceDE w:val="0"/>
        <w:autoSpaceDN w:val="0"/>
        <w:spacing w:after="18"/>
        <w:jc w:val="center"/>
        <w:rPr>
          <w:rFonts w:ascii="Arial" w:eastAsia="Arial" w:hAnsi="Arial" w:cs="Arial"/>
          <w:lang w:val="es-ES" w:eastAsia="es-CO" w:bidi="es-ES"/>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4F4C46" w14:paraId="198B5099" w14:textId="77777777" w:rsidTr="00261E57">
        <w:trPr>
          <w:trHeight w:val="286"/>
        </w:trPr>
        <w:tc>
          <w:tcPr>
            <w:tcW w:w="817" w:type="dxa"/>
            <w:vAlign w:val="center"/>
            <w:hideMark/>
          </w:tcPr>
          <w:p w14:paraId="73154420" w14:textId="77777777" w:rsidR="004F4C46" w:rsidRDefault="004F4C46" w:rsidP="00261E57">
            <w:pPr>
              <w:rPr>
                <w:rFonts w:ascii="Arial" w:eastAsia="Arial" w:hAnsi="Arial" w:cs="Arial"/>
                <w:sz w:val="14"/>
                <w:szCs w:val="14"/>
                <w:lang w:val="es-ES" w:eastAsia="es-ES" w:bidi="es-ES"/>
              </w:rPr>
            </w:pPr>
            <w:bookmarkStart w:id="13" w:name="_Hlk70523608"/>
            <w:r>
              <w:rPr>
                <w:rFonts w:ascii="Arial" w:eastAsia="Arial" w:hAnsi="Arial" w:cs="Arial"/>
                <w:sz w:val="14"/>
                <w:szCs w:val="14"/>
                <w:lang w:val="es-ES" w:eastAsia="es-ES" w:bidi="es-ES"/>
              </w:rPr>
              <w:t>Elaboró:</w:t>
            </w:r>
          </w:p>
        </w:tc>
        <w:tc>
          <w:tcPr>
            <w:tcW w:w="4003" w:type="dxa"/>
            <w:tcBorders>
              <w:top w:val="nil"/>
              <w:left w:val="nil"/>
              <w:bottom w:val="dotted" w:sz="4" w:space="0" w:color="7F7F7F" w:themeColor="text1" w:themeTint="80"/>
              <w:right w:val="nil"/>
            </w:tcBorders>
            <w:vAlign w:val="center"/>
            <w:hideMark/>
          </w:tcPr>
          <w:p w14:paraId="11E36B00"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eastAsia="es-ES" w:bidi="es-ES"/>
              </w:rPr>
              <w:t>Nina María Padrón Ballestas</w:t>
            </w:r>
          </w:p>
          <w:p w14:paraId="5C8C9DB7"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val="es-ES" w:eastAsia="es-ES" w:bidi="es-ES"/>
              </w:rPr>
              <w:t>Contratista de la Subdirección de Gestión Contractual</w:t>
            </w:r>
          </w:p>
        </w:tc>
      </w:tr>
      <w:tr w:rsidR="004F4C46" w14:paraId="14DB29E2" w14:textId="77777777" w:rsidTr="00261E57">
        <w:trPr>
          <w:trHeight w:val="299"/>
        </w:trPr>
        <w:tc>
          <w:tcPr>
            <w:tcW w:w="817" w:type="dxa"/>
            <w:vAlign w:val="center"/>
            <w:hideMark/>
          </w:tcPr>
          <w:p w14:paraId="109FAC44"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val="es-ES" w:eastAsia="es-ES" w:bidi="es-ES"/>
              </w:rPr>
              <w:t>Revisó: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58A06666"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val="es-ES" w:eastAsia="es-ES" w:bidi="es-ES"/>
              </w:rPr>
              <w:t>Adriana Katerine López Rodríguez</w:t>
            </w:r>
          </w:p>
          <w:p w14:paraId="1C852BA7" w14:textId="77777777" w:rsidR="004F4C46" w:rsidRDefault="004F4C46" w:rsidP="00261E57">
            <w:pPr>
              <w:rPr>
                <w:rFonts w:ascii="Arial" w:eastAsia="Arial" w:hAnsi="Arial" w:cs="Arial"/>
                <w:sz w:val="14"/>
                <w:szCs w:val="14"/>
                <w:lang w:val="es-ES" w:eastAsia="es-ES" w:bidi="es-ES"/>
              </w:rPr>
            </w:pPr>
            <w:r w:rsidRPr="20E240A2">
              <w:rPr>
                <w:rFonts w:ascii="Arial" w:eastAsia="Arial" w:hAnsi="Arial" w:cs="Arial"/>
                <w:sz w:val="14"/>
                <w:szCs w:val="14"/>
                <w:lang w:val="es-ES" w:eastAsia="es-ES" w:bidi="es-ES"/>
              </w:rPr>
              <w:t>Contratista de la Subdirección de Gestión Contractual</w:t>
            </w:r>
          </w:p>
          <w:p w14:paraId="3BE85BEB" w14:textId="77777777" w:rsidR="004F4C46" w:rsidRDefault="004F4C46" w:rsidP="00261E57">
            <w:pPr>
              <w:rPr>
                <w:rFonts w:ascii="Arial" w:eastAsia="Arial" w:hAnsi="Arial" w:cs="Arial"/>
                <w:sz w:val="14"/>
                <w:szCs w:val="14"/>
                <w:lang w:val="es-ES" w:eastAsia="es-ES" w:bidi="es-ES"/>
              </w:rPr>
            </w:pPr>
            <w:r w:rsidRPr="20E240A2">
              <w:rPr>
                <w:rFonts w:ascii="Arial" w:eastAsia="Arial" w:hAnsi="Arial" w:cs="Arial"/>
                <w:sz w:val="14"/>
                <w:szCs w:val="14"/>
                <w:lang w:val="es-ES" w:eastAsia="es-ES" w:bidi="es-ES"/>
              </w:rPr>
              <w:t>Gabriel Mendoza</w:t>
            </w:r>
          </w:p>
          <w:p w14:paraId="5C1B0D54" w14:textId="77777777" w:rsidR="004F4C46" w:rsidRDefault="004F4C46" w:rsidP="00261E57">
            <w:pPr>
              <w:rPr>
                <w:rFonts w:ascii="Arial" w:eastAsia="Arial" w:hAnsi="Arial" w:cs="Arial"/>
                <w:sz w:val="14"/>
                <w:szCs w:val="14"/>
                <w:lang w:val="es-ES" w:eastAsia="es-ES" w:bidi="es-ES"/>
              </w:rPr>
            </w:pPr>
            <w:r w:rsidRPr="20E240A2">
              <w:rPr>
                <w:rFonts w:ascii="Arial" w:eastAsia="Arial" w:hAnsi="Arial" w:cs="Arial"/>
                <w:sz w:val="14"/>
                <w:szCs w:val="14"/>
                <w:lang w:val="es-ES" w:eastAsia="es-ES" w:bidi="es-ES"/>
              </w:rPr>
              <w:t xml:space="preserve">Contratista de la Subdirección de Gestión Contractual  </w:t>
            </w:r>
          </w:p>
        </w:tc>
      </w:tr>
      <w:tr w:rsidR="004F4C46" w14:paraId="642A9292" w14:textId="77777777" w:rsidTr="00261E57">
        <w:trPr>
          <w:trHeight w:val="272"/>
        </w:trPr>
        <w:tc>
          <w:tcPr>
            <w:tcW w:w="817" w:type="dxa"/>
            <w:vAlign w:val="center"/>
            <w:hideMark/>
          </w:tcPr>
          <w:p w14:paraId="36E278D3"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val="es-ES" w:eastAsia="es-ES" w:bidi="es-ES"/>
              </w:rPr>
              <w:t>Aprobó:</w:t>
            </w:r>
          </w:p>
        </w:tc>
        <w:tc>
          <w:tcPr>
            <w:tcW w:w="4003" w:type="dxa"/>
            <w:tcBorders>
              <w:top w:val="dotted" w:sz="4" w:space="0" w:color="7F7F7F" w:themeColor="text1" w:themeTint="80"/>
              <w:left w:val="nil"/>
              <w:bottom w:val="dotted" w:sz="4" w:space="0" w:color="7F7F7F" w:themeColor="text1" w:themeTint="80"/>
              <w:right w:val="nil"/>
            </w:tcBorders>
            <w:vAlign w:val="center"/>
            <w:hideMark/>
          </w:tcPr>
          <w:p w14:paraId="2942198F"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val="es-ES" w:eastAsia="es-ES" w:bidi="es-ES"/>
              </w:rPr>
              <w:t>Nohelia del Carmen Zawady Palacio</w:t>
            </w:r>
          </w:p>
          <w:p w14:paraId="67DB53CB" w14:textId="77777777" w:rsidR="004F4C46" w:rsidRDefault="004F4C46" w:rsidP="00261E57">
            <w:pPr>
              <w:rPr>
                <w:rFonts w:ascii="Arial" w:eastAsia="Arial" w:hAnsi="Arial" w:cs="Arial"/>
                <w:sz w:val="14"/>
                <w:szCs w:val="14"/>
                <w:lang w:val="es-ES" w:eastAsia="es-ES" w:bidi="es-ES"/>
              </w:rPr>
            </w:pPr>
            <w:r>
              <w:rPr>
                <w:rFonts w:ascii="Arial" w:eastAsia="Arial" w:hAnsi="Arial" w:cs="Arial"/>
                <w:sz w:val="14"/>
                <w:szCs w:val="14"/>
                <w:lang w:val="es-ES" w:eastAsia="es-ES" w:bidi="es-ES"/>
              </w:rPr>
              <w:t>Subdirector de Gestión Contractual ANCP – CCE</w:t>
            </w:r>
          </w:p>
        </w:tc>
      </w:tr>
      <w:bookmarkEnd w:id="13"/>
    </w:tbl>
    <w:p w14:paraId="5045E698" w14:textId="77777777" w:rsidR="004F4C46" w:rsidRDefault="004F4C46" w:rsidP="004F4C46">
      <w:pPr>
        <w:widowControl w:val="0"/>
        <w:autoSpaceDE w:val="0"/>
        <w:autoSpaceDN w:val="0"/>
        <w:spacing w:after="18"/>
        <w:jc w:val="center"/>
        <w:rPr>
          <w:rFonts w:ascii="Arial" w:eastAsia="Arial" w:hAnsi="Arial" w:cs="Arial"/>
          <w:lang w:val="es-ES" w:eastAsia="es-CO" w:bidi="es-ES"/>
        </w:rPr>
      </w:pPr>
    </w:p>
    <w:p w14:paraId="24AC4337" w14:textId="77777777" w:rsidR="004F4C46" w:rsidRDefault="004F4C46" w:rsidP="004F4C46">
      <w:pPr>
        <w:widowControl w:val="0"/>
        <w:autoSpaceDE w:val="0"/>
        <w:autoSpaceDN w:val="0"/>
        <w:rPr>
          <w:rFonts w:ascii="Arial" w:eastAsia="Arial" w:hAnsi="Arial" w:cs="Arial"/>
          <w:lang w:val="es-ES" w:eastAsia="es-ES" w:bidi="es-ES"/>
        </w:rPr>
      </w:pPr>
    </w:p>
    <w:p w14:paraId="7F9B6154" w14:textId="77777777" w:rsidR="004F4C46" w:rsidRDefault="004F4C46" w:rsidP="004F4C46">
      <w:pPr>
        <w:widowControl w:val="0"/>
        <w:autoSpaceDE w:val="0"/>
        <w:autoSpaceDN w:val="0"/>
        <w:rPr>
          <w:rFonts w:ascii="Arial" w:eastAsia="Arial" w:hAnsi="Arial" w:cs="Arial"/>
          <w:lang w:val="es-ES" w:eastAsia="es-ES" w:bidi="es-ES"/>
        </w:rPr>
      </w:pPr>
    </w:p>
    <w:p w14:paraId="06F1D73E" w14:textId="77777777" w:rsidR="004F4C46" w:rsidRDefault="004F4C46" w:rsidP="004F4C46">
      <w:pPr>
        <w:rPr>
          <w:lang w:val="es-ES"/>
        </w:rPr>
      </w:pPr>
    </w:p>
    <w:p w14:paraId="06DB2597" w14:textId="77777777" w:rsidR="004F4C46" w:rsidRDefault="004F4C46" w:rsidP="004F4C46"/>
    <w:p w14:paraId="203DD0F3" w14:textId="77777777" w:rsidR="004F4C46" w:rsidRDefault="004F4C46" w:rsidP="004F4C46">
      <w:r>
        <w:t xml:space="preserve"> </w:t>
      </w:r>
    </w:p>
    <w:p w14:paraId="7E85AB80" w14:textId="77777777" w:rsidR="004F4C46" w:rsidRPr="00322A85" w:rsidRDefault="004F4C46" w:rsidP="004F4C46">
      <w:pPr>
        <w:spacing w:after="0"/>
        <w:rPr>
          <w:rFonts w:ascii="Century Gothic" w:hAnsi="Century Gothic"/>
        </w:rPr>
      </w:pPr>
    </w:p>
    <w:p w14:paraId="69115AAA" w14:textId="77777777" w:rsidR="004F4C46" w:rsidRPr="005D0331" w:rsidRDefault="004F4C46" w:rsidP="004F4C46">
      <w:pPr>
        <w:spacing w:after="0" w:line="276" w:lineRule="auto"/>
        <w:contextualSpacing/>
        <w:jc w:val="both"/>
      </w:pPr>
    </w:p>
    <w:p w14:paraId="59D00DB0" w14:textId="77777777" w:rsidR="004F4C46" w:rsidRPr="00322A85" w:rsidRDefault="004F4C46" w:rsidP="004F4C46">
      <w:pPr>
        <w:spacing w:after="0"/>
        <w:rPr>
          <w:rFonts w:ascii="Century Gothic" w:hAnsi="Century Gothic"/>
        </w:rPr>
      </w:pPr>
    </w:p>
    <w:p w14:paraId="5EE3B4A5" w14:textId="77777777" w:rsidR="00EA591E" w:rsidRPr="005D0331" w:rsidRDefault="00EA591E" w:rsidP="007D2DC3">
      <w:pPr>
        <w:spacing w:after="0" w:line="276" w:lineRule="auto"/>
        <w:contextualSpacing/>
        <w:jc w:val="both"/>
      </w:pPr>
    </w:p>
    <w:sectPr w:rsidR="00EA591E" w:rsidRPr="005D0331"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E2A9" w14:textId="77777777" w:rsidR="00CB1029" w:rsidRDefault="00CB1029" w:rsidP="00EA591E">
      <w:pPr>
        <w:spacing w:after="0" w:line="240" w:lineRule="auto"/>
      </w:pPr>
      <w:r>
        <w:separator/>
      </w:r>
    </w:p>
  </w:endnote>
  <w:endnote w:type="continuationSeparator" w:id="0">
    <w:p w14:paraId="41684EB8" w14:textId="77777777" w:rsidR="00CB1029" w:rsidRDefault="00CB1029" w:rsidP="00EA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7C30" w14:textId="77777777" w:rsidR="00AF3A32" w:rsidRDefault="00EA591E">
    <w:pPr>
      <w:pStyle w:val="Piedepgina"/>
    </w:pPr>
    <w:r>
      <w:rPr>
        <w:noProof/>
        <w:lang w:val="en-US"/>
      </w:rPr>
      <w:drawing>
        <wp:inline distT="0" distB="0" distL="0" distR="0" wp14:anchorId="5C9EED36" wp14:editId="57FF0669">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2336" behindDoc="0" locked="0" layoutInCell="1" allowOverlap="1" wp14:anchorId="6DA5C328" wp14:editId="0B3CCDA5">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718B5582"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E1183" w14:textId="77777777" w:rsidR="00AF3A32" w:rsidRPr="003F3941" w:rsidRDefault="00EA591E"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0E27A6D" w14:textId="77777777" w:rsidR="00AF3A32" w:rsidRPr="003F3941" w:rsidRDefault="00EA591E"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B7F6509" w14:textId="77777777" w:rsidR="00AF3A32" w:rsidRPr="003F3941" w:rsidRDefault="00EA591E"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15413E0" w14:textId="2EE4FEA0" w:rsidR="00AF3A32" w:rsidRPr="003F3941" w:rsidRDefault="00EA591E"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297597">
            <w:rPr>
              <w:rFonts w:ascii="Century Gothic" w:hAnsi="Century Gothic"/>
              <w:b/>
              <w:bCs/>
              <w:noProof/>
              <w:sz w:val="16"/>
              <w:szCs w:val="16"/>
            </w:rPr>
            <w:t>25</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297597">
            <w:rPr>
              <w:rFonts w:ascii="Century Gothic" w:hAnsi="Century Gothic"/>
              <w:b/>
              <w:bCs/>
              <w:noProof/>
              <w:sz w:val="16"/>
              <w:szCs w:val="16"/>
            </w:rPr>
            <w:t>25</w:t>
          </w:r>
          <w:r w:rsidRPr="003F3941">
            <w:rPr>
              <w:rFonts w:ascii="Century Gothic" w:hAnsi="Century Gothic"/>
              <w:b/>
              <w:bCs/>
              <w:sz w:val="16"/>
              <w:szCs w:val="16"/>
            </w:rPr>
            <w:fldChar w:fldCharType="end"/>
          </w:r>
        </w:p>
      </w:tc>
    </w:tr>
  </w:tbl>
  <w:p w14:paraId="095C53F7" w14:textId="77777777" w:rsidR="00AF3A32" w:rsidRDefault="00AF3A32"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398B" w14:textId="77777777" w:rsidR="00CB1029" w:rsidRDefault="00CB1029" w:rsidP="00EA591E">
      <w:pPr>
        <w:spacing w:after="0" w:line="240" w:lineRule="auto"/>
      </w:pPr>
      <w:r>
        <w:separator/>
      </w:r>
    </w:p>
  </w:footnote>
  <w:footnote w:type="continuationSeparator" w:id="0">
    <w:p w14:paraId="505C2513" w14:textId="77777777" w:rsidR="00CB1029" w:rsidRDefault="00CB1029" w:rsidP="00EA591E">
      <w:pPr>
        <w:spacing w:after="0" w:line="240" w:lineRule="auto"/>
      </w:pPr>
      <w:r>
        <w:continuationSeparator/>
      </w:r>
    </w:p>
  </w:footnote>
  <w:footnote w:id="1">
    <w:p w14:paraId="792FB98B"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82700">
          <w:rPr>
            <w:rStyle w:val="Hipervnculo"/>
            <w:rFonts w:ascii="Arial" w:hAnsi="Arial" w:cs="Arial"/>
            <w:sz w:val="19"/>
            <w:szCs w:val="19"/>
          </w:rPr>
          <w:t>https://relatoria.colombiacompra.gov.co/busqueda/conceptos</w:t>
        </w:r>
      </w:hyperlink>
      <w:r w:rsidRPr="00982700">
        <w:rPr>
          <w:rStyle w:val="Hipervnculo"/>
          <w:rFonts w:ascii="Arial" w:hAnsi="Arial" w:cs="Arial"/>
          <w:sz w:val="19"/>
          <w:szCs w:val="19"/>
        </w:rPr>
        <w:t xml:space="preserve">. </w:t>
      </w:r>
      <w:r w:rsidRPr="00982700">
        <w:rPr>
          <w:rFonts w:ascii="Arial" w:hAnsi="Arial" w:cs="Arial"/>
          <w:sz w:val="19"/>
          <w:szCs w:val="19"/>
          <w:shd w:val="clear" w:color="auto" w:fill="E6E6E6"/>
        </w:rPr>
        <w:t xml:space="preserve"> </w:t>
      </w:r>
    </w:p>
  </w:footnote>
  <w:footnote w:id="2">
    <w:p w14:paraId="36EDF4DF" w14:textId="77777777" w:rsidR="004F4C46" w:rsidRPr="00982700" w:rsidRDefault="004F4C46" w:rsidP="004F4C46">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C-1016 de 2012. M.P. Jorge Iván Palacio.</w:t>
      </w:r>
    </w:p>
  </w:footnote>
  <w:footnote w:id="3">
    <w:p w14:paraId="61D7CDBA" w14:textId="77777777" w:rsidR="004F4C46" w:rsidRPr="00982700" w:rsidRDefault="004F4C46" w:rsidP="004F4C46">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13 de noviembre de 2013. </w:t>
      </w:r>
      <w:r w:rsidRPr="00982700">
        <w:rPr>
          <w:rFonts w:ascii="Arial" w:hAnsi="Arial" w:cs="Arial"/>
          <w:sz w:val="19"/>
          <w:szCs w:val="19"/>
          <w:lang w:val="pt-BR"/>
        </w:rPr>
        <w:t xml:space="preserve">Rad. 25.646. C.P. Mauricio Fajardo Gómez.  </w:t>
      </w:r>
    </w:p>
    <w:p w14:paraId="2EFC33AF" w14:textId="77777777" w:rsidR="004F4C46" w:rsidRPr="00982700" w:rsidRDefault="004F4C46" w:rsidP="004F4C46">
      <w:pPr>
        <w:pStyle w:val="Textonotapie"/>
        <w:ind w:firstLine="709"/>
        <w:jc w:val="both"/>
        <w:rPr>
          <w:rFonts w:ascii="Arial" w:hAnsi="Arial" w:cs="Arial"/>
          <w:sz w:val="19"/>
          <w:szCs w:val="19"/>
          <w:lang w:val="es-ES_tradnl"/>
        </w:rPr>
      </w:pPr>
    </w:p>
  </w:footnote>
  <w:footnote w:id="4">
    <w:p w14:paraId="1C57959F" w14:textId="77777777" w:rsidR="004F4C46" w:rsidRPr="00982700" w:rsidRDefault="004F4C46" w:rsidP="004F4C46">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C-415 de 1994. M.P. Eduardo Cifuentes Muñoz.</w:t>
      </w:r>
    </w:p>
  </w:footnote>
  <w:footnote w:id="5">
    <w:p w14:paraId="6713AE74" w14:textId="77777777" w:rsidR="004F4C46" w:rsidRPr="00982700" w:rsidRDefault="004F4C46" w:rsidP="004F4C46">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Ibídem.</w:t>
      </w:r>
    </w:p>
  </w:footnote>
  <w:footnote w:id="6">
    <w:p w14:paraId="79189318" w14:textId="77777777" w:rsidR="004F4C46" w:rsidRPr="00DE5113"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w:t>
      </w:r>
      <w:r w:rsidRPr="00982700">
        <w:rPr>
          <w:rFonts w:ascii="Arial" w:hAnsi="Arial" w:cs="Arial"/>
          <w:sz w:val="19"/>
          <w:szCs w:val="19"/>
        </w:rPr>
        <w:t xml:space="preserve">Sentencia C-780 de 2001. </w:t>
      </w:r>
      <w:r w:rsidRPr="00DE5113">
        <w:rPr>
          <w:rFonts w:ascii="Arial" w:hAnsi="Arial" w:cs="Arial"/>
          <w:sz w:val="19"/>
          <w:szCs w:val="19"/>
          <w:lang w:val="es-ES"/>
        </w:rPr>
        <w:t xml:space="preserve">M.P. Jaime Córdoba Triviño. </w:t>
      </w:r>
    </w:p>
  </w:footnote>
  <w:footnote w:id="7">
    <w:p w14:paraId="3ED002B2"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Ley 80 de 1993: “Artículo 8: 1o. Son inhábiles para participar en licitaciones o concursos y para celebrar contratos con las entidades estatales: </w:t>
      </w:r>
    </w:p>
    <w:p w14:paraId="4D042D9F"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a) Las personas que se hallen inhabilitadas para contratar por la Constitución y las leyes. </w:t>
      </w:r>
    </w:p>
    <w:p w14:paraId="34570720"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b) Quienes participaron en las licitaciones o concursos o celebraron los contratos de que trata el literal anterior estando inhabilitados. </w:t>
      </w:r>
    </w:p>
    <w:p w14:paraId="09B932B7"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c) Quienes dieron lugar a la declaratoria de caducidad. </w:t>
      </w:r>
    </w:p>
    <w:p w14:paraId="20DB5306"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d) Quienes en sentencia judicial hayan sido condenados a la pena accesoria de interdicción de derechos y funciones públicas y quienes hayan sido sancionados disciplinariamente con destitución. </w:t>
      </w:r>
    </w:p>
    <w:p w14:paraId="190CDE08"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 Quienes sin justa causa se abstengan de suscribir el contrato estatal adjudicado. </w:t>
      </w:r>
    </w:p>
    <w:p w14:paraId="1DAE8C03"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f) Los servidores públicos. </w:t>
      </w:r>
    </w:p>
    <w:p w14:paraId="4C3DFDEB"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01430E5F"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048AF881"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i) Los socios de sociedades de personas a las cuales se haya declarado la caducidad, así como las sociedades de personas de las que aquellos formen parte con posterioridad a dicha declaratoria. </w:t>
      </w:r>
    </w:p>
    <w:p w14:paraId="626C23DC"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69A8A0B2"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0529AB3A"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982700">
        <w:rPr>
          <w:rFonts w:ascii="Arial" w:hAnsi="Arial" w:cs="Arial"/>
          <w:sz w:val="19"/>
          <w:szCs w:val="19"/>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982700">
        <w:rPr>
          <w:rFonts w:ascii="Arial" w:hAnsi="Arial" w:cs="Arial"/>
          <w:sz w:val="19"/>
          <w:szCs w:val="19"/>
          <w:lang w:val="es-ES"/>
        </w:rPr>
        <w:softHyphen/>
        <w:t>cepción de las sociedades anónimas abiertas. También se considerarán inhabilitadas para contratar, las personas jurídicas sobre las cuales se haya ordenado la suspensión de la perso</w:t>
      </w:r>
      <w:r w:rsidRPr="00982700">
        <w:rPr>
          <w:rFonts w:ascii="Arial" w:hAnsi="Arial" w:cs="Arial"/>
          <w:sz w:val="19"/>
          <w:szCs w:val="19"/>
          <w:lang w:val="es-ES"/>
        </w:rPr>
        <w:softHyphen/>
        <w:t>nería jurídica en los términos de ley, o cuyos representantes legales, ad</w:t>
      </w:r>
      <w:r w:rsidRPr="00982700">
        <w:rPr>
          <w:rFonts w:ascii="Arial" w:hAnsi="Arial" w:cs="Arial"/>
          <w:sz w:val="19"/>
          <w:szCs w:val="19"/>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982700">
        <w:rPr>
          <w:rFonts w:ascii="Arial" w:hAnsi="Arial" w:cs="Arial"/>
          <w:sz w:val="19"/>
          <w:szCs w:val="19"/>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2A9A8C64"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w:t>
      </w:r>
    </w:p>
    <w:p w14:paraId="06089446" w14:textId="77777777" w:rsidR="004F4C46" w:rsidRPr="00982700" w:rsidRDefault="004F4C46" w:rsidP="004F4C46">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2o. Tampoco podrán participar en licitaciones o concursos ni celebrar contratos estatales con la entidad respectiva: </w:t>
      </w:r>
    </w:p>
    <w:p w14:paraId="122D00E6"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63882542"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90A4D88"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c) El cónyuge, compañero o compañera permanente del servidor público en los niveles directivo, asesor, ejecutivo, o de un miembro de la junta o consejo directivo, o de quien ejerza funciones de control interno o de control fiscal. </w:t>
      </w:r>
    </w:p>
    <w:p w14:paraId="1B4D6494"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03183326"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 Los miembros de las juntas o consejos directivos. Esta incompatibilidad sólo se predica respecto de la entidad a la cual prestan sus servicios y de las del sector administrativo al que la misma esté adscrita o vinculada. </w:t>
      </w:r>
    </w:p>
    <w:p w14:paraId="526EE0D1" w14:textId="77777777" w:rsidR="004F4C46" w:rsidRPr="00982700" w:rsidRDefault="004F4C46" w:rsidP="004F4C46">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 </w:t>
      </w:r>
    </w:p>
  </w:footnote>
  <w:footnote w:id="8">
    <w:p w14:paraId="02B38B9F"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3D000723" w14:textId="77777777" w:rsidR="004F4C46" w:rsidRPr="00982700" w:rsidRDefault="004F4C46" w:rsidP="004F4C46">
      <w:pPr>
        <w:pStyle w:val="Textonotapie"/>
        <w:ind w:firstLine="709"/>
        <w:jc w:val="both"/>
        <w:rPr>
          <w:rFonts w:ascii="Arial" w:hAnsi="Arial" w:cs="Arial"/>
          <w:sz w:val="19"/>
          <w:szCs w:val="19"/>
        </w:rPr>
      </w:pPr>
      <w:r w:rsidRPr="00982700">
        <w:rPr>
          <w:rFonts w:ascii="Arial" w:hAnsi="Arial" w:cs="Arial"/>
          <w:sz w:val="19"/>
          <w:szCs w:val="19"/>
        </w:rPr>
        <w:t>Las personas jurídicas nacionales y extranjeras deberán acreditar que su duración no será inferior a la del plazo del contrato y un año más”.</w:t>
      </w:r>
    </w:p>
  </w:footnote>
  <w:footnote w:id="9">
    <w:p w14:paraId="451EA248"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“Artículo 1502. Requisitos para obligarse. Para que una persona se obligue a otra por un acto o declaración de voluntad, es necesario:</w:t>
      </w:r>
    </w:p>
    <w:p w14:paraId="43448976" w14:textId="77777777" w:rsidR="004F4C46" w:rsidRPr="00982700" w:rsidRDefault="004F4C46" w:rsidP="004F4C46">
      <w:pPr>
        <w:pStyle w:val="Textonotapie"/>
        <w:ind w:firstLine="709"/>
        <w:jc w:val="both"/>
        <w:rPr>
          <w:rFonts w:ascii="Arial" w:hAnsi="Arial" w:cs="Arial"/>
          <w:sz w:val="19"/>
          <w:szCs w:val="19"/>
        </w:rPr>
      </w:pPr>
      <w:r w:rsidRPr="00982700">
        <w:rPr>
          <w:rFonts w:ascii="Arial" w:hAnsi="Arial" w:cs="Arial"/>
          <w:sz w:val="19"/>
          <w:szCs w:val="19"/>
        </w:rPr>
        <w:t>1o.) que sea legalmente capaz.</w:t>
      </w:r>
    </w:p>
    <w:p w14:paraId="375A3D86" w14:textId="77777777" w:rsidR="004F4C46" w:rsidRPr="00982700" w:rsidRDefault="004F4C46" w:rsidP="004F4C46">
      <w:pPr>
        <w:pStyle w:val="Textonotapie"/>
        <w:ind w:firstLine="709"/>
        <w:jc w:val="both"/>
        <w:rPr>
          <w:rFonts w:ascii="Arial" w:hAnsi="Arial" w:cs="Arial"/>
          <w:sz w:val="19"/>
          <w:szCs w:val="19"/>
        </w:rPr>
      </w:pPr>
      <w:r w:rsidRPr="00982700">
        <w:rPr>
          <w:rFonts w:ascii="Arial" w:hAnsi="Arial" w:cs="Arial"/>
          <w:sz w:val="19"/>
          <w:szCs w:val="19"/>
        </w:rPr>
        <w:t>[…]</w:t>
      </w:r>
    </w:p>
    <w:p w14:paraId="1BF7065D" w14:textId="77777777" w:rsidR="004F4C46" w:rsidRPr="00982700" w:rsidRDefault="004F4C46" w:rsidP="004F4C46">
      <w:pPr>
        <w:pStyle w:val="Textonotapie"/>
        <w:ind w:firstLine="709"/>
        <w:jc w:val="both"/>
        <w:rPr>
          <w:rFonts w:ascii="Arial" w:hAnsi="Arial" w:cs="Arial"/>
          <w:sz w:val="19"/>
          <w:szCs w:val="19"/>
        </w:rPr>
      </w:pPr>
      <w:r w:rsidRPr="00982700">
        <w:rPr>
          <w:rFonts w:ascii="Arial" w:hAnsi="Arial" w:cs="Arial"/>
          <w:sz w:val="19"/>
          <w:szCs w:val="19"/>
        </w:rPr>
        <w:t>La capacidad legal de una persona consiste en poderse obligar por sí misma, sin el ministerio o la autorización de otra”.</w:t>
      </w:r>
    </w:p>
  </w:footnote>
  <w:footnote w:id="10">
    <w:p w14:paraId="6EBBD89A"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Ley 19 de 2012: “Artículo 221. El artículo 6 de la Ley 1150 de 2007, quedará así:</w:t>
      </w:r>
    </w:p>
    <w:p w14:paraId="37717C57" w14:textId="77777777" w:rsidR="004F4C46" w:rsidRPr="00982700" w:rsidRDefault="004F4C46" w:rsidP="004F4C46">
      <w:pPr>
        <w:pStyle w:val="Textonotapie"/>
        <w:ind w:firstLine="709"/>
        <w:jc w:val="both"/>
        <w:rPr>
          <w:rFonts w:ascii="Arial" w:hAnsi="Arial" w:cs="Arial"/>
          <w:sz w:val="19"/>
          <w:szCs w:val="19"/>
          <w:lang w:val="es-ES"/>
        </w:rPr>
      </w:pPr>
      <w:r w:rsidRPr="00982700">
        <w:rPr>
          <w:rFonts w:ascii="Arial" w:hAnsi="Arial" w:cs="Arial"/>
          <w:sz w:val="19"/>
          <w:szCs w:val="19"/>
        </w:rPr>
        <w:t>Artículo 6. De la verificación de las condiciones de los proponentes. T</w:t>
      </w:r>
      <w:r w:rsidRPr="00982700">
        <w:rPr>
          <w:rFonts w:ascii="Arial" w:hAnsi="Arial" w:cs="Arial"/>
          <w:sz w:val="19"/>
          <w:szCs w:val="19"/>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7BBDAC4" w14:textId="77777777" w:rsidR="004F4C46" w:rsidRPr="00982700" w:rsidRDefault="004F4C46" w:rsidP="004F4C46">
      <w:pPr>
        <w:pStyle w:val="Textonotapie"/>
        <w:ind w:firstLine="709"/>
        <w:jc w:val="both"/>
        <w:rPr>
          <w:rFonts w:ascii="Arial" w:hAnsi="Arial" w:cs="Arial"/>
          <w:sz w:val="19"/>
          <w:szCs w:val="19"/>
          <w:lang w:val="es-ES"/>
        </w:rPr>
      </w:pPr>
      <w:r w:rsidRPr="00982700">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1">
    <w:p w14:paraId="1CC45DC8" w14:textId="77777777" w:rsidR="004F4C46" w:rsidRPr="00982700"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82700">
        <w:rPr>
          <w:rFonts w:ascii="Arial" w:hAnsi="Arial" w:cs="Arial"/>
          <w:i/>
          <w:iCs/>
          <w:sz w:val="19"/>
          <w:szCs w:val="19"/>
          <w:lang w:val="es-ES"/>
        </w:rPr>
        <w:t>el régimen de inhabilidades e incompatibilidades</w:t>
      </w:r>
      <w:r w:rsidRPr="00982700">
        <w:rPr>
          <w:rFonts w:ascii="Arial" w:hAnsi="Arial" w:cs="Arial"/>
          <w:sz w:val="19"/>
          <w:szCs w:val="19"/>
          <w:lang w:val="es-ES"/>
        </w:rPr>
        <w:t xml:space="preserve"> (1) y la obligación de ciertos proponentes de inscribirse en el </w:t>
      </w:r>
      <w:r w:rsidRPr="00982700">
        <w:rPr>
          <w:rFonts w:ascii="Arial" w:hAnsi="Arial" w:cs="Arial"/>
          <w:i/>
          <w:iCs/>
          <w:sz w:val="19"/>
          <w:szCs w:val="19"/>
          <w:lang w:val="es-ES"/>
        </w:rPr>
        <w:t>registro único</w:t>
      </w:r>
      <w:r w:rsidRPr="00982700">
        <w:rPr>
          <w:rFonts w:ascii="Arial" w:hAnsi="Arial" w:cs="Arial"/>
          <w:sz w:val="19"/>
          <w:szCs w:val="19"/>
          <w:lang w:val="es-ES"/>
        </w:rPr>
        <w:t xml:space="preserve"> (2)” (BENAVIDES, José Luis. El contrato estatal. Entre el Derecho público y el Derecho privado. 2ª ed. Bogotá: Universidad Externado de Colombia, 2004. p. 278). </w:t>
      </w:r>
    </w:p>
  </w:footnote>
  <w:footnote w:id="12">
    <w:p w14:paraId="344E8D8F" w14:textId="77777777" w:rsidR="004F4C46" w:rsidRPr="00982700" w:rsidRDefault="004F4C46" w:rsidP="004F4C46">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3">
    <w:p w14:paraId="449980DD" w14:textId="77777777" w:rsidR="004F4C46" w:rsidRPr="00982700"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4">
    <w:p w14:paraId="4FF176ED" w14:textId="77777777" w:rsidR="004F4C46" w:rsidRPr="00982700"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5">
    <w:p w14:paraId="7D6C375D" w14:textId="77777777" w:rsidR="004F4C46" w:rsidRPr="00982700" w:rsidRDefault="004F4C46" w:rsidP="004F4C46">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6">
    <w:p w14:paraId="3B94DFC0"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7">
    <w:p w14:paraId="5958910E" w14:textId="77777777" w:rsidR="004F4C46" w:rsidRPr="00982700"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8">
    <w:p w14:paraId="35C1AACA" w14:textId="77777777" w:rsidR="004F4C46" w:rsidRPr="00982700" w:rsidRDefault="004F4C46" w:rsidP="004F4C46">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Ibídem. p. 69.</w:t>
      </w:r>
    </w:p>
  </w:footnote>
  <w:footnote w:id="19">
    <w:p w14:paraId="61C1E604" w14:textId="77777777" w:rsidR="004F4C46" w:rsidRPr="00982700"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20">
    <w:p w14:paraId="66A2111A" w14:textId="77777777" w:rsidR="004F4C46" w:rsidRPr="00982700" w:rsidRDefault="004F4C46" w:rsidP="004F4C46">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CONSEJO DE ESTADO. Sala de Consulta y Servicio Civil. Concepto del 30 de abril de 2015. Exp. 2251. C.P. Álvaro Namén Vargas.</w:t>
      </w:r>
    </w:p>
  </w:footnote>
  <w:footnote w:id="21">
    <w:p w14:paraId="7276F0A1"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24 de junio de 2015. Exp. 40.635. C.P. Hernán Andrade Rincón (E).</w:t>
      </w:r>
    </w:p>
  </w:footnote>
  <w:footnote w:id="22">
    <w:p w14:paraId="57FA36B0" w14:textId="77777777" w:rsidR="004F4C46" w:rsidRPr="00982700" w:rsidRDefault="004F4C46" w:rsidP="004F4C46">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C. Sentencia del 22 de mayo de 2013. Rad. 24.057. C.P. Olga Mélida Valle De De La Hoz. </w:t>
      </w:r>
    </w:p>
  </w:footnote>
  <w:footnote w:id="23">
    <w:p w14:paraId="3510F4DA" w14:textId="77777777" w:rsidR="004F4C46" w:rsidRPr="00982700" w:rsidRDefault="004F4C46" w:rsidP="004F4C46">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C-415 de 1994. M.P. Eduardo Cifuentes Muñoz.</w:t>
      </w:r>
    </w:p>
  </w:footnote>
  <w:footnote w:id="24">
    <w:p w14:paraId="668E0CC9" w14:textId="77777777" w:rsidR="004F4C46" w:rsidRPr="00982700" w:rsidRDefault="004F4C46" w:rsidP="004F4C46">
      <w:pPr>
        <w:pStyle w:val="Textonotapie"/>
        <w:ind w:firstLine="709"/>
        <w:jc w:val="both"/>
        <w:rPr>
          <w:rFonts w:ascii="Arial" w:hAnsi="Arial" w:cs="Arial"/>
          <w:color w:val="000000" w:themeColor="text1"/>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lang w:val="pt-BR"/>
        </w:rPr>
        <w:t xml:space="preserve">CONSEJO DE ESTADO. Sala de lo contencioso administrativo. Sentencia del 12 de diciembre de 2014. Exp. 26496. C.P. Ramiro Pazos Guerrero. </w:t>
      </w:r>
      <w:r w:rsidRPr="00982700">
        <w:rPr>
          <w:rFonts w:ascii="Arial" w:hAnsi="Arial" w:cs="Arial"/>
          <w:color w:val="000000" w:themeColor="text1"/>
          <w:sz w:val="19"/>
          <w:szCs w:val="19"/>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5">
    <w:p w14:paraId="728D60B2" w14:textId="77777777" w:rsidR="004F4C46" w:rsidRPr="00982700" w:rsidRDefault="004F4C46" w:rsidP="004F4C46">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rPr>
        <w:t>CONSEJO DE ESTADO. Sala de Consulta y Servicio Civil. Concepto del 29 de abril de 1998. Rad. 1097. C.P. Augusto Trejos Jaramillo.</w:t>
      </w:r>
    </w:p>
  </w:footnote>
  <w:footnote w:id="26">
    <w:p w14:paraId="34C37929" w14:textId="77777777" w:rsidR="004F4C46" w:rsidRPr="00982700" w:rsidRDefault="004F4C46" w:rsidP="004F4C46">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CONGRESO DE LA REPÚBLICA. Gaceta XXVII, No. 672, del 13 de se</w:t>
      </w:r>
      <w:r>
        <w:rPr>
          <w:rFonts w:ascii="Arial" w:hAnsi="Arial" w:cs="Arial"/>
          <w:sz w:val="19"/>
          <w:szCs w:val="19"/>
        </w:rPr>
        <w:t>p</w:t>
      </w:r>
      <w:r w:rsidRPr="00982700">
        <w:rPr>
          <w:rFonts w:ascii="Arial" w:hAnsi="Arial" w:cs="Arial"/>
          <w:sz w:val="19"/>
          <w:szCs w:val="19"/>
        </w:rPr>
        <w:t>tiembre de 2018. pp. 9-10.</w:t>
      </w:r>
    </w:p>
  </w:footnote>
  <w:footnote w:id="27">
    <w:p w14:paraId="4A0BF455" w14:textId="77777777" w:rsidR="004F4C46" w:rsidRPr="00982700" w:rsidRDefault="004F4C46" w:rsidP="004F4C46">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w:t>
      </w:r>
      <w:hyperlink r:id="rId2" w:anchor=":~:text=La%20palabra%20alimento%20(producto%20o,%2C%20adulto%2C%20alto%20y%20proletario" w:history="1">
        <w:r w:rsidRPr="00982700">
          <w:rPr>
            <w:rStyle w:val="Hipervnculo"/>
            <w:rFonts w:ascii="Arial" w:hAnsi="Arial" w:cs="Arial"/>
            <w:sz w:val="19"/>
            <w:szCs w:val="19"/>
          </w:rPr>
          <w:t>https://etimologias.dechile.net/?alimento#:~:text=La%20palabra%20alimento%20(producto%20o,%2C%20adulto%2C%20alto%20y%20proletario</w:t>
        </w:r>
      </w:hyperlink>
      <w:r w:rsidRPr="00982700">
        <w:rPr>
          <w:rFonts w:ascii="Arial" w:hAnsi="Arial" w:cs="Arial"/>
          <w:sz w:val="19"/>
          <w:szCs w:val="19"/>
        </w:rPr>
        <w:t>, consultado el 10 de abril de 2023.</w:t>
      </w:r>
    </w:p>
  </w:footnote>
  <w:footnote w:id="28">
    <w:p w14:paraId="47A943EF" w14:textId="77777777" w:rsidR="004F4C46" w:rsidRPr="00982700" w:rsidRDefault="004F4C46" w:rsidP="004F4C46">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w:t>
      </w:r>
      <w:r w:rsidRPr="00982700">
        <w:rPr>
          <w:rFonts w:ascii="Arial" w:hAnsi="Arial" w:cs="Arial"/>
          <w:sz w:val="19"/>
          <w:szCs w:val="19"/>
          <w:lang w:val="es-CO"/>
        </w:rPr>
        <w:t>Artículo 1494.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w:t>
      </w:r>
    </w:p>
  </w:footnote>
  <w:footnote w:id="29">
    <w:p w14:paraId="43A0069C" w14:textId="77777777" w:rsidR="004F4C46" w:rsidRPr="00982700" w:rsidRDefault="004F4C46" w:rsidP="004F4C46">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CLARO SOLAR, Luis. Explicaciones de derecho civil chileno y comparado. Volumen II. Tomo III. Santiago de Chile: Editorial Jurídica de Chile, 2013. pp. 375-376.</w:t>
      </w:r>
    </w:p>
  </w:footnote>
  <w:footnote w:id="30">
    <w:p w14:paraId="6D2A5FE4" w14:textId="77777777" w:rsidR="004F4C46" w:rsidRPr="00982700" w:rsidRDefault="004F4C46" w:rsidP="004F4C46">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FUEYO LANERI, Fernando. Derecho civil. Tomo VI. Volumen III. Valparaíso: Imprenta litográfica Universo, 1959. p. 554.   </w:t>
      </w:r>
    </w:p>
  </w:footnote>
  <w:footnote w:id="31">
    <w:p w14:paraId="0DADAA23" w14:textId="77777777" w:rsidR="004F4C46" w:rsidRPr="0082101F" w:rsidRDefault="004F4C46" w:rsidP="004F4C46">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Penal. “Artículo 233. </w:t>
      </w:r>
      <w:r w:rsidRPr="00982700">
        <w:rPr>
          <w:rFonts w:ascii="Arial" w:hAnsi="Arial" w:cs="Arial"/>
          <w:sz w:val="19"/>
          <w:szCs w:val="19"/>
          <w:lang w:val="es-ES"/>
        </w:rPr>
        <w:t>El que se sustraiga sin justa causa a la prestación de alimentos legalmente debidos a sus ascendientes, descendientes, adoptante, adoptivo, cónyuge o compañero o compañera permanente, incurrirá en prisión de dieciséis (16) a cincuenta y cuatro (54) meses y multa de trece punto treinta y tres (13.33) a treinta (30) salarios mínimos legales mensuales vigentes. </w:t>
      </w:r>
    </w:p>
    <w:p w14:paraId="5A64C160" w14:textId="77777777" w:rsidR="004F4C46" w:rsidRPr="0082101F" w:rsidRDefault="004F4C46" w:rsidP="004F4C46">
      <w:pPr>
        <w:pStyle w:val="Textonotapie"/>
        <w:ind w:firstLine="708"/>
        <w:jc w:val="both"/>
        <w:rPr>
          <w:rFonts w:ascii="Arial" w:hAnsi="Arial" w:cs="Arial"/>
          <w:sz w:val="19"/>
          <w:szCs w:val="19"/>
        </w:rPr>
      </w:pPr>
      <w:r w:rsidRPr="0082101F">
        <w:rPr>
          <w:rFonts w:ascii="Arial" w:hAnsi="Arial" w:cs="Arial"/>
          <w:sz w:val="19"/>
          <w:szCs w:val="19"/>
          <w:lang w:val="es-ES"/>
        </w:rPr>
        <w:t>La pena será de prisión de treinta y dos (32) a setenta y dos (72) meses y multa de veinte (20) a treinta y siete punto cinco (37.5) salarios mínimos legales mensuales vigentes cuando la inasistencia alimentaria se cometa contra un menor.</w:t>
      </w:r>
      <w:r w:rsidRPr="0082101F">
        <w:rPr>
          <w:rFonts w:ascii="Arial" w:hAnsi="Arial" w:cs="Arial"/>
          <w:sz w:val="19"/>
          <w:szCs w:val="19"/>
        </w:rPr>
        <w:t> </w:t>
      </w:r>
    </w:p>
    <w:p w14:paraId="665B76B6" w14:textId="77777777" w:rsidR="004F4C46" w:rsidRPr="00982700" w:rsidRDefault="004F4C46" w:rsidP="004F4C46">
      <w:pPr>
        <w:pStyle w:val="Textonotapie"/>
        <w:ind w:firstLine="708"/>
        <w:jc w:val="both"/>
        <w:rPr>
          <w:rFonts w:ascii="Arial" w:hAnsi="Arial" w:cs="Arial"/>
          <w:sz w:val="19"/>
          <w:szCs w:val="19"/>
        </w:rPr>
      </w:pPr>
      <w:r w:rsidRPr="0082101F">
        <w:rPr>
          <w:rFonts w:ascii="Arial" w:hAnsi="Arial" w:cs="Arial"/>
          <w:sz w:val="19"/>
          <w:szCs w:val="19"/>
          <w:lang w:val="es-ES"/>
        </w:rPr>
        <w:t>Parágrafo 1°. Para efectos del presente artículo, se tendrá por compañero y compañera permanente al hombre y la mujer que forman parte de la Unión Marital de Hecho durante un lapso no inferior a dos años en los términos de la Ley 54 de 1990</w:t>
      </w:r>
      <w:r w:rsidRPr="00982700">
        <w:rPr>
          <w:rFonts w:ascii="Arial" w:hAnsi="Arial" w:cs="Arial"/>
          <w:sz w:val="19"/>
          <w:szCs w:val="19"/>
          <w:lang w:val="es-ES"/>
        </w:rPr>
        <w:t>”.</w:t>
      </w:r>
    </w:p>
  </w:footnote>
  <w:footnote w:id="32">
    <w:p w14:paraId="5DE6011A"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lo pertinente, el artículo 13 de la Ley 1150 de 2007 dispone que “</w:t>
      </w:r>
      <w:r w:rsidRPr="00982700">
        <w:rPr>
          <w:rFonts w:ascii="Arial" w:hAnsi="Arial" w:cs="Arial"/>
          <w:sz w:val="19"/>
          <w:szCs w:val="19"/>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982700">
        <w:rPr>
          <w:rFonts w:ascii="Arial" w:hAnsi="Arial" w:cs="Arial"/>
          <w:sz w:val="19"/>
          <w:szCs w:val="19"/>
        </w:rPr>
        <w:t xml:space="preserve"> </w:t>
      </w:r>
    </w:p>
  </w:footnote>
  <w:footnote w:id="33">
    <w:p w14:paraId="5BC52C3E"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092 de 2017, “</w:t>
      </w:r>
      <w:bookmarkStart w:id="10" w:name="6"/>
      <w:r w:rsidRPr="00982700">
        <w:rPr>
          <w:rFonts w:ascii="Arial" w:hAnsi="Arial" w:cs="Arial"/>
          <w:sz w:val="19"/>
          <w:szCs w:val="19"/>
          <w:lang w:val="es-CO"/>
        </w:rPr>
        <w:t>Artículo 6.</w:t>
      </w:r>
      <w:bookmarkEnd w:id="10"/>
      <w:r w:rsidRPr="00982700">
        <w:rPr>
          <w:rFonts w:ascii="Arial" w:hAnsi="Arial" w:cs="Arial"/>
          <w:sz w:val="19"/>
          <w:szCs w:val="19"/>
          <w:lang w:val="es-CO"/>
        </w:rPr>
        <w:t>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 w:id="34">
    <w:p w14:paraId="363F32A5"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lo pertinente, el artículo 13 de la Ley 1150 de 2007 dispone que “</w:t>
      </w:r>
      <w:r w:rsidRPr="00982700">
        <w:rPr>
          <w:rFonts w:ascii="Arial" w:hAnsi="Arial" w:cs="Arial"/>
          <w:sz w:val="19"/>
          <w:szCs w:val="19"/>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982700">
        <w:rPr>
          <w:rFonts w:ascii="Arial" w:hAnsi="Arial" w:cs="Arial"/>
          <w:sz w:val="19"/>
          <w:szCs w:val="19"/>
        </w:rPr>
        <w:t xml:space="preserve"> </w:t>
      </w:r>
    </w:p>
  </w:footnote>
  <w:footnote w:id="35">
    <w:p w14:paraId="3186C1E7" w14:textId="77777777" w:rsidR="004F4C46" w:rsidRPr="00982700" w:rsidRDefault="004F4C46" w:rsidP="004F4C46">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092 de 2017, “</w:t>
      </w:r>
      <w:r w:rsidRPr="00982700">
        <w:rPr>
          <w:rFonts w:ascii="Arial" w:hAnsi="Arial" w:cs="Arial"/>
          <w:sz w:val="19"/>
          <w:szCs w:val="19"/>
          <w:lang w:val="es-CO"/>
        </w:rPr>
        <w:t>Artículo 6.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EC8E" w14:textId="77777777" w:rsidR="00AF3A32" w:rsidRDefault="00EA591E">
    <w:pPr>
      <w:pStyle w:val="Encabezado"/>
    </w:pPr>
    <w:r>
      <w:rPr>
        <w:noProof/>
        <w:lang w:val="en-US"/>
      </w:rPr>
      <w:drawing>
        <wp:anchor distT="0" distB="0" distL="114300" distR="114300" simplePos="0" relativeHeight="251659264" behindDoc="1" locked="0" layoutInCell="1" allowOverlap="1" wp14:anchorId="4E995756" wp14:editId="6BB8669D">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val="en-US"/>
      </w:rPr>
      <w:drawing>
        <wp:anchor distT="0" distB="0" distL="114300" distR="114300" simplePos="0" relativeHeight="251663360" behindDoc="0" locked="0" layoutInCell="1" allowOverlap="1" wp14:anchorId="1C459637" wp14:editId="34A0752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val="en-US"/>
      </w:rPr>
      <w:drawing>
        <wp:anchor distT="0" distB="0" distL="114300" distR="114300" simplePos="0" relativeHeight="251661312" behindDoc="0" locked="0" layoutInCell="1" allowOverlap="1" wp14:anchorId="0ABB235A" wp14:editId="4847E06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0879A04D" wp14:editId="3D07504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1E7CB11" w14:textId="77777777" w:rsidR="00AF3A32" w:rsidRDefault="00AF3A32">
    <w:pPr>
      <w:pStyle w:val="Encabezado"/>
    </w:pPr>
  </w:p>
  <w:p w14:paraId="14662FF5" w14:textId="77777777" w:rsidR="00AF3A32" w:rsidRDefault="00AF3A32">
    <w:pPr>
      <w:pStyle w:val="Encabezado"/>
    </w:pPr>
  </w:p>
  <w:p w14:paraId="2F4A893F" w14:textId="77777777" w:rsidR="00AF3A32" w:rsidRPr="004A305D" w:rsidRDefault="00EA591E"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597FF50D" w14:textId="77777777" w:rsidR="00AF3A32" w:rsidRPr="004A305D" w:rsidRDefault="00EA591E"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1CE8D249" w14:textId="77777777" w:rsidR="00AF3A32" w:rsidRPr="004A305D" w:rsidRDefault="00EA591E"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2AD7F6D7" w14:textId="77777777" w:rsidR="00AF3A32" w:rsidRDefault="00AF3A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1E"/>
    <w:rsid w:val="00002322"/>
    <w:rsid w:val="000355BA"/>
    <w:rsid w:val="000474DE"/>
    <w:rsid w:val="000742B7"/>
    <w:rsid w:val="00076DF2"/>
    <w:rsid w:val="00085420"/>
    <w:rsid w:val="000B5847"/>
    <w:rsid w:val="00101877"/>
    <w:rsid w:val="001623C4"/>
    <w:rsid w:val="00175E14"/>
    <w:rsid w:val="00192AF1"/>
    <w:rsid w:val="001F3000"/>
    <w:rsid w:val="00207181"/>
    <w:rsid w:val="00213195"/>
    <w:rsid w:val="00235739"/>
    <w:rsid w:val="00246691"/>
    <w:rsid w:val="00297597"/>
    <w:rsid w:val="002E0147"/>
    <w:rsid w:val="00352A22"/>
    <w:rsid w:val="003568D9"/>
    <w:rsid w:val="003645FE"/>
    <w:rsid w:val="003A5F9F"/>
    <w:rsid w:val="003B5B68"/>
    <w:rsid w:val="003B6AC5"/>
    <w:rsid w:val="003D3FBF"/>
    <w:rsid w:val="003E44D2"/>
    <w:rsid w:val="00435CFF"/>
    <w:rsid w:val="0045768F"/>
    <w:rsid w:val="004A4417"/>
    <w:rsid w:val="004B70EF"/>
    <w:rsid w:val="004D1B95"/>
    <w:rsid w:val="004D1F52"/>
    <w:rsid w:val="004F4C46"/>
    <w:rsid w:val="00530446"/>
    <w:rsid w:val="005B336D"/>
    <w:rsid w:val="005B4E62"/>
    <w:rsid w:val="005D0331"/>
    <w:rsid w:val="005D2060"/>
    <w:rsid w:val="00616FC9"/>
    <w:rsid w:val="006263BA"/>
    <w:rsid w:val="00652835"/>
    <w:rsid w:val="0065599B"/>
    <w:rsid w:val="006930D6"/>
    <w:rsid w:val="006A5639"/>
    <w:rsid w:val="006C28CA"/>
    <w:rsid w:val="006D2EC0"/>
    <w:rsid w:val="00752DD3"/>
    <w:rsid w:val="007553C3"/>
    <w:rsid w:val="00767B5C"/>
    <w:rsid w:val="007A086A"/>
    <w:rsid w:val="007D2DC3"/>
    <w:rsid w:val="008306A0"/>
    <w:rsid w:val="0085391D"/>
    <w:rsid w:val="008600EE"/>
    <w:rsid w:val="00872204"/>
    <w:rsid w:val="00886752"/>
    <w:rsid w:val="008D4FAC"/>
    <w:rsid w:val="008D6507"/>
    <w:rsid w:val="008E7F28"/>
    <w:rsid w:val="00914724"/>
    <w:rsid w:val="009349A0"/>
    <w:rsid w:val="00941CFA"/>
    <w:rsid w:val="00982272"/>
    <w:rsid w:val="009A3A7D"/>
    <w:rsid w:val="009D327A"/>
    <w:rsid w:val="009E1E4D"/>
    <w:rsid w:val="00A33CD2"/>
    <w:rsid w:val="00A62886"/>
    <w:rsid w:val="00A97DCD"/>
    <w:rsid w:val="00AC4031"/>
    <w:rsid w:val="00AD6C26"/>
    <w:rsid w:val="00AF3A32"/>
    <w:rsid w:val="00B13378"/>
    <w:rsid w:val="00B20C65"/>
    <w:rsid w:val="00B80E85"/>
    <w:rsid w:val="00B82761"/>
    <w:rsid w:val="00BD4CFA"/>
    <w:rsid w:val="00BD6BCD"/>
    <w:rsid w:val="00BF6C21"/>
    <w:rsid w:val="00C57154"/>
    <w:rsid w:val="00C71219"/>
    <w:rsid w:val="00C729B6"/>
    <w:rsid w:val="00CB1029"/>
    <w:rsid w:val="00CB2A17"/>
    <w:rsid w:val="00CF19F2"/>
    <w:rsid w:val="00CF3ADB"/>
    <w:rsid w:val="00D12E7A"/>
    <w:rsid w:val="00D26879"/>
    <w:rsid w:val="00D42756"/>
    <w:rsid w:val="00DD46D4"/>
    <w:rsid w:val="00DD5C22"/>
    <w:rsid w:val="00DD5D4F"/>
    <w:rsid w:val="00E166A7"/>
    <w:rsid w:val="00E318B3"/>
    <w:rsid w:val="00E63B39"/>
    <w:rsid w:val="00EA591E"/>
    <w:rsid w:val="00EB1CC5"/>
    <w:rsid w:val="00EC391F"/>
    <w:rsid w:val="00EE1C8B"/>
    <w:rsid w:val="00EF22D8"/>
    <w:rsid w:val="00F5608F"/>
    <w:rsid w:val="00F57151"/>
    <w:rsid w:val="00F85761"/>
    <w:rsid w:val="00FB0210"/>
    <w:rsid w:val="00FC528B"/>
    <w:rsid w:val="00FC7782"/>
    <w:rsid w:val="00FF42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E08A"/>
  <w15:chartTrackingRefBased/>
  <w15:docId w15:val="{0C5B1151-E074-4783-9535-63684B87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9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1E"/>
    <w:rPr>
      <w:kern w:val="0"/>
      <w14:ligatures w14:val="none"/>
    </w:rPr>
  </w:style>
  <w:style w:type="paragraph" w:styleId="Piedepgina">
    <w:name w:val="footer"/>
    <w:basedOn w:val="Normal"/>
    <w:link w:val="PiedepginaCar"/>
    <w:uiPriority w:val="99"/>
    <w:unhideWhenUsed/>
    <w:rsid w:val="00EA5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1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A591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A591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A591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EA591E"/>
    <w:rPr>
      <w:vertAlign w:val="superscript"/>
    </w:rPr>
  </w:style>
  <w:style w:type="table" w:styleId="Tablaconcuadrcula">
    <w:name w:val="Table Grid"/>
    <w:basedOn w:val="Tablanormal"/>
    <w:uiPriority w:val="59"/>
    <w:rsid w:val="00EA5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591E"/>
    <w:rPr>
      <w:color w:val="0000FF"/>
      <w:u w:val="single"/>
    </w:rPr>
  </w:style>
  <w:style w:type="paragraph" w:customStyle="1" w:styleId="Appelnotedebasde">
    <w:name w:val="Appel note de bas de..."/>
    <w:basedOn w:val="Normal"/>
    <w:link w:val="Refdenotaalpie"/>
    <w:uiPriority w:val="99"/>
    <w:rsid w:val="00EA591E"/>
    <w:pPr>
      <w:spacing w:line="240" w:lineRule="exact"/>
    </w:pPr>
    <w:rPr>
      <w:kern w:val="2"/>
      <w:vertAlign w:val="superscript"/>
      <w14:ligatures w14:val="standardContextual"/>
    </w:rPr>
  </w:style>
  <w:style w:type="table" w:customStyle="1" w:styleId="Tablaconcuadrcula1">
    <w:name w:val="Tabla con cuadrícula1"/>
    <w:basedOn w:val="Tablanormal"/>
    <w:next w:val="Tablaconcuadrcula"/>
    <w:uiPriority w:val="39"/>
    <w:rsid w:val="00EA591E"/>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A59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EA591E"/>
    <w:rPr>
      <w:rFonts w:ascii="Times New Roman" w:hAnsi="Times New Roman" w:cs="Times New Roman"/>
      <w:sz w:val="24"/>
      <w:szCs w:val="24"/>
    </w:rPr>
  </w:style>
  <w:style w:type="character" w:customStyle="1" w:styleId="NormalWebCar">
    <w:name w:val="Normal (Web) Car"/>
    <w:link w:val="NormalWeb"/>
    <w:uiPriority w:val="99"/>
    <w:rsid w:val="00EA591E"/>
    <w:rPr>
      <w:rFonts w:ascii="Times New Roman" w:hAnsi="Times New Roman" w:cs="Times New Roman"/>
      <w:kern w:val="0"/>
      <w:sz w:val="24"/>
      <w:szCs w:val="24"/>
      <w14:ligatures w14:val="none"/>
    </w:rPr>
  </w:style>
  <w:style w:type="character" w:customStyle="1" w:styleId="UnresolvedMention">
    <w:name w:val="Unresolved Mention"/>
    <w:basedOn w:val="Fuentedeprrafopredeter"/>
    <w:uiPriority w:val="99"/>
    <w:semiHidden/>
    <w:unhideWhenUsed/>
    <w:rsid w:val="00AC4031"/>
    <w:rPr>
      <w:color w:val="605E5C"/>
      <w:shd w:val="clear" w:color="auto" w:fill="E1DFDD"/>
    </w:rPr>
  </w:style>
  <w:style w:type="character" w:customStyle="1" w:styleId="normaltextrun">
    <w:name w:val="normaltextrun"/>
    <w:basedOn w:val="Fuentedeprrafopredeter"/>
    <w:rsid w:val="005B4E62"/>
  </w:style>
  <w:style w:type="character" w:customStyle="1" w:styleId="eop">
    <w:name w:val="eop"/>
    <w:basedOn w:val="Fuentedeprrafopredeter"/>
    <w:rsid w:val="00D42756"/>
  </w:style>
  <w:style w:type="character" w:styleId="Textoennegrita">
    <w:name w:val="Strong"/>
    <w:basedOn w:val="Fuentedeprrafopredeter"/>
    <w:uiPriority w:val="22"/>
    <w:qFormat/>
    <w:rsid w:val="00EF22D8"/>
    <w:rPr>
      <w:b/>
      <w:bCs/>
    </w:rPr>
  </w:style>
  <w:style w:type="character" w:styleId="Hipervnculovisitado">
    <w:name w:val="FollowedHyperlink"/>
    <w:basedOn w:val="Fuentedeprrafopredeter"/>
    <w:uiPriority w:val="99"/>
    <w:semiHidden/>
    <w:unhideWhenUsed/>
    <w:rsid w:val="00192AF1"/>
    <w:rPr>
      <w:color w:val="954F72" w:themeColor="followedHyperlink"/>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213195"/>
    <w:pPr>
      <w:ind w:left="720"/>
      <w:contextualSpacing/>
    </w:pPr>
    <w:rPr>
      <w:rFonts w:ascii="Geomanist Light" w:hAnsi="Geomanist Light"/>
      <w:lang w:val="es-ES"/>
    </w:rPr>
  </w:style>
  <w:style w:type="paragraph" w:styleId="Sinespaciado">
    <w:name w:val="No Spacing"/>
    <w:aliases w:val="No Indent"/>
    <w:uiPriority w:val="3"/>
    <w:qFormat/>
    <w:rsid w:val="00213195"/>
    <w:pPr>
      <w:spacing w:after="0" w:line="240" w:lineRule="auto"/>
    </w:pPr>
    <w:rPr>
      <w:kern w:val="0"/>
      <w:sz w:val="24"/>
      <w:lang w:val="es-MX"/>
      <w14:ligatures w14:val="non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13195"/>
    <w:rPr>
      <w:rFonts w:ascii="Geomanist Light" w:hAnsi="Geomanist Light"/>
      <w:kern w:val="0"/>
      <w:lang w:val="es-ES"/>
      <w14:ligatures w14:val="none"/>
    </w:rPr>
  </w:style>
  <w:style w:type="paragraph" w:customStyle="1" w:styleId="elementtoproof">
    <w:name w:val="elementtoproof"/>
    <w:basedOn w:val="Normal"/>
    <w:uiPriority w:val="99"/>
    <w:semiHidden/>
    <w:rsid w:val="009A3A7D"/>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timologias.dechile.net/?alimento" TargetMode="External"/><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AF96-1C01-48EB-8B78-3878991F5D18}">
  <ds:schemaRefs>
    <ds:schemaRef ds:uri="http://schemas.microsoft.com/sharepoint/v3/contenttype/forms"/>
  </ds:schemaRefs>
</ds:datastoreItem>
</file>

<file path=customXml/itemProps2.xml><?xml version="1.0" encoding="utf-8"?>
<ds:datastoreItem xmlns:ds="http://schemas.openxmlformats.org/officeDocument/2006/customXml" ds:itemID="{2670D69D-0ED5-43C2-8B65-A3682F609F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78D6D71-415D-4851-B5B7-84514DEAFC59}"/>
</file>

<file path=customXml/itemProps4.xml><?xml version="1.0" encoding="utf-8"?>
<ds:datastoreItem xmlns:ds="http://schemas.openxmlformats.org/officeDocument/2006/customXml" ds:itemID="{8BDEC02B-9173-49CC-9C37-170CBE7B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7978</Words>
  <Characters>45481</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Nina Padron</cp:lastModifiedBy>
  <cp:revision>8</cp:revision>
  <dcterms:created xsi:type="dcterms:W3CDTF">2023-12-15T02:40:00Z</dcterms:created>
  <dcterms:modified xsi:type="dcterms:W3CDTF">2024-01-09T16:40:00Z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