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F9C5" w14:textId="77777777" w:rsidR="00015A57" w:rsidRPr="001B51DD" w:rsidRDefault="00015A57" w:rsidP="001B51DD">
      <w:pPr>
        <w:spacing w:line="240" w:lineRule="auto"/>
        <w:jc w:val="both"/>
        <w:rPr>
          <w:rFonts w:ascii="Century Gothic" w:eastAsia="Calibri" w:hAnsi="Century Gothic" w:cs="Arial"/>
          <w:b/>
          <w:color w:val="000000" w:themeColor="text1"/>
          <w:sz w:val="20"/>
          <w:szCs w:val="20"/>
          <w:lang w:val="es-ES_tradnl"/>
        </w:rPr>
      </w:pPr>
      <w:bookmarkStart w:id="0" w:name="_Hlk143780582"/>
      <w:r w:rsidRPr="001B51DD">
        <w:rPr>
          <w:rFonts w:ascii="Century Gothic" w:eastAsia="Calibri" w:hAnsi="Century Gothic" w:cs="Arial"/>
          <w:b/>
          <w:color w:val="000000" w:themeColor="text1"/>
          <w:sz w:val="20"/>
          <w:szCs w:val="20"/>
          <w:lang w:val="es-ES_tradnl"/>
        </w:rPr>
        <w:t xml:space="preserve">LEY DE EMPRENDIMIENTO – Ley 2069 de 2020 – Artículo 32 – Criterios diferenciales – Emprendimientos de mujeres – Empresas de mujeres – Necesidad de reglamentación – Decreto 1860 de 2021 </w:t>
      </w:r>
    </w:p>
    <w:p w14:paraId="398D266D" w14:textId="09C8F565" w:rsidR="00015A57" w:rsidRPr="001B51DD" w:rsidRDefault="00015A57" w:rsidP="001B51DD">
      <w:pPr>
        <w:spacing w:line="240" w:lineRule="auto"/>
        <w:jc w:val="both"/>
        <w:rPr>
          <w:rFonts w:ascii="Century Gothic" w:hAnsi="Century Gothic"/>
          <w:sz w:val="20"/>
          <w:szCs w:val="20"/>
        </w:rPr>
      </w:pPr>
      <w:r w:rsidRPr="001B51DD">
        <w:rPr>
          <w:rFonts w:ascii="Century Gothic" w:hAnsi="Century Gothic"/>
          <w:sz w:val="20"/>
          <w:szCs w:val="20"/>
        </w:rPr>
        <w:t>La norma en cita incluye que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que realicen las entidades estatales excluidas de la Ley 80 de 1993</w:t>
      </w:r>
      <w:r w:rsidRPr="001B51DD">
        <w:rPr>
          <w:rFonts w:ascii="Century Gothic" w:hAnsi="Century Gothic"/>
          <w:sz w:val="20"/>
          <w:szCs w:val="20"/>
        </w:rPr>
        <w:t>.</w:t>
      </w:r>
    </w:p>
    <w:p w14:paraId="6EDC446D" w14:textId="22DEF6ED" w:rsidR="00015A57" w:rsidRPr="001B51DD" w:rsidRDefault="00015A57" w:rsidP="001B51DD">
      <w:pPr>
        <w:spacing w:line="240" w:lineRule="auto"/>
        <w:jc w:val="both"/>
        <w:rPr>
          <w:rFonts w:ascii="Century Gothic" w:hAnsi="Century Gothic"/>
          <w:sz w:val="20"/>
          <w:szCs w:val="20"/>
        </w:rPr>
      </w:pPr>
      <w:r w:rsidRPr="001B51DD">
        <w:rPr>
          <w:rFonts w:ascii="Century Gothic" w:hAnsi="Century Gothic"/>
          <w:sz w:val="20"/>
          <w:szCs w:val="20"/>
        </w:rPr>
        <w:t>Por su parte, el Decreto 1860 de 2021 que adicionó el artículo 2.2.1.2.4.2.14 al Decreto 1082 de 2015 estableció las condiciones y requisitos en atención a los cuales se definen los empresas y emprendimientos de mujeres, a las que les aplican los criterios</w:t>
      </w:r>
      <w:r w:rsidRPr="001B51DD">
        <w:rPr>
          <w:rFonts w:ascii="Century Gothic" w:hAnsi="Century Gothic"/>
          <w:sz w:val="20"/>
          <w:szCs w:val="20"/>
        </w:rPr>
        <w:t xml:space="preserve"> </w:t>
      </w:r>
      <w:r w:rsidRPr="001B51DD">
        <w:rPr>
          <w:rFonts w:ascii="Century Gothic" w:hAnsi="Century Gothic"/>
          <w:sz w:val="20"/>
          <w:szCs w:val="20"/>
        </w:rPr>
        <w:t>diferenciales. Para estos efectos, cada uno de los cuatro numerales de la norma establecen unas condiciones alternativas que definen los emprendimientos y empresas de mujeres a efectos de aplicar los criterios diferenciales</w:t>
      </w:r>
      <w:r w:rsidRPr="001B51DD">
        <w:rPr>
          <w:rFonts w:ascii="Century Gothic" w:hAnsi="Century Gothic"/>
          <w:sz w:val="20"/>
          <w:szCs w:val="20"/>
        </w:rPr>
        <w:t>.</w:t>
      </w:r>
    </w:p>
    <w:p w14:paraId="1A0C06B0" w14:textId="77777777" w:rsidR="00015A57" w:rsidRPr="001B51DD" w:rsidRDefault="00015A57" w:rsidP="001B51DD">
      <w:pPr>
        <w:spacing w:line="240" w:lineRule="auto"/>
        <w:jc w:val="both"/>
        <w:rPr>
          <w:rFonts w:ascii="Century Gothic" w:hAnsi="Century Gothic" w:cs="Arial"/>
          <w:b/>
          <w:noProof/>
          <w:color w:val="000000"/>
          <w:sz w:val="20"/>
          <w:szCs w:val="20"/>
          <w:lang w:val="es-ES_tradnl"/>
        </w:rPr>
      </w:pPr>
      <w:r w:rsidRPr="001B51DD">
        <w:rPr>
          <w:rFonts w:ascii="Century Gothic" w:hAnsi="Century Gothic" w:cs="Arial"/>
          <w:b/>
          <w:noProof/>
          <w:color w:val="000000"/>
          <w:sz w:val="20"/>
          <w:szCs w:val="20"/>
          <w:lang w:val="es-ES_tradnl"/>
        </w:rPr>
        <w:t>EMPRENDIMIENTO DE MUJERES  – Aplicación de criterios- Entidades sin ánimo de lucro</w:t>
      </w:r>
    </w:p>
    <w:p w14:paraId="570B09B5" w14:textId="77777777" w:rsidR="001B51DD" w:rsidRDefault="001B51DD" w:rsidP="001B51DD">
      <w:pPr>
        <w:jc w:val="both"/>
        <w:rPr>
          <w:rFonts w:ascii="Century Gothic" w:hAnsi="Century Gothic"/>
          <w:sz w:val="20"/>
          <w:szCs w:val="20"/>
        </w:rPr>
      </w:pPr>
      <w:r w:rsidRPr="001B51DD">
        <w:rPr>
          <w:rFonts w:ascii="Century Gothic" w:hAnsi="Century Gothic"/>
          <w:sz w:val="20"/>
          <w:szCs w:val="20"/>
        </w:rPr>
        <w:t xml:space="preserve">Como se puede observar, si bien la primera opción está dirigida a personas jurídicas en general, la norma establece una acreditación especial y es la de demostrar que el cincuenta por ciento (50 %) de las acciones, partes de interés o cuotas de participación de la persona jurídica pertenecen a mujeres. Además, se deberá acreditar también que los derechos de propiedad sobre las acciones, partes de interés o cuotas de participación han pertenecido a estas mujeres, durante al menos el último año anterior a la fecha de cierre del Proceso de Contratación. </w:t>
      </w:r>
    </w:p>
    <w:p w14:paraId="1DB72A55" w14:textId="77777777" w:rsidR="001B51DD" w:rsidRDefault="001B51DD" w:rsidP="001B51DD">
      <w:pPr>
        <w:jc w:val="both"/>
        <w:rPr>
          <w:rFonts w:ascii="Century Gothic" w:hAnsi="Century Gothic"/>
          <w:sz w:val="20"/>
          <w:szCs w:val="20"/>
        </w:rPr>
      </w:pPr>
      <w:r w:rsidRPr="001B51DD">
        <w:rPr>
          <w:rFonts w:ascii="Century Gothic" w:hAnsi="Century Gothic"/>
          <w:sz w:val="20"/>
          <w:szCs w:val="20"/>
        </w:rPr>
        <w:t xml:space="preserve">Por lo tanto, en la práctica, este numeral en principio no puede ser utilizado por entidades sin ánimo de lucro, toda vez que las acciones, partes de interés o cuotas de participación son características propias de las formas de división del capital social de las sociedades, como puede observarse en el libro segundo del Código de Comercio. </w:t>
      </w:r>
    </w:p>
    <w:p w14:paraId="1E4304D0" w14:textId="77777777" w:rsidR="001B51DD" w:rsidRDefault="001B51DD" w:rsidP="001B51DD">
      <w:pPr>
        <w:jc w:val="both"/>
        <w:rPr>
          <w:rFonts w:ascii="Century Gothic" w:hAnsi="Century Gothic"/>
          <w:sz w:val="20"/>
          <w:szCs w:val="20"/>
        </w:rPr>
      </w:pPr>
      <w:r w:rsidRPr="001B51DD">
        <w:rPr>
          <w:rFonts w:ascii="Century Gothic" w:hAnsi="Century Gothic"/>
          <w:sz w:val="20"/>
          <w:szCs w:val="20"/>
        </w:rPr>
        <w:t xml:space="preserve">Sin embargo, previendo ello, el numeral 4 de la norma previamente citada contempló que los proponentes que sean asociación o cooperativa, conforme a los Decretos 1529 de 1990 y 059 de 1991 y el Código Civil, podrán acreditar que su propuesta es presentada por un emprendimiento y/o empresa de mujeres a través de certificación del representante legal que manifieste lo anterior bajo gravedad de juramento, al certificar que el cincuenta por ciento (50 %) de los asociados son mujeres y que la participación de estas en la asociación o cooperativa ha permanecido durante al menos el último año anterior contado a partir de la fecha de cierre del Proceso de Contratación, sin que establezca la obligación de aportar documentación adicional. </w:t>
      </w:r>
    </w:p>
    <w:p w14:paraId="707F2B44" w14:textId="16DFAED6" w:rsidR="001B51DD" w:rsidRPr="001B51DD" w:rsidRDefault="001B51DD" w:rsidP="001B51DD">
      <w:pPr>
        <w:spacing w:line="240" w:lineRule="auto"/>
        <w:jc w:val="both"/>
        <w:rPr>
          <w:rFonts w:ascii="Century Gothic" w:hAnsi="Century Gothic" w:cs="Arial"/>
          <w:b/>
          <w:noProof/>
          <w:color w:val="000000"/>
          <w:sz w:val="20"/>
          <w:szCs w:val="20"/>
          <w:lang w:val="es-ES_tradnl"/>
        </w:rPr>
      </w:pPr>
      <w:r w:rsidRPr="001B51DD">
        <w:rPr>
          <w:rFonts w:ascii="Century Gothic" w:hAnsi="Century Gothic"/>
          <w:sz w:val="20"/>
          <w:szCs w:val="20"/>
        </w:rPr>
        <w:t xml:space="preserve">En esta opción, se excluyó explícitamente a las fundaciones y a las otras entidades sin ánimo de lucro que no sean las asociaciones (entiéndase dentro de las asociaciones a las corporaciones)2 y las cooperativas, puesto que se parte de la naturaleza jurídica de este tipo de personas jurídicas, se conforma desde el acuerdo de una pluralidad de voluntades vinculadas mediante aportes en dinero, especie o actividad, en orden a la realización de </w:t>
      </w:r>
      <w:r w:rsidRPr="001B51DD">
        <w:rPr>
          <w:rFonts w:ascii="Century Gothic" w:hAnsi="Century Gothic"/>
          <w:sz w:val="20"/>
          <w:szCs w:val="20"/>
        </w:rPr>
        <w:lastRenderedPageBreak/>
        <w:t>un fin de beneficio social extraeconómico, que puede contraerse a los asociados, a un gremio o grupo social en particular, pero cuya base fundamental para su existencia son las personas que lo conforman. Por el contrario, si bien las fundaciones nacen del acuerdo de voluntad irrevocable de sus fundadores, la base fundamental para su existencia es la afectación de unos fondos preexistentes a la realización efectiva de un fin de beneficencia pública, de utilidad común o de interés social.</w:t>
      </w:r>
    </w:p>
    <w:p w14:paraId="760CFC31" w14:textId="76D9BBF1" w:rsidR="00015A57" w:rsidRPr="001B51DD" w:rsidRDefault="00015A57" w:rsidP="001B51DD">
      <w:pPr>
        <w:spacing w:line="240" w:lineRule="auto"/>
        <w:jc w:val="both"/>
        <w:rPr>
          <w:rFonts w:ascii="Century Gothic" w:hAnsi="Century Gothic"/>
          <w:b/>
          <w:sz w:val="20"/>
          <w:szCs w:val="20"/>
        </w:rPr>
      </w:pPr>
      <w:r w:rsidRPr="001B51DD">
        <w:rPr>
          <w:rFonts w:ascii="Century Gothic" w:hAnsi="Century Gothic" w:cs="Arial"/>
          <w:b/>
          <w:noProof/>
          <w:color w:val="000000"/>
          <w:sz w:val="20"/>
          <w:szCs w:val="20"/>
          <w:lang w:val="es-ES_tradnl"/>
        </w:rPr>
        <w:t xml:space="preserve">ENTIDADES SIN ÁNIMO DE LUCRO – aplicación de la </w:t>
      </w:r>
      <w:r w:rsidRPr="001B51DD">
        <w:rPr>
          <w:rFonts w:ascii="Century Gothic" w:hAnsi="Century Gothic"/>
          <w:b/>
          <w:sz w:val="20"/>
          <w:szCs w:val="20"/>
        </w:rPr>
        <w:t>opción 2 del artículo 2.2.1.2.4.2.14 del Decreto 1082 de 2015</w:t>
      </w:r>
    </w:p>
    <w:p w14:paraId="6702A068" w14:textId="77777777" w:rsidR="001B51DD" w:rsidRPr="001B51DD" w:rsidRDefault="001B51DD" w:rsidP="001B51DD">
      <w:pPr>
        <w:spacing w:line="240" w:lineRule="auto"/>
        <w:jc w:val="both"/>
        <w:rPr>
          <w:rFonts w:ascii="Century Gothic" w:hAnsi="Century Gothic"/>
          <w:b/>
          <w:sz w:val="20"/>
          <w:szCs w:val="20"/>
        </w:rPr>
      </w:pPr>
    </w:p>
    <w:p w14:paraId="62BD2368" w14:textId="4BBE98CF" w:rsidR="001B51DD" w:rsidRPr="001B51DD" w:rsidRDefault="001B51DD" w:rsidP="001B51DD">
      <w:pPr>
        <w:spacing w:line="240" w:lineRule="auto"/>
        <w:jc w:val="both"/>
        <w:rPr>
          <w:rFonts w:ascii="Century Gothic" w:hAnsi="Century Gothic"/>
          <w:sz w:val="20"/>
          <w:szCs w:val="20"/>
        </w:rPr>
      </w:pPr>
      <w:r w:rsidRPr="001B51DD">
        <w:rPr>
          <w:rFonts w:ascii="Century Gothic" w:hAnsi="Century Gothic"/>
          <w:sz w:val="20"/>
          <w:szCs w:val="20"/>
        </w:rPr>
        <w:t>En cuanto al criterio numeral 2 del artículo 2.2.1.2.4.2.14, el primer inciso sería plausible concluir que su aplicación resulta posible respecto de las entidades sin ánimo de lucro, incluyendo a las fundaciones, comoquiera que este criterio, no puede ser dirigido a las sociedades regidas por la legislación comercial, sino en general a todas las personas jurídicas. Lo anterior por cuanto, si bien el segundo inciso explica que puede entenderse por cargo directivo, lo cierto es que trae consigo una referencia tanto para el nivel jerárquico en las empresas, como también para aquellos cargos que por su jerarquía desempeñan funciones orientadas a representar el empleador, definición última que puede ser totalmente aplicable a las entidades sin ánimo de lucro, incluidas entre estas a las fundaciones.</w:t>
      </w:r>
    </w:p>
    <w:p w14:paraId="01CEEFF9" w14:textId="42249D86" w:rsidR="001B51DD" w:rsidRPr="001B51DD" w:rsidRDefault="001B51DD" w:rsidP="001B51DD">
      <w:pPr>
        <w:spacing w:line="240" w:lineRule="auto"/>
        <w:jc w:val="both"/>
        <w:rPr>
          <w:rFonts w:ascii="Century Gothic" w:hAnsi="Century Gothic"/>
          <w:sz w:val="20"/>
          <w:szCs w:val="20"/>
        </w:rPr>
      </w:pPr>
      <w:r w:rsidRPr="001B51DD">
        <w:rPr>
          <w:rFonts w:ascii="Century Gothic" w:hAnsi="Century Gothic"/>
          <w:sz w:val="20"/>
          <w:szCs w:val="20"/>
        </w:rPr>
        <w:t>(…)</w:t>
      </w:r>
    </w:p>
    <w:p w14:paraId="732A79F3" w14:textId="170FFDA7" w:rsidR="001B51DD" w:rsidRPr="001B51DD" w:rsidRDefault="001B51DD" w:rsidP="001B51DD">
      <w:pPr>
        <w:spacing w:line="240" w:lineRule="auto"/>
        <w:jc w:val="both"/>
        <w:rPr>
          <w:rFonts w:ascii="Century Gothic" w:eastAsia="Calibri" w:hAnsi="Century Gothic" w:cs="Arial"/>
          <w:b/>
          <w:color w:val="000000"/>
          <w:sz w:val="20"/>
          <w:szCs w:val="20"/>
          <w:lang w:val="es-ES_tradnl"/>
        </w:rPr>
      </w:pPr>
      <w:r w:rsidRPr="001B51DD">
        <w:rPr>
          <w:rFonts w:ascii="Century Gothic" w:hAnsi="Century Gothic"/>
          <w:sz w:val="20"/>
          <w:szCs w:val="20"/>
        </w:rPr>
        <w:t>Por otro lado, respecto del numeral 4 se reitera que resulta aplica de manera exclusiva a asociaciones (o corporaciones) y cooperativas, personas jurídicas sin ánimo de lucro distinto al de las fundaciones. En esta opción, se excluyó explícitamente a las fundaciones y a las otras entidades sin ánimo de lucro que no sean las asociaciones (entiéndase dentro de las asociaciones a las corporaciones)</w:t>
      </w:r>
      <w:r>
        <w:rPr>
          <w:rFonts w:ascii="Century Gothic" w:hAnsi="Century Gothic"/>
          <w:sz w:val="20"/>
          <w:szCs w:val="20"/>
        </w:rPr>
        <w:t xml:space="preserve"> </w:t>
      </w:r>
      <w:r w:rsidRPr="001B51DD">
        <w:rPr>
          <w:rFonts w:ascii="Century Gothic" w:hAnsi="Century Gothic"/>
          <w:sz w:val="20"/>
          <w:szCs w:val="20"/>
        </w:rPr>
        <w:t>y las cooperativas, puesto que se parte de la naturaleza jurídica de este tipo de personas jurídicas, se conforma desde el acuerdo de una pluralidad de voluntades vinculadas mediante aportes en dinero, especie o actividad, en orden a la realización de un fin de beneficio social extraeconómico, que puede contraerse a los asociados, a un gremio o grupo social en particular, pero cuya base</w:t>
      </w:r>
      <w:r w:rsidRPr="001B51DD">
        <w:rPr>
          <w:rFonts w:ascii="Century Gothic" w:hAnsi="Century Gothic"/>
          <w:sz w:val="20"/>
          <w:szCs w:val="20"/>
        </w:rPr>
        <w:t xml:space="preserve"> </w:t>
      </w:r>
      <w:r w:rsidRPr="001B51DD">
        <w:rPr>
          <w:rFonts w:ascii="Century Gothic" w:hAnsi="Century Gothic"/>
          <w:sz w:val="20"/>
          <w:szCs w:val="20"/>
        </w:rPr>
        <w:t>fundamental para su existencia son las personas que lo conforman. Por el contrario, si bien las fundaciones nacen del acuerdo de voluntad irrevocable de sus fundadores, la base fundamental para su existencia es la afectación de unos fondos preexistentes a la realización efectiva de un fin de beneficencia pública, de utilidad común o de interés socia</w:t>
      </w:r>
      <w:r w:rsidRPr="001B51DD">
        <w:rPr>
          <w:rFonts w:ascii="Century Gothic" w:hAnsi="Century Gothic"/>
          <w:sz w:val="20"/>
          <w:szCs w:val="20"/>
        </w:rPr>
        <w:t>l.</w:t>
      </w:r>
    </w:p>
    <w:p w14:paraId="75F18DF9" w14:textId="4EE08A55" w:rsidR="00015A57" w:rsidRPr="001B51DD" w:rsidRDefault="00015A57" w:rsidP="001B51DD">
      <w:pPr>
        <w:spacing w:line="240" w:lineRule="auto"/>
        <w:jc w:val="both"/>
        <w:rPr>
          <w:rFonts w:ascii="Century Gothic" w:hAnsi="Century Gothic"/>
          <w:sz w:val="20"/>
          <w:szCs w:val="20"/>
        </w:rPr>
      </w:pPr>
      <w:r w:rsidRPr="001B51DD">
        <w:rPr>
          <w:rFonts w:ascii="Century Gothic" w:hAnsi="Century Gothic"/>
          <w:sz w:val="20"/>
          <w:szCs w:val="20"/>
        </w:rPr>
        <w:br w:type="page"/>
      </w:r>
    </w:p>
    <w:p w14:paraId="3FE2184B" w14:textId="4D7AAAA6" w:rsidR="00E245AB" w:rsidRPr="009F38CE" w:rsidRDefault="00015A57" w:rsidP="00E245AB">
      <w:pPr>
        <w:spacing w:after="0"/>
        <w:rPr>
          <w:rFonts w:ascii="Century Gothic" w:hAnsi="Century Gothic"/>
        </w:rPr>
      </w:pPr>
      <w:r w:rsidRPr="00015A57">
        <w:rPr>
          <w:rFonts w:ascii="Century Gothic" w:hAnsi="Century Gothic"/>
        </w:rPr>
        <w:drawing>
          <wp:anchor distT="0" distB="0" distL="114300" distR="114300" simplePos="0" relativeHeight="251658240" behindDoc="1" locked="0" layoutInCell="1" allowOverlap="1" wp14:anchorId="1818501C" wp14:editId="5D241D08">
            <wp:simplePos x="0" y="0"/>
            <wp:positionH relativeFrom="margin">
              <wp:align>right</wp:align>
            </wp:positionH>
            <wp:positionV relativeFrom="paragraph">
              <wp:posOffset>3810</wp:posOffset>
            </wp:positionV>
            <wp:extent cx="2762392" cy="806491"/>
            <wp:effectExtent l="0" t="0" r="0" b="0"/>
            <wp:wrapNone/>
            <wp:docPr id="1664922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22721" name=""/>
                    <pic:cNvPicPr/>
                  </pic:nvPicPr>
                  <pic:blipFill>
                    <a:blip r:embed="rId11">
                      <a:extLst>
                        <a:ext uri="{28A0092B-C50C-407E-A947-70E740481C1C}">
                          <a14:useLocalDpi xmlns:a14="http://schemas.microsoft.com/office/drawing/2010/main" val="0"/>
                        </a:ext>
                      </a:extLst>
                    </a:blip>
                    <a:stretch>
                      <a:fillRect/>
                    </a:stretch>
                  </pic:blipFill>
                  <pic:spPr>
                    <a:xfrm>
                      <a:off x="0" y="0"/>
                      <a:ext cx="2762392" cy="806491"/>
                    </a:xfrm>
                    <a:prstGeom prst="rect">
                      <a:avLst/>
                    </a:prstGeom>
                  </pic:spPr>
                </pic:pic>
              </a:graphicData>
            </a:graphic>
          </wp:anchor>
        </w:drawing>
      </w:r>
      <w:r w:rsidR="00E245AB" w:rsidRPr="009F38CE">
        <w:rPr>
          <w:rFonts w:ascii="Century Gothic" w:hAnsi="Century Gothic"/>
        </w:rPr>
        <w:t xml:space="preserve">Bogotá D.C., </w:t>
      </w:r>
      <w:r>
        <w:rPr>
          <w:rFonts w:ascii="Century Gothic" w:hAnsi="Century Gothic"/>
        </w:rPr>
        <w:t>3 de octubre de 2023</w:t>
      </w:r>
    </w:p>
    <w:p w14:paraId="5FCADBF9" w14:textId="4A789F8E" w:rsidR="00E245AB" w:rsidRDefault="00E245AB" w:rsidP="00E245AB">
      <w:pPr>
        <w:spacing w:after="0"/>
        <w:rPr>
          <w:rFonts w:ascii="Century Gothic" w:hAnsi="Century Gothic"/>
        </w:rPr>
      </w:pPr>
    </w:p>
    <w:p w14:paraId="2491BC8A" w14:textId="77777777" w:rsidR="009F38CE" w:rsidRPr="009F38CE" w:rsidRDefault="009F38CE" w:rsidP="00E245AB">
      <w:pPr>
        <w:spacing w:after="0"/>
        <w:rPr>
          <w:rFonts w:ascii="Century Gothic" w:hAnsi="Century Gothic"/>
        </w:rPr>
      </w:pPr>
    </w:p>
    <w:bookmarkEnd w:id="0"/>
    <w:p w14:paraId="457221B9" w14:textId="77777777" w:rsidR="00B234B5" w:rsidRPr="009F38CE" w:rsidRDefault="00B234B5" w:rsidP="00607012">
      <w:pPr>
        <w:spacing w:after="0" w:line="240" w:lineRule="auto"/>
        <w:jc w:val="both"/>
        <w:rPr>
          <w:rFonts w:ascii="Century Gothic" w:eastAsia="Calibri" w:hAnsi="Century Gothic" w:cs="Arial"/>
          <w:bCs/>
          <w:color w:val="000000"/>
          <w:lang w:val="es-ES_tradnl"/>
        </w:rPr>
      </w:pPr>
      <w:r w:rsidRPr="009F38CE">
        <w:rPr>
          <w:rFonts w:ascii="Century Gothic" w:eastAsia="Calibri" w:hAnsi="Century Gothic" w:cs="Arial"/>
          <w:bCs/>
          <w:color w:val="000000"/>
          <w:lang w:val="es-ES_tradnl"/>
        </w:rPr>
        <w:t>Señora</w:t>
      </w:r>
    </w:p>
    <w:p w14:paraId="468497C3" w14:textId="1B659D40" w:rsidR="00B234B5" w:rsidRDefault="009047CF" w:rsidP="00607012">
      <w:pPr>
        <w:spacing w:after="0" w:line="240" w:lineRule="auto"/>
        <w:jc w:val="both"/>
        <w:rPr>
          <w:rFonts w:ascii="Century Gothic" w:eastAsia="Calibri" w:hAnsi="Century Gothic" w:cs="Arial"/>
          <w:bCs/>
          <w:color w:val="000000"/>
          <w:lang w:val="es-ES_tradnl"/>
        </w:rPr>
      </w:pPr>
      <w:r w:rsidRPr="005370CD">
        <w:rPr>
          <w:rFonts w:ascii="Century Gothic" w:eastAsia="Calibri" w:hAnsi="Century Gothic" w:cs="Arial"/>
          <w:bCs/>
          <w:color w:val="000000"/>
          <w:lang w:val="es-ES_tradnl"/>
        </w:rPr>
        <w:t>Ma</w:t>
      </w:r>
      <w:r w:rsidR="005370CD" w:rsidRPr="005370CD">
        <w:rPr>
          <w:rFonts w:ascii="Century Gothic" w:eastAsia="Calibri" w:hAnsi="Century Gothic" w:cs="Arial"/>
          <w:bCs/>
          <w:color w:val="000000"/>
          <w:lang w:val="es-ES_tradnl"/>
        </w:rPr>
        <w:t>ría Elsy Prisco Vásquez</w:t>
      </w:r>
    </w:p>
    <w:p w14:paraId="77597421" w14:textId="3884D504" w:rsidR="007C55B4" w:rsidRDefault="007C55B4" w:rsidP="00607012">
      <w:pPr>
        <w:spacing w:after="0" w:line="240" w:lineRule="auto"/>
        <w:jc w:val="both"/>
        <w:rPr>
          <w:rFonts w:ascii="Century Gothic" w:eastAsia="Calibri" w:hAnsi="Century Gothic" w:cs="Arial"/>
          <w:bCs/>
          <w:color w:val="000000"/>
          <w:lang w:val="es-ES_tradnl"/>
        </w:rPr>
      </w:pPr>
      <w:r>
        <w:rPr>
          <w:rFonts w:ascii="Century Gothic" w:eastAsia="Calibri" w:hAnsi="Century Gothic" w:cs="Arial"/>
          <w:bCs/>
          <w:color w:val="000000"/>
          <w:lang w:val="es-ES_tradnl"/>
        </w:rPr>
        <w:t>Representante legal</w:t>
      </w:r>
    </w:p>
    <w:p w14:paraId="49AA7DA7" w14:textId="0DB6983A" w:rsidR="007C55B4" w:rsidRPr="005370CD" w:rsidRDefault="007C55B4" w:rsidP="00607012">
      <w:pPr>
        <w:spacing w:after="0" w:line="240" w:lineRule="auto"/>
        <w:jc w:val="both"/>
        <w:rPr>
          <w:rFonts w:ascii="Century Gothic" w:eastAsia="Calibri" w:hAnsi="Century Gothic" w:cs="Arial"/>
          <w:bCs/>
          <w:color w:val="000000"/>
          <w:lang w:val="es-ES_tradnl"/>
        </w:rPr>
      </w:pPr>
      <w:r>
        <w:rPr>
          <w:rFonts w:ascii="Century Gothic" w:eastAsia="Calibri" w:hAnsi="Century Gothic" w:cs="Arial"/>
          <w:bCs/>
          <w:color w:val="000000"/>
          <w:lang w:val="es-ES_tradnl"/>
        </w:rPr>
        <w:t>Centro Empresarial Educativo - CORPO</w:t>
      </w:r>
      <w:r w:rsidR="00510B73">
        <w:rPr>
          <w:rFonts w:ascii="Century Gothic" w:eastAsia="Calibri" w:hAnsi="Century Gothic" w:cs="Arial"/>
          <w:bCs/>
          <w:color w:val="000000"/>
          <w:lang w:val="es-ES_tradnl"/>
        </w:rPr>
        <w:t>CEMPED</w:t>
      </w:r>
    </w:p>
    <w:p w14:paraId="67BF00B5" w14:textId="1502F750" w:rsidR="00B234B5" w:rsidRPr="009F38CE" w:rsidRDefault="005370CD" w:rsidP="00607012">
      <w:pPr>
        <w:spacing w:after="0" w:line="240" w:lineRule="auto"/>
        <w:jc w:val="both"/>
        <w:rPr>
          <w:rFonts w:ascii="Century Gothic" w:eastAsia="Calibri" w:hAnsi="Century Gothic" w:cs="Arial"/>
          <w:bCs/>
          <w:color w:val="000000"/>
          <w:lang w:val="es-ES_tradnl"/>
        </w:rPr>
      </w:pPr>
      <w:r>
        <w:rPr>
          <w:rFonts w:ascii="Century Gothic" w:eastAsia="Calibri" w:hAnsi="Century Gothic" w:cs="Arial"/>
          <w:bCs/>
          <w:color w:val="000000"/>
          <w:lang w:val="es-ES_tradnl"/>
        </w:rPr>
        <w:t>Segovia, Antioquía</w:t>
      </w:r>
    </w:p>
    <w:p w14:paraId="258B1D09" w14:textId="77777777" w:rsidR="00B234B5" w:rsidRPr="009F38CE" w:rsidRDefault="00B234B5" w:rsidP="00B234B5">
      <w:pPr>
        <w:spacing w:line="276" w:lineRule="auto"/>
        <w:jc w:val="both"/>
        <w:rPr>
          <w:rFonts w:ascii="Century Gothic" w:eastAsia="Calibri" w:hAnsi="Century Gothic" w:cs="Arial"/>
          <w:b/>
          <w:color w:val="000000"/>
          <w:lang w:val="es-ES_tradnl"/>
        </w:rPr>
      </w:pPr>
    </w:p>
    <w:p w14:paraId="64E5B0B8" w14:textId="2FD13F27" w:rsidR="00B234B5" w:rsidRPr="009F38CE" w:rsidRDefault="00B234B5" w:rsidP="00B234B5">
      <w:pPr>
        <w:ind w:left="707" w:firstLine="709"/>
        <w:rPr>
          <w:rFonts w:ascii="Century Gothic" w:eastAsia="Calibri" w:hAnsi="Century Gothic" w:cs="Arial"/>
          <w:b/>
          <w:bCs/>
          <w:color w:val="000000"/>
          <w:lang w:val="es-ES_tradnl"/>
        </w:rPr>
      </w:pPr>
      <w:r w:rsidRPr="009F38CE">
        <w:rPr>
          <w:rFonts w:ascii="Century Gothic" w:eastAsia="Calibri" w:hAnsi="Century Gothic" w:cs="Arial"/>
          <w:b/>
          <w:bCs/>
          <w:color w:val="000000"/>
          <w:lang w:val="es-ES_tradnl"/>
        </w:rPr>
        <w:t xml:space="preserve">                     Concepto C </w:t>
      </w:r>
      <w:r w:rsidRPr="009F38CE">
        <w:rPr>
          <w:rFonts w:ascii="Arial" w:eastAsia="Calibri" w:hAnsi="Arial" w:cs="Arial"/>
          <w:b/>
          <w:bCs/>
          <w:color w:val="000000"/>
          <w:lang w:val="es-ES_tradnl"/>
        </w:rPr>
        <w:t>‒</w:t>
      </w:r>
      <w:r w:rsidRPr="009F38CE">
        <w:rPr>
          <w:rFonts w:ascii="Century Gothic" w:eastAsia="Calibri" w:hAnsi="Century Gothic" w:cs="Arial"/>
          <w:b/>
          <w:bCs/>
          <w:color w:val="000000"/>
          <w:lang w:val="es-ES_tradnl"/>
        </w:rPr>
        <w:t xml:space="preserve"> </w:t>
      </w:r>
      <w:r w:rsidR="0080193A">
        <w:rPr>
          <w:rFonts w:ascii="Century Gothic" w:eastAsia="Calibri" w:hAnsi="Century Gothic" w:cs="Arial"/>
          <w:b/>
          <w:bCs/>
          <w:color w:val="000000"/>
          <w:lang w:val="es-ES_tradnl"/>
        </w:rPr>
        <w:t>297</w:t>
      </w:r>
      <w:r w:rsidRPr="009F38CE">
        <w:rPr>
          <w:rFonts w:ascii="Century Gothic" w:eastAsia="Calibri" w:hAnsi="Century Gothic" w:cs="Arial"/>
          <w:b/>
          <w:bCs/>
          <w:color w:val="000000"/>
          <w:lang w:val="es-ES_tradnl"/>
        </w:rPr>
        <w:t xml:space="preserve"> de 202</w:t>
      </w:r>
      <w:r w:rsidR="0080193A">
        <w:rPr>
          <w:rFonts w:ascii="Century Gothic" w:eastAsia="Calibri" w:hAnsi="Century Gothic" w:cs="Arial"/>
          <w:b/>
          <w:bCs/>
          <w:color w:val="000000"/>
          <w:lang w:val="es-ES_tradnl"/>
        </w:rPr>
        <w:t>3</w:t>
      </w: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234B5" w:rsidRPr="009F38CE" w14:paraId="767FF125" w14:textId="77777777" w:rsidTr="00F770A8">
        <w:tc>
          <w:tcPr>
            <w:tcW w:w="2689" w:type="dxa"/>
          </w:tcPr>
          <w:p w14:paraId="152B0B7B" w14:textId="77777777" w:rsidR="00B234B5" w:rsidRPr="009F38CE" w:rsidRDefault="00B234B5" w:rsidP="00F770A8">
            <w:pPr>
              <w:rPr>
                <w:rFonts w:ascii="Century Gothic" w:eastAsia="Calibri" w:hAnsi="Century Gothic" w:cs="Arial"/>
                <w:color w:val="000000"/>
                <w:lang w:val="es-ES_tradnl"/>
              </w:rPr>
            </w:pPr>
            <w:r w:rsidRPr="009F38CE">
              <w:rPr>
                <w:rFonts w:ascii="Century Gothic" w:eastAsia="Calibri" w:hAnsi="Century Gothic" w:cs="Arial"/>
                <w:b/>
                <w:color w:val="000000"/>
                <w:lang w:val="es-ES_tradnl"/>
              </w:rPr>
              <w:t>Temas:</w:t>
            </w:r>
            <w:r w:rsidRPr="009F38CE">
              <w:rPr>
                <w:rFonts w:ascii="Century Gothic" w:eastAsia="Calibri" w:hAnsi="Century Gothic" w:cs="Arial"/>
                <w:color w:val="000000"/>
                <w:lang w:val="es-ES_tradnl"/>
              </w:rPr>
              <w:t xml:space="preserve">                                  </w:t>
            </w:r>
          </w:p>
        </w:tc>
        <w:tc>
          <w:tcPr>
            <w:tcW w:w="6237" w:type="dxa"/>
          </w:tcPr>
          <w:p w14:paraId="2F642954" w14:textId="18BD463C" w:rsidR="00B234B5" w:rsidRPr="009F38CE" w:rsidRDefault="00B234B5" w:rsidP="00F770A8">
            <w:pPr>
              <w:rPr>
                <w:rFonts w:ascii="Century Gothic" w:eastAsia="Calibri" w:hAnsi="Century Gothic" w:cs="Arial"/>
                <w:color w:val="000000"/>
                <w:lang w:val="es-ES_tradnl"/>
              </w:rPr>
            </w:pPr>
            <w:r w:rsidRPr="009F38CE">
              <w:rPr>
                <w:rFonts w:ascii="Century Gothic" w:eastAsia="Calibri" w:hAnsi="Century Gothic" w:cs="Arial"/>
                <w:bCs/>
                <w:color w:val="000000" w:themeColor="text1"/>
                <w:lang w:val="es-ES_tradnl"/>
              </w:rPr>
              <w:t xml:space="preserve">LEY DE EMPRENDIMIENTO – Ley 2069 de 2020– Finalidad / LEY DE EMPRENDIMIENTO – Ley 2069 de 2020 – Artículo 32 – Criterios diferenciales – Emprendimientos de mujeres – Empresas de mujeres – Necesidad de reglamentación – Decreto 1860 de 2021 / DECRETO 1860 DE 2021 – Vigencia / </w:t>
            </w:r>
            <w:r w:rsidRPr="009F38CE">
              <w:rPr>
                <w:rFonts w:ascii="Century Gothic" w:hAnsi="Century Gothic" w:cs="Arial"/>
                <w:noProof/>
                <w:color w:val="000000"/>
                <w:lang w:val="es-ES_tradnl"/>
              </w:rPr>
              <w:t>EMPRENDIMIENTO DE MUJERES  – Aplicación de criterios</w:t>
            </w:r>
            <w:r w:rsidR="0096421B">
              <w:rPr>
                <w:rFonts w:ascii="Century Gothic" w:hAnsi="Century Gothic" w:cs="Arial"/>
                <w:noProof/>
                <w:color w:val="000000"/>
                <w:lang w:val="es-ES_tradnl"/>
              </w:rPr>
              <w:t>- Entidades sin ánimo de lucro</w:t>
            </w:r>
            <w:r w:rsidR="00AF6985">
              <w:rPr>
                <w:rFonts w:ascii="Century Gothic" w:hAnsi="Century Gothic" w:cs="Arial"/>
                <w:noProof/>
                <w:color w:val="000000"/>
                <w:lang w:val="es-ES_tradnl"/>
              </w:rPr>
              <w:t xml:space="preserve"> /ENTIDADES SIN ÁNIMO DE LUCRO – aplicación de la </w:t>
            </w:r>
            <w:r w:rsidR="00AF6985">
              <w:rPr>
                <w:rFonts w:ascii="Century Gothic" w:hAnsi="Century Gothic"/>
              </w:rPr>
              <w:t xml:space="preserve">opción 2 del artículo </w:t>
            </w:r>
            <w:r w:rsidR="00AF6985" w:rsidRPr="00B251D0">
              <w:rPr>
                <w:rFonts w:ascii="Century Gothic" w:hAnsi="Century Gothic"/>
              </w:rPr>
              <w:t>2.2.1.2.4.2.14</w:t>
            </w:r>
            <w:r w:rsidR="00AF6985">
              <w:rPr>
                <w:rFonts w:ascii="Century Gothic" w:hAnsi="Century Gothic"/>
              </w:rPr>
              <w:t xml:space="preserve"> del Decreto 1082 de 2015</w:t>
            </w:r>
          </w:p>
          <w:p w14:paraId="30924579" w14:textId="77777777" w:rsidR="00B234B5" w:rsidRPr="009F38CE" w:rsidRDefault="00B234B5" w:rsidP="00F770A8">
            <w:pPr>
              <w:rPr>
                <w:rFonts w:ascii="Century Gothic" w:eastAsia="Calibri" w:hAnsi="Century Gothic" w:cs="Arial"/>
                <w:color w:val="000000"/>
                <w:lang w:val="es-ES_tradnl"/>
              </w:rPr>
            </w:pPr>
          </w:p>
        </w:tc>
      </w:tr>
      <w:tr w:rsidR="00B234B5" w:rsidRPr="009F38CE" w14:paraId="63F4CFF9" w14:textId="77777777" w:rsidTr="00F770A8">
        <w:trPr>
          <w:trHeight w:val="67"/>
        </w:trPr>
        <w:tc>
          <w:tcPr>
            <w:tcW w:w="2689" w:type="dxa"/>
          </w:tcPr>
          <w:p w14:paraId="25530F81" w14:textId="77777777" w:rsidR="00B234B5" w:rsidRPr="009F38CE" w:rsidRDefault="00B234B5" w:rsidP="00F770A8">
            <w:pPr>
              <w:spacing w:before="120"/>
              <w:rPr>
                <w:rFonts w:ascii="Century Gothic" w:eastAsia="Calibri" w:hAnsi="Century Gothic" w:cs="Arial"/>
                <w:b/>
                <w:color w:val="000000"/>
                <w:lang w:val="es-ES_tradnl"/>
              </w:rPr>
            </w:pPr>
            <w:r w:rsidRPr="009F38CE">
              <w:rPr>
                <w:rFonts w:ascii="Century Gothic" w:eastAsia="Calibri" w:hAnsi="Century Gothic" w:cs="Arial"/>
                <w:b/>
                <w:color w:val="000000"/>
                <w:lang w:val="es-ES_tradnl"/>
              </w:rPr>
              <w:t>Radicación:</w:t>
            </w:r>
            <w:r w:rsidRPr="009F38CE">
              <w:rPr>
                <w:rFonts w:ascii="Century Gothic" w:eastAsia="Calibri" w:hAnsi="Century Gothic" w:cs="Arial"/>
                <w:color w:val="000000"/>
                <w:lang w:val="es-ES_tradnl"/>
              </w:rPr>
              <w:t xml:space="preserve">                              </w:t>
            </w:r>
          </w:p>
        </w:tc>
        <w:tc>
          <w:tcPr>
            <w:tcW w:w="6237" w:type="dxa"/>
          </w:tcPr>
          <w:p w14:paraId="7E869376" w14:textId="74381DD2" w:rsidR="00B234B5" w:rsidRPr="009F38CE" w:rsidRDefault="00B234B5" w:rsidP="00F770A8">
            <w:pPr>
              <w:rPr>
                <w:rFonts w:ascii="Century Gothic" w:hAnsi="Century Gothic" w:cs="Arial"/>
              </w:rPr>
            </w:pPr>
            <w:r w:rsidRPr="009F38CE">
              <w:rPr>
                <w:rFonts w:ascii="Century Gothic" w:eastAsia="Calibri" w:hAnsi="Century Gothic" w:cs="Arial"/>
                <w:color w:val="000000"/>
                <w:lang w:val="es-ES_tradnl"/>
              </w:rPr>
              <w:t xml:space="preserve">Respuesta a consulta </w:t>
            </w:r>
            <w:r w:rsidR="007C55B4" w:rsidRPr="007C55B4">
              <w:rPr>
                <w:rFonts w:ascii="Century Gothic" w:hAnsi="Century Gothic" w:cs="Arial"/>
              </w:rPr>
              <w:t>P20230814014199</w:t>
            </w:r>
          </w:p>
          <w:p w14:paraId="0BD420A3" w14:textId="77777777" w:rsidR="00B234B5" w:rsidRPr="009F38CE" w:rsidRDefault="00B234B5" w:rsidP="00F770A8">
            <w:pPr>
              <w:spacing w:before="120"/>
              <w:rPr>
                <w:rFonts w:ascii="Century Gothic" w:eastAsia="Calibri" w:hAnsi="Century Gothic" w:cs="Arial"/>
                <w:color w:val="000000"/>
                <w:lang w:val="es-ES_tradnl"/>
              </w:rPr>
            </w:pPr>
          </w:p>
        </w:tc>
      </w:tr>
    </w:tbl>
    <w:p w14:paraId="1C6DE68B" w14:textId="3CA4C9AD" w:rsidR="00B234B5" w:rsidRPr="009F38CE" w:rsidRDefault="00B234B5" w:rsidP="00B234B5">
      <w:pPr>
        <w:jc w:val="both"/>
        <w:rPr>
          <w:rFonts w:ascii="Century Gothic" w:eastAsia="Calibri" w:hAnsi="Century Gothic" w:cs="Arial"/>
          <w:color w:val="000000"/>
          <w:lang w:val="es-ES_tradnl"/>
        </w:rPr>
      </w:pPr>
      <w:r w:rsidRPr="009F38CE">
        <w:rPr>
          <w:rFonts w:ascii="Century Gothic" w:eastAsia="Calibri" w:hAnsi="Century Gothic" w:cs="Arial"/>
          <w:color w:val="000000"/>
          <w:lang w:val="es-ES_tradnl"/>
        </w:rPr>
        <w:t xml:space="preserve">Estimada Señora </w:t>
      </w:r>
      <w:r w:rsidR="007C55B4">
        <w:rPr>
          <w:rFonts w:ascii="Century Gothic" w:eastAsia="Calibri" w:hAnsi="Century Gothic" w:cs="Arial"/>
          <w:color w:val="000000"/>
          <w:lang w:val="es-ES_tradnl"/>
        </w:rPr>
        <w:t>Prisco</w:t>
      </w:r>
      <w:r w:rsidRPr="009F38CE">
        <w:rPr>
          <w:rFonts w:ascii="Century Gothic" w:eastAsia="Calibri" w:hAnsi="Century Gothic" w:cs="Arial"/>
          <w:color w:val="000000"/>
          <w:lang w:val="es-ES_tradnl"/>
        </w:rPr>
        <w:t>:</w:t>
      </w:r>
    </w:p>
    <w:p w14:paraId="0378757B" w14:textId="03AC7965" w:rsidR="00B234B5" w:rsidRPr="009F38CE" w:rsidRDefault="00B234B5" w:rsidP="009F38CE">
      <w:pPr>
        <w:spacing w:before="240" w:line="276" w:lineRule="auto"/>
        <w:jc w:val="both"/>
        <w:rPr>
          <w:rFonts w:ascii="Century Gothic" w:eastAsia="Calibri" w:hAnsi="Century Gothic" w:cs="Arial"/>
          <w:color w:val="000000"/>
          <w:lang w:val="es-ES_tradnl"/>
        </w:rPr>
      </w:pPr>
      <w:r w:rsidRPr="009F38CE">
        <w:rPr>
          <w:rFonts w:ascii="Century Gothic" w:eastAsia="Calibri" w:hAnsi="Century Gothic" w:cs="Arial"/>
          <w:color w:val="000000"/>
          <w:lang w:val="es-ES_tradnl"/>
        </w:rPr>
        <w:t xml:space="preserve">En ejercicio de la competencia otorgada por el numeral 8 del artículo 11 y el numeral 5 del artículo 3 del Decreto Ley 4170 de 2011, la Agencia Nacional de Contratación Pública ― Colombia Compra Eficiente responde su consulta del 14 de </w:t>
      </w:r>
      <w:r w:rsidR="00712C18">
        <w:rPr>
          <w:rFonts w:ascii="Century Gothic" w:eastAsia="Calibri" w:hAnsi="Century Gothic" w:cs="Arial"/>
          <w:color w:val="000000"/>
          <w:lang w:val="es-ES_tradnl"/>
        </w:rPr>
        <w:t>agosto</w:t>
      </w:r>
      <w:r w:rsidRPr="009F38CE">
        <w:rPr>
          <w:rFonts w:ascii="Century Gothic" w:eastAsia="Calibri" w:hAnsi="Century Gothic" w:cs="Arial"/>
          <w:color w:val="000000"/>
          <w:lang w:val="es-ES_tradnl"/>
        </w:rPr>
        <w:t xml:space="preserve"> de 202</w:t>
      </w:r>
      <w:r w:rsidR="00712C18">
        <w:rPr>
          <w:rFonts w:ascii="Century Gothic" w:eastAsia="Calibri" w:hAnsi="Century Gothic" w:cs="Arial"/>
          <w:color w:val="000000"/>
          <w:lang w:val="es-ES_tradnl"/>
        </w:rPr>
        <w:t>3</w:t>
      </w:r>
      <w:r w:rsidRPr="009F38CE">
        <w:rPr>
          <w:rFonts w:ascii="Century Gothic" w:eastAsia="Calibri" w:hAnsi="Century Gothic" w:cs="Arial"/>
          <w:color w:val="000000"/>
          <w:lang w:val="es-ES_tradnl"/>
        </w:rPr>
        <w:t>.</w:t>
      </w:r>
    </w:p>
    <w:p w14:paraId="07C7C90B" w14:textId="77777777" w:rsidR="00B234B5" w:rsidRPr="009F38CE" w:rsidRDefault="00B234B5" w:rsidP="009F38CE">
      <w:pPr>
        <w:pStyle w:val="Prrafodelista"/>
        <w:numPr>
          <w:ilvl w:val="0"/>
          <w:numId w:val="16"/>
        </w:numPr>
        <w:tabs>
          <w:tab w:val="left" w:pos="0"/>
          <w:tab w:val="left" w:pos="142"/>
          <w:tab w:val="left" w:pos="284"/>
        </w:tabs>
        <w:spacing w:before="240" w:line="276" w:lineRule="auto"/>
        <w:ind w:left="360"/>
        <w:jc w:val="both"/>
        <w:rPr>
          <w:rFonts w:ascii="Century Gothic" w:eastAsia="Calibri" w:hAnsi="Century Gothic" w:cs="Arial"/>
          <w:b/>
          <w:color w:val="000000"/>
          <w:lang w:val="es-ES_tradnl"/>
        </w:rPr>
      </w:pPr>
      <w:r w:rsidRPr="009F38CE">
        <w:rPr>
          <w:rFonts w:ascii="Century Gothic" w:eastAsia="Calibri" w:hAnsi="Century Gothic" w:cs="Arial"/>
          <w:b/>
          <w:color w:val="000000"/>
          <w:lang w:val="es-ES_tradnl"/>
        </w:rPr>
        <w:t xml:space="preserve">Problema planteado </w:t>
      </w:r>
    </w:p>
    <w:p w14:paraId="241D6A80" w14:textId="54C97576" w:rsidR="00B234B5" w:rsidRPr="009F38CE" w:rsidRDefault="00B234B5" w:rsidP="009F38CE">
      <w:pPr>
        <w:spacing w:line="276" w:lineRule="auto"/>
        <w:jc w:val="both"/>
        <w:rPr>
          <w:rFonts w:ascii="Century Gothic" w:hAnsi="Century Gothic" w:cs="Arial"/>
        </w:rPr>
      </w:pPr>
      <w:r w:rsidRPr="009F38CE">
        <w:rPr>
          <w:rFonts w:ascii="Century Gothic" w:hAnsi="Century Gothic" w:cs="Arial"/>
          <w:color w:val="000000" w:themeColor="text1"/>
          <w:lang w:val="es-ES_tradnl"/>
        </w:rPr>
        <w:t xml:space="preserve">En su solicitud </w:t>
      </w:r>
      <w:r w:rsidR="005510D8">
        <w:rPr>
          <w:rFonts w:ascii="Century Gothic" w:hAnsi="Century Gothic" w:cs="Arial"/>
          <w:color w:val="000000" w:themeColor="text1"/>
          <w:lang w:val="es-ES_tradnl"/>
        </w:rPr>
        <w:t>U</w:t>
      </w:r>
      <w:r w:rsidRPr="009F38CE">
        <w:rPr>
          <w:rFonts w:ascii="Century Gothic" w:hAnsi="Century Gothic" w:cs="Arial"/>
          <w:color w:val="000000" w:themeColor="text1"/>
          <w:lang w:val="es-ES_tradnl"/>
        </w:rPr>
        <w:t xml:space="preserve">sted indaga sobre la aplicación </w:t>
      </w:r>
      <w:r w:rsidR="00C73F53">
        <w:rPr>
          <w:rFonts w:ascii="Century Gothic" w:hAnsi="Century Gothic" w:cs="Arial"/>
          <w:color w:val="000000" w:themeColor="text1"/>
          <w:lang w:val="es-ES_tradnl"/>
        </w:rPr>
        <w:t>de los incentivos para los emprendimientos</w:t>
      </w:r>
      <w:r w:rsidR="00752B80">
        <w:rPr>
          <w:rFonts w:ascii="Century Gothic" w:hAnsi="Century Gothic" w:cs="Arial"/>
          <w:color w:val="000000" w:themeColor="text1"/>
          <w:lang w:val="es-ES_tradnl"/>
        </w:rPr>
        <w:t xml:space="preserve"> y empresas de mujeres contemplados en la Ley 2069 de 2021</w:t>
      </w:r>
      <w:r w:rsidR="001F0D8F">
        <w:rPr>
          <w:rFonts w:ascii="Century Gothic" w:hAnsi="Century Gothic" w:cs="Arial"/>
          <w:color w:val="000000" w:themeColor="text1"/>
          <w:lang w:val="es-ES_tradnl"/>
        </w:rPr>
        <w:t xml:space="preserve"> y el Decreto 1860 de 2021,</w:t>
      </w:r>
      <w:r w:rsidRPr="009F38CE">
        <w:rPr>
          <w:rFonts w:ascii="Century Gothic" w:hAnsi="Century Gothic" w:cs="Arial"/>
          <w:color w:val="000000" w:themeColor="text1"/>
          <w:lang w:val="es-ES_tradnl"/>
        </w:rPr>
        <w:t xml:space="preserve"> respecto de </w:t>
      </w:r>
      <w:r w:rsidR="001F0D8F">
        <w:rPr>
          <w:rFonts w:ascii="Century Gothic" w:hAnsi="Century Gothic" w:cs="Arial"/>
          <w:color w:val="000000" w:themeColor="text1"/>
          <w:lang w:val="es-ES_tradnl"/>
        </w:rPr>
        <w:t xml:space="preserve">las personas jurídicas de carácter privado, sin ánimo de lucro </w:t>
      </w:r>
      <w:r w:rsidR="00AD1A79">
        <w:rPr>
          <w:rFonts w:ascii="Century Gothic" w:hAnsi="Century Gothic" w:cs="Arial"/>
          <w:color w:val="000000" w:themeColor="text1"/>
          <w:lang w:val="es-ES_tradnl"/>
        </w:rPr>
        <w:t>–</w:t>
      </w:r>
      <w:r w:rsidR="001F0D8F">
        <w:rPr>
          <w:rFonts w:ascii="Century Gothic" w:hAnsi="Century Gothic" w:cs="Arial"/>
          <w:color w:val="000000" w:themeColor="text1"/>
          <w:lang w:val="es-ES_tradnl"/>
        </w:rPr>
        <w:t xml:space="preserve"> ESAL</w:t>
      </w:r>
      <w:r w:rsidR="00AD1A79">
        <w:rPr>
          <w:rFonts w:ascii="Century Gothic" w:hAnsi="Century Gothic" w:cs="Arial"/>
          <w:color w:val="000000" w:themeColor="text1"/>
          <w:lang w:val="es-ES_tradnl"/>
        </w:rPr>
        <w:t xml:space="preserve">, </w:t>
      </w:r>
      <w:r w:rsidR="00D337AF">
        <w:rPr>
          <w:rFonts w:ascii="Century Gothic" w:hAnsi="Century Gothic" w:cs="Arial"/>
          <w:color w:val="000000" w:themeColor="text1"/>
          <w:lang w:val="es-ES_tradnl"/>
        </w:rPr>
        <w:t>con relación a l</w:t>
      </w:r>
      <w:r w:rsidR="00A512CE">
        <w:rPr>
          <w:rFonts w:ascii="Century Gothic" w:hAnsi="Century Gothic" w:cs="Arial"/>
          <w:color w:val="000000" w:themeColor="text1"/>
          <w:lang w:val="es-ES_tradnl"/>
        </w:rPr>
        <w:t>as</w:t>
      </w:r>
      <w:r w:rsidR="00D337AF">
        <w:rPr>
          <w:rFonts w:ascii="Century Gothic" w:hAnsi="Century Gothic" w:cs="Arial"/>
          <w:color w:val="000000" w:themeColor="text1"/>
          <w:lang w:val="es-ES_tradnl"/>
        </w:rPr>
        <w:t xml:space="preserve"> siguiente</w:t>
      </w:r>
      <w:r w:rsidR="00A512CE">
        <w:rPr>
          <w:rFonts w:ascii="Century Gothic" w:hAnsi="Century Gothic" w:cs="Arial"/>
          <w:color w:val="000000" w:themeColor="text1"/>
          <w:lang w:val="es-ES_tradnl"/>
        </w:rPr>
        <w:t xml:space="preserve">s </w:t>
      </w:r>
      <w:r w:rsidR="008A74D4">
        <w:rPr>
          <w:rFonts w:ascii="Century Gothic" w:hAnsi="Century Gothic" w:cs="Arial"/>
          <w:color w:val="000000" w:themeColor="text1"/>
          <w:lang w:val="es-ES_tradnl"/>
        </w:rPr>
        <w:t>circunstancias</w:t>
      </w:r>
      <w:r w:rsidR="006E0005">
        <w:rPr>
          <w:rFonts w:ascii="Century Gothic" w:hAnsi="Century Gothic" w:cs="Arial"/>
          <w:color w:val="000000" w:themeColor="text1"/>
          <w:lang w:val="es-ES_tradnl"/>
        </w:rPr>
        <w:t>:</w:t>
      </w:r>
      <w:r w:rsidRPr="009F38CE">
        <w:rPr>
          <w:rFonts w:ascii="Century Gothic" w:hAnsi="Century Gothic" w:cs="Arial"/>
        </w:rPr>
        <w:t xml:space="preserve"> </w:t>
      </w:r>
    </w:p>
    <w:p w14:paraId="55D56C00" w14:textId="3C162CD6" w:rsidR="00A512CE" w:rsidRPr="002E6156" w:rsidRDefault="009F38CE" w:rsidP="002E6156">
      <w:pPr>
        <w:spacing w:line="240" w:lineRule="auto"/>
        <w:ind w:left="708" w:right="900"/>
        <w:jc w:val="both"/>
        <w:rPr>
          <w:rFonts w:ascii="Century Gothic" w:hAnsi="Century Gothic" w:cs="Arial"/>
          <w:color w:val="000000"/>
          <w:sz w:val="21"/>
          <w:szCs w:val="21"/>
        </w:rPr>
      </w:pPr>
      <w:r w:rsidRPr="002E6156">
        <w:rPr>
          <w:rFonts w:ascii="Century Gothic" w:hAnsi="Century Gothic" w:cs="Arial"/>
          <w:color w:val="000000" w:themeColor="text1"/>
          <w:sz w:val="21"/>
          <w:szCs w:val="21"/>
          <w:lang w:val="es-ES_tradnl"/>
        </w:rPr>
        <w:t>“</w:t>
      </w:r>
      <w:r w:rsidR="00A512CE" w:rsidRPr="002E6156">
        <w:rPr>
          <w:rFonts w:ascii="Century Gothic" w:hAnsi="Century Gothic" w:cs="Arial"/>
          <w:color w:val="000000" w:themeColor="text1"/>
          <w:sz w:val="21"/>
          <w:szCs w:val="21"/>
          <w:lang w:val="es-ES_tradnl"/>
        </w:rPr>
        <w:t xml:space="preserve">1) </w:t>
      </w:r>
      <w:r w:rsidR="00A512CE" w:rsidRPr="002E6156">
        <w:rPr>
          <w:rFonts w:ascii="Century Gothic" w:hAnsi="Century Gothic" w:cs="Arial"/>
          <w:color w:val="000000"/>
          <w:sz w:val="21"/>
          <w:szCs w:val="21"/>
        </w:rPr>
        <w:t>Las diversas interpretaciones que le dan las entidades públicas a la condición:</w:t>
      </w:r>
      <w:r w:rsidR="00802C72" w:rsidRPr="002E6156">
        <w:rPr>
          <w:rFonts w:ascii="Century Gothic" w:hAnsi="Century Gothic" w:cs="Arial"/>
          <w:color w:val="000000"/>
          <w:sz w:val="21"/>
          <w:szCs w:val="21"/>
        </w:rPr>
        <w:t xml:space="preserve"> </w:t>
      </w:r>
      <w:r w:rsidR="00A512CE" w:rsidRPr="002E6156">
        <w:rPr>
          <w:rFonts w:ascii="Century Gothic" w:hAnsi="Century Gothic" w:cs="Arial"/>
          <w:color w:val="000000"/>
          <w:sz w:val="21"/>
          <w:szCs w:val="21"/>
        </w:rPr>
        <w:t xml:space="preserve">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NO PERMITEN a las ESAL (Corporaciones, Asociaciones y Fundaciones), acceder a los incentivos contemplados en la ley 2069 de 2021 y decreto </w:t>
      </w:r>
      <w:r w:rsidR="002E6156" w:rsidRPr="002E6156">
        <w:rPr>
          <w:rFonts w:ascii="Century Gothic" w:hAnsi="Century Gothic" w:cs="Arial"/>
          <w:color w:val="000000"/>
          <w:sz w:val="21"/>
          <w:szCs w:val="21"/>
        </w:rPr>
        <w:t xml:space="preserve"> </w:t>
      </w:r>
      <w:r w:rsidR="00A512CE" w:rsidRPr="002E6156">
        <w:rPr>
          <w:rFonts w:ascii="Century Gothic" w:hAnsi="Century Gothic" w:cs="Arial"/>
          <w:color w:val="000000"/>
          <w:sz w:val="21"/>
          <w:szCs w:val="21"/>
        </w:rPr>
        <w:t xml:space="preserve">1860 de 2021 para los emprendimientos y empresas de mujeres, por el solo hecho de ser una ESAL, desconociendo que estas entidades, al igual que las sociedades comerciales, las </w:t>
      </w:r>
      <w:proofErr w:type="spellStart"/>
      <w:r w:rsidR="00A512CE" w:rsidRPr="002E6156">
        <w:rPr>
          <w:rFonts w:ascii="Century Gothic" w:hAnsi="Century Gothic" w:cs="Arial"/>
          <w:color w:val="000000"/>
          <w:sz w:val="21"/>
          <w:szCs w:val="21"/>
        </w:rPr>
        <w:t>ESALs</w:t>
      </w:r>
      <w:proofErr w:type="spellEnd"/>
      <w:r w:rsidR="00A512CE" w:rsidRPr="002E6156">
        <w:rPr>
          <w:rFonts w:ascii="Century Gothic" w:hAnsi="Century Gothic" w:cs="Arial"/>
          <w:color w:val="000000"/>
          <w:sz w:val="21"/>
          <w:szCs w:val="21"/>
        </w:rPr>
        <w:t xml:space="preserve"> son Personas</w:t>
      </w:r>
      <w:r w:rsidR="002E6156" w:rsidRPr="002E6156">
        <w:rPr>
          <w:rFonts w:ascii="Century Gothic" w:hAnsi="Century Gothic" w:cs="Arial"/>
          <w:color w:val="000000"/>
          <w:sz w:val="21"/>
          <w:szCs w:val="21"/>
        </w:rPr>
        <w:t xml:space="preserve"> </w:t>
      </w:r>
      <w:r w:rsidR="00A512CE" w:rsidRPr="002E6156">
        <w:rPr>
          <w:rFonts w:ascii="Century Gothic" w:hAnsi="Century Gothic" w:cs="Arial"/>
          <w:color w:val="000000"/>
          <w:sz w:val="21"/>
          <w:szCs w:val="21"/>
        </w:rPr>
        <w:t>Jurídicas.</w:t>
      </w:r>
    </w:p>
    <w:p w14:paraId="42A14C56" w14:textId="60ABC600" w:rsidR="00B234B5" w:rsidRPr="002E6156" w:rsidRDefault="00A512CE" w:rsidP="002E6156">
      <w:pPr>
        <w:spacing w:line="240" w:lineRule="auto"/>
        <w:ind w:left="708" w:right="900"/>
        <w:jc w:val="both"/>
        <w:rPr>
          <w:rFonts w:ascii="Century Gothic" w:hAnsi="Century Gothic" w:cs="Arial"/>
          <w:color w:val="000000"/>
          <w:sz w:val="21"/>
          <w:szCs w:val="21"/>
        </w:rPr>
      </w:pPr>
      <w:r w:rsidRPr="002E6156">
        <w:rPr>
          <w:rFonts w:ascii="Century Gothic" w:hAnsi="Century Gothic" w:cs="Arial"/>
          <w:color w:val="000000"/>
          <w:sz w:val="21"/>
          <w:szCs w:val="21"/>
        </w:rPr>
        <w:t xml:space="preserve">2) Las diversas interpretaciones que le dan las entidades públicas a la condición: </w:t>
      </w:r>
      <w:proofErr w:type="spellStart"/>
      <w:r w:rsidRPr="002E6156">
        <w:rPr>
          <w:rFonts w:ascii="Century Gothic" w:hAnsi="Century Gothic" w:cs="Arial"/>
          <w:color w:val="000000"/>
          <w:sz w:val="21"/>
          <w:szCs w:val="21"/>
        </w:rPr>
        <w:t>iv</w:t>
      </w:r>
      <w:proofErr w:type="spellEnd"/>
      <w:r w:rsidRPr="002E6156">
        <w:rPr>
          <w:rFonts w:ascii="Century Gothic" w:hAnsi="Century Gothic" w:cs="Arial"/>
          <w:color w:val="000000"/>
          <w:sz w:val="21"/>
          <w:szCs w:val="21"/>
        </w:rPr>
        <w:t xml:space="preserve">. Para las asociaciones y cooperativas, cuando más del cincuenta por ciento (50%) de los asociados sean mujeres y la participación haya correspondido a estas durante al menos el último año anterior a la fecha de cierre del Proceso de Selección. NO PERMITEN a las CORPORACIONES, creadas como Entidades de carácter privado sin Ánimo de Lucro - ESAL, acceder a los incentivos contemplados en la ley 2069 de 2021 y decreto 1860 de 2021 para los emprendimientos y empresas de mujeres, toda vez que, según la entidad pública, solo pueden ACREDITAR la condición citada, solo las </w:t>
      </w:r>
      <w:proofErr w:type="spellStart"/>
      <w:r w:rsidRPr="002E6156">
        <w:rPr>
          <w:rFonts w:ascii="Century Gothic" w:hAnsi="Century Gothic" w:cs="Arial"/>
          <w:color w:val="000000"/>
          <w:sz w:val="21"/>
          <w:szCs w:val="21"/>
        </w:rPr>
        <w:t>ESALs</w:t>
      </w:r>
      <w:proofErr w:type="spellEnd"/>
      <w:r w:rsidRPr="002E6156">
        <w:rPr>
          <w:rFonts w:ascii="Century Gothic" w:hAnsi="Century Gothic" w:cs="Arial"/>
          <w:color w:val="000000"/>
          <w:sz w:val="21"/>
          <w:szCs w:val="21"/>
        </w:rPr>
        <w:t xml:space="preserve"> que estén creadas como ASOCIACIONES o</w:t>
      </w:r>
      <w:r w:rsidR="002E6156" w:rsidRPr="002E6156">
        <w:rPr>
          <w:rFonts w:ascii="Century Gothic" w:hAnsi="Century Gothic" w:cs="Arial"/>
          <w:color w:val="000000"/>
          <w:sz w:val="21"/>
          <w:szCs w:val="21"/>
        </w:rPr>
        <w:t xml:space="preserve"> </w:t>
      </w:r>
      <w:r w:rsidRPr="002E6156">
        <w:rPr>
          <w:rFonts w:ascii="Century Gothic" w:hAnsi="Century Gothic" w:cs="Arial"/>
          <w:color w:val="000000"/>
          <w:sz w:val="21"/>
          <w:szCs w:val="21"/>
        </w:rPr>
        <w:t>FUNDACIONES</w:t>
      </w:r>
      <w:r w:rsidR="002E6156" w:rsidRPr="002E6156">
        <w:rPr>
          <w:rFonts w:ascii="Century Gothic" w:hAnsi="Century Gothic" w:cs="Arial"/>
          <w:color w:val="000000"/>
          <w:sz w:val="21"/>
          <w:szCs w:val="21"/>
        </w:rPr>
        <w:t xml:space="preserve"> </w:t>
      </w:r>
      <w:r w:rsidRPr="002E6156">
        <w:rPr>
          <w:rFonts w:ascii="Century Gothic" w:hAnsi="Century Gothic" w:cs="Arial"/>
          <w:color w:val="000000"/>
          <w:sz w:val="21"/>
          <w:szCs w:val="21"/>
        </w:rPr>
        <w:t>a dicho incentivos</w:t>
      </w:r>
      <w:r w:rsidR="009F38CE" w:rsidRPr="002E6156">
        <w:rPr>
          <w:rFonts w:ascii="Century Gothic" w:hAnsi="Century Gothic" w:cs="Arial"/>
          <w:color w:val="000000"/>
          <w:sz w:val="21"/>
          <w:szCs w:val="21"/>
        </w:rPr>
        <w:t>”</w:t>
      </w:r>
      <w:r w:rsidR="00B234B5" w:rsidRPr="002E6156">
        <w:rPr>
          <w:rFonts w:ascii="Century Gothic" w:hAnsi="Century Gothic" w:cs="Arial"/>
          <w:color w:val="000000"/>
          <w:sz w:val="21"/>
          <w:szCs w:val="21"/>
        </w:rPr>
        <w:t>.</w:t>
      </w:r>
      <w:r w:rsidR="00221A7E">
        <w:rPr>
          <w:rFonts w:ascii="Century Gothic" w:hAnsi="Century Gothic" w:cs="Arial"/>
          <w:color w:val="000000"/>
          <w:sz w:val="21"/>
          <w:szCs w:val="21"/>
        </w:rPr>
        <w:t xml:space="preserve"> (Sic)</w:t>
      </w:r>
    </w:p>
    <w:p w14:paraId="5D66A140" w14:textId="77777777" w:rsidR="00B234B5" w:rsidRPr="009F38CE" w:rsidRDefault="00B234B5" w:rsidP="00B234B5">
      <w:pPr>
        <w:pStyle w:val="Prrafodelista"/>
        <w:numPr>
          <w:ilvl w:val="0"/>
          <w:numId w:val="16"/>
        </w:numPr>
        <w:tabs>
          <w:tab w:val="left" w:pos="0"/>
          <w:tab w:val="left" w:pos="284"/>
        </w:tabs>
        <w:spacing w:after="0" w:line="276" w:lineRule="auto"/>
        <w:ind w:left="360"/>
        <w:jc w:val="both"/>
        <w:rPr>
          <w:rFonts w:ascii="Century Gothic" w:eastAsia="Calibri" w:hAnsi="Century Gothic" w:cs="Arial"/>
          <w:color w:val="000000"/>
          <w:lang w:val="es-ES_tradnl" w:eastAsia="es-ES_tradnl"/>
        </w:rPr>
      </w:pPr>
      <w:r w:rsidRPr="009F38CE">
        <w:rPr>
          <w:rFonts w:ascii="Century Gothic" w:eastAsia="Calibri" w:hAnsi="Century Gothic" w:cs="Arial"/>
          <w:b/>
          <w:color w:val="000000"/>
          <w:lang w:val="es-ES_tradnl"/>
        </w:rPr>
        <w:t>Consideraciones</w:t>
      </w:r>
    </w:p>
    <w:p w14:paraId="4544FD13" w14:textId="77777777" w:rsidR="00B234B5" w:rsidRPr="009F38CE" w:rsidRDefault="00B234B5" w:rsidP="00B234B5">
      <w:pPr>
        <w:tabs>
          <w:tab w:val="left" w:pos="0"/>
          <w:tab w:val="left" w:pos="284"/>
        </w:tabs>
        <w:spacing w:after="120" w:line="276" w:lineRule="auto"/>
        <w:contextualSpacing/>
        <w:jc w:val="both"/>
        <w:rPr>
          <w:rFonts w:ascii="Century Gothic" w:eastAsia="Calibri" w:hAnsi="Century Gothic" w:cs="Arial"/>
          <w:color w:val="000000"/>
          <w:lang w:val="es-ES_tradnl"/>
        </w:rPr>
      </w:pPr>
    </w:p>
    <w:p w14:paraId="50A3EB54" w14:textId="77777777" w:rsidR="008C6541" w:rsidRPr="00C24A08" w:rsidRDefault="008C6541" w:rsidP="008C6541">
      <w:pPr>
        <w:shd w:val="clear" w:color="auto" w:fill="FFFFFF" w:themeFill="background1"/>
        <w:spacing w:line="276" w:lineRule="auto"/>
        <w:jc w:val="both"/>
        <w:rPr>
          <w:rFonts w:ascii="Century Gothic" w:eastAsia="Calibri" w:hAnsi="Century Gothic" w:cs="Arial"/>
          <w:color w:val="000000" w:themeColor="text1"/>
        </w:rPr>
      </w:pPr>
      <w:r w:rsidRPr="00C24A08">
        <w:rPr>
          <w:rFonts w:ascii="Century Gothic" w:eastAsia="Calibri" w:hAnsi="Century Gothic" w:cs="Arial"/>
          <w:color w:val="000000" w:themeColor="text1"/>
        </w:rPr>
        <w:t xml:space="preserve">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w:t>
      </w:r>
      <w:r>
        <w:rPr>
          <w:rFonts w:ascii="Century Gothic" w:eastAsia="Calibri" w:hAnsi="Century Gothic" w:cs="Arial"/>
          <w:color w:val="000000" w:themeColor="text1"/>
        </w:rPr>
        <w:t>la Agencia</w:t>
      </w:r>
      <w:r w:rsidRPr="00C24A08">
        <w:rPr>
          <w:rFonts w:ascii="Century Gothic" w:eastAsia="Calibri" w:hAnsi="Century Gothic" w:cs="Arial"/>
          <w:color w:val="000000" w:themeColor="text1"/>
        </w:rPr>
        <w:t xml:space="preserve"> como una autoridad para solucionar problemas jurídicos particulares de todos los partícipes de la contratación estatal ni para interpretar el alcance de cualquier norma vigente en el ordenamiento jurídico.</w:t>
      </w:r>
    </w:p>
    <w:p w14:paraId="72DB0D73" w14:textId="41732072" w:rsidR="008C6541" w:rsidRPr="00C24A08" w:rsidRDefault="008C6541" w:rsidP="008C6541">
      <w:pPr>
        <w:shd w:val="clear" w:color="auto" w:fill="FFFFFF" w:themeFill="background1"/>
        <w:spacing w:line="276" w:lineRule="auto"/>
        <w:ind w:firstLine="708"/>
        <w:jc w:val="both"/>
        <w:rPr>
          <w:rFonts w:ascii="Century Gothic" w:eastAsia="Calibri" w:hAnsi="Century Gothic" w:cs="Arial"/>
          <w:color w:val="000000" w:themeColor="text1"/>
        </w:rPr>
      </w:pPr>
      <w:r w:rsidRPr="00C24A08">
        <w:rPr>
          <w:rFonts w:ascii="Century Gothic" w:eastAsia="Calibri" w:hAnsi="Century Gothic" w:cs="Arial"/>
          <w:color w:val="000000" w:themeColor="text1"/>
        </w:rPr>
        <w:t xml:space="preserve">La competencia de esta entidad se fija con límites claros, con el objeto de evitar que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014F0C9F" w14:textId="0F6D657C" w:rsidR="008C6541" w:rsidRPr="00A855FD" w:rsidRDefault="008C6541" w:rsidP="00A855FD">
      <w:pPr>
        <w:shd w:val="clear" w:color="auto" w:fill="FFFFFF" w:themeFill="background1"/>
        <w:spacing w:line="276" w:lineRule="auto"/>
        <w:ind w:firstLine="708"/>
        <w:jc w:val="both"/>
        <w:rPr>
          <w:rFonts w:ascii="Century Gothic" w:eastAsia="Calibri" w:hAnsi="Century Gothic" w:cs="Arial"/>
          <w:color w:val="000000" w:themeColor="text1"/>
        </w:rPr>
      </w:pPr>
      <w:r w:rsidRPr="00C24A08">
        <w:rPr>
          <w:rFonts w:ascii="Century Gothic" w:eastAsia="Calibri" w:hAnsi="Century Gothic" w:cs="Arial"/>
          <w:color w:val="000000" w:themeColor="text1"/>
        </w:rPr>
        <w:t>En este contexto, la Subdirección de Gestión Contractual, dentro de los límites de sus atribuciones, esto es, haciendo abstracción a las preguntas de casos particulares expuestos, resolverá la consulta conforme a las normas generales en materia de contratación estatal. Con este objetivo se analizarán</w:t>
      </w:r>
      <w:r w:rsidRPr="00C24A08">
        <w:rPr>
          <w:rFonts w:ascii="Century Gothic" w:eastAsia="Calibri" w:hAnsi="Century Gothic" w:cs="Arial"/>
          <w:color w:val="000000" w:themeColor="text1"/>
          <w:lang w:val="es-ES"/>
        </w:rPr>
        <w:t xml:space="preserve"> los siguientes temas</w:t>
      </w:r>
      <w:r w:rsidRPr="00C24A08">
        <w:rPr>
          <w:rFonts w:ascii="Century Gothic" w:hAnsi="Century Gothic" w:cs="Arial"/>
          <w:color w:val="000000" w:themeColor="text1"/>
          <w:lang w:val="es-ES"/>
        </w:rPr>
        <w:t>:</w:t>
      </w:r>
    </w:p>
    <w:p w14:paraId="02ADA02B" w14:textId="36419613" w:rsidR="00B234B5" w:rsidRPr="009F38CE" w:rsidRDefault="00B234B5" w:rsidP="00B234B5">
      <w:pPr>
        <w:tabs>
          <w:tab w:val="left" w:pos="0"/>
          <w:tab w:val="left" w:pos="284"/>
        </w:tabs>
        <w:snapToGrid w:val="0"/>
        <w:spacing w:after="120" w:line="276" w:lineRule="auto"/>
        <w:jc w:val="both"/>
        <w:rPr>
          <w:rFonts w:ascii="Century Gothic" w:eastAsia="Calibri" w:hAnsi="Century Gothic" w:cs="Arial"/>
          <w:color w:val="000000"/>
          <w:lang w:val="es-ES_tradnl"/>
        </w:rPr>
      </w:pPr>
      <w:r w:rsidRPr="009F38CE">
        <w:rPr>
          <w:rFonts w:ascii="Century Gothic" w:eastAsia="Calibri" w:hAnsi="Century Gothic" w:cs="Arial"/>
          <w:color w:val="000000"/>
          <w:lang w:val="es-ES_tradnl"/>
        </w:rPr>
        <w:t xml:space="preserve">La Subdirección de Gestión Contractual responderá la consulta, luego de analizar los siguientes temas: i) </w:t>
      </w:r>
      <w:r w:rsidR="00853EF4">
        <w:rPr>
          <w:rFonts w:ascii="Century Gothic" w:eastAsia="Calibri" w:hAnsi="Century Gothic" w:cs="Arial"/>
          <w:color w:val="000000"/>
          <w:lang w:val="es-ES_tradnl"/>
        </w:rPr>
        <w:t xml:space="preserve">incentivos para empresas </w:t>
      </w:r>
      <w:r w:rsidRPr="009F38CE">
        <w:rPr>
          <w:rFonts w:ascii="Century Gothic" w:eastAsia="Calibri" w:hAnsi="Century Gothic" w:cs="Arial"/>
          <w:color w:val="000000"/>
          <w:lang w:val="es-ES_tradnl"/>
        </w:rPr>
        <w:t xml:space="preserve">y </w:t>
      </w:r>
      <w:r w:rsidR="00853EF4">
        <w:rPr>
          <w:rFonts w:ascii="Century Gothic" w:eastAsia="Calibri" w:hAnsi="Century Gothic" w:cs="Arial"/>
          <w:color w:val="000000"/>
          <w:lang w:val="es-ES_tradnl"/>
        </w:rPr>
        <w:t>emprendimientos</w:t>
      </w:r>
      <w:r w:rsidR="00B201EB">
        <w:rPr>
          <w:rFonts w:ascii="Century Gothic" w:eastAsia="Calibri" w:hAnsi="Century Gothic" w:cs="Arial"/>
          <w:color w:val="000000"/>
          <w:lang w:val="es-ES_tradnl"/>
        </w:rPr>
        <w:t xml:space="preserve"> de mujeres</w:t>
      </w:r>
      <w:r w:rsidR="00763A43">
        <w:rPr>
          <w:rFonts w:ascii="Century Gothic" w:eastAsia="Calibri" w:hAnsi="Century Gothic" w:cs="Arial"/>
          <w:color w:val="000000"/>
          <w:lang w:val="es-ES_tradnl"/>
        </w:rPr>
        <w:t xml:space="preserve"> en el sistema</w:t>
      </w:r>
      <w:r w:rsidRPr="009F38CE">
        <w:rPr>
          <w:rFonts w:ascii="Century Gothic" w:eastAsia="Calibri" w:hAnsi="Century Gothic" w:cs="Arial"/>
          <w:color w:val="000000"/>
          <w:lang w:val="es-ES_tradnl"/>
        </w:rPr>
        <w:t xml:space="preserve"> de </w:t>
      </w:r>
      <w:r w:rsidR="00763A43">
        <w:rPr>
          <w:rFonts w:ascii="Century Gothic" w:eastAsia="Calibri" w:hAnsi="Century Gothic" w:cs="Arial"/>
          <w:color w:val="000000"/>
          <w:lang w:val="es-ES_tradnl"/>
        </w:rPr>
        <w:t xml:space="preserve">compras y contratación </w:t>
      </w:r>
      <w:r w:rsidR="005F2DEC">
        <w:rPr>
          <w:rFonts w:ascii="Century Gothic" w:eastAsia="Calibri" w:hAnsi="Century Gothic" w:cs="Arial"/>
          <w:color w:val="000000"/>
          <w:lang w:val="es-ES_tradnl"/>
        </w:rPr>
        <w:t>pública</w:t>
      </w:r>
      <w:r w:rsidRPr="009F38CE">
        <w:rPr>
          <w:rFonts w:ascii="Century Gothic" w:eastAsia="Calibri" w:hAnsi="Century Gothic" w:cs="Arial"/>
          <w:color w:val="000000"/>
          <w:lang w:val="es-ES_tradnl"/>
        </w:rPr>
        <w:t xml:space="preserve">; y </w:t>
      </w:r>
      <w:proofErr w:type="spellStart"/>
      <w:r w:rsidRPr="009F38CE">
        <w:rPr>
          <w:rFonts w:ascii="Century Gothic" w:eastAsia="Calibri" w:hAnsi="Century Gothic" w:cs="Arial"/>
          <w:color w:val="000000"/>
          <w:lang w:val="es-ES_tradnl"/>
        </w:rPr>
        <w:t>ii</w:t>
      </w:r>
      <w:proofErr w:type="spellEnd"/>
      <w:r w:rsidRPr="009F38CE">
        <w:rPr>
          <w:rFonts w:ascii="Century Gothic" w:eastAsia="Calibri" w:hAnsi="Century Gothic" w:cs="Arial"/>
          <w:color w:val="000000"/>
          <w:lang w:val="es-ES_tradnl"/>
        </w:rPr>
        <w:t xml:space="preserve">) aplicación de los criterios diferenciales para emprendimientos y empresas de </w:t>
      </w:r>
      <w:r w:rsidR="00646F56" w:rsidRPr="009F38CE">
        <w:rPr>
          <w:rFonts w:ascii="Century Gothic" w:eastAsia="Calibri" w:hAnsi="Century Gothic" w:cs="Arial"/>
          <w:color w:val="000000"/>
          <w:lang w:val="es-ES_tradnl"/>
        </w:rPr>
        <w:t>mujeres respecto</w:t>
      </w:r>
      <w:r w:rsidR="00ED0F21" w:rsidRPr="009F38CE">
        <w:rPr>
          <w:rFonts w:ascii="Century Gothic" w:hAnsi="Century Gothic" w:cs="Arial"/>
          <w:color w:val="000000" w:themeColor="text1"/>
          <w:lang w:val="es-ES_tradnl"/>
        </w:rPr>
        <w:t xml:space="preserve"> de </w:t>
      </w:r>
      <w:r w:rsidR="00ED0F21">
        <w:rPr>
          <w:rFonts w:ascii="Century Gothic" w:hAnsi="Century Gothic" w:cs="Arial"/>
          <w:color w:val="000000" w:themeColor="text1"/>
          <w:lang w:val="es-ES_tradnl"/>
        </w:rPr>
        <w:t>las personas jurídicas de carácter privado, sin ánimo de lucro – ESAL</w:t>
      </w:r>
      <w:r w:rsidRPr="009F38CE">
        <w:rPr>
          <w:rFonts w:ascii="Century Gothic" w:eastAsia="Calibri" w:hAnsi="Century Gothic" w:cs="Arial"/>
          <w:color w:val="000000"/>
          <w:lang w:val="es-ES_tradnl"/>
        </w:rPr>
        <w:t xml:space="preserve"> </w:t>
      </w:r>
    </w:p>
    <w:p w14:paraId="59E63210" w14:textId="52D95D7D" w:rsidR="00B234B5" w:rsidRPr="009F38CE" w:rsidRDefault="001F17BB" w:rsidP="00B234B5">
      <w:pPr>
        <w:spacing w:line="276" w:lineRule="auto"/>
        <w:ind w:firstLine="708"/>
        <w:jc w:val="both"/>
        <w:rPr>
          <w:rFonts w:ascii="Century Gothic" w:eastAsia="Calibri" w:hAnsi="Century Gothic" w:cs="Arial"/>
          <w:color w:val="000000" w:themeColor="text1"/>
          <w:lang w:val="es-ES"/>
        </w:rPr>
      </w:pPr>
      <w:r w:rsidRPr="001F17BB">
        <w:rPr>
          <w:rFonts w:ascii="Century Gothic" w:eastAsia="Calibri" w:hAnsi="Century Gothic" w:cs="Arial"/>
          <w:color w:val="000000" w:themeColor="text1"/>
          <w:lang w:val="es-ES"/>
        </w:rPr>
        <w:t>La Agencia Nacional de Contratación Pública – Colombia Compra Eficiente, en los conceptos C-029 de 21 de febrero de 2021, C-037 del 26 de febrero de 2021, C-141 del 8 de abril de 2021, C-114 del 13 de abril de 2015, C-031 del 1 de marzo de 2022, C-217 del 21 de abril de 2022, C-476 del 21 de junio de 2022, C-429 del 18 de julio de 2022, C-438 del 11 de julio de 2022, C-454 del 13 de julio de 2022, C-476 del 21 de junio de 2022, C-479 del 26 de julio de 2022, C-504 del 8 de agosto de 2022, C-509 de 8 de agosto de 2022, C-522 del 16 de agosto de 2022, C-533 de 25 de agosto de 2022, C-587 del 21 de septiembre de 2022, C-650 de 6 de octubre de 2022, C-698 de 24 de octubre de 2022, C-715 del 4 de noviembre de 2022, C-752 del 21 de diciembre de 2022, C-048 del 12 de abril de 2023</w:t>
      </w:r>
      <w:r w:rsidR="001E0D3A">
        <w:rPr>
          <w:rFonts w:ascii="Century Gothic" w:eastAsia="Calibri" w:hAnsi="Century Gothic" w:cs="Arial"/>
          <w:color w:val="000000" w:themeColor="text1"/>
          <w:lang w:val="es-ES"/>
        </w:rPr>
        <w:t xml:space="preserve">, </w:t>
      </w:r>
      <w:r w:rsidRPr="001F17BB">
        <w:rPr>
          <w:rFonts w:ascii="Century Gothic" w:eastAsia="Calibri" w:hAnsi="Century Gothic" w:cs="Arial"/>
          <w:color w:val="000000" w:themeColor="text1"/>
          <w:lang w:val="es-ES"/>
        </w:rPr>
        <w:t>C-058 del 10 de mayo de 2023</w:t>
      </w:r>
      <w:r w:rsidR="00BF0C2B">
        <w:rPr>
          <w:rFonts w:ascii="Century Gothic" w:eastAsia="Calibri" w:hAnsi="Century Gothic" w:cs="Arial"/>
          <w:color w:val="000000" w:themeColor="text1"/>
          <w:lang w:val="es-ES"/>
        </w:rPr>
        <w:t xml:space="preserve"> y</w:t>
      </w:r>
      <w:r w:rsidR="001E0D3A">
        <w:rPr>
          <w:rFonts w:ascii="Century Gothic" w:eastAsia="Calibri" w:hAnsi="Century Gothic" w:cs="Arial"/>
          <w:color w:val="000000" w:themeColor="text1"/>
          <w:lang w:val="es-ES"/>
        </w:rPr>
        <w:t xml:space="preserve"> C-274 de 14 de julio de 2023</w:t>
      </w:r>
      <w:r w:rsidR="00BF0C2B">
        <w:rPr>
          <w:rFonts w:ascii="Century Gothic" w:eastAsia="Calibri" w:hAnsi="Century Gothic" w:cs="Arial"/>
          <w:color w:val="000000" w:themeColor="text1"/>
          <w:lang w:val="es-ES"/>
        </w:rPr>
        <w:t>, entre otros</w:t>
      </w:r>
      <w:r w:rsidR="00AE4497">
        <w:rPr>
          <w:rStyle w:val="Refdenotaalpie"/>
          <w:rFonts w:ascii="Century Gothic" w:eastAsia="Calibri" w:hAnsi="Century Gothic" w:cs="Arial"/>
          <w:color w:val="000000" w:themeColor="text1"/>
          <w:lang w:val="es-ES"/>
        </w:rPr>
        <w:footnoteReference w:id="2"/>
      </w:r>
      <w:r w:rsidRPr="001F17BB">
        <w:rPr>
          <w:rFonts w:ascii="Century Gothic" w:eastAsia="Calibri" w:hAnsi="Century Gothic" w:cs="Arial"/>
          <w:color w:val="000000" w:themeColor="text1"/>
          <w:lang w:val="es-ES"/>
        </w:rPr>
        <w:t>, se ha pronunciado sobre lo dispuesto en el artículo 32 de la Ley 2069 de 2020, alusivo a los criterios diferenciales para emprendimientos y empresas de mujeres</w:t>
      </w:r>
      <w:r w:rsidR="00BF0C2B">
        <w:rPr>
          <w:rFonts w:ascii="Century Gothic" w:eastAsia="Calibri" w:hAnsi="Century Gothic" w:cs="Arial"/>
          <w:color w:val="000000" w:themeColor="text1"/>
          <w:lang w:val="es-ES"/>
        </w:rPr>
        <w:t>.</w:t>
      </w:r>
      <w:r w:rsidR="00C26293">
        <w:rPr>
          <w:rFonts w:ascii="Century Gothic" w:eastAsia="Calibri" w:hAnsi="Century Gothic" w:cs="Arial"/>
          <w:color w:val="000000" w:themeColor="text1"/>
          <w:lang w:val="es-ES"/>
        </w:rPr>
        <w:t xml:space="preserve"> </w:t>
      </w:r>
      <w:r w:rsidR="00B234B5" w:rsidRPr="009F38CE">
        <w:rPr>
          <w:rFonts w:ascii="Century Gothic" w:eastAsia="Calibri" w:hAnsi="Century Gothic" w:cs="Arial"/>
          <w:color w:val="000000" w:themeColor="text1"/>
          <w:lang w:val="es-ES"/>
        </w:rPr>
        <w:t>Algunas de las consideraciones de estos conceptos se reiteran y complementan a continuación.</w:t>
      </w:r>
    </w:p>
    <w:p w14:paraId="0D6E4948" w14:textId="48103B3A" w:rsidR="00B234B5" w:rsidRPr="009F38CE" w:rsidRDefault="00B234B5" w:rsidP="00B234B5">
      <w:pPr>
        <w:spacing w:line="276" w:lineRule="auto"/>
        <w:jc w:val="both"/>
        <w:rPr>
          <w:rFonts w:ascii="Century Gothic" w:eastAsia="Calibri" w:hAnsi="Century Gothic" w:cs="Arial"/>
          <w:b/>
          <w:bCs/>
          <w:lang w:val="es-ES_tradnl"/>
        </w:rPr>
      </w:pPr>
      <w:bookmarkStart w:id="1" w:name="_Hlk81469948"/>
      <w:r w:rsidRPr="009F38CE">
        <w:rPr>
          <w:rFonts w:ascii="Century Gothic" w:eastAsia="Calibri" w:hAnsi="Century Gothic" w:cs="Arial"/>
          <w:b/>
          <w:bCs/>
          <w:lang w:val="es-ES_tradnl"/>
        </w:rPr>
        <w:t xml:space="preserve">2.1. </w:t>
      </w:r>
      <w:r w:rsidR="00994848">
        <w:rPr>
          <w:rFonts w:ascii="Century Gothic" w:eastAsia="Calibri" w:hAnsi="Century Gothic" w:cs="Arial"/>
          <w:b/>
          <w:bCs/>
          <w:color w:val="000000"/>
          <w:lang w:val="es-ES_tradnl"/>
        </w:rPr>
        <w:t>I</w:t>
      </w:r>
      <w:r w:rsidR="00994848" w:rsidRPr="00994848">
        <w:rPr>
          <w:rFonts w:ascii="Century Gothic" w:eastAsia="Calibri" w:hAnsi="Century Gothic" w:cs="Arial"/>
          <w:b/>
          <w:bCs/>
          <w:color w:val="000000"/>
          <w:lang w:val="es-ES_tradnl"/>
        </w:rPr>
        <w:t>ncentivos para empresas y emprendimientos de mujeres en el sistema de compras y contratación pública</w:t>
      </w:r>
    </w:p>
    <w:p w14:paraId="4356657E" w14:textId="77777777" w:rsidR="00A855FD" w:rsidRPr="00B251D0" w:rsidRDefault="00A855FD" w:rsidP="00A855FD">
      <w:pPr>
        <w:tabs>
          <w:tab w:val="left" w:pos="709"/>
        </w:tabs>
        <w:spacing w:before="240" w:after="0" w:line="276" w:lineRule="auto"/>
        <w:jc w:val="both"/>
        <w:rPr>
          <w:rFonts w:ascii="Century Gothic" w:eastAsia="Calibri" w:hAnsi="Century Gothic" w:cs="Arial"/>
          <w:bCs/>
        </w:rPr>
      </w:pPr>
      <w:r>
        <w:rPr>
          <w:rFonts w:ascii="Century Gothic" w:eastAsia="Calibri" w:hAnsi="Century Gothic" w:cs="Arial"/>
          <w:bCs/>
        </w:rPr>
        <w:t>E</w:t>
      </w:r>
      <w:r w:rsidRPr="00B251D0">
        <w:rPr>
          <w:rFonts w:ascii="Century Gothic" w:eastAsia="Calibri" w:hAnsi="Century Gothic" w:cs="Arial"/>
          <w:bCs/>
        </w:rPr>
        <w:t xml:space="preserve">l artículo 32 de la Ley 2069 de 2020 </w:t>
      </w:r>
      <w:r>
        <w:rPr>
          <w:rFonts w:ascii="Century Gothic" w:eastAsia="Calibri" w:hAnsi="Century Gothic" w:cs="Arial"/>
          <w:bCs/>
        </w:rPr>
        <w:t>incorporó en nuestro ordenamiento jurídico</w:t>
      </w:r>
      <w:r w:rsidRPr="00B251D0">
        <w:rPr>
          <w:rFonts w:ascii="Century Gothic" w:eastAsia="Calibri" w:hAnsi="Century Gothic" w:cs="Arial"/>
          <w:bCs/>
        </w:rPr>
        <w:t xml:space="preserve"> criterios diferenciales para los “emprendimientos y empresas de mujeres” en el sistema de compras y contratación pública. En relación con este aspecto, el inciso primero de la norma citada prescribe lo siguiente: </w:t>
      </w:r>
    </w:p>
    <w:p w14:paraId="2C8BE374" w14:textId="77777777" w:rsidR="00A855FD" w:rsidRPr="00B251D0" w:rsidRDefault="00A855FD" w:rsidP="00A855FD">
      <w:pPr>
        <w:tabs>
          <w:tab w:val="left" w:pos="709"/>
        </w:tabs>
        <w:spacing w:before="240" w:after="0" w:line="240" w:lineRule="auto"/>
        <w:ind w:left="709" w:right="709"/>
        <w:jc w:val="both"/>
        <w:rPr>
          <w:rFonts w:ascii="Century Gothic" w:eastAsia="Calibri" w:hAnsi="Century Gothic" w:cs="Arial"/>
          <w:bCs/>
          <w:sz w:val="21"/>
          <w:szCs w:val="21"/>
        </w:rPr>
      </w:pPr>
      <w:r w:rsidRPr="00B251D0">
        <w:rPr>
          <w:rFonts w:ascii="Century Gothic" w:eastAsia="Calibri" w:hAnsi="Century Gothic" w:cs="Arial"/>
          <w:bCs/>
          <w:sz w:val="21"/>
          <w:szCs w:val="21"/>
        </w:rPr>
        <w:t>“De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AF54B8E" w14:textId="77777777" w:rsidR="00A855FD" w:rsidRPr="00B251D0" w:rsidRDefault="00A855FD" w:rsidP="00A855FD">
      <w:pPr>
        <w:tabs>
          <w:tab w:val="left" w:pos="709"/>
        </w:tabs>
        <w:spacing w:before="240" w:after="120" w:line="276" w:lineRule="auto"/>
        <w:jc w:val="both"/>
        <w:rPr>
          <w:rFonts w:ascii="Century Gothic" w:eastAsia="Calibri" w:hAnsi="Century Gothic" w:cs="Arial"/>
          <w:bCs/>
        </w:rPr>
      </w:pPr>
      <w:r w:rsidRPr="00B251D0">
        <w:rPr>
          <w:rFonts w:ascii="Century Gothic" w:eastAsia="Calibri" w:hAnsi="Century Gothic" w:cs="Arial"/>
          <w:bCs/>
        </w:rPr>
        <w:tab/>
      </w:r>
      <w:r>
        <w:rPr>
          <w:rFonts w:ascii="Century Gothic" w:eastAsia="Calibri" w:hAnsi="Century Gothic" w:cs="Arial"/>
          <w:bCs/>
        </w:rPr>
        <w:t>La norma en cita</w:t>
      </w:r>
      <w:r w:rsidRPr="00B251D0">
        <w:rPr>
          <w:rFonts w:ascii="Century Gothic" w:eastAsia="Calibri" w:hAnsi="Century Gothic" w:cs="Arial"/>
          <w:bCs/>
        </w:rPr>
        <w:t xml:space="preserve"> incluye </w:t>
      </w:r>
      <w:r>
        <w:rPr>
          <w:rFonts w:ascii="Century Gothic" w:eastAsia="Calibri" w:hAnsi="Century Gothic" w:cs="Arial"/>
          <w:bCs/>
        </w:rPr>
        <w:t xml:space="preserve">que </w:t>
      </w:r>
      <w:r w:rsidRPr="00B251D0">
        <w:rPr>
          <w:rFonts w:ascii="Century Gothic" w:eastAsia="Calibri" w:hAnsi="Century Gothic" w:cs="Arial"/>
          <w:bCs/>
        </w:rPr>
        <w:t xml:space="preserve">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que realicen las entidades estatales excluidas de la Ley 80 de 1993. </w:t>
      </w:r>
    </w:p>
    <w:p w14:paraId="7F603DCE" w14:textId="081A38F4" w:rsidR="00A855FD" w:rsidRPr="00B251D0" w:rsidRDefault="00A855FD" w:rsidP="00A855FD">
      <w:pPr>
        <w:spacing w:before="240" w:after="0" w:line="276" w:lineRule="auto"/>
        <w:ind w:firstLine="708"/>
        <w:jc w:val="both"/>
        <w:rPr>
          <w:rFonts w:ascii="Century Gothic" w:eastAsia="Calibri" w:hAnsi="Century Gothic" w:cs="Arial"/>
          <w:color w:val="000000" w:themeColor="text1"/>
          <w:lang w:val="es-ES_tradnl"/>
        </w:rPr>
      </w:pPr>
      <w:r>
        <w:rPr>
          <w:rFonts w:ascii="Century Gothic" w:eastAsia="Calibri" w:hAnsi="Century Gothic" w:cs="Arial"/>
        </w:rPr>
        <w:t xml:space="preserve">Por su parte, </w:t>
      </w:r>
      <w:r w:rsidRPr="00B251D0">
        <w:rPr>
          <w:rFonts w:ascii="Century Gothic" w:eastAsia="Calibri" w:hAnsi="Century Gothic" w:cs="Arial"/>
          <w:lang w:val="es-ES_tradnl"/>
        </w:rPr>
        <w:t xml:space="preserve">el Decreto 1860 de 2021 </w:t>
      </w:r>
      <w:r>
        <w:rPr>
          <w:rFonts w:ascii="Century Gothic" w:eastAsia="Calibri" w:hAnsi="Century Gothic" w:cs="Arial"/>
          <w:lang w:val="es-ES_tradnl"/>
        </w:rPr>
        <w:t xml:space="preserve">que adicionó el </w:t>
      </w:r>
      <w:r w:rsidRPr="00B251D0">
        <w:rPr>
          <w:rFonts w:ascii="Century Gothic" w:eastAsia="Calibri" w:hAnsi="Century Gothic" w:cs="Arial"/>
          <w:lang w:val="es-ES_tradnl"/>
        </w:rPr>
        <w:t>artículo 2.2.1.2.4.2.14 al Decreto 1082 de 2015</w:t>
      </w:r>
      <w:r>
        <w:rPr>
          <w:rFonts w:ascii="Century Gothic" w:eastAsia="Calibri" w:hAnsi="Century Gothic" w:cs="Arial"/>
          <w:lang w:val="es-ES_tradnl"/>
        </w:rPr>
        <w:t xml:space="preserve"> estableció </w:t>
      </w:r>
      <w:r w:rsidRPr="00B251D0">
        <w:rPr>
          <w:rFonts w:ascii="Century Gothic" w:eastAsia="Calibri" w:hAnsi="Century Gothic" w:cs="Arial"/>
          <w:lang w:val="es-ES_tradnl"/>
        </w:rPr>
        <w:t xml:space="preserve">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Para la consulta es relevante </w:t>
      </w:r>
      <w:r>
        <w:rPr>
          <w:rFonts w:ascii="Century Gothic" w:eastAsia="Calibri" w:hAnsi="Century Gothic" w:cs="Arial"/>
          <w:lang w:val="es-ES_tradnl"/>
        </w:rPr>
        <w:t xml:space="preserve">analizar los </w:t>
      </w:r>
      <w:r w:rsidRPr="00B251D0">
        <w:rPr>
          <w:rFonts w:ascii="Century Gothic" w:eastAsia="Calibri" w:hAnsi="Century Gothic" w:cs="Arial"/>
          <w:lang w:val="es-ES_tradnl"/>
        </w:rPr>
        <w:t>numerales</w:t>
      </w:r>
      <w:r>
        <w:rPr>
          <w:rFonts w:ascii="Century Gothic" w:eastAsia="Calibri" w:hAnsi="Century Gothic" w:cs="Arial"/>
          <w:lang w:val="es-ES_tradnl"/>
        </w:rPr>
        <w:t xml:space="preserve"> 1</w:t>
      </w:r>
      <w:r w:rsidR="001D673E">
        <w:rPr>
          <w:rFonts w:ascii="Century Gothic" w:eastAsia="Calibri" w:hAnsi="Century Gothic" w:cs="Arial"/>
          <w:lang w:val="es-ES_tradnl"/>
        </w:rPr>
        <w:t>,</w:t>
      </w:r>
      <w:r w:rsidRPr="00B251D0">
        <w:rPr>
          <w:rFonts w:ascii="Century Gothic" w:eastAsia="Calibri" w:hAnsi="Century Gothic" w:cs="Arial"/>
          <w:lang w:val="es-ES_tradnl"/>
        </w:rPr>
        <w:t xml:space="preserve"> 2</w:t>
      </w:r>
      <w:r w:rsidR="001D673E">
        <w:rPr>
          <w:rFonts w:ascii="Century Gothic" w:eastAsia="Calibri" w:hAnsi="Century Gothic" w:cs="Arial"/>
          <w:lang w:val="es-ES_tradnl"/>
        </w:rPr>
        <w:t xml:space="preserve"> y 4</w:t>
      </w:r>
      <w:r w:rsidRPr="00B251D0">
        <w:rPr>
          <w:rFonts w:ascii="Century Gothic" w:eastAsia="Calibri" w:hAnsi="Century Gothic" w:cs="Arial"/>
          <w:lang w:val="es-ES_tradnl"/>
        </w:rPr>
        <w:t xml:space="preserve">, cuyo tenor indica lo siguiente: </w:t>
      </w:r>
    </w:p>
    <w:p w14:paraId="0EF0A1F9" w14:textId="77777777" w:rsidR="00A855FD" w:rsidRPr="00B251D0" w:rsidRDefault="00A855FD" w:rsidP="00A855FD">
      <w:pPr>
        <w:shd w:val="clear" w:color="auto" w:fill="FFFFFF"/>
        <w:spacing w:before="240" w:after="0" w:line="240" w:lineRule="auto"/>
        <w:ind w:left="709" w:right="709"/>
        <w:jc w:val="both"/>
        <w:textAlignment w:val="baseline"/>
        <w:rPr>
          <w:rFonts w:ascii="Century Gothic" w:hAnsi="Century Gothic" w:cs="Arial"/>
          <w:color w:val="000000" w:themeColor="text1"/>
          <w:sz w:val="21"/>
          <w:szCs w:val="21"/>
          <w:lang w:eastAsia="es-CO"/>
        </w:rPr>
      </w:pPr>
      <w:r w:rsidRPr="00B251D0">
        <w:rPr>
          <w:rFonts w:ascii="Century Gothic" w:hAnsi="Century Gothic" w:cs="Arial"/>
          <w:color w:val="000000" w:themeColor="text1"/>
          <w:sz w:val="21"/>
          <w:szCs w:val="21"/>
          <w:lang w:eastAsia="es-CO"/>
        </w:rPr>
        <w:t>“Artículo 2.2.1.2.4.2.14. Definición de emprendimientos y empresas de mujeres.</w:t>
      </w:r>
      <w:r w:rsidRPr="00B251D0">
        <w:rPr>
          <w:rFonts w:ascii="Arial" w:hAnsi="Arial" w:cs="Arial"/>
          <w:color w:val="000000" w:themeColor="text1"/>
          <w:sz w:val="21"/>
          <w:szCs w:val="21"/>
          <w:lang w:eastAsia="es-CO"/>
        </w:rPr>
        <w:t> </w:t>
      </w:r>
      <w:r w:rsidRPr="00B251D0">
        <w:rPr>
          <w:rFonts w:ascii="Century Gothic" w:hAnsi="Century Gothic" w:cs="Arial"/>
          <w:color w:val="000000" w:themeColor="text1"/>
          <w:sz w:val="21"/>
          <w:szCs w:val="21"/>
          <w:lang w:eastAsia="es-CO"/>
        </w:rPr>
        <w:t>Con el prop</w:t>
      </w:r>
      <w:r w:rsidRPr="00B251D0">
        <w:rPr>
          <w:rFonts w:ascii="Century Gothic" w:hAnsi="Century Gothic" w:cs="Century Gothic"/>
          <w:color w:val="000000" w:themeColor="text1"/>
          <w:sz w:val="21"/>
          <w:szCs w:val="21"/>
          <w:lang w:eastAsia="es-CO"/>
        </w:rPr>
        <w:t>ó</w:t>
      </w:r>
      <w:r w:rsidRPr="00B251D0">
        <w:rPr>
          <w:rFonts w:ascii="Century Gothic" w:hAnsi="Century Gothic" w:cs="Arial"/>
          <w:color w:val="000000" w:themeColor="text1"/>
          <w:sz w:val="21"/>
          <w:szCs w:val="21"/>
          <w:lang w:eastAsia="es-CO"/>
        </w:rPr>
        <w:t>sito de adoptar medidas afirmativas que incentiven la participación de las mujeres en el sistema de compras públicas, se entenderán como emprendimientos y empresas de mujeres aquellas que cumplan con alguna de las siguientes condiciones: </w:t>
      </w:r>
    </w:p>
    <w:p w14:paraId="6AAA3635" w14:textId="77777777" w:rsidR="00A855FD" w:rsidRPr="00B251D0" w:rsidRDefault="00A855FD" w:rsidP="00A855FD">
      <w:pPr>
        <w:shd w:val="clear" w:color="auto" w:fill="FFFFFF"/>
        <w:spacing w:before="240" w:after="120" w:line="240" w:lineRule="auto"/>
        <w:ind w:left="709" w:right="709"/>
        <w:jc w:val="both"/>
        <w:textAlignment w:val="baseline"/>
        <w:rPr>
          <w:rFonts w:ascii="Century Gothic" w:hAnsi="Century Gothic" w:cs="Arial"/>
          <w:color w:val="000000" w:themeColor="text1"/>
          <w:sz w:val="21"/>
          <w:szCs w:val="21"/>
          <w:lang w:eastAsia="es-CO"/>
        </w:rPr>
      </w:pPr>
      <w:r w:rsidRPr="00C61FED">
        <w:rPr>
          <w:rFonts w:ascii="Century Gothic" w:hAnsi="Century Gothic" w:cs="Arial"/>
          <w:color w:val="000000" w:themeColor="text1"/>
          <w:sz w:val="21"/>
          <w:szCs w:val="21"/>
          <w:lang w:eastAsia="es-CO"/>
        </w:rPr>
        <w:t xml:space="preserve">1. Cuando más del cincuenta por ciento (50%) </w:t>
      </w:r>
      <w:r w:rsidRPr="001D673E">
        <w:rPr>
          <w:rFonts w:ascii="Century Gothic" w:hAnsi="Century Gothic" w:cs="Arial"/>
          <w:i/>
          <w:iCs/>
          <w:color w:val="000000" w:themeColor="text1"/>
          <w:sz w:val="21"/>
          <w:szCs w:val="21"/>
          <w:u w:val="single"/>
          <w:lang w:eastAsia="es-CO"/>
        </w:rPr>
        <w:t>de las acciones, partes de interés o cuotas de participación de la persona jurídica</w:t>
      </w:r>
      <w:r w:rsidRPr="00C61FED">
        <w:rPr>
          <w:rFonts w:ascii="Century Gothic" w:hAnsi="Century Gothic" w:cs="Arial"/>
          <w:color w:val="000000" w:themeColor="text1"/>
          <w:sz w:val="21"/>
          <w:szCs w:val="21"/>
          <w:lang w:eastAsia="es-CO"/>
        </w:rPr>
        <w:t xml:space="preserve">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1EEE8724" w14:textId="77777777" w:rsidR="00A855FD" w:rsidRPr="00B251D0" w:rsidRDefault="00A855FD" w:rsidP="00A855FD">
      <w:pPr>
        <w:shd w:val="clear" w:color="auto" w:fill="FFFFFF"/>
        <w:spacing w:before="240" w:after="120" w:line="240" w:lineRule="auto"/>
        <w:ind w:left="709" w:right="709"/>
        <w:jc w:val="both"/>
        <w:textAlignment w:val="baseline"/>
        <w:rPr>
          <w:rFonts w:ascii="Century Gothic" w:hAnsi="Century Gothic" w:cs="Arial"/>
          <w:color w:val="000000" w:themeColor="text1"/>
          <w:sz w:val="21"/>
          <w:szCs w:val="21"/>
          <w:lang w:eastAsia="es-CO"/>
        </w:rPr>
      </w:pPr>
      <w:r>
        <w:rPr>
          <w:rFonts w:ascii="Century Gothic" w:hAnsi="Century Gothic" w:cs="Arial"/>
          <w:color w:val="000000" w:themeColor="text1"/>
          <w:sz w:val="21"/>
          <w:szCs w:val="21"/>
          <w:lang w:eastAsia="es-CO"/>
        </w:rPr>
        <w:t xml:space="preserve">2. </w:t>
      </w:r>
      <w:r w:rsidRPr="00B251D0">
        <w:rPr>
          <w:rFonts w:ascii="Century Gothic" w:hAnsi="Century Gothic" w:cs="Arial"/>
          <w:color w:val="000000" w:themeColor="text1"/>
          <w:sz w:val="21"/>
          <w:szCs w:val="21"/>
          <w:lang w:eastAsia="es-CO"/>
        </w:rPr>
        <w:t xml:space="preserve">Cuando </w:t>
      </w:r>
      <w:bookmarkStart w:id="2" w:name="_Hlk139875505"/>
      <w:r w:rsidRPr="00B251D0">
        <w:rPr>
          <w:rFonts w:ascii="Century Gothic" w:hAnsi="Century Gothic" w:cs="Arial"/>
          <w:color w:val="000000" w:themeColor="text1"/>
          <w:sz w:val="21"/>
          <w:szCs w:val="21"/>
          <w:lang w:eastAsia="es-CO"/>
        </w:rPr>
        <w:t xml:space="preserve">por lo menos el cincuenta por ciento (50%) de </w:t>
      </w:r>
      <w:r w:rsidRPr="001D673E">
        <w:rPr>
          <w:rFonts w:ascii="Century Gothic" w:hAnsi="Century Gothic" w:cs="Arial"/>
          <w:i/>
          <w:iCs/>
          <w:color w:val="000000" w:themeColor="text1"/>
          <w:sz w:val="21"/>
          <w:szCs w:val="21"/>
          <w:u w:val="single"/>
          <w:lang w:eastAsia="es-CO"/>
        </w:rPr>
        <w:t xml:space="preserve">los empleos del nivel directivo de la persona jurídica </w:t>
      </w:r>
      <w:r w:rsidRPr="00B251D0">
        <w:rPr>
          <w:rFonts w:ascii="Century Gothic" w:hAnsi="Century Gothic" w:cs="Arial"/>
          <w:color w:val="000000" w:themeColor="text1"/>
          <w:sz w:val="21"/>
          <w:szCs w:val="21"/>
          <w:lang w:eastAsia="es-CO"/>
        </w:rPr>
        <w:t xml:space="preserve">sean ejercidos por </w:t>
      </w:r>
      <w:r w:rsidRPr="001D673E">
        <w:rPr>
          <w:rFonts w:ascii="Century Gothic" w:hAnsi="Century Gothic" w:cs="Arial"/>
          <w:color w:val="000000" w:themeColor="text1"/>
          <w:sz w:val="21"/>
          <w:szCs w:val="21"/>
          <w:lang w:eastAsia="es-CO"/>
        </w:rPr>
        <w:t>mujeres y éstas hayan estado vinculadas laboralmente</w:t>
      </w:r>
      <w:r w:rsidRPr="00B251D0">
        <w:rPr>
          <w:rFonts w:ascii="Century Gothic" w:hAnsi="Century Gothic" w:cs="Arial"/>
          <w:color w:val="000000" w:themeColor="text1"/>
          <w:sz w:val="21"/>
          <w:szCs w:val="21"/>
          <w:lang w:eastAsia="es-CO"/>
        </w:rPr>
        <w:t xml:space="preserve"> a la empresa durante al menos el último año anterior a la fecha de cierre del Proceso de Selección en el mismo cargo u otro del mismo nivel</w:t>
      </w:r>
      <w:bookmarkEnd w:id="2"/>
      <w:r w:rsidRPr="00B251D0">
        <w:rPr>
          <w:rFonts w:ascii="Century Gothic" w:hAnsi="Century Gothic" w:cs="Arial"/>
          <w:color w:val="000000" w:themeColor="text1"/>
          <w:sz w:val="21"/>
          <w:szCs w:val="21"/>
          <w:lang w:eastAsia="es-CO"/>
        </w:rPr>
        <w:t xml:space="preserve">. </w:t>
      </w:r>
    </w:p>
    <w:p w14:paraId="3FC33B88" w14:textId="77777777" w:rsidR="00A855FD" w:rsidRPr="00B251D0" w:rsidRDefault="00A855FD" w:rsidP="00A855FD">
      <w:pPr>
        <w:shd w:val="clear" w:color="auto" w:fill="FFFFFF"/>
        <w:spacing w:before="240" w:after="120" w:line="240" w:lineRule="auto"/>
        <w:ind w:left="709" w:right="709"/>
        <w:jc w:val="both"/>
        <w:textAlignment w:val="baseline"/>
        <w:rPr>
          <w:rFonts w:ascii="Century Gothic" w:hAnsi="Century Gothic" w:cs="Arial"/>
          <w:color w:val="000000" w:themeColor="text1"/>
          <w:sz w:val="21"/>
          <w:szCs w:val="21"/>
          <w:lang w:eastAsia="es-CO"/>
        </w:rPr>
      </w:pPr>
      <w:r w:rsidRPr="00B251D0">
        <w:rPr>
          <w:rFonts w:ascii="Century Gothic" w:hAnsi="Century Gothic" w:cs="Arial"/>
          <w:color w:val="000000" w:themeColor="text1"/>
          <w:sz w:val="21"/>
          <w:szCs w:val="21"/>
          <w:lang w:eastAsia="es-CO"/>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3FCFA6E0" w14:textId="77777777" w:rsidR="00A855FD" w:rsidRPr="00B251D0" w:rsidRDefault="00A855FD" w:rsidP="00A855FD">
      <w:pPr>
        <w:shd w:val="clear" w:color="auto" w:fill="FFFFFF"/>
        <w:spacing w:before="240" w:after="120" w:line="240" w:lineRule="auto"/>
        <w:ind w:left="709" w:right="709"/>
        <w:jc w:val="both"/>
        <w:textAlignment w:val="baseline"/>
        <w:rPr>
          <w:rFonts w:ascii="Century Gothic" w:hAnsi="Century Gothic" w:cs="Arial"/>
          <w:color w:val="000000" w:themeColor="text1"/>
          <w:sz w:val="21"/>
          <w:szCs w:val="21"/>
          <w:lang w:eastAsia="es-CO"/>
        </w:rPr>
      </w:pPr>
      <w:r w:rsidRPr="00B251D0">
        <w:rPr>
          <w:rFonts w:ascii="Century Gothic" w:hAnsi="Century Gothic" w:cs="Arial"/>
          <w:color w:val="000000" w:themeColor="text1"/>
          <w:sz w:val="21"/>
          <w:szCs w:val="21"/>
          <w:lang w:eastAsia="es-CO"/>
        </w:rPr>
        <w:t xml:space="preserve">Esta circunstancia se acreditará mediante </w:t>
      </w:r>
      <w:bookmarkStart w:id="3" w:name="_Hlk139879186"/>
      <w:r w:rsidRPr="00B251D0">
        <w:rPr>
          <w:rFonts w:ascii="Century Gothic" w:hAnsi="Century Gothic" w:cs="Arial"/>
          <w:color w:val="000000" w:themeColor="text1"/>
          <w:sz w:val="21"/>
          <w:szCs w:val="21"/>
          <w:lang w:eastAsia="es-CO"/>
        </w:rPr>
        <w:t>certificación expedida por el representante legal y el revisor fiscal, cuando exista de acuerdo con los requerimientos de ley, o el contador</w:t>
      </w:r>
      <w:bookmarkEnd w:id="3"/>
      <w:r w:rsidRPr="00B251D0">
        <w:rPr>
          <w:rFonts w:ascii="Century Gothic" w:hAnsi="Century Gothic" w:cs="Arial"/>
          <w:color w:val="000000" w:themeColor="text1"/>
          <w:sz w:val="21"/>
          <w:szCs w:val="21"/>
          <w:lang w:eastAsia="es-CO"/>
        </w:rPr>
        <w:t xml:space="preserve">, donde se señale de manera detallada todas las personas que conforman los cargos de nivel directivo del proponente, el número de mujeres y el tiempo de vinculación. </w:t>
      </w:r>
    </w:p>
    <w:p w14:paraId="00494A98" w14:textId="77777777" w:rsidR="00EB34A7" w:rsidRDefault="00A855FD" w:rsidP="00A855FD">
      <w:pPr>
        <w:shd w:val="clear" w:color="auto" w:fill="FFFFFF"/>
        <w:spacing w:before="240" w:after="0" w:line="240" w:lineRule="auto"/>
        <w:ind w:left="709" w:right="709"/>
        <w:jc w:val="both"/>
        <w:textAlignment w:val="baseline"/>
        <w:rPr>
          <w:rFonts w:ascii="Century Gothic" w:hAnsi="Century Gothic" w:cs="Arial"/>
          <w:color w:val="000000" w:themeColor="text1"/>
          <w:sz w:val="21"/>
          <w:szCs w:val="21"/>
          <w:lang w:eastAsia="es-CO"/>
        </w:rPr>
      </w:pPr>
      <w:r w:rsidRPr="00B251D0">
        <w:rPr>
          <w:rFonts w:ascii="Century Gothic" w:hAnsi="Century Gothic" w:cs="Arial"/>
          <w:color w:val="000000" w:themeColor="text1"/>
          <w:sz w:val="21"/>
          <w:szCs w:val="21"/>
          <w:lang w:eastAsia="es-CO"/>
        </w:rPr>
        <w:t xml:space="preserve">La certificación deberá relacionar el nombre completo y el número de documento de identidad de cada una de las personas que conforman el nivel directivo del proponente. Como soporte, </w:t>
      </w:r>
      <w:bookmarkStart w:id="4" w:name="_Hlk139875803"/>
      <w:r w:rsidRPr="00B251D0">
        <w:rPr>
          <w:rFonts w:ascii="Century Gothic" w:hAnsi="Century Gothic" w:cs="Arial"/>
          <w:color w:val="000000" w:themeColor="text1"/>
          <w:sz w:val="21"/>
          <w:szCs w:val="21"/>
          <w:lang w:eastAsia="es-CO"/>
        </w:rPr>
        <w:t>se anexará copia de los respectivos documentos de identidad, copia de los contratos de trabajo o certificación laboral con las funciones, así como el certificado de aportes a seguridad social del último año en el que se demuestren los pagos realizados por el empleador</w:t>
      </w:r>
      <w:bookmarkEnd w:id="4"/>
      <w:r w:rsidRPr="00B251D0">
        <w:rPr>
          <w:rFonts w:ascii="Century Gothic" w:hAnsi="Century Gothic" w:cs="Arial"/>
          <w:color w:val="000000" w:themeColor="text1"/>
          <w:sz w:val="21"/>
          <w:szCs w:val="21"/>
          <w:lang w:eastAsia="es-CO"/>
        </w:rPr>
        <w:t>.</w:t>
      </w:r>
    </w:p>
    <w:p w14:paraId="29752160" w14:textId="77777777" w:rsidR="00EB34A7" w:rsidRDefault="00EB34A7" w:rsidP="00A855FD">
      <w:pPr>
        <w:shd w:val="clear" w:color="auto" w:fill="FFFFFF"/>
        <w:spacing w:before="240" w:after="0" w:line="240" w:lineRule="auto"/>
        <w:ind w:left="709" w:right="709"/>
        <w:jc w:val="both"/>
        <w:textAlignment w:val="baseline"/>
        <w:rPr>
          <w:rFonts w:ascii="Century Gothic" w:hAnsi="Century Gothic" w:cs="Arial"/>
          <w:color w:val="000000" w:themeColor="text1"/>
          <w:sz w:val="21"/>
          <w:szCs w:val="21"/>
          <w:lang w:eastAsia="es-CO"/>
        </w:rPr>
      </w:pPr>
      <w:r>
        <w:rPr>
          <w:rFonts w:ascii="Century Gothic" w:hAnsi="Century Gothic" w:cs="Arial"/>
          <w:color w:val="000000" w:themeColor="text1"/>
          <w:sz w:val="21"/>
          <w:szCs w:val="21"/>
          <w:lang w:eastAsia="es-CO"/>
        </w:rPr>
        <w:t>(…)</w:t>
      </w:r>
    </w:p>
    <w:p w14:paraId="1C41AA61" w14:textId="38198206" w:rsidR="00A855FD" w:rsidRPr="00B251D0" w:rsidRDefault="00EB34A7" w:rsidP="00A855FD">
      <w:pPr>
        <w:shd w:val="clear" w:color="auto" w:fill="FFFFFF"/>
        <w:spacing w:before="240" w:after="0" w:line="240" w:lineRule="auto"/>
        <w:ind w:left="709" w:right="709"/>
        <w:jc w:val="both"/>
        <w:textAlignment w:val="baseline"/>
        <w:rPr>
          <w:rFonts w:ascii="Century Gothic" w:hAnsi="Century Gothic" w:cs="Arial"/>
          <w:color w:val="000000" w:themeColor="text1"/>
          <w:sz w:val="21"/>
          <w:szCs w:val="21"/>
          <w:lang w:eastAsia="es-CO"/>
        </w:rPr>
      </w:pPr>
      <w:r w:rsidRPr="00EB34A7">
        <w:rPr>
          <w:rFonts w:ascii="Century Gothic" w:hAnsi="Century Gothic" w:cs="Arial"/>
          <w:color w:val="000000" w:themeColor="text1"/>
          <w:sz w:val="21"/>
          <w:szCs w:val="21"/>
          <w:lang w:eastAsia="es-CO"/>
        </w:rPr>
        <w:t xml:space="preserve">4. </w:t>
      </w:r>
      <w:r w:rsidRPr="00EB34A7">
        <w:rPr>
          <w:rFonts w:ascii="Century Gothic" w:hAnsi="Century Gothic" w:cs="Arial"/>
          <w:i/>
          <w:iCs/>
          <w:color w:val="000000" w:themeColor="text1"/>
          <w:sz w:val="21"/>
          <w:szCs w:val="21"/>
          <w:u w:val="single"/>
          <w:lang w:eastAsia="es-CO"/>
        </w:rPr>
        <w:t>Para las asociaciones y cooperativas,</w:t>
      </w:r>
      <w:r w:rsidRPr="00EB34A7">
        <w:rPr>
          <w:rFonts w:ascii="Century Gothic" w:hAnsi="Century Gothic" w:cs="Arial"/>
          <w:color w:val="000000" w:themeColor="text1"/>
          <w:sz w:val="21"/>
          <w:szCs w:val="21"/>
          <w:lang w:eastAsia="es-CO"/>
        </w:rPr>
        <w:t xml:space="preserve">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w:t>
      </w:r>
      <w:r w:rsidR="00EE4289" w:rsidRPr="00EB34A7">
        <w:rPr>
          <w:rFonts w:ascii="Century Gothic" w:hAnsi="Century Gothic" w:cs="Arial"/>
          <w:color w:val="000000" w:themeColor="text1"/>
          <w:sz w:val="21"/>
          <w:szCs w:val="21"/>
          <w:lang w:eastAsia="es-CO"/>
        </w:rPr>
        <w:t>legal</w:t>
      </w:r>
      <w:r w:rsidR="00EE4289">
        <w:rPr>
          <w:rFonts w:ascii="Century Gothic" w:hAnsi="Century Gothic" w:cs="Arial"/>
          <w:color w:val="000000" w:themeColor="text1"/>
          <w:sz w:val="21"/>
          <w:szCs w:val="21"/>
          <w:lang w:eastAsia="es-CO"/>
        </w:rPr>
        <w:t xml:space="preserve">.” </w:t>
      </w:r>
      <w:r w:rsidR="00A855FD" w:rsidRPr="00B251D0">
        <w:rPr>
          <w:rFonts w:ascii="Century Gothic" w:hAnsi="Century Gothic" w:cs="Arial"/>
          <w:color w:val="000000" w:themeColor="text1"/>
          <w:sz w:val="21"/>
          <w:szCs w:val="21"/>
          <w:lang w:eastAsia="es-CO"/>
        </w:rPr>
        <w:t>(Énfasis fuera de texto)</w:t>
      </w:r>
    </w:p>
    <w:p w14:paraId="15F5C50E" w14:textId="55070F0C" w:rsidR="00CA556F" w:rsidRDefault="00A855FD" w:rsidP="00EE4289">
      <w:pPr>
        <w:spacing w:before="240" w:after="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Como se puede observar</w:t>
      </w:r>
      <w:r w:rsidR="00AC065E">
        <w:rPr>
          <w:rFonts w:ascii="Century Gothic" w:eastAsia="Calibri" w:hAnsi="Century Gothic" w:cs="Arial"/>
          <w:color w:val="000000" w:themeColor="text1"/>
        </w:rPr>
        <w:t>, si bien</w:t>
      </w:r>
      <w:r>
        <w:rPr>
          <w:rFonts w:ascii="Century Gothic" w:eastAsia="Calibri" w:hAnsi="Century Gothic" w:cs="Arial"/>
          <w:color w:val="000000" w:themeColor="text1"/>
        </w:rPr>
        <w:t xml:space="preserve"> la primera opción </w:t>
      </w:r>
      <w:r w:rsidR="00077F7E">
        <w:rPr>
          <w:rFonts w:ascii="Century Gothic" w:eastAsia="Calibri" w:hAnsi="Century Gothic" w:cs="Arial"/>
          <w:color w:val="000000" w:themeColor="text1"/>
        </w:rPr>
        <w:t xml:space="preserve">está dirigida a </w:t>
      </w:r>
      <w:r w:rsidR="00AC065E">
        <w:rPr>
          <w:rFonts w:ascii="Century Gothic" w:eastAsia="Calibri" w:hAnsi="Century Gothic" w:cs="Arial"/>
          <w:color w:val="000000" w:themeColor="text1"/>
        </w:rPr>
        <w:t>personas jurídicas</w:t>
      </w:r>
      <w:r w:rsidR="00CE1CE0">
        <w:rPr>
          <w:rFonts w:ascii="Century Gothic" w:eastAsia="Calibri" w:hAnsi="Century Gothic" w:cs="Arial"/>
          <w:color w:val="000000" w:themeColor="text1"/>
        </w:rPr>
        <w:t xml:space="preserve"> en general</w:t>
      </w:r>
      <w:r w:rsidR="00077F7E">
        <w:rPr>
          <w:rFonts w:ascii="Century Gothic" w:eastAsia="Calibri" w:hAnsi="Century Gothic" w:cs="Arial"/>
          <w:color w:val="000000" w:themeColor="text1"/>
        </w:rPr>
        <w:t xml:space="preserve">, </w:t>
      </w:r>
      <w:r w:rsidR="00666140">
        <w:rPr>
          <w:rFonts w:ascii="Century Gothic" w:eastAsia="Calibri" w:hAnsi="Century Gothic" w:cs="Arial"/>
          <w:color w:val="000000" w:themeColor="text1"/>
        </w:rPr>
        <w:t xml:space="preserve">la norma </w:t>
      </w:r>
      <w:r w:rsidR="00AC065E">
        <w:rPr>
          <w:rFonts w:ascii="Century Gothic" w:eastAsia="Calibri" w:hAnsi="Century Gothic" w:cs="Arial"/>
          <w:color w:val="000000" w:themeColor="text1"/>
        </w:rPr>
        <w:t>establece una acreditación especial y es l</w:t>
      </w:r>
      <w:r w:rsidR="00A056EB">
        <w:rPr>
          <w:rFonts w:ascii="Century Gothic" w:eastAsia="Calibri" w:hAnsi="Century Gothic" w:cs="Arial"/>
          <w:color w:val="000000" w:themeColor="text1"/>
        </w:rPr>
        <w:t>a</w:t>
      </w:r>
      <w:r w:rsidR="00AC065E">
        <w:rPr>
          <w:rFonts w:ascii="Century Gothic" w:eastAsia="Calibri" w:hAnsi="Century Gothic" w:cs="Arial"/>
          <w:color w:val="000000" w:themeColor="text1"/>
        </w:rPr>
        <w:t xml:space="preserve"> de </w:t>
      </w:r>
      <w:r w:rsidR="00EF75C5">
        <w:rPr>
          <w:rFonts w:ascii="Century Gothic" w:eastAsia="Calibri" w:hAnsi="Century Gothic" w:cs="Arial"/>
          <w:color w:val="000000" w:themeColor="text1"/>
        </w:rPr>
        <w:t>demostrar que</w:t>
      </w:r>
      <w:r>
        <w:rPr>
          <w:rFonts w:ascii="Century Gothic" w:eastAsia="Calibri" w:hAnsi="Century Gothic" w:cs="Arial"/>
          <w:color w:val="000000" w:themeColor="text1"/>
        </w:rPr>
        <w:t xml:space="preserve"> el</w:t>
      </w:r>
      <w:r w:rsidRPr="00851EB3">
        <w:rPr>
          <w:rFonts w:ascii="Century Gothic" w:eastAsia="Calibri" w:hAnsi="Century Gothic" w:cs="Arial"/>
          <w:color w:val="000000" w:themeColor="text1"/>
        </w:rPr>
        <w:t xml:space="preserve"> cincuenta por ciento (50 %) de las acciones, partes de interés o cuotas de participación de la persona jurídica pertenecen a mujeres</w:t>
      </w:r>
      <w:r w:rsidR="00FB330D">
        <w:rPr>
          <w:rFonts w:ascii="Century Gothic" w:eastAsia="Calibri" w:hAnsi="Century Gothic" w:cs="Arial"/>
          <w:color w:val="000000" w:themeColor="text1"/>
        </w:rPr>
        <w:t>. Además</w:t>
      </w:r>
      <w:r w:rsidR="001166E4">
        <w:rPr>
          <w:rFonts w:ascii="Century Gothic" w:eastAsia="Calibri" w:hAnsi="Century Gothic" w:cs="Arial"/>
          <w:color w:val="000000" w:themeColor="text1"/>
        </w:rPr>
        <w:t>, se deberá acreditar también</w:t>
      </w:r>
      <w:r w:rsidRPr="00851EB3">
        <w:rPr>
          <w:rFonts w:ascii="Century Gothic" w:eastAsia="Calibri" w:hAnsi="Century Gothic" w:cs="Arial"/>
          <w:color w:val="000000" w:themeColor="text1"/>
        </w:rPr>
        <w:t xml:space="preserve"> </w:t>
      </w:r>
      <w:r w:rsidR="001166E4">
        <w:rPr>
          <w:rFonts w:ascii="Century Gothic" w:eastAsia="Calibri" w:hAnsi="Century Gothic" w:cs="Arial"/>
          <w:color w:val="000000" w:themeColor="text1"/>
        </w:rPr>
        <w:t xml:space="preserve">que </w:t>
      </w:r>
      <w:r w:rsidRPr="00851EB3">
        <w:rPr>
          <w:rFonts w:ascii="Century Gothic" w:eastAsia="Calibri" w:hAnsi="Century Gothic" w:cs="Arial"/>
          <w:color w:val="000000" w:themeColor="text1"/>
        </w:rPr>
        <w:t xml:space="preserve">los derechos de propiedad </w:t>
      </w:r>
      <w:r w:rsidR="002F3526">
        <w:rPr>
          <w:rFonts w:ascii="Century Gothic" w:eastAsia="Calibri" w:hAnsi="Century Gothic" w:cs="Arial"/>
          <w:color w:val="000000" w:themeColor="text1"/>
        </w:rPr>
        <w:t xml:space="preserve">sobre las </w:t>
      </w:r>
      <w:r w:rsidR="002F3526" w:rsidRPr="00851EB3">
        <w:rPr>
          <w:rFonts w:ascii="Century Gothic" w:eastAsia="Calibri" w:hAnsi="Century Gothic" w:cs="Arial"/>
          <w:color w:val="000000" w:themeColor="text1"/>
        </w:rPr>
        <w:t xml:space="preserve">acciones, partes de interés o cuotas de participación </w:t>
      </w:r>
      <w:r w:rsidRPr="00851EB3">
        <w:rPr>
          <w:rFonts w:ascii="Century Gothic" w:eastAsia="Calibri" w:hAnsi="Century Gothic" w:cs="Arial"/>
          <w:color w:val="000000" w:themeColor="text1"/>
        </w:rPr>
        <w:t xml:space="preserve">han pertenecido a estas </w:t>
      </w:r>
      <w:r w:rsidR="002F3526">
        <w:rPr>
          <w:rFonts w:ascii="Century Gothic" w:eastAsia="Calibri" w:hAnsi="Century Gothic" w:cs="Arial"/>
          <w:color w:val="000000" w:themeColor="text1"/>
        </w:rPr>
        <w:t>mujeres</w:t>
      </w:r>
      <w:r w:rsidR="00742865">
        <w:rPr>
          <w:rFonts w:ascii="Century Gothic" w:eastAsia="Calibri" w:hAnsi="Century Gothic" w:cs="Arial"/>
          <w:color w:val="000000" w:themeColor="text1"/>
        </w:rPr>
        <w:t>,</w:t>
      </w:r>
      <w:r w:rsidR="002F3526">
        <w:rPr>
          <w:rFonts w:ascii="Century Gothic" w:eastAsia="Calibri" w:hAnsi="Century Gothic" w:cs="Arial"/>
          <w:color w:val="000000" w:themeColor="text1"/>
        </w:rPr>
        <w:t xml:space="preserve"> </w:t>
      </w:r>
      <w:r w:rsidRPr="00851EB3">
        <w:rPr>
          <w:rFonts w:ascii="Century Gothic" w:eastAsia="Calibri" w:hAnsi="Century Gothic" w:cs="Arial"/>
          <w:color w:val="000000" w:themeColor="text1"/>
        </w:rPr>
        <w:t>durante al menos el último año anterior a la fecha de cierre del Proceso de Contratación</w:t>
      </w:r>
      <w:r w:rsidR="00D101B0">
        <w:rPr>
          <w:rFonts w:ascii="Century Gothic" w:eastAsia="Calibri" w:hAnsi="Century Gothic" w:cs="Arial"/>
          <w:color w:val="000000" w:themeColor="text1"/>
        </w:rPr>
        <w:t>.</w:t>
      </w:r>
      <w:r w:rsidR="00296978">
        <w:rPr>
          <w:rFonts w:ascii="Century Gothic" w:eastAsia="Calibri" w:hAnsi="Century Gothic" w:cs="Arial"/>
          <w:color w:val="000000" w:themeColor="text1"/>
        </w:rPr>
        <w:t xml:space="preserve"> </w:t>
      </w:r>
    </w:p>
    <w:p w14:paraId="3861268F" w14:textId="037DB286" w:rsidR="00EF75C5" w:rsidRDefault="00EF75C5" w:rsidP="00B55DA3">
      <w:pPr>
        <w:spacing w:before="240" w:after="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Por lo tanto, </w:t>
      </w:r>
      <w:r w:rsidR="0060283E">
        <w:rPr>
          <w:rFonts w:ascii="Century Gothic" w:eastAsia="Calibri" w:hAnsi="Century Gothic" w:cs="Arial"/>
          <w:color w:val="000000" w:themeColor="text1"/>
        </w:rPr>
        <w:t>en la práctica</w:t>
      </w:r>
      <w:r w:rsidR="00A62CC2">
        <w:rPr>
          <w:rFonts w:ascii="Century Gothic" w:eastAsia="Calibri" w:hAnsi="Century Gothic" w:cs="Arial"/>
          <w:color w:val="000000" w:themeColor="text1"/>
        </w:rPr>
        <w:t xml:space="preserve">, este numeral en principio no puede ser utilizado por </w:t>
      </w:r>
      <w:r w:rsidR="00EF2883">
        <w:rPr>
          <w:rFonts w:ascii="Century Gothic" w:eastAsia="Calibri" w:hAnsi="Century Gothic" w:cs="Arial"/>
          <w:color w:val="000000" w:themeColor="text1"/>
        </w:rPr>
        <w:t xml:space="preserve">entidades sin ánimo de lucro, toda vez </w:t>
      </w:r>
      <w:r w:rsidR="00B36E77">
        <w:rPr>
          <w:rFonts w:ascii="Century Gothic" w:eastAsia="Calibri" w:hAnsi="Century Gothic" w:cs="Arial"/>
          <w:color w:val="000000" w:themeColor="text1"/>
        </w:rPr>
        <w:t xml:space="preserve">que </w:t>
      </w:r>
      <w:r w:rsidR="00B36E77" w:rsidRPr="00851EB3">
        <w:rPr>
          <w:rFonts w:ascii="Century Gothic" w:eastAsia="Calibri" w:hAnsi="Century Gothic" w:cs="Arial"/>
          <w:color w:val="000000" w:themeColor="text1"/>
        </w:rPr>
        <w:t xml:space="preserve">las acciones, partes de interés o cuotas de participación </w:t>
      </w:r>
      <w:r w:rsidR="00B711CE">
        <w:rPr>
          <w:rFonts w:ascii="Century Gothic" w:eastAsia="Calibri" w:hAnsi="Century Gothic" w:cs="Arial"/>
          <w:color w:val="000000" w:themeColor="text1"/>
        </w:rPr>
        <w:t>son características propias de la</w:t>
      </w:r>
      <w:r w:rsidR="00A43AE0">
        <w:rPr>
          <w:rFonts w:ascii="Century Gothic" w:eastAsia="Calibri" w:hAnsi="Century Gothic" w:cs="Arial"/>
          <w:color w:val="000000" w:themeColor="text1"/>
        </w:rPr>
        <w:t xml:space="preserve">s formas de división del capital social de las </w:t>
      </w:r>
      <w:r w:rsidR="00B711CE">
        <w:rPr>
          <w:rFonts w:ascii="Century Gothic" w:eastAsia="Calibri" w:hAnsi="Century Gothic" w:cs="Arial"/>
          <w:color w:val="000000" w:themeColor="text1"/>
        </w:rPr>
        <w:t>sociedades</w:t>
      </w:r>
      <w:r w:rsidR="00A43AE0">
        <w:rPr>
          <w:rFonts w:ascii="Century Gothic" w:eastAsia="Calibri" w:hAnsi="Century Gothic" w:cs="Arial"/>
          <w:color w:val="000000" w:themeColor="text1"/>
        </w:rPr>
        <w:t xml:space="preserve">, </w:t>
      </w:r>
      <w:r w:rsidR="00AD3A7E">
        <w:rPr>
          <w:rFonts w:ascii="Century Gothic" w:eastAsia="Calibri" w:hAnsi="Century Gothic" w:cs="Arial"/>
          <w:color w:val="000000" w:themeColor="text1"/>
        </w:rPr>
        <w:t xml:space="preserve">como puede observarse en el </w:t>
      </w:r>
      <w:r w:rsidR="008B1FC1">
        <w:rPr>
          <w:rFonts w:ascii="Century Gothic" w:eastAsia="Calibri" w:hAnsi="Century Gothic" w:cs="Arial"/>
          <w:color w:val="000000" w:themeColor="text1"/>
        </w:rPr>
        <w:t>libro segundo del Código de Comercio</w:t>
      </w:r>
      <w:r w:rsidR="005A5AC4">
        <w:rPr>
          <w:rFonts w:ascii="Century Gothic" w:eastAsia="Calibri" w:hAnsi="Century Gothic" w:cs="Arial"/>
          <w:color w:val="000000" w:themeColor="text1"/>
        </w:rPr>
        <w:t>.</w:t>
      </w:r>
      <w:r w:rsidR="00486DD4">
        <w:rPr>
          <w:rFonts w:ascii="Century Gothic" w:eastAsia="Calibri" w:hAnsi="Century Gothic" w:cs="Arial"/>
          <w:color w:val="000000" w:themeColor="text1"/>
        </w:rPr>
        <w:t xml:space="preserve"> </w:t>
      </w:r>
    </w:p>
    <w:p w14:paraId="1EC7E701" w14:textId="77777777" w:rsidR="00905EF2" w:rsidRDefault="00154158" w:rsidP="00A855FD">
      <w:pPr>
        <w:spacing w:before="240" w:after="0" w:line="276" w:lineRule="auto"/>
        <w:ind w:firstLine="708"/>
        <w:jc w:val="both"/>
        <w:rPr>
          <w:rFonts w:ascii="Century Gothic" w:eastAsia="Calibri" w:hAnsi="Century Gothic" w:cs="Arial"/>
        </w:rPr>
      </w:pPr>
      <w:r>
        <w:rPr>
          <w:rFonts w:ascii="Century Gothic" w:eastAsia="Calibri" w:hAnsi="Century Gothic" w:cs="Arial"/>
          <w:color w:val="000000" w:themeColor="text1"/>
        </w:rPr>
        <w:t xml:space="preserve">Sin embargo, previendo ello, el numeral 4 </w:t>
      </w:r>
      <w:r w:rsidR="00F747FD">
        <w:rPr>
          <w:rFonts w:ascii="Century Gothic" w:eastAsia="Calibri" w:hAnsi="Century Gothic" w:cs="Arial"/>
          <w:color w:val="000000" w:themeColor="text1"/>
        </w:rPr>
        <w:t xml:space="preserve">de la norma previamente citada contempló </w:t>
      </w:r>
      <w:r w:rsidR="00884AD3">
        <w:rPr>
          <w:rFonts w:ascii="Century Gothic" w:eastAsia="Calibri" w:hAnsi="Century Gothic" w:cs="Arial"/>
          <w:color w:val="000000" w:themeColor="text1"/>
        </w:rPr>
        <w:t xml:space="preserve">que los proponentes que sean </w:t>
      </w:r>
      <w:r w:rsidR="00A855FD" w:rsidRPr="00E91D4C">
        <w:rPr>
          <w:rFonts w:ascii="Century Gothic" w:eastAsia="Calibri" w:hAnsi="Century Gothic" w:cs="Arial"/>
        </w:rPr>
        <w:t>asociación o cooperativa</w:t>
      </w:r>
      <w:r w:rsidR="007206A1">
        <w:rPr>
          <w:rFonts w:ascii="Century Gothic" w:eastAsia="Calibri" w:hAnsi="Century Gothic" w:cs="Arial"/>
        </w:rPr>
        <w:t xml:space="preserve">, </w:t>
      </w:r>
      <w:r w:rsidR="002B5D8C">
        <w:rPr>
          <w:rFonts w:ascii="Century Gothic" w:eastAsia="Calibri" w:hAnsi="Century Gothic" w:cs="Arial"/>
          <w:color w:val="000000" w:themeColor="text1"/>
        </w:rPr>
        <w:t>conforme a los</w:t>
      </w:r>
      <w:r w:rsidR="007206A1">
        <w:rPr>
          <w:rFonts w:ascii="Century Gothic" w:eastAsia="Calibri" w:hAnsi="Century Gothic" w:cs="Arial"/>
          <w:color w:val="000000" w:themeColor="text1"/>
        </w:rPr>
        <w:t xml:space="preserve"> Decretos 1529 de 1990 y 059 de 1991 y el Código Civil</w:t>
      </w:r>
      <w:r w:rsidR="002B5D8C">
        <w:rPr>
          <w:rFonts w:ascii="Century Gothic" w:eastAsia="Calibri" w:hAnsi="Century Gothic" w:cs="Arial"/>
          <w:color w:val="000000" w:themeColor="text1"/>
        </w:rPr>
        <w:t xml:space="preserve">, </w:t>
      </w:r>
      <w:r w:rsidR="00F747FD">
        <w:rPr>
          <w:rFonts w:ascii="Century Gothic" w:eastAsia="Calibri" w:hAnsi="Century Gothic" w:cs="Arial"/>
        </w:rPr>
        <w:t xml:space="preserve">podrán </w:t>
      </w:r>
      <w:r w:rsidR="00884AD3">
        <w:rPr>
          <w:rFonts w:ascii="Century Gothic" w:eastAsia="Calibri" w:hAnsi="Century Gothic" w:cs="Arial"/>
        </w:rPr>
        <w:t>acredit</w:t>
      </w:r>
      <w:r w:rsidR="002B5D8C">
        <w:rPr>
          <w:rFonts w:ascii="Century Gothic" w:eastAsia="Calibri" w:hAnsi="Century Gothic" w:cs="Arial"/>
        </w:rPr>
        <w:t>ar</w:t>
      </w:r>
      <w:r w:rsidR="00884AD3">
        <w:rPr>
          <w:rFonts w:ascii="Century Gothic" w:eastAsia="Calibri" w:hAnsi="Century Gothic" w:cs="Arial"/>
        </w:rPr>
        <w:t xml:space="preserve"> que su propuesta es presentada por un </w:t>
      </w:r>
      <w:r w:rsidR="00884AD3" w:rsidRPr="00884AD3">
        <w:rPr>
          <w:rFonts w:ascii="Century Gothic" w:eastAsia="Calibri" w:hAnsi="Century Gothic" w:cs="Arial"/>
        </w:rPr>
        <w:t>emprendimiento y</w:t>
      </w:r>
      <w:r w:rsidR="00884AD3">
        <w:rPr>
          <w:rFonts w:ascii="Century Gothic" w:eastAsia="Calibri" w:hAnsi="Century Gothic" w:cs="Arial"/>
        </w:rPr>
        <w:t>/o</w:t>
      </w:r>
      <w:r w:rsidR="00884AD3" w:rsidRPr="00884AD3">
        <w:rPr>
          <w:rFonts w:ascii="Century Gothic" w:eastAsia="Calibri" w:hAnsi="Century Gothic" w:cs="Arial"/>
        </w:rPr>
        <w:t xml:space="preserve"> empresa de mujeres </w:t>
      </w:r>
      <w:r w:rsidR="00884AD3">
        <w:rPr>
          <w:rFonts w:ascii="Century Gothic" w:eastAsia="Calibri" w:hAnsi="Century Gothic" w:cs="Arial"/>
        </w:rPr>
        <w:t>a través de certificación del</w:t>
      </w:r>
      <w:r w:rsidR="00A855FD">
        <w:rPr>
          <w:rFonts w:ascii="Century Gothic" w:eastAsia="Calibri" w:hAnsi="Century Gothic" w:cs="Arial"/>
        </w:rPr>
        <w:t xml:space="preserve"> representante legal </w:t>
      </w:r>
      <w:r w:rsidR="00884AD3">
        <w:rPr>
          <w:rFonts w:ascii="Century Gothic" w:eastAsia="Calibri" w:hAnsi="Century Gothic" w:cs="Arial"/>
        </w:rPr>
        <w:t xml:space="preserve">que </w:t>
      </w:r>
      <w:r w:rsidR="00A855FD">
        <w:rPr>
          <w:rFonts w:ascii="Century Gothic" w:eastAsia="Calibri" w:hAnsi="Century Gothic" w:cs="Arial"/>
        </w:rPr>
        <w:t>manif</w:t>
      </w:r>
      <w:r w:rsidR="00884AD3">
        <w:rPr>
          <w:rFonts w:ascii="Century Gothic" w:eastAsia="Calibri" w:hAnsi="Century Gothic" w:cs="Arial"/>
        </w:rPr>
        <w:t>ieste</w:t>
      </w:r>
      <w:r w:rsidR="00A855FD">
        <w:rPr>
          <w:rFonts w:ascii="Century Gothic" w:eastAsia="Calibri" w:hAnsi="Century Gothic" w:cs="Arial"/>
        </w:rPr>
        <w:t xml:space="preserve"> </w:t>
      </w:r>
      <w:r w:rsidR="00820C3C">
        <w:rPr>
          <w:rFonts w:ascii="Century Gothic" w:eastAsia="Calibri" w:hAnsi="Century Gothic" w:cs="Arial"/>
        </w:rPr>
        <w:t xml:space="preserve">lo anterior </w:t>
      </w:r>
      <w:r w:rsidR="00A855FD">
        <w:rPr>
          <w:rFonts w:ascii="Century Gothic" w:eastAsia="Calibri" w:hAnsi="Century Gothic" w:cs="Arial"/>
        </w:rPr>
        <w:t>bajo gravedad de juramento</w:t>
      </w:r>
      <w:r w:rsidR="00A855FD" w:rsidRPr="00E91D4C">
        <w:rPr>
          <w:rFonts w:ascii="Century Gothic" w:eastAsia="Calibri" w:hAnsi="Century Gothic" w:cs="Arial"/>
        </w:rPr>
        <w:t xml:space="preserve">, </w:t>
      </w:r>
      <w:r w:rsidR="00A855FD">
        <w:rPr>
          <w:rFonts w:ascii="Century Gothic" w:eastAsia="Calibri" w:hAnsi="Century Gothic" w:cs="Arial"/>
        </w:rPr>
        <w:t xml:space="preserve">al certificar que el </w:t>
      </w:r>
      <w:r w:rsidR="00A855FD" w:rsidRPr="00E91D4C">
        <w:rPr>
          <w:rFonts w:ascii="Century Gothic" w:eastAsia="Calibri" w:hAnsi="Century Gothic" w:cs="Arial"/>
        </w:rPr>
        <w:t>cincuenta por ciento (50 %) de los asociados son mujeres y que la participación de estas en la asociación o cooperativa ha permanecido durante al menos el último año anterior contado a partir de la fecha de cierre del Proceso de Contratación</w:t>
      </w:r>
      <w:r w:rsidR="00A855FD">
        <w:rPr>
          <w:rFonts w:ascii="Century Gothic" w:eastAsia="Calibri" w:hAnsi="Century Gothic" w:cs="Arial"/>
        </w:rPr>
        <w:t>, sin que establezca la obligación de aportar documentación adicional.</w:t>
      </w:r>
      <w:r w:rsidR="00AA6E00">
        <w:rPr>
          <w:rFonts w:ascii="Century Gothic" w:eastAsia="Calibri" w:hAnsi="Century Gothic" w:cs="Arial"/>
        </w:rPr>
        <w:t xml:space="preserve"> </w:t>
      </w:r>
    </w:p>
    <w:p w14:paraId="30440FFB" w14:textId="4967662F" w:rsidR="00A855FD" w:rsidRDefault="00AA6E00" w:rsidP="00A855FD">
      <w:pPr>
        <w:spacing w:before="240" w:after="0" w:line="276" w:lineRule="auto"/>
        <w:ind w:firstLine="708"/>
        <w:jc w:val="both"/>
        <w:rPr>
          <w:rFonts w:ascii="Century Gothic" w:eastAsia="Calibri" w:hAnsi="Century Gothic" w:cs="Arial"/>
          <w:lang w:val="es-ES_tradnl"/>
        </w:rPr>
      </w:pPr>
      <w:r>
        <w:rPr>
          <w:rFonts w:ascii="Century Gothic" w:eastAsia="Calibri" w:hAnsi="Century Gothic" w:cs="Arial"/>
        </w:rPr>
        <w:t>En esta opción</w:t>
      </w:r>
      <w:r w:rsidR="00A07C81">
        <w:rPr>
          <w:rFonts w:ascii="Century Gothic" w:eastAsia="Calibri" w:hAnsi="Century Gothic" w:cs="Arial"/>
        </w:rPr>
        <w:t xml:space="preserve">, se excluyó </w:t>
      </w:r>
      <w:r w:rsidR="00AD4E7A">
        <w:rPr>
          <w:rFonts w:ascii="Century Gothic" w:eastAsia="Calibri" w:hAnsi="Century Gothic" w:cs="Arial"/>
        </w:rPr>
        <w:t xml:space="preserve">explícitamente a las </w:t>
      </w:r>
      <w:r w:rsidR="001D4992">
        <w:rPr>
          <w:rFonts w:ascii="Century Gothic" w:eastAsia="Calibri" w:hAnsi="Century Gothic" w:cs="Arial"/>
        </w:rPr>
        <w:t xml:space="preserve">fundaciones y a las </w:t>
      </w:r>
      <w:r w:rsidR="00AD4E7A">
        <w:rPr>
          <w:rFonts w:ascii="Century Gothic" w:eastAsia="Calibri" w:hAnsi="Century Gothic" w:cs="Arial"/>
        </w:rPr>
        <w:t>otras entidades sin ánimo de lucro que no sean las asociaciones (</w:t>
      </w:r>
      <w:proofErr w:type="spellStart"/>
      <w:r w:rsidR="007155CC">
        <w:rPr>
          <w:rFonts w:ascii="Century Gothic" w:eastAsia="Calibri" w:hAnsi="Century Gothic" w:cs="Arial"/>
        </w:rPr>
        <w:t>entiendase</w:t>
      </w:r>
      <w:proofErr w:type="spellEnd"/>
      <w:r w:rsidR="007155CC">
        <w:rPr>
          <w:rFonts w:ascii="Century Gothic" w:eastAsia="Calibri" w:hAnsi="Century Gothic" w:cs="Arial"/>
        </w:rPr>
        <w:t xml:space="preserve"> dentro de las asociaciones a las</w:t>
      </w:r>
      <w:r w:rsidR="00AD4E7A">
        <w:rPr>
          <w:rFonts w:ascii="Century Gothic" w:eastAsia="Calibri" w:hAnsi="Century Gothic" w:cs="Arial"/>
        </w:rPr>
        <w:t xml:space="preserve"> corporaciones)</w:t>
      </w:r>
      <w:r w:rsidR="007155CC">
        <w:rPr>
          <w:rStyle w:val="Refdenotaalpie"/>
          <w:rFonts w:ascii="Century Gothic" w:eastAsia="Calibri" w:hAnsi="Century Gothic" w:cs="Arial"/>
        </w:rPr>
        <w:footnoteReference w:id="3"/>
      </w:r>
      <w:r w:rsidR="00AD4E7A">
        <w:rPr>
          <w:rFonts w:ascii="Century Gothic" w:eastAsia="Calibri" w:hAnsi="Century Gothic" w:cs="Arial"/>
        </w:rPr>
        <w:t xml:space="preserve"> y las cooperativas, pue</w:t>
      </w:r>
      <w:r w:rsidR="001D4992">
        <w:rPr>
          <w:rFonts w:ascii="Century Gothic" w:eastAsia="Calibri" w:hAnsi="Century Gothic" w:cs="Arial"/>
        </w:rPr>
        <w:t xml:space="preserve">sto que </w:t>
      </w:r>
      <w:r w:rsidR="009A0185">
        <w:rPr>
          <w:rFonts w:ascii="Century Gothic" w:eastAsia="Calibri" w:hAnsi="Century Gothic" w:cs="Arial"/>
        </w:rPr>
        <w:t xml:space="preserve">se parte de la </w:t>
      </w:r>
      <w:r w:rsidR="00654E93">
        <w:rPr>
          <w:rFonts w:ascii="Century Gothic" w:eastAsia="Calibri" w:hAnsi="Century Gothic" w:cs="Arial"/>
        </w:rPr>
        <w:t>n</w:t>
      </w:r>
      <w:r w:rsidR="009A0185">
        <w:rPr>
          <w:rFonts w:ascii="Century Gothic" w:eastAsia="Calibri" w:hAnsi="Century Gothic" w:cs="Arial"/>
        </w:rPr>
        <w:t>aturaleza jurídica de este tipo de</w:t>
      </w:r>
      <w:r w:rsidR="00D6737C">
        <w:rPr>
          <w:rFonts w:ascii="Century Gothic" w:eastAsia="Calibri" w:hAnsi="Century Gothic" w:cs="Arial"/>
        </w:rPr>
        <w:t xml:space="preserve"> personas jurídicas,</w:t>
      </w:r>
      <w:r w:rsidR="00EB0E4C">
        <w:rPr>
          <w:rFonts w:ascii="Century Gothic" w:eastAsia="Calibri" w:hAnsi="Century Gothic" w:cs="Arial"/>
        </w:rPr>
        <w:t xml:space="preserve"> se confor</w:t>
      </w:r>
      <w:r w:rsidR="00D54D1A">
        <w:rPr>
          <w:rFonts w:ascii="Century Gothic" w:eastAsia="Calibri" w:hAnsi="Century Gothic" w:cs="Arial"/>
        </w:rPr>
        <w:t xml:space="preserve">ma </w:t>
      </w:r>
      <w:r w:rsidR="00D54D1A" w:rsidRPr="00D54D1A">
        <w:rPr>
          <w:rFonts w:ascii="Century Gothic" w:eastAsia="Calibri" w:hAnsi="Century Gothic" w:cs="Arial"/>
        </w:rPr>
        <w:t>de</w:t>
      </w:r>
      <w:r w:rsidR="00CB12BF">
        <w:rPr>
          <w:rFonts w:ascii="Century Gothic" w:eastAsia="Calibri" w:hAnsi="Century Gothic" w:cs="Arial"/>
        </w:rPr>
        <w:t>sde el</w:t>
      </w:r>
      <w:r w:rsidR="00D54D1A" w:rsidRPr="00D54D1A">
        <w:rPr>
          <w:rFonts w:ascii="Century Gothic" w:eastAsia="Calibri" w:hAnsi="Century Gothic" w:cs="Arial"/>
        </w:rPr>
        <w:t xml:space="preserve"> acuerdo de una pluralidad de voluntades vinculadas mediante aportes en dinero, especie o actividad, en orden a la realización de un fin de beneficio social extraeconómico, que puede contraerse a los asociados, a un gremio o grupo social en particular</w:t>
      </w:r>
      <w:r w:rsidR="00140796">
        <w:rPr>
          <w:rFonts w:ascii="Century Gothic" w:eastAsia="Calibri" w:hAnsi="Century Gothic" w:cs="Arial"/>
        </w:rPr>
        <w:t xml:space="preserve">, </w:t>
      </w:r>
      <w:r w:rsidR="00140796" w:rsidRPr="00217236">
        <w:rPr>
          <w:rFonts w:ascii="Century Gothic" w:eastAsia="Calibri" w:hAnsi="Century Gothic" w:cs="Arial"/>
          <w:i/>
          <w:iCs/>
        </w:rPr>
        <w:t>pero cuy</w:t>
      </w:r>
      <w:r w:rsidR="0043372A" w:rsidRPr="00217236">
        <w:rPr>
          <w:rFonts w:ascii="Century Gothic" w:eastAsia="Calibri" w:hAnsi="Century Gothic" w:cs="Arial"/>
          <w:i/>
          <w:iCs/>
        </w:rPr>
        <w:t>a base fundamental para su existencia son las personas que lo conforman</w:t>
      </w:r>
      <w:r w:rsidR="008F5308" w:rsidRPr="00217236">
        <w:rPr>
          <w:rFonts w:ascii="Century Gothic" w:eastAsia="Calibri" w:hAnsi="Century Gothic" w:cs="Arial"/>
          <w:i/>
          <w:iCs/>
        </w:rPr>
        <w:t>.</w:t>
      </w:r>
      <w:r w:rsidR="00905EF2">
        <w:rPr>
          <w:rFonts w:ascii="Century Gothic" w:eastAsia="Calibri" w:hAnsi="Century Gothic" w:cs="Arial"/>
        </w:rPr>
        <w:t xml:space="preserve"> </w:t>
      </w:r>
      <w:r w:rsidR="008F5308">
        <w:rPr>
          <w:rFonts w:ascii="Century Gothic" w:eastAsia="Calibri" w:hAnsi="Century Gothic" w:cs="Arial"/>
          <w:lang w:val="es-ES_tradnl"/>
        </w:rPr>
        <w:t>Por el contrari</w:t>
      </w:r>
      <w:r w:rsidR="00987CE7">
        <w:rPr>
          <w:rFonts w:ascii="Century Gothic" w:eastAsia="Calibri" w:hAnsi="Century Gothic" w:cs="Arial"/>
          <w:lang w:val="es-ES_tradnl"/>
        </w:rPr>
        <w:t>o</w:t>
      </w:r>
      <w:r w:rsidR="002B237E">
        <w:rPr>
          <w:rFonts w:ascii="Century Gothic" w:eastAsia="Calibri" w:hAnsi="Century Gothic" w:cs="Arial"/>
          <w:lang w:val="es-ES_tradnl"/>
        </w:rPr>
        <w:t>, si bien</w:t>
      </w:r>
      <w:r w:rsidR="008F5308">
        <w:rPr>
          <w:rFonts w:ascii="Century Gothic" w:eastAsia="Calibri" w:hAnsi="Century Gothic" w:cs="Arial"/>
          <w:lang w:val="es-ES_tradnl"/>
        </w:rPr>
        <w:t xml:space="preserve"> las fundaciones </w:t>
      </w:r>
      <w:r w:rsidR="002B237E">
        <w:rPr>
          <w:rFonts w:ascii="Century Gothic" w:eastAsia="Calibri" w:hAnsi="Century Gothic" w:cs="Arial"/>
          <w:lang w:val="es-ES_tradnl"/>
        </w:rPr>
        <w:t xml:space="preserve">nacen del acuerdo de voluntad </w:t>
      </w:r>
      <w:r w:rsidR="002B237E" w:rsidRPr="002B237E">
        <w:rPr>
          <w:rFonts w:ascii="Century Gothic" w:eastAsia="Calibri" w:hAnsi="Century Gothic" w:cs="Arial"/>
          <w:lang w:val="es-ES_tradnl"/>
        </w:rPr>
        <w:t>irrevocable</w:t>
      </w:r>
      <w:r w:rsidR="002B08BB">
        <w:rPr>
          <w:rFonts w:ascii="Century Gothic" w:eastAsia="Calibri" w:hAnsi="Century Gothic" w:cs="Arial"/>
          <w:lang w:val="es-ES_tradnl"/>
        </w:rPr>
        <w:t xml:space="preserve"> de sus fundadores, la base </w:t>
      </w:r>
      <w:r w:rsidR="00E53CF9">
        <w:rPr>
          <w:rFonts w:ascii="Century Gothic" w:eastAsia="Calibri" w:hAnsi="Century Gothic" w:cs="Arial"/>
          <w:lang w:val="es-ES_tradnl"/>
        </w:rPr>
        <w:t>fundamental para su existencia</w:t>
      </w:r>
      <w:r w:rsidR="002B237E" w:rsidRPr="002B237E">
        <w:rPr>
          <w:rFonts w:ascii="Century Gothic" w:eastAsia="Calibri" w:hAnsi="Century Gothic" w:cs="Arial"/>
          <w:lang w:val="es-ES_tradnl"/>
        </w:rPr>
        <w:t xml:space="preserve"> es la afectación de unos fondos preexistentes a la realización efectiva de un fin de beneficencia pública, de utilidad común o de interés social</w:t>
      </w:r>
      <w:r w:rsidR="00E53CF9">
        <w:rPr>
          <w:rFonts w:ascii="Century Gothic" w:eastAsia="Calibri" w:hAnsi="Century Gothic" w:cs="Arial"/>
          <w:lang w:val="es-ES_tradnl"/>
        </w:rPr>
        <w:t>.</w:t>
      </w:r>
    </w:p>
    <w:p w14:paraId="222F985B" w14:textId="33D345DC" w:rsidR="000A7F81" w:rsidRDefault="00A855FD" w:rsidP="000A7F81">
      <w:pPr>
        <w:spacing w:before="240" w:after="0" w:line="276" w:lineRule="auto"/>
        <w:ind w:firstLine="708"/>
        <w:jc w:val="both"/>
        <w:rPr>
          <w:rFonts w:ascii="Century Gothic" w:hAnsi="Century Gothic"/>
        </w:rPr>
      </w:pPr>
      <w:r>
        <w:rPr>
          <w:rFonts w:ascii="Century Gothic" w:eastAsia="Calibri" w:hAnsi="Century Gothic" w:cs="Arial"/>
          <w:lang w:val="es-ES_tradnl"/>
        </w:rPr>
        <w:t xml:space="preserve">Finalmente, </w:t>
      </w:r>
      <w:r w:rsidR="00D13424">
        <w:rPr>
          <w:rFonts w:ascii="Century Gothic" w:eastAsia="Calibri" w:hAnsi="Century Gothic" w:cs="Arial"/>
          <w:lang w:val="es-ES_tradnl"/>
        </w:rPr>
        <w:t>nuestro ordenamiento jur</w:t>
      </w:r>
      <w:r w:rsidR="00E901DC">
        <w:rPr>
          <w:rFonts w:ascii="Century Gothic" w:eastAsia="Calibri" w:hAnsi="Century Gothic" w:cs="Arial"/>
          <w:lang w:val="es-ES_tradnl"/>
        </w:rPr>
        <w:t>ídico contempló</w:t>
      </w:r>
      <w:r w:rsidR="00D13424">
        <w:rPr>
          <w:rFonts w:ascii="Century Gothic" w:eastAsia="Calibri" w:hAnsi="Century Gothic" w:cs="Arial"/>
          <w:lang w:val="es-ES_tradnl"/>
        </w:rPr>
        <w:t xml:space="preserve"> la </w:t>
      </w:r>
      <w:r>
        <w:rPr>
          <w:rFonts w:ascii="Century Gothic" w:eastAsia="Calibri" w:hAnsi="Century Gothic" w:cs="Arial"/>
          <w:lang w:val="es-ES_tradnl"/>
        </w:rPr>
        <w:t>opción 2 del a</w:t>
      </w:r>
      <w:r w:rsidRPr="004F5970">
        <w:rPr>
          <w:rFonts w:ascii="Century Gothic" w:eastAsia="Calibri" w:hAnsi="Century Gothic" w:cs="Arial"/>
          <w:lang w:val="es-ES_tradnl"/>
        </w:rPr>
        <w:t>rtículo 2.2.1.2.4.2.14</w:t>
      </w:r>
      <w:r>
        <w:rPr>
          <w:rFonts w:ascii="Century Gothic" w:eastAsia="Calibri" w:hAnsi="Century Gothic" w:cs="Arial"/>
          <w:lang w:val="es-ES_tradnl"/>
        </w:rPr>
        <w:t xml:space="preserve"> del Decreto 1082 de 2015 para acreditar la condición de </w:t>
      </w:r>
      <w:r w:rsidRPr="00CA492D">
        <w:rPr>
          <w:rFonts w:ascii="Century Gothic" w:eastAsia="Calibri" w:hAnsi="Century Gothic" w:cs="Arial"/>
          <w:color w:val="000000" w:themeColor="text1"/>
        </w:rPr>
        <w:t xml:space="preserve">emprendimiento y empresa de mujer </w:t>
      </w:r>
      <w:r>
        <w:rPr>
          <w:rFonts w:ascii="Century Gothic" w:eastAsia="Calibri" w:hAnsi="Century Gothic" w:cs="Arial"/>
          <w:color w:val="000000" w:themeColor="text1"/>
        </w:rPr>
        <w:t xml:space="preserve">según el porcentaje de empleos de nivel directivo mujeres, es importante precisar </w:t>
      </w:r>
      <w:r w:rsidR="00E901DC">
        <w:rPr>
          <w:rFonts w:ascii="Century Gothic" w:eastAsia="Calibri" w:hAnsi="Century Gothic" w:cs="Arial"/>
          <w:color w:val="000000" w:themeColor="text1"/>
        </w:rPr>
        <w:t>que esta opción permite</w:t>
      </w:r>
      <w:r>
        <w:rPr>
          <w:rFonts w:ascii="Century Gothic" w:eastAsia="Calibri" w:hAnsi="Century Gothic" w:cs="Arial"/>
          <w:lang w:val="es-ES_tradnl"/>
        </w:rPr>
        <w:t xml:space="preserve"> certificar y relacionar los empleos de </w:t>
      </w:r>
      <w:r w:rsidRPr="00B251D0">
        <w:rPr>
          <w:rFonts w:ascii="Century Gothic" w:eastAsia="Calibri" w:hAnsi="Century Gothic" w:cs="Arial"/>
          <w:lang w:val="es-ES_tradnl"/>
        </w:rPr>
        <w:t xml:space="preserve">dirección de áreas misionales y </w:t>
      </w:r>
      <w:r>
        <w:rPr>
          <w:rFonts w:ascii="Century Gothic" w:eastAsia="Calibri" w:hAnsi="Century Gothic" w:cs="Arial"/>
          <w:lang w:val="es-ES_tradnl"/>
        </w:rPr>
        <w:t xml:space="preserve">de </w:t>
      </w:r>
      <w:r w:rsidRPr="00B251D0">
        <w:rPr>
          <w:rFonts w:ascii="Century Gothic" w:eastAsia="Calibri" w:hAnsi="Century Gothic" w:cs="Arial"/>
          <w:lang w:val="es-ES_tradnl"/>
        </w:rPr>
        <w:t>decisiones de nivel estratégico de la respectiva persona jurídica</w:t>
      </w:r>
      <w:r w:rsidR="00A05496">
        <w:rPr>
          <w:rFonts w:ascii="Century Gothic" w:eastAsia="Calibri" w:hAnsi="Century Gothic" w:cs="Arial"/>
          <w:lang w:val="es-ES_tradnl"/>
        </w:rPr>
        <w:t>, sin que se hiciese distinción alguna para su aplicación</w:t>
      </w:r>
      <w:r w:rsidRPr="00B251D0">
        <w:rPr>
          <w:rFonts w:ascii="Century Gothic" w:eastAsia="Calibri" w:hAnsi="Century Gothic" w:cs="Arial"/>
          <w:lang w:val="es-ES_tradnl"/>
        </w:rPr>
        <w:t xml:space="preserve">. De esta manera, </w:t>
      </w:r>
      <w:r w:rsidR="00A05496">
        <w:rPr>
          <w:rFonts w:ascii="Century Gothic" w:eastAsia="Calibri" w:hAnsi="Century Gothic" w:cs="Arial"/>
          <w:lang w:val="es-ES_tradnl"/>
        </w:rPr>
        <w:t xml:space="preserve">esta opción puede ser utilizado por cualquier persona jurídica, </w:t>
      </w:r>
      <w:r w:rsidR="006308ED">
        <w:rPr>
          <w:rFonts w:ascii="Century Gothic" w:eastAsia="Calibri" w:hAnsi="Century Gothic" w:cs="Arial"/>
          <w:lang w:val="es-ES_tradnl"/>
        </w:rPr>
        <w:t>(</w:t>
      </w:r>
      <w:proofErr w:type="spellStart"/>
      <w:r w:rsidR="006308ED">
        <w:rPr>
          <w:rFonts w:ascii="Century Gothic" w:eastAsia="Calibri" w:hAnsi="Century Gothic" w:cs="Arial"/>
          <w:lang w:val="es-ES_tradnl"/>
        </w:rPr>
        <w:t>entiendase</w:t>
      </w:r>
      <w:proofErr w:type="spellEnd"/>
      <w:r w:rsidR="006308ED">
        <w:rPr>
          <w:rFonts w:ascii="Century Gothic" w:eastAsia="Calibri" w:hAnsi="Century Gothic" w:cs="Arial"/>
          <w:lang w:val="es-ES_tradnl"/>
        </w:rPr>
        <w:t xml:space="preserve"> incluida las fundaciones) </w:t>
      </w:r>
      <w:r w:rsidR="00A05496">
        <w:rPr>
          <w:rFonts w:ascii="Century Gothic" w:eastAsia="Calibri" w:hAnsi="Century Gothic" w:cs="Arial"/>
          <w:lang w:val="es-ES_tradnl"/>
        </w:rPr>
        <w:t>con independencia de si tienen o no ánimo de lucro</w:t>
      </w:r>
      <w:r w:rsidRPr="00B251D0">
        <w:rPr>
          <w:rFonts w:ascii="Century Gothic" w:eastAsia="Calibri" w:hAnsi="Century Gothic" w:cs="Arial"/>
          <w:lang w:val="es-ES_tradnl"/>
        </w:rPr>
        <w:t xml:space="preserve">, </w:t>
      </w:r>
      <w:r w:rsidR="00A05496">
        <w:rPr>
          <w:rFonts w:ascii="Century Gothic" w:eastAsia="Calibri" w:hAnsi="Century Gothic" w:cs="Arial"/>
          <w:lang w:val="es-ES_tradnl"/>
        </w:rPr>
        <w:t>pue</w:t>
      </w:r>
      <w:r w:rsidR="005B7617">
        <w:rPr>
          <w:rFonts w:ascii="Century Gothic" w:eastAsia="Calibri" w:hAnsi="Century Gothic" w:cs="Arial"/>
          <w:lang w:val="es-ES_tradnl"/>
        </w:rPr>
        <w:t xml:space="preserve">s </w:t>
      </w:r>
      <w:r w:rsidR="00A05496">
        <w:rPr>
          <w:rFonts w:ascii="Century Gothic" w:eastAsia="Calibri" w:hAnsi="Century Gothic" w:cs="Arial"/>
          <w:lang w:val="es-ES_tradnl"/>
        </w:rPr>
        <w:t>lo único que se exige mediante esta disposición es relacionar</w:t>
      </w:r>
      <w:r w:rsidR="005B7617">
        <w:rPr>
          <w:rFonts w:ascii="Century Gothic" w:eastAsia="Calibri" w:hAnsi="Century Gothic" w:cs="Arial"/>
          <w:lang w:val="es-ES_tradnl"/>
        </w:rPr>
        <w:t xml:space="preserve">, </w:t>
      </w:r>
      <w:r>
        <w:rPr>
          <w:rFonts w:ascii="Century Gothic" w:eastAsia="Calibri" w:hAnsi="Century Gothic" w:cs="Arial"/>
          <w:lang w:val="es-ES_tradnl"/>
        </w:rPr>
        <w:t xml:space="preserve">con </w:t>
      </w:r>
      <w:r w:rsidRPr="00B251D0">
        <w:rPr>
          <w:rFonts w:ascii="Century Gothic" w:eastAsia="Calibri" w:hAnsi="Century Gothic" w:cs="Arial"/>
          <w:lang w:val="es-ES_tradnl"/>
        </w:rPr>
        <w:t>independ</w:t>
      </w:r>
      <w:r>
        <w:rPr>
          <w:rFonts w:ascii="Century Gothic" w:eastAsia="Calibri" w:hAnsi="Century Gothic" w:cs="Arial"/>
          <w:lang w:val="es-ES_tradnl"/>
        </w:rPr>
        <w:t>encia</w:t>
      </w:r>
      <w:r w:rsidRPr="00B251D0">
        <w:rPr>
          <w:rFonts w:ascii="Century Gothic" w:eastAsia="Calibri" w:hAnsi="Century Gothic" w:cs="Arial"/>
          <w:lang w:val="es-ES_tradnl"/>
        </w:rPr>
        <w:t xml:space="preserve"> de la denominación del cargo, </w:t>
      </w:r>
      <w:r>
        <w:rPr>
          <w:rFonts w:ascii="Century Gothic" w:eastAsia="Calibri" w:hAnsi="Century Gothic" w:cs="Arial"/>
          <w:lang w:val="es-ES_tradnl"/>
        </w:rPr>
        <w:t xml:space="preserve">aquellos empleos que por </w:t>
      </w:r>
      <w:r w:rsidRPr="00B251D0">
        <w:rPr>
          <w:rFonts w:ascii="Century Gothic" w:eastAsia="Calibri" w:hAnsi="Century Gothic" w:cs="Arial"/>
          <w:lang w:val="es-ES_tradnl"/>
        </w:rPr>
        <w:t>su naturaleza s</w:t>
      </w:r>
      <w:r>
        <w:rPr>
          <w:rFonts w:ascii="Century Gothic" w:eastAsia="Calibri" w:hAnsi="Century Gothic" w:cs="Arial"/>
          <w:lang w:val="es-ES_tradnl"/>
        </w:rPr>
        <w:t xml:space="preserve">on de nivel </w:t>
      </w:r>
      <w:r w:rsidRPr="00B251D0">
        <w:rPr>
          <w:rFonts w:ascii="Century Gothic" w:eastAsia="Calibri" w:hAnsi="Century Gothic" w:cs="Arial"/>
          <w:lang w:val="es-ES_tradnl"/>
        </w:rPr>
        <w:t>directiv</w:t>
      </w:r>
      <w:r>
        <w:rPr>
          <w:rFonts w:ascii="Century Gothic" w:eastAsia="Calibri" w:hAnsi="Century Gothic" w:cs="Arial"/>
          <w:lang w:val="es-ES_tradnl"/>
        </w:rPr>
        <w:t>o,</w:t>
      </w:r>
      <w:r w:rsidRPr="00B251D0">
        <w:rPr>
          <w:rFonts w:ascii="Century Gothic" w:eastAsia="Calibri" w:hAnsi="Century Gothic" w:cs="Arial"/>
          <w:lang w:val="es-ES_tradnl"/>
        </w:rPr>
        <w:t xml:space="preserve"> </w:t>
      </w:r>
      <w:r w:rsidRPr="00B251D0">
        <w:rPr>
          <w:rFonts w:ascii="Century Gothic" w:hAnsi="Century Gothic"/>
        </w:rPr>
        <w:t>bien porque se encuentra en un nivel especial de mando o porque, de acuerdo con su jerarquía, representan al empleador en los términos del artículo 32 del Código Sustantivo del Trabajo</w:t>
      </w:r>
      <w:r w:rsidRPr="00B251D0">
        <w:rPr>
          <w:rStyle w:val="Refdenotaalpie"/>
          <w:rFonts w:ascii="Century Gothic" w:hAnsi="Century Gothic"/>
        </w:rPr>
        <w:footnoteReference w:id="4"/>
      </w:r>
      <w:r w:rsidRPr="00B251D0">
        <w:rPr>
          <w:rFonts w:ascii="Century Gothic" w:hAnsi="Century Gothic"/>
        </w:rPr>
        <w:t xml:space="preserve"> </w:t>
      </w:r>
      <w:r w:rsidR="005B7617">
        <w:rPr>
          <w:rFonts w:ascii="Century Gothic" w:hAnsi="Century Gothic"/>
        </w:rPr>
        <w:t>dentro de dicha persona jurídica</w:t>
      </w:r>
      <w:r w:rsidR="000A7F81">
        <w:rPr>
          <w:rFonts w:ascii="Century Gothic" w:hAnsi="Century Gothic"/>
        </w:rPr>
        <w:t xml:space="preserve">, que sean ocupados por mujeres mediante contrato laboral, </w:t>
      </w:r>
      <w:r w:rsidRPr="00B251D0">
        <w:rPr>
          <w:rFonts w:ascii="Century Gothic" w:hAnsi="Century Gothic"/>
        </w:rPr>
        <w:t xml:space="preserve">como mínimo durante el periodo de un [1] año, contado a partir de la fecha de cierre del proceso de selección. </w:t>
      </w:r>
    </w:p>
    <w:p w14:paraId="6BB86DF8" w14:textId="1DAF7526" w:rsidR="00A855FD" w:rsidRPr="00B251D0" w:rsidRDefault="00A855FD" w:rsidP="000A7F81">
      <w:pPr>
        <w:spacing w:before="240" w:after="0" w:line="276" w:lineRule="auto"/>
        <w:ind w:firstLine="708"/>
        <w:jc w:val="both"/>
        <w:rPr>
          <w:rFonts w:ascii="Century Gothic" w:hAnsi="Century Gothic"/>
        </w:rPr>
      </w:pPr>
      <w:r w:rsidRPr="00B251D0">
        <w:rPr>
          <w:rFonts w:ascii="Century Gothic" w:hAnsi="Century Gothic"/>
        </w:rPr>
        <w:t>Al respecto, resulta necesario precisar que el tiempo mínimo de permanencia en el cargo directivo se predica únicamente frente a las mujeres que la integran y no respecto de todos los miembros</w:t>
      </w:r>
      <w:r w:rsidR="000A7F81">
        <w:rPr>
          <w:rFonts w:ascii="Century Gothic" w:hAnsi="Century Gothic"/>
        </w:rPr>
        <w:t>. A su vez</w:t>
      </w:r>
      <w:r>
        <w:rPr>
          <w:rFonts w:ascii="Century Gothic" w:hAnsi="Century Gothic"/>
        </w:rPr>
        <w:t xml:space="preserve">, </w:t>
      </w:r>
      <w:r w:rsidRPr="00B251D0">
        <w:rPr>
          <w:rFonts w:ascii="Century Gothic" w:hAnsi="Century Gothic"/>
        </w:rPr>
        <w:t>la norma dispone que la mencionada certificación debe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w:t>
      </w:r>
    </w:p>
    <w:p w14:paraId="08711D9F" w14:textId="12F848A3" w:rsidR="00B234B5" w:rsidRPr="009F38CE" w:rsidRDefault="00B234B5" w:rsidP="00A855FD">
      <w:pPr>
        <w:spacing w:before="240" w:line="276" w:lineRule="auto"/>
        <w:jc w:val="both"/>
        <w:rPr>
          <w:rFonts w:ascii="Century Gothic" w:eastAsia="Calibri" w:hAnsi="Century Gothic" w:cs="Arial"/>
          <w:b/>
          <w:bCs/>
          <w:lang w:val="es-ES_tradnl"/>
        </w:rPr>
      </w:pPr>
      <w:r w:rsidRPr="009F38CE">
        <w:rPr>
          <w:rFonts w:ascii="Century Gothic" w:eastAsia="Calibri" w:hAnsi="Century Gothic" w:cs="Arial"/>
          <w:b/>
          <w:bCs/>
          <w:lang w:val="es-ES_tradnl"/>
        </w:rPr>
        <w:t xml:space="preserve">2.2. </w:t>
      </w:r>
      <w:r w:rsidR="00781AA8" w:rsidRPr="00781AA8">
        <w:rPr>
          <w:rFonts w:ascii="Century Gothic" w:eastAsia="Calibri" w:hAnsi="Century Gothic" w:cs="Arial"/>
          <w:b/>
          <w:bCs/>
          <w:color w:val="000000"/>
          <w:lang w:val="es-ES_tradnl"/>
        </w:rPr>
        <w:t>Aplicación de los criterios diferenciales para emprendimientos y empresas de mujeres respecto</w:t>
      </w:r>
      <w:r w:rsidR="00781AA8" w:rsidRPr="00781AA8">
        <w:rPr>
          <w:rFonts w:ascii="Century Gothic" w:hAnsi="Century Gothic" w:cs="Arial"/>
          <w:b/>
          <w:bCs/>
          <w:color w:val="000000" w:themeColor="text1"/>
          <w:lang w:val="es-ES_tradnl"/>
        </w:rPr>
        <w:t xml:space="preserve"> de las personas jurídicas de carácter privado, sin ánimo de lucro – ESAL</w:t>
      </w:r>
    </w:p>
    <w:p w14:paraId="2A0DE0CA" w14:textId="2667D689" w:rsidR="00B234B5" w:rsidRPr="009F38CE" w:rsidRDefault="00B234B5" w:rsidP="00563063">
      <w:pPr>
        <w:spacing w:before="240" w:after="120" w:line="276" w:lineRule="auto"/>
        <w:jc w:val="both"/>
        <w:rPr>
          <w:rFonts w:ascii="Century Gothic" w:eastAsia="Calibri" w:hAnsi="Century Gothic" w:cs="Arial"/>
          <w:lang w:val="es-ES_tradnl"/>
        </w:rPr>
      </w:pPr>
      <w:r w:rsidRPr="009F38CE">
        <w:rPr>
          <w:rFonts w:ascii="Century Gothic" w:eastAsia="Calibri" w:hAnsi="Century Gothic" w:cs="Arial"/>
          <w:lang w:val="es-ES_tradnl"/>
        </w:rPr>
        <w:t xml:space="preserve">Conforme se viene explicando, el artículo 32 de la Ley 2069 de 2021 introduce el deber de las Entidades Estatales de incluir </w:t>
      </w:r>
      <w:r w:rsidRPr="009F38CE">
        <w:rPr>
          <w:rStyle w:val="normaltextrun"/>
          <w:rFonts w:ascii="Century Gothic" w:hAnsi="Century Gothic" w:cs="Arial"/>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71757794" w14:textId="41C1A91E" w:rsidR="00B234B5" w:rsidRPr="009F38CE" w:rsidRDefault="00B234B5" w:rsidP="00A855FD">
      <w:pPr>
        <w:spacing w:before="240" w:line="276" w:lineRule="auto"/>
        <w:jc w:val="both"/>
        <w:rPr>
          <w:rFonts w:ascii="Century Gothic" w:eastAsia="Calibri" w:hAnsi="Century Gothic" w:cs="Arial"/>
          <w:lang w:val="es-ES_tradnl"/>
        </w:rPr>
      </w:pPr>
      <w:r w:rsidRPr="009F38CE">
        <w:rPr>
          <w:rFonts w:ascii="Century Gothic" w:eastAsia="Calibri" w:hAnsi="Century Gothic" w:cs="Arial"/>
          <w:lang w:val="es-ES_tradnl"/>
        </w:rPr>
        <w:tab/>
        <w:t>En desarrollo de lo dispuesto en el parágrafo del artículo 32 de la Ley 2069 de 2020, el Decreto 1860 de 2021 adicionó el artículo 2.2.1.2.4.2.14 al Decreto 1082 de 2015. Esta norma</w:t>
      </w:r>
      <w:r w:rsidR="00833E2E">
        <w:rPr>
          <w:rFonts w:ascii="Century Gothic" w:eastAsia="Calibri" w:hAnsi="Century Gothic" w:cs="Arial"/>
          <w:lang w:val="es-ES_tradnl"/>
        </w:rPr>
        <w:t>, como pudo observarse</w:t>
      </w:r>
      <w:r w:rsidR="00443C81">
        <w:rPr>
          <w:rFonts w:ascii="Century Gothic" w:eastAsia="Calibri" w:hAnsi="Century Gothic" w:cs="Arial"/>
          <w:lang w:val="es-ES_tradnl"/>
        </w:rPr>
        <w:t xml:space="preserve"> en el acápite anterior</w:t>
      </w:r>
      <w:r w:rsidR="00833E2E">
        <w:rPr>
          <w:rFonts w:ascii="Century Gothic" w:eastAsia="Calibri" w:hAnsi="Century Gothic" w:cs="Arial"/>
          <w:lang w:val="es-ES_tradnl"/>
        </w:rPr>
        <w:t xml:space="preserve">, </w:t>
      </w:r>
      <w:r w:rsidRPr="009F38CE">
        <w:rPr>
          <w:rFonts w:ascii="Century Gothic" w:eastAsia="Calibri" w:hAnsi="Century Gothic" w:cs="Arial"/>
          <w:lang w:val="es-ES_tradnl"/>
        </w:rPr>
        <w:t>establec</w:t>
      </w:r>
      <w:r w:rsidR="00833E2E">
        <w:rPr>
          <w:rFonts w:ascii="Century Gothic" w:eastAsia="Calibri" w:hAnsi="Century Gothic" w:cs="Arial"/>
          <w:lang w:val="es-ES_tradnl"/>
        </w:rPr>
        <w:t>ió</w:t>
      </w:r>
      <w:r w:rsidRPr="009F38CE">
        <w:rPr>
          <w:rFonts w:ascii="Century Gothic" w:eastAsia="Calibri" w:hAnsi="Century Gothic" w:cs="Arial"/>
          <w:lang w:val="es-ES_tradnl"/>
        </w:rPr>
        <w:t xml:space="preserve"> las condiciones y requisitos en atención a los cuales se definen </w:t>
      </w:r>
      <w:r w:rsidR="000577ED">
        <w:rPr>
          <w:rFonts w:ascii="Century Gothic" w:eastAsia="Calibri" w:hAnsi="Century Gothic" w:cs="Arial"/>
          <w:lang w:val="es-ES_tradnl"/>
        </w:rPr>
        <w:t xml:space="preserve">cuando una persona es </w:t>
      </w:r>
      <w:proofErr w:type="spellStart"/>
      <w:r w:rsidR="000577ED">
        <w:rPr>
          <w:rFonts w:ascii="Century Gothic" w:eastAsia="Calibri" w:hAnsi="Century Gothic" w:cs="Arial"/>
          <w:lang w:val="es-ES_tradnl"/>
        </w:rPr>
        <w:t>condiderada</w:t>
      </w:r>
      <w:proofErr w:type="spellEnd"/>
      <w:r w:rsidR="000577ED">
        <w:rPr>
          <w:rFonts w:ascii="Century Gothic" w:eastAsia="Calibri" w:hAnsi="Century Gothic" w:cs="Arial"/>
          <w:lang w:val="es-ES_tradnl"/>
        </w:rPr>
        <w:t xml:space="preserve"> una</w:t>
      </w:r>
      <w:r w:rsidRPr="009F38CE">
        <w:rPr>
          <w:rFonts w:ascii="Century Gothic" w:eastAsia="Calibri" w:hAnsi="Century Gothic" w:cs="Arial"/>
          <w:lang w:val="es-ES_tradnl"/>
        </w:rPr>
        <w:t xml:space="preserve"> empresas </w:t>
      </w:r>
      <w:r w:rsidR="000577ED">
        <w:rPr>
          <w:rFonts w:ascii="Century Gothic" w:eastAsia="Calibri" w:hAnsi="Century Gothic" w:cs="Arial"/>
          <w:lang w:val="es-ES_tradnl"/>
        </w:rPr>
        <w:t>o</w:t>
      </w:r>
      <w:r w:rsidRPr="009F38CE">
        <w:rPr>
          <w:rFonts w:ascii="Century Gothic" w:eastAsia="Calibri" w:hAnsi="Century Gothic" w:cs="Arial"/>
          <w:lang w:val="es-ES_tradnl"/>
        </w:rPr>
        <w:t xml:space="preserve"> emprendimiento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00EF1BCA">
        <w:rPr>
          <w:rFonts w:ascii="Century Gothic" w:eastAsia="Calibri" w:hAnsi="Century Gothic" w:cs="Arial"/>
          <w:lang w:val="es-ES_tradnl"/>
        </w:rPr>
        <w:t xml:space="preserve"> dependiendo de la naturaleza jurídica de los proponentes y las alternativas que a su criterio desean aplicar.</w:t>
      </w:r>
    </w:p>
    <w:p w14:paraId="61391529" w14:textId="5BB6D96A" w:rsidR="00B234B5" w:rsidRPr="009F38CE" w:rsidRDefault="00B234B5" w:rsidP="00A855FD">
      <w:pPr>
        <w:spacing w:before="240" w:after="120" w:line="276" w:lineRule="auto"/>
        <w:jc w:val="both"/>
        <w:rPr>
          <w:rFonts w:ascii="Century Gothic" w:eastAsia="Calibri" w:hAnsi="Century Gothic" w:cs="Arial"/>
          <w:lang w:val="es-ES_tradnl"/>
        </w:rPr>
      </w:pPr>
      <w:r w:rsidRPr="009F38CE">
        <w:rPr>
          <w:rFonts w:ascii="Century Gothic" w:eastAsia="Calibri" w:hAnsi="Century Gothic" w:cs="Arial"/>
          <w:lang w:val="es-ES_tradnl"/>
        </w:rPr>
        <w:tab/>
        <w:t>Nótese que la norma no establece limitaciones respecto de algún tipo de sujeto en particular, limitándose a establecer unos criterios que son aplicables a personas naturales o jurídicas</w:t>
      </w:r>
      <w:r w:rsidR="00B2511C">
        <w:rPr>
          <w:rFonts w:ascii="Century Gothic" w:eastAsia="Calibri" w:hAnsi="Century Gothic" w:cs="Arial"/>
          <w:lang w:val="es-ES_tradnl"/>
        </w:rPr>
        <w:t xml:space="preserve"> según su naturaleza jurídica</w:t>
      </w:r>
      <w:r w:rsidRPr="009F38CE">
        <w:rPr>
          <w:rFonts w:ascii="Century Gothic" w:eastAsia="Calibri" w:hAnsi="Century Gothic" w:cs="Arial"/>
          <w:lang w:val="es-ES_tradnl"/>
        </w:rPr>
        <w:t xml:space="preserve">. En ese sentido, para establecer si a un proponente le es aplicable la norma bajo estudio es necesario detenerse a revisar si cumple con alguno de los numerales. </w:t>
      </w:r>
    </w:p>
    <w:p w14:paraId="65EDA3DA" w14:textId="77777777" w:rsidR="00B234B5" w:rsidRPr="009F38CE" w:rsidRDefault="00B234B5" w:rsidP="00A855FD">
      <w:pPr>
        <w:spacing w:before="240" w:after="120" w:line="276" w:lineRule="auto"/>
        <w:jc w:val="both"/>
        <w:rPr>
          <w:rFonts w:ascii="Century Gothic" w:hAnsi="Century Gothic" w:cs="Arial"/>
          <w:color w:val="333333"/>
          <w:shd w:val="clear" w:color="auto" w:fill="FFFFFF"/>
        </w:rPr>
      </w:pPr>
      <w:r w:rsidRPr="009F38CE">
        <w:rPr>
          <w:rFonts w:ascii="Century Gothic" w:eastAsia="Calibri" w:hAnsi="Century Gothic" w:cs="Arial"/>
          <w:lang w:val="es-ES_tradnl"/>
        </w:rPr>
        <w:tab/>
        <w:t xml:space="preserve">Las señaladas definiciones son determinantes para la aplicación de los criterios diferenciales para emprendimientos y empresas de mujeres que deben incluir las entidades estatales en los procesos </w:t>
      </w:r>
      <w:r w:rsidRPr="009F38CE">
        <w:rPr>
          <w:rFonts w:ascii="Century Gothic" w:hAnsi="Century Gothic" w:cs="Arial"/>
          <w:color w:val="333333"/>
          <w:shd w:val="clear" w:color="auto" w:fill="FFFFFF"/>
        </w:rPr>
        <w:t>de licitación pública, selección abreviada de menor cuantía y concurso de méritos, así como a las entidades exceptuadas en los procesos competitivos que adelanten, de acuerdo con el artículo 2.2.1.2.4.2.15 del Decreto 1082 de 2015</w:t>
      </w:r>
      <w:r w:rsidRPr="009F38CE">
        <w:rPr>
          <w:rStyle w:val="Refdenotaalpie"/>
          <w:rFonts w:ascii="Century Gothic" w:hAnsi="Century Gothic" w:cs="Arial"/>
          <w:color w:val="333333"/>
          <w:shd w:val="clear" w:color="auto" w:fill="FFFFFF"/>
        </w:rPr>
        <w:footnoteReference w:id="5"/>
      </w:r>
      <w:r w:rsidRPr="009F38CE">
        <w:rPr>
          <w:rFonts w:ascii="Century Gothic" w:hAnsi="Century Gothic" w:cs="Arial"/>
          <w:color w:val="333333"/>
          <w:shd w:val="clear" w:color="auto" w:fill="FFFFFF"/>
        </w:rPr>
        <w:t xml:space="preserve">. En ese sentido, los requisitos habilitantes diferenciales que establezcan las entidades en materia de tiempo de experiencia de experiencia, número de contratos para la acreditación de la experiencia, índices de capacidad financiera, índices de capacidad organizacional o valor de la garantía de seriedad de la oferta, deben ser aplicables a quienes cumplan con las definiciones señaladas en el artículo 2.2.1.2.4.2.14. Del mismo modo, los puntajes adicionales de hasta el cero punto veinticinco por ciento (0,25%) que se incluyan en los procesos de contratación diferentes de aquellos en los que el único factor de evaluación sea el menor precio, según lo señalado en el penúltimo inciso del artículo 2.2.1.2.4.2.15, deben ser aplicables a quienes cumplan con alguna de las definiciones señaladas en el artículo anterior. </w:t>
      </w:r>
    </w:p>
    <w:p w14:paraId="68B3D9DB" w14:textId="23C66FF5" w:rsidR="00B234B5" w:rsidRPr="009F38CE" w:rsidRDefault="00B234B5" w:rsidP="00A855FD">
      <w:pPr>
        <w:spacing w:before="240" w:after="120" w:line="276" w:lineRule="auto"/>
        <w:ind w:firstLine="708"/>
        <w:jc w:val="both"/>
        <w:rPr>
          <w:rFonts w:ascii="Century Gothic" w:hAnsi="Century Gothic" w:cs="Arial"/>
        </w:rPr>
      </w:pPr>
      <w:r w:rsidRPr="009F38CE">
        <w:rPr>
          <w:rFonts w:ascii="Century Gothic" w:eastAsia="Calibri" w:hAnsi="Century Gothic" w:cs="Arial"/>
          <w:lang w:val="es-ES_tradnl"/>
        </w:rPr>
        <w:t xml:space="preserve">Ahora bien, </w:t>
      </w:r>
      <w:r w:rsidR="005F7A72">
        <w:rPr>
          <w:rFonts w:ascii="Century Gothic" w:eastAsia="Calibri" w:hAnsi="Century Gothic" w:cs="Arial"/>
          <w:lang w:val="es-ES_tradnl"/>
        </w:rPr>
        <w:t xml:space="preserve">como bien se expuso previamente las </w:t>
      </w:r>
      <w:r w:rsidR="00BC7F0C">
        <w:rPr>
          <w:rFonts w:ascii="Century Gothic" w:eastAsia="Calibri" w:hAnsi="Century Gothic" w:cs="Arial"/>
          <w:lang w:val="es-ES_tradnl"/>
        </w:rPr>
        <w:t>asociaciones o corporaciones, las cooperativas y las fundaciones</w:t>
      </w:r>
      <w:r w:rsidRPr="009F38CE">
        <w:rPr>
          <w:rFonts w:ascii="Century Gothic" w:hAnsi="Century Gothic" w:cs="Arial"/>
        </w:rPr>
        <w:t xml:space="preserve"> son personas jurídicas constituidas en los términos del Código Civil</w:t>
      </w:r>
      <w:r w:rsidRPr="009F38CE">
        <w:rPr>
          <w:rStyle w:val="Refdenotaalpie"/>
          <w:rFonts w:ascii="Century Gothic" w:hAnsi="Century Gothic" w:cs="Arial"/>
          <w:lang w:eastAsia="es-CO"/>
        </w:rPr>
        <w:footnoteReference w:id="6"/>
      </w:r>
      <w:r w:rsidR="000B4876">
        <w:rPr>
          <w:rFonts w:ascii="Century Gothic" w:hAnsi="Century Gothic" w:cs="Arial"/>
        </w:rPr>
        <w:t xml:space="preserve"> y por las disposiciones de los Decretos 1529 de </w:t>
      </w:r>
      <w:proofErr w:type="gramStart"/>
      <w:r w:rsidR="000B4876">
        <w:rPr>
          <w:rFonts w:ascii="Century Gothic" w:hAnsi="Century Gothic" w:cs="Arial"/>
        </w:rPr>
        <w:t>1990</w:t>
      </w:r>
      <w:r w:rsidR="005B414C">
        <w:rPr>
          <w:rFonts w:ascii="Century Gothic" w:hAnsi="Century Gothic" w:cs="Arial"/>
        </w:rPr>
        <w:t xml:space="preserve"> ,</w:t>
      </w:r>
      <w:proofErr w:type="gramEnd"/>
      <w:r w:rsidR="005B414C">
        <w:rPr>
          <w:rFonts w:ascii="Century Gothic" w:hAnsi="Century Gothic" w:cs="Arial"/>
        </w:rPr>
        <w:t xml:space="preserve"> 059 de 1991 y 2150 de 1995,</w:t>
      </w:r>
      <w:r w:rsidRPr="009F38CE">
        <w:rPr>
          <w:rFonts w:ascii="Century Gothic" w:hAnsi="Century Gothic" w:cs="Arial"/>
        </w:rPr>
        <w:t xml:space="preserve"> que no pueden asimilarse o identificarse a sociedades comerciales –en la medida en que a diferencia de esas últimas no persiguen el reparto de utilidades entre sus socios</w:t>
      </w:r>
      <w:r w:rsidRPr="009F38CE">
        <w:rPr>
          <w:rStyle w:val="Refdenotaalpie"/>
          <w:rFonts w:ascii="Century Gothic" w:hAnsi="Century Gothic" w:cs="Arial"/>
        </w:rPr>
        <w:footnoteReference w:id="7"/>
      </w:r>
      <w:r w:rsidRPr="009F38CE">
        <w:rPr>
          <w:rFonts w:ascii="Century Gothic" w:hAnsi="Century Gothic" w:cs="Arial"/>
        </w:rPr>
        <w:t xml:space="preserve">–. Sin embargo, nada obsta para que </w:t>
      </w:r>
      <w:r w:rsidR="005B414C">
        <w:rPr>
          <w:rFonts w:ascii="Century Gothic" w:hAnsi="Century Gothic" w:cs="Arial"/>
        </w:rPr>
        <w:t xml:space="preserve">estas entidades sin ánimo de </w:t>
      </w:r>
      <w:proofErr w:type="spellStart"/>
      <w:r w:rsidR="005B414C">
        <w:rPr>
          <w:rFonts w:ascii="Century Gothic" w:hAnsi="Century Gothic" w:cs="Arial"/>
        </w:rPr>
        <w:t>lucto</w:t>
      </w:r>
      <w:proofErr w:type="spellEnd"/>
      <w:r w:rsidRPr="009F38CE">
        <w:rPr>
          <w:rFonts w:ascii="Century Gothic" w:hAnsi="Century Gothic" w:cs="Arial"/>
        </w:rPr>
        <w:t xml:space="preserve"> participen en términos de igualdad con los demás oferentes en los diferentes procesos contractuales que regula el Estatuto General de Contratación de la Administración Pública, siempre que sus estatutos así se lo permitan</w:t>
      </w:r>
      <w:r w:rsidRPr="009F38CE">
        <w:rPr>
          <w:rStyle w:val="Refdenotaalpie"/>
          <w:rFonts w:ascii="Century Gothic" w:hAnsi="Century Gothic" w:cs="Arial"/>
        </w:rPr>
        <w:footnoteReference w:id="8"/>
      </w:r>
      <w:r w:rsidRPr="009F38CE">
        <w:rPr>
          <w:rFonts w:ascii="Century Gothic" w:hAnsi="Century Gothic" w:cs="Arial"/>
        </w:rPr>
        <w:t xml:space="preserve">. En ese sentido, el hecho de que </w:t>
      </w:r>
      <w:r w:rsidR="005B414C">
        <w:rPr>
          <w:rFonts w:ascii="Century Gothic" w:hAnsi="Century Gothic" w:cs="Arial"/>
        </w:rPr>
        <w:t>un proponente sea una</w:t>
      </w:r>
      <w:r w:rsidRPr="009F38CE">
        <w:rPr>
          <w:rFonts w:ascii="Century Gothic" w:hAnsi="Century Gothic" w:cs="Arial"/>
        </w:rPr>
        <w:t xml:space="preserve"> entidad sin ánimo de lucro no supone que no pueda participar en un proceso de contratación adelantado en aplicación de la modalidades de selección competitivas previstas en el artículo 2 de la Ley 1150 de 2007, en los que se apliquen los criterios diferenciales introducidos por el artículo 32 de la Ley 2069 de 2020, reglamentados en los artículos </w:t>
      </w:r>
      <w:r w:rsidRPr="009F38CE">
        <w:rPr>
          <w:rFonts w:ascii="Century Gothic" w:hAnsi="Century Gothic" w:cs="Arial"/>
          <w:lang w:eastAsia="es-CO"/>
        </w:rPr>
        <w:t xml:space="preserve">2.2.1.2.4.2.14 y 2.2.1.2.4.2.15 del Decreto 1082 de 2015. </w:t>
      </w:r>
    </w:p>
    <w:p w14:paraId="56B98378" w14:textId="0302DE23" w:rsidR="00B234B5" w:rsidRPr="009F38CE" w:rsidRDefault="00B234B5" w:rsidP="00A855FD">
      <w:pPr>
        <w:spacing w:before="240" w:after="120" w:line="276" w:lineRule="auto"/>
        <w:jc w:val="both"/>
        <w:rPr>
          <w:rFonts w:ascii="Century Gothic" w:hAnsi="Century Gothic" w:cs="Arial"/>
          <w:color w:val="333333"/>
          <w:shd w:val="clear" w:color="auto" w:fill="FFFFFF"/>
        </w:rPr>
      </w:pPr>
      <w:r w:rsidRPr="009F38CE">
        <w:rPr>
          <w:rFonts w:ascii="Century Gothic" w:eastAsia="Calibri" w:hAnsi="Century Gothic" w:cs="Arial"/>
          <w:lang w:val="es-ES_tradnl"/>
        </w:rPr>
        <w:tab/>
        <w:t>Con todo, para efectos de determinar</w:t>
      </w:r>
      <w:r w:rsidR="000B1F34">
        <w:rPr>
          <w:rFonts w:ascii="Century Gothic" w:eastAsia="Calibri" w:hAnsi="Century Gothic" w:cs="Arial"/>
          <w:lang w:val="es-ES_tradnl"/>
        </w:rPr>
        <w:t xml:space="preserve">, </w:t>
      </w:r>
      <w:proofErr w:type="gramStart"/>
      <w:r w:rsidR="000B1F34">
        <w:rPr>
          <w:rFonts w:ascii="Century Gothic" w:eastAsia="Calibri" w:hAnsi="Century Gothic" w:cs="Arial"/>
          <w:lang w:val="es-ES_tradnl"/>
        </w:rPr>
        <w:t>en  el</w:t>
      </w:r>
      <w:proofErr w:type="gramEnd"/>
      <w:r w:rsidR="000B1F34">
        <w:rPr>
          <w:rFonts w:ascii="Century Gothic" w:eastAsia="Calibri" w:hAnsi="Century Gothic" w:cs="Arial"/>
          <w:lang w:val="es-ES_tradnl"/>
        </w:rPr>
        <w:t xml:space="preserve"> caso </w:t>
      </w:r>
      <w:r w:rsidR="00BB6BD7">
        <w:rPr>
          <w:rFonts w:ascii="Century Gothic" w:eastAsia="Calibri" w:hAnsi="Century Gothic" w:cs="Arial"/>
          <w:lang w:val="es-ES_tradnl"/>
        </w:rPr>
        <w:t>de las entidades sin ánimo de lucro</w:t>
      </w:r>
      <w:r w:rsidRPr="009F38CE">
        <w:rPr>
          <w:rFonts w:ascii="Century Gothic" w:eastAsia="Calibri" w:hAnsi="Century Gothic" w:cs="Arial"/>
          <w:lang w:val="es-ES_tradnl"/>
        </w:rPr>
        <w:t xml:space="preserve"> que sea proponente en un eventual proceso de contratación le aplican o no los criterios diferenciales para emprendimientos y empresas de mujeres introducidos por el artículo 32 de la Ley 2069 de 2020, </w:t>
      </w:r>
      <w:r w:rsidRPr="009F38CE">
        <w:rPr>
          <w:rFonts w:ascii="Century Gothic" w:hAnsi="Century Gothic" w:cs="Arial"/>
          <w:color w:val="333333"/>
          <w:shd w:val="clear" w:color="auto" w:fill="FFFFFF"/>
        </w:rPr>
        <w:t>es necesario, en primer lugar, determinar si cumple con alguna de las definiciones establecidas en el artículo 2.2.1.2.4.2.14. Esto por cuanto la acreditación de alguno de los cuatro criterios señalados en la norma es un presupuesto para optar a las condiciones habilitantes diferenciales determinadas por las entidades estatales con sustento en el análisis del sector, a modo requisitos, que en cualquier caso le corresponderá acreditar a los proponentes que se ubiquen las referidas definiciones de emprendimientos y empresas de mujeres.</w:t>
      </w:r>
      <w:r w:rsidRPr="009F38CE">
        <w:rPr>
          <w:rFonts w:ascii="Century Gothic" w:eastAsia="Calibri" w:hAnsi="Century Gothic" w:cs="Arial"/>
          <w:lang w:val="es-ES_tradnl"/>
        </w:rPr>
        <w:t xml:space="preserve"> </w:t>
      </w:r>
    </w:p>
    <w:p w14:paraId="25F5756D" w14:textId="0DDA4702" w:rsidR="00B234B5" w:rsidRPr="009F38CE" w:rsidRDefault="00B234B5" w:rsidP="00A855FD">
      <w:pPr>
        <w:spacing w:before="240" w:after="120" w:line="276" w:lineRule="auto"/>
        <w:ind w:firstLine="709"/>
        <w:jc w:val="both"/>
        <w:rPr>
          <w:rFonts w:ascii="Century Gothic" w:hAnsi="Century Gothic" w:cs="Arial"/>
          <w:lang w:eastAsia="es-CO"/>
        </w:rPr>
      </w:pPr>
      <w:r w:rsidRPr="009F38CE">
        <w:rPr>
          <w:rFonts w:ascii="Century Gothic" w:eastAsia="Calibri" w:hAnsi="Century Gothic" w:cs="Arial"/>
          <w:lang w:val="es-ES_tradnl"/>
        </w:rPr>
        <w:t xml:space="preserve">En el marco de dicho análisis, en primer lugar, debe </w:t>
      </w:r>
      <w:r w:rsidR="00C523EE">
        <w:rPr>
          <w:rFonts w:ascii="Century Gothic" w:eastAsia="Calibri" w:hAnsi="Century Gothic" w:cs="Arial"/>
          <w:lang w:val="es-ES_tradnl"/>
        </w:rPr>
        <w:t>reiterarse, como se expuso en el acápite anterior,</w:t>
      </w:r>
      <w:r w:rsidRPr="009F38CE">
        <w:rPr>
          <w:rFonts w:ascii="Century Gothic" w:hAnsi="Century Gothic" w:cs="Arial"/>
          <w:lang w:eastAsia="es-CO"/>
        </w:rPr>
        <w:t xml:space="preserve"> que a las </w:t>
      </w:r>
      <w:r w:rsidR="00206943">
        <w:rPr>
          <w:rFonts w:ascii="Century Gothic" w:hAnsi="Century Gothic" w:cs="Arial"/>
          <w:lang w:eastAsia="es-CO"/>
        </w:rPr>
        <w:t>entidades sin ánimo de lucro</w:t>
      </w:r>
      <w:r w:rsidRPr="009F38CE">
        <w:rPr>
          <w:rFonts w:ascii="Century Gothic" w:hAnsi="Century Gothic" w:cs="Arial"/>
          <w:lang w:eastAsia="es-CO"/>
        </w:rPr>
        <w:t xml:space="preserve"> </w:t>
      </w:r>
      <w:r w:rsidR="00C55C9A">
        <w:rPr>
          <w:rFonts w:ascii="Century Gothic" w:hAnsi="Century Gothic" w:cs="Arial"/>
          <w:lang w:eastAsia="es-CO"/>
        </w:rPr>
        <w:t xml:space="preserve">no </w:t>
      </w:r>
      <w:r w:rsidRPr="009F38CE">
        <w:rPr>
          <w:rFonts w:ascii="Century Gothic" w:hAnsi="Century Gothic" w:cs="Arial"/>
          <w:lang w:eastAsia="es-CO"/>
        </w:rPr>
        <w:t>se les apli</w:t>
      </w:r>
      <w:r w:rsidR="00C55C9A">
        <w:rPr>
          <w:rFonts w:ascii="Century Gothic" w:hAnsi="Century Gothic" w:cs="Arial"/>
          <w:lang w:eastAsia="es-CO"/>
        </w:rPr>
        <w:t>ca</w:t>
      </w:r>
      <w:r w:rsidRPr="009F38CE">
        <w:rPr>
          <w:rFonts w:ascii="Century Gothic" w:hAnsi="Century Gothic" w:cs="Arial"/>
          <w:lang w:eastAsia="es-CO"/>
        </w:rPr>
        <w:t xml:space="preserve"> la definición del numeral 1 del artículo 2.2.1.2.4.2.14</w:t>
      </w:r>
      <w:r w:rsidR="00C55C9A">
        <w:rPr>
          <w:rFonts w:ascii="Century Gothic" w:hAnsi="Century Gothic" w:cs="Arial"/>
          <w:lang w:eastAsia="es-CO"/>
        </w:rPr>
        <w:t xml:space="preserve">. del Decreto 1082 de 2015, </w:t>
      </w:r>
      <w:r w:rsidRPr="009F38CE">
        <w:rPr>
          <w:rFonts w:ascii="Century Gothic" w:hAnsi="Century Gothic" w:cs="Arial"/>
          <w:lang w:eastAsia="es-CO"/>
        </w:rPr>
        <w:t>por cuanto dada la naturaleza de este tipo de personas jurídicas, no existen en las misma acciones, partes de interés o cuotas de participación sino un patrimonio destinado a la atención de una finalidad altruista o de un interés social determinado en los estatutos. En ese sentido, no puede afirmarse que los socios de las fundaciones o su fundador</w:t>
      </w:r>
      <w:r w:rsidR="00A614F6">
        <w:rPr>
          <w:rFonts w:ascii="Century Gothic" w:hAnsi="Century Gothic" w:cs="Arial"/>
          <w:lang w:eastAsia="es-CO"/>
        </w:rPr>
        <w:t xml:space="preserve"> o los asociados o </w:t>
      </w:r>
      <w:proofErr w:type="spellStart"/>
      <w:r w:rsidR="00A614F6">
        <w:rPr>
          <w:rFonts w:ascii="Century Gothic" w:hAnsi="Century Gothic" w:cs="Arial"/>
          <w:lang w:eastAsia="es-CO"/>
        </w:rPr>
        <w:t>coperantes</w:t>
      </w:r>
      <w:proofErr w:type="spellEnd"/>
      <w:r w:rsidR="00A614F6">
        <w:rPr>
          <w:rFonts w:ascii="Century Gothic" w:hAnsi="Century Gothic" w:cs="Arial"/>
          <w:lang w:eastAsia="es-CO"/>
        </w:rPr>
        <w:t xml:space="preserve"> </w:t>
      </w:r>
      <w:r w:rsidR="00ED3D08">
        <w:rPr>
          <w:rFonts w:ascii="Century Gothic" w:hAnsi="Century Gothic" w:cs="Arial"/>
          <w:lang w:eastAsia="es-CO"/>
        </w:rPr>
        <w:t>de estas entidades sin ánimo de lucro</w:t>
      </w:r>
      <w:r w:rsidRPr="009F38CE">
        <w:rPr>
          <w:rFonts w:ascii="Century Gothic" w:hAnsi="Century Gothic" w:cs="Arial"/>
          <w:lang w:eastAsia="es-CO"/>
        </w:rPr>
        <w:t xml:space="preserve"> tengan participación accionaria, partes de interés o cuotas de participación en la misma, figuras asociadas a las sociedades comerciales, razón por la que el propio numeral 1 del artículo 2.2.1.2.4.2.14 exige que en el documento de acreditación de esta condición</w:t>
      </w:r>
      <w:r w:rsidR="009F38CE">
        <w:rPr>
          <w:rFonts w:ascii="Century Gothic" w:hAnsi="Century Gothic" w:cs="Arial"/>
          <w:lang w:eastAsia="es-CO"/>
        </w:rPr>
        <w:t>”</w:t>
      </w:r>
      <w:r w:rsidRPr="009F38CE">
        <w:rPr>
          <w:rFonts w:ascii="Century Gothic" w:hAnsi="Century Gothic" w:cs="Arial"/>
          <w:lang w:eastAsia="es-CO"/>
        </w:rPr>
        <w:t>[...] conste la distribución de los derechos en la sociedad y el tiempo en el que las mujeres han mantenido su participación</w:t>
      </w:r>
      <w:r w:rsidR="009F38CE">
        <w:rPr>
          <w:rFonts w:ascii="Century Gothic" w:hAnsi="Century Gothic" w:cs="Arial"/>
          <w:lang w:eastAsia="es-CO"/>
        </w:rPr>
        <w:t>”</w:t>
      </w:r>
      <w:r w:rsidRPr="009F38CE">
        <w:rPr>
          <w:rFonts w:ascii="Century Gothic" w:hAnsi="Century Gothic" w:cs="Arial"/>
          <w:lang w:eastAsia="es-CO"/>
        </w:rPr>
        <w:t>.</w:t>
      </w:r>
      <w:r w:rsidR="008C23CC">
        <w:rPr>
          <w:rFonts w:ascii="Century Gothic" w:hAnsi="Century Gothic" w:cs="Arial"/>
          <w:lang w:eastAsia="es-CO"/>
        </w:rPr>
        <w:t xml:space="preserve"> La anterior </w:t>
      </w:r>
      <w:r w:rsidR="009D331E">
        <w:rPr>
          <w:rFonts w:ascii="Century Gothic" w:hAnsi="Century Gothic" w:cs="Arial"/>
          <w:lang w:eastAsia="es-CO"/>
        </w:rPr>
        <w:t>interpretación debe aplicarse también sobre las demás entidades sin ánimo de lucro.</w:t>
      </w:r>
    </w:p>
    <w:p w14:paraId="54A6A07A" w14:textId="3E609539" w:rsidR="00B234B5" w:rsidRPr="009F38CE" w:rsidRDefault="00907C5E" w:rsidP="00A855FD">
      <w:pPr>
        <w:spacing w:before="240" w:after="120" w:line="276" w:lineRule="auto"/>
        <w:ind w:firstLine="709"/>
        <w:jc w:val="both"/>
        <w:rPr>
          <w:rFonts w:ascii="Century Gothic" w:hAnsi="Century Gothic" w:cs="Arial"/>
          <w:lang w:eastAsia="es-CO"/>
        </w:rPr>
      </w:pPr>
      <w:r>
        <w:rPr>
          <w:rFonts w:ascii="Century Gothic" w:hAnsi="Century Gothic" w:cs="Arial"/>
          <w:lang w:eastAsia="es-CO"/>
        </w:rPr>
        <w:t>E</w:t>
      </w:r>
      <w:r w:rsidR="00B234B5" w:rsidRPr="009F38CE">
        <w:rPr>
          <w:rFonts w:ascii="Century Gothic" w:hAnsi="Century Gothic" w:cs="Arial"/>
          <w:lang w:eastAsia="es-CO"/>
        </w:rPr>
        <w:t xml:space="preserve">n cuanto al criterio numeral 2 del artículo 2.2.1.2.4.2.14, </w:t>
      </w:r>
      <w:r w:rsidR="00BC41D1">
        <w:rPr>
          <w:rFonts w:ascii="Century Gothic" w:hAnsi="Century Gothic" w:cs="Arial"/>
          <w:lang w:eastAsia="es-CO"/>
        </w:rPr>
        <w:t xml:space="preserve">el primer inciso </w:t>
      </w:r>
      <w:r>
        <w:rPr>
          <w:rFonts w:ascii="Century Gothic" w:hAnsi="Century Gothic" w:cs="Arial"/>
          <w:lang w:eastAsia="es-CO"/>
        </w:rPr>
        <w:t xml:space="preserve">sería </w:t>
      </w:r>
      <w:proofErr w:type="spellStart"/>
      <w:r>
        <w:rPr>
          <w:rFonts w:ascii="Century Gothic" w:hAnsi="Century Gothic" w:cs="Arial"/>
          <w:lang w:eastAsia="es-CO"/>
        </w:rPr>
        <w:t>pausible</w:t>
      </w:r>
      <w:proofErr w:type="spellEnd"/>
      <w:r>
        <w:rPr>
          <w:rFonts w:ascii="Century Gothic" w:hAnsi="Century Gothic" w:cs="Arial"/>
          <w:lang w:eastAsia="es-CO"/>
        </w:rPr>
        <w:t xml:space="preserve"> </w:t>
      </w:r>
      <w:r w:rsidR="00B234B5" w:rsidRPr="009F38CE">
        <w:rPr>
          <w:rFonts w:ascii="Century Gothic" w:hAnsi="Century Gothic" w:cs="Arial"/>
          <w:lang w:eastAsia="es-CO"/>
        </w:rPr>
        <w:t xml:space="preserve">concluir que su aplicación resulta posible respecto de las </w:t>
      </w:r>
      <w:r w:rsidR="00ED3D08">
        <w:rPr>
          <w:rFonts w:ascii="Century Gothic" w:hAnsi="Century Gothic" w:cs="Arial"/>
          <w:lang w:eastAsia="es-CO"/>
        </w:rPr>
        <w:t xml:space="preserve">entidades sin </w:t>
      </w:r>
      <w:proofErr w:type="spellStart"/>
      <w:r w:rsidR="00ED3D08">
        <w:rPr>
          <w:rFonts w:ascii="Century Gothic" w:hAnsi="Century Gothic" w:cs="Arial"/>
          <w:lang w:eastAsia="es-CO"/>
        </w:rPr>
        <w:t>áimo</w:t>
      </w:r>
      <w:proofErr w:type="spellEnd"/>
      <w:r w:rsidR="00ED3D08">
        <w:rPr>
          <w:rFonts w:ascii="Century Gothic" w:hAnsi="Century Gothic" w:cs="Arial"/>
          <w:lang w:eastAsia="es-CO"/>
        </w:rPr>
        <w:t xml:space="preserve"> de lucro, incluyendo a las </w:t>
      </w:r>
      <w:r w:rsidR="00B234B5" w:rsidRPr="009F38CE">
        <w:rPr>
          <w:rFonts w:ascii="Century Gothic" w:hAnsi="Century Gothic" w:cs="Arial"/>
          <w:lang w:eastAsia="es-CO"/>
        </w:rPr>
        <w:t xml:space="preserve">fundaciones, comoquiera que este criterio, </w:t>
      </w:r>
      <w:r>
        <w:rPr>
          <w:rFonts w:ascii="Century Gothic" w:hAnsi="Century Gothic" w:cs="Arial"/>
          <w:lang w:eastAsia="es-CO"/>
        </w:rPr>
        <w:t xml:space="preserve">no </w:t>
      </w:r>
      <w:proofErr w:type="gramStart"/>
      <w:r>
        <w:rPr>
          <w:rFonts w:ascii="Century Gothic" w:hAnsi="Century Gothic" w:cs="Arial"/>
          <w:lang w:eastAsia="es-CO"/>
        </w:rPr>
        <w:t xml:space="preserve">puede </w:t>
      </w:r>
      <w:r w:rsidR="00B234B5" w:rsidRPr="009F38CE">
        <w:rPr>
          <w:rFonts w:ascii="Century Gothic" w:hAnsi="Century Gothic" w:cs="Arial"/>
          <w:lang w:eastAsia="es-CO"/>
        </w:rPr>
        <w:t xml:space="preserve"> se</w:t>
      </w:r>
      <w:proofErr w:type="gramEnd"/>
      <w:r w:rsidR="00B234B5" w:rsidRPr="009F38CE">
        <w:rPr>
          <w:rFonts w:ascii="Century Gothic" w:hAnsi="Century Gothic" w:cs="Arial"/>
          <w:lang w:eastAsia="es-CO"/>
        </w:rPr>
        <w:t xml:space="preserve"> encuentra dirigido a las sociedades regidas por la legislación comercial</w:t>
      </w:r>
      <w:r w:rsidR="00B04300">
        <w:rPr>
          <w:rFonts w:ascii="Century Gothic" w:hAnsi="Century Gothic" w:cs="Arial"/>
          <w:lang w:eastAsia="es-CO"/>
        </w:rPr>
        <w:t>, sino en general a todas la personas jurídicas</w:t>
      </w:r>
      <w:r w:rsidR="00B234B5" w:rsidRPr="009F38CE">
        <w:rPr>
          <w:rFonts w:ascii="Century Gothic" w:hAnsi="Century Gothic" w:cs="Arial"/>
          <w:lang w:eastAsia="es-CO"/>
        </w:rPr>
        <w:t xml:space="preserve">. Lo anterior por cuanto, si bien el </w:t>
      </w:r>
      <w:r w:rsidR="00B04300">
        <w:rPr>
          <w:rFonts w:ascii="Century Gothic" w:hAnsi="Century Gothic" w:cs="Arial"/>
          <w:lang w:eastAsia="es-CO"/>
        </w:rPr>
        <w:t xml:space="preserve">segundo inciso explica que puede entenderse por cargo </w:t>
      </w:r>
      <w:r w:rsidR="00B234B5" w:rsidRPr="009F38CE">
        <w:rPr>
          <w:rFonts w:ascii="Century Gothic" w:hAnsi="Century Gothic" w:cs="Arial"/>
          <w:lang w:eastAsia="es-CO"/>
        </w:rPr>
        <w:t xml:space="preserve">directivo, lo cierto es que </w:t>
      </w:r>
      <w:r w:rsidR="00407957">
        <w:rPr>
          <w:rFonts w:ascii="Century Gothic" w:hAnsi="Century Gothic" w:cs="Arial"/>
          <w:lang w:eastAsia="es-CO"/>
        </w:rPr>
        <w:t xml:space="preserve">trae consigo una </w:t>
      </w:r>
      <w:r w:rsidR="00B04300">
        <w:rPr>
          <w:rFonts w:ascii="Century Gothic" w:hAnsi="Century Gothic" w:cs="Arial"/>
          <w:lang w:eastAsia="es-CO"/>
        </w:rPr>
        <w:t xml:space="preserve">referencia </w:t>
      </w:r>
      <w:r w:rsidR="00407957">
        <w:rPr>
          <w:rFonts w:ascii="Century Gothic" w:hAnsi="Century Gothic" w:cs="Arial"/>
          <w:lang w:eastAsia="es-CO"/>
        </w:rPr>
        <w:t>tanto para el</w:t>
      </w:r>
      <w:r w:rsidR="00D52EED">
        <w:rPr>
          <w:rFonts w:ascii="Century Gothic" w:hAnsi="Century Gothic" w:cs="Arial"/>
          <w:lang w:eastAsia="es-CO"/>
        </w:rPr>
        <w:t xml:space="preserve"> nivel </w:t>
      </w:r>
      <w:proofErr w:type="spellStart"/>
      <w:r w:rsidR="00D52EED">
        <w:rPr>
          <w:rFonts w:ascii="Century Gothic" w:hAnsi="Century Gothic" w:cs="Arial"/>
          <w:lang w:eastAsia="es-CO"/>
        </w:rPr>
        <w:t>jerarquico</w:t>
      </w:r>
      <w:proofErr w:type="spellEnd"/>
      <w:r w:rsidR="00D52EED">
        <w:rPr>
          <w:rFonts w:ascii="Century Gothic" w:hAnsi="Century Gothic" w:cs="Arial"/>
          <w:lang w:eastAsia="es-CO"/>
        </w:rPr>
        <w:t xml:space="preserve"> en las </w:t>
      </w:r>
      <w:r w:rsidR="00B234B5" w:rsidRPr="009F38CE">
        <w:rPr>
          <w:rFonts w:ascii="Century Gothic" w:hAnsi="Century Gothic" w:cs="Arial"/>
          <w:i/>
          <w:iCs/>
          <w:lang w:eastAsia="es-CO"/>
        </w:rPr>
        <w:t xml:space="preserve">empresas, </w:t>
      </w:r>
      <w:r w:rsidR="00407957">
        <w:rPr>
          <w:rFonts w:ascii="Century Gothic" w:hAnsi="Century Gothic" w:cs="Arial"/>
          <w:lang w:eastAsia="es-CO"/>
        </w:rPr>
        <w:t xml:space="preserve">como también </w:t>
      </w:r>
      <w:r w:rsidR="00D176B4">
        <w:rPr>
          <w:rFonts w:ascii="Century Gothic" w:hAnsi="Century Gothic" w:cs="Arial"/>
          <w:lang w:eastAsia="es-CO"/>
        </w:rPr>
        <w:t>para aquellos cargos que por su jerarquía desempeñan funciones orientadas a representar el e</w:t>
      </w:r>
      <w:r w:rsidR="00141D21">
        <w:rPr>
          <w:rFonts w:ascii="Century Gothic" w:hAnsi="Century Gothic" w:cs="Arial"/>
          <w:lang w:eastAsia="es-CO"/>
        </w:rPr>
        <w:t>m</w:t>
      </w:r>
      <w:r w:rsidR="00D176B4">
        <w:rPr>
          <w:rFonts w:ascii="Century Gothic" w:hAnsi="Century Gothic" w:cs="Arial"/>
          <w:lang w:eastAsia="es-CO"/>
        </w:rPr>
        <w:t>pleador, defin</w:t>
      </w:r>
      <w:r w:rsidR="00141D21">
        <w:rPr>
          <w:rFonts w:ascii="Century Gothic" w:hAnsi="Century Gothic" w:cs="Arial"/>
          <w:lang w:eastAsia="es-CO"/>
        </w:rPr>
        <w:t>i</w:t>
      </w:r>
      <w:r w:rsidR="00D176B4">
        <w:rPr>
          <w:rFonts w:ascii="Century Gothic" w:hAnsi="Century Gothic" w:cs="Arial"/>
          <w:lang w:eastAsia="es-CO"/>
        </w:rPr>
        <w:t xml:space="preserve">ción última que </w:t>
      </w:r>
      <w:proofErr w:type="spellStart"/>
      <w:r w:rsidR="00D176B4">
        <w:rPr>
          <w:rFonts w:ascii="Century Gothic" w:hAnsi="Century Gothic" w:cs="Arial"/>
          <w:lang w:eastAsia="es-CO"/>
        </w:rPr>
        <w:t>pudese</w:t>
      </w:r>
      <w:proofErr w:type="spellEnd"/>
      <w:r w:rsidR="00D176B4">
        <w:rPr>
          <w:rFonts w:ascii="Century Gothic" w:hAnsi="Century Gothic" w:cs="Arial"/>
          <w:lang w:eastAsia="es-CO"/>
        </w:rPr>
        <w:t xml:space="preserve"> ser totalmente aplicable a las </w:t>
      </w:r>
      <w:r w:rsidR="00B234B5" w:rsidRPr="009F38CE">
        <w:rPr>
          <w:rFonts w:ascii="Century Gothic" w:hAnsi="Century Gothic" w:cs="Arial"/>
          <w:lang w:eastAsia="es-CO"/>
        </w:rPr>
        <w:t>entidades sin ánimo de lucro</w:t>
      </w:r>
      <w:r w:rsidR="00D176B4">
        <w:rPr>
          <w:rFonts w:ascii="Century Gothic" w:hAnsi="Century Gothic" w:cs="Arial"/>
          <w:lang w:eastAsia="es-CO"/>
        </w:rPr>
        <w:t>, incluidas entre estas a las fundaciones</w:t>
      </w:r>
      <w:r w:rsidR="00B234B5" w:rsidRPr="009F38CE">
        <w:rPr>
          <w:rFonts w:ascii="Century Gothic" w:hAnsi="Century Gothic" w:cs="Arial"/>
          <w:lang w:eastAsia="es-CO"/>
        </w:rPr>
        <w:t xml:space="preserve">. </w:t>
      </w:r>
    </w:p>
    <w:p w14:paraId="31653A5C" w14:textId="01CEDCDF" w:rsidR="007E0B21" w:rsidRDefault="00B234B5" w:rsidP="00A855FD">
      <w:pPr>
        <w:spacing w:before="240" w:after="120" w:line="276" w:lineRule="auto"/>
        <w:ind w:firstLine="709"/>
        <w:jc w:val="both"/>
        <w:rPr>
          <w:rFonts w:ascii="Century Gothic" w:hAnsi="Century Gothic" w:cs="Arial"/>
          <w:lang w:eastAsia="es-CO"/>
        </w:rPr>
      </w:pPr>
      <w:r w:rsidRPr="009F38CE">
        <w:rPr>
          <w:rFonts w:ascii="Century Gothic" w:hAnsi="Century Gothic" w:cs="Arial"/>
          <w:lang w:eastAsia="es-CO"/>
        </w:rPr>
        <w:t xml:space="preserve">De otra parte, respecto del numeral 3, la conclusión deriva de que el supuesto de hecho descrito en este numeral solo aplica a personas naturales, concretamente, a las mujeres que hayan ejercido actividades comerciales a través de un establecimiento de comercio durante al menos el último año anterior a la fecha de cierre del proceso de selección. </w:t>
      </w:r>
    </w:p>
    <w:p w14:paraId="3FC47B43" w14:textId="3C33377B" w:rsidR="007E0B21" w:rsidRDefault="006C1810" w:rsidP="007E0B21">
      <w:pPr>
        <w:spacing w:before="240" w:after="0" w:line="276" w:lineRule="auto"/>
        <w:ind w:firstLine="708"/>
        <w:jc w:val="both"/>
        <w:rPr>
          <w:rFonts w:ascii="Century Gothic" w:eastAsia="Calibri" w:hAnsi="Century Gothic" w:cs="Arial"/>
          <w:lang w:val="es-ES_tradnl"/>
        </w:rPr>
      </w:pPr>
      <w:r>
        <w:rPr>
          <w:rFonts w:ascii="Century Gothic" w:hAnsi="Century Gothic" w:cs="Arial"/>
          <w:lang w:eastAsia="es-CO"/>
        </w:rPr>
        <w:t xml:space="preserve">Por otro lado, respecto </w:t>
      </w:r>
      <w:r w:rsidR="00B234B5" w:rsidRPr="009F38CE">
        <w:rPr>
          <w:rFonts w:ascii="Century Gothic" w:hAnsi="Century Gothic" w:cs="Arial"/>
          <w:lang w:eastAsia="es-CO"/>
        </w:rPr>
        <w:t>del numeral 4</w:t>
      </w:r>
      <w:r>
        <w:rPr>
          <w:rFonts w:ascii="Century Gothic" w:hAnsi="Century Gothic" w:cs="Arial"/>
          <w:lang w:eastAsia="es-CO"/>
        </w:rPr>
        <w:t xml:space="preserve"> se reitera que resulta </w:t>
      </w:r>
      <w:r w:rsidR="00B234B5" w:rsidRPr="009F38CE">
        <w:rPr>
          <w:rFonts w:ascii="Century Gothic" w:hAnsi="Century Gothic" w:cs="Arial"/>
          <w:lang w:eastAsia="es-CO"/>
        </w:rPr>
        <w:t>aplica de manera exclusiva a asociaciones</w:t>
      </w:r>
      <w:r w:rsidR="00D176B4">
        <w:rPr>
          <w:rFonts w:ascii="Century Gothic" w:hAnsi="Century Gothic" w:cs="Arial"/>
          <w:lang w:eastAsia="es-CO"/>
        </w:rPr>
        <w:t xml:space="preserve"> </w:t>
      </w:r>
      <w:r w:rsidR="007640D7">
        <w:rPr>
          <w:rFonts w:ascii="Century Gothic" w:hAnsi="Century Gothic" w:cs="Arial"/>
          <w:lang w:eastAsia="es-CO"/>
        </w:rPr>
        <w:t>(o corporaciones)</w:t>
      </w:r>
      <w:r w:rsidR="00B234B5" w:rsidRPr="009F38CE">
        <w:rPr>
          <w:rFonts w:ascii="Century Gothic" w:hAnsi="Century Gothic" w:cs="Arial"/>
          <w:lang w:eastAsia="es-CO"/>
        </w:rPr>
        <w:t xml:space="preserve"> y cooperativas, personas jurídicas </w:t>
      </w:r>
      <w:r w:rsidR="00A77870">
        <w:rPr>
          <w:rFonts w:ascii="Century Gothic" w:hAnsi="Century Gothic" w:cs="Arial"/>
          <w:lang w:eastAsia="es-CO"/>
        </w:rPr>
        <w:t>sin ánimo de lucro</w:t>
      </w:r>
      <w:r w:rsidR="00B234B5" w:rsidRPr="009F38CE">
        <w:rPr>
          <w:rFonts w:ascii="Century Gothic" w:hAnsi="Century Gothic" w:cs="Arial"/>
          <w:lang w:eastAsia="es-CO"/>
        </w:rPr>
        <w:t xml:space="preserve"> distinto al de las fundaciones. </w:t>
      </w:r>
      <w:r w:rsidR="007E0B21">
        <w:rPr>
          <w:rFonts w:ascii="Century Gothic" w:eastAsia="Calibri" w:hAnsi="Century Gothic" w:cs="Arial"/>
        </w:rPr>
        <w:t>En esta opción, se excluyó explícitamente a las fundaciones y a las otras entidades sin ánimo de lucro que no sean las asociaciones (</w:t>
      </w:r>
      <w:proofErr w:type="spellStart"/>
      <w:r w:rsidR="007E0B21">
        <w:rPr>
          <w:rFonts w:ascii="Century Gothic" w:eastAsia="Calibri" w:hAnsi="Century Gothic" w:cs="Arial"/>
        </w:rPr>
        <w:t>entiendase</w:t>
      </w:r>
      <w:proofErr w:type="spellEnd"/>
      <w:r w:rsidR="007E0B21">
        <w:rPr>
          <w:rFonts w:ascii="Century Gothic" w:eastAsia="Calibri" w:hAnsi="Century Gothic" w:cs="Arial"/>
        </w:rPr>
        <w:t xml:space="preserve"> dentro de las asociaciones a las corporaciones)</w:t>
      </w:r>
      <w:r w:rsidR="007E0B21">
        <w:rPr>
          <w:rStyle w:val="Refdenotaalpie"/>
          <w:rFonts w:ascii="Century Gothic" w:eastAsia="Calibri" w:hAnsi="Century Gothic" w:cs="Arial"/>
        </w:rPr>
        <w:footnoteReference w:id="9"/>
      </w:r>
      <w:r w:rsidR="007E0B21">
        <w:rPr>
          <w:rFonts w:ascii="Century Gothic" w:eastAsia="Calibri" w:hAnsi="Century Gothic" w:cs="Arial"/>
        </w:rPr>
        <w:t xml:space="preserve"> y las cooperativas, puesto que se parte de la naturaleza jurídica de este tipo de personas jurídicas, se conforma </w:t>
      </w:r>
      <w:r w:rsidR="007E0B21" w:rsidRPr="00D54D1A">
        <w:rPr>
          <w:rFonts w:ascii="Century Gothic" w:eastAsia="Calibri" w:hAnsi="Century Gothic" w:cs="Arial"/>
        </w:rPr>
        <w:t>de</w:t>
      </w:r>
      <w:r w:rsidR="007E0B21">
        <w:rPr>
          <w:rFonts w:ascii="Century Gothic" w:eastAsia="Calibri" w:hAnsi="Century Gothic" w:cs="Arial"/>
        </w:rPr>
        <w:t>sde el</w:t>
      </w:r>
      <w:r w:rsidR="007E0B21" w:rsidRPr="00D54D1A">
        <w:rPr>
          <w:rFonts w:ascii="Century Gothic" w:eastAsia="Calibri" w:hAnsi="Century Gothic" w:cs="Arial"/>
        </w:rPr>
        <w:t xml:space="preserve"> acuerdo de una pluralidad de voluntades vinculadas mediante aportes en dinero, especie o actividad, en orden a la realización de un fin de beneficio social extraeconómico, que puede contraerse a los asociados, a un gremio o grupo social en particular</w:t>
      </w:r>
      <w:r w:rsidR="007E0B21">
        <w:rPr>
          <w:rFonts w:ascii="Century Gothic" w:eastAsia="Calibri" w:hAnsi="Century Gothic" w:cs="Arial"/>
        </w:rPr>
        <w:t xml:space="preserve">, </w:t>
      </w:r>
      <w:r w:rsidR="007E0B21" w:rsidRPr="00217236">
        <w:rPr>
          <w:rFonts w:ascii="Century Gothic" w:eastAsia="Calibri" w:hAnsi="Century Gothic" w:cs="Arial"/>
          <w:i/>
          <w:iCs/>
        </w:rPr>
        <w:t>pero cuya base fundamental para su existencia son las personas que lo conforman.</w:t>
      </w:r>
      <w:r w:rsidR="007E0B21">
        <w:rPr>
          <w:rFonts w:ascii="Century Gothic" w:eastAsia="Calibri" w:hAnsi="Century Gothic" w:cs="Arial"/>
        </w:rPr>
        <w:t xml:space="preserve"> </w:t>
      </w:r>
      <w:r w:rsidR="007E0B21">
        <w:rPr>
          <w:rFonts w:ascii="Century Gothic" w:eastAsia="Calibri" w:hAnsi="Century Gothic" w:cs="Arial"/>
          <w:lang w:val="es-ES_tradnl"/>
        </w:rPr>
        <w:t xml:space="preserve">Por el contrario, si bien las fundaciones nacen del acuerdo de voluntad </w:t>
      </w:r>
      <w:r w:rsidR="007E0B21" w:rsidRPr="002B237E">
        <w:rPr>
          <w:rFonts w:ascii="Century Gothic" w:eastAsia="Calibri" w:hAnsi="Century Gothic" w:cs="Arial"/>
          <w:lang w:val="es-ES_tradnl"/>
        </w:rPr>
        <w:t>irrevocable</w:t>
      </w:r>
      <w:r w:rsidR="007E0B21">
        <w:rPr>
          <w:rFonts w:ascii="Century Gothic" w:eastAsia="Calibri" w:hAnsi="Century Gothic" w:cs="Arial"/>
          <w:lang w:val="es-ES_tradnl"/>
        </w:rPr>
        <w:t xml:space="preserve"> de sus fundadores, la base fundamental para su existencia</w:t>
      </w:r>
      <w:r w:rsidR="007E0B21" w:rsidRPr="002B237E">
        <w:rPr>
          <w:rFonts w:ascii="Century Gothic" w:eastAsia="Calibri" w:hAnsi="Century Gothic" w:cs="Arial"/>
          <w:lang w:val="es-ES_tradnl"/>
        </w:rPr>
        <w:t xml:space="preserve"> es la afectación de unos fondos preexistentes a la realización efectiva de un fin de beneficencia pública, de utilidad común o de interés social</w:t>
      </w:r>
      <w:r w:rsidR="007E0B21">
        <w:rPr>
          <w:rFonts w:ascii="Century Gothic" w:eastAsia="Calibri" w:hAnsi="Century Gothic" w:cs="Arial"/>
          <w:lang w:val="es-ES_tradnl"/>
        </w:rPr>
        <w:t>.</w:t>
      </w:r>
    </w:p>
    <w:p w14:paraId="176745E9" w14:textId="6FB9805F" w:rsidR="00B234B5" w:rsidRPr="009F38CE" w:rsidRDefault="00B234B5" w:rsidP="00A855FD">
      <w:pPr>
        <w:spacing w:before="240" w:after="120" w:line="276" w:lineRule="auto"/>
        <w:ind w:firstLine="709"/>
        <w:jc w:val="both"/>
        <w:rPr>
          <w:rFonts w:ascii="Century Gothic" w:eastAsia="Calibri" w:hAnsi="Century Gothic" w:cs="Arial"/>
          <w:lang w:val="es-ES_tradnl"/>
        </w:rPr>
      </w:pPr>
    </w:p>
    <w:bookmarkEnd w:id="1"/>
    <w:p w14:paraId="0F94389E" w14:textId="77777777" w:rsidR="00B234B5" w:rsidRPr="009F38CE" w:rsidRDefault="00B234B5" w:rsidP="00A855FD">
      <w:pPr>
        <w:tabs>
          <w:tab w:val="left" w:pos="0"/>
        </w:tabs>
        <w:spacing w:before="240"/>
        <w:jc w:val="both"/>
        <w:rPr>
          <w:rFonts w:ascii="Century Gothic" w:eastAsia="Calibri" w:hAnsi="Century Gothic" w:cs="Arial"/>
          <w:b/>
          <w:color w:val="000000"/>
          <w:lang w:val="es-ES_tradnl"/>
        </w:rPr>
      </w:pPr>
      <w:r w:rsidRPr="009F38CE">
        <w:rPr>
          <w:rFonts w:ascii="Century Gothic" w:eastAsia="Calibri" w:hAnsi="Century Gothic" w:cs="Arial"/>
          <w:b/>
          <w:color w:val="000000"/>
          <w:lang w:val="es-ES_tradnl"/>
        </w:rPr>
        <w:t>3. Respuesta</w:t>
      </w:r>
    </w:p>
    <w:p w14:paraId="58F35128" w14:textId="12622169" w:rsidR="008746F1" w:rsidRPr="002E6156" w:rsidRDefault="009F38CE" w:rsidP="008746F1">
      <w:pPr>
        <w:spacing w:line="240" w:lineRule="auto"/>
        <w:ind w:left="708" w:right="900"/>
        <w:jc w:val="both"/>
        <w:rPr>
          <w:rFonts w:ascii="Century Gothic" w:hAnsi="Century Gothic" w:cs="Arial"/>
          <w:color w:val="000000"/>
          <w:sz w:val="21"/>
          <w:szCs w:val="21"/>
        </w:rPr>
      </w:pPr>
      <w:r>
        <w:rPr>
          <w:rFonts w:ascii="Century Gothic" w:hAnsi="Century Gothic" w:cs="Arial"/>
          <w:sz w:val="21"/>
          <w:szCs w:val="21"/>
        </w:rPr>
        <w:t>“</w:t>
      </w:r>
      <w:r w:rsidR="008746F1" w:rsidRPr="002E6156">
        <w:rPr>
          <w:rFonts w:ascii="Century Gothic" w:hAnsi="Century Gothic" w:cs="Arial"/>
          <w:color w:val="000000" w:themeColor="text1"/>
          <w:sz w:val="21"/>
          <w:szCs w:val="21"/>
          <w:lang w:val="es-ES_tradnl"/>
        </w:rPr>
        <w:t xml:space="preserve">1) </w:t>
      </w:r>
      <w:r w:rsidR="008746F1" w:rsidRPr="002E6156">
        <w:rPr>
          <w:rFonts w:ascii="Century Gothic" w:hAnsi="Century Gothic" w:cs="Arial"/>
          <w:color w:val="000000"/>
          <w:sz w:val="21"/>
          <w:szCs w:val="21"/>
        </w:rPr>
        <w:t xml:space="preserve">Las diversas interpretaciones que le dan las entidades públicas a la condición: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NO PERMITEN a las ESAL (Corporaciones, Asociaciones y Fundaciones), acceder a los incentivos contemplados en la ley 2069 de 2021 y decreto  1860 de 2021 para los emprendimientos y empresas de mujeres, por el solo hecho de ser una ESAL, desconociendo que estas entidades, al igual que las sociedades comerciales, las </w:t>
      </w:r>
      <w:proofErr w:type="spellStart"/>
      <w:r w:rsidR="008746F1" w:rsidRPr="002E6156">
        <w:rPr>
          <w:rFonts w:ascii="Century Gothic" w:hAnsi="Century Gothic" w:cs="Arial"/>
          <w:color w:val="000000"/>
          <w:sz w:val="21"/>
          <w:szCs w:val="21"/>
        </w:rPr>
        <w:t>ESALs</w:t>
      </w:r>
      <w:proofErr w:type="spellEnd"/>
      <w:r w:rsidR="008746F1" w:rsidRPr="002E6156">
        <w:rPr>
          <w:rFonts w:ascii="Century Gothic" w:hAnsi="Century Gothic" w:cs="Arial"/>
          <w:color w:val="000000"/>
          <w:sz w:val="21"/>
          <w:szCs w:val="21"/>
        </w:rPr>
        <w:t xml:space="preserve"> son Personas Jurídicas.</w:t>
      </w:r>
    </w:p>
    <w:p w14:paraId="097D409E" w14:textId="77777777" w:rsidR="008746F1" w:rsidRPr="002E6156" w:rsidRDefault="008746F1" w:rsidP="008746F1">
      <w:pPr>
        <w:spacing w:line="240" w:lineRule="auto"/>
        <w:ind w:left="708" w:right="900"/>
        <w:jc w:val="both"/>
        <w:rPr>
          <w:rFonts w:ascii="Century Gothic" w:hAnsi="Century Gothic" w:cs="Arial"/>
          <w:color w:val="000000"/>
          <w:sz w:val="21"/>
          <w:szCs w:val="21"/>
        </w:rPr>
      </w:pPr>
      <w:r w:rsidRPr="002E6156">
        <w:rPr>
          <w:rFonts w:ascii="Century Gothic" w:hAnsi="Century Gothic" w:cs="Arial"/>
          <w:color w:val="000000"/>
          <w:sz w:val="21"/>
          <w:szCs w:val="21"/>
        </w:rPr>
        <w:t xml:space="preserve">2) Las diversas interpretaciones que le dan las entidades públicas a la condición: </w:t>
      </w:r>
      <w:proofErr w:type="spellStart"/>
      <w:r w:rsidRPr="002E6156">
        <w:rPr>
          <w:rFonts w:ascii="Century Gothic" w:hAnsi="Century Gothic" w:cs="Arial"/>
          <w:color w:val="000000"/>
          <w:sz w:val="21"/>
          <w:szCs w:val="21"/>
        </w:rPr>
        <w:t>iv</w:t>
      </w:r>
      <w:proofErr w:type="spellEnd"/>
      <w:r w:rsidRPr="002E6156">
        <w:rPr>
          <w:rFonts w:ascii="Century Gothic" w:hAnsi="Century Gothic" w:cs="Arial"/>
          <w:color w:val="000000"/>
          <w:sz w:val="21"/>
          <w:szCs w:val="21"/>
        </w:rPr>
        <w:t xml:space="preserve">. Para las asociaciones y cooperativas, cuando más del cincuenta por ciento (50%) de los asociados sean mujeres y la participación haya correspondido a estas durante al menos el último año anterior a la fecha de cierre del Proceso de Selección. NO PERMITEN a las CORPORACIONES, creadas como Entidades de carácter privado sin Ánimo de Lucro - ESAL, acceder a los incentivos contemplados en la ley 2069 de 2021 y decreto 1860 de 2021 para los emprendimientos y empresas de mujeres, toda vez que, según la entidad pública, solo pueden ACREDITAR la condición citada, solo las </w:t>
      </w:r>
      <w:proofErr w:type="spellStart"/>
      <w:r w:rsidRPr="002E6156">
        <w:rPr>
          <w:rFonts w:ascii="Century Gothic" w:hAnsi="Century Gothic" w:cs="Arial"/>
          <w:color w:val="000000"/>
          <w:sz w:val="21"/>
          <w:szCs w:val="21"/>
        </w:rPr>
        <w:t>ESALs</w:t>
      </w:r>
      <w:proofErr w:type="spellEnd"/>
      <w:r w:rsidRPr="002E6156">
        <w:rPr>
          <w:rFonts w:ascii="Century Gothic" w:hAnsi="Century Gothic" w:cs="Arial"/>
          <w:color w:val="000000"/>
          <w:sz w:val="21"/>
          <w:szCs w:val="21"/>
        </w:rPr>
        <w:t xml:space="preserve"> que estén creadas como ASOCIACIONES o FUNDACIONES a dicho incentivos”.</w:t>
      </w:r>
      <w:r>
        <w:rPr>
          <w:rFonts w:ascii="Century Gothic" w:hAnsi="Century Gothic" w:cs="Arial"/>
          <w:color w:val="000000"/>
          <w:sz w:val="21"/>
          <w:szCs w:val="21"/>
        </w:rPr>
        <w:t xml:space="preserve"> (Sic)</w:t>
      </w:r>
    </w:p>
    <w:p w14:paraId="1AE5E02F" w14:textId="1E277D06" w:rsidR="00B234B5" w:rsidRPr="009F38CE" w:rsidRDefault="00B234B5" w:rsidP="00A855FD">
      <w:pPr>
        <w:spacing w:before="240" w:after="120" w:line="276" w:lineRule="auto"/>
        <w:jc w:val="both"/>
        <w:rPr>
          <w:rFonts w:ascii="Century Gothic" w:eastAsia="Calibri" w:hAnsi="Century Gothic" w:cs="Arial"/>
          <w:color w:val="000000" w:themeColor="text1"/>
        </w:rPr>
      </w:pPr>
      <w:r w:rsidRPr="009F38CE">
        <w:rPr>
          <w:rFonts w:ascii="Century Gothic" w:eastAsia="Calibri" w:hAnsi="Century Gothic" w:cs="Arial"/>
          <w:color w:val="000000"/>
          <w:lang w:val="es-ES_tradnl"/>
        </w:rPr>
        <w:t>De acuerdo con</w:t>
      </w:r>
      <w:r w:rsidRPr="009F38CE">
        <w:rPr>
          <w:rFonts w:ascii="Century Gothic" w:eastAsia="Calibri" w:hAnsi="Century Gothic" w:cs="Arial"/>
          <w:color w:val="000000" w:themeColor="text1"/>
        </w:rPr>
        <w:t xml:space="preserve"> lo expuesto, </w:t>
      </w:r>
      <w:r w:rsidR="00C13BB3">
        <w:rPr>
          <w:rFonts w:ascii="Century Gothic" w:eastAsia="Calibri" w:hAnsi="Century Gothic" w:cs="Arial"/>
          <w:color w:val="000000" w:themeColor="text1"/>
        </w:rPr>
        <w:t xml:space="preserve">las </w:t>
      </w:r>
      <w:r w:rsidR="00784D2B">
        <w:rPr>
          <w:rFonts w:ascii="Century Gothic" w:eastAsia="Calibri" w:hAnsi="Century Gothic" w:cs="Arial"/>
          <w:color w:val="000000" w:themeColor="text1"/>
        </w:rPr>
        <w:t>entidades sin ánimo de lucro</w:t>
      </w:r>
      <w:r w:rsidRPr="009F38CE">
        <w:rPr>
          <w:rFonts w:ascii="Century Gothic" w:eastAsia="Calibri" w:hAnsi="Century Gothic" w:cs="Arial"/>
          <w:color w:val="000000" w:themeColor="text1"/>
        </w:rPr>
        <w:t xml:space="preserve"> pueden ser proponentes en procesos de licitación pública, selección abreviada de menor cuantía y concurso de méritos adelantados por las entidades sometidas al Estatuto General de Contratación de la Administración Pública. Dado lo anterior, considerando que los criterios diferenciales para emprendimientos y empresas de mujeres establecidos por el artículo 32 de la Ley 2069 de 2020 son aplicables en tales procedimientos, las </w:t>
      </w:r>
      <w:r w:rsidR="003902B5">
        <w:rPr>
          <w:rFonts w:ascii="Century Gothic" w:eastAsia="Calibri" w:hAnsi="Century Gothic" w:cs="Arial"/>
          <w:color w:val="000000" w:themeColor="text1"/>
        </w:rPr>
        <w:t xml:space="preserve">entidades sin ánimo de lucro </w:t>
      </w:r>
      <w:r w:rsidRPr="009F38CE">
        <w:rPr>
          <w:rFonts w:ascii="Century Gothic" w:eastAsia="Calibri" w:hAnsi="Century Gothic" w:cs="Arial"/>
          <w:color w:val="000000" w:themeColor="text1"/>
        </w:rPr>
        <w:t xml:space="preserve">podrían participar en </w:t>
      </w:r>
      <w:r w:rsidR="003902B5">
        <w:rPr>
          <w:rFonts w:ascii="Century Gothic" w:eastAsia="Calibri" w:hAnsi="Century Gothic" w:cs="Arial"/>
          <w:color w:val="000000" w:themeColor="text1"/>
        </w:rPr>
        <w:t xml:space="preserve">los </w:t>
      </w:r>
      <w:r w:rsidRPr="009F38CE">
        <w:rPr>
          <w:rFonts w:ascii="Century Gothic" w:eastAsia="Calibri" w:hAnsi="Century Gothic" w:cs="Arial"/>
          <w:color w:val="000000" w:themeColor="text1"/>
        </w:rPr>
        <w:t xml:space="preserve">procedimientos </w:t>
      </w:r>
      <w:r w:rsidR="003902B5">
        <w:rPr>
          <w:rFonts w:ascii="Century Gothic" w:eastAsia="Calibri" w:hAnsi="Century Gothic" w:cs="Arial"/>
          <w:color w:val="000000" w:themeColor="text1"/>
        </w:rPr>
        <w:t>de selección</w:t>
      </w:r>
      <w:r w:rsidR="0048485B">
        <w:rPr>
          <w:rFonts w:ascii="Century Gothic" w:eastAsia="Calibri" w:hAnsi="Century Gothic" w:cs="Arial"/>
          <w:color w:val="000000" w:themeColor="text1"/>
        </w:rPr>
        <w:t xml:space="preserve"> </w:t>
      </w:r>
      <w:r w:rsidRPr="009F38CE">
        <w:rPr>
          <w:rFonts w:ascii="Century Gothic" w:eastAsia="Calibri" w:hAnsi="Century Gothic" w:cs="Arial"/>
          <w:color w:val="000000" w:themeColor="text1"/>
        </w:rPr>
        <w:t xml:space="preserve">en los que se apliquen dichos criterios.  En todo caso, para que se apliquen los criterios diferenciales para emprendimientos y empresas de mujeres establecidos en el artículo 2.2.1.2.4.2.15 del Decreto 1082 de 2015 se requiere que el proponente acredite que cumple con alguna de las cuatro definiciones consagradas en el artículo </w:t>
      </w:r>
      <w:r w:rsidRPr="009F38CE">
        <w:rPr>
          <w:rFonts w:ascii="Century Gothic" w:hAnsi="Century Gothic" w:cs="Arial"/>
          <w:lang w:eastAsia="es-CO"/>
        </w:rPr>
        <w:t xml:space="preserve">2.2.1.2.4.2.14 de dicho reglamento. </w:t>
      </w:r>
    </w:p>
    <w:p w14:paraId="0C97CCE6" w14:textId="78E0A055" w:rsidR="00C510E1" w:rsidRDefault="00B234B5" w:rsidP="00C510E1">
      <w:pPr>
        <w:spacing w:before="240" w:after="0" w:line="276" w:lineRule="auto"/>
        <w:ind w:firstLine="708"/>
        <w:jc w:val="both"/>
        <w:rPr>
          <w:rFonts w:ascii="Century Gothic" w:eastAsia="Calibri" w:hAnsi="Century Gothic" w:cs="Arial"/>
          <w:color w:val="000000" w:themeColor="text1"/>
        </w:rPr>
      </w:pPr>
      <w:r w:rsidRPr="009F38CE">
        <w:rPr>
          <w:rFonts w:ascii="Century Gothic" w:eastAsia="Calibri" w:hAnsi="Century Gothic" w:cs="Arial"/>
          <w:color w:val="000000" w:themeColor="text1"/>
        </w:rPr>
        <w:t xml:space="preserve"> Dicho lo anterior, según indica el análisis precedente, se concluye que </w:t>
      </w:r>
      <w:r w:rsidR="0048485B" w:rsidRPr="009F38CE">
        <w:rPr>
          <w:rFonts w:ascii="Century Gothic" w:hAnsi="Century Gothic" w:cs="Arial"/>
          <w:lang w:eastAsia="es-CO"/>
        </w:rPr>
        <w:t xml:space="preserve">a las </w:t>
      </w:r>
      <w:r w:rsidR="0048485B">
        <w:rPr>
          <w:rFonts w:ascii="Century Gothic" w:hAnsi="Century Gothic" w:cs="Arial"/>
          <w:lang w:eastAsia="es-CO"/>
        </w:rPr>
        <w:t>entidades sin ánimo de lucro</w:t>
      </w:r>
      <w:r w:rsidR="0048485B" w:rsidRPr="009F38CE">
        <w:rPr>
          <w:rFonts w:ascii="Century Gothic" w:hAnsi="Century Gothic" w:cs="Arial"/>
          <w:lang w:eastAsia="es-CO"/>
        </w:rPr>
        <w:t xml:space="preserve"> </w:t>
      </w:r>
      <w:r w:rsidR="0048485B">
        <w:rPr>
          <w:rFonts w:ascii="Century Gothic" w:hAnsi="Century Gothic" w:cs="Arial"/>
          <w:lang w:eastAsia="es-CO"/>
        </w:rPr>
        <w:t xml:space="preserve">no </w:t>
      </w:r>
      <w:r w:rsidR="0048485B" w:rsidRPr="009F38CE">
        <w:rPr>
          <w:rFonts w:ascii="Century Gothic" w:hAnsi="Century Gothic" w:cs="Arial"/>
          <w:lang w:eastAsia="es-CO"/>
        </w:rPr>
        <w:t>se les apli</w:t>
      </w:r>
      <w:r w:rsidR="0048485B">
        <w:rPr>
          <w:rFonts w:ascii="Century Gothic" w:hAnsi="Century Gothic" w:cs="Arial"/>
          <w:lang w:eastAsia="es-CO"/>
        </w:rPr>
        <w:t>ca</w:t>
      </w:r>
      <w:r w:rsidR="0048485B" w:rsidRPr="009F38CE">
        <w:rPr>
          <w:rFonts w:ascii="Century Gothic" w:hAnsi="Century Gothic" w:cs="Arial"/>
          <w:lang w:eastAsia="es-CO"/>
        </w:rPr>
        <w:t xml:space="preserve"> la definición del numeral 1 del artículo 2.2.1.2.4.2.14</w:t>
      </w:r>
      <w:r w:rsidR="0048485B">
        <w:rPr>
          <w:rFonts w:ascii="Century Gothic" w:hAnsi="Century Gothic" w:cs="Arial"/>
          <w:lang w:eastAsia="es-CO"/>
        </w:rPr>
        <w:t xml:space="preserve">. del Decreto 1082 de 2015, </w:t>
      </w:r>
      <w:r w:rsidR="0048485B" w:rsidRPr="009F38CE">
        <w:rPr>
          <w:rFonts w:ascii="Century Gothic" w:hAnsi="Century Gothic" w:cs="Arial"/>
          <w:lang w:eastAsia="es-CO"/>
        </w:rPr>
        <w:t>por cuanto dada la naturaleza de este tipo de personas jurídicas, no existen en las misma acciones, partes de interés o cuotas de participación</w:t>
      </w:r>
      <w:r w:rsidR="00690A35">
        <w:rPr>
          <w:rFonts w:ascii="Century Gothic" w:hAnsi="Century Gothic" w:cs="Arial"/>
          <w:lang w:eastAsia="es-CO"/>
        </w:rPr>
        <w:t xml:space="preserve">. </w:t>
      </w:r>
      <w:r w:rsidR="0048485B" w:rsidRPr="009F38CE">
        <w:rPr>
          <w:rFonts w:ascii="Century Gothic" w:hAnsi="Century Gothic" w:cs="Arial"/>
          <w:lang w:eastAsia="es-CO"/>
        </w:rPr>
        <w:t>En ese sentido, no puede afirmarse que los socios de las fundaciones o su fundador</w:t>
      </w:r>
      <w:r w:rsidR="0048485B">
        <w:rPr>
          <w:rFonts w:ascii="Century Gothic" w:hAnsi="Century Gothic" w:cs="Arial"/>
          <w:lang w:eastAsia="es-CO"/>
        </w:rPr>
        <w:t xml:space="preserve"> o los asociados o </w:t>
      </w:r>
      <w:proofErr w:type="spellStart"/>
      <w:r w:rsidR="0048485B">
        <w:rPr>
          <w:rFonts w:ascii="Century Gothic" w:hAnsi="Century Gothic" w:cs="Arial"/>
          <w:lang w:eastAsia="es-CO"/>
        </w:rPr>
        <w:t>coperantes</w:t>
      </w:r>
      <w:proofErr w:type="spellEnd"/>
      <w:r w:rsidR="0048485B">
        <w:rPr>
          <w:rFonts w:ascii="Century Gothic" w:hAnsi="Century Gothic" w:cs="Arial"/>
          <w:lang w:eastAsia="es-CO"/>
        </w:rPr>
        <w:t xml:space="preserve"> de  entidades sin ánimo de lucro</w:t>
      </w:r>
      <w:r w:rsidR="0048485B" w:rsidRPr="009F38CE">
        <w:rPr>
          <w:rFonts w:ascii="Century Gothic" w:hAnsi="Century Gothic" w:cs="Arial"/>
          <w:lang w:eastAsia="es-CO"/>
        </w:rPr>
        <w:t xml:space="preserve"> </w:t>
      </w:r>
      <w:r w:rsidR="003F3B14">
        <w:rPr>
          <w:rFonts w:ascii="Century Gothic" w:hAnsi="Century Gothic" w:cs="Arial"/>
          <w:lang w:eastAsia="es-CO"/>
        </w:rPr>
        <w:t xml:space="preserve">que </w:t>
      </w:r>
      <w:r w:rsidR="0048485B" w:rsidRPr="009F38CE">
        <w:rPr>
          <w:rFonts w:ascii="Century Gothic" w:hAnsi="Century Gothic" w:cs="Arial"/>
          <w:lang w:eastAsia="es-CO"/>
        </w:rPr>
        <w:t xml:space="preserve">tengan participación accionaria, partes de interés o cuotas de participación en la misma, figuras asociadas a las sociedades comerciales, razón por la que el propio numeral 1 del artículo 2.2.1.2.4.2.14 exige que en el documento de acreditación de esta </w:t>
      </w:r>
      <w:r w:rsidR="0048485B" w:rsidRPr="003F3B14">
        <w:rPr>
          <w:rFonts w:ascii="Century Gothic" w:hAnsi="Century Gothic" w:cs="Arial"/>
          <w:lang w:eastAsia="es-CO"/>
        </w:rPr>
        <w:t>condición</w:t>
      </w:r>
      <w:r w:rsidR="0048485B" w:rsidRPr="003F3B14">
        <w:rPr>
          <w:rFonts w:ascii="Century Gothic" w:hAnsi="Century Gothic" w:cs="Arial"/>
          <w:i/>
          <w:iCs/>
          <w:lang w:eastAsia="es-CO"/>
        </w:rPr>
        <w:t>”[...] conste la distribución de los derechos en la sociedad y el tiempo en el que las mujeres han mantenido su participación”.</w:t>
      </w:r>
      <w:r w:rsidR="0048485B">
        <w:rPr>
          <w:rFonts w:ascii="Century Gothic" w:hAnsi="Century Gothic" w:cs="Arial"/>
          <w:lang w:eastAsia="es-CO"/>
        </w:rPr>
        <w:t xml:space="preserve"> </w:t>
      </w:r>
      <w:r w:rsidR="00C510E1">
        <w:rPr>
          <w:rFonts w:ascii="Century Gothic" w:eastAsia="Calibri" w:hAnsi="Century Gothic" w:cs="Arial"/>
          <w:color w:val="000000" w:themeColor="text1"/>
        </w:rPr>
        <w:t xml:space="preserve">Por lo tanto, en la práctica, este numeral no puede ser utilizado por entidades sin ánimo de lucro, toda vez que </w:t>
      </w:r>
      <w:r w:rsidR="00C510E1" w:rsidRPr="00851EB3">
        <w:rPr>
          <w:rFonts w:ascii="Century Gothic" w:eastAsia="Calibri" w:hAnsi="Century Gothic" w:cs="Arial"/>
          <w:color w:val="000000" w:themeColor="text1"/>
        </w:rPr>
        <w:t xml:space="preserve">las acciones, partes de interés o cuotas de participación </w:t>
      </w:r>
      <w:r w:rsidR="00C510E1">
        <w:rPr>
          <w:rFonts w:ascii="Century Gothic" w:eastAsia="Calibri" w:hAnsi="Century Gothic" w:cs="Arial"/>
          <w:color w:val="000000" w:themeColor="text1"/>
        </w:rPr>
        <w:t>son características propias de las formas de división del capital social de las sociedades</w:t>
      </w:r>
      <w:r w:rsidR="00C372B4">
        <w:rPr>
          <w:rFonts w:ascii="Century Gothic" w:eastAsia="Calibri" w:hAnsi="Century Gothic" w:cs="Arial"/>
          <w:color w:val="000000" w:themeColor="text1"/>
        </w:rPr>
        <w:t xml:space="preserve"> comerciales</w:t>
      </w:r>
      <w:r w:rsidR="00C510E1">
        <w:rPr>
          <w:rFonts w:ascii="Century Gothic" w:eastAsia="Calibri" w:hAnsi="Century Gothic" w:cs="Arial"/>
          <w:color w:val="000000" w:themeColor="text1"/>
        </w:rPr>
        <w:t xml:space="preserve">, como puede observarse en el libro segundo del Código de Comercio. </w:t>
      </w:r>
    </w:p>
    <w:p w14:paraId="5F828748" w14:textId="5D9EC889" w:rsidR="00C372B4" w:rsidRDefault="00C372B4" w:rsidP="00C372B4">
      <w:pPr>
        <w:spacing w:before="240" w:after="0" w:line="276" w:lineRule="auto"/>
        <w:ind w:firstLine="708"/>
        <w:jc w:val="both"/>
        <w:rPr>
          <w:rFonts w:ascii="Century Gothic" w:hAnsi="Century Gothic"/>
        </w:rPr>
      </w:pPr>
      <w:r>
        <w:rPr>
          <w:rFonts w:ascii="Century Gothic" w:hAnsi="Century Gothic" w:cs="Arial"/>
          <w:lang w:eastAsia="es-CO"/>
        </w:rPr>
        <w:t xml:space="preserve">Por su parte, </w:t>
      </w:r>
      <w:r>
        <w:rPr>
          <w:rFonts w:ascii="Century Gothic" w:eastAsia="Calibri" w:hAnsi="Century Gothic" w:cs="Arial"/>
          <w:lang w:val="es-ES_tradnl"/>
        </w:rPr>
        <w:t>la opción 2 del a</w:t>
      </w:r>
      <w:r w:rsidRPr="004F5970">
        <w:rPr>
          <w:rFonts w:ascii="Century Gothic" w:eastAsia="Calibri" w:hAnsi="Century Gothic" w:cs="Arial"/>
          <w:lang w:val="es-ES_tradnl"/>
        </w:rPr>
        <w:t>rtículo 2.2.1.2.4.2.14</w:t>
      </w:r>
      <w:r>
        <w:rPr>
          <w:rFonts w:ascii="Century Gothic" w:eastAsia="Calibri" w:hAnsi="Century Gothic" w:cs="Arial"/>
          <w:lang w:val="es-ES_tradnl"/>
        </w:rPr>
        <w:t xml:space="preserve"> del Decreto 1082 de 2015, a criterio de esta </w:t>
      </w:r>
      <w:proofErr w:type="spellStart"/>
      <w:r>
        <w:rPr>
          <w:rFonts w:ascii="Century Gothic" w:eastAsia="Calibri" w:hAnsi="Century Gothic" w:cs="Arial"/>
          <w:lang w:val="es-ES_tradnl"/>
        </w:rPr>
        <w:t>Aencia</w:t>
      </w:r>
      <w:proofErr w:type="spellEnd"/>
      <w:r>
        <w:rPr>
          <w:rFonts w:ascii="Century Gothic" w:eastAsia="Calibri" w:hAnsi="Century Gothic" w:cs="Arial"/>
          <w:lang w:val="es-ES_tradnl"/>
        </w:rPr>
        <w:t xml:space="preserve">, puede ser utilizada para acreditar la condición de </w:t>
      </w:r>
      <w:r w:rsidRPr="00CA492D">
        <w:rPr>
          <w:rFonts w:ascii="Century Gothic" w:eastAsia="Calibri" w:hAnsi="Century Gothic" w:cs="Arial"/>
          <w:color w:val="000000" w:themeColor="text1"/>
        </w:rPr>
        <w:t xml:space="preserve">emprendimiento y empresa de mujer </w:t>
      </w:r>
      <w:r>
        <w:rPr>
          <w:rFonts w:ascii="Century Gothic" w:eastAsia="Calibri" w:hAnsi="Century Gothic" w:cs="Arial"/>
          <w:color w:val="000000" w:themeColor="text1"/>
        </w:rPr>
        <w:t>según el porcentaje de empleos de nivel directivo mujeres por parte de cualquier persona jurídica, siendo importante precisar que esta opción permite</w:t>
      </w:r>
      <w:r>
        <w:rPr>
          <w:rFonts w:ascii="Century Gothic" w:eastAsia="Calibri" w:hAnsi="Century Gothic" w:cs="Arial"/>
          <w:lang w:val="es-ES_tradnl"/>
        </w:rPr>
        <w:t xml:space="preserve"> certificar y relacionar los empleos de </w:t>
      </w:r>
      <w:r w:rsidRPr="00B251D0">
        <w:rPr>
          <w:rFonts w:ascii="Century Gothic" w:eastAsia="Calibri" w:hAnsi="Century Gothic" w:cs="Arial"/>
          <w:lang w:val="es-ES_tradnl"/>
        </w:rPr>
        <w:t xml:space="preserve">dirección de áreas misionales y </w:t>
      </w:r>
      <w:r>
        <w:rPr>
          <w:rFonts w:ascii="Century Gothic" w:eastAsia="Calibri" w:hAnsi="Century Gothic" w:cs="Arial"/>
          <w:lang w:val="es-ES_tradnl"/>
        </w:rPr>
        <w:t xml:space="preserve">de </w:t>
      </w:r>
      <w:r w:rsidRPr="00B251D0">
        <w:rPr>
          <w:rFonts w:ascii="Century Gothic" w:eastAsia="Calibri" w:hAnsi="Century Gothic" w:cs="Arial"/>
          <w:lang w:val="es-ES_tradnl"/>
        </w:rPr>
        <w:t>decisiones de nivel estratégico de la respectiva persona jurídica</w:t>
      </w:r>
      <w:r>
        <w:rPr>
          <w:rFonts w:ascii="Century Gothic" w:eastAsia="Calibri" w:hAnsi="Century Gothic" w:cs="Arial"/>
          <w:lang w:val="es-ES_tradnl"/>
        </w:rPr>
        <w:t>, sin que se hiciese distinción alguna para su aplicación</w:t>
      </w:r>
      <w:r w:rsidRPr="00B251D0">
        <w:rPr>
          <w:rFonts w:ascii="Century Gothic" w:eastAsia="Calibri" w:hAnsi="Century Gothic" w:cs="Arial"/>
          <w:lang w:val="es-ES_tradnl"/>
        </w:rPr>
        <w:t xml:space="preserve">. De esta manera, </w:t>
      </w:r>
      <w:r>
        <w:rPr>
          <w:rFonts w:ascii="Century Gothic" w:eastAsia="Calibri" w:hAnsi="Century Gothic" w:cs="Arial"/>
          <w:lang w:val="es-ES_tradnl"/>
        </w:rPr>
        <w:t xml:space="preserve">esta opción puede ser utilizado por cualquier persona jurídica, </w:t>
      </w:r>
      <w:r w:rsidR="00660067">
        <w:rPr>
          <w:rFonts w:ascii="Century Gothic" w:eastAsia="Calibri" w:hAnsi="Century Gothic" w:cs="Arial"/>
          <w:lang w:val="es-ES_tradnl"/>
        </w:rPr>
        <w:t xml:space="preserve">lo que </w:t>
      </w:r>
      <w:proofErr w:type="spellStart"/>
      <w:r w:rsidR="00660067">
        <w:rPr>
          <w:rFonts w:ascii="Century Gothic" w:eastAsia="Calibri" w:hAnsi="Century Gothic" w:cs="Arial"/>
          <w:lang w:val="es-ES_tradnl"/>
        </w:rPr>
        <w:t>inluye</w:t>
      </w:r>
      <w:proofErr w:type="spellEnd"/>
      <w:r w:rsidR="00660067">
        <w:rPr>
          <w:rFonts w:ascii="Century Gothic" w:eastAsia="Calibri" w:hAnsi="Century Gothic" w:cs="Arial"/>
          <w:lang w:val="es-ES_tradnl"/>
        </w:rPr>
        <w:t xml:space="preserve"> a las </w:t>
      </w:r>
      <w:proofErr w:type="spellStart"/>
      <w:r w:rsidR="00660067">
        <w:rPr>
          <w:rFonts w:ascii="Century Gothic" w:eastAsia="Calibri" w:hAnsi="Century Gothic" w:cs="Arial"/>
          <w:lang w:val="es-ES_tradnl"/>
        </w:rPr>
        <w:t>coporaciones</w:t>
      </w:r>
      <w:proofErr w:type="spellEnd"/>
      <w:r w:rsidR="00660067">
        <w:rPr>
          <w:rFonts w:ascii="Century Gothic" w:eastAsia="Calibri" w:hAnsi="Century Gothic" w:cs="Arial"/>
          <w:lang w:val="es-ES_tradnl"/>
        </w:rPr>
        <w:t xml:space="preserve">, </w:t>
      </w:r>
      <w:r>
        <w:rPr>
          <w:rFonts w:ascii="Century Gothic" w:eastAsia="Calibri" w:hAnsi="Century Gothic" w:cs="Arial"/>
          <w:lang w:val="es-ES_tradnl"/>
        </w:rPr>
        <w:t>con independencia de si tienen o no ánimo de lucro</w:t>
      </w:r>
      <w:r w:rsidRPr="00B251D0">
        <w:rPr>
          <w:rFonts w:ascii="Century Gothic" w:eastAsia="Calibri" w:hAnsi="Century Gothic" w:cs="Arial"/>
          <w:lang w:val="es-ES_tradnl"/>
        </w:rPr>
        <w:t xml:space="preserve">, </w:t>
      </w:r>
      <w:r>
        <w:rPr>
          <w:rFonts w:ascii="Century Gothic" w:eastAsia="Calibri" w:hAnsi="Century Gothic" w:cs="Arial"/>
          <w:lang w:val="es-ES_tradnl"/>
        </w:rPr>
        <w:t xml:space="preserve">pues lo único que se exige mediante esta disposición es relacionar, con </w:t>
      </w:r>
      <w:r w:rsidRPr="00B251D0">
        <w:rPr>
          <w:rFonts w:ascii="Century Gothic" w:eastAsia="Calibri" w:hAnsi="Century Gothic" w:cs="Arial"/>
          <w:lang w:val="es-ES_tradnl"/>
        </w:rPr>
        <w:t>independ</w:t>
      </w:r>
      <w:r>
        <w:rPr>
          <w:rFonts w:ascii="Century Gothic" w:eastAsia="Calibri" w:hAnsi="Century Gothic" w:cs="Arial"/>
          <w:lang w:val="es-ES_tradnl"/>
        </w:rPr>
        <w:t>encia</w:t>
      </w:r>
      <w:r w:rsidRPr="00B251D0">
        <w:rPr>
          <w:rFonts w:ascii="Century Gothic" w:eastAsia="Calibri" w:hAnsi="Century Gothic" w:cs="Arial"/>
          <w:lang w:val="es-ES_tradnl"/>
        </w:rPr>
        <w:t xml:space="preserve"> de la denominación del cargo, </w:t>
      </w:r>
      <w:r>
        <w:rPr>
          <w:rFonts w:ascii="Century Gothic" w:eastAsia="Calibri" w:hAnsi="Century Gothic" w:cs="Arial"/>
          <w:lang w:val="es-ES_tradnl"/>
        </w:rPr>
        <w:t xml:space="preserve">aquellos empleos que por </w:t>
      </w:r>
      <w:r w:rsidRPr="00B251D0">
        <w:rPr>
          <w:rFonts w:ascii="Century Gothic" w:eastAsia="Calibri" w:hAnsi="Century Gothic" w:cs="Arial"/>
          <w:lang w:val="es-ES_tradnl"/>
        </w:rPr>
        <w:t>su naturaleza s</w:t>
      </w:r>
      <w:r>
        <w:rPr>
          <w:rFonts w:ascii="Century Gothic" w:eastAsia="Calibri" w:hAnsi="Century Gothic" w:cs="Arial"/>
          <w:lang w:val="es-ES_tradnl"/>
        </w:rPr>
        <w:t xml:space="preserve">on de nivel </w:t>
      </w:r>
      <w:r w:rsidRPr="00B251D0">
        <w:rPr>
          <w:rFonts w:ascii="Century Gothic" w:eastAsia="Calibri" w:hAnsi="Century Gothic" w:cs="Arial"/>
          <w:lang w:val="es-ES_tradnl"/>
        </w:rPr>
        <w:t>directiv</w:t>
      </w:r>
      <w:r>
        <w:rPr>
          <w:rFonts w:ascii="Century Gothic" w:eastAsia="Calibri" w:hAnsi="Century Gothic" w:cs="Arial"/>
          <w:lang w:val="es-ES_tradnl"/>
        </w:rPr>
        <w:t>o,</w:t>
      </w:r>
      <w:r w:rsidRPr="00B251D0">
        <w:rPr>
          <w:rFonts w:ascii="Century Gothic" w:eastAsia="Calibri" w:hAnsi="Century Gothic" w:cs="Arial"/>
          <w:lang w:val="es-ES_tradnl"/>
        </w:rPr>
        <w:t xml:space="preserve"> </w:t>
      </w:r>
      <w:r w:rsidRPr="00B251D0">
        <w:rPr>
          <w:rFonts w:ascii="Century Gothic" w:hAnsi="Century Gothic"/>
        </w:rPr>
        <w:t>bien porque se encuentra en un nivel especial de mando o porque, de acuerdo con su jerarquía, representan al empleador en los términos del artículo 32 del Código Sustantivo del Trabajo</w:t>
      </w:r>
      <w:r w:rsidRPr="00B251D0">
        <w:rPr>
          <w:rStyle w:val="Refdenotaalpie"/>
          <w:rFonts w:ascii="Century Gothic" w:hAnsi="Century Gothic"/>
        </w:rPr>
        <w:footnoteReference w:id="10"/>
      </w:r>
      <w:r w:rsidRPr="00B251D0">
        <w:rPr>
          <w:rFonts w:ascii="Century Gothic" w:hAnsi="Century Gothic"/>
        </w:rPr>
        <w:t xml:space="preserve"> </w:t>
      </w:r>
      <w:r>
        <w:rPr>
          <w:rFonts w:ascii="Century Gothic" w:hAnsi="Century Gothic"/>
        </w:rPr>
        <w:t xml:space="preserve">dentro de dicha persona jurídica, que sean ocupados por mujeres mediante contrato laboral, </w:t>
      </w:r>
      <w:r w:rsidRPr="00B251D0">
        <w:rPr>
          <w:rFonts w:ascii="Century Gothic" w:hAnsi="Century Gothic"/>
        </w:rPr>
        <w:t xml:space="preserve">como mínimo durante el periodo de un [1] año, contado a partir de la fecha de cierre del proceso de selección. </w:t>
      </w:r>
    </w:p>
    <w:p w14:paraId="2D8CB032" w14:textId="77777777" w:rsidR="00C372B4" w:rsidRDefault="00C372B4" w:rsidP="00C372B4">
      <w:pPr>
        <w:spacing w:before="240" w:after="0" w:line="276" w:lineRule="auto"/>
        <w:ind w:firstLine="708"/>
        <w:jc w:val="both"/>
        <w:rPr>
          <w:rFonts w:ascii="Century Gothic" w:hAnsi="Century Gothic"/>
        </w:rPr>
      </w:pPr>
      <w:r w:rsidRPr="00B251D0">
        <w:rPr>
          <w:rFonts w:ascii="Century Gothic" w:hAnsi="Century Gothic"/>
        </w:rPr>
        <w:t>Al respecto, resulta necesario precisar que el tiempo mínimo de permanencia en el cargo directivo se predica únicamente frente a las mujeres que la integran y no respecto de todos los miembros</w:t>
      </w:r>
      <w:r>
        <w:rPr>
          <w:rFonts w:ascii="Century Gothic" w:hAnsi="Century Gothic"/>
        </w:rPr>
        <w:t xml:space="preserve">. A su vez, </w:t>
      </w:r>
      <w:r w:rsidRPr="00B251D0">
        <w:rPr>
          <w:rFonts w:ascii="Century Gothic" w:hAnsi="Century Gothic"/>
        </w:rPr>
        <w:t>la norma dispone que la mencionada certificación debe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w:t>
      </w:r>
    </w:p>
    <w:p w14:paraId="09503C3E" w14:textId="3B7298AB" w:rsidR="00C372B4" w:rsidRDefault="00C372B4" w:rsidP="00C372B4">
      <w:pPr>
        <w:spacing w:before="240" w:after="0" w:line="276" w:lineRule="auto"/>
        <w:ind w:firstLine="708"/>
        <w:jc w:val="both"/>
        <w:rPr>
          <w:rFonts w:ascii="Century Gothic" w:hAnsi="Century Gothic"/>
        </w:rPr>
      </w:pPr>
      <w:r w:rsidRPr="00B251D0">
        <w:rPr>
          <w:rFonts w:ascii="Century Gothic" w:hAnsi="Century Gothic"/>
        </w:rPr>
        <w:t xml:space="preserve"> De este modo, los documentos anteriormente referenciados constituyen una tarifa legal probatoria para demostrar que los proponentes son emprendimientos o empresas de mujeres</w:t>
      </w:r>
      <w:r>
        <w:rPr>
          <w:rFonts w:ascii="Century Gothic" w:hAnsi="Century Gothic"/>
        </w:rPr>
        <w:t xml:space="preserve"> por la opción 2 del artículo </w:t>
      </w:r>
      <w:r w:rsidRPr="00B251D0">
        <w:rPr>
          <w:rFonts w:ascii="Century Gothic" w:hAnsi="Century Gothic"/>
        </w:rPr>
        <w:t>2.2.1.2.4.2.14</w:t>
      </w:r>
      <w:r>
        <w:rPr>
          <w:rFonts w:ascii="Century Gothic" w:hAnsi="Century Gothic"/>
        </w:rPr>
        <w:t xml:space="preserve"> del Decreto 1082 de 2015,</w:t>
      </w:r>
      <w:r w:rsidRPr="00B251D0">
        <w:rPr>
          <w:rFonts w:ascii="Century Gothic" w:hAnsi="Century Gothic"/>
        </w:rPr>
        <w:t xml:space="preserve"> </w:t>
      </w:r>
      <w:r>
        <w:rPr>
          <w:rFonts w:ascii="Century Gothic" w:hAnsi="Century Gothic"/>
        </w:rPr>
        <w:t xml:space="preserve">cuya consagración contempla varias alternativas para su acreditación </w:t>
      </w:r>
      <w:r w:rsidR="00564F12">
        <w:rPr>
          <w:rFonts w:ascii="Century Gothic" w:hAnsi="Century Gothic"/>
        </w:rPr>
        <w:t>sin discriminación alguna sobre</w:t>
      </w:r>
      <w:r>
        <w:rPr>
          <w:rFonts w:ascii="Century Gothic" w:hAnsi="Century Gothic"/>
        </w:rPr>
        <w:t xml:space="preserve"> </w:t>
      </w:r>
      <w:r w:rsidR="000118D1">
        <w:rPr>
          <w:rFonts w:ascii="Century Gothic" w:hAnsi="Century Gothic"/>
        </w:rPr>
        <w:t>a la persona jurídica que le sea aplicable</w:t>
      </w:r>
      <w:r>
        <w:rPr>
          <w:rFonts w:ascii="Century Gothic" w:hAnsi="Century Gothic"/>
        </w:rPr>
        <w:t>.</w:t>
      </w:r>
    </w:p>
    <w:p w14:paraId="5D268C95" w14:textId="77777777" w:rsidR="00356AEA" w:rsidRPr="009F38CE" w:rsidRDefault="00356AEA" w:rsidP="00A855FD">
      <w:pPr>
        <w:shd w:val="clear" w:color="auto" w:fill="FFFFFF" w:themeFill="background1"/>
        <w:spacing w:before="240" w:line="276" w:lineRule="auto"/>
        <w:ind w:firstLine="708"/>
        <w:jc w:val="both"/>
        <w:textAlignment w:val="baseline"/>
        <w:rPr>
          <w:rFonts w:ascii="Century Gothic" w:hAnsi="Century Gothic" w:cs="Arial"/>
          <w:color w:val="000000" w:themeColor="text1"/>
          <w:lang w:eastAsia="es-MX"/>
        </w:rPr>
      </w:pPr>
      <w:r w:rsidRPr="009F38CE">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AEC24F2" w14:textId="77777777" w:rsidR="00356AEA" w:rsidRPr="009F38CE" w:rsidRDefault="00356AEA" w:rsidP="00356AEA">
      <w:pPr>
        <w:spacing w:line="276" w:lineRule="auto"/>
        <w:contextualSpacing/>
        <w:jc w:val="both"/>
        <w:textAlignment w:val="baseline"/>
        <w:rPr>
          <w:rFonts w:ascii="Century Gothic" w:hAnsi="Century Gothic" w:cs="Arial"/>
          <w:lang w:val="es-ES"/>
        </w:rPr>
      </w:pPr>
    </w:p>
    <w:p w14:paraId="40521235" w14:textId="77777777" w:rsidR="00356AEA" w:rsidRPr="009F38CE" w:rsidRDefault="00356AEA" w:rsidP="00356AEA">
      <w:pPr>
        <w:spacing w:line="276" w:lineRule="auto"/>
        <w:contextualSpacing/>
        <w:jc w:val="both"/>
        <w:textAlignment w:val="baseline"/>
        <w:rPr>
          <w:rFonts w:ascii="Century Gothic" w:hAnsi="Century Gothic" w:cs="Arial"/>
        </w:rPr>
      </w:pPr>
      <w:r w:rsidRPr="009F38CE">
        <w:rPr>
          <w:rFonts w:ascii="Century Gothic" w:hAnsi="Century Gothic" w:cs="Arial"/>
          <w:lang w:val="es-ES"/>
        </w:rPr>
        <w:t>Atentamente</w:t>
      </w:r>
      <w:r w:rsidRPr="009F38CE">
        <w:rPr>
          <w:rFonts w:ascii="Century Gothic" w:hAnsi="Century Gothic" w:cs="Arial"/>
          <w:lang w:val="es-MX"/>
        </w:rPr>
        <w:t>,</w:t>
      </w:r>
      <w:r w:rsidRPr="009F38CE">
        <w:rPr>
          <w:rFonts w:ascii="Century Gothic" w:hAnsi="Century Gothic" w:cs="Arial"/>
        </w:rPr>
        <w:t> </w:t>
      </w:r>
    </w:p>
    <w:p w14:paraId="2791613C" w14:textId="4524F7A3" w:rsidR="00356AEA" w:rsidRPr="009F38CE" w:rsidRDefault="00015A57" w:rsidP="00356AEA">
      <w:pPr>
        <w:spacing w:line="276" w:lineRule="auto"/>
        <w:jc w:val="center"/>
        <w:textAlignment w:val="baseline"/>
        <w:rPr>
          <w:rFonts w:ascii="Century Gothic" w:hAnsi="Century Gothic" w:cs="Arial"/>
        </w:rPr>
      </w:pPr>
      <w:r w:rsidRPr="001B7209">
        <w:rPr>
          <w:rFonts w:ascii="Century Gothic" w:hAnsi="Century Gothic"/>
          <w:noProof/>
        </w:rPr>
        <w:drawing>
          <wp:inline distT="0" distB="0" distL="0" distR="0" wp14:anchorId="363D1217" wp14:editId="5FEBC915">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W w:w="66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5765"/>
      </w:tblGrid>
      <w:tr w:rsidR="00356AEA" w:rsidRPr="009F38CE" w14:paraId="787172E1" w14:textId="77777777" w:rsidTr="00F770A8">
        <w:trPr>
          <w:trHeight w:val="453"/>
        </w:trPr>
        <w:tc>
          <w:tcPr>
            <w:tcW w:w="896" w:type="dxa"/>
            <w:tcBorders>
              <w:top w:val="nil"/>
              <w:left w:val="nil"/>
              <w:bottom w:val="nil"/>
              <w:right w:val="nil"/>
            </w:tcBorders>
            <w:vAlign w:val="center"/>
            <w:hideMark/>
          </w:tcPr>
          <w:p w14:paraId="703A1701" w14:textId="07BB21F3" w:rsidR="00356AEA" w:rsidRPr="009F38CE" w:rsidRDefault="00356AEA" w:rsidP="00F770A8">
            <w:pPr>
              <w:spacing w:after="0" w:line="240" w:lineRule="auto"/>
              <w:jc w:val="both"/>
              <w:textAlignment w:val="baseline"/>
              <w:rPr>
                <w:rFonts w:ascii="Century Gothic" w:hAnsi="Century Gothic" w:cs="Arial"/>
                <w:sz w:val="18"/>
                <w:szCs w:val="18"/>
              </w:rPr>
            </w:pPr>
            <w:r w:rsidRPr="009F38CE">
              <w:rPr>
                <w:rFonts w:ascii="Century Gothic" w:hAnsi="Century Gothic" w:cs="Arial"/>
              </w:rPr>
              <w:t> </w:t>
            </w:r>
            <w:r w:rsidRPr="009F38CE">
              <w:rPr>
                <w:rFonts w:ascii="Century Gothic" w:hAnsi="Century Gothic" w:cs="Arial"/>
                <w:sz w:val="18"/>
                <w:szCs w:val="18"/>
                <w:lang w:val="es-MX"/>
              </w:rPr>
              <w:t>Elaboró:</w:t>
            </w:r>
            <w:r w:rsidRPr="009F38CE">
              <w:rPr>
                <w:rFonts w:ascii="Century Gothic" w:hAnsi="Century Gothic" w:cs="Arial"/>
                <w:sz w:val="18"/>
                <w:szCs w:val="18"/>
              </w:rPr>
              <w:t> </w:t>
            </w:r>
          </w:p>
        </w:tc>
        <w:tc>
          <w:tcPr>
            <w:tcW w:w="5765" w:type="dxa"/>
            <w:tcBorders>
              <w:top w:val="nil"/>
              <w:left w:val="nil"/>
              <w:bottom w:val="dotted" w:sz="6" w:space="0" w:color="7F7F7F"/>
              <w:right w:val="nil"/>
            </w:tcBorders>
            <w:vAlign w:val="center"/>
            <w:hideMark/>
          </w:tcPr>
          <w:p w14:paraId="7F9165EA" w14:textId="77777777" w:rsidR="00356AEA" w:rsidRPr="009F38CE" w:rsidRDefault="00356AEA" w:rsidP="00F770A8">
            <w:pPr>
              <w:spacing w:after="0" w:line="240" w:lineRule="auto"/>
              <w:jc w:val="both"/>
              <w:textAlignment w:val="baseline"/>
              <w:rPr>
                <w:rFonts w:ascii="Century Gothic" w:hAnsi="Century Gothic" w:cs="Arial"/>
                <w:sz w:val="18"/>
                <w:szCs w:val="18"/>
                <w:lang w:val="es-MX"/>
              </w:rPr>
            </w:pPr>
            <w:r w:rsidRPr="009F38CE">
              <w:rPr>
                <w:rFonts w:ascii="Century Gothic" w:hAnsi="Century Gothic" w:cs="Arial"/>
                <w:sz w:val="18"/>
                <w:szCs w:val="18"/>
                <w:lang w:val="es-MX"/>
              </w:rPr>
              <w:t>Any Alejandra Tovar Castillo</w:t>
            </w:r>
          </w:p>
          <w:p w14:paraId="07FFB939" w14:textId="77777777" w:rsidR="00356AEA" w:rsidRPr="009F38CE" w:rsidRDefault="00356AEA" w:rsidP="00F770A8">
            <w:pPr>
              <w:spacing w:after="0" w:line="240" w:lineRule="auto"/>
              <w:jc w:val="both"/>
              <w:textAlignment w:val="baseline"/>
              <w:rPr>
                <w:rFonts w:ascii="Century Gothic" w:hAnsi="Century Gothic" w:cs="Arial"/>
                <w:sz w:val="18"/>
                <w:szCs w:val="18"/>
              </w:rPr>
            </w:pPr>
            <w:r w:rsidRPr="009F38CE">
              <w:rPr>
                <w:rFonts w:ascii="Century Gothic" w:hAnsi="Century Gothic" w:cs="Arial"/>
                <w:sz w:val="18"/>
                <w:szCs w:val="18"/>
                <w:lang w:val="es-MX"/>
              </w:rPr>
              <w:t xml:space="preserve">Contratista </w:t>
            </w:r>
            <w:r w:rsidRPr="009F38CE">
              <w:rPr>
                <w:rFonts w:ascii="Century Gothic" w:hAnsi="Century Gothic" w:cs="Arial"/>
                <w:sz w:val="18"/>
                <w:szCs w:val="18"/>
              </w:rPr>
              <w:t>Subdirección de Gestión Contractual</w:t>
            </w:r>
          </w:p>
        </w:tc>
      </w:tr>
      <w:tr w:rsidR="00356AEA" w:rsidRPr="009F38CE" w14:paraId="41B4B760" w14:textId="77777777" w:rsidTr="00F770A8">
        <w:trPr>
          <w:trHeight w:val="453"/>
        </w:trPr>
        <w:tc>
          <w:tcPr>
            <w:tcW w:w="896" w:type="dxa"/>
            <w:tcBorders>
              <w:top w:val="nil"/>
              <w:left w:val="nil"/>
              <w:bottom w:val="nil"/>
              <w:right w:val="nil"/>
            </w:tcBorders>
            <w:vAlign w:val="center"/>
            <w:hideMark/>
          </w:tcPr>
          <w:p w14:paraId="33512444" w14:textId="77777777" w:rsidR="00356AEA" w:rsidRPr="009F38CE" w:rsidRDefault="00356AEA" w:rsidP="00F770A8">
            <w:pPr>
              <w:spacing w:after="0" w:line="240" w:lineRule="auto"/>
              <w:jc w:val="both"/>
              <w:textAlignment w:val="baseline"/>
              <w:rPr>
                <w:rFonts w:ascii="Century Gothic" w:hAnsi="Century Gothic" w:cs="Arial"/>
                <w:sz w:val="18"/>
                <w:szCs w:val="18"/>
              </w:rPr>
            </w:pPr>
            <w:r w:rsidRPr="009F38CE">
              <w:rPr>
                <w:rFonts w:ascii="Century Gothic" w:hAnsi="Century Gothic" w:cs="Arial"/>
                <w:sz w:val="18"/>
                <w:szCs w:val="18"/>
                <w:lang w:val="es-MX"/>
              </w:rPr>
              <w:t>Revisó:</w:t>
            </w:r>
            <w:r w:rsidRPr="009F38CE">
              <w:rPr>
                <w:rFonts w:ascii="Century Gothic" w:hAnsi="Century Gothic" w:cs="Arial"/>
                <w:sz w:val="18"/>
                <w:szCs w:val="18"/>
              </w:rPr>
              <w:t> </w:t>
            </w:r>
          </w:p>
        </w:tc>
        <w:tc>
          <w:tcPr>
            <w:tcW w:w="5765" w:type="dxa"/>
            <w:tcBorders>
              <w:top w:val="dotted" w:sz="6" w:space="0" w:color="7F7F7F"/>
              <w:left w:val="nil"/>
              <w:bottom w:val="dotted" w:sz="6" w:space="0" w:color="7F7F7F"/>
              <w:right w:val="nil"/>
            </w:tcBorders>
            <w:vAlign w:val="center"/>
            <w:hideMark/>
          </w:tcPr>
          <w:p w14:paraId="4AE9085D" w14:textId="77777777" w:rsidR="00356AEA" w:rsidRPr="009F38CE" w:rsidRDefault="00356AEA" w:rsidP="00F770A8">
            <w:pPr>
              <w:shd w:val="clear" w:color="auto" w:fill="FFFFFF" w:themeFill="background1"/>
              <w:spacing w:after="0" w:line="240" w:lineRule="auto"/>
              <w:jc w:val="both"/>
              <w:rPr>
                <w:rFonts w:ascii="Century Gothic" w:hAnsi="Century Gothic" w:cs="Arial"/>
                <w:sz w:val="18"/>
                <w:szCs w:val="18"/>
              </w:rPr>
            </w:pPr>
            <w:r w:rsidRPr="009F38CE">
              <w:rPr>
                <w:rFonts w:ascii="Century Gothic" w:hAnsi="Century Gothic" w:cs="Arial"/>
                <w:sz w:val="18"/>
                <w:szCs w:val="18"/>
              </w:rPr>
              <w:t>Juan David Cárdenas Cabezas</w:t>
            </w:r>
          </w:p>
          <w:p w14:paraId="68F2B272" w14:textId="77777777" w:rsidR="00356AEA" w:rsidRPr="009F38CE" w:rsidRDefault="00356AEA" w:rsidP="00F770A8">
            <w:pPr>
              <w:spacing w:after="0" w:line="240" w:lineRule="auto"/>
              <w:jc w:val="both"/>
              <w:textAlignment w:val="baseline"/>
              <w:rPr>
                <w:rFonts w:ascii="Century Gothic" w:hAnsi="Century Gothic" w:cs="Arial"/>
                <w:sz w:val="18"/>
                <w:szCs w:val="18"/>
              </w:rPr>
            </w:pPr>
            <w:r w:rsidRPr="009F38CE">
              <w:rPr>
                <w:rFonts w:ascii="Century Gothic" w:hAnsi="Century Gothic" w:cs="Arial"/>
                <w:sz w:val="18"/>
                <w:szCs w:val="18"/>
                <w:lang w:val="es-MX"/>
              </w:rPr>
              <w:t xml:space="preserve">Contratista </w:t>
            </w:r>
            <w:r w:rsidRPr="009F38CE">
              <w:rPr>
                <w:rFonts w:ascii="Century Gothic" w:hAnsi="Century Gothic" w:cs="Arial"/>
                <w:sz w:val="18"/>
                <w:szCs w:val="18"/>
              </w:rPr>
              <w:t>Subdirección de Gestión Contractual</w:t>
            </w:r>
          </w:p>
        </w:tc>
      </w:tr>
      <w:tr w:rsidR="00356AEA" w:rsidRPr="009F38CE" w14:paraId="37A0C61A" w14:textId="77777777" w:rsidTr="00F770A8">
        <w:trPr>
          <w:trHeight w:val="432"/>
        </w:trPr>
        <w:tc>
          <w:tcPr>
            <w:tcW w:w="896" w:type="dxa"/>
            <w:tcBorders>
              <w:top w:val="nil"/>
              <w:left w:val="nil"/>
              <w:bottom w:val="nil"/>
              <w:right w:val="nil"/>
            </w:tcBorders>
            <w:vAlign w:val="center"/>
            <w:hideMark/>
          </w:tcPr>
          <w:p w14:paraId="4CEBB04C" w14:textId="77777777" w:rsidR="00356AEA" w:rsidRPr="009F38CE" w:rsidRDefault="00356AEA" w:rsidP="00F770A8">
            <w:pPr>
              <w:spacing w:after="0" w:line="240" w:lineRule="auto"/>
              <w:jc w:val="both"/>
              <w:textAlignment w:val="baseline"/>
              <w:rPr>
                <w:rFonts w:ascii="Century Gothic" w:hAnsi="Century Gothic" w:cs="Arial"/>
                <w:sz w:val="18"/>
                <w:szCs w:val="18"/>
              </w:rPr>
            </w:pPr>
            <w:r w:rsidRPr="009F38CE">
              <w:rPr>
                <w:rFonts w:ascii="Century Gothic" w:hAnsi="Century Gothic" w:cs="Arial"/>
                <w:sz w:val="18"/>
                <w:szCs w:val="18"/>
                <w:lang w:val="es-MX"/>
              </w:rPr>
              <w:t>Aprobó:</w:t>
            </w:r>
            <w:r w:rsidRPr="009F38CE">
              <w:rPr>
                <w:rFonts w:ascii="Century Gothic" w:hAnsi="Century Gothic" w:cs="Arial"/>
                <w:sz w:val="18"/>
                <w:szCs w:val="18"/>
              </w:rPr>
              <w:t> </w:t>
            </w:r>
          </w:p>
        </w:tc>
        <w:tc>
          <w:tcPr>
            <w:tcW w:w="5765" w:type="dxa"/>
            <w:tcBorders>
              <w:top w:val="dotted" w:sz="6" w:space="0" w:color="7F7F7F"/>
              <w:left w:val="nil"/>
              <w:bottom w:val="dotted" w:sz="6" w:space="0" w:color="7F7F7F"/>
              <w:right w:val="nil"/>
            </w:tcBorders>
            <w:vAlign w:val="center"/>
            <w:hideMark/>
          </w:tcPr>
          <w:p w14:paraId="08D725F6" w14:textId="77777777" w:rsidR="00356AEA" w:rsidRPr="009F38CE" w:rsidRDefault="00356AEA" w:rsidP="00F770A8">
            <w:pPr>
              <w:spacing w:after="0" w:line="240" w:lineRule="auto"/>
              <w:jc w:val="both"/>
              <w:textAlignment w:val="baseline"/>
              <w:rPr>
                <w:rFonts w:ascii="Century Gothic" w:hAnsi="Century Gothic" w:cs="Arial"/>
                <w:sz w:val="18"/>
                <w:szCs w:val="18"/>
                <w:lang w:val="es-ES_tradnl"/>
              </w:rPr>
            </w:pPr>
            <w:r w:rsidRPr="009F38CE">
              <w:rPr>
                <w:rFonts w:ascii="Century Gothic" w:hAnsi="Century Gothic" w:cs="Arial"/>
                <w:sz w:val="18"/>
                <w:szCs w:val="18"/>
                <w:lang w:val="es-ES_tradnl"/>
              </w:rPr>
              <w:t xml:space="preserve">Nohelia del Carmen </w:t>
            </w:r>
            <w:proofErr w:type="spellStart"/>
            <w:r w:rsidRPr="009F38CE">
              <w:rPr>
                <w:rFonts w:ascii="Century Gothic" w:hAnsi="Century Gothic" w:cs="Arial"/>
                <w:sz w:val="18"/>
                <w:szCs w:val="18"/>
                <w:lang w:val="es-ES_tradnl"/>
              </w:rPr>
              <w:t>Zawady</w:t>
            </w:r>
            <w:proofErr w:type="spellEnd"/>
            <w:r w:rsidRPr="009F38CE">
              <w:rPr>
                <w:rFonts w:ascii="Century Gothic" w:hAnsi="Century Gothic" w:cs="Arial"/>
                <w:sz w:val="18"/>
                <w:szCs w:val="18"/>
                <w:lang w:val="es-ES_tradnl"/>
              </w:rPr>
              <w:t xml:space="preserve"> Palacio</w:t>
            </w:r>
          </w:p>
          <w:p w14:paraId="40D7F362" w14:textId="77777777" w:rsidR="00356AEA" w:rsidRPr="009F38CE" w:rsidRDefault="00356AEA" w:rsidP="00F770A8">
            <w:pPr>
              <w:spacing w:after="0" w:line="240" w:lineRule="auto"/>
              <w:jc w:val="both"/>
              <w:textAlignment w:val="baseline"/>
              <w:rPr>
                <w:rFonts w:ascii="Century Gothic" w:hAnsi="Century Gothic" w:cs="Arial"/>
                <w:sz w:val="18"/>
                <w:szCs w:val="18"/>
              </w:rPr>
            </w:pPr>
            <w:r w:rsidRPr="009F38CE">
              <w:rPr>
                <w:rFonts w:ascii="Century Gothic" w:hAnsi="Century Gothic" w:cs="Arial"/>
                <w:sz w:val="18"/>
                <w:szCs w:val="18"/>
                <w:lang w:val="es-ES_tradnl"/>
              </w:rPr>
              <w:t>Subdirectora de Gestión Contractual ANCP-CCE</w:t>
            </w:r>
          </w:p>
        </w:tc>
      </w:tr>
    </w:tbl>
    <w:p w14:paraId="2DDCA292" w14:textId="77777777" w:rsidR="00356AEA" w:rsidRPr="009F38CE" w:rsidRDefault="00356AEA" w:rsidP="00356AEA">
      <w:pPr>
        <w:spacing w:after="0"/>
        <w:rPr>
          <w:rFonts w:ascii="Century Gothic" w:hAnsi="Century Gothic"/>
        </w:rPr>
      </w:pPr>
    </w:p>
    <w:p w14:paraId="0F293BF4" w14:textId="7BBFAB11" w:rsidR="00127233" w:rsidRPr="009F38CE" w:rsidRDefault="00127233" w:rsidP="00356AEA">
      <w:pPr>
        <w:jc w:val="both"/>
        <w:rPr>
          <w:rFonts w:ascii="Century Gothic" w:hAnsi="Century Gothic"/>
        </w:rPr>
      </w:pPr>
    </w:p>
    <w:sectPr w:rsidR="00127233" w:rsidRPr="009F38CE"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EAB8" w14:textId="77777777" w:rsidR="00850B6E" w:rsidRDefault="00850B6E" w:rsidP="004A1847">
      <w:pPr>
        <w:spacing w:after="0" w:line="240" w:lineRule="auto"/>
      </w:pPr>
      <w:r>
        <w:separator/>
      </w:r>
    </w:p>
  </w:endnote>
  <w:endnote w:type="continuationSeparator" w:id="0">
    <w:p w14:paraId="555FBEEB" w14:textId="77777777" w:rsidR="00850B6E" w:rsidRDefault="00850B6E" w:rsidP="004A1847">
      <w:pPr>
        <w:spacing w:after="0" w:line="240" w:lineRule="auto"/>
      </w:pPr>
      <w:r>
        <w:continuationSeparator/>
      </w:r>
    </w:p>
  </w:endnote>
  <w:endnote w:type="continuationNotice" w:id="1">
    <w:p w14:paraId="17D3C0AC" w14:textId="77777777" w:rsidR="00850B6E" w:rsidRDefault="0085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DE48" w14:textId="77777777" w:rsidR="00850B6E" w:rsidRDefault="00850B6E" w:rsidP="004A1847">
      <w:pPr>
        <w:spacing w:after="0" w:line="240" w:lineRule="auto"/>
      </w:pPr>
      <w:r>
        <w:separator/>
      </w:r>
    </w:p>
  </w:footnote>
  <w:footnote w:type="continuationSeparator" w:id="0">
    <w:p w14:paraId="3A5142A6" w14:textId="77777777" w:rsidR="00850B6E" w:rsidRDefault="00850B6E" w:rsidP="004A1847">
      <w:pPr>
        <w:spacing w:after="0" w:line="240" w:lineRule="auto"/>
      </w:pPr>
      <w:r>
        <w:continuationSeparator/>
      </w:r>
    </w:p>
  </w:footnote>
  <w:footnote w:type="continuationNotice" w:id="1">
    <w:p w14:paraId="154613FF" w14:textId="77777777" w:rsidR="00850B6E" w:rsidRDefault="00850B6E">
      <w:pPr>
        <w:spacing w:after="0" w:line="240" w:lineRule="auto"/>
      </w:pPr>
    </w:p>
  </w:footnote>
  <w:footnote w:id="2">
    <w:p w14:paraId="5BADBB14" w14:textId="4202DDC7" w:rsidR="00AE4497" w:rsidRPr="00905EF2" w:rsidRDefault="00AE4497" w:rsidP="00905EF2">
      <w:pPr>
        <w:pStyle w:val="Textonotapie"/>
        <w:ind w:firstLine="708"/>
        <w:jc w:val="both"/>
        <w:rPr>
          <w:rFonts w:ascii="Century Gothic" w:hAnsi="Century Gothic"/>
          <w:sz w:val="18"/>
          <w:szCs w:val="18"/>
        </w:rPr>
      </w:pPr>
      <w:r w:rsidRPr="00905EF2">
        <w:rPr>
          <w:rStyle w:val="Refdenotaalpie"/>
          <w:rFonts w:ascii="Century Gothic" w:hAnsi="Century Gothic"/>
          <w:sz w:val="18"/>
          <w:szCs w:val="18"/>
        </w:rPr>
        <w:footnoteRef/>
      </w:r>
      <w:r w:rsidRPr="00905EF2">
        <w:rPr>
          <w:rFonts w:ascii="Century Gothic" w:hAnsi="Century Gothic"/>
          <w:sz w:val="18"/>
          <w:szCs w:val="18"/>
        </w:rPr>
        <w:t xml:space="preserve"> </w:t>
      </w:r>
      <w:r w:rsidRPr="00905EF2">
        <w:rPr>
          <w:rStyle w:val="ui-provider"/>
          <w:rFonts w:ascii="Century Gothic" w:hAnsi="Century Gothic"/>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005276CD" w:rsidRPr="00905EF2">
          <w:rPr>
            <w:rStyle w:val="Hipervnculo"/>
            <w:rFonts w:ascii="Century Gothic" w:hAnsi="Century Gothic"/>
            <w:sz w:val="18"/>
            <w:szCs w:val="18"/>
          </w:rPr>
          <w:t>https://relatoria.colombiacompra.gov.co/busqueda/conceptos</w:t>
        </w:r>
      </w:hyperlink>
    </w:p>
  </w:footnote>
  <w:footnote w:id="3">
    <w:p w14:paraId="65F6B58D" w14:textId="6B124BF6" w:rsidR="007155CC" w:rsidRPr="00905EF2" w:rsidRDefault="007155CC" w:rsidP="00905EF2">
      <w:pPr>
        <w:pStyle w:val="Textonotapie"/>
        <w:ind w:firstLine="708"/>
        <w:jc w:val="both"/>
        <w:rPr>
          <w:rFonts w:ascii="Century Gothic" w:hAnsi="Century Gothic"/>
          <w:sz w:val="18"/>
          <w:szCs w:val="18"/>
          <w:lang w:val="es-CO"/>
        </w:rPr>
      </w:pPr>
      <w:r w:rsidRPr="00905EF2">
        <w:rPr>
          <w:rStyle w:val="Refdenotaalpie"/>
          <w:rFonts w:ascii="Century Gothic" w:hAnsi="Century Gothic"/>
          <w:sz w:val="18"/>
          <w:szCs w:val="18"/>
        </w:rPr>
        <w:footnoteRef/>
      </w:r>
      <w:r w:rsidRPr="00905EF2">
        <w:rPr>
          <w:rFonts w:ascii="Century Gothic" w:hAnsi="Century Gothic"/>
          <w:sz w:val="18"/>
          <w:szCs w:val="18"/>
        </w:rPr>
        <w:t xml:space="preserve"> </w:t>
      </w:r>
      <w:r w:rsidRPr="00905EF2">
        <w:rPr>
          <w:rFonts w:ascii="Century Gothic" w:hAnsi="Century Gothic"/>
          <w:sz w:val="18"/>
          <w:szCs w:val="18"/>
          <w:lang w:val="es-CO"/>
        </w:rPr>
        <w:t xml:space="preserve">Conforme a la </w:t>
      </w:r>
      <w:proofErr w:type="spellStart"/>
      <w:r w:rsidRPr="00905EF2">
        <w:rPr>
          <w:rFonts w:ascii="Century Gothic" w:hAnsi="Century Gothic"/>
          <w:sz w:val="18"/>
          <w:szCs w:val="18"/>
          <w:lang w:val="es-CO"/>
        </w:rPr>
        <w:t>definici</w:t>
      </w:r>
      <w:r w:rsidR="00F3622A" w:rsidRPr="00905EF2">
        <w:rPr>
          <w:rFonts w:ascii="Century Gothic" w:hAnsi="Century Gothic"/>
          <w:sz w:val="18"/>
          <w:szCs w:val="18"/>
          <w:lang w:val="es-CO"/>
        </w:rPr>
        <w:t>iones</w:t>
      </w:r>
      <w:proofErr w:type="spellEnd"/>
      <w:r w:rsidR="00F3622A" w:rsidRPr="00905EF2">
        <w:rPr>
          <w:rFonts w:ascii="Century Gothic" w:hAnsi="Century Gothic"/>
          <w:sz w:val="18"/>
          <w:szCs w:val="18"/>
          <w:lang w:val="es-CO"/>
        </w:rPr>
        <w:t xml:space="preserve"> contempladas en el Decreto 1529 de 1990</w:t>
      </w:r>
      <w:r w:rsidR="00505A95" w:rsidRPr="00905EF2">
        <w:rPr>
          <w:rFonts w:ascii="Century Gothic" w:hAnsi="Century Gothic"/>
          <w:sz w:val="18"/>
          <w:szCs w:val="18"/>
          <w:lang w:val="es-CO"/>
        </w:rPr>
        <w:t xml:space="preserve"> y el Decreto 2150 de 1995.</w:t>
      </w:r>
    </w:p>
  </w:footnote>
  <w:footnote w:id="4">
    <w:p w14:paraId="76761051" w14:textId="77777777" w:rsidR="00A855FD" w:rsidRPr="00905EF2" w:rsidRDefault="00A855FD" w:rsidP="00905EF2">
      <w:pPr>
        <w:pStyle w:val="Textonotapie"/>
        <w:ind w:firstLine="708"/>
        <w:jc w:val="both"/>
        <w:rPr>
          <w:rFonts w:ascii="Century Gothic" w:hAnsi="Century Gothic"/>
          <w:sz w:val="18"/>
          <w:szCs w:val="18"/>
        </w:rPr>
      </w:pPr>
      <w:r w:rsidRPr="00905EF2">
        <w:rPr>
          <w:rStyle w:val="Refdenotaalpie"/>
          <w:rFonts w:ascii="Century Gothic" w:hAnsi="Century Gothic"/>
          <w:sz w:val="18"/>
          <w:szCs w:val="18"/>
        </w:rPr>
        <w:footnoteRef/>
      </w:r>
      <w:r w:rsidRPr="00905EF2">
        <w:rPr>
          <w:rFonts w:ascii="Century Gothic" w:hAnsi="Century Gothic"/>
          <w:sz w:val="18"/>
          <w:szCs w:val="18"/>
        </w:rPr>
        <w:t xml:space="preserve"> Decreto Ley 2663 del 5 de agosto de 1950, Código Sustantivo del Trabajo: «Son representantes del {empleador} y como tales lo obligan frente a sus trabajadores además de quienes tienen ese carácter según la ley, la convención o el reglamento de trabajo, las siguientes personas: </w:t>
      </w:r>
    </w:p>
    <w:p w14:paraId="2A5CDE0D" w14:textId="77777777" w:rsidR="00A855FD" w:rsidRPr="00905EF2" w:rsidRDefault="00A855FD" w:rsidP="00905EF2">
      <w:pPr>
        <w:pStyle w:val="Textonotapie"/>
        <w:ind w:firstLine="708"/>
        <w:jc w:val="both"/>
        <w:rPr>
          <w:rFonts w:ascii="Century Gothic" w:hAnsi="Century Gothic"/>
          <w:sz w:val="18"/>
          <w:szCs w:val="18"/>
        </w:rPr>
      </w:pPr>
      <w:r w:rsidRPr="00905EF2">
        <w:rPr>
          <w:rFonts w:ascii="Century Gothic" w:hAnsi="Century Gothic"/>
          <w:sz w:val="18"/>
          <w:szCs w:val="18"/>
        </w:rPr>
        <w:t xml:space="preserve">a) Las que ejerzan funciones de dirección o administración, tales como directores, gerentes, administradores, síndicos o liquidadores, mayordomos y capitanes de barco, y quienes ejercitan actos de representación con la aquiescencia expresa o tácita del {empleador}; </w:t>
      </w:r>
    </w:p>
    <w:p w14:paraId="47BF5E7B" w14:textId="77777777" w:rsidR="00A855FD" w:rsidRPr="00905EF2" w:rsidRDefault="00A855FD" w:rsidP="00905EF2">
      <w:pPr>
        <w:pStyle w:val="Textonotapie"/>
        <w:ind w:firstLine="708"/>
        <w:jc w:val="both"/>
        <w:rPr>
          <w:rFonts w:ascii="Century Gothic" w:hAnsi="Century Gothic"/>
          <w:sz w:val="18"/>
          <w:szCs w:val="18"/>
          <w:lang w:val="es-CO"/>
        </w:rPr>
      </w:pPr>
      <w:r w:rsidRPr="00905EF2">
        <w:rPr>
          <w:rFonts w:ascii="Century Gothic" w:hAnsi="Century Gothic"/>
          <w:sz w:val="18"/>
          <w:szCs w:val="18"/>
        </w:rPr>
        <w:t>b) Los intermediarios”.</w:t>
      </w:r>
    </w:p>
  </w:footnote>
  <w:footnote w:id="5">
    <w:p w14:paraId="4700071A" w14:textId="53D12AC6" w:rsidR="00B234B5" w:rsidRPr="00905EF2" w:rsidRDefault="00B234B5" w:rsidP="00905EF2">
      <w:pPr>
        <w:pStyle w:val="Textonotapie"/>
        <w:spacing w:after="60"/>
        <w:ind w:firstLine="709"/>
        <w:jc w:val="both"/>
        <w:rPr>
          <w:rFonts w:ascii="Century Gothic" w:hAnsi="Century Gothic" w:cs="Arial"/>
          <w:sz w:val="18"/>
          <w:szCs w:val="18"/>
        </w:rPr>
      </w:pPr>
      <w:r w:rsidRPr="00905EF2">
        <w:rPr>
          <w:rStyle w:val="Refdenotaalpie"/>
          <w:rFonts w:ascii="Century Gothic" w:hAnsi="Century Gothic" w:cs="Arial"/>
          <w:sz w:val="18"/>
          <w:szCs w:val="18"/>
        </w:rPr>
        <w:footnoteRef/>
      </w:r>
      <w:r w:rsidRPr="00905EF2">
        <w:rPr>
          <w:rFonts w:ascii="Century Gothic" w:hAnsi="Century Gothic" w:cs="Arial"/>
          <w:sz w:val="18"/>
          <w:szCs w:val="18"/>
        </w:rPr>
        <w:t xml:space="preserve"> Decreto 1082 de 2015: </w:t>
      </w:r>
      <w:r w:rsidR="009F38CE" w:rsidRPr="00905EF2">
        <w:rPr>
          <w:rFonts w:ascii="Century Gothic" w:hAnsi="Century Gothic" w:cs="Arial"/>
          <w:sz w:val="18"/>
          <w:szCs w:val="18"/>
        </w:rPr>
        <w:t>“</w:t>
      </w:r>
      <w:r w:rsidRPr="00905EF2">
        <w:rPr>
          <w:rFonts w:ascii="Century Gothic" w:hAnsi="Century Gothic" w:cs="Arial"/>
          <w:sz w:val="18"/>
          <w:szCs w:val="18"/>
        </w:rPr>
        <w:t>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671D41E4" w14:textId="3A882A9B"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1. Tiempo de experiencia.</w:t>
      </w:r>
    </w:p>
    <w:p w14:paraId="6875B2AC" w14:textId="24EE1785"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2. Número de contratos para la acreditación de la experiencia.</w:t>
      </w:r>
    </w:p>
    <w:p w14:paraId="06547171" w14:textId="40F5B9F5"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3. Índices de capacidad financiera.</w:t>
      </w:r>
    </w:p>
    <w:p w14:paraId="7090A050" w14:textId="4690BDFB"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4. Índices de capacidad organizacional.</w:t>
      </w:r>
    </w:p>
    <w:p w14:paraId="776319F7" w14:textId="3FE6FB9A"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5. Valor de la garantía de seriedad de la oferta.</w:t>
      </w:r>
    </w:p>
    <w:p w14:paraId="2FE81124" w14:textId="45A875D6"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74E66805" w14:textId="01AD6E47" w:rsidR="00B234B5" w:rsidRPr="00905EF2" w:rsidRDefault="009F38CE" w:rsidP="00905EF2">
      <w:pPr>
        <w:pStyle w:val="Textonotapie"/>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46316EC5" w14:textId="55871121"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71734538" w14:textId="2480D61E"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E336463" w14:textId="05896950" w:rsidR="00B234B5" w:rsidRPr="00905EF2" w:rsidRDefault="009F38CE" w:rsidP="00905EF2">
      <w:pPr>
        <w:pStyle w:val="Textonotapie"/>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 xml:space="preserve">Parágrafo 2. Los incentivos contractuales para las empresas y emprendimientos de mujeres no excluyen la aplicación de los criterios diferenciales para </w:t>
      </w:r>
      <w:proofErr w:type="spellStart"/>
      <w:r w:rsidR="00B234B5" w:rsidRPr="00905EF2">
        <w:rPr>
          <w:rFonts w:ascii="Century Gothic" w:hAnsi="Century Gothic" w:cs="Arial"/>
          <w:sz w:val="18"/>
          <w:szCs w:val="18"/>
        </w:rPr>
        <w:t>Mipyme</w:t>
      </w:r>
      <w:proofErr w:type="spellEnd"/>
      <w:r w:rsidR="00B234B5" w:rsidRPr="00905EF2">
        <w:rPr>
          <w:rFonts w:ascii="Century Gothic" w:hAnsi="Century Gothic" w:cs="Arial"/>
          <w:sz w:val="18"/>
          <w:szCs w:val="18"/>
        </w:rPr>
        <w:t xml:space="preserve"> en el sistema de compras públicas</w:t>
      </w:r>
      <w:r w:rsidRPr="00905EF2">
        <w:rPr>
          <w:rFonts w:ascii="Century Gothic" w:hAnsi="Century Gothic" w:cs="Arial"/>
          <w:sz w:val="18"/>
          <w:szCs w:val="18"/>
        </w:rPr>
        <w:t>”</w:t>
      </w:r>
      <w:r w:rsidR="00B234B5" w:rsidRPr="00905EF2">
        <w:rPr>
          <w:rFonts w:ascii="Century Gothic" w:hAnsi="Century Gothic" w:cs="Arial"/>
          <w:sz w:val="18"/>
          <w:szCs w:val="18"/>
        </w:rPr>
        <w:t xml:space="preserve">. </w:t>
      </w:r>
    </w:p>
    <w:p w14:paraId="449F0B4C" w14:textId="77777777" w:rsidR="00B234B5" w:rsidRPr="00905EF2" w:rsidRDefault="00B234B5" w:rsidP="00905EF2">
      <w:pPr>
        <w:pStyle w:val="Textonotapie"/>
        <w:ind w:firstLine="709"/>
        <w:jc w:val="both"/>
        <w:rPr>
          <w:rFonts w:ascii="Century Gothic" w:hAnsi="Century Gothic" w:cs="Arial"/>
          <w:sz w:val="18"/>
          <w:szCs w:val="18"/>
        </w:rPr>
      </w:pPr>
    </w:p>
  </w:footnote>
  <w:footnote w:id="6">
    <w:p w14:paraId="24813AA7" w14:textId="5A7FA346" w:rsidR="00B234B5" w:rsidRPr="00905EF2" w:rsidRDefault="00B234B5" w:rsidP="00905EF2">
      <w:pPr>
        <w:pStyle w:val="Textonotapie"/>
        <w:spacing w:after="60"/>
        <w:ind w:firstLine="709"/>
        <w:jc w:val="both"/>
        <w:rPr>
          <w:rFonts w:ascii="Century Gothic" w:hAnsi="Century Gothic" w:cs="Arial"/>
          <w:sz w:val="18"/>
          <w:szCs w:val="18"/>
        </w:rPr>
      </w:pPr>
      <w:r w:rsidRPr="00905EF2">
        <w:rPr>
          <w:rStyle w:val="Refdenotaalpie"/>
          <w:rFonts w:ascii="Century Gothic" w:hAnsi="Century Gothic" w:cs="Arial"/>
          <w:sz w:val="18"/>
          <w:szCs w:val="18"/>
        </w:rPr>
        <w:footnoteRef/>
      </w:r>
      <w:r w:rsidRPr="00905EF2">
        <w:rPr>
          <w:rFonts w:ascii="Century Gothic" w:hAnsi="Century Gothic" w:cs="Arial"/>
          <w:sz w:val="18"/>
          <w:szCs w:val="18"/>
        </w:rPr>
        <w:t xml:space="preserve"> </w:t>
      </w:r>
      <w:r w:rsidR="009F38CE" w:rsidRPr="00905EF2">
        <w:rPr>
          <w:rFonts w:ascii="Century Gothic" w:hAnsi="Century Gothic" w:cs="Arial"/>
          <w:sz w:val="18"/>
          <w:szCs w:val="18"/>
        </w:rPr>
        <w:t>“</w:t>
      </w:r>
      <w:r w:rsidRPr="00905EF2">
        <w:rPr>
          <w:rFonts w:ascii="Century Gothic" w:hAnsi="Century Gothic" w:cs="Arial"/>
          <w:sz w:val="18"/>
          <w:szCs w:val="18"/>
        </w:rPr>
        <w:t>Artículo 635. Remisión normativa. Las sociedades industriales no están comprendidas en las disposiciones de este título; sus derechos y obligaciones son reglados, según su naturaleza, por otros títulos de este Código, y por el Código de Comercio.</w:t>
      </w:r>
    </w:p>
    <w:p w14:paraId="0CB3DC8E" w14:textId="421A445A"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Tampoco se extienden las disposiciones de este título a las corporaciones o fundaciones de derecho público, como los establecimientos que se costean con fondos del tesoro nacional.</w:t>
      </w:r>
    </w:p>
    <w:p w14:paraId="6B20FCCA" w14:textId="77777777" w:rsidR="00B234B5" w:rsidRPr="00905EF2" w:rsidRDefault="00B234B5"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 xml:space="preserve">[…] </w:t>
      </w:r>
    </w:p>
    <w:p w14:paraId="6B8EBCFA" w14:textId="655523E7"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Artículo 637. Patrimonio de la corporación. Lo que pertenece a una corporación, no pertenece ni en todo ni en parte a ninguno de los individuos que la componen; y recíprocamente, las deudas de una corporación no dan a nadie derecho para demandarlas en todo o parte, a ninguno de los individuos que componen la corporación, ni dan acción sobre los bienes propios de ellos, sino sobre los bienes de la corporación.</w:t>
      </w:r>
    </w:p>
    <w:p w14:paraId="5DF4BCBA" w14:textId="11457D2F"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Sin embargo, los miembros pueden, expresándolo, obligarse en particular, al mismo tiempo que la corporación se obliga colectivamente; y la responsabilidad de los miembros será entonces solidaria si se estipula expresamente la solidaridad.</w:t>
      </w:r>
    </w:p>
    <w:p w14:paraId="10F919CB" w14:textId="7EECE2CE" w:rsidR="00B234B5" w:rsidRPr="00905EF2" w:rsidRDefault="009F38CE" w:rsidP="00905EF2">
      <w:pPr>
        <w:pStyle w:val="Textonotapie"/>
        <w:spacing w:after="60"/>
        <w:ind w:firstLine="709"/>
        <w:jc w:val="both"/>
        <w:rPr>
          <w:rFonts w:ascii="Century Gothic" w:hAnsi="Century Gothic" w:cs="Arial"/>
          <w:sz w:val="18"/>
          <w:szCs w:val="18"/>
        </w:rPr>
      </w:pPr>
      <w:r w:rsidRPr="00905EF2">
        <w:rPr>
          <w:rFonts w:ascii="Century Gothic" w:hAnsi="Century Gothic" w:cs="Arial"/>
          <w:sz w:val="18"/>
          <w:szCs w:val="18"/>
        </w:rPr>
        <w:t>“</w:t>
      </w:r>
      <w:r w:rsidR="00B234B5" w:rsidRPr="00905EF2">
        <w:rPr>
          <w:rFonts w:ascii="Century Gothic" w:hAnsi="Century Gothic" w:cs="Arial"/>
          <w:sz w:val="18"/>
          <w:szCs w:val="18"/>
        </w:rPr>
        <w:t>Pero la responsabilidad no se extiende a los herederos, sino cuando los miembros de la corporación los hayan obligado expresamente.</w:t>
      </w:r>
    </w:p>
    <w:p w14:paraId="3F5F3BA4" w14:textId="265741BA" w:rsidR="00B234B5" w:rsidRPr="00905EF2" w:rsidRDefault="009F38CE" w:rsidP="00905EF2">
      <w:pPr>
        <w:shd w:val="clear" w:color="auto" w:fill="FFFFFF"/>
        <w:spacing w:after="60"/>
        <w:ind w:firstLine="709"/>
        <w:jc w:val="both"/>
        <w:rPr>
          <w:rFonts w:ascii="Century Gothic" w:hAnsi="Century Gothic" w:cs="Arial"/>
          <w:sz w:val="18"/>
          <w:szCs w:val="18"/>
          <w:lang w:eastAsia="es-CO"/>
        </w:rPr>
      </w:pPr>
      <w:r w:rsidRPr="00905EF2">
        <w:rPr>
          <w:rFonts w:ascii="Century Gothic" w:hAnsi="Century Gothic" w:cs="Arial"/>
          <w:sz w:val="18"/>
          <w:szCs w:val="18"/>
          <w:lang w:eastAsia="es-CO"/>
        </w:rPr>
        <w:t>“</w:t>
      </w:r>
      <w:r w:rsidR="00B234B5" w:rsidRPr="00905EF2">
        <w:rPr>
          <w:rFonts w:ascii="Century Gothic" w:hAnsi="Century Gothic" w:cs="Arial"/>
          <w:sz w:val="18"/>
          <w:szCs w:val="18"/>
          <w:lang w:eastAsia="es-CO"/>
        </w:rPr>
        <w:t xml:space="preserve">Artículo 650. Normatividad de las fundaciones de beneficencia. Las fundaciones de beneficencia que hayan de administrarse por una colección de </w:t>
      </w:r>
      <w:proofErr w:type="gramStart"/>
      <w:r w:rsidR="00B234B5" w:rsidRPr="00905EF2">
        <w:rPr>
          <w:rFonts w:ascii="Century Gothic" w:hAnsi="Century Gothic" w:cs="Arial"/>
          <w:sz w:val="18"/>
          <w:szCs w:val="18"/>
          <w:lang w:eastAsia="es-CO"/>
        </w:rPr>
        <w:t>individuos,</w:t>
      </w:r>
      <w:proofErr w:type="gramEnd"/>
      <w:r w:rsidR="00B234B5" w:rsidRPr="00905EF2">
        <w:rPr>
          <w:rFonts w:ascii="Century Gothic" w:hAnsi="Century Gothic" w:cs="Arial"/>
          <w:sz w:val="18"/>
          <w:szCs w:val="18"/>
          <w:lang w:eastAsia="es-CO"/>
        </w:rPr>
        <w:t xml:space="preserve"> se regirán por los estatutos que el fundador les hubiere dictado; y si el fundador no hubiere manifestado su voluntad a este respecto, o sólo la hubiere manifestado incompletamente, será suplido este defecto por el presidente de la Unión.</w:t>
      </w:r>
    </w:p>
    <w:p w14:paraId="437FD393" w14:textId="04DA99FD" w:rsidR="00B234B5" w:rsidRPr="00905EF2" w:rsidRDefault="009F38CE" w:rsidP="00905EF2">
      <w:pPr>
        <w:shd w:val="clear" w:color="auto" w:fill="FFFFFF"/>
        <w:ind w:firstLine="708"/>
        <w:jc w:val="both"/>
        <w:rPr>
          <w:rFonts w:ascii="Century Gothic" w:hAnsi="Century Gothic" w:cs="Arial"/>
          <w:sz w:val="18"/>
          <w:szCs w:val="18"/>
          <w:lang w:eastAsia="es-CO"/>
        </w:rPr>
      </w:pPr>
      <w:bookmarkStart w:id="5" w:name="BM651"/>
      <w:bookmarkEnd w:id="5"/>
      <w:proofErr w:type="gramStart"/>
      <w:r w:rsidRPr="00905EF2">
        <w:rPr>
          <w:rFonts w:ascii="Century Gothic" w:hAnsi="Century Gothic" w:cs="Arial"/>
          <w:sz w:val="18"/>
          <w:szCs w:val="18"/>
          <w:lang w:eastAsia="es-CO"/>
        </w:rPr>
        <w:t>“</w:t>
      </w:r>
      <w:r w:rsidR="00B234B5" w:rsidRPr="00905EF2">
        <w:rPr>
          <w:rFonts w:ascii="Century Gothic" w:hAnsi="Century Gothic" w:cs="Arial"/>
          <w:sz w:val="18"/>
          <w:szCs w:val="18"/>
          <w:lang w:eastAsia="es-CO"/>
        </w:rPr>
        <w:t xml:space="preserve"> Articulo</w:t>
      </w:r>
      <w:proofErr w:type="gramEnd"/>
      <w:r w:rsidR="00B234B5" w:rsidRPr="00905EF2">
        <w:rPr>
          <w:rFonts w:ascii="Century Gothic" w:hAnsi="Century Gothic" w:cs="Arial"/>
          <w:sz w:val="18"/>
          <w:szCs w:val="18"/>
          <w:lang w:eastAsia="es-CO"/>
        </w:rPr>
        <w:t xml:space="preserve"> 651. Lo que en los artículos 637 hasta 649 se dispone acerca de las corporaciones y de los miembros que las componen, se aplicará a las fundaciones de beneficencia y a los individuos que las administran.</w:t>
      </w:r>
      <w:bookmarkStart w:id="6" w:name="BM652"/>
      <w:bookmarkEnd w:id="6"/>
    </w:p>
    <w:p w14:paraId="19E495CE" w14:textId="0D9D12D2" w:rsidR="00B234B5" w:rsidRPr="00905EF2" w:rsidRDefault="009F38CE" w:rsidP="00905EF2">
      <w:pPr>
        <w:shd w:val="clear" w:color="auto" w:fill="FFFFFF"/>
        <w:ind w:firstLine="708"/>
        <w:jc w:val="both"/>
        <w:rPr>
          <w:rFonts w:ascii="Century Gothic" w:hAnsi="Century Gothic" w:cs="Arial"/>
          <w:sz w:val="18"/>
          <w:szCs w:val="18"/>
          <w:lang w:eastAsia="es-CO"/>
        </w:rPr>
      </w:pPr>
      <w:r w:rsidRPr="00905EF2">
        <w:rPr>
          <w:rFonts w:ascii="Century Gothic" w:hAnsi="Century Gothic" w:cs="Arial"/>
          <w:sz w:val="18"/>
          <w:szCs w:val="18"/>
          <w:lang w:eastAsia="es-CO"/>
        </w:rPr>
        <w:t>“</w:t>
      </w:r>
      <w:r w:rsidR="00B234B5" w:rsidRPr="00905EF2">
        <w:rPr>
          <w:rFonts w:ascii="Century Gothic" w:hAnsi="Century Gothic" w:cs="Arial"/>
          <w:sz w:val="18"/>
          <w:szCs w:val="18"/>
          <w:lang w:eastAsia="es-CO"/>
        </w:rPr>
        <w:t>Artículo 652. Terminación de las fundaciones. Las fundaciones perecen por la destrucción de los bienes destinados a su manutención</w:t>
      </w:r>
      <w:r w:rsidRPr="00905EF2">
        <w:rPr>
          <w:rFonts w:ascii="Century Gothic" w:hAnsi="Century Gothic" w:cs="Arial"/>
          <w:sz w:val="18"/>
          <w:szCs w:val="18"/>
          <w:lang w:eastAsia="es-CO"/>
        </w:rPr>
        <w:t>”</w:t>
      </w:r>
      <w:r w:rsidR="00B234B5" w:rsidRPr="00905EF2">
        <w:rPr>
          <w:rFonts w:ascii="Century Gothic" w:hAnsi="Century Gothic" w:cs="Arial"/>
          <w:sz w:val="18"/>
          <w:szCs w:val="18"/>
          <w:lang w:eastAsia="es-CO"/>
        </w:rPr>
        <w:t>.</w:t>
      </w:r>
    </w:p>
    <w:p w14:paraId="7153CCC9" w14:textId="77777777" w:rsidR="00B234B5" w:rsidRPr="00905EF2" w:rsidRDefault="00B234B5" w:rsidP="00905EF2">
      <w:pPr>
        <w:pStyle w:val="Textonotapie"/>
        <w:jc w:val="both"/>
        <w:rPr>
          <w:rFonts w:ascii="Century Gothic" w:hAnsi="Century Gothic" w:cs="Arial"/>
          <w:sz w:val="18"/>
          <w:szCs w:val="18"/>
        </w:rPr>
      </w:pPr>
    </w:p>
  </w:footnote>
  <w:footnote w:id="7">
    <w:p w14:paraId="36E429C4" w14:textId="1B40C861" w:rsidR="00B234B5" w:rsidRPr="00905EF2" w:rsidRDefault="00B234B5" w:rsidP="00905EF2">
      <w:pPr>
        <w:pStyle w:val="Textonotapie"/>
        <w:ind w:firstLine="708"/>
        <w:jc w:val="both"/>
        <w:rPr>
          <w:rFonts w:ascii="Century Gothic" w:hAnsi="Century Gothic" w:cs="Arial"/>
          <w:sz w:val="18"/>
          <w:szCs w:val="18"/>
        </w:rPr>
      </w:pPr>
      <w:r w:rsidRPr="00905EF2">
        <w:rPr>
          <w:rStyle w:val="Refdenotaalpie"/>
          <w:rFonts w:ascii="Century Gothic" w:hAnsi="Century Gothic" w:cs="Arial"/>
          <w:sz w:val="18"/>
          <w:szCs w:val="18"/>
        </w:rPr>
        <w:footnoteRef/>
      </w:r>
      <w:r w:rsidRPr="00905EF2">
        <w:rPr>
          <w:rFonts w:ascii="Century Gothic" w:hAnsi="Century Gothic" w:cs="Arial"/>
          <w:sz w:val="18"/>
          <w:szCs w:val="18"/>
        </w:rPr>
        <w:t xml:space="preserve"> La Corte Constitucional, en la sentencia C-287 de 2012, reiteró que la diferencia existente entre las sociedades comerciales y las entidades privadas sin ánimo de lucro es que estas últimas no reparten sus utilidades entre los socios. Así lo explicó en los siguientes términos: </w:t>
      </w:r>
      <w:r w:rsidR="009F38CE" w:rsidRPr="00905EF2">
        <w:rPr>
          <w:rFonts w:ascii="Century Gothic" w:hAnsi="Century Gothic" w:cs="Arial"/>
          <w:sz w:val="18"/>
          <w:szCs w:val="18"/>
        </w:rPr>
        <w:t>“</w:t>
      </w:r>
      <w:r w:rsidRPr="00905EF2">
        <w:rPr>
          <w:rFonts w:ascii="Century Gothic" w:hAnsi="Century Gothic" w:cs="Arial"/>
          <w:sz w:val="18"/>
          <w:szCs w:val="18"/>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905EF2">
        <w:rPr>
          <w:rFonts w:ascii="Century Gothic" w:hAnsi="Century Gothic" w:cs="Arial"/>
          <w:sz w:val="18"/>
          <w:szCs w:val="18"/>
        </w:rPr>
        <w:t>miembros</w:t>
      </w:r>
      <w:proofErr w:type="gramEnd"/>
      <w:r w:rsidRPr="00905EF2">
        <w:rPr>
          <w:rFonts w:ascii="Century Gothic" w:hAnsi="Century Gothic" w:cs="Arial"/>
          <w:sz w:val="18"/>
          <w:szCs w:val="18"/>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w:t>
      </w:r>
      <w:r w:rsidR="009F38CE" w:rsidRPr="00905EF2">
        <w:rPr>
          <w:rFonts w:ascii="Century Gothic" w:hAnsi="Century Gothic" w:cs="Arial"/>
          <w:sz w:val="18"/>
          <w:szCs w:val="18"/>
        </w:rPr>
        <w:t>”</w:t>
      </w:r>
      <w:r w:rsidRPr="00905EF2">
        <w:rPr>
          <w:rFonts w:ascii="Century Gothic" w:hAnsi="Century Gothic" w:cs="Arial"/>
          <w:sz w:val="18"/>
          <w:szCs w:val="18"/>
        </w:rPr>
        <w:t>.</w:t>
      </w:r>
    </w:p>
    <w:p w14:paraId="6A2309A9" w14:textId="77777777" w:rsidR="00B234B5" w:rsidRPr="00905EF2" w:rsidRDefault="00B234B5" w:rsidP="00905EF2">
      <w:pPr>
        <w:pStyle w:val="Textonotapie"/>
        <w:ind w:firstLine="708"/>
        <w:jc w:val="both"/>
        <w:rPr>
          <w:rFonts w:ascii="Century Gothic" w:hAnsi="Century Gothic" w:cs="Arial"/>
          <w:sz w:val="18"/>
          <w:szCs w:val="18"/>
        </w:rPr>
      </w:pPr>
    </w:p>
  </w:footnote>
  <w:footnote w:id="8">
    <w:p w14:paraId="5D3680D8" w14:textId="77777777" w:rsidR="00B234B5" w:rsidRPr="00905EF2" w:rsidRDefault="00B234B5" w:rsidP="00905EF2">
      <w:pPr>
        <w:pStyle w:val="Textonotapie"/>
        <w:ind w:firstLine="708"/>
        <w:jc w:val="both"/>
        <w:rPr>
          <w:rFonts w:ascii="Century Gothic" w:hAnsi="Century Gothic" w:cs="Arial"/>
          <w:sz w:val="18"/>
          <w:szCs w:val="18"/>
        </w:rPr>
      </w:pPr>
      <w:r w:rsidRPr="00905EF2">
        <w:rPr>
          <w:rStyle w:val="Refdenotaalpie"/>
          <w:rFonts w:ascii="Century Gothic" w:hAnsi="Century Gothic" w:cs="Arial"/>
          <w:sz w:val="18"/>
          <w:szCs w:val="18"/>
        </w:rPr>
        <w:footnoteRef/>
      </w:r>
      <w:r w:rsidRPr="00905EF2">
        <w:rPr>
          <w:rFonts w:ascii="Century Gothic" w:hAnsi="Century Gothic" w:cs="Arial"/>
          <w:sz w:val="18"/>
          <w:szCs w:val="18"/>
        </w:rPr>
        <w:t xml:space="preserve"> Agencia Nacional de Contratación Pública – Colombia Compra Eficiente–. Concepto C-728 del 14 de diciembre de 2022- Rad. 2202013000012012. </w:t>
      </w:r>
    </w:p>
    <w:p w14:paraId="0EF9C041" w14:textId="77777777" w:rsidR="00B234B5" w:rsidRPr="00905EF2" w:rsidRDefault="00B234B5" w:rsidP="00905EF2">
      <w:pPr>
        <w:pStyle w:val="Textonotapie"/>
        <w:ind w:firstLine="708"/>
        <w:jc w:val="both"/>
        <w:rPr>
          <w:rFonts w:ascii="Century Gothic" w:hAnsi="Century Gothic" w:cs="Arial"/>
          <w:sz w:val="18"/>
          <w:szCs w:val="18"/>
        </w:rPr>
      </w:pPr>
    </w:p>
  </w:footnote>
  <w:footnote w:id="9">
    <w:p w14:paraId="3A7E9DD8" w14:textId="77777777" w:rsidR="007E0B21" w:rsidRPr="00905EF2" w:rsidRDefault="007E0B21" w:rsidP="007E0B21">
      <w:pPr>
        <w:pStyle w:val="Textonotapie"/>
        <w:ind w:firstLine="708"/>
        <w:jc w:val="both"/>
        <w:rPr>
          <w:rFonts w:ascii="Century Gothic" w:hAnsi="Century Gothic"/>
          <w:sz w:val="18"/>
          <w:szCs w:val="18"/>
          <w:lang w:val="es-CO"/>
        </w:rPr>
      </w:pPr>
      <w:r w:rsidRPr="00905EF2">
        <w:rPr>
          <w:rStyle w:val="Refdenotaalpie"/>
          <w:rFonts w:ascii="Century Gothic" w:hAnsi="Century Gothic"/>
          <w:sz w:val="18"/>
          <w:szCs w:val="18"/>
        </w:rPr>
        <w:footnoteRef/>
      </w:r>
      <w:r w:rsidRPr="00905EF2">
        <w:rPr>
          <w:rFonts w:ascii="Century Gothic" w:hAnsi="Century Gothic"/>
          <w:sz w:val="18"/>
          <w:szCs w:val="18"/>
        </w:rPr>
        <w:t xml:space="preserve"> </w:t>
      </w:r>
      <w:r w:rsidRPr="00905EF2">
        <w:rPr>
          <w:rFonts w:ascii="Century Gothic" w:hAnsi="Century Gothic"/>
          <w:sz w:val="18"/>
          <w:szCs w:val="18"/>
          <w:lang w:val="es-CO"/>
        </w:rPr>
        <w:t xml:space="preserve">Conforme a la </w:t>
      </w:r>
      <w:proofErr w:type="spellStart"/>
      <w:r w:rsidRPr="00905EF2">
        <w:rPr>
          <w:rFonts w:ascii="Century Gothic" w:hAnsi="Century Gothic"/>
          <w:sz w:val="18"/>
          <w:szCs w:val="18"/>
          <w:lang w:val="es-CO"/>
        </w:rPr>
        <w:t>definiciiones</w:t>
      </w:r>
      <w:proofErr w:type="spellEnd"/>
      <w:r w:rsidRPr="00905EF2">
        <w:rPr>
          <w:rFonts w:ascii="Century Gothic" w:hAnsi="Century Gothic"/>
          <w:sz w:val="18"/>
          <w:szCs w:val="18"/>
          <w:lang w:val="es-CO"/>
        </w:rPr>
        <w:t xml:space="preserve"> contempladas en el Decreto 1529 de 1990 y el Decreto 2150 de 1995.</w:t>
      </w:r>
    </w:p>
  </w:footnote>
  <w:footnote w:id="10">
    <w:p w14:paraId="0795E1D4" w14:textId="77777777" w:rsidR="00C372B4" w:rsidRPr="00905EF2" w:rsidRDefault="00C372B4" w:rsidP="00C372B4">
      <w:pPr>
        <w:pStyle w:val="Textonotapie"/>
        <w:ind w:firstLine="708"/>
        <w:jc w:val="both"/>
        <w:rPr>
          <w:rFonts w:ascii="Century Gothic" w:hAnsi="Century Gothic"/>
          <w:sz w:val="18"/>
          <w:szCs w:val="18"/>
        </w:rPr>
      </w:pPr>
      <w:r w:rsidRPr="00905EF2">
        <w:rPr>
          <w:rStyle w:val="Refdenotaalpie"/>
          <w:rFonts w:ascii="Century Gothic" w:hAnsi="Century Gothic"/>
          <w:sz w:val="18"/>
          <w:szCs w:val="18"/>
        </w:rPr>
        <w:footnoteRef/>
      </w:r>
      <w:r w:rsidRPr="00905EF2">
        <w:rPr>
          <w:rFonts w:ascii="Century Gothic" w:hAnsi="Century Gothic"/>
          <w:sz w:val="18"/>
          <w:szCs w:val="18"/>
        </w:rPr>
        <w:t xml:space="preserve"> Decreto Ley 2663 del 5 de agosto de 1950, Código Sustantivo del Trabajo: «Son representantes del {empleador} y como tales lo obligan frente a sus trabajadores además de quienes tienen ese carácter según la ley, la convención o el reglamento de trabajo, las siguientes personas: </w:t>
      </w:r>
    </w:p>
    <w:p w14:paraId="1C053BCA" w14:textId="77777777" w:rsidR="00C372B4" w:rsidRPr="00905EF2" w:rsidRDefault="00C372B4" w:rsidP="00C372B4">
      <w:pPr>
        <w:pStyle w:val="Textonotapie"/>
        <w:ind w:firstLine="708"/>
        <w:jc w:val="both"/>
        <w:rPr>
          <w:rFonts w:ascii="Century Gothic" w:hAnsi="Century Gothic"/>
          <w:sz w:val="18"/>
          <w:szCs w:val="18"/>
        </w:rPr>
      </w:pPr>
      <w:r w:rsidRPr="00905EF2">
        <w:rPr>
          <w:rFonts w:ascii="Century Gothic" w:hAnsi="Century Gothic"/>
          <w:sz w:val="18"/>
          <w:szCs w:val="18"/>
        </w:rPr>
        <w:t xml:space="preserve">a) Las que ejerzan funciones de dirección o administración, tales como directores, gerentes, administradores, síndicos o liquidadores, mayordomos y capitanes de barco, y quienes ejercitan actos de representación con la aquiescencia expresa o tácita del {empleador}; </w:t>
      </w:r>
    </w:p>
    <w:p w14:paraId="0FD36996" w14:textId="77777777" w:rsidR="00C372B4" w:rsidRPr="00905EF2" w:rsidRDefault="00C372B4" w:rsidP="00C372B4">
      <w:pPr>
        <w:pStyle w:val="Textonotapie"/>
        <w:ind w:firstLine="708"/>
        <w:jc w:val="both"/>
        <w:rPr>
          <w:rFonts w:ascii="Century Gothic" w:hAnsi="Century Gothic"/>
          <w:sz w:val="18"/>
          <w:szCs w:val="18"/>
          <w:lang w:val="es-CO"/>
        </w:rPr>
      </w:pPr>
      <w:r w:rsidRPr="00905EF2">
        <w:rPr>
          <w:rFonts w:ascii="Century Gothic" w:hAnsi="Century Gothic"/>
          <w:sz w:val="18"/>
          <w:szCs w:val="18"/>
        </w:rPr>
        <w:t>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26C0F"/>
    <w:multiLevelType w:val="hybridMultilevel"/>
    <w:tmpl w:val="56B835D4"/>
    <w:lvl w:ilvl="0" w:tplc="B6708F7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1"/>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3"/>
  </w:num>
  <w:num w:numId="7" w16cid:durableId="1946422806">
    <w:abstractNumId w:val="5"/>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0"/>
  </w:num>
  <w:num w:numId="13" w16cid:durableId="1512908409">
    <w:abstractNumId w:val="3"/>
  </w:num>
  <w:num w:numId="14" w16cid:durableId="895897244">
    <w:abstractNumId w:val="14"/>
  </w:num>
  <w:num w:numId="15" w16cid:durableId="390349800">
    <w:abstractNumId w:val="10"/>
  </w:num>
  <w:num w:numId="16" w16cid:durableId="793982835">
    <w:abstractNumId w:val="2"/>
  </w:num>
  <w:num w:numId="17" w16cid:durableId="1737974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18D1"/>
    <w:rsid w:val="00015A57"/>
    <w:rsid w:val="000316C1"/>
    <w:rsid w:val="00046108"/>
    <w:rsid w:val="000577ED"/>
    <w:rsid w:val="00061B2A"/>
    <w:rsid w:val="00077F7E"/>
    <w:rsid w:val="00082362"/>
    <w:rsid w:val="00090FBD"/>
    <w:rsid w:val="000A683E"/>
    <w:rsid w:val="000A7F81"/>
    <w:rsid w:val="000B19B9"/>
    <w:rsid w:val="000B1F34"/>
    <w:rsid w:val="000B4876"/>
    <w:rsid w:val="000D0334"/>
    <w:rsid w:val="000E687F"/>
    <w:rsid w:val="000F6486"/>
    <w:rsid w:val="001166E4"/>
    <w:rsid w:val="00125105"/>
    <w:rsid w:val="00127233"/>
    <w:rsid w:val="00140796"/>
    <w:rsid w:val="00141D21"/>
    <w:rsid w:val="00154158"/>
    <w:rsid w:val="001B30E1"/>
    <w:rsid w:val="001B51DD"/>
    <w:rsid w:val="001D4992"/>
    <w:rsid w:val="001D673E"/>
    <w:rsid w:val="001E0D3A"/>
    <w:rsid w:val="001E4177"/>
    <w:rsid w:val="001F0D8F"/>
    <w:rsid w:val="001F17BB"/>
    <w:rsid w:val="001F7DC6"/>
    <w:rsid w:val="00206943"/>
    <w:rsid w:val="00217236"/>
    <w:rsid w:val="00221A7E"/>
    <w:rsid w:val="002421BB"/>
    <w:rsid w:val="002707A2"/>
    <w:rsid w:val="002951A0"/>
    <w:rsid w:val="002962BC"/>
    <w:rsid w:val="00296978"/>
    <w:rsid w:val="002A093D"/>
    <w:rsid w:val="002A0DD0"/>
    <w:rsid w:val="002A49AC"/>
    <w:rsid w:val="002A64FD"/>
    <w:rsid w:val="002B08BB"/>
    <w:rsid w:val="002B237E"/>
    <w:rsid w:val="002B5D8C"/>
    <w:rsid w:val="002C7A84"/>
    <w:rsid w:val="002E4FD9"/>
    <w:rsid w:val="002E6156"/>
    <w:rsid w:val="002F3526"/>
    <w:rsid w:val="00313A6B"/>
    <w:rsid w:val="00322A85"/>
    <w:rsid w:val="003417BE"/>
    <w:rsid w:val="003448F4"/>
    <w:rsid w:val="00356AEA"/>
    <w:rsid w:val="00374F5E"/>
    <w:rsid w:val="00377E3E"/>
    <w:rsid w:val="003902B5"/>
    <w:rsid w:val="003913E3"/>
    <w:rsid w:val="003A779E"/>
    <w:rsid w:val="003D0F4D"/>
    <w:rsid w:val="003D5B0D"/>
    <w:rsid w:val="003E0499"/>
    <w:rsid w:val="003F3941"/>
    <w:rsid w:val="003F3B14"/>
    <w:rsid w:val="00406575"/>
    <w:rsid w:val="00407957"/>
    <w:rsid w:val="00421D9E"/>
    <w:rsid w:val="0042722E"/>
    <w:rsid w:val="0043372A"/>
    <w:rsid w:val="00443C81"/>
    <w:rsid w:val="0046007A"/>
    <w:rsid w:val="00464DD6"/>
    <w:rsid w:val="00472C04"/>
    <w:rsid w:val="00475626"/>
    <w:rsid w:val="0048485B"/>
    <w:rsid w:val="00486DD4"/>
    <w:rsid w:val="004A1847"/>
    <w:rsid w:val="004A305D"/>
    <w:rsid w:val="004B42B1"/>
    <w:rsid w:val="004E3849"/>
    <w:rsid w:val="004E79C2"/>
    <w:rsid w:val="004F21C4"/>
    <w:rsid w:val="004F39F5"/>
    <w:rsid w:val="004F685F"/>
    <w:rsid w:val="00505A95"/>
    <w:rsid w:val="0050686A"/>
    <w:rsid w:val="00510B73"/>
    <w:rsid w:val="005276CD"/>
    <w:rsid w:val="005370CD"/>
    <w:rsid w:val="005510D8"/>
    <w:rsid w:val="005566E8"/>
    <w:rsid w:val="00563063"/>
    <w:rsid w:val="00564F12"/>
    <w:rsid w:val="00565D08"/>
    <w:rsid w:val="00574867"/>
    <w:rsid w:val="00591460"/>
    <w:rsid w:val="005A2340"/>
    <w:rsid w:val="005A5AC4"/>
    <w:rsid w:val="005B414C"/>
    <w:rsid w:val="005B7617"/>
    <w:rsid w:val="005C3777"/>
    <w:rsid w:val="005C5CDC"/>
    <w:rsid w:val="005D476C"/>
    <w:rsid w:val="005E52CD"/>
    <w:rsid w:val="005F2DEC"/>
    <w:rsid w:val="005F56C8"/>
    <w:rsid w:val="005F7A72"/>
    <w:rsid w:val="0060283E"/>
    <w:rsid w:val="00607012"/>
    <w:rsid w:val="006139A1"/>
    <w:rsid w:val="006219F8"/>
    <w:rsid w:val="006308ED"/>
    <w:rsid w:val="00642F19"/>
    <w:rsid w:val="00646F56"/>
    <w:rsid w:val="00654E93"/>
    <w:rsid w:val="00660067"/>
    <w:rsid w:val="00665D70"/>
    <w:rsid w:val="00666140"/>
    <w:rsid w:val="006729BC"/>
    <w:rsid w:val="006900D9"/>
    <w:rsid w:val="00690A35"/>
    <w:rsid w:val="006B567A"/>
    <w:rsid w:val="006C1810"/>
    <w:rsid w:val="006C398E"/>
    <w:rsid w:val="006E0005"/>
    <w:rsid w:val="00706C16"/>
    <w:rsid w:val="00712C18"/>
    <w:rsid w:val="007155CC"/>
    <w:rsid w:val="007206A1"/>
    <w:rsid w:val="00723D07"/>
    <w:rsid w:val="00742865"/>
    <w:rsid w:val="00752B80"/>
    <w:rsid w:val="00756841"/>
    <w:rsid w:val="00763A43"/>
    <w:rsid w:val="007640D7"/>
    <w:rsid w:val="007649AB"/>
    <w:rsid w:val="00771D0C"/>
    <w:rsid w:val="00781AA8"/>
    <w:rsid w:val="007833AC"/>
    <w:rsid w:val="00784D2B"/>
    <w:rsid w:val="00793E95"/>
    <w:rsid w:val="00795015"/>
    <w:rsid w:val="007B268C"/>
    <w:rsid w:val="007B7171"/>
    <w:rsid w:val="007C3DC2"/>
    <w:rsid w:val="007C55B4"/>
    <w:rsid w:val="007E0B21"/>
    <w:rsid w:val="007E5497"/>
    <w:rsid w:val="0080193A"/>
    <w:rsid w:val="00802C72"/>
    <w:rsid w:val="00806F5F"/>
    <w:rsid w:val="00820278"/>
    <w:rsid w:val="00820C3C"/>
    <w:rsid w:val="00833346"/>
    <w:rsid w:val="00833E2E"/>
    <w:rsid w:val="00850B6E"/>
    <w:rsid w:val="00853EF4"/>
    <w:rsid w:val="008746F1"/>
    <w:rsid w:val="008843B6"/>
    <w:rsid w:val="00884AD3"/>
    <w:rsid w:val="00891928"/>
    <w:rsid w:val="0089621D"/>
    <w:rsid w:val="008A446D"/>
    <w:rsid w:val="008A74D4"/>
    <w:rsid w:val="008B1FC1"/>
    <w:rsid w:val="008C23CC"/>
    <w:rsid w:val="008C6541"/>
    <w:rsid w:val="008D180B"/>
    <w:rsid w:val="008F0EA7"/>
    <w:rsid w:val="008F5308"/>
    <w:rsid w:val="008F6D56"/>
    <w:rsid w:val="009047CF"/>
    <w:rsid w:val="00905EF2"/>
    <w:rsid w:val="00907C5E"/>
    <w:rsid w:val="00923EEF"/>
    <w:rsid w:val="009419F9"/>
    <w:rsid w:val="00953AC0"/>
    <w:rsid w:val="00961B09"/>
    <w:rsid w:val="0096421B"/>
    <w:rsid w:val="00965334"/>
    <w:rsid w:val="009661CC"/>
    <w:rsid w:val="0097093E"/>
    <w:rsid w:val="00987CE7"/>
    <w:rsid w:val="00990596"/>
    <w:rsid w:val="00994848"/>
    <w:rsid w:val="009A0185"/>
    <w:rsid w:val="009C3480"/>
    <w:rsid w:val="009C71FA"/>
    <w:rsid w:val="009C72E7"/>
    <w:rsid w:val="009D331E"/>
    <w:rsid w:val="009F38CE"/>
    <w:rsid w:val="009F3A13"/>
    <w:rsid w:val="00A05496"/>
    <w:rsid w:val="00A056EB"/>
    <w:rsid w:val="00A07C81"/>
    <w:rsid w:val="00A122D3"/>
    <w:rsid w:val="00A1613E"/>
    <w:rsid w:val="00A17F13"/>
    <w:rsid w:val="00A20739"/>
    <w:rsid w:val="00A33C78"/>
    <w:rsid w:val="00A3796C"/>
    <w:rsid w:val="00A421D9"/>
    <w:rsid w:val="00A43AE0"/>
    <w:rsid w:val="00A512CE"/>
    <w:rsid w:val="00A614F6"/>
    <w:rsid w:val="00A62CC2"/>
    <w:rsid w:val="00A77870"/>
    <w:rsid w:val="00A855FD"/>
    <w:rsid w:val="00AA6E00"/>
    <w:rsid w:val="00AB02C6"/>
    <w:rsid w:val="00AB0ADB"/>
    <w:rsid w:val="00AC065E"/>
    <w:rsid w:val="00AD1A79"/>
    <w:rsid w:val="00AD3A7E"/>
    <w:rsid w:val="00AD4E7A"/>
    <w:rsid w:val="00AE4497"/>
    <w:rsid w:val="00AF6985"/>
    <w:rsid w:val="00B04300"/>
    <w:rsid w:val="00B201EB"/>
    <w:rsid w:val="00B234B5"/>
    <w:rsid w:val="00B2511C"/>
    <w:rsid w:val="00B34340"/>
    <w:rsid w:val="00B36E77"/>
    <w:rsid w:val="00B55DA3"/>
    <w:rsid w:val="00B711CE"/>
    <w:rsid w:val="00B72CD3"/>
    <w:rsid w:val="00B72FFF"/>
    <w:rsid w:val="00B83EC1"/>
    <w:rsid w:val="00BA16F4"/>
    <w:rsid w:val="00BB6BD7"/>
    <w:rsid w:val="00BC3D36"/>
    <w:rsid w:val="00BC41D1"/>
    <w:rsid w:val="00BC7F0C"/>
    <w:rsid w:val="00BD607F"/>
    <w:rsid w:val="00BD7F72"/>
    <w:rsid w:val="00BF0C2B"/>
    <w:rsid w:val="00C04FB3"/>
    <w:rsid w:val="00C13BB3"/>
    <w:rsid w:val="00C26293"/>
    <w:rsid w:val="00C330EB"/>
    <w:rsid w:val="00C372B4"/>
    <w:rsid w:val="00C510E1"/>
    <w:rsid w:val="00C523EE"/>
    <w:rsid w:val="00C55C9A"/>
    <w:rsid w:val="00C73F53"/>
    <w:rsid w:val="00C754BE"/>
    <w:rsid w:val="00C76B1C"/>
    <w:rsid w:val="00CA556F"/>
    <w:rsid w:val="00CB12BF"/>
    <w:rsid w:val="00CB6357"/>
    <w:rsid w:val="00CC1B26"/>
    <w:rsid w:val="00CE1CE0"/>
    <w:rsid w:val="00D101B0"/>
    <w:rsid w:val="00D13424"/>
    <w:rsid w:val="00D176B4"/>
    <w:rsid w:val="00D337AF"/>
    <w:rsid w:val="00D423A2"/>
    <w:rsid w:val="00D52EED"/>
    <w:rsid w:val="00D54D1A"/>
    <w:rsid w:val="00D63AC2"/>
    <w:rsid w:val="00D6737C"/>
    <w:rsid w:val="00D7383B"/>
    <w:rsid w:val="00D82CAC"/>
    <w:rsid w:val="00D85CD4"/>
    <w:rsid w:val="00DA231B"/>
    <w:rsid w:val="00DB18D4"/>
    <w:rsid w:val="00DE5AB2"/>
    <w:rsid w:val="00DF5254"/>
    <w:rsid w:val="00DF7D0A"/>
    <w:rsid w:val="00E16408"/>
    <w:rsid w:val="00E20894"/>
    <w:rsid w:val="00E245AB"/>
    <w:rsid w:val="00E26038"/>
    <w:rsid w:val="00E2764C"/>
    <w:rsid w:val="00E27F2E"/>
    <w:rsid w:val="00E35884"/>
    <w:rsid w:val="00E50AFE"/>
    <w:rsid w:val="00E50C7F"/>
    <w:rsid w:val="00E53CF9"/>
    <w:rsid w:val="00E621D7"/>
    <w:rsid w:val="00E771DC"/>
    <w:rsid w:val="00E8772A"/>
    <w:rsid w:val="00E901DC"/>
    <w:rsid w:val="00E90F6B"/>
    <w:rsid w:val="00E92C27"/>
    <w:rsid w:val="00E97D30"/>
    <w:rsid w:val="00EA0E3D"/>
    <w:rsid w:val="00EB0E4C"/>
    <w:rsid w:val="00EB34A7"/>
    <w:rsid w:val="00ED0F21"/>
    <w:rsid w:val="00ED3D08"/>
    <w:rsid w:val="00EE1AA8"/>
    <w:rsid w:val="00EE4289"/>
    <w:rsid w:val="00EF1BCA"/>
    <w:rsid w:val="00EF2883"/>
    <w:rsid w:val="00EF75C5"/>
    <w:rsid w:val="00F31EDC"/>
    <w:rsid w:val="00F3622A"/>
    <w:rsid w:val="00F462B3"/>
    <w:rsid w:val="00F5664F"/>
    <w:rsid w:val="00F64369"/>
    <w:rsid w:val="00F666C4"/>
    <w:rsid w:val="00F747FD"/>
    <w:rsid w:val="00F76AFC"/>
    <w:rsid w:val="00FA43FF"/>
    <w:rsid w:val="00FB330D"/>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234B5"/>
    <w:rPr>
      <w:rFonts w:ascii="Geomanist Light" w:hAnsi="Geomanist Light"/>
      <w:lang w:val="es-ES"/>
    </w:rPr>
  </w:style>
  <w:style w:type="table" w:customStyle="1" w:styleId="Tablaconcuadrcula1">
    <w:name w:val="Tabla con cuadrícula1"/>
    <w:basedOn w:val="Tablanormal"/>
    <w:next w:val="Tablaconcuadrcula"/>
    <w:uiPriority w:val="59"/>
    <w:rsid w:val="00B234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B234B5"/>
    <w:pPr>
      <w:spacing w:line="240" w:lineRule="exact"/>
    </w:pPr>
    <w:rPr>
      <w:vertAlign w:val="superscript"/>
    </w:rPr>
  </w:style>
  <w:style w:type="character" w:customStyle="1" w:styleId="NormalWebCar">
    <w:name w:val="Normal (Web) Car"/>
    <w:link w:val="NormalWeb"/>
    <w:uiPriority w:val="99"/>
    <w:rsid w:val="00B234B5"/>
    <w:rPr>
      <w:rFonts w:ascii="Times New Roman" w:eastAsia="Times New Roman" w:hAnsi="Times New Roman" w:cs="Times New Roman"/>
      <w:sz w:val="24"/>
      <w:szCs w:val="24"/>
      <w:lang w:eastAsia="es-CO"/>
    </w:rPr>
  </w:style>
  <w:style w:type="character" w:customStyle="1" w:styleId="Hipervnculo1">
    <w:name w:val="Hipervínculo1"/>
    <w:basedOn w:val="Fuentedeprrafopredeter"/>
    <w:uiPriority w:val="99"/>
    <w:unhideWhenUsed/>
    <w:rsid w:val="00B234B5"/>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932153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746762332">
      <w:bodyDiv w:val="1"/>
      <w:marLeft w:val="0"/>
      <w:marRight w:val="0"/>
      <w:marTop w:val="0"/>
      <w:marBottom w:val="0"/>
      <w:divBdr>
        <w:top w:val="none" w:sz="0" w:space="0" w:color="auto"/>
        <w:left w:val="none" w:sz="0" w:space="0" w:color="auto"/>
        <w:bottom w:val="none" w:sz="0" w:space="0" w:color="auto"/>
        <w:right w:val="none" w:sz="0" w:space="0" w:color="auto"/>
      </w:divBdr>
      <w:divsChild>
        <w:div w:id="1859349361">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59D3E3C-0DD7-495F-85CD-642EBA0A8D81}"/>
</file>

<file path=customXml/itemProps2.xml><?xml version="1.0" encoding="utf-8"?>
<ds:datastoreItem xmlns:ds="http://schemas.openxmlformats.org/officeDocument/2006/customXml" ds:itemID="{C2C0E1BB-FF53-458E-B32A-465B1F48AB96}">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5568</Words>
  <Characters>30625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4</cp:revision>
  <cp:lastPrinted>2023-01-10T21:18:00Z</cp:lastPrinted>
  <dcterms:created xsi:type="dcterms:W3CDTF">2023-10-03T20:03:00Z</dcterms:created>
  <dcterms:modified xsi:type="dcterms:W3CDTF">2023-11-29T19:40:00Z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