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E777" w14:textId="77777777" w:rsidR="00B2439C" w:rsidRPr="001E27FE" w:rsidRDefault="00B2439C" w:rsidP="001E27FE">
      <w:pPr>
        <w:spacing w:line="240" w:lineRule="auto"/>
        <w:jc w:val="both"/>
        <w:rPr>
          <w:rFonts w:ascii="Century Gothic" w:hAnsi="Century Gothic" w:cs="Arial"/>
          <w:b/>
          <w:bCs/>
          <w:color w:val="000000"/>
          <w:sz w:val="20"/>
          <w:szCs w:val="20"/>
        </w:rPr>
      </w:pPr>
      <w:bookmarkStart w:id="0" w:name="_Hlk143780582"/>
      <w:r w:rsidRPr="001E27FE">
        <w:rPr>
          <w:rFonts w:ascii="Century Gothic" w:hAnsi="Century Gothic" w:cs="Arial"/>
          <w:b/>
          <w:bCs/>
          <w:color w:val="000000"/>
          <w:sz w:val="20"/>
          <w:szCs w:val="20"/>
        </w:rPr>
        <w:t>DOCUMENTOS TIPO – Fundamento normativo</w:t>
      </w:r>
    </w:p>
    <w:p w14:paraId="39FF5732" w14:textId="67A01726" w:rsidR="005847B8" w:rsidRPr="001E27FE" w:rsidRDefault="005847B8" w:rsidP="001E27FE">
      <w:pPr>
        <w:spacing w:line="240" w:lineRule="auto"/>
        <w:jc w:val="both"/>
        <w:rPr>
          <w:rFonts w:ascii="Century Gothic" w:hAnsi="Century Gothic"/>
          <w:sz w:val="20"/>
          <w:szCs w:val="20"/>
        </w:rPr>
      </w:pPr>
      <w:r w:rsidRPr="001E27FE">
        <w:rPr>
          <w:rFonts w:ascii="Century Gothic" w:hAnsi="Century Gothic"/>
          <w:sz w:val="20"/>
          <w:szCs w:val="20"/>
        </w:rPr>
        <w:t>Por otra parte,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w:t>
      </w:r>
      <w:r w:rsidRPr="001E27FE">
        <w:rPr>
          <w:rFonts w:ascii="Century Gothic" w:hAnsi="Century Gothic"/>
          <w:sz w:val="20"/>
          <w:szCs w:val="20"/>
        </w:rPr>
        <w:t xml:space="preserve"> </w:t>
      </w:r>
      <w:r w:rsidRPr="001E27FE">
        <w:rPr>
          <w:rFonts w:ascii="Century Gothic" w:hAnsi="Century Gothic"/>
          <w:sz w:val="20"/>
          <w:szCs w:val="20"/>
        </w:rPr>
        <w:t xml:space="preserve">Colombia Compra Eficiente la facultad para adoptar los documentos </w:t>
      </w:r>
      <w:r w:rsidRPr="001E27FE">
        <w:rPr>
          <w:rFonts w:ascii="Century Gothic" w:hAnsi="Century Gothic"/>
          <w:sz w:val="20"/>
          <w:szCs w:val="20"/>
        </w:rPr>
        <w:t>tipo.</w:t>
      </w:r>
      <w:r w:rsidRPr="001E27FE">
        <w:rPr>
          <w:rFonts w:ascii="Century Gothic" w:hAnsi="Century Gothic"/>
          <w:sz w:val="20"/>
          <w:szCs w:val="20"/>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6B1C77FC" w14:textId="2E1351EC" w:rsidR="005847B8" w:rsidRPr="001E27FE" w:rsidRDefault="005847B8" w:rsidP="001E27FE">
      <w:pPr>
        <w:spacing w:line="240" w:lineRule="auto"/>
        <w:jc w:val="both"/>
        <w:rPr>
          <w:rFonts w:ascii="Century Gothic" w:hAnsi="Century Gothic"/>
          <w:sz w:val="20"/>
          <w:szCs w:val="20"/>
        </w:rPr>
      </w:pPr>
      <w:r w:rsidRPr="001E27FE">
        <w:rPr>
          <w:rFonts w:ascii="Century Gothic" w:hAnsi="Century Gothic"/>
          <w:sz w:val="20"/>
          <w:szCs w:val="20"/>
        </w:rPr>
        <w:t>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w:t>
      </w:r>
      <w:r w:rsidRPr="001E27FE">
        <w:rPr>
          <w:rFonts w:ascii="Century Gothic" w:hAnsi="Century Gothic"/>
          <w:sz w:val="20"/>
          <w:szCs w:val="20"/>
        </w:rPr>
        <w:t>. (…)</w:t>
      </w:r>
    </w:p>
    <w:p w14:paraId="3AA7601A" w14:textId="77777777" w:rsidR="005847B8" w:rsidRPr="001E27FE" w:rsidRDefault="00B2439C" w:rsidP="001E27FE">
      <w:pPr>
        <w:spacing w:line="240" w:lineRule="auto"/>
        <w:jc w:val="both"/>
        <w:rPr>
          <w:rFonts w:ascii="Century Gothic" w:eastAsia="Calibri" w:hAnsi="Century Gothic" w:cs="Arial"/>
          <w:b/>
          <w:bCs/>
          <w:sz w:val="20"/>
          <w:szCs w:val="20"/>
        </w:rPr>
      </w:pPr>
      <w:r w:rsidRPr="001E27FE">
        <w:rPr>
          <w:rFonts w:ascii="Century Gothic" w:eastAsia="Calibri" w:hAnsi="Century Gothic" w:cs="Arial"/>
          <w:b/>
          <w:bCs/>
          <w:sz w:val="20"/>
          <w:szCs w:val="20"/>
        </w:rPr>
        <w:t>CAPACIDAD RESIDUAL – Documentos tipo – Capacidad Técnica</w:t>
      </w:r>
    </w:p>
    <w:p w14:paraId="4FB12E2A" w14:textId="77777777" w:rsidR="00EF7928" w:rsidRPr="001E27FE" w:rsidRDefault="00EF7928" w:rsidP="001E27FE">
      <w:pPr>
        <w:spacing w:line="240" w:lineRule="auto"/>
        <w:jc w:val="both"/>
        <w:rPr>
          <w:rFonts w:ascii="Century Gothic" w:hAnsi="Century Gothic"/>
          <w:sz w:val="20"/>
          <w:szCs w:val="20"/>
        </w:rPr>
      </w:pPr>
      <w:r w:rsidRPr="001E27FE">
        <w:rPr>
          <w:rFonts w:ascii="Century Gothic" w:hAnsi="Century Gothic"/>
          <w:sz w:val="20"/>
          <w:szCs w:val="20"/>
        </w:rPr>
        <w:t xml:space="preserve">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w:t>
      </w:r>
    </w:p>
    <w:p w14:paraId="7143302C" w14:textId="79CEAF49" w:rsidR="00EF7928" w:rsidRPr="001E27FE" w:rsidRDefault="00EF7928" w:rsidP="001E27FE">
      <w:pPr>
        <w:spacing w:line="240" w:lineRule="auto"/>
        <w:jc w:val="both"/>
        <w:rPr>
          <w:rFonts w:ascii="Century Gothic" w:hAnsi="Century Gothic"/>
          <w:sz w:val="20"/>
          <w:szCs w:val="20"/>
        </w:rPr>
      </w:pPr>
      <w:r w:rsidRPr="001E27FE">
        <w:rPr>
          <w:rFonts w:ascii="Century Gothic" w:hAnsi="Century Gothic"/>
          <w:sz w:val="20"/>
          <w:szCs w:val="20"/>
        </w:rPr>
        <w:t>De conformidad con lo expuesto, la “Guía para Determinar y Verificar la Capacidad Residual del Proponente en los Procesos de Contratación de Obra Pública”, dispuso, entre otras cuestiones, que la capacidad técnica (CT) como factor que compone la capacidad residual, acreditaría por parte del proponente con el diligenciamiento del Anexo 2 de la citada guía</w:t>
      </w:r>
      <w:r w:rsidRPr="001E27FE">
        <w:rPr>
          <w:rFonts w:ascii="Century Gothic" w:hAnsi="Century Gothic"/>
          <w:sz w:val="20"/>
          <w:szCs w:val="20"/>
        </w:rPr>
        <w:t xml:space="preserve"> (…)</w:t>
      </w:r>
    </w:p>
    <w:p w14:paraId="6612E373" w14:textId="77777777" w:rsidR="00EF7928" w:rsidRPr="001E27FE" w:rsidRDefault="00EF7928" w:rsidP="001E27FE">
      <w:pPr>
        <w:spacing w:line="240" w:lineRule="auto"/>
        <w:jc w:val="both"/>
        <w:rPr>
          <w:rFonts w:ascii="Century Gothic" w:hAnsi="Century Gothic"/>
          <w:sz w:val="20"/>
          <w:szCs w:val="20"/>
        </w:rPr>
      </w:pPr>
      <w:r w:rsidRPr="001E27FE">
        <w:rPr>
          <w:rFonts w:ascii="Century Gothic" w:hAnsi="Century Gothic"/>
          <w:sz w:val="20"/>
          <w:szCs w:val="20"/>
        </w:rPr>
        <w:t xml:space="preserve">Como puede observarse, el anexo en mención solicita que el proponente identifique en el formato el nombre del socio o el profesional, y relacione su profesión, su respectivo número de matrícula profesional, el número y año del contrato laboral o de prestación de servicios profesionales y la vigencia de este. Además, indicó que dicho formato deberá ser suscrito por el representante legal del oferente y por el respectivo representante del auditor o revisor fiscal del proponente, en caso de serle obligatorio. </w:t>
      </w:r>
    </w:p>
    <w:p w14:paraId="4A79B306" w14:textId="42EE5D71" w:rsidR="00EF7928" w:rsidRPr="001E27FE" w:rsidRDefault="00EF7928" w:rsidP="001E27FE">
      <w:pPr>
        <w:spacing w:line="240" w:lineRule="auto"/>
        <w:jc w:val="both"/>
        <w:rPr>
          <w:rFonts w:ascii="Century Gothic" w:eastAsia="Calibri" w:hAnsi="Century Gothic" w:cs="Arial"/>
          <w:b/>
          <w:bCs/>
          <w:sz w:val="20"/>
          <w:szCs w:val="20"/>
        </w:rPr>
      </w:pPr>
      <w:r w:rsidRPr="001E27FE">
        <w:rPr>
          <w:rFonts w:ascii="Century Gothic" w:hAnsi="Century Gothic"/>
          <w:sz w:val="20"/>
          <w:szCs w:val="20"/>
        </w:rPr>
        <w:t>Al respecto, se recuerda que conforme el artículo 203 del Código de Comercio, el artículo 13 de la Ley 43 de 1990 y el artículo 20 de la Ley 45 de 1990 las siguientes personas jurídicas se encuentran obligadas a contar con esta modalidad de auditoria o revisor fiscal: (i) las sociedades por acciones; (</w:t>
      </w:r>
      <w:proofErr w:type="spellStart"/>
      <w:r w:rsidRPr="001E27FE">
        <w:rPr>
          <w:rFonts w:ascii="Century Gothic" w:hAnsi="Century Gothic"/>
          <w:sz w:val="20"/>
          <w:szCs w:val="20"/>
        </w:rPr>
        <w:t>ii</w:t>
      </w:r>
      <w:proofErr w:type="spellEnd"/>
      <w:r w:rsidRPr="001E27FE">
        <w:rPr>
          <w:rFonts w:ascii="Century Gothic" w:hAnsi="Century Gothic"/>
          <w:sz w:val="20"/>
          <w:szCs w:val="20"/>
        </w:rPr>
        <w:t>) las sucursales de compañías extrajeras; (</w:t>
      </w:r>
      <w:proofErr w:type="spellStart"/>
      <w:r w:rsidRPr="001E27FE">
        <w:rPr>
          <w:rFonts w:ascii="Century Gothic" w:hAnsi="Century Gothic"/>
          <w:sz w:val="20"/>
          <w:szCs w:val="20"/>
        </w:rPr>
        <w:t>iii</w:t>
      </w:r>
      <w:proofErr w:type="spellEnd"/>
      <w:r w:rsidRPr="001E27FE">
        <w:rPr>
          <w:rFonts w:ascii="Century Gothic" w:hAnsi="Century Gothic"/>
          <w:sz w:val="20"/>
          <w:szCs w:val="20"/>
        </w:rPr>
        <w:t>) las sociedades que voluntariamente lo dispongan en sus estatutos; (</w:t>
      </w:r>
      <w:proofErr w:type="spellStart"/>
      <w:r w:rsidRPr="001E27FE">
        <w:rPr>
          <w:rFonts w:ascii="Century Gothic" w:hAnsi="Century Gothic"/>
          <w:sz w:val="20"/>
          <w:szCs w:val="20"/>
        </w:rPr>
        <w:t>iv</w:t>
      </w:r>
      <w:proofErr w:type="spellEnd"/>
      <w:r w:rsidRPr="001E27FE">
        <w:rPr>
          <w:rFonts w:ascii="Century Gothic" w:hAnsi="Century Gothic"/>
          <w:sz w:val="20"/>
          <w:szCs w:val="20"/>
        </w:rPr>
        <w:t xml:space="preserve">) las sociedades que por ley o por los </w:t>
      </w:r>
      <w:r w:rsidRPr="001E27FE">
        <w:rPr>
          <w:rFonts w:ascii="Century Gothic" w:hAnsi="Century Gothic"/>
          <w:sz w:val="20"/>
          <w:szCs w:val="20"/>
        </w:rPr>
        <w:lastRenderedPageBreak/>
        <w:t>estatutos, dispongan que la administración no corresponde a todos los socios</w:t>
      </w:r>
      <w:r w:rsidRPr="001E27FE">
        <w:rPr>
          <w:rFonts w:ascii="Century Gothic" w:hAnsi="Century Gothic"/>
          <w:sz w:val="20"/>
          <w:szCs w:val="20"/>
        </w:rPr>
        <w:t xml:space="preserve"> </w:t>
      </w:r>
      <w:r w:rsidRPr="001E27FE">
        <w:rPr>
          <w:rFonts w:ascii="Century Gothic" w:hAnsi="Century Gothic"/>
          <w:sz w:val="20"/>
          <w:szCs w:val="20"/>
        </w:rPr>
        <w:t>en no menos del 20 % del capital; (v)todas las sociedades comerciales cuyos activos brutos e ingresos brutos correspondan a los topes determinados en el parágrafo 2 del artículo 13 de la Ley 473 de 1990; (vi) las entidades sujetas a vigilancia por parte de la superintendencia de Salud; (</w:t>
      </w:r>
      <w:proofErr w:type="spellStart"/>
      <w:r w:rsidRPr="001E27FE">
        <w:rPr>
          <w:rFonts w:ascii="Century Gothic" w:hAnsi="Century Gothic"/>
          <w:sz w:val="20"/>
          <w:szCs w:val="20"/>
        </w:rPr>
        <w:t>vii</w:t>
      </w:r>
      <w:proofErr w:type="spellEnd"/>
      <w:r w:rsidRPr="001E27FE">
        <w:rPr>
          <w:rFonts w:ascii="Century Gothic" w:hAnsi="Century Gothic"/>
          <w:sz w:val="20"/>
          <w:szCs w:val="20"/>
        </w:rPr>
        <w:t>) las entidades sujetas a control y vigilancia de la Superintendencia Financiera; y (</w:t>
      </w:r>
      <w:proofErr w:type="spellStart"/>
      <w:r w:rsidRPr="001E27FE">
        <w:rPr>
          <w:rFonts w:ascii="Century Gothic" w:hAnsi="Century Gothic"/>
          <w:sz w:val="20"/>
          <w:szCs w:val="20"/>
        </w:rPr>
        <w:t>viii</w:t>
      </w:r>
      <w:proofErr w:type="spellEnd"/>
      <w:r w:rsidRPr="001E27FE">
        <w:rPr>
          <w:rFonts w:ascii="Century Gothic" w:hAnsi="Century Gothic"/>
          <w:sz w:val="20"/>
          <w:szCs w:val="20"/>
        </w:rPr>
        <w:t>) las entidades del sector real sujetas a inspección de la Superintendencia de la Economía Solidaria.</w:t>
      </w:r>
    </w:p>
    <w:p w14:paraId="1D8E6878" w14:textId="6A11744B" w:rsidR="00B2439C" w:rsidRPr="001E27FE" w:rsidRDefault="00B2439C" w:rsidP="001E27FE">
      <w:pPr>
        <w:spacing w:line="240" w:lineRule="auto"/>
        <w:jc w:val="both"/>
        <w:rPr>
          <w:rFonts w:ascii="Century Gothic" w:hAnsi="Century Gothic"/>
          <w:b/>
          <w:bCs/>
          <w:sz w:val="20"/>
          <w:szCs w:val="20"/>
        </w:rPr>
      </w:pPr>
      <w:r w:rsidRPr="001E27FE">
        <w:rPr>
          <w:rFonts w:ascii="Century Gothic" w:eastAsia="Calibri" w:hAnsi="Century Gothic" w:cs="Arial"/>
          <w:b/>
          <w:bCs/>
          <w:sz w:val="20"/>
          <w:szCs w:val="20"/>
        </w:rPr>
        <w:t>OBSERVACIONES – Extemporáneas – Audiencia de adjudicación</w:t>
      </w:r>
      <w:r w:rsidRPr="001E27FE">
        <w:rPr>
          <w:rFonts w:ascii="Century Gothic" w:hAnsi="Century Gothic"/>
          <w:b/>
          <w:bCs/>
          <w:sz w:val="20"/>
          <w:szCs w:val="20"/>
        </w:rPr>
        <w:t xml:space="preserve"> </w:t>
      </w:r>
    </w:p>
    <w:p w14:paraId="141C90C5" w14:textId="578BDF92" w:rsidR="001E27FE" w:rsidRPr="001E27FE" w:rsidRDefault="001E27FE" w:rsidP="001E27FE">
      <w:pPr>
        <w:spacing w:line="240" w:lineRule="auto"/>
        <w:jc w:val="both"/>
        <w:rPr>
          <w:rFonts w:ascii="Century Gothic" w:hAnsi="Century Gothic"/>
          <w:sz w:val="20"/>
          <w:szCs w:val="20"/>
        </w:rPr>
      </w:pPr>
      <w:proofErr w:type="gramStart"/>
      <w:r w:rsidRPr="001E27FE">
        <w:rPr>
          <w:rFonts w:ascii="Century Gothic" w:hAnsi="Century Gothic"/>
          <w:sz w:val="20"/>
          <w:szCs w:val="20"/>
        </w:rPr>
        <w:t>De acuerdo a</w:t>
      </w:r>
      <w:proofErr w:type="gramEnd"/>
      <w:r w:rsidRPr="001E27FE">
        <w:rPr>
          <w:rFonts w:ascii="Century Gothic" w:hAnsi="Century Gothic"/>
          <w:sz w:val="20"/>
          <w:szCs w:val="20"/>
        </w:rPr>
        <w:t xml:space="preserve"> lo anterior, en los procesos de licitación, la respuesta a las observaciones presentadas al informe de evaluación deberá efectuarse antes de que se emita el respectivo acto administrativo de adjudicación, puesto que en la audiencia de adjudicación “los oferentes pueden pronunciarse sobre las respuestas dadas por la Entidad Estatal a las observaciones presentadas respecto del informe de evaluación”</w:t>
      </w:r>
      <w:r w:rsidRPr="001E27FE">
        <w:rPr>
          <w:rFonts w:ascii="Century Gothic" w:hAnsi="Century Gothic"/>
          <w:sz w:val="20"/>
          <w:szCs w:val="20"/>
        </w:rPr>
        <w:t>.</w:t>
      </w:r>
    </w:p>
    <w:p w14:paraId="4AFB8878" w14:textId="2EAF3F4F" w:rsidR="001E27FE" w:rsidRPr="001E27FE" w:rsidRDefault="001E27FE" w:rsidP="001E27FE">
      <w:pPr>
        <w:spacing w:line="240" w:lineRule="auto"/>
        <w:jc w:val="both"/>
        <w:rPr>
          <w:rFonts w:ascii="Century Gothic" w:hAnsi="Century Gothic"/>
          <w:sz w:val="20"/>
          <w:szCs w:val="20"/>
        </w:rPr>
      </w:pPr>
      <w:r w:rsidRPr="001E27FE">
        <w:rPr>
          <w:rFonts w:ascii="Century Gothic" w:hAnsi="Century Gothic"/>
          <w:sz w:val="20"/>
          <w:szCs w:val="20"/>
        </w:rPr>
        <w:t xml:space="preserve"> En ese sentido, en relación con los términos o plazos con que cuentan las entidades estatales para responder las observaciones y/o solicitudes de aclaraciones presentadas en el proceso de contratación, se precisa que si bien el ordenamiento jurídico no contempló de manera expresa ese plazo, el mismo se encuentra establecido de forma tácita, en tanto que, no es posible avanzar en las fases o etapas del proceso de contratación, si la Entidad Estatal, previamente, no ha resuelto las observaciones presentadas y/o solicitudes de aclaraciones realizadas en cada etapa, concluyéndose que en los procesos de licitación pública, una vez abierto el segundo sobre de las ofertas económicas, sólo se correrá traslado a los proponentes habilitados sólo para revisiones del aspecto económico, por lo que se deberá presentar y resolver observaciones exclusivamente de dicho tema. </w:t>
      </w:r>
    </w:p>
    <w:p w14:paraId="0F8CE226" w14:textId="02A33A2D" w:rsidR="001E27FE" w:rsidRPr="001E27FE" w:rsidRDefault="001E27FE" w:rsidP="001E27FE">
      <w:pPr>
        <w:spacing w:line="240" w:lineRule="auto"/>
        <w:jc w:val="both"/>
        <w:rPr>
          <w:rFonts w:ascii="Century Gothic" w:hAnsi="Century Gothic"/>
          <w:sz w:val="20"/>
          <w:szCs w:val="20"/>
        </w:rPr>
      </w:pPr>
      <w:r w:rsidRPr="001E27FE">
        <w:rPr>
          <w:rFonts w:ascii="Century Gothic" w:hAnsi="Century Gothic"/>
          <w:sz w:val="20"/>
          <w:szCs w:val="20"/>
        </w:rPr>
        <w:t>Cuando ocurre que los interesados en un proceso de contratación presenten observaciones y/o solicitudes al informe de evaluación de las ofertas, fuera de los plazos establecidos por el ordenamiento jurídico, se está en presencia de una observación es</w:t>
      </w:r>
      <w:r w:rsidRPr="001E27FE">
        <w:rPr>
          <w:rFonts w:ascii="Century Gothic" w:hAnsi="Century Gothic"/>
          <w:sz w:val="20"/>
          <w:szCs w:val="20"/>
        </w:rPr>
        <w:t xml:space="preserve"> </w:t>
      </w:r>
      <w:r w:rsidRPr="001E27FE">
        <w:rPr>
          <w:rFonts w:ascii="Century Gothic" w:hAnsi="Century Gothic"/>
          <w:sz w:val="20"/>
          <w:szCs w:val="20"/>
        </w:rPr>
        <w:t>extemporánea, que a criterio de esta Agencia, se ha indicado, que si bien la Entidad Estatal que adelanta un proceso de contratación está en la obligación de responder las observaciones extemporáneas, no lo es menos que esa respuesta debe consistir o limitarse al rechazo de la observación, precisamente, por ser extemporánea. Respuesta por demás, que debe proferirse antes de que inicie la siguiente etapa o fase del proceso contractual. Esto significa que, si la observación extemporánea una vez abiertos los sobres económicos, obedece a asuntos diferentes a revisiones del aspecto económico, el pronunciamiento de la Entidad Estatal debe realizarse indicando que aquella es extemporánea.</w:t>
      </w:r>
    </w:p>
    <w:p w14:paraId="350474D4" w14:textId="2ACC81FB" w:rsidR="001E27FE" w:rsidRPr="001E27FE" w:rsidRDefault="001E27FE" w:rsidP="001E27FE">
      <w:pPr>
        <w:spacing w:line="240" w:lineRule="auto"/>
        <w:jc w:val="both"/>
        <w:rPr>
          <w:rFonts w:ascii="Century Gothic" w:hAnsi="Century Gothic"/>
          <w:sz w:val="20"/>
          <w:szCs w:val="20"/>
        </w:rPr>
      </w:pPr>
      <w:r w:rsidRPr="001E27FE">
        <w:rPr>
          <w:rFonts w:ascii="Century Gothic" w:hAnsi="Century Gothic"/>
          <w:sz w:val="20"/>
          <w:szCs w:val="20"/>
        </w:rPr>
        <w:t xml:space="preserve">Lo afirmado encuentra fundamento en el principio de económica que rige los procesos de contratación, especialmente, en el numeral 1º del artículo 25 de la Ley 80 de 199314 que dispuso, que los términos o plazos para la etapas o fases del proceso de selección son preclusivos y perentorios. </w:t>
      </w:r>
    </w:p>
    <w:p w14:paraId="1548A3E6" w14:textId="1AC28F69" w:rsidR="00B2439C" w:rsidRDefault="00B2439C">
      <w:pPr>
        <w:rPr>
          <w:rFonts w:ascii="Century Gothic" w:hAnsi="Century Gothic"/>
        </w:rPr>
      </w:pPr>
      <w:r>
        <w:rPr>
          <w:rFonts w:ascii="Century Gothic" w:hAnsi="Century Gothic"/>
        </w:rPr>
        <w:br w:type="page"/>
      </w:r>
    </w:p>
    <w:p w14:paraId="3FE2184B" w14:textId="508B910E" w:rsidR="00E245AB" w:rsidRPr="005401EC" w:rsidRDefault="00B2439C" w:rsidP="00E245AB">
      <w:pPr>
        <w:spacing w:after="0"/>
        <w:rPr>
          <w:rFonts w:ascii="Century Gothic" w:hAnsi="Century Gothic"/>
        </w:rPr>
      </w:pPr>
      <w:r w:rsidRPr="00B2439C">
        <w:rPr>
          <w:rFonts w:ascii="Century Gothic" w:hAnsi="Century Gothic"/>
        </w:rPr>
        <w:drawing>
          <wp:anchor distT="0" distB="0" distL="114300" distR="114300" simplePos="0" relativeHeight="251660288" behindDoc="1" locked="0" layoutInCell="1" allowOverlap="1" wp14:anchorId="6DAA12DD" wp14:editId="335149DE">
            <wp:simplePos x="0" y="0"/>
            <wp:positionH relativeFrom="column">
              <wp:posOffset>3090936</wp:posOffset>
            </wp:positionH>
            <wp:positionV relativeFrom="paragraph">
              <wp:posOffset>47869</wp:posOffset>
            </wp:positionV>
            <wp:extent cx="2690933" cy="824754"/>
            <wp:effectExtent l="0" t="0" r="0" b="0"/>
            <wp:wrapNone/>
            <wp:docPr id="149323854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38541"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697237" cy="826686"/>
                    </a:xfrm>
                    <a:prstGeom prst="rect">
                      <a:avLst/>
                    </a:prstGeom>
                  </pic:spPr>
                </pic:pic>
              </a:graphicData>
            </a:graphic>
            <wp14:sizeRelH relativeFrom="margin">
              <wp14:pctWidth>0</wp14:pctWidth>
            </wp14:sizeRelH>
            <wp14:sizeRelV relativeFrom="margin">
              <wp14:pctHeight>0</wp14:pctHeight>
            </wp14:sizeRelV>
          </wp:anchor>
        </w:drawing>
      </w:r>
      <w:r w:rsidR="00E245AB" w:rsidRPr="005401EC">
        <w:rPr>
          <w:rFonts w:ascii="Century Gothic" w:hAnsi="Century Gothic"/>
        </w:rPr>
        <w:t xml:space="preserve">Bogotá D.C., </w:t>
      </w:r>
      <w:r>
        <w:rPr>
          <w:rFonts w:ascii="Century Gothic" w:hAnsi="Century Gothic"/>
        </w:rPr>
        <w:t>22 de septiembre de 2023</w:t>
      </w:r>
    </w:p>
    <w:p w14:paraId="5FCADBF9" w14:textId="0AD84FB9" w:rsidR="00E245AB" w:rsidRPr="005401EC" w:rsidRDefault="00E245AB" w:rsidP="00E245AB">
      <w:pPr>
        <w:spacing w:after="0"/>
        <w:rPr>
          <w:rFonts w:ascii="Century Gothic" w:hAnsi="Century Gothic"/>
        </w:rPr>
      </w:pPr>
    </w:p>
    <w:bookmarkEnd w:id="0"/>
    <w:p w14:paraId="2FE7482D" w14:textId="77777777" w:rsidR="005401EC" w:rsidRPr="005401EC" w:rsidRDefault="005401EC" w:rsidP="005401EC">
      <w:pPr>
        <w:spacing w:after="0" w:line="240" w:lineRule="auto"/>
        <w:contextualSpacing/>
        <w:rPr>
          <w:rFonts w:ascii="Century Gothic" w:eastAsia="Calibri" w:hAnsi="Century Gothic" w:cs="Arial"/>
          <w:lang w:eastAsia="es-MX"/>
        </w:rPr>
      </w:pPr>
    </w:p>
    <w:p w14:paraId="25A55D14" w14:textId="71D329A7" w:rsidR="005401EC" w:rsidRPr="005401EC" w:rsidRDefault="005401EC" w:rsidP="005401EC">
      <w:pPr>
        <w:spacing w:after="0" w:line="240" w:lineRule="auto"/>
        <w:contextualSpacing/>
        <w:rPr>
          <w:rFonts w:ascii="Century Gothic" w:eastAsia="Calibri" w:hAnsi="Century Gothic" w:cs="Arial"/>
          <w:lang w:eastAsia="es-MX"/>
        </w:rPr>
      </w:pPr>
      <w:r w:rsidRPr="005401EC">
        <w:rPr>
          <w:rFonts w:ascii="Century Gothic" w:eastAsia="Calibri" w:hAnsi="Century Gothic" w:cs="Arial"/>
          <w:lang w:eastAsia="es-MX"/>
        </w:rPr>
        <w:t>Señor</w:t>
      </w:r>
      <w:r w:rsidR="00F6243A">
        <w:rPr>
          <w:rFonts w:ascii="Century Gothic" w:eastAsia="Calibri" w:hAnsi="Century Gothic" w:cs="Arial"/>
          <w:lang w:eastAsia="es-MX"/>
        </w:rPr>
        <w:t>a</w:t>
      </w:r>
    </w:p>
    <w:p w14:paraId="53F08B53" w14:textId="11110186" w:rsidR="005401EC" w:rsidRPr="00F6243A" w:rsidRDefault="00F6243A" w:rsidP="005401EC">
      <w:pPr>
        <w:spacing w:after="0" w:line="240" w:lineRule="auto"/>
        <w:contextualSpacing/>
        <w:rPr>
          <w:rFonts w:ascii="Century Gothic" w:hAnsi="Century Gothic" w:cs="Arial"/>
        </w:rPr>
      </w:pPr>
      <w:r>
        <w:rPr>
          <w:rFonts w:ascii="Century Gothic" w:hAnsi="Century Gothic" w:cs="Arial"/>
        </w:rPr>
        <w:t>María Lucia Durán</w:t>
      </w:r>
    </w:p>
    <w:p w14:paraId="4E1DDECC" w14:textId="77777777" w:rsidR="005401EC" w:rsidRPr="005401EC" w:rsidRDefault="005401EC" w:rsidP="005401EC">
      <w:pPr>
        <w:spacing w:after="0" w:line="240" w:lineRule="auto"/>
        <w:contextualSpacing/>
        <w:rPr>
          <w:rFonts w:ascii="Century Gothic" w:eastAsia="Calibri" w:hAnsi="Century Gothic" w:cs="Arial"/>
          <w:lang w:eastAsia="es-MX"/>
        </w:rPr>
      </w:pPr>
      <w:r w:rsidRPr="005401EC">
        <w:rPr>
          <w:rFonts w:ascii="Century Gothic" w:eastAsia="Calibri" w:hAnsi="Century Gothic" w:cs="Arial"/>
          <w:lang w:eastAsia="es-MX"/>
        </w:rPr>
        <w:t>Bogotá, D.C.</w:t>
      </w:r>
    </w:p>
    <w:p w14:paraId="6AF9044F" w14:textId="77777777" w:rsidR="005401EC" w:rsidRPr="005401EC" w:rsidRDefault="005401EC" w:rsidP="005401EC">
      <w:pPr>
        <w:spacing w:after="0" w:line="240" w:lineRule="auto"/>
        <w:contextualSpacing/>
        <w:rPr>
          <w:rFonts w:ascii="Century Gothic" w:eastAsia="Calibri" w:hAnsi="Century Gothic" w:cs="Arial"/>
          <w:lang w:eastAsia="es-MX"/>
        </w:rPr>
      </w:pPr>
    </w:p>
    <w:p w14:paraId="6E27407C" w14:textId="3C940AB1" w:rsidR="005401EC" w:rsidRPr="005401EC" w:rsidRDefault="005401EC" w:rsidP="005401EC">
      <w:pPr>
        <w:spacing w:after="0" w:line="240" w:lineRule="auto"/>
        <w:ind w:left="2124" w:firstLine="708"/>
        <w:contextualSpacing/>
        <w:rPr>
          <w:rFonts w:ascii="Century Gothic" w:eastAsia="Calibri" w:hAnsi="Century Gothic" w:cs="Arial"/>
          <w:b/>
          <w:lang w:eastAsia="es-MX"/>
        </w:rPr>
      </w:pPr>
      <w:r w:rsidRPr="005401EC">
        <w:rPr>
          <w:rFonts w:ascii="Century Gothic" w:eastAsia="Calibri" w:hAnsi="Century Gothic" w:cs="Arial"/>
          <w:b/>
          <w:lang w:eastAsia="es-MX"/>
        </w:rPr>
        <w:t>Concepto C–</w:t>
      </w:r>
      <w:r w:rsidR="00A03B42">
        <w:rPr>
          <w:rFonts w:ascii="Century Gothic" w:eastAsia="Calibri" w:hAnsi="Century Gothic" w:cs="Arial"/>
          <w:b/>
          <w:lang w:eastAsia="es-MX"/>
        </w:rPr>
        <w:t>323</w:t>
      </w:r>
      <w:r w:rsidRPr="005401EC">
        <w:rPr>
          <w:rFonts w:ascii="Century Gothic" w:eastAsia="Calibri" w:hAnsi="Century Gothic" w:cs="Arial"/>
          <w:b/>
          <w:lang w:eastAsia="es-MX"/>
        </w:rPr>
        <w:t xml:space="preserve"> de 2023</w:t>
      </w:r>
    </w:p>
    <w:p w14:paraId="72E1C390" w14:textId="77777777" w:rsidR="005401EC" w:rsidRPr="005401EC" w:rsidRDefault="005401EC" w:rsidP="005401EC">
      <w:pPr>
        <w:spacing w:after="0" w:line="240" w:lineRule="auto"/>
        <w:contextualSpacing/>
        <w:rPr>
          <w:rFonts w:ascii="Century Gothic" w:eastAsia="Calibri" w:hAnsi="Century Gothic" w:cs="Arial"/>
          <w:lang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5401EC" w:rsidRPr="005401EC" w14:paraId="2ADFBFC3" w14:textId="77777777" w:rsidTr="00F15FF4">
        <w:tc>
          <w:tcPr>
            <w:tcW w:w="2410" w:type="dxa"/>
            <w:hideMark/>
          </w:tcPr>
          <w:p w14:paraId="5A186884" w14:textId="77777777" w:rsidR="005401EC" w:rsidRPr="005401EC" w:rsidRDefault="005401EC" w:rsidP="00F15FF4">
            <w:pPr>
              <w:contextualSpacing/>
              <w:rPr>
                <w:rFonts w:ascii="Century Gothic" w:eastAsia="Calibri" w:hAnsi="Century Gothic" w:cs="Arial"/>
                <w:lang w:eastAsia="es-MX"/>
              </w:rPr>
            </w:pPr>
            <w:r w:rsidRPr="005401EC">
              <w:rPr>
                <w:rFonts w:ascii="Century Gothic" w:eastAsia="Calibri" w:hAnsi="Century Gothic" w:cs="Arial"/>
                <w:b/>
                <w:lang w:eastAsia="es-MX"/>
              </w:rPr>
              <w:t>Temas:</w:t>
            </w:r>
            <w:r w:rsidRPr="005401EC">
              <w:rPr>
                <w:rFonts w:ascii="Century Gothic" w:eastAsia="Calibri" w:hAnsi="Century Gothic" w:cs="Arial"/>
                <w:lang w:eastAsia="es-MX"/>
              </w:rPr>
              <w:t xml:space="preserve"> </w:t>
            </w:r>
          </w:p>
        </w:tc>
        <w:tc>
          <w:tcPr>
            <w:tcW w:w="6516" w:type="dxa"/>
            <w:hideMark/>
          </w:tcPr>
          <w:p w14:paraId="756E7DDF" w14:textId="0FA14BB6" w:rsidR="005401EC" w:rsidRPr="005401EC" w:rsidRDefault="005401EC" w:rsidP="00F15FF4">
            <w:pPr>
              <w:tabs>
                <w:tab w:val="left" w:pos="0"/>
              </w:tabs>
              <w:ind w:left="11"/>
              <w:jc w:val="both"/>
              <w:rPr>
                <w:rFonts w:ascii="Century Gothic" w:hAnsi="Century Gothic" w:cs="Arial"/>
                <w:bCs/>
                <w:color w:val="000000" w:themeColor="text1"/>
                <w:highlight w:val="yellow"/>
                <w:lang w:val="es-ES"/>
              </w:rPr>
            </w:pPr>
            <w:r w:rsidRPr="005401EC">
              <w:rPr>
                <w:rFonts w:ascii="Century Gothic" w:hAnsi="Century Gothic" w:cs="Arial"/>
                <w:color w:val="000000"/>
              </w:rPr>
              <w:t xml:space="preserve">DOCUMENTOS TIPO – Fundamento normativo/ </w:t>
            </w:r>
            <w:r w:rsidRPr="005401EC">
              <w:rPr>
                <w:rFonts w:ascii="Century Gothic" w:eastAsia="Calibri" w:hAnsi="Century Gothic" w:cs="Arial"/>
              </w:rPr>
              <w:t xml:space="preserve">CAPACIDAD RESIDUAL – Documentos tipo – </w:t>
            </w:r>
            <w:r w:rsidR="00285538">
              <w:rPr>
                <w:rFonts w:ascii="Century Gothic" w:eastAsia="Calibri" w:hAnsi="Century Gothic" w:cs="Arial"/>
              </w:rPr>
              <w:t>Capacidad Técnica</w:t>
            </w:r>
            <w:r w:rsidRPr="005401EC">
              <w:rPr>
                <w:rFonts w:ascii="Century Gothic" w:eastAsia="Calibri" w:hAnsi="Century Gothic" w:cs="Arial"/>
              </w:rPr>
              <w:t xml:space="preserve"> / </w:t>
            </w:r>
            <w:r w:rsidR="007151DD">
              <w:rPr>
                <w:rFonts w:ascii="Century Gothic" w:eastAsia="Calibri" w:hAnsi="Century Gothic" w:cs="Arial"/>
              </w:rPr>
              <w:t>OBSERVACIONES – Extemporáneas – Audiencia de adjudicación</w:t>
            </w:r>
          </w:p>
        </w:tc>
      </w:tr>
      <w:tr w:rsidR="005401EC" w:rsidRPr="005401EC" w14:paraId="7B022533" w14:textId="77777777" w:rsidTr="00F15FF4">
        <w:tc>
          <w:tcPr>
            <w:tcW w:w="2410" w:type="dxa"/>
          </w:tcPr>
          <w:p w14:paraId="64CC571B" w14:textId="77777777" w:rsidR="005401EC" w:rsidRPr="005401EC" w:rsidRDefault="005401EC" w:rsidP="00F15FF4">
            <w:pPr>
              <w:contextualSpacing/>
              <w:rPr>
                <w:rFonts w:ascii="Century Gothic" w:eastAsia="Calibri" w:hAnsi="Century Gothic" w:cs="Arial"/>
                <w:b/>
                <w:bCs/>
                <w:lang w:eastAsia="es-MX"/>
              </w:rPr>
            </w:pPr>
          </w:p>
          <w:p w14:paraId="0E369AA7" w14:textId="77777777" w:rsidR="005401EC" w:rsidRPr="005401EC" w:rsidRDefault="005401EC" w:rsidP="00F15FF4">
            <w:pPr>
              <w:contextualSpacing/>
              <w:rPr>
                <w:rFonts w:ascii="Century Gothic" w:eastAsia="Calibri" w:hAnsi="Century Gothic" w:cs="Arial"/>
                <w:b/>
                <w:bCs/>
                <w:lang w:eastAsia="es-MX"/>
              </w:rPr>
            </w:pPr>
            <w:r w:rsidRPr="005401EC">
              <w:rPr>
                <w:rFonts w:ascii="Century Gothic" w:eastAsia="Calibri" w:hAnsi="Century Gothic" w:cs="Arial"/>
                <w:b/>
                <w:bCs/>
                <w:lang w:eastAsia="es-MX"/>
              </w:rPr>
              <w:t>Radicación:</w:t>
            </w:r>
          </w:p>
        </w:tc>
        <w:tc>
          <w:tcPr>
            <w:tcW w:w="6516" w:type="dxa"/>
          </w:tcPr>
          <w:p w14:paraId="5FD7A519" w14:textId="77777777" w:rsidR="005401EC" w:rsidRPr="005401EC" w:rsidRDefault="005401EC" w:rsidP="00F15FF4">
            <w:pPr>
              <w:contextualSpacing/>
              <w:jc w:val="both"/>
              <w:rPr>
                <w:rFonts w:ascii="Century Gothic" w:eastAsia="Calibri" w:hAnsi="Century Gothic" w:cs="Arial"/>
                <w:lang w:eastAsia="es-MX"/>
              </w:rPr>
            </w:pPr>
          </w:p>
          <w:p w14:paraId="6EE5A544" w14:textId="1A059562" w:rsidR="005401EC" w:rsidRPr="005401EC" w:rsidRDefault="005401EC" w:rsidP="00F15FF4">
            <w:pPr>
              <w:contextualSpacing/>
              <w:jc w:val="both"/>
              <w:rPr>
                <w:rFonts w:ascii="Century Gothic" w:eastAsia="Calibri" w:hAnsi="Century Gothic" w:cs="Arial"/>
                <w:lang w:eastAsia="es-MX"/>
              </w:rPr>
            </w:pPr>
            <w:r w:rsidRPr="005401EC">
              <w:rPr>
                <w:rFonts w:ascii="Century Gothic" w:eastAsia="Calibri" w:hAnsi="Century Gothic" w:cs="Arial"/>
                <w:lang w:eastAsia="es-MX"/>
              </w:rPr>
              <w:t xml:space="preserve">Respuesta a consulta No. </w:t>
            </w:r>
            <w:r w:rsidR="004F2DA0" w:rsidRPr="004F2DA0">
              <w:rPr>
                <w:rFonts w:ascii="Century Gothic" w:eastAsia="Calibri" w:hAnsi="Century Gothic" w:cs="Arial"/>
                <w:lang w:eastAsia="es-MX"/>
              </w:rPr>
              <w:t>P20230802013878</w:t>
            </w:r>
          </w:p>
        </w:tc>
      </w:tr>
    </w:tbl>
    <w:p w14:paraId="1C5A0D57" w14:textId="77777777" w:rsidR="005401EC" w:rsidRPr="005401EC" w:rsidRDefault="005401EC" w:rsidP="005401EC">
      <w:pPr>
        <w:spacing w:after="0" w:line="276" w:lineRule="auto"/>
        <w:contextualSpacing/>
        <w:rPr>
          <w:rFonts w:ascii="Century Gothic" w:eastAsia="Calibri" w:hAnsi="Century Gothic" w:cs="Arial"/>
          <w:lang w:eastAsia="es-MX"/>
        </w:rPr>
      </w:pPr>
    </w:p>
    <w:p w14:paraId="45BE872A" w14:textId="384DB322" w:rsidR="005401EC" w:rsidRPr="005401EC" w:rsidRDefault="005401EC" w:rsidP="005401EC">
      <w:pPr>
        <w:spacing w:after="0" w:line="276" w:lineRule="auto"/>
        <w:contextualSpacing/>
        <w:rPr>
          <w:rFonts w:ascii="Century Gothic" w:eastAsia="Calibri" w:hAnsi="Century Gothic" w:cs="Arial"/>
          <w:lang w:eastAsia="es-MX"/>
        </w:rPr>
      </w:pPr>
      <w:r w:rsidRPr="005401EC">
        <w:rPr>
          <w:rFonts w:ascii="Century Gothic" w:eastAsia="Calibri" w:hAnsi="Century Gothic" w:cs="Arial"/>
          <w:lang w:eastAsia="es-MX"/>
        </w:rPr>
        <w:t>Estimad</w:t>
      </w:r>
      <w:r w:rsidR="004F2DA0">
        <w:rPr>
          <w:rFonts w:ascii="Century Gothic" w:eastAsia="Calibri" w:hAnsi="Century Gothic" w:cs="Arial"/>
          <w:lang w:eastAsia="es-MX"/>
        </w:rPr>
        <w:t>a señora Durán</w:t>
      </w:r>
      <w:r w:rsidRPr="005401EC">
        <w:rPr>
          <w:rFonts w:ascii="Century Gothic" w:hAnsi="Century Gothic" w:cs="Arial"/>
        </w:rPr>
        <w:t>:</w:t>
      </w:r>
    </w:p>
    <w:p w14:paraId="395437D1" w14:textId="77777777" w:rsidR="005401EC" w:rsidRPr="005401EC" w:rsidRDefault="005401EC" w:rsidP="005401EC">
      <w:pPr>
        <w:spacing w:after="0" w:line="276" w:lineRule="auto"/>
        <w:contextualSpacing/>
        <w:rPr>
          <w:rFonts w:ascii="Century Gothic" w:eastAsia="Calibri" w:hAnsi="Century Gothic" w:cs="Arial"/>
          <w:lang w:eastAsia="es-MX"/>
        </w:rPr>
      </w:pPr>
    </w:p>
    <w:p w14:paraId="6EEE136E" w14:textId="3454628A" w:rsidR="005401EC" w:rsidRPr="005401EC" w:rsidRDefault="005401EC" w:rsidP="005401EC">
      <w:pPr>
        <w:spacing w:after="0" w:line="276" w:lineRule="auto"/>
        <w:contextualSpacing/>
        <w:jc w:val="both"/>
        <w:rPr>
          <w:rFonts w:ascii="Century Gothic" w:eastAsia="Calibri" w:hAnsi="Century Gothic" w:cs="Arial"/>
          <w:lang w:eastAsia="es-MX"/>
        </w:rPr>
      </w:pPr>
      <w:r w:rsidRPr="005401EC">
        <w:rPr>
          <w:rFonts w:ascii="Century Gothic" w:eastAsia="Calibri" w:hAnsi="Century Gothic" w:cs="Arial"/>
          <w:lang w:eastAsia="es-MX"/>
        </w:rPr>
        <w:t xml:space="preserve">En ejercicio de la competencia otorgada por el numeral 8 del artículo 11 y el numeral 5 del artículo 3 del Decreto Ley 4170 de 2011, la Agencia Nacional de Contratación Pública – Colombia Compra Eficiente responde sus consultas del </w:t>
      </w:r>
      <w:r w:rsidR="00BC0F18">
        <w:rPr>
          <w:rFonts w:ascii="Century Gothic" w:eastAsia="Calibri" w:hAnsi="Century Gothic" w:cs="Arial"/>
          <w:lang w:eastAsia="es-MX"/>
        </w:rPr>
        <w:t>2 de agosto</w:t>
      </w:r>
      <w:r w:rsidRPr="005401EC">
        <w:rPr>
          <w:rFonts w:ascii="Century Gothic" w:eastAsia="Calibri" w:hAnsi="Century Gothic" w:cs="Arial"/>
          <w:lang w:eastAsia="es-MX"/>
        </w:rPr>
        <w:t xml:space="preserve"> de 2023.</w:t>
      </w:r>
    </w:p>
    <w:p w14:paraId="3E6C603E" w14:textId="77777777" w:rsidR="005401EC" w:rsidRPr="005401EC" w:rsidRDefault="005401EC" w:rsidP="005401EC">
      <w:pPr>
        <w:spacing w:after="0" w:line="276" w:lineRule="auto"/>
        <w:contextualSpacing/>
        <w:jc w:val="both"/>
        <w:rPr>
          <w:rFonts w:ascii="Century Gothic" w:eastAsia="Calibri" w:hAnsi="Century Gothic" w:cs="Arial"/>
          <w:lang w:eastAsia="es-MX"/>
        </w:rPr>
      </w:pPr>
    </w:p>
    <w:p w14:paraId="5EB4F8F9" w14:textId="77777777" w:rsidR="005401EC" w:rsidRPr="005401EC" w:rsidRDefault="005401EC" w:rsidP="005401EC">
      <w:pPr>
        <w:numPr>
          <w:ilvl w:val="0"/>
          <w:numId w:val="16"/>
        </w:numPr>
        <w:tabs>
          <w:tab w:val="left" w:pos="284"/>
        </w:tabs>
        <w:spacing w:after="0" w:line="276" w:lineRule="auto"/>
        <w:ind w:left="360"/>
        <w:contextualSpacing/>
        <w:jc w:val="both"/>
        <w:rPr>
          <w:rFonts w:ascii="Century Gothic" w:eastAsia="Calibri" w:hAnsi="Century Gothic" w:cs="Arial"/>
          <w:b/>
          <w:lang w:eastAsia="es-MX"/>
        </w:rPr>
      </w:pPr>
      <w:r w:rsidRPr="005401EC">
        <w:rPr>
          <w:rFonts w:ascii="Century Gothic" w:eastAsia="Calibri" w:hAnsi="Century Gothic" w:cs="Arial"/>
          <w:b/>
          <w:lang w:eastAsia="es-MX"/>
        </w:rPr>
        <w:t>Problema planteado</w:t>
      </w:r>
      <w:bookmarkStart w:id="1" w:name="_Hlk68679800"/>
    </w:p>
    <w:p w14:paraId="5FC0491D" w14:textId="77777777" w:rsidR="005401EC" w:rsidRPr="005401EC" w:rsidRDefault="005401EC" w:rsidP="005401EC">
      <w:pPr>
        <w:tabs>
          <w:tab w:val="left" w:pos="284"/>
        </w:tabs>
        <w:spacing w:after="0" w:line="276" w:lineRule="auto"/>
        <w:ind w:left="720"/>
        <w:contextualSpacing/>
        <w:jc w:val="both"/>
        <w:rPr>
          <w:rFonts w:ascii="Century Gothic" w:eastAsia="Calibri" w:hAnsi="Century Gothic" w:cs="Arial"/>
          <w:b/>
          <w:lang w:eastAsia="es-MX"/>
        </w:rPr>
      </w:pPr>
    </w:p>
    <w:p w14:paraId="6EC1C383" w14:textId="77777777" w:rsidR="005401EC" w:rsidRPr="005401EC" w:rsidRDefault="005401EC" w:rsidP="005401EC">
      <w:pPr>
        <w:spacing w:after="0" w:line="276" w:lineRule="auto"/>
        <w:contextualSpacing/>
        <w:jc w:val="both"/>
        <w:rPr>
          <w:rFonts w:ascii="Century Gothic" w:eastAsia="Calibri" w:hAnsi="Century Gothic" w:cs="Arial"/>
          <w:lang w:eastAsia="es-MX"/>
        </w:rPr>
      </w:pPr>
      <w:r w:rsidRPr="005401EC">
        <w:rPr>
          <w:rFonts w:ascii="Century Gothic" w:eastAsia="Calibri" w:hAnsi="Century Gothic" w:cs="Arial"/>
          <w:lang w:eastAsia="es-MX"/>
        </w:rPr>
        <w:t xml:space="preserve">En relación con los documentos tipo expedidos por esta Agencia, usted realiza la siguiente consulta: </w:t>
      </w:r>
    </w:p>
    <w:p w14:paraId="1A765A99" w14:textId="77777777" w:rsidR="005401EC" w:rsidRPr="005401EC" w:rsidRDefault="005401EC" w:rsidP="005401EC">
      <w:pPr>
        <w:spacing w:after="0" w:line="240" w:lineRule="auto"/>
        <w:ind w:left="709" w:right="709"/>
        <w:contextualSpacing/>
        <w:jc w:val="both"/>
        <w:rPr>
          <w:rFonts w:ascii="Century Gothic" w:hAnsi="Century Gothic" w:cs="Arial"/>
          <w:sz w:val="21"/>
          <w:szCs w:val="21"/>
        </w:rPr>
      </w:pPr>
    </w:p>
    <w:p w14:paraId="497E6989" w14:textId="7D955109" w:rsidR="005401EC" w:rsidRDefault="005401EC" w:rsidP="008016CA">
      <w:pPr>
        <w:spacing w:line="240" w:lineRule="auto"/>
        <w:ind w:left="709" w:right="709"/>
        <w:jc w:val="both"/>
        <w:rPr>
          <w:rFonts w:ascii="Century Gothic" w:hAnsi="Century Gothic" w:cs="Arial"/>
          <w:sz w:val="21"/>
          <w:szCs w:val="21"/>
        </w:rPr>
      </w:pPr>
      <w:r w:rsidRPr="005401EC">
        <w:rPr>
          <w:rFonts w:ascii="Century Gothic" w:hAnsi="Century Gothic" w:cs="Arial"/>
          <w:sz w:val="21"/>
          <w:szCs w:val="21"/>
        </w:rPr>
        <w:t>“</w:t>
      </w:r>
      <w:bookmarkEnd w:id="1"/>
      <w:r w:rsidR="008016CA" w:rsidRPr="008016CA">
        <w:rPr>
          <w:rFonts w:ascii="Century Gothic" w:hAnsi="Century Gothic" w:cs="Arial"/>
          <w:sz w:val="21"/>
          <w:szCs w:val="21"/>
        </w:rPr>
        <w:t>1. El formato capacidad técnica que trae el pliego tipo en el cual se relacionan los profesionales adscritos a la planta de personal del proponente, ¿debe estar firmado por un contador o revisor fiscal? O ¿basta con la firma de su Representante Legal?</w:t>
      </w:r>
      <w:r w:rsidRPr="005401EC">
        <w:rPr>
          <w:rFonts w:ascii="Century Gothic" w:hAnsi="Century Gothic" w:cs="Arial"/>
          <w:sz w:val="21"/>
          <w:szCs w:val="21"/>
        </w:rPr>
        <w:t>” (Sic).</w:t>
      </w:r>
    </w:p>
    <w:p w14:paraId="0036917B" w14:textId="4176BC2D" w:rsidR="004718EE" w:rsidRPr="009D4A15" w:rsidRDefault="004718EE" w:rsidP="009D4A15">
      <w:pPr>
        <w:spacing w:line="276" w:lineRule="auto"/>
        <w:jc w:val="both"/>
        <w:rPr>
          <w:rFonts w:ascii="Century Gothic" w:hAnsi="Century Gothic" w:cs="Arial"/>
        </w:rPr>
      </w:pPr>
      <w:r w:rsidRPr="009D4A15">
        <w:rPr>
          <w:rFonts w:ascii="Century Gothic" w:hAnsi="Century Gothic" w:cs="Arial"/>
        </w:rPr>
        <w:tab/>
        <w:t xml:space="preserve">Por su parte, </w:t>
      </w:r>
      <w:r w:rsidR="009D0377" w:rsidRPr="009D4A15">
        <w:rPr>
          <w:rFonts w:ascii="Century Gothic" w:hAnsi="Century Gothic" w:cs="Arial"/>
        </w:rPr>
        <w:t>frente a la</w:t>
      </w:r>
      <w:r w:rsidR="00F75DAC" w:rsidRPr="009D4A15">
        <w:rPr>
          <w:rFonts w:ascii="Century Gothic" w:hAnsi="Century Gothic" w:cs="Arial"/>
        </w:rPr>
        <w:t xml:space="preserve">s observaciones recibidas </w:t>
      </w:r>
      <w:r w:rsidR="009D4A15" w:rsidRPr="009D4A15">
        <w:rPr>
          <w:rFonts w:ascii="Century Gothic" w:hAnsi="Century Gothic" w:cs="Arial"/>
        </w:rPr>
        <w:t xml:space="preserve">frente a un </w:t>
      </w:r>
      <w:r w:rsidR="00220060" w:rsidRPr="009D4A15">
        <w:rPr>
          <w:rFonts w:ascii="Century Gothic" w:hAnsi="Century Gothic" w:cs="Arial"/>
        </w:rPr>
        <w:t xml:space="preserve">informe de evaluación definitivo </w:t>
      </w:r>
      <w:r w:rsidR="0052748F" w:rsidRPr="009D4A15">
        <w:rPr>
          <w:rFonts w:ascii="Century Gothic" w:hAnsi="Century Gothic" w:cs="Arial"/>
        </w:rPr>
        <w:t xml:space="preserve">pregunta lo siguiente: </w:t>
      </w:r>
    </w:p>
    <w:p w14:paraId="1C7A16C4" w14:textId="68C0616E" w:rsidR="00A03FB7" w:rsidRPr="00A03FB7" w:rsidRDefault="001A0E04" w:rsidP="00A03FB7">
      <w:pPr>
        <w:spacing w:line="240" w:lineRule="auto"/>
        <w:ind w:left="709" w:right="709"/>
        <w:jc w:val="both"/>
        <w:rPr>
          <w:rFonts w:ascii="Century Gothic" w:hAnsi="Century Gothic" w:cs="Arial"/>
          <w:sz w:val="21"/>
          <w:szCs w:val="21"/>
        </w:rPr>
      </w:pPr>
      <w:r>
        <w:rPr>
          <w:rFonts w:ascii="Century Gothic" w:hAnsi="Century Gothic" w:cs="Arial"/>
          <w:sz w:val="21"/>
          <w:szCs w:val="21"/>
        </w:rPr>
        <w:t>“2.</w:t>
      </w:r>
      <w:r w:rsidR="00AA56B3">
        <w:rPr>
          <w:rFonts w:ascii="Century Gothic" w:hAnsi="Century Gothic" w:cs="Arial"/>
          <w:sz w:val="21"/>
          <w:szCs w:val="21"/>
        </w:rPr>
        <w:t xml:space="preserve"> </w:t>
      </w:r>
      <w:r w:rsidR="00A03FB7" w:rsidRPr="00A03FB7">
        <w:rPr>
          <w:rFonts w:ascii="Century Gothic" w:hAnsi="Century Gothic" w:cs="Arial"/>
          <w:sz w:val="21"/>
          <w:szCs w:val="21"/>
        </w:rPr>
        <w:t>Una vez la Entidad realiza la publicación del informe de evaluación definitivo en el cual se tienen consolidados los proponentes habilitados, para el momento de la audiencia de adjudicación y sobre este informe se reciben observaciones colocando en duda la acreditación de uno de los requisitos habilitantes de algún proponente,</w:t>
      </w:r>
    </w:p>
    <w:p w14:paraId="12C81567" w14:textId="77777777" w:rsidR="00A03FB7" w:rsidRPr="00A03FB7" w:rsidRDefault="00A03FB7" w:rsidP="00A03FB7">
      <w:pPr>
        <w:spacing w:line="240" w:lineRule="auto"/>
        <w:ind w:left="709" w:right="709"/>
        <w:jc w:val="both"/>
        <w:rPr>
          <w:rFonts w:ascii="Century Gothic" w:hAnsi="Century Gothic" w:cs="Arial"/>
          <w:sz w:val="21"/>
          <w:szCs w:val="21"/>
        </w:rPr>
      </w:pPr>
    </w:p>
    <w:p w14:paraId="20E9CCBD" w14:textId="77777777" w:rsidR="00A03FB7" w:rsidRPr="00A03FB7" w:rsidRDefault="00A03FB7" w:rsidP="00A03FB7">
      <w:pPr>
        <w:spacing w:line="240" w:lineRule="auto"/>
        <w:ind w:left="709" w:right="709"/>
        <w:jc w:val="both"/>
        <w:rPr>
          <w:rFonts w:ascii="Century Gothic" w:hAnsi="Century Gothic" w:cs="Arial"/>
          <w:sz w:val="21"/>
          <w:szCs w:val="21"/>
        </w:rPr>
      </w:pPr>
      <w:r w:rsidRPr="00A03FB7">
        <w:rPr>
          <w:rFonts w:ascii="Century Gothic" w:hAnsi="Century Gothic" w:cs="Arial"/>
          <w:sz w:val="21"/>
          <w:szCs w:val="21"/>
        </w:rPr>
        <w:t xml:space="preserve">a) ¿La entidad debe requerir a los observados y otorgar un nuevo término de subsanación o estas observaciones se extienden extemporáneas por no haber sido presentadas durante el término de traslado del informe preliminar y por lo tanto se continúa con la diligencia sin modificación en el condición de habilitado/no habilitado </w:t>
      </w:r>
      <w:proofErr w:type="gramStart"/>
      <w:r w:rsidRPr="00A03FB7">
        <w:rPr>
          <w:rFonts w:ascii="Century Gothic" w:hAnsi="Century Gothic" w:cs="Arial"/>
          <w:sz w:val="21"/>
          <w:szCs w:val="21"/>
        </w:rPr>
        <w:t>de acuerdo a</w:t>
      </w:r>
      <w:proofErr w:type="gramEnd"/>
      <w:r w:rsidRPr="00A03FB7">
        <w:rPr>
          <w:rFonts w:ascii="Century Gothic" w:hAnsi="Century Gothic" w:cs="Arial"/>
          <w:sz w:val="21"/>
          <w:szCs w:val="21"/>
        </w:rPr>
        <w:t xml:space="preserve"> los resultados del informe final?</w:t>
      </w:r>
    </w:p>
    <w:p w14:paraId="2AE20CF8" w14:textId="4BDF77AE" w:rsidR="009D4A15" w:rsidRPr="005401EC" w:rsidRDefault="00A03FB7" w:rsidP="00A03FB7">
      <w:pPr>
        <w:spacing w:line="240" w:lineRule="auto"/>
        <w:ind w:left="709" w:right="709"/>
        <w:jc w:val="both"/>
        <w:rPr>
          <w:rFonts w:ascii="Century Gothic" w:hAnsi="Century Gothic" w:cs="Arial"/>
          <w:sz w:val="21"/>
          <w:szCs w:val="21"/>
        </w:rPr>
      </w:pPr>
      <w:r w:rsidRPr="00A03FB7">
        <w:rPr>
          <w:rFonts w:ascii="Century Gothic" w:hAnsi="Century Gothic" w:cs="Arial"/>
          <w:sz w:val="21"/>
          <w:szCs w:val="21"/>
        </w:rPr>
        <w:t xml:space="preserve"> b) En caso de ser necesario requerir a los oferentes, ¿cuál sería el término del traslado?</w:t>
      </w:r>
      <w:r w:rsidR="00AA56B3">
        <w:rPr>
          <w:rFonts w:ascii="Century Gothic" w:hAnsi="Century Gothic" w:cs="Arial"/>
          <w:sz w:val="21"/>
          <w:szCs w:val="21"/>
        </w:rPr>
        <w:t>” (Sic).</w:t>
      </w:r>
    </w:p>
    <w:p w14:paraId="11A39154" w14:textId="77777777" w:rsidR="005401EC" w:rsidRPr="005401EC" w:rsidRDefault="005401EC" w:rsidP="005401EC">
      <w:pPr>
        <w:numPr>
          <w:ilvl w:val="0"/>
          <w:numId w:val="16"/>
        </w:numPr>
        <w:spacing w:after="0" w:line="240" w:lineRule="auto"/>
        <w:ind w:left="360"/>
        <w:jc w:val="both"/>
        <w:rPr>
          <w:rFonts w:ascii="Century Gothic" w:eastAsia="Calibri" w:hAnsi="Century Gothic" w:cs="Arial"/>
          <w:b/>
          <w:lang w:eastAsia="es-MX"/>
        </w:rPr>
      </w:pPr>
      <w:r w:rsidRPr="005401EC">
        <w:rPr>
          <w:rFonts w:ascii="Century Gothic" w:eastAsia="Calibri" w:hAnsi="Century Gothic" w:cs="Arial"/>
          <w:b/>
          <w:lang w:eastAsia="es-MX"/>
        </w:rPr>
        <w:t>Consideraciones</w:t>
      </w:r>
    </w:p>
    <w:p w14:paraId="4B0AEDDA" w14:textId="77777777" w:rsidR="005401EC" w:rsidRPr="005401EC" w:rsidRDefault="005401EC" w:rsidP="005401EC">
      <w:pPr>
        <w:spacing w:after="0" w:line="276" w:lineRule="auto"/>
        <w:contextualSpacing/>
        <w:jc w:val="both"/>
        <w:rPr>
          <w:rFonts w:ascii="Century Gothic" w:eastAsia="Calibri" w:hAnsi="Century Gothic" w:cs="Arial"/>
          <w:b/>
          <w:lang w:eastAsia="es-MX"/>
        </w:rPr>
      </w:pPr>
    </w:p>
    <w:p w14:paraId="7D538FB8" w14:textId="77777777" w:rsidR="005401EC" w:rsidRPr="005401EC" w:rsidRDefault="005401EC" w:rsidP="005401EC">
      <w:pPr>
        <w:spacing w:line="276" w:lineRule="auto"/>
        <w:jc w:val="both"/>
        <w:rPr>
          <w:rFonts w:ascii="Century Gothic" w:hAnsi="Century Gothic" w:cs="Arial"/>
          <w:lang w:val="es-ES"/>
        </w:rPr>
      </w:pPr>
      <w:r w:rsidRPr="005401EC">
        <w:rPr>
          <w:rFonts w:ascii="Century Gothic" w:hAnsi="Century Gothic" w:cs="Arial"/>
          <w:bCs/>
        </w:rPr>
        <w:t xml:space="preserve">La Agencia Nacional de Contratación Pública – Colombia Compra Eficiente resuelve consultas sobre </w:t>
      </w:r>
      <w:r w:rsidRPr="005401EC">
        <w:rPr>
          <w:rFonts w:ascii="Century Gothic" w:hAnsi="Century Gothic"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5401EC">
        <w:rPr>
          <w:rFonts w:ascii="Century Gothic" w:hAnsi="Century Gothic" w:cs="Arial"/>
          <w:bCs/>
        </w:rPr>
        <w:t xml:space="preserve"> de todos los partícipes de la contratación estatal ni para interpretar el alcance de cualquier norma vigente en el ordenamiento jurídico.</w:t>
      </w:r>
    </w:p>
    <w:p w14:paraId="09BD89A5" w14:textId="77777777" w:rsidR="005401EC" w:rsidRPr="005401EC" w:rsidRDefault="005401EC" w:rsidP="005401EC">
      <w:pPr>
        <w:spacing w:after="120" w:line="276" w:lineRule="auto"/>
        <w:ind w:firstLine="708"/>
        <w:jc w:val="both"/>
        <w:rPr>
          <w:rFonts w:ascii="Century Gothic" w:hAnsi="Century Gothic" w:cs="Arial"/>
          <w:lang w:val="es-ES"/>
        </w:rPr>
      </w:pPr>
      <w:r w:rsidRPr="005401EC">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401EC">
        <w:rPr>
          <w:rFonts w:ascii="Century Gothic" w:hAnsi="Century Gothic" w:cs="Arial"/>
          <w:vertAlign w:val="superscript"/>
          <w:lang w:val="es-ES"/>
        </w:rPr>
        <w:footnoteReference w:id="1"/>
      </w:r>
      <w:r w:rsidRPr="005401EC">
        <w:rPr>
          <w:rFonts w:ascii="Century Gothic" w:hAnsi="Century Gothic"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475645E6" w14:textId="6621EF6A" w:rsidR="005401EC" w:rsidRPr="005401EC" w:rsidRDefault="005401EC" w:rsidP="005401EC">
      <w:pPr>
        <w:tabs>
          <w:tab w:val="left" w:pos="426"/>
        </w:tabs>
        <w:spacing w:after="120" w:line="276" w:lineRule="auto"/>
        <w:jc w:val="both"/>
        <w:rPr>
          <w:rFonts w:ascii="Century Gothic" w:eastAsia="Times New Roman" w:hAnsi="Century Gothic" w:cs="Arial"/>
          <w:b/>
          <w:bCs/>
          <w:lang w:eastAsia="es-CO"/>
        </w:rPr>
      </w:pPr>
      <w:r w:rsidRPr="005401EC">
        <w:rPr>
          <w:rFonts w:ascii="Century Gothic" w:hAnsi="Century Gothic" w:cs="Arial"/>
          <w:lang w:val="es-ES"/>
        </w:rPr>
        <w:tab/>
      </w:r>
      <w:r w:rsidRPr="005401EC">
        <w:rPr>
          <w:rFonts w:ascii="Century Gothic" w:hAnsi="Century Gothic" w:cs="Arial"/>
          <w:lang w:val="es-ES"/>
        </w:rPr>
        <w:tab/>
        <w:t>En este contexto, l</w:t>
      </w:r>
      <w:r w:rsidRPr="005401EC">
        <w:rPr>
          <w:rFonts w:ascii="Century Gothic" w:eastAsia="Calibri" w:hAnsi="Century Gothic" w:cs="Arial"/>
          <w:color w:val="000000" w:themeColor="text1"/>
          <w:lang w:val="es-ES"/>
        </w:rPr>
        <w:t xml:space="preserve">a </w:t>
      </w:r>
      <w:r w:rsidRPr="005401EC">
        <w:rPr>
          <w:rFonts w:ascii="Century Gothic" w:eastAsia="Calibri" w:hAnsi="Century Gothic" w:cs="Arial"/>
          <w:color w:val="000000" w:themeColor="text1"/>
          <w:lang w:val="es-ES_tradnl"/>
        </w:rPr>
        <w:t xml:space="preserve">Agencia Nacional de Contratación Pública – Colombia Compra Eficiente, </w:t>
      </w:r>
      <w:r w:rsidRPr="005401EC">
        <w:rPr>
          <w:rFonts w:ascii="Century Gothic" w:eastAsia="Calibri" w:hAnsi="Century Gothic" w:cs="Arial"/>
          <w:color w:val="000000" w:themeColor="text1"/>
          <w:lang w:val="es-ES"/>
        </w:rPr>
        <w:t>dentro de los límites de sus atribuciones,</w:t>
      </w:r>
      <w:r w:rsidRPr="005401EC">
        <w:rPr>
          <w:rFonts w:ascii="Century Gothic" w:eastAsia="Calibri" w:hAnsi="Century Gothic" w:cs="Arial"/>
          <w:lang w:val="es-ES" w:eastAsia="es-ES_tradnl"/>
        </w:rPr>
        <w:t xml:space="preserve"> esto es, haciendo abstracción al caso particular expuesto, </w:t>
      </w:r>
      <w:r w:rsidRPr="005401EC">
        <w:rPr>
          <w:rFonts w:ascii="Century Gothic" w:eastAsia="Calibri" w:hAnsi="Century Gothic" w:cs="Arial"/>
          <w:color w:val="000000"/>
          <w:lang w:val="es-ES" w:eastAsia="es-ES_tradnl"/>
        </w:rPr>
        <w:t>resolverá la consulta conforme a las normas generales en materia de contratación estatal. Con este objetivo se analizarán los siguientes temas</w:t>
      </w:r>
      <w:r w:rsidRPr="005401EC">
        <w:rPr>
          <w:rFonts w:ascii="Century Gothic" w:eastAsia="Times New Roman" w:hAnsi="Century Gothic" w:cs="Arial"/>
          <w:szCs w:val="24"/>
          <w:lang w:val="es-ES_tradnl" w:eastAsia="es-ES_tradnl"/>
        </w:rPr>
        <w:t xml:space="preserve">: i) fundamento normativo de los documentos tipo adoptados hasta la actualidad; </w:t>
      </w:r>
      <w:proofErr w:type="spellStart"/>
      <w:r w:rsidRPr="005401EC">
        <w:rPr>
          <w:rFonts w:ascii="Century Gothic" w:eastAsia="Times New Roman" w:hAnsi="Century Gothic" w:cs="Arial"/>
          <w:szCs w:val="24"/>
          <w:lang w:val="es-ES_tradnl" w:eastAsia="es-ES_tradnl"/>
        </w:rPr>
        <w:t>ii</w:t>
      </w:r>
      <w:proofErr w:type="spellEnd"/>
      <w:r w:rsidRPr="005401EC">
        <w:rPr>
          <w:rFonts w:ascii="Century Gothic" w:eastAsia="Times New Roman" w:hAnsi="Century Gothic" w:cs="Arial"/>
          <w:szCs w:val="24"/>
          <w:lang w:val="es-ES_tradnl" w:eastAsia="es-ES_tradnl"/>
        </w:rPr>
        <w:t xml:space="preserve">) </w:t>
      </w:r>
      <w:r w:rsidRPr="005401EC">
        <w:rPr>
          <w:rFonts w:ascii="Century Gothic" w:eastAsia="Times New Roman" w:hAnsi="Century Gothic" w:cs="Arial"/>
          <w:bCs/>
          <w:bdr w:val="none" w:sz="0" w:space="0" w:color="auto" w:frame="1"/>
          <w:lang w:eastAsia="es-CO"/>
        </w:rPr>
        <w:t xml:space="preserve">generalidades de la Capacidad Residual o K de contratación como requisito habilitante; </w:t>
      </w:r>
      <w:proofErr w:type="spellStart"/>
      <w:r w:rsidRPr="005401EC">
        <w:rPr>
          <w:rFonts w:ascii="Century Gothic" w:eastAsia="Calibri" w:hAnsi="Century Gothic" w:cs="Arial"/>
        </w:rPr>
        <w:t>iii</w:t>
      </w:r>
      <w:proofErr w:type="spellEnd"/>
      <w:r w:rsidRPr="005401EC">
        <w:rPr>
          <w:rFonts w:ascii="Century Gothic" w:eastAsia="Calibri" w:hAnsi="Century Gothic" w:cs="Arial"/>
        </w:rPr>
        <w:t xml:space="preserve">) </w:t>
      </w:r>
      <w:r w:rsidR="0055690F">
        <w:rPr>
          <w:rFonts w:ascii="Century Gothic" w:eastAsia="Calibri" w:hAnsi="Century Gothic" w:cs="Arial"/>
        </w:rPr>
        <w:t>acreditación de la capacidad técnica</w:t>
      </w:r>
      <w:r w:rsidR="00DB7A44">
        <w:rPr>
          <w:rFonts w:ascii="Century Gothic" w:eastAsia="Calibri" w:hAnsi="Century Gothic" w:cs="Arial"/>
        </w:rPr>
        <w:t xml:space="preserve"> como elemento de la </w:t>
      </w:r>
      <w:r w:rsidR="00DB7A44" w:rsidRPr="005401EC">
        <w:rPr>
          <w:rFonts w:ascii="Century Gothic" w:eastAsia="Times New Roman" w:hAnsi="Century Gothic" w:cs="Arial"/>
          <w:bCs/>
          <w:bdr w:val="none" w:sz="0" w:space="0" w:color="auto" w:frame="1"/>
          <w:lang w:eastAsia="es-CO"/>
        </w:rPr>
        <w:t>Capacidad Residual o K de contratación</w:t>
      </w:r>
      <w:r w:rsidR="00366447">
        <w:rPr>
          <w:rFonts w:ascii="Century Gothic" w:eastAsia="Times New Roman" w:hAnsi="Century Gothic" w:cs="Arial"/>
          <w:bCs/>
          <w:bdr w:val="none" w:sz="0" w:space="0" w:color="auto" w:frame="1"/>
          <w:lang w:eastAsia="es-CO"/>
        </w:rPr>
        <w:t xml:space="preserve"> en los documentos tipo</w:t>
      </w:r>
      <w:r w:rsidR="00DB7A44">
        <w:rPr>
          <w:rFonts w:ascii="Century Gothic" w:eastAsia="Calibri" w:hAnsi="Century Gothic" w:cs="Arial"/>
        </w:rPr>
        <w:t>,</w:t>
      </w:r>
      <w:r w:rsidRPr="005401EC">
        <w:rPr>
          <w:rFonts w:ascii="Century Gothic" w:hAnsi="Century Gothic" w:cs="Arial"/>
        </w:rPr>
        <w:t xml:space="preserve"> </w:t>
      </w:r>
      <w:r w:rsidR="001A2AC3">
        <w:rPr>
          <w:rFonts w:ascii="Century Gothic" w:hAnsi="Century Gothic" w:cs="Arial"/>
        </w:rPr>
        <w:t xml:space="preserve">y </w:t>
      </w:r>
      <w:proofErr w:type="spellStart"/>
      <w:r w:rsidRPr="005401EC">
        <w:rPr>
          <w:rFonts w:ascii="Century Gothic" w:hAnsi="Century Gothic" w:cs="Arial"/>
        </w:rPr>
        <w:t>iv</w:t>
      </w:r>
      <w:proofErr w:type="spellEnd"/>
      <w:r w:rsidRPr="005401EC">
        <w:rPr>
          <w:rFonts w:ascii="Century Gothic" w:hAnsi="Century Gothic" w:cs="Arial"/>
        </w:rPr>
        <w:t xml:space="preserve">) </w:t>
      </w:r>
      <w:r w:rsidR="001A2AC3">
        <w:rPr>
          <w:rFonts w:ascii="Century Gothic" w:hAnsi="Century Gothic" w:cs="Arial"/>
        </w:rPr>
        <w:t>e</w:t>
      </w:r>
      <w:r w:rsidR="001A2AC3" w:rsidRPr="001A2AC3">
        <w:rPr>
          <w:rFonts w:ascii="Century Gothic" w:hAnsi="Century Gothic" w:cs="Arial"/>
        </w:rPr>
        <w:t>l plazo para presentar y resolver observaciones</w:t>
      </w:r>
      <w:r w:rsidR="001A2AC3">
        <w:rPr>
          <w:rFonts w:ascii="Century Gothic" w:hAnsi="Century Gothic" w:cs="Arial"/>
        </w:rPr>
        <w:t>.</w:t>
      </w:r>
    </w:p>
    <w:p w14:paraId="53C462EB" w14:textId="77777777" w:rsidR="005401EC" w:rsidRPr="005401EC" w:rsidRDefault="005401EC" w:rsidP="005401EC">
      <w:pPr>
        <w:spacing w:after="0" w:line="276" w:lineRule="auto"/>
        <w:ind w:firstLine="708"/>
        <w:jc w:val="both"/>
        <w:rPr>
          <w:rFonts w:ascii="Century Gothic" w:eastAsia="Times New Roman" w:hAnsi="Century Gothic" w:cs="Arial"/>
          <w:szCs w:val="24"/>
          <w:lang w:val="es-ES_tradnl" w:eastAsia="es-ES_tradnl"/>
        </w:rPr>
      </w:pPr>
      <w:r w:rsidRPr="005401EC">
        <w:rPr>
          <w:rFonts w:ascii="Century Gothic" w:eastAsia="Times New Roman" w:hAnsi="Century Gothic" w:cs="Arial"/>
          <w:szCs w:val="24"/>
          <w:lang w:val="es-ES_tradnl" w:eastAsia="es-ES_tradnl"/>
        </w:rPr>
        <w:t xml:space="preserve">Las preguntas del peticionario se absolverán teniendo como fundamento los documentos tipo de licitación de obra pública de infraestructura de transporte – versión 3, toda vez que en su consulta no se relaciona el pliego tipo en específico. Sin embargo, estas consideraciones aplican en lo pertinente, para los otros documentos tipo adoptados por esta Agencia. </w:t>
      </w:r>
    </w:p>
    <w:p w14:paraId="3013AD76" w14:textId="0A988AC7" w:rsidR="005401EC" w:rsidRPr="005401EC" w:rsidRDefault="005401EC" w:rsidP="005401EC">
      <w:pPr>
        <w:spacing w:before="120" w:line="276" w:lineRule="auto"/>
        <w:ind w:firstLine="708"/>
        <w:jc w:val="both"/>
        <w:rPr>
          <w:rFonts w:ascii="Century Gothic" w:eastAsia="Calibri" w:hAnsi="Century Gothic" w:cs="Arial"/>
          <w:lang w:val="es-ES"/>
        </w:rPr>
      </w:pPr>
      <w:r w:rsidRPr="005401EC">
        <w:rPr>
          <w:rFonts w:ascii="Century Gothic" w:eastAsia="Times New Roman" w:hAnsi="Century Gothic" w:cs="Arial"/>
          <w:szCs w:val="24"/>
          <w:lang w:val="es-ES_tradnl" w:eastAsia="es-ES_tradnl"/>
        </w:rPr>
        <w:t>Por su parte, es importante indicar que l</w:t>
      </w:r>
      <w:r w:rsidRPr="005401EC">
        <w:rPr>
          <w:rFonts w:ascii="Century Gothic" w:hAnsi="Century Gothic" w:cs="Arial"/>
        </w:rPr>
        <w:t xml:space="preserve">a Agencia Nacional de Contratación Pública − Colombia Compra Eficiente se ha pronunciado sobre la Capacidad Residual, y la forma como esta se debe acreditar, en los conceptos </w:t>
      </w:r>
      <w:r w:rsidRPr="005401EC">
        <w:rPr>
          <w:rStyle w:val="normaltextrun"/>
          <w:rFonts w:ascii="Century Gothic" w:hAnsi="Century Gothic" w:cs="Arial"/>
        </w:rPr>
        <w:t xml:space="preserve">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 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5401EC">
        <w:rPr>
          <w:rFonts w:ascii="Century Gothic" w:hAnsi="Century Gothic" w:cs="Arial"/>
        </w:rPr>
        <w:t xml:space="preserve">C-068 del 9 de marzo de 2022, </w:t>
      </w:r>
      <w:r w:rsidRPr="005401EC">
        <w:rPr>
          <w:rFonts w:ascii="Century Gothic" w:eastAsia="Calibri" w:hAnsi="Century Gothic" w:cs="Arial"/>
          <w:lang w:val="es-ES"/>
        </w:rPr>
        <w:t>C-220 del 22 de abril de 2022, C-306 de 16 de mayo de 2022, C-351 de 23 de mayo de 2022, C-392 del 16 de junio de 2022, C-512 del 10 de agosto de 2022, C-536 del 22 de agosto de 2022, C-538 del 28 de agosto de 2022, C-567 del 2 de septiembre de 2022, C-549 del 31 de agosto de 2022, C-601 del 22 de septiembre de 2022, C-606 del 23 de septiembre de 2022, C-615 del 19 de agosto de 2022, C-656 del 10 de octubre de 2022, C-849 de 7 de diciembre de 2022</w:t>
      </w:r>
      <w:r w:rsidR="00701248">
        <w:rPr>
          <w:rFonts w:ascii="Century Gothic" w:eastAsia="Calibri" w:hAnsi="Century Gothic" w:cs="Arial"/>
          <w:lang w:val="es-ES"/>
        </w:rPr>
        <w:t xml:space="preserve">, </w:t>
      </w:r>
      <w:r w:rsidRPr="005401EC">
        <w:rPr>
          <w:rFonts w:ascii="Century Gothic" w:eastAsia="Calibri" w:hAnsi="Century Gothic" w:cs="Arial"/>
          <w:lang w:val="es-ES"/>
        </w:rPr>
        <w:t>C- 053 de 28 de marzo de 2023</w:t>
      </w:r>
      <w:r w:rsidR="00701248">
        <w:rPr>
          <w:rFonts w:ascii="Century Gothic" w:eastAsia="Calibri" w:hAnsi="Century Gothic" w:cs="Arial"/>
          <w:lang w:val="es-ES"/>
        </w:rPr>
        <w:t xml:space="preserve">, </w:t>
      </w:r>
      <w:r w:rsidR="00414E16">
        <w:rPr>
          <w:rFonts w:ascii="Century Gothic" w:eastAsia="Calibri" w:hAnsi="Century Gothic" w:cs="Arial"/>
          <w:lang w:val="es-ES"/>
        </w:rPr>
        <w:t xml:space="preserve">C-271 del 15 de agosto de 2023, C-280 </w:t>
      </w:r>
      <w:r w:rsidR="004E4D03">
        <w:rPr>
          <w:rFonts w:ascii="Century Gothic" w:eastAsia="Calibri" w:hAnsi="Century Gothic" w:cs="Arial"/>
          <w:lang w:val="es-ES"/>
        </w:rPr>
        <w:t>del 6 de julio de 2023, C-346 de 25 de agosto de 2023 y C-353</w:t>
      </w:r>
      <w:r w:rsidR="000F4B80">
        <w:rPr>
          <w:rFonts w:ascii="Century Gothic" w:eastAsia="Calibri" w:hAnsi="Century Gothic" w:cs="Arial"/>
          <w:lang w:val="es-ES"/>
        </w:rPr>
        <w:t xml:space="preserve"> de 1 de agosto de 2023</w:t>
      </w:r>
      <w:r w:rsidRPr="005401EC">
        <w:rPr>
          <w:rFonts w:ascii="Century Gothic" w:eastAsia="Calibri" w:hAnsi="Century Gothic" w:cs="Arial"/>
          <w:lang w:val="es-ES"/>
        </w:rPr>
        <w:t>.</w:t>
      </w:r>
    </w:p>
    <w:p w14:paraId="405883C1" w14:textId="35D3AB2B" w:rsidR="00EC279A" w:rsidRPr="00910B9D" w:rsidRDefault="005401EC" w:rsidP="00013C66">
      <w:pPr>
        <w:spacing w:before="120" w:line="276" w:lineRule="auto"/>
        <w:ind w:firstLine="708"/>
        <w:jc w:val="both"/>
        <w:rPr>
          <w:rFonts w:ascii="Century Gothic" w:eastAsia="Times New Roman" w:hAnsi="Century Gothic" w:cs="Arial"/>
          <w:szCs w:val="24"/>
          <w:lang w:val="es-ES_tradnl" w:eastAsia="es-ES_tradnl"/>
        </w:rPr>
      </w:pPr>
      <w:r w:rsidRPr="005401EC">
        <w:rPr>
          <w:rFonts w:ascii="Century Gothic" w:eastAsia="Calibri" w:hAnsi="Century Gothic" w:cs="Arial"/>
          <w:lang w:val="es-ES"/>
        </w:rPr>
        <w:t xml:space="preserve"> </w:t>
      </w:r>
      <w:r w:rsidR="00EC279A">
        <w:rPr>
          <w:rFonts w:ascii="Century Gothic" w:eastAsia="Times New Roman" w:hAnsi="Century Gothic" w:cs="Arial"/>
          <w:szCs w:val="24"/>
          <w:lang w:val="es-ES_tradnl" w:eastAsia="es-ES_tradnl"/>
        </w:rPr>
        <w:t xml:space="preserve">Por su parte, </w:t>
      </w:r>
      <w:r w:rsidR="00EC279A" w:rsidRPr="00C554D6">
        <w:rPr>
          <w:rFonts w:ascii="Century Gothic" w:eastAsia="Times New Roman" w:hAnsi="Century Gothic" w:cs="Arial"/>
          <w:szCs w:val="24"/>
          <w:lang w:val="es-ES_tradnl" w:eastAsia="es-ES_tradnl"/>
        </w:rPr>
        <w:t>en los conceptos con radicados números 4201614000005342 del 8 de noviembre de 2016, 4201714000002354 del 5 de junio de 2017, 4201714000006628 del 17 de enero de 2018, 4201713000007273 del 5 de febrero de 2018, 4201814000001007 del 20 de marzo de 2018, 4201814000006367 del 27 de agosto de 2018, 4201912000002664 del 5 de junio de 2019, C-201 del 13 de abril de 2020, C-323 del 4 de junio de 2020, C-418 del 12 de agosto de 2021 y C- 513 del 23 de septiembre de 2021</w:t>
      </w:r>
      <w:r w:rsidR="00EC279A">
        <w:rPr>
          <w:rFonts w:ascii="Century Gothic" w:eastAsia="Times New Roman" w:hAnsi="Century Gothic" w:cs="Arial"/>
          <w:szCs w:val="24"/>
          <w:lang w:val="es-ES_tradnl" w:eastAsia="es-ES_tradnl"/>
        </w:rPr>
        <w:t>y C-310 de 16 de mayo de 2022</w:t>
      </w:r>
      <w:r w:rsidR="00EC279A" w:rsidRPr="00C554D6">
        <w:rPr>
          <w:rFonts w:ascii="Century Gothic" w:eastAsia="Times New Roman" w:hAnsi="Century Gothic" w:cs="Arial"/>
          <w:szCs w:val="24"/>
          <w:lang w:val="es-ES_tradnl" w:eastAsia="es-ES_tradnl"/>
        </w:rPr>
        <w:t xml:space="preserve">, </w:t>
      </w:r>
      <w:r w:rsidR="00EC279A">
        <w:rPr>
          <w:rFonts w:ascii="Century Gothic" w:eastAsia="Times New Roman" w:hAnsi="Century Gothic" w:cs="Arial"/>
          <w:szCs w:val="24"/>
          <w:lang w:val="es-ES_tradnl" w:eastAsia="es-ES_tradnl"/>
        </w:rPr>
        <w:t xml:space="preserve">se </w:t>
      </w:r>
      <w:r w:rsidR="00EC279A" w:rsidRPr="00C554D6">
        <w:rPr>
          <w:rFonts w:ascii="Century Gothic" w:eastAsia="Times New Roman" w:hAnsi="Century Gothic" w:cs="Arial"/>
          <w:szCs w:val="24"/>
          <w:lang w:val="es-ES_tradnl" w:eastAsia="es-ES_tradnl"/>
        </w:rPr>
        <w:t>estudió el deber de las entidades estatales de responder las observaciones realizadas de manera extemporánea, en los procesos de contratación</w:t>
      </w:r>
      <w:r w:rsidR="00EC279A">
        <w:rPr>
          <w:rFonts w:ascii="Century Gothic" w:eastAsia="Times New Roman" w:hAnsi="Century Gothic" w:cs="Arial"/>
          <w:szCs w:val="24"/>
          <w:lang w:val="es-ES_tradnl" w:eastAsia="es-ES_tradnl"/>
        </w:rPr>
        <w:t xml:space="preserve">. </w:t>
      </w:r>
      <w:r w:rsidR="00EC279A" w:rsidRPr="00910B9D">
        <w:rPr>
          <w:rFonts w:ascii="Century Gothic" w:eastAsia="Times New Roman" w:hAnsi="Century Gothic" w:cs="Arial"/>
          <w:szCs w:val="24"/>
          <w:lang w:val="es-ES_tradnl" w:eastAsia="es-ES_tradnl"/>
        </w:rPr>
        <w:t xml:space="preserve">Las ideas expuestas en dichas oportunidades se reiteran a continuación, y se complementan en lo pertinente para resolver las inquietudes de la consulta. </w:t>
      </w:r>
    </w:p>
    <w:p w14:paraId="523740FE" w14:textId="77777777" w:rsidR="005401EC" w:rsidRPr="005401EC" w:rsidRDefault="005401EC" w:rsidP="005401EC">
      <w:pPr>
        <w:spacing w:after="0" w:line="276" w:lineRule="auto"/>
        <w:jc w:val="both"/>
        <w:rPr>
          <w:rFonts w:ascii="Century Gothic" w:eastAsia="Arial" w:hAnsi="Century Gothic" w:cs="Arial"/>
          <w:b/>
          <w:bCs/>
          <w:color w:val="000000"/>
          <w:szCs w:val="24"/>
          <w:lang w:val="es-ES_tradnl" w:eastAsia="es-ES_tradnl"/>
        </w:rPr>
      </w:pPr>
      <w:r w:rsidRPr="005401EC">
        <w:rPr>
          <w:rFonts w:ascii="Century Gothic" w:eastAsia="Arial" w:hAnsi="Century Gothic" w:cs="Arial"/>
          <w:b/>
          <w:bCs/>
          <w:color w:val="000000"/>
          <w:szCs w:val="24"/>
          <w:lang w:val="es-ES_tradnl" w:eastAsia="es-ES_tradnl"/>
        </w:rPr>
        <w:t>2.1. Documentos tipo: fundamento normativo y documentos adoptados hasta la actualidad</w:t>
      </w:r>
    </w:p>
    <w:p w14:paraId="2CC529D0" w14:textId="77777777" w:rsidR="005401EC" w:rsidRPr="005401EC" w:rsidRDefault="005401EC" w:rsidP="005401EC">
      <w:pPr>
        <w:spacing w:after="0" w:line="276" w:lineRule="auto"/>
        <w:jc w:val="both"/>
        <w:rPr>
          <w:rFonts w:ascii="Century Gothic" w:eastAsia="Arial" w:hAnsi="Century Gothic" w:cs="Arial"/>
          <w:b/>
          <w:bCs/>
          <w:color w:val="000000"/>
          <w:szCs w:val="24"/>
          <w:lang w:val="es-ES_tradnl" w:eastAsia="es-ES_tradnl"/>
        </w:rPr>
      </w:pPr>
    </w:p>
    <w:p w14:paraId="22E1ECBA" w14:textId="77777777" w:rsidR="005401EC" w:rsidRPr="005401EC" w:rsidRDefault="005401EC" w:rsidP="005401EC">
      <w:pPr>
        <w:spacing w:after="120" w:line="276" w:lineRule="auto"/>
        <w:jc w:val="both"/>
        <w:rPr>
          <w:rFonts w:ascii="Century Gothic" w:eastAsia="Calibri" w:hAnsi="Century Gothic" w:cs="Arial"/>
          <w:color w:val="000000"/>
          <w:szCs w:val="24"/>
          <w:lang w:val="es-ES" w:eastAsia="es-ES_tradnl"/>
        </w:rPr>
      </w:pPr>
      <w:r w:rsidRPr="005401EC">
        <w:rPr>
          <w:rFonts w:ascii="Century Gothic" w:eastAsia="Calibri" w:hAnsi="Century Gothic" w:cs="Arial"/>
          <w:color w:val="000000"/>
          <w:szCs w:val="24"/>
          <w:lang w:val="es-ES" w:eastAsia="es-ES_tradnl"/>
        </w:rPr>
        <w:t>La adopción de los documentos tipo obligatorios en el ordenamiento jurídico colombiano se incluyó por primera vez en el parágrafo 3 del artículo 2 de la Ley 1150 de 2007</w:t>
      </w:r>
      <w:r w:rsidRPr="005401EC">
        <w:rPr>
          <w:rFonts w:ascii="Century Gothic" w:eastAsia="Calibri" w:hAnsi="Century Gothic" w:cs="Arial"/>
          <w:color w:val="000000"/>
          <w:szCs w:val="24"/>
          <w:vertAlign w:val="superscript"/>
          <w:lang w:val="es-ES" w:eastAsia="es-ES_tradnl"/>
        </w:rPr>
        <w:footnoteReference w:id="2"/>
      </w:r>
      <w:r w:rsidRPr="005401EC">
        <w:rPr>
          <w:rFonts w:ascii="Century Gothic" w:eastAsia="Calibri" w:hAnsi="Century Gothic"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50435F14" w14:textId="77777777" w:rsidR="005401EC" w:rsidRPr="005401EC" w:rsidRDefault="005401EC" w:rsidP="005401EC">
      <w:pPr>
        <w:spacing w:after="120" w:line="276" w:lineRule="auto"/>
        <w:ind w:firstLine="708"/>
        <w:jc w:val="both"/>
        <w:rPr>
          <w:rFonts w:ascii="Century Gothic" w:eastAsia="Calibri" w:hAnsi="Century Gothic" w:cs="Arial"/>
          <w:color w:val="000000"/>
          <w:szCs w:val="24"/>
          <w:lang w:val="es-ES" w:eastAsia="es-ES_tradnl"/>
        </w:rPr>
      </w:pPr>
      <w:r w:rsidRPr="005401EC">
        <w:rPr>
          <w:rFonts w:ascii="Century Gothic" w:eastAsia="Calibri" w:hAnsi="Century Gothic"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43A3755B" w14:textId="77777777" w:rsidR="005401EC" w:rsidRPr="005401EC" w:rsidRDefault="005401EC" w:rsidP="005401EC">
      <w:pPr>
        <w:spacing w:before="120" w:after="120" w:line="276" w:lineRule="auto"/>
        <w:ind w:firstLine="708"/>
        <w:jc w:val="both"/>
        <w:rPr>
          <w:rFonts w:ascii="Century Gothic" w:eastAsia="Calibri" w:hAnsi="Century Gothic" w:cs="Arial"/>
          <w:color w:val="000000"/>
          <w:szCs w:val="24"/>
          <w:lang w:val="es-ES" w:eastAsia="es-ES_tradnl"/>
        </w:rPr>
      </w:pPr>
      <w:r w:rsidRPr="005401EC">
        <w:rPr>
          <w:rFonts w:ascii="Century Gothic" w:eastAsia="Calibri" w:hAnsi="Century Gothic"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5401EC">
        <w:rPr>
          <w:rFonts w:ascii="Century Gothic" w:eastAsia="Calibri" w:hAnsi="Century Gothic" w:cs="Arial"/>
          <w:color w:val="000000"/>
          <w:szCs w:val="24"/>
          <w:vertAlign w:val="superscript"/>
          <w:lang w:val="es-ES" w:eastAsia="es-ES_tradnl"/>
        </w:rPr>
        <w:footnoteReference w:id="3"/>
      </w:r>
      <w:r w:rsidRPr="005401EC">
        <w:rPr>
          <w:rFonts w:ascii="Century Gothic" w:eastAsia="Calibri" w:hAnsi="Century Gothic" w:cs="Arial"/>
          <w:color w:val="000000"/>
          <w:szCs w:val="24"/>
          <w:lang w:val="es-ES" w:eastAsia="es-ES_tradnl"/>
        </w:rPr>
        <w:t>.</w:t>
      </w:r>
    </w:p>
    <w:p w14:paraId="70D9FDE5" w14:textId="77777777" w:rsidR="005401EC" w:rsidRPr="005401EC" w:rsidRDefault="005401EC" w:rsidP="005401EC">
      <w:pPr>
        <w:spacing w:before="120" w:after="120" w:line="276" w:lineRule="auto"/>
        <w:jc w:val="both"/>
        <w:rPr>
          <w:rFonts w:ascii="Century Gothic" w:eastAsia="Calibri" w:hAnsi="Century Gothic" w:cs="Arial"/>
          <w:color w:val="000000"/>
          <w:szCs w:val="24"/>
          <w:lang w:val="es-ES" w:eastAsia="es-ES_tradnl"/>
        </w:rPr>
      </w:pPr>
      <w:r w:rsidRPr="005401EC">
        <w:rPr>
          <w:rFonts w:ascii="Century Gothic" w:eastAsia="Calibri" w:hAnsi="Century Gothic"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5EE3239" w14:textId="77777777" w:rsidR="005401EC" w:rsidRPr="005401EC" w:rsidRDefault="005401EC" w:rsidP="005401EC">
      <w:pPr>
        <w:spacing w:before="120" w:after="120" w:line="276" w:lineRule="auto"/>
        <w:jc w:val="both"/>
        <w:rPr>
          <w:rFonts w:ascii="Century Gothic" w:eastAsia="Calibri" w:hAnsi="Century Gothic" w:cs="Arial"/>
          <w:color w:val="000000"/>
          <w:szCs w:val="24"/>
          <w:lang w:val="es-ES" w:eastAsia="es-ES_tradnl"/>
        </w:rPr>
      </w:pPr>
      <w:r w:rsidRPr="005401EC">
        <w:rPr>
          <w:rFonts w:ascii="Century Gothic" w:eastAsia="Calibri" w:hAnsi="Century Gothic" w:cs="Arial"/>
          <w:color w:val="000000"/>
          <w:szCs w:val="24"/>
          <w:lang w:val="es-ES" w:eastAsia="es-ES_tradnl"/>
        </w:rPr>
        <w:tab/>
        <w:t xml:space="preserve">De la norma descrita se concluía lo siguiente: i) la adopción de los documentos tipo estaba en cabeza del gobierno nacional; </w:t>
      </w:r>
      <w:proofErr w:type="spellStart"/>
      <w:r w:rsidRPr="005401EC">
        <w:rPr>
          <w:rFonts w:ascii="Century Gothic" w:eastAsia="Calibri" w:hAnsi="Century Gothic" w:cs="Arial"/>
          <w:color w:val="000000"/>
          <w:szCs w:val="24"/>
          <w:lang w:val="es-ES" w:eastAsia="es-ES_tradnl"/>
        </w:rPr>
        <w:t>ii</w:t>
      </w:r>
      <w:proofErr w:type="spellEnd"/>
      <w:r w:rsidRPr="005401EC">
        <w:rPr>
          <w:rFonts w:ascii="Century Gothic" w:eastAsia="Calibri" w:hAnsi="Century Gothic"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5401EC">
        <w:rPr>
          <w:rFonts w:ascii="Century Gothic" w:eastAsia="Calibri" w:hAnsi="Century Gothic" w:cs="Arial"/>
          <w:color w:val="000000"/>
          <w:szCs w:val="24"/>
          <w:lang w:val="es-ES" w:eastAsia="es-ES_tradnl"/>
        </w:rPr>
        <w:t>iii</w:t>
      </w:r>
      <w:proofErr w:type="spellEnd"/>
      <w:r w:rsidRPr="005401EC">
        <w:rPr>
          <w:rFonts w:ascii="Century Gothic" w:eastAsia="Calibri" w:hAnsi="Century Gothic"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5401EC">
        <w:rPr>
          <w:rFonts w:ascii="Century Gothic" w:eastAsia="Calibri" w:hAnsi="Century Gothic" w:cs="Arial"/>
          <w:color w:val="000000"/>
          <w:szCs w:val="24"/>
          <w:lang w:val="es-ES" w:eastAsia="es-ES_tradnl"/>
        </w:rPr>
        <w:t>iv</w:t>
      </w:r>
      <w:proofErr w:type="spellEnd"/>
      <w:r w:rsidRPr="005401EC">
        <w:rPr>
          <w:rFonts w:ascii="Century Gothic" w:eastAsia="Calibri" w:hAnsi="Century Gothic"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4E09B49C" w14:textId="77777777" w:rsidR="005401EC" w:rsidRPr="005401EC" w:rsidRDefault="005401EC" w:rsidP="005401EC">
      <w:pPr>
        <w:spacing w:before="120" w:after="120" w:line="276" w:lineRule="auto"/>
        <w:jc w:val="both"/>
        <w:rPr>
          <w:rFonts w:ascii="Century Gothic" w:eastAsia="Calibri" w:hAnsi="Century Gothic" w:cs="Arial"/>
          <w:color w:val="000000"/>
          <w:szCs w:val="24"/>
          <w:lang w:val="es-ES" w:eastAsia="es-ES_tradnl"/>
        </w:rPr>
      </w:pPr>
      <w:r w:rsidRPr="005401EC">
        <w:rPr>
          <w:rFonts w:ascii="Century Gothic" w:eastAsia="Calibri" w:hAnsi="Century Gothic"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5401EC">
        <w:rPr>
          <w:rFonts w:ascii="Century Gothic" w:eastAsia="Calibri" w:hAnsi="Century Gothic" w:cs="Arial"/>
          <w:color w:val="000000"/>
          <w:szCs w:val="24"/>
          <w:vertAlign w:val="superscript"/>
          <w:lang w:val="es-ES" w:eastAsia="es-ES_tradnl"/>
        </w:rPr>
        <w:footnoteReference w:id="4"/>
      </w:r>
      <w:r w:rsidRPr="005401EC">
        <w:rPr>
          <w:rFonts w:ascii="Century Gothic" w:eastAsia="Calibri" w:hAnsi="Century Gothic" w:cs="Arial"/>
          <w:color w:val="000000"/>
          <w:szCs w:val="24"/>
          <w:lang w:val="es-ES" w:eastAsia="es-ES_tradnl"/>
        </w:rPr>
        <w:t>.</w:t>
      </w:r>
    </w:p>
    <w:p w14:paraId="6562A0E8" w14:textId="77777777" w:rsidR="005401EC" w:rsidRPr="005401EC" w:rsidRDefault="005401EC" w:rsidP="005401EC">
      <w:pPr>
        <w:spacing w:before="120" w:after="120" w:line="276" w:lineRule="auto"/>
        <w:jc w:val="both"/>
        <w:rPr>
          <w:rFonts w:ascii="Century Gothic" w:eastAsia="Calibri" w:hAnsi="Century Gothic" w:cs="Arial"/>
          <w:color w:val="000000"/>
          <w:szCs w:val="24"/>
          <w:lang w:val="es-ES" w:eastAsia="es-ES_tradnl"/>
        </w:rPr>
      </w:pPr>
      <w:r w:rsidRPr="005401EC">
        <w:rPr>
          <w:rFonts w:ascii="Century Gothic" w:eastAsia="Calibri" w:hAnsi="Century Gothic"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3C3D520" w14:textId="77777777" w:rsidR="005401EC" w:rsidRPr="005401EC" w:rsidRDefault="005401EC" w:rsidP="005401EC">
      <w:pPr>
        <w:spacing w:before="120" w:after="120" w:line="276" w:lineRule="auto"/>
        <w:jc w:val="both"/>
        <w:rPr>
          <w:rFonts w:ascii="Century Gothic" w:eastAsia="Calibri" w:hAnsi="Century Gothic" w:cs="Arial"/>
          <w:lang w:val="es-ES"/>
        </w:rPr>
      </w:pPr>
      <w:r w:rsidRPr="005401EC">
        <w:rPr>
          <w:rFonts w:ascii="Century Gothic" w:eastAsia="Calibri" w:hAnsi="Century Gothic"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5401EC">
        <w:rPr>
          <w:rFonts w:ascii="Century Gothic" w:eastAsia="Calibri" w:hAnsi="Century Gothic"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5AD3F53B" w14:textId="77777777" w:rsidR="005401EC" w:rsidRPr="005401EC" w:rsidRDefault="005401EC" w:rsidP="005401EC">
      <w:pPr>
        <w:spacing w:before="120" w:after="120" w:line="276" w:lineRule="auto"/>
        <w:jc w:val="both"/>
        <w:rPr>
          <w:rFonts w:ascii="Century Gothic" w:eastAsia="Calibri" w:hAnsi="Century Gothic" w:cs="Arial"/>
          <w:color w:val="000000"/>
          <w:lang w:val="es-ES" w:eastAsia="es-ES_tradnl"/>
        </w:rPr>
      </w:pPr>
      <w:r w:rsidRPr="005401EC">
        <w:rPr>
          <w:rFonts w:ascii="Century Gothic" w:eastAsia="Calibri" w:hAnsi="Century Gothic"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5401EC" w:rsidDel="00A434AB">
        <w:rPr>
          <w:rFonts w:ascii="Century Gothic" w:eastAsia="Calibri" w:hAnsi="Century Gothic" w:cs="Arial"/>
          <w:lang w:val="es-ES"/>
        </w:rPr>
        <w:t xml:space="preserve"> </w:t>
      </w:r>
      <w:r w:rsidRPr="005401EC">
        <w:rPr>
          <w:rFonts w:ascii="Century Gothic" w:eastAsia="Calibri" w:hAnsi="Century Gothic"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1073B2A7" w14:textId="77777777" w:rsidR="005401EC" w:rsidRPr="005401EC" w:rsidRDefault="005401EC" w:rsidP="005401EC">
      <w:pPr>
        <w:spacing w:before="120" w:after="120" w:line="276" w:lineRule="auto"/>
        <w:ind w:firstLine="709"/>
        <w:jc w:val="both"/>
        <w:rPr>
          <w:rFonts w:ascii="Century Gothic" w:eastAsia="Calibri" w:hAnsi="Century Gothic" w:cs="Arial"/>
          <w:bdr w:val="none" w:sz="0" w:space="0" w:color="auto" w:frame="1"/>
        </w:rPr>
      </w:pPr>
      <w:r w:rsidRPr="005401EC">
        <w:rPr>
          <w:rFonts w:ascii="Century Gothic" w:eastAsia="Calibri" w:hAnsi="Century Gothic" w:cs="Arial"/>
          <w:color w:val="000000"/>
          <w:lang w:val="es-ES" w:eastAsia="es-ES"/>
        </w:rPr>
        <w:t>Por otra parte</w:t>
      </w:r>
      <w:r w:rsidRPr="005401EC">
        <w:rPr>
          <w:rFonts w:ascii="Century Gothic" w:eastAsia="Calibri" w:hAnsi="Century Gothic" w:cs="Arial"/>
          <w:i/>
          <w:iCs/>
          <w:color w:val="000000"/>
          <w:lang w:val="es-ES" w:eastAsia="es-ES"/>
        </w:rPr>
        <w:t>,</w:t>
      </w:r>
      <w:r w:rsidRPr="005401EC">
        <w:rPr>
          <w:rFonts w:ascii="Century Gothic" w:eastAsia="Calibri" w:hAnsi="Century Gothic" w:cs="Arial"/>
          <w:color w:val="00000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5401EC">
        <w:rPr>
          <w:rFonts w:ascii="Century Gothic" w:eastAsia="Calibri" w:hAnsi="Century Gothic" w:cs="Arial"/>
          <w:color w:val="000000"/>
          <w:vertAlign w:val="superscript"/>
          <w:lang w:val="es-ES" w:eastAsia="es-ES"/>
        </w:rPr>
        <w:footnoteReference w:id="5"/>
      </w:r>
      <w:r w:rsidRPr="005401EC">
        <w:rPr>
          <w:rFonts w:ascii="Century Gothic" w:eastAsia="Calibri" w:hAnsi="Century Gothic"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1995875" w14:textId="77777777" w:rsidR="005401EC" w:rsidRPr="005401EC" w:rsidRDefault="005401EC" w:rsidP="005401EC">
      <w:pPr>
        <w:spacing w:before="120" w:after="120" w:line="276" w:lineRule="auto"/>
        <w:ind w:firstLine="709"/>
        <w:jc w:val="both"/>
        <w:rPr>
          <w:rFonts w:ascii="Century Gothic" w:eastAsia="Calibri" w:hAnsi="Century Gothic" w:cs="Arial"/>
          <w:lang w:val="es-ES" w:eastAsia="es-ES"/>
        </w:rPr>
      </w:pPr>
      <w:r w:rsidRPr="005401EC">
        <w:rPr>
          <w:rFonts w:ascii="Century Gothic" w:eastAsia="Calibri" w:hAnsi="Century Gothic"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32E3454A" w14:textId="77777777" w:rsidR="005401EC" w:rsidRPr="005401EC" w:rsidRDefault="005401EC" w:rsidP="005401EC">
      <w:pPr>
        <w:spacing w:before="120" w:after="120" w:line="276" w:lineRule="auto"/>
        <w:ind w:firstLine="709"/>
        <w:jc w:val="both"/>
        <w:rPr>
          <w:rFonts w:ascii="Century Gothic" w:eastAsia="Calibri" w:hAnsi="Century Gothic" w:cs="Arial"/>
          <w:lang w:val="es-ES" w:eastAsia="es-ES"/>
        </w:rPr>
      </w:pPr>
      <w:r w:rsidRPr="005401EC">
        <w:rPr>
          <w:rFonts w:ascii="Century Gothic" w:eastAsia="Calibri" w:hAnsi="Century Gothic"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53E5F7FB" w14:textId="77777777" w:rsidR="005401EC" w:rsidRPr="005401EC" w:rsidRDefault="005401EC" w:rsidP="005401EC">
      <w:pPr>
        <w:spacing w:before="120" w:after="120" w:line="276" w:lineRule="auto"/>
        <w:ind w:firstLine="709"/>
        <w:jc w:val="both"/>
        <w:rPr>
          <w:rFonts w:ascii="Century Gothic" w:hAnsi="Century Gothic" w:cs="Arial"/>
        </w:rPr>
      </w:pPr>
      <w:r w:rsidRPr="005401EC">
        <w:rPr>
          <w:rFonts w:ascii="Century Gothic" w:eastAsia="Calibri" w:hAnsi="Century Gothic" w:cs="Arial"/>
          <w:color w:val="000000"/>
          <w:lang w:val="es-ES" w:eastAsia="es-ES"/>
        </w:rPr>
        <w:t xml:space="preserve">Asimismo, en el transcurso del año 2021, esta Agencia expidió la Resolución 193 del 14 de julio de 2021 “Por la cual se adoptan los documentos tipo para los procesos de </w:t>
      </w:r>
      <w:r w:rsidRPr="005401EC">
        <w:rPr>
          <w:rFonts w:ascii="Century Gothic" w:eastAsia="Calibri" w:hAnsi="Century Gothic"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5401EC">
        <w:rPr>
          <w:rFonts w:ascii="Century Gothic" w:hAnsi="Century Gothic" w:cs="Arial"/>
          <w:bCs/>
          <w:iCs/>
          <w:shd w:val="clear" w:color="auto" w:fill="FFFFFF"/>
        </w:rPr>
        <w:t>Por la cual se adoptan los documentos tipo complementarios para los procesos de licitación de obra pública de infraestructura social relacionados con el sector salud</w:t>
      </w:r>
      <w:r w:rsidRPr="005401EC">
        <w:rPr>
          <w:rFonts w:ascii="Century Gothic" w:eastAsia="Calibri" w:hAnsi="Century Gothic" w:cs="Arial"/>
          <w:lang w:val="es-ES" w:eastAsia="es-ES"/>
        </w:rPr>
        <w:t>”. Luego, se expidió la Resolución 454 del 16 de diciembre de 2021 “</w:t>
      </w:r>
      <w:r w:rsidRPr="005401EC">
        <w:rPr>
          <w:rFonts w:ascii="Century Gothic" w:hAnsi="Century Gothic" w:cs="Arial"/>
        </w:rPr>
        <w:t>Por la cual se adoptan los documentos tipo complementarios para los procesos de licitación de obra pública de infraestructura social relacionados con el sector cultura, recreación y deporte</w:t>
      </w:r>
      <w:r w:rsidRPr="005401EC">
        <w:rPr>
          <w:rFonts w:ascii="Century Gothic" w:eastAsia="Calibri" w:hAnsi="Century Gothic" w:cs="Arial"/>
          <w:lang w:val="es-ES" w:eastAsia="es-ES"/>
        </w:rPr>
        <w:t>”</w:t>
      </w:r>
      <w:r w:rsidRPr="005401EC">
        <w:rPr>
          <w:rFonts w:ascii="Century Gothic" w:hAnsi="Century Gothic" w:cs="Arial"/>
        </w:rPr>
        <w:t>.</w:t>
      </w:r>
    </w:p>
    <w:p w14:paraId="386738B1" w14:textId="77777777" w:rsidR="005401EC" w:rsidRPr="005401EC" w:rsidRDefault="005401EC" w:rsidP="005401EC">
      <w:pPr>
        <w:spacing w:before="120" w:after="120" w:line="276" w:lineRule="auto"/>
        <w:ind w:firstLine="709"/>
        <w:jc w:val="both"/>
        <w:rPr>
          <w:rFonts w:ascii="Century Gothic" w:eastAsia="Times New Roman" w:hAnsi="Century Gothic" w:cs="Arial"/>
          <w:bdr w:val="none" w:sz="0" w:space="0" w:color="auto" w:frame="1"/>
          <w:lang w:val="es-ES_tradnl" w:eastAsia="es-CO"/>
        </w:rPr>
      </w:pPr>
      <w:r w:rsidRPr="005401EC">
        <w:rPr>
          <w:rFonts w:ascii="Century Gothic" w:eastAsia="Times New Roman" w:hAnsi="Century Gothic"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6AF6B657" w14:textId="77777777" w:rsidR="005401EC" w:rsidRPr="005401EC" w:rsidRDefault="005401EC" w:rsidP="005401EC">
      <w:pPr>
        <w:spacing w:before="120" w:after="120" w:line="276" w:lineRule="auto"/>
        <w:ind w:firstLine="709"/>
        <w:jc w:val="both"/>
        <w:rPr>
          <w:rFonts w:ascii="Century Gothic" w:eastAsia="Calibri" w:hAnsi="Century Gothic" w:cs="Arial"/>
          <w:lang w:val="es-ES_tradnl" w:eastAsia="es-ES"/>
        </w:rPr>
      </w:pPr>
      <w:r w:rsidRPr="005401EC">
        <w:rPr>
          <w:rFonts w:ascii="Century Gothic" w:eastAsia="Calibri" w:hAnsi="Century Gothic"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15BE11DB" w14:textId="77777777" w:rsidR="005401EC" w:rsidRPr="005401EC" w:rsidRDefault="005401EC" w:rsidP="005401EC">
      <w:pPr>
        <w:spacing w:after="0" w:line="276" w:lineRule="auto"/>
        <w:ind w:firstLine="709"/>
        <w:jc w:val="both"/>
        <w:rPr>
          <w:rFonts w:ascii="Century Gothic" w:hAnsi="Century Gothic" w:cs="Arial"/>
          <w:spacing w:val="2"/>
          <w:lang w:eastAsia="es-CO"/>
        </w:rPr>
      </w:pPr>
      <w:r w:rsidRPr="005401EC">
        <w:rPr>
          <w:rFonts w:ascii="Century Gothic" w:hAnsi="Century Gothic" w:cs="Arial"/>
          <w:spacing w:val="2"/>
          <w:lang w:eastAsia="es-CO"/>
        </w:rPr>
        <w:t xml:space="preserve">Con posterioridad, el Decreto 1860 de 2021 modificó </w:t>
      </w:r>
      <w:r w:rsidRPr="005401EC">
        <w:rPr>
          <w:rFonts w:ascii="Century Gothic" w:eastAsia="Arial" w:hAnsi="Century Gothic"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5401EC">
        <w:rPr>
          <w:rFonts w:ascii="Century Gothic" w:eastAsia="Times New Roman" w:hAnsi="Century Gothic" w:cs="Arial"/>
          <w:szCs w:val="24"/>
          <w:lang w:eastAsia="es-MX"/>
        </w:rPr>
        <w:t>además de incluir algunas disposiciones adicionales para la reglamentación efectiva de la citada Ley.</w:t>
      </w:r>
      <w:r w:rsidRPr="005401EC">
        <w:rPr>
          <w:rFonts w:ascii="Century Gothic" w:eastAsia="Arial" w:hAnsi="Century Gothic" w:cs="Arial"/>
          <w:szCs w:val="24"/>
          <w:lang w:eastAsia="es-CO"/>
        </w:rPr>
        <w:t xml:space="preserve"> </w:t>
      </w:r>
      <w:r w:rsidRPr="005401EC">
        <w:rPr>
          <w:rFonts w:ascii="Century Gothic" w:eastAsia="Times New Roman" w:hAnsi="Century Gothic"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5401EC">
        <w:rPr>
          <w:rFonts w:ascii="Century Gothic" w:hAnsi="Century Gothic"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37BFC7EA" w14:textId="1A60243C" w:rsidR="005401EC" w:rsidRDefault="0021009C" w:rsidP="005401EC">
      <w:pPr>
        <w:spacing w:before="120" w:after="0" w:line="276" w:lineRule="auto"/>
        <w:ind w:firstLine="709"/>
        <w:jc w:val="both"/>
        <w:rPr>
          <w:rFonts w:ascii="Century Gothic" w:hAnsi="Century Gothic" w:cs="Arial"/>
          <w:spacing w:val="2"/>
          <w:lang w:eastAsia="es-CO"/>
        </w:rPr>
      </w:pPr>
      <w:r>
        <w:rPr>
          <w:rFonts w:ascii="Century Gothic" w:hAnsi="Century Gothic" w:cs="Arial"/>
          <w:spacing w:val="2"/>
          <w:lang w:eastAsia="es-CO"/>
        </w:rPr>
        <w:t>Seguidamente</w:t>
      </w:r>
      <w:r w:rsidR="005401EC" w:rsidRPr="005401EC">
        <w:rPr>
          <w:rFonts w:ascii="Century Gothic" w:hAnsi="Century Gothic" w:cs="Arial"/>
          <w:spacing w:val="2"/>
          <w:lang w:eastAsia="es-CO"/>
        </w:rPr>
        <w:t xml:space="preserve">,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w:t>
      </w:r>
    </w:p>
    <w:p w14:paraId="09CE2648" w14:textId="3C240284" w:rsidR="000C3FD9" w:rsidRPr="005401EC" w:rsidRDefault="002C3A71" w:rsidP="002C3A71">
      <w:pPr>
        <w:spacing w:before="120" w:after="0" w:line="276" w:lineRule="auto"/>
        <w:jc w:val="both"/>
        <w:rPr>
          <w:rFonts w:ascii="Century Gothic" w:hAnsi="Century Gothic" w:cs="Arial"/>
          <w:spacing w:val="2"/>
          <w:lang w:eastAsia="es-CO"/>
        </w:rPr>
      </w:pPr>
      <w:r>
        <w:rPr>
          <w:rFonts w:ascii="Century Gothic" w:hAnsi="Century Gothic" w:cs="Arial"/>
          <w:spacing w:val="2"/>
          <w:lang w:eastAsia="es-CO"/>
        </w:rPr>
        <w:tab/>
        <w:t>Finalmente, el 30 de junio de 2023 se emitió la Resolución 358 del 30 de junio de 2023</w:t>
      </w:r>
      <w:r w:rsidR="00767FC8">
        <w:rPr>
          <w:rFonts w:ascii="Century Gothic" w:hAnsi="Century Gothic" w:cs="Arial"/>
          <w:spacing w:val="2"/>
          <w:lang w:eastAsia="es-CO"/>
        </w:rPr>
        <w:t xml:space="preserve"> </w:t>
      </w:r>
      <w:r w:rsidR="00767FC8" w:rsidRPr="00767FC8">
        <w:rPr>
          <w:rFonts w:ascii="Century Gothic" w:hAnsi="Century Gothic" w:cs="Arial"/>
          <w:spacing w:val="2"/>
          <w:lang w:eastAsia="es-CO"/>
        </w:rPr>
        <w:t>“Por la cual se adopta el documento tipo para la contratación directa de convenios solidarios para la ejecución de obras hasta la menor cuantía con organismos de acción comunal”</w:t>
      </w:r>
      <w:r w:rsidR="00691529">
        <w:rPr>
          <w:rFonts w:ascii="Century Gothic" w:hAnsi="Century Gothic" w:cs="Arial"/>
          <w:spacing w:val="2"/>
          <w:lang w:eastAsia="es-CO"/>
        </w:rPr>
        <w:t xml:space="preserve">, siendo este el último documento tipo adoptado por la Agencia hasta </w:t>
      </w:r>
      <w:r w:rsidR="004F7547">
        <w:rPr>
          <w:rFonts w:ascii="Century Gothic" w:hAnsi="Century Gothic" w:cs="Arial"/>
          <w:spacing w:val="2"/>
          <w:lang w:eastAsia="es-CO"/>
        </w:rPr>
        <w:t>la fecha.</w:t>
      </w:r>
    </w:p>
    <w:p w14:paraId="53652F2D" w14:textId="77777777" w:rsidR="005401EC" w:rsidRPr="005401EC" w:rsidRDefault="005401EC" w:rsidP="005401EC">
      <w:pPr>
        <w:tabs>
          <w:tab w:val="left" w:pos="0"/>
        </w:tabs>
        <w:spacing w:after="0" w:line="276" w:lineRule="auto"/>
        <w:ind w:left="11"/>
        <w:contextualSpacing/>
        <w:jc w:val="both"/>
        <w:rPr>
          <w:rFonts w:ascii="Century Gothic" w:eastAsia="Calibri" w:hAnsi="Century Gothic" w:cs="Arial"/>
          <w:b/>
          <w:bCs/>
          <w:lang w:eastAsia="en-GB"/>
        </w:rPr>
      </w:pPr>
    </w:p>
    <w:p w14:paraId="6BCFC303" w14:textId="77777777" w:rsidR="005401EC" w:rsidRPr="005401EC" w:rsidRDefault="005401EC" w:rsidP="005401EC">
      <w:pPr>
        <w:tabs>
          <w:tab w:val="left" w:pos="0"/>
        </w:tabs>
        <w:spacing w:after="0" w:line="240" w:lineRule="auto"/>
        <w:ind w:left="11"/>
        <w:jc w:val="both"/>
        <w:rPr>
          <w:rFonts w:ascii="Century Gothic" w:eastAsia="Calibri" w:hAnsi="Century Gothic" w:cs="Arial"/>
          <w:b/>
          <w:bCs/>
        </w:rPr>
      </w:pPr>
      <w:r w:rsidRPr="005401EC">
        <w:rPr>
          <w:rFonts w:ascii="Century Gothic" w:eastAsia="Arial" w:hAnsi="Century Gothic" w:cs="Arial"/>
          <w:b/>
          <w:lang w:val="es-ES"/>
        </w:rPr>
        <w:t xml:space="preserve">2.2 </w:t>
      </w:r>
      <w:bookmarkStart w:id="2" w:name="_Hlk121298041"/>
      <w:bookmarkStart w:id="3" w:name="_Hlk63855115"/>
      <w:r w:rsidRPr="005401EC">
        <w:rPr>
          <w:rFonts w:ascii="Century Gothic" w:eastAsia="Calibri" w:hAnsi="Century Gothic" w:cs="Arial"/>
          <w:b/>
          <w:bCs/>
        </w:rPr>
        <w:t>Generalidades de la Capacidad Residual o K de contratación como requisito habilitante</w:t>
      </w:r>
    </w:p>
    <w:bookmarkEnd w:id="2"/>
    <w:p w14:paraId="1C7938FC" w14:textId="77777777" w:rsidR="005401EC" w:rsidRPr="005401EC" w:rsidRDefault="005401EC" w:rsidP="005401EC">
      <w:pPr>
        <w:shd w:val="clear" w:color="auto" w:fill="FFFFFF"/>
        <w:spacing w:after="0" w:line="276" w:lineRule="auto"/>
        <w:jc w:val="both"/>
        <w:textAlignment w:val="baseline"/>
        <w:rPr>
          <w:rFonts w:ascii="Century Gothic" w:eastAsia="Times New Roman" w:hAnsi="Century Gothic" w:cs="Arial"/>
          <w:lang w:eastAsia="es-CO"/>
        </w:rPr>
      </w:pPr>
    </w:p>
    <w:p w14:paraId="718BEECA" w14:textId="77777777" w:rsidR="005401EC" w:rsidRPr="005401EC" w:rsidRDefault="005401EC" w:rsidP="005401EC">
      <w:pPr>
        <w:widowControl w:val="0"/>
        <w:autoSpaceDE w:val="0"/>
        <w:autoSpaceDN w:val="0"/>
        <w:spacing w:after="120" w:line="276" w:lineRule="auto"/>
        <w:ind w:right="51"/>
        <w:jc w:val="both"/>
        <w:rPr>
          <w:rFonts w:ascii="Century Gothic" w:eastAsia="Arial" w:hAnsi="Century Gothic" w:cs="Arial"/>
          <w:lang w:val="es-ES" w:eastAsia="es-ES" w:bidi="es-ES"/>
        </w:rPr>
      </w:pPr>
      <w:r w:rsidRPr="005401EC">
        <w:rPr>
          <w:rFonts w:ascii="Century Gothic" w:eastAsia="Arial" w:hAnsi="Century Gothic" w:cs="Arial"/>
          <w:lang w:val="es-ES" w:eastAsia="es-ES" w:bidi="es-ES"/>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w:t>
      </w:r>
      <w:r w:rsidRPr="005401EC">
        <w:rPr>
          <w:rFonts w:ascii="Century Gothic" w:eastAsia="Arial" w:hAnsi="Century Gothic" w:cs="Arial"/>
          <w:vertAlign w:val="superscript"/>
          <w:lang w:val="es-ES" w:eastAsia="es-ES" w:bidi="es-ES"/>
        </w:rPr>
        <w:footnoteReference w:id="6"/>
      </w:r>
      <w:r w:rsidRPr="005401EC">
        <w:rPr>
          <w:rFonts w:ascii="Century Gothic" w:eastAsia="Arial" w:hAnsi="Century Gothic" w:cs="Arial"/>
          <w:lang w:val="es-ES" w:eastAsia="es-ES" w:bidi="es-ES"/>
        </w:rPr>
        <w:t xml:space="preserve">. </w:t>
      </w:r>
    </w:p>
    <w:p w14:paraId="2054B405" w14:textId="77777777" w:rsidR="005401EC" w:rsidRPr="005401EC" w:rsidRDefault="005401EC" w:rsidP="005401EC">
      <w:pPr>
        <w:widowControl w:val="0"/>
        <w:autoSpaceDE w:val="0"/>
        <w:autoSpaceDN w:val="0"/>
        <w:spacing w:before="120" w:after="120" w:line="276" w:lineRule="auto"/>
        <w:ind w:right="51" w:firstLine="709"/>
        <w:jc w:val="both"/>
        <w:rPr>
          <w:rFonts w:ascii="Century Gothic" w:eastAsia="Arial" w:hAnsi="Century Gothic" w:cs="Arial"/>
          <w:lang w:val="es-ES" w:eastAsia="es-ES" w:bidi="es-ES"/>
        </w:rPr>
      </w:pPr>
      <w:r w:rsidRPr="005401EC">
        <w:rPr>
          <w:rFonts w:ascii="Century Gothic" w:eastAsia="Arial" w:hAnsi="Century Gothic" w:cs="Arial"/>
          <w:lang w:val="es-ES" w:eastAsia="es-ES" w:bidi="es-ES"/>
        </w:rPr>
        <w:t>Teniendo en cuenta lo anterior, la Agencia Nacional de Contratación Pública considera que la capacidad residual hace referencia a la suficiencia que se predica del proponente para asumir nuevas obligaciones que se derivan del contrato objeto del procedimiento de contratación, en relación con las obligaciones que ya ha adquirido simultáneamente.</w:t>
      </w:r>
    </w:p>
    <w:p w14:paraId="6C8AE860" w14:textId="77777777" w:rsidR="005401EC" w:rsidRPr="005401EC" w:rsidRDefault="005401EC" w:rsidP="005401EC">
      <w:pPr>
        <w:widowControl w:val="0"/>
        <w:autoSpaceDE w:val="0"/>
        <w:autoSpaceDN w:val="0"/>
        <w:spacing w:after="0" w:line="276" w:lineRule="auto"/>
        <w:ind w:right="51" w:firstLine="709"/>
        <w:jc w:val="both"/>
        <w:rPr>
          <w:rFonts w:ascii="Century Gothic" w:eastAsia="Arial" w:hAnsi="Century Gothic" w:cs="Arial"/>
          <w:lang w:val="es-ES" w:eastAsia="es-ES" w:bidi="es-ES"/>
        </w:rPr>
      </w:pPr>
      <w:r w:rsidRPr="005401EC">
        <w:rPr>
          <w:rFonts w:ascii="Century Gothic" w:eastAsia="Arial" w:hAnsi="Century Gothic" w:cs="Arial"/>
          <w:lang w:val="es-ES" w:eastAsia="es-ES" w:bidi="es-ES"/>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28018C6F" w14:textId="77777777" w:rsidR="005401EC" w:rsidRPr="005401EC" w:rsidRDefault="005401EC" w:rsidP="005401EC">
      <w:pPr>
        <w:widowControl w:val="0"/>
        <w:autoSpaceDE w:val="0"/>
        <w:autoSpaceDN w:val="0"/>
        <w:spacing w:after="0" w:line="240" w:lineRule="auto"/>
        <w:ind w:right="49"/>
        <w:rPr>
          <w:rFonts w:ascii="Century Gothic" w:eastAsia="Arial" w:hAnsi="Century Gothic" w:cs="Arial"/>
          <w:lang w:val="es-ES" w:eastAsia="es-ES" w:bidi="es-ES"/>
        </w:rPr>
      </w:pPr>
    </w:p>
    <w:p w14:paraId="5E7544FB" w14:textId="77777777" w:rsidR="005401EC" w:rsidRPr="005401EC" w:rsidRDefault="005401EC" w:rsidP="00A61AF5">
      <w:pPr>
        <w:widowControl w:val="0"/>
        <w:autoSpaceDE w:val="0"/>
        <w:autoSpaceDN w:val="0"/>
        <w:spacing w:after="120" w:line="240" w:lineRule="auto"/>
        <w:ind w:left="709" w:right="709"/>
        <w:jc w:val="both"/>
        <w:rPr>
          <w:rFonts w:ascii="Century Gothic" w:eastAsia="Arial" w:hAnsi="Century Gothic" w:cs="Arial"/>
          <w:sz w:val="21"/>
          <w:szCs w:val="21"/>
          <w:lang w:val="es-ES" w:eastAsia="es-ES" w:bidi="es-ES"/>
        </w:rPr>
      </w:pPr>
      <w:r w:rsidRPr="005401EC">
        <w:rPr>
          <w:rFonts w:ascii="Century Gothic" w:eastAsia="Arial" w:hAnsi="Century Gothic" w:cs="Arial"/>
          <w:sz w:val="21"/>
          <w:szCs w:val="21"/>
          <w:lang w:val="es-ES" w:eastAsia="es-ES" w:bidi="es-ES"/>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5401EC">
        <w:rPr>
          <w:rFonts w:ascii="Century Gothic" w:eastAsia="Arial" w:hAnsi="Century Gothic" w:cs="Arial"/>
          <w:spacing w:val="-3"/>
          <w:sz w:val="21"/>
          <w:szCs w:val="21"/>
          <w:lang w:val="es-ES" w:eastAsia="es-ES" w:bidi="es-ES"/>
        </w:rPr>
        <w:t xml:space="preserve"> </w:t>
      </w:r>
      <w:r w:rsidRPr="005401EC">
        <w:rPr>
          <w:rFonts w:ascii="Century Gothic" w:eastAsia="Arial" w:hAnsi="Century Gothic" w:cs="Arial"/>
          <w:sz w:val="21"/>
          <w:szCs w:val="21"/>
          <w:lang w:val="es-ES" w:eastAsia="es-ES" w:bidi="es-ES"/>
        </w:rPr>
        <w:t>principal.</w:t>
      </w:r>
    </w:p>
    <w:p w14:paraId="53E43609" w14:textId="77777777" w:rsidR="005401EC" w:rsidRPr="005401EC" w:rsidRDefault="005401EC" w:rsidP="00A61AF5">
      <w:pPr>
        <w:widowControl w:val="0"/>
        <w:autoSpaceDE w:val="0"/>
        <w:autoSpaceDN w:val="0"/>
        <w:spacing w:after="120" w:line="240" w:lineRule="auto"/>
        <w:ind w:left="709" w:right="709"/>
        <w:rPr>
          <w:rFonts w:ascii="Century Gothic" w:eastAsia="Arial" w:hAnsi="Century Gothic" w:cs="Arial"/>
          <w:sz w:val="21"/>
          <w:szCs w:val="21"/>
          <w:lang w:val="es-ES" w:eastAsia="es-ES" w:bidi="es-ES"/>
        </w:rPr>
      </w:pPr>
      <w:r w:rsidRPr="005401EC">
        <w:rPr>
          <w:rFonts w:ascii="Century Gothic" w:eastAsia="Arial" w:hAnsi="Century Gothic" w:cs="Arial"/>
          <w:sz w:val="21"/>
          <w:szCs w:val="21"/>
          <w:lang w:val="es-ES" w:eastAsia="es-ES" w:bidi="es-ES"/>
        </w:rPr>
        <w:t>[…]</w:t>
      </w:r>
    </w:p>
    <w:p w14:paraId="74F9E3D6" w14:textId="77777777" w:rsidR="005401EC" w:rsidRPr="005401EC" w:rsidRDefault="005401EC" w:rsidP="00A61AF5">
      <w:pPr>
        <w:widowControl w:val="0"/>
        <w:autoSpaceDE w:val="0"/>
        <w:autoSpaceDN w:val="0"/>
        <w:spacing w:after="0" w:line="240" w:lineRule="auto"/>
        <w:ind w:left="709" w:right="709"/>
        <w:jc w:val="both"/>
        <w:rPr>
          <w:rFonts w:ascii="Century Gothic" w:eastAsia="Arial" w:hAnsi="Century Gothic" w:cs="Arial"/>
          <w:sz w:val="21"/>
          <w:szCs w:val="21"/>
          <w:lang w:val="es-ES" w:eastAsia="es-ES" w:bidi="es-ES"/>
        </w:rPr>
      </w:pPr>
      <w:r w:rsidRPr="005401EC">
        <w:rPr>
          <w:rFonts w:ascii="Century Gothic" w:eastAsia="Arial" w:hAnsi="Century Gothic" w:cs="Arial"/>
          <w:sz w:val="21"/>
          <w:szCs w:val="21"/>
          <w:lang w:val="es-ES" w:eastAsia="es-ES" w:bidi="es-E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31A69083" w14:textId="77777777" w:rsidR="005401EC" w:rsidRPr="005401EC" w:rsidRDefault="005401EC" w:rsidP="005401EC">
      <w:pPr>
        <w:widowControl w:val="0"/>
        <w:autoSpaceDE w:val="0"/>
        <w:autoSpaceDN w:val="0"/>
        <w:spacing w:after="0" w:line="240" w:lineRule="auto"/>
        <w:ind w:right="49"/>
        <w:rPr>
          <w:rFonts w:ascii="Century Gothic" w:eastAsia="Arial" w:hAnsi="Century Gothic" w:cs="Arial"/>
          <w:lang w:val="es-ES" w:eastAsia="es-ES" w:bidi="es-ES"/>
        </w:rPr>
      </w:pPr>
    </w:p>
    <w:p w14:paraId="5E02D086" w14:textId="77777777" w:rsidR="005401EC" w:rsidRPr="005401EC" w:rsidRDefault="005401EC" w:rsidP="005401EC">
      <w:pPr>
        <w:widowControl w:val="0"/>
        <w:autoSpaceDE w:val="0"/>
        <w:autoSpaceDN w:val="0"/>
        <w:spacing w:before="1" w:after="0" w:line="276" w:lineRule="auto"/>
        <w:ind w:right="49" w:firstLine="708"/>
        <w:jc w:val="both"/>
        <w:rPr>
          <w:rFonts w:ascii="Century Gothic" w:eastAsia="Arial" w:hAnsi="Century Gothic" w:cs="Arial"/>
          <w:lang w:val="es-ES" w:eastAsia="es-ES" w:bidi="es-ES"/>
        </w:rPr>
      </w:pPr>
      <w:r w:rsidRPr="005401EC">
        <w:rPr>
          <w:rFonts w:ascii="Century Gothic" w:eastAsia="Arial" w:hAnsi="Century Gothic" w:cs="Arial"/>
          <w:lang w:val="es-ES" w:eastAsia="es-ES" w:bidi="es-ES"/>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esta disposición, “[…] se deberá calcular mediante la evaluación de los siguientes factores: Experiencia (E), Capacidad Financiera (CF), Capacidad Técnica (CT), y Capacidad de Organización (CO)”.</w:t>
      </w:r>
    </w:p>
    <w:p w14:paraId="2D0683D7" w14:textId="77777777" w:rsidR="005401EC" w:rsidRPr="005401EC" w:rsidRDefault="005401EC" w:rsidP="005401EC">
      <w:pPr>
        <w:spacing w:before="120" w:after="120" w:line="276" w:lineRule="auto"/>
        <w:ind w:firstLine="709"/>
        <w:jc w:val="both"/>
        <w:rPr>
          <w:rFonts w:ascii="Century Gothic" w:eastAsia="Calibri" w:hAnsi="Century Gothic" w:cs="Arial"/>
          <w:color w:val="000000"/>
          <w:lang w:val="es-MX" w:eastAsia="en-GB"/>
        </w:rPr>
      </w:pPr>
      <w:r w:rsidRPr="005401EC">
        <w:rPr>
          <w:rFonts w:ascii="Century Gothic" w:eastAsia="Calibri" w:hAnsi="Century Gothic" w:cs="Arial"/>
          <w:color w:val="000000"/>
          <w:lang w:val="es-MX" w:eastAsia="en-GB"/>
        </w:rPr>
        <w:t xml:space="preserve">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5401EC">
        <w:rPr>
          <w:rFonts w:ascii="Century Gothic" w:eastAsia="Calibri" w:hAnsi="Century Gothic" w:cs="Arial"/>
          <w:color w:val="000000"/>
          <w:lang w:val="es-MX" w:eastAsia="en-GB"/>
        </w:rPr>
        <w:t>ii</w:t>
      </w:r>
      <w:proofErr w:type="spellEnd"/>
      <w:r w:rsidRPr="005401EC">
        <w:rPr>
          <w:rFonts w:ascii="Century Gothic" w:eastAsia="Calibri" w:hAnsi="Century Gothic" w:cs="Arial"/>
          <w:color w:val="000000"/>
          <w:lang w:val="es-MX" w:eastAsia="en-GB"/>
        </w:rPr>
        <w:t xml:space="preserve">) Capacidad Financiera –CF–, </w:t>
      </w:r>
      <w:proofErr w:type="spellStart"/>
      <w:r w:rsidRPr="005401EC">
        <w:rPr>
          <w:rFonts w:ascii="Century Gothic" w:eastAsia="Calibri" w:hAnsi="Century Gothic" w:cs="Arial"/>
          <w:color w:val="000000"/>
          <w:lang w:val="es-MX" w:eastAsia="en-GB"/>
        </w:rPr>
        <w:t>iii</w:t>
      </w:r>
      <w:proofErr w:type="spellEnd"/>
      <w:r w:rsidRPr="005401EC">
        <w:rPr>
          <w:rFonts w:ascii="Century Gothic" w:eastAsia="Calibri" w:hAnsi="Century Gothic" w:cs="Arial"/>
          <w:color w:val="000000"/>
          <w:lang w:val="es-MX" w:eastAsia="en-GB"/>
        </w:rPr>
        <w:t xml:space="preserve">) Capacidad Técnica –CT–, </w:t>
      </w:r>
      <w:proofErr w:type="spellStart"/>
      <w:r w:rsidRPr="005401EC">
        <w:rPr>
          <w:rFonts w:ascii="Century Gothic" w:eastAsia="Calibri" w:hAnsi="Century Gothic" w:cs="Arial"/>
          <w:color w:val="000000"/>
          <w:lang w:val="es-MX" w:eastAsia="en-GB"/>
        </w:rPr>
        <w:t>iv</w:t>
      </w:r>
      <w:proofErr w:type="spellEnd"/>
      <w:r w:rsidRPr="005401EC">
        <w:rPr>
          <w:rFonts w:ascii="Century Gothic" w:eastAsia="Calibri" w:hAnsi="Century Gothic" w:cs="Arial"/>
          <w:color w:val="000000"/>
          <w:lang w:val="es-MX" w:eastAsia="en-GB"/>
        </w:rPr>
        <w:t>) Capacidad de Organización y v) los Saldos de los Contratos en Ejecución –SCE–</w:t>
      </w:r>
      <w:r w:rsidRPr="005401EC">
        <w:rPr>
          <w:rFonts w:ascii="Century Gothic" w:eastAsia="Calibri" w:hAnsi="Century Gothic" w:cs="Arial"/>
          <w:color w:val="000000"/>
          <w:vertAlign w:val="superscript"/>
          <w:lang w:val="es-MX" w:eastAsia="en-GB"/>
        </w:rPr>
        <w:footnoteReference w:id="7"/>
      </w:r>
      <w:r w:rsidRPr="005401EC">
        <w:rPr>
          <w:rFonts w:ascii="Century Gothic" w:eastAsia="Calibri" w:hAnsi="Century Gothic" w:cs="Arial"/>
          <w:color w:val="000000"/>
          <w:lang w:val="es-MX" w:eastAsia="en-GB"/>
        </w:rPr>
        <w:t>.</w:t>
      </w:r>
    </w:p>
    <w:p w14:paraId="26175E85" w14:textId="77777777" w:rsidR="00EC253A" w:rsidRDefault="005401EC" w:rsidP="005401EC">
      <w:pPr>
        <w:spacing w:before="120" w:after="120" w:line="276" w:lineRule="auto"/>
        <w:ind w:firstLine="709"/>
        <w:jc w:val="both"/>
        <w:rPr>
          <w:rFonts w:ascii="Century Gothic" w:eastAsia="Times New Roman" w:hAnsi="Century Gothic" w:cs="Arial"/>
          <w:lang w:val="es-MX" w:eastAsia="en-GB"/>
        </w:rPr>
      </w:pPr>
      <w:r w:rsidRPr="005401EC">
        <w:rPr>
          <w:rFonts w:ascii="Century Gothic" w:eastAsia="Calibri" w:hAnsi="Century Gothic" w:cs="Arial"/>
          <w:color w:val="000000"/>
          <w:lang w:val="es-MX" w:eastAsia="en-GB"/>
        </w:rPr>
        <w:t xml:space="preserve">De igual manera, </w:t>
      </w:r>
      <w:r w:rsidRPr="005401EC">
        <w:rPr>
          <w:rFonts w:ascii="Century Gothic" w:eastAsia="Times New Roman" w:hAnsi="Century Gothic" w:cs="Arial"/>
          <w:lang w:val="es-MX" w:eastAsia="en-GB"/>
        </w:rPr>
        <w:t xml:space="preserve">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5401EC">
        <w:rPr>
          <w:rFonts w:ascii="Century Gothic" w:eastAsia="Times New Roman" w:hAnsi="Century Gothic" w:cs="Arial"/>
          <w:lang w:val="es-MX" w:eastAsia="en-GB"/>
        </w:rPr>
        <w:t>ii</w:t>
      </w:r>
      <w:proofErr w:type="spellEnd"/>
      <w:r w:rsidRPr="005401EC">
        <w:rPr>
          <w:rFonts w:ascii="Century Gothic" w:eastAsia="Times New Roman" w:hAnsi="Century Gothic" w:cs="Arial"/>
          <w:lang w:val="es-MX" w:eastAsia="en-GB"/>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5401EC">
        <w:rPr>
          <w:rFonts w:ascii="Century Gothic" w:eastAsia="Times New Roman" w:hAnsi="Century Gothic" w:cs="Arial"/>
          <w:lang w:val="es-MX" w:eastAsia="en-GB"/>
        </w:rPr>
        <w:t>iii</w:t>
      </w:r>
      <w:proofErr w:type="spellEnd"/>
      <w:r w:rsidRPr="005401EC">
        <w:rPr>
          <w:rFonts w:ascii="Century Gothic" w:eastAsia="Times New Roman" w:hAnsi="Century Gothic" w:cs="Arial"/>
          <w:lang w:val="es-MX" w:eastAsia="en-GB"/>
        </w:rPr>
        <w:t>) el balance general auditado del año inmediatamente anterior y estado de resultados auditado del año en que haya obtenido el mayor ingreso operacional en los últimos cinco (5) años</w:t>
      </w:r>
      <w:r w:rsidRPr="005401EC">
        <w:rPr>
          <w:rFonts w:ascii="Century Gothic" w:eastAsia="Times New Roman" w:hAnsi="Century Gothic" w:cs="Arial"/>
          <w:vertAlign w:val="superscript"/>
          <w:lang w:val="es-MX" w:eastAsia="en-GB"/>
        </w:rPr>
        <w:footnoteReference w:id="8"/>
      </w:r>
      <w:r w:rsidRPr="005401EC">
        <w:rPr>
          <w:rFonts w:ascii="Century Gothic" w:eastAsia="Times New Roman" w:hAnsi="Century Gothic" w:cs="Arial"/>
          <w:lang w:val="es-MX" w:eastAsia="en-GB"/>
        </w:rPr>
        <w:t xml:space="preserve">. </w:t>
      </w:r>
    </w:p>
    <w:p w14:paraId="6DFC9CCE" w14:textId="2705D70A" w:rsidR="005401EC" w:rsidRPr="005401EC" w:rsidRDefault="005401EC" w:rsidP="005401EC">
      <w:pPr>
        <w:spacing w:before="120" w:after="120" w:line="276" w:lineRule="auto"/>
        <w:ind w:firstLine="709"/>
        <w:jc w:val="both"/>
        <w:rPr>
          <w:rFonts w:ascii="Century Gothic" w:eastAsia="Times New Roman" w:hAnsi="Century Gothic" w:cs="Arial"/>
          <w:lang w:val="es-MX" w:eastAsia="en-GB"/>
        </w:rPr>
      </w:pPr>
      <w:r w:rsidRPr="005401EC">
        <w:rPr>
          <w:rFonts w:ascii="Century Gothic" w:eastAsia="Times New Roman" w:hAnsi="Century Gothic" w:cs="Arial"/>
          <w:lang w:val="es-MX" w:eastAsia="en-GB"/>
        </w:rPr>
        <w:t>Al respecto, se debe tener en cuenta lo siguientes criterios para la acreditación de la Capacidad Residual</w:t>
      </w:r>
      <w:r w:rsidR="00EC253A">
        <w:rPr>
          <w:rFonts w:ascii="Century Gothic" w:eastAsia="Times New Roman" w:hAnsi="Century Gothic" w:cs="Arial"/>
          <w:lang w:val="es-MX" w:eastAsia="en-GB"/>
        </w:rPr>
        <w:t>:</w:t>
      </w:r>
    </w:p>
    <w:p w14:paraId="0F18728A" w14:textId="03407041" w:rsidR="005401EC" w:rsidRPr="005401EC" w:rsidRDefault="005401EC" w:rsidP="00CF0A52">
      <w:pPr>
        <w:spacing w:after="120" w:line="276" w:lineRule="auto"/>
        <w:ind w:left="510" w:right="397"/>
        <w:jc w:val="both"/>
        <w:textAlignment w:val="baseline"/>
        <w:rPr>
          <w:rFonts w:ascii="Century Gothic" w:eastAsia="Calibri" w:hAnsi="Century Gothic" w:cs="Arial"/>
          <w:b/>
          <w:bCs/>
          <w:lang w:val="es-MX"/>
        </w:rPr>
      </w:pPr>
      <w:bookmarkStart w:id="4" w:name="_Hlk121298060"/>
      <w:r w:rsidRPr="005401EC">
        <w:rPr>
          <w:rFonts w:ascii="Century Gothic" w:eastAsia="Calibri" w:hAnsi="Century Gothic" w:cs="Arial"/>
          <w:b/>
          <w:bCs/>
          <w:lang w:val="es-MX"/>
        </w:rPr>
        <w:t>A) Forma de acreditación de la Capacidad Residual por parte del Proponente</w:t>
      </w:r>
      <w:bookmarkEnd w:id="4"/>
      <w:r w:rsidR="007555E5">
        <w:rPr>
          <w:rFonts w:ascii="Century Gothic" w:eastAsia="Calibri" w:hAnsi="Century Gothic" w:cs="Arial"/>
          <w:b/>
          <w:bCs/>
          <w:lang w:val="es-MX"/>
        </w:rPr>
        <w:t>.</w:t>
      </w:r>
    </w:p>
    <w:p w14:paraId="37EEDA98" w14:textId="7A97F50C" w:rsidR="005401EC" w:rsidRPr="005401EC" w:rsidRDefault="005401EC" w:rsidP="00CF0A52">
      <w:pPr>
        <w:spacing w:after="120" w:line="276" w:lineRule="auto"/>
        <w:ind w:left="510" w:right="397"/>
        <w:jc w:val="both"/>
        <w:textAlignment w:val="baseline"/>
        <w:rPr>
          <w:rFonts w:ascii="Century Gothic" w:eastAsia="Times New Roman" w:hAnsi="Century Gothic" w:cs="Arial"/>
          <w:lang w:eastAsia="es-ES"/>
        </w:rPr>
      </w:pPr>
      <w:r w:rsidRPr="005401EC">
        <w:rPr>
          <w:rFonts w:ascii="Century Gothic" w:eastAsia="Times New Roman" w:hAnsi="Century Gothic" w:cs="Arial"/>
          <w:lang w:eastAsia="es-CO"/>
        </w:rPr>
        <w:t>El artículo 6 de la Ley 1150 de 2007 establece que todas las personas</w:t>
      </w:r>
      <w:r w:rsidR="002C764B">
        <w:rPr>
          <w:rFonts w:ascii="Century Gothic" w:eastAsia="Times New Roman" w:hAnsi="Century Gothic" w:cs="Arial"/>
          <w:lang w:eastAsia="es-CO"/>
        </w:rPr>
        <w:t xml:space="preserve"> </w:t>
      </w:r>
      <w:r w:rsidRPr="005401EC">
        <w:rPr>
          <w:rFonts w:ascii="Century Gothic" w:eastAsia="Times New Roman" w:hAnsi="Century Gothic" w:cs="Arial"/>
          <w:lang w:eastAsia="es-CO"/>
        </w:rPr>
        <w:t>naturales o jurídicas nacionales o extranjeras domiciliadas o con sucursal en Colombia, que aspiren</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a</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celebrar contratos con</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las</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entidades</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estatales, deben estar inscritas en el Registro</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Único de Proponentes – en adelante RUP–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donde deben constar dichas condiciones. En consecuencia, las Entidades Estales, en los Procedimientos de</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Contratación, no podrán exigir, ni los proponentes aportar, documentación que deba utilizarse para efectuar la inscripción</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en</w:t>
      </w:r>
      <w:r w:rsidR="001863FB">
        <w:rPr>
          <w:rFonts w:ascii="Century Gothic" w:eastAsia="Times New Roman" w:hAnsi="Century Gothic" w:cs="Arial"/>
          <w:lang w:eastAsia="es-CO"/>
        </w:rPr>
        <w:t xml:space="preserve"> </w:t>
      </w:r>
      <w:r w:rsidRPr="005401EC">
        <w:rPr>
          <w:rFonts w:ascii="Century Gothic" w:eastAsia="Times New Roman" w:hAnsi="Century Gothic" w:cs="Arial"/>
          <w:lang w:eastAsia="es-CO"/>
        </w:rPr>
        <w:t>el registro.</w:t>
      </w:r>
    </w:p>
    <w:p w14:paraId="6144D77A" w14:textId="05B44DB7" w:rsidR="005401EC" w:rsidRPr="005401EC" w:rsidRDefault="005401EC" w:rsidP="00CF0A52">
      <w:pPr>
        <w:tabs>
          <w:tab w:val="left" w:pos="426"/>
        </w:tabs>
        <w:spacing w:after="120" w:line="276" w:lineRule="auto"/>
        <w:ind w:left="510" w:right="397" w:firstLine="703"/>
        <w:jc w:val="both"/>
        <w:rPr>
          <w:rFonts w:ascii="Century Gothic" w:hAnsi="Century Gothic" w:cs="Arial"/>
          <w:lang w:val="es-MX"/>
        </w:rPr>
      </w:pPr>
      <w:r w:rsidRPr="005401EC">
        <w:rPr>
          <w:rFonts w:ascii="Century Gothic" w:hAnsi="Century Gothic" w:cs="Arial"/>
          <w:lang w:val="es-MX"/>
        </w:rPr>
        <w:t>Conforme a lo anterior, la Ley 1150 de 2007 establece que los requisitos habilitantes de experiencia, capacidad jurídica, financiera y de organización se acreditarán conforme a lo contenido en el RUP.</w:t>
      </w:r>
      <w:r w:rsidR="00967D80">
        <w:rPr>
          <w:rFonts w:ascii="Century Gothic" w:hAnsi="Century Gothic" w:cs="Arial"/>
          <w:lang w:val="es-MX"/>
        </w:rPr>
        <w:t xml:space="preserve"> </w:t>
      </w:r>
      <w:r w:rsidRPr="005401EC">
        <w:rPr>
          <w:rFonts w:ascii="Century Gothic" w:hAnsi="Century Gothic" w:cs="Arial"/>
          <w:lang w:val="es-MX"/>
        </w:rPr>
        <w:t>Respecto a la acreditación de la Capacidad Residual, como</w:t>
      </w:r>
      <w:r w:rsidR="00967D80">
        <w:rPr>
          <w:rFonts w:ascii="Century Gothic" w:hAnsi="Century Gothic" w:cs="Arial"/>
          <w:lang w:val="es-MX"/>
        </w:rPr>
        <w:t xml:space="preserve"> </w:t>
      </w:r>
      <w:r w:rsidRPr="005401EC">
        <w:rPr>
          <w:rFonts w:ascii="Century Gothic" w:hAnsi="Century Gothic" w:cs="Arial"/>
          <w:lang w:val="es-MX"/>
        </w:rPr>
        <w:t>esta</w:t>
      </w:r>
      <w:r w:rsidR="00967D80">
        <w:rPr>
          <w:rFonts w:ascii="Century Gothic" w:hAnsi="Century Gothic" w:cs="Arial"/>
          <w:lang w:val="es-MX"/>
        </w:rPr>
        <w:t xml:space="preserve"> </w:t>
      </w:r>
      <w:r w:rsidRPr="005401EC">
        <w:rPr>
          <w:rFonts w:ascii="Century Gothic" w:hAnsi="Century Gothic" w:cs="Arial"/>
          <w:lang w:val="es-MX"/>
        </w:rPr>
        <w:t>no se realiza</w:t>
      </w:r>
      <w:r w:rsidR="00967D80">
        <w:rPr>
          <w:rFonts w:ascii="Century Gothic" w:hAnsi="Century Gothic" w:cs="Arial"/>
          <w:lang w:val="es-MX"/>
        </w:rPr>
        <w:t xml:space="preserve"> </w:t>
      </w:r>
      <w:r w:rsidRPr="005401EC">
        <w:rPr>
          <w:rFonts w:ascii="Century Gothic" w:hAnsi="Century Gothic" w:cs="Arial"/>
          <w:lang w:val="es-MX"/>
        </w:rPr>
        <w:t>totalmente</w:t>
      </w:r>
      <w:r w:rsidR="00967D80">
        <w:rPr>
          <w:rFonts w:ascii="Century Gothic" w:hAnsi="Century Gothic" w:cs="Arial"/>
          <w:lang w:val="es-MX"/>
        </w:rPr>
        <w:t xml:space="preserve"> </w:t>
      </w:r>
      <w:r w:rsidRPr="005401EC">
        <w:rPr>
          <w:rFonts w:ascii="Century Gothic" w:hAnsi="Century Gothic" w:cs="Arial"/>
          <w:lang w:val="es-MX"/>
        </w:rPr>
        <w:t>conforme al contenido del RUP, las Entidades</w:t>
      </w:r>
      <w:r w:rsidR="00967D80">
        <w:rPr>
          <w:rFonts w:ascii="Century Gothic" w:hAnsi="Century Gothic" w:cs="Arial"/>
          <w:lang w:val="es-MX"/>
        </w:rPr>
        <w:t xml:space="preserve"> </w:t>
      </w:r>
      <w:r w:rsidRPr="005401EC">
        <w:rPr>
          <w:rFonts w:ascii="Century Gothic" w:hAnsi="Century Gothic" w:cs="Arial"/>
          <w:lang w:val="es-MX"/>
        </w:rPr>
        <w:t>deben</w:t>
      </w:r>
      <w:r w:rsidR="00967D80">
        <w:rPr>
          <w:rFonts w:ascii="Century Gothic" w:hAnsi="Century Gothic" w:cs="Arial"/>
          <w:lang w:val="es-MX"/>
        </w:rPr>
        <w:t xml:space="preserve"> </w:t>
      </w:r>
      <w:r w:rsidRPr="005401EC">
        <w:rPr>
          <w:rFonts w:ascii="Century Gothic" w:hAnsi="Century Gothic" w:cs="Arial"/>
          <w:lang w:val="es-MX"/>
        </w:rPr>
        <w:t>exigir los documentos previstos en el artículo 2.2.1.1.1.6.4. del Decreto 1082 de 2015, relacionados con anterioridad, siempre y cuando no sea información que el proponente haya aportado, con anterioridad, para</w:t>
      </w:r>
      <w:r w:rsidR="002B2779">
        <w:rPr>
          <w:rFonts w:ascii="Century Gothic" w:hAnsi="Century Gothic" w:cs="Arial"/>
          <w:lang w:val="es-MX"/>
        </w:rPr>
        <w:t xml:space="preserve"> </w:t>
      </w:r>
      <w:r w:rsidRPr="005401EC">
        <w:rPr>
          <w:rFonts w:ascii="Century Gothic" w:hAnsi="Century Gothic" w:cs="Arial"/>
          <w:lang w:val="es-MX"/>
        </w:rPr>
        <w:t>inscribirse</w:t>
      </w:r>
      <w:r w:rsidR="002B2779">
        <w:rPr>
          <w:rFonts w:ascii="Century Gothic" w:hAnsi="Century Gothic" w:cs="Arial"/>
          <w:lang w:val="es-MX"/>
        </w:rPr>
        <w:t xml:space="preserve"> </w:t>
      </w:r>
      <w:r w:rsidRPr="005401EC">
        <w:rPr>
          <w:rFonts w:ascii="Century Gothic" w:hAnsi="Century Gothic" w:cs="Arial"/>
          <w:lang w:val="es-MX"/>
        </w:rPr>
        <w:t>en el RUP.</w:t>
      </w:r>
    </w:p>
    <w:p w14:paraId="290B507E" w14:textId="5EFD1021" w:rsidR="005401EC" w:rsidRPr="005401EC" w:rsidRDefault="005401EC" w:rsidP="00CF0A52">
      <w:pPr>
        <w:tabs>
          <w:tab w:val="left" w:pos="426"/>
        </w:tabs>
        <w:spacing w:after="120" w:line="276" w:lineRule="auto"/>
        <w:ind w:left="510" w:right="397" w:firstLine="703"/>
        <w:jc w:val="both"/>
        <w:rPr>
          <w:rFonts w:ascii="Century Gothic" w:eastAsia="Times New Roman" w:hAnsi="Century Gothic" w:cs="Arial"/>
          <w:bCs/>
          <w:lang w:val="es-MX" w:eastAsia="x-none"/>
        </w:rPr>
      </w:pPr>
      <w:r w:rsidRPr="005401EC">
        <w:rPr>
          <w:rFonts w:ascii="Century Gothic" w:eastAsia="Times New Roman" w:hAnsi="Century Gothic" w:cs="Arial"/>
          <w:bCs/>
          <w:lang w:val="es-MX" w:eastAsia="x-none"/>
        </w:rPr>
        <w:t xml:space="preserve">Así las cosas, la </w:t>
      </w:r>
      <w:r w:rsidR="00277068">
        <w:rPr>
          <w:rFonts w:ascii="Century Gothic" w:eastAsia="Times New Roman" w:hAnsi="Century Gothic" w:cs="Arial"/>
          <w:bCs/>
          <w:lang w:val="es-MX" w:eastAsia="x-none"/>
        </w:rPr>
        <w:t>Entidad Estatal</w:t>
      </w:r>
      <w:r w:rsidRPr="005401EC">
        <w:rPr>
          <w:rFonts w:ascii="Century Gothic" w:eastAsia="Times New Roman" w:hAnsi="Century Gothic" w:cs="Arial"/>
          <w:bCs/>
          <w:lang w:val="es-MX" w:eastAsia="x-none"/>
        </w:rPr>
        <w:t xml:space="preserve">, como directora de los Procesos de Contratación que adelanta, debe señalar en el pliego de condiciones–o en la Invitación– cuál es la información que se debe acreditar para el cálculo de la Capacidad Residual, así como los documentos que tendrá como válidos para tal fin. En consecuencia, el proponente deberá ceñirse a lo dispuesto por la 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321BBE34" w14:textId="77777777" w:rsidR="005401EC" w:rsidRPr="005401EC" w:rsidRDefault="005401EC" w:rsidP="00CF0A52">
      <w:pPr>
        <w:tabs>
          <w:tab w:val="left" w:pos="426"/>
        </w:tabs>
        <w:spacing w:after="120" w:line="276" w:lineRule="auto"/>
        <w:ind w:left="510" w:right="397"/>
        <w:jc w:val="both"/>
        <w:rPr>
          <w:rFonts w:ascii="Century Gothic" w:hAnsi="Century Gothic" w:cs="Arial"/>
          <w:b/>
          <w:lang w:val="es-MX"/>
        </w:rPr>
      </w:pPr>
      <w:r w:rsidRPr="005401EC">
        <w:rPr>
          <w:rFonts w:ascii="Century Gothic" w:eastAsia="Times New Roman" w:hAnsi="Century Gothic" w:cs="Arial"/>
          <w:b/>
          <w:lang w:val="es-MX" w:eastAsia="x-none"/>
        </w:rPr>
        <w:t xml:space="preserve">B) </w:t>
      </w:r>
      <w:r w:rsidRPr="005401EC">
        <w:rPr>
          <w:rFonts w:ascii="Century Gothic" w:eastAsia="Times New Roman" w:hAnsi="Century Gothic" w:cs="Arial"/>
          <w:b/>
          <w:color w:val="000000"/>
          <w:lang w:val="es-MX" w:eastAsia="en-GB"/>
        </w:rPr>
        <w:t>Guía para Determinar y Verificar la Capacidad Residual del Proponente en los Procesos de Contratación de Obra Pública</w:t>
      </w:r>
    </w:p>
    <w:p w14:paraId="6D5C8EDB" w14:textId="77777777" w:rsidR="005401EC" w:rsidRPr="005401EC" w:rsidRDefault="005401EC" w:rsidP="00CF0A52">
      <w:pPr>
        <w:spacing w:before="120" w:after="120" w:line="276" w:lineRule="auto"/>
        <w:ind w:left="510" w:right="397" w:firstLine="709"/>
        <w:jc w:val="both"/>
        <w:rPr>
          <w:rFonts w:ascii="Century Gothic" w:eastAsia="Calibri" w:hAnsi="Century Gothic" w:cs="Arial"/>
          <w:bCs/>
          <w:color w:val="000000"/>
          <w:lang w:eastAsia="en-GB"/>
        </w:rPr>
      </w:pPr>
      <w:r w:rsidRPr="005401EC">
        <w:rPr>
          <w:rFonts w:ascii="Century Gothic" w:eastAsia="Times New Roman" w:hAnsi="Century Gothic" w:cs="Arial"/>
          <w:color w:val="000000"/>
          <w:lang w:val="es-MX" w:eastAsia="en-GB"/>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12E149B8" w14:textId="77777777" w:rsidR="005401EC" w:rsidRPr="005401EC" w:rsidRDefault="005401EC" w:rsidP="00CF0A52">
      <w:pPr>
        <w:spacing w:after="0" w:line="276" w:lineRule="auto"/>
        <w:ind w:left="510" w:right="397" w:firstLine="709"/>
        <w:jc w:val="both"/>
        <w:rPr>
          <w:rFonts w:ascii="Century Gothic" w:eastAsia="Calibri" w:hAnsi="Century Gothic" w:cs="Arial"/>
          <w:bCs/>
          <w:color w:val="000000"/>
          <w:lang w:eastAsia="en-GB"/>
        </w:rPr>
      </w:pPr>
      <w:r w:rsidRPr="005401EC">
        <w:rPr>
          <w:rFonts w:ascii="Century Gothic" w:eastAsia="Calibri" w:hAnsi="Century Gothic" w:cs="Arial"/>
          <w:bCs/>
          <w:color w:val="000000"/>
          <w:lang w:eastAsia="en-GB"/>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67D5C985" w14:textId="77777777" w:rsidR="005401EC" w:rsidRPr="005401EC" w:rsidRDefault="005401EC" w:rsidP="00CF0A52">
      <w:pPr>
        <w:spacing w:before="120" w:after="0" w:line="276" w:lineRule="auto"/>
        <w:ind w:left="510" w:right="397" w:firstLine="709"/>
        <w:jc w:val="both"/>
        <w:rPr>
          <w:rFonts w:ascii="Century Gothic" w:eastAsia="Calibri" w:hAnsi="Century Gothic" w:cs="Arial"/>
          <w:bCs/>
          <w:color w:val="000000"/>
          <w:lang w:eastAsia="en-GB"/>
        </w:rPr>
      </w:pPr>
      <w:r w:rsidRPr="005401EC">
        <w:rPr>
          <w:rFonts w:ascii="Century Gothic" w:eastAsia="Calibri" w:hAnsi="Century Gothic" w:cs="Arial"/>
          <w:bCs/>
          <w:color w:val="000000"/>
          <w:lang w:eastAsia="en-GB"/>
        </w:rPr>
        <w:t xml:space="preserve">En cuanto al segundo aspecto, sobre la validación de </w:t>
      </w:r>
      <w:bookmarkStart w:id="5" w:name="_Hlk68683272"/>
      <w:r w:rsidRPr="005401EC">
        <w:rPr>
          <w:rFonts w:ascii="Century Gothic" w:eastAsia="Calibri" w:hAnsi="Century Gothic" w:cs="Arial"/>
          <w:bCs/>
          <w:color w:val="000000"/>
          <w:lang w:eastAsia="en-GB"/>
        </w:rPr>
        <w:t>que cada proponente cumpla con la CRPC</w:t>
      </w:r>
      <w:bookmarkEnd w:id="5"/>
      <w:r w:rsidRPr="005401EC">
        <w:rPr>
          <w:rFonts w:ascii="Century Gothic" w:eastAsia="Calibri" w:hAnsi="Century Gothic" w:cs="Arial"/>
          <w:bCs/>
          <w:color w:val="000000"/>
          <w:lang w:eastAsia="en-GB"/>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5401EC">
        <w:rPr>
          <w:rFonts w:ascii="Century Gothic" w:eastAsia="Calibri" w:hAnsi="Century Gothic" w:cs="Arial"/>
          <w:bCs/>
          <w:color w:val="000000"/>
          <w:lang w:eastAsia="en-GB"/>
        </w:rPr>
        <w:t>ii</w:t>
      </w:r>
      <w:proofErr w:type="spellEnd"/>
      <w:r w:rsidRPr="005401EC">
        <w:rPr>
          <w:rFonts w:ascii="Century Gothic" w:eastAsia="Calibri" w:hAnsi="Century Gothic" w:cs="Arial"/>
          <w:bCs/>
          <w:color w:val="000000"/>
          <w:lang w:eastAsia="en-GB"/>
        </w:rPr>
        <w:t xml:space="preserve">) capacidad financiera “CF”; </w:t>
      </w:r>
      <w:proofErr w:type="spellStart"/>
      <w:r w:rsidRPr="005401EC">
        <w:rPr>
          <w:rFonts w:ascii="Century Gothic" w:eastAsia="Calibri" w:hAnsi="Century Gothic" w:cs="Arial"/>
          <w:bCs/>
          <w:color w:val="000000"/>
          <w:lang w:eastAsia="en-GB"/>
        </w:rPr>
        <w:t>iii</w:t>
      </w:r>
      <w:proofErr w:type="spellEnd"/>
      <w:r w:rsidRPr="005401EC">
        <w:rPr>
          <w:rFonts w:ascii="Century Gothic" w:eastAsia="Calibri" w:hAnsi="Century Gothic" w:cs="Arial"/>
          <w:bCs/>
          <w:color w:val="000000"/>
          <w:lang w:eastAsia="en-GB"/>
        </w:rPr>
        <w:t xml:space="preserve">) capacidad técnica “CT”, </w:t>
      </w:r>
      <w:proofErr w:type="spellStart"/>
      <w:r w:rsidRPr="005401EC">
        <w:rPr>
          <w:rFonts w:ascii="Century Gothic" w:eastAsia="Calibri" w:hAnsi="Century Gothic" w:cs="Arial"/>
          <w:bCs/>
          <w:color w:val="000000"/>
          <w:lang w:eastAsia="en-GB"/>
        </w:rPr>
        <w:t>iv</w:t>
      </w:r>
      <w:proofErr w:type="spellEnd"/>
      <w:r w:rsidRPr="005401EC">
        <w:rPr>
          <w:rFonts w:ascii="Century Gothic" w:eastAsia="Calibri" w:hAnsi="Century Gothic" w:cs="Arial"/>
          <w:bCs/>
          <w:color w:val="000000"/>
          <w:lang w:eastAsia="en-GB"/>
        </w:rPr>
        <w:t>) capacidad de organización “CO”; y v) los saldos de los contratos en ejecución “SCE”, según la siguiente formula:</w:t>
      </w:r>
    </w:p>
    <w:p w14:paraId="0FA0DD91" w14:textId="77777777" w:rsidR="005401EC" w:rsidRPr="005401EC" w:rsidRDefault="005401EC" w:rsidP="00CF0A52">
      <w:pPr>
        <w:spacing w:after="0" w:line="276" w:lineRule="auto"/>
        <w:ind w:left="510" w:right="397" w:firstLine="709"/>
        <w:jc w:val="both"/>
        <w:rPr>
          <w:rFonts w:ascii="Century Gothic" w:eastAsia="Calibri" w:hAnsi="Century Gothic" w:cs="Arial"/>
          <w:bCs/>
          <w:color w:val="000000"/>
          <w:sz w:val="24"/>
          <w:szCs w:val="24"/>
          <w:lang w:eastAsia="en-GB"/>
        </w:rPr>
      </w:pPr>
      <w:r w:rsidRPr="005401EC">
        <w:rPr>
          <w:rFonts w:ascii="Century Gothic" w:eastAsia="Calibri" w:hAnsi="Century Gothic" w:cs="Arial"/>
          <w:bCs/>
          <w:noProof/>
          <w:color w:val="000000"/>
          <w:sz w:val="24"/>
          <w:szCs w:val="24"/>
          <w:lang w:eastAsia="en-GB"/>
        </w:rPr>
        <w:drawing>
          <wp:anchor distT="0" distB="0" distL="0" distR="0" simplePos="0" relativeHeight="251659264" behindDoc="0" locked="0" layoutInCell="1" allowOverlap="1" wp14:anchorId="1216984E" wp14:editId="07DD9273">
            <wp:simplePos x="0" y="0"/>
            <wp:positionH relativeFrom="margin">
              <wp:align>center</wp:align>
            </wp:positionH>
            <wp:positionV relativeFrom="paragraph">
              <wp:posOffset>222250</wp:posOffset>
            </wp:positionV>
            <wp:extent cx="4638040" cy="552450"/>
            <wp:effectExtent l="0" t="0" r="0" b="0"/>
            <wp:wrapTopAndBottom/>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1"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2960CCE2" w14:textId="77777777" w:rsidR="005401EC" w:rsidRPr="005401EC" w:rsidRDefault="005401EC" w:rsidP="00CF0A52">
      <w:pPr>
        <w:widowControl w:val="0"/>
        <w:autoSpaceDE w:val="0"/>
        <w:autoSpaceDN w:val="0"/>
        <w:spacing w:before="120" w:after="0" w:line="276" w:lineRule="auto"/>
        <w:ind w:left="510" w:right="397" w:firstLine="709"/>
        <w:jc w:val="both"/>
        <w:rPr>
          <w:rFonts w:ascii="Century Gothic" w:eastAsia="Arial" w:hAnsi="Century Gothic" w:cs="Arial"/>
          <w:lang w:val="es-ES" w:eastAsia="es-ES" w:bidi="es-ES"/>
        </w:rPr>
      </w:pPr>
    </w:p>
    <w:p w14:paraId="01A0BF57" w14:textId="77777777" w:rsidR="005401EC" w:rsidRPr="005401EC" w:rsidRDefault="005401EC" w:rsidP="00CF0A52">
      <w:pPr>
        <w:widowControl w:val="0"/>
        <w:autoSpaceDE w:val="0"/>
        <w:autoSpaceDN w:val="0"/>
        <w:spacing w:after="120" w:line="276" w:lineRule="auto"/>
        <w:ind w:left="510" w:right="397" w:firstLine="709"/>
        <w:jc w:val="both"/>
        <w:rPr>
          <w:rFonts w:ascii="Century Gothic" w:eastAsia="Arial" w:hAnsi="Century Gothic" w:cs="Arial"/>
        </w:rPr>
      </w:pPr>
      <w:r w:rsidRPr="005401EC">
        <w:rPr>
          <w:rFonts w:ascii="Century Gothic" w:eastAsia="Arial" w:hAnsi="Century Gothic" w:cs="Arial"/>
          <w:lang w:val="es-ES" w:eastAsia="es-ES" w:bidi="es-ES"/>
        </w:rPr>
        <w:t xml:space="preserve">A cada uno de estos factores se les asigna el siguiente puntaje máximo: i) “E” 120; </w:t>
      </w:r>
      <w:proofErr w:type="spellStart"/>
      <w:r w:rsidRPr="005401EC">
        <w:rPr>
          <w:rFonts w:ascii="Century Gothic" w:eastAsia="Arial" w:hAnsi="Century Gothic" w:cs="Arial"/>
          <w:lang w:val="es-ES" w:eastAsia="es-ES" w:bidi="es-ES"/>
        </w:rPr>
        <w:t>ii</w:t>
      </w:r>
      <w:proofErr w:type="spellEnd"/>
      <w:r w:rsidRPr="005401EC">
        <w:rPr>
          <w:rFonts w:ascii="Century Gothic" w:eastAsia="Arial" w:hAnsi="Century Gothic" w:cs="Arial"/>
          <w:lang w:val="es-ES" w:eastAsia="es-ES" w:bidi="es-ES"/>
        </w:rPr>
        <w:t xml:space="preserve">) “CF” 40; y </w:t>
      </w:r>
      <w:proofErr w:type="spellStart"/>
      <w:r w:rsidRPr="005401EC">
        <w:rPr>
          <w:rFonts w:ascii="Century Gothic" w:eastAsia="Arial" w:hAnsi="Century Gothic" w:cs="Arial"/>
          <w:lang w:val="es-ES" w:eastAsia="es-ES" w:bidi="es-ES"/>
        </w:rPr>
        <w:t>iii</w:t>
      </w:r>
      <w:proofErr w:type="spellEnd"/>
      <w:r w:rsidRPr="005401EC">
        <w:rPr>
          <w:rFonts w:ascii="Century Gothic" w:eastAsia="Arial" w:hAnsi="Century Gothic" w:cs="Arial"/>
          <w:lang w:val="es-ES" w:eastAsia="es-ES" w:bidi="es-ES"/>
        </w:rPr>
        <w:t xml:space="preserve">) “CT” 40. La “CO” no tiene asignación de puntaje en la fórmula, por un lado, porque su unidad de medida es en pesos colombianos “COP” y, por el otro, debido a que el mismo constituye un factor multiplicador de los demás factores en la fórmula. </w:t>
      </w:r>
      <w:r w:rsidRPr="005401EC">
        <w:rPr>
          <w:rFonts w:ascii="Century Gothic" w:eastAsia="Arial" w:hAnsi="Century Gothic" w:cs="Arial"/>
        </w:rPr>
        <w:t>A continuación, se explicará, en términos generales, cómo calcular cada factor:</w:t>
      </w:r>
    </w:p>
    <w:p w14:paraId="0ED919CA" w14:textId="77777777" w:rsidR="005401EC" w:rsidRPr="005401EC" w:rsidRDefault="005401EC" w:rsidP="00CF0A52">
      <w:pPr>
        <w:widowControl w:val="0"/>
        <w:numPr>
          <w:ilvl w:val="0"/>
          <w:numId w:val="17"/>
        </w:numPr>
        <w:tabs>
          <w:tab w:val="left" w:pos="993"/>
        </w:tabs>
        <w:autoSpaceDE w:val="0"/>
        <w:autoSpaceDN w:val="0"/>
        <w:spacing w:after="120" w:line="276" w:lineRule="auto"/>
        <w:ind w:left="510" w:right="397" w:firstLine="709"/>
        <w:jc w:val="both"/>
        <w:rPr>
          <w:rFonts w:ascii="Century Gothic" w:eastAsia="Arial" w:hAnsi="Century Gothic" w:cs="Arial"/>
          <w:i/>
          <w:iCs/>
        </w:rPr>
      </w:pPr>
      <w:r w:rsidRPr="005401EC">
        <w:rPr>
          <w:rFonts w:ascii="Century Gothic" w:eastAsia="Arial" w:hAnsi="Century Gothic" w:cs="Arial"/>
          <w:b/>
          <w:bCs/>
        </w:rPr>
        <w:t>Capacidad financiera (CF).</w:t>
      </w:r>
      <w:r w:rsidRPr="005401EC">
        <w:rPr>
          <w:rFonts w:ascii="Century Gothic" w:eastAsia="Arial" w:hAnsi="Century Gothic" w:cs="Arial"/>
        </w:rPr>
        <w:t xml:space="preserve"> Se mide por el </w:t>
      </w:r>
      <w:r w:rsidRPr="005401EC">
        <w:rPr>
          <w:rFonts w:ascii="Century Gothic" w:eastAsia="Arial" w:hAnsi="Century Gothic" w:cs="Arial"/>
          <w:i/>
          <w:iCs/>
        </w:rPr>
        <w:t>“índice de liquidez”</w:t>
      </w:r>
      <w:r w:rsidRPr="005401EC">
        <w:rPr>
          <w:rFonts w:ascii="Century Gothic" w:eastAsia="Arial" w:hAnsi="Century Gothic" w:cs="Arial"/>
        </w:rPr>
        <w:t xml:space="preserve"> y este, a su vez, corresponde al resultado de dividir el </w:t>
      </w:r>
      <w:r w:rsidRPr="005401EC">
        <w:rPr>
          <w:rFonts w:ascii="Century Gothic" w:eastAsia="Arial" w:hAnsi="Century Gothic" w:cs="Arial"/>
          <w:i/>
          <w:iCs/>
        </w:rPr>
        <w:t>“activo corriente”</w:t>
      </w:r>
      <w:r w:rsidRPr="005401EC">
        <w:rPr>
          <w:rFonts w:ascii="Century Gothic" w:eastAsia="Arial" w:hAnsi="Century Gothic" w:cs="Arial"/>
        </w:rPr>
        <w:t xml:space="preserve"> sobre el “</w:t>
      </w:r>
      <w:r w:rsidRPr="005401EC">
        <w:rPr>
          <w:rFonts w:ascii="Century Gothic" w:eastAsia="Arial" w:hAnsi="Century Gothic" w:cs="Arial"/>
          <w:i/>
          <w:iCs/>
        </w:rPr>
        <w:t>pasivo corriente”.</w:t>
      </w:r>
      <w:r w:rsidRPr="005401EC">
        <w:rPr>
          <w:rFonts w:ascii="Century Gothic" w:eastAsia="Arial" w:hAnsi="Century Gothic" w:cs="Arial"/>
        </w:rPr>
        <w:t xml:space="preserve"> El resultado puede ser calificado entre veinte (20) y cuarenta (40) puntos, según se explica en la Guía.</w:t>
      </w:r>
    </w:p>
    <w:p w14:paraId="39BF222A" w14:textId="1CEFDC31" w:rsidR="005401EC" w:rsidRPr="005401EC" w:rsidRDefault="005401EC" w:rsidP="00CF0A52">
      <w:pPr>
        <w:widowControl w:val="0"/>
        <w:numPr>
          <w:ilvl w:val="0"/>
          <w:numId w:val="17"/>
        </w:numPr>
        <w:tabs>
          <w:tab w:val="left" w:pos="993"/>
        </w:tabs>
        <w:autoSpaceDE w:val="0"/>
        <w:autoSpaceDN w:val="0"/>
        <w:spacing w:after="120" w:line="276" w:lineRule="auto"/>
        <w:ind w:left="510" w:right="397" w:firstLine="709"/>
        <w:jc w:val="both"/>
        <w:rPr>
          <w:rFonts w:ascii="Century Gothic" w:eastAsia="Arial" w:hAnsi="Century Gothic" w:cs="Arial"/>
          <w:i/>
          <w:iCs/>
        </w:rPr>
      </w:pPr>
      <w:r w:rsidRPr="005401EC">
        <w:rPr>
          <w:rFonts w:ascii="Century Gothic" w:eastAsia="Arial" w:hAnsi="Century Gothic" w:cs="Arial"/>
          <w:b/>
          <w:bCs/>
        </w:rPr>
        <w:t>Capacidad técnica (CT).</w:t>
      </w:r>
      <w:r w:rsidRPr="005401EC">
        <w:rPr>
          <w:rFonts w:ascii="Century Gothic" w:eastAsia="Arial" w:hAnsi="Century Gothic" w:cs="Arial"/>
        </w:rPr>
        <w:t xml:space="preserve"> Se determina teniendo en cuenta el número de socios y profesionales de la arquitectura, ingeniería y geología vinculados mediante una relación laboral o contractual. El puntaje por asignar, según la Guía, oscila entre veinte (20) y cuarenta (40) puntos. </w:t>
      </w:r>
    </w:p>
    <w:p w14:paraId="748E8B0C" w14:textId="77777777" w:rsidR="005401EC" w:rsidRPr="005401EC" w:rsidRDefault="005401EC" w:rsidP="00CF0A52">
      <w:pPr>
        <w:widowControl w:val="0"/>
        <w:numPr>
          <w:ilvl w:val="0"/>
          <w:numId w:val="17"/>
        </w:numPr>
        <w:tabs>
          <w:tab w:val="left" w:pos="993"/>
        </w:tabs>
        <w:autoSpaceDE w:val="0"/>
        <w:autoSpaceDN w:val="0"/>
        <w:spacing w:after="0" w:line="276" w:lineRule="auto"/>
        <w:ind w:left="510" w:right="397" w:firstLine="709"/>
        <w:jc w:val="both"/>
        <w:rPr>
          <w:rFonts w:ascii="Century Gothic" w:eastAsia="Arial" w:hAnsi="Century Gothic" w:cs="Arial"/>
          <w:i/>
          <w:iCs/>
        </w:rPr>
      </w:pPr>
      <w:r w:rsidRPr="005401EC">
        <w:rPr>
          <w:rFonts w:ascii="Century Gothic" w:eastAsia="Arial" w:hAnsi="Century Gothic" w:cs="Arial"/>
          <w:b/>
          <w:bCs/>
        </w:rPr>
        <w:t>Capacidad de organización (CO).</w:t>
      </w:r>
      <w:r w:rsidRPr="005401EC">
        <w:rPr>
          <w:rFonts w:ascii="Century Gothic" w:eastAsia="Arial" w:hAnsi="Century Gothic" w:cs="Arial"/>
        </w:rPr>
        <w:t xml:space="preserve"> Corresponde a los ingresos operacionales, según el siguiente cuadro:</w:t>
      </w:r>
    </w:p>
    <w:p w14:paraId="1B792F2B" w14:textId="77777777" w:rsidR="005401EC" w:rsidRPr="005401EC" w:rsidRDefault="005401EC" w:rsidP="00CF0A52">
      <w:pPr>
        <w:widowControl w:val="0"/>
        <w:tabs>
          <w:tab w:val="left" w:pos="993"/>
        </w:tabs>
        <w:autoSpaceDE w:val="0"/>
        <w:autoSpaceDN w:val="0"/>
        <w:spacing w:after="0" w:line="276" w:lineRule="auto"/>
        <w:ind w:left="510" w:right="397"/>
        <w:jc w:val="both"/>
        <w:rPr>
          <w:rFonts w:ascii="Century Gothic" w:eastAsia="Arial" w:hAnsi="Century Gothic" w:cs="Arial"/>
          <w:i/>
          <w:iCs/>
        </w:rPr>
      </w:pPr>
    </w:p>
    <w:tbl>
      <w:tblPr>
        <w:tblStyle w:val="Tablaconcuadrcula"/>
        <w:tblW w:w="7366" w:type="dxa"/>
        <w:jc w:val="center"/>
        <w:tblLook w:val="04A0" w:firstRow="1" w:lastRow="0" w:firstColumn="1" w:lastColumn="0" w:noHBand="0" w:noVBand="1"/>
      </w:tblPr>
      <w:tblGrid>
        <w:gridCol w:w="4053"/>
        <w:gridCol w:w="3313"/>
      </w:tblGrid>
      <w:tr w:rsidR="005401EC" w:rsidRPr="005401EC" w14:paraId="48497890" w14:textId="77777777" w:rsidTr="00F15FF4">
        <w:trPr>
          <w:jc w:val="center"/>
        </w:trPr>
        <w:tc>
          <w:tcPr>
            <w:tcW w:w="4053" w:type="dxa"/>
            <w:shd w:val="clear" w:color="auto" w:fill="D9D9D9" w:themeFill="background1" w:themeFillShade="D9"/>
          </w:tcPr>
          <w:p w14:paraId="13133600" w14:textId="77777777" w:rsidR="005401EC" w:rsidRPr="005401EC" w:rsidRDefault="005401EC" w:rsidP="00CF0A52">
            <w:pPr>
              <w:widowControl w:val="0"/>
              <w:tabs>
                <w:tab w:val="left" w:pos="993"/>
              </w:tabs>
              <w:autoSpaceDE w:val="0"/>
              <w:autoSpaceDN w:val="0"/>
              <w:ind w:left="510" w:right="397"/>
              <w:contextualSpacing/>
              <w:jc w:val="center"/>
              <w:rPr>
                <w:rFonts w:ascii="Century Gothic" w:eastAsia="Arial" w:hAnsi="Century Gothic" w:cs="Arial"/>
                <w:b/>
                <w:bCs/>
              </w:rPr>
            </w:pPr>
            <w:r w:rsidRPr="005401EC">
              <w:rPr>
                <w:rFonts w:ascii="Century Gothic" w:eastAsia="Arial" w:hAnsi="Century Gothic" w:cs="Arial"/>
                <w:b/>
                <w:bCs/>
              </w:rPr>
              <w:t>Años de información financiera</w:t>
            </w:r>
          </w:p>
        </w:tc>
        <w:tc>
          <w:tcPr>
            <w:tcW w:w="3313" w:type="dxa"/>
            <w:shd w:val="clear" w:color="auto" w:fill="D9D9D9" w:themeFill="background1" w:themeFillShade="D9"/>
          </w:tcPr>
          <w:p w14:paraId="630B6C60" w14:textId="77777777" w:rsidR="005401EC" w:rsidRPr="005401EC" w:rsidRDefault="005401EC" w:rsidP="00CF0A52">
            <w:pPr>
              <w:widowControl w:val="0"/>
              <w:tabs>
                <w:tab w:val="left" w:pos="993"/>
              </w:tabs>
              <w:autoSpaceDE w:val="0"/>
              <w:autoSpaceDN w:val="0"/>
              <w:ind w:left="510" w:right="397"/>
              <w:contextualSpacing/>
              <w:jc w:val="center"/>
              <w:rPr>
                <w:rFonts w:ascii="Century Gothic" w:eastAsia="Arial" w:hAnsi="Century Gothic" w:cs="Arial"/>
                <w:b/>
                <w:bCs/>
              </w:rPr>
            </w:pPr>
            <w:r w:rsidRPr="005401EC">
              <w:rPr>
                <w:rFonts w:ascii="Century Gothic" w:eastAsia="Arial" w:hAnsi="Century Gothic" w:cs="Arial"/>
                <w:b/>
                <w:bCs/>
              </w:rPr>
              <w:t>Capacidad de organización</w:t>
            </w:r>
          </w:p>
        </w:tc>
      </w:tr>
      <w:tr w:rsidR="005401EC" w:rsidRPr="005401EC" w14:paraId="3227EEC5" w14:textId="77777777" w:rsidTr="00F15FF4">
        <w:trPr>
          <w:jc w:val="center"/>
        </w:trPr>
        <w:tc>
          <w:tcPr>
            <w:tcW w:w="4053" w:type="dxa"/>
          </w:tcPr>
          <w:p w14:paraId="45A31669" w14:textId="77777777" w:rsidR="005401EC" w:rsidRPr="005401EC" w:rsidRDefault="005401EC" w:rsidP="00CF0A52">
            <w:pPr>
              <w:widowControl w:val="0"/>
              <w:tabs>
                <w:tab w:val="left" w:pos="993"/>
              </w:tabs>
              <w:autoSpaceDE w:val="0"/>
              <w:autoSpaceDN w:val="0"/>
              <w:ind w:left="510" w:right="397"/>
              <w:contextualSpacing/>
              <w:jc w:val="both"/>
              <w:rPr>
                <w:rFonts w:ascii="Century Gothic" w:eastAsia="Arial" w:hAnsi="Century Gothic" w:cs="Arial"/>
              </w:rPr>
            </w:pPr>
            <w:r w:rsidRPr="005401EC">
              <w:rPr>
                <w:rFonts w:ascii="Century Gothic" w:eastAsia="Arial" w:hAnsi="Century Gothic" w:cs="Arial"/>
              </w:rPr>
              <w:t>Cinco (5) años o más</w:t>
            </w:r>
          </w:p>
        </w:tc>
        <w:tc>
          <w:tcPr>
            <w:tcW w:w="3313" w:type="dxa"/>
          </w:tcPr>
          <w:p w14:paraId="1C9F9BC7" w14:textId="77777777" w:rsidR="005401EC" w:rsidRPr="005401EC" w:rsidRDefault="005401EC" w:rsidP="00CF0A52">
            <w:pPr>
              <w:widowControl w:val="0"/>
              <w:tabs>
                <w:tab w:val="left" w:pos="993"/>
              </w:tabs>
              <w:autoSpaceDE w:val="0"/>
              <w:autoSpaceDN w:val="0"/>
              <w:ind w:left="510" w:right="397"/>
              <w:contextualSpacing/>
              <w:jc w:val="both"/>
              <w:rPr>
                <w:rFonts w:ascii="Century Gothic" w:eastAsia="Arial" w:hAnsi="Century Gothic" w:cs="Arial"/>
              </w:rPr>
            </w:pPr>
            <w:r w:rsidRPr="005401EC">
              <w:rPr>
                <w:rFonts w:ascii="Century Gothic" w:eastAsia="Arial" w:hAnsi="Century Gothic" w:cs="Arial"/>
              </w:rPr>
              <w:t>Mayor ingreso operacional de los últimos cinco años</w:t>
            </w:r>
          </w:p>
        </w:tc>
      </w:tr>
      <w:tr w:rsidR="005401EC" w:rsidRPr="005401EC" w14:paraId="01FE01D0" w14:textId="77777777" w:rsidTr="00F15FF4">
        <w:trPr>
          <w:jc w:val="center"/>
        </w:trPr>
        <w:tc>
          <w:tcPr>
            <w:tcW w:w="4053" w:type="dxa"/>
          </w:tcPr>
          <w:p w14:paraId="40FFCE5D" w14:textId="77777777" w:rsidR="005401EC" w:rsidRPr="005401EC" w:rsidRDefault="005401EC" w:rsidP="00CF0A52">
            <w:pPr>
              <w:widowControl w:val="0"/>
              <w:tabs>
                <w:tab w:val="left" w:pos="993"/>
              </w:tabs>
              <w:autoSpaceDE w:val="0"/>
              <w:autoSpaceDN w:val="0"/>
              <w:ind w:left="510" w:right="397"/>
              <w:contextualSpacing/>
              <w:jc w:val="both"/>
              <w:rPr>
                <w:rFonts w:ascii="Century Gothic" w:eastAsia="Arial" w:hAnsi="Century Gothic" w:cs="Arial"/>
              </w:rPr>
            </w:pPr>
            <w:r w:rsidRPr="005401EC">
              <w:rPr>
                <w:rFonts w:ascii="Century Gothic" w:eastAsia="Arial" w:hAnsi="Century Gothic" w:cs="Arial"/>
              </w:rPr>
              <w:t>Entre uno (1) y cinco (5) años</w:t>
            </w:r>
          </w:p>
        </w:tc>
        <w:tc>
          <w:tcPr>
            <w:tcW w:w="3313" w:type="dxa"/>
          </w:tcPr>
          <w:p w14:paraId="309C949C" w14:textId="77777777" w:rsidR="005401EC" w:rsidRPr="005401EC" w:rsidRDefault="005401EC" w:rsidP="00CF0A52">
            <w:pPr>
              <w:widowControl w:val="0"/>
              <w:tabs>
                <w:tab w:val="left" w:pos="993"/>
              </w:tabs>
              <w:autoSpaceDE w:val="0"/>
              <w:autoSpaceDN w:val="0"/>
              <w:ind w:left="510" w:right="397"/>
              <w:contextualSpacing/>
              <w:jc w:val="both"/>
              <w:rPr>
                <w:rFonts w:ascii="Century Gothic" w:eastAsia="Arial" w:hAnsi="Century Gothic" w:cs="Arial"/>
              </w:rPr>
            </w:pPr>
            <w:r w:rsidRPr="005401EC">
              <w:rPr>
                <w:rFonts w:ascii="Century Gothic" w:eastAsia="Arial" w:hAnsi="Century Gothic" w:cs="Arial"/>
              </w:rPr>
              <w:t>Mayor ingreso operacional de los años de vida del oferente</w:t>
            </w:r>
          </w:p>
        </w:tc>
      </w:tr>
      <w:tr w:rsidR="005401EC" w:rsidRPr="005401EC" w14:paraId="4A106C13" w14:textId="77777777" w:rsidTr="00F15FF4">
        <w:trPr>
          <w:jc w:val="center"/>
        </w:trPr>
        <w:tc>
          <w:tcPr>
            <w:tcW w:w="4053" w:type="dxa"/>
          </w:tcPr>
          <w:p w14:paraId="08983393" w14:textId="77777777" w:rsidR="005401EC" w:rsidRPr="005401EC" w:rsidRDefault="005401EC" w:rsidP="00CF0A52">
            <w:pPr>
              <w:widowControl w:val="0"/>
              <w:tabs>
                <w:tab w:val="left" w:pos="993"/>
              </w:tabs>
              <w:autoSpaceDE w:val="0"/>
              <w:autoSpaceDN w:val="0"/>
              <w:ind w:left="510" w:right="397"/>
              <w:contextualSpacing/>
              <w:jc w:val="both"/>
              <w:rPr>
                <w:rFonts w:ascii="Century Gothic" w:eastAsia="Arial" w:hAnsi="Century Gothic" w:cs="Arial"/>
              </w:rPr>
            </w:pPr>
            <w:r w:rsidRPr="005401EC">
              <w:rPr>
                <w:rFonts w:ascii="Century Gothic" w:eastAsia="Arial" w:hAnsi="Century Gothic" w:cs="Arial"/>
              </w:rPr>
              <w:t>Menos de un (1) año</w:t>
            </w:r>
          </w:p>
        </w:tc>
        <w:tc>
          <w:tcPr>
            <w:tcW w:w="3313" w:type="dxa"/>
          </w:tcPr>
          <w:p w14:paraId="51FF4BEC" w14:textId="77777777" w:rsidR="005401EC" w:rsidRPr="005401EC" w:rsidRDefault="005401EC" w:rsidP="00CF0A52">
            <w:pPr>
              <w:widowControl w:val="0"/>
              <w:tabs>
                <w:tab w:val="left" w:pos="993"/>
              </w:tabs>
              <w:autoSpaceDE w:val="0"/>
              <w:autoSpaceDN w:val="0"/>
              <w:ind w:left="510" w:right="397"/>
              <w:contextualSpacing/>
              <w:jc w:val="both"/>
              <w:rPr>
                <w:rFonts w:ascii="Century Gothic" w:eastAsia="Arial" w:hAnsi="Century Gothic" w:cs="Arial"/>
              </w:rPr>
            </w:pPr>
            <w:r w:rsidRPr="005401EC">
              <w:rPr>
                <w:rFonts w:ascii="Century Gothic" w:eastAsia="Arial" w:hAnsi="Century Gothic" w:cs="Arial"/>
              </w:rPr>
              <w:t>USD 125.000</w:t>
            </w:r>
          </w:p>
        </w:tc>
      </w:tr>
    </w:tbl>
    <w:p w14:paraId="730EED2A" w14:textId="77777777" w:rsidR="005401EC" w:rsidRPr="005401EC" w:rsidRDefault="005401EC" w:rsidP="00CF0A52">
      <w:pPr>
        <w:widowControl w:val="0"/>
        <w:tabs>
          <w:tab w:val="left" w:pos="993"/>
        </w:tabs>
        <w:autoSpaceDE w:val="0"/>
        <w:autoSpaceDN w:val="0"/>
        <w:spacing w:after="0" w:line="276" w:lineRule="auto"/>
        <w:ind w:left="510" w:right="397"/>
        <w:jc w:val="both"/>
        <w:rPr>
          <w:rFonts w:ascii="Century Gothic" w:eastAsia="Arial" w:hAnsi="Century Gothic" w:cs="Arial"/>
        </w:rPr>
      </w:pPr>
    </w:p>
    <w:p w14:paraId="1EAD636A" w14:textId="77777777" w:rsidR="005401EC" w:rsidRPr="005401EC" w:rsidRDefault="005401EC" w:rsidP="00CF0A52">
      <w:pPr>
        <w:widowControl w:val="0"/>
        <w:tabs>
          <w:tab w:val="left" w:pos="993"/>
        </w:tabs>
        <w:autoSpaceDE w:val="0"/>
        <w:autoSpaceDN w:val="0"/>
        <w:spacing w:after="120" w:line="276" w:lineRule="auto"/>
        <w:ind w:left="510" w:right="397"/>
        <w:jc w:val="both"/>
        <w:rPr>
          <w:rFonts w:ascii="Century Gothic" w:eastAsia="Arial" w:hAnsi="Century Gothic" w:cs="Arial"/>
        </w:rPr>
      </w:pPr>
      <w:r w:rsidRPr="005401EC">
        <w:rPr>
          <w:rFonts w:ascii="Century Gothic" w:eastAsia="Arial" w:hAnsi="Century Gothic" w:cs="Arial"/>
        </w:rPr>
        <w:tab/>
        <w:t>Si los ingresos operacionales del proponente con uno (1) o más años de información financiera es menor a USD125.000, la Capacidad de organización (CO) del proponente es igual a USD125.000.</w:t>
      </w:r>
    </w:p>
    <w:p w14:paraId="7CCB966C" w14:textId="77777777" w:rsidR="005401EC" w:rsidRPr="005401EC" w:rsidRDefault="005401EC" w:rsidP="00CF0A52">
      <w:pPr>
        <w:widowControl w:val="0"/>
        <w:numPr>
          <w:ilvl w:val="0"/>
          <w:numId w:val="17"/>
        </w:numPr>
        <w:tabs>
          <w:tab w:val="left" w:pos="993"/>
        </w:tabs>
        <w:autoSpaceDE w:val="0"/>
        <w:autoSpaceDN w:val="0"/>
        <w:spacing w:after="120" w:line="276" w:lineRule="auto"/>
        <w:ind w:left="510" w:right="397" w:firstLine="709"/>
        <w:jc w:val="both"/>
        <w:rPr>
          <w:rFonts w:ascii="Century Gothic" w:eastAsia="Arial" w:hAnsi="Century Gothic" w:cs="Arial"/>
        </w:rPr>
      </w:pPr>
      <w:r w:rsidRPr="005401EC">
        <w:rPr>
          <w:rFonts w:ascii="Century Gothic" w:eastAsia="Arial" w:hAnsi="Century Gothic" w:cs="Arial"/>
          <w:b/>
          <w:bCs/>
        </w:rPr>
        <w:t>Saldos de los contratos en ejecución (SCE).</w:t>
      </w:r>
      <w:r w:rsidRPr="005401EC">
        <w:rPr>
          <w:rFonts w:ascii="Century Gothic" w:eastAsia="Arial" w:hAnsi="Century Gothic" w:cs="Arial"/>
        </w:rPr>
        <w:t xml:space="preserve"> Debe hacerse linealmente y calculando una </w:t>
      </w:r>
      <w:r w:rsidRPr="005401EC">
        <w:rPr>
          <w:rFonts w:ascii="Century Gothic" w:eastAsia="Arial" w:hAnsi="Century Gothic" w:cs="Arial"/>
          <w:i/>
          <w:iCs/>
        </w:rPr>
        <w:t xml:space="preserve">“ejecución diaria equivalente al valor del contrato dividido por el plazo del contrato expresado en días”. </w:t>
      </w:r>
      <w:r w:rsidRPr="005401EC">
        <w:rPr>
          <w:rFonts w:ascii="Century Gothic" w:eastAsia="Arial" w:hAnsi="Century Gothic" w:cs="Arial"/>
        </w:rPr>
        <w:t>El resultado obtenido se debe multiplicar por el número de días pendientes para cumplir el plazo del contrato. Si el número de días por ejecutar un contrato es superior a trecientos sesenta (360) días, solo se tendrá en cuenta la proporción lineal de doce (12) meses.</w:t>
      </w:r>
    </w:p>
    <w:p w14:paraId="2956A0ED" w14:textId="77777777" w:rsidR="005401EC" w:rsidRPr="005401EC" w:rsidRDefault="005401EC" w:rsidP="00CF0A52">
      <w:pPr>
        <w:widowControl w:val="0"/>
        <w:numPr>
          <w:ilvl w:val="0"/>
          <w:numId w:val="17"/>
        </w:numPr>
        <w:tabs>
          <w:tab w:val="left" w:pos="993"/>
        </w:tabs>
        <w:autoSpaceDE w:val="0"/>
        <w:autoSpaceDN w:val="0"/>
        <w:spacing w:after="120" w:line="276" w:lineRule="auto"/>
        <w:ind w:left="510" w:right="397" w:firstLine="709"/>
        <w:jc w:val="both"/>
        <w:rPr>
          <w:rFonts w:ascii="Century Gothic" w:eastAsia="Arial" w:hAnsi="Century Gothic" w:cs="Arial"/>
        </w:rPr>
      </w:pPr>
      <w:r w:rsidRPr="005401EC">
        <w:rPr>
          <w:rFonts w:ascii="Century Gothic" w:eastAsia="Arial" w:hAnsi="Century Gothic" w:cs="Arial"/>
          <w:b/>
          <w:bCs/>
        </w:rPr>
        <w:t>Experiencia (E).</w:t>
      </w:r>
      <w:r w:rsidRPr="005401EC">
        <w:rPr>
          <w:rFonts w:ascii="Century Gothic" w:eastAsia="Arial" w:hAnsi="Century Gothic" w:cs="Arial"/>
        </w:rPr>
        <w:t xml:space="preserve"> Para los efectos de la Capacidad Residual, corresponde de un lado, a la relación entre “</w:t>
      </w:r>
      <w:r w:rsidRPr="005401EC">
        <w:rPr>
          <w:rFonts w:ascii="Century Gothic" w:eastAsia="Arial" w:hAnsi="Century Gothic" w:cs="Arial"/>
          <w:i/>
          <w:iCs/>
        </w:rPr>
        <w:t>el valor total en pesos de los contratos relacionados con la actividad de la construcción inscritos por el proponente en el Registro Único de Proponentes “RUP” en el segmento 72 […] del Clasificador de Bienes y Servicios”,</w:t>
      </w:r>
      <w:r w:rsidRPr="005401EC">
        <w:rPr>
          <w:rFonts w:ascii="Century Gothic" w:eastAsia="Arial" w:hAnsi="Century Gothic" w:cs="Arial"/>
        </w:rPr>
        <w:t xml:space="preserve"> y del otro, al presupuesto oficial estimado del Proceso de Contratación. La relación indica el número de veces que el proponente ha ejecutado contratos equivalentes a la cuantía del Proceso de Contratación, según la siguientes formula:</w:t>
      </w:r>
    </w:p>
    <w:p w14:paraId="7B6868F4" w14:textId="77777777" w:rsidR="005401EC" w:rsidRPr="005401EC" w:rsidRDefault="005401EC" w:rsidP="00CF0A52">
      <w:pPr>
        <w:widowControl w:val="0"/>
        <w:autoSpaceDE w:val="0"/>
        <w:autoSpaceDN w:val="0"/>
        <w:spacing w:after="0" w:line="276" w:lineRule="auto"/>
        <w:ind w:left="510" w:right="397"/>
        <w:jc w:val="center"/>
        <w:rPr>
          <w:rFonts w:ascii="Century Gothic" w:eastAsia="Arial" w:hAnsi="Century Gothic" w:cs="Arial"/>
          <w:lang w:val="es-ES" w:eastAsia="es-ES" w:bidi="es-ES"/>
        </w:rPr>
      </w:pPr>
      <w:r w:rsidRPr="005401EC">
        <w:rPr>
          <w:rFonts w:ascii="Century Gothic" w:eastAsia="Arial" w:hAnsi="Century Gothic" w:cs="Arial"/>
          <w:noProof/>
          <w:lang w:val="es-ES" w:eastAsia="es-ES" w:bidi="es-ES"/>
        </w:rPr>
        <w:drawing>
          <wp:inline distT="0" distB="0" distL="0" distR="0" wp14:anchorId="5A47FC66" wp14:editId="6607667A">
            <wp:extent cx="4608943" cy="603849"/>
            <wp:effectExtent l="0" t="0" r="1270" b="6350"/>
            <wp:docPr id="1996789253" name="Imagen 199678925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89253" name="Imagen 6" descr="Imagen que contiene 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625186" cy="605977"/>
                    </a:xfrm>
                    <a:prstGeom prst="rect">
                      <a:avLst/>
                    </a:prstGeom>
                  </pic:spPr>
                </pic:pic>
              </a:graphicData>
            </a:graphic>
          </wp:inline>
        </w:drawing>
      </w:r>
    </w:p>
    <w:p w14:paraId="68E5CD13" w14:textId="07197D79" w:rsidR="005401EC" w:rsidRPr="005401EC" w:rsidRDefault="005401EC" w:rsidP="00CF0A52">
      <w:pPr>
        <w:widowControl w:val="0"/>
        <w:autoSpaceDE w:val="0"/>
        <w:autoSpaceDN w:val="0"/>
        <w:spacing w:after="120" w:line="276" w:lineRule="auto"/>
        <w:ind w:left="510" w:right="397" w:firstLine="709"/>
        <w:jc w:val="both"/>
        <w:rPr>
          <w:rFonts w:ascii="Century Gothic" w:eastAsia="Arial" w:hAnsi="Century Gothic" w:cs="Arial"/>
          <w:lang w:val="es-ES" w:eastAsia="es-ES" w:bidi="es-ES"/>
        </w:rPr>
      </w:pPr>
      <w:r w:rsidRPr="005401EC">
        <w:rPr>
          <w:rFonts w:ascii="Century Gothic" w:eastAsia="Arial" w:hAnsi="Century Gothic" w:cs="Arial"/>
          <w:lang w:val="es-ES" w:eastAsia="es-ES" w:bidi="es-ES"/>
        </w:rPr>
        <w:t xml:space="preserve">Resulta del caso precisar que si bien es cierto que es la </w:t>
      </w:r>
      <w:r w:rsidR="00277068">
        <w:rPr>
          <w:rFonts w:ascii="Century Gothic" w:eastAsia="Arial" w:hAnsi="Century Gothic" w:cs="Arial"/>
          <w:lang w:val="es-ES" w:eastAsia="es-ES" w:bidi="es-ES"/>
        </w:rPr>
        <w:t>Entidad Estatal</w:t>
      </w:r>
      <w:r w:rsidRPr="005401EC">
        <w:rPr>
          <w:rFonts w:ascii="Century Gothic" w:eastAsia="Arial" w:hAnsi="Century Gothic" w:cs="Arial"/>
          <w:lang w:val="es-ES" w:eastAsia="es-ES" w:bidi="es-ES"/>
        </w:rPr>
        <w:t xml:space="preserve"> la que debe calcular la capacidad residual de los proponentes, también lo es que estos últimos, como ya se dijo, tienen como carga aportar los documentos para acreditarla. </w:t>
      </w:r>
    </w:p>
    <w:p w14:paraId="1EA7CCCF" w14:textId="77777777" w:rsidR="005401EC" w:rsidRPr="005401EC" w:rsidRDefault="005401EC" w:rsidP="00CF0A52">
      <w:pPr>
        <w:spacing w:before="120" w:line="276" w:lineRule="auto"/>
        <w:ind w:firstLine="709"/>
        <w:jc w:val="both"/>
        <w:rPr>
          <w:rFonts w:ascii="Century Gothic" w:eastAsia="Calibri" w:hAnsi="Century Gothic" w:cs="Arial"/>
          <w:bCs/>
          <w:color w:val="000000" w:themeColor="text1"/>
        </w:rPr>
      </w:pPr>
      <w:r w:rsidRPr="005401EC">
        <w:rPr>
          <w:rFonts w:ascii="Century Gothic" w:eastAsia="Calibri" w:hAnsi="Century Gothic" w:cs="Arial"/>
          <w:bCs/>
          <w:color w:val="000000" w:themeColor="text1"/>
        </w:rPr>
        <w:t xml:space="preserve">Así las cosas, una vez acreditado cada uno de los factores descritos y aplicada la fórmula señalada, se obtiene un resultado que determina la capacidad residual del proponente, con base en el cual se podrá establecer si cumple con la capacidad residual del proceso de contratación. En este sentido, si la capacidad residual del proponente es igual o mayor a la capacidad residual del proceso, el proponente será evaluado como </w:t>
      </w:r>
      <w:r w:rsidRPr="005401EC">
        <w:rPr>
          <w:rFonts w:ascii="Century Gothic" w:eastAsia="Arial" w:hAnsi="Century Gothic" w:cs="Arial"/>
          <w:color w:val="000000" w:themeColor="text1"/>
          <w:lang w:eastAsia="es-ES" w:bidi="es-ES"/>
        </w:rPr>
        <w:t>“</w:t>
      </w:r>
      <w:r w:rsidRPr="005401EC">
        <w:rPr>
          <w:rFonts w:ascii="Century Gothic" w:eastAsia="Calibri" w:hAnsi="Century Gothic" w:cs="Arial"/>
          <w:bCs/>
          <w:color w:val="000000" w:themeColor="text1"/>
        </w:rPr>
        <w:t>cumple</w:t>
      </w:r>
      <w:r w:rsidRPr="005401EC">
        <w:rPr>
          <w:rFonts w:ascii="Century Gothic" w:eastAsia="Arial" w:hAnsi="Century Gothic" w:cs="Arial"/>
          <w:color w:val="000000" w:themeColor="text1"/>
          <w:lang w:eastAsia="es-ES" w:bidi="es-ES"/>
        </w:rPr>
        <w:t>”</w:t>
      </w:r>
      <w:r w:rsidRPr="005401EC">
        <w:rPr>
          <w:rFonts w:ascii="Century Gothic" w:eastAsia="Calibri" w:hAnsi="Century Gothic" w:cs="Arial"/>
          <w:bCs/>
          <w:color w:val="000000" w:themeColor="text1"/>
        </w:rPr>
        <w:t xml:space="preserve"> respecto de este requisito habilitante adicional, de lo contrario la evaluación de este aspecto deberá ser </w:t>
      </w:r>
      <w:r w:rsidRPr="005401EC">
        <w:rPr>
          <w:rFonts w:ascii="Century Gothic" w:eastAsia="Arial" w:hAnsi="Century Gothic" w:cs="Arial"/>
          <w:color w:val="000000" w:themeColor="text1"/>
          <w:lang w:eastAsia="es-ES" w:bidi="es-ES"/>
        </w:rPr>
        <w:t>“</w:t>
      </w:r>
      <w:r w:rsidRPr="005401EC">
        <w:rPr>
          <w:rFonts w:ascii="Century Gothic" w:eastAsia="Calibri" w:hAnsi="Century Gothic" w:cs="Arial"/>
          <w:bCs/>
          <w:color w:val="000000" w:themeColor="text1"/>
        </w:rPr>
        <w:t>no cumple</w:t>
      </w:r>
      <w:r w:rsidRPr="005401EC">
        <w:rPr>
          <w:rFonts w:ascii="Century Gothic" w:eastAsia="Arial" w:hAnsi="Century Gothic" w:cs="Arial"/>
          <w:color w:val="000000" w:themeColor="text1"/>
          <w:lang w:eastAsia="es-ES" w:bidi="es-ES"/>
        </w:rPr>
        <w:t>”.</w:t>
      </w:r>
    </w:p>
    <w:p w14:paraId="33902EF0" w14:textId="68EB165D" w:rsidR="00637CB1" w:rsidRPr="00960441" w:rsidRDefault="00637CB1" w:rsidP="00637CB1">
      <w:pPr>
        <w:tabs>
          <w:tab w:val="left" w:pos="426"/>
        </w:tabs>
        <w:spacing w:after="120" w:line="276" w:lineRule="auto"/>
        <w:jc w:val="both"/>
        <w:rPr>
          <w:rFonts w:ascii="Century Gothic" w:hAnsi="Century Gothic" w:cs="Arial"/>
          <w:b/>
          <w:bCs/>
          <w:lang w:val="es-MX"/>
        </w:rPr>
      </w:pPr>
      <w:r w:rsidRPr="00960441">
        <w:rPr>
          <w:rFonts w:ascii="Century Gothic" w:hAnsi="Century Gothic" w:cs="Arial"/>
          <w:b/>
          <w:bCs/>
          <w:szCs w:val="20"/>
        </w:rPr>
        <w:t xml:space="preserve">2.3. </w:t>
      </w:r>
      <w:r w:rsidR="00960441" w:rsidRPr="00960441">
        <w:rPr>
          <w:rFonts w:ascii="Century Gothic" w:eastAsia="Calibri" w:hAnsi="Century Gothic" w:cs="Arial"/>
          <w:b/>
          <w:bCs/>
        </w:rPr>
        <w:t>A</w:t>
      </w:r>
      <w:r w:rsidR="00366447" w:rsidRPr="00960441">
        <w:rPr>
          <w:rFonts w:ascii="Century Gothic" w:eastAsia="Calibri" w:hAnsi="Century Gothic" w:cs="Arial"/>
          <w:b/>
          <w:bCs/>
        </w:rPr>
        <w:t xml:space="preserve">creditación de la capacidad técnica como elemento de la </w:t>
      </w:r>
      <w:r w:rsidR="00366447" w:rsidRPr="00960441">
        <w:rPr>
          <w:rFonts w:ascii="Century Gothic" w:eastAsia="Times New Roman" w:hAnsi="Century Gothic" w:cs="Arial"/>
          <w:b/>
          <w:bCs/>
          <w:bdr w:val="none" w:sz="0" w:space="0" w:color="auto" w:frame="1"/>
          <w:lang w:eastAsia="es-CO"/>
        </w:rPr>
        <w:t>Capacidad Residual o K de contratación en los documentos tipo</w:t>
      </w:r>
    </w:p>
    <w:p w14:paraId="20D77032" w14:textId="54BC08F5" w:rsidR="001626B8" w:rsidRDefault="0036413B" w:rsidP="001626B8">
      <w:pPr>
        <w:jc w:val="both"/>
        <w:rPr>
          <w:rFonts w:ascii="Century Gothic" w:hAnsi="Century Gothic"/>
          <w:lang w:val="es-MX"/>
        </w:rPr>
      </w:pPr>
      <w:r w:rsidRPr="005401EC">
        <w:rPr>
          <w:rFonts w:ascii="Century Gothic" w:eastAsia="Calibri" w:hAnsi="Century Gothic" w:cs="Arial"/>
          <w:szCs w:val="20"/>
          <w:lang w:val="es-MX"/>
        </w:rPr>
        <w:t xml:space="preserve">En línea con lo </w:t>
      </w:r>
      <w:r w:rsidR="00020C4D">
        <w:rPr>
          <w:rFonts w:ascii="Century Gothic" w:eastAsia="Calibri" w:hAnsi="Century Gothic" w:cs="Arial"/>
          <w:szCs w:val="20"/>
          <w:lang w:val="es-MX"/>
        </w:rPr>
        <w:t>expuesto en el numeral anterior</w:t>
      </w:r>
      <w:r w:rsidRPr="005401EC">
        <w:rPr>
          <w:rFonts w:ascii="Century Gothic" w:eastAsia="Calibri" w:hAnsi="Century Gothic" w:cs="Arial"/>
          <w:szCs w:val="20"/>
          <w:lang w:val="es-MX"/>
        </w:rPr>
        <w:t xml:space="preserve">, para los procesos de contratación sometidos a documentos tipo, el numeral </w:t>
      </w:r>
      <w:r w:rsidRPr="005401EC">
        <w:rPr>
          <w:rFonts w:ascii="Century Gothic" w:eastAsia="Calibri" w:hAnsi="Century Gothic" w:cs="Arial"/>
          <w:lang w:val="es-MX"/>
        </w:rPr>
        <w:t xml:space="preserve">3.10.2 del </w:t>
      </w:r>
      <w:r w:rsidR="00654C40">
        <w:rPr>
          <w:rFonts w:ascii="Century Gothic" w:eastAsia="Calibri" w:hAnsi="Century Gothic" w:cs="Arial"/>
          <w:i/>
          <w:iCs/>
          <w:lang w:val="es-MX"/>
        </w:rPr>
        <w:t xml:space="preserve">Documento Base </w:t>
      </w:r>
      <w:r w:rsidRPr="005401EC">
        <w:rPr>
          <w:rFonts w:ascii="Century Gothic" w:eastAsia="Calibri" w:hAnsi="Century Gothic" w:cs="Arial"/>
          <w:lang w:val="es-MX"/>
        </w:rPr>
        <w:t xml:space="preserve">para procesos de licitación pública de infraestructura de transporte, </w:t>
      </w:r>
      <w:r w:rsidR="00361E0A">
        <w:rPr>
          <w:rFonts w:ascii="Century Gothic" w:eastAsia="Calibri" w:hAnsi="Century Gothic" w:cs="Arial"/>
          <w:lang w:val="es-MX"/>
        </w:rPr>
        <w:t>dispone</w:t>
      </w:r>
      <w:r w:rsidRPr="005401EC">
        <w:rPr>
          <w:rFonts w:ascii="Century Gothic" w:eastAsia="Calibri" w:hAnsi="Century Gothic" w:cs="Arial"/>
          <w:lang w:val="es-MX"/>
        </w:rPr>
        <w:t xml:space="preserve"> </w:t>
      </w:r>
      <w:r w:rsidR="008E3086">
        <w:rPr>
          <w:rFonts w:ascii="Century Gothic" w:eastAsia="Calibri" w:hAnsi="Century Gothic" w:cs="Arial"/>
          <w:lang w:val="es-MX"/>
        </w:rPr>
        <w:t xml:space="preserve">que </w:t>
      </w:r>
      <w:r w:rsidRPr="005401EC">
        <w:rPr>
          <w:rFonts w:ascii="Century Gothic" w:eastAsia="Calibri" w:hAnsi="Century Gothic" w:cs="Arial"/>
          <w:lang w:val="es-MX"/>
        </w:rPr>
        <w:t>el cálculo de la</w:t>
      </w:r>
      <w:r w:rsidRPr="005401EC">
        <w:rPr>
          <w:rFonts w:ascii="Century Gothic" w:eastAsia="Arial" w:hAnsi="Century Gothic" w:cs="Arial"/>
          <w:lang w:val="es-MX"/>
        </w:rPr>
        <w:t xml:space="preserve"> </w:t>
      </w:r>
      <w:r w:rsidRPr="005401EC">
        <w:rPr>
          <w:rFonts w:ascii="Century Gothic" w:eastAsia="Calibri" w:hAnsi="Century Gothic" w:cs="Arial"/>
          <w:lang w:val="es-MX"/>
        </w:rPr>
        <w:t>capacidad</w:t>
      </w:r>
      <w:r w:rsidRPr="005401EC">
        <w:rPr>
          <w:rFonts w:ascii="Century Gothic" w:eastAsia="Arial" w:hAnsi="Century Gothic" w:cs="Arial"/>
          <w:lang w:val="es-MX"/>
        </w:rPr>
        <w:t xml:space="preserve"> </w:t>
      </w:r>
      <w:r w:rsidRPr="005401EC">
        <w:rPr>
          <w:rFonts w:ascii="Century Gothic" w:eastAsia="Calibri" w:hAnsi="Century Gothic" w:cs="Arial"/>
          <w:lang w:val="es-MX"/>
        </w:rPr>
        <w:t>residual</w:t>
      </w:r>
      <w:r w:rsidRPr="005401EC">
        <w:rPr>
          <w:rFonts w:ascii="Century Gothic" w:eastAsia="Arial" w:hAnsi="Century Gothic" w:cs="Arial"/>
          <w:lang w:val="es-MX"/>
        </w:rPr>
        <w:t xml:space="preserve"> </w:t>
      </w:r>
      <w:r w:rsidRPr="005401EC">
        <w:rPr>
          <w:rFonts w:ascii="Century Gothic" w:eastAsia="Calibri" w:hAnsi="Century Gothic" w:cs="Arial"/>
          <w:lang w:val="es-MX"/>
        </w:rPr>
        <w:t>del</w:t>
      </w:r>
      <w:r w:rsidRPr="005401EC">
        <w:rPr>
          <w:rFonts w:ascii="Century Gothic" w:eastAsia="Arial" w:hAnsi="Century Gothic" w:cs="Arial"/>
          <w:lang w:val="es-MX"/>
        </w:rPr>
        <w:t xml:space="preserve"> </w:t>
      </w:r>
      <w:r w:rsidR="004B2051">
        <w:rPr>
          <w:rFonts w:ascii="Century Gothic" w:eastAsia="Calibri" w:hAnsi="Century Gothic" w:cs="Arial"/>
          <w:lang w:val="es-MX"/>
        </w:rPr>
        <w:t>p</w:t>
      </w:r>
      <w:r w:rsidRPr="005401EC">
        <w:rPr>
          <w:rFonts w:ascii="Century Gothic" w:eastAsia="Calibri" w:hAnsi="Century Gothic" w:cs="Arial"/>
          <w:lang w:val="es-MX"/>
        </w:rPr>
        <w:t>roponente</w:t>
      </w:r>
      <w:r w:rsidRPr="005401EC">
        <w:rPr>
          <w:rFonts w:ascii="Century Gothic" w:eastAsia="Arial" w:hAnsi="Century Gothic" w:cs="Arial"/>
          <w:lang w:val="es-MX"/>
        </w:rPr>
        <w:t xml:space="preserve"> </w:t>
      </w:r>
      <w:r w:rsidR="008E5542">
        <w:rPr>
          <w:rFonts w:ascii="Century Gothic" w:eastAsia="Arial" w:hAnsi="Century Gothic" w:cs="Arial"/>
          <w:lang w:val="es-MX"/>
        </w:rPr>
        <w:t>se realizará conforme a</w:t>
      </w:r>
      <w:r w:rsidRPr="005401EC">
        <w:rPr>
          <w:rFonts w:ascii="Century Gothic" w:eastAsia="Arial" w:hAnsi="Century Gothic" w:cs="Arial"/>
          <w:lang w:val="es-MX"/>
        </w:rPr>
        <w:t xml:space="preserve"> la formula previamente citada, y en el </w:t>
      </w:r>
      <w:r w:rsidRPr="005401EC">
        <w:rPr>
          <w:rFonts w:ascii="Century Gothic" w:eastAsia="Calibri" w:hAnsi="Century Gothic" w:cs="Arial"/>
          <w:szCs w:val="20"/>
          <w:lang w:val="es-MX"/>
        </w:rPr>
        <w:t xml:space="preserve">literal </w:t>
      </w:r>
      <w:r w:rsidR="00A51DED">
        <w:rPr>
          <w:rFonts w:ascii="Century Gothic" w:eastAsia="Calibri" w:hAnsi="Century Gothic" w:cs="Arial"/>
          <w:szCs w:val="20"/>
          <w:lang w:val="es-MX"/>
        </w:rPr>
        <w:t>d</w:t>
      </w:r>
      <w:r w:rsidRPr="005401EC">
        <w:rPr>
          <w:rFonts w:ascii="Century Gothic" w:eastAsia="Calibri" w:hAnsi="Century Gothic" w:cs="Arial"/>
          <w:szCs w:val="20"/>
          <w:lang w:val="es-MX"/>
        </w:rPr>
        <w:t xml:space="preserve"> </w:t>
      </w:r>
      <w:r w:rsidR="002700A6">
        <w:rPr>
          <w:rFonts w:ascii="Century Gothic" w:eastAsia="Calibri" w:hAnsi="Century Gothic" w:cs="Arial"/>
          <w:szCs w:val="20"/>
          <w:lang w:val="es-MX"/>
        </w:rPr>
        <w:t xml:space="preserve">del citado numeral, se determinó que </w:t>
      </w:r>
      <w:r w:rsidR="00033FCB">
        <w:rPr>
          <w:rFonts w:ascii="Century Gothic" w:eastAsia="Calibri" w:hAnsi="Century Gothic" w:cs="Arial"/>
          <w:szCs w:val="20"/>
          <w:lang w:val="es-MX"/>
        </w:rPr>
        <w:t>la capacidad técnica</w:t>
      </w:r>
      <w:r w:rsidR="00033FCB" w:rsidRPr="001626B8">
        <w:rPr>
          <w:rFonts w:ascii="Century Gothic" w:eastAsia="Calibri" w:hAnsi="Century Gothic" w:cs="Arial"/>
          <w:szCs w:val="20"/>
          <w:lang w:val="es-MX"/>
        </w:rPr>
        <w:t xml:space="preserve"> (CT) </w:t>
      </w:r>
      <w:r w:rsidR="001626B8" w:rsidRPr="001626B8">
        <w:rPr>
          <w:rFonts w:ascii="Century Gothic" w:hAnsi="Century Gothic"/>
          <w:lang w:val="es-MX"/>
        </w:rPr>
        <w:t>se asigna</w:t>
      </w:r>
      <w:r w:rsidR="0091209A">
        <w:rPr>
          <w:rFonts w:ascii="Century Gothic" w:hAnsi="Century Gothic"/>
          <w:lang w:val="es-MX"/>
        </w:rPr>
        <w:t>rá</w:t>
      </w:r>
      <w:r w:rsidR="001626B8" w:rsidRPr="001626B8">
        <w:rPr>
          <w:rFonts w:ascii="Century Gothic" w:hAnsi="Century Gothic"/>
          <w:lang w:val="es-MX"/>
        </w:rPr>
        <w:t xml:space="preserve"> teniendo en cuenta el número de socios y profesionales de la </w:t>
      </w:r>
      <w:r w:rsidR="00E648F9" w:rsidRPr="00E648F9">
        <w:rPr>
          <w:rFonts w:ascii="Century Gothic" w:hAnsi="Century Gothic"/>
          <w:i/>
          <w:iCs/>
          <w:lang w:val="es-MX"/>
        </w:rPr>
        <w:t>“</w:t>
      </w:r>
      <w:r w:rsidR="001626B8" w:rsidRPr="00E648F9">
        <w:rPr>
          <w:rFonts w:ascii="Century Gothic" w:hAnsi="Century Gothic"/>
          <w:i/>
          <w:iCs/>
          <w:lang w:val="es-MX"/>
        </w:rPr>
        <w:t>Arquitectura, Ingeniería y Geología</w:t>
      </w:r>
      <w:r w:rsidR="00E648F9" w:rsidRPr="00E648F9">
        <w:rPr>
          <w:rFonts w:ascii="Century Gothic" w:hAnsi="Century Gothic"/>
          <w:i/>
          <w:iCs/>
          <w:lang w:val="es-MX"/>
        </w:rPr>
        <w:t>”</w:t>
      </w:r>
      <w:r w:rsidR="001626B8" w:rsidRPr="001626B8">
        <w:rPr>
          <w:rFonts w:ascii="Century Gothic" w:hAnsi="Century Gothic"/>
          <w:lang w:val="es-MX"/>
        </w:rPr>
        <w:t xml:space="preserve"> vinculados mediante una relación laboral o contractual vigente </w:t>
      </w:r>
      <w:r w:rsidR="006A67CD">
        <w:rPr>
          <w:rFonts w:ascii="Century Gothic" w:hAnsi="Century Gothic"/>
          <w:lang w:val="es-MX"/>
        </w:rPr>
        <w:t xml:space="preserve">en la cual </w:t>
      </w:r>
      <w:r w:rsidR="004C3F83">
        <w:rPr>
          <w:rFonts w:ascii="Century Gothic" w:hAnsi="Century Gothic"/>
          <w:lang w:val="es-MX"/>
        </w:rPr>
        <w:t>desarrollen</w:t>
      </w:r>
      <w:r w:rsidR="001626B8" w:rsidRPr="001626B8">
        <w:rPr>
          <w:rFonts w:ascii="Century Gothic" w:hAnsi="Century Gothic"/>
          <w:lang w:val="es-MX"/>
        </w:rPr>
        <w:t xml:space="preserve"> actividades vinculadas directamente con la construcción.</w:t>
      </w:r>
    </w:p>
    <w:p w14:paraId="03F89B27" w14:textId="77777777" w:rsidR="004C3F83" w:rsidRPr="001626B8" w:rsidRDefault="004C3F83" w:rsidP="004C3F83">
      <w:pPr>
        <w:ind w:firstLine="708"/>
        <w:jc w:val="both"/>
        <w:rPr>
          <w:rFonts w:ascii="Century Gothic" w:hAnsi="Century Gothic"/>
          <w:lang w:val="es-MX"/>
        </w:rPr>
      </w:pPr>
      <w:r w:rsidRPr="001626B8">
        <w:rPr>
          <w:rFonts w:ascii="Century Gothic" w:hAnsi="Century Gothic"/>
          <w:lang w:val="es-MX"/>
        </w:rPr>
        <w:t>El puntaje del factor (CT) se asigna con base en la siguiente 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998"/>
        <w:gridCol w:w="922"/>
      </w:tblGrid>
      <w:tr w:rsidR="004C3F83" w:rsidRPr="00B0737F" w14:paraId="3053EE51" w14:textId="77777777" w:rsidTr="00F15FF4">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7364DCBD" w14:textId="77777777" w:rsidR="004C3F83" w:rsidRPr="004C31EB" w:rsidRDefault="004C3F83" w:rsidP="00F15FF4">
            <w:pPr>
              <w:spacing w:after="0" w:line="276" w:lineRule="auto"/>
              <w:jc w:val="center"/>
              <w:rPr>
                <w:rFonts w:eastAsia="Arial," w:cs="Arial"/>
                <w:b/>
                <w:bCs/>
                <w:color w:val="FFFFFF" w:themeColor="background1"/>
                <w:szCs w:val="20"/>
              </w:rPr>
            </w:pPr>
            <w:r w:rsidRPr="004C31EB">
              <w:rPr>
                <w:rFonts w:cs="Arial"/>
                <w:b/>
                <w:bCs/>
                <w:color w:val="FFFFFF" w:themeColor="background1"/>
                <w:szCs w:val="20"/>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F7539FD" w14:textId="77777777" w:rsidR="004C3F83" w:rsidRPr="004C31EB" w:rsidRDefault="004C3F83" w:rsidP="00F15FF4">
            <w:pPr>
              <w:spacing w:after="0" w:line="276" w:lineRule="auto"/>
              <w:jc w:val="center"/>
              <w:rPr>
                <w:rFonts w:eastAsia="Arial," w:cs="Arial"/>
                <w:b/>
                <w:bCs/>
                <w:color w:val="FFFFFF" w:themeColor="background1"/>
                <w:szCs w:val="20"/>
              </w:rPr>
            </w:pPr>
            <w:r w:rsidRPr="004C31EB">
              <w:rPr>
                <w:rFonts w:cs="Arial"/>
                <w:b/>
                <w:bCs/>
                <w:color w:val="FFFFFF" w:themeColor="background1"/>
                <w:szCs w:val="20"/>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F3E9E83" w14:textId="77777777" w:rsidR="004C3F83" w:rsidRPr="004C31EB" w:rsidRDefault="004C3F83" w:rsidP="00F15FF4">
            <w:pPr>
              <w:spacing w:after="0" w:line="276" w:lineRule="auto"/>
              <w:jc w:val="center"/>
              <w:rPr>
                <w:rFonts w:eastAsia="Arial," w:cs="Arial"/>
                <w:b/>
                <w:bCs/>
                <w:color w:val="FFFFFF" w:themeColor="background1"/>
                <w:szCs w:val="20"/>
              </w:rPr>
            </w:pPr>
            <w:r w:rsidRPr="004C31EB">
              <w:rPr>
                <w:rFonts w:cs="Arial"/>
                <w:b/>
                <w:bCs/>
                <w:color w:val="FFFFFF" w:themeColor="background1"/>
                <w:szCs w:val="20"/>
              </w:rPr>
              <w:t>Puntaje</w:t>
            </w:r>
          </w:p>
        </w:tc>
      </w:tr>
      <w:tr w:rsidR="004C3F83" w:rsidRPr="00B0737F" w14:paraId="7D534EF7" w14:textId="77777777" w:rsidTr="00F15FF4">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EEA7464" w14:textId="77777777" w:rsidR="004C3F83" w:rsidRPr="004C31EB" w:rsidRDefault="004C3F83" w:rsidP="00F15FF4">
            <w:pPr>
              <w:spacing w:after="0" w:line="276" w:lineRule="auto"/>
              <w:jc w:val="center"/>
              <w:rPr>
                <w:rFonts w:eastAsia="Arial," w:cs="Arial"/>
                <w:szCs w:val="20"/>
              </w:rPr>
            </w:pPr>
            <w:r w:rsidRPr="004C31EB">
              <w:rPr>
                <w:rFonts w:cs="Arial"/>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7FE770" w14:textId="77777777" w:rsidR="004C3F83" w:rsidRPr="004C31EB" w:rsidRDefault="004C3F83" w:rsidP="00F15FF4">
            <w:pPr>
              <w:spacing w:after="0" w:line="276" w:lineRule="auto"/>
              <w:jc w:val="center"/>
              <w:rPr>
                <w:rFonts w:eastAsia="Arial," w:cs="Arial"/>
                <w:szCs w:val="20"/>
              </w:rPr>
            </w:pPr>
            <w:r w:rsidRPr="004C31EB">
              <w:rPr>
                <w:rFonts w:cs="Arial"/>
                <w:szCs w:val="20"/>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CDE759F" w14:textId="77777777" w:rsidR="004C3F83" w:rsidRPr="004C31EB" w:rsidRDefault="004C3F83" w:rsidP="00F15FF4">
            <w:pPr>
              <w:spacing w:after="0" w:line="276" w:lineRule="auto"/>
              <w:jc w:val="center"/>
              <w:rPr>
                <w:rFonts w:eastAsia="Arial," w:cs="Arial"/>
                <w:szCs w:val="20"/>
              </w:rPr>
            </w:pPr>
            <w:r w:rsidRPr="004C31EB">
              <w:rPr>
                <w:rFonts w:cs="Arial"/>
                <w:szCs w:val="20"/>
              </w:rPr>
              <w:t>20</w:t>
            </w:r>
          </w:p>
        </w:tc>
      </w:tr>
      <w:tr w:rsidR="004C3F83" w:rsidRPr="00B0737F" w14:paraId="1A3B8795" w14:textId="77777777" w:rsidTr="00F15FF4">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00963D4" w14:textId="77777777" w:rsidR="004C3F83" w:rsidRPr="004C31EB" w:rsidRDefault="004C3F83" w:rsidP="00F15FF4">
            <w:pPr>
              <w:spacing w:after="0" w:line="276" w:lineRule="auto"/>
              <w:jc w:val="center"/>
              <w:rPr>
                <w:rFonts w:eastAsia="Arial," w:cs="Arial"/>
                <w:szCs w:val="20"/>
              </w:rPr>
            </w:pPr>
            <w:r w:rsidRPr="004C31EB">
              <w:rPr>
                <w:rFonts w:cs="Arial"/>
                <w:szCs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76681" w14:textId="77777777" w:rsidR="004C3F83" w:rsidRPr="004C31EB" w:rsidRDefault="004C3F83" w:rsidP="00F15FF4">
            <w:pPr>
              <w:spacing w:after="0" w:line="276" w:lineRule="auto"/>
              <w:jc w:val="center"/>
              <w:rPr>
                <w:rFonts w:eastAsia="Arial," w:cs="Arial"/>
                <w:szCs w:val="20"/>
              </w:rPr>
            </w:pPr>
            <w:r w:rsidRPr="004C31EB">
              <w:rPr>
                <w:rFonts w:cs="Arial"/>
                <w:szCs w:val="20"/>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53415F7" w14:textId="77777777" w:rsidR="004C3F83" w:rsidRPr="004C31EB" w:rsidRDefault="004C3F83" w:rsidP="00F15FF4">
            <w:pPr>
              <w:spacing w:after="0" w:line="276" w:lineRule="auto"/>
              <w:jc w:val="center"/>
              <w:rPr>
                <w:rFonts w:eastAsia="Arial," w:cs="Arial"/>
                <w:szCs w:val="20"/>
              </w:rPr>
            </w:pPr>
            <w:r w:rsidRPr="004C31EB">
              <w:rPr>
                <w:rFonts w:cs="Arial"/>
                <w:szCs w:val="20"/>
              </w:rPr>
              <w:t>30</w:t>
            </w:r>
          </w:p>
        </w:tc>
      </w:tr>
      <w:tr w:rsidR="004C3F83" w:rsidRPr="00B0737F" w14:paraId="024D780B" w14:textId="77777777" w:rsidTr="00F15FF4">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78CD2123" w14:textId="77777777" w:rsidR="004C3F83" w:rsidRPr="004C31EB" w:rsidRDefault="004C3F83" w:rsidP="00F15FF4">
            <w:pPr>
              <w:spacing w:after="0" w:line="276" w:lineRule="auto"/>
              <w:jc w:val="center"/>
              <w:rPr>
                <w:rFonts w:eastAsia="Arial," w:cs="Arial"/>
                <w:szCs w:val="20"/>
              </w:rPr>
            </w:pPr>
            <w:r w:rsidRPr="004C31EB">
              <w:rPr>
                <w:rFonts w:cs="Arial"/>
                <w:szCs w:val="20"/>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07D3CE3" w14:textId="77777777" w:rsidR="004C3F83" w:rsidRPr="004C31EB" w:rsidRDefault="004C3F83" w:rsidP="00F15FF4">
            <w:pPr>
              <w:spacing w:after="0" w:line="276" w:lineRule="auto"/>
              <w:jc w:val="center"/>
              <w:rPr>
                <w:rFonts w:eastAsia="Arial," w:cs="Arial"/>
                <w:szCs w:val="20"/>
              </w:rPr>
            </w:pPr>
            <w:r w:rsidRPr="004C31EB">
              <w:rPr>
                <w:rFonts w:cs="Arial"/>
                <w:szCs w:val="20"/>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0F95D65D" w14:textId="77777777" w:rsidR="004C3F83" w:rsidRPr="004C31EB" w:rsidRDefault="004C3F83" w:rsidP="00F15FF4">
            <w:pPr>
              <w:spacing w:after="0" w:line="276" w:lineRule="auto"/>
              <w:jc w:val="center"/>
              <w:rPr>
                <w:rFonts w:eastAsia="Arial," w:cs="Arial"/>
                <w:szCs w:val="20"/>
              </w:rPr>
            </w:pPr>
            <w:r w:rsidRPr="004C31EB">
              <w:rPr>
                <w:rFonts w:cs="Arial"/>
                <w:szCs w:val="20"/>
              </w:rPr>
              <w:t>40</w:t>
            </w:r>
          </w:p>
        </w:tc>
      </w:tr>
    </w:tbl>
    <w:p w14:paraId="784F75B6" w14:textId="66954E3A" w:rsidR="0036413B" w:rsidRPr="005401EC" w:rsidRDefault="00D52EE4" w:rsidP="00D065CB">
      <w:pPr>
        <w:spacing w:before="240"/>
        <w:ind w:firstLine="708"/>
        <w:jc w:val="both"/>
        <w:rPr>
          <w:rFonts w:ascii="Century Gothic" w:hAnsi="Century Gothic" w:cs="Arial"/>
          <w:szCs w:val="20"/>
        </w:rPr>
      </w:pPr>
      <w:r>
        <w:rPr>
          <w:rFonts w:ascii="Century Gothic" w:hAnsi="Century Gothic"/>
          <w:lang w:val="es-MX"/>
        </w:rPr>
        <w:t xml:space="preserve">Por su parte, </w:t>
      </w:r>
      <w:r w:rsidR="00FA1B5D">
        <w:rPr>
          <w:rFonts w:ascii="Century Gothic" w:eastAsia="Calibri" w:hAnsi="Century Gothic" w:cs="Arial"/>
          <w:i/>
          <w:iCs/>
          <w:lang w:val="es-MX"/>
        </w:rPr>
        <w:t xml:space="preserve">Documento Base </w:t>
      </w:r>
      <w:r w:rsidR="00FA1B5D" w:rsidRPr="005401EC">
        <w:rPr>
          <w:rFonts w:ascii="Century Gothic" w:eastAsia="Calibri" w:hAnsi="Century Gothic" w:cs="Arial"/>
          <w:lang w:val="es-MX"/>
        </w:rPr>
        <w:t>para procesos de licitación pública de infraestructura de transporte</w:t>
      </w:r>
      <w:r w:rsidR="00FA1B5D">
        <w:rPr>
          <w:rFonts w:ascii="Century Gothic" w:hAnsi="Century Gothic"/>
          <w:lang w:val="es-MX"/>
        </w:rPr>
        <w:t xml:space="preserve"> determinó que </w:t>
      </w:r>
      <w:r>
        <w:rPr>
          <w:rFonts w:ascii="Century Gothic" w:hAnsi="Century Gothic"/>
          <w:lang w:val="es-MX"/>
        </w:rPr>
        <w:t>p</w:t>
      </w:r>
      <w:r w:rsidR="001626B8" w:rsidRPr="001626B8">
        <w:rPr>
          <w:rFonts w:ascii="Century Gothic" w:hAnsi="Century Gothic"/>
          <w:lang w:val="es-MX"/>
        </w:rPr>
        <w:t xml:space="preserve">ara acreditar </w:t>
      </w:r>
      <w:r w:rsidR="0052469B">
        <w:rPr>
          <w:rFonts w:ascii="Century Gothic" w:hAnsi="Century Gothic"/>
          <w:lang w:val="es-MX"/>
        </w:rPr>
        <w:t>la capacidad técnica (CT)</w:t>
      </w:r>
      <w:r w:rsidR="00FA1B5D">
        <w:rPr>
          <w:rFonts w:ascii="Century Gothic" w:hAnsi="Century Gothic"/>
          <w:lang w:val="es-MX"/>
        </w:rPr>
        <w:t>,</w:t>
      </w:r>
      <w:r w:rsidR="001626B8" w:rsidRPr="001626B8">
        <w:rPr>
          <w:rFonts w:ascii="Century Gothic" w:hAnsi="Century Gothic"/>
          <w:lang w:val="es-MX"/>
        </w:rPr>
        <w:t xml:space="preserve"> el Proponente o integrante nacional y extranjero con o sin sucursal en Colombia deben diligenciar el Formato 5 – Capacidad residual</w:t>
      </w:r>
      <w:r w:rsidR="00D065CB">
        <w:rPr>
          <w:rFonts w:ascii="Century Gothic" w:hAnsi="Century Gothic"/>
          <w:lang w:val="es-MX"/>
        </w:rPr>
        <w:t xml:space="preserve">, el cual fue adoptado mediante la </w:t>
      </w:r>
      <w:r w:rsidR="0036413B" w:rsidRPr="005401EC">
        <w:rPr>
          <w:rFonts w:ascii="Century Gothic" w:hAnsi="Century Gothic" w:cs="Arial"/>
          <w:szCs w:val="20"/>
        </w:rPr>
        <w:t xml:space="preserve">Resolución No. 240 </w:t>
      </w:r>
      <w:r w:rsidR="00862A4A">
        <w:rPr>
          <w:rFonts w:ascii="Century Gothic" w:hAnsi="Century Gothic" w:cs="Arial"/>
          <w:szCs w:val="20"/>
        </w:rPr>
        <w:t xml:space="preserve">del 27 de noviembre de 2020 </w:t>
      </w:r>
      <w:r w:rsidR="0036413B" w:rsidRPr="005401EC">
        <w:rPr>
          <w:rFonts w:ascii="Century Gothic" w:hAnsi="Century Gothic" w:cs="Arial"/>
          <w:szCs w:val="20"/>
        </w:rPr>
        <w:t xml:space="preserve">para procesos de licitación de obra de infraestructura pública de transporte, así como el adoptado por la Resolución No. 241 de 2020 para procesos del mismo tipo para la modalidad de selección abreviada de menor cuantía, </w:t>
      </w:r>
      <w:r w:rsidR="006C7498">
        <w:rPr>
          <w:rFonts w:ascii="Century Gothic" w:hAnsi="Century Gothic" w:cs="Arial"/>
          <w:szCs w:val="20"/>
        </w:rPr>
        <w:t xml:space="preserve">que indican textualmente lo </w:t>
      </w:r>
      <w:r w:rsidR="0036413B" w:rsidRPr="005401EC">
        <w:rPr>
          <w:rFonts w:ascii="Century Gothic" w:hAnsi="Century Gothic" w:cs="Arial"/>
          <w:szCs w:val="20"/>
        </w:rPr>
        <w:t xml:space="preserve">siguiente: </w:t>
      </w:r>
    </w:p>
    <w:p w14:paraId="5CE571EA" w14:textId="77777777" w:rsidR="0036413B" w:rsidRPr="005401EC" w:rsidRDefault="0036413B" w:rsidP="006C7498">
      <w:pPr>
        <w:tabs>
          <w:tab w:val="left" w:pos="426"/>
        </w:tabs>
        <w:spacing w:after="0" w:line="240" w:lineRule="auto"/>
        <w:ind w:left="709" w:right="709"/>
        <w:jc w:val="both"/>
        <w:rPr>
          <w:rFonts w:ascii="Century Gothic" w:hAnsi="Century Gothic" w:cs="Arial"/>
          <w:sz w:val="21"/>
          <w:szCs w:val="21"/>
        </w:rPr>
      </w:pPr>
      <w:r w:rsidRPr="005401EC">
        <w:rPr>
          <w:rFonts w:ascii="Century Gothic" w:hAnsi="Century Gothic" w:cs="Arial"/>
          <w:sz w:val="21"/>
          <w:szCs w:val="21"/>
        </w:rPr>
        <w:t xml:space="preserve">[La </w:t>
      </w:r>
      <w:r>
        <w:rPr>
          <w:rFonts w:ascii="Century Gothic" w:hAnsi="Century Gothic" w:cs="Arial"/>
          <w:sz w:val="21"/>
          <w:szCs w:val="21"/>
        </w:rPr>
        <w:t>Entidad Estatal</w:t>
      </w:r>
      <w:r w:rsidRPr="005401EC">
        <w:rPr>
          <w:rFonts w:ascii="Century Gothic" w:hAnsi="Century Gothic" w:cs="Arial"/>
          <w:sz w:val="21"/>
          <w:szCs w:val="21"/>
        </w:rPr>
        <w:t xml:space="preserve">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0D59E96D" w14:textId="73E11C6D" w:rsidR="0036413B" w:rsidRDefault="0036413B" w:rsidP="004D0978">
      <w:pPr>
        <w:tabs>
          <w:tab w:val="left" w:pos="426"/>
        </w:tabs>
        <w:spacing w:before="240" w:line="276" w:lineRule="auto"/>
        <w:ind w:firstLine="709"/>
        <w:jc w:val="both"/>
        <w:rPr>
          <w:rFonts w:ascii="Century Gothic" w:eastAsia="Times New Roman" w:hAnsi="Century Gothic" w:cs="Arial"/>
          <w:color w:val="000000"/>
          <w:lang w:val="es-MX" w:eastAsia="en-GB"/>
        </w:rPr>
      </w:pPr>
      <w:r w:rsidRPr="005401EC">
        <w:rPr>
          <w:rFonts w:ascii="Century Gothic" w:hAnsi="Century Gothic" w:cs="Arial"/>
          <w:szCs w:val="20"/>
        </w:rPr>
        <w:t xml:space="preserve">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w:t>
      </w:r>
    </w:p>
    <w:p w14:paraId="7B3213E2" w14:textId="404C1A45" w:rsidR="00637CB1" w:rsidRDefault="00637CB1" w:rsidP="00B320AE">
      <w:pPr>
        <w:spacing w:before="120" w:after="120" w:line="276" w:lineRule="auto"/>
        <w:jc w:val="both"/>
        <w:rPr>
          <w:rFonts w:ascii="Century Gothic" w:eastAsia="Arial" w:hAnsi="Century Gothic" w:cs="Arial"/>
        </w:rPr>
      </w:pPr>
      <w:r w:rsidRPr="005401EC">
        <w:rPr>
          <w:rFonts w:ascii="Century Gothic" w:eastAsia="Times New Roman" w:hAnsi="Century Gothic" w:cs="Arial"/>
          <w:color w:val="000000"/>
          <w:lang w:val="es-MX" w:eastAsia="en-GB"/>
        </w:rPr>
        <w:t xml:space="preserve">De conformidad con lo expuesto, la </w:t>
      </w:r>
      <w:r w:rsidR="00EC7C07" w:rsidRPr="00EC7C07">
        <w:rPr>
          <w:rFonts w:ascii="Century Gothic" w:eastAsia="Times New Roman" w:hAnsi="Century Gothic" w:cs="Arial"/>
          <w:i/>
          <w:iCs/>
          <w:color w:val="000000"/>
          <w:lang w:val="es-MX" w:eastAsia="en-GB"/>
        </w:rPr>
        <w:t>“</w:t>
      </w:r>
      <w:r w:rsidRPr="00EC7C07">
        <w:rPr>
          <w:rFonts w:ascii="Century Gothic" w:eastAsia="Times New Roman" w:hAnsi="Century Gothic" w:cs="Arial"/>
          <w:i/>
          <w:iCs/>
          <w:color w:val="000000"/>
          <w:lang w:val="es-MX" w:eastAsia="en-GB"/>
        </w:rPr>
        <w:t>Guía para Determinar y Verificar la Capacidad Residual del Proponente en los Procesos de Contratación de Obra Pública</w:t>
      </w:r>
      <w:r w:rsidR="00EC7C07" w:rsidRPr="00EC7C07">
        <w:rPr>
          <w:rFonts w:ascii="Century Gothic" w:eastAsia="Times New Roman" w:hAnsi="Century Gothic" w:cs="Arial"/>
          <w:i/>
          <w:iCs/>
          <w:color w:val="000000"/>
          <w:lang w:val="es-MX" w:eastAsia="en-GB"/>
        </w:rPr>
        <w:t>”</w:t>
      </w:r>
      <w:r w:rsidR="00EC7C07">
        <w:rPr>
          <w:rFonts w:ascii="Century Gothic" w:eastAsia="Times New Roman" w:hAnsi="Century Gothic" w:cs="Arial"/>
          <w:i/>
          <w:iCs/>
          <w:color w:val="000000"/>
          <w:lang w:val="es-MX" w:eastAsia="en-GB"/>
        </w:rPr>
        <w:t>,</w:t>
      </w:r>
      <w:r w:rsidR="00B320AE">
        <w:rPr>
          <w:rFonts w:ascii="Century Gothic" w:eastAsia="Times New Roman" w:hAnsi="Century Gothic" w:cs="Arial"/>
          <w:i/>
          <w:iCs/>
          <w:color w:val="000000"/>
          <w:lang w:val="es-MX" w:eastAsia="en-GB"/>
        </w:rPr>
        <w:t xml:space="preserve"> </w:t>
      </w:r>
      <w:r w:rsidR="00EC7C07">
        <w:rPr>
          <w:rFonts w:ascii="Century Gothic" w:eastAsia="Times New Roman" w:hAnsi="Century Gothic" w:cs="Arial"/>
          <w:color w:val="000000"/>
          <w:lang w:val="es-MX" w:eastAsia="en-GB"/>
        </w:rPr>
        <w:t xml:space="preserve">dispuso, </w:t>
      </w:r>
      <w:r w:rsidRPr="005401EC">
        <w:rPr>
          <w:rFonts w:ascii="Century Gothic" w:eastAsia="Times New Roman" w:hAnsi="Century Gothic" w:cs="Arial"/>
          <w:color w:val="000000"/>
          <w:lang w:val="es-MX" w:eastAsia="en-GB"/>
        </w:rPr>
        <w:t xml:space="preserve">entre otras cuestiones, que </w:t>
      </w:r>
      <w:r w:rsidR="00D80F20">
        <w:rPr>
          <w:rFonts w:ascii="Century Gothic" w:eastAsia="Times New Roman" w:hAnsi="Century Gothic" w:cs="Arial"/>
          <w:color w:val="000000"/>
          <w:lang w:val="es-MX" w:eastAsia="en-GB"/>
        </w:rPr>
        <w:t>la capacidad técnica (CT)</w:t>
      </w:r>
      <w:r w:rsidR="00725CCC">
        <w:rPr>
          <w:rFonts w:ascii="Century Gothic" w:eastAsia="Times New Roman" w:hAnsi="Century Gothic" w:cs="Arial"/>
          <w:color w:val="000000"/>
          <w:lang w:val="es-MX" w:eastAsia="en-GB"/>
        </w:rPr>
        <w:t xml:space="preserve"> como factor que compone la </w:t>
      </w:r>
      <w:r w:rsidR="00A77B06">
        <w:rPr>
          <w:rFonts w:ascii="Century Gothic" w:eastAsia="Times New Roman" w:hAnsi="Century Gothic" w:cs="Arial"/>
          <w:color w:val="000000"/>
          <w:lang w:val="es-MX" w:eastAsia="en-GB"/>
        </w:rPr>
        <w:t xml:space="preserve">capacidad residual, </w:t>
      </w:r>
      <w:r w:rsidR="00F619A8">
        <w:rPr>
          <w:rFonts w:ascii="Century Gothic" w:eastAsia="Times New Roman" w:hAnsi="Century Gothic" w:cs="Arial"/>
          <w:color w:val="000000"/>
          <w:lang w:val="es-MX" w:eastAsia="en-GB"/>
        </w:rPr>
        <w:t>acreditaría por parte del proponente con el</w:t>
      </w:r>
      <w:r w:rsidRPr="005401EC">
        <w:rPr>
          <w:rFonts w:ascii="Century Gothic" w:eastAsia="Arial" w:hAnsi="Century Gothic" w:cs="Arial"/>
        </w:rPr>
        <w:t xml:space="preserve"> diligencia</w:t>
      </w:r>
      <w:r w:rsidR="00F619A8">
        <w:rPr>
          <w:rFonts w:ascii="Century Gothic" w:eastAsia="Arial" w:hAnsi="Century Gothic" w:cs="Arial"/>
        </w:rPr>
        <w:t>miento</w:t>
      </w:r>
      <w:r w:rsidRPr="005401EC">
        <w:rPr>
          <w:rFonts w:ascii="Century Gothic" w:eastAsia="Arial" w:hAnsi="Century Gothic" w:cs="Arial"/>
        </w:rPr>
        <w:t xml:space="preserve"> </w:t>
      </w:r>
      <w:r w:rsidR="00F619A8">
        <w:rPr>
          <w:rFonts w:ascii="Century Gothic" w:eastAsia="Arial" w:hAnsi="Century Gothic" w:cs="Arial"/>
        </w:rPr>
        <w:t>d</w:t>
      </w:r>
      <w:r w:rsidRPr="005401EC">
        <w:rPr>
          <w:rFonts w:ascii="Century Gothic" w:eastAsia="Arial" w:hAnsi="Century Gothic" w:cs="Arial"/>
        </w:rPr>
        <w:t xml:space="preserve">el Anexo 2 de la </w:t>
      </w:r>
      <w:r w:rsidR="00F619A8">
        <w:rPr>
          <w:rFonts w:ascii="Century Gothic" w:eastAsia="Arial" w:hAnsi="Century Gothic" w:cs="Arial"/>
        </w:rPr>
        <w:t>citada guía</w:t>
      </w:r>
      <w:r w:rsidR="00B320AE">
        <w:rPr>
          <w:rFonts w:ascii="Century Gothic" w:eastAsia="Arial" w:hAnsi="Century Gothic" w:cs="Arial"/>
        </w:rPr>
        <w:t>, el cual contiene la siguiente información:</w:t>
      </w:r>
    </w:p>
    <w:p w14:paraId="728F2865" w14:textId="7877ED02" w:rsidR="00B320AE" w:rsidRPr="005401EC" w:rsidRDefault="00B320AE" w:rsidP="00B320AE">
      <w:pPr>
        <w:spacing w:before="120" w:after="120" w:line="276" w:lineRule="auto"/>
        <w:jc w:val="both"/>
        <w:rPr>
          <w:rFonts w:ascii="Century Gothic" w:hAnsi="Century Gothic" w:cs="Arial"/>
          <w:szCs w:val="20"/>
        </w:rPr>
      </w:pPr>
      <w:r>
        <w:rPr>
          <w:noProof/>
        </w:rPr>
        <w:drawing>
          <wp:inline distT="0" distB="0" distL="0" distR="0" wp14:anchorId="2BCC5DFD" wp14:editId="4A3E2710">
            <wp:extent cx="5612130" cy="4986655"/>
            <wp:effectExtent l="0" t="0" r="7620" b="4445"/>
            <wp:docPr id="2042579104"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79104" name="Imagen 1" descr="Texto&#10;&#10;Descripción generada automáticamente con confianza baja"/>
                    <pic:cNvPicPr/>
                  </pic:nvPicPr>
                  <pic:blipFill>
                    <a:blip r:embed="rId13"/>
                    <a:stretch>
                      <a:fillRect/>
                    </a:stretch>
                  </pic:blipFill>
                  <pic:spPr>
                    <a:xfrm>
                      <a:off x="0" y="0"/>
                      <a:ext cx="5612130" cy="4986655"/>
                    </a:xfrm>
                    <a:prstGeom prst="rect">
                      <a:avLst/>
                    </a:prstGeom>
                  </pic:spPr>
                </pic:pic>
              </a:graphicData>
            </a:graphic>
          </wp:inline>
        </w:drawing>
      </w:r>
    </w:p>
    <w:p w14:paraId="729F2A5E" w14:textId="7C231779" w:rsidR="001112DD" w:rsidRDefault="00B320AE" w:rsidP="00B320AE">
      <w:pPr>
        <w:tabs>
          <w:tab w:val="left" w:pos="426"/>
        </w:tabs>
        <w:spacing w:after="0" w:line="276" w:lineRule="auto"/>
        <w:jc w:val="both"/>
        <w:rPr>
          <w:rFonts w:ascii="Century Gothic" w:hAnsi="Century Gothic" w:cs="Arial"/>
          <w:szCs w:val="20"/>
        </w:rPr>
      </w:pPr>
      <w:r>
        <w:rPr>
          <w:rFonts w:ascii="Century Gothic" w:hAnsi="Century Gothic" w:cs="Arial"/>
          <w:szCs w:val="20"/>
        </w:rPr>
        <w:tab/>
        <w:t>Como puede observarse, el anexo en mención solicita que el proponente identifique en el formato el nombre del s</w:t>
      </w:r>
      <w:r w:rsidR="00234411">
        <w:rPr>
          <w:rFonts w:ascii="Century Gothic" w:hAnsi="Century Gothic" w:cs="Arial"/>
          <w:szCs w:val="20"/>
        </w:rPr>
        <w:t>ocio o el profesional</w:t>
      </w:r>
      <w:r w:rsidR="00DB3663">
        <w:rPr>
          <w:rFonts w:ascii="Century Gothic" w:hAnsi="Century Gothic" w:cs="Arial"/>
          <w:szCs w:val="20"/>
        </w:rPr>
        <w:t xml:space="preserve">, </w:t>
      </w:r>
      <w:r w:rsidR="00DC3726">
        <w:rPr>
          <w:rFonts w:ascii="Century Gothic" w:hAnsi="Century Gothic" w:cs="Arial"/>
          <w:szCs w:val="20"/>
        </w:rPr>
        <w:t xml:space="preserve">y relacione su profesión, su </w:t>
      </w:r>
      <w:r w:rsidR="00044FBA">
        <w:rPr>
          <w:rFonts w:ascii="Century Gothic" w:hAnsi="Century Gothic" w:cs="Arial"/>
          <w:szCs w:val="20"/>
        </w:rPr>
        <w:t>respectivo</w:t>
      </w:r>
      <w:r w:rsidR="00DB3663">
        <w:rPr>
          <w:rFonts w:ascii="Century Gothic" w:hAnsi="Century Gothic" w:cs="Arial"/>
          <w:szCs w:val="20"/>
        </w:rPr>
        <w:t xml:space="preserve"> número de matrícula</w:t>
      </w:r>
      <w:r w:rsidR="00DC3726">
        <w:rPr>
          <w:rFonts w:ascii="Century Gothic" w:hAnsi="Century Gothic" w:cs="Arial"/>
          <w:szCs w:val="20"/>
        </w:rPr>
        <w:t xml:space="preserve"> profesional, el </w:t>
      </w:r>
      <w:r w:rsidR="00382009">
        <w:rPr>
          <w:rFonts w:ascii="Century Gothic" w:hAnsi="Century Gothic" w:cs="Arial"/>
          <w:szCs w:val="20"/>
        </w:rPr>
        <w:t>n</w:t>
      </w:r>
      <w:r w:rsidR="00044FBA">
        <w:rPr>
          <w:rFonts w:ascii="Century Gothic" w:hAnsi="Century Gothic" w:cs="Arial"/>
          <w:szCs w:val="20"/>
        </w:rPr>
        <w:t xml:space="preserve">úmero y año del </w:t>
      </w:r>
      <w:r w:rsidR="00DB3663">
        <w:rPr>
          <w:rFonts w:ascii="Century Gothic" w:hAnsi="Century Gothic" w:cs="Arial"/>
          <w:szCs w:val="20"/>
        </w:rPr>
        <w:t>contrato laboral o de prestación de servicios</w:t>
      </w:r>
      <w:r w:rsidR="00044FBA">
        <w:rPr>
          <w:rFonts w:ascii="Century Gothic" w:hAnsi="Century Gothic" w:cs="Arial"/>
          <w:szCs w:val="20"/>
        </w:rPr>
        <w:t xml:space="preserve"> profesionales y la vigencia </w:t>
      </w:r>
      <w:r w:rsidR="008A45EE">
        <w:rPr>
          <w:rFonts w:ascii="Century Gothic" w:hAnsi="Century Gothic" w:cs="Arial"/>
          <w:szCs w:val="20"/>
        </w:rPr>
        <w:t>de este</w:t>
      </w:r>
      <w:r w:rsidR="00044FBA">
        <w:rPr>
          <w:rFonts w:ascii="Century Gothic" w:hAnsi="Century Gothic" w:cs="Arial"/>
          <w:szCs w:val="20"/>
        </w:rPr>
        <w:t>.</w:t>
      </w:r>
      <w:r w:rsidR="00684AEE">
        <w:rPr>
          <w:rFonts w:ascii="Century Gothic" w:hAnsi="Century Gothic" w:cs="Arial"/>
          <w:szCs w:val="20"/>
        </w:rPr>
        <w:t xml:space="preserve"> </w:t>
      </w:r>
      <w:r w:rsidR="008A45EE">
        <w:rPr>
          <w:rFonts w:ascii="Century Gothic" w:hAnsi="Century Gothic" w:cs="Arial"/>
          <w:szCs w:val="20"/>
        </w:rPr>
        <w:t>Además,</w:t>
      </w:r>
      <w:r w:rsidR="00684AEE">
        <w:rPr>
          <w:rFonts w:ascii="Century Gothic" w:hAnsi="Century Gothic" w:cs="Arial"/>
          <w:szCs w:val="20"/>
        </w:rPr>
        <w:t xml:space="preserve"> indicó que</w:t>
      </w:r>
      <w:r w:rsidR="00044FBA">
        <w:rPr>
          <w:rFonts w:ascii="Century Gothic" w:hAnsi="Century Gothic" w:cs="Arial"/>
          <w:szCs w:val="20"/>
        </w:rPr>
        <w:t xml:space="preserve"> </w:t>
      </w:r>
      <w:r w:rsidR="00684AEE">
        <w:rPr>
          <w:rFonts w:ascii="Century Gothic" w:hAnsi="Century Gothic" w:cs="Arial"/>
          <w:szCs w:val="20"/>
        </w:rPr>
        <w:t>d</w:t>
      </w:r>
      <w:r w:rsidR="00044FBA">
        <w:rPr>
          <w:rFonts w:ascii="Century Gothic" w:hAnsi="Century Gothic" w:cs="Arial"/>
          <w:szCs w:val="20"/>
        </w:rPr>
        <w:t>icho formato debe</w:t>
      </w:r>
      <w:r w:rsidR="008A45EE">
        <w:rPr>
          <w:rFonts w:ascii="Century Gothic" w:hAnsi="Century Gothic" w:cs="Arial"/>
          <w:szCs w:val="20"/>
        </w:rPr>
        <w:t>rá</w:t>
      </w:r>
      <w:r w:rsidR="00044FBA">
        <w:rPr>
          <w:rFonts w:ascii="Century Gothic" w:hAnsi="Century Gothic" w:cs="Arial"/>
          <w:szCs w:val="20"/>
        </w:rPr>
        <w:t xml:space="preserve"> ser suscrito por el </w:t>
      </w:r>
      <w:r w:rsidR="00686D04">
        <w:rPr>
          <w:rFonts w:ascii="Century Gothic" w:hAnsi="Century Gothic" w:cs="Arial"/>
          <w:szCs w:val="20"/>
        </w:rPr>
        <w:t xml:space="preserve">representante legal del oferente y por el respectivo representante del auditor o </w:t>
      </w:r>
      <w:r w:rsidR="008A45EE">
        <w:rPr>
          <w:rFonts w:ascii="Century Gothic" w:hAnsi="Century Gothic" w:cs="Arial"/>
          <w:szCs w:val="20"/>
        </w:rPr>
        <w:t>revisor</w:t>
      </w:r>
      <w:r w:rsidR="00686D04">
        <w:rPr>
          <w:rFonts w:ascii="Century Gothic" w:hAnsi="Century Gothic" w:cs="Arial"/>
          <w:szCs w:val="20"/>
        </w:rPr>
        <w:t xml:space="preserve"> fiscal del proponente, en caso de serle obligatorio. </w:t>
      </w:r>
    </w:p>
    <w:p w14:paraId="19DA238B" w14:textId="4C1E8776" w:rsidR="001112DD" w:rsidRDefault="001112DD" w:rsidP="001112DD">
      <w:pPr>
        <w:tabs>
          <w:tab w:val="left" w:pos="426"/>
        </w:tabs>
        <w:spacing w:before="240" w:after="0" w:line="276" w:lineRule="auto"/>
        <w:jc w:val="both"/>
        <w:rPr>
          <w:rFonts w:ascii="Century Gothic" w:hAnsi="Century Gothic" w:cs="Arial"/>
          <w:szCs w:val="20"/>
        </w:rPr>
      </w:pPr>
      <w:r>
        <w:rPr>
          <w:rFonts w:ascii="Century Gothic" w:hAnsi="Century Gothic" w:cs="Arial"/>
          <w:szCs w:val="20"/>
        </w:rPr>
        <w:tab/>
        <w:t xml:space="preserve">Al respecto, se recuerda que conforme </w:t>
      </w:r>
      <w:r w:rsidR="00E1486A">
        <w:rPr>
          <w:rFonts w:ascii="Century Gothic" w:hAnsi="Century Gothic" w:cs="Arial"/>
          <w:szCs w:val="20"/>
        </w:rPr>
        <w:t>e</w:t>
      </w:r>
      <w:r w:rsidR="004D269F">
        <w:rPr>
          <w:rFonts w:ascii="Century Gothic" w:hAnsi="Century Gothic" w:cs="Arial"/>
          <w:szCs w:val="20"/>
        </w:rPr>
        <w:t>l artículo 203 del Código de Comercio</w:t>
      </w:r>
      <w:r w:rsidR="008F3B25">
        <w:rPr>
          <w:rFonts w:ascii="Century Gothic" w:hAnsi="Century Gothic" w:cs="Arial"/>
          <w:szCs w:val="20"/>
        </w:rPr>
        <w:t>,</w:t>
      </w:r>
      <w:r w:rsidR="004D269F">
        <w:rPr>
          <w:rFonts w:ascii="Century Gothic" w:hAnsi="Century Gothic" w:cs="Arial"/>
          <w:szCs w:val="20"/>
        </w:rPr>
        <w:t xml:space="preserve"> el</w:t>
      </w:r>
      <w:r w:rsidR="00144424">
        <w:rPr>
          <w:rFonts w:ascii="Century Gothic" w:hAnsi="Century Gothic" w:cs="Arial"/>
          <w:szCs w:val="20"/>
        </w:rPr>
        <w:t xml:space="preserve"> artículo 13 de la Ley 43 de 199</w:t>
      </w:r>
      <w:r w:rsidR="00E1486A">
        <w:rPr>
          <w:rFonts w:ascii="Century Gothic" w:hAnsi="Century Gothic" w:cs="Arial"/>
          <w:szCs w:val="20"/>
        </w:rPr>
        <w:t>0</w:t>
      </w:r>
      <w:r w:rsidR="008F3B25">
        <w:rPr>
          <w:rFonts w:ascii="Century Gothic" w:hAnsi="Century Gothic" w:cs="Arial"/>
          <w:szCs w:val="20"/>
        </w:rPr>
        <w:t xml:space="preserve"> y el artícu</w:t>
      </w:r>
      <w:r w:rsidR="003977E6">
        <w:rPr>
          <w:rFonts w:ascii="Century Gothic" w:hAnsi="Century Gothic" w:cs="Arial"/>
          <w:szCs w:val="20"/>
        </w:rPr>
        <w:t>lo 20 de la Ley 45 de 1990</w:t>
      </w:r>
      <w:r w:rsidR="00016BAE">
        <w:rPr>
          <w:rFonts w:ascii="Century Gothic" w:hAnsi="Century Gothic" w:cs="Arial"/>
          <w:szCs w:val="20"/>
        </w:rPr>
        <w:t xml:space="preserve"> las siguientes personas jurídicas se encuentran obligadas a </w:t>
      </w:r>
      <w:r w:rsidR="00D17062">
        <w:rPr>
          <w:rFonts w:ascii="Century Gothic" w:hAnsi="Century Gothic" w:cs="Arial"/>
          <w:szCs w:val="20"/>
        </w:rPr>
        <w:t xml:space="preserve">contar con esta modalidad de auditoria o revisor fiscal: </w:t>
      </w:r>
      <w:r w:rsidR="00314743">
        <w:rPr>
          <w:rFonts w:ascii="Century Gothic" w:hAnsi="Century Gothic" w:cs="Arial"/>
          <w:szCs w:val="20"/>
        </w:rPr>
        <w:t>(i) las sociedades por acciones</w:t>
      </w:r>
      <w:r w:rsidR="00E1486A">
        <w:rPr>
          <w:rFonts w:ascii="Century Gothic" w:hAnsi="Century Gothic" w:cs="Arial"/>
          <w:szCs w:val="20"/>
        </w:rPr>
        <w:t>; (</w:t>
      </w:r>
      <w:proofErr w:type="spellStart"/>
      <w:r w:rsidR="00E1486A">
        <w:rPr>
          <w:rFonts w:ascii="Century Gothic" w:hAnsi="Century Gothic" w:cs="Arial"/>
          <w:szCs w:val="20"/>
        </w:rPr>
        <w:t>ii</w:t>
      </w:r>
      <w:proofErr w:type="spellEnd"/>
      <w:r w:rsidR="00E1486A">
        <w:rPr>
          <w:rFonts w:ascii="Century Gothic" w:hAnsi="Century Gothic" w:cs="Arial"/>
          <w:szCs w:val="20"/>
        </w:rPr>
        <w:t>) las sucursales de compañías extrajeras; (</w:t>
      </w:r>
      <w:proofErr w:type="spellStart"/>
      <w:r w:rsidR="00E1486A">
        <w:rPr>
          <w:rFonts w:ascii="Century Gothic" w:hAnsi="Century Gothic" w:cs="Arial"/>
          <w:szCs w:val="20"/>
        </w:rPr>
        <w:t>iii</w:t>
      </w:r>
      <w:proofErr w:type="spellEnd"/>
      <w:r w:rsidR="00E1486A">
        <w:rPr>
          <w:rFonts w:ascii="Century Gothic" w:hAnsi="Century Gothic" w:cs="Arial"/>
          <w:szCs w:val="20"/>
        </w:rPr>
        <w:t>) las sociedades que voluntariamente lo dispongan en sus estatuto</w:t>
      </w:r>
      <w:r w:rsidR="003977E6">
        <w:rPr>
          <w:rFonts w:ascii="Century Gothic" w:hAnsi="Century Gothic" w:cs="Arial"/>
          <w:szCs w:val="20"/>
        </w:rPr>
        <w:t>s</w:t>
      </w:r>
      <w:r w:rsidR="0090564E">
        <w:rPr>
          <w:rFonts w:ascii="Century Gothic" w:hAnsi="Century Gothic" w:cs="Arial"/>
          <w:szCs w:val="20"/>
        </w:rPr>
        <w:t xml:space="preserve">; </w:t>
      </w:r>
      <w:r w:rsidR="00811E4A">
        <w:rPr>
          <w:rFonts w:ascii="Century Gothic" w:hAnsi="Century Gothic" w:cs="Arial"/>
          <w:szCs w:val="20"/>
        </w:rPr>
        <w:t>(</w:t>
      </w:r>
      <w:proofErr w:type="spellStart"/>
      <w:r w:rsidR="00811E4A">
        <w:rPr>
          <w:rFonts w:ascii="Century Gothic" w:hAnsi="Century Gothic" w:cs="Arial"/>
          <w:szCs w:val="20"/>
        </w:rPr>
        <w:t>iv</w:t>
      </w:r>
      <w:proofErr w:type="spellEnd"/>
      <w:r w:rsidR="00811E4A">
        <w:rPr>
          <w:rFonts w:ascii="Century Gothic" w:hAnsi="Century Gothic" w:cs="Arial"/>
          <w:szCs w:val="20"/>
        </w:rPr>
        <w:t xml:space="preserve">) las sociedades que por ley o por los estatutos, </w:t>
      </w:r>
      <w:r w:rsidR="00B21B5A">
        <w:rPr>
          <w:rFonts w:ascii="Century Gothic" w:hAnsi="Century Gothic" w:cs="Arial"/>
          <w:szCs w:val="20"/>
        </w:rPr>
        <w:t>dispongan que la administración no corresponde a todos los socios</w:t>
      </w:r>
      <w:r w:rsidR="008F3B25">
        <w:rPr>
          <w:rFonts w:ascii="Century Gothic" w:hAnsi="Century Gothic" w:cs="Arial"/>
          <w:szCs w:val="20"/>
        </w:rPr>
        <w:t xml:space="preserve"> en</w:t>
      </w:r>
      <w:r w:rsidR="00B21B5A">
        <w:rPr>
          <w:rFonts w:ascii="Century Gothic" w:hAnsi="Century Gothic" w:cs="Arial"/>
          <w:szCs w:val="20"/>
        </w:rPr>
        <w:t xml:space="preserve"> no menos d</w:t>
      </w:r>
      <w:r w:rsidR="00AB437A">
        <w:rPr>
          <w:rFonts w:ascii="Century Gothic" w:hAnsi="Century Gothic" w:cs="Arial"/>
          <w:szCs w:val="20"/>
        </w:rPr>
        <w:t>el 20</w:t>
      </w:r>
      <w:r w:rsidR="005F2702">
        <w:rPr>
          <w:rFonts w:ascii="Century Gothic" w:hAnsi="Century Gothic" w:cs="Arial"/>
          <w:szCs w:val="20"/>
        </w:rPr>
        <w:t xml:space="preserve"> </w:t>
      </w:r>
      <w:r w:rsidR="00AB437A">
        <w:rPr>
          <w:rFonts w:ascii="Century Gothic" w:hAnsi="Century Gothic" w:cs="Arial"/>
          <w:szCs w:val="20"/>
        </w:rPr>
        <w:t>% del capit</w:t>
      </w:r>
      <w:r w:rsidR="00245CE2">
        <w:rPr>
          <w:rFonts w:ascii="Century Gothic" w:hAnsi="Century Gothic" w:cs="Arial"/>
          <w:szCs w:val="20"/>
        </w:rPr>
        <w:t>al</w:t>
      </w:r>
      <w:r w:rsidR="00A6603B">
        <w:rPr>
          <w:rFonts w:ascii="Century Gothic" w:hAnsi="Century Gothic" w:cs="Arial"/>
          <w:szCs w:val="20"/>
        </w:rPr>
        <w:t>;</w:t>
      </w:r>
      <w:r w:rsidR="00E47043">
        <w:rPr>
          <w:rFonts w:ascii="Century Gothic" w:hAnsi="Century Gothic" w:cs="Arial"/>
          <w:szCs w:val="20"/>
        </w:rPr>
        <w:t xml:space="preserve"> </w:t>
      </w:r>
      <w:r w:rsidR="00AD6FCC">
        <w:rPr>
          <w:rFonts w:ascii="Century Gothic" w:hAnsi="Century Gothic" w:cs="Arial"/>
          <w:szCs w:val="20"/>
        </w:rPr>
        <w:t xml:space="preserve">(v)todas las sociedades </w:t>
      </w:r>
      <w:r w:rsidR="00BA2139">
        <w:rPr>
          <w:rFonts w:ascii="Century Gothic" w:hAnsi="Century Gothic" w:cs="Arial"/>
          <w:szCs w:val="20"/>
        </w:rPr>
        <w:t>comerciales</w:t>
      </w:r>
      <w:r w:rsidR="00AD6FCC">
        <w:rPr>
          <w:rFonts w:ascii="Century Gothic" w:hAnsi="Century Gothic" w:cs="Arial"/>
          <w:szCs w:val="20"/>
        </w:rPr>
        <w:t xml:space="preserve"> </w:t>
      </w:r>
      <w:r w:rsidR="00BA2139">
        <w:rPr>
          <w:rFonts w:ascii="Century Gothic" w:hAnsi="Century Gothic" w:cs="Arial"/>
          <w:szCs w:val="20"/>
        </w:rPr>
        <w:t>cuyos activos brutos e ingresos brutos correspondan a los topes determinados en el parágrafo 2 del artículo 13 de la Ley 473 de 1990</w:t>
      </w:r>
      <w:r w:rsidR="00E47043">
        <w:rPr>
          <w:rFonts w:ascii="Century Gothic" w:hAnsi="Century Gothic" w:cs="Arial"/>
          <w:szCs w:val="20"/>
        </w:rPr>
        <w:t>; (v</w:t>
      </w:r>
      <w:r w:rsidR="00521210">
        <w:rPr>
          <w:rFonts w:ascii="Century Gothic" w:hAnsi="Century Gothic" w:cs="Arial"/>
          <w:szCs w:val="20"/>
        </w:rPr>
        <w:t>i</w:t>
      </w:r>
      <w:r w:rsidR="00E47043">
        <w:rPr>
          <w:rFonts w:ascii="Century Gothic" w:hAnsi="Century Gothic" w:cs="Arial"/>
          <w:szCs w:val="20"/>
        </w:rPr>
        <w:t>)</w:t>
      </w:r>
      <w:r w:rsidR="009463BB">
        <w:rPr>
          <w:rFonts w:ascii="Century Gothic" w:hAnsi="Century Gothic" w:cs="Arial"/>
          <w:szCs w:val="20"/>
        </w:rPr>
        <w:t xml:space="preserve"> las entidades sujetas a vigilancia por parte de la </w:t>
      </w:r>
      <w:r w:rsidR="00295500">
        <w:rPr>
          <w:rFonts w:ascii="Century Gothic" w:hAnsi="Century Gothic" w:cs="Arial"/>
          <w:szCs w:val="20"/>
        </w:rPr>
        <w:t>s</w:t>
      </w:r>
      <w:r w:rsidR="009463BB">
        <w:rPr>
          <w:rFonts w:ascii="Century Gothic" w:hAnsi="Century Gothic" w:cs="Arial"/>
          <w:szCs w:val="20"/>
        </w:rPr>
        <w:t>uperintendencia de Salud</w:t>
      </w:r>
      <w:r w:rsidR="00295500">
        <w:rPr>
          <w:rFonts w:ascii="Century Gothic" w:hAnsi="Century Gothic" w:cs="Arial"/>
          <w:szCs w:val="20"/>
        </w:rPr>
        <w:t>; (</w:t>
      </w:r>
      <w:proofErr w:type="spellStart"/>
      <w:r w:rsidR="00295500">
        <w:rPr>
          <w:rFonts w:ascii="Century Gothic" w:hAnsi="Century Gothic" w:cs="Arial"/>
          <w:szCs w:val="20"/>
        </w:rPr>
        <w:t>vi</w:t>
      </w:r>
      <w:r w:rsidR="00521210">
        <w:rPr>
          <w:rFonts w:ascii="Century Gothic" w:hAnsi="Century Gothic" w:cs="Arial"/>
          <w:szCs w:val="20"/>
        </w:rPr>
        <w:t>i</w:t>
      </w:r>
      <w:proofErr w:type="spellEnd"/>
      <w:r w:rsidR="00295500">
        <w:rPr>
          <w:rFonts w:ascii="Century Gothic" w:hAnsi="Century Gothic" w:cs="Arial"/>
          <w:szCs w:val="20"/>
        </w:rPr>
        <w:t>) las entidades sujetas a control y vigilancia de la Superintendencia Financiera</w:t>
      </w:r>
      <w:r w:rsidR="002F4805">
        <w:rPr>
          <w:rFonts w:ascii="Century Gothic" w:hAnsi="Century Gothic" w:cs="Arial"/>
          <w:szCs w:val="20"/>
        </w:rPr>
        <w:t>; y (</w:t>
      </w:r>
      <w:proofErr w:type="spellStart"/>
      <w:r w:rsidR="002F4805">
        <w:rPr>
          <w:rFonts w:ascii="Century Gothic" w:hAnsi="Century Gothic" w:cs="Arial"/>
          <w:szCs w:val="20"/>
        </w:rPr>
        <w:t>viii</w:t>
      </w:r>
      <w:proofErr w:type="spellEnd"/>
      <w:r w:rsidR="002F4805">
        <w:rPr>
          <w:rFonts w:ascii="Century Gothic" w:hAnsi="Century Gothic" w:cs="Arial"/>
          <w:szCs w:val="20"/>
        </w:rPr>
        <w:t>) las entidades</w:t>
      </w:r>
      <w:r w:rsidR="00940636">
        <w:rPr>
          <w:rFonts w:ascii="Century Gothic" w:hAnsi="Century Gothic" w:cs="Arial"/>
          <w:szCs w:val="20"/>
        </w:rPr>
        <w:t xml:space="preserve"> del sector real</w:t>
      </w:r>
      <w:r w:rsidR="002F4805">
        <w:rPr>
          <w:rFonts w:ascii="Century Gothic" w:hAnsi="Century Gothic" w:cs="Arial"/>
          <w:szCs w:val="20"/>
        </w:rPr>
        <w:t xml:space="preserve"> sujetas a inspección de la </w:t>
      </w:r>
      <w:r w:rsidR="00125246">
        <w:rPr>
          <w:rFonts w:ascii="Century Gothic" w:hAnsi="Century Gothic" w:cs="Arial"/>
          <w:szCs w:val="20"/>
        </w:rPr>
        <w:t>Superintendencia de la Economía Solidaria</w:t>
      </w:r>
      <w:r w:rsidR="003405F6">
        <w:rPr>
          <w:rFonts w:ascii="Century Gothic" w:hAnsi="Century Gothic" w:cs="Arial"/>
          <w:szCs w:val="20"/>
        </w:rPr>
        <w:t>.</w:t>
      </w:r>
    </w:p>
    <w:p w14:paraId="29A61744" w14:textId="77777777" w:rsidR="008A45EE" w:rsidRPr="005401EC" w:rsidRDefault="008A45EE" w:rsidP="00B320AE">
      <w:pPr>
        <w:tabs>
          <w:tab w:val="left" w:pos="426"/>
        </w:tabs>
        <w:spacing w:after="0" w:line="276" w:lineRule="auto"/>
        <w:jc w:val="both"/>
        <w:rPr>
          <w:rFonts w:ascii="Century Gothic" w:hAnsi="Century Gothic" w:cs="Arial"/>
          <w:szCs w:val="20"/>
        </w:rPr>
      </w:pPr>
    </w:p>
    <w:p w14:paraId="2300BAF0" w14:textId="566AACA5" w:rsidR="00D65C4A" w:rsidRPr="00DD6EDE" w:rsidRDefault="005401EC" w:rsidP="00D65C4A">
      <w:pPr>
        <w:pStyle w:val="Textoindependiente"/>
        <w:spacing w:line="276" w:lineRule="auto"/>
        <w:jc w:val="both"/>
        <w:rPr>
          <w:rFonts w:ascii="Century Gothic" w:hAnsi="Century Gothic"/>
          <w:b/>
          <w:bCs/>
        </w:rPr>
      </w:pPr>
      <w:r w:rsidRPr="005401EC">
        <w:rPr>
          <w:rFonts w:ascii="Century Gothic" w:eastAsia="Calibri" w:hAnsi="Century Gothic"/>
          <w:b/>
          <w:bCs/>
          <w:color w:val="000000"/>
          <w:lang w:eastAsia="en-GB"/>
        </w:rPr>
        <w:t>2.</w:t>
      </w:r>
      <w:r w:rsidR="00637CB1">
        <w:rPr>
          <w:rFonts w:ascii="Century Gothic" w:eastAsia="Calibri" w:hAnsi="Century Gothic"/>
          <w:b/>
          <w:bCs/>
          <w:color w:val="000000"/>
          <w:lang w:eastAsia="en-GB"/>
        </w:rPr>
        <w:t>4</w:t>
      </w:r>
      <w:r w:rsidRPr="005401EC">
        <w:rPr>
          <w:rFonts w:ascii="Century Gothic" w:eastAsia="Calibri" w:hAnsi="Century Gothic"/>
          <w:b/>
          <w:bCs/>
          <w:color w:val="000000"/>
          <w:lang w:eastAsia="en-GB"/>
        </w:rPr>
        <w:t>.</w:t>
      </w:r>
      <w:r w:rsidRPr="005401EC">
        <w:rPr>
          <w:rFonts w:ascii="Century Gothic" w:hAnsi="Century Gothic"/>
          <w:b/>
          <w:bCs/>
        </w:rPr>
        <w:t xml:space="preserve"> </w:t>
      </w:r>
      <w:bookmarkEnd w:id="3"/>
      <w:r w:rsidR="00D65C4A" w:rsidRPr="00DD6EDE">
        <w:rPr>
          <w:rFonts w:ascii="Century Gothic" w:eastAsia="Times New Roman" w:hAnsi="Century Gothic"/>
          <w:b/>
          <w:bCs/>
          <w:color w:val="000000"/>
          <w:szCs w:val="24"/>
          <w:lang w:eastAsia="es-ES_tradnl"/>
        </w:rPr>
        <w:t>El plazo para presentar y resolver observaciones</w:t>
      </w:r>
    </w:p>
    <w:p w14:paraId="6E105157" w14:textId="77777777" w:rsidR="00D65C4A" w:rsidRPr="00DD6EDE" w:rsidRDefault="00D65C4A" w:rsidP="00D65C4A">
      <w:pPr>
        <w:pStyle w:val="Textoindependiente"/>
        <w:spacing w:line="276" w:lineRule="auto"/>
        <w:ind w:left="360"/>
        <w:jc w:val="both"/>
        <w:rPr>
          <w:rFonts w:ascii="Century Gothic" w:hAnsi="Century Gothic"/>
          <w:b/>
          <w:bCs/>
        </w:rPr>
      </w:pPr>
    </w:p>
    <w:p w14:paraId="030D73BD" w14:textId="77777777" w:rsidR="00D65C4A" w:rsidRPr="00205F92" w:rsidRDefault="00D65C4A" w:rsidP="00D65C4A">
      <w:pPr>
        <w:spacing w:after="120" w:line="276" w:lineRule="auto"/>
        <w:jc w:val="both"/>
        <w:rPr>
          <w:rFonts w:ascii="Century Gothic" w:eastAsia="Calibri" w:hAnsi="Century Gothic" w:cs="Arial"/>
          <w:color w:val="000000" w:themeColor="text1"/>
        </w:rPr>
      </w:pPr>
      <w:r w:rsidRPr="00205F92">
        <w:rPr>
          <w:rFonts w:ascii="Century Gothic" w:eastAsia="Calibri" w:hAnsi="Century Gothic" w:cs="Arial"/>
          <w:color w:val="000000" w:themeColor="text1"/>
        </w:rPr>
        <w:t>El artículo 23 de la Ley 80 de 1993 regula los principios aplicables a las actuaciones contractuales adelantadas por las entidades estatales</w:t>
      </w:r>
      <w:r w:rsidRPr="00910B9D">
        <w:rPr>
          <w:rStyle w:val="Refdenotaalpie"/>
          <w:rFonts w:ascii="Century Gothic" w:eastAsia="Calibri" w:hAnsi="Century Gothic" w:cs="Arial"/>
          <w:color w:val="000000" w:themeColor="text1"/>
        </w:rPr>
        <w:footnoteReference w:id="9"/>
      </w:r>
      <w:r w:rsidRPr="00205F92">
        <w:rPr>
          <w:rFonts w:ascii="Century Gothic" w:eastAsia="Calibri" w:hAnsi="Century Gothic" w:cs="Arial"/>
          <w:color w:val="000000" w:themeColor="text1"/>
        </w:rPr>
        <w:t>. Entre otros, allí se estableció el principio de transparencia de la actividad contractual, objeto de regulación expresa en el artículo 24 del citado cuerpo normativo. Este principio guarda estrecha relación con el de publicidad, que rige el ejercicio de la función administrativa, según el artículo 209 constitucional. Por eso en los numerales 2º y 3º del citado artículo 24 se estableció la facultad de los interesados para realizar y/o presentar observaciones, como un mecanismo para controvertir algunas de las decisiones adoptadas por las entidades estatales en el marco de sus actuaciones públicas, en particular en los procesos contractuales, así:</w:t>
      </w:r>
    </w:p>
    <w:p w14:paraId="324D72A1" w14:textId="77777777" w:rsidR="00D65C4A" w:rsidRPr="00910B9D" w:rsidRDefault="00D65C4A" w:rsidP="00D65C4A">
      <w:pPr>
        <w:pStyle w:val="Prrafodelista"/>
        <w:ind w:left="463" w:right="709"/>
        <w:jc w:val="both"/>
        <w:rPr>
          <w:rFonts w:ascii="Century Gothic" w:eastAsia="Calibri" w:hAnsi="Century Gothic" w:cs="Arial"/>
          <w:sz w:val="21"/>
          <w:szCs w:val="21"/>
        </w:rPr>
      </w:pPr>
      <w:r>
        <w:rPr>
          <w:rFonts w:ascii="Century Gothic" w:hAnsi="Century Gothic" w:cs="Arial"/>
          <w:sz w:val="21"/>
          <w:szCs w:val="21"/>
        </w:rPr>
        <w:t>“</w:t>
      </w:r>
      <w:r w:rsidRPr="00910B9D">
        <w:rPr>
          <w:rFonts w:ascii="Century Gothic" w:eastAsia="Calibri" w:hAnsi="Century Gothic" w:cs="Arial"/>
          <w:sz w:val="21"/>
          <w:szCs w:val="21"/>
        </w:rPr>
        <w:t>Artículo 24. Del principio de transparencia. En virtud de este principio:</w:t>
      </w:r>
    </w:p>
    <w:p w14:paraId="6033581D" w14:textId="77777777" w:rsidR="00D65C4A" w:rsidRPr="00910B9D" w:rsidRDefault="00D65C4A" w:rsidP="00D65C4A">
      <w:pPr>
        <w:pStyle w:val="Prrafodelista"/>
        <w:spacing w:after="120"/>
        <w:ind w:left="463" w:right="709"/>
        <w:jc w:val="both"/>
        <w:rPr>
          <w:rFonts w:ascii="Century Gothic" w:eastAsia="Calibri" w:hAnsi="Century Gothic" w:cs="Arial"/>
          <w:sz w:val="21"/>
          <w:szCs w:val="21"/>
        </w:rPr>
      </w:pPr>
      <w:r w:rsidRPr="00910B9D">
        <w:rPr>
          <w:rFonts w:ascii="Century Gothic" w:eastAsia="Calibri" w:hAnsi="Century Gothic" w:cs="Arial"/>
          <w:sz w:val="21"/>
          <w:szCs w:val="21"/>
        </w:rPr>
        <w:t>[…]</w:t>
      </w:r>
    </w:p>
    <w:p w14:paraId="2CC83145" w14:textId="77777777" w:rsidR="00D65C4A" w:rsidRPr="00910B9D" w:rsidRDefault="00D65C4A" w:rsidP="00D65C4A">
      <w:pPr>
        <w:pStyle w:val="Prrafodelista"/>
        <w:spacing w:after="120"/>
        <w:ind w:left="463" w:right="709"/>
        <w:jc w:val="both"/>
        <w:rPr>
          <w:rFonts w:ascii="Century Gothic" w:eastAsia="Calibri" w:hAnsi="Century Gothic" w:cs="Arial"/>
          <w:sz w:val="21"/>
          <w:szCs w:val="21"/>
        </w:rPr>
      </w:pPr>
      <w:r w:rsidRPr="00910B9D">
        <w:rPr>
          <w:rFonts w:ascii="Century Gothic" w:eastAsia="Calibri" w:hAnsi="Century Gothic" w:cs="Arial"/>
          <w:sz w:val="21"/>
          <w:szCs w:val="21"/>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1716EAA7" w14:textId="77777777" w:rsidR="00D65C4A" w:rsidRPr="00910B9D" w:rsidRDefault="00D65C4A" w:rsidP="00D65C4A">
      <w:pPr>
        <w:pStyle w:val="Prrafodelista"/>
        <w:ind w:left="463" w:right="709"/>
        <w:jc w:val="both"/>
        <w:rPr>
          <w:rFonts w:ascii="Century Gothic" w:eastAsia="Calibri" w:hAnsi="Century Gothic" w:cs="Arial"/>
        </w:rPr>
      </w:pPr>
      <w:r w:rsidRPr="00910B9D">
        <w:rPr>
          <w:rFonts w:ascii="Century Gothic" w:eastAsia="Calibri" w:hAnsi="Century Gothic" w:cs="Arial"/>
          <w:sz w:val="21"/>
          <w:szCs w:val="21"/>
        </w:rPr>
        <w:t>3o. Las actuaciones de las autoridades serán públicas y los expedientes que las contengan estarán abiertos al público, permitiendo en el caso de licitación el ejercicio del derecho de que trata el artículo 273 de la Constitución Política.</w:t>
      </w:r>
      <w:r>
        <w:rPr>
          <w:rFonts w:ascii="Century Gothic" w:eastAsia="Calibri" w:hAnsi="Century Gothic" w:cs="Arial"/>
          <w:sz w:val="21"/>
          <w:szCs w:val="21"/>
        </w:rPr>
        <w:t>”</w:t>
      </w:r>
    </w:p>
    <w:p w14:paraId="33BDE221" w14:textId="77777777" w:rsidR="00D65C4A" w:rsidRPr="00A50145" w:rsidRDefault="00D65C4A" w:rsidP="00D65C4A">
      <w:pPr>
        <w:spacing w:after="120" w:line="276" w:lineRule="auto"/>
        <w:ind w:firstLine="463"/>
        <w:jc w:val="both"/>
        <w:rPr>
          <w:rFonts w:ascii="Century Gothic" w:hAnsi="Century Gothic" w:cs="Arial"/>
          <w:color w:val="000000" w:themeColor="text1"/>
        </w:rPr>
      </w:pPr>
      <w:r w:rsidRPr="00A50145">
        <w:rPr>
          <w:rFonts w:ascii="Century Gothic" w:hAnsi="Century Gothic" w:cs="Arial"/>
          <w:color w:val="000000" w:themeColor="text1"/>
        </w:rPr>
        <w:t xml:space="preserve">En desarrollo del principio de transparencia, el artículo 30 de la Ley 80 de 1993 que regula la estructura de los procedimientos de selección del contratista, estableció ciertas reglas en el inciso final del numeral </w:t>
      </w:r>
      <w:r w:rsidRPr="00A50145">
        <w:rPr>
          <w:rFonts w:ascii="Century Gothic" w:hAnsi="Century Gothic" w:cs="Arial"/>
        </w:rPr>
        <w:t>4º</w:t>
      </w:r>
      <w:r w:rsidRPr="00A50145">
        <w:rPr>
          <w:rFonts w:ascii="Century Gothic" w:hAnsi="Century Gothic" w:cs="Arial"/>
          <w:color w:val="000000" w:themeColor="text1"/>
        </w:rPr>
        <w:t xml:space="preserve">, relacionadas con la </w:t>
      </w:r>
      <w:r w:rsidRPr="00A50145">
        <w:rPr>
          <w:rFonts w:ascii="Century Gothic" w:hAnsi="Century Gothic" w:cs="Arial"/>
        </w:rPr>
        <w:t>audiencia para precisar el contenido y alcance de los pliegos de condiciones y asignación de riesgos. De esta manera</w:t>
      </w:r>
      <w:r w:rsidRPr="00A50145">
        <w:rPr>
          <w:rFonts w:ascii="Century Gothic" w:hAnsi="Century Gothic" w:cs="Arial"/>
          <w:color w:val="000000" w:themeColor="text1"/>
        </w:rPr>
        <w:t xml:space="preserve">, se señaló que como resultado de lo debatido en la audiencia se realizarán las modificaciones a que haya lugar frente a los pliegos de condiciones, circunstancia que </w:t>
      </w:r>
      <w:r w:rsidRPr="00A50145">
        <w:rPr>
          <w:rFonts w:ascii="Century Gothic" w:hAnsi="Century Gothic" w:cs="Arial"/>
          <w:i/>
          <w:iCs/>
        </w:rPr>
        <w:t xml:space="preserve">“[…] no impide </w:t>
      </w:r>
      <w:proofErr w:type="gramStart"/>
      <w:r w:rsidRPr="00A50145">
        <w:rPr>
          <w:rFonts w:ascii="Century Gothic" w:hAnsi="Century Gothic" w:cs="Arial"/>
          <w:i/>
          <w:iCs/>
        </w:rPr>
        <w:t>que</w:t>
      </w:r>
      <w:proofErr w:type="gramEnd"/>
      <w:r w:rsidRPr="00A50145">
        <w:rPr>
          <w:rFonts w:ascii="Century Gothic" w:hAnsi="Century Gothic" w:cs="Arial"/>
          <w:i/>
          <w:iCs/>
        </w:rPr>
        <w:t xml:space="preserve"> dentro del plazo de la licitación, cualquier interesado pueda solicitar aclaraciones adicionales que la entidad contratante responderá mediante comunicación escrita, la cual remitirá al interesado y publicará en el SECOP para conocimiento público”</w:t>
      </w:r>
      <w:r w:rsidRPr="00A50145">
        <w:rPr>
          <w:rFonts w:ascii="Century Gothic" w:hAnsi="Century Gothic" w:cs="Arial"/>
        </w:rPr>
        <w:t>. De otro lado, el numeral 8º del mismo artículo, respecto de los informes de evaluación de las propuestas, estableció que los mismos “[…] permanecerán en la secretaría de la entidad por un término de cinco (5) días hábiles para que los oferentes presenten las observaciones que estimen pertinentes. […]”.</w:t>
      </w:r>
    </w:p>
    <w:p w14:paraId="1698ED06" w14:textId="77777777" w:rsidR="00D65C4A" w:rsidRPr="00A50145" w:rsidRDefault="00D65C4A" w:rsidP="00D65C4A">
      <w:pPr>
        <w:spacing w:before="120" w:line="276" w:lineRule="auto"/>
        <w:ind w:firstLine="708"/>
        <w:jc w:val="both"/>
        <w:rPr>
          <w:rFonts w:ascii="Century Gothic" w:hAnsi="Century Gothic" w:cs="Arial"/>
          <w:color w:val="000000" w:themeColor="text1"/>
        </w:rPr>
      </w:pPr>
      <w:r w:rsidRPr="00A50145">
        <w:rPr>
          <w:rFonts w:ascii="Century Gothic" w:hAnsi="Century Gothic" w:cs="Arial"/>
          <w:color w:val="000000" w:themeColor="text1"/>
        </w:rPr>
        <w:t>Las disposiciones del ordenamiento jurídico mencionadas fueron objeto de desarrollo en el Decreto 1082 de 2015; cuerpo normativo de carácter reglamentario en el cual se establecieron, en principio, los plazos dentro de los cuales los interesados podrán realizar observaciones en la actuaciones adelantadas a instancia de las entidades estatales en sus procesos de contratación, plazos que podrán ser ampliados, mas no restringidos por aquellas, dependiendo de la modalidad o mecanismo de selección del contratista usado en el respectivo procedimiento contractual. En cuanto a la importancia del principio de transparencia, que rige las actuaciones contractuales de las entidades estatales, la Sección Tercera del Consejo de Estado señaló</w:t>
      </w:r>
      <w:r w:rsidRPr="00910B9D">
        <w:rPr>
          <w:rStyle w:val="Refdenotaalpie"/>
          <w:rFonts w:ascii="Century Gothic" w:hAnsi="Century Gothic" w:cs="Arial"/>
          <w:color w:val="000000" w:themeColor="text1"/>
        </w:rPr>
        <w:footnoteReference w:id="10"/>
      </w:r>
      <w:r w:rsidRPr="00A50145">
        <w:rPr>
          <w:rFonts w:ascii="Century Gothic" w:hAnsi="Century Gothic" w:cs="Arial"/>
          <w:color w:val="000000" w:themeColor="text1"/>
        </w:rPr>
        <w:t>:</w:t>
      </w:r>
    </w:p>
    <w:p w14:paraId="03C9BB47" w14:textId="77777777" w:rsidR="00D65C4A" w:rsidRPr="00910B9D" w:rsidRDefault="00D65C4A" w:rsidP="00D65C4A">
      <w:pPr>
        <w:pStyle w:val="Prrafodelista"/>
        <w:ind w:left="463"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 xml:space="preserve">El principio de transparencia persigue la garantía </w:t>
      </w:r>
      <w:proofErr w:type="gramStart"/>
      <w:r w:rsidRPr="00910B9D">
        <w:rPr>
          <w:rFonts w:ascii="Century Gothic" w:hAnsi="Century Gothic" w:cs="Arial"/>
          <w:color w:val="000000" w:themeColor="text1"/>
          <w:sz w:val="21"/>
          <w:szCs w:val="21"/>
        </w:rPr>
        <w:t>que</w:t>
      </w:r>
      <w:proofErr w:type="gramEnd"/>
      <w:r w:rsidRPr="00910B9D">
        <w:rPr>
          <w:rFonts w:ascii="Century Gothic" w:hAnsi="Century Gothic" w:cs="Arial"/>
          <w:color w:val="000000" w:themeColor="text1"/>
          <w:sz w:val="21"/>
          <w:szCs w:val="21"/>
        </w:rPr>
        <w:t xml:space="preserv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6D2239D4" w14:textId="77777777" w:rsidR="00D65C4A" w:rsidRPr="00910B9D" w:rsidRDefault="00D65C4A" w:rsidP="00D65C4A">
      <w:pPr>
        <w:pStyle w:val="Prrafodelista"/>
        <w:ind w:left="463" w:right="709"/>
        <w:jc w:val="both"/>
        <w:rPr>
          <w:rFonts w:ascii="Century Gothic" w:hAnsi="Century Gothic" w:cs="Arial"/>
          <w:color w:val="000000" w:themeColor="text1"/>
          <w:sz w:val="21"/>
          <w:szCs w:val="21"/>
        </w:rPr>
      </w:pPr>
    </w:p>
    <w:p w14:paraId="55116C35" w14:textId="77777777" w:rsidR="00D65C4A" w:rsidRPr="00910B9D" w:rsidRDefault="00D65C4A" w:rsidP="00D65C4A">
      <w:pPr>
        <w:pStyle w:val="Prrafodelista"/>
        <w:ind w:left="463" w:right="709"/>
        <w:jc w:val="both"/>
        <w:rPr>
          <w:rFonts w:ascii="Century Gothic" w:hAnsi="Century Gothic" w:cs="Arial"/>
          <w:color w:val="000000" w:themeColor="text1"/>
          <w:sz w:val="21"/>
          <w:szCs w:val="21"/>
        </w:rPr>
      </w:pPr>
      <w:r w:rsidRPr="00910B9D">
        <w:rPr>
          <w:rFonts w:ascii="Century Gothic" w:hAnsi="Century Gothic" w:cs="Arial"/>
          <w:color w:val="000000" w:themeColor="text1"/>
          <w:sz w:val="21"/>
          <w:szCs w:val="21"/>
        </w:rPr>
        <w:t>En palabras de la Corte Suprema de Justicia:</w:t>
      </w:r>
    </w:p>
    <w:p w14:paraId="18710034" w14:textId="77777777" w:rsidR="00D65C4A" w:rsidRPr="00910B9D" w:rsidRDefault="00D65C4A" w:rsidP="00D65C4A">
      <w:pPr>
        <w:pStyle w:val="Prrafodelista"/>
        <w:ind w:left="463" w:right="709"/>
        <w:jc w:val="both"/>
        <w:rPr>
          <w:rFonts w:ascii="Century Gothic" w:hAnsi="Century Gothic" w:cs="Arial"/>
          <w:color w:val="000000" w:themeColor="text1"/>
          <w:sz w:val="21"/>
          <w:szCs w:val="21"/>
        </w:rPr>
      </w:pPr>
    </w:p>
    <w:p w14:paraId="4221814A" w14:textId="77777777" w:rsidR="00D65C4A" w:rsidRPr="00910B9D" w:rsidRDefault="00D65C4A" w:rsidP="00D65C4A">
      <w:pPr>
        <w:pStyle w:val="Prrafodelista"/>
        <w:ind w:left="463"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 xml:space="preserve">. </w:t>
      </w:r>
    </w:p>
    <w:p w14:paraId="1A69C8C7" w14:textId="77777777" w:rsidR="00D65C4A" w:rsidRPr="00613EAB" w:rsidRDefault="00D65C4A" w:rsidP="00D65C4A">
      <w:pPr>
        <w:ind w:firstLine="463"/>
        <w:jc w:val="both"/>
        <w:rPr>
          <w:rFonts w:ascii="Century Gothic" w:hAnsi="Century Gothic" w:cs="Arial"/>
          <w:color w:val="000000" w:themeColor="text1"/>
        </w:rPr>
      </w:pPr>
      <w:r w:rsidRPr="00613EAB">
        <w:rPr>
          <w:rFonts w:ascii="Century Gothic" w:hAnsi="Century Gothic" w:cs="Arial"/>
          <w:color w:val="000000" w:themeColor="text1"/>
        </w:rPr>
        <w:t xml:space="preserve">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  </w:t>
      </w:r>
    </w:p>
    <w:p w14:paraId="67484C6A" w14:textId="77777777" w:rsidR="00D65C4A" w:rsidRPr="00A50145" w:rsidRDefault="00D65C4A" w:rsidP="00D65C4A">
      <w:pPr>
        <w:spacing w:line="276" w:lineRule="auto"/>
        <w:ind w:firstLine="463"/>
        <w:jc w:val="both"/>
        <w:rPr>
          <w:rFonts w:ascii="Century Gothic" w:hAnsi="Century Gothic" w:cs="Arial"/>
          <w:color w:val="000000" w:themeColor="text1"/>
        </w:rPr>
      </w:pPr>
      <w:r w:rsidRPr="00A50145">
        <w:rPr>
          <w:rFonts w:ascii="Century Gothic" w:hAnsi="Century Gothic" w:cs="Arial"/>
          <w:color w:val="000000" w:themeColor="text1"/>
        </w:rPr>
        <w:t>Conforme a lo expuesto, en virtud del principio de transparencia se garantiza la participación tanto de los interesados como de la ciudadanía en general</w:t>
      </w:r>
      <w:r w:rsidRPr="00910B9D">
        <w:rPr>
          <w:rStyle w:val="Refdenotaalpie"/>
          <w:rFonts w:ascii="Century Gothic" w:hAnsi="Century Gothic" w:cs="Arial"/>
          <w:color w:val="000000" w:themeColor="text1"/>
        </w:rPr>
        <w:footnoteReference w:id="11"/>
      </w:r>
      <w:r w:rsidRPr="00A50145">
        <w:rPr>
          <w:rFonts w:ascii="Century Gothic" w:hAnsi="Century Gothic" w:cs="Arial"/>
          <w:color w:val="000000" w:themeColor="text1"/>
        </w:rPr>
        <w:t>, en las actuaciones contractuales adelantadas por las entidades estatales, participación que se materializa en la oportunidad que se concede a aquellos para presentar observaciones en las distintas etapas o fases del proceso que culmina con la celebración del contrato estatal.</w:t>
      </w:r>
    </w:p>
    <w:p w14:paraId="5BA85B58" w14:textId="77777777" w:rsidR="00D65C4A" w:rsidRPr="00910B9D" w:rsidRDefault="00D65C4A" w:rsidP="00D65C4A">
      <w:pPr>
        <w:spacing w:after="120" w:line="276" w:lineRule="auto"/>
        <w:ind w:firstLine="463"/>
        <w:jc w:val="both"/>
        <w:rPr>
          <w:rFonts w:ascii="Century Gothic" w:hAnsi="Century Gothic"/>
        </w:rPr>
      </w:pPr>
      <w:r w:rsidRPr="00A50145">
        <w:rPr>
          <w:rFonts w:ascii="Century Gothic" w:hAnsi="Century Gothic" w:cs="Arial"/>
          <w:color w:val="000000" w:themeColor="text1"/>
        </w:rPr>
        <w:t>Con el fin de responder a su pregunta, se deben distinguir las etapas o fases del proceso contractual, a efectos de establecer el término o plazo para presentar observaciones por parte de los interesados y el plazo para responderlas por parte de las entidades estatales</w:t>
      </w:r>
      <w:r>
        <w:rPr>
          <w:rFonts w:ascii="Century Gothic" w:hAnsi="Century Gothic" w:cs="Arial"/>
          <w:color w:val="000000" w:themeColor="text1"/>
        </w:rPr>
        <w:t>. Para ello, es necesario analizar el procedimiento de selección de l</w:t>
      </w:r>
      <w:r w:rsidRPr="00A50145">
        <w:rPr>
          <w:rFonts w:ascii="Century Gothic" w:hAnsi="Century Gothic"/>
        </w:rPr>
        <w:t>a licitación pública</w:t>
      </w:r>
      <w:r w:rsidRPr="00A50145">
        <w:rPr>
          <w:rStyle w:val="Refdenotaalpie"/>
          <w:rFonts w:ascii="Century Gothic" w:hAnsi="Century Gothic"/>
        </w:rPr>
        <w:footnoteReference w:id="12"/>
      </w:r>
      <w:r w:rsidRPr="00A50145">
        <w:rPr>
          <w:rFonts w:ascii="Century Gothic" w:hAnsi="Century Gothic"/>
        </w:rPr>
        <w:t>, procedimiento de selección que se estableció como regla general en el Estatuto</w:t>
      </w:r>
      <w:r w:rsidRPr="00910B9D">
        <w:rPr>
          <w:rFonts w:ascii="Century Gothic" w:hAnsi="Century Gothic"/>
        </w:rPr>
        <w:t xml:space="preserve"> General de la Contratación Estatal para la escogencia del contratista y en el que sus etapas se desarrollan mediante convocatoria pública en igualdad de condiciones, con libre concurrencia y orientadas a seleccionar objetivamente la oferta de bienes, obras o servicios más favorable para la entidad. Esta modalidad de selección se encuentra reglada por el artículo 30 de la Ley 80 de 1993, además de lo dispuesto en los artículos 2 y 5 de la Ley 1150 de 2007.</w:t>
      </w:r>
    </w:p>
    <w:p w14:paraId="64C51AD4" w14:textId="77777777" w:rsidR="00D65C4A" w:rsidRPr="00910B9D" w:rsidRDefault="00D65C4A" w:rsidP="00D65C4A">
      <w:pPr>
        <w:pStyle w:val="Textoindependiente"/>
        <w:spacing w:before="93" w:after="240" w:line="276" w:lineRule="auto"/>
        <w:ind w:right="113" w:firstLine="708"/>
        <w:jc w:val="both"/>
        <w:rPr>
          <w:rFonts w:ascii="Century Gothic" w:hAnsi="Century Gothic"/>
        </w:rPr>
      </w:pPr>
      <w:r>
        <w:rPr>
          <w:rFonts w:ascii="Century Gothic" w:hAnsi="Century Gothic"/>
        </w:rPr>
        <w:t xml:space="preserve">El </w:t>
      </w:r>
      <w:r w:rsidRPr="00910B9D">
        <w:rPr>
          <w:rFonts w:ascii="Century Gothic" w:hAnsi="Century Gothic"/>
        </w:rPr>
        <w:t>artículo 1° de la Ley 1882 de 2018 adicionó dos parágrafos al artículo 30 de la Ley 80 de 1993 en el siguiente sentido:</w:t>
      </w:r>
    </w:p>
    <w:p w14:paraId="78A32B60" w14:textId="77777777" w:rsidR="00D65C4A" w:rsidRPr="00910B9D" w:rsidRDefault="00D65C4A" w:rsidP="00D65C4A">
      <w:pPr>
        <w:pStyle w:val="Textoindependiente"/>
        <w:spacing w:after="240"/>
        <w:ind w:left="709" w:right="709"/>
        <w:rPr>
          <w:rFonts w:ascii="Century Gothic" w:hAnsi="Century Gothic"/>
          <w:sz w:val="21"/>
          <w:szCs w:val="21"/>
        </w:rPr>
      </w:pPr>
      <w:r w:rsidRPr="00910B9D">
        <w:rPr>
          <w:rFonts w:ascii="Century Gothic" w:hAnsi="Century Gothic"/>
          <w:sz w:val="21"/>
          <w:szCs w:val="21"/>
        </w:rPr>
        <w:t>“Artículo 1. Adiciónense los parágrafos 2° y 3° del artículo 30 de la Ley 80 de 1993:</w:t>
      </w:r>
    </w:p>
    <w:p w14:paraId="26C40573" w14:textId="77777777" w:rsidR="00D65C4A" w:rsidRPr="00910B9D" w:rsidRDefault="00D65C4A" w:rsidP="00D65C4A">
      <w:pPr>
        <w:pStyle w:val="Textoindependiente"/>
        <w:ind w:left="709" w:right="709"/>
        <w:rPr>
          <w:rFonts w:ascii="Century Gothic" w:hAnsi="Century Gothic"/>
          <w:sz w:val="21"/>
          <w:szCs w:val="21"/>
        </w:rPr>
      </w:pPr>
      <w:r w:rsidRPr="00910B9D">
        <w:rPr>
          <w:rFonts w:ascii="Century Gothic" w:hAnsi="Century Gothic"/>
          <w:sz w:val="21"/>
          <w:szCs w:val="21"/>
        </w:rPr>
        <w:t>(…)</w:t>
      </w:r>
    </w:p>
    <w:p w14:paraId="4911E51E" w14:textId="77777777" w:rsidR="00D65C4A" w:rsidRPr="00910B9D" w:rsidRDefault="00D65C4A" w:rsidP="00D65C4A">
      <w:pPr>
        <w:pStyle w:val="Textoindependiente"/>
        <w:ind w:left="709" w:right="709"/>
        <w:jc w:val="both"/>
        <w:rPr>
          <w:rFonts w:ascii="Century Gothic" w:hAnsi="Century Gothic"/>
          <w:sz w:val="21"/>
          <w:szCs w:val="21"/>
        </w:rPr>
      </w:pPr>
      <w:r w:rsidRPr="00910B9D">
        <w:rPr>
          <w:rFonts w:ascii="Century Gothic" w:hAnsi="Century Gothic"/>
          <w:sz w:val="21"/>
          <w:szCs w:val="21"/>
        </w:rPr>
        <w:t xml:space="preserve">Parágrafo 2°. En los procesos de licitación pública para seleccionar contratistas de obra, </w:t>
      </w:r>
      <w:r w:rsidRPr="00910B9D">
        <w:rPr>
          <w:rFonts w:ascii="Century Gothic" w:hAnsi="Century Gothic"/>
          <w:i/>
          <w:iCs/>
          <w:sz w:val="21"/>
          <w:szCs w:val="21"/>
        </w:rPr>
        <w:t>la oferta estará conformada por dos sobres</w:t>
      </w:r>
      <w:r w:rsidRPr="00910B9D">
        <w:rPr>
          <w:rFonts w:ascii="Century Gothic" w:hAnsi="Century Gothic"/>
          <w:sz w:val="21"/>
          <w:szCs w:val="21"/>
        </w:rPr>
        <w:t>, un primer sobre en el cual se deberán incluir los documentos relacionados con el cumplimiento de los requisitos habilitantes, así como los requisitos y documentos a los que se les asigne puntaje diferentes a la oferta económica.</w:t>
      </w:r>
    </w:p>
    <w:p w14:paraId="4E8F8FA8" w14:textId="77777777" w:rsidR="00D65C4A" w:rsidRPr="00910B9D" w:rsidRDefault="00D65C4A" w:rsidP="00D65C4A">
      <w:pPr>
        <w:pStyle w:val="Textoindependiente"/>
        <w:ind w:left="709" w:right="709"/>
        <w:rPr>
          <w:rFonts w:ascii="Century Gothic" w:hAnsi="Century Gothic"/>
          <w:sz w:val="21"/>
          <w:szCs w:val="21"/>
        </w:rPr>
      </w:pPr>
    </w:p>
    <w:p w14:paraId="7486FF1D" w14:textId="77777777" w:rsidR="00D65C4A" w:rsidRPr="00910B9D" w:rsidRDefault="00D65C4A" w:rsidP="00D65C4A">
      <w:pPr>
        <w:pStyle w:val="Textoindependiente"/>
        <w:ind w:left="709" w:right="709"/>
        <w:jc w:val="both"/>
        <w:rPr>
          <w:rFonts w:ascii="Century Gothic" w:hAnsi="Century Gothic"/>
          <w:sz w:val="21"/>
          <w:szCs w:val="21"/>
        </w:rPr>
      </w:pPr>
      <w:r w:rsidRPr="00910B9D">
        <w:rPr>
          <w:rFonts w:ascii="Century Gothic" w:hAnsi="Century Gothic"/>
          <w:sz w:val="21"/>
          <w:szCs w:val="21"/>
        </w:rPr>
        <w:t>El segundo sobre deberá incluir únicamente la propuesta económica de conformidad con todos los requisitos exigidos en el pliego de condiciones.</w:t>
      </w:r>
    </w:p>
    <w:p w14:paraId="79F5E8A1" w14:textId="77777777" w:rsidR="00D65C4A" w:rsidRPr="00910B9D" w:rsidRDefault="00D65C4A" w:rsidP="00D65C4A">
      <w:pPr>
        <w:pStyle w:val="Textoindependiente"/>
        <w:spacing w:before="7"/>
        <w:ind w:left="709" w:right="709"/>
        <w:rPr>
          <w:rFonts w:ascii="Century Gothic" w:hAnsi="Century Gothic"/>
          <w:sz w:val="21"/>
          <w:szCs w:val="21"/>
        </w:rPr>
      </w:pPr>
    </w:p>
    <w:p w14:paraId="69EA544F" w14:textId="77777777" w:rsidR="00D65C4A" w:rsidRPr="00910B9D" w:rsidRDefault="00D65C4A" w:rsidP="00D65C4A">
      <w:pPr>
        <w:pStyle w:val="Textoindependiente"/>
        <w:spacing w:before="1"/>
        <w:ind w:left="709" w:right="709"/>
        <w:jc w:val="both"/>
        <w:rPr>
          <w:rFonts w:ascii="Century Gothic" w:hAnsi="Century Gothic"/>
          <w:sz w:val="21"/>
          <w:szCs w:val="21"/>
        </w:rPr>
      </w:pPr>
      <w:r w:rsidRPr="00910B9D">
        <w:rPr>
          <w:rFonts w:ascii="Century Gothic" w:hAnsi="Century Gothic"/>
          <w:sz w:val="21"/>
          <w:szCs w:val="21"/>
        </w:rPr>
        <w:t>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5DB14339" w14:textId="77777777" w:rsidR="00D65C4A" w:rsidRPr="00910B9D" w:rsidRDefault="00D65C4A" w:rsidP="00D65C4A">
      <w:pPr>
        <w:pStyle w:val="Textoindependiente"/>
        <w:spacing w:before="11"/>
        <w:ind w:left="709" w:right="709"/>
        <w:rPr>
          <w:rFonts w:ascii="Century Gothic" w:hAnsi="Century Gothic"/>
          <w:sz w:val="21"/>
          <w:szCs w:val="21"/>
        </w:rPr>
      </w:pPr>
    </w:p>
    <w:p w14:paraId="746CCA74" w14:textId="31EA6A50" w:rsidR="00D65C4A" w:rsidRPr="00910B9D" w:rsidRDefault="00D65C4A" w:rsidP="00D65C4A">
      <w:pPr>
        <w:pStyle w:val="Textoindependiente"/>
        <w:ind w:left="709" w:right="709"/>
        <w:jc w:val="both"/>
        <w:rPr>
          <w:rFonts w:ascii="Century Gothic" w:hAnsi="Century Gothic"/>
          <w:sz w:val="21"/>
          <w:szCs w:val="21"/>
        </w:rPr>
      </w:pPr>
      <w:r w:rsidRPr="00910B9D">
        <w:rPr>
          <w:rFonts w:ascii="Century Gothic" w:hAnsi="Century Gothic"/>
          <w:sz w:val="21"/>
          <w:szCs w:val="21"/>
        </w:rPr>
        <w:t xml:space="preserve">En estos procesos el informe permanecerá publicado en el </w:t>
      </w:r>
      <w:proofErr w:type="spellStart"/>
      <w:r w:rsidRPr="00910B9D">
        <w:rPr>
          <w:rFonts w:ascii="Century Gothic" w:hAnsi="Century Gothic"/>
          <w:sz w:val="21"/>
          <w:szCs w:val="21"/>
        </w:rPr>
        <w:t>Secop</w:t>
      </w:r>
      <w:proofErr w:type="spellEnd"/>
      <w:r w:rsidRPr="00910B9D">
        <w:rPr>
          <w:rFonts w:ascii="Century Gothic" w:hAnsi="Century Gothic"/>
          <w:sz w:val="21"/>
          <w:szCs w:val="21"/>
        </w:rPr>
        <w:t xml:space="preserve"> durante cinco (5) días hábiles, término hasta el cual los proponentes podrán hacer las observaciones que consideren y entregar los documentos y la información solicitada por la </w:t>
      </w:r>
      <w:r w:rsidR="00277068">
        <w:rPr>
          <w:rFonts w:ascii="Century Gothic" w:hAnsi="Century Gothic"/>
          <w:sz w:val="21"/>
          <w:szCs w:val="21"/>
        </w:rPr>
        <w:t>Entidad Estatal</w:t>
      </w:r>
      <w:r w:rsidRPr="00910B9D">
        <w:rPr>
          <w:rFonts w:ascii="Century Gothic" w:hAnsi="Century Gothic"/>
          <w:sz w:val="21"/>
          <w:szCs w:val="21"/>
        </w:rPr>
        <w:t xml:space="preserve">. Al finalizar este plazo, la </w:t>
      </w:r>
      <w:r w:rsidR="00277068">
        <w:rPr>
          <w:rFonts w:ascii="Century Gothic" w:hAnsi="Century Gothic"/>
          <w:sz w:val="21"/>
          <w:szCs w:val="21"/>
        </w:rPr>
        <w:t>Entidad Estatal</w:t>
      </w:r>
      <w:r w:rsidRPr="00910B9D">
        <w:rPr>
          <w:rFonts w:ascii="Century Gothic" w:hAnsi="Century Gothic"/>
          <w:sz w:val="21"/>
          <w:szCs w:val="21"/>
        </w:rPr>
        <w:t xml:space="preserve"> se pronunciará sobre las observaciones y publicará el informe final de evaluación de los requisitos habilitantes y los requisitos objeto de puntuación distintos a la oferta</w:t>
      </w:r>
      <w:r w:rsidRPr="00910B9D">
        <w:rPr>
          <w:rFonts w:ascii="Century Gothic" w:hAnsi="Century Gothic"/>
          <w:spacing w:val="-2"/>
          <w:sz w:val="21"/>
          <w:szCs w:val="21"/>
        </w:rPr>
        <w:t xml:space="preserve"> </w:t>
      </w:r>
      <w:r w:rsidRPr="00910B9D">
        <w:rPr>
          <w:rFonts w:ascii="Century Gothic" w:hAnsi="Century Gothic"/>
          <w:sz w:val="21"/>
          <w:szCs w:val="21"/>
        </w:rPr>
        <w:t>económica.</w:t>
      </w:r>
    </w:p>
    <w:p w14:paraId="0C9FC1CD" w14:textId="77777777" w:rsidR="00D65C4A" w:rsidRPr="00910B9D" w:rsidRDefault="00D65C4A" w:rsidP="00D65C4A">
      <w:pPr>
        <w:pStyle w:val="Textoindependiente"/>
        <w:spacing w:before="1"/>
        <w:ind w:left="709" w:right="709"/>
        <w:rPr>
          <w:rFonts w:ascii="Century Gothic" w:hAnsi="Century Gothic"/>
          <w:sz w:val="21"/>
          <w:szCs w:val="21"/>
        </w:rPr>
      </w:pPr>
    </w:p>
    <w:p w14:paraId="67DA7A1C" w14:textId="77777777" w:rsidR="00D65C4A" w:rsidRPr="00910B9D" w:rsidRDefault="00D65C4A" w:rsidP="00D65C4A">
      <w:pPr>
        <w:pStyle w:val="Textoindependiente"/>
        <w:ind w:left="709" w:right="709"/>
        <w:jc w:val="both"/>
        <w:rPr>
          <w:rFonts w:ascii="Century Gothic" w:hAnsi="Century Gothic"/>
          <w:sz w:val="21"/>
          <w:szCs w:val="21"/>
        </w:rPr>
      </w:pPr>
      <w:r w:rsidRPr="00910B9D">
        <w:rPr>
          <w:rFonts w:ascii="Century Gothic" w:hAnsi="Century Gothic"/>
          <w:sz w:val="21"/>
          <w:szCs w:val="21"/>
        </w:rPr>
        <w:t xml:space="preserve">Para estos procesos, </w:t>
      </w:r>
      <w:r w:rsidRPr="00910B9D">
        <w:rPr>
          <w:rFonts w:ascii="Century Gothic" w:hAnsi="Century Gothic"/>
          <w:i/>
          <w:iCs/>
          <w:sz w:val="21"/>
          <w:szCs w:val="21"/>
        </w:rPr>
        <w:t>el segundo sobre, que contiene la oferta económica, se mantendrá cerrado hasta la audiencia efectiva de adjudicación</w:t>
      </w:r>
      <w:r w:rsidRPr="00910B9D">
        <w:rPr>
          <w:rFonts w:ascii="Century Gothic" w:hAnsi="Century Gothic"/>
          <w:sz w:val="21"/>
          <w:szCs w:val="21"/>
        </w:rPr>
        <w:t>,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(énfasis fuera de texto).</w:t>
      </w:r>
    </w:p>
    <w:p w14:paraId="438B7D8E" w14:textId="77777777" w:rsidR="00D65C4A" w:rsidRPr="00910B9D" w:rsidRDefault="00D65C4A" w:rsidP="00D65C4A">
      <w:pPr>
        <w:pStyle w:val="Textoindependiente"/>
        <w:ind w:left="709" w:right="709"/>
        <w:jc w:val="both"/>
        <w:rPr>
          <w:rFonts w:ascii="Century Gothic" w:hAnsi="Century Gothic"/>
          <w:sz w:val="21"/>
          <w:szCs w:val="21"/>
        </w:rPr>
      </w:pPr>
    </w:p>
    <w:p w14:paraId="595C9450" w14:textId="78D59845" w:rsidR="00D65C4A" w:rsidRPr="00910B9D" w:rsidRDefault="00D65C4A" w:rsidP="00D65C4A">
      <w:pPr>
        <w:pStyle w:val="Textoindependiente"/>
        <w:spacing w:after="240" w:line="276" w:lineRule="auto"/>
        <w:ind w:firstLine="708"/>
        <w:jc w:val="both"/>
        <w:rPr>
          <w:rFonts w:ascii="Century Gothic" w:hAnsi="Century Gothic"/>
        </w:rPr>
      </w:pPr>
      <w:r w:rsidRPr="00910B9D">
        <w:rPr>
          <w:rFonts w:ascii="Century Gothic" w:hAnsi="Century Gothic"/>
        </w:rPr>
        <w:t xml:space="preserve">El </w:t>
      </w:r>
      <w:r>
        <w:rPr>
          <w:rFonts w:ascii="Century Gothic" w:hAnsi="Century Gothic"/>
        </w:rPr>
        <w:t>segundo</w:t>
      </w:r>
      <w:r w:rsidRPr="00910B9D">
        <w:rPr>
          <w:rFonts w:ascii="Century Gothic" w:hAnsi="Century Gothic"/>
        </w:rPr>
        <w:t xml:space="preserve"> parágrafo adicionado </w:t>
      </w:r>
      <w:r>
        <w:rPr>
          <w:rFonts w:ascii="Century Gothic" w:hAnsi="Century Gothic"/>
        </w:rPr>
        <w:t>dispuso</w:t>
      </w:r>
      <w:r w:rsidRPr="00910B9D">
        <w:rPr>
          <w:rFonts w:ascii="Century Gothic" w:hAnsi="Century Gothic"/>
        </w:rPr>
        <w:t xml:space="preserve"> el proceder de la </w:t>
      </w:r>
      <w:r w:rsidR="00277068">
        <w:rPr>
          <w:rFonts w:ascii="Century Gothic" w:hAnsi="Century Gothic"/>
        </w:rPr>
        <w:t>Entidad Estatal</w:t>
      </w:r>
      <w:r w:rsidRPr="00910B9D">
        <w:rPr>
          <w:rFonts w:ascii="Century Gothic" w:hAnsi="Century Gothic"/>
        </w:rPr>
        <w:t xml:space="preserve"> al </w:t>
      </w:r>
      <w:r>
        <w:rPr>
          <w:rFonts w:ascii="Century Gothic" w:hAnsi="Century Gothic"/>
        </w:rPr>
        <w:t xml:space="preserve">momento de </w:t>
      </w:r>
      <w:r w:rsidRPr="00910B9D">
        <w:rPr>
          <w:rFonts w:ascii="Century Gothic" w:hAnsi="Century Gothic"/>
        </w:rPr>
        <w:t>evaluar las ofertas presentadas en los procesos de licitación pública para seleccionar contratistas de obra, de la siguiente manera:</w:t>
      </w:r>
    </w:p>
    <w:p w14:paraId="4FB2B833" w14:textId="77777777" w:rsidR="00D65C4A" w:rsidRPr="00910B9D" w:rsidRDefault="00D65C4A" w:rsidP="00D65C4A">
      <w:pPr>
        <w:pStyle w:val="Prrafodelista"/>
        <w:widowControl w:val="0"/>
        <w:numPr>
          <w:ilvl w:val="2"/>
          <w:numId w:val="18"/>
        </w:numPr>
        <w:tabs>
          <w:tab w:val="left" w:pos="941"/>
        </w:tabs>
        <w:autoSpaceDE w:val="0"/>
        <w:autoSpaceDN w:val="0"/>
        <w:spacing w:line="276" w:lineRule="auto"/>
        <w:contextualSpacing w:val="0"/>
        <w:jc w:val="both"/>
        <w:rPr>
          <w:rFonts w:ascii="Century Gothic" w:hAnsi="Century Gothic"/>
        </w:rPr>
      </w:pPr>
      <w:r w:rsidRPr="00910B9D">
        <w:rPr>
          <w:rFonts w:ascii="Century Gothic" w:hAnsi="Century Gothic"/>
        </w:rPr>
        <w:t>Primero se evalúa el contenido del primer sobre -requisitos habilitantes de los oferentes y requisitos de la propuesta que sean objeto de puntuación, distintos a la oferta económica- y se publica el informe de evaluación dentro del plazo previsto en el pliego de</w:t>
      </w:r>
      <w:r w:rsidRPr="00910B9D">
        <w:rPr>
          <w:rFonts w:ascii="Century Gothic" w:hAnsi="Century Gothic"/>
          <w:spacing w:val="-4"/>
        </w:rPr>
        <w:t xml:space="preserve"> </w:t>
      </w:r>
      <w:r w:rsidRPr="00910B9D">
        <w:rPr>
          <w:rFonts w:ascii="Century Gothic" w:hAnsi="Century Gothic"/>
        </w:rPr>
        <w:t>condiciones.</w:t>
      </w:r>
    </w:p>
    <w:p w14:paraId="16514F07" w14:textId="77777777" w:rsidR="00D65C4A" w:rsidRPr="00910B9D" w:rsidRDefault="00D65C4A" w:rsidP="00D65C4A">
      <w:pPr>
        <w:pStyle w:val="Prrafodelista"/>
        <w:widowControl w:val="0"/>
        <w:numPr>
          <w:ilvl w:val="2"/>
          <w:numId w:val="18"/>
        </w:numPr>
        <w:tabs>
          <w:tab w:val="left" w:pos="941"/>
        </w:tabs>
        <w:autoSpaceDE w:val="0"/>
        <w:autoSpaceDN w:val="0"/>
        <w:spacing w:line="276" w:lineRule="auto"/>
        <w:contextualSpacing w:val="0"/>
        <w:jc w:val="both"/>
        <w:rPr>
          <w:rFonts w:ascii="Century Gothic" w:hAnsi="Century Gothic"/>
        </w:rPr>
      </w:pPr>
      <w:r w:rsidRPr="00910B9D">
        <w:rPr>
          <w:rFonts w:ascii="Century Gothic" w:hAnsi="Century Gothic"/>
        </w:rPr>
        <w:t>El informe de evaluación permanecerá publicado por 5 días hábiles, término que sirve para presentar observaciones y entregar documentos requeridos por la</w:t>
      </w:r>
      <w:r w:rsidRPr="00910B9D">
        <w:rPr>
          <w:rFonts w:ascii="Century Gothic" w:hAnsi="Century Gothic"/>
          <w:spacing w:val="-4"/>
        </w:rPr>
        <w:t xml:space="preserve"> </w:t>
      </w:r>
      <w:r w:rsidRPr="00910B9D">
        <w:rPr>
          <w:rFonts w:ascii="Century Gothic" w:hAnsi="Century Gothic"/>
        </w:rPr>
        <w:t>entidad.</w:t>
      </w:r>
    </w:p>
    <w:p w14:paraId="4851727E" w14:textId="77777777" w:rsidR="00D65C4A" w:rsidRPr="00910B9D" w:rsidRDefault="00D65C4A" w:rsidP="00D65C4A">
      <w:pPr>
        <w:pStyle w:val="Prrafodelista"/>
        <w:widowControl w:val="0"/>
        <w:numPr>
          <w:ilvl w:val="2"/>
          <w:numId w:val="18"/>
        </w:numPr>
        <w:tabs>
          <w:tab w:val="left" w:pos="941"/>
        </w:tabs>
        <w:autoSpaceDE w:val="0"/>
        <w:autoSpaceDN w:val="0"/>
        <w:spacing w:line="276" w:lineRule="auto"/>
        <w:contextualSpacing w:val="0"/>
        <w:jc w:val="both"/>
        <w:rPr>
          <w:rFonts w:ascii="Century Gothic" w:hAnsi="Century Gothic"/>
        </w:rPr>
      </w:pPr>
      <w:r w:rsidRPr="00910B9D">
        <w:rPr>
          <w:rFonts w:ascii="Century Gothic" w:hAnsi="Century Gothic"/>
        </w:rPr>
        <w:t>Vencido el término anterior, la entidad publicará el informe final de evaluación del primer sobre de las</w:t>
      </w:r>
      <w:r w:rsidRPr="00910B9D">
        <w:rPr>
          <w:rFonts w:ascii="Century Gothic" w:hAnsi="Century Gothic"/>
          <w:spacing w:val="-7"/>
        </w:rPr>
        <w:t xml:space="preserve"> </w:t>
      </w:r>
      <w:r w:rsidRPr="00910B9D">
        <w:rPr>
          <w:rFonts w:ascii="Century Gothic" w:hAnsi="Century Gothic"/>
        </w:rPr>
        <w:t>ofertas.</w:t>
      </w:r>
    </w:p>
    <w:p w14:paraId="77A23964" w14:textId="77777777" w:rsidR="00D65C4A" w:rsidRPr="00910B9D" w:rsidRDefault="00D65C4A" w:rsidP="00D65C4A">
      <w:pPr>
        <w:pStyle w:val="Prrafodelista"/>
        <w:widowControl w:val="0"/>
        <w:numPr>
          <w:ilvl w:val="2"/>
          <w:numId w:val="18"/>
        </w:numPr>
        <w:tabs>
          <w:tab w:val="left" w:pos="941"/>
        </w:tabs>
        <w:autoSpaceDE w:val="0"/>
        <w:autoSpaceDN w:val="0"/>
        <w:spacing w:before="1" w:line="276" w:lineRule="auto"/>
        <w:contextualSpacing w:val="0"/>
        <w:jc w:val="both"/>
        <w:rPr>
          <w:rFonts w:ascii="Century Gothic" w:hAnsi="Century Gothic"/>
        </w:rPr>
      </w:pPr>
      <w:r w:rsidRPr="00910B9D">
        <w:rPr>
          <w:rFonts w:ascii="Century Gothic" w:hAnsi="Century Gothic"/>
        </w:rPr>
        <w:t>Luego vendrá la realización de la audiencia pública de adjudicación, escenario que también admite observaciones al informe de evaluación que deberán decidirse en la misma</w:t>
      </w:r>
      <w:r w:rsidRPr="00910B9D">
        <w:rPr>
          <w:rFonts w:ascii="Century Gothic" w:hAnsi="Century Gothic"/>
          <w:spacing w:val="-2"/>
        </w:rPr>
        <w:t xml:space="preserve"> </w:t>
      </w:r>
      <w:r w:rsidRPr="00910B9D">
        <w:rPr>
          <w:rFonts w:ascii="Century Gothic" w:hAnsi="Century Gothic"/>
        </w:rPr>
        <w:t>audiencia.</w:t>
      </w:r>
    </w:p>
    <w:p w14:paraId="2580A791" w14:textId="77777777" w:rsidR="00D65C4A" w:rsidRPr="00910B9D" w:rsidRDefault="00D65C4A" w:rsidP="00D65C4A">
      <w:pPr>
        <w:pStyle w:val="Prrafodelista"/>
        <w:widowControl w:val="0"/>
        <w:numPr>
          <w:ilvl w:val="2"/>
          <w:numId w:val="18"/>
        </w:numPr>
        <w:tabs>
          <w:tab w:val="left" w:pos="941"/>
        </w:tabs>
        <w:autoSpaceDE w:val="0"/>
        <w:autoSpaceDN w:val="0"/>
        <w:spacing w:line="276" w:lineRule="auto"/>
        <w:contextualSpacing w:val="0"/>
        <w:jc w:val="both"/>
        <w:rPr>
          <w:rFonts w:ascii="Century Gothic" w:hAnsi="Century Gothic"/>
        </w:rPr>
      </w:pPr>
      <w:r w:rsidRPr="00910B9D">
        <w:rPr>
          <w:rFonts w:ascii="Century Gothic" w:hAnsi="Century Gothic"/>
        </w:rPr>
        <w:t>Durante la audiencia se abrirá el segundo sobre de las ofertas económicas, se las evaluará según el método aleatorio estipulado en el pliego de condiciones y se correrá traslado del resultado a los proponentes habilitados sólo para revisiones del aspecto</w:t>
      </w:r>
      <w:r w:rsidRPr="00910B9D">
        <w:rPr>
          <w:rFonts w:ascii="Century Gothic" w:hAnsi="Century Gothic"/>
          <w:spacing w:val="-3"/>
        </w:rPr>
        <w:t xml:space="preserve"> </w:t>
      </w:r>
      <w:r w:rsidRPr="00910B9D">
        <w:rPr>
          <w:rFonts w:ascii="Century Gothic" w:hAnsi="Century Gothic"/>
        </w:rPr>
        <w:t>económico.</w:t>
      </w:r>
    </w:p>
    <w:p w14:paraId="53A9316D" w14:textId="77777777" w:rsidR="00D65C4A" w:rsidRPr="00910B9D" w:rsidRDefault="00D65C4A" w:rsidP="00D65C4A">
      <w:pPr>
        <w:pStyle w:val="Prrafodelista"/>
        <w:widowControl w:val="0"/>
        <w:numPr>
          <w:ilvl w:val="2"/>
          <w:numId w:val="18"/>
        </w:numPr>
        <w:tabs>
          <w:tab w:val="left" w:pos="941"/>
        </w:tabs>
        <w:autoSpaceDE w:val="0"/>
        <w:autoSpaceDN w:val="0"/>
        <w:spacing w:after="0" w:line="240" w:lineRule="auto"/>
        <w:contextualSpacing w:val="0"/>
        <w:rPr>
          <w:rFonts w:ascii="Century Gothic" w:hAnsi="Century Gothic"/>
        </w:rPr>
      </w:pPr>
      <w:r w:rsidRPr="00910B9D">
        <w:rPr>
          <w:rFonts w:ascii="Century Gothic" w:hAnsi="Century Gothic"/>
        </w:rPr>
        <w:t>Finalmente se establecerá el orden de elegibilidad de las</w:t>
      </w:r>
      <w:r w:rsidRPr="00910B9D">
        <w:rPr>
          <w:rFonts w:ascii="Century Gothic" w:hAnsi="Century Gothic"/>
          <w:spacing w:val="-20"/>
        </w:rPr>
        <w:t xml:space="preserve"> </w:t>
      </w:r>
      <w:r w:rsidRPr="00910B9D">
        <w:rPr>
          <w:rFonts w:ascii="Century Gothic" w:hAnsi="Century Gothic"/>
        </w:rPr>
        <w:t>ofertas.</w:t>
      </w:r>
    </w:p>
    <w:p w14:paraId="75621C11" w14:textId="618505F4" w:rsidR="00D65C4A" w:rsidRPr="009A7416" w:rsidRDefault="00D65C4A" w:rsidP="00D65C4A">
      <w:pPr>
        <w:spacing w:before="120" w:after="120" w:line="276" w:lineRule="auto"/>
        <w:ind w:firstLine="580"/>
        <w:jc w:val="both"/>
        <w:rPr>
          <w:rStyle w:val="Textoennegrita"/>
          <w:rFonts w:ascii="Century Gothic" w:hAnsi="Century Gothic" w:cs="Arial"/>
          <w:b w:val="0"/>
          <w:bCs w:val="0"/>
          <w:color w:val="000000" w:themeColor="text1"/>
        </w:rPr>
      </w:pPr>
      <w:r w:rsidRPr="00A50145">
        <w:rPr>
          <w:rFonts w:ascii="Century Gothic" w:hAnsi="Century Gothic"/>
        </w:rPr>
        <w:t>En ese orden de ideas</w:t>
      </w:r>
      <w:r w:rsidRPr="00A50145">
        <w:rPr>
          <w:rFonts w:ascii="Century Gothic" w:hAnsi="Century Gothic"/>
          <w:b/>
          <w:bCs/>
        </w:rPr>
        <w:t xml:space="preserve">, </w:t>
      </w:r>
      <w:r w:rsidRPr="009A7416">
        <w:rPr>
          <w:rStyle w:val="Textoennegrita"/>
          <w:rFonts w:ascii="Century Gothic" w:hAnsi="Century Gothic" w:cs="Arial"/>
          <w:b w:val="0"/>
          <w:bCs w:val="0"/>
          <w:color w:val="000000" w:themeColor="text1"/>
        </w:rPr>
        <w:t xml:space="preserve">se puede observar que el propósito de la publicidad del informe de evaluación de las propuestas es que los oferentes puedan realizar las observaciones que a su juicio consideren pertinentes. No obstante, el ordenamiento jurídico no contempló de manera expresa un término para que las entidades estatales se pronuncien sobre las observaciones presentadas al informe de evaluación. Sin embargo, de la norma en cita si se puede determinar un momento límite para responder esas observaciones, el cual está determinado por el acto de adjudicación del respectivo contrato, es decir, la </w:t>
      </w:r>
      <w:r w:rsidR="00277068" w:rsidRPr="009A7416">
        <w:rPr>
          <w:rStyle w:val="Textoennegrita"/>
          <w:rFonts w:ascii="Century Gothic" w:hAnsi="Century Gothic" w:cs="Arial"/>
          <w:b w:val="0"/>
          <w:bCs w:val="0"/>
          <w:color w:val="000000" w:themeColor="text1"/>
        </w:rPr>
        <w:t>Entidad Estatal</w:t>
      </w:r>
      <w:r w:rsidRPr="009A7416">
        <w:rPr>
          <w:rStyle w:val="Textoennegrita"/>
          <w:rFonts w:ascii="Century Gothic" w:hAnsi="Century Gothic" w:cs="Arial"/>
          <w:b w:val="0"/>
          <w:bCs w:val="0"/>
          <w:color w:val="000000" w:themeColor="text1"/>
        </w:rPr>
        <w:t xml:space="preserve"> contratante antes de proferir su decisión de adjudicación del contrato, está en la obligación de responder las observaciones presentadas al informe de evaluación de las propuestas, como condición previa para la expedición del acto de adjudicación. </w:t>
      </w:r>
    </w:p>
    <w:p w14:paraId="4FDBB30F" w14:textId="55AB2FEE" w:rsidR="00D65C4A" w:rsidRPr="00A50145" w:rsidRDefault="00D65C4A" w:rsidP="00D65C4A">
      <w:pPr>
        <w:spacing w:before="120" w:after="120" w:line="276" w:lineRule="auto"/>
        <w:ind w:firstLine="580"/>
        <w:jc w:val="both"/>
        <w:rPr>
          <w:rFonts w:ascii="Century Gothic" w:hAnsi="Century Gothic" w:cs="Arial"/>
          <w:color w:val="000000" w:themeColor="text1"/>
        </w:rPr>
      </w:pPr>
      <w:proofErr w:type="gramStart"/>
      <w:r w:rsidRPr="009A7416">
        <w:rPr>
          <w:rStyle w:val="Textoennegrita"/>
          <w:rFonts w:ascii="Century Gothic" w:hAnsi="Century Gothic" w:cs="Arial"/>
          <w:b w:val="0"/>
          <w:bCs w:val="0"/>
          <w:color w:val="000000" w:themeColor="text1"/>
        </w:rPr>
        <w:t>De acuerdo a</w:t>
      </w:r>
      <w:proofErr w:type="gramEnd"/>
      <w:r w:rsidRPr="009A7416">
        <w:rPr>
          <w:rStyle w:val="Textoennegrita"/>
          <w:rFonts w:ascii="Century Gothic" w:hAnsi="Century Gothic" w:cs="Arial"/>
          <w:b w:val="0"/>
          <w:bCs w:val="0"/>
          <w:color w:val="000000" w:themeColor="text1"/>
        </w:rPr>
        <w:t xml:space="preserve"> lo anterior, en los procesos de licitación, la respuesta a las observaciones presentadas al informe de evaluación deberá efectuarse antes de que se emita el respectivo acto administrativo de adjudicación, puesto que en la audiencia de adjudicación</w:t>
      </w:r>
      <w:r w:rsidRPr="00A50145">
        <w:rPr>
          <w:rStyle w:val="Textoennegrita"/>
          <w:rFonts w:ascii="Century Gothic" w:hAnsi="Century Gothic" w:cs="Arial"/>
          <w:color w:val="000000" w:themeColor="text1"/>
        </w:rPr>
        <w:t xml:space="preserve"> “</w:t>
      </w:r>
      <w:r w:rsidRPr="00A50145">
        <w:rPr>
          <w:rFonts w:ascii="Century Gothic" w:hAnsi="Century Gothic" w:cs="Arial"/>
          <w:color w:val="000000" w:themeColor="text1"/>
        </w:rPr>
        <w:t xml:space="preserve">los oferentes pueden pronunciarse sobre las respuestas dadas por la </w:t>
      </w:r>
      <w:r w:rsidR="00277068">
        <w:rPr>
          <w:rFonts w:ascii="Century Gothic" w:hAnsi="Century Gothic" w:cs="Arial"/>
          <w:color w:val="000000" w:themeColor="text1"/>
        </w:rPr>
        <w:t>Entidad Estatal</w:t>
      </w:r>
      <w:r w:rsidRPr="00A50145">
        <w:rPr>
          <w:rFonts w:ascii="Century Gothic" w:hAnsi="Century Gothic" w:cs="Arial"/>
          <w:color w:val="000000" w:themeColor="text1"/>
        </w:rPr>
        <w:t xml:space="preserve"> a las observaciones presentadas respecto del informe de evaluación”</w:t>
      </w:r>
      <w:r w:rsidRPr="00910B9D">
        <w:rPr>
          <w:rStyle w:val="Refdenotaalpie"/>
          <w:rFonts w:ascii="Century Gothic" w:hAnsi="Century Gothic" w:cs="Arial"/>
          <w:color w:val="000000" w:themeColor="text1"/>
        </w:rPr>
        <w:footnoteReference w:id="13"/>
      </w:r>
      <w:r w:rsidRPr="00A50145">
        <w:rPr>
          <w:rFonts w:ascii="Century Gothic" w:hAnsi="Century Gothic" w:cs="Arial"/>
          <w:color w:val="000000" w:themeColor="text1"/>
        </w:rPr>
        <w:t>.</w:t>
      </w:r>
    </w:p>
    <w:p w14:paraId="3A711C18" w14:textId="64C19E46" w:rsidR="00D65C4A" w:rsidRDefault="00D65C4A" w:rsidP="00D65C4A">
      <w:pPr>
        <w:spacing w:before="120" w:after="120" w:line="276" w:lineRule="auto"/>
        <w:ind w:firstLine="580"/>
        <w:jc w:val="both"/>
        <w:rPr>
          <w:rFonts w:ascii="Century Gothic" w:hAnsi="Century Gothic"/>
        </w:rPr>
      </w:pPr>
      <w:r>
        <w:rPr>
          <w:rFonts w:ascii="Century Gothic" w:hAnsi="Century Gothic" w:cs="Arial"/>
          <w:color w:val="000000" w:themeColor="text1"/>
        </w:rPr>
        <w:t xml:space="preserve">En ese sentido, en </w:t>
      </w:r>
      <w:r w:rsidRPr="00A50145">
        <w:rPr>
          <w:rFonts w:ascii="Century Gothic" w:hAnsi="Century Gothic" w:cs="Arial"/>
          <w:color w:val="000000" w:themeColor="text1"/>
        </w:rPr>
        <w:t xml:space="preserve">relación con los términos o plazos con que cuentan las entidades estatales para responder las observaciones y/o solicitudes de aclaraciones </w:t>
      </w:r>
      <w:r>
        <w:rPr>
          <w:rFonts w:ascii="Century Gothic" w:hAnsi="Century Gothic" w:cs="Arial"/>
          <w:color w:val="000000" w:themeColor="text1"/>
        </w:rPr>
        <w:t>presentadas en el</w:t>
      </w:r>
      <w:r w:rsidRPr="00A50145">
        <w:rPr>
          <w:rFonts w:ascii="Century Gothic" w:hAnsi="Century Gothic" w:cs="Arial"/>
          <w:color w:val="000000" w:themeColor="text1"/>
        </w:rPr>
        <w:t xml:space="preserve"> proceso de contratación, se precisa que si bien el ordenamiento jurídico no contempló de manera expresa ese plazo, el mismo se encuentra establecido de forma tácita, en tanto que, no es posible avanzar en las fases o etapas del proceso de contratación, si la </w:t>
      </w:r>
      <w:r w:rsidR="00277068">
        <w:rPr>
          <w:rFonts w:ascii="Century Gothic" w:hAnsi="Century Gothic" w:cs="Arial"/>
          <w:color w:val="000000" w:themeColor="text1"/>
        </w:rPr>
        <w:t>Entidad Estatal</w:t>
      </w:r>
      <w:r w:rsidRPr="00A50145">
        <w:rPr>
          <w:rFonts w:ascii="Century Gothic" w:hAnsi="Century Gothic" w:cs="Arial"/>
          <w:color w:val="000000" w:themeColor="text1"/>
        </w:rPr>
        <w:t>, previamente, no ha resuelto las observaciones presentadas y/o solicitudes de aclaraciones realizadas</w:t>
      </w:r>
      <w:r>
        <w:rPr>
          <w:rFonts w:ascii="Century Gothic" w:hAnsi="Century Gothic" w:cs="Arial"/>
          <w:color w:val="000000" w:themeColor="text1"/>
        </w:rPr>
        <w:t xml:space="preserve"> en cada etapa, concluyéndose que en los procesos de licitación pública, </w:t>
      </w:r>
      <w:r>
        <w:rPr>
          <w:rFonts w:ascii="Century Gothic" w:hAnsi="Century Gothic"/>
        </w:rPr>
        <w:t>una vez abierto el</w:t>
      </w:r>
      <w:r w:rsidRPr="00910B9D">
        <w:rPr>
          <w:rFonts w:ascii="Century Gothic" w:hAnsi="Century Gothic"/>
        </w:rPr>
        <w:t xml:space="preserve"> segundo sobre de las ofertas económicas, </w:t>
      </w:r>
      <w:r>
        <w:rPr>
          <w:rFonts w:ascii="Century Gothic" w:hAnsi="Century Gothic"/>
        </w:rPr>
        <w:t>sólo</w:t>
      </w:r>
      <w:r w:rsidRPr="00910B9D">
        <w:rPr>
          <w:rFonts w:ascii="Century Gothic" w:hAnsi="Century Gothic"/>
        </w:rPr>
        <w:t xml:space="preserve"> se correrá traslado </w:t>
      </w:r>
      <w:r>
        <w:rPr>
          <w:rFonts w:ascii="Century Gothic" w:hAnsi="Century Gothic"/>
        </w:rPr>
        <w:t xml:space="preserve">a los proponentes habilitados </w:t>
      </w:r>
      <w:r w:rsidRPr="00910B9D">
        <w:rPr>
          <w:rFonts w:ascii="Century Gothic" w:hAnsi="Century Gothic"/>
        </w:rPr>
        <w:t>sólo para revisiones del aspecto</w:t>
      </w:r>
      <w:r w:rsidRPr="00910B9D">
        <w:rPr>
          <w:rFonts w:ascii="Century Gothic" w:hAnsi="Century Gothic"/>
          <w:spacing w:val="-3"/>
        </w:rPr>
        <w:t xml:space="preserve"> </w:t>
      </w:r>
      <w:r w:rsidRPr="00910B9D">
        <w:rPr>
          <w:rFonts w:ascii="Century Gothic" w:hAnsi="Century Gothic"/>
        </w:rPr>
        <w:t>económico</w:t>
      </w:r>
      <w:r>
        <w:rPr>
          <w:rFonts w:ascii="Century Gothic" w:hAnsi="Century Gothic"/>
        </w:rPr>
        <w:t>, por lo que se deberá presentar y resolver observaciones exclusivamente de dicho tema.</w:t>
      </w:r>
    </w:p>
    <w:p w14:paraId="204F8FCD" w14:textId="531E07AE" w:rsidR="00D65C4A" w:rsidRDefault="00D65C4A" w:rsidP="00D65C4A">
      <w:pPr>
        <w:spacing w:before="120" w:after="120" w:line="276" w:lineRule="auto"/>
        <w:ind w:firstLine="463"/>
        <w:jc w:val="both"/>
        <w:rPr>
          <w:rFonts w:ascii="Century Gothic" w:hAnsi="Century Gothic" w:cs="Arial"/>
          <w:color w:val="000000" w:themeColor="text1"/>
        </w:rPr>
      </w:pPr>
      <w:r>
        <w:rPr>
          <w:rFonts w:ascii="Century Gothic" w:hAnsi="Century Gothic" w:cs="Arial"/>
          <w:color w:val="000000" w:themeColor="text1"/>
        </w:rPr>
        <w:t xml:space="preserve">Cuando </w:t>
      </w:r>
      <w:r w:rsidRPr="00A50145">
        <w:rPr>
          <w:rFonts w:ascii="Century Gothic" w:hAnsi="Century Gothic" w:cs="Arial"/>
          <w:color w:val="000000" w:themeColor="text1"/>
        </w:rPr>
        <w:t>ocurre que los interesados en un proceso de contratación presenten observaciones y/o solicitudes al informe de evaluación de las ofertas, fuera de los plazos establecidos por el ordenamiento jurídico</w:t>
      </w:r>
      <w:r>
        <w:rPr>
          <w:rFonts w:ascii="Century Gothic" w:hAnsi="Century Gothic" w:cs="Arial"/>
          <w:color w:val="000000" w:themeColor="text1"/>
        </w:rPr>
        <w:t xml:space="preserve">, se está en presencia de una </w:t>
      </w:r>
      <w:r w:rsidRPr="00A50145">
        <w:rPr>
          <w:rFonts w:ascii="Century Gothic" w:hAnsi="Century Gothic" w:cs="Arial"/>
          <w:color w:val="000000" w:themeColor="text1"/>
        </w:rPr>
        <w:t>observación es extemporánea</w:t>
      </w:r>
      <w:r>
        <w:rPr>
          <w:rFonts w:ascii="Century Gothic" w:hAnsi="Century Gothic" w:cs="Arial"/>
          <w:color w:val="000000" w:themeColor="text1"/>
        </w:rPr>
        <w:t>, que a criterio de esta Agencia, se ha indicado, que s</w:t>
      </w:r>
      <w:r w:rsidRPr="00910B9D">
        <w:rPr>
          <w:rFonts w:ascii="Century Gothic" w:hAnsi="Century Gothic" w:cs="Arial"/>
          <w:color w:val="000000" w:themeColor="text1"/>
        </w:rPr>
        <w:t xml:space="preserve">i bien la </w:t>
      </w:r>
      <w:r w:rsidR="00277068">
        <w:rPr>
          <w:rFonts w:ascii="Century Gothic" w:hAnsi="Century Gothic" w:cs="Arial"/>
          <w:color w:val="000000" w:themeColor="text1"/>
        </w:rPr>
        <w:t>Entidad Estatal</w:t>
      </w:r>
      <w:r w:rsidRPr="00910B9D">
        <w:rPr>
          <w:rFonts w:ascii="Century Gothic" w:hAnsi="Century Gothic" w:cs="Arial"/>
          <w:color w:val="000000" w:themeColor="text1"/>
        </w:rPr>
        <w:t xml:space="preserve"> que adelanta un proceso de contratación está en la obligación de responder las observaciones extemporáneas, no lo es menos que esa respuesta debe consistir o limitarse al rechazo de la observación, precisamente, por ser extemporánea. Respuesta por demás, que debe proferirse antes de que inicie la siguiente etapa o fase del proceso contractual. Esto significa que, si la observación extemporánea </w:t>
      </w:r>
      <w:r>
        <w:rPr>
          <w:rFonts w:ascii="Century Gothic" w:hAnsi="Century Gothic" w:cs="Arial"/>
          <w:color w:val="000000" w:themeColor="text1"/>
        </w:rPr>
        <w:t xml:space="preserve">una vez abiertos los sobres económicos, obedece a asuntos </w:t>
      </w:r>
      <w:r>
        <w:rPr>
          <w:rFonts w:ascii="Century Gothic" w:hAnsi="Century Gothic"/>
        </w:rPr>
        <w:t xml:space="preserve">diferentes a </w:t>
      </w:r>
      <w:r w:rsidRPr="00910B9D">
        <w:rPr>
          <w:rFonts w:ascii="Century Gothic" w:hAnsi="Century Gothic"/>
        </w:rPr>
        <w:t>revisiones del aspecto</w:t>
      </w:r>
      <w:r w:rsidRPr="00910B9D">
        <w:rPr>
          <w:rFonts w:ascii="Century Gothic" w:hAnsi="Century Gothic"/>
          <w:spacing w:val="-3"/>
        </w:rPr>
        <w:t xml:space="preserve"> </w:t>
      </w:r>
      <w:r w:rsidRPr="00910B9D">
        <w:rPr>
          <w:rFonts w:ascii="Century Gothic" w:hAnsi="Century Gothic"/>
        </w:rPr>
        <w:t>económico</w:t>
      </w:r>
      <w:r>
        <w:rPr>
          <w:rFonts w:ascii="Century Gothic" w:hAnsi="Century Gothic"/>
        </w:rPr>
        <w:t xml:space="preserve">, </w:t>
      </w:r>
      <w:r w:rsidRPr="00910B9D">
        <w:rPr>
          <w:rFonts w:ascii="Century Gothic" w:hAnsi="Century Gothic" w:cs="Arial"/>
          <w:color w:val="000000" w:themeColor="text1"/>
        </w:rPr>
        <w:t xml:space="preserve">el pronunciamiento </w:t>
      </w:r>
      <w:r>
        <w:rPr>
          <w:rFonts w:ascii="Century Gothic" w:hAnsi="Century Gothic" w:cs="Arial"/>
          <w:color w:val="000000" w:themeColor="text1"/>
        </w:rPr>
        <w:t xml:space="preserve">de la </w:t>
      </w:r>
      <w:r w:rsidR="00277068">
        <w:rPr>
          <w:rFonts w:ascii="Century Gothic" w:hAnsi="Century Gothic" w:cs="Arial"/>
          <w:color w:val="000000" w:themeColor="text1"/>
        </w:rPr>
        <w:t>Entidad Estatal</w:t>
      </w:r>
      <w:r>
        <w:rPr>
          <w:rFonts w:ascii="Century Gothic" w:hAnsi="Century Gothic" w:cs="Arial"/>
          <w:color w:val="000000" w:themeColor="text1"/>
        </w:rPr>
        <w:t xml:space="preserve"> </w:t>
      </w:r>
      <w:r w:rsidRPr="00910B9D">
        <w:rPr>
          <w:rFonts w:ascii="Century Gothic" w:hAnsi="Century Gothic" w:cs="Arial"/>
          <w:color w:val="000000" w:themeColor="text1"/>
        </w:rPr>
        <w:t xml:space="preserve">debe realizarse </w:t>
      </w:r>
      <w:r>
        <w:rPr>
          <w:rFonts w:ascii="Century Gothic" w:hAnsi="Century Gothic" w:cs="Arial"/>
          <w:color w:val="000000" w:themeColor="text1"/>
        </w:rPr>
        <w:t>indicando que aquella es extemporánea.</w:t>
      </w:r>
    </w:p>
    <w:p w14:paraId="274C5F1A" w14:textId="77777777" w:rsidR="00D65C4A" w:rsidRPr="00910B9D" w:rsidRDefault="00D65C4A" w:rsidP="00D65C4A">
      <w:pPr>
        <w:spacing w:before="120" w:after="120" w:line="276" w:lineRule="auto"/>
        <w:ind w:firstLine="463"/>
        <w:jc w:val="both"/>
        <w:rPr>
          <w:rFonts w:ascii="Century Gothic" w:hAnsi="Century Gothic" w:cs="Arial"/>
          <w:color w:val="000000" w:themeColor="text1"/>
        </w:rPr>
      </w:pPr>
      <w:r w:rsidRPr="00910B9D">
        <w:rPr>
          <w:rFonts w:ascii="Century Gothic" w:hAnsi="Century Gothic" w:cs="Arial"/>
          <w:color w:val="000000" w:themeColor="text1"/>
        </w:rPr>
        <w:t>Lo afirmado encuentra fundamento en el principio de económica que rige los procesos de contratación, especialmente, en el numeral 1º del artículo 25 de la Ley 80 de 1993</w:t>
      </w:r>
      <w:r w:rsidRPr="00910B9D">
        <w:rPr>
          <w:rStyle w:val="Refdenotaalpie"/>
          <w:rFonts w:ascii="Century Gothic" w:hAnsi="Century Gothic" w:cs="Arial"/>
          <w:color w:val="000000" w:themeColor="text1"/>
        </w:rPr>
        <w:footnoteReference w:id="14"/>
      </w:r>
      <w:r w:rsidRPr="00910B9D">
        <w:rPr>
          <w:rFonts w:ascii="Century Gothic" w:hAnsi="Century Gothic" w:cs="Arial"/>
          <w:color w:val="000000" w:themeColor="text1"/>
        </w:rPr>
        <w:t xml:space="preserve"> que dispuso, que los términos o plazos para la etapas o fases del proceso de selección son preclusivos y perentorios. Sobre este asunto, la Sección Tercera del Consejo de Estado, sostuvo:</w:t>
      </w:r>
    </w:p>
    <w:p w14:paraId="37E921B1"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 xml:space="preserve">Estos plazos, que corresponden a las distintas etapas del proceso de selección, son, como lo consagra el numeral 1º del artículo 25 del Estatuto Contractual, perentorios y preclusivos. </w:t>
      </w:r>
    </w:p>
    <w:p w14:paraId="05BE5474"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p>
    <w:p w14:paraId="71BA8EC0"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r w:rsidRPr="00910B9D">
        <w:rPr>
          <w:rFonts w:ascii="Century Gothic" w:hAnsi="Century Gothic" w:cs="Arial"/>
          <w:color w:val="000000" w:themeColor="text1"/>
          <w:sz w:val="21"/>
          <w:szCs w:val="21"/>
        </w:rPr>
        <w:t xml:space="preserve">Perentorio, significa </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Decisivo o concluyente</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 xml:space="preserve">; según el Diccionario de la Real Academia de la Lengua Española: </w:t>
      </w:r>
    </w:p>
    <w:p w14:paraId="1D0346D3"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p>
    <w:p w14:paraId="21C0D5DC"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1. adj. Se dice del último plazo que se concede, o de la resolución final que se toma en cualquier asunto.</w:t>
      </w:r>
    </w:p>
    <w:p w14:paraId="7DD91E27"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r w:rsidRPr="00910B9D">
        <w:rPr>
          <w:rFonts w:ascii="Century Gothic" w:hAnsi="Century Gothic" w:cs="Arial"/>
          <w:color w:val="000000" w:themeColor="text1"/>
          <w:sz w:val="21"/>
          <w:szCs w:val="21"/>
        </w:rPr>
        <w:t>2. adj. Concluyente, decisivo, determinante.</w:t>
      </w:r>
    </w:p>
    <w:p w14:paraId="0D66B814"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r w:rsidRPr="00910B9D">
        <w:rPr>
          <w:rFonts w:ascii="Century Gothic" w:hAnsi="Century Gothic" w:cs="Arial"/>
          <w:color w:val="000000" w:themeColor="text1"/>
          <w:sz w:val="21"/>
          <w:szCs w:val="21"/>
        </w:rPr>
        <w:t>3. adj. Urgente, apremiante</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w:t>
      </w:r>
    </w:p>
    <w:p w14:paraId="0B7DCA88" w14:textId="77777777" w:rsidR="005C7F83" w:rsidRDefault="005C7F83" w:rsidP="005C7F83">
      <w:pPr>
        <w:pStyle w:val="Prrafodelista"/>
        <w:spacing w:line="240" w:lineRule="auto"/>
        <w:ind w:left="463"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00D65C4A" w:rsidRPr="00910B9D">
        <w:rPr>
          <w:rFonts w:ascii="Century Gothic" w:hAnsi="Century Gothic" w:cs="Arial"/>
          <w:color w:val="000000" w:themeColor="text1"/>
          <w:sz w:val="21"/>
          <w:szCs w:val="21"/>
        </w:rPr>
        <w:t xml:space="preserve">   </w:t>
      </w:r>
      <w:r>
        <w:rPr>
          <w:rFonts w:ascii="Century Gothic" w:hAnsi="Century Gothic" w:cs="Arial"/>
          <w:color w:val="000000" w:themeColor="text1"/>
          <w:sz w:val="21"/>
          <w:szCs w:val="21"/>
        </w:rPr>
        <w:t>)</w:t>
      </w:r>
    </w:p>
    <w:p w14:paraId="6AD54984" w14:textId="6B9D4570" w:rsidR="00D65C4A" w:rsidRPr="005C7F83" w:rsidRDefault="00D65C4A" w:rsidP="005C7F83">
      <w:pPr>
        <w:pStyle w:val="Prrafodelista"/>
        <w:spacing w:line="240" w:lineRule="auto"/>
        <w:ind w:left="463" w:right="709"/>
        <w:jc w:val="both"/>
        <w:rPr>
          <w:rFonts w:ascii="Century Gothic" w:hAnsi="Century Gothic" w:cs="Arial"/>
          <w:color w:val="000000" w:themeColor="text1"/>
          <w:sz w:val="21"/>
          <w:szCs w:val="21"/>
        </w:rPr>
      </w:pPr>
      <w:r w:rsidRPr="005C7F83">
        <w:rPr>
          <w:rFonts w:ascii="Century Gothic" w:hAnsi="Century Gothic" w:cs="Arial"/>
          <w:color w:val="000000" w:themeColor="text1"/>
          <w:sz w:val="21"/>
          <w:szCs w:val="21"/>
        </w:rPr>
        <w:t xml:space="preserve">Y el “término perentorio”, significa “El improrrogable, cuyo transcurso extingue o cancela la facultad o el derecho que durante él no se ejercitó”. </w:t>
      </w:r>
    </w:p>
    <w:p w14:paraId="13724451"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p>
    <w:p w14:paraId="21B3988A"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r w:rsidRPr="00910B9D">
        <w:rPr>
          <w:rFonts w:ascii="Century Gothic" w:hAnsi="Century Gothic" w:cs="Arial"/>
          <w:color w:val="000000" w:themeColor="text1"/>
          <w:sz w:val="21"/>
          <w:szCs w:val="21"/>
        </w:rPr>
        <w:t xml:space="preserve">Por su parte, preclusivo significa, según el mismo diccionario, </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Que causa o determina preclusión</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 xml:space="preserve">; y a su vez, preclusión, es definido como </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Carácter del proceso, según el cual el juicio se divide en etapas, cada una de las cuales clausura la anterior sin posibilidad de replantear lo ya decidido en ella</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w:t>
      </w:r>
    </w:p>
    <w:p w14:paraId="01EFBA0E"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p>
    <w:p w14:paraId="64C16F58" w14:textId="77777777" w:rsidR="00D65C4A" w:rsidRDefault="00D65C4A" w:rsidP="00D65C4A">
      <w:pPr>
        <w:pStyle w:val="Prrafodelista"/>
        <w:spacing w:line="240" w:lineRule="auto"/>
        <w:ind w:left="463" w:right="709"/>
        <w:jc w:val="both"/>
        <w:rPr>
          <w:rFonts w:ascii="Century Gothic" w:hAnsi="Century Gothic" w:cs="Arial"/>
          <w:color w:val="000000" w:themeColor="text1"/>
          <w:sz w:val="21"/>
          <w:szCs w:val="21"/>
        </w:rPr>
      </w:pPr>
      <w:r w:rsidRPr="00910B9D">
        <w:rPr>
          <w:rFonts w:ascii="Century Gothic" w:hAnsi="Century Gothic" w:cs="Arial"/>
          <w:color w:val="000000" w:themeColor="text1"/>
          <w:sz w:val="21"/>
          <w:szCs w:val="21"/>
        </w:rPr>
        <w:t>Preclusión: Extinción, clausura, caducidad; acción y efecto de extinguirse el derecho a realizar un acto procesal, sea por prohibición de la ley, por haberse dejado pasar la oportunidad de verificarlo o por haberse realizado otro incompatible con aquel (Couture). // Principio procesal según el cual el juicio se divide en etapas, cada una de las cuales supone la clausura de la anterior, sin posibilidad de renovarla (Couture). Esta segunda definición coincide con la de Chiovenda cuando afirma que el proceso avanza cerrando estadios precedentes y no puede retroceder</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w:t>
      </w:r>
    </w:p>
    <w:p w14:paraId="6F3B8451" w14:textId="02B02EDE" w:rsidR="005C7F83" w:rsidRPr="00910B9D" w:rsidRDefault="005C7F83" w:rsidP="00D65C4A">
      <w:pPr>
        <w:pStyle w:val="Prrafodelista"/>
        <w:spacing w:line="240" w:lineRule="auto"/>
        <w:ind w:left="463"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p>
    <w:p w14:paraId="6BD96F04" w14:textId="77777777" w:rsidR="00D65C4A" w:rsidRPr="00910B9D" w:rsidRDefault="00D65C4A" w:rsidP="00D65C4A">
      <w:pPr>
        <w:pStyle w:val="Prrafodelista"/>
        <w:spacing w:line="240" w:lineRule="auto"/>
        <w:ind w:left="463" w:right="709"/>
        <w:jc w:val="both"/>
        <w:rPr>
          <w:rFonts w:ascii="Century Gothic" w:hAnsi="Century Gothic" w:cs="Arial"/>
          <w:color w:val="000000" w:themeColor="text1"/>
          <w:sz w:val="21"/>
          <w:szCs w:val="21"/>
        </w:rPr>
      </w:pP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preclusión. Efecto del transcurso de los plazos y de la finalización de los términos consistente en hacer imposible o completamente ineficaces los actos correspondientes. (…)</w:t>
      </w:r>
      <w:r>
        <w:rPr>
          <w:rFonts w:ascii="Century Gothic" w:hAnsi="Century Gothic" w:cs="Arial"/>
          <w:color w:val="000000" w:themeColor="text1"/>
          <w:sz w:val="21"/>
          <w:szCs w:val="21"/>
        </w:rPr>
        <w:t>”</w:t>
      </w:r>
      <w:r w:rsidRPr="00910B9D">
        <w:rPr>
          <w:rFonts w:ascii="Century Gothic" w:hAnsi="Century Gothic" w:cs="Arial"/>
          <w:color w:val="000000" w:themeColor="text1"/>
          <w:sz w:val="21"/>
          <w:szCs w:val="21"/>
        </w:rPr>
        <w:t>.</w:t>
      </w:r>
      <w:r w:rsidRPr="00910B9D">
        <w:rPr>
          <w:rStyle w:val="Refdenotaalpie"/>
          <w:rFonts w:ascii="Century Gothic" w:hAnsi="Century Gothic" w:cs="Arial"/>
          <w:color w:val="000000" w:themeColor="text1"/>
          <w:sz w:val="21"/>
          <w:szCs w:val="21"/>
        </w:rPr>
        <w:footnoteReference w:id="15"/>
      </w:r>
    </w:p>
    <w:p w14:paraId="0F84DA73" w14:textId="77777777" w:rsidR="00D65C4A" w:rsidRPr="00910B9D" w:rsidRDefault="00D65C4A" w:rsidP="00D65C4A">
      <w:pPr>
        <w:pStyle w:val="Prrafodelista"/>
        <w:spacing w:after="0" w:line="240" w:lineRule="auto"/>
        <w:ind w:left="463"/>
        <w:jc w:val="both"/>
        <w:rPr>
          <w:rFonts w:ascii="Century Gothic" w:hAnsi="Century Gothic" w:cs="Arial"/>
          <w:color w:val="000000" w:themeColor="text1"/>
        </w:rPr>
      </w:pPr>
    </w:p>
    <w:p w14:paraId="76BD3A20" w14:textId="673ECF76" w:rsidR="00D65C4A" w:rsidRPr="00A50145" w:rsidRDefault="00D65C4A" w:rsidP="00D65C4A">
      <w:pPr>
        <w:spacing w:line="276" w:lineRule="auto"/>
        <w:ind w:firstLine="463"/>
        <w:jc w:val="both"/>
        <w:rPr>
          <w:rFonts w:ascii="Century Gothic" w:hAnsi="Century Gothic" w:cs="Arial"/>
          <w:color w:val="000000" w:themeColor="text1"/>
        </w:rPr>
      </w:pPr>
      <w:r w:rsidRPr="00A50145">
        <w:rPr>
          <w:rFonts w:ascii="Century Gothic" w:hAnsi="Century Gothic" w:cs="Arial"/>
          <w:color w:val="000000" w:themeColor="text1"/>
        </w:rPr>
        <w:t xml:space="preserve">En conclusión y en virtud del principio de economía, 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sidRPr="00A50145">
        <w:rPr>
          <w:rFonts w:ascii="Century Gothic" w:hAnsi="Century Gothic" w:cs="Arial"/>
          <w:color w:val="000000" w:themeColor="text1"/>
        </w:rPr>
        <w:t>preclusividad</w:t>
      </w:r>
      <w:proofErr w:type="spellEnd"/>
      <w:r w:rsidRPr="00A50145">
        <w:rPr>
          <w:rFonts w:ascii="Century Gothic" w:hAnsi="Century Gothic" w:cs="Arial"/>
          <w:color w:val="000000" w:themeColor="text1"/>
        </w:rPr>
        <w:t xml:space="preserve"> y perentoriedad de los términos que rigen las fases o etapas del proceso de contratación, máxime teniendo en cuenta que una vez agotada una fase del proceso de contratación la </w:t>
      </w:r>
      <w:r w:rsidR="00277068">
        <w:rPr>
          <w:rFonts w:ascii="Century Gothic" w:hAnsi="Century Gothic" w:cs="Arial"/>
          <w:color w:val="000000" w:themeColor="text1"/>
        </w:rPr>
        <w:t>Entidad Estatal</w:t>
      </w:r>
      <w:r w:rsidRPr="00A50145">
        <w:rPr>
          <w:rFonts w:ascii="Century Gothic" w:hAnsi="Century Gothic" w:cs="Arial"/>
          <w:color w:val="000000" w:themeColor="text1"/>
        </w:rPr>
        <w:t>, en principio, no puede volver sobre esa etapa del proceso de selección.</w:t>
      </w:r>
    </w:p>
    <w:p w14:paraId="338CE679" w14:textId="2DC59FB2" w:rsidR="005401EC" w:rsidRPr="0042636E" w:rsidRDefault="005401EC" w:rsidP="0042636E">
      <w:pPr>
        <w:pStyle w:val="Prrafodelista"/>
        <w:numPr>
          <w:ilvl w:val="0"/>
          <w:numId w:val="16"/>
        </w:numPr>
        <w:spacing w:after="120" w:line="276" w:lineRule="auto"/>
        <w:jc w:val="both"/>
        <w:rPr>
          <w:rFonts w:ascii="Century Gothic" w:eastAsia="Calibri" w:hAnsi="Century Gothic" w:cs="Arial"/>
          <w:b/>
          <w:szCs w:val="24"/>
          <w:lang w:eastAsia="es-MX"/>
        </w:rPr>
      </w:pPr>
      <w:r w:rsidRPr="0042636E">
        <w:rPr>
          <w:rFonts w:ascii="Century Gothic" w:eastAsia="Calibri" w:hAnsi="Century Gothic" w:cs="Arial"/>
          <w:b/>
          <w:szCs w:val="24"/>
          <w:lang w:eastAsia="es-MX"/>
        </w:rPr>
        <w:t>Respuesta</w:t>
      </w:r>
    </w:p>
    <w:p w14:paraId="482C2748" w14:textId="77777777" w:rsidR="008B5661" w:rsidRDefault="008B5661" w:rsidP="008B5661">
      <w:pPr>
        <w:spacing w:line="240" w:lineRule="auto"/>
        <w:ind w:left="709" w:right="709"/>
        <w:jc w:val="both"/>
        <w:rPr>
          <w:rFonts w:ascii="Century Gothic" w:hAnsi="Century Gothic" w:cs="Arial"/>
          <w:sz w:val="21"/>
          <w:szCs w:val="21"/>
        </w:rPr>
      </w:pPr>
      <w:r w:rsidRPr="005401EC">
        <w:rPr>
          <w:rFonts w:ascii="Century Gothic" w:hAnsi="Century Gothic" w:cs="Arial"/>
          <w:sz w:val="21"/>
          <w:szCs w:val="21"/>
        </w:rPr>
        <w:t>“</w:t>
      </w:r>
      <w:r w:rsidRPr="008016CA">
        <w:rPr>
          <w:rFonts w:ascii="Century Gothic" w:hAnsi="Century Gothic" w:cs="Arial"/>
          <w:sz w:val="21"/>
          <w:szCs w:val="21"/>
        </w:rPr>
        <w:t>1. El formato capacidad técnica que trae el pliego tipo en el cual se relacionan los profesionales adscritos a la planta de personal del proponente, ¿debe estar firmado por un contador o revisor fiscal? O ¿basta con la firma de su Representante Legal?</w:t>
      </w:r>
      <w:r w:rsidRPr="005401EC">
        <w:rPr>
          <w:rFonts w:ascii="Century Gothic" w:hAnsi="Century Gothic" w:cs="Arial"/>
          <w:sz w:val="21"/>
          <w:szCs w:val="21"/>
        </w:rPr>
        <w:t>” (Sic).</w:t>
      </w:r>
    </w:p>
    <w:p w14:paraId="584C476C" w14:textId="77777777" w:rsidR="005401EC" w:rsidRPr="005401EC" w:rsidRDefault="005401EC" w:rsidP="005401EC">
      <w:pPr>
        <w:tabs>
          <w:tab w:val="left" w:pos="426"/>
          <w:tab w:val="left" w:pos="1993"/>
        </w:tabs>
        <w:spacing w:after="0"/>
        <w:ind w:left="709" w:right="709"/>
        <w:jc w:val="both"/>
        <w:rPr>
          <w:rFonts w:ascii="Century Gothic" w:hAnsi="Century Gothic" w:cs="Arial"/>
          <w:szCs w:val="20"/>
        </w:rPr>
      </w:pPr>
    </w:p>
    <w:p w14:paraId="27A7CD25" w14:textId="39CB5BE2" w:rsidR="00267B02" w:rsidRDefault="005401EC" w:rsidP="0074799D">
      <w:pPr>
        <w:jc w:val="both"/>
        <w:rPr>
          <w:rFonts w:ascii="Century Gothic" w:eastAsia="Arial" w:hAnsi="Century Gothic" w:cs="Arial"/>
        </w:rPr>
      </w:pPr>
      <w:r w:rsidRPr="005401EC">
        <w:rPr>
          <w:rFonts w:ascii="Century Gothic" w:hAnsi="Century Gothic" w:cs="Arial"/>
        </w:rPr>
        <w:t xml:space="preserve">De acuerdo con lo explicado, en el contexto de un proceso de selección adelantado por </w:t>
      </w:r>
      <w:r w:rsidR="000E511A" w:rsidRPr="000E511A">
        <w:rPr>
          <w:rFonts w:ascii="Century Gothic" w:hAnsi="Century Gothic" w:cs="Arial"/>
          <w:i/>
          <w:iCs/>
        </w:rPr>
        <w:t>D</w:t>
      </w:r>
      <w:r w:rsidRPr="000E511A">
        <w:rPr>
          <w:rFonts w:ascii="Century Gothic" w:hAnsi="Century Gothic" w:cs="Arial"/>
          <w:i/>
          <w:iCs/>
        </w:rPr>
        <w:t xml:space="preserve">ocumento </w:t>
      </w:r>
      <w:r w:rsidR="000E511A" w:rsidRPr="000E511A">
        <w:rPr>
          <w:rFonts w:ascii="Century Gothic" w:hAnsi="Century Gothic" w:cs="Arial"/>
          <w:i/>
          <w:iCs/>
        </w:rPr>
        <w:t>T</w:t>
      </w:r>
      <w:r w:rsidRPr="000E511A">
        <w:rPr>
          <w:rFonts w:ascii="Century Gothic" w:hAnsi="Century Gothic" w:cs="Arial"/>
          <w:i/>
          <w:iCs/>
        </w:rPr>
        <w:t>ipo</w:t>
      </w:r>
      <w:r w:rsidRPr="005401EC">
        <w:rPr>
          <w:rFonts w:ascii="Century Gothic" w:hAnsi="Century Gothic" w:cs="Arial"/>
        </w:rPr>
        <w:t>, el Formato 5 es el documento destinado a la acreditación de la capacidad residual, en el que debe consignarse la información requerida para su acreditación de conformidad con el artículo 2.2.1.1.1.6.4 del Decreto 1082 de 2015</w:t>
      </w:r>
      <w:r w:rsidR="00C40BE5">
        <w:rPr>
          <w:rFonts w:ascii="Century Gothic" w:hAnsi="Century Gothic" w:cs="Arial"/>
        </w:rPr>
        <w:t xml:space="preserve">. </w:t>
      </w:r>
      <w:r w:rsidRPr="005401EC">
        <w:rPr>
          <w:rFonts w:ascii="Century Gothic" w:hAnsi="Century Gothic" w:cs="Arial"/>
        </w:rPr>
        <w:t>Dicha información</w:t>
      </w:r>
      <w:r w:rsidR="00C378C5">
        <w:rPr>
          <w:rFonts w:ascii="Century Gothic" w:hAnsi="Century Gothic" w:cs="Arial"/>
        </w:rPr>
        <w:t xml:space="preserve"> debe ser diligenciada</w:t>
      </w:r>
      <w:r w:rsidR="00DE401F">
        <w:rPr>
          <w:rFonts w:ascii="Century Gothic" w:hAnsi="Century Gothic" w:cs="Arial"/>
        </w:rPr>
        <w:t xml:space="preserve"> conforme lo indica la </w:t>
      </w:r>
      <w:r w:rsidR="00DE401F" w:rsidRPr="00EC7C07">
        <w:rPr>
          <w:rFonts w:ascii="Century Gothic" w:eastAsia="Times New Roman" w:hAnsi="Century Gothic" w:cs="Arial"/>
          <w:i/>
          <w:iCs/>
          <w:color w:val="000000"/>
          <w:lang w:val="es-MX" w:eastAsia="en-GB"/>
        </w:rPr>
        <w:t>“Guía para Determinar y Verificar la Capacidad Residual del Proponente en los Procesos de Contratación de Obra Pública”</w:t>
      </w:r>
      <w:r w:rsidR="00DE401F">
        <w:rPr>
          <w:rFonts w:ascii="Century Gothic" w:eastAsia="Times New Roman" w:hAnsi="Century Gothic" w:cs="Arial"/>
          <w:i/>
          <w:iCs/>
          <w:color w:val="000000"/>
          <w:lang w:val="es-MX" w:eastAsia="en-GB"/>
        </w:rPr>
        <w:t xml:space="preserve"> </w:t>
      </w:r>
      <w:r w:rsidR="00DE401F">
        <w:rPr>
          <w:rFonts w:ascii="Century Gothic" w:eastAsia="Times New Roman" w:hAnsi="Century Gothic" w:cs="Arial"/>
          <w:color w:val="000000"/>
          <w:lang w:val="es-MX" w:eastAsia="en-GB"/>
        </w:rPr>
        <w:t>expedido por esta Agencia</w:t>
      </w:r>
      <w:r w:rsidRPr="005401EC">
        <w:rPr>
          <w:rFonts w:ascii="Century Gothic" w:hAnsi="Century Gothic" w:cs="Arial"/>
        </w:rPr>
        <w:t xml:space="preserve">, </w:t>
      </w:r>
      <w:r w:rsidR="00665A85">
        <w:rPr>
          <w:rFonts w:ascii="Century Gothic" w:hAnsi="Century Gothic" w:cs="Arial"/>
        </w:rPr>
        <w:t xml:space="preserve">según la cual, </w:t>
      </w:r>
      <w:r w:rsidRPr="005401EC">
        <w:rPr>
          <w:rFonts w:ascii="Century Gothic" w:hAnsi="Century Gothic" w:cs="Arial"/>
        </w:rPr>
        <w:t xml:space="preserve">el proponente deberá </w:t>
      </w:r>
      <w:r w:rsidR="0074799D">
        <w:rPr>
          <w:rFonts w:ascii="Century Gothic" w:hAnsi="Century Gothic" w:cs="Arial"/>
        </w:rPr>
        <w:t>aportar</w:t>
      </w:r>
      <w:r w:rsidRPr="005401EC">
        <w:rPr>
          <w:rFonts w:ascii="Century Gothic" w:hAnsi="Century Gothic" w:cs="Arial"/>
        </w:rPr>
        <w:t xml:space="preserve"> </w:t>
      </w:r>
      <w:r w:rsidRPr="005401EC">
        <w:rPr>
          <w:rFonts w:ascii="Century Gothic" w:eastAsia="Calibri" w:hAnsi="Century Gothic" w:cs="Arial"/>
          <w:lang w:val="es-MX"/>
        </w:rPr>
        <w:t>para</w:t>
      </w:r>
      <w:r w:rsidRPr="005401EC">
        <w:rPr>
          <w:rFonts w:ascii="Century Gothic" w:eastAsia="Arial," w:hAnsi="Century Gothic" w:cs="Arial"/>
          <w:lang w:val="es-MX"/>
        </w:rPr>
        <w:t xml:space="preserve"> </w:t>
      </w:r>
      <w:r w:rsidRPr="005401EC">
        <w:rPr>
          <w:rFonts w:ascii="Century Gothic" w:eastAsia="Calibri" w:hAnsi="Century Gothic" w:cs="Arial"/>
          <w:lang w:val="es-MX"/>
        </w:rPr>
        <w:t>acreditar</w:t>
      </w:r>
      <w:r w:rsidRPr="005401EC">
        <w:rPr>
          <w:rFonts w:ascii="Century Gothic" w:eastAsia="Arial," w:hAnsi="Century Gothic" w:cs="Arial"/>
          <w:lang w:val="es-MX"/>
        </w:rPr>
        <w:t xml:space="preserve"> </w:t>
      </w:r>
      <w:r w:rsidRPr="005401EC">
        <w:rPr>
          <w:rFonts w:ascii="Century Gothic" w:eastAsia="Calibri" w:hAnsi="Century Gothic" w:cs="Arial"/>
          <w:lang w:val="es-MX"/>
        </w:rPr>
        <w:t>el</w:t>
      </w:r>
      <w:r w:rsidRPr="005401EC">
        <w:rPr>
          <w:rFonts w:ascii="Century Gothic" w:eastAsia="Arial," w:hAnsi="Century Gothic" w:cs="Arial"/>
          <w:lang w:val="es-MX"/>
        </w:rPr>
        <w:t xml:space="preserve"> </w:t>
      </w:r>
      <w:r w:rsidRPr="005401EC">
        <w:rPr>
          <w:rFonts w:ascii="Century Gothic" w:eastAsia="Calibri" w:hAnsi="Century Gothic" w:cs="Arial"/>
          <w:lang w:val="es-MX"/>
        </w:rPr>
        <w:t>factor</w:t>
      </w:r>
      <w:r w:rsidRPr="005401EC">
        <w:rPr>
          <w:rFonts w:ascii="Century Gothic" w:eastAsia="Arial," w:hAnsi="Century Gothic" w:cs="Arial"/>
          <w:lang w:val="es-MX"/>
        </w:rPr>
        <w:t xml:space="preserve"> </w:t>
      </w:r>
      <w:r w:rsidR="00554A61">
        <w:rPr>
          <w:rFonts w:ascii="Century Gothic" w:eastAsia="Calibri" w:hAnsi="Century Gothic" w:cs="Arial"/>
          <w:lang w:val="es-MX"/>
        </w:rPr>
        <w:t xml:space="preserve">de la capacidad técnica (CT) </w:t>
      </w:r>
      <w:r w:rsidR="0074799D">
        <w:rPr>
          <w:rFonts w:ascii="Century Gothic" w:eastAsia="Calibri" w:hAnsi="Century Gothic" w:cs="Arial"/>
          <w:lang w:val="es-MX"/>
        </w:rPr>
        <w:t xml:space="preserve">debidamente </w:t>
      </w:r>
      <w:r w:rsidR="004A52A7">
        <w:rPr>
          <w:rFonts w:ascii="Century Gothic" w:eastAsia="Calibri" w:hAnsi="Century Gothic" w:cs="Arial"/>
          <w:lang w:val="es-MX"/>
        </w:rPr>
        <w:t xml:space="preserve">diligenciado </w:t>
      </w:r>
      <w:r w:rsidR="00267B02" w:rsidRPr="005401EC">
        <w:rPr>
          <w:rFonts w:ascii="Century Gothic" w:eastAsia="Arial" w:hAnsi="Century Gothic" w:cs="Arial"/>
        </w:rPr>
        <w:t xml:space="preserve">el Anexo 2 de la </w:t>
      </w:r>
      <w:r w:rsidR="00267B02">
        <w:rPr>
          <w:rFonts w:ascii="Century Gothic" w:eastAsia="Arial" w:hAnsi="Century Gothic" w:cs="Arial"/>
        </w:rPr>
        <w:t>citada guía</w:t>
      </w:r>
      <w:r w:rsidR="004A52A7">
        <w:rPr>
          <w:rFonts w:ascii="Century Gothic" w:eastAsia="Arial" w:hAnsi="Century Gothic" w:cs="Arial"/>
        </w:rPr>
        <w:t xml:space="preserve">. </w:t>
      </w:r>
    </w:p>
    <w:p w14:paraId="6B75DBCE" w14:textId="18BD08E6" w:rsidR="00267B02" w:rsidRDefault="004A52A7" w:rsidP="00267B02">
      <w:pPr>
        <w:tabs>
          <w:tab w:val="left" w:pos="426"/>
        </w:tabs>
        <w:spacing w:after="0" w:line="276" w:lineRule="auto"/>
        <w:jc w:val="both"/>
        <w:rPr>
          <w:rFonts w:ascii="Century Gothic" w:hAnsi="Century Gothic" w:cs="Arial"/>
          <w:szCs w:val="20"/>
        </w:rPr>
      </w:pPr>
      <w:r>
        <w:rPr>
          <w:rFonts w:ascii="Century Gothic" w:hAnsi="Century Gothic" w:cs="Arial"/>
          <w:szCs w:val="20"/>
        </w:rPr>
        <w:tab/>
      </w:r>
      <w:r>
        <w:rPr>
          <w:rFonts w:ascii="Century Gothic" w:hAnsi="Century Gothic" w:cs="Arial"/>
          <w:szCs w:val="20"/>
        </w:rPr>
        <w:tab/>
        <w:t>El</w:t>
      </w:r>
      <w:r w:rsidR="00267B02">
        <w:rPr>
          <w:rFonts w:ascii="Century Gothic" w:hAnsi="Century Gothic" w:cs="Arial"/>
          <w:szCs w:val="20"/>
        </w:rPr>
        <w:t xml:space="preserve"> anexo</w:t>
      </w:r>
      <w:r>
        <w:rPr>
          <w:rFonts w:ascii="Century Gothic" w:hAnsi="Century Gothic" w:cs="Arial"/>
          <w:szCs w:val="20"/>
        </w:rPr>
        <w:t xml:space="preserve"> 2</w:t>
      </w:r>
      <w:r w:rsidR="00267B02">
        <w:rPr>
          <w:rFonts w:ascii="Century Gothic" w:hAnsi="Century Gothic" w:cs="Arial"/>
          <w:szCs w:val="20"/>
        </w:rPr>
        <w:t xml:space="preserve"> en mención solicita que el proponente identifique en el formato el nombre del socio o el profesional, y relacione su profesión, su respectivo número de matrícula profesional, el número y año del contrato laboral o de prestación de servicios profesionales y la vigencia de este. Además, indic</w:t>
      </w:r>
      <w:r w:rsidR="00A746D3">
        <w:rPr>
          <w:rFonts w:ascii="Century Gothic" w:hAnsi="Century Gothic" w:cs="Arial"/>
          <w:szCs w:val="20"/>
        </w:rPr>
        <w:t>a</w:t>
      </w:r>
      <w:r w:rsidR="00267B02">
        <w:rPr>
          <w:rFonts w:ascii="Century Gothic" w:hAnsi="Century Gothic" w:cs="Arial"/>
          <w:szCs w:val="20"/>
        </w:rPr>
        <w:t xml:space="preserve"> que dicho formato deberá ser suscrito por el representante legal del oferente y por el respectivo representante del auditor o revisor fiscal del proponente, en caso de serle obligatorio</w:t>
      </w:r>
      <w:r w:rsidR="00A746D3">
        <w:rPr>
          <w:rFonts w:ascii="Century Gothic" w:hAnsi="Century Gothic" w:cs="Arial"/>
          <w:szCs w:val="20"/>
        </w:rPr>
        <w:t xml:space="preserve">, por lo tanto, dependerá de las condiciones de </w:t>
      </w:r>
      <w:r w:rsidR="005D3C31">
        <w:rPr>
          <w:rFonts w:ascii="Century Gothic" w:hAnsi="Century Gothic" w:cs="Arial"/>
          <w:szCs w:val="20"/>
        </w:rPr>
        <w:t>cada proponente la obligatoriedad de que dicho anexo sea firmado o no por el auditor o revisor fiscal.</w:t>
      </w:r>
    </w:p>
    <w:p w14:paraId="5E03ED9E" w14:textId="77777777" w:rsidR="008B5661" w:rsidRDefault="008B5661" w:rsidP="005401EC">
      <w:pPr>
        <w:spacing w:after="0" w:line="276" w:lineRule="auto"/>
        <w:jc w:val="both"/>
        <w:rPr>
          <w:rFonts w:ascii="Century Gothic" w:hAnsi="Century Gothic" w:cs="Arial"/>
        </w:rPr>
      </w:pPr>
    </w:p>
    <w:p w14:paraId="42F3D9CF" w14:textId="77777777" w:rsidR="008B5661" w:rsidRPr="00A03FB7" w:rsidRDefault="008B5661" w:rsidP="008B5661">
      <w:pPr>
        <w:spacing w:line="240" w:lineRule="auto"/>
        <w:ind w:left="709" w:right="709"/>
        <w:jc w:val="both"/>
        <w:rPr>
          <w:rFonts w:ascii="Century Gothic" w:hAnsi="Century Gothic" w:cs="Arial"/>
          <w:sz w:val="21"/>
          <w:szCs w:val="21"/>
        </w:rPr>
      </w:pPr>
      <w:r>
        <w:rPr>
          <w:rFonts w:ascii="Century Gothic" w:hAnsi="Century Gothic" w:cs="Arial"/>
          <w:sz w:val="21"/>
          <w:szCs w:val="21"/>
        </w:rPr>
        <w:t xml:space="preserve">“2. </w:t>
      </w:r>
      <w:r w:rsidRPr="00A03FB7">
        <w:rPr>
          <w:rFonts w:ascii="Century Gothic" w:hAnsi="Century Gothic" w:cs="Arial"/>
          <w:sz w:val="21"/>
          <w:szCs w:val="21"/>
        </w:rPr>
        <w:t>Una vez la Entidad realiza la publicación del informe de evaluación definitivo en el cual se tienen consolidados los proponentes habilitados, para el momento de la audiencia de adjudicación y sobre este informe se reciben observaciones colocando en duda la acreditación de uno de los requisitos habilitantes de algún proponente,</w:t>
      </w:r>
    </w:p>
    <w:p w14:paraId="7B0DC8F5" w14:textId="77777777" w:rsidR="008B5661" w:rsidRPr="00A03FB7" w:rsidRDefault="008B5661" w:rsidP="008B5661">
      <w:pPr>
        <w:spacing w:line="240" w:lineRule="auto"/>
        <w:ind w:left="709" w:right="709"/>
        <w:jc w:val="both"/>
        <w:rPr>
          <w:rFonts w:ascii="Century Gothic" w:hAnsi="Century Gothic" w:cs="Arial"/>
          <w:sz w:val="21"/>
          <w:szCs w:val="21"/>
        </w:rPr>
      </w:pPr>
      <w:r w:rsidRPr="00A03FB7">
        <w:rPr>
          <w:rFonts w:ascii="Century Gothic" w:hAnsi="Century Gothic" w:cs="Arial"/>
          <w:sz w:val="21"/>
          <w:szCs w:val="21"/>
        </w:rPr>
        <w:t xml:space="preserve">a) ¿La entidad debe requerir a los observados y otorgar un nuevo término de subsanación o estas observaciones se extienden extemporáneas por no haber sido presentadas durante el término de traslado del informe preliminar y por lo tanto se continúa con la diligencia sin modificación en el condición de habilitado/no habilitado </w:t>
      </w:r>
      <w:proofErr w:type="gramStart"/>
      <w:r w:rsidRPr="00A03FB7">
        <w:rPr>
          <w:rFonts w:ascii="Century Gothic" w:hAnsi="Century Gothic" w:cs="Arial"/>
          <w:sz w:val="21"/>
          <w:szCs w:val="21"/>
        </w:rPr>
        <w:t>de acuerdo a</w:t>
      </w:r>
      <w:proofErr w:type="gramEnd"/>
      <w:r w:rsidRPr="00A03FB7">
        <w:rPr>
          <w:rFonts w:ascii="Century Gothic" w:hAnsi="Century Gothic" w:cs="Arial"/>
          <w:sz w:val="21"/>
          <w:szCs w:val="21"/>
        </w:rPr>
        <w:t xml:space="preserve"> los resultados del informe final?</w:t>
      </w:r>
    </w:p>
    <w:p w14:paraId="5AE36B58" w14:textId="77777777" w:rsidR="008B5661" w:rsidRDefault="008B5661" w:rsidP="008B5661">
      <w:pPr>
        <w:spacing w:line="240" w:lineRule="auto"/>
        <w:ind w:left="709" w:right="709"/>
        <w:jc w:val="both"/>
        <w:rPr>
          <w:rFonts w:ascii="Century Gothic" w:hAnsi="Century Gothic" w:cs="Arial"/>
          <w:sz w:val="21"/>
          <w:szCs w:val="21"/>
        </w:rPr>
      </w:pPr>
      <w:r w:rsidRPr="00A03FB7">
        <w:rPr>
          <w:rFonts w:ascii="Century Gothic" w:hAnsi="Century Gothic" w:cs="Arial"/>
          <w:sz w:val="21"/>
          <w:szCs w:val="21"/>
        </w:rPr>
        <w:t xml:space="preserve"> b) En caso de ser necesario requerir a los oferentes, ¿cuál sería el término del traslado?</w:t>
      </w:r>
      <w:r>
        <w:rPr>
          <w:rFonts w:ascii="Century Gothic" w:hAnsi="Century Gothic" w:cs="Arial"/>
          <w:sz w:val="21"/>
          <w:szCs w:val="21"/>
        </w:rPr>
        <w:t>” (Sic).</w:t>
      </w:r>
    </w:p>
    <w:p w14:paraId="22476419" w14:textId="77777777" w:rsidR="0042636E" w:rsidRPr="00B21D0E" w:rsidRDefault="0042636E" w:rsidP="0042636E">
      <w:pPr>
        <w:widowControl w:val="0"/>
        <w:autoSpaceDE w:val="0"/>
        <w:autoSpaceDN w:val="0"/>
        <w:spacing w:after="120" w:line="276" w:lineRule="auto"/>
        <w:ind w:firstLine="578"/>
        <w:jc w:val="both"/>
        <w:rPr>
          <w:rFonts w:ascii="Century Gothic" w:eastAsia="Times New Roman" w:hAnsi="Century Gothic" w:cs="Arial"/>
          <w:color w:val="000000"/>
          <w:lang w:eastAsia="es-ES_tradnl"/>
        </w:rPr>
      </w:pPr>
      <w:r>
        <w:rPr>
          <w:rFonts w:ascii="Century Gothic" w:eastAsia="Times New Roman" w:hAnsi="Century Gothic" w:cs="Arial"/>
          <w:color w:val="000000"/>
          <w:lang w:eastAsia="es-ES_tradnl"/>
        </w:rPr>
        <w:t>En</w:t>
      </w:r>
      <w:r w:rsidRPr="00B21D0E">
        <w:rPr>
          <w:rFonts w:ascii="Century Gothic" w:eastAsia="Times New Roman" w:hAnsi="Century Gothic" w:cs="Arial"/>
          <w:color w:val="000000"/>
          <w:lang w:eastAsia="es-ES_tradnl"/>
        </w:rPr>
        <w:t xml:space="preserve"> virtud de los principios de economía y transparencia, los procesos de contratación se rigen particularmente, por la </w:t>
      </w:r>
      <w:proofErr w:type="spellStart"/>
      <w:r w:rsidRPr="00B21D0E">
        <w:rPr>
          <w:rFonts w:ascii="Century Gothic" w:eastAsia="Times New Roman" w:hAnsi="Century Gothic" w:cs="Arial"/>
          <w:color w:val="000000"/>
          <w:lang w:eastAsia="es-ES_tradnl"/>
        </w:rPr>
        <w:t>preclusividad</w:t>
      </w:r>
      <w:proofErr w:type="spellEnd"/>
      <w:r w:rsidRPr="00B21D0E">
        <w:rPr>
          <w:rFonts w:ascii="Century Gothic" w:eastAsia="Times New Roman" w:hAnsi="Century Gothic" w:cs="Arial"/>
          <w:color w:val="000000"/>
          <w:lang w:eastAsia="es-ES_tradnl"/>
        </w:rPr>
        <w:t xml:space="preserve"> y perentoriedad de los términos que rigen las etapas del proceso de selección del contratista. De manera que, cuando los interesados en un proceso de contratación presenten observaciones y/o solicitudes de aclaraciones al informe de evaluación de las ofertas, fuera de los plazos establecidos por el ordenamiento jurídico y por el cronograma del respectivo proceso de contratación pública, según el caso; dicha circunstancia implica </w:t>
      </w:r>
      <w:r w:rsidRPr="00D429B1">
        <w:rPr>
          <w:rFonts w:ascii="Century Gothic" w:eastAsia="Times New Roman" w:hAnsi="Century Gothic" w:cs="Arial"/>
          <w:i/>
          <w:iCs/>
          <w:color w:val="000000"/>
          <w:lang w:eastAsia="es-ES_tradnl"/>
        </w:rPr>
        <w:t xml:space="preserve">per </w:t>
      </w:r>
      <w:proofErr w:type="spellStart"/>
      <w:r w:rsidRPr="00D429B1">
        <w:rPr>
          <w:rFonts w:ascii="Century Gothic" w:eastAsia="Times New Roman" w:hAnsi="Century Gothic" w:cs="Arial"/>
          <w:i/>
          <w:iCs/>
          <w:color w:val="000000"/>
          <w:lang w:eastAsia="es-ES_tradnl"/>
        </w:rPr>
        <w:t>se</w:t>
      </w:r>
      <w:proofErr w:type="spellEnd"/>
      <w:r w:rsidRPr="00B21D0E">
        <w:rPr>
          <w:rFonts w:ascii="Century Gothic" w:eastAsia="Times New Roman" w:hAnsi="Century Gothic" w:cs="Arial"/>
          <w:color w:val="000000"/>
          <w:lang w:eastAsia="es-ES_tradnl"/>
        </w:rPr>
        <w:t xml:space="preserve"> que la observación es extemporánea.</w:t>
      </w:r>
    </w:p>
    <w:p w14:paraId="0F7A27B0" w14:textId="46C79BC3" w:rsidR="0024676C" w:rsidRPr="009A7416" w:rsidRDefault="0042636E" w:rsidP="0024676C">
      <w:pPr>
        <w:spacing w:before="120" w:after="120" w:line="276" w:lineRule="auto"/>
        <w:ind w:firstLine="580"/>
        <w:jc w:val="both"/>
        <w:rPr>
          <w:rStyle w:val="Textoennegrita"/>
          <w:rFonts w:ascii="Century Gothic" w:hAnsi="Century Gothic" w:cs="Arial"/>
          <w:b w:val="0"/>
          <w:bCs w:val="0"/>
          <w:color w:val="000000" w:themeColor="text1"/>
        </w:rPr>
      </w:pPr>
      <w:r w:rsidRPr="00B21D0E">
        <w:rPr>
          <w:rFonts w:ascii="Century Gothic" w:eastAsia="Times New Roman" w:hAnsi="Century Gothic" w:cs="Arial"/>
          <w:color w:val="000000"/>
          <w:lang w:eastAsia="es-ES_tradnl"/>
        </w:rPr>
        <w:t xml:space="preserve">Por lo cual, si bien la entidad estatal que adelanta un proceso de contratación está en la obligación de responder </w:t>
      </w:r>
      <w:r w:rsidR="00AE4882">
        <w:rPr>
          <w:rFonts w:ascii="Century Gothic" w:eastAsia="Times New Roman" w:hAnsi="Century Gothic" w:cs="Arial"/>
          <w:color w:val="000000"/>
          <w:lang w:eastAsia="es-ES_tradnl"/>
        </w:rPr>
        <w:t xml:space="preserve">todas </w:t>
      </w:r>
      <w:r w:rsidRPr="00B21D0E">
        <w:rPr>
          <w:rFonts w:ascii="Century Gothic" w:eastAsia="Times New Roman" w:hAnsi="Century Gothic" w:cs="Arial"/>
          <w:color w:val="000000"/>
          <w:lang w:eastAsia="es-ES_tradnl"/>
        </w:rPr>
        <w:t>las observaciones extemporáneas, esa respuesta</w:t>
      </w:r>
      <w:r w:rsidR="00AE4882">
        <w:rPr>
          <w:rFonts w:ascii="Century Gothic" w:eastAsia="Times New Roman" w:hAnsi="Century Gothic" w:cs="Arial"/>
          <w:color w:val="000000"/>
          <w:lang w:eastAsia="es-ES_tradnl"/>
        </w:rPr>
        <w:t xml:space="preserve"> puede </w:t>
      </w:r>
      <w:r w:rsidRPr="00B21D0E">
        <w:rPr>
          <w:rFonts w:ascii="Century Gothic" w:eastAsia="Times New Roman" w:hAnsi="Century Gothic" w:cs="Arial"/>
          <w:color w:val="000000"/>
          <w:lang w:eastAsia="es-ES_tradnl"/>
        </w:rPr>
        <w:t>consistir o limitarse al rechazo de la observación, precisamente, por ser extemporánea. Respuesta por demás, que debe proferirse antes de que inicie la siguiente etapa o fase del proceso contractual. En este sentido</w:t>
      </w:r>
      <w:r w:rsidR="0024676C">
        <w:rPr>
          <w:rFonts w:ascii="Century Gothic" w:eastAsia="Times New Roman" w:hAnsi="Century Gothic" w:cs="Arial"/>
          <w:color w:val="000000"/>
          <w:lang w:eastAsia="es-ES_tradnl"/>
        </w:rPr>
        <w:t>, se debe tener en cuenta que el</w:t>
      </w:r>
      <w:r w:rsidR="0024676C" w:rsidRPr="009A7416">
        <w:rPr>
          <w:rStyle w:val="Textoennegrita"/>
          <w:rFonts w:ascii="Century Gothic" w:hAnsi="Century Gothic" w:cs="Arial"/>
          <w:b w:val="0"/>
          <w:bCs w:val="0"/>
          <w:color w:val="000000" w:themeColor="text1"/>
        </w:rPr>
        <w:t xml:space="preserve"> propósito de la publicidad del informe de evaluación de las propuestas es que los oferentes puedan realizar las observaciones que a su juicio consideren pertinentes. No obstante, el ordenamiento jurídico no contempló de manera expresa un término para que las entidades estatales se pronuncien sobre las observaciones presentadas al informe de evaluación. Sin embargo, de la norma en cita si se puede determinar un momento límite para responder esas observaciones, el cual está determinado por el acto de adjudicación del respectivo contrato, es decir, la Entidad Estatal contratante antes de proferir su decisión de adjudicación del contrato, está en la obligación de responder las observaciones presentadas al informe de evaluación de las propuestas, como condición previa para la expedición del acto de adjudicación. </w:t>
      </w:r>
    </w:p>
    <w:p w14:paraId="372FB383" w14:textId="4F9B1636" w:rsidR="0024676C" w:rsidRDefault="009C32EE" w:rsidP="0024676C">
      <w:pPr>
        <w:spacing w:before="120" w:after="120" w:line="276" w:lineRule="auto"/>
        <w:ind w:firstLine="580"/>
        <w:jc w:val="both"/>
        <w:rPr>
          <w:rFonts w:ascii="Century Gothic" w:hAnsi="Century Gothic"/>
        </w:rPr>
      </w:pPr>
      <w:r w:rsidRPr="009A7416">
        <w:rPr>
          <w:rStyle w:val="Textoennegrita"/>
          <w:rFonts w:ascii="Century Gothic" w:hAnsi="Century Gothic" w:cs="Arial"/>
          <w:b w:val="0"/>
          <w:bCs w:val="0"/>
          <w:color w:val="000000" w:themeColor="text1"/>
        </w:rPr>
        <w:t>De acuerdo con</w:t>
      </w:r>
      <w:r w:rsidR="0024676C" w:rsidRPr="009A7416">
        <w:rPr>
          <w:rStyle w:val="Textoennegrita"/>
          <w:rFonts w:ascii="Century Gothic" w:hAnsi="Century Gothic" w:cs="Arial"/>
          <w:b w:val="0"/>
          <w:bCs w:val="0"/>
          <w:color w:val="000000" w:themeColor="text1"/>
        </w:rPr>
        <w:t xml:space="preserve"> lo anterior, en los procesos de licitación, la respuesta a las observaciones presentadas al informe de evaluación deberá efectuarse antes de que se emita el respectivo acto administrativo de adjudicación, puesto que en la audiencia de adjudicación</w:t>
      </w:r>
      <w:r w:rsidR="0024676C" w:rsidRPr="00A50145">
        <w:rPr>
          <w:rStyle w:val="Textoennegrita"/>
          <w:rFonts w:ascii="Century Gothic" w:hAnsi="Century Gothic" w:cs="Arial"/>
          <w:color w:val="000000" w:themeColor="text1"/>
        </w:rPr>
        <w:t xml:space="preserve"> </w:t>
      </w:r>
      <w:r w:rsidR="0024676C" w:rsidRPr="00A50145">
        <w:rPr>
          <w:rFonts w:ascii="Century Gothic" w:hAnsi="Century Gothic" w:cs="Arial"/>
          <w:color w:val="000000" w:themeColor="text1"/>
        </w:rPr>
        <w:t xml:space="preserve">los oferentes </w:t>
      </w:r>
      <w:r>
        <w:rPr>
          <w:rFonts w:ascii="Century Gothic" w:hAnsi="Century Gothic" w:cs="Arial"/>
          <w:color w:val="000000" w:themeColor="text1"/>
        </w:rPr>
        <w:t xml:space="preserve">se encuentran habilitados para </w:t>
      </w:r>
      <w:r w:rsidR="0024676C" w:rsidRPr="00A50145">
        <w:rPr>
          <w:rFonts w:ascii="Century Gothic" w:hAnsi="Century Gothic" w:cs="Arial"/>
          <w:color w:val="000000" w:themeColor="text1"/>
        </w:rPr>
        <w:t xml:space="preserve">pronunciarse sobre las respuestas dadas por la </w:t>
      </w:r>
      <w:r w:rsidR="0024676C">
        <w:rPr>
          <w:rFonts w:ascii="Century Gothic" w:hAnsi="Century Gothic" w:cs="Arial"/>
          <w:color w:val="000000" w:themeColor="text1"/>
        </w:rPr>
        <w:t>Entidad Estatal</w:t>
      </w:r>
      <w:r w:rsidR="0024676C" w:rsidRPr="00A50145">
        <w:rPr>
          <w:rFonts w:ascii="Century Gothic" w:hAnsi="Century Gothic" w:cs="Arial"/>
          <w:color w:val="000000" w:themeColor="text1"/>
        </w:rPr>
        <w:t xml:space="preserve"> a las observaciones presentadas respecto del informe de evaluación</w:t>
      </w:r>
      <w:r>
        <w:rPr>
          <w:rFonts w:ascii="Century Gothic" w:hAnsi="Century Gothic" w:cs="Arial"/>
          <w:color w:val="000000" w:themeColor="text1"/>
        </w:rPr>
        <w:t xml:space="preserve">, no obstante, ello tiene un límite, que es la </w:t>
      </w:r>
      <w:proofErr w:type="spellStart"/>
      <w:r>
        <w:rPr>
          <w:rFonts w:ascii="Century Gothic" w:hAnsi="Century Gothic" w:cs="Arial"/>
          <w:color w:val="000000" w:themeColor="text1"/>
        </w:rPr>
        <w:t>preclusividad</w:t>
      </w:r>
      <w:proofErr w:type="spellEnd"/>
      <w:r>
        <w:rPr>
          <w:rFonts w:ascii="Century Gothic" w:hAnsi="Century Gothic" w:cs="Arial"/>
          <w:color w:val="000000" w:themeColor="text1"/>
        </w:rPr>
        <w:t xml:space="preserve"> y perentoriedad de los pazos determinados en el proceso de selección y su cronograma, por lo tanto</w:t>
      </w:r>
      <w:r w:rsidR="0073364A">
        <w:rPr>
          <w:rFonts w:ascii="Century Gothic" w:hAnsi="Century Gothic" w:cs="Arial"/>
          <w:color w:val="000000" w:themeColor="text1"/>
        </w:rPr>
        <w:t>,</w:t>
      </w:r>
      <w:r>
        <w:rPr>
          <w:rFonts w:ascii="Century Gothic" w:hAnsi="Century Gothic" w:cs="Arial"/>
          <w:color w:val="000000" w:themeColor="text1"/>
        </w:rPr>
        <w:t xml:space="preserve"> si</w:t>
      </w:r>
      <w:r w:rsidR="0073364A">
        <w:rPr>
          <w:rFonts w:ascii="Century Gothic" w:hAnsi="Century Gothic" w:cs="Arial"/>
          <w:color w:val="000000" w:themeColor="text1"/>
        </w:rPr>
        <w:t xml:space="preserve"> </w:t>
      </w:r>
      <w:r>
        <w:rPr>
          <w:rFonts w:ascii="Century Gothic" w:hAnsi="Century Gothic" w:cs="Arial"/>
          <w:color w:val="000000" w:themeColor="text1"/>
        </w:rPr>
        <w:t xml:space="preserve"> la audiencia de adjudicación, ya se encuentra en el etapa de apertura del s</w:t>
      </w:r>
      <w:r w:rsidR="0024676C" w:rsidRPr="00910B9D">
        <w:rPr>
          <w:rFonts w:ascii="Century Gothic" w:hAnsi="Century Gothic"/>
        </w:rPr>
        <w:t xml:space="preserve">egundo sobre de las ofertas económicas, </w:t>
      </w:r>
      <w:r w:rsidR="0024676C">
        <w:rPr>
          <w:rFonts w:ascii="Century Gothic" w:hAnsi="Century Gothic"/>
        </w:rPr>
        <w:t>sólo</w:t>
      </w:r>
      <w:r w:rsidR="0024676C" w:rsidRPr="00910B9D">
        <w:rPr>
          <w:rFonts w:ascii="Century Gothic" w:hAnsi="Century Gothic"/>
        </w:rPr>
        <w:t xml:space="preserve"> se correrá traslado </w:t>
      </w:r>
      <w:r w:rsidR="0024676C">
        <w:rPr>
          <w:rFonts w:ascii="Century Gothic" w:hAnsi="Century Gothic"/>
        </w:rPr>
        <w:t xml:space="preserve">a los proponentes habilitados </w:t>
      </w:r>
      <w:r w:rsidR="0024676C" w:rsidRPr="00910B9D">
        <w:rPr>
          <w:rFonts w:ascii="Century Gothic" w:hAnsi="Century Gothic"/>
        </w:rPr>
        <w:t>sólo para revisiones del aspecto</w:t>
      </w:r>
      <w:r w:rsidR="0024676C" w:rsidRPr="00910B9D">
        <w:rPr>
          <w:rFonts w:ascii="Century Gothic" w:hAnsi="Century Gothic"/>
          <w:spacing w:val="-3"/>
        </w:rPr>
        <w:t xml:space="preserve"> </w:t>
      </w:r>
      <w:r w:rsidR="0024676C" w:rsidRPr="00910B9D">
        <w:rPr>
          <w:rFonts w:ascii="Century Gothic" w:hAnsi="Century Gothic"/>
        </w:rPr>
        <w:t>económico</w:t>
      </w:r>
      <w:r w:rsidR="0024676C">
        <w:rPr>
          <w:rFonts w:ascii="Century Gothic" w:hAnsi="Century Gothic"/>
        </w:rPr>
        <w:t>, por lo que se deberá presentar y resolver observaciones exclusivamente de dicho tema.</w:t>
      </w:r>
    </w:p>
    <w:p w14:paraId="040B71A9" w14:textId="77777777" w:rsidR="005401EC" w:rsidRPr="005401EC" w:rsidRDefault="005401EC" w:rsidP="005401EC">
      <w:pPr>
        <w:tabs>
          <w:tab w:val="left" w:pos="1358"/>
        </w:tabs>
        <w:spacing w:after="0" w:line="240" w:lineRule="auto"/>
        <w:ind w:right="709"/>
        <w:jc w:val="both"/>
        <w:rPr>
          <w:rFonts w:ascii="Century Gothic" w:hAnsi="Century Gothic" w:cs="Arial"/>
          <w:sz w:val="21"/>
          <w:szCs w:val="21"/>
        </w:rPr>
      </w:pPr>
      <w:r w:rsidRPr="005401EC">
        <w:rPr>
          <w:rFonts w:ascii="Century Gothic" w:hAnsi="Century Gothic" w:cs="Arial"/>
          <w:sz w:val="21"/>
          <w:szCs w:val="21"/>
        </w:rPr>
        <w:t xml:space="preserve"> </w:t>
      </w:r>
      <w:r w:rsidRPr="005401EC">
        <w:rPr>
          <w:rFonts w:ascii="Century Gothic" w:hAnsi="Century Gothic" w:cs="Arial"/>
          <w:sz w:val="21"/>
          <w:szCs w:val="21"/>
        </w:rPr>
        <w:tab/>
      </w:r>
    </w:p>
    <w:p w14:paraId="461421E2" w14:textId="77777777" w:rsidR="005401EC" w:rsidRPr="005401EC" w:rsidRDefault="005401EC" w:rsidP="005401EC">
      <w:pPr>
        <w:spacing w:line="276" w:lineRule="auto"/>
        <w:jc w:val="both"/>
        <w:rPr>
          <w:rFonts w:ascii="Century Gothic" w:hAnsi="Century Gothic" w:cs="Arial"/>
          <w:lang w:val="es-ES_tradnl"/>
        </w:rPr>
      </w:pPr>
      <w:r w:rsidRPr="005401EC">
        <w:rPr>
          <w:rFonts w:ascii="Century Gothic" w:hAnsi="Century Gothic"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D64AB81" w14:textId="77777777" w:rsidR="005401EC" w:rsidRPr="005401EC" w:rsidRDefault="005401EC" w:rsidP="005401EC">
      <w:pPr>
        <w:spacing w:after="0" w:line="276" w:lineRule="auto"/>
        <w:contextualSpacing/>
        <w:jc w:val="both"/>
        <w:rPr>
          <w:rFonts w:ascii="Century Gothic" w:eastAsia="Calibri" w:hAnsi="Century Gothic" w:cs="Arial"/>
          <w:lang w:eastAsia="es-MX"/>
        </w:rPr>
      </w:pPr>
    </w:p>
    <w:p w14:paraId="6A142384" w14:textId="77777777" w:rsidR="005401EC" w:rsidRPr="005401EC" w:rsidRDefault="005401EC" w:rsidP="005401EC">
      <w:pPr>
        <w:spacing w:after="0" w:line="276" w:lineRule="auto"/>
        <w:rPr>
          <w:rFonts w:ascii="Century Gothic" w:eastAsia="Times New Roman" w:hAnsi="Century Gothic" w:cs="Arial"/>
          <w:lang w:eastAsia="es-CO"/>
        </w:rPr>
      </w:pPr>
      <w:r w:rsidRPr="005401EC">
        <w:rPr>
          <w:rFonts w:ascii="Century Gothic" w:eastAsia="Times New Roman" w:hAnsi="Century Gothic" w:cs="Arial"/>
          <w:lang w:eastAsia="es-CO"/>
        </w:rPr>
        <w:t>Atentamente,</w:t>
      </w:r>
    </w:p>
    <w:p w14:paraId="21A36CE0" w14:textId="0291FA48" w:rsidR="005401EC" w:rsidRPr="005401EC" w:rsidRDefault="00A85718" w:rsidP="005401EC">
      <w:pPr>
        <w:spacing w:after="0" w:line="276" w:lineRule="auto"/>
        <w:jc w:val="center"/>
        <w:rPr>
          <w:rFonts w:ascii="Century Gothic" w:hAnsi="Century Gothic"/>
        </w:rPr>
      </w:pPr>
      <w:r w:rsidRPr="001B7209">
        <w:rPr>
          <w:rFonts w:ascii="Century Gothic" w:hAnsi="Century Gothic"/>
          <w:noProof/>
        </w:rPr>
        <w:drawing>
          <wp:inline distT="0" distB="0" distL="0" distR="0" wp14:anchorId="353B4824" wp14:editId="3E4B5875">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p w14:paraId="159492C3" w14:textId="77777777" w:rsidR="005401EC" w:rsidRPr="005401EC" w:rsidRDefault="005401EC" w:rsidP="005401EC">
      <w:pPr>
        <w:spacing w:after="0" w:line="276" w:lineRule="auto"/>
        <w:jc w:val="center"/>
        <w:rPr>
          <w:rFonts w:ascii="Century Gothic" w:eastAsia="Times New Roman" w:hAnsi="Century Gothic" w:cs="Arial"/>
          <w:color w:val="000000"/>
          <w:sz w:val="16"/>
          <w:szCs w:val="16"/>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413"/>
      </w:tblGrid>
      <w:tr w:rsidR="005401EC" w:rsidRPr="005401EC" w14:paraId="26D247DE" w14:textId="77777777" w:rsidTr="5BC413EF">
        <w:trPr>
          <w:trHeight w:val="160"/>
        </w:trPr>
        <w:tc>
          <w:tcPr>
            <w:tcW w:w="812" w:type="dxa"/>
            <w:vAlign w:val="center"/>
            <w:hideMark/>
          </w:tcPr>
          <w:p w14:paraId="7FCEFDF4" w14:textId="77777777" w:rsidR="005401EC" w:rsidRPr="005401EC" w:rsidRDefault="005401EC" w:rsidP="00F15FF4">
            <w:pPr>
              <w:jc w:val="both"/>
              <w:rPr>
                <w:rFonts w:ascii="Century Gothic" w:eastAsia="Times New Roman" w:hAnsi="Century Gothic" w:cs="Arial"/>
                <w:color w:val="000000"/>
                <w:sz w:val="16"/>
                <w:szCs w:val="16"/>
                <w:lang w:val="es-ES_tradnl" w:eastAsia="es-ES"/>
              </w:rPr>
            </w:pPr>
            <w:r w:rsidRPr="005401EC">
              <w:rPr>
                <w:rFonts w:ascii="Century Gothic" w:eastAsia="Times New Roman" w:hAnsi="Century Gothic" w:cs="Arial"/>
                <w:color w:val="000000"/>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2F185E8" w14:textId="77777777" w:rsidR="005401EC" w:rsidRPr="005401EC" w:rsidRDefault="005401EC" w:rsidP="00F15FF4">
            <w:pPr>
              <w:jc w:val="both"/>
              <w:rPr>
                <w:rFonts w:ascii="Century Gothic" w:eastAsia="Times New Roman" w:hAnsi="Century Gothic" w:cs="Arial"/>
                <w:color w:val="000000"/>
                <w:sz w:val="16"/>
                <w:szCs w:val="16"/>
                <w:lang w:val="es-ES_tradnl" w:eastAsia="es-ES"/>
              </w:rPr>
            </w:pPr>
            <w:r w:rsidRPr="005401EC">
              <w:rPr>
                <w:rFonts w:ascii="Century Gothic" w:eastAsia="Times New Roman" w:hAnsi="Century Gothic" w:cs="Arial"/>
                <w:color w:val="000000"/>
                <w:sz w:val="16"/>
                <w:szCs w:val="16"/>
                <w:lang w:val="es-ES_tradnl" w:eastAsia="es-ES"/>
              </w:rPr>
              <w:t>Any Alejandra Tovar Castillo</w:t>
            </w:r>
          </w:p>
          <w:p w14:paraId="46AAF052" w14:textId="77777777" w:rsidR="005401EC" w:rsidRPr="005401EC" w:rsidRDefault="005401EC" w:rsidP="00F15FF4">
            <w:pPr>
              <w:jc w:val="both"/>
              <w:rPr>
                <w:rFonts w:ascii="Century Gothic" w:eastAsia="Times New Roman" w:hAnsi="Century Gothic" w:cs="Arial"/>
                <w:color w:val="000000"/>
                <w:sz w:val="16"/>
                <w:szCs w:val="16"/>
                <w:lang w:val="es-ES_tradnl" w:eastAsia="es-ES"/>
              </w:rPr>
            </w:pPr>
            <w:r w:rsidRPr="005401EC">
              <w:rPr>
                <w:rFonts w:ascii="Century Gothic" w:eastAsia="Times New Roman" w:hAnsi="Century Gothic" w:cs="Arial"/>
                <w:color w:val="000000"/>
                <w:sz w:val="16"/>
                <w:szCs w:val="16"/>
                <w:lang w:val="es-ES_tradnl" w:eastAsia="es-ES"/>
              </w:rPr>
              <w:t>Contratista de la Subdirección de Gestión Contractual</w:t>
            </w:r>
          </w:p>
        </w:tc>
      </w:tr>
      <w:tr w:rsidR="005401EC" w:rsidRPr="005401EC" w14:paraId="3DAC4735" w14:textId="77777777" w:rsidTr="5BC413EF">
        <w:trPr>
          <w:trHeight w:val="330"/>
        </w:trPr>
        <w:tc>
          <w:tcPr>
            <w:tcW w:w="812" w:type="dxa"/>
            <w:vAlign w:val="center"/>
            <w:hideMark/>
          </w:tcPr>
          <w:p w14:paraId="6C1BCD76" w14:textId="77777777" w:rsidR="005401EC" w:rsidRPr="005401EC" w:rsidRDefault="005401EC" w:rsidP="00F15FF4">
            <w:pPr>
              <w:jc w:val="both"/>
              <w:rPr>
                <w:rFonts w:ascii="Century Gothic" w:eastAsia="Times New Roman" w:hAnsi="Century Gothic" w:cs="Arial"/>
                <w:color w:val="000000"/>
                <w:sz w:val="16"/>
                <w:szCs w:val="16"/>
                <w:lang w:val="es-ES_tradnl" w:eastAsia="es-ES"/>
              </w:rPr>
            </w:pPr>
            <w:r w:rsidRPr="005401EC">
              <w:rPr>
                <w:rFonts w:ascii="Century Gothic" w:eastAsia="Times New Roman" w:hAnsi="Century Gothic" w:cs="Arial"/>
                <w:color w:val="000000"/>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A62274" w14:textId="02AE8A7E" w:rsidR="005401EC" w:rsidRPr="005401EC" w:rsidRDefault="008B5661" w:rsidP="00F15FF4">
            <w:pPr>
              <w:jc w:val="both"/>
              <w:rPr>
                <w:rFonts w:ascii="Century Gothic" w:eastAsia="Times New Roman" w:hAnsi="Century Gothic" w:cs="Arial"/>
                <w:color w:val="000000"/>
                <w:sz w:val="16"/>
                <w:szCs w:val="16"/>
                <w:lang w:eastAsia="es-ES"/>
              </w:rPr>
            </w:pPr>
            <w:r>
              <w:rPr>
                <w:rFonts w:ascii="Century Gothic" w:eastAsia="Times New Roman" w:hAnsi="Century Gothic" w:cs="Arial"/>
                <w:color w:val="000000"/>
                <w:sz w:val="16"/>
                <w:szCs w:val="16"/>
                <w:lang w:eastAsia="es-ES"/>
              </w:rPr>
              <w:t xml:space="preserve">Martha Alicia </w:t>
            </w:r>
            <w:r w:rsidR="0041561B">
              <w:rPr>
                <w:rFonts w:ascii="Century Gothic" w:eastAsia="Times New Roman" w:hAnsi="Century Gothic" w:cs="Arial"/>
                <w:color w:val="000000"/>
                <w:sz w:val="16"/>
                <w:szCs w:val="16"/>
                <w:lang w:eastAsia="es-ES"/>
              </w:rPr>
              <w:t>Romero Vargas</w:t>
            </w:r>
          </w:p>
          <w:p w14:paraId="5D8475E9" w14:textId="423F5C97" w:rsidR="005401EC" w:rsidRPr="005401EC" w:rsidRDefault="62124CC9" w:rsidP="00F15FF4">
            <w:pPr>
              <w:jc w:val="both"/>
              <w:rPr>
                <w:rFonts w:ascii="Century Gothic" w:eastAsia="Times New Roman" w:hAnsi="Century Gothic" w:cs="Arial"/>
                <w:color w:val="000000"/>
                <w:sz w:val="16"/>
                <w:szCs w:val="16"/>
                <w:lang w:eastAsia="es-ES"/>
              </w:rPr>
            </w:pPr>
            <w:r w:rsidRPr="5BC413EF">
              <w:rPr>
                <w:rFonts w:ascii="Century Gothic" w:eastAsia="Times New Roman" w:hAnsi="Century Gothic" w:cs="Arial"/>
                <w:color w:val="000000" w:themeColor="text1"/>
                <w:sz w:val="16"/>
                <w:szCs w:val="16"/>
                <w:lang w:eastAsia="es-ES"/>
              </w:rPr>
              <w:t>Gestor código T1 grado15</w:t>
            </w:r>
            <w:r w:rsidR="005401EC" w:rsidRPr="5BC413EF">
              <w:rPr>
                <w:rFonts w:ascii="Century Gothic" w:eastAsia="Times New Roman" w:hAnsi="Century Gothic" w:cs="Arial"/>
                <w:color w:val="000000" w:themeColor="text1"/>
                <w:sz w:val="16"/>
                <w:szCs w:val="16"/>
                <w:lang w:eastAsia="es-ES"/>
              </w:rPr>
              <w:t xml:space="preserve"> Subdirección de Gestión Contractual</w:t>
            </w:r>
          </w:p>
        </w:tc>
      </w:tr>
      <w:tr w:rsidR="005401EC" w:rsidRPr="005401EC" w14:paraId="687D3571" w14:textId="77777777" w:rsidTr="5BC413EF">
        <w:trPr>
          <w:trHeight w:val="300"/>
        </w:trPr>
        <w:tc>
          <w:tcPr>
            <w:tcW w:w="812" w:type="dxa"/>
            <w:vAlign w:val="center"/>
            <w:hideMark/>
          </w:tcPr>
          <w:p w14:paraId="1534A036" w14:textId="2E83CEB3" w:rsidR="005401EC" w:rsidRPr="005401EC" w:rsidRDefault="008B5661" w:rsidP="00F15FF4">
            <w:pPr>
              <w:jc w:val="both"/>
              <w:rPr>
                <w:rFonts w:ascii="Century Gothic" w:eastAsia="Times New Roman" w:hAnsi="Century Gothic" w:cs="Arial"/>
                <w:color w:val="000000"/>
                <w:sz w:val="16"/>
                <w:szCs w:val="16"/>
                <w:lang w:val="es-ES_tradnl" w:eastAsia="es-ES"/>
              </w:rPr>
            </w:pPr>
            <w:proofErr w:type="spellStart"/>
            <w:r>
              <w:rPr>
                <w:rFonts w:ascii="Century Gothic" w:eastAsia="Times New Roman" w:hAnsi="Century Gothic" w:cs="Arial"/>
                <w:color w:val="000000"/>
                <w:sz w:val="16"/>
                <w:szCs w:val="16"/>
                <w:lang w:val="es-ES_tradnl" w:eastAsia="es-ES"/>
              </w:rPr>
              <w:t>Romer</w:t>
            </w:r>
            <w:proofErr w:type="spellEnd"/>
            <w:r>
              <w:rPr>
                <w:rFonts w:ascii="Century Gothic" w:eastAsia="Times New Roman" w:hAnsi="Century Gothic" w:cs="Arial"/>
                <w:color w:val="000000"/>
                <w:sz w:val="16"/>
                <w:szCs w:val="16"/>
                <w:lang w:val="es-ES_tradnl" w:eastAsia="es-ES"/>
              </w:rPr>
              <w:t xml:space="preserve"> </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2F6EF" w14:textId="77777777" w:rsidR="005401EC" w:rsidRPr="005401EC" w:rsidRDefault="005401EC" w:rsidP="00F15FF4">
            <w:pPr>
              <w:jc w:val="both"/>
              <w:rPr>
                <w:rFonts w:ascii="Century Gothic" w:eastAsia="Times New Roman" w:hAnsi="Century Gothic" w:cs="Arial"/>
                <w:color w:val="000000"/>
                <w:sz w:val="16"/>
                <w:szCs w:val="16"/>
                <w:lang w:eastAsia="es-ES"/>
              </w:rPr>
            </w:pPr>
            <w:r w:rsidRPr="005401EC">
              <w:rPr>
                <w:rFonts w:ascii="Century Gothic" w:eastAsia="Times New Roman" w:hAnsi="Century Gothic" w:cs="Arial"/>
                <w:color w:val="000000"/>
                <w:sz w:val="16"/>
                <w:szCs w:val="16"/>
                <w:lang w:eastAsia="es-ES"/>
              </w:rPr>
              <w:t xml:space="preserve">Nohelia del Carmen </w:t>
            </w:r>
            <w:proofErr w:type="spellStart"/>
            <w:r w:rsidRPr="005401EC">
              <w:rPr>
                <w:rFonts w:ascii="Century Gothic" w:eastAsia="Times New Roman" w:hAnsi="Century Gothic" w:cs="Arial"/>
                <w:color w:val="000000"/>
                <w:sz w:val="16"/>
                <w:szCs w:val="16"/>
                <w:lang w:eastAsia="es-ES"/>
              </w:rPr>
              <w:t>Zawady</w:t>
            </w:r>
            <w:proofErr w:type="spellEnd"/>
            <w:r w:rsidRPr="005401EC">
              <w:rPr>
                <w:rFonts w:ascii="Century Gothic" w:eastAsia="Times New Roman" w:hAnsi="Century Gothic" w:cs="Arial"/>
                <w:color w:val="000000"/>
                <w:sz w:val="16"/>
                <w:szCs w:val="16"/>
                <w:lang w:eastAsia="es-ES"/>
              </w:rPr>
              <w:t xml:space="preserve"> Palacio</w:t>
            </w:r>
          </w:p>
          <w:p w14:paraId="69F7F4F4" w14:textId="77777777" w:rsidR="005401EC" w:rsidRPr="005401EC" w:rsidRDefault="005401EC" w:rsidP="00F15FF4">
            <w:pPr>
              <w:jc w:val="both"/>
              <w:rPr>
                <w:rFonts w:ascii="Century Gothic" w:eastAsia="Times New Roman" w:hAnsi="Century Gothic" w:cs="Arial"/>
                <w:color w:val="000000"/>
                <w:sz w:val="16"/>
                <w:szCs w:val="16"/>
                <w:lang w:val="es-ES_tradnl" w:eastAsia="es-ES"/>
              </w:rPr>
            </w:pPr>
            <w:r w:rsidRPr="005401EC">
              <w:rPr>
                <w:rFonts w:ascii="Century Gothic" w:eastAsia="Times New Roman" w:hAnsi="Century Gothic" w:cs="Arial"/>
                <w:color w:val="000000"/>
                <w:sz w:val="16"/>
                <w:szCs w:val="16"/>
                <w:lang w:eastAsia="es-ES"/>
              </w:rPr>
              <w:t>Subdirectora de Gestión Contractual</w:t>
            </w:r>
          </w:p>
        </w:tc>
      </w:tr>
    </w:tbl>
    <w:p w14:paraId="2678131C" w14:textId="77777777" w:rsidR="005401EC" w:rsidRPr="005401EC" w:rsidRDefault="005401EC" w:rsidP="005401EC">
      <w:pPr>
        <w:spacing w:after="0" w:line="276" w:lineRule="auto"/>
        <w:rPr>
          <w:rFonts w:ascii="Century Gothic" w:eastAsia="Times New Roman" w:hAnsi="Century Gothic" w:cs="Arial"/>
          <w:lang w:eastAsia="es-CO"/>
        </w:rPr>
      </w:pPr>
    </w:p>
    <w:p w14:paraId="6781D197" w14:textId="77777777" w:rsidR="005401EC" w:rsidRPr="005401EC" w:rsidRDefault="005401EC" w:rsidP="005401EC">
      <w:pPr>
        <w:spacing w:after="0" w:line="240" w:lineRule="auto"/>
        <w:jc w:val="right"/>
        <w:textAlignment w:val="baseline"/>
        <w:rPr>
          <w:rFonts w:ascii="Century Gothic" w:hAnsi="Century Gothic"/>
          <w:lang w:val="es-MX"/>
        </w:rPr>
      </w:pPr>
    </w:p>
    <w:p w14:paraId="78053B45" w14:textId="77777777" w:rsidR="00322A85" w:rsidRPr="005401EC" w:rsidRDefault="00322A85" w:rsidP="00322A85">
      <w:pPr>
        <w:spacing w:after="0" w:line="240" w:lineRule="auto"/>
        <w:jc w:val="both"/>
        <w:textAlignment w:val="baseline"/>
        <w:rPr>
          <w:rFonts w:ascii="Century Gothic" w:eastAsia="Times New Roman" w:hAnsi="Century Gothic" w:cs="Segoe UI"/>
          <w:sz w:val="18"/>
          <w:szCs w:val="18"/>
          <w:lang w:eastAsia="es-CO"/>
        </w:rPr>
      </w:pPr>
      <w:r w:rsidRPr="005401EC">
        <w:rPr>
          <w:rFonts w:ascii="Century Gothic" w:eastAsia="Times New Roman" w:hAnsi="Century Gothic" w:cs="Segoe UI"/>
          <w:lang w:eastAsia="es-CO"/>
        </w:rPr>
        <w:t>  </w:t>
      </w:r>
    </w:p>
    <w:p w14:paraId="0F293BF4" w14:textId="7BBFAB11" w:rsidR="00127233" w:rsidRPr="005401EC" w:rsidRDefault="00127233" w:rsidP="00665D70">
      <w:pPr>
        <w:spacing w:after="0"/>
        <w:jc w:val="both"/>
        <w:rPr>
          <w:rFonts w:ascii="Century Gothic" w:hAnsi="Century Gothic"/>
        </w:rPr>
      </w:pPr>
    </w:p>
    <w:sectPr w:rsidR="00127233" w:rsidRPr="005401EC" w:rsidSect="002E4FD9">
      <w:headerReference w:type="default" r:id="rId15"/>
      <w:footerReference w:type="default" r:id="rId16"/>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A226" w14:textId="77777777" w:rsidR="002D4259" w:rsidRDefault="002D4259" w:rsidP="004A1847">
      <w:pPr>
        <w:spacing w:after="0" w:line="240" w:lineRule="auto"/>
      </w:pPr>
      <w:r>
        <w:separator/>
      </w:r>
    </w:p>
  </w:endnote>
  <w:endnote w:type="continuationSeparator" w:id="0">
    <w:p w14:paraId="20FCFB61" w14:textId="77777777" w:rsidR="002D4259" w:rsidRDefault="002D425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391B" w14:textId="77777777" w:rsidR="002D4259" w:rsidRDefault="002D4259" w:rsidP="004A1847">
      <w:pPr>
        <w:spacing w:after="0" w:line="240" w:lineRule="auto"/>
      </w:pPr>
      <w:r>
        <w:separator/>
      </w:r>
    </w:p>
  </w:footnote>
  <w:footnote w:type="continuationSeparator" w:id="0">
    <w:p w14:paraId="40B3405F" w14:textId="77777777" w:rsidR="002D4259" w:rsidRDefault="002D4259" w:rsidP="004A1847">
      <w:pPr>
        <w:spacing w:after="0" w:line="240" w:lineRule="auto"/>
      </w:pPr>
      <w:r>
        <w:continuationSeparator/>
      </w:r>
    </w:p>
  </w:footnote>
  <w:footnote w:id="1">
    <w:p w14:paraId="738BB614" w14:textId="77777777" w:rsidR="005401EC" w:rsidRPr="008F5174" w:rsidRDefault="005401EC" w:rsidP="005401EC">
      <w:pPr>
        <w:pStyle w:val="Textonotapie"/>
        <w:ind w:firstLine="708"/>
        <w:jc w:val="both"/>
        <w:rPr>
          <w:rFonts w:ascii="Century Gothic" w:hAnsi="Century Gothic" w:cs="Arial"/>
          <w:sz w:val="18"/>
          <w:szCs w:val="18"/>
        </w:rPr>
      </w:pPr>
      <w:r w:rsidRPr="008F5174">
        <w:rPr>
          <w:rStyle w:val="Refdenotaalpie"/>
          <w:rFonts w:ascii="Century Gothic" w:hAnsi="Century Gothic" w:cs="Arial"/>
          <w:sz w:val="18"/>
          <w:szCs w:val="18"/>
        </w:rPr>
        <w:footnoteRef/>
      </w:r>
      <w:r w:rsidRPr="008F5174">
        <w:rPr>
          <w:rFonts w:ascii="Century Gothic" w:hAnsi="Century Gothic" w:cs="Arial"/>
          <w:sz w:val="18"/>
          <w:szCs w:val="18"/>
        </w:rPr>
        <w:t xml:space="preserve"> La Agencia Nacional de Contratación Pública </w:t>
      </w:r>
      <w:r w:rsidRPr="008F5174">
        <w:rPr>
          <w:rFonts w:ascii="Arial" w:hAnsi="Arial" w:cs="Arial"/>
          <w:sz w:val="18"/>
          <w:szCs w:val="18"/>
        </w:rPr>
        <w:t>‒</w:t>
      </w:r>
      <w:r w:rsidRPr="008F5174">
        <w:rPr>
          <w:rFonts w:ascii="Century Gothic" w:hAnsi="Century Gothic" w:cs="Arial"/>
          <w:sz w:val="18"/>
          <w:szCs w:val="18"/>
        </w:rPr>
        <w:t xml:space="preserve"> Colombia Compra Eficiente fue creada por el Decreto Ley 4170 de 2011. Su objetivo es servir como ente rector de la pol</w:t>
      </w:r>
      <w:r w:rsidRPr="008F5174">
        <w:rPr>
          <w:rFonts w:ascii="Century Gothic" w:hAnsi="Century Gothic" w:cs="Century Gothic"/>
          <w:sz w:val="18"/>
          <w:szCs w:val="18"/>
        </w:rPr>
        <w:t>í</w:t>
      </w:r>
      <w:r w:rsidRPr="008F5174">
        <w:rPr>
          <w:rFonts w:ascii="Century Gothic" w:hAnsi="Century Gothic" w:cs="Arial"/>
          <w:sz w:val="18"/>
          <w:szCs w:val="18"/>
        </w:rPr>
        <w:t>tica de compras y contrataci</w:t>
      </w:r>
      <w:r w:rsidRPr="008F5174">
        <w:rPr>
          <w:rFonts w:ascii="Century Gothic" w:hAnsi="Century Gothic" w:cs="Century Gothic"/>
          <w:sz w:val="18"/>
          <w:szCs w:val="18"/>
        </w:rPr>
        <w:t>ó</w:t>
      </w:r>
      <w:r w:rsidRPr="008F5174">
        <w:rPr>
          <w:rFonts w:ascii="Century Gothic" w:hAnsi="Century Gothic" w:cs="Arial"/>
          <w:sz w:val="18"/>
          <w:szCs w:val="18"/>
        </w:rPr>
        <w:t xml:space="preserve">n del Estado. Para tales fines, como </w:t>
      </w:r>
      <w:r w:rsidRPr="008F5174">
        <w:rPr>
          <w:rFonts w:ascii="Century Gothic" w:hAnsi="Century Gothic" w:cs="Century Gothic"/>
          <w:sz w:val="18"/>
          <w:szCs w:val="18"/>
        </w:rPr>
        <w:t>ó</w:t>
      </w:r>
      <w:r w:rsidRPr="008F5174">
        <w:rPr>
          <w:rFonts w:ascii="Century Gothic" w:hAnsi="Century Gothic" w:cs="Arial"/>
          <w:sz w:val="18"/>
          <w:szCs w:val="18"/>
        </w:rPr>
        <w:t>rgano t</w:t>
      </w:r>
      <w:r w:rsidRPr="008F5174">
        <w:rPr>
          <w:rFonts w:ascii="Century Gothic" w:hAnsi="Century Gothic" w:cs="Century Gothic"/>
          <w:sz w:val="18"/>
          <w:szCs w:val="18"/>
        </w:rPr>
        <w:t>é</w:t>
      </w:r>
      <w:r w:rsidRPr="008F5174">
        <w:rPr>
          <w:rFonts w:ascii="Century Gothic" w:hAnsi="Century Gothic" w:cs="Arial"/>
          <w:sz w:val="18"/>
          <w:szCs w:val="18"/>
        </w:rPr>
        <w:t>cnico especializado, le corresponde formular pol</w:t>
      </w:r>
      <w:r w:rsidRPr="008F5174">
        <w:rPr>
          <w:rFonts w:ascii="Century Gothic" w:hAnsi="Century Gothic" w:cs="Century Gothic"/>
          <w:sz w:val="18"/>
          <w:szCs w:val="18"/>
        </w:rPr>
        <w:t>í</w:t>
      </w:r>
      <w:r w:rsidRPr="008F5174">
        <w:rPr>
          <w:rFonts w:ascii="Century Gothic" w:hAnsi="Century Gothic" w:cs="Arial"/>
          <w:sz w:val="18"/>
          <w:szCs w:val="18"/>
        </w:rPr>
        <w:t>ticas p</w:t>
      </w:r>
      <w:r w:rsidRPr="008F5174">
        <w:rPr>
          <w:rFonts w:ascii="Century Gothic" w:hAnsi="Century Gothic" w:cs="Century Gothic"/>
          <w:sz w:val="18"/>
          <w:szCs w:val="18"/>
        </w:rPr>
        <w:t>ú</w:t>
      </w:r>
      <w:r w:rsidRPr="008F5174">
        <w:rPr>
          <w:rFonts w:ascii="Century Gothic" w:hAnsi="Century Gothic" w:cs="Arial"/>
          <w:sz w:val="18"/>
          <w:szCs w:val="18"/>
        </w:rPr>
        <w:t>blicas y normas y unificar los procesos de contrataci</w:t>
      </w:r>
      <w:r w:rsidRPr="008F5174">
        <w:rPr>
          <w:rFonts w:ascii="Century Gothic" w:hAnsi="Century Gothic" w:cs="Century Gothic"/>
          <w:sz w:val="18"/>
          <w:szCs w:val="18"/>
        </w:rPr>
        <w:t>ó</w:t>
      </w:r>
      <w:r w:rsidRPr="008F5174">
        <w:rPr>
          <w:rFonts w:ascii="Century Gothic" w:hAnsi="Century Gothic" w:cs="Arial"/>
          <w:sz w:val="18"/>
          <w:szCs w:val="18"/>
        </w:rPr>
        <w:t>n estatal, con el fin de lograr una mayor eficiencia, transparencia y optimizaci</w:t>
      </w:r>
      <w:r w:rsidRPr="008F5174">
        <w:rPr>
          <w:rFonts w:ascii="Century Gothic" w:hAnsi="Century Gothic" w:cs="Century Gothic"/>
          <w:sz w:val="18"/>
          <w:szCs w:val="18"/>
        </w:rPr>
        <w:t>ó</w:t>
      </w:r>
      <w:r w:rsidRPr="008F5174">
        <w:rPr>
          <w:rFonts w:ascii="Century Gothic" w:hAnsi="Century Gothic" w:cs="Arial"/>
          <w:sz w:val="18"/>
          <w:szCs w:val="18"/>
        </w:rPr>
        <w:t>n de los recursos del Estado. El art</w:t>
      </w:r>
      <w:r w:rsidRPr="008F5174">
        <w:rPr>
          <w:rFonts w:ascii="Century Gothic" w:hAnsi="Century Gothic" w:cs="Century Gothic"/>
          <w:sz w:val="18"/>
          <w:szCs w:val="18"/>
        </w:rPr>
        <w:t>í</w:t>
      </w:r>
      <w:r w:rsidRPr="008F5174">
        <w:rPr>
          <w:rFonts w:ascii="Century Gothic" w:hAnsi="Century Gothic" w:cs="Arial"/>
          <w:sz w:val="18"/>
          <w:szCs w:val="18"/>
        </w:rPr>
        <w:t xml:space="preserve">culo 3 </w:t>
      </w:r>
      <w:r w:rsidRPr="008F5174">
        <w:rPr>
          <w:rFonts w:ascii="Century Gothic" w:hAnsi="Century Gothic" w:cs="Arial"/>
          <w:i/>
          <w:iCs/>
          <w:sz w:val="18"/>
          <w:szCs w:val="18"/>
        </w:rPr>
        <w:t xml:space="preserve">ibidem </w:t>
      </w:r>
      <w:r w:rsidRPr="008F5174">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51D50D82" w14:textId="77777777" w:rsidR="005401EC" w:rsidRPr="008F5174" w:rsidRDefault="005401EC" w:rsidP="005401EC">
      <w:pPr>
        <w:pStyle w:val="Textonotapie"/>
        <w:ind w:firstLine="708"/>
        <w:jc w:val="both"/>
        <w:rPr>
          <w:rFonts w:ascii="Century Gothic" w:hAnsi="Century Gothic" w:cs="Arial"/>
          <w:sz w:val="18"/>
          <w:szCs w:val="18"/>
          <w:lang w:val="es-ES"/>
        </w:rPr>
      </w:pPr>
    </w:p>
  </w:footnote>
  <w:footnote w:id="2">
    <w:p w14:paraId="7652A7AF" w14:textId="77777777" w:rsidR="005401EC" w:rsidRPr="008F5174" w:rsidRDefault="005401EC" w:rsidP="005401EC">
      <w:pPr>
        <w:pStyle w:val="Textonotapie"/>
        <w:spacing w:after="120"/>
        <w:ind w:firstLine="709"/>
        <w:jc w:val="both"/>
        <w:rPr>
          <w:rFonts w:ascii="Century Gothic" w:hAnsi="Century Gothic" w:cs="Arial"/>
          <w:color w:val="000000"/>
          <w:sz w:val="18"/>
          <w:szCs w:val="18"/>
          <w:lang w:val="es-CO"/>
        </w:rPr>
      </w:pPr>
      <w:r w:rsidRPr="008F5174">
        <w:rPr>
          <w:rStyle w:val="Refdenotaalpie"/>
          <w:rFonts w:ascii="Century Gothic" w:hAnsi="Century Gothic" w:cs="Arial"/>
          <w:color w:val="000000"/>
          <w:sz w:val="18"/>
          <w:szCs w:val="18"/>
        </w:rPr>
        <w:footnoteRef/>
      </w:r>
      <w:r w:rsidRPr="008F5174">
        <w:rPr>
          <w:rFonts w:ascii="Century Gothic" w:hAnsi="Century Gothic"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5BF7D438" w14:textId="77777777" w:rsidR="005401EC" w:rsidRPr="008F5174" w:rsidRDefault="005401EC" w:rsidP="005401EC">
      <w:pPr>
        <w:pStyle w:val="Textonotapie"/>
        <w:spacing w:after="120"/>
        <w:ind w:firstLine="709"/>
        <w:jc w:val="both"/>
        <w:rPr>
          <w:rFonts w:ascii="Century Gothic" w:hAnsi="Century Gothic" w:cs="Arial"/>
          <w:color w:val="000000"/>
          <w:sz w:val="18"/>
          <w:szCs w:val="18"/>
        </w:rPr>
      </w:pPr>
      <w:r w:rsidRPr="008F5174">
        <w:rPr>
          <w:rStyle w:val="Refdenotaalpie"/>
          <w:rFonts w:ascii="Century Gothic" w:hAnsi="Century Gothic" w:cs="Arial"/>
          <w:color w:val="000000"/>
          <w:sz w:val="18"/>
          <w:szCs w:val="18"/>
        </w:rPr>
        <w:footnoteRef/>
      </w:r>
      <w:r w:rsidRPr="008F5174">
        <w:rPr>
          <w:rFonts w:ascii="Century Gothic" w:hAnsi="Century Gothic" w:cs="Arial"/>
          <w:color w:val="000000"/>
          <w:sz w:val="18"/>
          <w:szCs w:val="18"/>
        </w:rPr>
        <w:t xml:space="preserve"> </w:t>
      </w:r>
      <w:r w:rsidRPr="008F5174">
        <w:rPr>
          <w:rFonts w:ascii="Century Gothic" w:hAnsi="Century Gothic" w:cs="Arial"/>
          <w:color w:val="000000"/>
          <w:sz w:val="18"/>
          <w:szCs w:val="18"/>
          <w:lang w:val="es-CO"/>
        </w:rPr>
        <w:t xml:space="preserve">Ley 1882 de 2018: “Artículo 4. </w:t>
      </w:r>
      <w:r w:rsidRPr="008F5174">
        <w:rPr>
          <w:rFonts w:ascii="Century Gothic" w:hAnsi="Century Gothic"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D954016" w14:textId="77777777" w:rsidR="005401EC" w:rsidRPr="008F5174" w:rsidRDefault="005401EC" w:rsidP="005401EC">
      <w:pPr>
        <w:pStyle w:val="Textonotapie"/>
        <w:spacing w:after="120"/>
        <w:ind w:firstLine="709"/>
        <w:jc w:val="both"/>
        <w:rPr>
          <w:rFonts w:ascii="Century Gothic" w:hAnsi="Century Gothic" w:cs="Arial"/>
          <w:color w:val="000000"/>
          <w:sz w:val="18"/>
          <w:szCs w:val="18"/>
          <w:lang w:val="es-CO"/>
        </w:rPr>
      </w:pPr>
      <w:r w:rsidRPr="008F5174">
        <w:rPr>
          <w:rFonts w:ascii="Century Gothic" w:hAnsi="Century Gothic" w:cs="Arial"/>
          <w:color w:val="000000"/>
          <w:sz w:val="18"/>
          <w:szCs w:val="18"/>
          <w:lang w:val="es-CO"/>
        </w:rPr>
        <w:t>La facultad de adoptar documentos tipo la tendrá el Gobierno nacional, cuando lo considere necesario, en relación con otros contratos o procesos de selección.</w:t>
      </w:r>
    </w:p>
    <w:p w14:paraId="71C85A5D" w14:textId="77777777" w:rsidR="005401EC" w:rsidRPr="008F5174" w:rsidRDefault="005401EC" w:rsidP="005401EC">
      <w:pPr>
        <w:pStyle w:val="Textonotapie"/>
        <w:spacing w:after="120"/>
        <w:ind w:firstLine="709"/>
        <w:jc w:val="both"/>
        <w:rPr>
          <w:rFonts w:ascii="Century Gothic" w:hAnsi="Century Gothic" w:cs="Arial"/>
          <w:color w:val="000000"/>
          <w:sz w:val="18"/>
          <w:szCs w:val="18"/>
          <w:lang w:val="es-CO"/>
        </w:rPr>
      </w:pPr>
      <w:r w:rsidRPr="008F5174">
        <w:rPr>
          <w:rFonts w:ascii="Century Gothic" w:hAnsi="Century Gothic" w:cs="Arial"/>
          <w:color w:val="000000"/>
          <w:sz w:val="18"/>
          <w:szCs w:val="18"/>
          <w:lang w:val="es-CO"/>
        </w:rPr>
        <w:t>Los pliegos tipo se adoptarán por categorías de acuerdo con la cuantía de la contratación, según la reglamentación que expida el Gobierno nacional”.</w:t>
      </w:r>
    </w:p>
  </w:footnote>
  <w:footnote w:id="4">
    <w:p w14:paraId="2E3FA1D7" w14:textId="77777777" w:rsidR="005401EC" w:rsidRPr="008F5174" w:rsidRDefault="005401EC" w:rsidP="005401EC">
      <w:pPr>
        <w:pStyle w:val="Textonotapie"/>
        <w:spacing w:after="120"/>
        <w:ind w:firstLine="709"/>
        <w:jc w:val="both"/>
        <w:rPr>
          <w:rFonts w:ascii="Century Gothic" w:hAnsi="Century Gothic" w:cs="Arial"/>
          <w:color w:val="000000"/>
          <w:sz w:val="18"/>
          <w:szCs w:val="18"/>
        </w:rPr>
      </w:pPr>
      <w:r w:rsidRPr="008F5174">
        <w:rPr>
          <w:rStyle w:val="Refdenotaalpie"/>
          <w:rFonts w:ascii="Century Gothic" w:hAnsi="Century Gothic" w:cs="Arial"/>
          <w:color w:val="000000"/>
          <w:sz w:val="18"/>
          <w:szCs w:val="18"/>
        </w:rPr>
        <w:footnoteRef/>
      </w:r>
      <w:r w:rsidRPr="008F5174">
        <w:rPr>
          <w:rFonts w:ascii="Century Gothic" w:hAnsi="Century Gothic"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5A3078EA" w14:textId="77777777" w:rsidR="005401EC" w:rsidRPr="008F5174" w:rsidRDefault="005401EC" w:rsidP="005401EC">
      <w:pPr>
        <w:pStyle w:val="Textonotapie"/>
        <w:spacing w:after="120"/>
        <w:ind w:firstLine="708"/>
        <w:jc w:val="both"/>
        <w:rPr>
          <w:rFonts w:ascii="Century Gothic" w:hAnsi="Century Gothic" w:cs="Arial"/>
          <w:color w:val="000000"/>
          <w:sz w:val="18"/>
          <w:szCs w:val="18"/>
        </w:rPr>
      </w:pPr>
      <w:r w:rsidRPr="008F5174">
        <w:rPr>
          <w:rStyle w:val="Refdenotaalpie"/>
          <w:rFonts w:ascii="Century Gothic" w:hAnsi="Century Gothic" w:cs="Arial"/>
          <w:color w:val="000000"/>
          <w:sz w:val="18"/>
          <w:szCs w:val="18"/>
        </w:rPr>
        <w:footnoteRef/>
      </w:r>
      <w:r w:rsidRPr="008F5174">
        <w:rPr>
          <w:rFonts w:ascii="Century Gothic" w:hAnsi="Century Gothic" w:cs="Arial"/>
          <w:color w:val="000000"/>
          <w:sz w:val="18"/>
          <w:szCs w:val="18"/>
        </w:rPr>
        <w:t xml:space="preserve"> “ARTÍCULO 1o. Modifíquese el artículo 4o de la Ley 1882 de 2018, el cual quedará así:</w:t>
      </w:r>
    </w:p>
    <w:p w14:paraId="109B919C" w14:textId="77777777" w:rsidR="005401EC" w:rsidRPr="008F5174" w:rsidRDefault="005401EC" w:rsidP="005401EC">
      <w:pPr>
        <w:pStyle w:val="Textonotapie"/>
        <w:spacing w:after="120"/>
        <w:ind w:firstLine="708"/>
        <w:jc w:val="both"/>
        <w:rPr>
          <w:rFonts w:ascii="Century Gothic" w:hAnsi="Century Gothic" w:cs="Arial"/>
          <w:color w:val="000000"/>
          <w:sz w:val="18"/>
          <w:szCs w:val="18"/>
        </w:rPr>
      </w:pPr>
      <w:r w:rsidRPr="008F5174">
        <w:rPr>
          <w:rFonts w:ascii="Century Gothic" w:hAnsi="Century Gothic" w:cs="Arial"/>
          <w:color w:val="000000"/>
          <w:sz w:val="18"/>
          <w:szCs w:val="18"/>
        </w:rPr>
        <w:t>Artículo 4o. Adiciónese el siguiente parágrafo al artículo 2o de la Ley 1150 de 2007.</w:t>
      </w:r>
    </w:p>
    <w:p w14:paraId="3B2DD707" w14:textId="77777777" w:rsidR="005401EC" w:rsidRPr="008F5174" w:rsidRDefault="005401EC" w:rsidP="005401EC">
      <w:pPr>
        <w:pStyle w:val="Textonotapie"/>
        <w:spacing w:after="120"/>
        <w:ind w:firstLine="708"/>
        <w:jc w:val="both"/>
        <w:rPr>
          <w:rFonts w:ascii="Century Gothic" w:hAnsi="Century Gothic" w:cs="Arial"/>
          <w:color w:val="000000"/>
          <w:sz w:val="18"/>
          <w:szCs w:val="18"/>
        </w:rPr>
      </w:pPr>
      <w:r w:rsidRPr="008F5174">
        <w:rPr>
          <w:rFonts w:ascii="Century Gothic" w:hAnsi="Century Gothic"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89EFAB6" w14:textId="77777777" w:rsidR="005401EC" w:rsidRPr="008F5174" w:rsidRDefault="005401EC" w:rsidP="005401EC">
      <w:pPr>
        <w:pStyle w:val="Textonotapie"/>
        <w:spacing w:after="120"/>
        <w:ind w:firstLine="708"/>
        <w:jc w:val="both"/>
        <w:rPr>
          <w:rFonts w:ascii="Century Gothic" w:hAnsi="Century Gothic" w:cs="Arial"/>
          <w:color w:val="000000"/>
          <w:sz w:val="18"/>
          <w:szCs w:val="18"/>
        </w:rPr>
      </w:pPr>
      <w:r w:rsidRPr="008F5174">
        <w:rPr>
          <w:rFonts w:ascii="Century Gothic" w:hAnsi="Century Gothic"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60509C9" w14:textId="77777777" w:rsidR="005401EC" w:rsidRPr="008F5174" w:rsidRDefault="005401EC" w:rsidP="005401EC">
      <w:pPr>
        <w:pStyle w:val="Textonotapie"/>
        <w:spacing w:after="120"/>
        <w:ind w:firstLine="708"/>
        <w:jc w:val="both"/>
        <w:rPr>
          <w:rFonts w:ascii="Century Gothic" w:hAnsi="Century Gothic" w:cs="Arial"/>
          <w:color w:val="000000"/>
          <w:sz w:val="18"/>
          <w:szCs w:val="18"/>
        </w:rPr>
      </w:pPr>
      <w:r w:rsidRPr="008F5174">
        <w:rPr>
          <w:rFonts w:ascii="Century Gothic" w:hAnsi="Century Gothic"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A552C8C" w14:textId="77777777" w:rsidR="005401EC" w:rsidRPr="008F5174" w:rsidRDefault="005401EC" w:rsidP="005401EC">
      <w:pPr>
        <w:pStyle w:val="Textonotapie"/>
        <w:spacing w:after="120"/>
        <w:ind w:firstLine="708"/>
        <w:jc w:val="both"/>
        <w:rPr>
          <w:rFonts w:ascii="Century Gothic" w:hAnsi="Century Gothic" w:cs="Arial"/>
          <w:color w:val="000000"/>
          <w:sz w:val="18"/>
          <w:szCs w:val="18"/>
        </w:rPr>
      </w:pPr>
      <w:r w:rsidRPr="008F5174">
        <w:rPr>
          <w:rFonts w:ascii="Century Gothic" w:hAnsi="Century Gothic"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09AF078" w14:textId="77777777" w:rsidR="005401EC" w:rsidRPr="008F5174" w:rsidRDefault="005401EC" w:rsidP="005401EC">
      <w:pPr>
        <w:pStyle w:val="Textonotapie"/>
        <w:spacing w:after="120"/>
        <w:ind w:firstLine="708"/>
        <w:jc w:val="both"/>
        <w:rPr>
          <w:rFonts w:ascii="Century Gothic" w:hAnsi="Century Gothic" w:cs="Arial"/>
          <w:color w:val="000000"/>
          <w:sz w:val="18"/>
          <w:szCs w:val="18"/>
          <w:lang w:val="es-CO"/>
        </w:rPr>
      </w:pPr>
      <w:r w:rsidRPr="008F5174">
        <w:rPr>
          <w:rFonts w:ascii="Century Gothic" w:hAnsi="Century Gothic"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4307FDF1" w14:textId="77777777" w:rsidR="005401EC" w:rsidRPr="008F5174" w:rsidRDefault="005401EC" w:rsidP="005401EC">
      <w:pPr>
        <w:spacing w:after="120" w:line="240" w:lineRule="auto"/>
        <w:ind w:right="51" w:firstLine="720"/>
        <w:jc w:val="both"/>
        <w:rPr>
          <w:rFonts w:ascii="Century Gothic" w:hAnsi="Century Gothic" w:cs="Arial"/>
          <w:sz w:val="18"/>
          <w:szCs w:val="18"/>
        </w:rPr>
      </w:pPr>
      <w:r w:rsidRPr="008F5174">
        <w:rPr>
          <w:rStyle w:val="Refdenotaalpie"/>
          <w:rFonts w:ascii="Century Gothic" w:hAnsi="Century Gothic" w:cs="Arial"/>
          <w:sz w:val="18"/>
          <w:szCs w:val="18"/>
        </w:rPr>
        <w:footnoteRef/>
      </w:r>
      <w:r w:rsidRPr="008F5174">
        <w:rPr>
          <w:rFonts w:ascii="Century Gothic" w:hAnsi="Century Gothic" w:cs="Arial"/>
          <w:sz w:val="18"/>
          <w:szCs w:val="18"/>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8F5174">
        <w:rPr>
          <w:rFonts w:ascii="Century Gothic" w:hAnsi="Century Gothic" w:cs="Arial"/>
          <w:spacing w:val="-14"/>
          <w:sz w:val="18"/>
          <w:szCs w:val="18"/>
        </w:rPr>
        <w:t xml:space="preserve"> </w:t>
      </w:r>
      <w:r w:rsidRPr="008F5174">
        <w:rPr>
          <w:rFonts w:ascii="Century Gothic" w:hAnsi="Century Gothic" w:cs="Arial"/>
          <w:sz w:val="18"/>
          <w:szCs w:val="18"/>
        </w:rPr>
        <w:t>utilizados.</w:t>
      </w:r>
    </w:p>
    <w:p w14:paraId="24A5D1EE" w14:textId="77777777" w:rsidR="005401EC" w:rsidRPr="008F5174" w:rsidRDefault="005401EC" w:rsidP="005401EC">
      <w:pPr>
        <w:spacing w:after="120" w:line="240" w:lineRule="auto"/>
        <w:ind w:right="51" w:firstLine="708"/>
        <w:jc w:val="both"/>
        <w:rPr>
          <w:rFonts w:ascii="Century Gothic" w:hAnsi="Century Gothic" w:cs="Arial"/>
          <w:sz w:val="18"/>
          <w:szCs w:val="18"/>
        </w:rPr>
      </w:pPr>
      <w:r w:rsidRPr="008F5174">
        <w:rPr>
          <w:rFonts w:ascii="Century Gothic" w:hAnsi="Century Gothic" w:cs="Arial"/>
          <w:sz w:val="18"/>
          <w:szCs w:val="18"/>
        </w:rPr>
        <w:t>[…]</w:t>
      </w:r>
    </w:p>
    <w:p w14:paraId="087366F7" w14:textId="77777777" w:rsidR="005401EC" w:rsidRPr="008F5174" w:rsidRDefault="005401EC" w:rsidP="005401EC">
      <w:pPr>
        <w:spacing w:after="120" w:line="240" w:lineRule="auto"/>
        <w:ind w:right="51" w:firstLine="708"/>
        <w:jc w:val="both"/>
        <w:rPr>
          <w:rFonts w:ascii="Century Gothic" w:hAnsi="Century Gothic" w:cs="Arial"/>
          <w:sz w:val="18"/>
          <w:szCs w:val="18"/>
        </w:rPr>
      </w:pPr>
      <w:r w:rsidRPr="008F5174">
        <w:rPr>
          <w:rFonts w:ascii="Century Gothic" w:hAnsi="Century Gothic" w:cs="Arial"/>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p>
  </w:footnote>
  <w:footnote w:id="7">
    <w:p w14:paraId="4E41BA7E" w14:textId="77777777" w:rsidR="005401EC" w:rsidRPr="008F5174" w:rsidRDefault="005401EC" w:rsidP="005401EC">
      <w:pPr>
        <w:widowControl w:val="0"/>
        <w:autoSpaceDE w:val="0"/>
        <w:autoSpaceDN w:val="0"/>
        <w:spacing w:after="120" w:line="240" w:lineRule="auto"/>
        <w:ind w:firstLine="708"/>
        <w:jc w:val="both"/>
        <w:rPr>
          <w:rFonts w:ascii="Century Gothic" w:eastAsia="Arial" w:hAnsi="Century Gothic" w:cs="Arial"/>
          <w:sz w:val="18"/>
          <w:szCs w:val="18"/>
          <w:lang w:val="es-ES" w:eastAsia="es-ES" w:bidi="es-ES"/>
        </w:rPr>
      </w:pPr>
      <w:r w:rsidRPr="008F5174">
        <w:rPr>
          <w:rStyle w:val="Refdenotaalpie"/>
          <w:rFonts w:ascii="Century Gothic" w:hAnsi="Century Gothic" w:cs="Arial"/>
          <w:sz w:val="18"/>
          <w:szCs w:val="18"/>
        </w:rPr>
        <w:footnoteRef/>
      </w:r>
      <w:r w:rsidRPr="008F5174">
        <w:rPr>
          <w:rFonts w:ascii="Century Gothic" w:hAnsi="Century Gothic" w:cs="Arial"/>
          <w:sz w:val="18"/>
          <w:szCs w:val="18"/>
        </w:rPr>
        <w:t xml:space="preserve"> “</w:t>
      </w:r>
      <w:r w:rsidRPr="008F5174">
        <w:rPr>
          <w:rFonts w:ascii="Century Gothic" w:eastAsia="Arial" w:hAnsi="Century Gothic" w:cs="Arial"/>
          <w:sz w:val="18"/>
          <w:szCs w:val="18"/>
          <w:lang w:val="es-ES" w:eastAsia="es-ES" w:bidi="es-ES"/>
        </w:rPr>
        <w:t xml:space="preserve">Artículo 2.2.1.1.1.6.4. Capacidad Residual. El interesado en celebrar contratos de obra pública con Entidades Estatales debe acreditar su Capacidad Residual o K de Contratación con los siguientes documentos: </w:t>
      </w:r>
    </w:p>
    <w:p w14:paraId="4A9C466B" w14:textId="77777777" w:rsidR="005401EC" w:rsidRPr="008F5174" w:rsidRDefault="005401EC" w:rsidP="005401EC">
      <w:pPr>
        <w:widowControl w:val="0"/>
        <w:autoSpaceDE w:val="0"/>
        <w:autoSpaceDN w:val="0"/>
        <w:spacing w:after="120" w:line="240" w:lineRule="auto"/>
        <w:ind w:firstLine="708"/>
        <w:jc w:val="both"/>
        <w:rPr>
          <w:rFonts w:ascii="Century Gothic" w:eastAsia="Arial" w:hAnsi="Century Gothic" w:cs="Arial"/>
          <w:sz w:val="18"/>
          <w:szCs w:val="18"/>
          <w:lang w:val="es-ES" w:eastAsia="es-ES" w:bidi="es-ES"/>
        </w:rPr>
      </w:pPr>
      <w:r w:rsidRPr="008F5174">
        <w:rPr>
          <w:rFonts w:ascii="Century Gothic" w:eastAsia="Arial" w:hAnsi="Century Gothic" w:cs="Arial"/>
          <w:sz w:val="18"/>
          <w:szCs w:val="18"/>
          <w:lang w:val="es-ES" w:eastAsia="es-ES" w:bidi="es-ES"/>
        </w:rPr>
        <w:t>[…]</w:t>
      </w:r>
    </w:p>
    <w:p w14:paraId="68465E1F" w14:textId="70E1C7AE" w:rsidR="005401EC" w:rsidRPr="008F5174" w:rsidRDefault="005401EC" w:rsidP="005401EC">
      <w:pPr>
        <w:widowControl w:val="0"/>
        <w:autoSpaceDE w:val="0"/>
        <w:autoSpaceDN w:val="0"/>
        <w:spacing w:after="120" w:line="240" w:lineRule="auto"/>
        <w:ind w:firstLine="708"/>
        <w:jc w:val="both"/>
        <w:rPr>
          <w:rFonts w:ascii="Century Gothic" w:hAnsi="Century Gothic" w:cs="Arial"/>
          <w:sz w:val="18"/>
          <w:szCs w:val="18"/>
        </w:rPr>
      </w:pPr>
      <w:r w:rsidRPr="008F5174">
        <w:rPr>
          <w:rFonts w:ascii="Century Gothic" w:eastAsia="Arial" w:hAnsi="Century Gothic" w:cs="Arial"/>
          <w:sz w:val="18"/>
          <w:szCs w:val="18"/>
          <w:lang w:val="es-ES" w:eastAsia="es-ES" w:bidi="es-ES"/>
        </w:rPr>
        <w:t xml:space="preserve">La </w:t>
      </w:r>
      <w:r w:rsidR="00277068">
        <w:rPr>
          <w:rFonts w:ascii="Century Gothic" w:eastAsia="Arial" w:hAnsi="Century Gothic" w:cs="Arial"/>
          <w:sz w:val="18"/>
          <w:szCs w:val="18"/>
          <w:lang w:val="es-ES" w:eastAsia="es-ES" w:bidi="es-ES"/>
        </w:rPr>
        <w:t>Entidad Estatal</w:t>
      </w:r>
      <w:r w:rsidRPr="008F5174">
        <w:rPr>
          <w:rFonts w:ascii="Century Gothic" w:eastAsia="Arial" w:hAnsi="Century Gothic" w:cs="Arial"/>
          <w:sz w:val="18"/>
          <w:szCs w:val="18"/>
          <w:lang w:val="es-ES" w:eastAsia="es-ES" w:bidi="es-ES"/>
        </w:rPr>
        <w:t xml:space="preserve">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footnote>
  <w:footnote w:id="8">
    <w:p w14:paraId="6E95B0A3" w14:textId="77777777" w:rsidR="005401EC" w:rsidRPr="008F5174" w:rsidRDefault="005401EC" w:rsidP="005401EC">
      <w:pPr>
        <w:pStyle w:val="NormalWeb"/>
        <w:shd w:val="clear" w:color="auto" w:fill="FFFFFF"/>
        <w:spacing w:after="120"/>
        <w:ind w:firstLine="709"/>
        <w:jc w:val="both"/>
        <w:rPr>
          <w:rFonts w:ascii="Century Gothic" w:hAnsi="Century Gothic" w:cs="Arial"/>
          <w:sz w:val="18"/>
          <w:szCs w:val="18"/>
        </w:rPr>
      </w:pPr>
      <w:r w:rsidRPr="008F5174">
        <w:rPr>
          <w:rStyle w:val="Refdenotaalpie"/>
          <w:rFonts w:ascii="Century Gothic" w:hAnsi="Century Gothic" w:cs="Arial"/>
          <w:sz w:val="18"/>
          <w:szCs w:val="18"/>
          <w:lang w:val="es-MX"/>
        </w:rPr>
        <w:footnoteRef/>
      </w:r>
      <w:r w:rsidRPr="008F5174">
        <w:rPr>
          <w:rStyle w:val="Refdenotaalpie"/>
          <w:rFonts w:ascii="Century Gothic" w:hAnsi="Century Gothic" w:cs="Arial"/>
          <w:sz w:val="18"/>
          <w:szCs w:val="18"/>
          <w:lang w:val="es-MX"/>
        </w:rPr>
        <w:t xml:space="preserve"> </w:t>
      </w:r>
      <w:r w:rsidRPr="008F5174">
        <w:rPr>
          <w:rFonts w:ascii="Century Gothic" w:hAnsi="Century Gothic" w:cs="Arial"/>
          <w:sz w:val="18"/>
          <w:szCs w:val="18"/>
        </w:rPr>
        <w:t>“Artículo 2.2.1.1.1.6.4. Capacidad Residual: El interesado en celebrar contratos de obra pública con Entidades Estatales debe acreditar su Capacidad Residual o K de Contratación con los siguientes documentos:</w:t>
      </w:r>
    </w:p>
    <w:p w14:paraId="7FA65433" w14:textId="77777777" w:rsidR="005401EC" w:rsidRPr="008F5174" w:rsidRDefault="005401EC" w:rsidP="005401EC">
      <w:pPr>
        <w:shd w:val="clear" w:color="auto" w:fill="FFFFFF"/>
        <w:spacing w:after="120" w:line="240" w:lineRule="auto"/>
        <w:ind w:firstLine="709"/>
        <w:jc w:val="both"/>
        <w:rPr>
          <w:rFonts w:ascii="Century Gothic" w:hAnsi="Century Gothic" w:cs="Arial"/>
          <w:sz w:val="18"/>
          <w:szCs w:val="18"/>
        </w:rPr>
      </w:pPr>
      <w:r w:rsidRPr="008F5174">
        <w:rPr>
          <w:rFonts w:ascii="Century Gothic" w:hAnsi="Century Gothic"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2AF91374" w14:textId="77777777" w:rsidR="005401EC" w:rsidRPr="008F5174" w:rsidRDefault="005401EC" w:rsidP="005401EC">
      <w:pPr>
        <w:shd w:val="clear" w:color="auto" w:fill="FFFFFF"/>
        <w:spacing w:after="120" w:line="240" w:lineRule="auto"/>
        <w:ind w:firstLine="709"/>
        <w:jc w:val="both"/>
        <w:rPr>
          <w:rFonts w:ascii="Century Gothic" w:hAnsi="Century Gothic" w:cs="Arial"/>
          <w:sz w:val="18"/>
          <w:szCs w:val="18"/>
        </w:rPr>
      </w:pPr>
      <w:r w:rsidRPr="008F5174">
        <w:rPr>
          <w:rFonts w:ascii="Century Gothic" w:hAnsi="Century Gothic"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06C0469" w14:textId="77777777" w:rsidR="005401EC" w:rsidRPr="008F5174" w:rsidRDefault="005401EC" w:rsidP="005401EC">
      <w:pPr>
        <w:shd w:val="clear" w:color="auto" w:fill="FFFFFF"/>
        <w:spacing w:after="120" w:line="240" w:lineRule="auto"/>
        <w:ind w:firstLine="709"/>
        <w:jc w:val="both"/>
        <w:rPr>
          <w:rFonts w:ascii="Century Gothic" w:hAnsi="Century Gothic" w:cs="Arial"/>
          <w:sz w:val="18"/>
          <w:szCs w:val="18"/>
        </w:rPr>
      </w:pPr>
      <w:r w:rsidRPr="008F5174">
        <w:rPr>
          <w:rFonts w:ascii="Century Gothic" w:hAnsi="Century Gothic"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9">
    <w:p w14:paraId="49B0F9C2" w14:textId="77777777" w:rsidR="00D65C4A" w:rsidRPr="008F5174" w:rsidRDefault="00D65C4A" w:rsidP="00D65C4A">
      <w:pPr>
        <w:pStyle w:val="Textonotapie"/>
        <w:ind w:firstLine="709"/>
        <w:jc w:val="both"/>
        <w:rPr>
          <w:rFonts w:ascii="Century Gothic" w:hAnsi="Century Gothic" w:cs="Arial"/>
          <w:color w:val="000000" w:themeColor="text1"/>
          <w:sz w:val="18"/>
          <w:szCs w:val="18"/>
          <w:lang w:val="es-CO"/>
        </w:rPr>
      </w:pPr>
      <w:r w:rsidRPr="008F5174">
        <w:rPr>
          <w:rStyle w:val="Refdenotaalpie"/>
          <w:rFonts w:ascii="Century Gothic" w:hAnsi="Century Gothic" w:cs="Arial"/>
          <w:color w:val="000000" w:themeColor="text1"/>
          <w:sz w:val="18"/>
          <w:szCs w:val="18"/>
        </w:rPr>
        <w:footnoteRef/>
      </w:r>
      <w:r w:rsidRPr="008F5174">
        <w:rPr>
          <w:rFonts w:ascii="Century Gothic" w:hAnsi="Century Gothic" w:cs="Arial"/>
          <w:color w:val="000000" w:themeColor="text1"/>
          <w:sz w:val="18"/>
          <w:szCs w:val="18"/>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10">
    <w:p w14:paraId="256A6CEE" w14:textId="77777777" w:rsidR="00D65C4A" w:rsidRPr="008F5174" w:rsidRDefault="00D65C4A" w:rsidP="00D65C4A">
      <w:pPr>
        <w:pStyle w:val="Textonotapie"/>
        <w:ind w:firstLine="709"/>
        <w:jc w:val="both"/>
        <w:rPr>
          <w:rFonts w:ascii="Century Gothic" w:hAnsi="Century Gothic" w:cs="Arial"/>
          <w:color w:val="000000" w:themeColor="text1"/>
          <w:sz w:val="18"/>
          <w:szCs w:val="18"/>
        </w:rPr>
      </w:pPr>
      <w:r w:rsidRPr="008F5174">
        <w:rPr>
          <w:rStyle w:val="Refdenotaalpie"/>
          <w:rFonts w:ascii="Century Gothic" w:hAnsi="Century Gothic" w:cs="Arial"/>
          <w:color w:val="000000" w:themeColor="text1"/>
          <w:sz w:val="18"/>
          <w:szCs w:val="18"/>
        </w:rPr>
        <w:footnoteRef/>
      </w:r>
      <w:r w:rsidRPr="008F5174">
        <w:rPr>
          <w:rFonts w:ascii="Century Gothic" w:hAnsi="Century Gothic" w:cs="Arial"/>
          <w:color w:val="000000" w:themeColor="text1"/>
          <w:sz w:val="18"/>
          <w:szCs w:val="18"/>
        </w:rPr>
        <w:t xml:space="preserve"> Consejo de Estado. Sección Tercera. Sentencia del 3 de diciembre de 2007. Exp. 24.715. Consejera Ponente: Ruth Stella Correa Palacio.</w:t>
      </w:r>
    </w:p>
    <w:p w14:paraId="7EE1BE0C" w14:textId="77777777" w:rsidR="00D65C4A" w:rsidRPr="008F5174" w:rsidRDefault="00D65C4A" w:rsidP="00D65C4A">
      <w:pPr>
        <w:pStyle w:val="Textonotapie"/>
        <w:ind w:firstLine="709"/>
        <w:jc w:val="both"/>
        <w:rPr>
          <w:rFonts w:ascii="Century Gothic" w:hAnsi="Century Gothic" w:cs="Arial"/>
          <w:color w:val="000000" w:themeColor="text1"/>
          <w:sz w:val="18"/>
          <w:szCs w:val="18"/>
          <w:lang w:val="es-CO"/>
        </w:rPr>
      </w:pPr>
    </w:p>
  </w:footnote>
  <w:footnote w:id="11">
    <w:p w14:paraId="3544DF86" w14:textId="77777777" w:rsidR="00D65C4A" w:rsidRPr="008F5174" w:rsidRDefault="00D65C4A" w:rsidP="00D65C4A">
      <w:pPr>
        <w:pStyle w:val="Textonotapie"/>
        <w:ind w:firstLine="709"/>
        <w:jc w:val="both"/>
        <w:rPr>
          <w:rFonts w:ascii="Century Gothic" w:hAnsi="Century Gothic" w:cs="Arial"/>
          <w:color w:val="000000" w:themeColor="text1"/>
          <w:sz w:val="18"/>
          <w:szCs w:val="18"/>
        </w:rPr>
      </w:pPr>
      <w:r w:rsidRPr="008F5174">
        <w:rPr>
          <w:rStyle w:val="Refdenotaalpie"/>
          <w:rFonts w:ascii="Century Gothic" w:hAnsi="Century Gothic" w:cs="Arial"/>
          <w:color w:val="000000" w:themeColor="text1"/>
          <w:sz w:val="18"/>
          <w:szCs w:val="18"/>
        </w:rPr>
        <w:footnoteRef/>
      </w:r>
      <w:r w:rsidRPr="008F5174">
        <w:rPr>
          <w:rFonts w:ascii="Century Gothic" w:hAnsi="Century Gothic" w:cs="Arial"/>
          <w:color w:val="000000" w:themeColor="text1"/>
          <w:sz w:val="18"/>
          <w:szCs w:val="18"/>
        </w:rPr>
        <w:t xml:space="preserve"> Concepto con radicado número 4201912000006639 del 29 de noviembre de 2019 «Tipo de asunto consultado: Sujetos que pueden hacer observaciones al informe de evaluación en un procedimiento contractual mediante la modalidad de licitación pública”.</w:t>
      </w:r>
    </w:p>
    <w:p w14:paraId="2E3FF99D" w14:textId="77777777" w:rsidR="00D65C4A" w:rsidRPr="008F5174" w:rsidRDefault="00D65C4A" w:rsidP="00D65C4A">
      <w:pPr>
        <w:pStyle w:val="Textonotapie"/>
        <w:ind w:firstLine="709"/>
        <w:jc w:val="both"/>
        <w:rPr>
          <w:rFonts w:ascii="Century Gothic" w:hAnsi="Century Gothic" w:cs="Arial"/>
          <w:color w:val="000000" w:themeColor="text1"/>
          <w:sz w:val="18"/>
          <w:szCs w:val="18"/>
          <w:lang w:val="es-CO"/>
        </w:rPr>
      </w:pPr>
    </w:p>
  </w:footnote>
  <w:footnote w:id="12">
    <w:p w14:paraId="6757BF05" w14:textId="77777777" w:rsidR="00D65C4A" w:rsidRPr="008F5174" w:rsidRDefault="00D65C4A" w:rsidP="00D65C4A">
      <w:pPr>
        <w:pStyle w:val="Textonotapie"/>
        <w:ind w:firstLine="708"/>
        <w:jc w:val="both"/>
        <w:rPr>
          <w:rFonts w:ascii="Century Gothic" w:hAnsi="Century Gothic"/>
          <w:sz w:val="18"/>
          <w:szCs w:val="18"/>
        </w:rPr>
      </w:pPr>
      <w:r w:rsidRPr="008F5174">
        <w:rPr>
          <w:rStyle w:val="Refdenotaalpie"/>
          <w:rFonts w:ascii="Century Gothic" w:hAnsi="Century Gothic"/>
          <w:sz w:val="18"/>
          <w:szCs w:val="18"/>
        </w:rPr>
        <w:footnoteRef/>
      </w:r>
      <w:r w:rsidRPr="008F5174">
        <w:rPr>
          <w:rFonts w:ascii="Century Gothic" w:hAnsi="Century Gothic"/>
          <w:sz w:val="18"/>
          <w:szCs w:val="18"/>
        </w:rPr>
        <w:t xml:space="preserve"> BENAVIDES, José L. y SANTOFIMIO Jaime O, comps. Contrato estatal. Estudios sobre la reforma del estatuto contractual Ley 1150 de 2007. Universidad Externado de Colombia, 2009,</w:t>
      </w:r>
      <w:r w:rsidRPr="008F5174">
        <w:rPr>
          <w:rFonts w:ascii="Century Gothic" w:hAnsi="Century Gothic"/>
          <w:spacing w:val="-21"/>
          <w:sz w:val="18"/>
          <w:szCs w:val="18"/>
        </w:rPr>
        <w:t xml:space="preserve"> </w:t>
      </w:r>
      <w:r w:rsidRPr="008F5174">
        <w:rPr>
          <w:rFonts w:ascii="Century Gothic" w:hAnsi="Century Gothic"/>
          <w:sz w:val="18"/>
          <w:szCs w:val="18"/>
        </w:rPr>
        <w:t>p.165.</w:t>
      </w:r>
    </w:p>
    <w:p w14:paraId="2C480B7E" w14:textId="77777777" w:rsidR="00D65C4A" w:rsidRPr="008F5174" w:rsidRDefault="00D65C4A" w:rsidP="00D65C4A">
      <w:pPr>
        <w:pStyle w:val="Textonotapie"/>
        <w:jc w:val="both"/>
        <w:rPr>
          <w:rFonts w:ascii="Century Gothic" w:hAnsi="Century Gothic"/>
          <w:sz w:val="18"/>
          <w:szCs w:val="18"/>
          <w:lang w:val="es-CO"/>
        </w:rPr>
      </w:pPr>
    </w:p>
  </w:footnote>
  <w:footnote w:id="13">
    <w:p w14:paraId="62EDB118" w14:textId="77777777" w:rsidR="00D65C4A" w:rsidRPr="008F5174" w:rsidRDefault="00D65C4A" w:rsidP="00D65C4A">
      <w:pPr>
        <w:pStyle w:val="Textonotapie"/>
        <w:ind w:firstLine="709"/>
        <w:jc w:val="both"/>
        <w:rPr>
          <w:rFonts w:ascii="Century Gothic" w:hAnsi="Century Gothic" w:cs="Arial"/>
          <w:color w:val="000000" w:themeColor="text1"/>
          <w:sz w:val="18"/>
          <w:szCs w:val="18"/>
        </w:rPr>
      </w:pPr>
      <w:r w:rsidRPr="008F5174">
        <w:rPr>
          <w:rStyle w:val="Refdenotaalpie"/>
          <w:rFonts w:ascii="Century Gothic" w:hAnsi="Century Gothic" w:cs="Arial"/>
          <w:color w:val="000000" w:themeColor="text1"/>
          <w:sz w:val="18"/>
          <w:szCs w:val="18"/>
        </w:rPr>
        <w:footnoteRef/>
      </w:r>
      <w:r w:rsidRPr="008F5174">
        <w:rPr>
          <w:rFonts w:ascii="Century Gothic" w:hAnsi="Century Gothic" w:cs="Arial"/>
          <w:color w:val="000000" w:themeColor="text1"/>
          <w:sz w:val="18"/>
          <w:szCs w:val="18"/>
        </w:rPr>
        <w:t xml:space="preserve"> Decreto 1082 de 2015: «Artículo 2.2.1.2.1.1.2. Audiencias en la licitación.</w:t>
      </w:r>
    </w:p>
    <w:p w14:paraId="53AFDB21" w14:textId="77777777" w:rsidR="00D65C4A" w:rsidRPr="008F5174" w:rsidRDefault="00D65C4A" w:rsidP="00D65C4A">
      <w:pPr>
        <w:pStyle w:val="Textonotapie"/>
        <w:ind w:firstLine="709"/>
        <w:jc w:val="both"/>
        <w:rPr>
          <w:rFonts w:ascii="Century Gothic" w:hAnsi="Century Gothic" w:cs="Arial"/>
          <w:color w:val="000000" w:themeColor="text1"/>
          <w:sz w:val="18"/>
          <w:szCs w:val="18"/>
        </w:rPr>
      </w:pPr>
      <w:r w:rsidRPr="008F5174">
        <w:rPr>
          <w:rFonts w:ascii="Century Gothic" w:hAnsi="Century Gothic" w:cs="Arial"/>
          <w:color w:val="000000" w:themeColor="text1"/>
          <w:sz w:val="18"/>
          <w:szCs w:val="18"/>
        </w:rPr>
        <w:t>[…]</w:t>
      </w:r>
    </w:p>
    <w:p w14:paraId="1C767308" w14:textId="0FB295DC" w:rsidR="00D65C4A" w:rsidRPr="008F5174" w:rsidRDefault="00D65C4A" w:rsidP="00D65C4A">
      <w:pPr>
        <w:pStyle w:val="Textonotapie"/>
        <w:ind w:firstLine="709"/>
        <w:jc w:val="both"/>
        <w:rPr>
          <w:rFonts w:ascii="Century Gothic" w:hAnsi="Century Gothic" w:cs="Arial"/>
          <w:color w:val="000000" w:themeColor="text1"/>
          <w:sz w:val="18"/>
          <w:szCs w:val="18"/>
        </w:rPr>
      </w:pPr>
      <w:r w:rsidRPr="008F5174">
        <w:rPr>
          <w:rFonts w:ascii="Century Gothic" w:hAnsi="Century Gothic" w:cs="Arial"/>
          <w:color w:val="000000" w:themeColor="text1"/>
          <w:sz w:val="18"/>
          <w:szCs w:val="18"/>
        </w:rPr>
        <w:t xml:space="preserve">“La </w:t>
      </w:r>
      <w:r w:rsidR="00277068">
        <w:rPr>
          <w:rFonts w:ascii="Century Gothic" w:hAnsi="Century Gothic" w:cs="Arial"/>
          <w:color w:val="000000" w:themeColor="text1"/>
          <w:sz w:val="18"/>
          <w:szCs w:val="18"/>
        </w:rPr>
        <w:t>Entidad Estatal</w:t>
      </w:r>
      <w:r w:rsidRPr="008F5174">
        <w:rPr>
          <w:rFonts w:ascii="Century Gothic" w:hAnsi="Century Gothic" w:cs="Arial"/>
          <w:color w:val="000000" w:themeColor="text1"/>
          <w:sz w:val="18"/>
          <w:szCs w:val="18"/>
        </w:rPr>
        <w:t xml:space="preserve"> debe realizar la audiencia de adjudicación en la fecha y hora establecida en el Cronograma, la cual se realizará de acuerdo con las reglas establecidas para el efecto en los mismos y las siguientes consideraciones:</w:t>
      </w:r>
    </w:p>
    <w:p w14:paraId="0727BEEB" w14:textId="4DC8EF53" w:rsidR="00D65C4A" w:rsidRPr="008F5174" w:rsidRDefault="00D65C4A" w:rsidP="00D65C4A">
      <w:pPr>
        <w:pStyle w:val="Textonotapie"/>
        <w:ind w:firstLine="709"/>
        <w:jc w:val="both"/>
        <w:rPr>
          <w:rFonts w:ascii="Century Gothic" w:hAnsi="Century Gothic" w:cs="Arial"/>
          <w:color w:val="000000" w:themeColor="text1"/>
          <w:sz w:val="18"/>
          <w:szCs w:val="18"/>
        </w:rPr>
      </w:pPr>
      <w:r w:rsidRPr="008F5174">
        <w:rPr>
          <w:rFonts w:ascii="Century Gothic" w:hAnsi="Century Gothic" w:cs="Arial"/>
          <w:color w:val="000000" w:themeColor="text1"/>
          <w:sz w:val="18"/>
          <w:szCs w:val="18"/>
        </w:rPr>
        <w:t xml:space="preserve">1. En la audiencia los oferentes pueden pronunciarse sobre las respuestas dadas por la </w:t>
      </w:r>
      <w:r w:rsidR="00277068">
        <w:rPr>
          <w:rFonts w:ascii="Century Gothic" w:hAnsi="Century Gothic" w:cs="Arial"/>
          <w:color w:val="000000" w:themeColor="text1"/>
          <w:sz w:val="18"/>
          <w:szCs w:val="18"/>
        </w:rPr>
        <w:t>Entidad Estatal</w:t>
      </w:r>
      <w:r w:rsidRPr="008F5174">
        <w:rPr>
          <w:rFonts w:ascii="Century Gothic" w:hAnsi="Century Gothic" w:cs="Arial"/>
          <w:color w:val="000000" w:themeColor="text1"/>
          <w:sz w:val="18"/>
          <w:szCs w:val="18"/>
        </w:rPr>
        <w:t xml:space="preserve"> a las observaciones presentadas respecto del informe de evaluación, lo cual no implica una nueva oportunidad para mejorar o modificar la oferta. Si hay pronunciamientos que a juicio de la </w:t>
      </w:r>
      <w:r w:rsidR="00277068">
        <w:rPr>
          <w:rFonts w:ascii="Century Gothic" w:hAnsi="Century Gothic" w:cs="Arial"/>
          <w:color w:val="000000" w:themeColor="text1"/>
          <w:sz w:val="18"/>
          <w:szCs w:val="18"/>
        </w:rPr>
        <w:t>Entidad Estatal</w:t>
      </w:r>
      <w:r w:rsidRPr="008F5174">
        <w:rPr>
          <w:rFonts w:ascii="Century Gothic" w:hAnsi="Century Gothic" w:cs="Arial"/>
          <w:color w:val="000000" w:themeColor="text1"/>
          <w:sz w:val="18"/>
          <w:szCs w:val="18"/>
        </w:rPr>
        <w:t xml:space="preserve"> requiere análisis adicional y su solución puede incidir en el sentido de la decisión a adoptar, la audiencia puede suspenderse por el término necesario para la verificación de los asuntos debatidos y la comprobación de lo alegado”.</w:t>
      </w:r>
    </w:p>
    <w:p w14:paraId="1AD3FC04" w14:textId="77777777" w:rsidR="00D65C4A" w:rsidRPr="008F5174" w:rsidRDefault="00D65C4A" w:rsidP="00D65C4A">
      <w:pPr>
        <w:pStyle w:val="Textonotapie"/>
        <w:ind w:firstLine="709"/>
        <w:jc w:val="both"/>
        <w:rPr>
          <w:rFonts w:ascii="Century Gothic" w:hAnsi="Century Gothic" w:cs="Arial"/>
          <w:color w:val="000000" w:themeColor="text1"/>
          <w:sz w:val="18"/>
          <w:szCs w:val="18"/>
          <w:lang w:val="es-CO"/>
        </w:rPr>
      </w:pPr>
    </w:p>
  </w:footnote>
  <w:footnote w:id="14">
    <w:p w14:paraId="5177D33C" w14:textId="77777777" w:rsidR="00D65C4A" w:rsidRPr="008F5174" w:rsidRDefault="00D65C4A" w:rsidP="00D65C4A">
      <w:pPr>
        <w:pStyle w:val="Textonotapie"/>
        <w:ind w:firstLine="709"/>
        <w:jc w:val="both"/>
        <w:rPr>
          <w:rFonts w:ascii="Century Gothic" w:hAnsi="Century Gothic" w:cs="Arial"/>
          <w:color w:val="000000" w:themeColor="text1"/>
          <w:sz w:val="18"/>
          <w:szCs w:val="18"/>
        </w:rPr>
      </w:pPr>
      <w:r w:rsidRPr="008F5174">
        <w:rPr>
          <w:rStyle w:val="Refdenotaalpie"/>
          <w:rFonts w:ascii="Century Gothic" w:hAnsi="Century Gothic" w:cs="Arial"/>
          <w:color w:val="000000" w:themeColor="text1"/>
          <w:sz w:val="18"/>
          <w:szCs w:val="18"/>
        </w:rPr>
        <w:footnoteRef/>
      </w:r>
      <w:r w:rsidRPr="008F5174">
        <w:rPr>
          <w:rFonts w:ascii="Century Gothic" w:hAnsi="Century Gothic" w:cs="Arial"/>
          <w:color w:val="000000" w:themeColor="text1"/>
          <w:sz w:val="18"/>
          <w:szCs w:val="18"/>
        </w:rPr>
        <w:t xml:space="preserve"> Ley 80 de 1993: «Artículo 25. Del principio de economía. En virtud de este principio:</w:t>
      </w:r>
    </w:p>
    <w:p w14:paraId="7CEF7DF5" w14:textId="77777777" w:rsidR="00D65C4A" w:rsidRPr="008F5174" w:rsidRDefault="00D65C4A" w:rsidP="00D65C4A">
      <w:pPr>
        <w:pStyle w:val="Textonotapie"/>
        <w:ind w:firstLine="709"/>
        <w:jc w:val="both"/>
        <w:rPr>
          <w:rFonts w:ascii="Century Gothic" w:hAnsi="Century Gothic" w:cs="Arial"/>
          <w:color w:val="000000" w:themeColor="text1"/>
          <w:sz w:val="18"/>
          <w:szCs w:val="18"/>
        </w:rPr>
      </w:pPr>
      <w:r w:rsidRPr="008F5174">
        <w:rPr>
          <w:rFonts w:ascii="Century Gothic" w:hAnsi="Century Gothic" w:cs="Arial"/>
          <w:color w:val="000000" w:themeColor="text1"/>
          <w:sz w:val="18"/>
          <w:szCs w:val="18"/>
        </w:rPr>
        <w:t>“1º.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0AC0260E" w14:textId="77777777" w:rsidR="00D65C4A" w:rsidRPr="008F5174" w:rsidRDefault="00D65C4A" w:rsidP="00D65C4A">
      <w:pPr>
        <w:pStyle w:val="Textonotapie"/>
        <w:ind w:firstLine="709"/>
        <w:jc w:val="both"/>
        <w:rPr>
          <w:rFonts w:ascii="Century Gothic" w:hAnsi="Century Gothic" w:cs="Arial"/>
          <w:color w:val="000000" w:themeColor="text1"/>
          <w:sz w:val="18"/>
          <w:szCs w:val="18"/>
          <w:lang w:val="es-ES"/>
        </w:rPr>
      </w:pPr>
    </w:p>
  </w:footnote>
  <w:footnote w:id="15">
    <w:p w14:paraId="088098EB" w14:textId="77777777" w:rsidR="00D65C4A" w:rsidRPr="008F5174" w:rsidRDefault="00D65C4A" w:rsidP="00D65C4A">
      <w:pPr>
        <w:pStyle w:val="Textonotapie"/>
        <w:ind w:firstLine="709"/>
        <w:jc w:val="both"/>
        <w:rPr>
          <w:rFonts w:ascii="Century Gothic" w:hAnsi="Century Gothic" w:cs="Arial"/>
          <w:color w:val="000000" w:themeColor="text1"/>
          <w:sz w:val="18"/>
          <w:szCs w:val="18"/>
          <w:lang w:val="es-ES"/>
        </w:rPr>
      </w:pPr>
      <w:r w:rsidRPr="008F5174">
        <w:rPr>
          <w:rStyle w:val="Refdenotaalpie"/>
          <w:rFonts w:ascii="Century Gothic" w:hAnsi="Century Gothic" w:cs="Arial"/>
          <w:color w:val="000000" w:themeColor="text1"/>
          <w:sz w:val="18"/>
          <w:szCs w:val="18"/>
        </w:rPr>
        <w:footnoteRef/>
      </w:r>
      <w:r w:rsidRPr="008F5174">
        <w:rPr>
          <w:rFonts w:ascii="Century Gothic" w:hAnsi="Century Gothic" w:cs="Arial"/>
          <w:color w:val="000000" w:themeColor="text1"/>
          <w:sz w:val="18"/>
          <w:szCs w:val="18"/>
        </w:rPr>
        <w:t xml:space="preserve"> Consejo de Estado. Sección Tercera. Sentencia del 3 de mayo 2007. Exp. 16.209. Consejero Ponente: Ramiro Saavedra Becerra.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1.5pt;height:11.5pt" o:bullet="t">
        <v:imagedata r:id="rId1" o:title="mso1B13"/>
      </v:shape>
    </w:pict>
  </w:numPicBullet>
  <w:abstractNum w:abstractNumId="0" w15:restartNumberingAfterBreak="0">
    <w:nsid w:val="016D6B52"/>
    <w:multiLevelType w:val="multilevel"/>
    <w:tmpl w:val="F7F6205E"/>
    <w:lvl w:ilvl="0">
      <w:start w:val="1"/>
      <w:numFmt w:val="decimal"/>
      <w:lvlText w:val="%1."/>
      <w:lvlJc w:val="left"/>
      <w:pPr>
        <w:ind w:left="46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645" w:hanging="426"/>
      </w:pPr>
      <w:rPr>
        <w:rFonts w:ascii="Arial" w:eastAsia="Arial" w:hAnsi="Arial" w:cs="Arial" w:hint="default"/>
        <w:b/>
        <w:bCs/>
        <w:color w:val="4E4D4D"/>
        <w:spacing w:val="-1"/>
        <w:w w:val="100"/>
        <w:sz w:val="22"/>
        <w:szCs w:val="22"/>
        <w:lang w:val="es-ES" w:eastAsia="en-US" w:bidi="ar-SA"/>
      </w:rPr>
    </w:lvl>
    <w:lvl w:ilvl="2">
      <w:start w:val="1"/>
      <w:numFmt w:val="decimal"/>
      <w:lvlText w:val="%3."/>
      <w:lvlJc w:val="left"/>
      <w:pPr>
        <w:ind w:left="940" w:hanging="360"/>
      </w:pPr>
      <w:rPr>
        <w:rFonts w:ascii="Arial" w:eastAsia="Arial" w:hAnsi="Arial" w:cs="Arial" w:hint="default"/>
        <w:color w:val="4E4D4D"/>
        <w:spacing w:val="-15"/>
        <w:w w:val="100"/>
        <w:sz w:val="22"/>
        <w:szCs w:val="22"/>
        <w:lang w:val="es-ES" w:eastAsia="en-US" w:bidi="ar-SA"/>
      </w:rPr>
    </w:lvl>
    <w:lvl w:ilvl="3">
      <w:numFmt w:val="bullet"/>
      <w:lvlText w:val="•"/>
      <w:lvlJc w:val="left"/>
      <w:pPr>
        <w:ind w:left="940" w:hanging="360"/>
      </w:pPr>
      <w:rPr>
        <w:rFonts w:hint="default"/>
        <w:lang w:val="es-ES" w:eastAsia="en-US" w:bidi="ar-SA"/>
      </w:rPr>
    </w:lvl>
    <w:lvl w:ilvl="4">
      <w:numFmt w:val="bullet"/>
      <w:lvlText w:val="•"/>
      <w:lvlJc w:val="left"/>
      <w:pPr>
        <w:ind w:left="2128" w:hanging="360"/>
      </w:pPr>
      <w:rPr>
        <w:rFonts w:hint="default"/>
        <w:lang w:val="es-ES" w:eastAsia="en-US" w:bidi="ar-SA"/>
      </w:rPr>
    </w:lvl>
    <w:lvl w:ilvl="5">
      <w:numFmt w:val="bullet"/>
      <w:lvlText w:val="•"/>
      <w:lvlJc w:val="left"/>
      <w:pPr>
        <w:ind w:left="3317" w:hanging="360"/>
      </w:pPr>
      <w:rPr>
        <w:rFonts w:hint="default"/>
        <w:lang w:val="es-ES" w:eastAsia="en-US" w:bidi="ar-SA"/>
      </w:rPr>
    </w:lvl>
    <w:lvl w:ilvl="6">
      <w:numFmt w:val="bullet"/>
      <w:lvlText w:val="•"/>
      <w:lvlJc w:val="left"/>
      <w:pPr>
        <w:ind w:left="4505" w:hanging="360"/>
      </w:pPr>
      <w:rPr>
        <w:rFonts w:hint="default"/>
        <w:lang w:val="es-ES" w:eastAsia="en-US" w:bidi="ar-SA"/>
      </w:rPr>
    </w:lvl>
    <w:lvl w:ilvl="7">
      <w:numFmt w:val="bullet"/>
      <w:lvlText w:val="•"/>
      <w:lvlJc w:val="left"/>
      <w:pPr>
        <w:ind w:left="5694" w:hanging="360"/>
      </w:pPr>
      <w:rPr>
        <w:rFonts w:hint="default"/>
        <w:lang w:val="es-ES" w:eastAsia="en-US" w:bidi="ar-SA"/>
      </w:rPr>
    </w:lvl>
    <w:lvl w:ilvl="8">
      <w:numFmt w:val="bullet"/>
      <w:lvlText w:val="•"/>
      <w:lvlJc w:val="left"/>
      <w:pPr>
        <w:ind w:left="6882" w:hanging="360"/>
      </w:pPr>
      <w:rPr>
        <w:rFonts w:hint="default"/>
        <w:lang w:val="es-ES" w:eastAsia="en-US" w:bidi="ar-SA"/>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E32582"/>
    <w:multiLevelType w:val="hybridMultilevel"/>
    <w:tmpl w:val="078E2E72"/>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70BEA"/>
    <w:multiLevelType w:val="multilevel"/>
    <w:tmpl w:val="D834E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090DB1"/>
    <w:multiLevelType w:val="hybridMultilevel"/>
    <w:tmpl w:val="078E2E72"/>
    <w:lvl w:ilvl="0" w:tplc="30687C90">
      <w:start w:val="1"/>
      <w:numFmt w:val="lowerRoman"/>
      <w:lvlText w:val="%1)"/>
      <w:lvlJc w:val="left"/>
      <w:pPr>
        <w:ind w:left="1429"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5"/>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1762600484">
    <w:abstractNumId w:val="10"/>
  </w:num>
  <w:num w:numId="17" w16cid:durableId="1749108650">
    <w:abstractNumId w:val="11"/>
  </w:num>
  <w:num w:numId="18" w16cid:durableId="1659846305">
    <w:abstractNumId w:val="0"/>
  </w:num>
  <w:num w:numId="19" w16cid:durableId="884683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2A6C"/>
    <w:rsid w:val="00013BC0"/>
    <w:rsid w:val="00013C66"/>
    <w:rsid w:val="00016BAE"/>
    <w:rsid w:val="00020C4D"/>
    <w:rsid w:val="00033FCB"/>
    <w:rsid w:val="00044FBA"/>
    <w:rsid w:val="00053CAE"/>
    <w:rsid w:val="00061B2A"/>
    <w:rsid w:val="00082362"/>
    <w:rsid w:val="00094675"/>
    <w:rsid w:val="000A683E"/>
    <w:rsid w:val="000B19B9"/>
    <w:rsid w:val="000C3FD9"/>
    <w:rsid w:val="000D0334"/>
    <w:rsid w:val="000D3F11"/>
    <w:rsid w:val="000E511A"/>
    <w:rsid w:val="000F4B80"/>
    <w:rsid w:val="000F6486"/>
    <w:rsid w:val="001112DD"/>
    <w:rsid w:val="00125105"/>
    <w:rsid w:val="00125246"/>
    <w:rsid w:val="00127233"/>
    <w:rsid w:val="00144424"/>
    <w:rsid w:val="001626B8"/>
    <w:rsid w:val="001863FB"/>
    <w:rsid w:val="001A0E04"/>
    <w:rsid w:val="001A2AC3"/>
    <w:rsid w:val="001E27FE"/>
    <w:rsid w:val="001E4177"/>
    <w:rsid w:val="001F7DC6"/>
    <w:rsid w:val="0021009C"/>
    <w:rsid w:val="00220060"/>
    <w:rsid w:val="00234411"/>
    <w:rsid w:val="002421BB"/>
    <w:rsid w:val="00245CE2"/>
    <w:rsid w:val="0024676C"/>
    <w:rsid w:val="00267B02"/>
    <w:rsid w:val="002700A6"/>
    <w:rsid w:val="002707A2"/>
    <w:rsid w:val="00277068"/>
    <w:rsid w:val="00285538"/>
    <w:rsid w:val="002951A0"/>
    <w:rsid w:val="00295500"/>
    <w:rsid w:val="002962BC"/>
    <w:rsid w:val="002A093D"/>
    <w:rsid w:val="002A0DD0"/>
    <w:rsid w:val="002A49AC"/>
    <w:rsid w:val="002A64FD"/>
    <w:rsid w:val="002B2779"/>
    <w:rsid w:val="002C3A71"/>
    <w:rsid w:val="002C764B"/>
    <w:rsid w:val="002C7A84"/>
    <w:rsid w:val="002D4259"/>
    <w:rsid w:val="002E4FD9"/>
    <w:rsid w:val="002F4805"/>
    <w:rsid w:val="003111EA"/>
    <w:rsid w:val="00314743"/>
    <w:rsid w:val="00322A85"/>
    <w:rsid w:val="003405F6"/>
    <w:rsid w:val="003448F4"/>
    <w:rsid w:val="00361E0A"/>
    <w:rsid w:val="0036413B"/>
    <w:rsid w:val="00366447"/>
    <w:rsid w:val="00374F5E"/>
    <w:rsid w:val="00377E3E"/>
    <w:rsid w:val="00382009"/>
    <w:rsid w:val="003977E6"/>
    <w:rsid w:val="003A779E"/>
    <w:rsid w:val="003B3E52"/>
    <w:rsid w:val="003B4A53"/>
    <w:rsid w:val="003C47FB"/>
    <w:rsid w:val="003C7BFE"/>
    <w:rsid w:val="003D0F4D"/>
    <w:rsid w:val="003D5B0D"/>
    <w:rsid w:val="003E0499"/>
    <w:rsid w:val="003F3941"/>
    <w:rsid w:val="00406575"/>
    <w:rsid w:val="00414E16"/>
    <w:rsid w:val="0041561B"/>
    <w:rsid w:val="0042636E"/>
    <w:rsid w:val="0042722E"/>
    <w:rsid w:val="004718EE"/>
    <w:rsid w:val="004875B2"/>
    <w:rsid w:val="00490BE4"/>
    <w:rsid w:val="004A1847"/>
    <w:rsid w:val="004A305D"/>
    <w:rsid w:val="004A52A7"/>
    <w:rsid w:val="004B2051"/>
    <w:rsid w:val="004C3F83"/>
    <w:rsid w:val="004D0978"/>
    <w:rsid w:val="004D269F"/>
    <w:rsid w:val="004E4D03"/>
    <w:rsid w:val="004F21C4"/>
    <w:rsid w:val="004F2DA0"/>
    <w:rsid w:val="004F685F"/>
    <w:rsid w:val="004F7547"/>
    <w:rsid w:val="00521210"/>
    <w:rsid w:val="0052469B"/>
    <w:rsid w:val="0052748F"/>
    <w:rsid w:val="005401EC"/>
    <w:rsid w:val="00540BEE"/>
    <w:rsid w:val="00554A61"/>
    <w:rsid w:val="005566E8"/>
    <w:rsid w:val="0055690F"/>
    <w:rsid w:val="00574867"/>
    <w:rsid w:val="005847B8"/>
    <w:rsid w:val="00591460"/>
    <w:rsid w:val="005A2340"/>
    <w:rsid w:val="005C3777"/>
    <w:rsid w:val="005C5CDC"/>
    <w:rsid w:val="005C7F83"/>
    <w:rsid w:val="005D3C31"/>
    <w:rsid w:val="005D476C"/>
    <w:rsid w:val="005F2702"/>
    <w:rsid w:val="006064F2"/>
    <w:rsid w:val="00613EAB"/>
    <w:rsid w:val="006219F8"/>
    <w:rsid w:val="00637CB1"/>
    <w:rsid w:val="006468F1"/>
    <w:rsid w:val="00654C40"/>
    <w:rsid w:val="00665A85"/>
    <w:rsid w:val="00665D70"/>
    <w:rsid w:val="00672401"/>
    <w:rsid w:val="00684AEE"/>
    <w:rsid w:val="00686D04"/>
    <w:rsid w:val="006900D9"/>
    <w:rsid w:val="00691529"/>
    <w:rsid w:val="006A67CD"/>
    <w:rsid w:val="006C61F0"/>
    <w:rsid w:val="006C7498"/>
    <w:rsid w:val="00701248"/>
    <w:rsid w:val="00706C16"/>
    <w:rsid w:val="007151DD"/>
    <w:rsid w:val="00725CCC"/>
    <w:rsid w:val="0073364A"/>
    <w:rsid w:val="0074799D"/>
    <w:rsid w:val="007555E5"/>
    <w:rsid w:val="00756841"/>
    <w:rsid w:val="007649AB"/>
    <w:rsid w:val="00767FC8"/>
    <w:rsid w:val="00771D0C"/>
    <w:rsid w:val="007833AC"/>
    <w:rsid w:val="007B268C"/>
    <w:rsid w:val="007B7171"/>
    <w:rsid w:val="007C3DC2"/>
    <w:rsid w:val="007E5497"/>
    <w:rsid w:val="008016CA"/>
    <w:rsid w:val="00806F5F"/>
    <w:rsid w:val="00811E4A"/>
    <w:rsid w:val="00820278"/>
    <w:rsid w:val="00847764"/>
    <w:rsid w:val="00862A4A"/>
    <w:rsid w:val="008843B6"/>
    <w:rsid w:val="00891928"/>
    <w:rsid w:val="008A446D"/>
    <w:rsid w:val="008A45EE"/>
    <w:rsid w:val="008B5661"/>
    <w:rsid w:val="008D180B"/>
    <w:rsid w:val="008E3086"/>
    <w:rsid w:val="008E5542"/>
    <w:rsid w:val="008F0EA7"/>
    <w:rsid w:val="008F3B25"/>
    <w:rsid w:val="008F5174"/>
    <w:rsid w:val="0090564E"/>
    <w:rsid w:val="0091209A"/>
    <w:rsid w:val="00923EEF"/>
    <w:rsid w:val="00940636"/>
    <w:rsid w:val="009419F9"/>
    <w:rsid w:val="009463BB"/>
    <w:rsid w:val="00960441"/>
    <w:rsid w:val="00961B09"/>
    <w:rsid w:val="00965334"/>
    <w:rsid w:val="00967D80"/>
    <w:rsid w:val="0097093E"/>
    <w:rsid w:val="009A7416"/>
    <w:rsid w:val="009C32EE"/>
    <w:rsid w:val="009C71FA"/>
    <w:rsid w:val="009C72E7"/>
    <w:rsid w:val="009D02DE"/>
    <w:rsid w:val="009D0377"/>
    <w:rsid w:val="009D4A15"/>
    <w:rsid w:val="009F3A13"/>
    <w:rsid w:val="00A03B42"/>
    <w:rsid w:val="00A03FB7"/>
    <w:rsid w:val="00A122D3"/>
    <w:rsid w:val="00A17F13"/>
    <w:rsid w:val="00A20739"/>
    <w:rsid w:val="00A33C78"/>
    <w:rsid w:val="00A51DED"/>
    <w:rsid w:val="00A61AF5"/>
    <w:rsid w:val="00A6603B"/>
    <w:rsid w:val="00A746D3"/>
    <w:rsid w:val="00A77B06"/>
    <w:rsid w:val="00A85718"/>
    <w:rsid w:val="00A970CC"/>
    <w:rsid w:val="00AA56B3"/>
    <w:rsid w:val="00AB02C6"/>
    <w:rsid w:val="00AB0ADB"/>
    <w:rsid w:val="00AB437A"/>
    <w:rsid w:val="00AC7A5A"/>
    <w:rsid w:val="00AD6FCC"/>
    <w:rsid w:val="00AE4882"/>
    <w:rsid w:val="00B21B5A"/>
    <w:rsid w:val="00B2439C"/>
    <w:rsid w:val="00B320AE"/>
    <w:rsid w:val="00B72CD3"/>
    <w:rsid w:val="00B72FFF"/>
    <w:rsid w:val="00BA2139"/>
    <w:rsid w:val="00BC0F18"/>
    <w:rsid w:val="00BC3D36"/>
    <w:rsid w:val="00BD4AFF"/>
    <w:rsid w:val="00BD7F72"/>
    <w:rsid w:val="00C04FB3"/>
    <w:rsid w:val="00C330EB"/>
    <w:rsid w:val="00C378C5"/>
    <w:rsid w:val="00C40BE5"/>
    <w:rsid w:val="00C754BE"/>
    <w:rsid w:val="00C76B1C"/>
    <w:rsid w:val="00CA466C"/>
    <w:rsid w:val="00CB6357"/>
    <w:rsid w:val="00CC1B26"/>
    <w:rsid w:val="00CD711C"/>
    <w:rsid w:val="00CF0A52"/>
    <w:rsid w:val="00D065CB"/>
    <w:rsid w:val="00D17062"/>
    <w:rsid w:val="00D24947"/>
    <w:rsid w:val="00D423A2"/>
    <w:rsid w:val="00D51BFB"/>
    <w:rsid w:val="00D52EE4"/>
    <w:rsid w:val="00D63AC2"/>
    <w:rsid w:val="00D65C4A"/>
    <w:rsid w:val="00D6735E"/>
    <w:rsid w:val="00D7383B"/>
    <w:rsid w:val="00D80F20"/>
    <w:rsid w:val="00DA231B"/>
    <w:rsid w:val="00DB3663"/>
    <w:rsid w:val="00DB7A44"/>
    <w:rsid w:val="00DC3726"/>
    <w:rsid w:val="00DE401F"/>
    <w:rsid w:val="00DF5254"/>
    <w:rsid w:val="00E1486A"/>
    <w:rsid w:val="00E16408"/>
    <w:rsid w:val="00E20894"/>
    <w:rsid w:val="00E245AB"/>
    <w:rsid w:val="00E2764C"/>
    <w:rsid w:val="00E27F2E"/>
    <w:rsid w:val="00E47043"/>
    <w:rsid w:val="00E50AFE"/>
    <w:rsid w:val="00E648F9"/>
    <w:rsid w:val="00E771DC"/>
    <w:rsid w:val="00E8772A"/>
    <w:rsid w:val="00E90F6B"/>
    <w:rsid w:val="00E92C27"/>
    <w:rsid w:val="00E97D30"/>
    <w:rsid w:val="00EA0E3D"/>
    <w:rsid w:val="00EC253A"/>
    <w:rsid w:val="00EC279A"/>
    <w:rsid w:val="00EC7C07"/>
    <w:rsid w:val="00EE1AA8"/>
    <w:rsid w:val="00EF7928"/>
    <w:rsid w:val="00F16D34"/>
    <w:rsid w:val="00F31EDC"/>
    <w:rsid w:val="00F462B3"/>
    <w:rsid w:val="00F5664F"/>
    <w:rsid w:val="00F619A8"/>
    <w:rsid w:val="00F6243A"/>
    <w:rsid w:val="00F666C4"/>
    <w:rsid w:val="00F75DAC"/>
    <w:rsid w:val="00F76AFC"/>
    <w:rsid w:val="00FA1B5D"/>
    <w:rsid w:val="00FB5DD1"/>
    <w:rsid w:val="00FC2B5D"/>
    <w:rsid w:val="00FF1449"/>
    <w:rsid w:val="5BC413EF"/>
    <w:rsid w:val="62124CC9"/>
    <w:rsid w:val="79E78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401E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rsid w:val="005401EC"/>
    <w:rPr>
      <w:rFonts w:ascii="Geomanist Light" w:hAnsi="Geomanist Light"/>
      <w:lang w:val="es-ES"/>
    </w:rPr>
  </w:style>
  <w:style w:type="character" w:customStyle="1" w:styleId="NormalWebCar">
    <w:name w:val="Normal (Web) Car"/>
    <w:link w:val="NormalWeb"/>
    <w:uiPriority w:val="99"/>
    <w:rsid w:val="005401EC"/>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D65C4A"/>
    <w:pPr>
      <w:widowControl w:val="0"/>
      <w:autoSpaceDE w:val="0"/>
      <w:autoSpaceDN w:val="0"/>
      <w:adjustRightInd w:val="0"/>
      <w:spacing w:after="0" w:line="240" w:lineRule="auto"/>
    </w:pPr>
    <w:rPr>
      <w:rFonts w:ascii="Arial" w:eastAsiaTheme="minorEastAsia" w:hAnsi="Arial" w:cs="Arial"/>
      <w:lang w:eastAsia="es-CO"/>
    </w:rPr>
  </w:style>
  <w:style w:type="character" w:customStyle="1" w:styleId="TextoindependienteCar">
    <w:name w:val="Texto independiente Car"/>
    <w:basedOn w:val="Fuentedeprrafopredeter"/>
    <w:link w:val="Textoindependiente"/>
    <w:uiPriority w:val="1"/>
    <w:rsid w:val="00D65C4A"/>
    <w:rPr>
      <w:rFonts w:ascii="Arial" w:eastAsiaTheme="minorEastAsia" w:hAnsi="Arial" w:cs="Arial"/>
      <w:lang w:eastAsia="es-CO"/>
    </w:rPr>
  </w:style>
  <w:style w:type="character" w:styleId="Textoennegrita">
    <w:name w:val="Strong"/>
    <w:basedOn w:val="Fuentedeprrafopredeter"/>
    <w:uiPriority w:val="22"/>
    <w:qFormat/>
    <w:rsid w:val="00D65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7779">
      <w:bodyDiv w:val="1"/>
      <w:marLeft w:val="0"/>
      <w:marRight w:val="0"/>
      <w:marTop w:val="0"/>
      <w:marBottom w:val="0"/>
      <w:divBdr>
        <w:top w:val="none" w:sz="0" w:space="0" w:color="auto"/>
        <w:left w:val="none" w:sz="0" w:space="0" w:color="auto"/>
        <w:bottom w:val="none" w:sz="0" w:space="0" w:color="auto"/>
        <w:right w:val="none" w:sz="0" w:space="0" w:color="auto"/>
      </w:divBdr>
      <w:divsChild>
        <w:div w:id="1360620471">
          <w:marLeft w:val="0"/>
          <w:marRight w:val="0"/>
          <w:marTop w:val="0"/>
          <w:marBottom w:val="0"/>
          <w:divBdr>
            <w:top w:val="none" w:sz="0" w:space="0" w:color="auto"/>
            <w:left w:val="none" w:sz="0" w:space="0" w:color="auto"/>
            <w:bottom w:val="none" w:sz="0" w:space="0" w:color="auto"/>
            <w:right w:val="none" w:sz="0" w:space="0" w:color="auto"/>
          </w:divBdr>
        </w:div>
        <w:div w:id="2077581052">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009939799">
      <w:bodyDiv w:val="1"/>
      <w:marLeft w:val="0"/>
      <w:marRight w:val="0"/>
      <w:marTop w:val="0"/>
      <w:marBottom w:val="0"/>
      <w:divBdr>
        <w:top w:val="none" w:sz="0" w:space="0" w:color="auto"/>
        <w:left w:val="none" w:sz="0" w:space="0" w:color="auto"/>
        <w:bottom w:val="none" w:sz="0" w:space="0" w:color="auto"/>
        <w:right w:val="none" w:sz="0" w:space="0" w:color="auto"/>
      </w:divBdr>
      <w:divsChild>
        <w:div w:id="2010134091">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0750A07-C974-4E2A-97B9-B7CE1EA708FE}"/>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9655</Words>
  <Characters>53104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3</cp:revision>
  <cp:lastPrinted>2023-01-10T21:18:00Z</cp:lastPrinted>
  <dcterms:created xsi:type="dcterms:W3CDTF">2023-09-22T23:18:00Z</dcterms:created>
  <dcterms:modified xsi:type="dcterms:W3CDTF">2023-11-28T06:26:00Z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