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B98B" w14:textId="77777777" w:rsidR="00877A1C" w:rsidRPr="006A20F9" w:rsidRDefault="00877A1C" w:rsidP="006A20F9">
      <w:pPr>
        <w:spacing w:line="240" w:lineRule="auto"/>
        <w:jc w:val="both"/>
        <w:rPr>
          <w:rFonts w:ascii="Century Gothic" w:hAnsi="Century Gothic" w:cs="Arial"/>
          <w:b/>
          <w:bCs/>
          <w:sz w:val="20"/>
          <w:szCs w:val="20"/>
          <w:lang w:val="es-ES_tradnl"/>
        </w:rPr>
      </w:pPr>
      <w:r w:rsidRPr="006A20F9">
        <w:rPr>
          <w:rFonts w:ascii="Century Gothic" w:hAnsi="Century Gothic" w:cs="Arial"/>
          <w:b/>
          <w:bCs/>
          <w:sz w:val="20"/>
          <w:szCs w:val="20"/>
          <w:lang w:val="es-ES_tradnl"/>
        </w:rPr>
        <w:t>ANTICIPO – Regulación normativa</w:t>
      </w:r>
    </w:p>
    <w:p w14:paraId="76852815" w14:textId="77777777" w:rsidR="004B12B5" w:rsidRPr="006A20F9" w:rsidRDefault="00877A1C" w:rsidP="006A20F9">
      <w:pPr>
        <w:spacing w:line="240" w:lineRule="auto"/>
        <w:jc w:val="both"/>
        <w:rPr>
          <w:rFonts w:ascii="Century Gothic" w:hAnsi="Century Gothic"/>
          <w:sz w:val="20"/>
          <w:szCs w:val="20"/>
        </w:rPr>
      </w:pPr>
      <w:r w:rsidRPr="006A20F9">
        <w:rPr>
          <w:rFonts w:ascii="Century Gothic" w:hAnsi="Century Gothic"/>
          <w:sz w:val="20"/>
          <w:szCs w:val="20"/>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397C2A58" w14:textId="5E622729" w:rsidR="00877A1C" w:rsidRPr="006A20F9" w:rsidRDefault="00877A1C" w:rsidP="006A20F9">
      <w:pPr>
        <w:spacing w:line="240" w:lineRule="auto"/>
        <w:jc w:val="both"/>
        <w:rPr>
          <w:rFonts w:ascii="Century Gothic" w:hAnsi="Century Gothic" w:cs="Arial"/>
          <w:b/>
          <w:bCs/>
          <w:sz w:val="20"/>
          <w:szCs w:val="20"/>
          <w:lang w:val="es-ES_tradnl"/>
        </w:rPr>
      </w:pPr>
      <w:r w:rsidRPr="006A20F9">
        <w:rPr>
          <w:rFonts w:ascii="Century Gothic" w:hAnsi="Century Gothic"/>
          <w:sz w:val="20"/>
          <w:szCs w:val="20"/>
        </w:rPr>
        <w:t>Por su parte, el artículo 91 de la Ley 1474 de 2011 consagra una regla especial para el manejo del anticipo. Según esta disposición, el contratista tiene la obligación de constituir una fiducia o un patrimonio autónomo irrevocable para el manejo de los recursos que reciba a título de anticipo, cuando se pacte en contratos de obra, concesión, salud, o en todos aquellos que se realicen por licitación pública, “salvo que el contrato sea de menor o mínima cuantía”. Lo anterior, con el fin de garantizar que se destinen exclusivamente a la ejecución del contrato</w:t>
      </w:r>
    </w:p>
    <w:p w14:paraId="55816ADF" w14:textId="77777777" w:rsidR="00877A1C" w:rsidRPr="006A20F9" w:rsidRDefault="00877A1C" w:rsidP="006A20F9">
      <w:pPr>
        <w:spacing w:line="240" w:lineRule="auto"/>
        <w:jc w:val="both"/>
        <w:rPr>
          <w:rFonts w:ascii="Century Gothic" w:hAnsi="Century Gothic" w:cs="Arial"/>
          <w:b/>
          <w:bCs/>
          <w:sz w:val="20"/>
          <w:szCs w:val="20"/>
        </w:rPr>
      </w:pPr>
      <w:r w:rsidRPr="006A20F9">
        <w:rPr>
          <w:rFonts w:ascii="Century Gothic" w:hAnsi="Century Gothic" w:cs="Arial"/>
          <w:b/>
          <w:bCs/>
          <w:sz w:val="20"/>
          <w:szCs w:val="20"/>
        </w:rPr>
        <w:t>ANTICIPO – Definición jurisprudencial</w:t>
      </w:r>
    </w:p>
    <w:p w14:paraId="40280A5C" w14:textId="4DBC4205" w:rsidR="004B12B5" w:rsidRPr="006A20F9" w:rsidRDefault="004B12B5" w:rsidP="006A20F9">
      <w:pPr>
        <w:spacing w:line="240" w:lineRule="auto"/>
        <w:jc w:val="both"/>
        <w:rPr>
          <w:rFonts w:ascii="Century Gothic" w:hAnsi="Century Gothic"/>
          <w:sz w:val="20"/>
          <w:szCs w:val="20"/>
        </w:rPr>
      </w:pPr>
      <w:r w:rsidRPr="006A20F9">
        <w:rPr>
          <w:rFonts w:ascii="Century Gothic" w:hAnsi="Century Gothic"/>
          <w:sz w:val="20"/>
          <w:szCs w:val="20"/>
        </w:rPr>
        <w:t>Aunque las normas citadas no definen el anticipo, el Consejo de Estado ha precisado su naturaleza jurídica fijando parámetros para su aplicación. En uno de sus pronunciamientos más recientes, el Consejo de Estado se refirió al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w:t>
      </w:r>
      <w:r w:rsidRPr="006A20F9">
        <w:rPr>
          <w:rFonts w:ascii="Century Gothic" w:hAnsi="Century Gothic"/>
          <w:sz w:val="20"/>
          <w:szCs w:val="20"/>
        </w:rPr>
        <w:t xml:space="preserve"> </w:t>
      </w:r>
      <w:r w:rsidRPr="006A20F9">
        <w:rPr>
          <w:rFonts w:ascii="Century Gothic" w:hAnsi="Century Gothic"/>
          <w:sz w:val="20"/>
          <w:szCs w:val="20"/>
        </w:rPr>
        <w:t xml:space="preserve">la inversión, de suerte que el monto entregado como anticipo no ingresa al patrimonio del contratista sino cuando ha sido debidamente amortizado”. </w:t>
      </w:r>
    </w:p>
    <w:p w14:paraId="4E44D9EA" w14:textId="77777777" w:rsidR="004B12B5" w:rsidRPr="006A20F9" w:rsidRDefault="004B12B5" w:rsidP="006A20F9">
      <w:pPr>
        <w:spacing w:line="240" w:lineRule="auto"/>
        <w:jc w:val="both"/>
        <w:rPr>
          <w:rFonts w:ascii="Century Gothic" w:hAnsi="Century Gothic"/>
          <w:sz w:val="20"/>
          <w:szCs w:val="20"/>
        </w:rPr>
      </w:pPr>
      <w:r w:rsidRPr="006A20F9">
        <w:rPr>
          <w:rFonts w:ascii="Century Gothic" w:hAnsi="Century Gothic"/>
          <w:sz w:val="20"/>
          <w:szCs w:val="20"/>
        </w:rPr>
        <w:t xml:space="preserve">Sobre la calidad de recurso público del anticipo, la jurisprudencia ha reiterado que “dicho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 Igualmente, explica que el anticipo, al facilitar al contratista la financiación de los bienes y servicios que se le han encargado, es un factor determinante para impulsar la ejecución del contrato. Este también es el entendimiento de la doctrina, que ha considerado el anticipo como un dinero entregado al contratista que debe cancelarse mediante descuentos parciales, siendo una práctica común que permite impulsar la ejecución del contrato. </w:t>
      </w:r>
    </w:p>
    <w:p w14:paraId="096903E4" w14:textId="4615D2CD" w:rsidR="004B12B5" w:rsidRPr="006A20F9" w:rsidRDefault="004B12B5" w:rsidP="006A20F9">
      <w:pPr>
        <w:spacing w:line="240" w:lineRule="auto"/>
        <w:jc w:val="both"/>
        <w:rPr>
          <w:rFonts w:ascii="Century Gothic" w:hAnsi="Century Gothic" w:cs="Arial"/>
          <w:b/>
          <w:bCs/>
          <w:sz w:val="20"/>
          <w:szCs w:val="20"/>
        </w:rPr>
      </w:pPr>
      <w:r w:rsidRPr="006A20F9">
        <w:rPr>
          <w:rFonts w:ascii="Century Gothic" w:hAnsi="Century Gothic"/>
          <w:sz w:val="20"/>
          <w:szCs w:val="20"/>
        </w:rPr>
        <w:t>Así, de acuerdo con las consideraciones de la jurisprudencia y la doctrina, el anticipo es 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6A31BF5F" w14:textId="77777777" w:rsidR="00877A1C" w:rsidRPr="006A20F9" w:rsidRDefault="00877A1C" w:rsidP="006A20F9">
      <w:pPr>
        <w:spacing w:line="240" w:lineRule="auto"/>
        <w:jc w:val="both"/>
        <w:rPr>
          <w:rFonts w:ascii="Century Gothic" w:hAnsi="Century Gothic" w:cs="Arial"/>
          <w:b/>
          <w:bCs/>
          <w:sz w:val="20"/>
          <w:szCs w:val="20"/>
        </w:rPr>
      </w:pPr>
      <w:r w:rsidRPr="006A20F9">
        <w:rPr>
          <w:rFonts w:ascii="Century Gothic" w:hAnsi="Century Gothic" w:cs="Arial"/>
          <w:b/>
          <w:bCs/>
          <w:sz w:val="20"/>
          <w:szCs w:val="20"/>
        </w:rPr>
        <w:lastRenderedPageBreak/>
        <w:t>ANTICIPO – Autonomía de la voluntad – Derechos y obligaciones recíprocos</w:t>
      </w:r>
    </w:p>
    <w:p w14:paraId="476F5B2F" w14:textId="59F9048D" w:rsidR="004B12B5" w:rsidRPr="006A20F9" w:rsidRDefault="004B12B5" w:rsidP="006A20F9">
      <w:pPr>
        <w:spacing w:line="240" w:lineRule="auto"/>
        <w:jc w:val="both"/>
        <w:rPr>
          <w:rFonts w:ascii="Century Gothic" w:hAnsi="Century Gothic"/>
          <w:sz w:val="20"/>
          <w:szCs w:val="20"/>
        </w:rPr>
      </w:pPr>
      <w:r w:rsidRPr="006A20F9">
        <w:rPr>
          <w:rFonts w:ascii="Century Gothic" w:hAnsi="Century Gothic"/>
          <w:sz w:val="20"/>
          <w:szCs w:val="20"/>
        </w:rPr>
        <w:t>Como característica esencial del anticipo, derivada del artículo 40 de la Ley 80 de 1993, el pacto proviene de la autonomía de la voluntad de las partes. De allí que se generen una serie de derechos y obligaciones recíprocos entre ellas. Por un lado, el contratante tiene</w:t>
      </w:r>
      <w:r w:rsidRPr="006A20F9">
        <w:rPr>
          <w:rFonts w:ascii="Century Gothic" w:hAnsi="Century Gothic"/>
          <w:sz w:val="20"/>
          <w:szCs w:val="20"/>
        </w:rPr>
        <w:t xml:space="preserve"> </w:t>
      </w:r>
      <w:r w:rsidRPr="006A20F9">
        <w:rPr>
          <w:rFonts w:ascii="Century Gothic" w:hAnsi="Century Gothic"/>
          <w:sz w:val="20"/>
          <w:szCs w:val="20"/>
        </w:rPr>
        <w:t>la obligación de entregar el valor pactado como anticipo y el derecho a que los recursos sean empleados en la forma estipulada. Por otro lado, el contratista tiene derecho a recibir dicho anticipo y la obligación de destinarlo a la ejecución del contrato</w:t>
      </w:r>
      <w:r w:rsidRPr="006A20F9">
        <w:rPr>
          <w:rFonts w:ascii="Century Gothic" w:hAnsi="Century Gothic"/>
          <w:sz w:val="20"/>
          <w:szCs w:val="20"/>
        </w:rPr>
        <w:t>.</w:t>
      </w:r>
    </w:p>
    <w:p w14:paraId="057A927A" w14:textId="77777777" w:rsidR="004B12B5" w:rsidRPr="006A20F9" w:rsidRDefault="004B12B5" w:rsidP="006A20F9">
      <w:pPr>
        <w:spacing w:line="240" w:lineRule="auto"/>
        <w:jc w:val="both"/>
        <w:rPr>
          <w:rFonts w:ascii="Century Gothic" w:hAnsi="Century Gothic"/>
          <w:sz w:val="20"/>
          <w:szCs w:val="20"/>
        </w:rPr>
      </w:pPr>
      <w:r w:rsidRPr="006A20F9">
        <w:rPr>
          <w:rFonts w:ascii="Century Gothic" w:hAnsi="Century Gothic"/>
          <w:sz w:val="20"/>
          <w:szCs w:val="20"/>
        </w:rPr>
        <w:t xml:space="preserve">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cincuenta por ciento (50%) del valor del contrato–, el plazo de amortización, las condiciones necesarias para su exigibilidad, así como todas las obligaciones para su correcta inversión. </w:t>
      </w:r>
    </w:p>
    <w:p w14:paraId="796992C2" w14:textId="20234E2B" w:rsidR="004B12B5" w:rsidRPr="006A20F9" w:rsidRDefault="004B12B5" w:rsidP="006A20F9">
      <w:pPr>
        <w:spacing w:line="240" w:lineRule="auto"/>
        <w:jc w:val="both"/>
        <w:rPr>
          <w:rFonts w:ascii="Century Gothic" w:hAnsi="Century Gothic" w:cs="Arial"/>
          <w:b/>
          <w:bCs/>
          <w:sz w:val="20"/>
          <w:szCs w:val="20"/>
        </w:rPr>
      </w:pPr>
      <w:r w:rsidRPr="006A20F9">
        <w:rPr>
          <w:rFonts w:ascii="Century Gothic" w:hAnsi="Century Gothic"/>
          <w:sz w:val="20"/>
          <w:szCs w:val="20"/>
        </w:rPr>
        <w:t>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De hecho, el Estatuto General de Contratación de la Administración Pública dispone como única limitación el valor máximo que puede desembolsar la entidad para pactar el anticipo</w:t>
      </w:r>
    </w:p>
    <w:p w14:paraId="1B505F14" w14:textId="77777777" w:rsidR="00877A1C" w:rsidRPr="006A20F9" w:rsidRDefault="00877A1C" w:rsidP="006A20F9">
      <w:pPr>
        <w:spacing w:line="240" w:lineRule="auto"/>
        <w:jc w:val="both"/>
        <w:rPr>
          <w:rFonts w:ascii="Century Gothic" w:hAnsi="Century Gothic" w:cs="Arial"/>
          <w:b/>
          <w:bCs/>
          <w:sz w:val="20"/>
          <w:szCs w:val="20"/>
        </w:rPr>
      </w:pPr>
      <w:r w:rsidRPr="006A20F9">
        <w:rPr>
          <w:rFonts w:ascii="Century Gothic" w:hAnsi="Century Gothic" w:cs="Arial"/>
          <w:b/>
          <w:bCs/>
          <w:sz w:val="20"/>
          <w:szCs w:val="20"/>
        </w:rPr>
        <w:t>CONSTITUCIÓN DE FIDUCIA O PATRIMONIO AUTÓNOMO IRREVOCABLE – Artículo 91 ley 1474 de 2011</w:t>
      </w:r>
    </w:p>
    <w:p w14:paraId="4A58B664" w14:textId="75B77C35" w:rsidR="004B12B5" w:rsidRPr="006A20F9" w:rsidRDefault="004B12B5" w:rsidP="006A20F9">
      <w:pPr>
        <w:spacing w:line="240" w:lineRule="auto"/>
        <w:jc w:val="both"/>
        <w:rPr>
          <w:rFonts w:ascii="Century Gothic" w:hAnsi="Century Gothic"/>
          <w:sz w:val="20"/>
          <w:szCs w:val="20"/>
        </w:rPr>
      </w:pPr>
      <w:r w:rsidRPr="006A20F9">
        <w:rPr>
          <w:rFonts w:ascii="Century Gothic" w:hAnsi="Century Gothic"/>
          <w:sz w:val="20"/>
          <w:szCs w:val="20"/>
        </w:rPr>
        <w:t>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solventar los costos iniciales de la ejecución, de acuerdo con las condiciones pactadas.</w:t>
      </w:r>
    </w:p>
    <w:p w14:paraId="6438547F" w14:textId="42513349" w:rsidR="004B12B5" w:rsidRPr="006A20F9" w:rsidRDefault="004B12B5" w:rsidP="006A20F9">
      <w:pPr>
        <w:spacing w:line="240" w:lineRule="auto"/>
        <w:jc w:val="both"/>
        <w:rPr>
          <w:rFonts w:ascii="Century Gothic" w:hAnsi="Century Gothic"/>
          <w:sz w:val="20"/>
          <w:szCs w:val="20"/>
        </w:rPr>
      </w:pPr>
      <w:r w:rsidRPr="006A20F9">
        <w:rPr>
          <w:rFonts w:ascii="Century Gothic" w:hAnsi="Century Gothic"/>
          <w:sz w:val="20"/>
          <w:szCs w:val="20"/>
        </w:rPr>
        <w:t xml:space="preserve">En ese sentido, es claro que 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6A20F9">
        <w:rPr>
          <w:rFonts w:ascii="Century Gothic" w:hAnsi="Century Gothic"/>
          <w:sz w:val="20"/>
          <w:szCs w:val="20"/>
        </w:rPr>
        <w:t>ii</w:t>
      </w:r>
      <w:proofErr w:type="spellEnd"/>
      <w:r w:rsidRPr="006A20F9">
        <w:rPr>
          <w:rFonts w:ascii="Century Gothic" w:hAnsi="Century Gothic"/>
          <w:sz w:val="20"/>
          <w:szCs w:val="20"/>
        </w:rPr>
        <w:t xml:space="preserve">) concesión, </w:t>
      </w:r>
      <w:proofErr w:type="spellStart"/>
      <w:r w:rsidRPr="006A20F9">
        <w:rPr>
          <w:rFonts w:ascii="Century Gothic" w:hAnsi="Century Gothic"/>
          <w:sz w:val="20"/>
          <w:szCs w:val="20"/>
        </w:rPr>
        <w:t>iii</w:t>
      </w:r>
      <w:proofErr w:type="spellEnd"/>
      <w:r w:rsidRPr="006A20F9">
        <w:rPr>
          <w:rFonts w:ascii="Century Gothic" w:hAnsi="Century Gothic"/>
          <w:sz w:val="20"/>
          <w:szCs w:val="20"/>
        </w:rPr>
        <w:t xml:space="preserve">) salud y </w:t>
      </w:r>
      <w:proofErr w:type="spellStart"/>
      <w:r w:rsidRPr="006A20F9">
        <w:rPr>
          <w:rFonts w:ascii="Century Gothic" w:hAnsi="Century Gothic"/>
          <w:sz w:val="20"/>
          <w:szCs w:val="20"/>
        </w:rPr>
        <w:t>iv</w:t>
      </w:r>
      <w:proofErr w:type="spellEnd"/>
      <w:r w:rsidRPr="006A20F9">
        <w:rPr>
          <w:rFonts w:ascii="Century Gothic" w:hAnsi="Century Gothic"/>
          <w:sz w:val="20"/>
          <w:szCs w:val="20"/>
        </w:rPr>
        <w:t>) los contratos derivados de un proceso de licitación pública</w:t>
      </w:r>
    </w:p>
    <w:p w14:paraId="29790583" w14:textId="6973D21C" w:rsidR="00877A1C" w:rsidRPr="006A20F9" w:rsidRDefault="00877A1C" w:rsidP="006A20F9">
      <w:pPr>
        <w:spacing w:line="240" w:lineRule="auto"/>
        <w:jc w:val="both"/>
        <w:rPr>
          <w:rFonts w:ascii="Century Gothic" w:hAnsi="Century Gothic" w:cs="Arial"/>
          <w:b/>
          <w:bCs/>
          <w:sz w:val="20"/>
          <w:szCs w:val="20"/>
        </w:rPr>
      </w:pPr>
      <w:r w:rsidRPr="006A20F9">
        <w:rPr>
          <w:rFonts w:ascii="Century Gothic" w:hAnsi="Century Gothic" w:cs="Arial"/>
          <w:b/>
          <w:bCs/>
          <w:sz w:val="20"/>
          <w:szCs w:val="20"/>
        </w:rPr>
        <w:t>FIDUCIA – Fiducia pública –– Encargo fiduciario - Patrimonio autónomo y fiducia mercantil –– Diferencias.</w:t>
      </w:r>
    </w:p>
    <w:p w14:paraId="3CCB9B39" w14:textId="2FCBA41B" w:rsidR="004B12B5" w:rsidRPr="006A20F9" w:rsidRDefault="006A20F9" w:rsidP="006A20F9">
      <w:pPr>
        <w:spacing w:line="240" w:lineRule="auto"/>
        <w:jc w:val="both"/>
        <w:rPr>
          <w:rFonts w:ascii="Century Gothic" w:hAnsi="Century Gothic"/>
          <w:sz w:val="20"/>
          <w:szCs w:val="20"/>
        </w:rPr>
      </w:pPr>
      <w:r w:rsidRPr="006A20F9">
        <w:rPr>
          <w:rFonts w:ascii="Century Gothic" w:hAnsi="Century Gothic"/>
          <w:sz w:val="20"/>
          <w:szCs w:val="20"/>
        </w:rPr>
        <w:t xml:space="preserve">El contrato de fiducia mercantil encuentra su definición en el artículo 1226 del Código de Comercio, norma que establece como elementos característicos del negocio jurídico: i) la existencia de al menos dos sujetos: fiduciante y fiduciario y, </w:t>
      </w:r>
      <w:proofErr w:type="spellStart"/>
      <w:r w:rsidRPr="006A20F9">
        <w:rPr>
          <w:rFonts w:ascii="Century Gothic" w:hAnsi="Century Gothic"/>
          <w:sz w:val="20"/>
          <w:szCs w:val="20"/>
        </w:rPr>
        <w:t>ii</w:t>
      </w:r>
      <w:proofErr w:type="spellEnd"/>
      <w:r w:rsidRPr="006A20F9">
        <w:rPr>
          <w:rFonts w:ascii="Century Gothic" w:hAnsi="Century Gothic"/>
          <w:sz w:val="20"/>
          <w:szCs w:val="20"/>
        </w:rPr>
        <w:t>) la transferencia del dominio de los bienes fideicomitidos</w:t>
      </w:r>
      <w:r w:rsidRPr="006A20F9">
        <w:rPr>
          <w:rFonts w:ascii="Century Gothic" w:hAnsi="Century Gothic"/>
          <w:sz w:val="20"/>
          <w:szCs w:val="20"/>
        </w:rPr>
        <w:t xml:space="preserve"> (…) </w:t>
      </w:r>
      <w:r w:rsidRPr="006A20F9">
        <w:rPr>
          <w:rFonts w:ascii="Century Gothic" w:hAnsi="Century Gothic"/>
          <w:sz w:val="20"/>
          <w:szCs w:val="20"/>
        </w:rPr>
        <w:t>Por su parte, existe un encargo fiduciario en aquellos casos en que no se presenta la transferencia de propiedad de los bienes, de tal suerte que estos no salen del patrimonio del fideicomitente</w:t>
      </w:r>
      <w:r w:rsidRPr="006A20F9">
        <w:rPr>
          <w:rFonts w:ascii="Century Gothic" w:hAnsi="Century Gothic"/>
          <w:sz w:val="20"/>
          <w:szCs w:val="20"/>
        </w:rPr>
        <w:t>.</w:t>
      </w:r>
    </w:p>
    <w:p w14:paraId="6075FAF6" w14:textId="02067C49" w:rsidR="006A20F9" w:rsidRPr="006A20F9" w:rsidRDefault="006A20F9" w:rsidP="006A20F9">
      <w:pPr>
        <w:spacing w:line="240" w:lineRule="auto"/>
        <w:jc w:val="both"/>
        <w:rPr>
          <w:rFonts w:ascii="Century Gothic" w:hAnsi="Century Gothic"/>
          <w:sz w:val="20"/>
          <w:szCs w:val="20"/>
        </w:rPr>
      </w:pPr>
      <w:r w:rsidRPr="006A20F9">
        <w:rPr>
          <w:rFonts w:ascii="Century Gothic" w:hAnsi="Century Gothic"/>
          <w:sz w:val="20"/>
          <w:szCs w:val="20"/>
        </w:rPr>
        <w:t>Dadas estas características particulares, es claro que el contrato de fiducia mercantil es diferente del contrato de fiducia pública, regulado en el numeral 5º del artículo 32 de la Ley 80 de 1993, pues este último “nunca implicará transferencia de dominio sobre bienes o recursos estatales, ni constituirá patrimonio autónomo del propio de la respectiva entidad</w:t>
      </w:r>
      <w:r w:rsidRPr="006A20F9">
        <w:rPr>
          <w:rFonts w:ascii="Century Gothic" w:hAnsi="Century Gothic"/>
          <w:sz w:val="20"/>
          <w:szCs w:val="20"/>
        </w:rPr>
        <w:t xml:space="preserve"> </w:t>
      </w:r>
      <w:r w:rsidRPr="006A20F9">
        <w:rPr>
          <w:rFonts w:ascii="Century Gothic" w:hAnsi="Century Gothic"/>
          <w:sz w:val="20"/>
          <w:szCs w:val="20"/>
        </w:rPr>
        <w:t>oficial”. Así lo consideró la Corte Constitucional, en la sentencia C-086 de 1995, al señalar que la Ley 80 de 1993 creó un contrato nuevo y autónomo al del Código de Comercio</w:t>
      </w:r>
      <w:proofErr w:type="gramStart"/>
      <w:r w:rsidRPr="006A20F9">
        <w:rPr>
          <w:rFonts w:ascii="Century Gothic" w:hAnsi="Century Gothic"/>
          <w:sz w:val="20"/>
          <w:szCs w:val="20"/>
        </w:rPr>
        <w:t>19 .</w:t>
      </w:r>
      <w:proofErr w:type="gramEnd"/>
    </w:p>
    <w:p w14:paraId="594F6DA4" w14:textId="2E8DA8C2" w:rsidR="006A20F9" w:rsidRPr="006A20F9" w:rsidRDefault="006A20F9" w:rsidP="006A20F9">
      <w:pPr>
        <w:spacing w:line="240" w:lineRule="auto"/>
        <w:jc w:val="both"/>
        <w:rPr>
          <w:rFonts w:ascii="Century Gothic" w:hAnsi="Century Gothic"/>
          <w:sz w:val="20"/>
          <w:szCs w:val="20"/>
        </w:rPr>
      </w:pPr>
      <w:r w:rsidRPr="006A20F9">
        <w:rPr>
          <w:rFonts w:ascii="Century Gothic" w:hAnsi="Century Gothic"/>
          <w:sz w:val="20"/>
          <w:szCs w:val="20"/>
        </w:rPr>
        <w:t>De esta manera, las entidades estatales pueden suscribir tanto contratos de fiducia pública como encargos fiduciarios, sin perjuicio de que pueda suscribir también contratos de fiducia mercantil, conforme a lo analizado por la Corte Constitucional en la sentencia C</w:t>
      </w:r>
      <w:r w:rsidRPr="006A20F9">
        <w:rPr>
          <w:rFonts w:ascii="Century Gothic" w:hAnsi="Century Gothic"/>
          <w:sz w:val="20"/>
          <w:szCs w:val="20"/>
        </w:rPr>
        <w:t>086 de 1995. Sin embargo, frente a esta última tipología contractual el Consejo de Estado ha sido enfático en señalar que la Ley 80 de 1993 restringió su suscripción para los entes públicos, y por ello, ha indicado que la constitución de patrimonios autónomos por parte de entidades estatales solamente debe darse en virtud de una autorización legal</w:t>
      </w:r>
      <w:proofErr w:type="gramStart"/>
      <w:r w:rsidRPr="006A20F9">
        <w:rPr>
          <w:rFonts w:ascii="Century Gothic" w:hAnsi="Century Gothic"/>
          <w:sz w:val="20"/>
          <w:szCs w:val="20"/>
        </w:rPr>
        <w:t>21 .</w:t>
      </w:r>
      <w:proofErr w:type="gramEnd"/>
    </w:p>
    <w:p w14:paraId="0ADC88BC" w14:textId="27F54DB8" w:rsidR="006A20F9" w:rsidRPr="006A20F9" w:rsidRDefault="006A20F9" w:rsidP="006A20F9">
      <w:pPr>
        <w:spacing w:line="240" w:lineRule="auto"/>
        <w:jc w:val="both"/>
        <w:rPr>
          <w:rFonts w:ascii="Century Gothic" w:hAnsi="Century Gothic"/>
          <w:sz w:val="20"/>
          <w:szCs w:val="20"/>
        </w:rPr>
      </w:pPr>
      <w:r w:rsidRPr="006A20F9">
        <w:rPr>
          <w:rFonts w:ascii="Century Gothic" w:hAnsi="Century Gothic"/>
          <w:sz w:val="20"/>
          <w:szCs w:val="20"/>
        </w:rPr>
        <w:t>(…)</w:t>
      </w:r>
    </w:p>
    <w:p w14:paraId="647C05D0" w14:textId="2D313CA5" w:rsidR="006A20F9" w:rsidRPr="006A20F9" w:rsidRDefault="006A20F9" w:rsidP="006A20F9">
      <w:pPr>
        <w:spacing w:line="240" w:lineRule="auto"/>
        <w:jc w:val="both"/>
        <w:rPr>
          <w:rFonts w:ascii="Century Gothic" w:hAnsi="Century Gothic"/>
          <w:sz w:val="20"/>
          <w:szCs w:val="20"/>
        </w:rPr>
      </w:pPr>
      <w:r w:rsidRPr="006A20F9">
        <w:rPr>
          <w:rFonts w:ascii="Century Gothic" w:hAnsi="Century Gothic"/>
          <w:sz w:val="20"/>
          <w:szCs w:val="20"/>
        </w:rPr>
        <w:t xml:space="preserve">En virtud de la interpretación acogida en la “Guía para el manejo de anticipos mediante contrato de fiducia irrevocable” emitida por esta Agencia, la interpretación sobre el tipo de negocio fiduciario que se debe constituir por parte del contratista para </w:t>
      </w:r>
      <w:proofErr w:type="spellStart"/>
      <w:r w:rsidRPr="006A20F9">
        <w:rPr>
          <w:rFonts w:ascii="Century Gothic" w:hAnsi="Century Gothic"/>
          <w:sz w:val="20"/>
          <w:szCs w:val="20"/>
        </w:rPr>
        <w:t>le</w:t>
      </w:r>
      <w:proofErr w:type="spellEnd"/>
      <w:r w:rsidRPr="006A20F9">
        <w:rPr>
          <w:rFonts w:ascii="Century Gothic" w:hAnsi="Century Gothic"/>
          <w:sz w:val="20"/>
          <w:szCs w:val="20"/>
        </w:rPr>
        <w:t xml:space="preserve"> manejo de los recursos girados por concepto de anticipo, se inclina exclusivamente en señalar que esta corresponde a la constitución de un contrato de fiducia mercantil irrevocable. No obstante, es crucial destacar que tanto los lineamientos de la guía como del presente concepto tienen como finalidad interpretar normativas generales, no resolver disputas particulares ni asesorar casos específicos, por lo tanto, no resultan ser vinculantes ni de obligatorio cumplimiento para sus destinatarios</w:t>
      </w:r>
      <w:r w:rsidRPr="006A20F9">
        <w:rPr>
          <w:rFonts w:ascii="Century Gothic" w:hAnsi="Century Gothic"/>
          <w:sz w:val="20"/>
          <w:szCs w:val="20"/>
        </w:rPr>
        <w:t>.</w:t>
      </w:r>
    </w:p>
    <w:p w14:paraId="45ADE201" w14:textId="774B93FB" w:rsidR="00877A1C" w:rsidRPr="006A20F9" w:rsidRDefault="00877A1C" w:rsidP="006A20F9">
      <w:pPr>
        <w:spacing w:line="240" w:lineRule="auto"/>
        <w:jc w:val="both"/>
        <w:rPr>
          <w:rFonts w:ascii="Century Gothic" w:hAnsi="Century Gothic" w:cs="Arial"/>
          <w:sz w:val="20"/>
          <w:szCs w:val="20"/>
        </w:rPr>
      </w:pPr>
      <w:r w:rsidRPr="006A20F9">
        <w:rPr>
          <w:rFonts w:ascii="Century Gothic" w:hAnsi="Century Gothic" w:cs="Arial"/>
          <w:sz w:val="20"/>
          <w:szCs w:val="20"/>
        </w:rPr>
        <w:br w:type="page"/>
      </w:r>
    </w:p>
    <w:p w14:paraId="1D86E81B" w14:textId="3F80A7B0" w:rsidR="00B76A1E" w:rsidRPr="004E4408" w:rsidRDefault="00877A1C" w:rsidP="00B76A1E">
      <w:pPr>
        <w:spacing w:after="0"/>
        <w:rPr>
          <w:rFonts w:ascii="Century Gothic" w:hAnsi="Century Gothic" w:cs="Arial"/>
        </w:rPr>
      </w:pPr>
      <w:r w:rsidRPr="00877A1C">
        <w:rPr>
          <w:rFonts w:ascii="Century Gothic" w:hAnsi="Century Gothic" w:cs="Arial"/>
        </w:rPr>
        <w:drawing>
          <wp:anchor distT="0" distB="0" distL="114300" distR="114300" simplePos="0" relativeHeight="251658240" behindDoc="1" locked="0" layoutInCell="1" allowOverlap="1" wp14:anchorId="6997F8E9" wp14:editId="060D18E4">
            <wp:simplePos x="0" y="0"/>
            <wp:positionH relativeFrom="margin">
              <wp:align>right</wp:align>
            </wp:positionH>
            <wp:positionV relativeFrom="paragraph">
              <wp:posOffset>-97790</wp:posOffset>
            </wp:positionV>
            <wp:extent cx="2578233" cy="844593"/>
            <wp:effectExtent l="0" t="0" r="0" b="0"/>
            <wp:wrapNone/>
            <wp:docPr id="496661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61815" name=""/>
                    <pic:cNvPicPr/>
                  </pic:nvPicPr>
                  <pic:blipFill>
                    <a:blip r:embed="rId11">
                      <a:extLst>
                        <a:ext uri="{28A0092B-C50C-407E-A947-70E740481C1C}">
                          <a14:useLocalDpi xmlns:a14="http://schemas.microsoft.com/office/drawing/2010/main" val="0"/>
                        </a:ext>
                      </a:extLst>
                    </a:blip>
                    <a:stretch>
                      <a:fillRect/>
                    </a:stretch>
                  </pic:blipFill>
                  <pic:spPr>
                    <a:xfrm>
                      <a:off x="0" y="0"/>
                      <a:ext cx="2578233" cy="844593"/>
                    </a:xfrm>
                    <a:prstGeom prst="rect">
                      <a:avLst/>
                    </a:prstGeom>
                  </pic:spPr>
                </pic:pic>
              </a:graphicData>
            </a:graphic>
          </wp:anchor>
        </w:drawing>
      </w:r>
      <w:r w:rsidR="00B76A1E" w:rsidRPr="004E4408">
        <w:rPr>
          <w:rFonts w:ascii="Century Gothic" w:hAnsi="Century Gothic" w:cs="Arial"/>
        </w:rPr>
        <w:t xml:space="preserve">Bogotá D.C., </w:t>
      </w:r>
      <w:r w:rsidR="00615CE5" w:rsidRPr="004E4408">
        <w:rPr>
          <w:rFonts w:ascii="Century Gothic" w:hAnsi="Century Gothic" w:cs="Arial"/>
        </w:rPr>
        <w:t>15 de noviembre de 2023</w:t>
      </w:r>
    </w:p>
    <w:p w14:paraId="5B8306C3" w14:textId="5799CB28" w:rsidR="00B76A1E" w:rsidRPr="004E4408" w:rsidRDefault="00B76A1E" w:rsidP="00B76A1E">
      <w:pPr>
        <w:spacing w:after="0"/>
        <w:rPr>
          <w:rFonts w:ascii="Century Gothic" w:hAnsi="Century Gothic" w:cs="Arial"/>
        </w:rPr>
      </w:pPr>
    </w:p>
    <w:p w14:paraId="4CA74519" w14:textId="77777777" w:rsidR="00B76A1E" w:rsidRPr="004E4408" w:rsidRDefault="00B76A1E" w:rsidP="00B76A1E">
      <w:pPr>
        <w:spacing w:after="0"/>
        <w:rPr>
          <w:rFonts w:ascii="Century Gothic" w:hAnsi="Century Gothic" w:cs="Arial"/>
        </w:rPr>
      </w:pPr>
    </w:p>
    <w:p w14:paraId="4812BD41" w14:textId="53698DDF" w:rsidR="00B76A1E" w:rsidRPr="004E4408" w:rsidRDefault="00B76A1E" w:rsidP="00B76A1E">
      <w:pPr>
        <w:spacing w:after="0"/>
        <w:rPr>
          <w:rFonts w:ascii="Century Gothic" w:hAnsi="Century Gothic" w:cs="Arial"/>
        </w:rPr>
      </w:pPr>
      <w:r w:rsidRPr="004E4408">
        <w:rPr>
          <w:rFonts w:ascii="Century Gothic" w:hAnsi="Century Gothic" w:cs="Arial"/>
          <w:lang w:val="es-MX"/>
        </w:rPr>
        <w:t>Señor</w:t>
      </w:r>
      <w:r w:rsidR="00764989" w:rsidRPr="004E4408">
        <w:rPr>
          <w:rFonts w:ascii="Century Gothic" w:hAnsi="Century Gothic" w:cs="Arial"/>
          <w:lang w:val="es-MX"/>
        </w:rPr>
        <w:t>a</w:t>
      </w:r>
      <w:r w:rsidRPr="004E4408">
        <w:rPr>
          <w:rFonts w:ascii="Century Gothic" w:hAnsi="Century Gothic" w:cs="Arial"/>
          <w:lang w:val="es-MX"/>
        </w:rPr>
        <w:t xml:space="preserve"> </w:t>
      </w:r>
    </w:p>
    <w:p w14:paraId="11F3330B" w14:textId="5C500824" w:rsidR="00B76A1E" w:rsidRPr="004E4408" w:rsidRDefault="00B25008" w:rsidP="00B76A1E">
      <w:pPr>
        <w:spacing w:after="0" w:line="276" w:lineRule="auto"/>
        <w:jc w:val="both"/>
        <w:rPr>
          <w:rFonts w:ascii="Century Gothic" w:hAnsi="Century Gothic" w:cs="Arial"/>
          <w:b/>
        </w:rPr>
      </w:pPr>
      <w:r w:rsidRPr="004E4408">
        <w:rPr>
          <w:rFonts w:ascii="Century Gothic" w:hAnsi="Century Gothic" w:cs="Arial"/>
          <w:b/>
        </w:rPr>
        <w:t>Irma Guevara Fajardo</w:t>
      </w:r>
    </w:p>
    <w:p w14:paraId="39F9EAF6" w14:textId="4882D0B3" w:rsidR="00B76A1E" w:rsidRPr="004E4408" w:rsidRDefault="009217EA" w:rsidP="00B76A1E">
      <w:pPr>
        <w:spacing w:after="0" w:line="276" w:lineRule="auto"/>
        <w:jc w:val="both"/>
        <w:rPr>
          <w:rFonts w:ascii="Century Gothic" w:hAnsi="Century Gothic" w:cs="Arial"/>
          <w:color w:val="000000" w:themeColor="text1"/>
        </w:rPr>
      </w:pPr>
      <w:r w:rsidRPr="004E4408">
        <w:rPr>
          <w:rFonts w:ascii="Century Gothic" w:hAnsi="Century Gothic" w:cs="Arial"/>
          <w:color w:val="000000" w:themeColor="text1"/>
        </w:rPr>
        <w:t>Bogotá D.C.</w:t>
      </w:r>
    </w:p>
    <w:p w14:paraId="43B7C186" w14:textId="77777777" w:rsidR="00B76A1E" w:rsidRPr="004E4408" w:rsidRDefault="00B76A1E" w:rsidP="00B76A1E">
      <w:pPr>
        <w:spacing w:line="276" w:lineRule="auto"/>
        <w:jc w:val="both"/>
        <w:rPr>
          <w:rFonts w:ascii="Century Gothic" w:hAnsi="Century Gothic" w:cs="Arial"/>
          <w:color w:val="000000" w:themeColor="text1"/>
        </w:rPr>
      </w:pPr>
    </w:p>
    <w:p w14:paraId="7B880991" w14:textId="251E10C7" w:rsidR="00B76A1E" w:rsidRPr="004E4408" w:rsidRDefault="00B76A1E" w:rsidP="00B76A1E">
      <w:pPr>
        <w:spacing w:line="276" w:lineRule="auto"/>
        <w:ind w:firstLine="2694"/>
        <w:jc w:val="both"/>
        <w:outlineLvl w:val="0"/>
        <w:rPr>
          <w:rFonts w:ascii="Century Gothic" w:hAnsi="Century Gothic" w:cs="Arial"/>
          <w:b/>
        </w:rPr>
      </w:pPr>
      <w:r w:rsidRPr="004E4408">
        <w:rPr>
          <w:rFonts w:ascii="Century Gothic" w:hAnsi="Century Gothic" w:cs="Arial"/>
          <w:b/>
        </w:rPr>
        <w:t xml:space="preserve">Concepto C – </w:t>
      </w:r>
      <w:r w:rsidR="009217EA" w:rsidRPr="004E4408">
        <w:rPr>
          <w:rFonts w:ascii="Century Gothic" w:hAnsi="Century Gothic" w:cs="Arial"/>
          <w:b/>
        </w:rPr>
        <w:t>421</w:t>
      </w:r>
      <w:r w:rsidRPr="004E4408">
        <w:rPr>
          <w:rFonts w:ascii="Century Gothic" w:hAnsi="Century Gothic" w:cs="Arial"/>
          <w:b/>
        </w:rPr>
        <w:t xml:space="preserve"> de 2023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6A1E" w:rsidRPr="004E4408" w14:paraId="35D259B0" w14:textId="77777777" w:rsidTr="00926785">
        <w:tc>
          <w:tcPr>
            <w:tcW w:w="2689" w:type="dxa"/>
            <w:hideMark/>
          </w:tcPr>
          <w:p w14:paraId="2CE4025A" w14:textId="77777777" w:rsidR="00B76A1E" w:rsidRPr="004E4408" w:rsidRDefault="00B76A1E" w:rsidP="00926785">
            <w:pPr>
              <w:jc w:val="both"/>
              <w:rPr>
                <w:rFonts w:ascii="Century Gothic" w:hAnsi="Century Gothic" w:cs="Arial"/>
              </w:rPr>
            </w:pPr>
            <w:r w:rsidRPr="004E4408">
              <w:rPr>
                <w:rFonts w:ascii="Century Gothic" w:hAnsi="Century Gothic" w:cs="Arial"/>
                <w:b/>
              </w:rPr>
              <w:t>Temas:</w:t>
            </w:r>
            <w:r w:rsidRPr="004E4408">
              <w:rPr>
                <w:rFonts w:ascii="Century Gothic" w:hAnsi="Century Gothic" w:cs="Arial"/>
              </w:rPr>
              <w:t xml:space="preserve">           </w:t>
            </w:r>
          </w:p>
          <w:p w14:paraId="423B0824" w14:textId="77777777" w:rsidR="00B76A1E" w:rsidRPr="004E4408" w:rsidRDefault="00B76A1E" w:rsidP="00926785">
            <w:pPr>
              <w:jc w:val="both"/>
              <w:rPr>
                <w:rFonts w:ascii="Century Gothic" w:hAnsi="Century Gothic" w:cs="Arial"/>
              </w:rPr>
            </w:pPr>
            <w:r w:rsidRPr="004E4408">
              <w:rPr>
                <w:rFonts w:ascii="Century Gothic" w:hAnsi="Century Gothic" w:cs="Arial"/>
              </w:rPr>
              <w:t xml:space="preserve">                           </w:t>
            </w:r>
          </w:p>
        </w:tc>
        <w:tc>
          <w:tcPr>
            <w:tcW w:w="6237" w:type="dxa"/>
            <w:hideMark/>
          </w:tcPr>
          <w:p w14:paraId="6DB437EC" w14:textId="28DE0F9A" w:rsidR="00B76A1E" w:rsidRPr="004E4408" w:rsidRDefault="00B76A1E" w:rsidP="00926785">
            <w:pPr>
              <w:jc w:val="both"/>
              <w:outlineLvl w:val="0"/>
              <w:rPr>
                <w:rFonts w:ascii="Century Gothic" w:hAnsi="Century Gothic" w:cs="Arial"/>
              </w:rPr>
            </w:pPr>
            <w:r w:rsidRPr="004E4408">
              <w:rPr>
                <w:rFonts w:ascii="Century Gothic" w:hAnsi="Century Gothic" w:cs="Arial"/>
                <w:lang w:val="es-ES_tradnl"/>
              </w:rPr>
              <w:t xml:space="preserve">ANTICIPO – Regulación normativa </w:t>
            </w:r>
            <w:r w:rsidRPr="004E4408">
              <w:rPr>
                <w:rFonts w:ascii="Century Gothic" w:hAnsi="Century Gothic" w:cs="Arial"/>
              </w:rPr>
              <w:t>/ ANTICIPO – Definición jurisprudencial / ANTICIPO – Autonomía de la voluntad – Derechos y obligaciones recíprocos / CONSTITUCIÓN DE FIDUCIA O PATRIMONIO AUTÓNOMO IRREVOCABLE – Artículo 91 ley 1474 de 2011</w:t>
            </w:r>
            <w:r w:rsidR="002D6FA5" w:rsidRPr="004E4408">
              <w:rPr>
                <w:rFonts w:ascii="Century Gothic" w:hAnsi="Century Gothic" w:cs="Arial"/>
              </w:rPr>
              <w:t>/ FIDUCIA – Fiducia pública –</w:t>
            </w:r>
            <w:r w:rsidR="00315372" w:rsidRPr="004E4408">
              <w:rPr>
                <w:rFonts w:ascii="Century Gothic" w:hAnsi="Century Gothic" w:cs="Arial"/>
              </w:rPr>
              <w:t xml:space="preserve">– Encargo fiduciario - </w:t>
            </w:r>
            <w:r w:rsidR="002D6FA5" w:rsidRPr="004E4408">
              <w:rPr>
                <w:rFonts w:ascii="Century Gothic" w:hAnsi="Century Gothic" w:cs="Arial"/>
              </w:rPr>
              <w:t>Patrimonio autónomo</w:t>
            </w:r>
            <w:r w:rsidR="00906C92" w:rsidRPr="004E4408">
              <w:rPr>
                <w:rFonts w:ascii="Century Gothic" w:hAnsi="Century Gothic" w:cs="Arial"/>
              </w:rPr>
              <w:t xml:space="preserve"> y fiducia mercantil</w:t>
            </w:r>
            <w:r w:rsidR="002D6FA5" w:rsidRPr="004E4408">
              <w:rPr>
                <w:rFonts w:ascii="Century Gothic" w:hAnsi="Century Gothic" w:cs="Arial"/>
              </w:rPr>
              <w:t xml:space="preserve"> –– Diferencias</w:t>
            </w:r>
            <w:r w:rsidRPr="004E4408">
              <w:rPr>
                <w:rFonts w:ascii="Century Gothic" w:hAnsi="Century Gothic" w:cs="Arial"/>
              </w:rPr>
              <w:t xml:space="preserve">. </w:t>
            </w:r>
          </w:p>
        </w:tc>
      </w:tr>
      <w:tr w:rsidR="00B76A1E" w:rsidRPr="004E4408" w14:paraId="55D60434" w14:textId="77777777" w:rsidTr="00926785">
        <w:trPr>
          <w:trHeight w:val="215"/>
        </w:trPr>
        <w:tc>
          <w:tcPr>
            <w:tcW w:w="2689" w:type="dxa"/>
          </w:tcPr>
          <w:p w14:paraId="61C77FA4" w14:textId="77777777" w:rsidR="00B76A1E" w:rsidRPr="004E4408" w:rsidRDefault="00B76A1E" w:rsidP="00926785">
            <w:pPr>
              <w:spacing w:before="120"/>
              <w:jc w:val="both"/>
              <w:rPr>
                <w:rFonts w:ascii="Century Gothic" w:hAnsi="Century Gothic" w:cs="Arial"/>
                <w:b/>
              </w:rPr>
            </w:pPr>
            <w:r w:rsidRPr="004E4408">
              <w:rPr>
                <w:rFonts w:ascii="Century Gothic" w:hAnsi="Century Gothic" w:cs="Arial"/>
                <w:b/>
              </w:rPr>
              <w:t>Radicación:</w:t>
            </w:r>
            <w:r w:rsidRPr="004E4408">
              <w:rPr>
                <w:rFonts w:ascii="Century Gothic" w:hAnsi="Century Gothic" w:cs="Arial"/>
              </w:rPr>
              <w:t xml:space="preserve">                              </w:t>
            </w:r>
          </w:p>
        </w:tc>
        <w:tc>
          <w:tcPr>
            <w:tcW w:w="6237" w:type="dxa"/>
          </w:tcPr>
          <w:p w14:paraId="3D789417" w14:textId="26B46B0C" w:rsidR="00B76A1E" w:rsidRPr="004E4408" w:rsidRDefault="00B76A1E" w:rsidP="00926785">
            <w:pPr>
              <w:spacing w:before="120"/>
              <w:jc w:val="both"/>
              <w:rPr>
                <w:rFonts w:ascii="Century Gothic" w:hAnsi="Century Gothic" w:cs="Arial"/>
              </w:rPr>
            </w:pPr>
            <w:r w:rsidRPr="004E4408">
              <w:rPr>
                <w:rFonts w:ascii="Century Gothic" w:hAnsi="Century Gothic" w:cs="Arial"/>
              </w:rPr>
              <w:t xml:space="preserve">Respuesta a consulta </w:t>
            </w:r>
            <w:r w:rsidR="00173B9F" w:rsidRPr="004E4408">
              <w:rPr>
                <w:rFonts w:ascii="Century Gothic" w:hAnsi="Century Gothic" w:cs="Arial"/>
              </w:rPr>
              <w:t>P20231002015632</w:t>
            </w:r>
          </w:p>
        </w:tc>
      </w:tr>
    </w:tbl>
    <w:p w14:paraId="0E6C3488" w14:textId="77777777" w:rsidR="00B76A1E" w:rsidRPr="004E4408" w:rsidRDefault="00B76A1E" w:rsidP="00B76A1E">
      <w:pPr>
        <w:pStyle w:val="Textoindependiente"/>
        <w:spacing w:before="7" w:line="276" w:lineRule="auto"/>
        <w:jc w:val="both"/>
        <w:rPr>
          <w:rFonts w:ascii="Century Gothic" w:hAnsi="Century Gothic" w:cs="Arial"/>
          <w:sz w:val="22"/>
          <w:szCs w:val="22"/>
        </w:rPr>
      </w:pPr>
    </w:p>
    <w:p w14:paraId="6827FFA0" w14:textId="55FA9979" w:rsidR="00B76A1E" w:rsidRPr="004E4408" w:rsidRDefault="00B76A1E" w:rsidP="00B76A1E">
      <w:pPr>
        <w:pStyle w:val="Textoindependiente"/>
        <w:spacing w:before="7" w:line="276" w:lineRule="auto"/>
        <w:jc w:val="both"/>
        <w:rPr>
          <w:rFonts w:ascii="Century Gothic" w:eastAsiaTheme="minorHAnsi" w:hAnsi="Century Gothic" w:cs="Arial"/>
          <w:sz w:val="22"/>
          <w:szCs w:val="22"/>
        </w:rPr>
      </w:pPr>
      <w:r w:rsidRPr="004E4408">
        <w:rPr>
          <w:rFonts w:ascii="Century Gothic" w:hAnsi="Century Gothic" w:cs="Arial"/>
          <w:sz w:val="22"/>
          <w:szCs w:val="22"/>
        </w:rPr>
        <w:t>Estimad</w:t>
      </w:r>
      <w:r w:rsidR="00176CD9" w:rsidRPr="004E4408">
        <w:rPr>
          <w:rFonts w:ascii="Century Gothic" w:hAnsi="Century Gothic" w:cs="Arial"/>
          <w:sz w:val="22"/>
          <w:szCs w:val="22"/>
        </w:rPr>
        <w:t>a</w:t>
      </w:r>
      <w:r w:rsidRPr="004E4408">
        <w:rPr>
          <w:rFonts w:ascii="Century Gothic" w:hAnsi="Century Gothic" w:cs="Arial"/>
          <w:sz w:val="22"/>
          <w:szCs w:val="22"/>
        </w:rPr>
        <w:t xml:space="preserve"> señor</w:t>
      </w:r>
      <w:r w:rsidR="00176CD9" w:rsidRPr="004E4408">
        <w:rPr>
          <w:rFonts w:ascii="Century Gothic" w:hAnsi="Century Gothic" w:cs="Arial"/>
          <w:sz w:val="22"/>
          <w:szCs w:val="22"/>
        </w:rPr>
        <w:t>a</w:t>
      </w:r>
      <w:r w:rsidRPr="004E4408">
        <w:rPr>
          <w:rFonts w:ascii="Century Gothic" w:hAnsi="Century Gothic" w:cs="Arial"/>
          <w:sz w:val="22"/>
          <w:szCs w:val="22"/>
        </w:rPr>
        <w:t xml:space="preserve"> </w:t>
      </w:r>
      <w:r w:rsidR="00176CD9" w:rsidRPr="004E4408">
        <w:rPr>
          <w:rFonts w:ascii="Century Gothic" w:eastAsiaTheme="minorHAnsi" w:hAnsi="Century Gothic" w:cs="Arial"/>
          <w:sz w:val="22"/>
          <w:szCs w:val="22"/>
        </w:rPr>
        <w:t>G</w:t>
      </w:r>
      <w:r w:rsidR="002739CB" w:rsidRPr="004E4408">
        <w:rPr>
          <w:rFonts w:ascii="Century Gothic" w:eastAsiaTheme="minorHAnsi" w:hAnsi="Century Gothic" w:cs="Arial"/>
          <w:sz w:val="22"/>
          <w:szCs w:val="22"/>
        </w:rPr>
        <w:t>uevara</w:t>
      </w:r>
      <w:r w:rsidRPr="004E4408">
        <w:rPr>
          <w:rFonts w:ascii="Century Gothic" w:eastAsiaTheme="minorHAnsi" w:hAnsi="Century Gothic" w:cs="Arial"/>
          <w:sz w:val="22"/>
          <w:szCs w:val="22"/>
        </w:rPr>
        <w:t xml:space="preserve">, </w:t>
      </w:r>
    </w:p>
    <w:p w14:paraId="61867C22" w14:textId="6D0B1747" w:rsidR="00B76A1E" w:rsidRPr="004E4408" w:rsidRDefault="00B76A1E" w:rsidP="00B76A1E">
      <w:pPr>
        <w:spacing w:line="276" w:lineRule="auto"/>
        <w:jc w:val="both"/>
        <w:rPr>
          <w:rFonts w:ascii="Century Gothic" w:hAnsi="Century Gothic" w:cs="Arial"/>
        </w:rPr>
      </w:pPr>
      <w:r w:rsidRPr="004E4408">
        <w:rPr>
          <w:rFonts w:ascii="Century Gothic" w:hAnsi="Century Gothic" w:cs="Arial"/>
        </w:rPr>
        <w:t>En ejercicio de la competencia otorgada por el numeral 8 del artículo 11 y el numeral 5 del artículo 3 del Decreto Ley 4170 de 2011, la Agencia Nacional de Contratación Pública− Colombia Compra Eficiente responde su consulta de fecha 2 de o</w:t>
      </w:r>
      <w:r w:rsidR="00D36793" w:rsidRPr="004E4408">
        <w:rPr>
          <w:rFonts w:ascii="Century Gothic" w:hAnsi="Century Gothic" w:cs="Arial"/>
        </w:rPr>
        <w:t>ctubre</w:t>
      </w:r>
      <w:r w:rsidRPr="004E4408">
        <w:rPr>
          <w:rFonts w:ascii="Century Gothic" w:hAnsi="Century Gothic" w:cs="Arial"/>
        </w:rPr>
        <w:t xml:space="preserve"> de 2023.</w:t>
      </w:r>
    </w:p>
    <w:p w14:paraId="7F550A7A" w14:textId="77777777" w:rsidR="00B76A1E" w:rsidRPr="004E4408" w:rsidRDefault="00B76A1E" w:rsidP="00B76A1E">
      <w:pPr>
        <w:pStyle w:val="Ttulo1"/>
        <w:numPr>
          <w:ilvl w:val="0"/>
          <w:numId w:val="17"/>
        </w:numPr>
        <w:tabs>
          <w:tab w:val="num" w:pos="360"/>
          <w:tab w:val="left" w:pos="586"/>
        </w:tabs>
        <w:spacing w:before="0" w:line="276" w:lineRule="auto"/>
        <w:ind w:left="286" w:hanging="286"/>
        <w:jc w:val="both"/>
        <w:rPr>
          <w:rFonts w:ascii="Century Gothic" w:hAnsi="Century Gothic"/>
        </w:rPr>
      </w:pPr>
      <w:r w:rsidRPr="004E4408">
        <w:rPr>
          <w:rFonts w:ascii="Century Gothic" w:hAnsi="Century Gothic"/>
        </w:rPr>
        <w:t>Problema</w:t>
      </w:r>
      <w:r w:rsidRPr="004E4408">
        <w:rPr>
          <w:rFonts w:ascii="Century Gothic" w:hAnsi="Century Gothic"/>
          <w:spacing w:val="-2"/>
        </w:rPr>
        <w:t xml:space="preserve"> </w:t>
      </w:r>
      <w:r w:rsidRPr="004E4408">
        <w:rPr>
          <w:rFonts w:ascii="Century Gothic" w:hAnsi="Century Gothic"/>
        </w:rPr>
        <w:t>planteado</w:t>
      </w:r>
    </w:p>
    <w:p w14:paraId="7C7FDA43" w14:textId="77777777" w:rsidR="00B76A1E" w:rsidRPr="004E4408" w:rsidRDefault="00B76A1E" w:rsidP="00B76A1E">
      <w:pPr>
        <w:adjustRightInd w:val="0"/>
        <w:spacing w:after="0" w:line="276" w:lineRule="auto"/>
        <w:jc w:val="both"/>
        <w:rPr>
          <w:rFonts w:ascii="Century Gothic" w:hAnsi="Century Gothic" w:cs="Arial"/>
        </w:rPr>
      </w:pPr>
    </w:p>
    <w:p w14:paraId="4FE52491" w14:textId="33A67347" w:rsidR="00B76A1E" w:rsidRPr="004E4408" w:rsidRDefault="00B76A1E" w:rsidP="00B76A1E">
      <w:pPr>
        <w:adjustRightInd w:val="0"/>
        <w:spacing w:line="276" w:lineRule="auto"/>
        <w:jc w:val="both"/>
        <w:rPr>
          <w:rFonts w:ascii="Century Gothic" w:hAnsi="Century Gothic" w:cs="Arial"/>
        </w:rPr>
      </w:pPr>
      <w:r w:rsidRPr="004E4408">
        <w:rPr>
          <w:rFonts w:ascii="Century Gothic" w:hAnsi="Century Gothic" w:cs="Arial"/>
        </w:rPr>
        <w:t>Usted formul</w:t>
      </w:r>
      <w:r w:rsidR="000C61CE" w:rsidRPr="004E4408">
        <w:rPr>
          <w:rFonts w:ascii="Century Gothic" w:hAnsi="Century Gothic" w:cs="Arial"/>
        </w:rPr>
        <w:t xml:space="preserve">ó la siguiente consulta: </w:t>
      </w:r>
    </w:p>
    <w:p w14:paraId="36672B52" w14:textId="7969C34D" w:rsidR="00B76A1E" w:rsidRPr="004E4408" w:rsidRDefault="00B76A1E" w:rsidP="0078176C">
      <w:pPr>
        <w:spacing w:line="240" w:lineRule="auto"/>
        <w:ind w:left="709" w:right="709"/>
        <w:jc w:val="both"/>
        <w:rPr>
          <w:rFonts w:ascii="Century Gothic" w:hAnsi="Century Gothic" w:cs="Arial"/>
          <w:sz w:val="21"/>
          <w:szCs w:val="21"/>
        </w:rPr>
      </w:pPr>
      <w:r w:rsidRPr="004E4408">
        <w:rPr>
          <w:rFonts w:ascii="Century Gothic" w:hAnsi="Century Gothic" w:cs="Arial"/>
          <w:sz w:val="21"/>
          <w:szCs w:val="21"/>
        </w:rPr>
        <w:t xml:space="preserve">“(…) </w:t>
      </w:r>
      <w:r w:rsidR="0078176C" w:rsidRPr="004E4408">
        <w:rPr>
          <w:rFonts w:ascii="Century Gothic" w:hAnsi="Century Gothic" w:cs="Arial"/>
          <w:sz w:val="21"/>
          <w:szCs w:val="21"/>
        </w:rPr>
        <w:t xml:space="preserve">El </w:t>
      </w:r>
      <w:r w:rsidR="00315372" w:rsidRPr="004E4408">
        <w:rPr>
          <w:rFonts w:ascii="Century Gothic" w:hAnsi="Century Gothic" w:cs="Arial"/>
          <w:sz w:val="21"/>
          <w:szCs w:val="21"/>
        </w:rPr>
        <w:t>artículo</w:t>
      </w:r>
      <w:r w:rsidR="0078176C" w:rsidRPr="004E4408">
        <w:rPr>
          <w:rFonts w:ascii="Century Gothic" w:hAnsi="Century Gothic" w:cs="Arial"/>
          <w:sz w:val="21"/>
          <w:szCs w:val="21"/>
        </w:rPr>
        <w:t xml:space="preserve"> 91 de la ley 1474, en la siguiente frase; “el contratista deberá́ constituir una fiducia o un patrimonio aut</w:t>
      </w:r>
      <w:r w:rsidR="0078176C" w:rsidRPr="004E4408">
        <w:rPr>
          <w:rFonts w:ascii="Century Gothic" w:hAnsi="Century Gothic" w:cs="Century Gothic"/>
          <w:sz w:val="21"/>
          <w:szCs w:val="21"/>
        </w:rPr>
        <w:t>ó</w:t>
      </w:r>
      <w:r w:rsidR="0078176C" w:rsidRPr="004E4408">
        <w:rPr>
          <w:rFonts w:ascii="Century Gothic" w:hAnsi="Century Gothic" w:cs="Arial"/>
          <w:sz w:val="21"/>
          <w:szCs w:val="21"/>
        </w:rPr>
        <w:t>nomo irrevocable para el manejo de los recursos que reciba a t</w:t>
      </w:r>
      <w:r w:rsidR="0078176C" w:rsidRPr="004E4408">
        <w:rPr>
          <w:rFonts w:ascii="Century Gothic" w:hAnsi="Century Gothic" w:cs="Century Gothic"/>
          <w:sz w:val="21"/>
          <w:szCs w:val="21"/>
        </w:rPr>
        <w:t>í</w:t>
      </w:r>
      <w:r w:rsidR="0078176C" w:rsidRPr="004E4408">
        <w:rPr>
          <w:rFonts w:ascii="Century Gothic" w:hAnsi="Century Gothic" w:cs="Arial"/>
          <w:sz w:val="21"/>
          <w:szCs w:val="21"/>
        </w:rPr>
        <w:t>tulo de anticipo</w:t>
      </w:r>
      <w:r w:rsidR="0078176C" w:rsidRPr="004E4408">
        <w:rPr>
          <w:rFonts w:ascii="Century Gothic" w:hAnsi="Century Gothic" w:cs="Century Gothic"/>
          <w:sz w:val="21"/>
          <w:szCs w:val="21"/>
        </w:rPr>
        <w:t>”</w:t>
      </w:r>
      <w:r w:rsidR="0078176C" w:rsidRPr="004E4408">
        <w:rPr>
          <w:rFonts w:ascii="Century Gothic" w:hAnsi="Century Gothic" w:cs="Arial"/>
          <w:sz w:val="21"/>
          <w:szCs w:val="21"/>
        </w:rPr>
        <w:t>. Mi interpretaci</w:t>
      </w:r>
      <w:r w:rsidR="0078176C" w:rsidRPr="004E4408">
        <w:rPr>
          <w:rFonts w:ascii="Century Gothic" w:hAnsi="Century Gothic" w:cs="Century Gothic"/>
          <w:sz w:val="21"/>
          <w:szCs w:val="21"/>
        </w:rPr>
        <w:t>ó</w:t>
      </w:r>
      <w:r w:rsidR="0078176C" w:rsidRPr="004E4408">
        <w:rPr>
          <w:rFonts w:ascii="Century Gothic" w:hAnsi="Century Gothic" w:cs="Arial"/>
          <w:sz w:val="21"/>
          <w:szCs w:val="21"/>
        </w:rPr>
        <w:t>n es que tambi</w:t>
      </w:r>
      <w:r w:rsidR="0078176C" w:rsidRPr="004E4408">
        <w:rPr>
          <w:rFonts w:ascii="Century Gothic" w:hAnsi="Century Gothic" w:cs="Century Gothic"/>
          <w:sz w:val="21"/>
          <w:szCs w:val="21"/>
        </w:rPr>
        <w:t>é</w:t>
      </w:r>
      <w:r w:rsidR="0078176C" w:rsidRPr="004E4408">
        <w:rPr>
          <w:rFonts w:ascii="Century Gothic" w:hAnsi="Century Gothic" w:cs="Arial"/>
          <w:sz w:val="21"/>
          <w:szCs w:val="21"/>
        </w:rPr>
        <w:t>n puede constituir un encargo fiduciario y no necesariamente una fiducia mercantil para el manejo de los anticipos.</w:t>
      </w:r>
      <w:r w:rsidRPr="004E4408">
        <w:rPr>
          <w:rFonts w:ascii="Century Gothic" w:hAnsi="Century Gothic" w:cs="Arial"/>
          <w:sz w:val="21"/>
          <w:szCs w:val="21"/>
        </w:rPr>
        <w:t xml:space="preserve">” (Sic). </w:t>
      </w:r>
    </w:p>
    <w:p w14:paraId="2EF5C34E" w14:textId="77777777" w:rsidR="00B76A1E" w:rsidRPr="004E4408" w:rsidRDefault="00B76A1E" w:rsidP="00B76A1E">
      <w:pPr>
        <w:adjustRightInd w:val="0"/>
        <w:spacing w:after="0" w:line="240" w:lineRule="auto"/>
        <w:ind w:left="709" w:right="709"/>
        <w:jc w:val="both"/>
        <w:rPr>
          <w:rFonts w:ascii="Century Gothic" w:hAnsi="Century Gothic" w:cs="Arial"/>
          <w:sz w:val="21"/>
          <w:szCs w:val="21"/>
        </w:rPr>
      </w:pPr>
    </w:p>
    <w:p w14:paraId="25524B00" w14:textId="77777777" w:rsidR="00B76A1E" w:rsidRPr="004E4408" w:rsidRDefault="00B76A1E" w:rsidP="00B76A1E">
      <w:pPr>
        <w:pStyle w:val="Ttulo1"/>
        <w:numPr>
          <w:ilvl w:val="0"/>
          <w:numId w:val="17"/>
        </w:numPr>
        <w:tabs>
          <w:tab w:val="num" w:pos="360"/>
          <w:tab w:val="left" w:pos="586"/>
        </w:tabs>
        <w:spacing w:before="0" w:after="240" w:line="276" w:lineRule="auto"/>
        <w:ind w:left="286" w:hanging="286"/>
        <w:jc w:val="both"/>
        <w:rPr>
          <w:rFonts w:ascii="Century Gothic" w:hAnsi="Century Gothic"/>
        </w:rPr>
      </w:pPr>
      <w:r w:rsidRPr="004E4408">
        <w:rPr>
          <w:rFonts w:ascii="Century Gothic" w:hAnsi="Century Gothic"/>
        </w:rPr>
        <w:t>Consideraciones</w:t>
      </w:r>
    </w:p>
    <w:p w14:paraId="6113F34C" w14:textId="594D3A93" w:rsidR="00B76A1E" w:rsidRPr="004E4408" w:rsidRDefault="00B76A1E" w:rsidP="00B76A1E">
      <w:pPr>
        <w:spacing w:after="120" w:line="276" w:lineRule="auto"/>
        <w:jc w:val="both"/>
        <w:rPr>
          <w:rFonts w:ascii="Century Gothic" w:hAnsi="Century Gothic" w:cs="Arial"/>
          <w:color w:val="000000" w:themeColor="text1"/>
          <w:u w:val="single"/>
        </w:rPr>
      </w:pPr>
      <w:r w:rsidRPr="004E4408">
        <w:rPr>
          <w:rFonts w:ascii="Century Gothic" w:hAnsi="Century Gothic" w:cs="Arial"/>
          <w:color w:val="000000" w:themeColor="text1"/>
          <w:lang w:val="es-ES_tradnl"/>
        </w:rPr>
        <w:t>La Subdirección de Gestión Contractual responderá la consulta, luego de analizar los siguientes temas:</w:t>
      </w:r>
      <w:r w:rsidRPr="004E4408">
        <w:rPr>
          <w:rFonts w:ascii="Century Gothic" w:eastAsia="Times New Roman" w:hAnsi="Century Gothic" w:cs="Arial"/>
          <w:color w:val="000000" w:themeColor="text1"/>
        </w:rPr>
        <w:t xml:space="preserve"> i) </w:t>
      </w:r>
      <w:r w:rsidR="000E069E" w:rsidRPr="004E4408">
        <w:rPr>
          <w:rFonts w:ascii="Century Gothic" w:eastAsia="Times New Roman" w:hAnsi="Century Gothic" w:cs="Arial"/>
          <w:color w:val="000000" w:themeColor="text1"/>
        </w:rPr>
        <w:t>c</w:t>
      </w:r>
      <w:r w:rsidRPr="004E4408">
        <w:rPr>
          <w:rFonts w:ascii="Century Gothic" w:eastAsia="Times New Roman" w:hAnsi="Century Gothic" w:cs="Arial"/>
          <w:color w:val="000000" w:themeColor="text1"/>
        </w:rPr>
        <w:t xml:space="preserve">ompetencia consultiva de la Agencia Nacional de Contratación Pública – Colombia Compra Eficiente; </w:t>
      </w:r>
      <w:proofErr w:type="spellStart"/>
      <w:r w:rsidRPr="004E4408">
        <w:rPr>
          <w:rFonts w:ascii="Century Gothic" w:eastAsia="Times New Roman" w:hAnsi="Century Gothic" w:cs="Arial"/>
          <w:color w:val="000000" w:themeColor="text1"/>
        </w:rPr>
        <w:t>ii</w:t>
      </w:r>
      <w:proofErr w:type="spellEnd"/>
      <w:r w:rsidRPr="004E4408">
        <w:rPr>
          <w:rFonts w:ascii="Century Gothic" w:eastAsia="Times New Roman" w:hAnsi="Century Gothic" w:cs="Arial"/>
          <w:color w:val="000000" w:themeColor="text1"/>
        </w:rPr>
        <w:t xml:space="preserve">) </w:t>
      </w:r>
      <w:r w:rsidRPr="004E4408">
        <w:rPr>
          <w:rFonts w:ascii="Century Gothic" w:hAnsi="Century Gothic" w:cs="Arial"/>
          <w:color w:val="000000" w:themeColor="text1"/>
        </w:rPr>
        <w:t xml:space="preserve">naturaleza jurídica del anticipo; </w:t>
      </w:r>
      <w:proofErr w:type="spellStart"/>
      <w:r w:rsidRPr="004E4408">
        <w:rPr>
          <w:rFonts w:ascii="Century Gothic" w:hAnsi="Century Gothic" w:cs="Arial"/>
          <w:color w:val="000000" w:themeColor="text1"/>
        </w:rPr>
        <w:t>iii</w:t>
      </w:r>
      <w:proofErr w:type="spellEnd"/>
      <w:r w:rsidRPr="004E4408">
        <w:rPr>
          <w:rFonts w:ascii="Century Gothic" w:hAnsi="Century Gothic" w:cs="Arial"/>
          <w:color w:val="000000" w:themeColor="text1"/>
        </w:rPr>
        <w:t>) el ámbito de aplicación del artículo 91 de la Ley 1474 de 201</w:t>
      </w:r>
      <w:r w:rsidR="00944E97" w:rsidRPr="004E4408">
        <w:rPr>
          <w:rFonts w:ascii="Century Gothic" w:hAnsi="Century Gothic" w:cs="Arial"/>
          <w:color w:val="000000" w:themeColor="text1"/>
        </w:rPr>
        <w:t xml:space="preserve">1; </w:t>
      </w:r>
      <w:proofErr w:type="spellStart"/>
      <w:r w:rsidR="00944E97" w:rsidRPr="004E4408">
        <w:rPr>
          <w:rFonts w:ascii="Century Gothic" w:hAnsi="Century Gothic" w:cs="Arial"/>
          <w:color w:val="000000" w:themeColor="text1"/>
        </w:rPr>
        <w:t>iv</w:t>
      </w:r>
      <w:proofErr w:type="spellEnd"/>
      <w:r w:rsidR="00944E97" w:rsidRPr="004E4408">
        <w:rPr>
          <w:rFonts w:ascii="Century Gothic" w:hAnsi="Century Gothic" w:cs="Arial"/>
          <w:color w:val="000000" w:themeColor="text1"/>
        </w:rPr>
        <w:t>)</w:t>
      </w:r>
      <w:r w:rsidR="006A1382" w:rsidRPr="004E4408">
        <w:rPr>
          <w:rFonts w:ascii="Century Gothic" w:hAnsi="Century Gothic" w:cs="Arial"/>
          <w:color w:val="000000" w:themeColor="text1"/>
        </w:rPr>
        <w:t xml:space="preserve"> </w:t>
      </w:r>
      <w:r w:rsidR="00C052C4" w:rsidRPr="004E4408">
        <w:rPr>
          <w:rFonts w:ascii="Century Gothic" w:hAnsi="Century Gothic" w:cs="Arial"/>
          <w:color w:val="000000" w:themeColor="text1"/>
        </w:rPr>
        <w:t xml:space="preserve">Diferencias entre los </w:t>
      </w:r>
      <w:r w:rsidR="00944E97" w:rsidRPr="004E4408">
        <w:rPr>
          <w:rFonts w:ascii="Century Gothic" w:hAnsi="Century Gothic" w:cs="Arial"/>
          <w:color w:val="000000" w:themeColor="text1"/>
        </w:rPr>
        <w:t>contrato</w:t>
      </w:r>
      <w:r w:rsidR="00C052C4" w:rsidRPr="004E4408">
        <w:rPr>
          <w:rFonts w:ascii="Century Gothic" w:hAnsi="Century Gothic" w:cs="Arial"/>
          <w:color w:val="000000" w:themeColor="text1"/>
        </w:rPr>
        <w:t>s</w:t>
      </w:r>
      <w:r w:rsidR="00944E97" w:rsidRPr="004E4408">
        <w:rPr>
          <w:rFonts w:ascii="Century Gothic" w:hAnsi="Century Gothic" w:cs="Arial"/>
          <w:color w:val="000000" w:themeColor="text1"/>
        </w:rPr>
        <w:t xml:space="preserve"> de fiducia mercantil, fiducia pública y encargo fiduciario</w:t>
      </w:r>
      <w:r w:rsidR="00C052C4" w:rsidRPr="004E4408">
        <w:rPr>
          <w:rFonts w:ascii="Century Gothic" w:hAnsi="Century Gothic" w:cs="Arial"/>
          <w:color w:val="000000" w:themeColor="text1"/>
        </w:rPr>
        <w:t xml:space="preserve">; y, v) contrato de fiducia mercantil </w:t>
      </w:r>
      <w:r w:rsidR="002C29FC" w:rsidRPr="004E4408">
        <w:rPr>
          <w:rFonts w:ascii="Century Gothic" w:hAnsi="Century Gothic" w:cs="Arial"/>
          <w:color w:val="000000" w:themeColor="text1"/>
        </w:rPr>
        <w:t>irrevocable de administración y pagos para el manejo de anticipo.</w:t>
      </w:r>
    </w:p>
    <w:p w14:paraId="1AD071E9" w14:textId="77777777" w:rsidR="008E195C" w:rsidRPr="004E4408" w:rsidRDefault="00B76A1E" w:rsidP="00B76A1E">
      <w:pPr>
        <w:spacing w:before="120" w:line="276" w:lineRule="auto"/>
        <w:ind w:firstLine="851"/>
        <w:jc w:val="both"/>
        <w:rPr>
          <w:rFonts w:ascii="Century Gothic" w:hAnsi="Century Gothic" w:cs="Arial"/>
          <w:color w:val="000000" w:themeColor="text1"/>
        </w:rPr>
      </w:pPr>
      <w:r w:rsidRPr="004E4408">
        <w:rPr>
          <w:rFonts w:ascii="Century Gothic" w:hAnsi="Century Gothic" w:cs="Arial"/>
        </w:rPr>
        <w:t>La Agencia Nacional de Contratación Pública – Colombia Compra Eficiente en los conceptos con radicados números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C-154 del 18 de mayo de 2021, C-842 del 7 de diciembre de 2022, C-825 del 28 de diciembre de 2022, C-033 de 27 de febrero de 2023, C-003 de 13 de marzo de 2023, C-037 del 5 de abril de 2023 y C-109 de 10 de mayo de 2023</w:t>
      </w:r>
      <w:r w:rsidR="0048658B" w:rsidRPr="004E4408">
        <w:rPr>
          <w:rFonts w:ascii="Century Gothic" w:hAnsi="Century Gothic" w:cs="Arial"/>
        </w:rPr>
        <w:t xml:space="preserve"> y C- 157</w:t>
      </w:r>
      <w:r w:rsidR="008E195C" w:rsidRPr="004E4408">
        <w:rPr>
          <w:rFonts w:ascii="Century Gothic" w:hAnsi="Century Gothic" w:cs="Arial"/>
        </w:rPr>
        <w:t xml:space="preserve"> e 10 de agosto de 2023</w:t>
      </w:r>
      <w:r w:rsidRPr="004E4408">
        <w:rPr>
          <w:rStyle w:val="Refdenotaalpie"/>
          <w:rFonts w:ascii="Century Gothic" w:hAnsi="Century Gothic" w:cs="Arial"/>
        </w:rPr>
        <w:footnoteReference w:id="1"/>
      </w:r>
      <w:r w:rsidRPr="004E4408">
        <w:rPr>
          <w:rFonts w:ascii="Century Gothic" w:hAnsi="Century Gothic" w:cs="Arial"/>
        </w:rPr>
        <w:t>, se abordó el análisis y estudio de la facultad de las entidades estatales para pactar la entrega de anticipos en los contratos estatales y el ámbito de aplicación del artículo 91 de la Ley 1474 de 2011</w:t>
      </w:r>
      <w:r w:rsidRPr="004E4408">
        <w:rPr>
          <w:rFonts w:ascii="Century Gothic" w:hAnsi="Century Gothic" w:cs="Arial"/>
          <w:color w:val="000000" w:themeColor="text1"/>
        </w:rPr>
        <w:t xml:space="preserve">. </w:t>
      </w:r>
    </w:p>
    <w:p w14:paraId="5569A292" w14:textId="3F6AC381" w:rsidR="00B76A1E" w:rsidRPr="004E4408" w:rsidRDefault="009E5C58" w:rsidP="00B76A1E">
      <w:pPr>
        <w:spacing w:before="120" w:line="276" w:lineRule="auto"/>
        <w:ind w:firstLine="851"/>
        <w:jc w:val="both"/>
        <w:rPr>
          <w:rFonts w:ascii="Century Gothic" w:hAnsi="Century Gothic" w:cs="Arial"/>
          <w:color w:val="000000" w:themeColor="text1"/>
        </w:rPr>
      </w:pPr>
      <w:r w:rsidRPr="004E4408">
        <w:rPr>
          <w:rFonts w:ascii="Century Gothic" w:hAnsi="Century Gothic" w:cs="Arial"/>
          <w:color w:val="000000" w:themeColor="text1"/>
        </w:rPr>
        <w:t xml:space="preserve">Igualmente, la Agencia se pronunció sobre el contrato de fiducia mercantil y la capacidad contractual del patrimonio autónomo derivado de dicho contrato </w:t>
      </w:r>
      <w:r w:rsidR="009A31E8" w:rsidRPr="004E4408">
        <w:rPr>
          <w:rFonts w:ascii="Century Gothic" w:hAnsi="Century Gothic" w:cs="Arial"/>
          <w:color w:val="000000" w:themeColor="text1"/>
        </w:rPr>
        <w:t xml:space="preserve">y la diferencia entre la fiducia pública y el encargo fiduciario </w:t>
      </w:r>
      <w:r w:rsidRPr="004E4408">
        <w:rPr>
          <w:rFonts w:ascii="Century Gothic" w:hAnsi="Century Gothic" w:cs="Arial"/>
          <w:color w:val="000000" w:themeColor="text1"/>
        </w:rPr>
        <w:t xml:space="preserve">en los conceptos con radicado No. </w:t>
      </w:r>
      <w:r w:rsidR="00CE292A" w:rsidRPr="004E4408">
        <w:rPr>
          <w:rFonts w:ascii="Century Gothic" w:hAnsi="Century Gothic" w:cs="Arial"/>
          <w:color w:val="000000" w:themeColor="text1"/>
        </w:rPr>
        <w:t>2201913000005645 del</w:t>
      </w:r>
      <w:r w:rsidRPr="004E4408">
        <w:rPr>
          <w:rFonts w:ascii="Century Gothic" w:hAnsi="Century Gothic" w:cs="Arial"/>
          <w:color w:val="000000" w:themeColor="text1"/>
        </w:rPr>
        <w:t xml:space="preserve"> 8 de agosto de 2019 y 2201913000008612 del 19 de noviembre de 2019</w:t>
      </w:r>
      <w:r w:rsidR="009A31E8" w:rsidRPr="004E4408">
        <w:rPr>
          <w:rFonts w:ascii="Century Gothic" w:hAnsi="Century Gothic" w:cs="Arial"/>
          <w:color w:val="000000" w:themeColor="text1"/>
        </w:rPr>
        <w:t xml:space="preserve"> y C-900</w:t>
      </w:r>
      <w:r w:rsidR="00CE292A" w:rsidRPr="004E4408">
        <w:rPr>
          <w:rFonts w:ascii="Century Gothic" w:hAnsi="Century Gothic" w:cs="Arial"/>
          <w:color w:val="000000" w:themeColor="text1"/>
        </w:rPr>
        <w:t xml:space="preserve"> del 28 de noviembre de 2022. </w:t>
      </w:r>
      <w:r w:rsidR="00B76A1E" w:rsidRPr="004E4408">
        <w:rPr>
          <w:rFonts w:ascii="Century Gothic" w:hAnsi="Century Gothic" w:cs="Arial"/>
          <w:color w:val="000000" w:themeColor="text1"/>
        </w:rPr>
        <w:t>La tesis propuesta en dichos conceptos se expone a continuación y se complementa en lo pertinente.</w:t>
      </w:r>
    </w:p>
    <w:p w14:paraId="508E8D76" w14:textId="77777777" w:rsidR="00B76A1E" w:rsidRPr="004E4408" w:rsidRDefault="00B76A1E" w:rsidP="00B76A1E">
      <w:pPr>
        <w:spacing w:line="276" w:lineRule="auto"/>
        <w:jc w:val="both"/>
        <w:rPr>
          <w:rFonts w:ascii="Century Gothic" w:eastAsia="Calibri" w:hAnsi="Century Gothic" w:cs="Arial"/>
          <w:b/>
        </w:rPr>
      </w:pPr>
      <w:r w:rsidRPr="004E4408">
        <w:rPr>
          <w:rFonts w:ascii="Century Gothic" w:eastAsia="Calibri" w:hAnsi="Century Gothic" w:cs="Arial"/>
          <w:b/>
        </w:rPr>
        <w:t>2.1 Competencia consultiva de la Agencia Nacional de Contratación Pública – Colombia Compra Eficiente. Reiteración de Línea.</w:t>
      </w:r>
    </w:p>
    <w:p w14:paraId="07D5BA38" w14:textId="77777777" w:rsidR="00B76A1E" w:rsidRPr="004E4408" w:rsidRDefault="00B76A1E" w:rsidP="00B76A1E">
      <w:pPr>
        <w:tabs>
          <w:tab w:val="left" w:pos="426"/>
        </w:tabs>
        <w:spacing w:before="120" w:line="276" w:lineRule="auto"/>
        <w:jc w:val="both"/>
        <w:rPr>
          <w:rFonts w:ascii="Century Gothic" w:eastAsia="Times New Roman" w:hAnsi="Century Gothic" w:cs="Arial"/>
          <w:color w:val="000000"/>
          <w:lang w:eastAsia="es-MX"/>
        </w:rPr>
      </w:pPr>
      <w:r w:rsidRPr="004E4408">
        <w:rPr>
          <w:rFonts w:ascii="Century Gothic" w:eastAsia="Times New Roman" w:hAnsi="Century Gothic" w:cs="Arial"/>
          <w:color w:val="000000"/>
          <w:lang w:eastAsia="es-MX"/>
        </w:rPr>
        <w:t xml:space="preserve">En ejercicio de las competencias consagradas en el numeral 5 del artículo 3 y numeral 8, 12,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4E4408">
        <w:rPr>
          <w:rFonts w:ascii="Century Gothic" w:eastAsia="Calibri" w:hAnsi="Century Gothic" w:cs="Arial"/>
          <w:color w:val="000000"/>
          <w:lang w:eastAsia="es-MX"/>
        </w:rPr>
        <w:t> </w:t>
      </w:r>
    </w:p>
    <w:p w14:paraId="2D559B5C" w14:textId="77777777" w:rsidR="00B76A1E" w:rsidRPr="004E4408" w:rsidRDefault="00B76A1E" w:rsidP="00B76A1E">
      <w:pPr>
        <w:tabs>
          <w:tab w:val="left" w:pos="426"/>
        </w:tabs>
        <w:spacing w:line="240" w:lineRule="auto"/>
        <w:ind w:left="709" w:right="709"/>
        <w:jc w:val="both"/>
        <w:rPr>
          <w:rFonts w:ascii="Century Gothic" w:eastAsia="Times New Roman" w:hAnsi="Century Gothic" w:cs="Arial"/>
          <w:color w:val="000000"/>
          <w:sz w:val="21"/>
          <w:szCs w:val="21"/>
          <w:lang w:eastAsia="es-MX"/>
        </w:rPr>
      </w:pPr>
      <w:r w:rsidRPr="004E4408">
        <w:rPr>
          <w:rFonts w:ascii="Century Gothic" w:eastAsia="Calibri" w:hAnsi="Century Gothic" w:cs="Arial"/>
          <w:color w:val="000000"/>
          <w:sz w:val="21"/>
          <w:szCs w:val="21"/>
          <w:lang w:eastAsia="es-MX"/>
        </w:rPr>
        <w:t> </w:t>
      </w:r>
      <w:proofErr w:type="gramStart"/>
      <w:r w:rsidRPr="004E4408">
        <w:rPr>
          <w:rFonts w:ascii="Century Gothic" w:eastAsia="Times New Roman" w:hAnsi="Century Gothic" w:cs="Arial"/>
          <w:color w:val="000000"/>
          <w:sz w:val="21"/>
          <w:szCs w:val="21"/>
          <w:lang w:eastAsia="es-MX"/>
        </w:rPr>
        <w:t>”Artículo</w:t>
      </w:r>
      <w:proofErr w:type="gramEnd"/>
      <w:r w:rsidRPr="004E4408">
        <w:rPr>
          <w:rFonts w:ascii="Century Gothic" w:eastAsia="Times New Roman" w:hAnsi="Century Gothic" w:cs="Arial"/>
          <w:color w:val="000000"/>
          <w:sz w:val="21"/>
          <w:szCs w:val="21"/>
          <w:lang w:eastAsia="es-MX"/>
        </w:rPr>
        <w:t xml:space="preserve"> 28. Alcance de los conceptos. Salvo disposición legal en contrario, los conceptos emitidos por las autoridades como respuestas a peticiones realizadas en ejercicio del derecho a formular consultas no serán de obligatorio cumplimiento o ejecución</w:t>
      </w:r>
      <w:r w:rsidRPr="004E4408">
        <w:rPr>
          <w:rFonts w:ascii="Century Gothic" w:eastAsia="Calibri" w:hAnsi="Century Gothic" w:cs="Arial"/>
          <w:color w:val="000000"/>
          <w:sz w:val="21"/>
          <w:szCs w:val="21"/>
          <w:lang w:eastAsia="es-MX"/>
        </w:rPr>
        <w:t>”. </w:t>
      </w:r>
    </w:p>
    <w:p w14:paraId="4835E7EC" w14:textId="77777777" w:rsidR="00B76A1E" w:rsidRPr="004E4408" w:rsidRDefault="00B76A1E" w:rsidP="00B76A1E">
      <w:pPr>
        <w:tabs>
          <w:tab w:val="left" w:pos="426"/>
        </w:tabs>
        <w:spacing w:before="120" w:after="120" w:line="276" w:lineRule="auto"/>
        <w:jc w:val="both"/>
        <w:rPr>
          <w:rFonts w:ascii="Century Gothic" w:eastAsia="Times New Roman" w:hAnsi="Century Gothic" w:cs="Arial"/>
          <w:color w:val="000000"/>
          <w:lang w:eastAsia="es-MX"/>
        </w:rPr>
      </w:pPr>
      <w:r w:rsidRPr="004E4408">
        <w:rPr>
          <w:rFonts w:ascii="Century Gothic" w:eastAsia="Calibri" w:hAnsi="Century Gothic" w:cs="Arial"/>
          <w:color w:val="000000"/>
          <w:lang w:eastAsia="es-MX"/>
        </w:rPr>
        <w:t> </w:t>
      </w:r>
      <w:r w:rsidRPr="004E4408">
        <w:rPr>
          <w:rFonts w:ascii="Century Gothic" w:eastAsia="Calibri" w:hAnsi="Century Gothic" w:cs="Arial"/>
          <w:color w:val="000000"/>
          <w:lang w:eastAsia="es-MX"/>
        </w:rPr>
        <w:tab/>
      </w:r>
      <w:r w:rsidRPr="004E4408">
        <w:rPr>
          <w:rFonts w:ascii="Century Gothic" w:eastAsia="Calibri" w:hAnsi="Century Gothic" w:cs="Arial"/>
          <w:color w:val="000000"/>
          <w:lang w:eastAsia="es-MX"/>
        </w:rPr>
        <w:tab/>
      </w:r>
      <w:r w:rsidRPr="004E4408">
        <w:rPr>
          <w:rFonts w:ascii="Century Gothic" w:eastAsia="Times New Roman" w:hAnsi="Century Gothic"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4E4408">
        <w:rPr>
          <w:rFonts w:ascii="Century Gothic" w:eastAsia="Calibri" w:hAnsi="Century Gothic" w:cs="Arial"/>
          <w:color w:val="000000"/>
          <w:lang w:eastAsia="es-MX"/>
        </w:rPr>
        <w:t> </w:t>
      </w:r>
    </w:p>
    <w:p w14:paraId="570F17DC" w14:textId="77777777" w:rsidR="00B76A1E" w:rsidRPr="004E4408" w:rsidRDefault="00B76A1E" w:rsidP="00B76A1E">
      <w:pPr>
        <w:spacing w:before="120" w:line="276" w:lineRule="auto"/>
        <w:ind w:firstLine="708"/>
        <w:jc w:val="both"/>
        <w:rPr>
          <w:rFonts w:ascii="Century Gothic" w:eastAsia="Times New Roman" w:hAnsi="Century Gothic" w:cs="Arial"/>
          <w:color w:val="000000"/>
          <w:lang w:eastAsia="es-MX"/>
        </w:rPr>
      </w:pPr>
      <w:r w:rsidRPr="004E4408">
        <w:rPr>
          <w:rFonts w:ascii="Century Gothic" w:eastAsia="Times New Roman" w:hAnsi="Century Gothic"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4E4408">
        <w:rPr>
          <w:rFonts w:ascii="Century Gothic" w:eastAsia="Calibri" w:hAnsi="Century Gothic" w:cs="Arial"/>
          <w:color w:val="000000"/>
          <w:lang w:eastAsia="es-MX"/>
        </w:rPr>
        <w:t> </w:t>
      </w:r>
    </w:p>
    <w:p w14:paraId="79132591" w14:textId="77777777" w:rsidR="00B76A1E" w:rsidRPr="004E4408" w:rsidRDefault="00B76A1E" w:rsidP="00B76A1E">
      <w:pPr>
        <w:tabs>
          <w:tab w:val="left" w:pos="709"/>
        </w:tabs>
        <w:spacing w:before="120" w:line="276" w:lineRule="auto"/>
        <w:jc w:val="both"/>
        <w:rPr>
          <w:rFonts w:ascii="Century Gothic" w:eastAsia="Times New Roman" w:hAnsi="Century Gothic" w:cs="Arial"/>
          <w:color w:val="000000"/>
          <w:lang w:eastAsia="es-MX"/>
        </w:rPr>
      </w:pPr>
      <w:r w:rsidRPr="004E4408">
        <w:rPr>
          <w:rFonts w:ascii="Century Gothic" w:eastAsia="Times New Roman" w:hAnsi="Century Gothic" w:cs="Arial"/>
          <w:color w:val="000000"/>
          <w:shd w:val="clear" w:color="auto" w:fill="FFFFFF"/>
          <w:lang w:eastAsia="es-MX"/>
        </w:rPr>
        <w:tab/>
        <w:t>En concordancia con ello, es importante resaltar que e</w:t>
      </w:r>
      <w:r w:rsidRPr="004E4408">
        <w:rPr>
          <w:rFonts w:ascii="Century Gothic" w:eastAsia="Times New Roman" w:hAnsi="Century Gothic" w:cs="Arial"/>
          <w:color w:val="000000"/>
          <w:lang w:eastAsia="es-MX"/>
        </w:rPr>
        <w:t>sta posición es compartida por varias entidades públicas que ejercen similar función. Por ejemplo, la Procuraduría General de la Nación</w:t>
      </w:r>
      <w:r w:rsidRPr="004E4408">
        <w:rPr>
          <w:rFonts w:ascii="Century Gothic" w:eastAsia="Times New Roman" w:hAnsi="Century Gothic" w:cs="Arial"/>
          <w:color w:val="000000"/>
          <w:vertAlign w:val="superscript"/>
          <w:lang w:eastAsia="es-MX"/>
        </w:rPr>
        <w:footnoteReference w:id="2"/>
      </w:r>
      <w:r w:rsidRPr="004E4408">
        <w:rPr>
          <w:rFonts w:ascii="Century Gothic" w:eastAsia="Times New Roman" w:hAnsi="Century Gothic" w:cs="Arial"/>
          <w:color w:val="000000"/>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4E4408">
        <w:rPr>
          <w:rFonts w:ascii="Century Gothic" w:eastAsia="Times New Roman" w:hAnsi="Century Gothic" w:cs="Arial"/>
          <w:color w:val="000000"/>
          <w:vertAlign w:val="superscript"/>
          <w:lang w:eastAsia="es-MX"/>
        </w:rPr>
        <w:footnoteReference w:id="3"/>
      </w:r>
      <w:r w:rsidRPr="004E4408">
        <w:rPr>
          <w:rFonts w:ascii="Century Gothic" w:eastAsia="Times New Roman" w:hAnsi="Century Gothic" w:cs="Arial"/>
          <w:color w:val="000000"/>
          <w:lang w:eastAsia="es-MX"/>
        </w:rPr>
        <w:t xml:space="preserve"> de la República precisó que los </w:t>
      </w:r>
      <w:r w:rsidRPr="004E4408">
        <w:rPr>
          <w:rFonts w:ascii="Century Gothic" w:eastAsia="Times New Roman" w:hAnsi="Century Gothic" w:cs="Arial"/>
          <w:i/>
          <w:color w:val="000000"/>
          <w:lang w:eastAsia="es-MX"/>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4E4408">
        <w:rPr>
          <w:rFonts w:ascii="Century Gothic" w:eastAsia="Calibri" w:hAnsi="Century Gothic" w:cs="Arial"/>
          <w:color w:val="000000"/>
          <w:lang w:eastAsia="es-MX"/>
        </w:rPr>
        <w:t> </w:t>
      </w:r>
    </w:p>
    <w:p w14:paraId="6E9512ED" w14:textId="77777777" w:rsidR="00B76A1E" w:rsidRPr="004E4408" w:rsidRDefault="00B76A1E" w:rsidP="00B76A1E">
      <w:pPr>
        <w:tabs>
          <w:tab w:val="left" w:pos="709"/>
        </w:tabs>
        <w:spacing w:before="120" w:line="276" w:lineRule="auto"/>
        <w:jc w:val="both"/>
        <w:rPr>
          <w:rFonts w:ascii="Century Gothic" w:eastAsia="Times New Roman" w:hAnsi="Century Gothic" w:cs="Arial"/>
          <w:color w:val="000000"/>
          <w:lang w:eastAsia="es-MX"/>
        </w:rPr>
      </w:pPr>
      <w:r w:rsidRPr="004E4408">
        <w:rPr>
          <w:rFonts w:ascii="Century Gothic" w:eastAsia="Calibri" w:hAnsi="Century Gothic" w:cs="Arial"/>
          <w:color w:val="000000"/>
          <w:lang w:eastAsia="es-MX"/>
        </w:rPr>
        <w:tab/>
      </w:r>
      <w:r w:rsidRPr="004E4408">
        <w:rPr>
          <w:rFonts w:ascii="Century Gothic" w:eastAsia="Times New Roman" w:hAnsi="Century Gothic" w:cs="Arial"/>
          <w:color w:val="000000"/>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4E4408">
        <w:rPr>
          <w:rFonts w:ascii="Century Gothic" w:eastAsia="Times New Roman" w:hAnsi="Century Gothic" w:cs="Arial"/>
          <w:color w:val="000000"/>
          <w:vertAlign w:val="superscript"/>
          <w:lang w:eastAsia="es-MX"/>
        </w:rPr>
        <w:footnoteReference w:id="4"/>
      </w:r>
      <w:r w:rsidRPr="004E4408">
        <w:rPr>
          <w:rFonts w:ascii="Century Gothic" w:eastAsia="Times New Roman" w:hAnsi="Century Gothic" w:cs="Arial"/>
          <w:color w:val="000000"/>
          <w:lang w:eastAsia="es-MX"/>
        </w:rPr>
        <w:t xml:space="preserve">. </w:t>
      </w:r>
    </w:p>
    <w:p w14:paraId="6803F3A0" w14:textId="77777777" w:rsidR="00B76A1E" w:rsidRPr="004E4408" w:rsidRDefault="00B76A1E" w:rsidP="00B76A1E">
      <w:pPr>
        <w:spacing w:before="120" w:after="120" w:line="276" w:lineRule="auto"/>
        <w:ind w:firstLine="709"/>
        <w:jc w:val="both"/>
        <w:rPr>
          <w:rFonts w:ascii="Century Gothic" w:eastAsia="Times New Roman" w:hAnsi="Century Gothic" w:cs="Arial"/>
          <w:color w:val="000000"/>
          <w:lang w:eastAsia="es-MX"/>
        </w:rPr>
      </w:pPr>
      <w:r w:rsidRPr="004E4408">
        <w:rPr>
          <w:rFonts w:ascii="Century Gothic" w:eastAsia="Times New Roman" w:hAnsi="Century Gothic"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7AA61FC2" w14:textId="77777777" w:rsidR="00B76A1E" w:rsidRPr="004E4408" w:rsidRDefault="00B76A1E" w:rsidP="00B76A1E">
      <w:pPr>
        <w:spacing w:line="276" w:lineRule="auto"/>
        <w:ind w:firstLine="708"/>
        <w:jc w:val="both"/>
        <w:rPr>
          <w:rFonts w:ascii="Century Gothic" w:eastAsia="Times New Roman" w:hAnsi="Century Gothic" w:cs="Arial"/>
          <w:color w:val="000000"/>
          <w:szCs w:val="24"/>
          <w:lang w:eastAsia="es-MX"/>
        </w:rPr>
      </w:pPr>
      <w:r w:rsidRPr="004E4408">
        <w:rPr>
          <w:rFonts w:ascii="Century Gothic" w:eastAsia="Times New Roman" w:hAnsi="Century Gothic" w:cs="Arial"/>
          <w:color w:val="000000"/>
          <w:lang w:eastAsia="es-MX"/>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521D3F20" w14:textId="77777777" w:rsidR="00B76A1E" w:rsidRPr="004E4408" w:rsidRDefault="00B76A1E" w:rsidP="00B76A1E">
      <w:pPr>
        <w:tabs>
          <w:tab w:val="left" w:pos="0"/>
        </w:tabs>
        <w:spacing w:line="276" w:lineRule="auto"/>
        <w:jc w:val="both"/>
        <w:rPr>
          <w:rFonts w:ascii="Century Gothic" w:hAnsi="Century Gothic" w:cs="Arial"/>
          <w:b/>
          <w:color w:val="000000"/>
          <w:lang w:eastAsia="en-GB"/>
        </w:rPr>
      </w:pPr>
      <w:r w:rsidRPr="004E4408">
        <w:rPr>
          <w:rFonts w:ascii="Century Gothic" w:hAnsi="Century Gothic" w:cs="Arial"/>
          <w:b/>
          <w:color w:val="000000"/>
          <w:lang w:eastAsia="en-GB"/>
        </w:rPr>
        <w:t xml:space="preserve">2.2. </w:t>
      </w:r>
      <w:r w:rsidRPr="004E4408">
        <w:rPr>
          <w:rFonts w:ascii="Century Gothic" w:hAnsi="Century Gothic" w:cs="Arial"/>
          <w:b/>
          <w:color w:val="000000" w:themeColor="text1"/>
        </w:rPr>
        <w:t>Naturaleza jurídica del anticipo. Reiteración de línea</w:t>
      </w:r>
    </w:p>
    <w:p w14:paraId="470B8CF6" w14:textId="77777777" w:rsidR="00B76A1E" w:rsidRPr="004E4408" w:rsidRDefault="00B76A1E" w:rsidP="00B76A1E">
      <w:pPr>
        <w:tabs>
          <w:tab w:val="left" w:pos="0"/>
        </w:tabs>
        <w:spacing w:line="276" w:lineRule="auto"/>
        <w:jc w:val="both"/>
        <w:rPr>
          <w:rFonts w:ascii="Century Gothic" w:hAnsi="Century Gothic" w:cs="Arial"/>
          <w:color w:val="000000" w:themeColor="text1"/>
        </w:rPr>
      </w:pPr>
      <w:r w:rsidRPr="004E4408">
        <w:rPr>
          <w:rFonts w:ascii="Century Gothic" w:hAnsi="Century Gothic" w:cs="Arial"/>
          <w:color w:val="000000"/>
          <w:lang w:eastAsia="en-GB"/>
        </w:rPr>
        <w:t>En materia de contratación pública, la figura del anticipo está prevista en dos (2) normas: el</w:t>
      </w:r>
      <w:r w:rsidRPr="004E4408">
        <w:rPr>
          <w:rFonts w:ascii="Century Gothic" w:hAnsi="Century Gothic"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212B8725" w14:textId="77777777" w:rsidR="00B76A1E" w:rsidRPr="004E4408" w:rsidRDefault="00B76A1E" w:rsidP="00B76A1E">
      <w:pPr>
        <w:tabs>
          <w:tab w:val="left" w:pos="0"/>
        </w:tabs>
        <w:spacing w:before="120" w:line="276" w:lineRule="auto"/>
        <w:ind w:firstLine="709"/>
        <w:jc w:val="both"/>
        <w:rPr>
          <w:rFonts w:ascii="Century Gothic" w:hAnsi="Century Gothic" w:cs="Arial"/>
          <w:color w:val="000000" w:themeColor="text1"/>
        </w:rPr>
      </w:pPr>
      <w:r w:rsidRPr="004E4408">
        <w:rPr>
          <w:rFonts w:ascii="Century Gothic" w:hAnsi="Century Gothic" w:cs="Arial"/>
          <w:color w:val="000000" w:themeColor="text1"/>
        </w:rPr>
        <w:t xml:space="preserve">Por su parte, el artículo 91 de la Ley 1474 de 2011 consagra una regla especial para el manejo del anticipo. Según esta disposición, el contratista tiene la obligación de constituir una fiducia o un patrimonio autónomo irrevocable para el manejo de los recursos que reciba a título de anticipo, cuando se pacte en contratos de obra, concesión, salud, o en todos aquellos que se realicen por licitación pública, </w:t>
      </w:r>
      <w:r w:rsidRPr="004E4408">
        <w:rPr>
          <w:rFonts w:ascii="Century Gothic" w:hAnsi="Century Gothic" w:cs="Arial"/>
          <w:i/>
          <w:color w:val="000000" w:themeColor="text1"/>
        </w:rPr>
        <w:t>“salvo que el contrato sea de menor o mínima cuantía</w:t>
      </w:r>
      <w:r w:rsidRPr="004E4408">
        <w:rPr>
          <w:rFonts w:ascii="Century Gothic" w:hAnsi="Century Gothic" w:cs="Arial"/>
          <w:color w:val="000000" w:themeColor="text1"/>
        </w:rPr>
        <w:t>”. Lo anterior, con el fin de garantizar que se destinen exclusivamente a la ejecución del contrato.</w:t>
      </w:r>
    </w:p>
    <w:p w14:paraId="1DEC5EC0" w14:textId="77777777" w:rsidR="00B76A1E" w:rsidRPr="004E4408" w:rsidRDefault="00B76A1E" w:rsidP="00B76A1E">
      <w:pPr>
        <w:tabs>
          <w:tab w:val="left" w:pos="0"/>
        </w:tabs>
        <w:spacing w:before="120" w:line="276" w:lineRule="auto"/>
        <w:ind w:firstLine="709"/>
        <w:jc w:val="both"/>
        <w:rPr>
          <w:rFonts w:ascii="Century Gothic" w:hAnsi="Century Gothic" w:cs="Arial"/>
          <w:vertAlign w:val="superscript"/>
        </w:rPr>
      </w:pPr>
      <w:r w:rsidRPr="004E4408">
        <w:rPr>
          <w:rFonts w:ascii="Century Gothic" w:hAnsi="Century Gothic" w:cs="Arial"/>
        </w:rPr>
        <w:t>Aunque las normas citadas no definen el anticipo, el Consejo de Estado ha precisado su naturaleza jurídica fijando parámetros para su aplicación</w:t>
      </w:r>
      <w:r w:rsidRPr="004E4408">
        <w:rPr>
          <w:rFonts w:ascii="Century Gothic" w:hAnsi="Century Gothic" w:cs="Arial"/>
          <w:vertAlign w:val="superscript"/>
        </w:rPr>
        <w:footnoteReference w:id="5"/>
      </w:r>
      <w:r w:rsidRPr="004E4408">
        <w:rPr>
          <w:rFonts w:ascii="Century Gothic" w:hAnsi="Century Gothic" w:cs="Arial"/>
        </w:rPr>
        <w:t xml:space="preserve">. En uno de sus pronunciamientos más recientes, el Consejo de Estado se refirió al anticipo como </w:t>
      </w:r>
      <w:r w:rsidRPr="004E4408">
        <w:rPr>
          <w:rFonts w:ascii="Century Gothic" w:hAnsi="Century Gothic" w:cs="Arial"/>
          <w:color w:val="000000" w:themeColor="text1"/>
        </w:rPr>
        <w:t>“</w:t>
      </w:r>
      <w:r w:rsidRPr="004E4408">
        <w:rPr>
          <w:rFonts w:ascii="Century Gothic" w:hAnsi="Century Gothic" w:cs="Aria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4E4408">
        <w:rPr>
          <w:rFonts w:ascii="Century Gothic" w:hAnsi="Century Gothic" w:cs="Arial"/>
          <w:color w:val="000000" w:themeColor="text1"/>
        </w:rPr>
        <w:t>”</w:t>
      </w:r>
      <w:r w:rsidRPr="004E4408">
        <w:rPr>
          <w:rFonts w:ascii="Century Gothic" w:hAnsi="Century Gothic" w:cs="Arial"/>
          <w:vertAlign w:val="superscript"/>
        </w:rPr>
        <w:footnoteReference w:id="6"/>
      </w:r>
      <w:r w:rsidRPr="004E4408">
        <w:rPr>
          <w:rFonts w:ascii="Century Gothic" w:hAnsi="Century Gothic" w:cs="Arial"/>
          <w:color w:val="000000" w:themeColor="text1"/>
        </w:rPr>
        <w:t>.</w:t>
      </w:r>
    </w:p>
    <w:p w14:paraId="0FFBAA18" w14:textId="77777777" w:rsidR="00B76A1E" w:rsidRPr="004E4408" w:rsidRDefault="00B76A1E" w:rsidP="00B76A1E">
      <w:pPr>
        <w:spacing w:before="120" w:line="276" w:lineRule="auto"/>
        <w:ind w:firstLine="708"/>
        <w:jc w:val="both"/>
        <w:rPr>
          <w:rFonts w:ascii="Century Gothic" w:hAnsi="Century Gothic" w:cs="Arial"/>
        </w:rPr>
      </w:pPr>
      <w:r w:rsidRPr="004E4408">
        <w:rPr>
          <w:rFonts w:ascii="Century Gothic" w:hAnsi="Century Gothic" w:cs="Arial"/>
        </w:rPr>
        <w:t xml:space="preserve">Sobre la calidad de recurso público del anticipo, la jurisprudencia ha reiterado que </w:t>
      </w:r>
      <w:r w:rsidRPr="004E4408">
        <w:rPr>
          <w:rFonts w:ascii="Century Gothic" w:hAnsi="Century Gothic" w:cs="Arial"/>
          <w:color w:val="000000" w:themeColor="text1"/>
        </w:rPr>
        <w:t>“</w:t>
      </w:r>
      <w:r w:rsidRPr="004E4408">
        <w:rPr>
          <w:rFonts w:ascii="Century Gothic" w:hAnsi="Century Gothic"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4E4408">
        <w:rPr>
          <w:rFonts w:ascii="Century Gothic" w:hAnsi="Century Gothic" w:cs="Arial"/>
          <w:color w:val="000000" w:themeColor="text1"/>
        </w:rPr>
        <w:t>”</w:t>
      </w:r>
      <w:r w:rsidRPr="004E4408">
        <w:rPr>
          <w:rFonts w:ascii="Century Gothic" w:hAnsi="Century Gothic" w:cs="Arial"/>
          <w:vertAlign w:val="superscript"/>
        </w:rPr>
        <w:footnoteReference w:id="7"/>
      </w:r>
      <w:r w:rsidRPr="004E4408">
        <w:rPr>
          <w:rFonts w:ascii="Century Gothic" w:hAnsi="Century Gothic" w:cs="Arial"/>
        </w:rPr>
        <w:t>. Igualmente, explica que el anticipo, al facilitar al contratista la financiación de los bienes y servicios que se le han encargado, es un factor determinante para impulsar la ejecución del contrato</w:t>
      </w:r>
      <w:r w:rsidRPr="004E4408">
        <w:rPr>
          <w:rFonts w:ascii="Century Gothic" w:hAnsi="Century Gothic" w:cs="Arial"/>
          <w:vertAlign w:val="superscript"/>
        </w:rPr>
        <w:footnoteReference w:id="8"/>
      </w:r>
      <w:r w:rsidRPr="004E4408">
        <w:rPr>
          <w:rFonts w:ascii="Century Gothic" w:hAnsi="Century Gothic" w:cs="Arial"/>
        </w:rPr>
        <w:t>. Este también es el entendimiento de la doctrina</w:t>
      </w:r>
      <w:r w:rsidRPr="004E4408">
        <w:rPr>
          <w:rFonts w:ascii="Century Gothic" w:hAnsi="Century Gothic" w:cs="Arial"/>
          <w:color w:val="000000" w:themeColor="text1"/>
        </w:rPr>
        <w:t>,</w:t>
      </w:r>
      <w:r w:rsidRPr="004E4408">
        <w:rPr>
          <w:rFonts w:ascii="Century Gothic" w:hAnsi="Century Gothic" w:cs="Arial"/>
        </w:rPr>
        <w:t xml:space="preserve"> que ha considerado el anticipo como un dinero entregado al contratista que debe cancelarse mediante descuentos parciales, siendo una práctica común que permite impulsar la ejecución del contrato</w:t>
      </w:r>
      <w:r w:rsidRPr="004E4408">
        <w:rPr>
          <w:rFonts w:ascii="Century Gothic" w:hAnsi="Century Gothic" w:cs="Arial"/>
          <w:vertAlign w:val="superscript"/>
        </w:rPr>
        <w:footnoteReference w:id="9"/>
      </w:r>
      <w:r w:rsidRPr="004E4408">
        <w:rPr>
          <w:rFonts w:ascii="Century Gothic" w:hAnsi="Century Gothic" w:cs="Arial"/>
        </w:rPr>
        <w:t xml:space="preserve">. </w:t>
      </w:r>
    </w:p>
    <w:p w14:paraId="44B912FD" w14:textId="77777777" w:rsidR="00B76A1E" w:rsidRPr="004E4408" w:rsidRDefault="00B76A1E" w:rsidP="00B76A1E">
      <w:pPr>
        <w:spacing w:before="120" w:line="276" w:lineRule="auto"/>
        <w:ind w:firstLine="708"/>
        <w:jc w:val="both"/>
        <w:rPr>
          <w:rFonts w:ascii="Century Gothic" w:hAnsi="Century Gothic" w:cs="Arial"/>
          <w:color w:val="000000" w:themeColor="text1"/>
        </w:rPr>
      </w:pPr>
      <w:r w:rsidRPr="004E4408">
        <w:rPr>
          <w:rFonts w:ascii="Century Gothic" w:hAnsi="Century Gothic" w:cs="Arial"/>
          <w:color w:val="000000" w:themeColor="text1"/>
        </w:rPr>
        <w:t xml:space="preserve">Así, de acuerdo con las consideraciones de la jurisprudencia y la doctrina, el anticipo es </w:t>
      </w:r>
      <w:r w:rsidRPr="004E4408">
        <w:rPr>
          <w:rFonts w:ascii="Century Gothic" w:hAnsi="Century Gothic" w:cs="Arial"/>
        </w:rPr>
        <w:t>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0B1A5D90" w14:textId="77777777" w:rsidR="00B76A1E" w:rsidRPr="004E4408" w:rsidRDefault="00B76A1E" w:rsidP="00B76A1E">
      <w:pPr>
        <w:spacing w:before="120" w:line="276" w:lineRule="auto"/>
        <w:ind w:firstLine="709"/>
        <w:jc w:val="both"/>
        <w:rPr>
          <w:rFonts w:ascii="Century Gothic" w:hAnsi="Century Gothic" w:cs="Arial"/>
        </w:rPr>
      </w:pPr>
      <w:r w:rsidRPr="004E4408">
        <w:rPr>
          <w:rFonts w:ascii="Century Gothic" w:hAnsi="Century Gothic" w:cs="Arial"/>
          <w:color w:val="000000" w:themeColor="text1"/>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14:paraId="0D841523" w14:textId="77777777" w:rsidR="00B76A1E" w:rsidRPr="004E4408" w:rsidRDefault="00B76A1E" w:rsidP="00B76A1E">
      <w:pPr>
        <w:spacing w:line="240" w:lineRule="auto"/>
        <w:ind w:left="709" w:right="709"/>
        <w:jc w:val="both"/>
        <w:rPr>
          <w:rFonts w:ascii="Century Gothic" w:hAnsi="Century Gothic" w:cs="Arial"/>
          <w:sz w:val="21"/>
          <w:szCs w:val="21"/>
        </w:rPr>
      </w:pPr>
      <w:r w:rsidRPr="004E4408">
        <w:rPr>
          <w:rFonts w:ascii="Century Gothic" w:hAnsi="Century Gothic" w:cs="Arial"/>
          <w:color w:val="000000" w:themeColor="text1"/>
        </w:rPr>
        <w:t>“</w:t>
      </w:r>
      <w:r w:rsidRPr="004E4408">
        <w:rPr>
          <w:rFonts w:ascii="Century Gothic" w:hAnsi="Century Gothic" w:cs="Arial"/>
          <w:sz w:val="21"/>
          <w:szCs w:val="21"/>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4E4408">
        <w:rPr>
          <w:rFonts w:ascii="Century Gothic" w:hAnsi="Century Gothic" w:cs="Arial"/>
          <w:sz w:val="21"/>
          <w:szCs w:val="21"/>
        </w:rPr>
        <w:t>etc</w:t>
      </w:r>
      <w:proofErr w:type="spellEnd"/>
      <w:r w:rsidRPr="004E4408">
        <w:rPr>
          <w:rFonts w:ascii="Century Gothic" w:hAnsi="Century Gothic"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4E4408">
        <w:rPr>
          <w:rFonts w:ascii="Century Gothic" w:hAnsi="Century Gothic" w:cs="Arial"/>
          <w:b/>
          <w:sz w:val="21"/>
          <w:szCs w:val="21"/>
        </w:rPr>
        <w:t xml:space="preserve">, </w:t>
      </w:r>
      <w:r w:rsidRPr="004E4408">
        <w:rPr>
          <w:rFonts w:ascii="Century Gothic" w:hAnsi="Century Gothic"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4E4408">
        <w:rPr>
          <w:rFonts w:ascii="Century Gothic" w:hAnsi="Century Gothic" w:cs="Arial"/>
          <w:color w:val="000000" w:themeColor="text1"/>
        </w:rPr>
        <w:t>”</w:t>
      </w:r>
      <w:r w:rsidRPr="004E4408">
        <w:rPr>
          <w:rFonts w:ascii="Century Gothic" w:hAnsi="Century Gothic" w:cs="Arial"/>
          <w:sz w:val="21"/>
          <w:szCs w:val="21"/>
          <w:vertAlign w:val="superscript"/>
        </w:rPr>
        <w:footnoteReference w:id="10"/>
      </w:r>
    </w:p>
    <w:p w14:paraId="1F2B9F8E" w14:textId="77777777" w:rsidR="00B76A1E" w:rsidRPr="004E4408" w:rsidRDefault="00B76A1E" w:rsidP="00B76A1E">
      <w:pPr>
        <w:tabs>
          <w:tab w:val="left" w:pos="0"/>
        </w:tabs>
        <w:spacing w:line="276" w:lineRule="auto"/>
        <w:ind w:firstLine="709"/>
        <w:jc w:val="both"/>
        <w:rPr>
          <w:rFonts w:ascii="Century Gothic" w:hAnsi="Century Gothic" w:cs="Arial"/>
        </w:rPr>
      </w:pPr>
      <w:r w:rsidRPr="004E4408">
        <w:rPr>
          <w:rFonts w:ascii="Century Gothic" w:hAnsi="Century Gothic" w:cs="Arial"/>
        </w:rPr>
        <w:t>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cincuenta por ciento (50%) del valor del contrato–, el plazo de amortización, las condiciones necesarias para su exigibilidad, así como todas las obligaciones para su correcta inversión.</w:t>
      </w:r>
    </w:p>
    <w:p w14:paraId="6794DB22" w14:textId="77777777" w:rsidR="00B76A1E" w:rsidRPr="004E4408" w:rsidRDefault="00B76A1E" w:rsidP="00B76A1E">
      <w:pPr>
        <w:tabs>
          <w:tab w:val="left" w:pos="0"/>
        </w:tabs>
        <w:spacing w:before="120" w:line="276" w:lineRule="auto"/>
        <w:ind w:firstLine="709"/>
        <w:jc w:val="both"/>
        <w:rPr>
          <w:rFonts w:ascii="Century Gothic" w:hAnsi="Century Gothic" w:cs="Arial"/>
          <w:color w:val="000000" w:themeColor="text1"/>
        </w:rPr>
      </w:pPr>
      <w:r w:rsidRPr="004E4408">
        <w:rPr>
          <w:rFonts w:ascii="Century Gothic" w:hAnsi="Century Gothic" w:cs="Aria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4E4408">
        <w:rPr>
          <w:rFonts w:ascii="Century Gothic" w:hAnsi="Century Gothic" w:cs="Arial"/>
          <w:color w:val="000000" w:themeColor="text1"/>
        </w:rPr>
        <w:t xml:space="preserve">De hecho, el Estatuto General de Contratación de la Administración Pública dispone como única limitación el valor máximo que puede desembolsar la entidad para pactar el anticipo. </w:t>
      </w:r>
    </w:p>
    <w:p w14:paraId="54A78B4E" w14:textId="77777777" w:rsidR="00B76A1E" w:rsidRPr="004E4408" w:rsidRDefault="00B76A1E" w:rsidP="00B76A1E">
      <w:pPr>
        <w:spacing w:before="120" w:after="120" w:line="276" w:lineRule="auto"/>
        <w:ind w:firstLine="709"/>
        <w:jc w:val="both"/>
        <w:rPr>
          <w:rFonts w:ascii="Century Gothic" w:hAnsi="Century Gothic" w:cs="Arial"/>
        </w:rPr>
      </w:pPr>
      <w:r w:rsidRPr="004E4408">
        <w:rPr>
          <w:rFonts w:ascii="Century Gothic" w:hAnsi="Century Gothic" w:cs="Arial"/>
          <w:color w:val="000000" w:themeColor="text1"/>
        </w:rPr>
        <w:t xml:space="preserve">Del análisis realizado se desprende que los recursos entregados al contratista en calidad de anticipo son recursos públicos. Por tanto, corresponde a la entidad </w:t>
      </w:r>
      <w:r w:rsidRPr="004E4408">
        <w:rPr>
          <w:rFonts w:ascii="Century Gothic" w:hAnsi="Century Gothic" w:cs="Arial"/>
        </w:rPr>
        <w:t xml:space="preserve">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w:t>
      </w:r>
      <w:proofErr w:type="spellStart"/>
      <w:r w:rsidRPr="004E4408">
        <w:rPr>
          <w:rFonts w:ascii="Century Gothic" w:hAnsi="Century Gothic" w:cs="Arial"/>
        </w:rPr>
        <w:t>ii</w:t>
      </w:r>
      <w:proofErr w:type="spellEnd"/>
      <w:r w:rsidRPr="004E4408">
        <w:rPr>
          <w:rFonts w:ascii="Century Gothic" w:hAnsi="Century Gothic" w:cs="Arial"/>
        </w:rPr>
        <w:t xml:space="preserve">) el uso indebido del anticipo; y </w:t>
      </w:r>
      <w:proofErr w:type="spellStart"/>
      <w:r w:rsidRPr="004E4408">
        <w:rPr>
          <w:rFonts w:ascii="Century Gothic" w:hAnsi="Century Gothic" w:cs="Arial"/>
        </w:rPr>
        <w:t>iii</w:t>
      </w:r>
      <w:proofErr w:type="spellEnd"/>
      <w:r w:rsidRPr="004E4408">
        <w:rPr>
          <w:rFonts w:ascii="Century Gothic" w:hAnsi="Century Gothic" w:cs="Arial"/>
        </w:rPr>
        <w:t>) la apropiación indebida de los recursos recibidos en calidad de anticipo</w:t>
      </w:r>
      <w:r w:rsidRPr="004E4408">
        <w:rPr>
          <w:rFonts w:ascii="Century Gothic" w:hAnsi="Century Gothic" w:cs="Arial"/>
          <w:vertAlign w:val="superscript"/>
        </w:rPr>
        <w:footnoteReference w:id="11"/>
      </w:r>
      <w:r w:rsidRPr="004E4408">
        <w:rPr>
          <w:rFonts w:ascii="Century Gothic" w:hAnsi="Century Gothic" w:cs="Arial"/>
        </w:rPr>
        <w:t xml:space="preserve">. </w:t>
      </w:r>
    </w:p>
    <w:p w14:paraId="3A981504" w14:textId="6FE53CDC" w:rsidR="00B76A1E" w:rsidRPr="004E4408" w:rsidRDefault="00B76A1E" w:rsidP="00B76A1E">
      <w:pPr>
        <w:spacing w:line="276" w:lineRule="auto"/>
        <w:jc w:val="both"/>
        <w:rPr>
          <w:rFonts w:ascii="Century Gothic" w:hAnsi="Century Gothic" w:cs="Arial"/>
          <w:b/>
          <w:color w:val="000000" w:themeColor="text1"/>
          <w:u w:val="single"/>
        </w:rPr>
      </w:pPr>
      <w:r w:rsidRPr="004E4408">
        <w:rPr>
          <w:rFonts w:ascii="Century Gothic" w:eastAsia="Times New Roman" w:hAnsi="Century Gothic" w:cs="Arial"/>
          <w:b/>
          <w:color w:val="000000" w:themeColor="text1"/>
        </w:rPr>
        <w:t xml:space="preserve">2.3. </w:t>
      </w:r>
      <w:r w:rsidRPr="004E4408">
        <w:rPr>
          <w:rFonts w:ascii="Century Gothic" w:hAnsi="Century Gothic" w:cs="Arial"/>
          <w:b/>
          <w:color w:val="000000" w:themeColor="text1"/>
        </w:rPr>
        <w:t>Ámbito de aplicación del artículo 91 de la Ley 1474 de 2011</w:t>
      </w:r>
      <w:r w:rsidR="0082147F" w:rsidRPr="004E4408">
        <w:rPr>
          <w:rFonts w:ascii="Century Gothic" w:hAnsi="Century Gothic" w:cs="Arial"/>
          <w:b/>
          <w:color w:val="000000" w:themeColor="text1"/>
        </w:rPr>
        <w:t xml:space="preserve"> </w:t>
      </w:r>
      <w:r w:rsidR="00FD1787" w:rsidRPr="004E4408">
        <w:rPr>
          <w:rFonts w:ascii="Century Gothic" w:hAnsi="Century Gothic" w:cs="Arial"/>
          <w:b/>
          <w:color w:val="000000" w:themeColor="text1"/>
        </w:rPr>
        <w:t>– Reiteración de línea</w:t>
      </w:r>
    </w:p>
    <w:p w14:paraId="776B0095" w14:textId="77777777" w:rsidR="00B76A1E" w:rsidRPr="004E4408" w:rsidRDefault="00B76A1E" w:rsidP="00B76A1E">
      <w:pPr>
        <w:spacing w:line="276" w:lineRule="auto"/>
        <w:jc w:val="both"/>
        <w:rPr>
          <w:rFonts w:ascii="Century Gothic" w:hAnsi="Century Gothic" w:cs="Arial"/>
          <w:color w:val="000000" w:themeColor="text1"/>
          <w:lang w:val="es-ES_tradnl"/>
        </w:rPr>
      </w:pPr>
      <w:r w:rsidRPr="004E4408">
        <w:rPr>
          <w:rFonts w:ascii="Century Gothic" w:hAnsi="Century Gothic" w:cs="Arial"/>
          <w:color w:val="000000" w:themeColor="text1"/>
          <w:lang w:val="es-ES_tradnl"/>
        </w:rPr>
        <w:t xml:space="preserve">Como se expuso en el acápite anterior, una de las normas que regula el anticipo en materia de contratación estatal es el artículo 91 de la Ley 1474 de 2011. Esta norma dispone lo siguiente: </w:t>
      </w:r>
    </w:p>
    <w:p w14:paraId="5F0254EE" w14:textId="77777777" w:rsidR="00B76A1E" w:rsidRPr="004E4408" w:rsidRDefault="00B76A1E" w:rsidP="00B76A1E">
      <w:pPr>
        <w:spacing w:after="120" w:line="240" w:lineRule="auto"/>
        <w:ind w:left="709" w:right="709"/>
        <w:jc w:val="both"/>
        <w:rPr>
          <w:rFonts w:ascii="Century Gothic" w:hAnsi="Century Gothic" w:cs="Arial"/>
          <w:sz w:val="21"/>
          <w:szCs w:val="21"/>
        </w:rPr>
      </w:pPr>
      <w:r w:rsidRPr="004E4408">
        <w:rPr>
          <w:rFonts w:ascii="Century Gothic" w:hAnsi="Century Gothic" w:cs="Arial"/>
          <w:sz w:val="21"/>
          <w:szCs w:val="21"/>
        </w:rPr>
        <w:t xml:space="preserve">“En los contratos de obra, concesión, salud, o los que se realicen por licitación pública, el contratista </w:t>
      </w:r>
      <w:r w:rsidRPr="004E4408">
        <w:rPr>
          <w:rFonts w:ascii="Century Gothic" w:hAnsi="Century Gothic" w:cs="Arial"/>
          <w:i/>
          <w:iCs/>
          <w:sz w:val="21"/>
          <w:szCs w:val="21"/>
        </w:rPr>
        <w:t>deberá constituir una fiducia o un patrimonio autónomo irrevocable para el manejo de los recursos</w:t>
      </w:r>
      <w:r w:rsidRPr="004E4408">
        <w:rPr>
          <w:rFonts w:ascii="Century Gothic" w:hAnsi="Century Gothic" w:cs="Arial"/>
          <w:sz w:val="21"/>
          <w:szCs w:val="21"/>
        </w:rPr>
        <w:t xml:space="preserve"> que reciba a título de anticipo, con el fin de garantizar que dichos recursos se apliquen exclusivamente a la ejecución del contrato correspondiente, </w:t>
      </w:r>
      <w:r w:rsidRPr="004E4408">
        <w:rPr>
          <w:rFonts w:ascii="Century Gothic" w:hAnsi="Century Gothic" w:cs="Arial"/>
          <w:iCs/>
          <w:sz w:val="21"/>
          <w:szCs w:val="21"/>
        </w:rPr>
        <w:t>salvo que el contrato sea de menor o mínima cuantía</w:t>
      </w:r>
      <w:r w:rsidRPr="004E4408">
        <w:rPr>
          <w:rFonts w:ascii="Century Gothic" w:hAnsi="Century Gothic" w:cs="Arial"/>
          <w:i/>
          <w:sz w:val="21"/>
          <w:szCs w:val="21"/>
        </w:rPr>
        <w:t>.</w:t>
      </w:r>
    </w:p>
    <w:p w14:paraId="77811197" w14:textId="77777777" w:rsidR="00B76A1E" w:rsidRPr="004E4408" w:rsidRDefault="00B76A1E" w:rsidP="00B76A1E">
      <w:pPr>
        <w:spacing w:line="240" w:lineRule="auto"/>
        <w:ind w:left="709" w:right="709"/>
        <w:jc w:val="both"/>
        <w:rPr>
          <w:rFonts w:ascii="Century Gothic" w:hAnsi="Century Gothic" w:cs="Arial"/>
          <w:sz w:val="21"/>
          <w:szCs w:val="21"/>
        </w:rPr>
      </w:pPr>
      <w:r w:rsidRPr="004E4408">
        <w:rPr>
          <w:rFonts w:ascii="Century Gothic" w:hAnsi="Century Gothic" w:cs="Arial"/>
          <w:sz w:val="21"/>
          <w:szCs w:val="21"/>
        </w:rPr>
        <w:t>El costo de la comisión fiduciaria será cubierto directamente por el contratista.”</w:t>
      </w:r>
      <w:r w:rsidRPr="004E4408">
        <w:rPr>
          <w:rFonts w:ascii="Century Gothic" w:hAnsi="Century Gothic" w:cs="Arial"/>
          <w:sz w:val="20"/>
          <w:szCs w:val="20"/>
          <w:lang w:val="es-ES_tradnl"/>
        </w:rPr>
        <w:t xml:space="preserve"> [Énfasis fuera de texto]</w:t>
      </w:r>
    </w:p>
    <w:p w14:paraId="2D8CB39C" w14:textId="77777777" w:rsidR="00B76A1E" w:rsidRPr="004E4408" w:rsidRDefault="00B76A1E" w:rsidP="00B76A1E">
      <w:pPr>
        <w:spacing w:line="276" w:lineRule="auto"/>
        <w:ind w:firstLine="709"/>
        <w:jc w:val="both"/>
        <w:rPr>
          <w:rFonts w:ascii="Century Gothic" w:hAnsi="Century Gothic" w:cs="Arial"/>
          <w:color w:val="000000" w:themeColor="text1"/>
          <w:lang w:val="es-ES_tradnl"/>
        </w:rPr>
      </w:pPr>
      <w:r w:rsidRPr="004E4408">
        <w:rPr>
          <w:rFonts w:ascii="Century Gothic" w:hAnsi="Century Gothic" w:cs="Arial"/>
          <w:color w:val="000000" w:themeColor="text1"/>
          <w:lang w:val="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w:t>
      </w:r>
      <w:r w:rsidRPr="004E4408">
        <w:rPr>
          <w:rFonts w:ascii="Century Gothic" w:hAnsi="Century Gothic" w:cs="Arial"/>
          <w:color w:val="000000" w:themeColor="text1"/>
          <w:vertAlign w:val="superscript"/>
          <w:lang w:val="es-ES_tradnl"/>
        </w:rPr>
        <w:footnoteReference w:id="12"/>
      </w:r>
      <w:r w:rsidRPr="004E4408">
        <w:rPr>
          <w:rFonts w:ascii="Century Gothic" w:hAnsi="Century Gothic" w:cs="Arial"/>
          <w:color w:val="000000" w:themeColor="text1"/>
          <w:lang w:val="es-ES_tradnl"/>
        </w:rPr>
        <w:t xml:space="preserve">. </w:t>
      </w:r>
    </w:p>
    <w:p w14:paraId="09D334ED" w14:textId="77777777" w:rsidR="00B76A1E" w:rsidRPr="004E4408" w:rsidRDefault="00B76A1E" w:rsidP="00B76A1E">
      <w:pPr>
        <w:spacing w:before="120" w:line="276" w:lineRule="auto"/>
        <w:ind w:firstLine="709"/>
        <w:jc w:val="both"/>
        <w:rPr>
          <w:rFonts w:ascii="Century Gothic" w:hAnsi="Century Gothic" w:cs="Arial"/>
          <w:color w:val="000000" w:themeColor="text1"/>
          <w:lang w:val="es-ES_tradnl"/>
        </w:rPr>
      </w:pPr>
      <w:r w:rsidRPr="004E4408">
        <w:rPr>
          <w:rFonts w:ascii="Century Gothic" w:hAnsi="Century Gothic" w:cs="Arial"/>
          <w:color w:val="000000" w:themeColor="text1"/>
          <w:lang w:val="es-ES_tradnl"/>
        </w:rPr>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w:t>
      </w:r>
      <w:r w:rsidRPr="004E4408">
        <w:rPr>
          <w:rFonts w:ascii="Century Gothic" w:hAnsi="Century Gothic" w:cs="Arial"/>
          <w:color w:val="000000" w:themeColor="text1"/>
          <w:vertAlign w:val="superscript"/>
          <w:lang w:val="es-ES_tradnl"/>
        </w:rPr>
        <w:footnoteReference w:id="13"/>
      </w:r>
      <w:r w:rsidRPr="004E4408">
        <w:rPr>
          <w:rFonts w:ascii="Century Gothic" w:hAnsi="Century Gothic" w:cs="Arial"/>
          <w:color w:val="000000" w:themeColor="text1"/>
          <w:lang w:val="es-ES_tradnl"/>
        </w:rPr>
        <w:t xml:space="preserve">.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 Entidad Estatal. </w:t>
      </w:r>
    </w:p>
    <w:p w14:paraId="06A225FE" w14:textId="77777777" w:rsidR="00B76A1E" w:rsidRPr="004E4408" w:rsidRDefault="00B76A1E" w:rsidP="00B76A1E">
      <w:pPr>
        <w:spacing w:line="276" w:lineRule="auto"/>
        <w:ind w:firstLine="708"/>
        <w:jc w:val="both"/>
        <w:rPr>
          <w:rFonts w:ascii="Century Gothic" w:hAnsi="Century Gothic" w:cs="Arial"/>
          <w:color w:val="000000" w:themeColor="text1"/>
        </w:rPr>
      </w:pPr>
      <w:r w:rsidRPr="004E4408">
        <w:rPr>
          <w:rFonts w:ascii="Century Gothic" w:hAnsi="Century Gothic" w:cs="Arial"/>
          <w:color w:val="000000" w:themeColor="text1"/>
          <w:lang w:val="es-ES_tradnl"/>
        </w:rPr>
        <w:t xml:space="preserve">Por su parte, la Agencia expidió la </w:t>
      </w:r>
      <w:r w:rsidRPr="004E4408">
        <w:rPr>
          <w:rFonts w:ascii="Century Gothic" w:hAnsi="Century Gothic" w:cs="Arial"/>
          <w:color w:val="000000" w:themeColor="text1"/>
        </w:rPr>
        <w:t>“</w:t>
      </w:r>
      <w:r w:rsidRPr="004E4408">
        <w:rPr>
          <w:rFonts w:ascii="Century Gothic" w:hAnsi="Century Gothic" w:cs="Arial"/>
          <w:i/>
          <w:color w:val="000000" w:themeColor="text1"/>
          <w:lang w:val="es-ES_tradnl"/>
        </w:rPr>
        <w:t>Guía para el manejo de anticipos mediante contrato de fiducia irrevocable</w:t>
      </w:r>
      <w:r w:rsidRPr="004E4408">
        <w:rPr>
          <w:rFonts w:ascii="Century Gothic" w:hAnsi="Century Gothic" w:cs="Arial"/>
          <w:i/>
          <w:color w:val="000000" w:themeColor="text1"/>
        </w:rPr>
        <w:t>”</w:t>
      </w:r>
      <w:r w:rsidRPr="004E4408">
        <w:rPr>
          <w:rFonts w:ascii="Century Gothic" w:hAnsi="Century Gothic" w:cs="Arial"/>
          <w:i/>
          <w:color w:val="000000" w:themeColor="text1"/>
          <w:vertAlign w:val="superscript"/>
        </w:rPr>
        <w:footnoteReference w:id="14"/>
      </w:r>
      <w:r w:rsidRPr="004E4408">
        <w:rPr>
          <w:rFonts w:ascii="Century Gothic" w:hAnsi="Century Gothic" w:cs="Arial"/>
          <w:i/>
          <w:color w:val="000000" w:themeColor="text1"/>
        </w:rPr>
        <w:t>,</w:t>
      </w:r>
      <w:r w:rsidRPr="004E4408">
        <w:rPr>
          <w:rFonts w:ascii="Century Gothic" w:hAnsi="Century Gothic" w:cs="Arial"/>
          <w:color w:val="000000" w:themeColor="text1"/>
        </w:rPr>
        <w:t xml:space="preserve"> que </w:t>
      </w:r>
      <w:r w:rsidRPr="004E4408">
        <w:rPr>
          <w:rFonts w:ascii="Century Gothic" w:hAnsi="Century Gothic" w:cs="Arial"/>
          <w:color w:val="000000" w:themeColor="text1"/>
          <w:lang w:val="es-ES_tradnl"/>
        </w:rPr>
        <w:t xml:space="preserve">tiene como objetivo establecer lineamientos sobre el contrato de fiducia para el manejo de anticipos. En esta guía se explica que </w:t>
      </w:r>
      <w:r w:rsidRPr="004E4408">
        <w:rPr>
          <w:rFonts w:ascii="Century Gothic" w:hAnsi="Century Gothic" w:cs="Arial"/>
          <w:color w:val="000000" w:themeColor="text1"/>
        </w:rPr>
        <w:t>“el patrimonio autónomo para manejo de anticipos tiene como finalidad: (i) la correcta y adecuada inversión y administración del anticipo y, (</w:t>
      </w:r>
      <w:proofErr w:type="spellStart"/>
      <w:r w:rsidRPr="004E4408">
        <w:rPr>
          <w:rFonts w:ascii="Century Gothic" w:hAnsi="Century Gothic" w:cs="Arial"/>
          <w:color w:val="000000" w:themeColor="text1"/>
        </w:rPr>
        <w:t>ii</w:t>
      </w:r>
      <w:proofErr w:type="spellEnd"/>
      <w:r w:rsidRPr="004E4408">
        <w:rPr>
          <w:rFonts w:ascii="Century Gothic" w:hAnsi="Century Gothic" w:cs="Arial"/>
          <w:color w:val="000000" w:themeColor="text1"/>
        </w:rPr>
        <w:t xml:space="preserve">) el reintegro de los recursos del anticipo a la Entidad Estatal cuando declara la caducidad, incumplimiento o terminación del contrato estatal o cuando se presenta la nulidad del contrato estatal”. Además, indica que, el contratista debe constituir un contrato de fiducia mercantil irrevocable para el manejo de los recursos que recibe a título de anticipo en “los contratos de obra, concesión, salud y los que se realicen por licitación pública y </w:t>
      </w:r>
      <w:r w:rsidRPr="004E4408">
        <w:rPr>
          <w:rFonts w:ascii="Century Gothic" w:hAnsi="Century Gothic" w:cs="Arial"/>
          <w:i/>
          <w:color w:val="000000" w:themeColor="text1"/>
        </w:rPr>
        <w:t xml:space="preserve">siempre que </w:t>
      </w:r>
      <w:r w:rsidRPr="004E4408">
        <w:rPr>
          <w:rFonts w:ascii="Century Gothic" w:hAnsi="Century Gothic" w:cs="Arial"/>
          <w:color w:val="000000" w:themeColor="text1"/>
        </w:rPr>
        <w:t>no sean de menor o mínima cuantía</w:t>
      </w:r>
      <w:r w:rsidRPr="004E4408">
        <w:rPr>
          <w:rFonts w:ascii="Century Gothic" w:hAnsi="Century Gothic" w:cs="Arial"/>
          <w:i/>
          <w:color w:val="000000" w:themeColor="text1"/>
        </w:rPr>
        <w:t xml:space="preserve">” </w:t>
      </w:r>
      <w:r w:rsidRPr="004E4408">
        <w:rPr>
          <w:rFonts w:ascii="Century Gothic" w:hAnsi="Century Gothic" w:cs="Arial"/>
          <w:sz w:val="20"/>
          <w:szCs w:val="20"/>
          <w:lang w:val="es-ES_tradnl"/>
        </w:rPr>
        <w:t>[</w:t>
      </w:r>
      <w:r w:rsidRPr="004E4408">
        <w:rPr>
          <w:rFonts w:ascii="Century Gothic" w:hAnsi="Century Gothic" w:cs="Arial"/>
          <w:lang w:val="es-ES_tradnl"/>
        </w:rPr>
        <w:t>Énfasis fuera de texto</w:t>
      </w:r>
      <w:r w:rsidRPr="004E4408">
        <w:rPr>
          <w:rFonts w:ascii="Century Gothic" w:hAnsi="Century Gothic" w:cs="Arial"/>
          <w:sz w:val="20"/>
          <w:szCs w:val="20"/>
          <w:lang w:val="es-ES_tradnl"/>
        </w:rPr>
        <w:t>]</w:t>
      </w:r>
      <w:r w:rsidRPr="004E4408">
        <w:rPr>
          <w:rFonts w:ascii="Century Gothic" w:hAnsi="Century Gothic" w:cs="Arial"/>
          <w:color w:val="000000" w:themeColor="text1"/>
        </w:rPr>
        <w:t xml:space="preserve">. Igualmente, expone las condiciones para administrar los recursos del patrimonio autónomo, las obligaciones principales de la fiduciaria, el manejo de los excedentes, entre otros. </w:t>
      </w:r>
    </w:p>
    <w:p w14:paraId="1598361A" w14:textId="77777777" w:rsidR="00B76A1E" w:rsidRPr="004E4408" w:rsidRDefault="00B76A1E" w:rsidP="00B76A1E">
      <w:pPr>
        <w:spacing w:before="120" w:line="276" w:lineRule="auto"/>
        <w:ind w:firstLine="709"/>
        <w:jc w:val="both"/>
        <w:rPr>
          <w:rFonts w:ascii="Century Gothic" w:hAnsi="Century Gothic" w:cs="Arial"/>
        </w:rPr>
      </w:pPr>
      <w:r w:rsidRPr="004E4408">
        <w:rPr>
          <w:rFonts w:ascii="Century Gothic" w:hAnsi="Century Gothic" w:cs="Arial"/>
          <w:color w:val="000000" w:themeColor="text1"/>
          <w:lang w:val="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w:t>
      </w:r>
      <w:r w:rsidRPr="004E4408">
        <w:rPr>
          <w:rFonts w:ascii="Century Gothic" w:hAnsi="Century Gothic" w:cs="Arial"/>
        </w:rPr>
        <w:t xml:space="preserve">solventar los costos iniciales de la ejecución, de acuerdo con las condiciones pactadas. </w:t>
      </w:r>
    </w:p>
    <w:p w14:paraId="0B603919" w14:textId="77777777" w:rsidR="00B76A1E" w:rsidRPr="004E4408" w:rsidRDefault="00B76A1E" w:rsidP="00B76A1E">
      <w:pPr>
        <w:spacing w:before="120" w:line="276" w:lineRule="auto"/>
        <w:ind w:firstLine="709"/>
        <w:jc w:val="both"/>
        <w:rPr>
          <w:rFonts w:ascii="Century Gothic" w:hAnsi="Century Gothic" w:cs="Arial"/>
        </w:rPr>
      </w:pPr>
      <w:r w:rsidRPr="004E4408">
        <w:rPr>
          <w:rFonts w:ascii="Century Gothic" w:hAnsi="Century Gothic" w:cs="Arial"/>
        </w:rPr>
        <w:t xml:space="preserve">En ese sentido, es claro que 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4E4408">
        <w:rPr>
          <w:rFonts w:ascii="Century Gothic" w:hAnsi="Century Gothic" w:cs="Arial"/>
        </w:rPr>
        <w:t>ii</w:t>
      </w:r>
      <w:proofErr w:type="spellEnd"/>
      <w:r w:rsidRPr="004E4408">
        <w:rPr>
          <w:rFonts w:ascii="Century Gothic" w:hAnsi="Century Gothic" w:cs="Arial"/>
        </w:rPr>
        <w:t xml:space="preserve">) concesión, </w:t>
      </w:r>
      <w:proofErr w:type="spellStart"/>
      <w:r w:rsidRPr="004E4408">
        <w:rPr>
          <w:rFonts w:ascii="Century Gothic" w:hAnsi="Century Gothic" w:cs="Arial"/>
        </w:rPr>
        <w:t>iii</w:t>
      </w:r>
      <w:proofErr w:type="spellEnd"/>
      <w:r w:rsidRPr="004E4408">
        <w:rPr>
          <w:rFonts w:ascii="Century Gothic" w:hAnsi="Century Gothic" w:cs="Arial"/>
        </w:rPr>
        <w:t xml:space="preserve">) salud y </w:t>
      </w:r>
      <w:proofErr w:type="spellStart"/>
      <w:r w:rsidRPr="004E4408">
        <w:rPr>
          <w:rFonts w:ascii="Century Gothic" w:hAnsi="Century Gothic" w:cs="Arial"/>
        </w:rPr>
        <w:t>iv</w:t>
      </w:r>
      <w:proofErr w:type="spellEnd"/>
      <w:r w:rsidRPr="004E4408">
        <w:rPr>
          <w:rFonts w:ascii="Century Gothic" w:hAnsi="Century Gothic" w:cs="Arial"/>
        </w:rPr>
        <w:t xml:space="preserve">) los contratos derivados de un proceso de licitación pública. </w:t>
      </w:r>
    </w:p>
    <w:p w14:paraId="057B29A9" w14:textId="77777777" w:rsidR="00B76A1E" w:rsidRPr="004E4408" w:rsidRDefault="00B76A1E" w:rsidP="00B76A1E">
      <w:pPr>
        <w:spacing w:before="120" w:line="276" w:lineRule="auto"/>
        <w:ind w:firstLine="709"/>
        <w:jc w:val="both"/>
        <w:rPr>
          <w:rFonts w:ascii="Century Gothic" w:hAnsi="Century Gothic" w:cs="Arial"/>
        </w:rPr>
      </w:pPr>
      <w:r w:rsidRPr="004E4408">
        <w:rPr>
          <w:rFonts w:ascii="Century Gothic" w:hAnsi="Century Gothic" w:cs="Arial"/>
        </w:rPr>
        <w:t xml:space="preserve">Aunque la norma menciona de manera general que en los cuatro casos anteriores se debe constituir patrimonio autónomo irrevocable o fiducia para el manejo del anticipo, la norma también determina una excepción de su aplicación para los cuatro tipos de contratos cuya disposición resulta obligatoria. Ello es así, por cuanto la expresión </w:t>
      </w:r>
      <w:r w:rsidRPr="004E4408">
        <w:rPr>
          <w:rFonts w:ascii="Century Gothic" w:hAnsi="Century Gothic" w:cs="Arial"/>
          <w:color w:val="000000" w:themeColor="text1"/>
        </w:rPr>
        <w:t>“</w:t>
      </w:r>
      <w:r w:rsidRPr="004E4408">
        <w:rPr>
          <w:rFonts w:ascii="Century Gothic" w:hAnsi="Century Gothic" w:cs="Arial"/>
          <w:i/>
          <w:sz w:val="21"/>
          <w:szCs w:val="21"/>
        </w:rPr>
        <w:t>salvo que el contrato sea de menor o mínima cuantía</w:t>
      </w:r>
      <w:r w:rsidRPr="004E4408">
        <w:rPr>
          <w:rFonts w:ascii="Century Gothic" w:hAnsi="Century Gothic" w:cs="Arial"/>
          <w:color w:val="000000" w:themeColor="text1"/>
        </w:rPr>
        <w:t xml:space="preserve">”, describe que, a pesar de las enunciaciones anteriores, dicha disposición imperativa no aplica en el supuesto de hecho de que la cuantía del contrato no resulte ser de mayor cuantía, sin discriminar modalidad de selección mediante la cual se celebre dichos contratos. </w:t>
      </w:r>
    </w:p>
    <w:p w14:paraId="60F9E700" w14:textId="5FC997A3" w:rsidR="00B76A1E" w:rsidRPr="004E4408" w:rsidRDefault="00B76A1E" w:rsidP="00B76A1E">
      <w:pPr>
        <w:spacing w:line="276" w:lineRule="auto"/>
        <w:ind w:firstLine="709"/>
        <w:jc w:val="both"/>
        <w:rPr>
          <w:rStyle w:val="normaltextrun"/>
          <w:rFonts w:ascii="Century Gothic" w:hAnsi="Century Gothic" w:cs="Arial"/>
          <w:sz w:val="21"/>
          <w:szCs w:val="21"/>
          <w:lang w:val="es-MX"/>
        </w:rPr>
      </w:pPr>
      <w:r w:rsidRPr="004E4408">
        <w:rPr>
          <w:rFonts w:ascii="Century Gothic" w:hAnsi="Century Gothic" w:cs="Arial"/>
        </w:rPr>
        <w:t xml:space="preserve">Teniendo en cuenta las consideraciones desarrolladas en relación con la obligación de constituir una fiducia o un patrimonio autónomo irrevocable para el manejo de los recursos que reciba a título de anticipo, es pertinente mencionar que la Agencia Nacional de Contratación Pública – Colombia Compra Eficiente en los conceptos C-049 del 21 de febrero de 2020, C-209 del 16 de marzo de 2020, C-693 del 25 de noviembre de 2020, C-154 del 18 de mayo de 2021, C-825 del 28 de diciembre de 2022 y C- 003 de 13 de marzo de 2023, sobre la expresión  </w:t>
      </w:r>
      <w:r w:rsidRPr="004E4408">
        <w:rPr>
          <w:rFonts w:ascii="Century Gothic" w:hAnsi="Century Gothic" w:cs="Arial"/>
          <w:color w:val="000000" w:themeColor="text1"/>
        </w:rPr>
        <w:t>“</w:t>
      </w:r>
      <w:r w:rsidRPr="004E4408">
        <w:rPr>
          <w:rFonts w:ascii="Century Gothic" w:hAnsi="Century Gothic" w:cs="Arial"/>
          <w:i/>
          <w:sz w:val="21"/>
          <w:szCs w:val="21"/>
        </w:rPr>
        <w:t>salvo que el contrato sea de menor o mínima cuantía</w:t>
      </w:r>
      <w:r w:rsidRPr="004E4408">
        <w:rPr>
          <w:rFonts w:ascii="Century Gothic" w:hAnsi="Century Gothic" w:cs="Arial"/>
          <w:color w:val="000000" w:themeColor="text1"/>
        </w:rPr>
        <w:t xml:space="preserve">” contenida en la parte final del artículo </w:t>
      </w:r>
      <w:r w:rsidRPr="004E4408">
        <w:rPr>
          <w:rFonts w:ascii="Century Gothic" w:hAnsi="Century Gothic" w:cs="Arial"/>
        </w:rPr>
        <w:t>91 de la Ley 1474 de 2011</w:t>
      </w:r>
      <w:r w:rsidRPr="004E4408">
        <w:rPr>
          <w:rFonts w:ascii="Century Gothic" w:hAnsi="Century Gothic" w:cs="Arial"/>
          <w:color w:val="000000" w:themeColor="text1"/>
        </w:rPr>
        <w:t xml:space="preserve">, </w:t>
      </w:r>
      <w:r w:rsidRPr="004E4408">
        <w:rPr>
          <w:rFonts w:ascii="Century Gothic" w:hAnsi="Century Gothic" w:cs="Arial"/>
        </w:rPr>
        <w:t xml:space="preserve">se ha pronunciado en el sentido de indicar que dicha excepción implica que la </w:t>
      </w:r>
      <w:r w:rsidRPr="004E4408">
        <w:rPr>
          <w:rStyle w:val="normaltextrun"/>
          <w:rFonts w:ascii="Century Gothic" w:hAnsi="Century Gothic" w:cs="Arial"/>
          <w:sz w:val="21"/>
          <w:szCs w:val="21"/>
          <w:lang w:val="es-MX"/>
        </w:rPr>
        <w:t xml:space="preserve">obligación se aplica a los contratos de obra, concesión, salud, o los que se realicen por licitación pública, </w:t>
      </w:r>
      <w:r w:rsidRPr="004E4408">
        <w:rPr>
          <w:rStyle w:val="normaltextrun"/>
          <w:rFonts w:ascii="Century Gothic" w:hAnsi="Century Gothic" w:cs="Arial"/>
          <w:i/>
          <w:sz w:val="21"/>
          <w:szCs w:val="21"/>
          <w:lang w:val="es-MX"/>
        </w:rPr>
        <w:t>salvo que los mismos</w:t>
      </w:r>
      <w:r w:rsidRPr="004E4408">
        <w:rPr>
          <w:rStyle w:val="normaltextrun"/>
          <w:rFonts w:ascii="Century Gothic" w:hAnsi="Century Gothic" w:cs="Arial"/>
          <w:sz w:val="21"/>
          <w:szCs w:val="21"/>
          <w:lang w:val="es-MX"/>
        </w:rPr>
        <w:t xml:space="preserve"> sean de menor o mínima cuantía, sin tener en cuenta la modalidad de selección por la que se suscribió el contrato así:</w:t>
      </w:r>
    </w:p>
    <w:p w14:paraId="6E1FC416" w14:textId="77777777" w:rsidR="00B76A1E" w:rsidRPr="004E4408" w:rsidRDefault="00B76A1E" w:rsidP="00B76A1E">
      <w:pPr>
        <w:spacing w:after="120" w:line="240" w:lineRule="auto"/>
        <w:ind w:left="709" w:right="709"/>
        <w:jc w:val="both"/>
        <w:rPr>
          <w:rFonts w:ascii="Century Gothic" w:hAnsi="Century Gothic" w:cs="Arial"/>
          <w:sz w:val="21"/>
          <w:szCs w:val="21"/>
        </w:rPr>
      </w:pPr>
      <w:r w:rsidRPr="004E4408">
        <w:rPr>
          <w:rFonts w:ascii="Century Gothic" w:hAnsi="Century Gothic" w:cs="Arial"/>
          <w:sz w:val="21"/>
          <w:szCs w:val="21"/>
          <w:lang w:val="es-MX"/>
        </w:rPr>
        <w:t>“</w:t>
      </w:r>
      <w:r w:rsidRPr="004E4408">
        <w:rPr>
          <w:rFonts w:ascii="Century Gothic" w:hAnsi="Century Gothic" w:cs="Arial"/>
          <w:sz w:val="21"/>
          <w:szCs w:val="21"/>
        </w:rPr>
        <w:t xml:space="preserve">En consideración a lo enunciado previamente, el ejercicio interpretativo que esta Agencia ha mantenido sobre la sobre la expresión </w:t>
      </w:r>
      <w:r w:rsidRPr="004E4408">
        <w:rPr>
          <w:rFonts w:ascii="Century Gothic" w:hAnsi="Century Gothic" w:cs="Arial"/>
          <w:color w:val="000000" w:themeColor="text1"/>
          <w:sz w:val="21"/>
          <w:szCs w:val="21"/>
        </w:rPr>
        <w:t>“</w:t>
      </w:r>
      <w:r w:rsidRPr="004E4408">
        <w:rPr>
          <w:rFonts w:ascii="Century Gothic" w:hAnsi="Century Gothic" w:cs="Arial"/>
          <w:i/>
          <w:sz w:val="21"/>
          <w:szCs w:val="21"/>
        </w:rPr>
        <w:t>salvo que el contrato sea de menor o mínima cuantía</w:t>
      </w:r>
      <w:r w:rsidRPr="004E4408">
        <w:rPr>
          <w:rFonts w:ascii="Century Gothic" w:hAnsi="Century Gothic" w:cs="Arial"/>
          <w:color w:val="000000" w:themeColor="text1"/>
          <w:sz w:val="21"/>
          <w:szCs w:val="21"/>
        </w:rPr>
        <w:t xml:space="preserve">” contenida en la parte final del artículo </w:t>
      </w:r>
      <w:r w:rsidRPr="004E4408">
        <w:rPr>
          <w:rFonts w:ascii="Century Gothic" w:hAnsi="Century Gothic" w:cs="Arial"/>
          <w:sz w:val="21"/>
          <w:szCs w:val="21"/>
        </w:rPr>
        <w:t>91 de la Ley 1474 de 2011</w:t>
      </w:r>
      <w:r w:rsidRPr="004E4408">
        <w:rPr>
          <w:rFonts w:ascii="Century Gothic" w:hAnsi="Century Gothic" w:cs="Arial"/>
          <w:color w:val="000000" w:themeColor="text1"/>
          <w:sz w:val="21"/>
          <w:szCs w:val="21"/>
        </w:rPr>
        <w:t xml:space="preserve">, ha sido la de entender que </w:t>
      </w:r>
      <w:r w:rsidRPr="004E4408">
        <w:rPr>
          <w:rFonts w:ascii="Century Gothic" w:hAnsi="Century Gothic" w:cs="Arial"/>
          <w:sz w:val="21"/>
          <w:szCs w:val="21"/>
        </w:rPr>
        <w:t>en los contratos cuya cuantía resulte ser de mínima o menor cuantía no será obligatoria la constitución de un patrimonio autónomo o una fiducia para administrar los recursos del anticipo, así haya surgido a través de un proceso de selección por licitación pública.”</w:t>
      </w:r>
      <w:r w:rsidRPr="004E4408">
        <w:rPr>
          <w:rStyle w:val="Refdenotaalpie"/>
          <w:rFonts w:ascii="Century Gothic" w:hAnsi="Century Gothic" w:cs="Arial"/>
          <w:sz w:val="21"/>
          <w:szCs w:val="21"/>
        </w:rPr>
        <w:footnoteReference w:id="15"/>
      </w:r>
    </w:p>
    <w:p w14:paraId="53B27F12" w14:textId="636D8E6A" w:rsidR="00B76A1E" w:rsidRPr="004E4408" w:rsidRDefault="00B76A1E" w:rsidP="00B76A1E">
      <w:pPr>
        <w:spacing w:line="276" w:lineRule="auto"/>
        <w:ind w:firstLine="708"/>
        <w:jc w:val="both"/>
        <w:rPr>
          <w:rFonts w:ascii="Century Gothic" w:hAnsi="Century Gothic" w:cs="Arial"/>
          <w:color w:val="000000" w:themeColor="text1"/>
        </w:rPr>
      </w:pPr>
      <w:r w:rsidRPr="004E4408">
        <w:rPr>
          <w:rFonts w:ascii="Century Gothic" w:hAnsi="Century Gothic" w:cs="Arial"/>
        </w:rPr>
        <w:t xml:space="preserve">De igual forma, la postura adoptada en los conceptos emitidos por esta Agencia </w:t>
      </w:r>
      <w:r w:rsidR="00A33538" w:rsidRPr="004E4408">
        <w:rPr>
          <w:rFonts w:ascii="Century Gothic" w:hAnsi="Century Gothic" w:cs="Arial"/>
        </w:rPr>
        <w:t>reiteran la postura expuesta en</w:t>
      </w:r>
      <w:r w:rsidRPr="004E4408">
        <w:rPr>
          <w:rFonts w:ascii="Century Gothic" w:hAnsi="Century Gothic" w:cs="Arial"/>
        </w:rPr>
        <w:t xml:space="preserve"> la </w:t>
      </w:r>
      <w:r w:rsidRPr="004E4408">
        <w:rPr>
          <w:rFonts w:ascii="Century Gothic" w:hAnsi="Century Gothic" w:cs="Arial"/>
          <w:sz w:val="21"/>
          <w:szCs w:val="21"/>
        </w:rPr>
        <w:t>“</w:t>
      </w:r>
      <w:r w:rsidRPr="004E4408">
        <w:rPr>
          <w:rFonts w:ascii="Century Gothic" w:hAnsi="Century Gothic" w:cs="Arial"/>
          <w:i/>
          <w:color w:val="000000" w:themeColor="text1"/>
          <w:lang w:val="es-ES_tradnl"/>
        </w:rPr>
        <w:t>Guía para el manejo de anticipos mediante contrato de fiducia irrevocable</w:t>
      </w:r>
      <w:r w:rsidRPr="004E4408">
        <w:rPr>
          <w:rFonts w:ascii="Century Gothic" w:hAnsi="Century Gothic" w:cs="Arial"/>
          <w:i/>
          <w:color w:val="000000" w:themeColor="text1"/>
        </w:rPr>
        <w:t xml:space="preserve">”, </w:t>
      </w:r>
      <w:r w:rsidRPr="004E4408">
        <w:rPr>
          <w:rFonts w:ascii="Century Gothic" w:hAnsi="Century Gothic" w:cs="Arial"/>
          <w:color w:val="000000" w:themeColor="text1"/>
        </w:rPr>
        <w:t xml:space="preserve">al indicar que, el contratista debe constituir un contrato de fiducia mercantil irrevocable para el manejo de los recursos que recibe a título de anticipo en “los contratos de obra, concesión, salud y los que se realicen por licitación pública y </w:t>
      </w:r>
      <w:r w:rsidRPr="004E4408">
        <w:rPr>
          <w:rFonts w:ascii="Century Gothic" w:hAnsi="Century Gothic" w:cs="Arial"/>
          <w:i/>
          <w:color w:val="000000" w:themeColor="text1"/>
        </w:rPr>
        <w:t xml:space="preserve">siempre que </w:t>
      </w:r>
      <w:r w:rsidRPr="004E4408">
        <w:rPr>
          <w:rFonts w:ascii="Century Gothic" w:hAnsi="Century Gothic" w:cs="Arial"/>
          <w:color w:val="000000" w:themeColor="text1"/>
        </w:rPr>
        <w:t>no sean de menor o mínima cuantía</w:t>
      </w:r>
      <w:r w:rsidRPr="004E4408">
        <w:rPr>
          <w:rFonts w:ascii="Century Gothic" w:hAnsi="Century Gothic" w:cs="Arial"/>
          <w:i/>
          <w:color w:val="000000" w:themeColor="text1"/>
        </w:rPr>
        <w:t xml:space="preserve">” </w:t>
      </w:r>
      <w:r w:rsidRPr="004E4408">
        <w:rPr>
          <w:rFonts w:ascii="Century Gothic" w:hAnsi="Century Gothic" w:cs="Arial"/>
          <w:lang w:val="es-ES_tradnl"/>
        </w:rPr>
        <w:t>[Énfasis fuera de texto]</w:t>
      </w:r>
      <w:r w:rsidRPr="004E4408">
        <w:rPr>
          <w:rFonts w:ascii="Century Gothic" w:hAnsi="Century Gothic" w:cs="Arial"/>
          <w:color w:val="000000" w:themeColor="text1"/>
        </w:rPr>
        <w:t>.</w:t>
      </w:r>
    </w:p>
    <w:p w14:paraId="55D5F8BD" w14:textId="052D3697" w:rsidR="00A33538" w:rsidRPr="004E4408" w:rsidRDefault="00A33538" w:rsidP="00A33538">
      <w:pPr>
        <w:adjustRightInd w:val="0"/>
        <w:spacing w:line="276" w:lineRule="auto"/>
        <w:ind w:firstLine="708"/>
        <w:jc w:val="both"/>
        <w:rPr>
          <w:rFonts w:ascii="Century Gothic" w:hAnsi="Century Gothic" w:cs="Arial"/>
        </w:rPr>
      </w:pPr>
      <w:r w:rsidRPr="004E4408">
        <w:rPr>
          <w:rFonts w:ascii="Century Gothic" w:hAnsi="Century Gothic" w:cs="Arial"/>
        </w:rPr>
        <w:t xml:space="preserve">En ese sentido, </w:t>
      </w:r>
      <w:r w:rsidR="009F489A" w:rsidRPr="004E4408">
        <w:rPr>
          <w:rFonts w:ascii="Century Gothic" w:hAnsi="Century Gothic" w:cs="Arial"/>
        </w:rPr>
        <w:t>es pertinente afirmar lo siguiente</w:t>
      </w:r>
      <w:r w:rsidRPr="004E4408">
        <w:rPr>
          <w:rFonts w:ascii="Century Gothic" w:hAnsi="Century Gothic" w:cs="Arial"/>
        </w:rPr>
        <w:t xml:space="preserve">: 1) la fiducia o el patrimonio autónomo </w:t>
      </w:r>
      <w:r w:rsidR="009F489A" w:rsidRPr="004E4408">
        <w:rPr>
          <w:rFonts w:ascii="Century Gothic" w:hAnsi="Century Gothic" w:cs="Arial"/>
        </w:rPr>
        <w:t xml:space="preserve">irrevocable </w:t>
      </w:r>
      <w:r w:rsidRPr="004E4408">
        <w:rPr>
          <w:rFonts w:ascii="Century Gothic" w:hAnsi="Century Gothic" w:cs="Arial"/>
        </w:rPr>
        <w:t>para el manejo de los recursos del anticipo es aplicable a contratos de obra, concesión y salud sin importar la modalidad de contratación y también</w:t>
      </w:r>
      <w:r w:rsidR="005C3BD5" w:rsidRPr="004E4408">
        <w:rPr>
          <w:rFonts w:ascii="Century Gothic" w:hAnsi="Century Gothic" w:cs="Arial"/>
        </w:rPr>
        <w:t>,</w:t>
      </w:r>
      <w:r w:rsidRPr="004E4408">
        <w:rPr>
          <w:rFonts w:ascii="Century Gothic" w:hAnsi="Century Gothic" w:cs="Arial"/>
        </w:rPr>
        <w:t xml:space="preserve"> para aquellos contratos </w:t>
      </w:r>
      <w:r w:rsidR="001029A5" w:rsidRPr="004E4408">
        <w:rPr>
          <w:rFonts w:ascii="Century Gothic" w:hAnsi="Century Gothic" w:cs="Arial"/>
        </w:rPr>
        <w:t xml:space="preserve">que </w:t>
      </w:r>
      <w:r w:rsidRPr="004E4408">
        <w:rPr>
          <w:rFonts w:ascii="Century Gothic" w:hAnsi="Century Gothic" w:cs="Arial"/>
        </w:rPr>
        <w:t xml:space="preserve">sin importar la </w:t>
      </w:r>
      <w:r w:rsidR="005C3BD5" w:rsidRPr="004E4408">
        <w:rPr>
          <w:rFonts w:ascii="Century Gothic" w:hAnsi="Century Gothic" w:cs="Arial"/>
        </w:rPr>
        <w:t>tipología</w:t>
      </w:r>
      <w:r w:rsidRPr="004E4408">
        <w:rPr>
          <w:rFonts w:ascii="Century Gothic" w:hAnsi="Century Gothic" w:cs="Arial"/>
        </w:rPr>
        <w:t xml:space="preserve"> contractual </w:t>
      </w:r>
      <w:r w:rsidR="001029A5" w:rsidRPr="004E4408">
        <w:rPr>
          <w:rFonts w:ascii="Century Gothic" w:hAnsi="Century Gothic" w:cs="Arial"/>
        </w:rPr>
        <w:t xml:space="preserve">sean </w:t>
      </w:r>
      <w:r w:rsidRPr="004E4408">
        <w:rPr>
          <w:rFonts w:ascii="Century Gothic" w:hAnsi="Century Gothic" w:cs="Arial"/>
        </w:rPr>
        <w:t xml:space="preserve">gestionados por </w:t>
      </w:r>
      <w:r w:rsidR="000203CA">
        <w:rPr>
          <w:rFonts w:ascii="Century Gothic" w:hAnsi="Century Gothic" w:cs="Arial"/>
        </w:rPr>
        <w:t>l</w:t>
      </w:r>
      <w:r w:rsidRPr="004E4408">
        <w:rPr>
          <w:rFonts w:ascii="Century Gothic" w:hAnsi="Century Gothic" w:cs="Arial"/>
        </w:rPr>
        <w:t xml:space="preserve">icitación pública, </w:t>
      </w:r>
      <w:r w:rsidRPr="004E4408">
        <w:rPr>
          <w:rFonts w:ascii="Century Gothic" w:hAnsi="Century Gothic" w:cs="Arial"/>
          <w:i/>
        </w:rPr>
        <w:t>siempre y cuando</w:t>
      </w:r>
      <w:r w:rsidRPr="004E4408">
        <w:rPr>
          <w:rFonts w:ascii="Century Gothic" w:hAnsi="Century Gothic" w:cs="Arial"/>
        </w:rPr>
        <w:t xml:space="preserve"> </w:t>
      </w:r>
      <w:r w:rsidR="001029A5" w:rsidRPr="004E4408">
        <w:rPr>
          <w:rFonts w:ascii="Century Gothic" w:hAnsi="Century Gothic" w:cs="Arial"/>
        </w:rPr>
        <w:t xml:space="preserve">todos estos </w:t>
      </w:r>
      <w:r w:rsidR="00C57FA5" w:rsidRPr="004E4408">
        <w:rPr>
          <w:rFonts w:ascii="Century Gothic" w:hAnsi="Century Gothic" w:cs="Arial"/>
        </w:rPr>
        <w:t>contratos</w:t>
      </w:r>
      <w:r w:rsidRPr="004E4408">
        <w:rPr>
          <w:rFonts w:ascii="Century Gothic" w:hAnsi="Century Gothic" w:cs="Arial"/>
        </w:rPr>
        <w:t xml:space="preserve"> no resulten ser de mínima o menor cuantía; </w:t>
      </w:r>
      <w:proofErr w:type="spellStart"/>
      <w:r w:rsidRPr="004E4408">
        <w:rPr>
          <w:rFonts w:ascii="Century Gothic" w:hAnsi="Century Gothic" w:cs="Arial"/>
        </w:rPr>
        <w:t>ii</w:t>
      </w:r>
      <w:proofErr w:type="spellEnd"/>
      <w:r w:rsidRPr="004E4408">
        <w:rPr>
          <w:rFonts w:ascii="Century Gothic" w:hAnsi="Century Gothic" w:cs="Arial"/>
        </w:rPr>
        <w:t xml:space="preserve">) la fiducia o el patrimonio autónomo </w:t>
      </w:r>
      <w:r w:rsidR="00BD42A7" w:rsidRPr="004E4408">
        <w:rPr>
          <w:rFonts w:ascii="Century Gothic" w:hAnsi="Century Gothic" w:cs="Arial"/>
        </w:rPr>
        <w:t xml:space="preserve">irrevocable </w:t>
      </w:r>
      <w:r w:rsidRPr="004E4408">
        <w:rPr>
          <w:rFonts w:ascii="Century Gothic" w:hAnsi="Century Gothic" w:cs="Arial"/>
        </w:rPr>
        <w:t xml:space="preserve">para el manejo de los recursos del anticipo en los casos de contratos de obra, concesión y salud no es obligatoria cuando dichos contratos se gestionan a través de procesos de selección en la modalidad de menor y mínima cuantía, pues el contrato que se llegue a celebrar estaría en curso en la excepción general contemplada en el artículo 91 de la Ley 1474 de 2011; </w:t>
      </w:r>
      <w:proofErr w:type="spellStart"/>
      <w:r w:rsidRPr="004E4408">
        <w:rPr>
          <w:rFonts w:ascii="Century Gothic" w:hAnsi="Century Gothic" w:cs="Arial"/>
        </w:rPr>
        <w:t>iii</w:t>
      </w:r>
      <w:proofErr w:type="spellEnd"/>
      <w:r w:rsidRPr="004E4408">
        <w:rPr>
          <w:rFonts w:ascii="Century Gothic" w:hAnsi="Century Gothic" w:cs="Arial"/>
        </w:rPr>
        <w:t xml:space="preserve">) es posible que mediante licitación pública se termine celebrando un contrato de menor o mínima cuantía, por ejemplo en caso de lotes o grupos que impliquen la celebración individual de contratos a distintos o al mismo proponente, entre otras posibilidades que se puede dar en los procesos de contratación, que estarían en curso en la excepción general contemplada en el artículo 91 de la Ley 1474 de 2011; </w:t>
      </w:r>
      <w:proofErr w:type="spellStart"/>
      <w:r w:rsidRPr="004E4408">
        <w:rPr>
          <w:rFonts w:ascii="Century Gothic" w:hAnsi="Century Gothic" w:cs="Arial"/>
        </w:rPr>
        <w:t>iv</w:t>
      </w:r>
      <w:proofErr w:type="spellEnd"/>
      <w:r w:rsidRPr="004E4408">
        <w:rPr>
          <w:rFonts w:ascii="Century Gothic" w:hAnsi="Century Gothic" w:cs="Arial"/>
        </w:rPr>
        <w:t>) en los contratos de obra, salud y concesión que sean gestionados a través de la modalidad de contratación directa, será obligatoria la constitución de fiducia o  patrimonio autónomo para el manejo de los recursos del anticipo</w:t>
      </w:r>
      <w:r w:rsidR="00AF6F66" w:rsidRPr="004E4408">
        <w:rPr>
          <w:rFonts w:ascii="Century Gothic" w:hAnsi="Century Gothic" w:cs="Arial"/>
        </w:rPr>
        <w:t xml:space="preserve">, cuando </w:t>
      </w:r>
      <w:r w:rsidRPr="004E4408">
        <w:rPr>
          <w:rFonts w:ascii="Century Gothic" w:hAnsi="Century Gothic" w:cs="Arial"/>
        </w:rPr>
        <w:t>dichos contratos sean de mayor cuantía.</w:t>
      </w:r>
    </w:p>
    <w:p w14:paraId="2667B317" w14:textId="70F2B0B9" w:rsidR="00D31674" w:rsidRPr="004E4408" w:rsidRDefault="00D31674" w:rsidP="00D31674">
      <w:pPr>
        <w:spacing w:before="120" w:after="0" w:line="276" w:lineRule="auto"/>
        <w:jc w:val="both"/>
        <w:rPr>
          <w:rFonts w:ascii="Century Gothic" w:eastAsia="MS Mincho" w:hAnsi="Century Gothic" w:cs="Arial"/>
          <w:b/>
          <w:bCs/>
          <w:sz w:val="20"/>
          <w:szCs w:val="20"/>
          <w:lang w:val="es-ES_tradnl" w:eastAsia="es-CO"/>
        </w:rPr>
      </w:pPr>
      <w:r w:rsidRPr="004E4408">
        <w:rPr>
          <w:rFonts w:ascii="Century Gothic" w:hAnsi="Century Gothic" w:cs="Arial"/>
          <w:b/>
          <w:bCs/>
          <w:color w:val="000000" w:themeColor="text1"/>
        </w:rPr>
        <w:t>2.4. Diferencias entre los contratos de fiducia mercantil, fiducia pública y encargo fiduciario</w:t>
      </w:r>
      <w:r w:rsidRPr="004E4408">
        <w:rPr>
          <w:rFonts w:ascii="Century Gothic" w:eastAsia="MS Mincho" w:hAnsi="Century Gothic" w:cs="Arial"/>
          <w:b/>
          <w:bCs/>
          <w:sz w:val="20"/>
          <w:szCs w:val="20"/>
          <w:lang w:val="es-ES_tradnl" w:eastAsia="es-CO"/>
        </w:rPr>
        <w:t xml:space="preserve"> </w:t>
      </w:r>
    </w:p>
    <w:p w14:paraId="109C964F" w14:textId="44FA1223" w:rsidR="0066767F" w:rsidRPr="0066767F" w:rsidRDefault="008A0107" w:rsidP="00366D1B">
      <w:pPr>
        <w:spacing w:before="120" w:after="0" w:line="276" w:lineRule="auto"/>
        <w:jc w:val="both"/>
        <w:rPr>
          <w:rFonts w:ascii="Century Gothic" w:eastAsia="MS Mincho" w:hAnsi="Century Gothic" w:cs="Arial"/>
          <w:lang w:val="es-ES_tradnl" w:eastAsia="es-CO"/>
        </w:rPr>
      </w:pPr>
      <w:r>
        <w:rPr>
          <w:rFonts w:ascii="Century Gothic" w:eastAsia="MS Mincho" w:hAnsi="Century Gothic" w:cs="Arial"/>
          <w:lang w:val="es-ES_tradnl" w:eastAsia="es-CO"/>
        </w:rPr>
        <w:t>L</w:t>
      </w:r>
      <w:r w:rsidR="0066767F" w:rsidRPr="0066767F">
        <w:rPr>
          <w:rFonts w:ascii="Century Gothic" w:eastAsia="MS Mincho" w:hAnsi="Century Gothic" w:cs="Arial"/>
          <w:lang w:val="es-ES_tradnl" w:eastAsia="es-CO"/>
        </w:rPr>
        <w:t>a Circular Básica Jurídica de la Superintendencia Financiera</w:t>
      </w:r>
      <w:r w:rsidR="005627F0">
        <w:rPr>
          <w:rStyle w:val="Refdenotaalpie"/>
          <w:rFonts w:ascii="Century Gothic" w:eastAsia="MS Mincho" w:hAnsi="Century Gothic" w:cs="Arial"/>
          <w:lang w:val="es-ES_tradnl" w:eastAsia="es-CO"/>
        </w:rPr>
        <w:footnoteReference w:id="16"/>
      </w:r>
      <w:r w:rsidR="005627F0">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define los negocios</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fiduciarios</w:t>
      </w:r>
      <w:r w:rsidR="00892BE4">
        <w:rPr>
          <w:rStyle w:val="Refdenotaalpie"/>
          <w:rFonts w:ascii="Century Gothic" w:eastAsia="MS Mincho" w:hAnsi="Century Gothic" w:cs="Arial"/>
          <w:lang w:val="es-ES_tradnl" w:eastAsia="es-CO"/>
        </w:rPr>
        <w:footnoteReference w:id="17"/>
      </w:r>
      <w:r w:rsidR="0066767F" w:rsidRPr="0066767F">
        <w:rPr>
          <w:rFonts w:ascii="Century Gothic" w:eastAsia="MS Mincho" w:hAnsi="Century Gothic" w:cs="Arial"/>
          <w:lang w:val="es-ES_tradnl" w:eastAsia="es-CO"/>
        </w:rPr>
        <w:t xml:space="preserve"> como:</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[A]</w:t>
      </w:r>
      <w:proofErr w:type="spellStart"/>
      <w:r w:rsidR="0066767F" w:rsidRPr="0066767F">
        <w:rPr>
          <w:rFonts w:ascii="Century Gothic" w:eastAsia="MS Mincho" w:hAnsi="Century Gothic" w:cs="Arial"/>
          <w:lang w:val="es-ES_tradnl" w:eastAsia="es-CO"/>
        </w:rPr>
        <w:t>ctos</w:t>
      </w:r>
      <w:proofErr w:type="spellEnd"/>
      <w:r w:rsidR="0066767F" w:rsidRPr="0066767F">
        <w:rPr>
          <w:rFonts w:ascii="Century Gothic" w:eastAsia="MS Mincho" w:hAnsi="Century Gothic" w:cs="Arial"/>
          <w:lang w:val="es-ES_tradnl" w:eastAsia="es-CO"/>
        </w:rPr>
        <w:t xml:space="preserve"> de confianza en virtud de los cuales una persona entrega a otra uno o más</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bienes determinados, transfiriéndole o no la propiedad de los mismos, con el propósito</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de que ésta cumpla con ellos una finalidad específica, bien sea en beneficio del</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fideicomitente o de un tercero. Incluye la fiducia mercantil y los encargos fiduciarios,</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al igual que los negocios denominados de fiducia pública y los encargos fiduciarios</w:t>
      </w:r>
      <w:r w:rsidR="00081395">
        <w:rPr>
          <w:rFonts w:ascii="Century Gothic" w:eastAsia="MS Mincho" w:hAnsi="Century Gothic" w:cs="Arial"/>
          <w:lang w:val="es-ES_tradnl" w:eastAsia="es-CO"/>
        </w:rPr>
        <w:t xml:space="preserve"> </w:t>
      </w:r>
      <w:r w:rsidR="0066767F" w:rsidRPr="0066767F">
        <w:rPr>
          <w:rFonts w:ascii="Century Gothic" w:eastAsia="MS Mincho" w:hAnsi="Century Gothic" w:cs="Arial"/>
          <w:lang w:val="es-ES_tradnl" w:eastAsia="es-CO"/>
        </w:rPr>
        <w:t>públicos de que tratan la Ley 80 de 1993 y disposiciones complementarias.</w:t>
      </w:r>
      <w:r w:rsidR="00183791">
        <w:rPr>
          <w:rFonts w:ascii="Century Gothic" w:eastAsia="MS Mincho" w:hAnsi="Century Gothic" w:cs="Arial"/>
          <w:lang w:val="es-ES_tradnl" w:eastAsia="es-CO"/>
        </w:rPr>
        <w:t>”</w:t>
      </w:r>
    </w:p>
    <w:p w14:paraId="421ECE42" w14:textId="7AB71B8D" w:rsidR="003D32B6" w:rsidRDefault="0066767F" w:rsidP="00366D1B">
      <w:pPr>
        <w:spacing w:before="120" w:after="0" w:line="276" w:lineRule="auto"/>
        <w:ind w:firstLine="708"/>
        <w:jc w:val="both"/>
        <w:rPr>
          <w:rFonts w:ascii="Century Gothic" w:eastAsia="MS Mincho" w:hAnsi="Century Gothic" w:cs="Arial"/>
          <w:lang w:val="es-ES_tradnl" w:eastAsia="es-CO"/>
        </w:rPr>
      </w:pPr>
      <w:r w:rsidRPr="0066767F">
        <w:rPr>
          <w:rFonts w:ascii="Century Gothic" w:eastAsia="MS Mincho" w:hAnsi="Century Gothic" w:cs="Arial"/>
          <w:lang w:val="es-ES_tradnl" w:eastAsia="es-CO"/>
        </w:rPr>
        <w:t xml:space="preserve">Atendiendo </w:t>
      </w:r>
      <w:r w:rsidR="00D51AE4">
        <w:rPr>
          <w:rFonts w:ascii="Century Gothic" w:eastAsia="MS Mincho" w:hAnsi="Century Gothic" w:cs="Arial"/>
          <w:lang w:val="es-ES_tradnl" w:eastAsia="es-CO"/>
        </w:rPr>
        <w:t>a la transferencia o no de la propiedad de los bi</w:t>
      </w:r>
      <w:r w:rsidR="00017B24">
        <w:rPr>
          <w:rFonts w:ascii="Century Gothic" w:eastAsia="MS Mincho" w:hAnsi="Century Gothic" w:cs="Arial"/>
          <w:lang w:val="es-ES_tradnl" w:eastAsia="es-CO"/>
        </w:rPr>
        <w:t>e</w:t>
      </w:r>
      <w:r w:rsidR="00D51AE4">
        <w:rPr>
          <w:rFonts w:ascii="Century Gothic" w:eastAsia="MS Mincho" w:hAnsi="Century Gothic" w:cs="Arial"/>
          <w:lang w:val="es-ES_tradnl" w:eastAsia="es-CO"/>
        </w:rPr>
        <w:t>nes fideicomi</w:t>
      </w:r>
      <w:r w:rsidR="008D17EE">
        <w:rPr>
          <w:rFonts w:ascii="Century Gothic" w:eastAsia="MS Mincho" w:hAnsi="Century Gothic" w:cs="Arial"/>
          <w:lang w:val="es-ES_tradnl" w:eastAsia="es-CO"/>
        </w:rPr>
        <w:t>tidos</w:t>
      </w:r>
      <w:r w:rsidRPr="0066767F">
        <w:rPr>
          <w:rFonts w:ascii="Century Gothic" w:eastAsia="MS Mincho" w:hAnsi="Century Gothic" w:cs="Arial"/>
          <w:lang w:val="es-ES_tradnl" w:eastAsia="es-CO"/>
        </w:rPr>
        <w:t xml:space="preserve">, </w:t>
      </w:r>
      <w:r w:rsidR="008D17EE">
        <w:rPr>
          <w:rFonts w:ascii="Century Gothic" w:eastAsia="MS Mincho" w:hAnsi="Century Gothic" w:cs="Arial"/>
          <w:lang w:val="es-ES_tradnl" w:eastAsia="es-CO"/>
        </w:rPr>
        <w:t xml:space="preserve">se ha clasificado </w:t>
      </w:r>
      <w:r w:rsidRPr="0066767F">
        <w:rPr>
          <w:rFonts w:ascii="Century Gothic" w:eastAsia="MS Mincho" w:hAnsi="Century Gothic" w:cs="Arial"/>
          <w:lang w:val="es-ES_tradnl" w:eastAsia="es-CO"/>
        </w:rPr>
        <w:t>los negocios fiduciarios</w:t>
      </w:r>
      <w:r w:rsidR="008D17EE">
        <w:rPr>
          <w:rFonts w:ascii="Century Gothic" w:eastAsia="MS Mincho" w:hAnsi="Century Gothic" w:cs="Arial"/>
          <w:lang w:val="es-ES_tradnl" w:eastAsia="es-CO"/>
        </w:rPr>
        <w:t xml:space="preserve"> entre</w:t>
      </w:r>
      <w:r w:rsidR="00261325">
        <w:rPr>
          <w:rFonts w:ascii="Century Gothic" w:eastAsia="MS Mincho" w:hAnsi="Century Gothic" w:cs="Arial"/>
          <w:lang w:val="es-ES_tradnl" w:eastAsia="es-CO"/>
        </w:rPr>
        <w:t xml:space="preserve"> encargo fiduciario y fiducia mercantil</w:t>
      </w:r>
      <w:r w:rsidR="00017B24">
        <w:rPr>
          <w:rFonts w:ascii="Century Gothic" w:eastAsia="MS Mincho" w:hAnsi="Century Gothic" w:cs="Arial"/>
          <w:lang w:val="es-ES_tradnl" w:eastAsia="es-CO"/>
        </w:rPr>
        <w:t>.</w:t>
      </w:r>
    </w:p>
    <w:p w14:paraId="56482027" w14:textId="23B3C1CE" w:rsidR="004040F8" w:rsidRPr="004E4408" w:rsidRDefault="00D31674" w:rsidP="00366D1B">
      <w:pPr>
        <w:spacing w:before="120" w:after="0" w:line="276" w:lineRule="auto"/>
        <w:ind w:firstLine="708"/>
        <w:jc w:val="both"/>
        <w:rPr>
          <w:rFonts w:ascii="Century Gothic" w:eastAsia="MS Mincho" w:hAnsi="Century Gothic" w:cs="Arial"/>
          <w:lang w:val="es-ES_tradnl" w:eastAsia="es-CO"/>
        </w:rPr>
      </w:pPr>
      <w:r w:rsidRPr="004E4408">
        <w:rPr>
          <w:rFonts w:ascii="Century Gothic" w:eastAsia="MS Mincho" w:hAnsi="Century Gothic" w:cs="Arial"/>
          <w:lang w:val="es-ES_tradnl" w:eastAsia="es-CO"/>
        </w:rPr>
        <w:t>El contrato de</w:t>
      </w:r>
      <w:r w:rsidR="0018369F" w:rsidRPr="004E4408">
        <w:rPr>
          <w:rFonts w:ascii="Century Gothic" w:eastAsia="MS Mincho" w:hAnsi="Century Gothic" w:cs="Arial"/>
          <w:lang w:val="es-ES_tradnl" w:eastAsia="es-CO"/>
        </w:rPr>
        <w:t xml:space="preserve"> </w:t>
      </w:r>
      <w:r w:rsidR="0018369F" w:rsidRPr="004E4408">
        <w:rPr>
          <w:rFonts w:ascii="Century Gothic" w:eastAsia="MS Mincho" w:hAnsi="Century Gothic" w:cs="Arial"/>
          <w:i/>
          <w:iCs/>
          <w:lang w:val="es-ES_tradnl" w:eastAsia="es-CO"/>
        </w:rPr>
        <w:t>fiducia mercantil</w:t>
      </w:r>
      <w:r w:rsidR="0018369F" w:rsidRPr="004E4408">
        <w:rPr>
          <w:rFonts w:ascii="Century Gothic" w:eastAsia="MS Mincho" w:hAnsi="Century Gothic" w:cs="Arial"/>
          <w:lang w:val="es-ES_tradnl" w:eastAsia="es-CO"/>
        </w:rPr>
        <w:t xml:space="preserve"> encuentra su definición en el artículo 1226 del Código de Comercio, norma que establece como elementos característicos del negocio jurídico: i) la existencia de al menos dos sujetos: fiduciante y fiduciario y</w:t>
      </w:r>
      <w:r w:rsidRPr="004E4408">
        <w:rPr>
          <w:rFonts w:ascii="Century Gothic" w:eastAsia="MS Mincho" w:hAnsi="Century Gothic" w:cs="Arial"/>
          <w:lang w:val="es-ES_tradnl" w:eastAsia="es-CO"/>
        </w:rPr>
        <w:t>,</w:t>
      </w:r>
      <w:r w:rsidR="0018369F" w:rsidRPr="004E4408">
        <w:rPr>
          <w:rFonts w:ascii="Century Gothic" w:eastAsia="MS Mincho" w:hAnsi="Century Gothic" w:cs="Arial"/>
          <w:lang w:val="es-ES_tradnl" w:eastAsia="es-CO"/>
        </w:rPr>
        <w:t xml:space="preserve"> </w:t>
      </w:r>
      <w:proofErr w:type="spellStart"/>
      <w:r w:rsidR="0018369F" w:rsidRPr="004E4408">
        <w:rPr>
          <w:rFonts w:ascii="Century Gothic" w:eastAsia="MS Mincho" w:hAnsi="Century Gothic" w:cs="Arial"/>
          <w:lang w:val="es-ES_tradnl" w:eastAsia="es-CO"/>
        </w:rPr>
        <w:t>ii</w:t>
      </w:r>
      <w:proofErr w:type="spellEnd"/>
      <w:r w:rsidR="0018369F" w:rsidRPr="004E4408">
        <w:rPr>
          <w:rFonts w:ascii="Century Gothic" w:eastAsia="MS Mincho" w:hAnsi="Century Gothic" w:cs="Arial"/>
          <w:lang w:val="es-ES_tradnl" w:eastAsia="es-CO"/>
        </w:rPr>
        <w:t>) la transferencia del dominio de los bienes fideicomitidos</w:t>
      </w:r>
      <w:r w:rsidR="004040F8" w:rsidRPr="004E4408">
        <w:rPr>
          <w:rFonts w:ascii="Century Gothic" w:eastAsia="MS Mincho" w:hAnsi="Century Gothic" w:cs="Arial"/>
          <w:lang w:val="es-ES_tradnl" w:eastAsia="es-CO"/>
        </w:rPr>
        <w:t>, de la siguiente forma:</w:t>
      </w:r>
    </w:p>
    <w:p w14:paraId="6698A546" w14:textId="1ADB609B" w:rsidR="004040F8" w:rsidRPr="004E4408" w:rsidRDefault="004040F8" w:rsidP="004040F8">
      <w:pPr>
        <w:spacing w:before="120" w:after="0" w:line="240" w:lineRule="auto"/>
        <w:ind w:left="709" w:right="709"/>
        <w:jc w:val="both"/>
        <w:rPr>
          <w:rFonts w:ascii="Century Gothic" w:eastAsia="MS Mincho" w:hAnsi="Century Gothic" w:cs="Arial"/>
          <w:sz w:val="20"/>
          <w:szCs w:val="20"/>
          <w:lang w:eastAsia="es-CO"/>
        </w:rPr>
      </w:pPr>
      <w:r w:rsidRPr="004E4408">
        <w:rPr>
          <w:rFonts w:ascii="Century Gothic" w:eastAsia="MS Mincho" w:hAnsi="Century Gothic" w:cs="Arial"/>
          <w:sz w:val="20"/>
          <w:szCs w:val="20"/>
          <w:lang w:eastAsia="es-CO"/>
        </w:rPr>
        <w:t xml:space="preserve">“Artículo 1226. CONCEPTO DE LA FIDUCIA MERCANTIL.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 fideicomisario. </w:t>
      </w:r>
    </w:p>
    <w:p w14:paraId="75576217" w14:textId="77777777" w:rsidR="004040F8" w:rsidRPr="004E4408" w:rsidRDefault="004040F8" w:rsidP="00366D1B">
      <w:pPr>
        <w:spacing w:before="120" w:after="0" w:line="276" w:lineRule="auto"/>
        <w:ind w:left="709" w:right="709"/>
        <w:jc w:val="both"/>
        <w:rPr>
          <w:rFonts w:ascii="Century Gothic" w:eastAsia="MS Mincho" w:hAnsi="Century Gothic" w:cs="Arial"/>
          <w:sz w:val="20"/>
          <w:szCs w:val="20"/>
          <w:lang w:eastAsia="es-CO"/>
        </w:rPr>
      </w:pPr>
      <w:r w:rsidRPr="004E4408">
        <w:rPr>
          <w:rFonts w:ascii="Century Gothic" w:eastAsia="MS Mincho" w:hAnsi="Century Gothic" w:cs="Arial"/>
          <w:sz w:val="20"/>
          <w:szCs w:val="20"/>
          <w:lang w:eastAsia="es-CO"/>
        </w:rPr>
        <w:t xml:space="preserve">Una persona puede ser al mismo tiempo fiduciante y beneficiario. </w:t>
      </w:r>
    </w:p>
    <w:p w14:paraId="3484B3EC" w14:textId="2E1A9FAD" w:rsidR="004040F8" w:rsidRPr="004E4408" w:rsidRDefault="004040F8" w:rsidP="004040F8">
      <w:pPr>
        <w:spacing w:before="120" w:after="0" w:line="240" w:lineRule="auto"/>
        <w:ind w:left="709" w:right="709"/>
        <w:jc w:val="both"/>
        <w:rPr>
          <w:rFonts w:ascii="Century Gothic" w:eastAsia="MS Mincho" w:hAnsi="Century Gothic" w:cs="Arial"/>
          <w:sz w:val="20"/>
          <w:szCs w:val="20"/>
          <w:lang w:eastAsia="es-CO"/>
        </w:rPr>
      </w:pPr>
      <w:r w:rsidRPr="004E4408">
        <w:rPr>
          <w:rFonts w:ascii="Century Gothic" w:eastAsia="MS Mincho" w:hAnsi="Century Gothic" w:cs="Arial"/>
          <w:sz w:val="20"/>
          <w:szCs w:val="20"/>
          <w:lang w:eastAsia="es-CO"/>
        </w:rPr>
        <w:t>Solo los establecimientos de crédito y las sociedades fiduciarias, especialmente autorizados por la Superintendencia Bancaria, podrán tener la calidad de fiduciarios.”</w:t>
      </w:r>
    </w:p>
    <w:p w14:paraId="52BE52D0" w14:textId="561BA43E" w:rsidR="00CF044D" w:rsidRPr="00CF044D" w:rsidRDefault="0018369F" w:rsidP="00CF044D">
      <w:pPr>
        <w:spacing w:before="120" w:after="0" w:line="276" w:lineRule="auto"/>
        <w:ind w:firstLine="708"/>
        <w:jc w:val="both"/>
        <w:rPr>
          <w:rFonts w:ascii="Century Gothic" w:eastAsia="MS Mincho" w:hAnsi="Century Gothic" w:cs="Arial"/>
          <w:lang w:val="es-ES_tradnl" w:eastAsia="es-CO"/>
        </w:rPr>
      </w:pPr>
      <w:r w:rsidRPr="004E4408">
        <w:rPr>
          <w:rFonts w:ascii="Century Gothic" w:eastAsia="MS Mincho" w:hAnsi="Century Gothic" w:cs="Arial"/>
          <w:lang w:val="es-ES_tradnl" w:eastAsia="es-CO"/>
        </w:rPr>
        <w:t xml:space="preserve">Por su parte, </w:t>
      </w:r>
      <w:r w:rsidR="00CF044D">
        <w:rPr>
          <w:rFonts w:ascii="Century Gothic" w:eastAsia="MS Mincho" w:hAnsi="Century Gothic" w:cs="Arial"/>
          <w:lang w:val="es-ES_tradnl" w:eastAsia="es-CO"/>
        </w:rPr>
        <w:t>e</w:t>
      </w:r>
      <w:r w:rsidR="00CF044D" w:rsidRPr="00CF044D">
        <w:rPr>
          <w:rFonts w:ascii="Century Gothic" w:eastAsia="MS Mincho" w:hAnsi="Century Gothic" w:cs="Arial"/>
          <w:lang w:val="es-ES_tradnl" w:eastAsia="es-CO"/>
        </w:rPr>
        <w:t>xiste un encargo fiduciario en aquellos casos en que no se presenta la</w:t>
      </w:r>
      <w:r w:rsidR="009F7098">
        <w:rPr>
          <w:rFonts w:ascii="Century Gothic" w:eastAsia="MS Mincho" w:hAnsi="Century Gothic" w:cs="Arial"/>
          <w:lang w:val="es-ES_tradnl" w:eastAsia="es-CO"/>
        </w:rPr>
        <w:t xml:space="preserve"> </w:t>
      </w:r>
      <w:r w:rsidR="00CF044D" w:rsidRPr="00CF044D">
        <w:rPr>
          <w:rFonts w:ascii="Century Gothic" w:eastAsia="MS Mincho" w:hAnsi="Century Gothic" w:cs="Arial"/>
          <w:lang w:val="es-ES_tradnl" w:eastAsia="es-CO"/>
        </w:rPr>
        <w:t>transferencia de propiedad de los bienes, de tal suerte que estos no salen del</w:t>
      </w:r>
      <w:r w:rsidR="009F7098">
        <w:rPr>
          <w:rFonts w:ascii="Century Gothic" w:eastAsia="MS Mincho" w:hAnsi="Century Gothic" w:cs="Arial"/>
          <w:lang w:val="es-ES_tradnl" w:eastAsia="es-CO"/>
        </w:rPr>
        <w:t xml:space="preserve"> </w:t>
      </w:r>
      <w:r w:rsidR="00CF044D" w:rsidRPr="00CF044D">
        <w:rPr>
          <w:rFonts w:ascii="Century Gothic" w:eastAsia="MS Mincho" w:hAnsi="Century Gothic" w:cs="Arial"/>
          <w:lang w:val="es-ES_tradnl" w:eastAsia="es-CO"/>
        </w:rPr>
        <w:t>patrimonio del fideicomitente.</w:t>
      </w:r>
      <w:r w:rsidR="008322E8">
        <w:rPr>
          <w:rFonts w:ascii="Century Gothic" w:eastAsia="MS Mincho" w:hAnsi="Century Gothic" w:cs="Arial"/>
          <w:lang w:val="es-ES_tradnl" w:eastAsia="es-CO"/>
        </w:rPr>
        <w:t xml:space="preserve"> </w:t>
      </w:r>
      <w:r w:rsidR="00CF044D" w:rsidRPr="00CF044D">
        <w:rPr>
          <w:rFonts w:ascii="Century Gothic" w:eastAsia="MS Mincho" w:hAnsi="Century Gothic" w:cs="Arial"/>
          <w:lang w:val="es-ES_tradnl" w:eastAsia="es-CO"/>
        </w:rPr>
        <w:t>En la Circular</w:t>
      </w:r>
      <w:r w:rsidR="000113ED">
        <w:rPr>
          <w:rFonts w:ascii="Century Gothic" w:eastAsia="MS Mincho" w:hAnsi="Century Gothic" w:cs="Arial"/>
          <w:lang w:val="es-ES_tradnl" w:eastAsia="es-CO"/>
        </w:rPr>
        <w:t xml:space="preserve"> </w:t>
      </w:r>
      <w:r w:rsidR="00CF044D" w:rsidRPr="00CF044D">
        <w:rPr>
          <w:rFonts w:ascii="Century Gothic" w:eastAsia="MS Mincho" w:hAnsi="Century Gothic" w:cs="Arial"/>
          <w:lang w:val="es-ES_tradnl" w:eastAsia="es-CO"/>
        </w:rPr>
        <w:t>Básica Jurídica de la Superintendencia Financiera</w:t>
      </w:r>
      <w:r w:rsidR="00BF5C06">
        <w:rPr>
          <w:rFonts w:ascii="Century Gothic" w:eastAsia="MS Mincho" w:hAnsi="Century Gothic" w:cs="Arial"/>
          <w:lang w:val="es-ES_tradnl" w:eastAsia="es-CO"/>
        </w:rPr>
        <w:t xml:space="preserve"> previamente</w:t>
      </w:r>
      <w:r w:rsidR="00CF044D" w:rsidRPr="00CF044D">
        <w:rPr>
          <w:rFonts w:ascii="Century Gothic" w:eastAsia="MS Mincho" w:hAnsi="Century Gothic" w:cs="Arial"/>
          <w:lang w:val="es-ES_tradnl" w:eastAsia="es-CO"/>
        </w:rPr>
        <w:t xml:space="preserve"> citada, establece:</w:t>
      </w:r>
    </w:p>
    <w:p w14:paraId="25213EB9" w14:textId="39D7E166" w:rsidR="00CF044D" w:rsidRPr="00BF5C06" w:rsidRDefault="000113ED" w:rsidP="008322E8">
      <w:pPr>
        <w:spacing w:before="120" w:after="0" w:line="240" w:lineRule="auto"/>
        <w:ind w:left="709" w:right="709"/>
        <w:jc w:val="both"/>
        <w:rPr>
          <w:rFonts w:ascii="Century Gothic" w:eastAsia="MS Mincho" w:hAnsi="Century Gothic" w:cs="Arial"/>
          <w:sz w:val="21"/>
          <w:szCs w:val="21"/>
          <w:lang w:val="es-ES_tradnl" w:eastAsia="es-CO"/>
        </w:rPr>
      </w:pPr>
      <w:r w:rsidRPr="00BF5C06">
        <w:rPr>
          <w:rFonts w:ascii="Century Gothic" w:eastAsia="MS Mincho" w:hAnsi="Century Gothic" w:cs="Arial"/>
          <w:sz w:val="21"/>
          <w:szCs w:val="21"/>
          <w:lang w:val="es-ES_tradnl" w:eastAsia="es-CO"/>
        </w:rPr>
        <w:t>“</w:t>
      </w:r>
      <w:r w:rsidR="00CF044D" w:rsidRPr="00BF5C06">
        <w:rPr>
          <w:rFonts w:ascii="Century Gothic" w:eastAsia="MS Mincho" w:hAnsi="Century Gothic" w:cs="Arial"/>
          <w:sz w:val="21"/>
          <w:szCs w:val="21"/>
          <w:lang w:val="es-ES_tradnl" w:eastAsia="es-CO"/>
        </w:rPr>
        <w:t>Cuando hay transferencia de la propiedad de los bienes se está ante la denominada</w:t>
      </w:r>
      <w:r w:rsidRPr="00BF5C06">
        <w:rPr>
          <w:rFonts w:ascii="Century Gothic" w:eastAsia="MS Mincho" w:hAnsi="Century Gothic" w:cs="Arial"/>
          <w:sz w:val="21"/>
          <w:szCs w:val="21"/>
          <w:lang w:val="es-ES_tradnl" w:eastAsia="es-CO"/>
        </w:rPr>
        <w:t xml:space="preserve"> </w:t>
      </w:r>
      <w:r w:rsidR="00CF044D" w:rsidRPr="00BF5C06">
        <w:rPr>
          <w:rFonts w:ascii="Century Gothic" w:eastAsia="MS Mincho" w:hAnsi="Century Gothic" w:cs="Arial"/>
          <w:sz w:val="21"/>
          <w:szCs w:val="21"/>
          <w:lang w:val="es-ES_tradnl" w:eastAsia="es-CO"/>
        </w:rPr>
        <w:t xml:space="preserve">fiducia mercantil regulada en el art. 1226 y siguientes del </w:t>
      </w:r>
      <w:proofErr w:type="spellStart"/>
      <w:proofErr w:type="gramStart"/>
      <w:r w:rsidR="00CF044D" w:rsidRPr="00BF5C06">
        <w:rPr>
          <w:rFonts w:ascii="Century Gothic" w:eastAsia="MS Mincho" w:hAnsi="Century Gothic" w:cs="Arial"/>
          <w:sz w:val="21"/>
          <w:szCs w:val="21"/>
          <w:lang w:val="es-ES_tradnl" w:eastAsia="es-CO"/>
        </w:rPr>
        <w:t>C.Cio</w:t>
      </w:r>
      <w:proofErr w:type="spellEnd"/>
      <w:proofErr w:type="gramEnd"/>
      <w:r w:rsidR="00CF044D" w:rsidRPr="00BF5C06">
        <w:rPr>
          <w:rFonts w:ascii="Century Gothic" w:eastAsia="MS Mincho" w:hAnsi="Century Gothic" w:cs="Arial"/>
          <w:sz w:val="21"/>
          <w:szCs w:val="21"/>
          <w:lang w:val="es-ES_tradnl" w:eastAsia="es-CO"/>
        </w:rPr>
        <w:t>. Si no hay</w:t>
      </w:r>
      <w:r w:rsidRPr="00BF5C06">
        <w:rPr>
          <w:rFonts w:ascii="Century Gothic" w:eastAsia="MS Mincho" w:hAnsi="Century Gothic" w:cs="Arial"/>
          <w:sz w:val="21"/>
          <w:szCs w:val="21"/>
          <w:lang w:val="es-ES_tradnl" w:eastAsia="es-CO"/>
        </w:rPr>
        <w:t xml:space="preserve"> </w:t>
      </w:r>
      <w:r w:rsidR="00CF044D" w:rsidRPr="00BF5C06">
        <w:rPr>
          <w:rFonts w:ascii="Century Gothic" w:eastAsia="MS Mincho" w:hAnsi="Century Gothic" w:cs="Arial"/>
          <w:sz w:val="21"/>
          <w:szCs w:val="21"/>
          <w:lang w:val="es-ES_tradnl" w:eastAsia="es-CO"/>
        </w:rPr>
        <w:t>transferencia de la propiedad se está ante un encargo fiduciario y aplican a éstos las</w:t>
      </w:r>
      <w:r w:rsidRPr="00BF5C06">
        <w:rPr>
          <w:rFonts w:ascii="Century Gothic" w:eastAsia="MS Mincho" w:hAnsi="Century Gothic" w:cs="Arial"/>
          <w:sz w:val="21"/>
          <w:szCs w:val="21"/>
          <w:lang w:val="es-ES_tradnl" w:eastAsia="es-CO"/>
        </w:rPr>
        <w:t xml:space="preserve"> </w:t>
      </w:r>
      <w:r w:rsidR="00CF044D" w:rsidRPr="00BF5C06">
        <w:rPr>
          <w:rFonts w:ascii="Century Gothic" w:eastAsia="MS Mincho" w:hAnsi="Century Gothic" w:cs="Arial"/>
          <w:sz w:val="21"/>
          <w:szCs w:val="21"/>
          <w:lang w:val="es-ES_tradnl" w:eastAsia="es-CO"/>
        </w:rPr>
        <w:t>disposiciones que regulan el contrato de fiducia mercantil y, subsidiariamente, las</w:t>
      </w:r>
      <w:r w:rsidRPr="00BF5C06">
        <w:rPr>
          <w:rFonts w:ascii="Century Gothic" w:eastAsia="MS Mincho" w:hAnsi="Century Gothic" w:cs="Arial"/>
          <w:sz w:val="21"/>
          <w:szCs w:val="21"/>
          <w:lang w:val="es-ES_tradnl" w:eastAsia="es-CO"/>
        </w:rPr>
        <w:t xml:space="preserve"> </w:t>
      </w:r>
      <w:r w:rsidR="00CF044D" w:rsidRPr="00BF5C06">
        <w:rPr>
          <w:rFonts w:ascii="Century Gothic" w:eastAsia="MS Mincho" w:hAnsi="Century Gothic" w:cs="Arial"/>
          <w:sz w:val="21"/>
          <w:szCs w:val="21"/>
          <w:lang w:val="es-ES_tradnl" w:eastAsia="es-CO"/>
        </w:rPr>
        <w:t xml:space="preserve">disposiciones del </w:t>
      </w:r>
      <w:proofErr w:type="spellStart"/>
      <w:proofErr w:type="gramStart"/>
      <w:r w:rsidR="00CF044D" w:rsidRPr="00BF5C06">
        <w:rPr>
          <w:rFonts w:ascii="Century Gothic" w:eastAsia="MS Mincho" w:hAnsi="Century Gothic" w:cs="Arial"/>
          <w:sz w:val="21"/>
          <w:szCs w:val="21"/>
          <w:lang w:val="es-ES_tradnl" w:eastAsia="es-CO"/>
        </w:rPr>
        <w:t>C.Cio</w:t>
      </w:r>
      <w:proofErr w:type="spellEnd"/>
      <w:proofErr w:type="gramEnd"/>
      <w:r w:rsidR="00CF044D" w:rsidRPr="00BF5C06">
        <w:rPr>
          <w:rFonts w:ascii="Century Gothic" w:eastAsia="MS Mincho" w:hAnsi="Century Gothic" w:cs="Arial"/>
          <w:sz w:val="21"/>
          <w:szCs w:val="21"/>
          <w:lang w:val="es-ES_tradnl" w:eastAsia="es-CO"/>
        </w:rPr>
        <w:t xml:space="preserve"> en relación con el contrato de mandato en los términos</w:t>
      </w:r>
      <w:r w:rsidR="004B7749" w:rsidRPr="00BF5C06">
        <w:rPr>
          <w:rFonts w:ascii="Century Gothic" w:eastAsia="MS Mincho" w:hAnsi="Century Gothic" w:cs="Arial"/>
          <w:sz w:val="21"/>
          <w:szCs w:val="21"/>
          <w:lang w:val="es-ES_tradnl" w:eastAsia="es-CO"/>
        </w:rPr>
        <w:t xml:space="preserve"> </w:t>
      </w:r>
      <w:r w:rsidR="00CF044D" w:rsidRPr="00BF5C06">
        <w:rPr>
          <w:rFonts w:ascii="Century Gothic" w:eastAsia="MS Mincho" w:hAnsi="Century Gothic" w:cs="Arial"/>
          <w:sz w:val="21"/>
          <w:szCs w:val="21"/>
          <w:lang w:val="es-ES_tradnl" w:eastAsia="es-CO"/>
        </w:rPr>
        <w:t>señalados en el numeral 1 del art. 146 del EOSF21</w:t>
      </w:r>
      <w:r w:rsidR="004B7749" w:rsidRPr="00BF5C06">
        <w:rPr>
          <w:rFonts w:ascii="Century Gothic" w:eastAsia="MS Mincho" w:hAnsi="Century Gothic" w:cs="Arial"/>
          <w:sz w:val="21"/>
          <w:szCs w:val="21"/>
          <w:lang w:val="es-ES_tradnl" w:eastAsia="es-CO"/>
        </w:rPr>
        <w:t>”</w:t>
      </w:r>
      <w:r w:rsidR="00BF5C06">
        <w:rPr>
          <w:rStyle w:val="Refdenotaalpie"/>
          <w:rFonts w:ascii="Century Gothic" w:eastAsia="MS Mincho" w:hAnsi="Century Gothic" w:cs="Arial"/>
          <w:sz w:val="21"/>
          <w:szCs w:val="21"/>
          <w:lang w:val="es-ES_tradnl" w:eastAsia="es-CO"/>
        </w:rPr>
        <w:footnoteReference w:id="18"/>
      </w:r>
      <w:r w:rsidR="00CF044D" w:rsidRPr="00BF5C06">
        <w:rPr>
          <w:rFonts w:ascii="Century Gothic" w:eastAsia="MS Mincho" w:hAnsi="Century Gothic" w:cs="Arial"/>
          <w:sz w:val="21"/>
          <w:szCs w:val="21"/>
          <w:lang w:val="es-ES_tradnl" w:eastAsia="es-CO"/>
        </w:rPr>
        <w:t xml:space="preserve"> </w:t>
      </w:r>
    </w:p>
    <w:p w14:paraId="6D75ECF7" w14:textId="77777777" w:rsidR="00CF044D" w:rsidRDefault="00CF044D" w:rsidP="00CF044D">
      <w:pPr>
        <w:spacing w:before="120" w:after="0" w:line="276" w:lineRule="auto"/>
        <w:ind w:firstLine="708"/>
        <w:jc w:val="both"/>
        <w:rPr>
          <w:rFonts w:ascii="Century Gothic" w:eastAsia="MS Mincho" w:hAnsi="Century Gothic" w:cs="Arial"/>
          <w:lang w:val="es-ES_tradnl" w:eastAsia="es-CO"/>
        </w:rPr>
      </w:pPr>
    </w:p>
    <w:p w14:paraId="3D38F765" w14:textId="4E89ACAC" w:rsidR="0018369F" w:rsidRPr="004E4408" w:rsidRDefault="00922C6C" w:rsidP="00CF044D">
      <w:pPr>
        <w:spacing w:before="120" w:after="0" w:line="276" w:lineRule="auto"/>
        <w:ind w:firstLine="708"/>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Sin perjuicio de esta clasificación, en el ámbito de la contratación estatal, </w:t>
      </w:r>
      <w:r w:rsidR="0018369F" w:rsidRPr="004E4408">
        <w:rPr>
          <w:rFonts w:ascii="Century Gothic" w:eastAsia="MS Mincho" w:hAnsi="Century Gothic" w:cs="Arial"/>
          <w:lang w:val="es-ES_tradnl" w:eastAsia="es-CO"/>
        </w:rPr>
        <w:t xml:space="preserve">el numeral 5º del artículo 32 de la Ley 80 de 1993, </w:t>
      </w:r>
      <w:bookmarkStart w:id="0" w:name="_Hlk132879473"/>
      <w:r w:rsidR="0018369F" w:rsidRPr="004E4408">
        <w:rPr>
          <w:rFonts w:ascii="Century Gothic" w:eastAsia="MS Mincho" w:hAnsi="Century Gothic" w:cs="Arial"/>
          <w:lang w:val="es-ES_tradnl" w:eastAsia="es-CO"/>
        </w:rPr>
        <w:t>regul</w:t>
      </w:r>
      <w:r>
        <w:rPr>
          <w:rFonts w:ascii="Century Gothic" w:eastAsia="MS Mincho" w:hAnsi="Century Gothic" w:cs="Arial"/>
          <w:lang w:val="es-ES_tradnl" w:eastAsia="es-CO"/>
        </w:rPr>
        <w:t>ó</w:t>
      </w:r>
      <w:r w:rsidR="0018369F" w:rsidRPr="004E4408">
        <w:rPr>
          <w:rFonts w:ascii="Century Gothic" w:eastAsia="MS Mincho" w:hAnsi="Century Gothic" w:cs="Arial"/>
          <w:lang w:val="es-ES_tradnl" w:eastAsia="es-CO"/>
        </w:rPr>
        <w:t xml:space="preserve"> el contrato de </w:t>
      </w:r>
      <w:r w:rsidR="0018369F" w:rsidRPr="004E4408">
        <w:rPr>
          <w:rFonts w:ascii="Century Gothic" w:eastAsia="MS Mincho" w:hAnsi="Century Gothic" w:cs="Arial"/>
          <w:i/>
          <w:iCs/>
          <w:lang w:val="es-ES_tradnl" w:eastAsia="es-CO"/>
        </w:rPr>
        <w:t>encargo fiduciario</w:t>
      </w:r>
      <w:r w:rsidR="0018369F" w:rsidRPr="004E4408">
        <w:rPr>
          <w:rFonts w:ascii="Century Gothic" w:eastAsia="MS Mincho" w:hAnsi="Century Gothic" w:cs="Arial"/>
          <w:lang w:val="es-ES_tradnl" w:eastAsia="es-CO"/>
        </w:rPr>
        <w:t xml:space="preserve"> y</w:t>
      </w:r>
      <w:r w:rsidR="00047083">
        <w:rPr>
          <w:rFonts w:ascii="Century Gothic" w:eastAsia="MS Mincho" w:hAnsi="Century Gothic" w:cs="Arial"/>
          <w:lang w:val="es-ES_tradnl" w:eastAsia="es-CO"/>
        </w:rPr>
        <w:t xml:space="preserve"> la</w:t>
      </w:r>
      <w:r w:rsidR="0018369F" w:rsidRPr="004E4408">
        <w:rPr>
          <w:rFonts w:ascii="Century Gothic" w:eastAsia="MS Mincho" w:hAnsi="Century Gothic" w:cs="Arial"/>
          <w:lang w:val="es-ES_tradnl" w:eastAsia="es-CO"/>
        </w:rPr>
        <w:t xml:space="preserve"> </w:t>
      </w:r>
      <w:r w:rsidR="0018369F" w:rsidRPr="004E4408">
        <w:rPr>
          <w:rFonts w:ascii="Century Gothic" w:eastAsia="MS Mincho" w:hAnsi="Century Gothic" w:cs="Arial"/>
          <w:i/>
          <w:iCs/>
          <w:lang w:val="es-ES_tradnl" w:eastAsia="es-CO"/>
        </w:rPr>
        <w:t>fiducia pública</w:t>
      </w:r>
      <w:r w:rsidR="0018369F" w:rsidRPr="004E4408">
        <w:rPr>
          <w:rFonts w:ascii="Century Gothic" w:eastAsia="MS Mincho" w:hAnsi="Century Gothic" w:cs="Arial"/>
          <w:lang w:val="es-ES_tradnl" w:eastAsia="es-CO"/>
        </w:rPr>
        <w:t xml:space="preserve">, así: </w:t>
      </w:r>
    </w:p>
    <w:bookmarkEnd w:id="0"/>
    <w:p w14:paraId="06DF5607" w14:textId="413E8B78" w:rsidR="0018369F" w:rsidRPr="004E4408" w:rsidRDefault="00D31674" w:rsidP="000A42C1">
      <w:pPr>
        <w:spacing w:before="240"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w:t>
      </w:r>
      <w:r w:rsidR="0018369F" w:rsidRPr="004E4408">
        <w:rPr>
          <w:rFonts w:ascii="Century Gothic" w:eastAsia="Calibri" w:hAnsi="Century Gothic" w:cs="Arial"/>
          <w:sz w:val="21"/>
          <w:szCs w:val="21"/>
          <w:lang w:val="es-ES_tradnl"/>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w:t>
      </w:r>
      <w:r w:rsidRPr="004E4408">
        <w:rPr>
          <w:rFonts w:ascii="Century Gothic" w:eastAsia="Calibri" w:hAnsi="Century Gothic" w:cs="Arial"/>
          <w:sz w:val="21"/>
          <w:szCs w:val="21"/>
          <w:lang w:val="es-ES_tradnl"/>
        </w:rPr>
        <w:t xml:space="preserve"> </w:t>
      </w:r>
      <w:hyperlink r:id="rId12" w:anchor="25" w:history="1">
        <w:r w:rsidR="0018369F" w:rsidRPr="004E4408">
          <w:rPr>
            <w:rFonts w:ascii="Century Gothic" w:eastAsia="Calibri" w:hAnsi="Century Gothic" w:cs="Arial"/>
            <w:sz w:val="21"/>
            <w:szCs w:val="21"/>
            <w:lang w:val="es-ES_tradnl"/>
          </w:rPr>
          <w:t>25</w:t>
        </w:r>
      </w:hyperlink>
      <w:r w:rsidRPr="004E4408">
        <w:rPr>
          <w:rFonts w:ascii="Century Gothic" w:eastAsia="Calibri" w:hAnsi="Century Gothic" w:cs="Arial"/>
          <w:sz w:val="21"/>
          <w:szCs w:val="21"/>
          <w:lang w:val="es-ES_tradnl"/>
        </w:rPr>
        <w:t xml:space="preserve"> </w:t>
      </w:r>
      <w:r w:rsidR="0018369F" w:rsidRPr="004E4408">
        <w:rPr>
          <w:rFonts w:ascii="Century Gothic" w:eastAsia="Calibri" w:hAnsi="Century Gothic" w:cs="Arial"/>
          <w:sz w:val="21"/>
          <w:szCs w:val="21"/>
          <w:lang w:val="es-ES_tradnl"/>
        </w:rPr>
        <w:t>de esta ley.</w:t>
      </w:r>
    </w:p>
    <w:p w14:paraId="40F3FE52" w14:textId="25FF089C"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Los encargos fiduciarios y los contratos de fiducia pública sólo podrán celebrarse por las entidades estatales con estricta sujeción a lo dispuesto en el presente estatuto, únicamente para objetos y con plazos precisamente determinados.</w:t>
      </w:r>
      <w:r w:rsidR="00D31674" w:rsidRPr="004E4408">
        <w:rPr>
          <w:rFonts w:ascii="Century Gothic" w:eastAsia="Calibri" w:hAnsi="Century Gothic" w:cs="Arial"/>
          <w:sz w:val="21"/>
          <w:szCs w:val="21"/>
          <w:lang w:val="es-ES_tradnl"/>
        </w:rPr>
        <w:t xml:space="preserve"> </w:t>
      </w:r>
      <w:r w:rsidRPr="004E4408">
        <w:rPr>
          <w:rFonts w:ascii="Century Gothic" w:eastAsia="Calibri" w:hAnsi="Century Gothic" w:cs="Arial"/>
          <w:sz w:val="21"/>
          <w:szCs w:val="21"/>
          <w:lang w:val="es-ES_tradnl"/>
        </w:rPr>
        <w:t>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6B7056F8" w14:textId="77777777"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Los encargos fiduciarios y los contratos de fiducia mercantil que a la fecha de promulgación de esta ley hayan sido suscritos por las entidades estatales, continuarán vigentes en los términos convenidos con las sociedades fiduciarias.</w:t>
      </w:r>
    </w:p>
    <w:p w14:paraId="4FC5575D" w14:textId="77777777"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 xml:space="preserve">La selección de las sociedades fiduciarias a </w:t>
      </w:r>
      <w:proofErr w:type="gramStart"/>
      <w:r w:rsidRPr="004E4408">
        <w:rPr>
          <w:rFonts w:ascii="Century Gothic" w:eastAsia="Calibri" w:hAnsi="Century Gothic" w:cs="Arial"/>
          <w:sz w:val="21"/>
          <w:szCs w:val="21"/>
          <w:lang w:val="es-ES_tradnl"/>
        </w:rPr>
        <w:t>contratar,</w:t>
      </w:r>
      <w:proofErr w:type="gramEnd"/>
      <w:r w:rsidRPr="004E4408">
        <w:rPr>
          <w:rFonts w:ascii="Century Gothic" w:eastAsia="Calibri" w:hAnsi="Century Gothic" w:cs="Arial"/>
          <w:sz w:val="21"/>
          <w:szCs w:val="21"/>
          <w:lang w:val="es-ES_tradnl"/>
        </w:rPr>
        <w:t xml:space="preserve"> sea pública o privada, se hará con rigurosa observancia del procedimiento de licitación o concurso previsto en esta ley. No obstante, los excedentes de tesorería de las entidades </w:t>
      </w:r>
      <w:proofErr w:type="gramStart"/>
      <w:r w:rsidRPr="004E4408">
        <w:rPr>
          <w:rFonts w:ascii="Century Gothic" w:eastAsia="Calibri" w:hAnsi="Century Gothic" w:cs="Arial"/>
          <w:sz w:val="21"/>
          <w:szCs w:val="21"/>
          <w:lang w:val="es-ES_tradnl"/>
        </w:rPr>
        <w:t>estatales,</w:t>
      </w:r>
      <w:proofErr w:type="gramEnd"/>
      <w:r w:rsidRPr="004E4408">
        <w:rPr>
          <w:rFonts w:ascii="Century Gothic" w:eastAsia="Calibri" w:hAnsi="Century Gothic" w:cs="Arial"/>
          <w:sz w:val="21"/>
          <w:szCs w:val="21"/>
          <w:lang w:val="es-ES_tradnl"/>
        </w:rPr>
        <w:t xml:space="preserve"> se podrán invertir directamente en fondos comunes ordinarios administrados por sociedades fiduciarias, sin necesidad de acudir a un proceso de licitación pública.</w:t>
      </w:r>
    </w:p>
    <w:p w14:paraId="60B55A95" w14:textId="77777777"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2860F121" w14:textId="77777777"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2A0F4127" w14:textId="77777777"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 xml:space="preserve">La fiducia que se autoriza para el sector público en esta </w:t>
      </w:r>
      <w:proofErr w:type="gramStart"/>
      <w:r w:rsidRPr="004E4408">
        <w:rPr>
          <w:rFonts w:ascii="Century Gothic" w:eastAsia="Calibri" w:hAnsi="Century Gothic" w:cs="Arial"/>
          <w:sz w:val="21"/>
          <w:szCs w:val="21"/>
          <w:lang w:val="es-ES_tradnl"/>
        </w:rPr>
        <w:t>ley,</w:t>
      </w:r>
      <w:proofErr w:type="gramEnd"/>
      <w:r w:rsidRPr="004E4408">
        <w:rPr>
          <w:rFonts w:ascii="Century Gothic" w:eastAsia="Calibri" w:hAnsi="Century Gothic" w:cs="Arial"/>
          <w:sz w:val="21"/>
          <w:szCs w:val="21"/>
          <w:lang w:val="es-ES_tradnl"/>
        </w:rPr>
        <w:t xml:space="preserve"> nunca implicará transferencia de dominio sobre bienes o recursos estatales, ni constituirá patrimonio autónomo del propio de la respectiva entidad oficial, sin perjuicio de las responsabilidades propias del ordenador del gasto.</w:t>
      </w:r>
    </w:p>
    <w:p w14:paraId="2643378E" w14:textId="77777777" w:rsidR="0018369F" w:rsidRPr="004E4408" w:rsidRDefault="0018369F" w:rsidP="0018369F">
      <w:pPr>
        <w:spacing w:after="12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A la fiducia pública le serán aplicables las normas del Código de Comercio sobre fiducia mercantil, en cuanto sean compatibles con lo dispuesto en esta ley.</w:t>
      </w:r>
    </w:p>
    <w:p w14:paraId="3A6897AB" w14:textId="3E7F436C" w:rsidR="0018369F" w:rsidRPr="004E4408" w:rsidRDefault="0018369F" w:rsidP="00D31674">
      <w:pPr>
        <w:spacing w:after="0" w:line="240" w:lineRule="auto"/>
        <w:ind w:left="709" w:right="709"/>
        <w:jc w:val="both"/>
        <w:rPr>
          <w:rFonts w:ascii="Century Gothic" w:eastAsia="MS Mincho" w:hAnsi="Century Gothic" w:cs="Arial"/>
          <w:sz w:val="21"/>
          <w:szCs w:val="21"/>
          <w:lang w:val="es-ES_tradnl" w:eastAsia="es-CO"/>
        </w:rPr>
      </w:pPr>
      <w:proofErr w:type="gramStart"/>
      <w:r w:rsidRPr="004E4408">
        <w:rPr>
          <w:rFonts w:ascii="Century Gothic" w:eastAsia="Calibri" w:hAnsi="Century Gothic" w:cs="Arial"/>
          <w:sz w:val="21"/>
          <w:szCs w:val="21"/>
          <w:lang w:val="es-ES_tradnl"/>
        </w:rPr>
        <w:t>So pena de nulidad no podrán</w:t>
      </w:r>
      <w:proofErr w:type="gramEnd"/>
      <w:r w:rsidRPr="004E4408">
        <w:rPr>
          <w:rFonts w:ascii="Century Gothic" w:eastAsia="Calibri" w:hAnsi="Century Gothic" w:cs="Arial"/>
          <w:sz w:val="21"/>
          <w:szCs w:val="21"/>
          <w:lang w:val="es-ES_tradnl"/>
        </w:rPr>
        <w:t xml:space="preserve"> celebrarse contratos de fiducia o subcontratos en contravención del artículo</w:t>
      </w:r>
      <w:r w:rsidR="00D31674" w:rsidRPr="004E4408">
        <w:rPr>
          <w:rFonts w:ascii="Century Gothic" w:eastAsia="Calibri" w:hAnsi="Century Gothic" w:cs="Arial"/>
          <w:sz w:val="21"/>
          <w:szCs w:val="21"/>
          <w:lang w:val="es-ES_tradnl"/>
        </w:rPr>
        <w:t xml:space="preserve"> </w:t>
      </w:r>
      <w:hyperlink r:id="rId13" w:anchor="355" w:history="1">
        <w:r w:rsidRPr="004E4408">
          <w:rPr>
            <w:rFonts w:ascii="Century Gothic" w:eastAsia="Calibri" w:hAnsi="Century Gothic" w:cs="Arial"/>
            <w:sz w:val="21"/>
            <w:szCs w:val="21"/>
            <w:lang w:val="es-ES_tradnl"/>
          </w:rPr>
          <w:t>355</w:t>
        </w:r>
      </w:hyperlink>
      <w:r w:rsidR="00D31674" w:rsidRPr="004E4408">
        <w:rPr>
          <w:rFonts w:ascii="Century Gothic" w:eastAsia="Calibri" w:hAnsi="Century Gothic" w:cs="Arial"/>
          <w:sz w:val="21"/>
          <w:szCs w:val="21"/>
          <w:lang w:val="es-ES_tradnl"/>
        </w:rPr>
        <w:t xml:space="preserve"> </w:t>
      </w:r>
      <w:r w:rsidRPr="004E4408">
        <w:rPr>
          <w:rFonts w:ascii="Century Gothic" w:eastAsia="Calibri" w:hAnsi="Century Gothic" w:cs="Arial"/>
          <w:sz w:val="21"/>
          <w:szCs w:val="21"/>
          <w:lang w:val="es-ES_tradnl"/>
        </w:rPr>
        <w:t>de la Constitución Política. Si tal evento se diese, la entidad fideicomitente deberá repetir contra la persona, natural o jurídica, adjudicataria del respectivo contrato.</w:t>
      </w:r>
      <w:r w:rsidR="00D31674" w:rsidRPr="004E4408">
        <w:rPr>
          <w:rFonts w:ascii="Century Gothic" w:eastAsia="Calibri" w:hAnsi="Century Gothic" w:cs="Arial"/>
          <w:sz w:val="21"/>
          <w:szCs w:val="21"/>
          <w:lang w:val="es-ES_tradnl"/>
        </w:rPr>
        <w:t xml:space="preserve"> </w:t>
      </w:r>
      <w:r w:rsidRPr="004E4408">
        <w:rPr>
          <w:rFonts w:ascii="Century Gothic" w:eastAsia="MS Mincho" w:hAnsi="Century Gothic" w:cs="Arial"/>
          <w:sz w:val="21"/>
          <w:szCs w:val="21"/>
          <w:lang w:val="es-ES_tradnl" w:eastAsia="es-CO"/>
        </w:rPr>
        <w:t>[…]</w:t>
      </w:r>
      <w:r w:rsidR="00D31674" w:rsidRPr="004E4408">
        <w:rPr>
          <w:rFonts w:ascii="Century Gothic" w:eastAsia="MS Mincho" w:hAnsi="Century Gothic" w:cs="Arial"/>
          <w:sz w:val="21"/>
          <w:szCs w:val="21"/>
          <w:lang w:val="es-ES_tradnl" w:eastAsia="es-CO"/>
        </w:rPr>
        <w:t>”</w:t>
      </w:r>
    </w:p>
    <w:p w14:paraId="598F472C" w14:textId="77777777" w:rsidR="0018369F" w:rsidRPr="004E4408" w:rsidRDefault="0018369F" w:rsidP="0018369F">
      <w:pPr>
        <w:spacing w:after="0" w:line="276" w:lineRule="auto"/>
        <w:ind w:firstLine="709"/>
        <w:jc w:val="both"/>
        <w:rPr>
          <w:rFonts w:ascii="Century Gothic" w:eastAsia="MS Mincho" w:hAnsi="Century Gothic" w:cs="Arial"/>
          <w:sz w:val="20"/>
          <w:szCs w:val="20"/>
          <w:lang w:val="es-ES_tradnl" w:eastAsia="es-CO"/>
        </w:rPr>
      </w:pPr>
    </w:p>
    <w:p w14:paraId="68AA4AD5" w14:textId="5C900B7F" w:rsidR="0018369F" w:rsidRPr="004E4408" w:rsidRDefault="0018369F" w:rsidP="00E93140">
      <w:pPr>
        <w:spacing w:after="120" w:line="276" w:lineRule="auto"/>
        <w:ind w:firstLine="708"/>
        <w:jc w:val="both"/>
        <w:rPr>
          <w:rFonts w:ascii="Century Gothic" w:eastAsia="MS Mincho" w:hAnsi="Century Gothic" w:cs="Arial"/>
          <w:lang w:val="es-ES_tradnl" w:eastAsia="es-CO"/>
        </w:rPr>
      </w:pPr>
      <w:r w:rsidRPr="004E4408">
        <w:rPr>
          <w:rFonts w:ascii="Century Gothic" w:eastAsia="MS Mincho" w:hAnsi="Century Gothic" w:cs="Arial"/>
          <w:lang w:val="es-ES_tradnl" w:eastAsia="es-CO"/>
        </w:rPr>
        <w:t xml:space="preserve">Dadas estas características particulares, </w:t>
      </w:r>
      <w:r w:rsidR="00820C44" w:rsidRPr="004E4408">
        <w:rPr>
          <w:rFonts w:ascii="Century Gothic" w:eastAsia="MS Mincho" w:hAnsi="Century Gothic" w:cs="Arial"/>
          <w:lang w:val="es-ES_tradnl" w:eastAsia="es-CO"/>
        </w:rPr>
        <w:t>es claro que el</w:t>
      </w:r>
      <w:r w:rsidRPr="004E4408">
        <w:rPr>
          <w:rFonts w:ascii="Century Gothic" w:eastAsia="MS Mincho" w:hAnsi="Century Gothic" w:cs="Arial"/>
          <w:lang w:val="es-ES_tradnl" w:eastAsia="es-CO"/>
        </w:rPr>
        <w:t xml:space="preserve"> contrato de </w:t>
      </w:r>
      <w:r w:rsidRPr="004E4408">
        <w:rPr>
          <w:rFonts w:ascii="Century Gothic" w:eastAsia="MS Mincho" w:hAnsi="Century Gothic" w:cs="Arial"/>
          <w:i/>
          <w:iCs/>
          <w:lang w:val="es-ES_tradnl" w:eastAsia="es-CO"/>
        </w:rPr>
        <w:t>fiducia mercantil</w:t>
      </w:r>
      <w:r w:rsidRPr="004E4408">
        <w:rPr>
          <w:rFonts w:ascii="Century Gothic" w:eastAsia="MS Mincho" w:hAnsi="Century Gothic" w:cs="Arial"/>
          <w:lang w:val="es-ES_tradnl" w:eastAsia="es-CO"/>
        </w:rPr>
        <w:t xml:space="preserve"> es diferente del contrato de </w:t>
      </w:r>
      <w:r w:rsidRPr="004E4408">
        <w:rPr>
          <w:rFonts w:ascii="Century Gothic" w:eastAsia="MS Mincho" w:hAnsi="Century Gothic" w:cs="Arial"/>
          <w:i/>
          <w:iCs/>
          <w:lang w:val="es-ES_tradnl" w:eastAsia="es-CO"/>
        </w:rPr>
        <w:t>fiducia pública</w:t>
      </w:r>
      <w:r w:rsidRPr="004E4408">
        <w:rPr>
          <w:rFonts w:ascii="Century Gothic" w:eastAsia="MS Mincho" w:hAnsi="Century Gothic" w:cs="Arial"/>
          <w:lang w:val="es-ES_tradnl" w:eastAsia="es-CO"/>
        </w:rPr>
        <w:t>, regulado en el numeral 5º del artículo 32 de la Ley 80 de 1993</w:t>
      </w:r>
      <w:r w:rsidR="002A79B1">
        <w:rPr>
          <w:rFonts w:ascii="Century Gothic" w:eastAsia="MS Mincho" w:hAnsi="Century Gothic" w:cs="Arial"/>
          <w:lang w:val="es-ES_tradnl" w:eastAsia="es-CO"/>
        </w:rPr>
        <w:t xml:space="preserve">, </w:t>
      </w:r>
      <w:r w:rsidRPr="004E4408">
        <w:rPr>
          <w:rFonts w:ascii="Century Gothic" w:eastAsia="MS Mincho" w:hAnsi="Century Gothic" w:cs="Arial"/>
          <w:lang w:val="es-ES_tradnl" w:eastAsia="es-CO"/>
        </w:rPr>
        <w:t>pues est</w:t>
      </w:r>
      <w:r w:rsidR="002A79B1">
        <w:rPr>
          <w:rFonts w:ascii="Century Gothic" w:eastAsia="MS Mincho" w:hAnsi="Century Gothic" w:cs="Arial"/>
          <w:lang w:val="es-ES_tradnl" w:eastAsia="es-CO"/>
        </w:rPr>
        <w:t>e</w:t>
      </w:r>
      <w:r w:rsidR="00706CE1">
        <w:rPr>
          <w:rFonts w:ascii="Century Gothic" w:eastAsia="MS Mincho" w:hAnsi="Century Gothic" w:cs="Arial"/>
          <w:spacing w:val="52"/>
          <w:lang w:val="es-ES_tradnl" w:eastAsia="es-CO"/>
        </w:rPr>
        <w:t xml:space="preserve"> </w:t>
      </w:r>
      <w:r w:rsidR="00706CE1" w:rsidRPr="00706CE1">
        <w:rPr>
          <w:rFonts w:ascii="Century Gothic" w:hAnsi="Century Gothic"/>
        </w:rPr>
        <w:t>último</w:t>
      </w:r>
      <w:r w:rsidR="00706CE1" w:rsidRPr="004E4408">
        <w:rPr>
          <w:rFonts w:ascii="Century Gothic" w:eastAsia="MS Mincho" w:hAnsi="Century Gothic" w:cs="Arial"/>
          <w:lang w:val="es-ES_tradnl" w:eastAsia="es-CO"/>
        </w:rPr>
        <w:t xml:space="preserve"> “</w:t>
      </w:r>
      <w:r w:rsidRPr="004E4408">
        <w:rPr>
          <w:rFonts w:ascii="Century Gothic" w:eastAsia="MS Mincho" w:hAnsi="Century Gothic" w:cs="Arial"/>
          <w:lang w:val="es-ES_tradnl" w:eastAsia="es-CO"/>
        </w:rPr>
        <w:t>nunca implicará transferencia de dominio sobre bienes o recursos estatales, ni constituirá patrimonio autónomo del propio de la respectiva entidad oficial</w:t>
      </w:r>
      <w:r w:rsidR="00D31674" w:rsidRPr="004E4408">
        <w:rPr>
          <w:rFonts w:ascii="Century Gothic" w:eastAsia="MS Mincho" w:hAnsi="Century Gothic" w:cs="Arial"/>
          <w:lang w:val="es-ES_tradnl" w:eastAsia="es-CO"/>
        </w:rPr>
        <w:t>”</w:t>
      </w:r>
      <w:r w:rsidRPr="004E4408">
        <w:rPr>
          <w:rFonts w:ascii="Century Gothic" w:eastAsia="MS Mincho" w:hAnsi="Century Gothic" w:cs="Arial"/>
          <w:lang w:val="es-ES_tradnl" w:eastAsia="es-CO"/>
        </w:rPr>
        <w:t>. Así lo consideró la Corte Constitucional, en la sentencia C-086 de 1995, al señalar que la Ley 80 de 1993 creó un contrato nuevo y autónomo al del Código de</w:t>
      </w:r>
      <w:r w:rsidRPr="004E4408">
        <w:rPr>
          <w:rFonts w:ascii="Century Gothic" w:eastAsia="MS Mincho" w:hAnsi="Century Gothic" w:cs="Arial"/>
          <w:spacing w:val="-27"/>
          <w:lang w:val="es-ES_tradnl" w:eastAsia="es-CO"/>
        </w:rPr>
        <w:t xml:space="preserve"> </w:t>
      </w:r>
      <w:r w:rsidRPr="004E4408">
        <w:rPr>
          <w:rFonts w:ascii="Century Gothic" w:eastAsia="MS Mincho" w:hAnsi="Century Gothic" w:cs="Arial"/>
          <w:lang w:val="es-ES_tradnl" w:eastAsia="es-CO"/>
        </w:rPr>
        <w:t>Comercio</w:t>
      </w:r>
      <w:r w:rsidRPr="004E4408">
        <w:rPr>
          <w:rFonts w:ascii="Century Gothic" w:eastAsia="MS Mincho" w:hAnsi="Century Gothic" w:cs="Arial"/>
          <w:vertAlign w:val="superscript"/>
          <w:lang w:val="es-ES_tradnl" w:eastAsia="es-CO"/>
        </w:rPr>
        <w:footnoteReference w:id="19"/>
      </w:r>
      <w:r w:rsidRPr="004E4408">
        <w:rPr>
          <w:rFonts w:ascii="Century Gothic" w:eastAsia="MS Mincho" w:hAnsi="Century Gothic" w:cs="Arial"/>
          <w:lang w:val="es-ES_tradnl" w:eastAsia="es-CO"/>
        </w:rPr>
        <w:t xml:space="preserve">. </w:t>
      </w:r>
    </w:p>
    <w:p w14:paraId="14BE17DA" w14:textId="6C4301F5" w:rsidR="0018369F" w:rsidRPr="004E4408" w:rsidRDefault="0018369F" w:rsidP="009E17B2">
      <w:pPr>
        <w:spacing w:after="0" w:line="276" w:lineRule="auto"/>
        <w:ind w:firstLine="708"/>
        <w:jc w:val="both"/>
        <w:rPr>
          <w:rFonts w:ascii="Century Gothic" w:eastAsia="MS Mincho" w:hAnsi="Century Gothic" w:cs="Arial"/>
          <w:lang w:val="es-ES_tradnl" w:eastAsia="es-CO"/>
        </w:rPr>
      </w:pPr>
      <w:r w:rsidRPr="004E4408">
        <w:rPr>
          <w:rFonts w:ascii="Century Gothic" w:eastAsia="MS Mincho" w:hAnsi="Century Gothic" w:cs="Arial"/>
          <w:lang w:val="es-ES_tradnl" w:eastAsia="es-CO"/>
        </w:rPr>
        <w:t xml:space="preserve">Al respecto, es necesario subrayar que debido al </w:t>
      </w:r>
      <w:r w:rsidRPr="004E4408">
        <w:rPr>
          <w:rFonts w:ascii="Century Gothic" w:eastAsia="MS Mincho" w:hAnsi="Century Gothic" w:cs="Arial"/>
          <w:bCs/>
          <w:lang w:val="es-ES_tradnl" w:eastAsia="es-CO"/>
        </w:rPr>
        <w:t xml:space="preserve">no traspaso de la propiedad, ni la constitución de un patrimonio autónomo que caracteriza a este contrato, la Corte Constitucional señala que </w:t>
      </w:r>
      <w:r w:rsidRPr="004E4408">
        <w:rPr>
          <w:rFonts w:ascii="Century Gothic" w:eastAsia="MS Mincho" w:hAnsi="Century Gothic" w:cs="Arial"/>
          <w:lang w:val="es-ES_tradnl" w:eastAsia="es-CO"/>
        </w:rPr>
        <w:t xml:space="preserve">es </w:t>
      </w:r>
      <w:r w:rsidRPr="004E4408">
        <w:rPr>
          <w:rFonts w:ascii="Century Gothic" w:eastAsia="MS Mincho" w:hAnsi="Century Gothic" w:cs="Arial"/>
          <w:bCs/>
          <w:lang w:val="es-ES_tradnl" w:eastAsia="es-CO"/>
        </w:rPr>
        <w:t>más parecido a un encargo fiduciario que a una fiducia</w:t>
      </w:r>
      <w:r w:rsidRPr="004E4408">
        <w:rPr>
          <w:rFonts w:ascii="Century Gothic" w:eastAsia="MS Mincho" w:hAnsi="Century Gothic" w:cs="Arial"/>
          <w:lang w:val="es-ES_tradnl" w:eastAsia="es-CO"/>
        </w:rPr>
        <w:t xml:space="preserve">. No obstante, según el Consejo de Estado estas dos figuras se distinguen pues, además que la fiducia </w:t>
      </w:r>
      <w:r w:rsidR="00D72642" w:rsidRPr="004E4408">
        <w:rPr>
          <w:rFonts w:ascii="Century Gothic" w:eastAsia="MS Mincho" w:hAnsi="Century Gothic" w:cs="Arial"/>
          <w:lang w:val="es-ES_tradnl" w:eastAsia="es-CO"/>
        </w:rPr>
        <w:t xml:space="preserve">pública </w:t>
      </w:r>
      <w:r w:rsidRPr="004E4408">
        <w:rPr>
          <w:rFonts w:ascii="Century Gothic" w:eastAsia="MS Mincho" w:hAnsi="Century Gothic" w:cs="Arial"/>
          <w:lang w:val="es-ES_tradnl" w:eastAsia="es-CO"/>
        </w:rPr>
        <w:t>es un contrato nuevo y autónomo, el inciso primero del numeral 5 del artículo 32 de la Ley 80 de 1993 limita el objeto del encargo fiduciario a la administración o el manejo</w:t>
      </w:r>
      <w:r w:rsidR="009E17B2" w:rsidRPr="004E4408">
        <w:rPr>
          <w:rFonts w:ascii="Century Gothic" w:eastAsia="MS Mincho" w:hAnsi="Century Gothic" w:cs="Arial"/>
          <w:lang w:val="es-ES_tradnl" w:eastAsia="es-CO"/>
        </w:rPr>
        <w:t xml:space="preserve"> </w:t>
      </w:r>
      <w:r w:rsidRPr="004E4408">
        <w:rPr>
          <w:rFonts w:ascii="Century Gothic" w:eastAsia="MS Mincho" w:hAnsi="Century Gothic" w:cs="Arial"/>
          <w:lang w:val="es-ES_tradnl" w:eastAsia="es-CO"/>
        </w:rPr>
        <w:t>de los recursos vinculados a los contratos que tales entidades celebren, sin perjuicio de lo previsto en el numeral 20 del artículo</w:t>
      </w:r>
      <w:r w:rsidR="009E17B2" w:rsidRPr="004E4408">
        <w:rPr>
          <w:rFonts w:ascii="Century Gothic" w:eastAsia="MS Mincho" w:hAnsi="Century Gothic" w:cs="Arial"/>
          <w:lang w:val="es-ES_tradnl" w:eastAsia="es-CO"/>
        </w:rPr>
        <w:t xml:space="preserve"> </w:t>
      </w:r>
      <w:hyperlink r:id="rId14" w:anchor="25" w:history="1">
        <w:r w:rsidRPr="004E4408">
          <w:rPr>
            <w:rFonts w:ascii="Century Gothic" w:eastAsia="MS Mincho" w:hAnsi="Century Gothic" w:cs="Arial"/>
            <w:lang w:val="es-ES_tradnl" w:eastAsia="es-CO"/>
          </w:rPr>
          <w:t>25</w:t>
        </w:r>
      </w:hyperlink>
      <w:r w:rsidR="009E17B2" w:rsidRPr="004E4408">
        <w:rPr>
          <w:rFonts w:ascii="Century Gothic" w:eastAsia="MS Mincho" w:hAnsi="Century Gothic" w:cs="Arial"/>
          <w:lang w:val="es-ES_tradnl" w:eastAsia="es-CO"/>
        </w:rPr>
        <w:t xml:space="preserve"> </w:t>
      </w:r>
      <w:r w:rsidRPr="004E4408">
        <w:rPr>
          <w:rFonts w:ascii="Century Gothic" w:eastAsia="MS Mincho" w:hAnsi="Century Gothic" w:cs="Arial"/>
          <w:lang w:val="es-ES_tradnl" w:eastAsia="es-CO"/>
        </w:rPr>
        <w:t xml:space="preserve">de dicha ley. Así lo consideró el Consejo de Estado señaló al señalar lo siguiente: </w:t>
      </w:r>
    </w:p>
    <w:p w14:paraId="5BA5C5BC" w14:textId="77777777" w:rsidR="0018369F" w:rsidRPr="004E4408" w:rsidRDefault="0018369F" w:rsidP="0018369F">
      <w:pPr>
        <w:spacing w:after="0" w:line="276" w:lineRule="auto"/>
        <w:ind w:firstLine="709"/>
        <w:jc w:val="both"/>
        <w:rPr>
          <w:rFonts w:ascii="Century Gothic" w:eastAsia="MS Mincho" w:hAnsi="Century Gothic" w:cs="Arial"/>
          <w:lang w:val="es-ES_tradnl" w:eastAsia="es-CO"/>
        </w:rPr>
      </w:pPr>
    </w:p>
    <w:p w14:paraId="62A3E951" w14:textId="65A6DA2B" w:rsidR="0018369F" w:rsidRPr="004E4408" w:rsidRDefault="00D31674" w:rsidP="0018369F">
      <w:pPr>
        <w:spacing w:after="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w:t>
      </w:r>
      <w:r w:rsidR="0018369F" w:rsidRPr="004E4408">
        <w:rPr>
          <w:rFonts w:ascii="Century Gothic" w:eastAsia="Calibri" w:hAnsi="Century Gothic" w:cs="Arial"/>
          <w:sz w:val="21"/>
          <w:szCs w:val="21"/>
          <w:lang w:val="es-ES_tradnl"/>
        </w:rPr>
        <w:t xml:space="preserve">Una interpretación armónica de las normas de la ley 80 sobre el tema, conduce a establecer dos modalidades de negocio fiduciario que pueden contratar las entidades estatales, a saber: Los </w:t>
      </w:r>
      <w:r w:rsidR="0018369F" w:rsidRPr="004E4408">
        <w:rPr>
          <w:rFonts w:ascii="Century Gothic" w:eastAsia="Calibri" w:hAnsi="Century Gothic" w:cs="Arial"/>
          <w:i/>
          <w:iCs/>
          <w:sz w:val="21"/>
          <w:szCs w:val="21"/>
          <w:lang w:val="es-ES_tradnl"/>
        </w:rPr>
        <w:t>encargos fiduciarios</w:t>
      </w:r>
      <w:r w:rsidR="0018369F" w:rsidRPr="004E4408">
        <w:rPr>
          <w:rFonts w:ascii="Century Gothic" w:eastAsia="Calibri" w:hAnsi="Century Gothic" w:cs="Arial"/>
          <w:sz w:val="21"/>
          <w:szCs w:val="21"/>
          <w:lang w:val="es-ES_tradnl"/>
        </w:rPr>
        <w:t xml:space="preserve">, figura en la cual no hay transferencia de la propiedad de los bienes fideicomitidos. La ley 80 de 1993 la autoriza solamente para administrar o manejar los recursos vinculados a contratos que las entidades estatales celebren (art. 32-5º inc. 3º), lo cual se encuentra en consonancia con la disposición según la cual los pagos correspondientes a los contratos celebrados por las entidades para la prestación de los servicios de salud, se pueden hacer mediante encargos fiduciarios (art. 24-1º letra l ) y con aquella que establece que los fondos destinados a la cancelación de obligaciones derivadas de contratos estatales pueden ser entregados en administración fiduciaria (art. 25-20). </w:t>
      </w:r>
    </w:p>
    <w:p w14:paraId="453AAC9B" w14:textId="77777777" w:rsidR="0018369F" w:rsidRPr="004E4408" w:rsidRDefault="0018369F" w:rsidP="0018369F">
      <w:pPr>
        <w:spacing w:after="0" w:line="240" w:lineRule="auto"/>
        <w:ind w:left="709" w:right="709"/>
        <w:jc w:val="both"/>
        <w:rPr>
          <w:rFonts w:ascii="Century Gothic" w:eastAsia="Calibri" w:hAnsi="Century Gothic" w:cs="Arial"/>
          <w:sz w:val="21"/>
          <w:szCs w:val="21"/>
          <w:lang w:val="es-ES_tradnl"/>
        </w:rPr>
      </w:pPr>
    </w:p>
    <w:p w14:paraId="76FC95FD" w14:textId="79264F5A" w:rsidR="0018369F" w:rsidRPr="004E4408" w:rsidRDefault="0018369F" w:rsidP="0018369F">
      <w:pPr>
        <w:spacing w:after="0" w:line="240" w:lineRule="auto"/>
        <w:ind w:left="709" w:right="709"/>
        <w:jc w:val="both"/>
        <w:rPr>
          <w:rFonts w:ascii="Century Gothic" w:eastAsia="Calibri" w:hAnsi="Century Gothic" w:cs="Arial"/>
          <w:sz w:val="21"/>
          <w:szCs w:val="21"/>
          <w:lang w:val="es-ES_tradnl"/>
        </w:rPr>
      </w:pPr>
      <w:r w:rsidRPr="004E4408">
        <w:rPr>
          <w:rFonts w:ascii="Century Gothic" w:eastAsia="Calibri" w:hAnsi="Century Gothic" w:cs="Arial"/>
          <w:sz w:val="21"/>
          <w:szCs w:val="21"/>
          <w:lang w:val="es-ES_tradnl"/>
        </w:rPr>
        <w:t xml:space="preserve">La </w:t>
      </w:r>
      <w:r w:rsidRPr="004E4408">
        <w:rPr>
          <w:rFonts w:ascii="Century Gothic" w:eastAsia="Calibri" w:hAnsi="Century Gothic" w:cs="Arial"/>
          <w:i/>
          <w:iCs/>
          <w:sz w:val="21"/>
          <w:szCs w:val="21"/>
          <w:lang w:val="es-ES_tradnl"/>
        </w:rPr>
        <w:t>fiducia pública</w:t>
      </w:r>
      <w:r w:rsidRPr="004E4408">
        <w:rPr>
          <w:rFonts w:ascii="Century Gothic" w:eastAsia="Calibri" w:hAnsi="Century Gothic" w:cs="Arial"/>
          <w:sz w:val="21"/>
          <w:szCs w:val="21"/>
          <w:lang w:val="es-ES_tradnl"/>
        </w:rPr>
        <w:t>, la cual constituye una nueva figura jurídica, creada por la ley 80 de 1993, y que si bien porta el nombre de fiducia se diferencia en varios elementos esenciales de la tradicional fiducia mercantil</w:t>
      </w:r>
      <w:r w:rsidR="00D31674" w:rsidRPr="004E4408">
        <w:rPr>
          <w:rFonts w:ascii="Century Gothic" w:eastAsia="Calibri" w:hAnsi="Century Gothic" w:cs="Arial"/>
          <w:sz w:val="21"/>
          <w:szCs w:val="21"/>
          <w:lang w:val="es-ES_tradnl"/>
        </w:rPr>
        <w:t>”</w:t>
      </w:r>
      <w:r w:rsidRPr="004E4408">
        <w:rPr>
          <w:rFonts w:ascii="Century Gothic" w:eastAsia="Calibri" w:hAnsi="Century Gothic" w:cs="Arial"/>
          <w:sz w:val="21"/>
          <w:szCs w:val="21"/>
          <w:vertAlign w:val="superscript"/>
          <w:lang w:val="es-ES_tradnl"/>
        </w:rPr>
        <w:footnoteReference w:id="20"/>
      </w:r>
      <w:r w:rsidRPr="004E4408">
        <w:rPr>
          <w:rFonts w:ascii="Century Gothic" w:eastAsia="Calibri" w:hAnsi="Century Gothic" w:cs="Arial"/>
          <w:sz w:val="21"/>
          <w:szCs w:val="21"/>
          <w:lang w:val="es-ES_tradnl"/>
        </w:rPr>
        <w:t>. (Cursiva fuera del original)</w:t>
      </w:r>
    </w:p>
    <w:p w14:paraId="53130963" w14:textId="77777777" w:rsidR="0018369F" w:rsidRPr="004E4408" w:rsidRDefault="0018369F" w:rsidP="0018369F">
      <w:pPr>
        <w:spacing w:after="0" w:line="240" w:lineRule="auto"/>
        <w:ind w:left="709" w:right="709"/>
        <w:jc w:val="both"/>
        <w:rPr>
          <w:rFonts w:ascii="Century Gothic" w:eastAsia="Calibri" w:hAnsi="Century Gothic" w:cs="Arial"/>
          <w:sz w:val="21"/>
          <w:szCs w:val="21"/>
          <w:lang w:val="es-ES_tradnl"/>
        </w:rPr>
      </w:pPr>
    </w:p>
    <w:p w14:paraId="4BA669B5" w14:textId="5128B038" w:rsidR="00A37FEC" w:rsidRPr="004E4408" w:rsidRDefault="0018369F" w:rsidP="00E81F6F">
      <w:pPr>
        <w:spacing w:after="120" w:line="276" w:lineRule="auto"/>
        <w:ind w:firstLine="708"/>
        <w:jc w:val="both"/>
        <w:rPr>
          <w:rFonts w:ascii="Century Gothic" w:eastAsia="MS Mincho" w:hAnsi="Century Gothic" w:cs="Arial"/>
          <w:lang w:val="es-ES_tradnl" w:eastAsia="es-CO"/>
        </w:rPr>
      </w:pPr>
      <w:r w:rsidRPr="004E4408">
        <w:rPr>
          <w:rFonts w:ascii="Century Gothic" w:eastAsia="MS Mincho" w:hAnsi="Century Gothic" w:cs="Arial"/>
          <w:lang w:val="es-ES_tradnl" w:eastAsia="es-CO"/>
        </w:rPr>
        <w:t>De esta manera,</w:t>
      </w:r>
      <w:r w:rsidR="00A37FEC">
        <w:rPr>
          <w:rFonts w:ascii="Century Gothic" w:eastAsia="MS Mincho" w:hAnsi="Century Gothic" w:cs="Arial"/>
          <w:lang w:val="es-ES_tradnl" w:eastAsia="es-CO"/>
        </w:rPr>
        <w:t xml:space="preserve"> </w:t>
      </w:r>
      <w:r w:rsidR="00A37FEC" w:rsidRPr="004E4408">
        <w:rPr>
          <w:rFonts w:ascii="Century Gothic" w:eastAsia="MS Mincho" w:hAnsi="Century Gothic" w:cs="Arial"/>
          <w:lang w:val="es-ES_tradnl" w:eastAsia="es-CO"/>
        </w:rPr>
        <w:t xml:space="preserve">las entidades estatales pueden suscribir tanto contratos de fiducia pública como encargos fiduciarios, </w:t>
      </w:r>
      <w:r w:rsidR="00E81F6F">
        <w:rPr>
          <w:rFonts w:ascii="Century Gothic" w:eastAsia="MS Mincho" w:hAnsi="Century Gothic" w:cs="Arial"/>
          <w:lang w:val="es-ES_tradnl" w:eastAsia="es-CO"/>
        </w:rPr>
        <w:t xml:space="preserve">sin perjuicio de que pueda suscribir </w:t>
      </w:r>
      <w:r w:rsidR="00985E76">
        <w:rPr>
          <w:rFonts w:ascii="Century Gothic" w:eastAsia="MS Mincho" w:hAnsi="Century Gothic" w:cs="Arial"/>
          <w:lang w:val="es-ES_tradnl" w:eastAsia="es-CO"/>
        </w:rPr>
        <w:t xml:space="preserve">también </w:t>
      </w:r>
      <w:r w:rsidR="00E81F6F">
        <w:rPr>
          <w:rFonts w:ascii="Century Gothic" w:eastAsia="MS Mincho" w:hAnsi="Century Gothic" w:cs="Arial"/>
          <w:lang w:val="es-ES_tradnl" w:eastAsia="es-CO"/>
        </w:rPr>
        <w:t>contratos de fiducia mercantil, conforme a lo analizado por la Corte Constitucional e</w:t>
      </w:r>
      <w:r w:rsidR="004B1C35">
        <w:rPr>
          <w:rFonts w:ascii="Century Gothic" w:eastAsia="MS Mincho" w:hAnsi="Century Gothic" w:cs="Arial"/>
          <w:lang w:val="es-ES_tradnl" w:eastAsia="es-CO"/>
        </w:rPr>
        <w:t>n la sentencia</w:t>
      </w:r>
      <w:r w:rsidR="00A37FEC" w:rsidRPr="004E4408">
        <w:rPr>
          <w:rFonts w:ascii="Century Gothic" w:eastAsia="MS Mincho" w:hAnsi="Century Gothic" w:cs="Arial"/>
          <w:lang w:val="es-ES_tradnl" w:eastAsia="es-CO"/>
        </w:rPr>
        <w:t xml:space="preserve"> </w:t>
      </w:r>
      <w:r w:rsidR="004B1C35" w:rsidRPr="004E4408">
        <w:rPr>
          <w:rFonts w:ascii="Century Gothic" w:eastAsia="MS Mincho" w:hAnsi="Century Gothic" w:cs="Arial"/>
          <w:lang w:val="es-ES_tradnl" w:eastAsia="es-CO"/>
        </w:rPr>
        <w:t>C-086 de 1995</w:t>
      </w:r>
      <w:r w:rsidR="00985E76">
        <w:rPr>
          <w:rFonts w:ascii="Century Gothic" w:eastAsia="MS Mincho" w:hAnsi="Century Gothic" w:cs="Arial"/>
          <w:lang w:val="es-ES_tradnl" w:eastAsia="es-CO"/>
        </w:rPr>
        <w:t xml:space="preserve">. </w:t>
      </w:r>
      <w:r w:rsidR="00A37FEC" w:rsidRPr="004E4408">
        <w:rPr>
          <w:rFonts w:ascii="Century Gothic" w:eastAsia="MS Mincho" w:hAnsi="Century Gothic" w:cs="Arial"/>
          <w:lang w:val="es-ES_tradnl" w:eastAsia="es-CO"/>
        </w:rPr>
        <w:t>Sin embargo,</w:t>
      </w:r>
      <w:r w:rsidR="005D7E43">
        <w:rPr>
          <w:rFonts w:ascii="Century Gothic" w:eastAsia="MS Mincho" w:hAnsi="Century Gothic" w:cs="Arial"/>
          <w:lang w:val="es-ES_tradnl" w:eastAsia="es-CO"/>
        </w:rPr>
        <w:t xml:space="preserve"> frente a esta última tipología contractual</w:t>
      </w:r>
      <w:r w:rsidR="00A37FEC" w:rsidRPr="004E4408">
        <w:rPr>
          <w:rFonts w:ascii="Century Gothic" w:eastAsia="MS Mincho" w:hAnsi="Century Gothic" w:cs="Arial"/>
          <w:lang w:val="es-ES_tradnl" w:eastAsia="es-CO"/>
        </w:rPr>
        <w:t xml:space="preserve"> el Consejo de Estado </w:t>
      </w:r>
      <w:r w:rsidR="00B059EB">
        <w:rPr>
          <w:rFonts w:ascii="Century Gothic" w:eastAsia="MS Mincho" w:hAnsi="Century Gothic" w:cs="Arial"/>
          <w:lang w:val="es-ES_tradnl" w:eastAsia="es-CO"/>
        </w:rPr>
        <w:t xml:space="preserve">ha sido enfático en señalar </w:t>
      </w:r>
      <w:r w:rsidR="00A37FEC" w:rsidRPr="004E4408">
        <w:rPr>
          <w:rFonts w:ascii="Century Gothic" w:eastAsia="MS Mincho" w:hAnsi="Century Gothic" w:cs="Arial"/>
          <w:lang w:val="es-ES_tradnl" w:eastAsia="es-CO"/>
        </w:rPr>
        <w:t xml:space="preserve">que la Ley 80 de </w:t>
      </w:r>
      <w:r w:rsidR="007202FA">
        <w:rPr>
          <w:rFonts w:ascii="Century Gothic" w:eastAsia="MS Mincho" w:hAnsi="Century Gothic" w:cs="Arial"/>
          <w:lang w:val="es-ES_tradnl" w:eastAsia="es-CO"/>
        </w:rPr>
        <w:t xml:space="preserve">1993 </w:t>
      </w:r>
      <w:r w:rsidR="00B059EB">
        <w:rPr>
          <w:rFonts w:ascii="Century Gothic" w:eastAsia="MS Mincho" w:hAnsi="Century Gothic" w:cs="Arial"/>
          <w:lang w:val="es-ES_tradnl" w:eastAsia="es-CO"/>
        </w:rPr>
        <w:t xml:space="preserve">restringió </w:t>
      </w:r>
      <w:r w:rsidR="007202FA">
        <w:rPr>
          <w:rFonts w:ascii="Century Gothic" w:eastAsia="MS Mincho" w:hAnsi="Century Gothic" w:cs="Arial"/>
          <w:lang w:val="es-ES_tradnl" w:eastAsia="es-CO"/>
        </w:rPr>
        <w:t>su</w:t>
      </w:r>
      <w:r w:rsidR="00B059EB">
        <w:rPr>
          <w:rFonts w:ascii="Century Gothic" w:eastAsia="MS Mincho" w:hAnsi="Century Gothic" w:cs="Arial"/>
          <w:lang w:val="es-ES_tradnl" w:eastAsia="es-CO"/>
        </w:rPr>
        <w:t xml:space="preserve"> suscripción </w:t>
      </w:r>
      <w:r w:rsidR="00365563">
        <w:rPr>
          <w:rFonts w:ascii="Century Gothic" w:eastAsia="MS Mincho" w:hAnsi="Century Gothic" w:cs="Arial"/>
          <w:lang w:val="es-ES_tradnl" w:eastAsia="es-CO"/>
        </w:rPr>
        <w:t>para</w:t>
      </w:r>
      <w:r w:rsidR="00A37FEC" w:rsidRPr="004E4408">
        <w:rPr>
          <w:rFonts w:ascii="Century Gothic" w:eastAsia="MS Mincho" w:hAnsi="Century Gothic" w:cs="Arial"/>
          <w:lang w:val="es-ES_tradnl" w:eastAsia="es-CO"/>
        </w:rPr>
        <w:t xml:space="preserve"> los entes públicos, y por ello, </w:t>
      </w:r>
      <w:r w:rsidR="00365563">
        <w:rPr>
          <w:rFonts w:ascii="Century Gothic" w:eastAsia="MS Mincho" w:hAnsi="Century Gothic" w:cs="Arial"/>
          <w:lang w:val="es-ES_tradnl" w:eastAsia="es-CO"/>
        </w:rPr>
        <w:t xml:space="preserve">ha indicado </w:t>
      </w:r>
      <w:r w:rsidR="007202FA">
        <w:rPr>
          <w:rFonts w:ascii="Century Gothic" w:eastAsia="MS Mincho" w:hAnsi="Century Gothic" w:cs="Arial"/>
          <w:lang w:val="es-ES_tradnl" w:eastAsia="es-CO"/>
        </w:rPr>
        <w:t>que</w:t>
      </w:r>
      <w:r w:rsidR="00A37FEC" w:rsidRPr="004E4408">
        <w:rPr>
          <w:rFonts w:ascii="Century Gothic" w:eastAsia="MS Mincho" w:hAnsi="Century Gothic" w:cs="Arial"/>
          <w:lang w:val="es-ES_tradnl" w:eastAsia="es-CO"/>
        </w:rPr>
        <w:t xml:space="preserve"> la constitución de patrimonios autónomos por parte de entidades estatales solamente debe darse en virtud de una autorización legal</w:t>
      </w:r>
      <w:r w:rsidR="00A37FEC" w:rsidRPr="004E4408">
        <w:rPr>
          <w:rFonts w:ascii="Century Gothic" w:eastAsia="MS Mincho" w:hAnsi="Century Gothic" w:cs="Arial"/>
          <w:vertAlign w:val="superscript"/>
          <w:lang w:val="es-ES_tradnl" w:eastAsia="es-CO"/>
        </w:rPr>
        <w:footnoteReference w:id="21"/>
      </w:r>
      <w:r w:rsidR="00A37FEC" w:rsidRPr="004E4408">
        <w:rPr>
          <w:rFonts w:ascii="Century Gothic" w:eastAsia="MS Mincho" w:hAnsi="Century Gothic" w:cs="Arial"/>
          <w:lang w:val="es-ES_tradnl" w:eastAsia="es-CO"/>
        </w:rPr>
        <w:t>.</w:t>
      </w:r>
    </w:p>
    <w:p w14:paraId="1C8EF29D" w14:textId="4962A907" w:rsidR="00CD77E7" w:rsidRPr="00CD77E7" w:rsidRDefault="00EC3FE5" w:rsidP="00AD6624">
      <w:pPr>
        <w:spacing w:after="120" w:line="276" w:lineRule="auto"/>
        <w:jc w:val="both"/>
        <w:rPr>
          <w:rFonts w:ascii="Century Gothic" w:eastAsia="MS Mincho" w:hAnsi="Century Gothic" w:cs="Arial"/>
          <w:lang w:val="es-ES_tradnl" w:eastAsia="es-CO"/>
        </w:rPr>
      </w:pPr>
      <w:r>
        <w:rPr>
          <w:rFonts w:ascii="Century Gothic" w:eastAsia="MS Mincho" w:hAnsi="Century Gothic" w:cs="Arial"/>
          <w:lang w:val="es-ES_tradnl" w:eastAsia="es-CO"/>
        </w:rPr>
        <w:tab/>
        <w:t xml:space="preserve">Estas conclusiones fueron reiteradas </w:t>
      </w:r>
      <w:r w:rsidR="002B68DD">
        <w:rPr>
          <w:rFonts w:ascii="Century Gothic" w:eastAsia="MS Mincho" w:hAnsi="Century Gothic" w:cs="Arial"/>
          <w:lang w:val="es-ES_tradnl" w:eastAsia="es-CO"/>
        </w:rPr>
        <w:t xml:space="preserve">recientemente </w:t>
      </w:r>
      <w:r>
        <w:rPr>
          <w:rFonts w:ascii="Century Gothic" w:eastAsia="MS Mincho" w:hAnsi="Century Gothic" w:cs="Arial"/>
          <w:lang w:val="es-ES_tradnl" w:eastAsia="es-CO"/>
        </w:rPr>
        <w:t>por el</w:t>
      </w:r>
      <w:r w:rsidR="00EB4E42">
        <w:rPr>
          <w:rFonts w:ascii="Century Gothic" w:eastAsia="MS Mincho" w:hAnsi="Century Gothic" w:cs="Arial"/>
          <w:lang w:val="es-ES_tradnl" w:eastAsia="es-CO"/>
        </w:rPr>
        <w:t xml:space="preserve"> Consejo de Estado </w:t>
      </w:r>
      <w:r w:rsidR="00E15E29">
        <w:rPr>
          <w:rFonts w:ascii="Century Gothic" w:eastAsia="MS Mincho" w:hAnsi="Century Gothic" w:cs="Arial"/>
          <w:lang w:val="es-ES_tradnl" w:eastAsia="es-CO"/>
        </w:rPr>
        <w:t>en su Sala de Consulta y Servicio Civil</w:t>
      </w:r>
      <w:r w:rsidR="005A0DC1">
        <w:rPr>
          <w:rStyle w:val="Refdenotaalpie"/>
          <w:rFonts w:ascii="Century Gothic" w:eastAsia="MS Mincho" w:hAnsi="Century Gothic" w:cs="Arial"/>
          <w:lang w:val="es-ES_tradnl" w:eastAsia="es-CO"/>
        </w:rPr>
        <w:footnoteReference w:id="22"/>
      </w:r>
      <w:r>
        <w:rPr>
          <w:rFonts w:ascii="Century Gothic" w:eastAsia="MS Mincho" w:hAnsi="Century Gothic" w:cs="Arial"/>
          <w:lang w:val="es-ES_tradnl" w:eastAsia="es-CO"/>
        </w:rPr>
        <w:t xml:space="preserve">, </w:t>
      </w:r>
      <w:r w:rsidR="00E15E29">
        <w:rPr>
          <w:rFonts w:ascii="Century Gothic" w:eastAsia="MS Mincho" w:hAnsi="Century Gothic" w:cs="Arial"/>
          <w:lang w:val="es-ES_tradnl" w:eastAsia="es-CO"/>
        </w:rPr>
        <w:t xml:space="preserve">que </w:t>
      </w:r>
      <w:r w:rsidR="003746E0">
        <w:rPr>
          <w:rFonts w:ascii="Century Gothic" w:eastAsia="MS Mincho" w:hAnsi="Century Gothic" w:cs="Arial"/>
          <w:lang w:val="es-ES_tradnl" w:eastAsia="es-CO"/>
        </w:rPr>
        <w:t>en virtud del</w:t>
      </w:r>
      <w:r w:rsidR="00CD77E7" w:rsidRPr="00CD77E7">
        <w:rPr>
          <w:rFonts w:ascii="Century Gothic" w:eastAsia="MS Mincho" w:hAnsi="Century Gothic" w:cs="Arial"/>
          <w:lang w:val="es-ES_tradnl" w:eastAsia="es-CO"/>
        </w:rPr>
        <w:t xml:space="preserve"> numeral 5º del artículo 32 </w:t>
      </w:r>
      <w:r w:rsidR="00AD6624">
        <w:rPr>
          <w:rFonts w:ascii="Century Gothic" w:eastAsia="MS Mincho" w:hAnsi="Century Gothic" w:cs="Arial"/>
          <w:lang w:val="es-ES_tradnl" w:eastAsia="es-CO"/>
        </w:rPr>
        <w:t>de la Ley 80 de 1993,</w:t>
      </w:r>
      <w:r w:rsidR="00CD77E7" w:rsidRPr="00CD77E7">
        <w:rPr>
          <w:rFonts w:ascii="Century Gothic" w:eastAsia="MS Mincho" w:hAnsi="Century Gothic" w:cs="Arial"/>
          <w:lang w:val="es-ES_tradnl" w:eastAsia="es-CO"/>
        </w:rPr>
        <w:t xml:space="preserve"> </w:t>
      </w:r>
      <w:r w:rsidR="00AD6624">
        <w:rPr>
          <w:rFonts w:ascii="Century Gothic" w:eastAsia="MS Mincho" w:hAnsi="Century Gothic" w:cs="Arial"/>
          <w:lang w:val="es-ES_tradnl" w:eastAsia="es-CO"/>
        </w:rPr>
        <w:t>concluyó</w:t>
      </w:r>
      <w:r w:rsidR="00CD77E7" w:rsidRPr="00CD77E7">
        <w:rPr>
          <w:rFonts w:ascii="Century Gothic" w:eastAsia="MS Mincho" w:hAnsi="Century Gothic" w:cs="Arial"/>
          <w:lang w:val="es-ES_tradnl" w:eastAsia="es-CO"/>
        </w:rPr>
        <w:t xml:space="preserve"> lo siguiente:</w:t>
      </w:r>
    </w:p>
    <w:p w14:paraId="1FDD13FB" w14:textId="267DF64C" w:rsidR="00CD77E7" w:rsidRPr="007F3C86" w:rsidRDefault="00AD6624" w:rsidP="007F3C86">
      <w:pPr>
        <w:spacing w:after="120" w:line="240" w:lineRule="auto"/>
        <w:ind w:left="709" w:right="709"/>
        <w:jc w:val="both"/>
        <w:rPr>
          <w:rFonts w:ascii="Century Gothic" w:eastAsia="MS Mincho" w:hAnsi="Century Gothic" w:cs="Arial"/>
          <w:sz w:val="21"/>
          <w:szCs w:val="21"/>
          <w:lang w:val="es-ES_tradnl" w:eastAsia="es-CO"/>
        </w:rPr>
      </w:pPr>
      <w:r w:rsidRPr="007F3C86">
        <w:rPr>
          <w:rFonts w:ascii="Century Gothic" w:eastAsia="MS Mincho" w:hAnsi="Century Gothic" w:cs="Arial"/>
          <w:sz w:val="21"/>
          <w:szCs w:val="21"/>
          <w:lang w:val="es-ES_tradnl" w:eastAsia="es-CO"/>
        </w:rPr>
        <w:t>“</w:t>
      </w:r>
      <w:r w:rsidR="00CD77E7" w:rsidRPr="007F3C86">
        <w:rPr>
          <w:rFonts w:ascii="Century Gothic" w:eastAsia="MS Mincho" w:hAnsi="Century Gothic" w:cs="Arial"/>
          <w:sz w:val="21"/>
          <w:szCs w:val="21"/>
          <w:lang w:val="es-ES_tradnl" w:eastAsia="es-CO"/>
        </w:rPr>
        <w:t>i) Los encargos fiduciarios que celebren las entidades estatales tienen como objeto</w:t>
      </w:r>
      <w:r w:rsidRPr="007F3C86">
        <w:rPr>
          <w:rFonts w:ascii="Century Gothic" w:eastAsia="MS Mincho" w:hAnsi="Century Gothic" w:cs="Arial"/>
          <w:sz w:val="21"/>
          <w:szCs w:val="21"/>
          <w:lang w:val="es-ES_tradnl" w:eastAsia="es-CO"/>
        </w:rPr>
        <w:t xml:space="preserve"> </w:t>
      </w:r>
      <w:r w:rsidR="00CD77E7" w:rsidRPr="007F3C86">
        <w:rPr>
          <w:rFonts w:ascii="Century Gothic" w:eastAsia="MS Mincho" w:hAnsi="Century Gothic" w:cs="Arial"/>
          <w:sz w:val="21"/>
          <w:szCs w:val="21"/>
          <w:lang w:val="es-ES_tradnl" w:eastAsia="es-CO"/>
        </w:rPr>
        <w:t>«la administración o el manejo de los recursos vinculados a los contratos que tales</w:t>
      </w:r>
      <w:r w:rsidR="00104D87" w:rsidRPr="007F3C86">
        <w:rPr>
          <w:rFonts w:ascii="Century Gothic" w:eastAsia="MS Mincho" w:hAnsi="Century Gothic" w:cs="Arial"/>
          <w:sz w:val="21"/>
          <w:szCs w:val="21"/>
          <w:lang w:val="es-ES_tradnl" w:eastAsia="es-CO"/>
        </w:rPr>
        <w:t xml:space="preserve"> </w:t>
      </w:r>
      <w:r w:rsidR="00CD77E7" w:rsidRPr="007F3C86">
        <w:rPr>
          <w:rFonts w:ascii="Century Gothic" w:eastAsia="MS Mincho" w:hAnsi="Century Gothic" w:cs="Arial"/>
          <w:sz w:val="21"/>
          <w:szCs w:val="21"/>
          <w:lang w:val="es-ES_tradnl" w:eastAsia="es-CO"/>
        </w:rPr>
        <w:t>entidades celebren»</w:t>
      </w:r>
      <w:r w:rsidR="00104D87" w:rsidRPr="007F3C86">
        <w:rPr>
          <w:rFonts w:ascii="Century Gothic" w:eastAsia="MS Mincho" w:hAnsi="Century Gothic" w:cs="Arial"/>
          <w:sz w:val="21"/>
          <w:szCs w:val="21"/>
          <w:vertAlign w:val="superscript"/>
          <w:lang w:val="es-ES_tradnl" w:eastAsia="es-CO"/>
        </w:rPr>
        <w:t xml:space="preserve"> </w:t>
      </w:r>
      <w:r w:rsidR="00CD77E7" w:rsidRPr="007F3C86">
        <w:rPr>
          <w:rFonts w:ascii="Century Gothic" w:eastAsia="MS Mincho" w:hAnsi="Century Gothic" w:cs="Arial"/>
          <w:sz w:val="21"/>
          <w:szCs w:val="21"/>
          <w:vertAlign w:val="superscript"/>
          <w:lang w:val="es-ES_tradnl" w:eastAsia="es-CO"/>
        </w:rPr>
        <w:t>22</w:t>
      </w:r>
      <w:r w:rsidR="00CD77E7" w:rsidRPr="007F3C86">
        <w:rPr>
          <w:rFonts w:ascii="Century Gothic" w:eastAsia="MS Mincho" w:hAnsi="Century Gothic" w:cs="Arial"/>
          <w:sz w:val="21"/>
          <w:szCs w:val="21"/>
          <w:lang w:val="es-ES_tradnl" w:eastAsia="es-CO"/>
        </w:rPr>
        <w:t>.</w:t>
      </w:r>
    </w:p>
    <w:p w14:paraId="36516AD9" w14:textId="48732B5E" w:rsidR="00CD77E7"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proofErr w:type="spellStart"/>
      <w:r w:rsidRPr="007F3C86">
        <w:rPr>
          <w:rFonts w:ascii="Century Gothic" w:eastAsia="MS Mincho" w:hAnsi="Century Gothic" w:cs="Arial"/>
          <w:sz w:val="21"/>
          <w:szCs w:val="21"/>
          <w:lang w:val="es-ES_tradnl" w:eastAsia="es-CO"/>
        </w:rPr>
        <w:t>ii</w:t>
      </w:r>
      <w:proofErr w:type="spellEnd"/>
      <w:r w:rsidRPr="007F3C86">
        <w:rPr>
          <w:rFonts w:ascii="Century Gothic" w:eastAsia="MS Mincho" w:hAnsi="Century Gothic" w:cs="Arial"/>
          <w:sz w:val="21"/>
          <w:szCs w:val="21"/>
          <w:lang w:val="es-ES_tradnl" w:eastAsia="es-CO"/>
        </w:rPr>
        <w:t>) Los encargos fiduciarios y los contratos de fiducia pública únicamente pueden</w:t>
      </w:r>
      <w:r w:rsidR="00104D87"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celebrarse por las entidades estatales para objetos y plazos precisamente</w:t>
      </w:r>
      <w:r w:rsidR="00104D87"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determinados, y con estricta aplicación de lo dispuesto en el estatuto</w:t>
      </w:r>
      <w:r w:rsidRPr="007F3C86">
        <w:rPr>
          <w:rFonts w:ascii="Century Gothic" w:eastAsia="MS Mincho" w:hAnsi="Century Gothic" w:cs="Arial"/>
          <w:sz w:val="21"/>
          <w:szCs w:val="21"/>
          <w:vertAlign w:val="superscript"/>
          <w:lang w:val="es-ES_tradnl" w:eastAsia="es-CO"/>
        </w:rPr>
        <w:t>23</w:t>
      </w:r>
      <w:r w:rsidRPr="007F3C86">
        <w:rPr>
          <w:rFonts w:ascii="Century Gothic" w:eastAsia="MS Mincho" w:hAnsi="Century Gothic" w:cs="Arial"/>
          <w:sz w:val="21"/>
          <w:szCs w:val="21"/>
          <w:lang w:val="es-ES_tradnl" w:eastAsia="es-CO"/>
        </w:rPr>
        <w:t>.</w:t>
      </w:r>
    </w:p>
    <w:p w14:paraId="5471D21C" w14:textId="34BAD4E2" w:rsidR="00CD77E7"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proofErr w:type="spellStart"/>
      <w:r w:rsidRPr="007F3C86">
        <w:rPr>
          <w:rFonts w:ascii="Century Gothic" w:eastAsia="MS Mincho" w:hAnsi="Century Gothic" w:cs="Arial"/>
          <w:sz w:val="21"/>
          <w:szCs w:val="21"/>
          <w:lang w:val="es-ES_tradnl" w:eastAsia="es-CO"/>
        </w:rPr>
        <w:t>iii</w:t>
      </w:r>
      <w:proofErr w:type="spellEnd"/>
      <w:r w:rsidRPr="007F3C86">
        <w:rPr>
          <w:rFonts w:ascii="Century Gothic" w:eastAsia="MS Mincho" w:hAnsi="Century Gothic" w:cs="Arial"/>
          <w:sz w:val="21"/>
          <w:szCs w:val="21"/>
          <w:lang w:val="es-ES_tradnl" w:eastAsia="es-CO"/>
        </w:rPr>
        <w:t>) La fiducia pública no conlleva la trasferencia del derecho de dominio sobre los</w:t>
      </w:r>
      <w:r w:rsidR="00022415"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bienes o recursos estatales. En este sentido, el artículo 32 de la Ley 80 de 1993</w:t>
      </w:r>
      <w:r w:rsidR="00022415"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establece expresamente:</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La fiducia que se autoriza para el sector público en esta ley, nunca implicará</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transferencia de dominio sobre bienes o recursos estatales, ni constituirá patrimonio</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autónomo del propio de la respectiva entidad oficial, sin perjuicio de las</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responsabilidades propias del ordenador del gasto</w:t>
      </w:r>
      <w:r w:rsidRPr="007F3C86">
        <w:rPr>
          <w:rFonts w:ascii="Century Gothic" w:eastAsia="MS Mincho" w:hAnsi="Century Gothic" w:cs="Arial"/>
          <w:sz w:val="21"/>
          <w:szCs w:val="21"/>
          <w:vertAlign w:val="superscript"/>
          <w:lang w:val="es-ES_tradnl" w:eastAsia="es-CO"/>
        </w:rPr>
        <w:t>24</w:t>
      </w:r>
      <w:r w:rsidRPr="007F3C86">
        <w:rPr>
          <w:rFonts w:ascii="Century Gothic" w:eastAsia="MS Mincho" w:hAnsi="Century Gothic" w:cs="Arial"/>
          <w:sz w:val="21"/>
          <w:szCs w:val="21"/>
          <w:lang w:val="es-ES_tradnl" w:eastAsia="es-CO"/>
        </w:rPr>
        <w:t>.</w:t>
      </w:r>
    </w:p>
    <w:p w14:paraId="32531602" w14:textId="3C44745C" w:rsidR="002B68DD"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proofErr w:type="spellStart"/>
      <w:r w:rsidRPr="007F3C86">
        <w:rPr>
          <w:rFonts w:ascii="Century Gothic" w:eastAsia="MS Mincho" w:hAnsi="Century Gothic" w:cs="Arial"/>
          <w:sz w:val="21"/>
          <w:szCs w:val="21"/>
          <w:lang w:val="es-ES_tradnl" w:eastAsia="es-CO"/>
        </w:rPr>
        <w:t>iv</w:t>
      </w:r>
      <w:proofErr w:type="spellEnd"/>
      <w:r w:rsidRPr="007F3C86">
        <w:rPr>
          <w:rFonts w:ascii="Century Gothic" w:eastAsia="MS Mincho" w:hAnsi="Century Gothic" w:cs="Arial"/>
          <w:sz w:val="21"/>
          <w:szCs w:val="21"/>
          <w:lang w:val="es-ES_tradnl" w:eastAsia="es-CO"/>
        </w:rPr>
        <w:t>) Son aplicables las normas del Código de Comercio a la fiducia pública, siempre</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que sean compatibles con lo dispuesto en la Ley 80 de 1993</w:t>
      </w:r>
    </w:p>
    <w:p w14:paraId="4C2FC044" w14:textId="77777777" w:rsidR="0053033E"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r w:rsidRPr="007F3C86">
        <w:rPr>
          <w:rFonts w:ascii="Century Gothic" w:eastAsia="MS Mincho" w:hAnsi="Century Gothic" w:cs="Arial"/>
          <w:sz w:val="21"/>
          <w:szCs w:val="21"/>
          <w:lang w:val="es-ES_tradnl" w:eastAsia="es-CO"/>
        </w:rPr>
        <w:t>v) No puede acudirse a un encargo fiduciario o a una fiducia pública con la finalidad</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de realizar actos o contratos que no pueda celebrar directamente el fideicomitente</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de acuerdo con lo establecido en la ley. Así, la referida Circular de la</w:t>
      </w:r>
      <w:r w:rsidR="0066471C"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Superintendencia Financiera estableció:</w:t>
      </w:r>
      <w:r w:rsidR="0053033E" w:rsidRPr="007F3C86">
        <w:rPr>
          <w:rFonts w:ascii="Century Gothic" w:eastAsia="MS Mincho" w:hAnsi="Century Gothic" w:cs="Arial"/>
          <w:sz w:val="21"/>
          <w:szCs w:val="21"/>
          <w:lang w:val="es-ES_tradnl" w:eastAsia="es-CO"/>
        </w:rPr>
        <w:t xml:space="preserve"> </w:t>
      </w:r>
    </w:p>
    <w:p w14:paraId="616355AC" w14:textId="34802E99" w:rsidR="00CD77E7"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r w:rsidRPr="007F3C86">
        <w:rPr>
          <w:rFonts w:ascii="Century Gothic" w:eastAsia="MS Mincho" w:hAnsi="Century Gothic" w:cs="Arial"/>
          <w:sz w:val="21"/>
          <w:szCs w:val="21"/>
          <w:lang w:val="es-ES_tradnl" w:eastAsia="es-CO"/>
        </w:rPr>
        <w:t>5.4.2. La firmeza y seguridad jurídica de un contrato de fiducia pública o de un encargo</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fiduciario, según el caso, dependen necesariamente de que tanto la entidad estatal</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como la sociedad fiduciaria que pretende vincularse contractualmente con ella,</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acaten y respeten en la práctica todos los presupuestos, formas y formalidades</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que informan la contratación administrativa, o dicho de otro modo, no resulta viable,</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desde el punto de vista jurídico, celebrar contratos de fiducia pública y encargos</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fiduciarios que conduzcan a un desconocimiento de las disposiciones contenidas en</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la Ley 80 de 1993 y en la Ley 1150 de 2007 y en las demás disposiciones</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reglamentarias o instrucciones emitidas por las instancias nacionales o territoriales</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correspondientes.</w:t>
      </w:r>
    </w:p>
    <w:p w14:paraId="256071EC" w14:textId="6FF7CC84" w:rsidR="00CD77E7"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r w:rsidRPr="007F3C86">
        <w:rPr>
          <w:rFonts w:ascii="Century Gothic" w:eastAsia="MS Mincho" w:hAnsi="Century Gothic" w:cs="Arial"/>
          <w:sz w:val="21"/>
          <w:szCs w:val="21"/>
          <w:lang w:val="es-ES_tradnl" w:eastAsia="es-CO"/>
        </w:rPr>
        <w:t>En este sentido se reitera la prohibición general mediante la cual en los términos del</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parágrafo del art. 2.5.2.1.1 del Decreto 2555 de 2010 el negocio fiduciario no puede</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servir de instrumento para realizar actos o contratos que no pueda celebrar</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directamente el fideicomitente de acuerdo con las disposiciones legales, en razón de</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lo cual, le corresponde a la sociedad fiduciaria desarrollar acciones que le permitan</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evitar que el negocio fiduciario se convierta en un instrumento de fraude a la ley. Este</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mismo análisis debe realizarse cuando quiera que al fideicomiso se vinculen de</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manera directa o indirecta recursos públicos.</w:t>
      </w:r>
    </w:p>
    <w:p w14:paraId="12DF19FF" w14:textId="5581440B" w:rsidR="00CD77E7" w:rsidRPr="007F3C86" w:rsidRDefault="00CD77E7" w:rsidP="007F3C86">
      <w:pPr>
        <w:spacing w:after="120" w:line="240" w:lineRule="auto"/>
        <w:ind w:left="709" w:right="709"/>
        <w:jc w:val="both"/>
        <w:rPr>
          <w:rFonts w:ascii="Century Gothic" w:eastAsia="MS Mincho" w:hAnsi="Century Gothic" w:cs="Arial"/>
          <w:sz w:val="21"/>
          <w:szCs w:val="21"/>
          <w:lang w:val="es-ES_tradnl" w:eastAsia="es-CO"/>
        </w:rPr>
      </w:pPr>
      <w:r w:rsidRPr="007F3C86">
        <w:rPr>
          <w:rFonts w:ascii="Century Gothic" w:eastAsia="MS Mincho" w:hAnsi="Century Gothic" w:cs="Arial"/>
          <w:sz w:val="21"/>
          <w:szCs w:val="21"/>
          <w:lang w:val="es-ES_tradnl" w:eastAsia="es-CO"/>
        </w:rPr>
        <w:t>Como corolario de lo anterior, toda sociedad fiduciaria está obligada, antes de</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celebrar con una entidad estatal un contrato de fiducia pública o un encargo fiduciario,</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a cerciorarse de que el mismo no adolezca de ilicitud por causa u objeto o por</w:t>
      </w:r>
      <w:r w:rsidR="0053033E" w:rsidRPr="007F3C86">
        <w:rPr>
          <w:rFonts w:ascii="Century Gothic" w:eastAsia="MS Mincho" w:hAnsi="Century Gothic" w:cs="Arial"/>
          <w:sz w:val="21"/>
          <w:szCs w:val="21"/>
          <w:lang w:val="es-ES_tradnl" w:eastAsia="es-CO"/>
        </w:rPr>
        <w:t xml:space="preserve"> </w:t>
      </w:r>
      <w:r w:rsidRPr="007F3C86">
        <w:rPr>
          <w:rFonts w:ascii="Century Gothic" w:eastAsia="MS Mincho" w:hAnsi="Century Gothic" w:cs="Arial"/>
          <w:sz w:val="21"/>
          <w:szCs w:val="21"/>
          <w:lang w:val="es-ES_tradnl" w:eastAsia="es-CO"/>
        </w:rPr>
        <w:t>cualquiera otra circunstancia de la cual ella pueda derivarse.</w:t>
      </w:r>
    </w:p>
    <w:p w14:paraId="02683827" w14:textId="405E717C" w:rsidR="00CD77E7" w:rsidRPr="004A2A93" w:rsidRDefault="00CD77E7" w:rsidP="007F3C86">
      <w:pPr>
        <w:spacing w:after="120" w:line="240" w:lineRule="auto"/>
        <w:ind w:left="709" w:right="709"/>
        <w:jc w:val="both"/>
        <w:rPr>
          <w:rFonts w:ascii="Century Gothic" w:eastAsia="MS Mincho" w:hAnsi="Century Gothic" w:cs="Arial"/>
          <w:i/>
          <w:iCs/>
          <w:sz w:val="21"/>
          <w:szCs w:val="21"/>
          <w:lang w:val="es-ES_tradnl" w:eastAsia="es-CO"/>
        </w:rPr>
      </w:pPr>
      <w:r w:rsidRPr="007F3C86">
        <w:rPr>
          <w:rFonts w:ascii="Century Gothic" w:eastAsia="MS Mincho" w:hAnsi="Century Gothic" w:cs="Arial"/>
          <w:sz w:val="21"/>
          <w:szCs w:val="21"/>
          <w:lang w:val="es-ES_tradnl" w:eastAsia="es-CO"/>
        </w:rPr>
        <w:t xml:space="preserve">vi) </w:t>
      </w:r>
      <w:r w:rsidRPr="004A2A93">
        <w:rPr>
          <w:rFonts w:ascii="Century Gothic" w:eastAsia="MS Mincho" w:hAnsi="Century Gothic" w:cs="Arial"/>
          <w:i/>
          <w:iCs/>
          <w:sz w:val="21"/>
          <w:szCs w:val="21"/>
          <w:lang w:val="es-ES_tradnl" w:eastAsia="es-CO"/>
        </w:rPr>
        <w:t>De acuerdo con la citada circular, «a las entidades estatales, entendiendo por</w:t>
      </w:r>
      <w:r w:rsidR="0053033E"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tales las señaladas en el numeral 1 del art. 2 de la Ley 80 de 1993, las normas a</w:t>
      </w:r>
      <w:r w:rsidR="0097209D"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ellas aplicables reconocen expresamente la posibilidad de celebrar, en calidad de</w:t>
      </w:r>
      <w:r w:rsidR="0097209D"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fideicomitentes, única y exclusivamente contratos de fiducia pública y encargos</w:t>
      </w:r>
      <w:r w:rsidR="00986526"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fiduciarios».</w:t>
      </w:r>
    </w:p>
    <w:p w14:paraId="39B99929" w14:textId="68DD716D" w:rsidR="00CD77E7" w:rsidRPr="004A2A93" w:rsidRDefault="00CD77E7" w:rsidP="004A2A93">
      <w:pPr>
        <w:spacing w:after="120" w:line="240" w:lineRule="auto"/>
        <w:ind w:left="709" w:right="709"/>
        <w:jc w:val="both"/>
        <w:rPr>
          <w:rFonts w:ascii="Century Gothic" w:eastAsia="MS Mincho" w:hAnsi="Century Gothic" w:cs="Arial"/>
          <w:sz w:val="21"/>
          <w:szCs w:val="21"/>
          <w:lang w:val="es-ES_tradnl" w:eastAsia="es-CO"/>
        </w:rPr>
      </w:pPr>
      <w:r w:rsidRPr="004A2A93">
        <w:rPr>
          <w:rFonts w:ascii="Century Gothic" w:eastAsia="MS Mincho" w:hAnsi="Century Gothic" w:cs="Arial"/>
          <w:i/>
          <w:iCs/>
          <w:sz w:val="21"/>
          <w:szCs w:val="21"/>
          <w:lang w:val="es-ES_tradnl" w:eastAsia="es-CO"/>
        </w:rPr>
        <w:t>Con todo, esta regla no es absoluta, pues pueden existir situaciones en las cuales</w:t>
      </w:r>
      <w:r w:rsidR="00986526"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una entidad pública se encuentra facultada para celebrar contratos de fiducia</w:t>
      </w:r>
      <w:r w:rsidR="00986526"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mercantil</w:t>
      </w:r>
      <w:r w:rsidR="004A2A93" w:rsidRPr="004A2A93">
        <w:rPr>
          <w:rFonts w:ascii="Century Gothic" w:eastAsia="MS Mincho" w:hAnsi="Century Gothic" w:cs="Arial"/>
          <w:i/>
          <w:iCs/>
          <w:sz w:val="21"/>
          <w:szCs w:val="21"/>
          <w:lang w:val="es-ES_tradnl" w:eastAsia="es-CO"/>
        </w:rPr>
        <w:t xml:space="preserve"> (…)”</w:t>
      </w:r>
      <w:r w:rsidRPr="004A2A93">
        <w:rPr>
          <w:rFonts w:ascii="Century Gothic" w:eastAsia="MS Mincho" w:hAnsi="Century Gothic" w:cs="Arial"/>
          <w:i/>
          <w:iCs/>
          <w:sz w:val="21"/>
          <w:szCs w:val="21"/>
          <w:lang w:val="es-ES_tradnl" w:eastAsia="es-CO"/>
        </w:rPr>
        <w:t xml:space="preserve"> </w:t>
      </w:r>
      <w:r w:rsidR="004A2A93">
        <w:rPr>
          <w:rFonts w:ascii="Century Gothic" w:eastAsia="MS Mincho" w:hAnsi="Century Gothic" w:cs="Arial"/>
          <w:sz w:val="21"/>
          <w:szCs w:val="21"/>
          <w:lang w:val="es-ES_tradnl" w:eastAsia="es-CO"/>
        </w:rPr>
        <w:t>(énfasis fuera de texto)</w:t>
      </w:r>
    </w:p>
    <w:p w14:paraId="2E05B2E3" w14:textId="255C04DA" w:rsidR="0018369F" w:rsidRPr="004E4408" w:rsidRDefault="0018369F" w:rsidP="006C092A">
      <w:pPr>
        <w:spacing w:after="120" w:line="276" w:lineRule="auto"/>
        <w:ind w:firstLine="708"/>
        <w:jc w:val="both"/>
        <w:rPr>
          <w:rFonts w:ascii="Century Gothic" w:eastAsia="MS Mincho" w:hAnsi="Century Gothic" w:cs="Arial"/>
          <w:lang w:val="es-ES_tradnl" w:eastAsia="es-CO"/>
        </w:rPr>
      </w:pPr>
      <w:r w:rsidRPr="007D623A">
        <w:rPr>
          <w:rFonts w:ascii="Century Gothic" w:eastAsia="MS Mincho" w:hAnsi="Century Gothic" w:cs="Arial"/>
          <w:lang w:val="es-ES_tradnl" w:eastAsia="es-CO"/>
        </w:rPr>
        <w:t>De conformidad con lo expuesto, se entiende que las entidades estatales pueden entregar el manejo de recursos con el fin de hacer pagos o desembolsos derivados de un contrato estatal, ya sea por fiducia pública o encargo fiduciario. Sin embargo, el inciso 7, del numeral 5, del artículo 32 de la Ley 80 de 1993, prohíbe que se constituya patrimonio autónomo en virtud de estos negocios fiduciarios. En estos casos, la entidad estatal mantiene la propiedad de los recursos y por ello conserva el control sobre ellos. Solo en supuestos excepcionales, en los que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que motivaron la contratación. En consecuencia, la entidad estatal debe conservar el control de los recursos entregados al patrimonio autónomo.</w:t>
      </w:r>
    </w:p>
    <w:p w14:paraId="2BAC8801" w14:textId="77777777" w:rsidR="0018369F" w:rsidRPr="004E4408" w:rsidRDefault="0018369F" w:rsidP="00031122">
      <w:pPr>
        <w:spacing w:before="120" w:after="120" w:line="276" w:lineRule="auto"/>
        <w:ind w:firstLine="708"/>
        <w:jc w:val="both"/>
        <w:textAlignment w:val="baseline"/>
        <w:rPr>
          <w:rFonts w:ascii="Century Gothic" w:eastAsia="MS Mincho" w:hAnsi="Century Gothic" w:cs="Arial"/>
          <w:lang w:val="es-ES_tradnl" w:eastAsia="es-CO"/>
        </w:rPr>
      </w:pPr>
      <w:r w:rsidRPr="004E4408">
        <w:rPr>
          <w:rFonts w:ascii="Century Gothic" w:eastAsia="MS Mincho" w:hAnsi="Century Gothic" w:cs="Arial"/>
          <w:lang w:val="es-ES_tradnl" w:eastAsia="es-CO"/>
        </w:rPr>
        <w:t>En síntesis, el contrato de fiducia mercantil es diferente del contrato de fiducia pública, regulado en el numeral 5º del artículo 32 de la Ley 80 de 1993, pues este</w:t>
      </w:r>
      <w:r w:rsidRPr="004E4408">
        <w:rPr>
          <w:rFonts w:ascii="Century Gothic" w:eastAsia="MS Mincho" w:hAnsi="Century Gothic" w:cs="Arial"/>
          <w:spacing w:val="52"/>
          <w:lang w:val="es-ES_tradnl" w:eastAsia="es-CO"/>
        </w:rPr>
        <w:t xml:space="preserve"> </w:t>
      </w:r>
      <w:r w:rsidRPr="004E4408">
        <w:rPr>
          <w:rFonts w:ascii="Century Gothic" w:eastAsia="MS Mincho" w:hAnsi="Century Gothic" w:cs="Arial"/>
          <w:lang w:val="es-ES_tradnl" w:eastAsia="es-CO"/>
        </w:rPr>
        <w:t>último nunca implicará transferencia de dominio sobre bienes o recursos estatales, ni constituirá patrimonio autónomo del propio de la respectiva entidad estatal. En este contexto, la constitución de patrimonios autónomos por parte de entidades estatales solamente puede darse en virtud de una autorización legal. Respecto de la fiducia pública y el encargo fiduciario, el Consejo de Estado ha precisado que el primero constituye un contrato nuevo y autónomo, y el segundo se autoriza solamente para administrar o manejar los recursos vinculados a contratos que las entidades estatales celebren,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w:t>
      </w:r>
      <w:r w:rsidRPr="004E4408">
        <w:rPr>
          <w:rFonts w:ascii="Century Gothic" w:eastAsia="MS Mincho" w:hAnsi="Century Gothic" w:cs="Arial"/>
          <w:vertAlign w:val="superscript"/>
          <w:lang w:val="es-ES_tradnl" w:eastAsia="es-CO"/>
        </w:rPr>
        <w:footnoteReference w:id="23"/>
      </w:r>
      <w:r w:rsidRPr="004E4408">
        <w:rPr>
          <w:rFonts w:ascii="Century Gothic" w:eastAsia="MS Mincho" w:hAnsi="Century Gothic" w:cs="Arial"/>
          <w:lang w:val="es-ES_tradnl" w:eastAsia="es-CO"/>
        </w:rPr>
        <w:t>.</w:t>
      </w:r>
    </w:p>
    <w:p w14:paraId="6AD90365" w14:textId="74A47D28" w:rsidR="004E4408" w:rsidRPr="004545D8" w:rsidRDefault="004545D8" w:rsidP="004545D8">
      <w:pPr>
        <w:spacing w:after="0" w:line="276" w:lineRule="auto"/>
        <w:jc w:val="both"/>
        <w:rPr>
          <w:rFonts w:ascii="Century Gothic" w:eastAsia="MS Mincho" w:hAnsi="Century Gothic" w:cs="Arial"/>
          <w:b/>
          <w:bCs/>
          <w:sz w:val="20"/>
          <w:szCs w:val="20"/>
          <w:lang w:val="es-ES_tradnl" w:eastAsia="es-CO"/>
        </w:rPr>
      </w:pPr>
      <w:r w:rsidRPr="004545D8">
        <w:rPr>
          <w:rFonts w:ascii="Century Gothic" w:hAnsi="Century Gothic" w:cs="Arial"/>
          <w:b/>
          <w:bCs/>
          <w:color w:val="000000" w:themeColor="text1"/>
        </w:rPr>
        <w:t>2.5. Contrato de fiducia mercantil irrevocable de administración y pagos para el manejo de anticipo.</w:t>
      </w:r>
    </w:p>
    <w:p w14:paraId="456E11BB" w14:textId="75A5C095" w:rsidR="00820C44" w:rsidRPr="00EA402B" w:rsidRDefault="00CC6BA8" w:rsidP="00CC6BA8">
      <w:pPr>
        <w:spacing w:before="240" w:after="120" w:line="276" w:lineRule="auto"/>
        <w:jc w:val="both"/>
        <w:rPr>
          <w:rFonts w:ascii="Century Gothic" w:eastAsia="MS Mincho" w:hAnsi="Century Gothic" w:cs="Arial"/>
          <w:lang w:val="es-ES_tradnl" w:eastAsia="es-CO"/>
        </w:rPr>
      </w:pPr>
      <w:r w:rsidRPr="00EA402B">
        <w:rPr>
          <w:rFonts w:ascii="Century Gothic" w:eastAsia="MS Mincho" w:hAnsi="Century Gothic" w:cs="Arial"/>
          <w:lang w:val="es-ES_tradnl" w:eastAsia="es-CO"/>
        </w:rPr>
        <w:t>Conforme a lo expuesto, l</w:t>
      </w:r>
      <w:r w:rsidR="00820C44" w:rsidRPr="00EA402B">
        <w:rPr>
          <w:rFonts w:ascii="Century Gothic" w:eastAsia="MS Mincho" w:hAnsi="Century Gothic" w:cs="Arial"/>
          <w:lang w:val="es-ES_tradnl" w:eastAsia="es-CO"/>
        </w:rPr>
        <w:t xml:space="preserve">a Ley 80 de 1993 permite </w:t>
      </w:r>
      <w:r w:rsidRPr="00EA402B">
        <w:rPr>
          <w:rFonts w:ascii="Century Gothic" w:eastAsia="MS Mincho" w:hAnsi="Century Gothic" w:cs="Arial"/>
          <w:lang w:val="es-ES_tradnl" w:eastAsia="es-CO"/>
        </w:rPr>
        <w:t xml:space="preserve">a las entidades estatales </w:t>
      </w:r>
      <w:r w:rsidR="00820C44" w:rsidRPr="00EA402B">
        <w:rPr>
          <w:rFonts w:ascii="Century Gothic" w:eastAsia="MS Mincho" w:hAnsi="Century Gothic" w:cs="Arial"/>
          <w:lang w:val="es-ES_tradnl" w:eastAsia="es-CO"/>
        </w:rPr>
        <w:t>realizar negocios fiduciarios, siempre que tengan por objeto la administración o el manejo de los recursos vinculados a los contratos estatales</w:t>
      </w:r>
      <w:r w:rsidRPr="00EA402B">
        <w:rPr>
          <w:rFonts w:ascii="Century Gothic" w:eastAsia="MS Mincho" w:hAnsi="Century Gothic" w:cs="Arial"/>
          <w:lang w:val="es-ES_tradnl" w:eastAsia="es-CO"/>
        </w:rPr>
        <w:t xml:space="preserve">. </w:t>
      </w:r>
      <w:r w:rsidR="00820C44" w:rsidRPr="00EA402B">
        <w:rPr>
          <w:rFonts w:ascii="Century Gothic" w:eastAsia="MS Mincho" w:hAnsi="Century Gothic" w:cs="Arial"/>
          <w:lang w:val="es-ES_tradnl" w:eastAsia="es-CO"/>
        </w:rPr>
        <w:t xml:space="preserve">Además, debe señalarse que la contratación derivada de negocios fiduciarios se rige por el Estatuto General de la Contratación de la Administración Pública, como lo establece el artículo 32: </w:t>
      </w:r>
      <w:r w:rsidR="004E4408" w:rsidRPr="0043504F">
        <w:rPr>
          <w:rFonts w:ascii="Century Gothic" w:eastAsia="MS Mincho" w:hAnsi="Century Gothic" w:cs="Arial"/>
          <w:i/>
          <w:iCs/>
          <w:lang w:val="es-ES_tradnl" w:eastAsia="es-CO"/>
        </w:rPr>
        <w:t>“</w:t>
      </w:r>
      <w:r w:rsidR="00820C44" w:rsidRPr="0043504F">
        <w:rPr>
          <w:rFonts w:ascii="Century Gothic" w:eastAsia="MS Mincho" w:hAnsi="Century Gothic" w:cs="Arial"/>
          <w:i/>
          <w:iCs/>
          <w:lang w:val="es-ES_tradnl" w:eastAsia="es-CO"/>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sidR="004E4408" w:rsidRPr="0043504F">
        <w:rPr>
          <w:rFonts w:ascii="Century Gothic" w:eastAsia="MS Mincho" w:hAnsi="Century Gothic" w:cs="Arial"/>
          <w:i/>
          <w:iCs/>
          <w:lang w:val="es-ES_tradnl" w:eastAsia="es-CO"/>
        </w:rPr>
        <w:t>”</w:t>
      </w:r>
      <w:r w:rsidR="00820C44" w:rsidRPr="0043504F">
        <w:rPr>
          <w:rFonts w:ascii="Century Gothic" w:eastAsia="MS Mincho" w:hAnsi="Century Gothic" w:cs="Arial"/>
          <w:i/>
          <w:iCs/>
          <w:lang w:val="es-ES_tradnl" w:eastAsia="es-CO"/>
        </w:rPr>
        <w:t>,</w:t>
      </w:r>
      <w:r w:rsidR="00820C44" w:rsidRPr="00EA402B">
        <w:rPr>
          <w:rFonts w:ascii="Century Gothic" w:eastAsia="MS Mincho" w:hAnsi="Century Gothic" w:cs="Arial"/>
          <w:lang w:val="es-ES_tradnl" w:eastAsia="es-CO"/>
        </w:rPr>
        <w:t xml:space="preserve"> razón por la cual</w:t>
      </w:r>
      <w:r w:rsidR="0043504F">
        <w:rPr>
          <w:rFonts w:ascii="Century Gothic" w:eastAsia="MS Mincho" w:hAnsi="Century Gothic" w:cs="Arial"/>
          <w:lang w:val="es-ES_tradnl" w:eastAsia="es-CO"/>
        </w:rPr>
        <w:t>,</w:t>
      </w:r>
      <w:r w:rsidR="00820C44" w:rsidRPr="00EA402B">
        <w:rPr>
          <w:rFonts w:ascii="Century Gothic" w:eastAsia="MS Mincho" w:hAnsi="Century Gothic" w:cs="Arial"/>
          <w:lang w:val="es-ES_tradnl" w:eastAsia="es-CO"/>
        </w:rPr>
        <w:t xml:space="preserve"> la contratación derivada del contrato fiduciario se regirá por la Ley 80 de</w:t>
      </w:r>
      <w:r w:rsidR="00820C44" w:rsidRPr="00EA402B">
        <w:rPr>
          <w:rFonts w:ascii="Century Gothic" w:eastAsia="MS Mincho" w:hAnsi="Century Gothic" w:cs="Arial"/>
          <w:spacing w:val="-13"/>
          <w:lang w:val="es-ES_tradnl" w:eastAsia="es-CO"/>
        </w:rPr>
        <w:t xml:space="preserve"> </w:t>
      </w:r>
      <w:r w:rsidR="00820C44" w:rsidRPr="00EA402B">
        <w:rPr>
          <w:rFonts w:ascii="Century Gothic" w:eastAsia="MS Mincho" w:hAnsi="Century Gothic" w:cs="Arial"/>
          <w:lang w:val="es-ES_tradnl" w:eastAsia="es-CO"/>
        </w:rPr>
        <w:t xml:space="preserve">1993, salvo que alguna ley especial </w:t>
      </w:r>
      <w:r w:rsidR="00AF68F6">
        <w:rPr>
          <w:rFonts w:ascii="Century Gothic" w:eastAsia="MS Mincho" w:hAnsi="Century Gothic" w:cs="Arial"/>
          <w:lang w:val="es-ES_tradnl" w:eastAsia="es-CO"/>
        </w:rPr>
        <w:t xml:space="preserve">como las que </w:t>
      </w:r>
      <w:r w:rsidR="00820C44" w:rsidRPr="00EA402B">
        <w:rPr>
          <w:rFonts w:ascii="Century Gothic" w:eastAsia="MS Mincho" w:hAnsi="Century Gothic" w:cs="Arial"/>
          <w:lang w:val="es-ES_tradnl" w:eastAsia="es-CO"/>
        </w:rPr>
        <w:t>permit</w:t>
      </w:r>
      <w:r w:rsidR="00AF68F6">
        <w:rPr>
          <w:rFonts w:ascii="Century Gothic" w:eastAsia="MS Mincho" w:hAnsi="Century Gothic" w:cs="Arial"/>
          <w:lang w:val="es-ES_tradnl" w:eastAsia="es-CO"/>
        </w:rPr>
        <w:t>en la constitución de</w:t>
      </w:r>
      <w:r w:rsidR="00820C44" w:rsidRPr="00EA402B">
        <w:rPr>
          <w:rFonts w:ascii="Century Gothic" w:eastAsia="MS Mincho" w:hAnsi="Century Gothic" w:cs="Arial"/>
          <w:lang w:val="es-ES_tradnl" w:eastAsia="es-CO"/>
        </w:rPr>
        <w:t xml:space="preserve"> patrimonio autónomo actúe de forma diferente</w:t>
      </w:r>
      <w:r w:rsidR="0043504F">
        <w:rPr>
          <w:rFonts w:ascii="Century Gothic" w:eastAsia="MS Mincho" w:hAnsi="Century Gothic" w:cs="Arial"/>
          <w:lang w:val="es-ES_tradnl" w:eastAsia="es-CO"/>
        </w:rPr>
        <w:t>,</w:t>
      </w:r>
      <w:r w:rsidR="0009668C">
        <w:rPr>
          <w:rFonts w:ascii="Century Gothic" w:eastAsia="MS Mincho" w:hAnsi="Century Gothic" w:cs="Arial"/>
          <w:lang w:val="es-ES_tradnl" w:eastAsia="es-CO"/>
        </w:rPr>
        <w:t xml:space="preserve"> caso en el cual deberá aplicarse las normas del código de comercio sobre fiducia mercantil</w:t>
      </w:r>
      <w:r w:rsidR="00820C44" w:rsidRPr="00EA402B">
        <w:rPr>
          <w:rFonts w:ascii="Century Gothic" w:eastAsia="MS Mincho" w:hAnsi="Century Gothic" w:cs="Arial"/>
          <w:lang w:val="es-ES_tradnl" w:eastAsia="es-CO"/>
        </w:rPr>
        <w:t>.</w:t>
      </w:r>
    </w:p>
    <w:p w14:paraId="3CFFCE32" w14:textId="254077DB" w:rsidR="0009668C" w:rsidRDefault="00C32B76" w:rsidP="007855ED">
      <w:pPr>
        <w:spacing w:after="120" w:line="276" w:lineRule="auto"/>
        <w:ind w:firstLine="709"/>
        <w:jc w:val="both"/>
        <w:rPr>
          <w:rFonts w:ascii="Century Gothic" w:eastAsia="MS Mincho" w:hAnsi="Century Gothic" w:cs="Arial"/>
          <w:i/>
          <w:iCs/>
          <w:lang w:val="es-ES_tradnl" w:eastAsia="es-CO"/>
        </w:rPr>
      </w:pPr>
      <w:r>
        <w:rPr>
          <w:rFonts w:ascii="Century Gothic" w:eastAsia="MS Mincho" w:hAnsi="Century Gothic" w:cs="Arial"/>
          <w:lang w:val="es-ES_tradnl" w:eastAsia="es-CO"/>
        </w:rPr>
        <w:t>En ese contexto,</w:t>
      </w:r>
      <w:r w:rsidR="0043256C">
        <w:rPr>
          <w:rFonts w:ascii="Century Gothic" w:eastAsia="MS Mincho" w:hAnsi="Century Gothic" w:cs="Arial"/>
          <w:lang w:val="es-ES_tradnl" w:eastAsia="es-CO"/>
        </w:rPr>
        <w:t xml:space="preserve"> el proyecto de Ley 142 de 2010 del senado </w:t>
      </w:r>
      <w:r w:rsidR="0043256C" w:rsidRPr="00865BCD">
        <w:rPr>
          <w:rFonts w:ascii="Century Gothic" w:eastAsia="MS Mincho" w:hAnsi="Century Gothic" w:cs="Arial"/>
          <w:i/>
          <w:iCs/>
          <w:lang w:val="es-ES_tradnl" w:eastAsia="es-CO"/>
        </w:rPr>
        <w:t>“</w:t>
      </w:r>
      <w:r w:rsidR="00865BCD" w:rsidRPr="00865BCD">
        <w:rPr>
          <w:rFonts w:ascii="Century Gothic" w:eastAsia="MS Mincho" w:hAnsi="Century Gothic" w:cs="Arial"/>
          <w:i/>
          <w:iCs/>
          <w:lang w:val="es-ES_tradnl" w:eastAsia="es-CO"/>
        </w:rPr>
        <w:t>P</w:t>
      </w:r>
      <w:r w:rsidR="007855ED" w:rsidRPr="00865BCD">
        <w:rPr>
          <w:rFonts w:ascii="Century Gothic" w:eastAsia="MS Mincho" w:hAnsi="Century Gothic" w:cs="Arial"/>
          <w:i/>
          <w:iCs/>
          <w:lang w:val="es-ES_tradnl" w:eastAsia="es-CO"/>
        </w:rPr>
        <w:t>or la cual se dictan normas orientadas a fortalecer los mecanismos de prevención,</w:t>
      </w:r>
      <w:r w:rsidR="00865BCD" w:rsidRPr="00865BCD">
        <w:rPr>
          <w:rFonts w:ascii="Century Gothic" w:eastAsia="MS Mincho" w:hAnsi="Century Gothic" w:cs="Arial"/>
          <w:i/>
          <w:iCs/>
          <w:lang w:val="es-ES_tradnl" w:eastAsia="es-CO"/>
        </w:rPr>
        <w:t xml:space="preserve"> </w:t>
      </w:r>
      <w:r w:rsidR="007855ED" w:rsidRPr="00865BCD">
        <w:rPr>
          <w:rFonts w:ascii="Century Gothic" w:eastAsia="MS Mincho" w:hAnsi="Century Gothic" w:cs="Arial"/>
          <w:i/>
          <w:iCs/>
          <w:lang w:val="es-ES_tradnl" w:eastAsia="es-CO"/>
        </w:rPr>
        <w:t>investigación y sanción de actos de corrupción</w:t>
      </w:r>
      <w:r w:rsidR="00865BCD" w:rsidRPr="00865BCD">
        <w:rPr>
          <w:rFonts w:ascii="Century Gothic" w:eastAsia="MS Mincho" w:hAnsi="Century Gothic" w:cs="Arial"/>
          <w:i/>
          <w:iCs/>
          <w:lang w:val="es-ES_tradnl" w:eastAsia="es-CO"/>
        </w:rPr>
        <w:t xml:space="preserve"> </w:t>
      </w:r>
      <w:r w:rsidR="007855ED" w:rsidRPr="00865BCD">
        <w:rPr>
          <w:rFonts w:ascii="Century Gothic" w:eastAsia="MS Mincho" w:hAnsi="Century Gothic" w:cs="Arial"/>
          <w:i/>
          <w:iCs/>
          <w:lang w:val="es-ES_tradnl" w:eastAsia="es-CO"/>
        </w:rPr>
        <w:t>y la efectividad del control de la gestión pública</w:t>
      </w:r>
      <w:r w:rsidR="002515D2">
        <w:rPr>
          <w:rFonts w:ascii="Century Gothic" w:eastAsia="MS Mincho" w:hAnsi="Century Gothic" w:cs="Arial"/>
          <w:i/>
          <w:iCs/>
          <w:lang w:val="es-ES_tradnl" w:eastAsia="es-CO"/>
        </w:rPr>
        <w:t xml:space="preserve">”, </w:t>
      </w:r>
      <w:r w:rsidR="000A449C">
        <w:rPr>
          <w:rFonts w:ascii="Century Gothic" w:eastAsia="MS Mincho" w:hAnsi="Century Gothic" w:cs="Arial"/>
          <w:lang w:val="es-ES_tradnl" w:eastAsia="es-CO"/>
        </w:rPr>
        <w:t>con la que se</w:t>
      </w:r>
      <w:r w:rsidR="007A005B">
        <w:rPr>
          <w:rFonts w:ascii="Century Gothic" w:eastAsia="MS Mincho" w:hAnsi="Century Gothic" w:cs="Arial"/>
          <w:lang w:val="es-ES_tradnl" w:eastAsia="es-CO"/>
        </w:rPr>
        <w:t xml:space="preserve"> inicio el trámite legislativo de</w:t>
      </w:r>
      <w:r w:rsidR="000A449C">
        <w:rPr>
          <w:rFonts w:ascii="Century Gothic" w:eastAsia="MS Mincho" w:hAnsi="Century Gothic" w:cs="Arial"/>
          <w:lang w:val="es-ES_tradnl" w:eastAsia="es-CO"/>
        </w:rPr>
        <w:t xml:space="preserve"> la Ley 1474 d</w:t>
      </w:r>
      <w:r w:rsidR="008D62D1">
        <w:rPr>
          <w:rFonts w:ascii="Century Gothic" w:eastAsia="MS Mincho" w:hAnsi="Century Gothic" w:cs="Arial"/>
          <w:lang w:val="es-ES_tradnl" w:eastAsia="es-CO"/>
        </w:rPr>
        <w:t xml:space="preserve">e 2011, </w:t>
      </w:r>
      <w:r w:rsidR="00956A54">
        <w:rPr>
          <w:rFonts w:ascii="Century Gothic" w:eastAsia="MS Mincho" w:hAnsi="Century Gothic" w:cs="Arial"/>
          <w:lang w:val="es-ES_tradnl" w:eastAsia="es-CO"/>
        </w:rPr>
        <w:t xml:space="preserve">contempló </w:t>
      </w:r>
      <w:r w:rsidR="008D62D1">
        <w:rPr>
          <w:rFonts w:ascii="Century Gothic" w:eastAsia="MS Mincho" w:hAnsi="Century Gothic" w:cs="Arial"/>
          <w:lang w:val="es-ES_tradnl" w:eastAsia="es-CO"/>
        </w:rPr>
        <w:t xml:space="preserve">en su </w:t>
      </w:r>
      <w:r w:rsidR="00143CFA">
        <w:rPr>
          <w:rFonts w:ascii="Century Gothic" w:eastAsia="MS Mincho" w:hAnsi="Century Gothic" w:cs="Arial"/>
          <w:lang w:val="es-ES_tradnl" w:eastAsia="es-CO"/>
        </w:rPr>
        <w:t xml:space="preserve">propuesta </w:t>
      </w:r>
      <w:r w:rsidR="006A708A">
        <w:rPr>
          <w:rFonts w:ascii="Century Gothic" w:eastAsia="MS Mincho" w:hAnsi="Century Gothic" w:cs="Arial"/>
          <w:lang w:val="es-ES_tradnl" w:eastAsia="es-CO"/>
        </w:rPr>
        <w:t>ini</w:t>
      </w:r>
      <w:r w:rsidR="00AC6D21">
        <w:rPr>
          <w:rFonts w:ascii="Century Gothic" w:eastAsia="MS Mincho" w:hAnsi="Century Gothic" w:cs="Arial"/>
          <w:lang w:val="es-ES_tradnl" w:eastAsia="es-CO"/>
        </w:rPr>
        <w:t>cial el</w:t>
      </w:r>
      <w:r w:rsidR="00143CFA">
        <w:rPr>
          <w:rFonts w:ascii="Century Gothic" w:eastAsia="MS Mincho" w:hAnsi="Century Gothic" w:cs="Arial"/>
          <w:lang w:val="es-ES_tradnl" w:eastAsia="es-CO"/>
        </w:rPr>
        <w:t xml:space="preserve"> </w:t>
      </w:r>
      <w:r w:rsidR="00956A54">
        <w:rPr>
          <w:rFonts w:ascii="Century Gothic" w:eastAsia="MS Mincho" w:hAnsi="Century Gothic" w:cs="Arial"/>
          <w:lang w:val="es-ES_tradnl" w:eastAsia="es-CO"/>
        </w:rPr>
        <w:t>artículo 88</w:t>
      </w:r>
      <w:r w:rsidR="009D307C">
        <w:rPr>
          <w:rFonts w:ascii="Century Gothic" w:eastAsia="MS Mincho" w:hAnsi="Century Gothic" w:cs="Arial"/>
          <w:lang w:val="es-ES_tradnl" w:eastAsia="es-CO"/>
        </w:rPr>
        <w:t xml:space="preserve"> </w:t>
      </w:r>
      <w:r w:rsidR="00AC6D21">
        <w:rPr>
          <w:rFonts w:ascii="Century Gothic" w:eastAsia="MS Mincho" w:hAnsi="Century Gothic" w:cs="Arial"/>
          <w:lang w:val="es-ES_tradnl" w:eastAsia="es-CO"/>
        </w:rPr>
        <w:t xml:space="preserve">mediante el cual se incorporó </w:t>
      </w:r>
      <w:r w:rsidR="00025438">
        <w:rPr>
          <w:rFonts w:ascii="Century Gothic" w:eastAsia="MS Mincho" w:hAnsi="Century Gothic" w:cs="Arial"/>
          <w:lang w:val="es-ES_tradnl" w:eastAsia="es-CO"/>
        </w:rPr>
        <w:t xml:space="preserve">la obligación a cargo de todo contratista de </w:t>
      </w:r>
      <w:r w:rsidR="00025438" w:rsidRPr="00A45EFA">
        <w:rPr>
          <w:rFonts w:ascii="Century Gothic" w:eastAsia="MS Mincho" w:hAnsi="Century Gothic" w:cs="Arial"/>
          <w:i/>
          <w:iCs/>
          <w:lang w:val="es-ES_tradnl" w:eastAsia="es-CO"/>
        </w:rPr>
        <w:t>“constituir una fiducia irrevocable para el manejo de los recursos que reciba a título de anticipo, con el fin de garantizar que dichos recursos se apliquen exclusivamente a la ejecución del contrato correspondiente</w:t>
      </w:r>
      <w:r w:rsidR="00A45EFA" w:rsidRPr="00A45EFA">
        <w:rPr>
          <w:rFonts w:ascii="Century Gothic" w:eastAsia="MS Mincho" w:hAnsi="Century Gothic" w:cs="Arial"/>
          <w:i/>
          <w:iCs/>
          <w:lang w:val="es-ES_tradnl" w:eastAsia="es-CO"/>
        </w:rPr>
        <w:t xml:space="preserve"> (…)”</w:t>
      </w:r>
      <w:r w:rsidR="00A45EFA">
        <w:rPr>
          <w:rStyle w:val="Refdenotaalpie"/>
          <w:rFonts w:ascii="Century Gothic" w:eastAsia="MS Mincho" w:hAnsi="Century Gothic" w:cs="Arial"/>
          <w:i/>
          <w:iCs/>
          <w:lang w:val="es-ES_tradnl" w:eastAsia="es-CO"/>
        </w:rPr>
        <w:footnoteReference w:id="24"/>
      </w:r>
      <w:r w:rsidR="00BB5612">
        <w:rPr>
          <w:rFonts w:ascii="Century Gothic" w:eastAsia="MS Mincho" w:hAnsi="Century Gothic" w:cs="Arial"/>
          <w:i/>
          <w:iCs/>
          <w:lang w:val="es-ES_tradnl" w:eastAsia="es-CO"/>
        </w:rPr>
        <w:t>.</w:t>
      </w:r>
    </w:p>
    <w:p w14:paraId="10DECF48" w14:textId="7C6D6823" w:rsidR="00022F2A" w:rsidRPr="00022F2A" w:rsidRDefault="0092036A" w:rsidP="00022F2A">
      <w:pPr>
        <w:spacing w:after="120" w:line="276" w:lineRule="auto"/>
        <w:ind w:firstLine="709"/>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La anterior propuesta </w:t>
      </w:r>
      <w:r w:rsidR="0022031E" w:rsidRPr="0022031E">
        <w:rPr>
          <w:rFonts w:ascii="Century Gothic" w:eastAsia="MS Mincho" w:hAnsi="Century Gothic" w:cs="Arial"/>
          <w:lang w:val="es-ES_tradnl" w:eastAsia="es-CO"/>
        </w:rPr>
        <w:t xml:space="preserve">fue </w:t>
      </w:r>
      <w:r w:rsidR="00AF4481" w:rsidRPr="0022031E">
        <w:rPr>
          <w:rFonts w:ascii="Century Gothic" w:eastAsia="MS Mincho" w:hAnsi="Century Gothic" w:cs="Arial"/>
          <w:lang w:val="es-ES_tradnl" w:eastAsia="es-CO"/>
        </w:rPr>
        <w:t>justificada</w:t>
      </w:r>
      <w:r w:rsidR="0022031E" w:rsidRPr="0022031E">
        <w:rPr>
          <w:rFonts w:ascii="Century Gothic" w:eastAsia="MS Mincho" w:hAnsi="Century Gothic" w:cs="Arial"/>
          <w:lang w:val="es-ES_tradnl" w:eastAsia="es-CO"/>
        </w:rPr>
        <w:t xml:space="preserve"> en la exposición de motivos del</w:t>
      </w:r>
      <w:r w:rsidR="00E627DB">
        <w:rPr>
          <w:rFonts w:ascii="Century Gothic" w:eastAsia="MS Mincho" w:hAnsi="Century Gothic" w:cs="Arial"/>
          <w:lang w:val="es-ES_tradnl" w:eastAsia="es-CO"/>
        </w:rPr>
        <w:t xml:space="preserve"> citado </w:t>
      </w:r>
      <w:r w:rsidR="00177FA3">
        <w:rPr>
          <w:rFonts w:ascii="Century Gothic" w:eastAsia="MS Mincho" w:hAnsi="Century Gothic" w:cs="Arial"/>
          <w:lang w:val="es-ES_tradnl" w:eastAsia="es-CO"/>
        </w:rPr>
        <w:t xml:space="preserve">proyecto de Ley 142 de 2010 del senado </w:t>
      </w:r>
      <w:r w:rsidR="005E2251">
        <w:rPr>
          <w:rFonts w:ascii="Century Gothic" w:eastAsia="MS Mincho" w:hAnsi="Century Gothic" w:cs="Arial"/>
          <w:lang w:val="es-ES_tradnl" w:eastAsia="es-CO"/>
        </w:rPr>
        <w:t>con la siguiente afirmación</w:t>
      </w:r>
      <w:r w:rsidR="00AC6D21">
        <w:rPr>
          <w:rFonts w:ascii="Century Gothic" w:eastAsia="MS Mincho" w:hAnsi="Century Gothic" w:cs="Arial"/>
          <w:lang w:val="es-ES_tradnl" w:eastAsia="es-CO"/>
        </w:rPr>
        <w:t>, que fue</w:t>
      </w:r>
      <w:r w:rsidR="005E2251">
        <w:rPr>
          <w:rFonts w:ascii="Century Gothic" w:eastAsia="MS Mincho" w:hAnsi="Century Gothic" w:cs="Arial"/>
          <w:lang w:val="es-ES_tradnl" w:eastAsia="es-CO"/>
        </w:rPr>
        <w:t xml:space="preserve"> replicada por el </w:t>
      </w:r>
      <w:r w:rsidR="0022031E" w:rsidRPr="0022031E">
        <w:rPr>
          <w:rFonts w:ascii="Century Gothic" w:eastAsia="MS Mincho" w:hAnsi="Century Gothic" w:cs="Arial"/>
          <w:lang w:val="es-ES_tradnl" w:eastAsia="es-CO"/>
        </w:rPr>
        <w:t>entonces ministro del Interior</w:t>
      </w:r>
      <w:r w:rsidR="00022F2A">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de Justicia, Germán Vargas Lleras, en los siguientes términos:</w:t>
      </w:r>
    </w:p>
    <w:p w14:paraId="5EBCDA62" w14:textId="42A10352" w:rsidR="0022031E" w:rsidRPr="00BB5612" w:rsidRDefault="005E2251" w:rsidP="005A1892">
      <w:pPr>
        <w:spacing w:after="120" w:line="240" w:lineRule="auto"/>
        <w:ind w:left="709" w:right="709"/>
        <w:jc w:val="both"/>
        <w:rPr>
          <w:rFonts w:ascii="Century Gothic" w:eastAsia="MS Mincho" w:hAnsi="Century Gothic" w:cs="Arial"/>
          <w:lang w:val="es-ES_tradnl" w:eastAsia="es-CO"/>
        </w:rPr>
      </w:pPr>
      <w:r>
        <w:rPr>
          <w:rFonts w:ascii="Century Gothic" w:eastAsia="MS Mincho" w:hAnsi="Century Gothic" w:cs="Arial"/>
          <w:lang w:val="es-ES_tradnl" w:eastAsia="es-CO"/>
        </w:rPr>
        <w:t>“</w:t>
      </w:r>
      <w:r w:rsidR="00022F2A" w:rsidRPr="00022F2A">
        <w:rPr>
          <w:rFonts w:ascii="Century Gothic" w:eastAsia="MS Mincho" w:hAnsi="Century Gothic" w:cs="Arial"/>
          <w:lang w:val="es-ES_tradnl" w:eastAsia="es-CO"/>
        </w:rPr>
        <w:t>E. Se ha identificado que de manera muy frecuente los contratistas no están aplicando los</w:t>
      </w:r>
      <w:r>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anticipos a la ejecución del contrato correspondiente, situación que finalmente produce el incumplimiento de las obligaciones o la</w:t>
      </w:r>
      <w:r w:rsidR="00442282">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entrega extemporánea de las obras. Por ello,</w:t>
      </w:r>
      <w:r w:rsidR="00442282">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se establece un sistema de seguimiento a los</w:t>
      </w:r>
      <w:r w:rsidR="00442282">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anticipos imponiendo la obligación del contratista de constituir una fiducia irrevocable con lo</w:t>
      </w:r>
      <w:r w:rsidR="00442282">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que reciba de los mismos, para que sea esta la</w:t>
      </w:r>
      <w:r w:rsidR="00442282">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que garantice que tales recursos se aplicarán</w:t>
      </w:r>
      <w:r w:rsidR="00442282">
        <w:rPr>
          <w:rFonts w:ascii="Century Gothic" w:eastAsia="MS Mincho" w:hAnsi="Century Gothic" w:cs="Arial"/>
          <w:lang w:val="es-ES_tradnl" w:eastAsia="es-CO"/>
        </w:rPr>
        <w:t xml:space="preserve"> </w:t>
      </w:r>
      <w:r w:rsidR="00022F2A" w:rsidRPr="00022F2A">
        <w:rPr>
          <w:rFonts w:ascii="Century Gothic" w:eastAsia="MS Mincho" w:hAnsi="Century Gothic" w:cs="Arial"/>
          <w:lang w:val="es-ES_tradnl" w:eastAsia="es-CO"/>
        </w:rPr>
        <w:t>exclusivamente a la ejecución del contrato</w:t>
      </w:r>
      <w:r w:rsidR="00442282">
        <w:rPr>
          <w:rFonts w:ascii="Century Gothic" w:eastAsia="MS Mincho" w:hAnsi="Century Gothic" w:cs="Arial"/>
          <w:lang w:val="es-ES_tradnl" w:eastAsia="es-CO"/>
        </w:rPr>
        <w:t>.”</w:t>
      </w:r>
    </w:p>
    <w:p w14:paraId="3F28EE5F" w14:textId="6E15F169" w:rsidR="00740F7D" w:rsidRDefault="00406E87" w:rsidP="00820C44">
      <w:pPr>
        <w:spacing w:after="120" w:line="276" w:lineRule="auto"/>
        <w:ind w:firstLine="709"/>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Posteriormente, en ponencia para segundo debate del Senado de la República, </w:t>
      </w:r>
      <w:r w:rsidR="00622366">
        <w:rPr>
          <w:rFonts w:ascii="Century Gothic" w:eastAsia="MS Mincho" w:hAnsi="Century Gothic" w:cs="Arial"/>
          <w:lang w:val="es-ES_tradnl" w:eastAsia="es-CO"/>
        </w:rPr>
        <w:t xml:space="preserve">la propuesta del entonces artículo 85, que pasó a ser </w:t>
      </w:r>
      <w:r w:rsidR="000E0D00">
        <w:rPr>
          <w:rFonts w:ascii="Century Gothic" w:eastAsia="MS Mincho" w:hAnsi="Century Gothic" w:cs="Arial"/>
          <w:lang w:val="es-ES_tradnl" w:eastAsia="es-CO"/>
        </w:rPr>
        <w:t xml:space="preserve">en </w:t>
      </w:r>
      <w:r w:rsidR="00FA3CAE">
        <w:rPr>
          <w:rFonts w:ascii="Century Gothic" w:eastAsia="MS Mincho" w:hAnsi="Century Gothic" w:cs="Arial"/>
          <w:lang w:val="es-ES_tradnl" w:eastAsia="es-CO"/>
        </w:rPr>
        <w:t>el primer debate el artículo 95</w:t>
      </w:r>
      <w:r w:rsidR="00B97B96">
        <w:rPr>
          <w:rStyle w:val="Refdenotaalpie"/>
          <w:rFonts w:ascii="Century Gothic" w:eastAsia="MS Mincho" w:hAnsi="Century Gothic" w:cs="Arial"/>
          <w:lang w:val="es-ES_tradnl" w:eastAsia="es-CO"/>
        </w:rPr>
        <w:footnoteReference w:id="25"/>
      </w:r>
      <w:r w:rsidR="00FA3CAE">
        <w:rPr>
          <w:rFonts w:ascii="Century Gothic" w:eastAsia="MS Mincho" w:hAnsi="Century Gothic" w:cs="Arial"/>
          <w:lang w:val="es-ES_tradnl" w:eastAsia="es-CO"/>
        </w:rPr>
        <w:t xml:space="preserve"> y para segundo debate el </w:t>
      </w:r>
      <w:r w:rsidR="00622366">
        <w:rPr>
          <w:rFonts w:ascii="Century Gothic" w:eastAsia="MS Mincho" w:hAnsi="Century Gothic" w:cs="Arial"/>
          <w:lang w:val="es-ES_tradnl" w:eastAsia="es-CO"/>
        </w:rPr>
        <w:t xml:space="preserve">artículo </w:t>
      </w:r>
      <w:r w:rsidR="000E0D00">
        <w:rPr>
          <w:rFonts w:ascii="Century Gothic" w:eastAsia="MS Mincho" w:hAnsi="Century Gothic" w:cs="Arial"/>
          <w:lang w:val="es-ES_tradnl" w:eastAsia="es-CO"/>
        </w:rPr>
        <w:t>112</w:t>
      </w:r>
      <w:r w:rsidR="00572AEC">
        <w:rPr>
          <w:rFonts w:ascii="Century Gothic" w:eastAsia="MS Mincho" w:hAnsi="Century Gothic" w:cs="Arial"/>
          <w:lang w:val="es-ES_tradnl" w:eastAsia="es-CO"/>
        </w:rPr>
        <w:t xml:space="preserve">, </w:t>
      </w:r>
      <w:r w:rsidR="00622366">
        <w:rPr>
          <w:rFonts w:ascii="Century Gothic" w:eastAsia="MS Mincho" w:hAnsi="Century Gothic" w:cs="Arial"/>
          <w:lang w:val="es-ES_tradnl" w:eastAsia="es-CO"/>
        </w:rPr>
        <w:t xml:space="preserve">trajo consigo una </w:t>
      </w:r>
      <w:r w:rsidR="001E30C1">
        <w:rPr>
          <w:rFonts w:ascii="Century Gothic" w:eastAsia="MS Mincho" w:hAnsi="Century Gothic" w:cs="Arial"/>
          <w:lang w:val="es-ES_tradnl" w:eastAsia="es-CO"/>
        </w:rPr>
        <w:t xml:space="preserve">propuesta de </w:t>
      </w:r>
      <w:r w:rsidR="00622366">
        <w:rPr>
          <w:rFonts w:ascii="Century Gothic" w:eastAsia="MS Mincho" w:hAnsi="Century Gothic" w:cs="Arial"/>
          <w:lang w:val="es-ES_tradnl" w:eastAsia="es-CO"/>
        </w:rPr>
        <w:t>modificaci</w:t>
      </w:r>
      <w:r w:rsidR="00CD2107">
        <w:rPr>
          <w:rFonts w:ascii="Century Gothic" w:eastAsia="MS Mincho" w:hAnsi="Century Gothic" w:cs="Arial"/>
          <w:lang w:val="es-ES_tradnl" w:eastAsia="es-CO"/>
        </w:rPr>
        <w:t>ones</w:t>
      </w:r>
      <w:r w:rsidR="00622366">
        <w:rPr>
          <w:rFonts w:ascii="Century Gothic" w:eastAsia="MS Mincho" w:hAnsi="Century Gothic" w:cs="Arial"/>
          <w:lang w:val="es-ES_tradnl" w:eastAsia="es-CO"/>
        </w:rPr>
        <w:t xml:space="preserve"> de excluir de dicha obligación de constituir la fiducia irrevocable </w:t>
      </w:r>
      <w:r w:rsidR="00C23970">
        <w:rPr>
          <w:rFonts w:ascii="Century Gothic" w:eastAsia="MS Mincho" w:hAnsi="Century Gothic" w:cs="Arial"/>
          <w:lang w:val="es-ES_tradnl" w:eastAsia="es-CO"/>
        </w:rPr>
        <w:t>en los contratos de menor y mínima cuantía</w:t>
      </w:r>
      <w:r w:rsidR="001B243D">
        <w:rPr>
          <w:rFonts w:ascii="Century Gothic" w:eastAsia="MS Mincho" w:hAnsi="Century Gothic" w:cs="Arial"/>
          <w:lang w:val="es-ES_tradnl" w:eastAsia="es-CO"/>
        </w:rPr>
        <w:t>,</w:t>
      </w:r>
      <w:r w:rsidR="00CD2107">
        <w:rPr>
          <w:rFonts w:ascii="Century Gothic" w:eastAsia="MS Mincho" w:hAnsi="Century Gothic" w:cs="Arial"/>
          <w:lang w:val="es-ES_tradnl" w:eastAsia="es-CO"/>
        </w:rPr>
        <w:t xml:space="preserve"> y contemplar a la </w:t>
      </w:r>
      <w:r w:rsidR="002A4B07">
        <w:rPr>
          <w:rFonts w:ascii="Century Gothic" w:eastAsia="MS Mincho" w:hAnsi="Century Gothic" w:cs="Arial"/>
          <w:lang w:val="es-ES_tradnl" w:eastAsia="es-CO"/>
        </w:rPr>
        <w:t>concesión dentro de dicha prerrogativa</w:t>
      </w:r>
      <w:r w:rsidR="001E30C1">
        <w:rPr>
          <w:rFonts w:ascii="Century Gothic" w:eastAsia="MS Mincho" w:hAnsi="Century Gothic" w:cs="Arial"/>
          <w:lang w:val="es-ES_tradnl" w:eastAsia="es-CO"/>
        </w:rPr>
        <w:t xml:space="preserve">, </w:t>
      </w:r>
      <w:r w:rsidR="00A3462C">
        <w:rPr>
          <w:rFonts w:ascii="Century Gothic" w:eastAsia="MS Mincho" w:hAnsi="Century Gothic" w:cs="Arial"/>
          <w:lang w:val="es-ES_tradnl" w:eastAsia="es-CO"/>
        </w:rPr>
        <w:t>de la siguiente forma:</w:t>
      </w:r>
    </w:p>
    <w:p w14:paraId="57D11444" w14:textId="0BA13F23" w:rsidR="00A3462C" w:rsidRPr="0064024D" w:rsidRDefault="00A3462C" w:rsidP="0064024D">
      <w:pPr>
        <w:spacing w:after="120" w:line="240" w:lineRule="auto"/>
        <w:ind w:left="709" w:right="709"/>
        <w:jc w:val="both"/>
        <w:rPr>
          <w:rFonts w:ascii="Century Gothic" w:eastAsia="MS Mincho" w:hAnsi="Century Gothic" w:cs="Arial"/>
          <w:sz w:val="21"/>
          <w:szCs w:val="21"/>
          <w:lang w:val="es-ES_tradnl" w:eastAsia="es-CO"/>
        </w:rPr>
      </w:pPr>
      <w:r w:rsidRPr="0064024D">
        <w:rPr>
          <w:rFonts w:ascii="Century Gothic" w:eastAsia="MS Mincho" w:hAnsi="Century Gothic" w:cs="Arial"/>
          <w:sz w:val="21"/>
          <w:szCs w:val="21"/>
          <w:lang w:val="es-ES_tradnl" w:eastAsia="es-CO"/>
        </w:rPr>
        <w:t xml:space="preserve">“Artículo 112. </w:t>
      </w:r>
      <w:r w:rsidRPr="0064024D">
        <w:rPr>
          <w:rFonts w:ascii="Century Gothic" w:eastAsia="MS Mincho" w:hAnsi="Century Gothic" w:cs="Arial"/>
          <w:i/>
          <w:iCs/>
          <w:sz w:val="21"/>
          <w:szCs w:val="21"/>
          <w:lang w:val="es-ES_tradnl" w:eastAsia="es-CO"/>
        </w:rPr>
        <w:t>Anticipo</w:t>
      </w:r>
      <w:r w:rsidR="007D2DC6" w:rsidRPr="0064024D">
        <w:rPr>
          <w:rFonts w:ascii="Century Gothic" w:eastAsia="MS Mincho" w:hAnsi="Century Gothic" w:cs="Arial"/>
          <w:i/>
          <w:iCs/>
          <w:sz w:val="21"/>
          <w:szCs w:val="21"/>
          <w:lang w:val="es-ES_tradnl" w:eastAsia="es-CO"/>
        </w:rPr>
        <w:t xml:space="preserve">s. </w:t>
      </w:r>
      <w:r w:rsidR="00AC403F" w:rsidRPr="0064024D">
        <w:rPr>
          <w:rFonts w:ascii="Century Gothic" w:eastAsia="MS Mincho" w:hAnsi="Century Gothic" w:cs="Arial"/>
          <w:sz w:val="21"/>
          <w:szCs w:val="21"/>
          <w:lang w:val="es-ES_tradnl" w:eastAsia="es-CO"/>
        </w:rPr>
        <w:t xml:space="preserve">En los contratos de obra y concesión el contratista deberá constituir una fiducia irrevocable para el manejo de los </w:t>
      </w:r>
      <w:r w:rsidR="0064024D" w:rsidRPr="0064024D">
        <w:rPr>
          <w:rFonts w:ascii="Century Gothic" w:eastAsia="MS Mincho" w:hAnsi="Century Gothic" w:cs="Arial"/>
          <w:sz w:val="21"/>
          <w:szCs w:val="21"/>
          <w:lang w:val="es-ES_tradnl" w:eastAsia="es-CO"/>
        </w:rPr>
        <w:t>recursos que reciba a título de anticipo, con el fin de garantizar que dichos recursos se apliquen exclusivamente a la ejecución del contrato correspondiente, salvo que el contrato sea de menor o mínima cuantía. (…)”</w:t>
      </w:r>
      <w:r w:rsidR="00B97B96">
        <w:rPr>
          <w:rStyle w:val="Refdenotaalpie"/>
          <w:rFonts w:ascii="Century Gothic" w:eastAsia="MS Mincho" w:hAnsi="Century Gothic" w:cs="Arial"/>
          <w:sz w:val="21"/>
          <w:szCs w:val="21"/>
          <w:lang w:val="es-ES_tradnl" w:eastAsia="es-CO"/>
        </w:rPr>
        <w:footnoteReference w:id="26"/>
      </w:r>
    </w:p>
    <w:p w14:paraId="24264B2F" w14:textId="3D195F5A" w:rsidR="008A6C7D" w:rsidRDefault="00F254DF" w:rsidP="00820C44">
      <w:pPr>
        <w:spacing w:after="120" w:line="276" w:lineRule="auto"/>
        <w:ind w:firstLine="709"/>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Dichas modificaciones fueron aprobadas por </w:t>
      </w:r>
      <w:r w:rsidR="00E53758">
        <w:rPr>
          <w:rFonts w:ascii="Century Gothic" w:eastAsia="MS Mincho" w:hAnsi="Century Gothic" w:cs="Arial"/>
          <w:lang w:val="es-ES_tradnl" w:eastAsia="es-CO"/>
        </w:rPr>
        <w:t>la plenaria del senado</w:t>
      </w:r>
      <w:r w:rsidR="00121FBF">
        <w:rPr>
          <w:rStyle w:val="Refdenotaalpie"/>
          <w:rFonts w:ascii="Century Gothic" w:eastAsia="MS Mincho" w:hAnsi="Century Gothic" w:cs="Arial"/>
          <w:lang w:val="es-ES_tradnl" w:eastAsia="es-CO"/>
        </w:rPr>
        <w:footnoteReference w:id="27"/>
      </w:r>
      <w:r w:rsidR="005D6565">
        <w:rPr>
          <w:rFonts w:ascii="Century Gothic" w:eastAsia="MS Mincho" w:hAnsi="Century Gothic" w:cs="Arial"/>
          <w:lang w:val="es-ES_tradnl" w:eastAsia="es-CO"/>
        </w:rPr>
        <w:t xml:space="preserve"> y radicado para el respectivo debate legislativo en la Cámara de Representantes</w:t>
      </w:r>
      <w:r w:rsidR="00003EE6">
        <w:rPr>
          <w:rFonts w:ascii="Century Gothic" w:eastAsia="MS Mincho" w:hAnsi="Century Gothic" w:cs="Arial"/>
          <w:lang w:val="es-ES_tradnl" w:eastAsia="es-CO"/>
        </w:rPr>
        <w:t xml:space="preserve"> mediante el proyecto de Ley </w:t>
      </w:r>
      <w:r w:rsidR="0051423B">
        <w:rPr>
          <w:rFonts w:ascii="Century Gothic" w:eastAsia="MS Mincho" w:hAnsi="Century Gothic" w:cs="Arial"/>
          <w:lang w:val="es-ES_tradnl" w:eastAsia="es-CO"/>
        </w:rPr>
        <w:t>174 de 2010</w:t>
      </w:r>
      <w:r w:rsidR="00FA3C00">
        <w:rPr>
          <w:rFonts w:ascii="Century Gothic" w:eastAsia="MS Mincho" w:hAnsi="Century Gothic" w:cs="Arial"/>
          <w:lang w:val="es-ES_tradnl" w:eastAsia="es-CO"/>
        </w:rPr>
        <w:t xml:space="preserve">, cuyo contenido se aprobó sin modificaciones </w:t>
      </w:r>
      <w:r w:rsidR="00E770AF">
        <w:rPr>
          <w:rFonts w:ascii="Century Gothic" w:eastAsia="MS Mincho" w:hAnsi="Century Gothic" w:cs="Arial"/>
          <w:lang w:val="es-ES_tradnl" w:eastAsia="es-CO"/>
        </w:rPr>
        <w:t>en su tercer</w:t>
      </w:r>
      <w:r w:rsidR="00E770AF">
        <w:rPr>
          <w:rStyle w:val="Refdenotaalpie"/>
          <w:rFonts w:ascii="Century Gothic" w:eastAsia="MS Mincho" w:hAnsi="Century Gothic" w:cs="Arial"/>
          <w:lang w:val="es-ES_tradnl" w:eastAsia="es-CO"/>
        </w:rPr>
        <w:footnoteReference w:id="28"/>
      </w:r>
      <w:r w:rsidR="00E770AF">
        <w:rPr>
          <w:rFonts w:ascii="Century Gothic" w:eastAsia="MS Mincho" w:hAnsi="Century Gothic" w:cs="Arial"/>
          <w:lang w:val="es-ES_tradnl" w:eastAsia="es-CO"/>
        </w:rPr>
        <w:t xml:space="preserve">  y cuarto</w:t>
      </w:r>
      <w:r w:rsidR="001C6310">
        <w:rPr>
          <w:rFonts w:ascii="Century Gothic" w:eastAsia="MS Mincho" w:hAnsi="Century Gothic" w:cs="Arial"/>
          <w:lang w:val="es-ES_tradnl" w:eastAsia="es-CO"/>
        </w:rPr>
        <w:t xml:space="preserve"> </w:t>
      </w:r>
      <w:r w:rsidR="004A7D3D">
        <w:rPr>
          <w:rFonts w:ascii="Century Gothic" w:eastAsia="MS Mincho" w:hAnsi="Century Gothic" w:cs="Arial"/>
          <w:lang w:val="es-ES_tradnl" w:eastAsia="es-CO"/>
        </w:rPr>
        <w:t>debate</w:t>
      </w:r>
      <w:r w:rsidR="00E770AF">
        <w:rPr>
          <w:rStyle w:val="Refdenotaalpie"/>
          <w:rFonts w:ascii="Century Gothic" w:eastAsia="MS Mincho" w:hAnsi="Century Gothic" w:cs="Arial"/>
          <w:lang w:val="es-ES_tradnl" w:eastAsia="es-CO"/>
        </w:rPr>
        <w:footnoteReference w:id="29"/>
      </w:r>
      <w:r w:rsidR="00E770AF">
        <w:rPr>
          <w:rFonts w:ascii="Century Gothic" w:eastAsia="MS Mincho" w:hAnsi="Century Gothic" w:cs="Arial"/>
          <w:lang w:val="es-ES_tradnl" w:eastAsia="es-CO"/>
        </w:rPr>
        <w:t xml:space="preserve"> </w:t>
      </w:r>
      <w:r w:rsidR="001C6310">
        <w:rPr>
          <w:rFonts w:ascii="Century Gothic" w:eastAsia="MS Mincho" w:hAnsi="Century Gothic" w:cs="Arial"/>
          <w:lang w:val="es-ES_tradnl" w:eastAsia="es-CO"/>
        </w:rPr>
        <w:t xml:space="preserve">en </w:t>
      </w:r>
      <w:r w:rsidR="002A4B07">
        <w:rPr>
          <w:rFonts w:ascii="Century Gothic" w:eastAsia="MS Mincho" w:hAnsi="Century Gothic" w:cs="Arial"/>
          <w:lang w:val="es-ES_tradnl" w:eastAsia="es-CO"/>
        </w:rPr>
        <w:t>la respectiva comisión</w:t>
      </w:r>
      <w:r w:rsidR="001C6310">
        <w:rPr>
          <w:rFonts w:ascii="Century Gothic" w:eastAsia="MS Mincho" w:hAnsi="Century Gothic" w:cs="Arial"/>
          <w:lang w:val="es-ES_tradnl" w:eastAsia="es-CO"/>
        </w:rPr>
        <w:t xml:space="preserve">, </w:t>
      </w:r>
      <w:r w:rsidR="003718A2">
        <w:rPr>
          <w:rFonts w:ascii="Century Gothic" w:eastAsia="MS Mincho" w:hAnsi="Century Gothic" w:cs="Arial"/>
          <w:lang w:val="es-ES_tradnl" w:eastAsia="es-CO"/>
        </w:rPr>
        <w:t xml:space="preserve">sin embargo, en </w:t>
      </w:r>
      <w:r w:rsidR="00654B18">
        <w:rPr>
          <w:rFonts w:ascii="Century Gothic" w:eastAsia="MS Mincho" w:hAnsi="Century Gothic" w:cs="Arial"/>
          <w:lang w:val="es-ES_tradnl" w:eastAsia="es-CO"/>
        </w:rPr>
        <w:t xml:space="preserve">plenaria de la Cámara de Representantes el artículo sufrió las siguientes modificaciones: </w:t>
      </w:r>
    </w:p>
    <w:p w14:paraId="709DE278" w14:textId="32D04567" w:rsidR="00947120" w:rsidRDefault="00AF4481" w:rsidP="00AF4481">
      <w:pPr>
        <w:spacing w:after="120" w:line="240" w:lineRule="auto"/>
        <w:ind w:left="709" w:right="709"/>
        <w:jc w:val="both"/>
        <w:rPr>
          <w:rFonts w:ascii="Century Gothic" w:eastAsia="MS Mincho" w:hAnsi="Century Gothic" w:cs="Arial"/>
          <w:sz w:val="21"/>
          <w:szCs w:val="21"/>
          <w:lang w:val="es-ES_tradnl" w:eastAsia="es-CO"/>
        </w:rPr>
      </w:pPr>
      <w:r w:rsidRPr="0064024D">
        <w:rPr>
          <w:rFonts w:ascii="Century Gothic" w:eastAsia="MS Mincho" w:hAnsi="Century Gothic" w:cs="Arial"/>
          <w:sz w:val="21"/>
          <w:szCs w:val="21"/>
          <w:lang w:val="es-ES_tradnl" w:eastAsia="es-CO"/>
        </w:rPr>
        <w:t>“Artículo 1</w:t>
      </w:r>
      <w:r>
        <w:rPr>
          <w:rFonts w:ascii="Century Gothic" w:eastAsia="MS Mincho" w:hAnsi="Century Gothic" w:cs="Arial"/>
          <w:sz w:val="21"/>
          <w:szCs w:val="21"/>
          <w:lang w:val="es-ES_tradnl" w:eastAsia="es-CO"/>
        </w:rPr>
        <w:t>04</w:t>
      </w:r>
      <w:r w:rsidRPr="0064024D">
        <w:rPr>
          <w:rFonts w:ascii="Century Gothic" w:eastAsia="MS Mincho" w:hAnsi="Century Gothic" w:cs="Arial"/>
          <w:sz w:val="21"/>
          <w:szCs w:val="21"/>
          <w:lang w:val="es-ES_tradnl" w:eastAsia="es-CO"/>
        </w:rPr>
        <w:t xml:space="preserve">. </w:t>
      </w:r>
      <w:r w:rsidRPr="0064024D">
        <w:rPr>
          <w:rFonts w:ascii="Century Gothic" w:eastAsia="MS Mincho" w:hAnsi="Century Gothic" w:cs="Arial"/>
          <w:i/>
          <w:iCs/>
          <w:sz w:val="21"/>
          <w:szCs w:val="21"/>
          <w:lang w:val="es-ES_tradnl" w:eastAsia="es-CO"/>
        </w:rPr>
        <w:t xml:space="preserve">Anticipos. </w:t>
      </w:r>
      <w:r w:rsidRPr="0064024D">
        <w:rPr>
          <w:rFonts w:ascii="Century Gothic" w:eastAsia="MS Mincho" w:hAnsi="Century Gothic" w:cs="Arial"/>
          <w:sz w:val="21"/>
          <w:szCs w:val="21"/>
          <w:lang w:val="es-ES_tradnl" w:eastAsia="es-CO"/>
        </w:rPr>
        <w:t>En los contratos de obra</w:t>
      </w:r>
      <w:r>
        <w:rPr>
          <w:rFonts w:ascii="Century Gothic" w:eastAsia="MS Mincho" w:hAnsi="Century Gothic" w:cs="Arial"/>
          <w:sz w:val="21"/>
          <w:szCs w:val="21"/>
          <w:lang w:val="es-ES_tradnl" w:eastAsia="es-CO"/>
        </w:rPr>
        <w:t xml:space="preserve">, </w:t>
      </w:r>
      <w:r w:rsidRPr="0064024D">
        <w:rPr>
          <w:rFonts w:ascii="Century Gothic" w:eastAsia="MS Mincho" w:hAnsi="Century Gothic" w:cs="Arial"/>
          <w:sz w:val="21"/>
          <w:szCs w:val="21"/>
          <w:lang w:val="es-ES_tradnl" w:eastAsia="es-CO"/>
        </w:rPr>
        <w:t>concesión</w:t>
      </w:r>
      <w:r w:rsidR="001D3F97">
        <w:rPr>
          <w:rFonts w:ascii="Century Gothic" w:eastAsia="MS Mincho" w:hAnsi="Century Gothic" w:cs="Arial"/>
          <w:sz w:val="21"/>
          <w:szCs w:val="21"/>
          <w:lang w:val="es-ES_tradnl" w:eastAsia="es-CO"/>
        </w:rPr>
        <w:t xml:space="preserve">, </w:t>
      </w:r>
      <w:r w:rsidR="001D3F97" w:rsidRPr="00313BD0">
        <w:rPr>
          <w:rFonts w:ascii="Century Gothic" w:eastAsia="MS Mincho" w:hAnsi="Century Gothic" w:cs="Arial"/>
          <w:i/>
          <w:iCs/>
          <w:sz w:val="21"/>
          <w:szCs w:val="21"/>
          <w:lang w:val="es-ES_tradnl" w:eastAsia="es-CO"/>
        </w:rPr>
        <w:t>salud, o los que se realicen por licitación pública</w:t>
      </w:r>
      <w:r w:rsidR="001D3F97">
        <w:rPr>
          <w:rFonts w:ascii="Century Gothic" w:eastAsia="MS Mincho" w:hAnsi="Century Gothic" w:cs="Arial"/>
          <w:sz w:val="21"/>
          <w:szCs w:val="21"/>
          <w:lang w:val="es-ES_tradnl" w:eastAsia="es-CO"/>
        </w:rPr>
        <w:t>,</w:t>
      </w:r>
      <w:r w:rsidRPr="0064024D">
        <w:rPr>
          <w:rFonts w:ascii="Century Gothic" w:eastAsia="MS Mincho" w:hAnsi="Century Gothic" w:cs="Arial"/>
          <w:sz w:val="21"/>
          <w:szCs w:val="21"/>
          <w:lang w:val="es-ES_tradnl" w:eastAsia="es-CO"/>
        </w:rPr>
        <w:t xml:space="preserve"> el contratista deberá constituir una fiducia </w:t>
      </w:r>
      <w:r w:rsidR="00313BD0" w:rsidRPr="00313BD0">
        <w:rPr>
          <w:rFonts w:ascii="Century Gothic" w:eastAsia="MS Mincho" w:hAnsi="Century Gothic" w:cs="Arial"/>
          <w:i/>
          <w:iCs/>
          <w:sz w:val="21"/>
          <w:szCs w:val="21"/>
          <w:lang w:val="es-ES_tradnl" w:eastAsia="es-CO"/>
        </w:rPr>
        <w:t>o un patrimonio</w:t>
      </w:r>
      <w:r w:rsidR="00313BD0">
        <w:rPr>
          <w:rFonts w:ascii="Century Gothic" w:eastAsia="MS Mincho" w:hAnsi="Century Gothic" w:cs="Arial"/>
          <w:sz w:val="21"/>
          <w:szCs w:val="21"/>
          <w:lang w:val="es-ES_tradnl" w:eastAsia="es-CO"/>
        </w:rPr>
        <w:t xml:space="preserve"> </w:t>
      </w:r>
      <w:r w:rsidR="00313BD0">
        <w:rPr>
          <w:rFonts w:ascii="Century Gothic" w:eastAsia="MS Mincho" w:hAnsi="Century Gothic" w:cs="Arial"/>
          <w:i/>
          <w:iCs/>
          <w:sz w:val="21"/>
          <w:szCs w:val="21"/>
          <w:lang w:val="es-ES_tradnl" w:eastAsia="es-CO"/>
        </w:rPr>
        <w:t>autónomo</w:t>
      </w:r>
      <w:r w:rsidR="00313BD0">
        <w:rPr>
          <w:rFonts w:ascii="Century Gothic" w:eastAsia="MS Mincho" w:hAnsi="Century Gothic" w:cs="Arial"/>
          <w:sz w:val="21"/>
          <w:szCs w:val="21"/>
          <w:lang w:val="es-ES_tradnl" w:eastAsia="es-CO"/>
        </w:rPr>
        <w:t xml:space="preserve"> </w:t>
      </w:r>
      <w:r w:rsidRPr="0064024D">
        <w:rPr>
          <w:rFonts w:ascii="Century Gothic" w:eastAsia="MS Mincho" w:hAnsi="Century Gothic" w:cs="Arial"/>
          <w:sz w:val="21"/>
          <w:szCs w:val="21"/>
          <w:lang w:val="es-ES_tradnl" w:eastAsia="es-CO"/>
        </w:rPr>
        <w:t>irrevocable para el manejo de los recursos que reciba a título de anticipo, con el fin de garantizar que dichos recursos se apliquen exclusivamente a la ejecución del contrato correspondiente, salvo que el contrato sea de menor o mínima cuantía.</w:t>
      </w:r>
    </w:p>
    <w:p w14:paraId="0D974733" w14:textId="77777777" w:rsidR="00947120" w:rsidRPr="00947120" w:rsidRDefault="00947120" w:rsidP="00947120">
      <w:pPr>
        <w:spacing w:after="120" w:line="240" w:lineRule="auto"/>
        <w:ind w:left="709" w:right="709"/>
        <w:jc w:val="both"/>
        <w:rPr>
          <w:rFonts w:ascii="Century Gothic" w:eastAsia="MS Mincho" w:hAnsi="Century Gothic" w:cs="Arial"/>
          <w:sz w:val="21"/>
          <w:szCs w:val="21"/>
          <w:lang w:val="es-ES_tradnl" w:eastAsia="es-CO"/>
        </w:rPr>
      </w:pPr>
      <w:r w:rsidRPr="00947120">
        <w:rPr>
          <w:rFonts w:ascii="Century Gothic" w:eastAsia="MS Mincho" w:hAnsi="Century Gothic" w:cs="Arial"/>
          <w:sz w:val="21"/>
          <w:szCs w:val="21"/>
          <w:lang w:val="es-ES_tradnl" w:eastAsia="es-CO"/>
        </w:rPr>
        <w:t>El costo de la comisión fiduciaria será cubierto por los rendimientos financieros que genere la inversión temporal del anticipo.</w:t>
      </w:r>
    </w:p>
    <w:p w14:paraId="07D80C9B" w14:textId="06B35A1D" w:rsidR="00AF4481" w:rsidRPr="0064024D" w:rsidRDefault="00947120" w:rsidP="00947120">
      <w:pPr>
        <w:spacing w:after="120" w:line="240" w:lineRule="auto"/>
        <w:ind w:left="709" w:right="709"/>
        <w:jc w:val="both"/>
        <w:rPr>
          <w:rFonts w:ascii="Century Gothic" w:eastAsia="MS Mincho" w:hAnsi="Century Gothic" w:cs="Arial"/>
          <w:sz w:val="21"/>
          <w:szCs w:val="21"/>
          <w:lang w:val="es-ES_tradnl" w:eastAsia="es-CO"/>
        </w:rPr>
      </w:pPr>
      <w:r w:rsidRPr="00947120">
        <w:rPr>
          <w:rFonts w:ascii="Century Gothic" w:eastAsia="MS Mincho" w:hAnsi="Century Gothic" w:cs="Arial"/>
          <w:sz w:val="21"/>
          <w:szCs w:val="21"/>
          <w:lang w:val="es-ES_tradnl" w:eastAsia="es-CO"/>
        </w:rPr>
        <w:t>Parágrafo 1°. La información financiera y contable de la fiducia podrá ser consultada por los Organismos de Vigilancia y Control Fiscal</w:t>
      </w:r>
      <w:r w:rsidR="00AF4481" w:rsidRPr="0064024D">
        <w:rPr>
          <w:rFonts w:ascii="Century Gothic" w:eastAsia="MS Mincho" w:hAnsi="Century Gothic" w:cs="Arial"/>
          <w:sz w:val="21"/>
          <w:szCs w:val="21"/>
          <w:lang w:val="es-ES_tradnl" w:eastAsia="es-CO"/>
        </w:rPr>
        <w:t>”</w:t>
      </w:r>
      <w:r w:rsidR="00AF4481">
        <w:rPr>
          <w:rStyle w:val="Refdenotaalpie"/>
          <w:rFonts w:ascii="Century Gothic" w:eastAsia="MS Mincho" w:hAnsi="Century Gothic" w:cs="Arial"/>
          <w:sz w:val="21"/>
          <w:szCs w:val="21"/>
          <w:lang w:val="es-ES_tradnl" w:eastAsia="es-CO"/>
        </w:rPr>
        <w:footnoteReference w:id="30"/>
      </w:r>
      <w:r w:rsidR="001C3302">
        <w:rPr>
          <w:rFonts w:ascii="Century Gothic" w:eastAsia="MS Mincho" w:hAnsi="Century Gothic" w:cs="Arial"/>
          <w:sz w:val="21"/>
          <w:szCs w:val="21"/>
          <w:lang w:val="es-ES_tradnl" w:eastAsia="es-CO"/>
        </w:rPr>
        <w:t xml:space="preserve"> (énfasis fuera de texto)</w:t>
      </w:r>
    </w:p>
    <w:p w14:paraId="4B8EAFF8" w14:textId="0B98BB21" w:rsidR="00654B18" w:rsidRDefault="00612DD5" w:rsidP="00820C44">
      <w:pPr>
        <w:spacing w:after="120" w:line="276" w:lineRule="auto"/>
        <w:ind w:firstLine="709"/>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EL artículo </w:t>
      </w:r>
      <w:r w:rsidR="00435871">
        <w:rPr>
          <w:rFonts w:ascii="Century Gothic" w:eastAsia="MS Mincho" w:hAnsi="Century Gothic" w:cs="Arial"/>
          <w:lang w:val="es-ES_tradnl" w:eastAsia="es-CO"/>
        </w:rPr>
        <w:t xml:space="preserve">anterior </w:t>
      </w:r>
      <w:r>
        <w:rPr>
          <w:rFonts w:ascii="Century Gothic" w:eastAsia="MS Mincho" w:hAnsi="Century Gothic" w:cs="Arial"/>
          <w:lang w:val="es-ES_tradnl" w:eastAsia="es-CO"/>
        </w:rPr>
        <w:t>fue el texto definitivo que se concili</w:t>
      </w:r>
      <w:r w:rsidR="00E14935">
        <w:rPr>
          <w:rFonts w:ascii="Century Gothic" w:eastAsia="MS Mincho" w:hAnsi="Century Gothic" w:cs="Arial"/>
          <w:lang w:val="es-ES_tradnl" w:eastAsia="es-CO"/>
        </w:rPr>
        <w:t>ó</w:t>
      </w:r>
      <w:r>
        <w:rPr>
          <w:rFonts w:ascii="Century Gothic" w:eastAsia="MS Mincho" w:hAnsi="Century Gothic" w:cs="Arial"/>
          <w:lang w:val="es-ES_tradnl" w:eastAsia="es-CO"/>
        </w:rPr>
        <w:t xml:space="preserve"> tanto en Sena</w:t>
      </w:r>
      <w:r w:rsidR="006833AA">
        <w:rPr>
          <w:rFonts w:ascii="Century Gothic" w:eastAsia="MS Mincho" w:hAnsi="Century Gothic" w:cs="Arial"/>
          <w:lang w:val="es-ES_tradnl" w:eastAsia="es-CO"/>
        </w:rPr>
        <w:t>do</w:t>
      </w:r>
      <w:r>
        <w:rPr>
          <w:rFonts w:ascii="Century Gothic" w:eastAsia="MS Mincho" w:hAnsi="Century Gothic" w:cs="Arial"/>
          <w:lang w:val="es-ES_tradnl" w:eastAsia="es-CO"/>
        </w:rPr>
        <w:t xml:space="preserve"> como en Cámara de Representantes</w:t>
      </w:r>
      <w:r w:rsidR="006833AA">
        <w:rPr>
          <w:rStyle w:val="Refdenotaalpie"/>
          <w:rFonts w:ascii="Century Gothic" w:eastAsia="MS Mincho" w:hAnsi="Century Gothic" w:cs="Arial"/>
          <w:lang w:val="es-ES_tradnl" w:eastAsia="es-CO"/>
        </w:rPr>
        <w:footnoteReference w:id="31"/>
      </w:r>
      <w:r w:rsidR="00E21A26">
        <w:rPr>
          <w:rFonts w:ascii="Century Gothic" w:eastAsia="MS Mincho" w:hAnsi="Century Gothic" w:cs="Arial"/>
          <w:lang w:val="es-ES_tradnl" w:eastAsia="es-CO"/>
        </w:rPr>
        <w:t xml:space="preserve">, </w:t>
      </w:r>
      <w:r w:rsidR="00E14935">
        <w:rPr>
          <w:rFonts w:ascii="Century Gothic" w:eastAsia="MS Mincho" w:hAnsi="Century Gothic" w:cs="Arial"/>
          <w:lang w:val="es-ES_tradnl" w:eastAsia="es-CO"/>
        </w:rPr>
        <w:t>que posteriormente pasó a ser el</w:t>
      </w:r>
      <w:r w:rsidR="00E21A26">
        <w:rPr>
          <w:rFonts w:ascii="Century Gothic" w:eastAsia="MS Mincho" w:hAnsi="Century Gothic" w:cs="Arial"/>
          <w:lang w:val="es-ES_tradnl" w:eastAsia="es-CO"/>
        </w:rPr>
        <w:t xml:space="preserve"> texto </w:t>
      </w:r>
      <w:r w:rsidR="00435871">
        <w:rPr>
          <w:rFonts w:ascii="Century Gothic" w:eastAsia="MS Mincho" w:hAnsi="Century Gothic" w:cs="Arial"/>
          <w:lang w:val="es-ES_tradnl" w:eastAsia="es-CO"/>
        </w:rPr>
        <w:t>final</w:t>
      </w:r>
      <w:r w:rsidR="00E21A26">
        <w:rPr>
          <w:rFonts w:ascii="Century Gothic" w:eastAsia="MS Mincho" w:hAnsi="Century Gothic" w:cs="Arial"/>
          <w:lang w:val="es-ES_tradnl" w:eastAsia="es-CO"/>
        </w:rPr>
        <w:t xml:space="preserve"> del artículo 91 de la Ley 1474 de 2011. </w:t>
      </w:r>
      <w:r w:rsidR="00A2337C">
        <w:rPr>
          <w:rFonts w:ascii="Century Gothic" w:eastAsia="MS Mincho" w:hAnsi="Century Gothic" w:cs="Arial"/>
          <w:lang w:val="es-ES_tradnl" w:eastAsia="es-CO"/>
        </w:rPr>
        <w:t>Como puede observarse</w:t>
      </w:r>
      <w:r w:rsidR="00115F8B">
        <w:rPr>
          <w:rFonts w:ascii="Century Gothic" w:eastAsia="MS Mincho" w:hAnsi="Century Gothic" w:cs="Arial"/>
          <w:lang w:val="es-ES_tradnl" w:eastAsia="es-CO"/>
        </w:rPr>
        <w:t xml:space="preserve">, hasta antes de su último debate se contempló que el anticipo se manejaría </w:t>
      </w:r>
      <w:r w:rsidR="00676B8C">
        <w:rPr>
          <w:rFonts w:ascii="Century Gothic" w:eastAsia="MS Mincho" w:hAnsi="Century Gothic" w:cs="Arial"/>
          <w:lang w:val="es-ES_tradnl" w:eastAsia="es-CO"/>
        </w:rPr>
        <w:t>mediante</w:t>
      </w:r>
      <w:r w:rsidR="00115F8B">
        <w:rPr>
          <w:rFonts w:ascii="Century Gothic" w:eastAsia="MS Mincho" w:hAnsi="Century Gothic" w:cs="Arial"/>
          <w:lang w:val="es-ES_tradnl" w:eastAsia="es-CO"/>
        </w:rPr>
        <w:t xml:space="preserve"> </w:t>
      </w:r>
      <w:r w:rsidR="00C13C74">
        <w:rPr>
          <w:rFonts w:ascii="Century Gothic" w:eastAsia="MS Mincho" w:hAnsi="Century Gothic" w:cs="Arial"/>
          <w:lang w:val="es-ES_tradnl" w:eastAsia="es-CO"/>
        </w:rPr>
        <w:t xml:space="preserve">la constitución de </w:t>
      </w:r>
      <w:r w:rsidR="00115F8B">
        <w:rPr>
          <w:rFonts w:ascii="Century Gothic" w:eastAsia="MS Mincho" w:hAnsi="Century Gothic" w:cs="Arial"/>
          <w:lang w:val="es-ES_tradnl" w:eastAsia="es-CO"/>
        </w:rPr>
        <w:t>una fiducia irrevocable</w:t>
      </w:r>
      <w:r w:rsidR="00676B8C">
        <w:rPr>
          <w:rFonts w:ascii="Century Gothic" w:eastAsia="MS Mincho" w:hAnsi="Century Gothic" w:cs="Arial"/>
          <w:lang w:val="es-ES_tradnl" w:eastAsia="es-CO"/>
        </w:rPr>
        <w:t xml:space="preserve"> por parte del contratista</w:t>
      </w:r>
      <w:r w:rsidR="00115F8B">
        <w:rPr>
          <w:rFonts w:ascii="Century Gothic" w:eastAsia="MS Mincho" w:hAnsi="Century Gothic" w:cs="Arial"/>
          <w:lang w:val="es-ES_tradnl" w:eastAsia="es-CO"/>
        </w:rPr>
        <w:t>, entendida est</w:t>
      </w:r>
      <w:r w:rsidR="00EA6016">
        <w:rPr>
          <w:rFonts w:ascii="Century Gothic" w:eastAsia="MS Mincho" w:hAnsi="Century Gothic" w:cs="Arial"/>
          <w:lang w:val="es-ES_tradnl" w:eastAsia="es-CO"/>
        </w:rPr>
        <w:t>a como aquel negocio fiduciario donde el fideicomitente no lo puede terminar unilateralmente</w:t>
      </w:r>
      <w:r w:rsidR="009E2E4F">
        <w:rPr>
          <w:rFonts w:ascii="Century Gothic" w:eastAsia="MS Mincho" w:hAnsi="Century Gothic" w:cs="Arial"/>
          <w:lang w:val="es-ES_tradnl" w:eastAsia="es-CO"/>
        </w:rPr>
        <w:t xml:space="preserve">, sin </w:t>
      </w:r>
      <w:r w:rsidR="004E4647">
        <w:rPr>
          <w:rFonts w:ascii="Century Gothic" w:eastAsia="MS Mincho" w:hAnsi="Century Gothic" w:cs="Arial"/>
          <w:lang w:val="es-ES_tradnl" w:eastAsia="es-CO"/>
        </w:rPr>
        <w:t xml:space="preserve">que el texto de la norma o la exposición de motivos o los informes de ponencias </w:t>
      </w:r>
      <w:r w:rsidR="009E2E4F">
        <w:rPr>
          <w:rFonts w:ascii="Century Gothic" w:eastAsia="MS Mincho" w:hAnsi="Century Gothic" w:cs="Arial"/>
          <w:lang w:val="es-ES_tradnl" w:eastAsia="es-CO"/>
        </w:rPr>
        <w:t>especificar</w:t>
      </w:r>
      <w:r w:rsidR="004E4647">
        <w:rPr>
          <w:rFonts w:ascii="Century Gothic" w:eastAsia="MS Mincho" w:hAnsi="Century Gothic" w:cs="Arial"/>
          <w:lang w:val="es-ES_tradnl" w:eastAsia="es-CO"/>
        </w:rPr>
        <w:t>an el tipo de</w:t>
      </w:r>
      <w:r w:rsidR="008448EA">
        <w:rPr>
          <w:rFonts w:ascii="Century Gothic" w:eastAsia="MS Mincho" w:hAnsi="Century Gothic" w:cs="Arial"/>
          <w:lang w:val="es-ES_tradnl" w:eastAsia="es-CO"/>
        </w:rPr>
        <w:t xml:space="preserve"> negocio fiduciario</w:t>
      </w:r>
      <w:r w:rsidR="003159A1">
        <w:rPr>
          <w:rFonts w:ascii="Century Gothic" w:eastAsia="MS Mincho" w:hAnsi="Century Gothic" w:cs="Arial"/>
          <w:lang w:val="es-ES_tradnl" w:eastAsia="es-CO"/>
        </w:rPr>
        <w:t xml:space="preserve"> a celebrar</w:t>
      </w:r>
      <w:r w:rsidR="008448EA">
        <w:rPr>
          <w:rFonts w:ascii="Century Gothic" w:eastAsia="MS Mincho" w:hAnsi="Century Gothic" w:cs="Arial"/>
          <w:lang w:val="es-ES_tradnl" w:eastAsia="es-CO"/>
        </w:rPr>
        <w:t xml:space="preserve">, esto es, si se </w:t>
      </w:r>
      <w:r w:rsidR="00F13FFA">
        <w:rPr>
          <w:rFonts w:ascii="Century Gothic" w:eastAsia="MS Mincho" w:hAnsi="Century Gothic" w:cs="Arial"/>
          <w:lang w:val="es-ES_tradnl" w:eastAsia="es-CO"/>
        </w:rPr>
        <w:t>refirió</w:t>
      </w:r>
      <w:r w:rsidR="008448EA">
        <w:rPr>
          <w:rFonts w:ascii="Century Gothic" w:eastAsia="MS Mincho" w:hAnsi="Century Gothic" w:cs="Arial"/>
          <w:lang w:val="es-ES_tradnl" w:eastAsia="es-CO"/>
        </w:rPr>
        <w:t xml:space="preserve"> a la fiducia pública, </w:t>
      </w:r>
      <w:r w:rsidR="00BC7394">
        <w:rPr>
          <w:rFonts w:ascii="Century Gothic" w:eastAsia="MS Mincho" w:hAnsi="Century Gothic" w:cs="Arial"/>
          <w:lang w:val="es-ES_tradnl" w:eastAsia="es-CO"/>
        </w:rPr>
        <w:t>a</w:t>
      </w:r>
      <w:r w:rsidR="003159A1">
        <w:rPr>
          <w:rFonts w:ascii="Century Gothic" w:eastAsia="MS Mincho" w:hAnsi="Century Gothic" w:cs="Arial"/>
          <w:lang w:val="es-ES_tradnl" w:eastAsia="es-CO"/>
        </w:rPr>
        <w:t>l</w:t>
      </w:r>
      <w:r w:rsidR="00BC7394">
        <w:rPr>
          <w:rFonts w:ascii="Century Gothic" w:eastAsia="MS Mincho" w:hAnsi="Century Gothic" w:cs="Arial"/>
          <w:lang w:val="es-ES_tradnl" w:eastAsia="es-CO"/>
        </w:rPr>
        <w:t xml:space="preserve"> encargo fiduciario o a la fiducia mercantil</w:t>
      </w:r>
      <w:r w:rsidR="00F622D6">
        <w:rPr>
          <w:rFonts w:ascii="Century Gothic" w:eastAsia="MS Mincho" w:hAnsi="Century Gothic" w:cs="Arial"/>
          <w:lang w:val="es-ES_tradnl" w:eastAsia="es-CO"/>
        </w:rPr>
        <w:t>.</w:t>
      </w:r>
    </w:p>
    <w:p w14:paraId="77FE8A1F" w14:textId="3B2241C3" w:rsidR="00221153" w:rsidRPr="00221153" w:rsidRDefault="00EA0AC6" w:rsidP="001226AF">
      <w:pPr>
        <w:spacing w:after="120" w:line="276" w:lineRule="auto"/>
        <w:ind w:firstLine="708"/>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Tan sólo en el último debate </w:t>
      </w:r>
      <w:r w:rsidR="002B23D5">
        <w:rPr>
          <w:rFonts w:ascii="Century Gothic" w:eastAsia="MS Mincho" w:hAnsi="Century Gothic" w:cs="Arial"/>
          <w:lang w:val="es-ES_tradnl" w:eastAsia="es-CO"/>
        </w:rPr>
        <w:t xml:space="preserve">ante la </w:t>
      </w:r>
      <w:r>
        <w:rPr>
          <w:rFonts w:ascii="Century Gothic" w:eastAsia="MS Mincho" w:hAnsi="Century Gothic" w:cs="Arial"/>
          <w:lang w:val="es-ES_tradnl" w:eastAsia="es-CO"/>
        </w:rPr>
        <w:t>plenaria de la Cámara de Representantes</w:t>
      </w:r>
      <w:r w:rsidR="002B23D5">
        <w:rPr>
          <w:rFonts w:ascii="Century Gothic" w:eastAsia="MS Mincho" w:hAnsi="Century Gothic" w:cs="Arial"/>
          <w:lang w:val="es-ES_tradnl" w:eastAsia="es-CO"/>
        </w:rPr>
        <w:t>,</w:t>
      </w:r>
      <w:r>
        <w:rPr>
          <w:rFonts w:ascii="Century Gothic" w:eastAsia="MS Mincho" w:hAnsi="Century Gothic" w:cs="Arial"/>
          <w:lang w:val="es-ES_tradnl" w:eastAsia="es-CO"/>
        </w:rPr>
        <w:t xml:space="preserve"> se agregó la posibilidad de manejar </w:t>
      </w:r>
      <w:r w:rsidR="002B23D5">
        <w:rPr>
          <w:rFonts w:ascii="Century Gothic" w:eastAsia="MS Mincho" w:hAnsi="Century Gothic" w:cs="Arial"/>
          <w:lang w:val="es-ES_tradnl" w:eastAsia="es-CO"/>
        </w:rPr>
        <w:t>los recursos d</w:t>
      </w:r>
      <w:r>
        <w:rPr>
          <w:rFonts w:ascii="Century Gothic" w:eastAsia="MS Mincho" w:hAnsi="Century Gothic" w:cs="Arial"/>
          <w:lang w:val="es-ES_tradnl" w:eastAsia="es-CO"/>
        </w:rPr>
        <w:t xml:space="preserve">el anticipo a través de </w:t>
      </w:r>
      <w:r w:rsidR="002B23D5">
        <w:rPr>
          <w:rFonts w:ascii="Century Gothic" w:eastAsia="MS Mincho" w:hAnsi="Century Gothic" w:cs="Arial"/>
          <w:lang w:val="es-ES_tradnl" w:eastAsia="es-CO"/>
        </w:rPr>
        <w:t xml:space="preserve">un </w:t>
      </w:r>
      <w:r>
        <w:rPr>
          <w:rFonts w:ascii="Century Gothic" w:eastAsia="MS Mincho" w:hAnsi="Century Gothic" w:cs="Arial"/>
          <w:lang w:val="es-ES_tradnl" w:eastAsia="es-CO"/>
        </w:rPr>
        <w:t>patrimonio autónomo irrevocable, el cual</w:t>
      </w:r>
      <w:r w:rsidR="00972AAD">
        <w:rPr>
          <w:rFonts w:ascii="Century Gothic" w:eastAsia="MS Mincho" w:hAnsi="Century Gothic" w:cs="Arial"/>
          <w:lang w:val="es-ES_tradnl" w:eastAsia="es-CO"/>
        </w:rPr>
        <w:t xml:space="preserve"> implica</w:t>
      </w:r>
      <w:r w:rsidR="009D51C4">
        <w:rPr>
          <w:rFonts w:ascii="Century Gothic" w:eastAsia="MS Mincho" w:hAnsi="Century Gothic" w:cs="Arial"/>
          <w:lang w:val="es-ES_tradnl" w:eastAsia="es-CO"/>
        </w:rPr>
        <w:t xml:space="preserve"> de por </w:t>
      </w:r>
      <w:proofErr w:type="spellStart"/>
      <w:r w:rsidR="009D51C4">
        <w:rPr>
          <w:rFonts w:ascii="Century Gothic" w:eastAsia="MS Mincho" w:hAnsi="Century Gothic" w:cs="Arial"/>
          <w:lang w:val="es-ES_tradnl" w:eastAsia="es-CO"/>
        </w:rPr>
        <w:t>si</w:t>
      </w:r>
      <w:proofErr w:type="spellEnd"/>
      <w:r w:rsidR="00972AAD">
        <w:rPr>
          <w:rFonts w:ascii="Century Gothic" w:eastAsia="MS Mincho" w:hAnsi="Century Gothic" w:cs="Arial"/>
          <w:lang w:val="es-ES_tradnl" w:eastAsia="es-CO"/>
        </w:rPr>
        <w:t xml:space="preserve">, </w:t>
      </w:r>
      <w:r w:rsidR="00F07B1B">
        <w:rPr>
          <w:rFonts w:ascii="Century Gothic" w:eastAsia="MS Mincho" w:hAnsi="Century Gothic" w:cs="Arial"/>
          <w:lang w:val="es-ES_tradnl" w:eastAsia="es-CO"/>
        </w:rPr>
        <w:t>la habilitación legal para la celebración por parte de las entidades estatales de fiducias mercantiles irrevocables</w:t>
      </w:r>
      <w:r w:rsidR="00C27991">
        <w:rPr>
          <w:rFonts w:ascii="Century Gothic" w:eastAsia="MS Mincho" w:hAnsi="Century Gothic" w:cs="Arial"/>
          <w:lang w:val="es-ES_tradnl" w:eastAsia="es-CO"/>
        </w:rPr>
        <w:t xml:space="preserve">, pues sólo a través de este tipo de negocio fiduciario puede garantizarse la </w:t>
      </w:r>
      <w:r w:rsidR="00C27991" w:rsidRPr="00EA402B">
        <w:rPr>
          <w:rFonts w:ascii="Century Gothic" w:eastAsia="MS Mincho" w:hAnsi="Century Gothic" w:cs="Arial"/>
          <w:lang w:val="es-ES_tradnl" w:eastAsia="es-CO"/>
        </w:rPr>
        <w:t>transferencia del derecho de dominio de los bienes y estos pasan a conformar un patrimonio autónomo</w:t>
      </w:r>
      <w:r w:rsidR="008064A4">
        <w:rPr>
          <w:rFonts w:ascii="Century Gothic" w:eastAsia="MS Mincho" w:hAnsi="Century Gothic" w:cs="Arial"/>
          <w:lang w:val="es-ES_tradnl" w:eastAsia="es-CO"/>
        </w:rPr>
        <w:t>. Lo anterior implica q</w:t>
      </w:r>
      <w:r w:rsidR="00835864">
        <w:rPr>
          <w:rFonts w:ascii="Century Gothic" w:eastAsia="MS Mincho" w:hAnsi="Century Gothic" w:cs="Arial"/>
          <w:lang w:val="es-ES_tradnl" w:eastAsia="es-CO"/>
        </w:rPr>
        <w:t xml:space="preserve">ue los </w:t>
      </w:r>
      <w:r w:rsidR="00C27CBB" w:rsidRPr="00C27CBB">
        <w:rPr>
          <w:rFonts w:ascii="Century Gothic" w:eastAsia="MS Mincho" w:hAnsi="Century Gothic" w:cs="Arial"/>
          <w:lang w:val="es-ES_tradnl" w:eastAsia="es-CO"/>
        </w:rPr>
        <w:t xml:space="preserve">recursos del anticipo </w:t>
      </w:r>
      <w:r w:rsidR="005B1C27">
        <w:rPr>
          <w:rFonts w:ascii="Century Gothic" w:eastAsia="MS Mincho" w:hAnsi="Century Gothic" w:cs="Arial"/>
          <w:lang w:val="es-ES_tradnl" w:eastAsia="es-CO"/>
        </w:rPr>
        <w:t xml:space="preserve">y </w:t>
      </w:r>
      <w:r w:rsidR="00C27CBB" w:rsidRPr="00C27CBB">
        <w:rPr>
          <w:rFonts w:ascii="Century Gothic" w:eastAsia="MS Mincho" w:hAnsi="Century Gothic" w:cs="Arial"/>
          <w:lang w:val="es-ES_tradnl" w:eastAsia="es-CO"/>
        </w:rPr>
        <w:t xml:space="preserve">sus rendimientos </w:t>
      </w:r>
      <w:r w:rsidR="00B47F2D">
        <w:rPr>
          <w:rFonts w:ascii="Century Gothic" w:eastAsia="MS Mincho" w:hAnsi="Century Gothic" w:cs="Arial"/>
          <w:lang w:val="es-ES_tradnl" w:eastAsia="es-CO"/>
        </w:rPr>
        <w:t>s</w:t>
      </w:r>
      <w:r w:rsidR="009A57BE">
        <w:rPr>
          <w:rFonts w:ascii="Century Gothic" w:eastAsia="MS Mincho" w:hAnsi="Century Gothic" w:cs="Arial"/>
          <w:lang w:val="es-ES_tradnl" w:eastAsia="es-CO"/>
        </w:rPr>
        <w:t>on</w:t>
      </w:r>
      <w:r w:rsidR="00B47F2D">
        <w:rPr>
          <w:rFonts w:ascii="Century Gothic" w:eastAsia="MS Mincho" w:hAnsi="Century Gothic" w:cs="Arial"/>
          <w:lang w:val="es-ES_tradnl" w:eastAsia="es-CO"/>
        </w:rPr>
        <w:t xml:space="preserve"> administrados de manera </w:t>
      </w:r>
      <w:r w:rsidR="008062F8">
        <w:rPr>
          <w:rFonts w:ascii="Century Gothic" w:eastAsia="MS Mincho" w:hAnsi="Century Gothic" w:cs="Arial"/>
          <w:lang w:val="es-ES_tradnl" w:eastAsia="es-CO"/>
        </w:rPr>
        <w:t>autónoma por pa</w:t>
      </w:r>
      <w:r w:rsidR="00F13FFA">
        <w:rPr>
          <w:rFonts w:ascii="Century Gothic" w:eastAsia="MS Mincho" w:hAnsi="Century Gothic" w:cs="Arial"/>
          <w:lang w:val="es-ES_tradnl" w:eastAsia="es-CO"/>
        </w:rPr>
        <w:t>r</w:t>
      </w:r>
      <w:r w:rsidR="008062F8">
        <w:rPr>
          <w:rFonts w:ascii="Century Gothic" w:eastAsia="MS Mincho" w:hAnsi="Century Gothic" w:cs="Arial"/>
          <w:lang w:val="es-ES_tradnl" w:eastAsia="es-CO"/>
        </w:rPr>
        <w:t>te de la fiduciaria, es decir, dichos recursos dejan de ser de p</w:t>
      </w:r>
      <w:r w:rsidR="00C27CBB" w:rsidRPr="00C27CBB">
        <w:rPr>
          <w:rFonts w:ascii="Century Gothic" w:eastAsia="MS Mincho" w:hAnsi="Century Gothic" w:cs="Arial"/>
          <w:lang w:val="es-ES_tradnl" w:eastAsia="es-CO"/>
        </w:rPr>
        <w:t>ropiedad de la Entidad Estatal</w:t>
      </w:r>
      <w:r w:rsidR="003063AE">
        <w:rPr>
          <w:rFonts w:ascii="Century Gothic" w:eastAsia="MS Mincho" w:hAnsi="Century Gothic" w:cs="Arial"/>
          <w:lang w:val="es-ES_tradnl" w:eastAsia="es-CO"/>
        </w:rPr>
        <w:t xml:space="preserve"> cuando se constituye un patrimonio autónomo</w:t>
      </w:r>
      <w:r w:rsidR="007D3055">
        <w:rPr>
          <w:rFonts w:ascii="Century Gothic" w:eastAsia="MS Mincho" w:hAnsi="Century Gothic" w:cs="Arial"/>
          <w:lang w:val="es-ES_tradnl" w:eastAsia="es-CO"/>
        </w:rPr>
        <w:t>.</w:t>
      </w:r>
    </w:p>
    <w:p w14:paraId="026AA933" w14:textId="69038C3A" w:rsidR="00D3141C" w:rsidRDefault="00B102D3" w:rsidP="00221153">
      <w:pPr>
        <w:spacing w:after="120" w:line="276" w:lineRule="auto"/>
        <w:ind w:firstLine="709"/>
        <w:jc w:val="both"/>
        <w:rPr>
          <w:rFonts w:ascii="Century Gothic" w:eastAsia="MS Mincho" w:hAnsi="Century Gothic" w:cs="Arial"/>
          <w:lang w:val="es-ES_tradnl" w:eastAsia="es-CO"/>
        </w:rPr>
      </w:pPr>
      <w:r>
        <w:rPr>
          <w:rFonts w:ascii="Century Gothic" w:eastAsia="MS Mincho" w:hAnsi="Century Gothic" w:cs="Arial"/>
          <w:lang w:val="es-ES_tradnl" w:eastAsia="es-CO"/>
        </w:rPr>
        <w:t>Sin embargo</w:t>
      </w:r>
      <w:r w:rsidR="009062B0">
        <w:rPr>
          <w:rFonts w:ascii="Century Gothic" w:eastAsia="MS Mincho" w:hAnsi="Century Gothic" w:cs="Arial"/>
          <w:lang w:val="es-ES_tradnl" w:eastAsia="es-CO"/>
        </w:rPr>
        <w:t>,</w:t>
      </w:r>
      <w:r w:rsidR="00BB40A5">
        <w:rPr>
          <w:rFonts w:ascii="Century Gothic" w:eastAsia="MS Mincho" w:hAnsi="Century Gothic" w:cs="Arial"/>
          <w:lang w:val="es-ES_tradnl" w:eastAsia="es-CO"/>
        </w:rPr>
        <w:t xml:space="preserve"> </w:t>
      </w:r>
      <w:r w:rsidR="00F13FFA">
        <w:rPr>
          <w:rFonts w:ascii="Century Gothic" w:eastAsia="MS Mincho" w:hAnsi="Century Gothic" w:cs="Arial"/>
          <w:lang w:val="es-ES_tradnl" w:eastAsia="es-CO"/>
        </w:rPr>
        <w:t xml:space="preserve">esta última modificación </w:t>
      </w:r>
      <w:r w:rsidR="00022EB4">
        <w:rPr>
          <w:rFonts w:ascii="Century Gothic" w:eastAsia="MS Mincho" w:hAnsi="Century Gothic" w:cs="Arial"/>
          <w:lang w:val="es-ES_tradnl" w:eastAsia="es-CO"/>
        </w:rPr>
        <w:t>en</w:t>
      </w:r>
      <w:r w:rsidR="009B5E5D">
        <w:rPr>
          <w:rFonts w:ascii="Century Gothic" w:eastAsia="MS Mincho" w:hAnsi="Century Gothic" w:cs="Arial"/>
          <w:lang w:val="es-ES_tradnl" w:eastAsia="es-CO"/>
        </w:rPr>
        <w:t xml:space="preserve"> el</w:t>
      </w:r>
      <w:r w:rsidR="00022EB4">
        <w:rPr>
          <w:rFonts w:ascii="Century Gothic" w:eastAsia="MS Mincho" w:hAnsi="Century Gothic" w:cs="Arial"/>
          <w:lang w:val="es-ES_tradnl" w:eastAsia="es-CO"/>
        </w:rPr>
        <w:t xml:space="preserve"> </w:t>
      </w:r>
      <w:r w:rsidR="00173B6D">
        <w:rPr>
          <w:rFonts w:ascii="Century Gothic" w:eastAsia="MS Mincho" w:hAnsi="Century Gothic" w:cs="Arial"/>
          <w:lang w:val="es-ES_tradnl" w:eastAsia="es-CO"/>
        </w:rPr>
        <w:t xml:space="preserve">texto </w:t>
      </w:r>
      <w:r w:rsidR="00022EB4">
        <w:rPr>
          <w:rFonts w:ascii="Century Gothic" w:eastAsia="MS Mincho" w:hAnsi="Century Gothic" w:cs="Arial"/>
          <w:lang w:val="es-ES_tradnl" w:eastAsia="es-CO"/>
        </w:rPr>
        <w:t xml:space="preserve">del artículo </w:t>
      </w:r>
      <w:r w:rsidR="004B2378">
        <w:rPr>
          <w:rFonts w:ascii="Century Gothic" w:eastAsia="MS Mincho" w:hAnsi="Century Gothic" w:cs="Arial"/>
          <w:lang w:val="es-ES_tradnl" w:eastAsia="es-CO"/>
        </w:rPr>
        <w:t xml:space="preserve">91 de la Ley 1474 de 2011 puede </w:t>
      </w:r>
      <w:r>
        <w:rPr>
          <w:rFonts w:ascii="Century Gothic" w:eastAsia="MS Mincho" w:hAnsi="Century Gothic" w:cs="Arial"/>
          <w:lang w:val="es-ES_tradnl" w:eastAsia="es-CO"/>
        </w:rPr>
        <w:t xml:space="preserve">interpretarse de dos maneras </w:t>
      </w:r>
      <w:r w:rsidR="000E6A4B">
        <w:rPr>
          <w:rFonts w:ascii="Century Gothic" w:eastAsia="MS Mincho" w:hAnsi="Century Gothic" w:cs="Arial"/>
          <w:lang w:val="es-ES_tradnl" w:eastAsia="es-CO"/>
        </w:rPr>
        <w:t>con relación al</w:t>
      </w:r>
      <w:r>
        <w:rPr>
          <w:rFonts w:ascii="Century Gothic" w:eastAsia="MS Mincho" w:hAnsi="Century Gothic" w:cs="Arial"/>
          <w:lang w:val="es-ES_tradnl" w:eastAsia="es-CO"/>
        </w:rPr>
        <w:t xml:space="preserve"> </w:t>
      </w:r>
      <w:r w:rsidR="009B5E5D">
        <w:rPr>
          <w:rFonts w:ascii="Century Gothic" w:eastAsia="MS Mincho" w:hAnsi="Century Gothic" w:cs="Arial"/>
          <w:lang w:val="es-ES_tradnl" w:eastAsia="es-CO"/>
        </w:rPr>
        <w:t xml:space="preserve">tipo de </w:t>
      </w:r>
      <w:r w:rsidR="004B2378">
        <w:rPr>
          <w:rFonts w:ascii="Century Gothic" w:eastAsia="MS Mincho" w:hAnsi="Century Gothic" w:cs="Arial"/>
          <w:lang w:val="es-ES_tradnl" w:eastAsia="es-CO"/>
        </w:rPr>
        <w:t xml:space="preserve">negocios </w:t>
      </w:r>
      <w:r w:rsidR="006F303A">
        <w:rPr>
          <w:rFonts w:ascii="Century Gothic" w:eastAsia="MS Mincho" w:hAnsi="Century Gothic" w:cs="Arial"/>
          <w:lang w:val="es-ES_tradnl" w:eastAsia="es-CO"/>
        </w:rPr>
        <w:t xml:space="preserve">fiduciarios </w:t>
      </w:r>
      <w:r w:rsidR="004B2378">
        <w:rPr>
          <w:rFonts w:ascii="Century Gothic" w:eastAsia="MS Mincho" w:hAnsi="Century Gothic" w:cs="Arial"/>
          <w:lang w:val="es-ES_tradnl" w:eastAsia="es-CO"/>
        </w:rPr>
        <w:t>que el contratista</w:t>
      </w:r>
      <w:r w:rsidR="00455187">
        <w:rPr>
          <w:rFonts w:ascii="Century Gothic" w:eastAsia="MS Mincho" w:hAnsi="Century Gothic" w:cs="Arial"/>
          <w:lang w:val="es-ES_tradnl" w:eastAsia="es-CO"/>
        </w:rPr>
        <w:t xml:space="preserve"> deberá </w:t>
      </w:r>
      <w:r w:rsidR="004B2378">
        <w:rPr>
          <w:rFonts w:ascii="Century Gothic" w:eastAsia="MS Mincho" w:hAnsi="Century Gothic" w:cs="Arial"/>
          <w:lang w:val="es-ES_tradnl" w:eastAsia="es-CO"/>
        </w:rPr>
        <w:t>constituir</w:t>
      </w:r>
      <w:r w:rsidR="006F303A">
        <w:rPr>
          <w:rFonts w:ascii="Century Gothic" w:eastAsia="MS Mincho" w:hAnsi="Century Gothic" w:cs="Arial"/>
          <w:lang w:val="es-ES_tradnl" w:eastAsia="es-CO"/>
        </w:rPr>
        <w:t xml:space="preserve">. La primera interpretación </w:t>
      </w:r>
      <w:r w:rsidR="00361F77">
        <w:rPr>
          <w:rFonts w:ascii="Century Gothic" w:eastAsia="MS Mincho" w:hAnsi="Century Gothic" w:cs="Arial"/>
          <w:lang w:val="es-ES_tradnl" w:eastAsia="es-CO"/>
        </w:rPr>
        <w:t>sugiere</w:t>
      </w:r>
      <w:r w:rsidR="00D3099B">
        <w:rPr>
          <w:rFonts w:ascii="Century Gothic" w:eastAsia="MS Mincho" w:hAnsi="Century Gothic" w:cs="Arial"/>
          <w:lang w:val="es-ES_tradnl" w:eastAsia="es-CO"/>
        </w:rPr>
        <w:t xml:space="preserve"> que </w:t>
      </w:r>
      <w:r w:rsidR="00066C5F">
        <w:rPr>
          <w:rFonts w:ascii="Century Gothic" w:eastAsia="MS Mincho" w:hAnsi="Century Gothic" w:cs="Arial"/>
          <w:lang w:val="es-ES_tradnl" w:eastAsia="es-CO"/>
        </w:rPr>
        <w:t xml:space="preserve">al indicar que se puede </w:t>
      </w:r>
      <w:r w:rsidR="00156F35">
        <w:rPr>
          <w:rFonts w:ascii="Century Gothic" w:eastAsia="MS Mincho" w:hAnsi="Century Gothic" w:cs="Arial"/>
          <w:lang w:val="es-ES_tradnl" w:eastAsia="es-CO"/>
        </w:rPr>
        <w:t>“</w:t>
      </w:r>
      <w:r w:rsidR="0054406C" w:rsidRPr="0054406C">
        <w:rPr>
          <w:rFonts w:ascii="Century Gothic" w:eastAsia="MS Mincho" w:hAnsi="Century Gothic" w:cs="Arial"/>
          <w:lang w:val="es-ES_tradnl" w:eastAsia="es-CO"/>
        </w:rPr>
        <w:t xml:space="preserve">constituir </w:t>
      </w:r>
      <w:r w:rsidR="0054406C" w:rsidRPr="0054406C">
        <w:rPr>
          <w:rFonts w:ascii="Century Gothic" w:eastAsia="MS Mincho" w:hAnsi="Century Gothic" w:cs="Arial"/>
          <w:i/>
          <w:iCs/>
          <w:lang w:val="es-ES_tradnl" w:eastAsia="es-CO"/>
        </w:rPr>
        <w:t xml:space="preserve">una </w:t>
      </w:r>
      <w:r w:rsidR="0054406C" w:rsidRPr="00BB10FB">
        <w:rPr>
          <w:rFonts w:ascii="Century Gothic" w:eastAsia="MS Mincho" w:hAnsi="Century Gothic" w:cs="Arial"/>
          <w:i/>
          <w:iCs/>
          <w:lang w:val="es-ES_tradnl" w:eastAsia="es-CO"/>
        </w:rPr>
        <w:t>fiducia o un patrimonio autónomo irrevocable</w:t>
      </w:r>
      <w:r w:rsidR="00156F35">
        <w:rPr>
          <w:rFonts w:ascii="Century Gothic" w:eastAsia="MS Mincho" w:hAnsi="Century Gothic" w:cs="Arial"/>
          <w:i/>
          <w:iCs/>
          <w:lang w:val="es-ES_tradnl" w:eastAsia="es-CO"/>
        </w:rPr>
        <w:t xml:space="preserve"> (…)”</w:t>
      </w:r>
      <w:r w:rsidR="0054406C" w:rsidRPr="0054406C">
        <w:rPr>
          <w:rFonts w:ascii="Century Gothic" w:eastAsia="MS Mincho" w:hAnsi="Century Gothic" w:cs="Arial"/>
          <w:lang w:val="es-ES_tradnl" w:eastAsia="es-CO"/>
        </w:rPr>
        <w:t xml:space="preserve"> </w:t>
      </w:r>
      <w:r w:rsidR="00066C5F">
        <w:rPr>
          <w:rFonts w:ascii="Century Gothic" w:eastAsia="MS Mincho" w:hAnsi="Century Gothic" w:cs="Arial"/>
          <w:lang w:val="es-ES_tradnl" w:eastAsia="es-CO"/>
        </w:rPr>
        <w:t xml:space="preserve">para el manejo de los recursos del anticipo, </w:t>
      </w:r>
      <w:r w:rsidR="000E6A4B">
        <w:rPr>
          <w:rFonts w:ascii="Century Gothic" w:eastAsia="MS Mincho" w:hAnsi="Century Gothic" w:cs="Arial"/>
          <w:lang w:val="es-ES_tradnl" w:eastAsia="es-CO"/>
        </w:rPr>
        <w:t xml:space="preserve">se habilitó la </w:t>
      </w:r>
      <w:r w:rsidR="00066C5F">
        <w:rPr>
          <w:rFonts w:ascii="Century Gothic" w:eastAsia="MS Mincho" w:hAnsi="Century Gothic" w:cs="Arial"/>
          <w:lang w:val="es-ES_tradnl" w:eastAsia="es-CO"/>
        </w:rPr>
        <w:t>posibilidad de celebrar todo</w:t>
      </w:r>
      <w:r w:rsidR="00F0388B">
        <w:rPr>
          <w:rFonts w:ascii="Century Gothic" w:eastAsia="MS Mincho" w:hAnsi="Century Gothic" w:cs="Arial"/>
          <w:lang w:val="es-ES_tradnl" w:eastAsia="es-CO"/>
        </w:rPr>
        <w:t xml:space="preserve"> tipo de negocio fiduciario</w:t>
      </w:r>
      <w:r w:rsidR="000E6A4B">
        <w:rPr>
          <w:rFonts w:ascii="Century Gothic" w:eastAsia="MS Mincho" w:hAnsi="Century Gothic" w:cs="Arial"/>
          <w:lang w:val="es-ES_tradnl" w:eastAsia="es-CO"/>
        </w:rPr>
        <w:t xml:space="preserve">. Esto se debería a la </w:t>
      </w:r>
      <w:r w:rsidR="00AB4F60">
        <w:rPr>
          <w:rFonts w:ascii="Century Gothic" w:eastAsia="MS Mincho" w:hAnsi="Century Gothic" w:cs="Arial"/>
          <w:lang w:val="es-ES_tradnl" w:eastAsia="es-CO"/>
        </w:rPr>
        <w:t xml:space="preserve">inclusión del </w:t>
      </w:r>
      <w:r w:rsidR="00F0388B">
        <w:rPr>
          <w:rFonts w:ascii="Century Gothic" w:eastAsia="MS Mincho" w:hAnsi="Century Gothic" w:cs="Arial"/>
          <w:lang w:val="es-ES_tradnl" w:eastAsia="es-CO"/>
        </w:rPr>
        <w:t>conector “o” entre la mod</w:t>
      </w:r>
      <w:r w:rsidR="00840E27">
        <w:rPr>
          <w:rFonts w:ascii="Century Gothic" w:eastAsia="MS Mincho" w:hAnsi="Century Gothic" w:cs="Arial"/>
          <w:lang w:val="es-ES_tradnl" w:eastAsia="es-CO"/>
        </w:rPr>
        <w:t xml:space="preserve">ificación </w:t>
      </w:r>
      <w:r w:rsidR="00F0388B">
        <w:rPr>
          <w:rFonts w:ascii="Century Gothic" w:eastAsia="MS Mincho" w:hAnsi="Century Gothic" w:cs="Arial"/>
          <w:lang w:val="es-ES_tradnl" w:eastAsia="es-CO"/>
        </w:rPr>
        <w:t>y la propuesta</w:t>
      </w:r>
      <w:r w:rsidR="00E700BA">
        <w:rPr>
          <w:rFonts w:ascii="Century Gothic" w:eastAsia="MS Mincho" w:hAnsi="Century Gothic" w:cs="Arial"/>
          <w:lang w:val="es-ES_tradnl" w:eastAsia="es-CO"/>
        </w:rPr>
        <w:t xml:space="preserve"> inicial del texto del artículo</w:t>
      </w:r>
      <w:r w:rsidR="00F0388B">
        <w:rPr>
          <w:rFonts w:ascii="Century Gothic" w:eastAsia="MS Mincho" w:hAnsi="Century Gothic" w:cs="Arial"/>
          <w:lang w:val="es-ES_tradnl" w:eastAsia="es-CO"/>
        </w:rPr>
        <w:t xml:space="preserve"> aprobada en debates anteriores</w:t>
      </w:r>
      <w:r w:rsidR="00CC3091">
        <w:rPr>
          <w:rFonts w:ascii="Century Gothic" w:eastAsia="MS Mincho" w:hAnsi="Century Gothic" w:cs="Arial"/>
          <w:lang w:val="es-ES_tradnl" w:eastAsia="es-CO"/>
        </w:rPr>
        <w:t xml:space="preserve">, que se interpreta que </w:t>
      </w:r>
      <w:r w:rsidR="00812DF5">
        <w:rPr>
          <w:rFonts w:ascii="Century Gothic" w:eastAsia="MS Mincho" w:hAnsi="Century Gothic" w:cs="Arial"/>
          <w:lang w:val="es-ES_tradnl" w:eastAsia="es-CO"/>
        </w:rPr>
        <w:t xml:space="preserve"> contiene </w:t>
      </w:r>
      <w:r w:rsidR="00C14BBA">
        <w:rPr>
          <w:rFonts w:ascii="Century Gothic" w:eastAsia="MS Mincho" w:hAnsi="Century Gothic" w:cs="Arial"/>
          <w:lang w:val="es-ES_tradnl" w:eastAsia="es-CO"/>
        </w:rPr>
        <w:t xml:space="preserve">un valor disyuntivo de expresar alternativas entre distintas opciones, lo que traduce a que </w:t>
      </w:r>
      <w:r w:rsidR="004C6AAD">
        <w:rPr>
          <w:rFonts w:ascii="Century Gothic" w:eastAsia="MS Mincho" w:hAnsi="Century Gothic" w:cs="Arial"/>
          <w:lang w:val="es-ES_tradnl" w:eastAsia="es-CO"/>
        </w:rPr>
        <w:t>se est</w:t>
      </w:r>
      <w:r w:rsidR="00A24C0C">
        <w:rPr>
          <w:rFonts w:ascii="Century Gothic" w:eastAsia="MS Mincho" w:hAnsi="Century Gothic" w:cs="Arial"/>
          <w:lang w:val="es-ES_tradnl" w:eastAsia="es-CO"/>
        </w:rPr>
        <w:t>aría</w:t>
      </w:r>
      <w:r w:rsidR="004C6AAD">
        <w:rPr>
          <w:rFonts w:ascii="Century Gothic" w:eastAsia="MS Mincho" w:hAnsi="Century Gothic" w:cs="Arial"/>
          <w:lang w:val="es-ES_tradnl" w:eastAsia="es-CO"/>
        </w:rPr>
        <w:t xml:space="preserve"> habilitando </w:t>
      </w:r>
      <w:r w:rsidR="00C14BBA">
        <w:rPr>
          <w:rFonts w:ascii="Century Gothic" w:eastAsia="MS Mincho" w:hAnsi="Century Gothic" w:cs="Arial"/>
          <w:lang w:val="es-ES_tradnl" w:eastAsia="es-CO"/>
        </w:rPr>
        <w:t xml:space="preserve">al contratista para celebrar </w:t>
      </w:r>
      <w:r w:rsidR="004C6AAD">
        <w:rPr>
          <w:rFonts w:ascii="Century Gothic" w:eastAsia="MS Mincho" w:hAnsi="Century Gothic" w:cs="Arial"/>
          <w:lang w:val="es-ES_tradnl" w:eastAsia="es-CO"/>
        </w:rPr>
        <w:t xml:space="preserve">diferentes </w:t>
      </w:r>
      <w:r w:rsidR="000E0E35">
        <w:rPr>
          <w:rFonts w:ascii="Century Gothic" w:eastAsia="MS Mincho" w:hAnsi="Century Gothic" w:cs="Arial"/>
          <w:lang w:val="es-ES_tradnl" w:eastAsia="es-CO"/>
        </w:rPr>
        <w:t xml:space="preserve">alternativas de </w:t>
      </w:r>
      <w:r w:rsidR="004C6AAD">
        <w:rPr>
          <w:rFonts w:ascii="Century Gothic" w:eastAsia="MS Mincho" w:hAnsi="Century Gothic" w:cs="Arial"/>
          <w:lang w:val="es-ES_tradnl" w:eastAsia="es-CO"/>
        </w:rPr>
        <w:t xml:space="preserve">negocios fiduciarios, </w:t>
      </w:r>
      <w:r w:rsidR="00672EFA">
        <w:rPr>
          <w:rFonts w:ascii="Century Gothic" w:eastAsia="MS Mincho" w:hAnsi="Century Gothic" w:cs="Arial"/>
          <w:lang w:val="es-ES_tradnl" w:eastAsia="es-CO"/>
        </w:rPr>
        <w:t>entre ellos</w:t>
      </w:r>
      <w:r w:rsidR="00CC3091">
        <w:rPr>
          <w:rFonts w:ascii="Century Gothic" w:eastAsia="MS Mincho" w:hAnsi="Century Gothic" w:cs="Arial"/>
          <w:lang w:val="es-ES_tradnl" w:eastAsia="es-CO"/>
        </w:rPr>
        <w:t>,</w:t>
      </w:r>
      <w:r w:rsidR="00672EFA">
        <w:rPr>
          <w:rFonts w:ascii="Century Gothic" w:eastAsia="MS Mincho" w:hAnsi="Century Gothic" w:cs="Arial"/>
          <w:lang w:val="es-ES_tradnl" w:eastAsia="es-CO"/>
        </w:rPr>
        <w:t xml:space="preserve"> la fiducia pública, el encargo fiduciari</w:t>
      </w:r>
      <w:r w:rsidR="00E41D9F">
        <w:rPr>
          <w:rFonts w:ascii="Century Gothic" w:eastAsia="MS Mincho" w:hAnsi="Century Gothic" w:cs="Arial"/>
          <w:lang w:val="es-ES_tradnl" w:eastAsia="es-CO"/>
        </w:rPr>
        <w:t>o</w:t>
      </w:r>
      <w:r w:rsidR="00672EFA">
        <w:rPr>
          <w:rFonts w:ascii="Century Gothic" w:eastAsia="MS Mincho" w:hAnsi="Century Gothic" w:cs="Arial"/>
          <w:lang w:val="es-ES_tradnl" w:eastAsia="es-CO"/>
        </w:rPr>
        <w:t xml:space="preserve"> y la fiducia mercantil, siempre y cuando </w:t>
      </w:r>
      <w:r w:rsidR="00E41D9F">
        <w:rPr>
          <w:rFonts w:ascii="Century Gothic" w:eastAsia="MS Mincho" w:hAnsi="Century Gothic" w:cs="Arial"/>
          <w:lang w:val="es-ES_tradnl" w:eastAsia="es-CO"/>
        </w:rPr>
        <w:t xml:space="preserve">todos estos </w:t>
      </w:r>
      <w:r w:rsidR="00672EFA">
        <w:rPr>
          <w:rFonts w:ascii="Century Gothic" w:eastAsia="MS Mincho" w:hAnsi="Century Gothic" w:cs="Arial"/>
          <w:lang w:val="es-ES_tradnl" w:eastAsia="es-CO"/>
        </w:rPr>
        <w:t>sean irrevocables</w:t>
      </w:r>
      <w:r w:rsidR="00534613">
        <w:rPr>
          <w:rFonts w:ascii="Century Gothic" w:eastAsia="MS Mincho" w:hAnsi="Century Gothic" w:cs="Arial"/>
          <w:lang w:val="es-ES_tradnl" w:eastAsia="es-CO"/>
        </w:rPr>
        <w:t>, pues el legislador no realizó distinción alguna al respecto.</w:t>
      </w:r>
    </w:p>
    <w:p w14:paraId="7AEB9DD8" w14:textId="77777777" w:rsidR="007E7F7A" w:rsidRDefault="00534613" w:rsidP="00F237F9">
      <w:pPr>
        <w:spacing w:after="120" w:line="276" w:lineRule="auto"/>
        <w:ind w:firstLine="709"/>
        <w:jc w:val="both"/>
        <w:rPr>
          <w:rFonts w:ascii="Century Gothic" w:eastAsia="MS Mincho" w:hAnsi="Century Gothic" w:cs="Arial"/>
          <w:lang w:val="es-ES_tradnl" w:eastAsia="es-CO"/>
        </w:rPr>
      </w:pPr>
      <w:r>
        <w:rPr>
          <w:rFonts w:ascii="Century Gothic" w:eastAsia="MS Mincho" w:hAnsi="Century Gothic" w:cs="Arial"/>
          <w:lang w:val="es-ES_tradnl" w:eastAsia="es-CO"/>
        </w:rPr>
        <w:t xml:space="preserve">Por </w:t>
      </w:r>
      <w:r w:rsidR="007D41D8">
        <w:rPr>
          <w:rFonts w:ascii="Century Gothic" w:eastAsia="MS Mincho" w:hAnsi="Century Gothic" w:cs="Arial"/>
          <w:lang w:val="es-ES_tradnl" w:eastAsia="es-CO"/>
        </w:rPr>
        <w:t>su parte</w:t>
      </w:r>
      <w:r>
        <w:rPr>
          <w:rFonts w:ascii="Century Gothic" w:eastAsia="MS Mincho" w:hAnsi="Century Gothic" w:cs="Arial"/>
          <w:lang w:val="es-ES_tradnl" w:eastAsia="es-CO"/>
        </w:rPr>
        <w:t>, la segunda interpretación</w:t>
      </w:r>
      <w:r w:rsidR="009E1F5B">
        <w:rPr>
          <w:rFonts w:ascii="Century Gothic" w:eastAsia="MS Mincho" w:hAnsi="Century Gothic" w:cs="Arial"/>
          <w:lang w:val="es-ES_tradnl" w:eastAsia="es-CO"/>
        </w:rPr>
        <w:t xml:space="preserve"> </w:t>
      </w:r>
      <w:r w:rsidR="00016A9F">
        <w:rPr>
          <w:rFonts w:ascii="Century Gothic" w:eastAsia="MS Mincho" w:hAnsi="Century Gothic" w:cs="Arial"/>
          <w:lang w:val="es-ES_tradnl" w:eastAsia="es-CO"/>
        </w:rPr>
        <w:t>plantea</w:t>
      </w:r>
      <w:r w:rsidR="009E1F5B">
        <w:rPr>
          <w:rFonts w:ascii="Century Gothic" w:eastAsia="MS Mincho" w:hAnsi="Century Gothic" w:cs="Arial"/>
          <w:lang w:val="es-ES_tradnl" w:eastAsia="es-CO"/>
        </w:rPr>
        <w:t xml:space="preserve"> que el conector “o” no debe de interpretarse como un conector que presenta diferentes alternativas</w:t>
      </w:r>
      <w:r w:rsidR="00EF3562">
        <w:rPr>
          <w:rFonts w:ascii="Century Gothic" w:eastAsia="MS Mincho" w:hAnsi="Century Gothic" w:cs="Arial"/>
          <w:lang w:val="es-ES_tradnl" w:eastAsia="es-CO"/>
        </w:rPr>
        <w:t xml:space="preserve"> de negocios fiduciarios</w:t>
      </w:r>
      <w:r w:rsidR="009E1F5B">
        <w:rPr>
          <w:rFonts w:ascii="Century Gothic" w:eastAsia="MS Mincho" w:hAnsi="Century Gothic" w:cs="Arial"/>
          <w:lang w:val="es-ES_tradnl" w:eastAsia="es-CO"/>
        </w:rPr>
        <w:t xml:space="preserve">, sino como un conector que </w:t>
      </w:r>
      <w:r w:rsidR="00A304B5">
        <w:rPr>
          <w:rFonts w:ascii="Century Gothic" w:eastAsia="MS Mincho" w:hAnsi="Century Gothic" w:cs="Arial"/>
          <w:lang w:val="es-ES_tradnl" w:eastAsia="es-CO"/>
        </w:rPr>
        <w:t>expresa una equivalencia</w:t>
      </w:r>
      <w:r w:rsidR="00C51346">
        <w:rPr>
          <w:rFonts w:ascii="Century Gothic" w:eastAsia="MS Mincho" w:hAnsi="Century Gothic" w:cs="Arial"/>
          <w:lang w:val="es-ES_tradnl" w:eastAsia="es-CO"/>
        </w:rPr>
        <w:t xml:space="preserve"> denominativa, la que correspondería únicamente a la habilitación legal para constituir</w:t>
      </w:r>
      <w:r w:rsidR="00303CCE">
        <w:rPr>
          <w:rFonts w:ascii="Century Gothic" w:eastAsia="MS Mincho" w:hAnsi="Century Gothic" w:cs="Arial"/>
          <w:lang w:val="es-ES_tradnl" w:eastAsia="es-CO"/>
        </w:rPr>
        <w:t xml:space="preserve"> patrimonio</w:t>
      </w:r>
      <w:r w:rsidR="00742AB3">
        <w:rPr>
          <w:rFonts w:ascii="Century Gothic" w:eastAsia="MS Mincho" w:hAnsi="Century Gothic" w:cs="Arial"/>
          <w:lang w:val="es-ES_tradnl" w:eastAsia="es-CO"/>
        </w:rPr>
        <w:t>s</w:t>
      </w:r>
      <w:r w:rsidR="00303CCE">
        <w:rPr>
          <w:rFonts w:ascii="Century Gothic" w:eastAsia="MS Mincho" w:hAnsi="Century Gothic" w:cs="Arial"/>
          <w:lang w:val="es-ES_tradnl" w:eastAsia="es-CO"/>
        </w:rPr>
        <w:t xml:space="preserve"> autónomos irrevocables, los cuales </w:t>
      </w:r>
      <w:r w:rsidR="00742AB3">
        <w:rPr>
          <w:rFonts w:ascii="Century Gothic" w:eastAsia="MS Mincho" w:hAnsi="Century Gothic" w:cs="Arial"/>
          <w:lang w:val="es-ES_tradnl" w:eastAsia="es-CO"/>
        </w:rPr>
        <w:t>sólo son factibles mediante</w:t>
      </w:r>
      <w:r w:rsidR="00303CCE">
        <w:rPr>
          <w:rFonts w:ascii="Century Gothic" w:eastAsia="MS Mincho" w:hAnsi="Century Gothic" w:cs="Arial"/>
          <w:lang w:val="es-ES_tradnl" w:eastAsia="es-CO"/>
        </w:rPr>
        <w:t xml:space="preserve"> la celebración de contratos de</w:t>
      </w:r>
      <w:r w:rsidR="00E347F7">
        <w:rPr>
          <w:rFonts w:ascii="Century Gothic" w:eastAsia="MS Mincho" w:hAnsi="Century Gothic" w:cs="Arial"/>
          <w:lang w:val="es-ES_tradnl" w:eastAsia="es-CO"/>
        </w:rPr>
        <w:t xml:space="preserve"> fiducia mercantil</w:t>
      </w:r>
      <w:r w:rsidR="00180FFC">
        <w:rPr>
          <w:rFonts w:ascii="Century Gothic" w:eastAsia="MS Mincho" w:hAnsi="Century Gothic" w:cs="Arial"/>
          <w:lang w:val="es-ES_tradnl" w:eastAsia="es-CO"/>
        </w:rPr>
        <w:t xml:space="preserve"> irrevocable</w:t>
      </w:r>
      <w:r w:rsidR="00894219">
        <w:rPr>
          <w:rFonts w:ascii="Century Gothic" w:eastAsia="MS Mincho" w:hAnsi="Century Gothic" w:cs="Arial"/>
          <w:lang w:val="es-ES_tradnl" w:eastAsia="es-CO"/>
        </w:rPr>
        <w:t>. Esto se fundamenta principalmente al señalar que</w:t>
      </w:r>
      <w:r w:rsidR="00DF6F36">
        <w:rPr>
          <w:rFonts w:ascii="Century Gothic" w:eastAsia="MS Mincho" w:hAnsi="Century Gothic" w:cs="Arial"/>
          <w:lang w:val="es-ES_tradnl" w:eastAsia="es-CO"/>
        </w:rPr>
        <w:t xml:space="preserve"> la única intención clara del legislador</w:t>
      </w:r>
      <w:r w:rsidR="00C257C3">
        <w:rPr>
          <w:rFonts w:ascii="Century Gothic" w:eastAsia="MS Mincho" w:hAnsi="Century Gothic" w:cs="Arial"/>
          <w:lang w:val="es-ES_tradnl" w:eastAsia="es-CO"/>
        </w:rPr>
        <w:t>,</w:t>
      </w:r>
      <w:r w:rsidR="00DF6F36">
        <w:rPr>
          <w:rFonts w:ascii="Century Gothic" w:eastAsia="MS Mincho" w:hAnsi="Century Gothic" w:cs="Arial"/>
          <w:lang w:val="es-ES_tradnl" w:eastAsia="es-CO"/>
        </w:rPr>
        <w:t xml:space="preserve"> durante </w:t>
      </w:r>
      <w:r w:rsidR="00C257C3">
        <w:rPr>
          <w:rFonts w:ascii="Century Gothic" w:eastAsia="MS Mincho" w:hAnsi="Century Gothic" w:cs="Arial"/>
          <w:lang w:val="es-ES_tradnl" w:eastAsia="es-CO"/>
        </w:rPr>
        <w:t xml:space="preserve">todo </w:t>
      </w:r>
      <w:r w:rsidR="00DF6F36">
        <w:rPr>
          <w:rFonts w:ascii="Century Gothic" w:eastAsia="MS Mincho" w:hAnsi="Century Gothic" w:cs="Arial"/>
          <w:lang w:val="es-ES_tradnl" w:eastAsia="es-CO"/>
        </w:rPr>
        <w:t>el trámite legislativo</w:t>
      </w:r>
      <w:r w:rsidR="00C257C3">
        <w:rPr>
          <w:rFonts w:ascii="Century Gothic" w:eastAsia="MS Mincho" w:hAnsi="Century Gothic" w:cs="Arial"/>
          <w:lang w:val="es-ES_tradnl" w:eastAsia="es-CO"/>
        </w:rPr>
        <w:t xml:space="preserve">, fue </w:t>
      </w:r>
      <w:r w:rsidR="005B46A9">
        <w:rPr>
          <w:rFonts w:ascii="Century Gothic" w:eastAsia="MS Mincho" w:hAnsi="Century Gothic" w:cs="Arial"/>
          <w:lang w:val="es-ES_tradnl" w:eastAsia="es-CO"/>
        </w:rPr>
        <w:t>la de</w:t>
      </w:r>
      <w:r w:rsidR="005B46A9" w:rsidRPr="005B46A9">
        <w:rPr>
          <w:rFonts w:ascii="Century Gothic" w:eastAsia="MS Mincho" w:hAnsi="Century Gothic" w:cs="Arial"/>
          <w:lang w:val="es-ES_tradnl" w:eastAsia="es-CO"/>
        </w:rPr>
        <w:t xml:space="preserve"> habilitar legalmente la transferencia de la propiedad de los recursos públicos entregados como anticipo</w:t>
      </w:r>
      <w:r w:rsidR="007E7F7A">
        <w:rPr>
          <w:rFonts w:ascii="Century Gothic" w:eastAsia="MS Mincho" w:hAnsi="Century Gothic" w:cs="Arial"/>
          <w:lang w:val="es-ES_tradnl" w:eastAsia="es-CO"/>
        </w:rPr>
        <w:t xml:space="preserve"> para que estos sean administrados</w:t>
      </w:r>
      <w:r w:rsidR="005B46A9" w:rsidRPr="005B46A9">
        <w:rPr>
          <w:rFonts w:ascii="Century Gothic" w:eastAsia="MS Mincho" w:hAnsi="Century Gothic" w:cs="Arial"/>
          <w:lang w:val="es-ES_tradnl" w:eastAsia="es-CO"/>
        </w:rPr>
        <w:t xml:space="preserve"> </w:t>
      </w:r>
      <w:r w:rsidR="007E7F7A">
        <w:rPr>
          <w:rFonts w:ascii="Century Gothic" w:eastAsia="MS Mincho" w:hAnsi="Century Gothic" w:cs="Arial"/>
          <w:lang w:val="es-ES_tradnl" w:eastAsia="es-CO"/>
        </w:rPr>
        <w:t xml:space="preserve">mediante </w:t>
      </w:r>
      <w:r w:rsidR="005B46A9" w:rsidRPr="005B46A9">
        <w:rPr>
          <w:rFonts w:ascii="Century Gothic" w:eastAsia="MS Mincho" w:hAnsi="Century Gothic" w:cs="Arial"/>
          <w:lang w:val="es-ES_tradnl" w:eastAsia="es-CO"/>
        </w:rPr>
        <w:t>un patrimonio autónomo.</w:t>
      </w:r>
      <w:r w:rsidR="007E7F7A">
        <w:rPr>
          <w:rFonts w:ascii="Century Gothic" w:eastAsia="MS Mincho" w:hAnsi="Century Gothic" w:cs="Arial"/>
          <w:lang w:val="es-ES_tradnl" w:eastAsia="es-CO"/>
        </w:rPr>
        <w:t xml:space="preserve"> </w:t>
      </w:r>
    </w:p>
    <w:p w14:paraId="1074F14E" w14:textId="22643FAD" w:rsidR="004A1F28" w:rsidRDefault="001A527C" w:rsidP="00F237F9">
      <w:pPr>
        <w:spacing w:after="120" w:line="276" w:lineRule="auto"/>
        <w:ind w:firstLine="709"/>
        <w:jc w:val="both"/>
        <w:rPr>
          <w:rFonts w:ascii="Century Gothic" w:hAnsi="Century Gothic" w:cs="Arial"/>
          <w:iCs/>
          <w:color w:val="000000" w:themeColor="text1"/>
        </w:rPr>
      </w:pPr>
      <w:r>
        <w:rPr>
          <w:rFonts w:ascii="Century Gothic" w:eastAsia="MS Mincho" w:hAnsi="Century Gothic" w:cs="Arial"/>
          <w:lang w:val="es-ES_tradnl" w:eastAsia="es-CO"/>
        </w:rPr>
        <w:t>Esta última interpretación fue la acogida en la</w:t>
      </w:r>
      <w:r w:rsidRPr="004E4408">
        <w:rPr>
          <w:rFonts w:ascii="Century Gothic" w:hAnsi="Century Gothic" w:cs="Arial"/>
          <w:color w:val="000000" w:themeColor="text1"/>
          <w:lang w:val="es-ES_tradnl"/>
        </w:rPr>
        <w:t xml:space="preserve"> </w:t>
      </w:r>
      <w:r w:rsidRPr="004E4408">
        <w:rPr>
          <w:rFonts w:ascii="Century Gothic" w:hAnsi="Century Gothic" w:cs="Arial"/>
          <w:color w:val="000000" w:themeColor="text1"/>
        </w:rPr>
        <w:t>“</w:t>
      </w:r>
      <w:r w:rsidRPr="004E4408">
        <w:rPr>
          <w:rFonts w:ascii="Century Gothic" w:hAnsi="Century Gothic" w:cs="Arial"/>
          <w:i/>
          <w:color w:val="000000" w:themeColor="text1"/>
          <w:lang w:val="es-ES_tradnl"/>
        </w:rPr>
        <w:t>Guía para el manejo de anticipos mediante contrato de fiducia irrevocable</w:t>
      </w:r>
      <w:r w:rsidRPr="004E4408">
        <w:rPr>
          <w:rFonts w:ascii="Century Gothic" w:hAnsi="Century Gothic" w:cs="Arial"/>
          <w:i/>
          <w:color w:val="000000" w:themeColor="text1"/>
        </w:rPr>
        <w:t>”</w:t>
      </w:r>
      <w:r w:rsidRPr="004E4408">
        <w:rPr>
          <w:rFonts w:ascii="Century Gothic" w:hAnsi="Century Gothic" w:cs="Arial"/>
          <w:i/>
          <w:color w:val="000000" w:themeColor="text1"/>
          <w:vertAlign w:val="superscript"/>
        </w:rPr>
        <w:footnoteReference w:id="32"/>
      </w:r>
      <w:r>
        <w:rPr>
          <w:rFonts w:ascii="Century Gothic" w:hAnsi="Century Gothic" w:cs="Arial"/>
          <w:i/>
          <w:color w:val="000000" w:themeColor="text1"/>
        </w:rPr>
        <w:t xml:space="preserve"> </w:t>
      </w:r>
      <w:r>
        <w:rPr>
          <w:rFonts w:ascii="Century Gothic" w:hAnsi="Century Gothic" w:cs="Arial"/>
          <w:iCs/>
          <w:color w:val="000000" w:themeColor="text1"/>
        </w:rPr>
        <w:t xml:space="preserve">expedida por esta Agencia, </w:t>
      </w:r>
      <w:r w:rsidR="004A1F28">
        <w:rPr>
          <w:rFonts w:ascii="Century Gothic" w:hAnsi="Century Gothic" w:cs="Arial"/>
          <w:iCs/>
          <w:color w:val="000000" w:themeColor="text1"/>
        </w:rPr>
        <w:t>cuyo acápite</w:t>
      </w:r>
      <w:r w:rsidR="00E86060">
        <w:rPr>
          <w:rFonts w:ascii="Century Gothic" w:hAnsi="Century Gothic" w:cs="Arial"/>
          <w:iCs/>
          <w:color w:val="000000" w:themeColor="text1"/>
        </w:rPr>
        <w:t xml:space="preserve"> “II. Condiciones del contrato de fiducia para el manejo de anticipos” </w:t>
      </w:r>
      <w:r w:rsidR="00F237F9">
        <w:rPr>
          <w:rFonts w:ascii="Century Gothic" w:hAnsi="Century Gothic" w:cs="Arial"/>
          <w:iCs/>
          <w:color w:val="000000" w:themeColor="text1"/>
        </w:rPr>
        <w:t xml:space="preserve">dispuso que: </w:t>
      </w:r>
    </w:p>
    <w:p w14:paraId="6A838882" w14:textId="7BC00461" w:rsidR="00054DF5" w:rsidRPr="00F237F9" w:rsidRDefault="00F237F9" w:rsidP="004A1F28">
      <w:pPr>
        <w:spacing w:after="120" w:line="276" w:lineRule="auto"/>
        <w:ind w:left="709" w:right="709"/>
        <w:jc w:val="both"/>
        <w:rPr>
          <w:rFonts w:ascii="Century Gothic" w:eastAsia="MS Mincho" w:hAnsi="Century Gothic" w:cs="Arial"/>
          <w:i/>
          <w:lang w:val="es-ES_tradnl" w:eastAsia="es-CO"/>
        </w:rPr>
      </w:pPr>
      <w:r w:rsidRPr="00F237F9">
        <w:rPr>
          <w:rFonts w:ascii="Century Gothic" w:hAnsi="Century Gothic" w:cs="Arial"/>
          <w:i/>
          <w:color w:val="000000" w:themeColor="text1"/>
        </w:rPr>
        <w:t>“Para el manejo del anticipo, el contrato de fiducia mercantil irrevocable debe ser de administración y pagos. (…) No son admisibles otro tipo de negocios fiduciarios como los encargos fiduciarios, la fiducia pública o fiducia mercantil de garantía, los cuales no corresponden a la finalidad prevista por la ley para el manejo de anticipos.”</w:t>
      </w:r>
    </w:p>
    <w:p w14:paraId="2AAB16E4" w14:textId="54B1DB19" w:rsidR="00820C44" w:rsidRPr="00EA402B" w:rsidRDefault="00820C44" w:rsidP="00D43FC7">
      <w:pPr>
        <w:spacing w:after="120" w:line="276" w:lineRule="auto"/>
        <w:ind w:firstLine="709"/>
        <w:jc w:val="both"/>
        <w:rPr>
          <w:rFonts w:ascii="Century Gothic" w:eastAsia="MS Mincho" w:hAnsi="Century Gothic" w:cs="Arial"/>
          <w:lang w:val="es-ES_tradnl" w:eastAsia="es-CO"/>
        </w:rPr>
      </w:pPr>
      <w:r w:rsidRPr="00EA402B">
        <w:rPr>
          <w:rFonts w:ascii="Century Gothic" w:eastAsia="MS Mincho" w:hAnsi="Century Gothic" w:cs="Arial"/>
          <w:lang w:val="es-ES_tradnl" w:eastAsia="es-CO"/>
        </w:rPr>
        <w:t xml:space="preserve"> En consecuencia, </w:t>
      </w:r>
      <w:r w:rsidR="00141BD0">
        <w:rPr>
          <w:rFonts w:ascii="Century Gothic" w:eastAsia="MS Mincho" w:hAnsi="Century Gothic" w:cs="Arial"/>
          <w:lang w:val="es-ES_tradnl" w:eastAsia="es-CO"/>
        </w:rPr>
        <w:t xml:space="preserve">para la Agencia, el manejo de los recursos girados por concepto de anticipo sólo puede ser administrado a través de una fiducia mercantil irrevocable. Al respecto, la entidad estructuró </w:t>
      </w:r>
      <w:r w:rsidR="00D43FC7" w:rsidRPr="00D43FC7">
        <w:rPr>
          <w:rFonts w:ascii="Century Gothic" w:eastAsia="MS Mincho" w:hAnsi="Century Gothic" w:cs="Arial"/>
          <w:lang w:val="es-ES_tradnl" w:eastAsia="es-CO"/>
        </w:rPr>
        <w:t xml:space="preserve">un documento </w:t>
      </w:r>
      <w:r w:rsidR="00141BD0">
        <w:rPr>
          <w:rFonts w:ascii="Century Gothic" w:eastAsia="MS Mincho" w:hAnsi="Century Gothic" w:cs="Arial"/>
          <w:lang w:val="es-ES_tradnl" w:eastAsia="es-CO"/>
        </w:rPr>
        <w:t>de modelo</w:t>
      </w:r>
      <w:r w:rsidR="00D43FC7" w:rsidRPr="00D43FC7">
        <w:rPr>
          <w:rFonts w:ascii="Century Gothic" w:eastAsia="MS Mincho" w:hAnsi="Century Gothic" w:cs="Arial"/>
          <w:lang w:val="es-ES_tradnl" w:eastAsia="es-CO"/>
        </w:rPr>
        <w:t xml:space="preserve"> de contrato de fiducia mercantil irrevocable para</w:t>
      </w:r>
      <w:r w:rsidR="00E94B18">
        <w:rPr>
          <w:rFonts w:ascii="Century Gothic" w:eastAsia="MS Mincho" w:hAnsi="Century Gothic" w:cs="Arial"/>
          <w:lang w:val="es-ES_tradnl" w:eastAsia="es-CO"/>
        </w:rPr>
        <w:t xml:space="preserve"> </w:t>
      </w:r>
      <w:r w:rsidR="00D43FC7" w:rsidRPr="00D43FC7">
        <w:rPr>
          <w:rFonts w:ascii="Century Gothic" w:eastAsia="MS Mincho" w:hAnsi="Century Gothic" w:cs="Arial"/>
          <w:lang w:val="es-ES_tradnl" w:eastAsia="es-CO"/>
        </w:rPr>
        <w:t xml:space="preserve">el manejo de anticipos disponible en el siguiente enlace: </w:t>
      </w:r>
      <w:hyperlink r:id="rId15" w:history="1">
        <w:r w:rsidR="003C61C0" w:rsidRPr="001E5312">
          <w:rPr>
            <w:rStyle w:val="Hipervnculo"/>
            <w:rFonts w:ascii="Century Gothic" w:eastAsia="MS Mincho" w:hAnsi="Century Gothic" w:cs="Arial"/>
            <w:lang w:val="es-ES_tradnl" w:eastAsia="es-CO"/>
          </w:rPr>
          <w:t>https://colombiacompra.gov.co/sites/cce_public/files/cce_documents/20151115_contrato_de_fiducia_para_el_manejo_de_anticipos_v2_0.pdf</w:t>
        </w:r>
      </w:hyperlink>
      <w:r w:rsidR="003C61C0">
        <w:rPr>
          <w:rFonts w:ascii="Century Gothic" w:eastAsia="MS Mincho" w:hAnsi="Century Gothic" w:cs="Arial"/>
          <w:lang w:val="es-ES_tradnl" w:eastAsia="es-CO"/>
        </w:rPr>
        <w:t xml:space="preserve"> </w:t>
      </w:r>
    </w:p>
    <w:p w14:paraId="79F9CABF" w14:textId="77777777" w:rsidR="00820C44" w:rsidRPr="004E4408" w:rsidRDefault="00820C44" w:rsidP="00B76A1E">
      <w:pPr>
        <w:spacing w:line="276" w:lineRule="auto"/>
        <w:ind w:firstLine="708"/>
        <w:jc w:val="both"/>
        <w:rPr>
          <w:rFonts w:ascii="Century Gothic" w:hAnsi="Century Gothic" w:cs="Arial"/>
          <w:color w:val="000000" w:themeColor="text1"/>
          <w:lang w:val="es-ES_tradnl"/>
        </w:rPr>
      </w:pPr>
    </w:p>
    <w:p w14:paraId="524A632F" w14:textId="77777777" w:rsidR="00B76A1E" w:rsidRPr="004E4408" w:rsidRDefault="00B76A1E" w:rsidP="00B76A1E">
      <w:pPr>
        <w:spacing w:line="276" w:lineRule="auto"/>
        <w:jc w:val="both"/>
        <w:rPr>
          <w:rFonts w:ascii="Century Gothic" w:hAnsi="Century Gothic" w:cs="Arial"/>
          <w:b/>
          <w:color w:val="000000" w:themeColor="text1"/>
        </w:rPr>
      </w:pPr>
      <w:r w:rsidRPr="004E4408">
        <w:rPr>
          <w:rFonts w:ascii="Century Gothic" w:hAnsi="Century Gothic" w:cs="Arial"/>
          <w:b/>
          <w:color w:val="000000" w:themeColor="text1"/>
        </w:rPr>
        <w:t>3. Respuesta</w:t>
      </w:r>
    </w:p>
    <w:p w14:paraId="1D98B33C" w14:textId="77777777" w:rsidR="00052440" w:rsidRPr="004E4408" w:rsidRDefault="00052440" w:rsidP="00052440">
      <w:pPr>
        <w:spacing w:line="240" w:lineRule="auto"/>
        <w:ind w:left="709" w:right="709"/>
        <w:jc w:val="both"/>
        <w:rPr>
          <w:rFonts w:ascii="Century Gothic" w:hAnsi="Century Gothic" w:cs="Arial"/>
          <w:sz w:val="21"/>
          <w:szCs w:val="21"/>
        </w:rPr>
      </w:pPr>
      <w:r w:rsidRPr="004E4408">
        <w:rPr>
          <w:rFonts w:ascii="Century Gothic" w:hAnsi="Century Gothic" w:cs="Arial"/>
          <w:sz w:val="21"/>
          <w:szCs w:val="21"/>
        </w:rPr>
        <w:t>“(…) El artículo 91 de la ley 1474, en la siguiente frase; “el contratista deberá́ constituir una fiducia o un patrimonio aut</w:t>
      </w:r>
      <w:r w:rsidRPr="004E4408">
        <w:rPr>
          <w:rFonts w:ascii="Century Gothic" w:hAnsi="Century Gothic" w:cs="Century Gothic"/>
          <w:sz w:val="21"/>
          <w:szCs w:val="21"/>
        </w:rPr>
        <w:t>ó</w:t>
      </w:r>
      <w:r w:rsidRPr="004E4408">
        <w:rPr>
          <w:rFonts w:ascii="Century Gothic" w:hAnsi="Century Gothic" w:cs="Arial"/>
          <w:sz w:val="21"/>
          <w:szCs w:val="21"/>
        </w:rPr>
        <w:t>nomo irrevocable para el manejo de los recursos que reciba a t</w:t>
      </w:r>
      <w:r w:rsidRPr="004E4408">
        <w:rPr>
          <w:rFonts w:ascii="Century Gothic" w:hAnsi="Century Gothic" w:cs="Century Gothic"/>
          <w:sz w:val="21"/>
          <w:szCs w:val="21"/>
        </w:rPr>
        <w:t>í</w:t>
      </w:r>
      <w:r w:rsidRPr="004E4408">
        <w:rPr>
          <w:rFonts w:ascii="Century Gothic" w:hAnsi="Century Gothic" w:cs="Arial"/>
          <w:sz w:val="21"/>
          <w:szCs w:val="21"/>
        </w:rPr>
        <w:t>tulo de anticipo</w:t>
      </w:r>
      <w:r w:rsidRPr="004E4408">
        <w:rPr>
          <w:rFonts w:ascii="Century Gothic" w:hAnsi="Century Gothic" w:cs="Century Gothic"/>
          <w:sz w:val="21"/>
          <w:szCs w:val="21"/>
        </w:rPr>
        <w:t>”</w:t>
      </w:r>
      <w:r w:rsidRPr="004E4408">
        <w:rPr>
          <w:rFonts w:ascii="Century Gothic" w:hAnsi="Century Gothic" w:cs="Arial"/>
          <w:sz w:val="21"/>
          <w:szCs w:val="21"/>
        </w:rPr>
        <w:t>. Mi interpretaci</w:t>
      </w:r>
      <w:r w:rsidRPr="004E4408">
        <w:rPr>
          <w:rFonts w:ascii="Century Gothic" w:hAnsi="Century Gothic" w:cs="Century Gothic"/>
          <w:sz w:val="21"/>
          <w:szCs w:val="21"/>
        </w:rPr>
        <w:t>ó</w:t>
      </w:r>
      <w:r w:rsidRPr="004E4408">
        <w:rPr>
          <w:rFonts w:ascii="Century Gothic" w:hAnsi="Century Gothic" w:cs="Arial"/>
          <w:sz w:val="21"/>
          <w:szCs w:val="21"/>
        </w:rPr>
        <w:t>n es que tambi</w:t>
      </w:r>
      <w:r w:rsidRPr="004E4408">
        <w:rPr>
          <w:rFonts w:ascii="Century Gothic" w:hAnsi="Century Gothic" w:cs="Century Gothic"/>
          <w:sz w:val="21"/>
          <w:szCs w:val="21"/>
        </w:rPr>
        <w:t>é</w:t>
      </w:r>
      <w:r w:rsidRPr="004E4408">
        <w:rPr>
          <w:rFonts w:ascii="Century Gothic" w:hAnsi="Century Gothic" w:cs="Arial"/>
          <w:sz w:val="21"/>
          <w:szCs w:val="21"/>
        </w:rPr>
        <w:t xml:space="preserve">n puede constituir un encargo fiduciario y no necesariamente una fiducia mercantil para el manejo de los anticipos.” (Sic). </w:t>
      </w:r>
    </w:p>
    <w:p w14:paraId="1ED8402E" w14:textId="3BAF6636" w:rsidR="00444885" w:rsidRDefault="004B4C5E" w:rsidP="00CB6C2B">
      <w:pPr>
        <w:pStyle w:val="NormalWeb"/>
        <w:spacing w:line="276" w:lineRule="auto"/>
        <w:jc w:val="both"/>
        <w:rPr>
          <w:rFonts w:ascii="Century Gothic" w:hAnsi="Century Gothic"/>
          <w:sz w:val="22"/>
          <w:szCs w:val="22"/>
        </w:rPr>
      </w:pPr>
      <w:r w:rsidRPr="00130E23">
        <w:rPr>
          <w:rFonts w:ascii="Century Gothic" w:hAnsi="Century Gothic"/>
          <w:sz w:val="22"/>
          <w:szCs w:val="22"/>
        </w:rPr>
        <w:t>En virtud de la interpretación acogida en la “</w:t>
      </w:r>
      <w:r w:rsidRPr="00130E23">
        <w:rPr>
          <w:rFonts w:ascii="Century Gothic" w:hAnsi="Century Gothic" w:cs="Arial"/>
          <w:i/>
          <w:color w:val="000000" w:themeColor="text1"/>
          <w:sz w:val="22"/>
          <w:szCs w:val="22"/>
          <w:lang w:val="es-ES_tradnl"/>
        </w:rPr>
        <w:t xml:space="preserve">Guía para el manejo de anticipos mediante contrato de fiducia </w:t>
      </w:r>
      <w:r w:rsidR="00130E23" w:rsidRPr="00130E23">
        <w:rPr>
          <w:rFonts w:ascii="Century Gothic" w:hAnsi="Century Gothic" w:cs="Arial"/>
          <w:i/>
          <w:color w:val="000000" w:themeColor="text1"/>
          <w:sz w:val="22"/>
          <w:szCs w:val="22"/>
          <w:lang w:val="es-ES_tradnl"/>
        </w:rPr>
        <w:t>irrevocable</w:t>
      </w:r>
      <w:r w:rsidR="00130E23" w:rsidRPr="00130E23">
        <w:rPr>
          <w:rFonts w:ascii="Century Gothic" w:hAnsi="Century Gothic" w:cs="Arial"/>
          <w:i/>
          <w:color w:val="000000" w:themeColor="text1"/>
          <w:sz w:val="22"/>
          <w:szCs w:val="22"/>
        </w:rPr>
        <w:t>”</w:t>
      </w:r>
      <w:r w:rsidR="00130E23" w:rsidRPr="00130E23">
        <w:rPr>
          <w:rFonts w:ascii="Century Gothic" w:hAnsi="Century Gothic"/>
          <w:sz w:val="22"/>
          <w:szCs w:val="22"/>
        </w:rPr>
        <w:t xml:space="preserve"> emitida</w:t>
      </w:r>
      <w:r w:rsidRPr="00130E23">
        <w:rPr>
          <w:rFonts w:ascii="Century Gothic" w:hAnsi="Century Gothic"/>
          <w:sz w:val="22"/>
          <w:szCs w:val="22"/>
        </w:rPr>
        <w:t xml:space="preserve"> por esta Agencia, </w:t>
      </w:r>
      <w:r w:rsidR="00C6289C" w:rsidRPr="00130E23">
        <w:rPr>
          <w:rFonts w:ascii="Century Gothic" w:hAnsi="Century Gothic"/>
          <w:sz w:val="22"/>
          <w:szCs w:val="22"/>
        </w:rPr>
        <w:t xml:space="preserve">la interpretación </w:t>
      </w:r>
      <w:r w:rsidR="00130E23" w:rsidRPr="00130E23">
        <w:rPr>
          <w:rFonts w:ascii="Century Gothic" w:hAnsi="Century Gothic"/>
          <w:sz w:val="22"/>
          <w:szCs w:val="22"/>
        </w:rPr>
        <w:t xml:space="preserve">sobre el tipo de negocio fiduciario que se debe </w:t>
      </w:r>
      <w:r w:rsidR="00637314" w:rsidRPr="00130E23">
        <w:rPr>
          <w:rFonts w:ascii="Century Gothic" w:hAnsi="Century Gothic"/>
          <w:sz w:val="22"/>
          <w:szCs w:val="22"/>
        </w:rPr>
        <w:t>constituir</w:t>
      </w:r>
      <w:r w:rsidR="00130E23" w:rsidRPr="00130E23">
        <w:rPr>
          <w:rFonts w:ascii="Century Gothic" w:hAnsi="Century Gothic"/>
          <w:sz w:val="22"/>
          <w:szCs w:val="22"/>
        </w:rPr>
        <w:t xml:space="preserve"> por parte del contratista </w:t>
      </w:r>
      <w:r w:rsidR="00790ABA">
        <w:rPr>
          <w:rFonts w:ascii="Century Gothic" w:hAnsi="Century Gothic"/>
          <w:sz w:val="22"/>
          <w:szCs w:val="22"/>
        </w:rPr>
        <w:t xml:space="preserve">para le manejo de los recursos </w:t>
      </w:r>
      <w:r w:rsidR="00282B91">
        <w:rPr>
          <w:rFonts w:ascii="Century Gothic" w:hAnsi="Century Gothic"/>
          <w:sz w:val="22"/>
          <w:szCs w:val="22"/>
        </w:rPr>
        <w:t xml:space="preserve">girados por concepto de anticipo, </w:t>
      </w:r>
      <w:r w:rsidR="00444885" w:rsidRPr="00444885">
        <w:rPr>
          <w:rFonts w:ascii="Century Gothic" w:hAnsi="Century Gothic"/>
          <w:sz w:val="22"/>
          <w:szCs w:val="22"/>
        </w:rPr>
        <w:t xml:space="preserve">se inclina exclusivamente </w:t>
      </w:r>
      <w:r w:rsidR="00282B91">
        <w:rPr>
          <w:rFonts w:ascii="Century Gothic" w:hAnsi="Century Gothic"/>
          <w:sz w:val="22"/>
          <w:szCs w:val="22"/>
        </w:rPr>
        <w:t xml:space="preserve">en señalar que esta corresponde a </w:t>
      </w:r>
      <w:r w:rsidR="00444885" w:rsidRPr="00444885">
        <w:rPr>
          <w:rFonts w:ascii="Century Gothic" w:hAnsi="Century Gothic"/>
          <w:sz w:val="22"/>
          <w:szCs w:val="22"/>
        </w:rPr>
        <w:t xml:space="preserve">la constitución de un contrato de fiducia mercantil irrevocable. </w:t>
      </w:r>
      <w:r w:rsidR="00CB6C2B">
        <w:rPr>
          <w:rFonts w:ascii="Century Gothic" w:hAnsi="Century Gothic"/>
          <w:sz w:val="22"/>
          <w:szCs w:val="22"/>
        </w:rPr>
        <w:t>No obstante, e</w:t>
      </w:r>
      <w:r w:rsidR="00444885" w:rsidRPr="00444885">
        <w:rPr>
          <w:rFonts w:ascii="Century Gothic" w:hAnsi="Century Gothic"/>
          <w:sz w:val="22"/>
          <w:szCs w:val="22"/>
        </w:rPr>
        <w:t xml:space="preserve">s crucial destacar que tanto los lineamientos de la guía </w:t>
      </w:r>
      <w:r w:rsidR="00CB6C2B">
        <w:rPr>
          <w:rFonts w:ascii="Century Gothic" w:hAnsi="Century Gothic"/>
          <w:sz w:val="22"/>
          <w:szCs w:val="22"/>
        </w:rPr>
        <w:t>como del presente</w:t>
      </w:r>
      <w:r w:rsidR="00444885" w:rsidRPr="00444885">
        <w:rPr>
          <w:rFonts w:ascii="Century Gothic" w:hAnsi="Century Gothic"/>
          <w:sz w:val="22"/>
          <w:szCs w:val="22"/>
        </w:rPr>
        <w:t xml:space="preserve"> concepto tienen como finalidad interpretar normativas generales, no resolver disputas particulares ni asesorar casos específicos</w:t>
      </w:r>
      <w:r w:rsidR="00CB6C2B">
        <w:rPr>
          <w:rFonts w:ascii="Century Gothic" w:hAnsi="Century Gothic"/>
          <w:sz w:val="22"/>
          <w:szCs w:val="22"/>
        </w:rPr>
        <w:t>, por lo tanto, no resultan ser vinculantes ni de obligatorio cumplimiento para sus destinatario.</w:t>
      </w:r>
    </w:p>
    <w:p w14:paraId="237AF8A7" w14:textId="35C190E2" w:rsidR="00B75515" w:rsidRPr="00B75515" w:rsidRDefault="00CB6C2B" w:rsidP="00CB6C2B">
      <w:pPr>
        <w:spacing w:line="276" w:lineRule="auto"/>
        <w:ind w:firstLine="708"/>
        <w:jc w:val="both"/>
        <w:rPr>
          <w:rFonts w:ascii="Century Gothic" w:hAnsi="Century Gothic"/>
        </w:rPr>
      </w:pPr>
      <w:r>
        <w:rPr>
          <w:rFonts w:ascii="Century Gothic" w:hAnsi="Century Gothic"/>
        </w:rPr>
        <w:t>En ese orden de ideas, s</w:t>
      </w:r>
      <w:r w:rsidR="00B75515" w:rsidRPr="00B75515">
        <w:rPr>
          <w:rFonts w:ascii="Century Gothic" w:hAnsi="Century Gothic"/>
        </w:rPr>
        <w:t xml:space="preserve">i bien la redacción del artículo no especifica de manera exclusiva el tipo de fiducia a constituir por parte del contratista, la interpretación específica del término </w:t>
      </w:r>
      <w:r w:rsidR="00264C13">
        <w:rPr>
          <w:rFonts w:ascii="Century Gothic" w:hAnsi="Century Gothic"/>
        </w:rPr>
        <w:t>“</w:t>
      </w:r>
      <w:r w:rsidR="00B75515" w:rsidRPr="00B75515">
        <w:rPr>
          <w:rFonts w:ascii="Century Gothic" w:hAnsi="Century Gothic"/>
        </w:rPr>
        <w:t>fiducia</w:t>
      </w:r>
      <w:r w:rsidR="00264C13">
        <w:rPr>
          <w:rFonts w:ascii="Century Gothic" w:hAnsi="Century Gothic"/>
        </w:rPr>
        <w:t>”</w:t>
      </w:r>
      <w:r w:rsidR="00B75515" w:rsidRPr="00B75515">
        <w:rPr>
          <w:rFonts w:ascii="Century Gothic" w:hAnsi="Century Gothic"/>
        </w:rPr>
        <w:t xml:space="preserve"> y su alcance legal en el contexto normativo </w:t>
      </w:r>
      <w:r w:rsidR="00AA281E">
        <w:rPr>
          <w:rFonts w:ascii="Century Gothic" w:hAnsi="Century Gothic"/>
        </w:rPr>
        <w:t xml:space="preserve">expuesto </w:t>
      </w:r>
      <w:r w:rsidR="00B75515" w:rsidRPr="00B75515">
        <w:rPr>
          <w:rFonts w:ascii="Century Gothic" w:hAnsi="Century Gothic"/>
        </w:rPr>
        <w:t xml:space="preserve">puede generar debate. </w:t>
      </w:r>
      <w:r w:rsidR="00AA281E">
        <w:rPr>
          <w:rFonts w:ascii="Century Gothic" w:hAnsi="Century Gothic"/>
        </w:rPr>
        <w:t xml:space="preserve">No obstante, </w:t>
      </w:r>
      <w:r w:rsidR="00B3217D">
        <w:rPr>
          <w:rFonts w:ascii="Century Gothic" w:hAnsi="Century Gothic"/>
        </w:rPr>
        <w:t xml:space="preserve">esta entidad </w:t>
      </w:r>
      <w:r w:rsidR="00B75515" w:rsidRPr="00B75515">
        <w:rPr>
          <w:rFonts w:ascii="Century Gothic" w:hAnsi="Century Gothic"/>
        </w:rPr>
        <w:t xml:space="preserve">reconoce que, si bien la norma no excluye explícitamente la opción de utilizar un encargo fiduciario, la mención directa a la constitución de una </w:t>
      </w:r>
      <w:r w:rsidR="00D00AE7">
        <w:rPr>
          <w:rFonts w:ascii="Century Gothic" w:hAnsi="Century Gothic"/>
        </w:rPr>
        <w:t>“</w:t>
      </w:r>
      <w:r w:rsidR="00B75515" w:rsidRPr="00B75515">
        <w:rPr>
          <w:rFonts w:ascii="Century Gothic" w:hAnsi="Century Gothic"/>
        </w:rPr>
        <w:t>fiducia o un patrimonio autónomo irrevocable</w:t>
      </w:r>
      <w:r w:rsidR="00D00AE7">
        <w:rPr>
          <w:rFonts w:ascii="Century Gothic" w:hAnsi="Century Gothic"/>
        </w:rPr>
        <w:t>”</w:t>
      </w:r>
      <w:r w:rsidR="00B75515" w:rsidRPr="00B75515">
        <w:rPr>
          <w:rFonts w:ascii="Century Gothic" w:hAnsi="Century Gothic"/>
        </w:rPr>
        <w:t xml:space="preserve"> podría sugerir una intención legislativa </w:t>
      </w:r>
      <w:r w:rsidR="00AE2B86">
        <w:rPr>
          <w:rFonts w:ascii="Century Gothic" w:hAnsi="Century Gothic"/>
        </w:rPr>
        <w:t>de únicamente</w:t>
      </w:r>
      <w:r w:rsidR="00B75515" w:rsidRPr="00B75515">
        <w:rPr>
          <w:rFonts w:ascii="Century Gothic" w:hAnsi="Century Gothic"/>
        </w:rPr>
        <w:t xml:space="preserve"> priorizar o dar preferencia a los contratos de fiducias mercantiles irrevocables sobre otros tipos de</w:t>
      </w:r>
      <w:r w:rsidR="00AE2B86">
        <w:rPr>
          <w:rFonts w:ascii="Century Gothic" w:hAnsi="Century Gothic"/>
        </w:rPr>
        <w:t xml:space="preserve"> negocios</w:t>
      </w:r>
      <w:r w:rsidR="00B75515" w:rsidRPr="00B75515">
        <w:rPr>
          <w:rFonts w:ascii="Century Gothic" w:hAnsi="Century Gothic"/>
        </w:rPr>
        <w:t xml:space="preserve"> fiducia</w:t>
      </w:r>
      <w:r w:rsidR="00AE2B86">
        <w:rPr>
          <w:rFonts w:ascii="Century Gothic" w:hAnsi="Century Gothic"/>
        </w:rPr>
        <w:t>rios</w:t>
      </w:r>
      <w:r w:rsidR="002767CC">
        <w:rPr>
          <w:rFonts w:ascii="Century Gothic" w:hAnsi="Century Gothic"/>
        </w:rPr>
        <w:t xml:space="preserve">, puesto que </w:t>
      </w:r>
      <w:r w:rsidR="00FD6FB8">
        <w:rPr>
          <w:rFonts w:ascii="Century Gothic" w:hAnsi="Century Gothic"/>
        </w:rPr>
        <w:t>está sería la única figura contractual que permitiría, por habilitación legal, la</w:t>
      </w:r>
      <w:r w:rsidR="008E43ED">
        <w:rPr>
          <w:rFonts w:ascii="Century Gothic" w:hAnsi="Century Gothic"/>
        </w:rPr>
        <w:t xml:space="preserve"> constitución de un patrimonio autónomo</w:t>
      </w:r>
      <w:r w:rsidR="00D00AE7">
        <w:rPr>
          <w:rFonts w:ascii="Century Gothic" w:hAnsi="Century Gothic"/>
        </w:rPr>
        <w:t>.</w:t>
      </w:r>
    </w:p>
    <w:p w14:paraId="64C27508" w14:textId="6090863F" w:rsidR="00B76A1E" w:rsidRPr="004E4408" w:rsidRDefault="00B76A1E" w:rsidP="00B76A1E">
      <w:pPr>
        <w:spacing w:line="276" w:lineRule="auto"/>
        <w:jc w:val="both"/>
        <w:rPr>
          <w:rFonts w:ascii="Century Gothic" w:hAnsi="Century Gothic" w:cs="Arial"/>
          <w:lang w:val="es-ES_tradnl"/>
        </w:rPr>
      </w:pPr>
      <w:r w:rsidRPr="004E4408">
        <w:rPr>
          <w:rFonts w:ascii="Century Gothic" w:hAnsi="Century Gothic"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31097F0" w14:textId="77777777" w:rsidR="00B76A1E" w:rsidRPr="004E4408" w:rsidRDefault="00B76A1E" w:rsidP="00B76A1E">
      <w:pPr>
        <w:tabs>
          <w:tab w:val="left" w:pos="426"/>
        </w:tabs>
        <w:spacing w:before="120" w:after="120" w:line="276" w:lineRule="auto"/>
        <w:jc w:val="both"/>
        <w:rPr>
          <w:rFonts w:ascii="Century Gothic" w:eastAsia="Times New Roman" w:hAnsi="Century Gothic" w:cs="Arial"/>
          <w:color w:val="000000" w:themeColor="text1"/>
        </w:rPr>
      </w:pPr>
    </w:p>
    <w:p w14:paraId="7EA19877" w14:textId="77777777" w:rsidR="00B76A1E" w:rsidRPr="004E4408" w:rsidRDefault="00B76A1E" w:rsidP="00B76A1E">
      <w:pPr>
        <w:tabs>
          <w:tab w:val="left" w:pos="426"/>
        </w:tabs>
        <w:spacing w:before="120" w:line="276" w:lineRule="auto"/>
        <w:jc w:val="both"/>
        <w:rPr>
          <w:rFonts w:ascii="Century Gothic" w:eastAsia="Times New Roman" w:hAnsi="Century Gothic" w:cs="Arial"/>
          <w:color w:val="000000" w:themeColor="text1"/>
        </w:rPr>
      </w:pPr>
      <w:r w:rsidRPr="004E4408">
        <w:rPr>
          <w:rFonts w:ascii="Century Gothic" w:eastAsia="Times New Roman" w:hAnsi="Century Gothic" w:cs="Arial"/>
          <w:color w:val="000000" w:themeColor="text1"/>
        </w:rPr>
        <w:t>Atentamente,</w:t>
      </w:r>
    </w:p>
    <w:p w14:paraId="18631BF9" w14:textId="3FAF61B8" w:rsidR="00B76A1E" w:rsidRPr="004E4408" w:rsidRDefault="00877A1C" w:rsidP="00B76A1E">
      <w:pPr>
        <w:jc w:val="center"/>
        <w:rPr>
          <w:rFonts w:ascii="Century Gothic" w:eastAsia="Times New Roman" w:hAnsi="Century Gothic" w:cs="Arial"/>
          <w:lang w:eastAsia="es-CO"/>
        </w:rPr>
      </w:pPr>
      <w:r w:rsidRPr="001B7209">
        <w:rPr>
          <w:rFonts w:ascii="Century Gothic" w:hAnsi="Century Gothic"/>
          <w:noProof/>
        </w:rPr>
        <w:drawing>
          <wp:inline distT="0" distB="0" distL="0" distR="0" wp14:anchorId="4644AB85" wp14:editId="5374DD0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6"/>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76A1E" w:rsidRPr="004E4408" w14:paraId="3A29751C" w14:textId="77777777" w:rsidTr="00926785">
        <w:trPr>
          <w:trHeight w:val="409"/>
        </w:trPr>
        <w:tc>
          <w:tcPr>
            <w:tcW w:w="817" w:type="dxa"/>
            <w:tcBorders>
              <w:top w:val="nil"/>
              <w:left w:val="nil"/>
              <w:bottom w:val="nil"/>
              <w:right w:val="nil"/>
            </w:tcBorders>
            <w:vAlign w:val="center"/>
            <w:hideMark/>
          </w:tcPr>
          <w:p w14:paraId="2D34D3FC"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Elaboró: </w:t>
            </w:r>
          </w:p>
        </w:tc>
        <w:tc>
          <w:tcPr>
            <w:tcW w:w="4937" w:type="dxa"/>
            <w:tcBorders>
              <w:top w:val="nil"/>
              <w:left w:val="nil"/>
              <w:bottom w:val="dotted" w:sz="6" w:space="0" w:color="7F7F7F"/>
              <w:right w:val="nil"/>
            </w:tcBorders>
            <w:vAlign w:val="center"/>
            <w:hideMark/>
          </w:tcPr>
          <w:p w14:paraId="5EB52AAF"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Any Alejandra Tovar Castillo</w:t>
            </w:r>
          </w:p>
          <w:p w14:paraId="673367FE"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Contratista de la Subdirección de Gestión Contractual</w:t>
            </w:r>
          </w:p>
        </w:tc>
      </w:tr>
      <w:tr w:rsidR="00B76A1E" w:rsidRPr="004E4408" w14:paraId="35B8B0F0" w14:textId="77777777" w:rsidTr="00926785">
        <w:trPr>
          <w:trHeight w:val="409"/>
        </w:trPr>
        <w:tc>
          <w:tcPr>
            <w:tcW w:w="817" w:type="dxa"/>
            <w:tcBorders>
              <w:top w:val="nil"/>
              <w:left w:val="nil"/>
              <w:bottom w:val="nil"/>
              <w:right w:val="nil"/>
            </w:tcBorders>
            <w:vAlign w:val="center"/>
            <w:hideMark/>
          </w:tcPr>
          <w:p w14:paraId="637E73FC"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Revisó: </w:t>
            </w:r>
          </w:p>
        </w:tc>
        <w:tc>
          <w:tcPr>
            <w:tcW w:w="4937" w:type="dxa"/>
            <w:tcBorders>
              <w:top w:val="dotted" w:sz="6" w:space="0" w:color="7F7F7F"/>
              <w:left w:val="nil"/>
              <w:bottom w:val="dotted" w:sz="6" w:space="0" w:color="7F7F7F"/>
              <w:right w:val="nil"/>
            </w:tcBorders>
            <w:vAlign w:val="center"/>
            <w:hideMark/>
          </w:tcPr>
          <w:p w14:paraId="053468F6"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Alejandro Sarmiento Cantillo</w:t>
            </w:r>
          </w:p>
          <w:p w14:paraId="46AB53BF"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 xml:space="preserve">Gestor T1 </w:t>
            </w:r>
            <w:r w:rsidRPr="004E4408">
              <w:rPr>
                <w:rFonts w:ascii="Arial" w:hAnsi="Arial" w:cs="Arial"/>
                <w:sz w:val="16"/>
                <w:szCs w:val="16"/>
              </w:rPr>
              <w:t>‒</w:t>
            </w:r>
            <w:r w:rsidRPr="004E4408">
              <w:rPr>
                <w:rFonts w:ascii="Century Gothic" w:hAnsi="Century Gothic" w:cs="Arial"/>
                <w:sz w:val="16"/>
                <w:szCs w:val="16"/>
              </w:rPr>
              <w:t xml:space="preserve"> 15 de la Subdirección de Gestión Contractual</w:t>
            </w:r>
          </w:p>
        </w:tc>
      </w:tr>
      <w:tr w:rsidR="00B76A1E" w:rsidRPr="004E4408" w14:paraId="1EE20F56" w14:textId="77777777" w:rsidTr="00926785">
        <w:trPr>
          <w:trHeight w:val="389"/>
        </w:trPr>
        <w:tc>
          <w:tcPr>
            <w:tcW w:w="817" w:type="dxa"/>
            <w:tcBorders>
              <w:top w:val="nil"/>
              <w:left w:val="nil"/>
              <w:bottom w:val="nil"/>
              <w:right w:val="nil"/>
            </w:tcBorders>
            <w:vAlign w:val="center"/>
            <w:hideMark/>
          </w:tcPr>
          <w:p w14:paraId="0968A5E8"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0EB16A09"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 xml:space="preserve">Nohelia del Carmen </w:t>
            </w:r>
            <w:proofErr w:type="spellStart"/>
            <w:r w:rsidRPr="004E4408">
              <w:rPr>
                <w:rFonts w:ascii="Century Gothic" w:hAnsi="Century Gothic" w:cs="Arial"/>
                <w:sz w:val="16"/>
                <w:szCs w:val="16"/>
              </w:rPr>
              <w:t>Zawady</w:t>
            </w:r>
            <w:proofErr w:type="spellEnd"/>
            <w:r w:rsidRPr="004E4408">
              <w:rPr>
                <w:rFonts w:ascii="Century Gothic" w:hAnsi="Century Gothic" w:cs="Arial"/>
                <w:sz w:val="16"/>
                <w:szCs w:val="16"/>
              </w:rPr>
              <w:t xml:space="preserve"> Palacio</w:t>
            </w:r>
          </w:p>
          <w:p w14:paraId="473D89F3" w14:textId="77777777" w:rsidR="00B76A1E" w:rsidRPr="004E4408" w:rsidRDefault="00B76A1E" w:rsidP="00926785">
            <w:pPr>
              <w:spacing w:after="0" w:line="240" w:lineRule="auto"/>
              <w:jc w:val="both"/>
              <w:rPr>
                <w:rFonts w:ascii="Century Gothic" w:hAnsi="Century Gothic" w:cs="Arial"/>
                <w:sz w:val="16"/>
                <w:szCs w:val="16"/>
              </w:rPr>
            </w:pPr>
            <w:r w:rsidRPr="004E4408">
              <w:rPr>
                <w:rFonts w:ascii="Century Gothic" w:hAnsi="Century Gothic" w:cs="Arial"/>
                <w:sz w:val="16"/>
                <w:szCs w:val="16"/>
              </w:rPr>
              <w:t>Subdirectora de Gestión Contractual ANCP - CCE</w:t>
            </w:r>
          </w:p>
        </w:tc>
      </w:tr>
    </w:tbl>
    <w:p w14:paraId="61732AD6" w14:textId="77777777" w:rsidR="00B76A1E" w:rsidRPr="004E4408" w:rsidRDefault="00B76A1E" w:rsidP="00B76A1E">
      <w:pPr>
        <w:spacing w:after="0"/>
        <w:rPr>
          <w:rFonts w:ascii="Century Gothic" w:hAnsi="Century Gothic" w:cs="Arial"/>
        </w:rPr>
      </w:pPr>
    </w:p>
    <w:p w14:paraId="0F293BF4" w14:textId="7BBFAB11" w:rsidR="00127233" w:rsidRPr="004E4408" w:rsidRDefault="00127233" w:rsidP="00B76A1E">
      <w:pPr>
        <w:rPr>
          <w:rFonts w:ascii="Century Gothic" w:hAnsi="Century Gothic"/>
        </w:rPr>
      </w:pPr>
    </w:p>
    <w:sectPr w:rsidR="00127233" w:rsidRPr="004E4408" w:rsidSect="002E4FD9">
      <w:headerReference w:type="default" r:id="rId17"/>
      <w:footerReference w:type="default" r:id="rId18"/>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1D1C" w14:textId="77777777" w:rsidR="00A54650" w:rsidRDefault="00A54650" w:rsidP="004A1847">
      <w:pPr>
        <w:spacing w:after="0" w:line="240" w:lineRule="auto"/>
      </w:pPr>
      <w:r>
        <w:separator/>
      </w:r>
    </w:p>
  </w:endnote>
  <w:endnote w:type="continuationSeparator" w:id="0">
    <w:p w14:paraId="148616F7" w14:textId="77777777" w:rsidR="00A54650" w:rsidRDefault="00A5465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1158" w14:textId="77777777" w:rsidR="00A54650" w:rsidRDefault="00A54650" w:rsidP="004A1847">
      <w:pPr>
        <w:spacing w:after="0" w:line="240" w:lineRule="auto"/>
      </w:pPr>
      <w:r>
        <w:separator/>
      </w:r>
    </w:p>
  </w:footnote>
  <w:footnote w:type="continuationSeparator" w:id="0">
    <w:p w14:paraId="4552A485" w14:textId="77777777" w:rsidR="00A54650" w:rsidRDefault="00A54650" w:rsidP="004A1847">
      <w:pPr>
        <w:spacing w:after="0" w:line="240" w:lineRule="auto"/>
      </w:pPr>
      <w:r>
        <w:continuationSeparator/>
      </w:r>
    </w:p>
  </w:footnote>
  <w:footnote w:id="1">
    <w:p w14:paraId="716EA5D0" w14:textId="77777777" w:rsidR="00B76A1E" w:rsidRPr="00B61529" w:rsidRDefault="00B76A1E" w:rsidP="00B61529">
      <w:pPr>
        <w:pStyle w:val="Textonotapie"/>
        <w:ind w:firstLine="708"/>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61529">
          <w:rPr>
            <w:rStyle w:val="Hipervnculo"/>
            <w:rFonts w:ascii="Century Gothic" w:hAnsi="Century Gothic" w:cs="Arial"/>
            <w:sz w:val="14"/>
            <w:szCs w:val="14"/>
          </w:rPr>
          <w:t>https://relatoria.colombiacompra.gov.co/busqueda/conceptos</w:t>
        </w:r>
      </w:hyperlink>
      <w:r w:rsidRPr="00B61529">
        <w:rPr>
          <w:rStyle w:val="Hipervnculo"/>
          <w:rFonts w:ascii="Century Gothic" w:hAnsi="Century Gothic" w:cs="Arial"/>
          <w:sz w:val="14"/>
          <w:szCs w:val="14"/>
        </w:rPr>
        <w:t xml:space="preserve">. </w:t>
      </w:r>
      <w:r w:rsidRPr="00B61529">
        <w:rPr>
          <w:rFonts w:ascii="Century Gothic" w:hAnsi="Century Gothic" w:cs="Arial"/>
          <w:sz w:val="14"/>
          <w:szCs w:val="14"/>
          <w:shd w:val="clear" w:color="auto" w:fill="E6E6E6"/>
        </w:rPr>
        <w:t xml:space="preserve"> </w:t>
      </w:r>
    </w:p>
  </w:footnote>
  <w:footnote w:id="2">
    <w:p w14:paraId="3CDC1F03" w14:textId="77777777" w:rsidR="00B76A1E" w:rsidRPr="00B61529" w:rsidRDefault="00B76A1E" w:rsidP="00B61529">
      <w:pPr>
        <w:pStyle w:val="Textonotapie"/>
        <w:ind w:firstLine="708"/>
        <w:jc w:val="both"/>
        <w:rPr>
          <w:rFonts w:ascii="Century Gothic" w:hAnsi="Century Gothic" w:cs="Arial"/>
          <w:color w:val="000000"/>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hAnsi="Century Gothic" w:cs="Arial"/>
          <w:color w:val="000000"/>
          <w:sz w:val="14"/>
          <w:szCs w:val="14"/>
        </w:rPr>
        <w:t xml:space="preserve">Procuraduría General de la Nación. Concepto del 15 de octubre de 2014. Procuraduría </w:t>
      </w:r>
      <w:proofErr w:type="gramStart"/>
      <w:r w:rsidRPr="00B61529">
        <w:rPr>
          <w:rFonts w:ascii="Century Gothic" w:hAnsi="Century Gothic" w:cs="Arial"/>
          <w:color w:val="000000"/>
          <w:sz w:val="14"/>
          <w:szCs w:val="14"/>
        </w:rPr>
        <w:t>Delegada</w:t>
      </w:r>
      <w:proofErr w:type="gramEnd"/>
      <w:r w:rsidRPr="00B61529">
        <w:rPr>
          <w:rFonts w:ascii="Century Gothic" w:hAnsi="Century Gothic" w:cs="Arial"/>
          <w:color w:val="000000"/>
          <w:sz w:val="14"/>
          <w:szCs w:val="14"/>
        </w:rPr>
        <w:t xml:space="preserve"> para Asuntos Disciplinarios. Radicado PAD C-114-2014.</w:t>
      </w:r>
    </w:p>
    <w:p w14:paraId="639E9911" w14:textId="77777777" w:rsidR="00B76A1E" w:rsidRPr="00B61529" w:rsidRDefault="00B76A1E" w:rsidP="00B61529">
      <w:pPr>
        <w:pStyle w:val="Textonotapie"/>
        <w:ind w:firstLine="708"/>
        <w:jc w:val="both"/>
        <w:rPr>
          <w:rFonts w:ascii="Century Gothic" w:hAnsi="Century Gothic" w:cs="Arial"/>
          <w:sz w:val="14"/>
          <w:szCs w:val="14"/>
          <w:lang w:val="es-ES"/>
        </w:rPr>
      </w:pPr>
    </w:p>
  </w:footnote>
  <w:footnote w:id="3">
    <w:p w14:paraId="56631F5B" w14:textId="77777777" w:rsidR="00B76A1E" w:rsidRPr="00B61529" w:rsidRDefault="00B76A1E" w:rsidP="00B61529">
      <w:pPr>
        <w:pStyle w:val="Textonotapie"/>
        <w:ind w:firstLine="708"/>
        <w:jc w:val="both"/>
        <w:rPr>
          <w:rFonts w:ascii="Century Gothic" w:hAnsi="Century Gothic" w:cs="Arial"/>
          <w:sz w:val="14"/>
          <w:szCs w:val="14"/>
          <w:lang w:val="es-ES"/>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hAnsi="Century Gothic" w:cs="Arial"/>
          <w:color w:val="000000"/>
          <w:sz w:val="14"/>
          <w:szCs w:val="14"/>
        </w:rPr>
        <w:t>Contraloría General de la República. Oficina Jurídica. Concepto 80112-OJ-008 2017.</w:t>
      </w:r>
    </w:p>
  </w:footnote>
  <w:footnote w:id="4">
    <w:p w14:paraId="33B6BB67" w14:textId="77777777" w:rsidR="00B76A1E" w:rsidRPr="00B61529" w:rsidRDefault="00B76A1E" w:rsidP="00B61529">
      <w:pPr>
        <w:pStyle w:val="Textonotapie"/>
        <w:ind w:firstLine="708"/>
        <w:jc w:val="both"/>
        <w:rPr>
          <w:rFonts w:ascii="Century Gothic" w:hAnsi="Century Gothic" w:cs="Arial"/>
          <w:sz w:val="14"/>
          <w:szCs w:val="14"/>
          <w:lang w:val="es-ES"/>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hAnsi="Century Gothic" w:cs="Arial"/>
          <w:color w:val="000000"/>
          <w:sz w:val="14"/>
          <w:szCs w:val="14"/>
        </w:rPr>
        <w:t>ARBOLEDA PERDOMO, Enrique José. Comentarios al Nuevo Código de Procedimiento Administrativo y de lo Contencioso Administrativo (2ª ed.). Editorial Legis. Bogotá. 2012. p. 59</w:t>
      </w:r>
    </w:p>
  </w:footnote>
  <w:footnote w:id="5">
    <w:p w14:paraId="044033FD" w14:textId="77777777" w:rsidR="00B76A1E" w:rsidRPr="00B61529" w:rsidRDefault="00B76A1E" w:rsidP="00B61529">
      <w:pPr>
        <w:pStyle w:val="Textonotapie"/>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color w:val="000000" w:themeColor="text1"/>
          <w:sz w:val="14"/>
          <w:szCs w:val="14"/>
        </w:rPr>
        <w:t>“</w:t>
      </w:r>
      <w:r w:rsidRPr="00B61529">
        <w:rPr>
          <w:rFonts w:ascii="Century Gothic" w:hAnsi="Century Gothic" w:cs="Arial"/>
          <w:sz w:val="14"/>
          <w:szCs w:val="14"/>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B61529">
        <w:rPr>
          <w:rFonts w:ascii="Century Gothic" w:hAnsi="Century Gothic" w:cs="Arial"/>
          <w:color w:val="000000" w:themeColor="text1"/>
          <w:sz w:val="14"/>
          <w:szCs w:val="14"/>
        </w:rPr>
        <w:t>”.</w:t>
      </w:r>
      <w:r w:rsidRPr="00B61529">
        <w:rPr>
          <w:rFonts w:ascii="Century Gothic" w:hAnsi="Century Gothic" w:cs="Arial"/>
          <w:sz w:val="14"/>
          <w:szCs w:val="14"/>
        </w:rPr>
        <w:t xml:space="preserve"> Citado en CONSEJO DE ESTADO. Sala de lo Contencioso Administrativo. Sección Tercera – Subsección A. Sentencia del 16 de mayo de 2019. Rad. (40102). C.P: María Adriana Marín [cita No. 35]. </w:t>
      </w:r>
    </w:p>
    <w:p w14:paraId="2E173505" w14:textId="77777777" w:rsidR="00B76A1E" w:rsidRPr="00B61529" w:rsidRDefault="00B76A1E" w:rsidP="00B61529">
      <w:pPr>
        <w:pStyle w:val="Textonotapie"/>
        <w:ind w:firstLine="709"/>
        <w:jc w:val="both"/>
        <w:rPr>
          <w:rFonts w:ascii="Century Gothic" w:hAnsi="Century Gothic" w:cs="Arial"/>
          <w:sz w:val="14"/>
          <w:szCs w:val="14"/>
        </w:rPr>
      </w:pPr>
    </w:p>
  </w:footnote>
  <w:footnote w:id="6">
    <w:p w14:paraId="4B59DEED" w14:textId="77777777" w:rsidR="00B76A1E" w:rsidRPr="00B61529" w:rsidRDefault="00B76A1E" w:rsidP="00B61529">
      <w:pPr>
        <w:pStyle w:val="Textonotapie"/>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CONSEJO DE ESTADO. Sala de lo Contencioso Administrativo. Sección Tercera – Subsección A. Sentencia del 16 de mayo de 2019. Rad. (40102). C.P: María Adriana Marín</w:t>
      </w:r>
    </w:p>
    <w:p w14:paraId="51CA0955" w14:textId="77777777" w:rsidR="00B76A1E" w:rsidRPr="00B61529" w:rsidRDefault="00B76A1E" w:rsidP="00B61529">
      <w:pPr>
        <w:pStyle w:val="Textonotapie"/>
        <w:ind w:firstLine="709"/>
        <w:jc w:val="both"/>
        <w:rPr>
          <w:rFonts w:ascii="Century Gothic" w:hAnsi="Century Gothic" w:cs="Arial"/>
          <w:sz w:val="14"/>
          <w:szCs w:val="14"/>
        </w:rPr>
      </w:pPr>
    </w:p>
  </w:footnote>
  <w:footnote w:id="7">
    <w:p w14:paraId="4ED4D68C" w14:textId="77777777" w:rsidR="00B76A1E" w:rsidRPr="00B61529" w:rsidRDefault="00B76A1E" w:rsidP="00B61529">
      <w:pPr>
        <w:pStyle w:val="Textonotapie"/>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CONSEJO DE ESTADO. Sala de lo Contencioso Administrativo. Sección Tercera – Subsección C. Sentencia del 2 de octubre del 2020. Rad. 63644. CP. Jaime Enrique Rodríguez Nava. </w:t>
      </w:r>
    </w:p>
    <w:p w14:paraId="56379C70" w14:textId="77777777" w:rsidR="00B76A1E" w:rsidRPr="00B61529" w:rsidRDefault="00B76A1E" w:rsidP="00B61529">
      <w:pPr>
        <w:pStyle w:val="Textonotapie"/>
        <w:ind w:firstLine="709"/>
        <w:jc w:val="both"/>
        <w:rPr>
          <w:rFonts w:ascii="Century Gothic" w:hAnsi="Century Gothic" w:cs="Arial"/>
          <w:sz w:val="14"/>
          <w:szCs w:val="14"/>
          <w:lang w:val="es-CO"/>
        </w:rPr>
      </w:pPr>
    </w:p>
  </w:footnote>
  <w:footnote w:id="8">
    <w:p w14:paraId="2E795DE3" w14:textId="77777777" w:rsidR="00B76A1E" w:rsidRPr="00B61529" w:rsidRDefault="00B76A1E" w:rsidP="00B61529">
      <w:pPr>
        <w:pStyle w:val="Textonotapie"/>
        <w:ind w:firstLine="709"/>
        <w:jc w:val="both"/>
        <w:rPr>
          <w:rFonts w:ascii="Century Gothic" w:hAnsi="Century Gothic" w:cs="Arial"/>
          <w:color w:val="000000" w:themeColor="text1"/>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hAnsi="Century Gothic" w:cs="Arial"/>
          <w:color w:val="000000" w:themeColor="text1"/>
          <w:sz w:val="14"/>
          <w:szCs w:val="14"/>
        </w:rPr>
        <w:t>CONSEJO DE ESTADO. Sección Tercera. Sentencia de 22 de junio de 2001. Exp. 13436, C.P. Ricardo Hoyos Duque</w:t>
      </w:r>
    </w:p>
    <w:p w14:paraId="0113A835" w14:textId="77777777" w:rsidR="00B76A1E" w:rsidRPr="00B61529" w:rsidRDefault="00B76A1E" w:rsidP="00B61529">
      <w:pPr>
        <w:pStyle w:val="Textonotapie"/>
        <w:ind w:firstLine="709"/>
        <w:jc w:val="both"/>
        <w:rPr>
          <w:rFonts w:ascii="Century Gothic" w:hAnsi="Century Gothic" w:cs="Arial"/>
          <w:sz w:val="14"/>
          <w:szCs w:val="14"/>
        </w:rPr>
      </w:pPr>
    </w:p>
  </w:footnote>
  <w:footnote w:id="9">
    <w:p w14:paraId="6A28AB74" w14:textId="77777777" w:rsidR="00B76A1E" w:rsidRPr="00B61529" w:rsidRDefault="00B76A1E" w:rsidP="00B61529">
      <w:pPr>
        <w:pStyle w:val="Textonotapie"/>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B61529">
        <w:rPr>
          <w:rFonts w:ascii="Century Gothic" w:eastAsia="Calibri" w:hAnsi="Century Gothic" w:cs="Arial"/>
          <w:color w:val="000000" w:themeColor="text1"/>
          <w:sz w:val="14"/>
          <w:szCs w:val="14"/>
        </w:rPr>
        <w:t>” (</w:t>
      </w:r>
      <w:r w:rsidRPr="00B61529">
        <w:rPr>
          <w:rFonts w:ascii="Century Gothic" w:hAnsi="Century Gothic" w:cs="Arial"/>
          <w:sz w:val="14"/>
          <w:szCs w:val="14"/>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B61529">
        <w:rPr>
          <w:rFonts w:ascii="Century Gothic" w:eastAsia="Calibri" w:hAnsi="Century Gothic" w:cs="Arial"/>
          <w:color w:val="000000" w:themeColor="text1"/>
          <w:sz w:val="14"/>
          <w:szCs w:val="14"/>
        </w:rPr>
        <w:t>”</w:t>
      </w:r>
      <w:r w:rsidRPr="00B61529">
        <w:rPr>
          <w:rFonts w:ascii="Century Gothic" w:hAnsi="Century Gothic" w:cs="Arial"/>
          <w:sz w:val="14"/>
          <w:szCs w:val="14"/>
        </w:rPr>
        <w:t xml:space="preserve"> (MATALLANA CAMACHO, Ernesto. Manual de Contratación de la Administración Pública. Reforma de la Ley 80 de 1993. Bogotá: Universidad Externado de Colombia, 4 ed., 2015, p. 921 y </w:t>
      </w:r>
      <w:proofErr w:type="spellStart"/>
      <w:r w:rsidRPr="00B61529">
        <w:rPr>
          <w:rFonts w:ascii="Century Gothic" w:hAnsi="Century Gothic" w:cs="Arial"/>
          <w:sz w:val="14"/>
          <w:szCs w:val="14"/>
        </w:rPr>
        <w:t>ss</w:t>
      </w:r>
      <w:proofErr w:type="spellEnd"/>
      <w:r w:rsidRPr="00B61529">
        <w:rPr>
          <w:rFonts w:ascii="Century Gothic" w:hAnsi="Century Gothic" w:cs="Arial"/>
          <w:sz w:val="14"/>
          <w:szCs w:val="14"/>
        </w:rPr>
        <w:t>).</w:t>
      </w:r>
    </w:p>
    <w:p w14:paraId="354675CE" w14:textId="77777777" w:rsidR="00B76A1E" w:rsidRPr="00B61529" w:rsidRDefault="00B76A1E" w:rsidP="00B61529">
      <w:pPr>
        <w:pStyle w:val="Textonotapie"/>
        <w:ind w:firstLine="709"/>
        <w:jc w:val="both"/>
        <w:rPr>
          <w:rFonts w:ascii="Century Gothic" w:hAnsi="Century Gothic" w:cs="Arial"/>
          <w:sz w:val="14"/>
          <w:szCs w:val="14"/>
        </w:rPr>
      </w:pPr>
    </w:p>
  </w:footnote>
  <w:footnote w:id="10">
    <w:p w14:paraId="6B223E05" w14:textId="77777777" w:rsidR="00B76A1E" w:rsidRPr="00B61529" w:rsidRDefault="00B76A1E" w:rsidP="00B61529">
      <w:pPr>
        <w:spacing w:after="0" w:line="240" w:lineRule="auto"/>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CONSEJO DE ESTADO. Sala Plena de lo Contencioso Administrativo. Sentencia del 8 de agosto de 2001. </w:t>
      </w:r>
      <w:proofErr w:type="spellStart"/>
      <w:r w:rsidRPr="00B61529">
        <w:rPr>
          <w:rFonts w:ascii="Century Gothic" w:hAnsi="Century Gothic" w:cs="Arial"/>
          <w:sz w:val="14"/>
          <w:szCs w:val="14"/>
        </w:rPr>
        <w:t>Exp</w:t>
      </w:r>
      <w:proofErr w:type="spellEnd"/>
      <w:r w:rsidRPr="00B61529">
        <w:rPr>
          <w:rFonts w:ascii="Century Gothic" w:hAnsi="Century Gothic" w:cs="Arial"/>
          <w:sz w:val="14"/>
          <w:szCs w:val="14"/>
        </w:rPr>
        <w:t>. AC-10966 - AC-11274. Consejero Ponente: Reinaldo Chavarro Buriticá.</w:t>
      </w:r>
    </w:p>
  </w:footnote>
  <w:footnote w:id="11">
    <w:p w14:paraId="1BB22C05" w14:textId="77777777" w:rsidR="00B76A1E" w:rsidRPr="00B61529" w:rsidRDefault="00B76A1E" w:rsidP="00B61529">
      <w:pPr>
        <w:pStyle w:val="Sinespaciado"/>
        <w:ind w:firstLine="708"/>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ARTÍCULO 2.2.1.2.3.1.7. Garantía de cumplimiento. La garantía de cumplimiento del contrato debe cubrir:</w:t>
      </w:r>
    </w:p>
    <w:p w14:paraId="1D4F8C5E"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1. Buen manejo y correcta inversión del anticipo. Este amparo cubre los perjuicios sufridos por la Entidad Estatal con ocasión de: (i) la no inversión del anticipo; (</w:t>
      </w:r>
      <w:proofErr w:type="spellStart"/>
      <w:r w:rsidRPr="00B61529">
        <w:rPr>
          <w:rFonts w:ascii="Century Gothic" w:hAnsi="Century Gothic" w:cs="Arial"/>
          <w:sz w:val="14"/>
          <w:szCs w:val="14"/>
        </w:rPr>
        <w:t>ii</w:t>
      </w:r>
      <w:proofErr w:type="spellEnd"/>
      <w:r w:rsidRPr="00B61529">
        <w:rPr>
          <w:rFonts w:ascii="Century Gothic" w:hAnsi="Century Gothic" w:cs="Arial"/>
          <w:sz w:val="14"/>
          <w:szCs w:val="14"/>
        </w:rPr>
        <w:t>) el uso indebido del anticipo; y (</w:t>
      </w:r>
      <w:proofErr w:type="spellStart"/>
      <w:r w:rsidRPr="00B61529">
        <w:rPr>
          <w:rFonts w:ascii="Century Gothic" w:hAnsi="Century Gothic" w:cs="Arial"/>
          <w:sz w:val="14"/>
          <w:szCs w:val="14"/>
        </w:rPr>
        <w:t>iii</w:t>
      </w:r>
      <w:proofErr w:type="spellEnd"/>
      <w:r w:rsidRPr="00B61529">
        <w:rPr>
          <w:rFonts w:ascii="Century Gothic" w:hAnsi="Century Gothic" w:cs="Arial"/>
          <w:sz w:val="14"/>
          <w:szCs w:val="14"/>
        </w:rPr>
        <w:t>) la apropiación indebida de los recursos recibidos en calidad de anticipo.</w:t>
      </w:r>
    </w:p>
    <w:p w14:paraId="0FC8AFBE"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2. Devolución del pago anticipado. Este amparo cubre los perjuicios sufridos por la Entidad Estatal por la no devolución total o parcial del dinero entregado al contratista a título de pago anticipado, cuando a ello hubiere lugar.</w:t>
      </w:r>
    </w:p>
    <w:p w14:paraId="210ACB57"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3. Cumplimiento del contrato. Este amparo cubre a la Entidad Estatal de los perjuicios derivados de:</w:t>
      </w:r>
    </w:p>
    <w:p w14:paraId="36278EBD"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3.1. El incumplimiento total o parcial del contrato, cuando el incumplimiento es imputable al contratista;</w:t>
      </w:r>
    </w:p>
    <w:p w14:paraId="269BC31A"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3.2. El cumplimiento tardío o defectuoso del contrato, cuando el incumplimiento es imputable al contratista;</w:t>
      </w:r>
    </w:p>
    <w:p w14:paraId="40987923"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3.3. Los daños imputables al contratista por entregas parciales de la obra, cuando el contrato no prevé entregas parciales; y</w:t>
      </w:r>
    </w:p>
    <w:p w14:paraId="346C1280"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3.4. El pago del valor de las multas y de la cláusula penal pecuniaria.</w:t>
      </w:r>
    </w:p>
    <w:p w14:paraId="310E89B9"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15C65427"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La Entidad Estatal no debe exigir una garantía para cubrir este Riesgo en los contratos que se ejecuten fuera del territorio nacional con personal contratado bajo un régimen jurídico distinto al colombiano.</w:t>
      </w:r>
    </w:p>
    <w:p w14:paraId="74971CC1"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5. Estabilidad y calidad de la obra. Este amparo cubre a la Entidad Estatal de los perjuicios ocasionados por cualquier tipo de daño o deterioro, imputable al contratista, sufrido por la obra entregada a satisfacción.</w:t>
      </w:r>
    </w:p>
    <w:p w14:paraId="643707FB"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6. Calidad del servicio. Este amparo cubre a la Entidad Estatal por los perjuicios derivados de la deficiente calidad del servicio prestado.</w:t>
      </w:r>
    </w:p>
    <w:p w14:paraId="2E3A095E"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hAnsi="Century Gothic" w:cs="Arial"/>
          <w:sz w:val="14"/>
          <w:szCs w:val="14"/>
        </w:rPr>
        <w:t>7. Calidad y correcto funcionamiento de los bienes. Este amparo debe cubrir la calidad y el correcto funcionamiento de los bienes que recibe la Entidad Estatal en cumplimiento de un contrato.</w:t>
      </w:r>
    </w:p>
    <w:p w14:paraId="0386252E" w14:textId="77777777" w:rsidR="00B76A1E" w:rsidRPr="00B61529" w:rsidRDefault="00B76A1E" w:rsidP="00B61529">
      <w:pPr>
        <w:pStyle w:val="Sinespaciado"/>
        <w:ind w:firstLine="708"/>
        <w:jc w:val="both"/>
        <w:rPr>
          <w:rFonts w:ascii="Century Gothic" w:hAnsi="Century Gothic" w:cs="Arial"/>
          <w:sz w:val="14"/>
          <w:szCs w:val="14"/>
        </w:rPr>
      </w:pPr>
      <w:r w:rsidRPr="00B61529">
        <w:rPr>
          <w:rFonts w:ascii="Century Gothic" w:eastAsia="Calibri" w:hAnsi="Century Gothic" w:cs="Arial"/>
          <w:sz w:val="14"/>
          <w:szCs w:val="14"/>
          <w:lang w:val="es-ES"/>
        </w:rPr>
        <w:t>“</w:t>
      </w:r>
      <w:r w:rsidRPr="00B61529">
        <w:rPr>
          <w:rFonts w:ascii="Century Gothic" w:hAnsi="Century Gothic" w:cs="Arial"/>
          <w:sz w:val="14"/>
          <w:szCs w:val="14"/>
        </w:rPr>
        <w:t>8. Los demás incumplimientos de obligaciones que la Entidad Estatal considere deben ser amparados de manera proporcional y acorde a la naturaleza del contrato.</w:t>
      </w:r>
    </w:p>
    <w:p w14:paraId="4C4D1ADF" w14:textId="77777777" w:rsidR="00B76A1E" w:rsidRPr="00B61529" w:rsidRDefault="00B76A1E" w:rsidP="00B61529">
      <w:pPr>
        <w:pStyle w:val="Sinespaciado"/>
        <w:ind w:firstLine="708"/>
        <w:jc w:val="both"/>
        <w:rPr>
          <w:rFonts w:ascii="Century Gothic" w:hAnsi="Century Gothic" w:cs="Arial"/>
          <w:sz w:val="14"/>
          <w:szCs w:val="14"/>
          <w:lang w:val="es-CO"/>
        </w:rPr>
      </w:pPr>
    </w:p>
  </w:footnote>
  <w:footnote w:id="12">
    <w:p w14:paraId="450CA997" w14:textId="77777777" w:rsidR="00B76A1E" w:rsidRPr="00B61529" w:rsidRDefault="00B76A1E" w:rsidP="00B61529">
      <w:pPr>
        <w:pStyle w:val="NormalWeb"/>
        <w:shd w:val="clear" w:color="auto" w:fill="FFFFFF"/>
        <w:spacing w:before="0" w:beforeAutospacing="0" w:after="0" w:afterAutospacing="0"/>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eastAsia="Calibri" w:hAnsi="Century Gothic" w:cs="Arial"/>
          <w:sz w:val="14"/>
          <w:szCs w:val="14"/>
        </w:rPr>
        <w:t>“</w:t>
      </w:r>
      <w:r w:rsidRPr="00B61529">
        <w:rPr>
          <w:rFonts w:ascii="Century Gothic" w:hAnsi="Century Gothic" w:cs="Arial"/>
          <w:sz w:val="14"/>
          <w:szCs w:val="14"/>
        </w:rPr>
        <w:t>Artículo 2.2.1.1.2.4.1.</w:t>
      </w:r>
      <w:r w:rsidRPr="00B61529">
        <w:rPr>
          <w:rFonts w:ascii="Century Gothic" w:hAnsi="Century Gothic" w:cs="Arial"/>
          <w:i/>
          <w:sz w:val="14"/>
          <w:szCs w:val="14"/>
        </w:rPr>
        <w:t> </w:t>
      </w:r>
      <w:r w:rsidRPr="00B61529">
        <w:rPr>
          <w:rFonts w:ascii="Century Gothic" w:hAnsi="Century Gothic" w:cs="Arial"/>
          <w:sz w:val="14"/>
          <w:szCs w:val="14"/>
        </w:rPr>
        <w:t>Patrimonio autónomo para el manejo de anticipos.</w:t>
      </w:r>
      <w:r w:rsidRPr="00B61529">
        <w:rPr>
          <w:rFonts w:ascii="Century Gothic" w:hAnsi="Century Gothic" w:cs="Arial"/>
          <w:i/>
          <w:sz w:val="14"/>
          <w:szCs w:val="14"/>
        </w:rPr>
        <w:t> </w:t>
      </w:r>
      <w:r w:rsidRPr="00B61529">
        <w:rPr>
          <w:rFonts w:ascii="Century Gothic" w:hAnsi="Century Gothic" w:cs="Arial"/>
          <w:sz w:val="14"/>
          <w:szCs w:val="14"/>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11D2D1C3" w14:textId="77777777" w:rsidR="00B76A1E" w:rsidRPr="00B61529" w:rsidRDefault="00B76A1E" w:rsidP="00B61529">
      <w:pPr>
        <w:pStyle w:val="NormalWeb"/>
        <w:shd w:val="clear" w:color="auto" w:fill="FFFFFF"/>
        <w:spacing w:before="0" w:beforeAutospacing="0" w:after="0" w:afterAutospacing="0"/>
        <w:ind w:firstLine="709"/>
        <w:jc w:val="both"/>
        <w:rPr>
          <w:rFonts w:ascii="Century Gothic" w:hAnsi="Century Gothic" w:cs="Arial"/>
          <w:sz w:val="14"/>
          <w:szCs w:val="14"/>
        </w:rPr>
      </w:pPr>
      <w:r w:rsidRPr="00B61529">
        <w:rPr>
          <w:rFonts w:ascii="Century Gothic" w:hAnsi="Century Gothic" w:cs="Arial"/>
          <w:sz w:val="14"/>
          <w:szCs w:val="14"/>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5FC5D964" w14:textId="77777777" w:rsidR="00B76A1E" w:rsidRPr="00B61529" w:rsidRDefault="00B76A1E" w:rsidP="00B61529">
      <w:pPr>
        <w:pStyle w:val="NormalWeb"/>
        <w:shd w:val="clear" w:color="auto" w:fill="FFFFFF"/>
        <w:spacing w:before="0" w:beforeAutospacing="0" w:after="0" w:afterAutospacing="0"/>
        <w:ind w:firstLine="709"/>
        <w:jc w:val="both"/>
        <w:rPr>
          <w:rFonts w:ascii="Century Gothic" w:hAnsi="Century Gothic" w:cs="Arial"/>
          <w:sz w:val="14"/>
          <w:szCs w:val="14"/>
        </w:rPr>
      </w:pPr>
      <w:r w:rsidRPr="00B61529">
        <w:rPr>
          <w:rFonts w:ascii="Century Gothic" w:hAnsi="Century Gothic" w:cs="Arial"/>
          <w:sz w:val="14"/>
          <w:szCs w:val="14"/>
        </w:rPr>
        <w:t>En los pliegos de condiciones, la Entidad Estatal debe establecer los términos y condiciones de la administración del anticipo a través del patrimonio autónomo.</w:t>
      </w:r>
    </w:p>
    <w:p w14:paraId="4431A9F8" w14:textId="77777777" w:rsidR="00B76A1E" w:rsidRPr="00B61529" w:rsidRDefault="00B76A1E" w:rsidP="00B61529">
      <w:pPr>
        <w:pStyle w:val="NormalWeb"/>
        <w:shd w:val="clear" w:color="auto" w:fill="FFFFFF"/>
        <w:spacing w:before="0" w:beforeAutospacing="0" w:after="0" w:afterAutospacing="0"/>
        <w:ind w:firstLine="709"/>
        <w:jc w:val="both"/>
        <w:rPr>
          <w:rFonts w:ascii="Century Gothic" w:hAnsi="Century Gothic" w:cs="Arial"/>
          <w:sz w:val="14"/>
          <w:szCs w:val="14"/>
        </w:rPr>
      </w:pPr>
      <w:r w:rsidRPr="00B61529">
        <w:rPr>
          <w:rFonts w:ascii="Century Gothic" w:hAnsi="Century Gothic" w:cs="Arial"/>
          <w:sz w:val="14"/>
          <w:szCs w:val="14"/>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B61529">
        <w:rPr>
          <w:rFonts w:ascii="Century Gothic" w:eastAsia="Calibri" w:hAnsi="Century Gothic" w:cs="Arial"/>
          <w:sz w:val="14"/>
          <w:szCs w:val="14"/>
        </w:rPr>
        <w:t>”.</w:t>
      </w:r>
    </w:p>
  </w:footnote>
  <w:footnote w:id="13">
    <w:p w14:paraId="4052645D" w14:textId="77777777" w:rsidR="00B76A1E" w:rsidRPr="00B61529" w:rsidRDefault="00B76A1E" w:rsidP="00B61529">
      <w:pPr>
        <w:pStyle w:val="Textonotapie"/>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Sobre el particular, se puede consultar la exposición de motivos de la Ley 1474 de 2011, Gaceta 607 del 2010, disponible en:  </w:t>
      </w:r>
      <w:hyperlink r:id="rId2" w:history="1">
        <w:r w:rsidRPr="00B61529">
          <w:rPr>
            <w:rStyle w:val="Hipervnculo"/>
            <w:rFonts w:ascii="Century Gothic" w:hAnsi="Century Gothic" w:cs="Arial"/>
            <w:sz w:val="14"/>
            <w:szCs w:val="14"/>
          </w:rPr>
          <w:t>http://svrpubindc.imprenta.gov.co/senado/index.xhtml;jsessionid=b3ba7213a248bacd37376ffcedca</w:t>
        </w:r>
      </w:hyperlink>
      <w:r w:rsidRPr="00B61529">
        <w:rPr>
          <w:rStyle w:val="Hipervnculo"/>
          <w:rFonts w:ascii="Century Gothic" w:hAnsi="Century Gothic" w:cs="Arial"/>
          <w:sz w:val="14"/>
          <w:szCs w:val="14"/>
        </w:rPr>
        <w:t xml:space="preserve"> </w:t>
      </w:r>
      <w:r w:rsidRPr="00B61529">
        <w:rPr>
          <w:rFonts w:ascii="Century Gothic" w:hAnsi="Century Gothic" w:cs="Arial"/>
          <w:sz w:val="14"/>
          <w:szCs w:val="14"/>
        </w:rPr>
        <w:t xml:space="preserve"> </w:t>
      </w:r>
    </w:p>
  </w:footnote>
  <w:footnote w:id="14">
    <w:p w14:paraId="33E11263" w14:textId="77777777" w:rsidR="00B76A1E" w:rsidRPr="00B61529" w:rsidRDefault="00B76A1E" w:rsidP="00B61529">
      <w:pPr>
        <w:pStyle w:val="Sinespaciado"/>
        <w:ind w:firstLine="708"/>
        <w:jc w:val="both"/>
        <w:rPr>
          <w:rFonts w:ascii="Century Gothic" w:hAnsi="Century Gothic" w:cs="Arial"/>
          <w:sz w:val="14"/>
          <w:szCs w:val="14"/>
          <w:lang w:val="es-ES"/>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hAnsi="Century Gothic" w:cs="Arial"/>
          <w:sz w:val="14"/>
          <w:szCs w:val="14"/>
          <w:lang w:val="es-ES"/>
        </w:rPr>
        <w:t xml:space="preserve">La Guía para el manejo de anticipos mediante contrato de fiducia irrevocable puede ser consultada en: </w:t>
      </w:r>
      <w:hyperlink r:id="rId3" w:history="1">
        <w:r w:rsidRPr="00B61529">
          <w:rPr>
            <w:rStyle w:val="Hipervnculo"/>
            <w:rFonts w:ascii="Century Gothic" w:hAnsi="Century Gothic" w:cs="Arial"/>
            <w:sz w:val="14"/>
            <w:szCs w:val="14"/>
            <w:lang w:val="es-ES"/>
          </w:rPr>
          <w:t>https://www.colombiacompra.gov.co/sites/cce_public/files/cce_documents/cce_guia_manejo_anticipos.pdf</w:t>
        </w:r>
      </w:hyperlink>
      <w:r w:rsidRPr="00B61529">
        <w:rPr>
          <w:rFonts w:ascii="Century Gothic" w:hAnsi="Century Gothic" w:cs="Arial"/>
          <w:sz w:val="14"/>
          <w:szCs w:val="14"/>
          <w:lang w:val="es-ES"/>
        </w:rPr>
        <w:t xml:space="preserve"> </w:t>
      </w:r>
    </w:p>
  </w:footnote>
  <w:footnote w:id="15">
    <w:p w14:paraId="5C8B2832" w14:textId="77777777" w:rsidR="00B76A1E" w:rsidRPr="00B61529" w:rsidRDefault="00B76A1E" w:rsidP="00B61529">
      <w:pPr>
        <w:pStyle w:val="Textonotapie"/>
        <w:ind w:firstLine="708"/>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Ver concepto C-003 de 13 de marzo de 2023 emitido por la ANCP-CCE</w:t>
      </w:r>
    </w:p>
  </w:footnote>
  <w:footnote w:id="16">
    <w:p w14:paraId="70D3548B" w14:textId="77777777" w:rsidR="005627F0" w:rsidRPr="00B61529" w:rsidRDefault="005627F0"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Superintendencia Financiera de Colombia. Circular Básica Jurídica 29 del 3 de octubre de 2014.</w:t>
      </w:r>
    </w:p>
    <w:p w14:paraId="55FFA9DA" w14:textId="7DEAC3E8" w:rsidR="005627F0" w:rsidRPr="00B61529" w:rsidRDefault="005627F0" w:rsidP="00B61529">
      <w:pPr>
        <w:pStyle w:val="Textonotapie"/>
        <w:jc w:val="both"/>
        <w:rPr>
          <w:rFonts w:ascii="Century Gothic" w:hAnsi="Century Gothic"/>
          <w:sz w:val="14"/>
          <w:szCs w:val="14"/>
          <w:lang w:val="es-CO"/>
        </w:rPr>
      </w:pPr>
      <w:r w:rsidRPr="00B61529">
        <w:rPr>
          <w:rFonts w:ascii="Century Gothic" w:hAnsi="Century Gothic"/>
          <w:sz w:val="14"/>
          <w:szCs w:val="14"/>
        </w:rPr>
        <w:t>Número 029</w:t>
      </w:r>
      <w:r w:rsidR="00081395" w:rsidRPr="00B61529">
        <w:rPr>
          <w:rFonts w:ascii="Century Gothic" w:hAnsi="Century Gothic"/>
          <w:sz w:val="14"/>
          <w:szCs w:val="14"/>
        </w:rPr>
        <w:t xml:space="preserve">. Ver en línea: </w:t>
      </w:r>
      <w:hyperlink r:id="rId4" w:history="1">
        <w:r w:rsidR="00081395" w:rsidRPr="00B61529">
          <w:rPr>
            <w:rStyle w:val="Hipervnculo"/>
            <w:rFonts w:ascii="Century Gothic" w:hAnsi="Century Gothic"/>
            <w:sz w:val="14"/>
            <w:szCs w:val="14"/>
          </w:rPr>
          <w:t>https://www.superfinanciera.gov.co/inicio/normativa/normativa-general/circular-basica-juridica-ce----10083443</w:t>
        </w:r>
      </w:hyperlink>
      <w:r w:rsidR="00081395" w:rsidRPr="00B61529">
        <w:rPr>
          <w:rFonts w:ascii="Century Gothic" w:hAnsi="Century Gothic"/>
          <w:sz w:val="14"/>
          <w:szCs w:val="14"/>
        </w:rPr>
        <w:t xml:space="preserve"> </w:t>
      </w:r>
    </w:p>
  </w:footnote>
  <w:footnote w:id="17">
    <w:p w14:paraId="482190BF" w14:textId="6A365DDB" w:rsidR="00892BE4" w:rsidRPr="00B61529" w:rsidRDefault="00892BE4"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Corte Suprema de Justicia. Sala de</w:t>
      </w:r>
      <w:r w:rsidR="00A83A13" w:rsidRPr="00B61529">
        <w:rPr>
          <w:rFonts w:ascii="Century Gothic" w:hAnsi="Century Gothic"/>
          <w:sz w:val="14"/>
          <w:szCs w:val="14"/>
        </w:rPr>
        <w:t xml:space="preserve"> </w:t>
      </w:r>
      <w:r w:rsidRPr="00B61529">
        <w:rPr>
          <w:rFonts w:ascii="Century Gothic" w:hAnsi="Century Gothic"/>
          <w:sz w:val="14"/>
          <w:szCs w:val="14"/>
        </w:rPr>
        <w:t>Casación Civil. Sentencia del 7 de diciembre de 2021.</w:t>
      </w:r>
      <w:r w:rsidR="004700BB" w:rsidRPr="00B61529">
        <w:rPr>
          <w:rFonts w:ascii="Century Gothic" w:hAnsi="Century Gothic"/>
          <w:sz w:val="14"/>
          <w:szCs w:val="14"/>
        </w:rPr>
        <w:t xml:space="preserve"> </w:t>
      </w:r>
      <w:r w:rsidRPr="00B61529">
        <w:rPr>
          <w:rFonts w:ascii="Century Gothic" w:hAnsi="Century Gothic"/>
          <w:sz w:val="14"/>
          <w:szCs w:val="14"/>
        </w:rPr>
        <w:t>Exp. SC5430-2021</w:t>
      </w:r>
      <w:r w:rsidR="00175A4C" w:rsidRPr="00B61529">
        <w:rPr>
          <w:rFonts w:ascii="Century Gothic" w:hAnsi="Century Gothic"/>
          <w:sz w:val="14"/>
          <w:szCs w:val="14"/>
        </w:rPr>
        <w:t>, señaló la siguiente definición de los negocios fiduciarios: “</w:t>
      </w:r>
      <w:r w:rsidRPr="00B61529">
        <w:rPr>
          <w:rFonts w:ascii="Century Gothic" w:hAnsi="Century Gothic"/>
          <w:sz w:val="14"/>
          <w:szCs w:val="14"/>
        </w:rPr>
        <w:t xml:space="preserve">[l]a expresión fiducia (fidutia, confianza), tener fe (fides), ser fiel (fidus, fiel), estar a la palabra (fit quod dicitur), en un significado genérico describe el acto concluido por la confianza depositada intuitu personae en grado mayor al cotidiano y, en otro sentido más técnico, designa a la atribución de un derecho con un fin fiduciario específico en interés de otro. </w:t>
      </w:r>
    </w:p>
  </w:footnote>
  <w:footnote w:id="18">
    <w:p w14:paraId="1C5EDC2E" w14:textId="77777777" w:rsidR="00BF5C06" w:rsidRPr="00B61529" w:rsidRDefault="00BF5C06"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Superintendencia Financiera de Colombia. Circular Básica Jurídica 29 del 3 de octubre de 2014.</w:t>
      </w:r>
    </w:p>
    <w:p w14:paraId="29EEDD59" w14:textId="7E31A141" w:rsidR="00BF5C06" w:rsidRPr="00B61529" w:rsidRDefault="00BF5C06" w:rsidP="00B61529">
      <w:pPr>
        <w:pStyle w:val="Textonotapie"/>
        <w:jc w:val="both"/>
        <w:rPr>
          <w:rFonts w:ascii="Century Gothic" w:hAnsi="Century Gothic"/>
          <w:sz w:val="14"/>
          <w:szCs w:val="14"/>
        </w:rPr>
      </w:pPr>
      <w:r w:rsidRPr="00B61529">
        <w:rPr>
          <w:rFonts w:ascii="Century Gothic" w:hAnsi="Century Gothic"/>
          <w:sz w:val="14"/>
          <w:szCs w:val="14"/>
        </w:rPr>
        <w:t xml:space="preserve">Número 029. Ver en línea: </w:t>
      </w:r>
      <w:hyperlink r:id="rId5" w:history="1">
        <w:r w:rsidRPr="00B61529">
          <w:rPr>
            <w:rStyle w:val="Hipervnculo"/>
            <w:rFonts w:ascii="Century Gothic" w:hAnsi="Century Gothic"/>
            <w:sz w:val="14"/>
            <w:szCs w:val="14"/>
          </w:rPr>
          <w:t>https://www.superfinanciera.gov.co/inicio/normativa/normativa-general/circular-basica-juridica-ce----10083443</w:t>
        </w:r>
      </w:hyperlink>
    </w:p>
  </w:footnote>
  <w:footnote w:id="19">
    <w:p w14:paraId="6E21944F" w14:textId="67115AC5" w:rsidR="0018369F" w:rsidRPr="00B61529" w:rsidRDefault="0018369F" w:rsidP="00B61529">
      <w:pPr>
        <w:pStyle w:val="Textoindependiente"/>
        <w:spacing w:after="0"/>
        <w:ind w:firstLine="709"/>
        <w:jc w:val="both"/>
        <w:rPr>
          <w:rFonts w:ascii="Century Gothic" w:hAnsi="Century Gothic" w:cs="Arial"/>
          <w:sz w:val="14"/>
          <w:szCs w:val="14"/>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Así lo expresó el alto tribunal: </w:t>
      </w:r>
      <w:r w:rsidR="00D31674" w:rsidRPr="00B61529">
        <w:rPr>
          <w:rFonts w:ascii="Century Gothic" w:hAnsi="Century Gothic" w:cs="Arial"/>
          <w:sz w:val="14"/>
          <w:szCs w:val="14"/>
        </w:rPr>
        <w:t>“</w:t>
      </w:r>
      <w:r w:rsidRPr="00B61529">
        <w:rPr>
          <w:rFonts w:ascii="Century Gothic" w:hAnsi="Century Gothic" w:cs="Arial"/>
          <w:sz w:val="14"/>
          <w:szCs w:val="14"/>
        </w:rPr>
        <w:t>Para la Corte, las anteriores condiciones del referido contrato, y teniendo de presente la enunciación de los contratos estatales a que se refiere el artículo</w:t>
      </w:r>
      <w:r w:rsidRPr="00B61529">
        <w:rPr>
          <w:rFonts w:ascii="Century Gothic" w:hAnsi="Century Gothic" w:cs="Arial"/>
          <w:spacing w:val="14"/>
          <w:sz w:val="14"/>
          <w:szCs w:val="14"/>
        </w:rPr>
        <w:t xml:space="preserve"> </w:t>
      </w:r>
      <w:r w:rsidRPr="00B61529">
        <w:rPr>
          <w:rFonts w:ascii="Century Gothic" w:hAnsi="Century Gothic" w:cs="Arial"/>
          <w:sz w:val="14"/>
          <w:szCs w:val="14"/>
        </w:rPr>
        <w:t>32</w:t>
      </w:r>
      <w:r w:rsidRPr="00B61529">
        <w:rPr>
          <w:rFonts w:ascii="Century Gothic" w:hAnsi="Century Gothic" w:cs="Arial"/>
          <w:spacing w:val="15"/>
          <w:sz w:val="14"/>
          <w:szCs w:val="14"/>
        </w:rPr>
        <w:t xml:space="preserve"> </w:t>
      </w:r>
      <w:r w:rsidRPr="00B61529">
        <w:rPr>
          <w:rFonts w:ascii="Century Gothic" w:hAnsi="Century Gothic" w:cs="Arial"/>
          <w:sz w:val="14"/>
          <w:szCs w:val="14"/>
        </w:rPr>
        <w:t>de</w:t>
      </w:r>
      <w:r w:rsidRPr="00B61529">
        <w:rPr>
          <w:rFonts w:ascii="Century Gothic" w:hAnsi="Century Gothic" w:cs="Arial"/>
          <w:spacing w:val="12"/>
          <w:sz w:val="14"/>
          <w:szCs w:val="14"/>
        </w:rPr>
        <w:t xml:space="preserve"> </w:t>
      </w:r>
      <w:r w:rsidRPr="00B61529">
        <w:rPr>
          <w:rFonts w:ascii="Century Gothic" w:hAnsi="Century Gothic" w:cs="Arial"/>
          <w:sz w:val="14"/>
          <w:szCs w:val="14"/>
        </w:rPr>
        <w:t>la</w:t>
      </w:r>
      <w:r w:rsidRPr="00B61529">
        <w:rPr>
          <w:rFonts w:ascii="Century Gothic" w:hAnsi="Century Gothic" w:cs="Arial"/>
          <w:spacing w:val="15"/>
          <w:sz w:val="14"/>
          <w:szCs w:val="14"/>
        </w:rPr>
        <w:t xml:space="preserve"> </w:t>
      </w:r>
      <w:r w:rsidRPr="00B61529">
        <w:rPr>
          <w:rFonts w:ascii="Century Gothic" w:hAnsi="Century Gothic" w:cs="Arial"/>
          <w:sz w:val="14"/>
          <w:szCs w:val="14"/>
        </w:rPr>
        <w:t>citada</w:t>
      </w:r>
      <w:r w:rsidRPr="00B61529">
        <w:rPr>
          <w:rFonts w:ascii="Century Gothic" w:hAnsi="Century Gothic" w:cs="Arial"/>
          <w:spacing w:val="16"/>
          <w:sz w:val="14"/>
          <w:szCs w:val="14"/>
        </w:rPr>
        <w:t xml:space="preserve"> </w:t>
      </w:r>
      <w:r w:rsidRPr="00B61529">
        <w:rPr>
          <w:rFonts w:ascii="Century Gothic" w:hAnsi="Century Gothic" w:cs="Arial"/>
          <w:sz w:val="14"/>
          <w:szCs w:val="14"/>
        </w:rPr>
        <w:t>ley</w:t>
      </w:r>
      <w:r w:rsidRPr="00B61529">
        <w:rPr>
          <w:rFonts w:ascii="Century Gothic" w:hAnsi="Century Gothic" w:cs="Arial"/>
          <w:spacing w:val="15"/>
          <w:sz w:val="14"/>
          <w:szCs w:val="14"/>
        </w:rPr>
        <w:t xml:space="preserve"> </w:t>
      </w:r>
      <w:r w:rsidRPr="00B61529">
        <w:rPr>
          <w:rFonts w:ascii="Century Gothic" w:hAnsi="Century Gothic" w:cs="Arial"/>
          <w:sz w:val="14"/>
          <w:szCs w:val="14"/>
        </w:rPr>
        <w:t>-donde</w:t>
      </w:r>
      <w:r w:rsidRPr="00B61529">
        <w:rPr>
          <w:rFonts w:ascii="Century Gothic" w:hAnsi="Century Gothic" w:cs="Arial"/>
          <w:spacing w:val="15"/>
          <w:sz w:val="14"/>
          <w:szCs w:val="14"/>
        </w:rPr>
        <w:t xml:space="preserve"> </w:t>
      </w:r>
      <w:r w:rsidRPr="00B61529">
        <w:rPr>
          <w:rFonts w:ascii="Century Gothic" w:hAnsi="Century Gothic" w:cs="Arial"/>
          <w:sz w:val="14"/>
          <w:szCs w:val="14"/>
        </w:rPr>
        <w:t>se</w:t>
      </w:r>
      <w:r w:rsidRPr="00B61529">
        <w:rPr>
          <w:rFonts w:ascii="Century Gothic" w:hAnsi="Century Gothic" w:cs="Arial"/>
          <w:spacing w:val="14"/>
          <w:sz w:val="14"/>
          <w:szCs w:val="14"/>
        </w:rPr>
        <w:t xml:space="preserve"> </w:t>
      </w:r>
      <w:r w:rsidRPr="00B61529">
        <w:rPr>
          <w:rFonts w:ascii="Century Gothic" w:hAnsi="Century Gothic" w:cs="Arial"/>
          <w:sz w:val="14"/>
          <w:szCs w:val="14"/>
        </w:rPr>
        <w:t>incluyen</w:t>
      </w:r>
      <w:r w:rsidRPr="00B61529">
        <w:rPr>
          <w:rFonts w:ascii="Century Gothic" w:hAnsi="Century Gothic" w:cs="Arial"/>
          <w:spacing w:val="13"/>
          <w:sz w:val="14"/>
          <w:szCs w:val="14"/>
        </w:rPr>
        <w:t xml:space="preserve"> </w:t>
      </w:r>
      <w:r w:rsidRPr="00B61529">
        <w:rPr>
          <w:rFonts w:ascii="Century Gothic" w:hAnsi="Century Gothic" w:cs="Arial"/>
          <w:sz w:val="14"/>
          <w:szCs w:val="14"/>
        </w:rPr>
        <w:t>los</w:t>
      </w:r>
      <w:r w:rsidRPr="00B61529">
        <w:rPr>
          <w:rFonts w:ascii="Century Gothic" w:hAnsi="Century Gothic" w:cs="Arial"/>
          <w:spacing w:val="13"/>
          <w:sz w:val="14"/>
          <w:szCs w:val="14"/>
        </w:rPr>
        <w:t xml:space="preserve"> </w:t>
      </w:r>
      <w:r w:rsidRPr="00B61529">
        <w:rPr>
          <w:rFonts w:ascii="Century Gothic" w:hAnsi="Century Gothic" w:cs="Arial"/>
          <w:sz w:val="14"/>
          <w:szCs w:val="14"/>
        </w:rPr>
        <w:t>previstos</w:t>
      </w:r>
      <w:r w:rsidRPr="00B61529">
        <w:rPr>
          <w:rFonts w:ascii="Century Gothic" w:hAnsi="Century Gothic" w:cs="Arial"/>
          <w:spacing w:val="14"/>
          <w:sz w:val="14"/>
          <w:szCs w:val="14"/>
        </w:rPr>
        <w:t xml:space="preserve"> </w:t>
      </w:r>
      <w:r w:rsidRPr="00B61529">
        <w:rPr>
          <w:rFonts w:ascii="Century Gothic" w:hAnsi="Century Gothic" w:cs="Arial"/>
          <w:sz w:val="14"/>
          <w:szCs w:val="14"/>
        </w:rPr>
        <w:t>en</w:t>
      </w:r>
      <w:r w:rsidRPr="00B61529">
        <w:rPr>
          <w:rFonts w:ascii="Century Gothic" w:hAnsi="Century Gothic" w:cs="Arial"/>
          <w:spacing w:val="15"/>
          <w:sz w:val="14"/>
          <w:szCs w:val="14"/>
        </w:rPr>
        <w:t xml:space="preserve"> </w:t>
      </w:r>
      <w:r w:rsidRPr="00B61529">
        <w:rPr>
          <w:rFonts w:ascii="Century Gothic" w:hAnsi="Century Gothic" w:cs="Arial"/>
          <w:sz w:val="14"/>
          <w:szCs w:val="14"/>
        </w:rPr>
        <w:t>el</w:t>
      </w:r>
      <w:r w:rsidRPr="00B61529">
        <w:rPr>
          <w:rFonts w:ascii="Century Gothic" w:hAnsi="Century Gothic" w:cs="Arial"/>
          <w:spacing w:val="16"/>
          <w:sz w:val="14"/>
          <w:szCs w:val="14"/>
        </w:rPr>
        <w:t xml:space="preserve"> </w:t>
      </w:r>
      <w:r w:rsidRPr="00B61529">
        <w:rPr>
          <w:rFonts w:ascii="Century Gothic" w:hAnsi="Century Gothic" w:cs="Arial"/>
          <w:sz w:val="14"/>
          <w:szCs w:val="14"/>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B61529">
        <w:rPr>
          <w:rFonts w:ascii="Century Gothic" w:hAnsi="Century Gothic" w:cs="Arial"/>
          <w:spacing w:val="-19"/>
          <w:sz w:val="14"/>
          <w:szCs w:val="14"/>
        </w:rPr>
        <w:t xml:space="preserve"> </w:t>
      </w:r>
      <w:r w:rsidRPr="00B61529">
        <w:rPr>
          <w:rFonts w:ascii="Century Gothic" w:hAnsi="Century Gothic" w:cs="Arial"/>
          <w:sz w:val="14"/>
          <w:szCs w:val="14"/>
        </w:rPr>
        <w:t>1993</w:t>
      </w:r>
      <w:r w:rsidR="00D31674" w:rsidRPr="00B61529">
        <w:rPr>
          <w:rFonts w:ascii="Century Gothic" w:hAnsi="Century Gothic" w:cs="Arial"/>
          <w:sz w:val="14"/>
          <w:szCs w:val="14"/>
        </w:rPr>
        <w:t>”</w:t>
      </w:r>
      <w:r w:rsidRPr="00B61529">
        <w:rPr>
          <w:rFonts w:ascii="Century Gothic" w:hAnsi="Century Gothic" w:cs="Arial"/>
          <w:sz w:val="14"/>
          <w:szCs w:val="14"/>
        </w:rPr>
        <w:t>. (</w:t>
      </w:r>
      <w:r w:rsidRPr="00B61529">
        <w:rPr>
          <w:rFonts w:ascii="Century Gothic" w:hAnsi="Century Gothic" w:cs="Arial"/>
          <w:sz w:val="14"/>
          <w:szCs w:val="14"/>
          <w:lang w:val="es-ES_tradnl"/>
        </w:rPr>
        <w:t>Corte Constitucional, Sentencia C-086 de 1995 M.P. Vladimiro Naranjo Mesa).</w:t>
      </w:r>
    </w:p>
  </w:footnote>
  <w:footnote w:id="20">
    <w:p w14:paraId="519A6F73" w14:textId="6D061030" w:rsidR="0018369F" w:rsidRPr="00B61529" w:rsidRDefault="0018369F" w:rsidP="00B61529">
      <w:pPr>
        <w:pStyle w:val="Textonotapie"/>
        <w:ind w:firstLine="851"/>
        <w:jc w:val="both"/>
        <w:rPr>
          <w:rFonts w:ascii="Century Gothic" w:hAnsi="Century Gothic" w:cs="Arial"/>
          <w:sz w:val="14"/>
          <w:szCs w:val="14"/>
          <w:lang w:val="es-CO"/>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Consejo de Estado. </w:t>
      </w:r>
      <w:r w:rsidRPr="00B61529">
        <w:rPr>
          <w:rFonts w:ascii="Century Gothic" w:eastAsia="MS Mincho" w:hAnsi="Century Gothic" w:cs="Arial"/>
          <w:sz w:val="14"/>
          <w:szCs w:val="14"/>
          <w:lang w:val="es-ES_tradnl" w:eastAsia="es-CO"/>
        </w:rPr>
        <w:t>Sala de Consulta y Servicio Civil. Concepto del 4 de marzo de 1998. Radicado Nro. 1.074. CP.: Cesar Hoyos Salazar.</w:t>
      </w:r>
    </w:p>
  </w:footnote>
  <w:footnote w:id="21">
    <w:p w14:paraId="74890901" w14:textId="77777777" w:rsidR="00A37FEC" w:rsidRPr="00B61529" w:rsidRDefault="00A37FEC" w:rsidP="00B61529">
      <w:pPr>
        <w:pStyle w:val="Textonotapie"/>
        <w:ind w:firstLine="709"/>
        <w:jc w:val="both"/>
        <w:rPr>
          <w:rFonts w:ascii="Century Gothic" w:hAnsi="Century Gothic" w:cs="Arial"/>
          <w:sz w:val="14"/>
          <w:szCs w:val="14"/>
          <w:lang w:val="es-CO"/>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eastAsia="MS Mincho" w:hAnsi="Century Gothic" w:cs="Arial"/>
          <w:sz w:val="14"/>
          <w:szCs w:val="14"/>
          <w:lang w:val="es-ES_tradnl" w:eastAsia="es-CO"/>
        </w:rPr>
        <w:t xml:space="preserve">Ibidem </w:t>
      </w:r>
    </w:p>
  </w:footnote>
  <w:footnote w:id="22">
    <w:p w14:paraId="68FB5FD6" w14:textId="5BEE29B1" w:rsidR="005A0DC1" w:rsidRPr="00B61529" w:rsidRDefault="005A0DC1" w:rsidP="00B61529">
      <w:pPr>
        <w:pStyle w:val="Textonotapie"/>
        <w:ind w:firstLine="708"/>
        <w:jc w:val="both"/>
        <w:rPr>
          <w:rFonts w:ascii="Century Gothic" w:hAnsi="Century Gothic"/>
          <w:sz w:val="14"/>
          <w:szCs w:val="14"/>
          <w:lang w:val="es-CO"/>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w:t>
      </w:r>
      <w:r w:rsidRPr="00B61529">
        <w:rPr>
          <w:rFonts w:ascii="Century Gothic" w:hAnsi="Century Gothic" w:cs="Arial"/>
          <w:sz w:val="14"/>
          <w:szCs w:val="14"/>
        </w:rPr>
        <w:t xml:space="preserve">Consejo de Estado. </w:t>
      </w:r>
      <w:r w:rsidRPr="00B61529">
        <w:rPr>
          <w:rFonts w:ascii="Century Gothic" w:eastAsia="MS Mincho" w:hAnsi="Century Gothic" w:cs="Arial"/>
          <w:sz w:val="14"/>
          <w:szCs w:val="14"/>
          <w:lang w:val="es-ES_tradnl" w:eastAsia="es-CO"/>
        </w:rPr>
        <w:t xml:space="preserve">Sala de Consulta y Servicio Civil. Concepto del </w:t>
      </w:r>
      <w:r w:rsidR="00F75F11" w:rsidRPr="00B61529">
        <w:rPr>
          <w:rFonts w:ascii="Century Gothic" w:eastAsia="MS Mincho" w:hAnsi="Century Gothic" w:cs="Arial"/>
          <w:sz w:val="14"/>
          <w:szCs w:val="14"/>
          <w:lang w:val="es-ES_tradnl" w:eastAsia="es-CO"/>
        </w:rPr>
        <w:t xml:space="preserve">30 </w:t>
      </w:r>
      <w:r w:rsidRPr="00B61529">
        <w:rPr>
          <w:rFonts w:ascii="Century Gothic" w:eastAsia="MS Mincho" w:hAnsi="Century Gothic" w:cs="Arial"/>
          <w:sz w:val="14"/>
          <w:szCs w:val="14"/>
          <w:lang w:val="es-ES_tradnl" w:eastAsia="es-CO"/>
        </w:rPr>
        <w:t>de</w:t>
      </w:r>
      <w:r w:rsidR="00F75F11" w:rsidRPr="00B61529">
        <w:rPr>
          <w:rFonts w:ascii="Century Gothic" w:eastAsia="MS Mincho" w:hAnsi="Century Gothic" w:cs="Arial"/>
          <w:sz w:val="14"/>
          <w:szCs w:val="14"/>
          <w:lang w:val="es-ES_tradnl" w:eastAsia="es-CO"/>
        </w:rPr>
        <w:t xml:space="preserve"> junio</w:t>
      </w:r>
      <w:r w:rsidRPr="00B61529">
        <w:rPr>
          <w:rFonts w:ascii="Century Gothic" w:eastAsia="MS Mincho" w:hAnsi="Century Gothic" w:cs="Arial"/>
          <w:sz w:val="14"/>
          <w:szCs w:val="14"/>
          <w:lang w:val="es-ES_tradnl" w:eastAsia="es-CO"/>
        </w:rPr>
        <w:t xml:space="preserve"> de </w:t>
      </w:r>
      <w:r w:rsidR="00F75F11" w:rsidRPr="00B61529">
        <w:rPr>
          <w:rFonts w:ascii="Century Gothic" w:eastAsia="MS Mincho" w:hAnsi="Century Gothic" w:cs="Arial"/>
          <w:sz w:val="14"/>
          <w:szCs w:val="14"/>
          <w:lang w:val="es-ES_tradnl" w:eastAsia="es-CO"/>
        </w:rPr>
        <w:t>2022</w:t>
      </w:r>
      <w:r w:rsidRPr="00B61529">
        <w:rPr>
          <w:rFonts w:ascii="Century Gothic" w:eastAsia="MS Mincho" w:hAnsi="Century Gothic" w:cs="Arial"/>
          <w:sz w:val="14"/>
          <w:szCs w:val="14"/>
          <w:lang w:val="es-ES_tradnl" w:eastAsia="es-CO"/>
        </w:rPr>
        <w:t xml:space="preserve">. Radicado Nro. </w:t>
      </w:r>
      <w:r w:rsidR="00F75F11" w:rsidRPr="00B61529">
        <w:rPr>
          <w:rFonts w:ascii="Century Gothic" w:eastAsia="MS Mincho" w:hAnsi="Century Gothic" w:cs="Arial"/>
          <w:sz w:val="14"/>
          <w:szCs w:val="14"/>
          <w:lang w:val="es-ES_tradnl" w:eastAsia="es-CO"/>
        </w:rPr>
        <w:t>00005</w:t>
      </w:r>
      <w:r w:rsidRPr="00B61529">
        <w:rPr>
          <w:rFonts w:ascii="Century Gothic" w:eastAsia="MS Mincho" w:hAnsi="Century Gothic" w:cs="Arial"/>
          <w:sz w:val="14"/>
          <w:szCs w:val="14"/>
          <w:lang w:val="es-ES_tradnl" w:eastAsia="es-CO"/>
        </w:rPr>
        <w:t xml:space="preserve">. CP.: </w:t>
      </w:r>
      <w:r w:rsidR="00651B14" w:rsidRPr="00B61529">
        <w:rPr>
          <w:rFonts w:ascii="Century Gothic" w:eastAsia="MS Mincho" w:hAnsi="Century Gothic" w:cs="Arial"/>
          <w:sz w:val="14"/>
          <w:szCs w:val="14"/>
          <w:lang w:val="es-ES_tradnl" w:eastAsia="es-CO"/>
        </w:rPr>
        <w:t>Édgar González López.</w:t>
      </w:r>
    </w:p>
  </w:footnote>
  <w:footnote w:id="23">
    <w:p w14:paraId="56CB3FE2" w14:textId="77777777" w:rsidR="0018369F" w:rsidRPr="00B61529" w:rsidRDefault="0018369F" w:rsidP="00B61529">
      <w:pPr>
        <w:pStyle w:val="Textonotapie"/>
        <w:ind w:firstLine="709"/>
        <w:jc w:val="both"/>
        <w:rPr>
          <w:rFonts w:ascii="Century Gothic" w:hAnsi="Century Gothic" w:cs="Arial"/>
          <w:sz w:val="14"/>
          <w:szCs w:val="14"/>
          <w:lang w:val="es-CO"/>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Consejo de Estado. </w:t>
      </w:r>
      <w:r w:rsidRPr="00B61529">
        <w:rPr>
          <w:rFonts w:ascii="Century Gothic" w:eastAsia="MS Mincho" w:hAnsi="Century Gothic" w:cs="Arial"/>
          <w:sz w:val="14"/>
          <w:szCs w:val="14"/>
          <w:lang w:val="es-ES_tradnl" w:eastAsia="es-CO"/>
        </w:rPr>
        <w:t>Sala de Consulta y Servicio Civil. Concepto del 4 de marzo de 1998. Radicado Nro. 1.074. CP. Cesar Hoyos Salazar.</w:t>
      </w:r>
    </w:p>
  </w:footnote>
  <w:footnote w:id="24">
    <w:p w14:paraId="4713A248" w14:textId="290BBA24" w:rsidR="00A45EFA" w:rsidRPr="00B61529" w:rsidRDefault="00A45EFA"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Congreso de la República</w:t>
      </w:r>
      <w:r w:rsidR="002823F2" w:rsidRPr="00B61529">
        <w:rPr>
          <w:rFonts w:ascii="Century Gothic" w:hAnsi="Century Gothic"/>
          <w:sz w:val="14"/>
          <w:szCs w:val="14"/>
        </w:rPr>
        <w:t xml:space="preserve">, Senado, Proyecto de Ley Número 142 de 2010. Ver en gaceta </w:t>
      </w:r>
      <w:r w:rsidR="005D6D41" w:rsidRPr="00B61529">
        <w:rPr>
          <w:rFonts w:ascii="Century Gothic" w:hAnsi="Century Gothic"/>
          <w:sz w:val="14"/>
          <w:szCs w:val="14"/>
        </w:rPr>
        <w:t xml:space="preserve">607 del 7 de septiembre de 2010. </w:t>
      </w:r>
      <w:r w:rsidR="006C78B5">
        <w:rPr>
          <w:rFonts w:ascii="Century Gothic" w:hAnsi="Century Gothic"/>
          <w:sz w:val="14"/>
          <w:szCs w:val="14"/>
        </w:rPr>
        <w:t xml:space="preserve">Ver en línea: </w:t>
      </w:r>
      <w:r w:rsidR="006C78B5" w:rsidRPr="00B61529">
        <w:rPr>
          <w:rFonts w:ascii="Century Gothic" w:hAnsi="Century Gothic"/>
          <w:sz w:val="14"/>
          <w:szCs w:val="14"/>
        </w:rPr>
        <w:t xml:space="preserve"> </w:t>
      </w:r>
      <w:hyperlink r:id="rId6" w:history="1">
        <w:r w:rsidR="006B714B" w:rsidRPr="00B61529">
          <w:rPr>
            <w:rStyle w:val="Hipervnculo"/>
            <w:rFonts w:ascii="Century Gothic" w:hAnsi="Century Gothic"/>
            <w:sz w:val="14"/>
            <w:szCs w:val="14"/>
          </w:rPr>
          <w:t>http://svrpubindc.imprenta.gov.co/senado/</w:t>
        </w:r>
      </w:hyperlink>
      <w:r w:rsidR="006B714B" w:rsidRPr="00B61529">
        <w:rPr>
          <w:rFonts w:ascii="Century Gothic" w:hAnsi="Century Gothic"/>
          <w:sz w:val="14"/>
          <w:szCs w:val="14"/>
        </w:rPr>
        <w:t xml:space="preserve"> </w:t>
      </w:r>
    </w:p>
  </w:footnote>
  <w:footnote w:id="25">
    <w:p w14:paraId="50E32A59" w14:textId="69958B3E" w:rsidR="00B97B96" w:rsidRPr="00B61529" w:rsidRDefault="00B97B96"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Congreso de la República, Senado, Proyecto de Ley Número 142 de 2010. Ver en gaceta </w:t>
      </w:r>
      <w:r w:rsidR="008D39F5" w:rsidRPr="00B61529">
        <w:rPr>
          <w:rFonts w:ascii="Century Gothic" w:hAnsi="Century Gothic"/>
          <w:sz w:val="14"/>
          <w:szCs w:val="14"/>
        </w:rPr>
        <w:t>784</w:t>
      </w:r>
      <w:r w:rsidRPr="00B61529">
        <w:rPr>
          <w:rFonts w:ascii="Century Gothic" w:hAnsi="Century Gothic"/>
          <w:sz w:val="14"/>
          <w:szCs w:val="14"/>
        </w:rPr>
        <w:t xml:space="preserve"> del </w:t>
      </w:r>
      <w:r w:rsidR="008D39F5" w:rsidRPr="00B61529">
        <w:rPr>
          <w:rFonts w:ascii="Century Gothic" w:hAnsi="Century Gothic"/>
          <w:sz w:val="14"/>
          <w:szCs w:val="14"/>
        </w:rPr>
        <w:t>1</w:t>
      </w:r>
      <w:r w:rsidR="008E7E0B" w:rsidRPr="00B61529">
        <w:rPr>
          <w:rFonts w:ascii="Century Gothic" w:hAnsi="Century Gothic"/>
          <w:sz w:val="14"/>
          <w:szCs w:val="14"/>
        </w:rPr>
        <w:t>9</w:t>
      </w:r>
      <w:r w:rsidRPr="00B61529">
        <w:rPr>
          <w:rFonts w:ascii="Century Gothic" w:hAnsi="Century Gothic"/>
          <w:sz w:val="14"/>
          <w:szCs w:val="14"/>
        </w:rPr>
        <w:t xml:space="preserve"> de </w:t>
      </w:r>
      <w:r w:rsidR="008D39F5" w:rsidRPr="00B61529">
        <w:rPr>
          <w:rFonts w:ascii="Century Gothic" w:hAnsi="Century Gothic"/>
          <w:sz w:val="14"/>
          <w:szCs w:val="14"/>
        </w:rPr>
        <w:t>octu</w:t>
      </w:r>
      <w:r w:rsidRPr="00B61529">
        <w:rPr>
          <w:rFonts w:ascii="Century Gothic" w:hAnsi="Century Gothic"/>
          <w:sz w:val="14"/>
          <w:szCs w:val="14"/>
        </w:rPr>
        <w:t>bre de 2010.</w:t>
      </w:r>
      <w:r w:rsidR="006C78B5">
        <w:rPr>
          <w:rFonts w:ascii="Century Gothic" w:hAnsi="Century Gothic"/>
          <w:sz w:val="14"/>
          <w:szCs w:val="14"/>
        </w:rPr>
        <w:t xml:space="preserve"> Ver en línea: </w:t>
      </w:r>
      <w:r w:rsidRPr="00B61529">
        <w:rPr>
          <w:rFonts w:ascii="Century Gothic" w:hAnsi="Century Gothic"/>
          <w:sz w:val="14"/>
          <w:szCs w:val="14"/>
        </w:rPr>
        <w:t xml:space="preserve"> </w:t>
      </w:r>
      <w:hyperlink r:id="rId7" w:history="1">
        <w:r w:rsidRPr="00B61529">
          <w:rPr>
            <w:rStyle w:val="Hipervnculo"/>
            <w:rFonts w:ascii="Century Gothic" w:hAnsi="Century Gothic"/>
            <w:sz w:val="14"/>
            <w:szCs w:val="14"/>
          </w:rPr>
          <w:t>http://svrpubindc.imprenta.gov.co/senado/</w:t>
        </w:r>
      </w:hyperlink>
    </w:p>
  </w:footnote>
  <w:footnote w:id="26">
    <w:p w14:paraId="43FFE646" w14:textId="76C656BC" w:rsidR="00B97B96" w:rsidRPr="00B61529" w:rsidRDefault="00B97B96"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Congreso de la República, Senado, Proyecto de Ley Número 142 de 2010. Ver en gaceta </w:t>
      </w:r>
      <w:r w:rsidR="00C94FA6" w:rsidRPr="00B61529">
        <w:rPr>
          <w:rFonts w:ascii="Century Gothic" w:hAnsi="Century Gothic"/>
          <w:sz w:val="14"/>
          <w:szCs w:val="14"/>
        </w:rPr>
        <w:t>1002</w:t>
      </w:r>
      <w:r w:rsidRPr="00B61529">
        <w:rPr>
          <w:rFonts w:ascii="Century Gothic" w:hAnsi="Century Gothic"/>
          <w:sz w:val="14"/>
          <w:szCs w:val="14"/>
        </w:rPr>
        <w:t xml:space="preserve"> del </w:t>
      </w:r>
      <w:r w:rsidR="00C94FA6" w:rsidRPr="00B61529">
        <w:rPr>
          <w:rFonts w:ascii="Century Gothic" w:hAnsi="Century Gothic"/>
          <w:sz w:val="14"/>
          <w:szCs w:val="14"/>
        </w:rPr>
        <w:t>1</w:t>
      </w:r>
      <w:r w:rsidRPr="00B61529">
        <w:rPr>
          <w:rFonts w:ascii="Century Gothic" w:hAnsi="Century Gothic"/>
          <w:sz w:val="14"/>
          <w:szCs w:val="14"/>
        </w:rPr>
        <w:t xml:space="preserve"> de </w:t>
      </w:r>
      <w:r w:rsidR="00C94FA6" w:rsidRPr="00B61529">
        <w:rPr>
          <w:rFonts w:ascii="Century Gothic" w:hAnsi="Century Gothic"/>
          <w:sz w:val="14"/>
          <w:szCs w:val="14"/>
        </w:rPr>
        <w:t>dici</w:t>
      </w:r>
      <w:r w:rsidRPr="00B61529">
        <w:rPr>
          <w:rFonts w:ascii="Century Gothic" w:hAnsi="Century Gothic"/>
          <w:sz w:val="14"/>
          <w:szCs w:val="14"/>
        </w:rPr>
        <w:t xml:space="preserve">embre de 2010. </w:t>
      </w:r>
      <w:r w:rsidR="006C78B5">
        <w:rPr>
          <w:rFonts w:ascii="Century Gothic" w:hAnsi="Century Gothic"/>
          <w:sz w:val="14"/>
          <w:szCs w:val="14"/>
        </w:rPr>
        <w:t xml:space="preserve">Ver en línea: </w:t>
      </w:r>
      <w:r w:rsidR="006C78B5" w:rsidRPr="00B61529">
        <w:rPr>
          <w:rFonts w:ascii="Century Gothic" w:hAnsi="Century Gothic"/>
          <w:sz w:val="14"/>
          <w:szCs w:val="14"/>
        </w:rPr>
        <w:t xml:space="preserve"> </w:t>
      </w:r>
      <w:hyperlink r:id="rId8" w:history="1">
        <w:r w:rsidRPr="00B61529">
          <w:rPr>
            <w:rStyle w:val="Hipervnculo"/>
            <w:rFonts w:ascii="Century Gothic" w:hAnsi="Century Gothic"/>
            <w:sz w:val="14"/>
            <w:szCs w:val="14"/>
          </w:rPr>
          <w:t>http://svrpubindc.imprenta.gov.co/senado/</w:t>
        </w:r>
      </w:hyperlink>
    </w:p>
  </w:footnote>
  <w:footnote w:id="27">
    <w:p w14:paraId="6AA17E06" w14:textId="7404CA00" w:rsidR="00B61529" w:rsidRPr="00B61529" w:rsidRDefault="00121FBF" w:rsidP="00B61529">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w:t>
      </w:r>
      <w:r w:rsidR="00476B38" w:rsidRPr="00B61529">
        <w:rPr>
          <w:rFonts w:ascii="Century Gothic" w:hAnsi="Century Gothic"/>
          <w:sz w:val="14"/>
          <w:szCs w:val="14"/>
        </w:rPr>
        <w:t xml:space="preserve">Congreso de la República, Senado, Proyecto de Ley Número 142 de 2010. Ver en gaceta </w:t>
      </w:r>
      <w:r w:rsidR="009338D3">
        <w:rPr>
          <w:rFonts w:ascii="Century Gothic" w:hAnsi="Century Gothic"/>
          <w:sz w:val="14"/>
          <w:szCs w:val="14"/>
        </w:rPr>
        <w:t xml:space="preserve">1117 </w:t>
      </w:r>
      <w:r w:rsidR="009338D3" w:rsidRPr="00B61529">
        <w:rPr>
          <w:rFonts w:ascii="Century Gothic" w:hAnsi="Century Gothic"/>
          <w:sz w:val="14"/>
          <w:szCs w:val="14"/>
        </w:rPr>
        <w:t>del</w:t>
      </w:r>
      <w:r w:rsidR="00476B38" w:rsidRPr="00B61529">
        <w:rPr>
          <w:rFonts w:ascii="Century Gothic" w:hAnsi="Century Gothic"/>
          <w:sz w:val="14"/>
          <w:szCs w:val="14"/>
        </w:rPr>
        <w:t xml:space="preserve"> </w:t>
      </w:r>
      <w:r w:rsidR="009338D3">
        <w:rPr>
          <w:rFonts w:ascii="Century Gothic" w:hAnsi="Century Gothic"/>
          <w:sz w:val="14"/>
          <w:szCs w:val="14"/>
        </w:rPr>
        <w:t>22</w:t>
      </w:r>
      <w:r w:rsidR="00476B38" w:rsidRPr="00B61529">
        <w:rPr>
          <w:rFonts w:ascii="Century Gothic" w:hAnsi="Century Gothic"/>
          <w:sz w:val="14"/>
          <w:szCs w:val="14"/>
        </w:rPr>
        <w:t xml:space="preserve"> de diciembre de 2010. </w:t>
      </w:r>
      <w:r w:rsidR="006C78B5">
        <w:rPr>
          <w:rFonts w:ascii="Century Gothic" w:hAnsi="Century Gothic"/>
          <w:sz w:val="14"/>
          <w:szCs w:val="14"/>
        </w:rPr>
        <w:t xml:space="preserve">Ver en línea: </w:t>
      </w:r>
      <w:r w:rsidR="006C78B5" w:rsidRPr="00B61529">
        <w:rPr>
          <w:rFonts w:ascii="Century Gothic" w:hAnsi="Century Gothic"/>
          <w:sz w:val="14"/>
          <w:szCs w:val="14"/>
        </w:rPr>
        <w:t xml:space="preserve"> </w:t>
      </w:r>
      <w:hyperlink r:id="rId9" w:history="1">
        <w:r w:rsidR="00476B38" w:rsidRPr="00B61529">
          <w:rPr>
            <w:rStyle w:val="Hipervnculo"/>
            <w:rFonts w:ascii="Century Gothic" w:hAnsi="Century Gothic"/>
            <w:sz w:val="14"/>
            <w:szCs w:val="14"/>
          </w:rPr>
          <w:t>http://svrpubindc.imprenta.gov.co/senado/</w:t>
        </w:r>
      </w:hyperlink>
      <w:r w:rsidR="009338D3">
        <w:rPr>
          <w:rFonts w:ascii="Century Gothic" w:hAnsi="Century Gothic"/>
          <w:sz w:val="14"/>
          <w:szCs w:val="14"/>
        </w:rPr>
        <w:t xml:space="preserve"> Al respecto, el artículo aprobado fue el siguiente: “</w:t>
      </w:r>
      <w:r w:rsidR="00B61529" w:rsidRPr="00B61529">
        <w:rPr>
          <w:rFonts w:ascii="Century Gothic" w:hAnsi="Century Gothic"/>
          <w:sz w:val="14"/>
          <w:szCs w:val="14"/>
        </w:rPr>
        <w:t>Artículo 109. Anticipos. En los contratos de obra y concesión el contratista deberá constituir una fiducia irrevocable para el manejo de los recursos que reciba a título de anticipo, con el fin de garantizar que dichos recursos se apliquen exclusivamente a la ejecución del contrato correspondiente, salvo que el contrato sea de menor o mínima cuantía.</w:t>
      </w:r>
    </w:p>
    <w:p w14:paraId="0FD7F808" w14:textId="77777777" w:rsidR="00B61529" w:rsidRPr="00B61529" w:rsidRDefault="00B61529" w:rsidP="00B61529">
      <w:pPr>
        <w:pStyle w:val="Textonotapie"/>
        <w:ind w:firstLine="708"/>
        <w:jc w:val="both"/>
        <w:rPr>
          <w:rFonts w:ascii="Century Gothic" w:hAnsi="Century Gothic"/>
          <w:sz w:val="14"/>
          <w:szCs w:val="14"/>
        </w:rPr>
      </w:pPr>
    </w:p>
    <w:p w14:paraId="0E6F8102" w14:textId="44DF0198" w:rsidR="00B61529" w:rsidRPr="00B61529" w:rsidRDefault="00B61529" w:rsidP="00B61529">
      <w:pPr>
        <w:pStyle w:val="Textonotapie"/>
        <w:ind w:firstLine="708"/>
        <w:jc w:val="both"/>
        <w:rPr>
          <w:rFonts w:ascii="Century Gothic" w:hAnsi="Century Gothic"/>
          <w:sz w:val="14"/>
          <w:szCs w:val="14"/>
        </w:rPr>
      </w:pPr>
      <w:r w:rsidRPr="00B61529">
        <w:rPr>
          <w:rFonts w:ascii="Century Gothic" w:hAnsi="Century Gothic"/>
          <w:sz w:val="14"/>
          <w:szCs w:val="14"/>
        </w:rPr>
        <w:t>El costo de la comisión fiduciaria será cubierto por los rendimientos financieros que genere la inversión temporal del anticipo.</w:t>
      </w:r>
    </w:p>
    <w:p w14:paraId="393F3A27" w14:textId="77777777" w:rsidR="00B61529" w:rsidRPr="00B61529" w:rsidRDefault="00B61529" w:rsidP="00B61529">
      <w:pPr>
        <w:pStyle w:val="Textonotapie"/>
        <w:ind w:firstLine="708"/>
        <w:jc w:val="both"/>
        <w:rPr>
          <w:rFonts w:ascii="Century Gothic" w:hAnsi="Century Gothic"/>
          <w:sz w:val="14"/>
          <w:szCs w:val="14"/>
        </w:rPr>
      </w:pPr>
    </w:p>
    <w:p w14:paraId="3DE1CF01" w14:textId="0CAA0BC1" w:rsidR="00121FBF" w:rsidRPr="00B61529" w:rsidRDefault="00B61529" w:rsidP="00B61529">
      <w:pPr>
        <w:pStyle w:val="Textonotapie"/>
        <w:ind w:firstLine="708"/>
        <w:jc w:val="both"/>
        <w:rPr>
          <w:rFonts w:ascii="Century Gothic" w:hAnsi="Century Gothic"/>
          <w:sz w:val="14"/>
          <w:szCs w:val="14"/>
        </w:rPr>
      </w:pPr>
      <w:r w:rsidRPr="00B61529">
        <w:rPr>
          <w:rFonts w:ascii="Century Gothic" w:hAnsi="Century Gothic"/>
          <w:sz w:val="14"/>
          <w:szCs w:val="14"/>
        </w:rPr>
        <w:t>Parágrafo 1°. La información financiera y contable de la fiducia podrá ser consultada por los Organismos de Vigilancia y Control Fiscal.</w:t>
      </w:r>
      <w:r w:rsidR="009338D3">
        <w:rPr>
          <w:rFonts w:ascii="Century Gothic" w:hAnsi="Century Gothic"/>
          <w:sz w:val="14"/>
          <w:szCs w:val="14"/>
        </w:rPr>
        <w:t>”</w:t>
      </w:r>
    </w:p>
  </w:footnote>
  <w:footnote w:id="28">
    <w:p w14:paraId="433165E8" w14:textId="5751B11F" w:rsidR="00E770AF" w:rsidRPr="004A7D3D" w:rsidRDefault="00E770AF" w:rsidP="00E770AF">
      <w:pPr>
        <w:pStyle w:val="Textonotapie"/>
        <w:ind w:firstLine="708"/>
      </w:pPr>
      <w:r>
        <w:rPr>
          <w:rStyle w:val="Refdenotaalpie"/>
        </w:rPr>
        <w:footnoteRef/>
      </w:r>
      <w:r>
        <w:t xml:space="preserve"> </w:t>
      </w:r>
      <w:r w:rsidRPr="00B61529">
        <w:rPr>
          <w:rFonts w:ascii="Century Gothic" w:hAnsi="Century Gothic"/>
          <w:sz w:val="14"/>
          <w:szCs w:val="14"/>
        </w:rPr>
        <w:t xml:space="preserve">Congreso de la República, </w:t>
      </w:r>
      <w:r>
        <w:rPr>
          <w:rFonts w:ascii="Century Gothic" w:hAnsi="Century Gothic"/>
          <w:sz w:val="14"/>
          <w:szCs w:val="14"/>
        </w:rPr>
        <w:t>Cámara de Representantes</w:t>
      </w:r>
      <w:r w:rsidRPr="00B61529">
        <w:rPr>
          <w:rFonts w:ascii="Century Gothic" w:hAnsi="Century Gothic"/>
          <w:sz w:val="14"/>
          <w:szCs w:val="14"/>
        </w:rPr>
        <w:t>, Proyecto de Ley Número 1</w:t>
      </w:r>
      <w:r>
        <w:rPr>
          <w:rFonts w:ascii="Century Gothic" w:hAnsi="Century Gothic"/>
          <w:sz w:val="14"/>
          <w:szCs w:val="14"/>
        </w:rPr>
        <w:t>74</w:t>
      </w:r>
      <w:r w:rsidRPr="00B61529">
        <w:rPr>
          <w:rFonts w:ascii="Century Gothic" w:hAnsi="Century Gothic"/>
          <w:sz w:val="14"/>
          <w:szCs w:val="14"/>
        </w:rPr>
        <w:t xml:space="preserve"> de 2010. Ver en gaceta </w:t>
      </w:r>
      <w:r>
        <w:rPr>
          <w:rFonts w:ascii="Century Gothic" w:hAnsi="Century Gothic"/>
          <w:sz w:val="14"/>
          <w:szCs w:val="14"/>
        </w:rPr>
        <w:t xml:space="preserve">19 </w:t>
      </w:r>
      <w:r w:rsidRPr="00B61529">
        <w:rPr>
          <w:rFonts w:ascii="Century Gothic" w:hAnsi="Century Gothic"/>
          <w:sz w:val="14"/>
          <w:szCs w:val="14"/>
        </w:rPr>
        <w:t xml:space="preserve">de </w:t>
      </w:r>
      <w:r>
        <w:rPr>
          <w:rFonts w:ascii="Century Gothic" w:hAnsi="Century Gothic"/>
          <w:sz w:val="14"/>
          <w:szCs w:val="14"/>
        </w:rPr>
        <w:t>8</w:t>
      </w:r>
      <w:r w:rsidRPr="00B61529">
        <w:rPr>
          <w:rFonts w:ascii="Century Gothic" w:hAnsi="Century Gothic"/>
          <w:sz w:val="14"/>
          <w:szCs w:val="14"/>
        </w:rPr>
        <w:t xml:space="preserve"> de </w:t>
      </w:r>
      <w:r>
        <w:rPr>
          <w:rFonts w:ascii="Century Gothic" w:hAnsi="Century Gothic"/>
          <w:sz w:val="14"/>
          <w:szCs w:val="14"/>
        </w:rPr>
        <w:t>febrero</w:t>
      </w:r>
      <w:r w:rsidRPr="00B61529">
        <w:rPr>
          <w:rFonts w:ascii="Century Gothic" w:hAnsi="Century Gothic"/>
          <w:sz w:val="14"/>
          <w:szCs w:val="14"/>
        </w:rPr>
        <w:t xml:space="preserve"> de 201</w:t>
      </w:r>
      <w:r>
        <w:rPr>
          <w:rFonts w:ascii="Century Gothic" w:hAnsi="Century Gothic"/>
          <w:sz w:val="14"/>
          <w:szCs w:val="14"/>
        </w:rPr>
        <w:t>1</w:t>
      </w:r>
      <w:r w:rsidRPr="00B61529">
        <w:rPr>
          <w:rFonts w:ascii="Century Gothic" w:hAnsi="Century Gothic"/>
          <w:sz w:val="14"/>
          <w:szCs w:val="14"/>
        </w:rPr>
        <w:t xml:space="preserve">. </w:t>
      </w:r>
      <w:r w:rsidR="006C78B5">
        <w:rPr>
          <w:rFonts w:ascii="Century Gothic" w:hAnsi="Century Gothic"/>
          <w:sz w:val="14"/>
          <w:szCs w:val="14"/>
        </w:rPr>
        <w:t xml:space="preserve">Ver en línea: </w:t>
      </w:r>
      <w:r w:rsidR="006C78B5" w:rsidRPr="00B61529">
        <w:rPr>
          <w:rFonts w:ascii="Century Gothic" w:hAnsi="Century Gothic"/>
          <w:sz w:val="14"/>
          <w:szCs w:val="14"/>
        </w:rPr>
        <w:t xml:space="preserve"> </w:t>
      </w:r>
      <w:hyperlink r:id="rId10" w:history="1">
        <w:r w:rsidRPr="00B61529">
          <w:rPr>
            <w:rStyle w:val="Hipervnculo"/>
            <w:rFonts w:ascii="Century Gothic" w:hAnsi="Century Gothic"/>
            <w:sz w:val="14"/>
            <w:szCs w:val="14"/>
          </w:rPr>
          <w:t>http://svrpubindc.imprenta.gov.co/senado/</w:t>
        </w:r>
      </w:hyperlink>
    </w:p>
  </w:footnote>
  <w:footnote w:id="29">
    <w:p w14:paraId="494C70FD" w14:textId="2BC57D01" w:rsidR="00E770AF" w:rsidRPr="00E770AF" w:rsidRDefault="00E770AF" w:rsidP="00E770AF">
      <w:pPr>
        <w:pStyle w:val="Textonotapie"/>
        <w:ind w:firstLine="708"/>
      </w:pPr>
      <w:r>
        <w:rPr>
          <w:rStyle w:val="Refdenotaalpie"/>
        </w:rPr>
        <w:footnoteRef/>
      </w:r>
      <w:r>
        <w:t xml:space="preserve"> </w:t>
      </w:r>
      <w:r w:rsidRPr="00B61529">
        <w:rPr>
          <w:rFonts w:ascii="Century Gothic" w:hAnsi="Century Gothic"/>
          <w:sz w:val="14"/>
          <w:szCs w:val="14"/>
        </w:rPr>
        <w:t xml:space="preserve">Congreso de la República, </w:t>
      </w:r>
      <w:r>
        <w:rPr>
          <w:rFonts w:ascii="Century Gothic" w:hAnsi="Century Gothic"/>
          <w:sz w:val="14"/>
          <w:szCs w:val="14"/>
        </w:rPr>
        <w:t>Cámara de Representantes</w:t>
      </w:r>
      <w:r w:rsidRPr="00B61529">
        <w:rPr>
          <w:rFonts w:ascii="Century Gothic" w:hAnsi="Century Gothic"/>
          <w:sz w:val="14"/>
          <w:szCs w:val="14"/>
        </w:rPr>
        <w:t>, Proyecto de Ley Número 1</w:t>
      </w:r>
      <w:r>
        <w:rPr>
          <w:rFonts w:ascii="Century Gothic" w:hAnsi="Century Gothic"/>
          <w:sz w:val="14"/>
          <w:szCs w:val="14"/>
        </w:rPr>
        <w:t>74</w:t>
      </w:r>
      <w:r w:rsidRPr="00B61529">
        <w:rPr>
          <w:rFonts w:ascii="Century Gothic" w:hAnsi="Century Gothic"/>
          <w:sz w:val="14"/>
          <w:szCs w:val="14"/>
        </w:rPr>
        <w:t xml:space="preserve"> de 2010. Ver en gaceta </w:t>
      </w:r>
      <w:r>
        <w:rPr>
          <w:rFonts w:ascii="Century Gothic" w:hAnsi="Century Gothic"/>
          <w:sz w:val="14"/>
          <w:szCs w:val="14"/>
        </w:rPr>
        <w:t xml:space="preserve">128 </w:t>
      </w:r>
      <w:r w:rsidRPr="00B61529">
        <w:rPr>
          <w:rFonts w:ascii="Century Gothic" w:hAnsi="Century Gothic"/>
          <w:sz w:val="14"/>
          <w:szCs w:val="14"/>
        </w:rPr>
        <w:t xml:space="preserve">de </w:t>
      </w:r>
      <w:r>
        <w:rPr>
          <w:rFonts w:ascii="Century Gothic" w:hAnsi="Century Gothic"/>
          <w:sz w:val="14"/>
          <w:szCs w:val="14"/>
        </w:rPr>
        <w:t xml:space="preserve">30 </w:t>
      </w:r>
      <w:r w:rsidRPr="00B61529">
        <w:rPr>
          <w:rFonts w:ascii="Century Gothic" w:hAnsi="Century Gothic"/>
          <w:sz w:val="14"/>
          <w:szCs w:val="14"/>
        </w:rPr>
        <w:t xml:space="preserve">de </w:t>
      </w:r>
      <w:r>
        <w:rPr>
          <w:rFonts w:ascii="Century Gothic" w:hAnsi="Century Gothic"/>
          <w:sz w:val="14"/>
          <w:szCs w:val="14"/>
        </w:rPr>
        <w:t>marzo</w:t>
      </w:r>
      <w:r w:rsidRPr="00B61529">
        <w:rPr>
          <w:rFonts w:ascii="Century Gothic" w:hAnsi="Century Gothic"/>
          <w:sz w:val="14"/>
          <w:szCs w:val="14"/>
        </w:rPr>
        <w:t xml:space="preserve"> de 201</w:t>
      </w:r>
      <w:r>
        <w:rPr>
          <w:rFonts w:ascii="Century Gothic" w:hAnsi="Century Gothic"/>
          <w:sz w:val="14"/>
          <w:szCs w:val="14"/>
        </w:rPr>
        <w:t>1</w:t>
      </w:r>
      <w:r w:rsidRPr="00B61529">
        <w:rPr>
          <w:rFonts w:ascii="Century Gothic" w:hAnsi="Century Gothic"/>
          <w:sz w:val="14"/>
          <w:szCs w:val="14"/>
        </w:rPr>
        <w:t>.</w:t>
      </w:r>
      <w:r w:rsidR="006C78B5">
        <w:rPr>
          <w:rFonts w:ascii="Century Gothic" w:hAnsi="Century Gothic"/>
          <w:sz w:val="14"/>
          <w:szCs w:val="14"/>
        </w:rPr>
        <w:t xml:space="preserve"> Ver en línea: </w:t>
      </w:r>
      <w:r w:rsidRPr="00B61529">
        <w:rPr>
          <w:rFonts w:ascii="Century Gothic" w:hAnsi="Century Gothic"/>
          <w:sz w:val="14"/>
          <w:szCs w:val="14"/>
        </w:rPr>
        <w:t xml:space="preserve"> </w:t>
      </w:r>
      <w:hyperlink r:id="rId11" w:history="1">
        <w:r w:rsidRPr="00B61529">
          <w:rPr>
            <w:rStyle w:val="Hipervnculo"/>
            <w:rFonts w:ascii="Century Gothic" w:hAnsi="Century Gothic"/>
            <w:sz w:val="14"/>
            <w:szCs w:val="14"/>
          </w:rPr>
          <w:t>http://svrpubindc.imprenta.gov.co/senado/</w:t>
        </w:r>
      </w:hyperlink>
    </w:p>
  </w:footnote>
  <w:footnote w:id="30">
    <w:p w14:paraId="06685268" w14:textId="2C1E6271" w:rsidR="00AF4481" w:rsidRPr="00B61529" w:rsidRDefault="00AF4481" w:rsidP="00AF4481">
      <w:pPr>
        <w:pStyle w:val="Textonotapie"/>
        <w:ind w:firstLine="708"/>
        <w:jc w:val="both"/>
        <w:rPr>
          <w:rFonts w:ascii="Century Gothic" w:hAnsi="Century Gothic"/>
          <w:sz w:val="14"/>
          <w:szCs w:val="14"/>
        </w:rPr>
      </w:pPr>
      <w:r w:rsidRPr="00B61529">
        <w:rPr>
          <w:rStyle w:val="Refdenotaalpie"/>
          <w:rFonts w:ascii="Century Gothic" w:hAnsi="Century Gothic"/>
          <w:sz w:val="14"/>
          <w:szCs w:val="14"/>
        </w:rPr>
        <w:footnoteRef/>
      </w:r>
      <w:r w:rsidRPr="00B61529">
        <w:rPr>
          <w:rFonts w:ascii="Century Gothic" w:hAnsi="Century Gothic"/>
          <w:sz w:val="14"/>
          <w:szCs w:val="14"/>
        </w:rPr>
        <w:t xml:space="preserve"> Congreso de la República, </w:t>
      </w:r>
      <w:r w:rsidR="00947120">
        <w:rPr>
          <w:rFonts w:ascii="Century Gothic" w:hAnsi="Century Gothic"/>
          <w:sz w:val="14"/>
          <w:szCs w:val="14"/>
        </w:rPr>
        <w:t>Cámara de Representantes</w:t>
      </w:r>
      <w:r w:rsidRPr="00B61529">
        <w:rPr>
          <w:rFonts w:ascii="Century Gothic" w:hAnsi="Century Gothic"/>
          <w:sz w:val="14"/>
          <w:szCs w:val="14"/>
        </w:rPr>
        <w:t>, Proyecto de Ley Número 1</w:t>
      </w:r>
      <w:r w:rsidR="00947120">
        <w:rPr>
          <w:rFonts w:ascii="Century Gothic" w:hAnsi="Century Gothic"/>
          <w:sz w:val="14"/>
          <w:szCs w:val="14"/>
        </w:rPr>
        <w:t>74</w:t>
      </w:r>
      <w:r w:rsidRPr="00B61529">
        <w:rPr>
          <w:rFonts w:ascii="Century Gothic" w:hAnsi="Century Gothic"/>
          <w:sz w:val="14"/>
          <w:szCs w:val="14"/>
        </w:rPr>
        <w:t xml:space="preserve"> de 2010. Ver en gaceta </w:t>
      </w:r>
      <w:r w:rsidR="00947120">
        <w:rPr>
          <w:rFonts w:ascii="Century Gothic" w:hAnsi="Century Gothic"/>
          <w:sz w:val="14"/>
          <w:szCs w:val="14"/>
        </w:rPr>
        <w:t>258</w:t>
      </w:r>
      <w:r w:rsidRPr="00B61529">
        <w:rPr>
          <w:rFonts w:ascii="Century Gothic" w:hAnsi="Century Gothic"/>
          <w:sz w:val="14"/>
          <w:szCs w:val="14"/>
        </w:rPr>
        <w:t xml:space="preserve"> del 1</w:t>
      </w:r>
      <w:r w:rsidR="00947120">
        <w:rPr>
          <w:rFonts w:ascii="Century Gothic" w:hAnsi="Century Gothic"/>
          <w:sz w:val="14"/>
          <w:szCs w:val="14"/>
        </w:rPr>
        <w:t>2</w:t>
      </w:r>
      <w:r w:rsidRPr="00B61529">
        <w:rPr>
          <w:rFonts w:ascii="Century Gothic" w:hAnsi="Century Gothic"/>
          <w:sz w:val="14"/>
          <w:szCs w:val="14"/>
        </w:rPr>
        <w:t xml:space="preserve"> de </w:t>
      </w:r>
      <w:r w:rsidR="00947120">
        <w:rPr>
          <w:rFonts w:ascii="Century Gothic" w:hAnsi="Century Gothic"/>
          <w:sz w:val="14"/>
          <w:szCs w:val="14"/>
        </w:rPr>
        <w:t>mayo</w:t>
      </w:r>
      <w:r w:rsidRPr="00B61529">
        <w:rPr>
          <w:rFonts w:ascii="Century Gothic" w:hAnsi="Century Gothic"/>
          <w:sz w:val="14"/>
          <w:szCs w:val="14"/>
        </w:rPr>
        <w:t xml:space="preserve"> de 201</w:t>
      </w:r>
      <w:r w:rsidR="006C78B5">
        <w:rPr>
          <w:rFonts w:ascii="Century Gothic" w:hAnsi="Century Gothic"/>
          <w:sz w:val="14"/>
          <w:szCs w:val="14"/>
        </w:rPr>
        <w:t>. Ver en línea:</w:t>
      </w:r>
      <w:r w:rsidRPr="00B61529">
        <w:rPr>
          <w:rFonts w:ascii="Century Gothic" w:hAnsi="Century Gothic"/>
          <w:sz w:val="14"/>
          <w:szCs w:val="14"/>
        </w:rPr>
        <w:t xml:space="preserve"> </w:t>
      </w:r>
      <w:hyperlink r:id="rId12" w:history="1">
        <w:r w:rsidRPr="00B61529">
          <w:rPr>
            <w:rStyle w:val="Hipervnculo"/>
            <w:rFonts w:ascii="Century Gothic" w:hAnsi="Century Gothic"/>
            <w:sz w:val="14"/>
            <w:szCs w:val="14"/>
          </w:rPr>
          <w:t>http://svrpubindc.imprenta.gov.co/senado/</w:t>
        </w:r>
      </w:hyperlink>
    </w:p>
  </w:footnote>
  <w:footnote w:id="31">
    <w:p w14:paraId="332F5829" w14:textId="1B723287" w:rsidR="006833AA" w:rsidRPr="003533ED" w:rsidRDefault="006833AA" w:rsidP="006833AA">
      <w:pPr>
        <w:pStyle w:val="Textonotapie"/>
        <w:ind w:firstLine="708"/>
      </w:pPr>
      <w:r>
        <w:rPr>
          <w:rStyle w:val="Refdenotaalpie"/>
        </w:rPr>
        <w:footnoteRef/>
      </w:r>
      <w:r>
        <w:t xml:space="preserve"> </w:t>
      </w:r>
      <w:r w:rsidRPr="00B61529">
        <w:rPr>
          <w:rFonts w:ascii="Century Gothic" w:hAnsi="Century Gothic"/>
          <w:sz w:val="14"/>
          <w:szCs w:val="14"/>
        </w:rPr>
        <w:t>Congreso de la República, Senado,</w:t>
      </w:r>
      <w:r w:rsidR="00A54C16">
        <w:rPr>
          <w:rFonts w:ascii="Century Gothic" w:hAnsi="Century Gothic"/>
          <w:sz w:val="14"/>
          <w:szCs w:val="14"/>
        </w:rPr>
        <w:t xml:space="preserve"> </w:t>
      </w:r>
      <w:r w:rsidR="009C12CB">
        <w:rPr>
          <w:rFonts w:ascii="Century Gothic" w:hAnsi="Century Gothic"/>
          <w:sz w:val="14"/>
          <w:szCs w:val="14"/>
        </w:rPr>
        <w:t xml:space="preserve">informes de conciliación en gaceta </w:t>
      </w:r>
      <w:r w:rsidR="00A54C16">
        <w:rPr>
          <w:rFonts w:ascii="Century Gothic" w:hAnsi="Century Gothic"/>
          <w:sz w:val="14"/>
          <w:szCs w:val="14"/>
        </w:rPr>
        <w:t xml:space="preserve">311 y </w:t>
      </w:r>
      <w:proofErr w:type="gramStart"/>
      <w:r w:rsidR="00A54C16">
        <w:rPr>
          <w:rFonts w:ascii="Century Gothic" w:hAnsi="Century Gothic"/>
          <w:sz w:val="14"/>
          <w:szCs w:val="14"/>
        </w:rPr>
        <w:t>312  del</w:t>
      </w:r>
      <w:proofErr w:type="gramEnd"/>
      <w:r w:rsidR="00A54C16">
        <w:rPr>
          <w:rFonts w:ascii="Century Gothic" w:hAnsi="Century Gothic"/>
          <w:sz w:val="14"/>
          <w:szCs w:val="14"/>
        </w:rPr>
        <w:t xml:space="preserve"> 25 de mayo de 2011 </w:t>
      </w:r>
      <w:r>
        <w:rPr>
          <w:rFonts w:ascii="Century Gothic" w:hAnsi="Century Gothic"/>
          <w:sz w:val="14"/>
          <w:szCs w:val="14"/>
        </w:rPr>
        <w:t xml:space="preserve">Ver en línea: </w:t>
      </w:r>
      <w:r w:rsidRPr="00B61529">
        <w:rPr>
          <w:rFonts w:ascii="Century Gothic" w:hAnsi="Century Gothic"/>
          <w:sz w:val="14"/>
          <w:szCs w:val="14"/>
        </w:rPr>
        <w:t xml:space="preserve"> </w:t>
      </w:r>
      <w:hyperlink r:id="rId13" w:history="1">
        <w:r w:rsidRPr="00B61529">
          <w:rPr>
            <w:rStyle w:val="Hipervnculo"/>
            <w:rFonts w:ascii="Century Gothic" w:hAnsi="Century Gothic"/>
            <w:sz w:val="14"/>
            <w:szCs w:val="14"/>
          </w:rPr>
          <w:t>http://svrpubindc.imprenta.gov.co/senado/</w:t>
        </w:r>
      </w:hyperlink>
    </w:p>
  </w:footnote>
  <w:footnote w:id="32">
    <w:p w14:paraId="2C85460D" w14:textId="77777777" w:rsidR="001A527C" w:rsidRPr="00B61529" w:rsidRDefault="001A527C" w:rsidP="001A527C">
      <w:pPr>
        <w:pStyle w:val="Sinespaciado"/>
        <w:ind w:firstLine="708"/>
        <w:jc w:val="both"/>
        <w:rPr>
          <w:rFonts w:ascii="Century Gothic" w:hAnsi="Century Gothic" w:cs="Arial"/>
          <w:sz w:val="14"/>
          <w:szCs w:val="14"/>
          <w:lang w:val="es-ES"/>
        </w:rPr>
      </w:pPr>
      <w:r w:rsidRPr="00B61529">
        <w:rPr>
          <w:rStyle w:val="Refdenotaalpie"/>
          <w:rFonts w:ascii="Century Gothic" w:hAnsi="Century Gothic" w:cs="Arial"/>
          <w:sz w:val="14"/>
          <w:szCs w:val="14"/>
        </w:rPr>
        <w:footnoteRef/>
      </w:r>
      <w:r w:rsidRPr="00B61529">
        <w:rPr>
          <w:rFonts w:ascii="Century Gothic" w:hAnsi="Century Gothic" w:cs="Arial"/>
          <w:sz w:val="14"/>
          <w:szCs w:val="14"/>
        </w:rPr>
        <w:t xml:space="preserve"> </w:t>
      </w:r>
      <w:r w:rsidRPr="00B61529">
        <w:rPr>
          <w:rFonts w:ascii="Century Gothic" w:hAnsi="Century Gothic" w:cs="Arial"/>
          <w:sz w:val="14"/>
          <w:szCs w:val="14"/>
          <w:lang w:val="es-ES"/>
        </w:rPr>
        <w:t xml:space="preserve">La Guía para el manejo de anticipos mediante contrato de fiducia irrevocable puede ser consultada en: </w:t>
      </w:r>
      <w:hyperlink r:id="rId14" w:history="1">
        <w:r w:rsidRPr="00B61529">
          <w:rPr>
            <w:rStyle w:val="Hipervnculo"/>
            <w:rFonts w:ascii="Century Gothic" w:hAnsi="Century Gothic" w:cs="Arial"/>
            <w:sz w:val="14"/>
            <w:szCs w:val="14"/>
            <w:lang w:val="es-ES"/>
          </w:rPr>
          <w:t>https://www.colombiacompra.gov.co/sites/cce_public/files/cce_documents/cce_guia_manejo_anticipos.pdf</w:t>
        </w:r>
      </w:hyperlink>
      <w:r w:rsidRPr="00B61529">
        <w:rPr>
          <w:rFonts w:ascii="Century Gothic" w:hAnsi="Century Gothic" w:cs="Arial"/>
          <w:sz w:val="14"/>
          <w:szCs w:val="14"/>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65pt;height:11.6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AE016A"/>
    <w:multiLevelType w:val="multilevel"/>
    <w:tmpl w:val="96C69084"/>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45270">
    <w:abstractNumId w:val="6"/>
  </w:num>
  <w:num w:numId="2" w16cid:durableId="550846684">
    <w:abstractNumId w:val="2"/>
  </w:num>
  <w:num w:numId="3" w16cid:durableId="259030829">
    <w:abstractNumId w:val="4"/>
  </w:num>
  <w:num w:numId="4" w16cid:durableId="19749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4866804">
    <w:abstractNumId w:val="2"/>
  </w:num>
  <w:num w:numId="6" w16cid:durableId="1262447495">
    <w:abstractNumId w:val="13"/>
  </w:num>
  <w:num w:numId="7" w16cid:durableId="618341059">
    <w:abstractNumId w:val="5"/>
  </w:num>
  <w:num w:numId="8" w16cid:durableId="1087534669">
    <w:abstractNumId w:val="12"/>
  </w:num>
  <w:num w:numId="9" w16cid:durableId="915281328">
    <w:abstractNumId w:val="7"/>
  </w:num>
  <w:num w:numId="10" w16cid:durableId="1219130750">
    <w:abstractNumId w:val="11"/>
  </w:num>
  <w:num w:numId="11" w16cid:durableId="534852439">
    <w:abstractNumId w:val="8"/>
  </w:num>
  <w:num w:numId="12" w16cid:durableId="1261061527">
    <w:abstractNumId w:val="1"/>
  </w:num>
  <w:num w:numId="13" w16cid:durableId="1662613556">
    <w:abstractNumId w:val="3"/>
  </w:num>
  <w:num w:numId="14" w16cid:durableId="1373313151">
    <w:abstractNumId w:val="14"/>
  </w:num>
  <w:num w:numId="15" w16cid:durableId="1301769384">
    <w:abstractNumId w:val="10"/>
  </w:num>
  <w:num w:numId="16" w16cid:durableId="1284462770">
    <w:abstractNumId w:val="0"/>
  </w:num>
  <w:num w:numId="17" w16cid:durableId="1259827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EE6"/>
    <w:rsid w:val="00004E30"/>
    <w:rsid w:val="00005848"/>
    <w:rsid w:val="000113ED"/>
    <w:rsid w:val="00016A9F"/>
    <w:rsid w:val="00017B24"/>
    <w:rsid w:val="000203CA"/>
    <w:rsid w:val="00022415"/>
    <w:rsid w:val="00022EB4"/>
    <w:rsid w:val="00022F2A"/>
    <w:rsid w:val="00025438"/>
    <w:rsid w:val="00031122"/>
    <w:rsid w:val="00047083"/>
    <w:rsid w:val="00050AB5"/>
    <w:rsid w:val="00052440"/>
    <w:rsid w:val="00054DF5"/>
    <w:rsid w:val="00061B2A"/>
    <w:rsid w:val="00066C5F"/>
    <w:rsid w:val="00073914"/>
    <w:rsid w:val="00081395"/>
    <w:rsid w:val="00082362"/>
    <w:rsid w:val="0009668C"/>
    <w:rsid w:val="000A42C1"/>
    <w:rsid w:val="000A449C"/>
    <w:rsid w:val="000A683E"/>
    <w:rsid w:val="000B19B9"/>
    <w:rsid w:val="000C61CE"/>
    <w:rsid w:val="000C7CAB"/>
    <w:rsid w:val="000D0334"/>
    <w:rsid w:val="000E069E"/>
    <w:rsid w:val="000E0D00"/>
    <w:rsid w:val="000E0E35"/>
    <w:rsid w:val="000E6A4B"/>
    <w:rsid w:val="000F6486"/>
    <w:rsid w:val="001029A5"/>
    <w:rsid w:val="00104D87"/>
    <w:rsid w:val="0010659D"/>
    <w:rsid w:val="00115F8B"/>
    <w:rsid w:val="00121FBF"/>
    <w:rsid w:val="001226AF"/>
    <w:rsid w:val="00125105"/>
    <w:rsid w:val="00127233"/>
    <w:rsid w:val="00130E23"/>
    <w:rsid w:val="00133E76"/>
    <w:rsid w:val="00141BD0"/>
    <w:rsid w:val="00143CFA"/>
    <w:rsid w:val="00156F35"/>
    <w:rsid w:val="00173B6D"/>
    <w:rsid w:val="00173B9F"/>
    <w:rsid w:val="00175A4C"/>
    <w:rsid w:val="00176CD9"/>
    <w:rsid w:val="00177FA3"/>
    <w:rsid w:val="00180FFC"/>
    <w:rsid w:val="0018369F"/>
    <w:rsid w:val="00183791"/>
    <w:rsid w:val="0019634D"/>
    <w:rsid w:val="001A527C"/>
    <w:rsid w:val="001B243D"/>
    <w:rsid w:val="001C3302"/>
    <w:rsid w:val="001C6310"/>
    <w:rsid w:val="001D3F97"/>
    <w:rsid w:val="001E30C1"/>
    <w:rsid w:val="001E4177"/>
    <w:rsid w:val="001F1634"/>
    <w:rsid w:val="001F7DC6"/>
    <w:rsid w:val="0022031E"/>
    <w:rsid w:val="00221153"/>
    <w:rsid w:val="00230FAA"/>
    <w:rsid w:val="002421BB"/>
    <w:rsid w:val="002515D2"/>
    <w:rsid w:val="00257F73"/>
    <w:rsid w:val="00261325"/>
    <w:rsid w:val="00264C13"/>
    <w:rsid w:val="002707A2"/>
    <w:rsid w:val="002739CB"/>
    <w:rsid w:val="00276103"/>
    <w:rsid w:val="002767CC"/>
    <w:rsid w:val="002823F2"/>
    <w:rsid w:val="00282B91"/>
    <w:rsid w:val="002951A0"/>
    <w:rsid w:val="002962BC"/>
    <w:rsid w:val="002A093D"/>
    <w:rsid w:val="002A0DD0"/>
    <w:rsid w:val="002A49AC"/>
    <w:rsid w:val="002A4B07"/>
    <w:rsid w:val="002A64FD"/>
    <w:rsid w:val="002A79B1"/>
    <w:rsid w:val="002B23D5"/>
    <w:rsid w:val="002B68DD"/>
    <w:rsid w:val="002C29FC"/>
    <w:rsid w:val="002C7436"/>
    <w:rsid w:val="002C7A84"/>
    <w:rsid w:val="002D6FA5"/>
    <w:rsid w:val="002E09DF"/>
    <w:rsid w:val="002E4FD9"/>
    <w:rsid w:val="00303CCE"/>
    <w:rsid w:val="003063AE"/>
    <w:rsid w:val="00313BD0"/>
    <w:rsid w:val="00315372"/>
    <w:rsid w:val="003159A1"/>
    <w:rsid w:val="00322A85"/>
    <w:rsid w:val="003448F4"/>
    <w:rsid w:val="003533ED"/>
    <w:rsid w:val="003548EA"/>
    <w:rsid w:val="00354FD8"/>
    <w:rsid w:val="00361F77"/>
    <w:rsid w:val="00362C07"/>
    <w:rsid w:val="00365563"/>
    <w:rsid w:val="00366D1B"/>
    <w:rsid w:val="003718A2"/>
    <w:rsid w:val="003746E0"/>
    <w:rsid w:val="00374F5E"/>
    <w:rsid w:val="00377E3E"/>
    <w:rsid w:val="003A779E"/>
    <w:rsid w:val="003B6EE8"/>
    <w:rsid w:val="003C61C0"/>
    <w:rsid w:val="003D0F4D"/>
    <w:rsid w:val="003D32B6"/>
    <w:rsid w:val="003D5B0D"/>
    <w:rsid w:val="003E0499"/>
    <w:rsid w:val="003E1F8D"/>
    <w:rsid w:val="003F3941"/>
    <w:rsid w:val="003F6460"/>
    <w:rsid w:val="004040F8"/>
    <w:rsid w:val="00406575"/>
    <w:rsid w:val="00406E87"/>
    <w:rsid w:val="0042722E"/>
    <w:rsid w:val="0043256C"/>
    <w:rsid w:val="004336B1"/>
    <w:rsid w:val="0043504F"/>
    <w:rsid w:val="00435871"/>
    <w:rsid w:val="00442282"/>
    <w:rsid w:val="00444885"/>
    <w:rsid w:val="00444B14"/>
    <w:rsid w:val="004545D8"/>
    <w:rsid w:val="00455187"/>
    <w:rsid w:val="004622CC"/>
    <w:rsid w:val="004700BB"/>
    <w:rsid w:val="00476B38"/>
    <w:rsid w:val="004817C5"/>
    <w:rsid w:val="00486489"/>
    <w:rsid w:val="0048658B"/>
    <w:rsid w:val="004A1847"/>
    <w:rsid w:val="004A1F28"/>
    <w:rsid w:val="004A2A93"/>
    <w:rsid w:val="004A305D"/>
    <w:rsid w:val="004A7D3D"/>
    <w:rsid w:val="004B12B5"/>
    <w:rsid w:val="004B1C35"/>
    <w:rsid w:val="004B2378"/>
    <w:rsid w:val="004B4C5E"/>
    <w:rsid w:val="004B7749"/>
    <w:rsid w:val="004C6AAD"/>
    <w:rsid w:val="004E4408"/>
    <w:rsid w:val="004E4647"/>
    <w:rsid w:val="004F21C4"/>
    <w:rsid w:val="004F315B"/>
    <w:rsid w:val="004F685F"/>
    <w:rsid w:val="0051423B"/>
    <w:rsid w:val="0053033E"/>
    <w:rsid w:val="00531C2A"/>
    <w:rsid w:val="00532329"/>
    <w:rsid w:val="005336B2"/>
    <w:rsid w:val="00534613"/>
    <w:rsid w:val="0054406C"/>
    <w:rsid w:val="005459CF"/>
    <w:rsid w:val="00550AAA"/>
    <w:rsid w:val="005566E8"/>
    <w:rsid w:val="005627F0"/>
    <w:rsid w:val="00572AEC"/>
    <w:rsid w:val="00574867"/>
    <w:rsid w:val="00591460"/>
    <w:rsid w:val="005A0DC1"/>
    <w:rsid w:val="005A111C"/>
    <w:rsid w:val="005A1892"/>
    <w:rsid w:val="005A2340"/>
    <w:rsid w:val="005B1C27"/>
    <w:rsid w:val="005B46A9"/>
    <w:rsid w:val="005B7BCD"/>
    <w:rsid w:val="005C3777"/>
    <w:rsid w:val="005C3BD5"/>
    <w:rsid w:val="005C5CDC"/>
    <w:rsid w:val="005D476C"/>
    <w:rsid w:val="005D6565"/>
    <w:rsid w:val="005D6D41"/>
    <w:rsid w:val="005D7E43"/>
    <w:rsid w:val="005E2251"/>
    <w:rsid w:val="00612DD5"/>
    <w:rsid w:val="00615CE5"/>
    <w:rsid w:val="006219F8"/>
    <w:rsid w:val="00622366"/>
    <w:rsid w:val="00637314"/>
    <w:rsid w:val="0064024D"/>
    <w:rsid w:val="00651B14"/>
    <w:rsid w:val="00654B18"/>
    <w:rsid w:val="0066471C"/>
    <w:rsid w:val="00665D70"/>
    <w:rsid w:val="0066767F"/>
    <w:rsid w:val="00672EFA"/>
    <w:rsid w:val="006759EA"/>
    <w:rsid w:val="00676B8C"/>
    <w:rsid w:val="006833AA"/>
    <w:rsid w:val="006900D9"/>
    <w:rsid w:val="006A1382"/>
    <w:rsid w:val="006A20F9"/>
    <w:rsid w:val="006A5230"/>
    <w:rsid w:val="006A5965"/>
    <w:rsid w:val="006A708A"/>
    <w:rsid w:val="006B714B"/>
    <w:rsid w:val="006C092A"/>
    <w:rsid w:val="006C78B5"/>
    <w:rsid w:val="006D54BF"/>
    <w:rsid w:val="006E19B6"/>
    <w:rsid w:val="006F0612"/>
    <w:rsid w:val="006F303A"/>
    <w:rsid w:val="00706C16"/>
    <w:rsid w:val="00706CE1"/>
    <w:rsid w:val="00714906"/>
    <w:rsid w:val="007202FA"/>
    <w:rsid w:val="00721FB6"/>
    <w:rsid w:val="00740F7D"/>
    <w:rsid w:val="00742AB3"/>
    <w:rsid w:val="00756841"/>
    <w:rsid w:val="00764989"/>
    <w:rsid w:val="007649AB"/>
    <w:rsid w:val="00771D0C"/>
    <w:rsid w:val="0078176C"/>
    <w:rsid w:val="007833AC"/>
    <w:rsid w:val="007845D3"/>
    <w:rsid w:val="007855ED"/>
    <w:rsid w:val="00790ABA"/>
    <w:rsid w:val="007A005B"/>
    <w:rsid w:val="007A18EA"/>
    <w:rsid w:val="007A7329"/>
    <w:rsid w:val="007B268C"/>
    <w:rsid w:val="007B2DAA"/>
    <w:rsid w:val="007B6B46"/>
    <w:rsid w:val="007B7171"/>
    <w:rsid w:val="007C3DC2"/>
    <w:rsid w:val="007D2DC6"/>
    <w:rsid w:val="007D3055"/>
    <w:rsid w:val="007D41D8"/>
    <w:rsid w:val="007D623A"/>
    <w:rsid w:val="007E5497"/>
    <w:rsid w:val="007E7F7A"/>
    <w:rsid w:val="007F3C86"/>
    <w:rsid w:val="008062F8"/>
    <w:rsid w:val="008064A4"/>
    <w:rsid w:val="00806F5F"/>
    <w:rsid w:val="00812DF5"/>
    <w:rsid w:val="0082001B"/>
    <w:rsid w:val="00820278"/>
    <w:rsid w:val="00820C44"/>
    <w:rsid w:val="0082147F"/>
    <w:rsid w:val="008322E8"/>
    <w:rsid w:val="00835864"/>
    <w:rsid w:val="00840E27"/>
    <w:rsid w:val="008448EA"/>
    <w:rsid w:val="00845C8D"/>
    <w:rsid w:val="00865BCD"/>
    <w:rsid w:val="00874B8C"/>
    <w:rsid w:val="00877A1C"/>
    <w:rsid w:val="00883D90"/>
    <w:rsid w:val="008843B6"/>
    <w:rsid w:val="00891928"/>
    <w:rsid w:val="00892BE4"/>
    <w:rsid w:val="00894219"/>
    <w:rsid w:val="008A0107"/>
    <w:rsid w:val="008A446D"/>
    <w:rsid w:val="008A6C7D"/>
    <w:rsid w:val="008D17EE"/>
    <w:rsid w:val="008D180B"/>
    <w:rsid w:val="008D39F5"/>
    <w:rsid w:val="008D62D1"/>
    <w:rsid w:val="008E195C"/>
    <w:rsid w:val="008E43ED"/>
    <w:rsid w:val="008E7E0B"/>
    <w:rsid w:val="008F0EA7"/>
    <w:rsid w:val="009062B0"/>
    <w:rsid w:val="00906C92"/>
    <w:rsid w:val="0091500A"/>
    <w:rsid w:val="0092036A"/>
    <w:rsid w:val="009217EA"/>
    <w:rsid w:val="00922C6C"/>
    <w:rsid w:val="00923EEF"/>
    <w:rsid w:val="009338D3"/>
    <w:rsid w:val="009419F9"/>
    <w:rsid w:val="00942D64"/>
    <w:rsid w:val="00944E97"/>
    <w:rsid w:val="00947120"/>
    <w:rsid w:val="00952A23"/>
    <w:rsid w:val="00956A54"/>
    <w:rsid w:val="00961B09"/>
    <w:rsid w:val="00965334"/>
    <w:rsid w:val="00965624"/>
    <w:rsid w:val="0097093E"/>
    <w:rsid w:val="0097209D"/>
    <w:rsid w:val="00972AAD"/>
    <w:rsid w:val="00985E76"/>
    <w:rsid w:val="00986526"/>
    <w:rsid w:val="009A31E8"/>
    <w:rsid w:val="009A57BE"/>
    <w:rsid w:val="009A6976"/>
    <w:rsid w:val="009A7D3B"/>
    <w:rsid w:val="009B5E5D"/>
    <w:rsid w:val="009C12CB"/>
    <w:rsid w:val="009C71FA"/>
    <w:rsid w:val="009C72E7"/>
    <w:rsid w:val="009D307C"/>
    <w:rsid w:val="009D51C4"/>
    <w:rsid w:val="009E17B2"/>
    <w:rsid w:val="009E1F5B"/>
    <w:rsid w:val="009E2E4F"/>
    <w:rsid w:val="009E5C58"/>
    <w:rsid w:val="009E7FFB"/>
    <w:rsid w:val="009F3A13"/>
    <w:rsid w:val="009F489A"/>
    <w:rsid w:val="009F7098"/>
    <w:rsid w:val="00A122D3"/>
    <w:rsid w:val="00A17F13"/>
    <w:rsid w:val="00A20739"/>
    <w:rsid w:val="00A2337C"/>
    <w:rsid w:val="00A24C0C"/>
    <w:rsid w:val="00A304B5"/>
    <w:rsid w:val="00A33538"/>
    <w:rsid w:val="00A33C78"/>
    <w:rsid w:val="00A3462C"/>
    <w:rsid w:val="00A37FEC"/>
    <w:rsid w:val="00A45EFA"/>
    <w:rsid w:val="00A54650"/>
    <w:rsid w:val="00A54C16"/>
    <w:rsid w:val="00A61275"/>
    <w:rsid w:val="00A83A13"/>
    <w:rsid w:val="00A842AA"/>
    <w:rsid w:val="00AA281E"/>
    <w:rsid w:val="00AB02C6"/>
    <w:rsid w:val="00AB0ADB"/>
    <w:rsid w:val="00AB4F60"/>
    <w:rsid w:val="00AC403F"/>
    <w:rsid w:val="00AC6D21"/>
    <w:rsid w:val="00AD6624"/>
    <w:rsid w:val="00AE2B86"/>
    <w:rsid w:val="00AF4481"/>
    <w:rsid w:val="00AF68F6"/>
    <w:rsid w:val="00AF6F66"/>
    <w:rsid w:val="00B00009"/>
    <w:rsid w:val="00B059EB"/>
    <w:rsid w:val="00B102D3"/>
    <w:rsid w:val="00B16137"/>
    <w:rsid w:val="00B25008"/>
    <w:rsid w:val="00B318CD"/>
    <w:rsid w:val="00B3217D"/>
    <w:rsid w:val="00B43993"/>
    <w:rsid w:val="00B47F2D"/>
    <w:rsid w:val="00B61529"/>
    <w:rsid w:val="00B72CD3"/>
    <w:rsid w:val="00B72FFF"/>
    <w:rsid w:val="00B74342"/>
    <w:rsid w:val="00B75515"/>
    <w:rsid w:val="00B76A1E"/>
    <w:rsid w:val="00B86ECE"/>
    <w:rsid w:val="00B9292C"/>
    <w:rsid w:val="00B97B96"/>
    <w:rsid w:val="00BB10FB"/>
    <w:rsid w:val="00BB40A5"/>
    <w:rsid w:val="00BB5612"/>
    <w:rsid w:val="00BC058C"/>
    <w:rsid w:val="00BC3D36"/>
    <w:rsid w:val="00BC51DC"/>
    <w:rsid w:val="00BC7394"/>
    <w:rsid w:val="00BD42A7"/>
    <w:rsid w:val="00BD7F72"/>
    <w:rsid w:val="00BF271C"/>
    <w:rsid w:val="00BF5C06"/>
    <w:rsid w:val="00C04FB3"/>
    <w:rsid w:val="00C052C4"/>
    <w:rsid w:val="00C13C74"/>
    <w:rsid w:val="00C14BBA"/>
    <w:rsid w:val="00C23970"/>
    <w:rsid w:val="00C257C3"/>
    <w:rsid w:val="00C27991"/>
    <w:rsid w:val="00C27CBB"/>
    <w:rsid w:val="00C32B76"/>
    <w:rsid w:val="00C330EB"/>
    <w:rsid w:val="00C4140F"/>
    <w:rsid w:val="00C51346"/>
    <w:rsid w:val="00C57FA5"/>
    <w:rsid w:val="00C6289C"/>
    <w:rsid w:val="00C633A0"/>
    <w:rsid w:val="00C722B1"/>
    <w:rsid w:val="00C754BE"/>
    <w:rsid w:val="00C76B1C"/>
    <w:rsid w:val="00C94FA6"/>
    <w:rsid w:val="00CB2068"/>
    <w:rsid w:val="00CB6357"/>
    <w:rsid w:val="00CB6C2B"/>
    <w:rsid w:val="00CC1B26"/>
    <w:rsid w:val="00CC3091"/>
    <w:rsid w:val="00CC6BA8"/>
    <w:rsid w:val="00CD2107"/>
    <w:rsid w:val="00CD77E7"/>
    <w:rsid w:val="00CE292A"/>
    <w:rsid w:val="00CF044D"/>
    <w:rsid w:val="00D00AE7"/>
    <w:rsid w:val="00D3099B"/>
    <w:rsid w:val="00D3141C"/>
    <w:rsid w:val="00D31674"/>
    <w:rsid w:val="00D35CFE"/>
    <w:rsid w:val="00D36793"/>
    <w:rsid w:val="00D423A2"/>
    <w:rsid w:val="00D43FC7"/>
    <w:rsid w:val="00D45AB4"/>
    <w:rsid w:val="00D51AE4"/>
    <w:rsid w:val="00D63AC2"/>
    <w:rsid w:val="00D72642"/>
    <w:rsid w:val="00D7383B"/>
    <w:rsid w:val="00D810CC"/>
    <w:rsid w:val="00D81E76"/>
    <w:rsid w:val="00DA231B"/>
    <w:rsid w:val="00DB195B"/>
    <w:rsid w:val="00DD5333"/>
    <w:rsid w:val="00DF5254"/>
    <w:rsid w:val="00DF6F36"/>
    <w:rsid w:val="00E03F51"/>
    <w:rsid w:val="00E14935"/>
    <w:rsid w:val="00E15DA3"/>
    <w:rsid w:val="00E15E29"/>
    <w:rsid w:val="00E16408"/>
    <w:rsid w:val="00E20243"/>
    <w:rsid w:val="00E20894"/>
    <w:rsid w:val="00E21A26"/>
    <w:rsid w:val="00E245AB"/>
    <w:rsid w:val="00E2764C"/>
    <w:rsid w:val="00E27F2E"/>
    <w:rsid w:val="00E347F7"/>
    <w:rsid w:val="00E41D9F"/>
    <w:rsid w:val="00E50AFE"/>
    <w:rsid w:val="00E53758"/>
    <w:rsid w:val="00E627DB"/>
    <w:rsid w:val="00E700BA"/>
    <w:rsid w:val="00E770AF"/>
    <w:rsid w:val="00E771DC"/>
    <w:rsid w:val="00E81F6F"/>
    <w:rsid w:val="00E86060"/>
    <w:rsid w:val="00E8772A"/>
    <w:rsid w:val="00E90F6B"/>
    <w:rsid w:val="00E92C27"/>
    <w:rsid w:val="00E93140"/>
    <w:rsid w:val="00E94B18"/>
    <w:rsid w:val="00E97D30"/>
    <w:rsid w:val="00EA0AC6"/>
    <w:rsid w:val="00EA0E3D"/>
    <w:rsid w:val="00EA402B"/>
    <w:rsid w:val="00EA6016"/>
    <w:rsid w:val="00EB4E42"/>
    <w:rsid w:val="00EB728F"/>
    <w:rsid w:val="00EC3FE5"/>
    <w:rsid w:val="00EE1AA8"/>
    <w:rsid w:val="00EE3A37"/>
    <w:rsid w:val="00EF3562"/>
    <w:rsid w:val="00F0388B"/>
    <w:rsid w:val="00F07B1B"/>
    <w:rsid w:val="00F13FFA"/>
    <w:rsid w:val="00F1719B"/>
    <w:rsid w:val="00F237F9"/>
    <w:rsid w:val="00F254DF"/>
    <w:rsid w:val="00F31EDC"/>
    <w:rsid w:val="00F462B3"/>
    <w:rsid w:val="00F47698"/>
    <w:rsid w:val="00F5664F"/>
    <w:rsid w:val="00F622D6"/>
    <w:rsid w:val="00F666C4"/>
    <w:rsid w:val="00F75F11"/>
    <w:rsid w:val="00F76AFC"/>
    <w:rsid w:val="00F92585"/>
    <w:rsid w:val="00FA3C00"/>
    <w:rsid w:val="00FA3CAE"/>
    <w:rsid w:val="00FB5DD1"/>
    <w:rsid w:val="00FB6E95"/>
    <w:rsid w:val="00FC2B5D"/>
    <w:rsid w:val="00FD1787"/>
    <w:rsid w:val="00FD6FB8"/>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B76A1E"/>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9"/>
    <w:rsid w:val="00B76A1E"/>
    <w:rPr>
      <w:rFonts w:ascii="Arial" w:eastAsia="Arial" w:hAnsi="Arial" w:cs="Arial"/>
      <w:b/>
      <w:bCs/>
      <w:lang w:val="es-ES"/>
    </w:rPr>
  </w:style>
  <w:style w:type="paragraph" w:customStyle="1" w:styleId="Appelnotedebasde">
    <w:name w:val="Appel note de bas de..."/>
    <w:basedOn w:val="Normal"/>
    <w:link w:val="Refdenotaalpie"/>
    <w:uiPriority w:val="99"/>
    <w:rsid w:val="00B76A1E"/>
    <w:pPr>
      <w:spacing w:line="240" w:lineRule="exact"/>
      <w:jc w:val="both"/>
    </w:pPr>
    <w:rPr>
      <w:vertAlign w:val="superscript"/>
    </w:rPr>
  </w:style>
  <w:style w:type="paragraph" w:styleId="Textoindependiente">
    <w:name w:val="Body Text"/>
    <w:basedOn w:val="Normal"/>
    <w:link w:val="TextoindependienteCar"/>
    <w:uiPriority w:val="99"/>
    <w:unhideWhenUsed/>
    <w:rsid w:val="00B76A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B76A1E"/>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76A1E"/>
    <w:rPr>
      <w:rFonts w:ascii="Times New Roman" w:eastAsia="Times New Roman" w:hAnsi="Times New Roman" w:cs="Times New Roman"/>
      <w:sz w:val="24"/>
      <w:szCs w:val="24"/>
      <w:lang w:eastAsia="es-CO"/>
    </w:rPr>
  </w:style>
  <w:style w:type="paragraph" w:styleId="Sinespaciado">
    <w:name w:val="No Spacing"/>
    <w:aliases w:val="No Indent"/>
    <w:link w:val="SinespaciadoCar"/>
    <w:uiPriority w:val="1"/>
    <w:qFormat/>
    <w:rsid w:val="00B76A1E"/>
    <w:pPr>
      <w:spacing w:after="0" w:line="240" w:lineRule="auto"/>
    </w:pPr>
    <w:rPr>
      <w:sz w:val="24"/>
      <w:lang w:val="es-MX"/>
    </w:rPr>
  </w:style>
  <w:style w:type="character" w:customStyle="1" w:styleId="SinespaciadoCar">
    <w:name w:val="Sin espaciado Car"/>
    <w:aliases w:val="No Indent Car"/>
    <w:link w:val="Sinespaciado"/>
    <w:uiPriority w:val="1"/>
    <w:rsid w:val="00B76A1E"/>
    <w:rPr>
      <w:sz w:val="24"/>
      <w:lang w:val="es-MX"/>
    </w:rPr>
  </w:style>
  <w:style w:type="character" w:customStyle="1" w:styleId="baj">
    <w:name w:val="b_aj"/>
    <w:basedOn w:val="Fuentedeprrafopredeter"/>
    <w:rsid w:val="00B76A1E"/>
  </w:style>
  <w:style w:type="character" w:customStyle="1" w:styleId="Hipervnculo1">
    <w:name w:val="Hipervínculo1"/>
    <w:basedOn w:val="Fuentedeprrafopredeter"/>
    <w:uiPriority w:val="99"/>
    <w:unhideWhenUsed/>
    <w:rsid w:val="00820C44"/>
    <w:rPr>
      <w:color w:val="F2F2F2"/>
      <w:u w:val="single"/>
    </w:rPr>
  </w:style>
  <w:style w:type="paragraph" w:styleId="z-Principiodelformulario">
    <w:name w:val="HTML Top of Form"/>
    <w:basedOn w:val="Normal"/>
    <w:next w:val="Normal"/>
    <w:link w:val="z-PrincipiodelformularioCar"/>
    <w:hidden/>
    <w:uiPriority w:val="99"/>
    <w:semiHidden/>
    <w:unhideWhenUsed/>
    <w:rsid w:val="00B00009"/>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B00009"/>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B00009"/>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B00009"/>
    <w:rPr>
      <w:rFonts w:ascii="Arial" w:eastAsia="Times New Roman" w:hAnsi="Arial" w:cs="Arial"/>
      <w:vanish/>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436">
      <w:bodyDiv w:val="1"/>
      <w:marLeft w:val="0"/>
      <w:marRight w:val="0"/>
      <w:marTop w:val="0"/>
      <w:marBottom w:val="0"/>
      <w:divBdr>
        <w:top w:val="none" w:sz="0" w:space="0" w:color="auto"/>
        <w:left w:val="none" w:sz="0" w:space="0" w:color="auto"/>
        <w:bottom w:val="none" w:sz="0" w:space="0" w:color="auto"/>
        <w:right w:val="none" w:sz="0" w:space="0" w:color="auto"/>
      </w:divBdr>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963121973">
          <w:marLeft w:val="0"/>
          <w:marRight w:val="0"/>
          <w:marTop w:val="0"/>
          <w:marBottom w:val="0"/>
          <w:divBdr>
            <w:top w:val="none" w:sz="0" w:space="0" w:color="auto"/>
            <w:left w:val="none" w:sz="0" w:space="0" w:color="auto"/>
            <w:bottom w:val="none" w:sz="0" w:space="0" w:color="auto"/>
            <w:right w:val="none" w:sz="0" w:space="0" w:color="auto"/>
          </w:divBdr>
        </w:div>
        <w:div w:id="1821192706">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682128209">
      <w:bodyDiv w:val="1"/>
      <w:marLeft w:val="0"/>
      <w:marRight w:val="0"/>
      <w:marTop w:val="0"/>
      <w:marBottom w:val="0"/>
      <w:divBdr>
        <w:top w:val="none" w:sz="0" w:space="0" w:color="auto"/>
        <w:left w:val="none" w:sz="0" w:space="0" w:color="auto"/>
        <w:bottom w:val="none" w:sz="0" w:space="0" w:color="auto"/>
        <w:right w:val="none" w:sz="0" w:space="0" w:color="auto"/>
      </w:divBdr>
    </w:div>
    <w:div w:id="1911770359">
      <w:bodyDiv w:val="1"/>
      <w:marLeft w:val="0"/>
      <w:marRight w:val="0"/>
      <w:marTop w:val="0"/>
      <w:marBottom w:val="0"/>
      <w:divBdr>
        <w:top w:val="none" w:sz="0" w:space="0" w:color="auto"/>
        <w:left w:val="none" w:sz="0" w:space="0" w:color="auto"/>
        <w:bottom w:val="none" w:sz="0" w:space="0" w:color="auto"/>
        <w:right w:val="none" w:sz="0" w:space="0" w:color="auto"/>
      </w:divBdr>
      <w:divsChild>
        <w:div w:id="1473861491">
          <w:marLeft w:val="0"/>
          <w:marRight w:val="0"/>
          <w:marTop w:val="0"/>
          <w:marBottom w:val="0"/>
          <w:divBdr>
            <w:top w:val="none" w:sz="0" w:space="0" w:color="auto"/>
            <w:left w:val="none" w:sz="0" w:space="0" w:color="auto"/>
            <w:bottom w:val="none" w:sz="0" w:space="0" w:color="auto"/>
            <w:right w:val="none" w:sz="0" w:space="0" w:color="auto"/>
          </w:divBdr>
          <w:divsChild>
            <w:div w:id="42559704">
              <w:marLeft w:val="0"/>
              <w:marRight w:val="0"/>
              <w:marTop w:val="0"/>
              <w:marBottom w:val="0"/>
              <w:divBdr>
                <w:top w:val="none" w:sz="0" w:space="0" w:color="auto"/>
                <w:left w:val="none" w:sz="0" w:space="0" w:color="auto"/>
                <w:bottom w:val="none" w:sz="0" w:space="0" w:color="auto"/>
                <w:right w:val="none" w:sz="0" w:space="0" w:color="auto"/>
              </w:divBdr>
              <w:divsChild>
                <w:div w:id="149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colombiacompra.gov.co/sites/cce_public/files/cce_documents/20151115_contrato_de_fiducia_para_el_manejo_de_anticipos_v2_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080_1993.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 TargetMode="External"/><Relationship Id="rId13" Type="http://schemas.openxmlformats.org/officeDocument/2006/relationships/hyperlink" Target="http://svrpubindc.imprenta.gov.co/senado/" TargetMode="External"/><Relationship Id="rId3" Type="http://schemas.openxmlformats.org/officeDocument/2006/relationships/hyperlink" Target="https://www.colombiacompra.gov.co/sites/cce_public/files/cce_documents/cce_guia_manejo_anticipos.pdf" TargetMode="External"/><Relationship Id="rId7" Type="http://schemas.openxmlformats.org/officeDocument/2006/relationships/hyperlink" Target="http://svrpubindc.imprenta.gov.co/senado/" TargetMode="External"/><Relationship Id="rId12" Type="http://schemas.openxmlformats.org/officeDocument/2006/relationships/hyperlink" Target="http://svrpubindc.imprenta.gov.co/senado/" TargetMode="External"/><Relationship Id="rId2" Type="http://schemas.openxmlformats.org/officeDocument/2006/relationships/hyperlink" Target="http://svrpubindc.imprenta.gov.co/senado/index.xhtml;jsessionid=b3ba7213a248bacd37376ffcedca"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vrpubindc.imprenta.gov.co/senado/" TargetMode="External"/><Relationship Id="rId11" Type="http://schemas.openxmlformats.org/officeDocument/2006/relationships/hyperlink" Target="http://svrpubindc.imprenta.gov.co/senado/" TargetMode="External"/><Relationship Id="rId5" Type="http://schemas.openxmlformats.org/officeDocument/2006/relationships/hyperlink" Target="https://www.superfinanciera.gov.co/inicio/normativa/normativa-general/circular-basica-juridica-ce----10083443" TargetMode="External"/><Relationship Id="rId10" Type="http://schemas.openxmlformats.org/officeDocument/2006/relationships/hyperlink" Target="http://svrpubindc.imprenta.gov.co/senado/" TargetMode="External"/><Relationship Id="rId4" Type="http://schemas.openxmlformats.org/officeDocument/2006/relationships/hyperlink" Target="https://www.superfinanciera.gov.co/inicio/normativa/normativa-general/circular-basica-juridica-ce----10083443" TargetMode="External"/><Relationship Id="rId9" Type="http://schemas.openxmlformats.org/officeDocument/2006/relationships/hyperlink" Target="http://svrpubindc.imprenta.gov.co/senado/" TargetMode="External"/><Relationship Id="rId14" Type="http://schemas.openxmlformats.org/officeDocument/2006/relationships/hyperlink" Target="https://www.colombiacompra.gov.co/sites/cce_public/files/cce_documents/cce_guia_manejo_anticipo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Any Alejandra Tovar Castillo</DisplayName>
        <AccountId>539</AccountId>
        <AccountType/>
      </UserInfo>
    </SharedWithUsers>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91BDE-E329-40BA-8CB0-F2C14A58875C}"/>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3192bf5-533c-4092-b85d-ca07e08abf8d"/>
    <ds:schemaRef ds:uri="8ae15d26-076e-464e-81a7-6f76a0fb3917"/>
  </ds:schemaRefs>
</ds:datastoreItem>
</file>

<file path=customXml/itemProps3.xml><?xml version="1.0" encoding="utf-8"?>
<ds:datastoreItem xmlns:ds="http://schemas.openxmlformats.org/officeDocument/2006/customXml" ds:itemID="{3C864F77-79AD-41C7-A63A-56E7DEB9C10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9016</Words>
  <Characters>49592</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3</cp:revision>
  <cp:lastPrinted>2023-01-10T21:18:00Z</cp:lastPrinted>
  <dcterms:created xsi:type="dcterms:W3CDTF">2023-11-16T06:25:00Z</dcterms:created>
  <dcterms:modified xsi:type="dcterms:W3CDTF">2023-11-30T05:58:00Z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