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9580" w14:textId="77777777" w:rsidR="003474A3" w:rsidRPr="003474A3" w:rsidRDefault="003474A3" w:rsidP="00E245AB">
      <w:pPr>
        <w:spacing w:after="0"/>
        <w:rPr>
          <w:rFonts w:ascii="Century Gothic" w:hAnsi="Century Gothic"/>
        </w:rPr>
      </w:pPr>
      <w:bookmarkStart w:id="0" w:name="_Hlk143780582"/>
    </w:p>
    <w:p w14:paraId="0A70D6DE" w14:textId="77777777" w:rsidR="003474A3" w:rsidRPr="003474A3" w:rsidRDefault="003474A3" w:rsidP="003474A3">
      <w:pPr>
        <w:spacing w:after="0" w:line="240" w:lineRule="auto"/>
        <w:jc w:val="both"/>
        <w:rPr>
          <w:rFonts w:ascii="Century Gothic" w:eastAsia="Calibri" w:hAnsi="Century Gothic" w:cs="Arial"/>
          <w:b/>
          <w:lang w:val="es-ES_tradnl"/>
        </w:rPr>
      </w:pPr>
      <w:r w:rsidRPr="003474A3">
        <w:rPr>
          <w:rFonts w:ascii="Century Gothic" w:eastAsia="Calibri" w:hAnsi="Century Gothic" w:cs="Arial"/>
          <w:b/>
          <w:lang w:val="es-ES_tradnl" w:eastAsia="es-ES_tradnl"/>
        </w:rPr>
        <w:t xml:space="preserve">DOCUMENTOS TIPO – Fundamento normativo – </w:t>
      </w:r>
      <w:r w:rsidRPr="003474A3">
        <w:rPr>
          <w:rFonts w:ascii="Century Gothic" w:eastAsia="Calibri" w:hAnsi="Century Gothic" w:cs="Arial"/>
          <w:b/>
          <w:lang w:val="es-ES_tradnl"/>
        </w:rPr>
        <w:t xml:space="preserve">Ley 1882 de 2018 </w:t>
      </w:r>
    </w:p>
    <w:p w14:paraId="25EFAD96" w14:textId="77777777" w:rsidR="003474A3" w:rsidRPr="003474A3" w:rsidRDefault="003474A3" w:rsidP="003474A3">
      <w:pPr>
        <w:spacing w:after="0" w:line="240" w:lineRule="auto"/>
        <w:jc w:val="both"/>
        <w:rPr>
          <w:rFonts w:ascii="Century Gothic" w:eastAsia="Times New Roman" w:hAnsi="Century Gothic" w:cs="Arial"/>
          <w:sz w:val="20"/>
          <w:szCs w:val="20"/>
          <w:lang w:val="es-ES_tradnl" w:eastAsia="es-ES_tradnl"/>
        </w:rPr>
      </w:pPr>
    </w:p>
    <w:p w14:paraId="76E30A09" w14:textId="77777777" w:rsidR="003474A3" w:rsidRPr="003474A3" w:rsidRDefault="003474A3" w:rsidP="003474A3">
      <w:pPr>
        <w:spacing w:after="0" w:line="240" w:lineRule="auto"/>
        <w:jc w:val="both"/>
        <w:rPr>
          <w:rFonts w:ascii="Century Gothic" w:eastAsia="Calibri" w:hAnsi="Century Gothic" w:cs="Arial"/>
          <w:sz w:val="20"/>
          <w:szCs w:val="20"/>
          <w:bdr w:val="none" w:sz="0" w:space="0" w:color="auto" w:frame="1"/>
        </w:rPr>
      </w:pPr>
      <w:r w:rsidRPr="003474A3">
        <w:rPr>
          <w:rFonts w:ascii="Century Gothic" w:eastAsia="Calibri" w:hAnsi="Century Gothic" w:cs="Arial"/>
          <w:color w:val="000000"/>
          <w:sz w:val="20"/>
          <w:szCs w:val="2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7F050476" w14:textId="77777777" w:rsidR="003474A3" w:rsidRPr="003474A3" w:rsidRDefault="003474A3" w:rsidP="003474A3">
      <w:pPr>
        <w:tabs>
          <w:tab w:val="left" w:pos="0"/>
        </w:tabs>
        <w:spacing w:after="0" w:line="276" w:lineRule="auto"/>
        <w:jc w:val="both"/>
        <w:rPr>
          <w:rFonts w:ascii="Century Gothic" w:eastAsia="Calibri" w:hAnsi="Century Gothic" w:cs="Arial"/>
          <w:b/>
          <w:bCs/>
          <w:lang w:val="es-ES" w:eastAsia="es-MX"/>
        </w:rPr>
      </w:pPr>
    </w:p>
    <w:p w14:paraId="7E89132E" w14:textId="77777777" w:rsidR="003474A3" w:rsidRPr="003474A3" w:rsidRDefault="003474A3" w:rsidP="003474A3">
      <w:pPr>
        <w:tabs>
          <w:tab w:val="left" w:pos="0"/>
        </w:tabs>
        <w:spacing w:after="0" w:line="276" w:lineRule="auto"/>
        <w:jc w:val="both"/>
        <w:rPr>
          <w:rFonts w:ascii="Century Gothic" w:eastAsia="Calibri" w:hAnsi="Century Gothic" w:cs="Arial"/>
          <w:b/>
          <w:bCs/>
          <w:lang w:val="es-ES" w:eastAsia="es-MX"/>
        </w:rPr>
      </w:pPr>
      <w:r w:rsidRPr="003474A3">
        <w:rPr>
          <w:rFonts w:ascii="Century Gothic" w:eastAsia="Calibri" w:hAnsi="Century Gothic" w:cs="Arial"/>
          <w:b/>
          <w:bCs/>
          <w:lang w:val="es-ES" w:eastAsia="es-MX"/>
        </w:rPr>
        <w:t>DOCUMENTO TIPO – Convenios solidarios – Contratación directa – Ejecución de obras – Menor cuantía – Organismos de acción comunal</w:t>
      </w:r>
    </w:p>
    <w:p w14:paraId="6BB1D6B3" w14:textId="77777777" w:rsidR="003474A3" w:rsidRPr="003474A3" w:rsidRDefault="003474A3" w:rsidP="003474A3">
      <w:pPr>
        <w:tabs>
          <w:tab w:val="left" w:pos="0"/>
        </w:tabs>
        <w:spacing w:after="0" w:line="276" w:lineRule="auto"/>
        <w:jc w:val="both"/>
        <w:rPr>
          <w:rFonts w:ascii="Century Gothic" w:eastAsia="Calibri" w:hAnsi="Century Gothic" w:cs="Arial"/>
          <w:b/>
          <w:szCs w:val="24"/>
          <w:lang w:val="es-ES_tradnl" w:eastAsia="es-ES_tradnl"/>
        </w:rPr>
      </w:pPr>
    </w:p>
    <w:p w14:paraId="20868F22" w14:textId="77777777" w:rsidR="003474A3" w:rsidRPr="003474A3" w:rsidRDefault="003474A3" w:rsidP="003474A3">
      <w:pPr>
        <w:tabs>
          <w:tab w:val="left" w:pos="0"/>
        </w:tabs>
        <w:spacing w:after="0" w:line="240" w:lineRule="auto"/>
        <w:jc w:val="both"/>
        <w:rPr>
          <w:rFonts w:ascii="Century Gothic" w:hAnsi="Century Gothic" w:cs="Arial"/>
          <w:spacing w:val="2"/>
          <w:sz w:val="20"/>
          <w:szCs w:val="20"/>
          <w:lang w:eastAsia="es-CO"/>
        </w:rPr>
      </w:pPr>
      <w:r w:rsidRPr="003474A3">
        <w:rPr>
          <w:rFonts w:ascii="Century Gothic" w:hAnsi="Century Gothic" w:cs="Arial"/>
          <w:spacing w:val="2"/>
          <w:sz w:val="20"/>
          <w:szCs w:val="20"/>
          <w:lang w:eastAsia="es-CO"/>
        </w:rPr>
        <w:t xml:space="preserve">[…] el pasado 30 de junio de 2023 la Agencia Nacional de Contratación Pública </w:t>
      </w:r>
      <w:r w:rsidRPr="003474A3">
        <w:rPr>
          <w:rFonts w:ascii="Century Gothic" w:eastAsia="Calibri" w:hAnsi="Century Gothic" w:cs="Arial"/>
          <w:color w:val="000000"/>
          <w:sz w:val="20"/>
          <w:szCs w:val="20"/>
          <w:lang w:val="es-ES" w:eastAsia="es-ES"/>
        </w:rPr>
        <w:t>– Colombia Compra Eficiente</w:t>
      </w:r>
      <w:r w:rsidRPr="003474A3">
        <w:rPr>
          <w:rFonts w:ascii="Century Gothic" w:hAnsi="Century Gothic" w:cs="Arial"/>
          <w:spacing w:val="2"/>
          <w:sz w:val="20"/>
          <w:szCs w:val="20"/>
          <w:lang w:eastAsia="es-CO"/>
        </w:rPr>
        <w:t xml:space="preserve"> expidió la Resolución 358 de 2023 “</w:t>
      </w:r>
      <w:hyperlink r:id="rId10" w:history="1">
        <w:r w:rsidRPr="003474A3">
          <w:rPr>
            <w:rFonts w:ascii="Century Gothic" w:hAnsi="Century Gothic" w:cs="Arial"/>
            <w:spacing w:val="2"/>
            <w:sz w:val="20"/>
            <w:szCs w:val="20"/>
            <w:lang w:eastAsia="es-CO"/>
          </w:rPr>
          <w:t>Por la cual se adopta el documento tipo para la contratación directa de convenios solidarios para la ejecución de obras hasta la menor cuantía con organismos de acción comunal”. </w:t>
        </w:r>
      </w:hyperlink>
      <w:r w:rsidRPr="003474A3">
        <w:rPr>
          <w:rFonts w:ascii="Century Gothic" w:hAnsi="Century Gothic" w:cs="Arial"/>
          <w:spacing w:val="2"/>
          <w:sz w:val="20"/>
          <w:szCs w:val="20"/>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652DD9CD" w14:textId="77777777" w:rsidR="003474A3" w:rsidRPr="003474A3" w:rsidRDefault="003474A3" w:rsidP="003474A3">
      <w:pPr>
        <w:spacing w:after="0" w:line="240" w:lineRule="auto"/>
        <w:jc w:val="both"/>
        <w:rPr>
          <w:rFonts w:ascii="Century Gothic" w:eastAsia="Calibri" w:hAnsi="Century Gothic" w:cs="Arial"/>
          <w:b/>
          <w:lang w:eastAsia="es-ES_tradnl"/>
        </w:rPr>
      </w:pPr>
    </w:p>
    <w:p w14:paraId="2B096E22" w14:textId="77777777" w:rsidR="003474A3" w:rsidRPr="003474A3" w:rsidRDefault="003474A3" w:rsidP="003474A3">
      <w:pPr>
        <w:spacing w:after="0" w:line="240" w:lineRule="auto"/>
        <w:jc w:val="both"/>
        <w:rPr>
          <w:rFonts w:ascii="Century Gothic" w:eastAsia="Calibri" w:hAnsi="Century Gothic" w:cs="Arial"/>
          <w:b/>
          <w:bCs/>
          <w:color w:val="000000" w:themeColor="text1"/>
        </w:rPr>
      </w:pPr>
      <w:r w:rsidRPr="003474A3">
        <w:rPr>
          <w:rFonts w:ascii="Century Gothic" w:eastAsia="Calibri" w:hAnsi="Century Gothic" w:cs="Arial"/>
          <w:b/>
          <w:bCs/>
          <w:lang w:val="es-ES" w:eastAsia="es-MX"/>
        </w:rPr>
        <w:t xml:space="preserve">DOCUMENTO TIPO – Convenios solidarios – Fundamento normativo – </w:t>
      </w:r>
      <w:r w:rsidRPr="003474A3">
        <w:rPr>
          <w:rFonts w:ascii="Century Gothic" w:eastAsia="Calibri" w:hAnsi="Century Gothic" w:cs="Arial"/>
          <w:b/>
          <w:bCs/>
          <w:color w:val="000000" w:themeColor="text1"/>
        </w:rPr>
        <w:t>Artículo 95 –Ley 2166 de 2021 – Reglas</w:t>
      </w:r>
    </w:p>
    <w:p w14:paraId="23D2CDF8" w14:textId="77777777" w:rsidR="003474A3" w:rsidRPr="003474A3" w:rsidRDefault="003474A3" w:rsidP="003474A3">
      <w:pPr>
        <w:spacing w:after="0" w:line="240" w:lineRule="auto"/>
        <w:jc w:val="both"/>
        <w:rPr>
          <w:rFonts w:ascii="Century Gothic" w:eastAsia="Calibri" w:hAnsi="Century Gothic" w:cs="Arial"/>
          <w:b/>
          <w:bCs/>
          <w:color w:val="000000" w:themeColor="text1"/>
        </w:rPr>
      </w:pPr>
    </w:p>
    <w:p w14:paraId="69345EBC" w14:textId="77777777" w:rsidR="003474A3" w:rsidRPr="003474A3" w:rsidRDefault="003474A3" w:rsidP="003474A3">
      <w:pPr>
        <w:spacing w:after="0" w:line="240" w:lineRule="auto"/>
        <w:jc w:val="both"/>
        <w:rPr>
          <w:rFonts w:ascii="Century Gothic" w:eastAsia="Calibri" w:hAnsi="Century Gothic" w:cs="Arial"/>
          <w:bCs/>
          <w:color w:val="000000" w:themeColor="text1"/>
          <w:sz w:val="20"/>
          <w:szCs w:val="20"/>
          <w:lang w:val="es-ES_tradnl"/>
        </w:rPr>
      </w:pPr>
      <w:r w:rsidRPr="003474A3">
        <w:rPr>
          <w:rFonts w:ascii="Century Gothic" w:eastAsia="Calibri" w:hAnsi="Century Gothic" w:cs="Arial"/>
          <w:color w:val="000000" w:themeColor="text1"/>
          <w:sz w:val="20"/>
          <w:szCs w:val="20"/>
          <w:lang w:val="es-ES"/>
        </w:rPr>
        <w:t xml:space="preserve">[…] </w:t>
      </w:r>
      <w:r w:rsidRPr="003474A3">
        <w:rPr>
          <w:rFonts w:ascii="Century Gothic" w:eastAsia="Calibri" w:hAnsi="Century Gothic" w:cs="Arial"/>
          <w:bCs/>
          <w:color w:val="000000" w:themeColor="text1"/>
          <w:sz w:val="20"/>
          <w:szCs w:val="20"/>
        </w:rPr>
        <w:t xml:space="preserve">esta norma desarrolla las siguientes reglas: i) Las </w:t>
      </w:r>
      <w:r w:rsidRPr="003474A3">
        <w:rPr>
          <w:rFonts w:ascii="Century Gothic" w:eastAsia="Calibri" w:hAnsi="Century Gothic" w:cs="Arial"/>
          <w:bCs/>
          <w:color w:val="000000" w:themeColor="text1"/>
          <w:sz w:val="20"/>
          <w:szCs w:val="20"/>
          <w:lang w:val="es-ES_tradnl"/>
        </w:rPr>
        <w:t>“</w:t>
      </w:r>
      <w:r w:rsidRPr="003474A3">
        <w:rPr>
          <w:rFonts w:ascii="Century Gothic" w:eastAsia="Calibri" w:hAnsi="Century Gothic" w:cs="Arial"/>
          <w:bCs/>
          <w:color w:val="000000" w:themeColor="text1"/>
          <w:sz w:val="20"/>
          <w:szCs w:val="20"/>
        </w:rPr>
        <w:t>entidades territoriales del</w:t>
      </w:r>
      <w:r w:rsidRPr="003474A3">
        <w:rPr>
          <w:rFonts w:ascii="Century Gothic" w:eastAsia="Calibri" w:hAnsi="Century Gothic" w:cs="Arial"/>
          <w:bCs/>
          <w:color w:val="000000" w:themeColor="text1"/>
          <w:sz w:val="20"/>
          <w:szCs w:val="20"/>
          <w:lang w:val="es-ES_tradnl"/>
        </w:rPr>
        <w:t xml:space="preserve"> </w:t>
      </w:r>
      <w:r w:rsidRPr="003474A3">
        <w:rPr>
          <w:rFonts w:ascii="Century Gothic" w:eastAsia="Calibri" w:hAnsi="Century Gothic" w:cs="Arial"/>
          <w:bCs/>
          <w:color w:val="000000" w:themeColor="text1"/>
          <w:sz w:val="20"/>
          <w:szCs w:val="20"/>
        </w:rPr>
        <w:t>orden Nacional, Departamental, Distrital y municipal</w:t>
      </w:r>
      <w:r w:rsidRPr="003474A3">
        <w:rPr>
          <w:rFonts w:ascii="Century Gothic" w:eastAsia="Calibri" w:hAnsi="Century Gothic"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3474A3">
        <w:rPr>
          <w:rFonts w:ascii="Century Gothic" w:eastAsia="Calibri" w:hAnsi="Century Gothic" w:cs="Arial"/>
          <w:bCs/>
          <w:i/>
          <w:iCs/>
          <w:color w:val="000000" w:themeColor="text1"/>
          <w:sz w:val="20"/>
          <w:szCs w:val="20"/>
          <w:lang w:val="es-ES_tradnl"/>
        </w:rPr>
        <w:t>organismos de acción comunal</w:t>
      </w:r>
      <w:r w:rsidRPr="003474A3">
        <w:rPr>
          <w:rFonts w:ascii="Century Gothic" w:eastAsia="Calibri" w:hAnsi="Century Gothic" w:cs="Arial"/>
          <w:bCs/>
          <w:color w:val="000000" w:themeColor="text1"/>
          <w:sz w:val="20"/>
          <w:szCs w:val="20"/>
          <w:lang w:val="es-ES_tradnl"/>
        </w:rPr>
        <w:t xml:space="preserve">.  </w:t>
      </w:r>
      <w:proofErr w:type="spellStart"/>
      <w:r w:rsidRPr="003474A3">
        <w:rPr>
          <w:rFonts w:ascii="Century Gothic" w:eastAsia="Calibri" w:hAnsi="Century Gothic" w:cs="Arial"/>
          <w:bCs/>
          <w:color w:val="000000" w:themeColor="text1"/>
          <w:sz w:val="20"/>
          <w:szCs w:val="20"/>
          <w:lang w:val="es-ES_tradnl"/>
        </w:rPr>
        <w:t>ii</w:t>
      </w:r>
      <w:proofErr w:type="spellEnd"/>
      <w:r w:rsidRPr="003474A3">
        <w:rPr>
          <w:rFonts w:ascii="Century Gothic" w:eastAsia="Calibri" w:hAnsi="Century Gothic" w:cs="Arial"/>
          <w:bCs/>
          <w:color w:val="000000" w:themeColor="text1"/>
          <w:sz w:val="20"/>
          <w:szCs w:val="20"/>
          <w:lang w:val="es-ES_tradnl"/>
        </w:rPr>
        <w:t xml:space="preserve">) Estos convenios solidarios deben tener por objeto únicamente la ejecución de obras. Esto significa que no pueden desarrollarse otros objetos distintos a la obra con fundamento en este artículo. </w:t>
      </w:r>
      <w:proofErr w:type="spellStart"/>
      <w:r w:rsidRPr="003474A3">
        <w:rPr>
          <w:rFonts w:ascii="Century Gothic" w:eastAsia="Calibri" w:hAnsi="Century Gothic" w:cs="Arial"/>
          <w:bCs/>
          <w:color w:val="000000" w:themeColor="text1"/>
          <w:sz w:val="20"/>
          <w:szCs w:val="20"/>
          <w:lang w:val="es-ES_tradnl"/>
        </w:rPr>
        <w:t>iii</w:t>
      </w:r>
      <w:proofErr w:type="spellEnd"/>
      <w:r w:rsidRPr="003474A3">
        <w:rPr>
          <w:rFonts w:ascii="Century Gothic" w:eastAsia="Calibri" w:hAnsi="Century Gothic" w:cs="Arial"/>
          <w:bCs/>
          <w:color w:val="000000" w:themeColor="text1"/>
          <w:sz w:val="20"/>
          <w:szCs w:val="20"/>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3474A3">
        <w:rPr>
          <w:rFonts w:ascii="Century Gothic" w:eastAsia="Calibri" w:hAnsi="Century Gothic" w:cs="Arial"/>
          <w:bCs/>
          <w:color w:val="000000" w:themeColor="text1"/>
          <w:sz w:val="20"/>
          <w:szCs w:val="20"/>
          <w:lang w:val="es-ES_tradnl"/>
        </w:rPr>
        <w:t>iv</w:t>
      </w:r>
      <w:proofErr w:type="spellEnd"/>
      <w:r w:rsidRPr="003474A3">
        <w:rPr>
          <w:rFonts w:ascii="Century Gothic" w:eastAsia="Calibri" w:hAnsi="Century Gothic" w:cs="Arial"/>
          <w:bCs/>
          <w:color w:val="000000" w:themeColor="text1"/>
          <w:sz w:val="20"/>
          <w:szCs w:val="20"/>
          <w:lang w:val="es-ES_tradnl"/>
        </w:rPr>
        <w:t xml:space="preserve">) Para la ejecución de las obras se establece el deber de contratar con los habitantes de la comunidad. v) En el valor total del convenio la entidad podrá incluir los costos directos, los costos administrativos y el subsidio </w:t>
      </w:r>
      <w:r w:rsidRPr="003474A3">
        <w:rPr>
          <w:rFonts w:ascii="Century Gothic" w:eastAsia="Calibri" w:hAnsi="Century Gothic" w:cs="Arial"/>
          <w:bCs/>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w:t>
      </w:r>
      <w:r w:rsidRPr="003474A3">
        <w:rPr>
          <w:rFonts w:ascii="Century Gothic" w:eastAsia="Calibri" w:hAnsi="Century Gothic" w:cs="Arial"/>
          <w:bCs/>
          <w:color w:val="000000" w:themeColor="text1"/>
          <w:sz w:val="20"/>
          <w:szCs w:val="20"/>
        </w:rPr>
        <w:lastRenderedPageBreak/>
        <w:t xml:space="preserve">y estar debidamente justificados. vi) Las entidades deberán contar con personal técnico y administrativo-contable para apoyar y supervisar a los organismos de acción comunal durante la ejecución de las obras. </w:t>
      </w:r>
    </w:p>
    <w:p w14:paraId="1923429E" w14:textId="77777777" w:rsidR="003474A3" w:rsidRPr="003474A3" w:rsidRDefault="003474A3" w:rsidP="003474A3">
      <w:pPr>
        <w:spacing w:after="0" w:line="240" w:lineRule="auto"/>
        <w:jc w:val="both"/>
        <w:rPr>
          <w:rFonts w:ascii="Century Gothic" w:eastAsia="Calibri" w:hAnsi="Century Gothic" w:cs="Arial"/>
          <w:b/>
          <w:lang w:eastAsia="es-ES_tradnl"/>
        </w:rPr>
      </w:pPr>
    </w:p>
    <w:p w14:paraId="78BF6596" w14:textId="77777777" w:rsidR="003474A3" w:rsidRPr="003474A3" w:rsidRDefault="003474A3" w:rsidP="003474A3">
      <w:pPr>
        <w:spacing w:after="0" w:line="240" w:lineRule="auto"/>
        <w:jc w:val="both"/>
        <w:rPr>
          <w:rFonts w:ascii="Century Gothic" w:eastAsia="Calibri" w:hAnsi="Century Gothic" w:cs="Arial"/>
          <w:b/>
          <w:bCs/>
          <w:color w:val="000000" w:themeColor="text1"/>
        </w:rPr>
      </w:pPr>
      <w:r w:rsidRPr="003474A3">
        <w:rPr>
          <w:rFonts w:ascii="Century Gothic" w:eastAsia="Calibri" w:hAnsi="Century Gothic" w:cs="Arial"/>
          <w:b/>
          <w:bCs/>
          <w:lang w:val="es-ES" w:eastAsia="es-MX"/>
        </w:rPr>
        <w:t xml:space="preserve">DOCUMENTO TIPO – Convenios solidarios – Fundamento normativo – </w:t>
      </w:r>
      <w:r w:rsidRPr="003474A3">
        <w:rPr>
          <w:rFonts w:ascii="Century Gothic" w:eastAsia="Calibri" w:hAnsi="Century Gothic" w:cs="Arial"/>
          <w:b/>
          <w:bCs/>
          <w:color w:val="000000" w:themeColor="text1"/>
        </w:rPr>
        <w:t xml:space="preserve">Artículo 95 – Ley 2166 de 2021 – Menor cuantía </w:t>
      </w:r>
    </w:p>
    <w:p w14:paraId="61A9228D" w14:textId="77777777" w:rsidR="003474A3" w:rsidRPr="003474A3" w:rsidRDefault="003474A3" w:rsidP="003474A3">
      <w:pPr>
        <w:spacing w:after="0" w:line="240" w:lineRule="auto"/>
        <w:jc w:val="both"/>
        <w:rPr>
          <w:rFonts w:ascii="Century Gothic" w:eastAsia="Calibri" w:hAnsi="Century Gothic" w:cs="Arial"/>
          <w:b/>
          <w:lang w:eastAsia="es-ES_tradnl"/>
        </w:rPr>
      </w:pPr>
    </w:p>
    <w:p w14:paraId="309F6D31" w14:textId="77777777" w:rsidR="003474A3" w:rsidRPr="003474A3" w:rsidRDefault="003474A3" w:rsidP="003474A3">
      <w:pPr>
        <w:spacing w:after="0" w:line="240" w:lineRule="auto"/>
        <w:jc w:val="both"/>
        <w:rPr>
          <w:rFonts w:ascii="Century Gothic" w:eastAsia="Calibri" w:hAnsi="Century Gothic" w:cs="Arial"/>
          <w:color w:val="000000" w:themeColor="text1"/>
          <w:sz w:val="20"/>
          <w:szCs w:val="20"/>
          <w:lang w:val="es-ES_tradnl"/>
        </w:rPr>
      </w:pPr>
      <w:r w:rsidRPr="003474A3">
        <w:rPr>
          <w:rFonts w:ascii="Century Gothic" w:hAnsi="Century Gothic" w:cs="Arial"/>
          <w:bCs/>
          <w:color w:val="000000" w:themeColor="text1"/>
          <w:sz w:val="20"/>
          <w:szCs w:val="20"/>
          <w:lang w:eastAsia="es-MX"/>
        </w:rPr>
        <w:t>Conforme con lo señalado, el documento tipo adoptado por la Agencia Nacional de Contratación Pública</w:t>
      </w:r>
      <w:r w:rsidRPr="003474A3">
        <w:rPr>
          <w:rFonts w:ascii="Century Gothic" w:eastAsia="Calibri" w:hAnsi="Century Gothic" w:cs="Arial"/>
          <w:color w:val="000000"/>
          <w:sz w:val="20"/>
          <w:szCs w:val="20"/>
          <w:lang w:val="es-ES" w:eastAsia="es-ES"/>
        </w:rPr>
        <w:t>– Colombia Compra Eficiente</w:t>
      </w:r>
      <w:r w:rsidRPr="003474A3">
        <w:rPr>
          <w:rFonts w:ascii="Century Gothic" w:hAnsi="Century Gothic" w:cs="Arial"/>
          <w:spacing w:val="2"/>
          <w:sz w:val="20"/>
          <w:szCs w:val="20"/>
          <w:lang w:eastAsia="es-CO"/>
        </w:rPr>
        <w:t xml:space="preserve"> </w:t>
      </w:r>
      <w:r w:rsidRPr="003474A3">
        <w:rPr>
          <w:rFonts w:ascii="Century Gothic" w:hAnsi="Century Gothic" w:cs="Arial"/>
          <w:bCs/>
          <w:color w:val="000000" w:themeColor="text1"/>
          <w:sz w:val="20"/>
          <w:szCs w:val="20"/>
          <w:lang w:eastAsia="es-MX"/>
        </w:rPr>
        <w:t xml:space="preserve">el documento 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3474A3">
        <w:rPr>
          <w:rFonts w:ascii="Century Gothic" w:eastAsia="Calibri" w:hAnsi="Century Gothic" w:cs="Arial"/>
          <w:color w:val="000000" w:themeColor="text1"/>
          <w:sz w:val="20"/>
          <w:szCs w:val="20"/>
          <w:lang w:val="es-ES_tradnl"/>
        </w:rPr>
        <w:t xml:space="preserve">por la mínima o la menor cuantía de la entidad estatal somita al Estatuto General de Contratación de la Administración Pública.  Por lo anterior, los artículos 1, 2 y 4 de la Resolución señalada mencionan que estos aplican para la contratación directa de convenios solidarios para la ejecución de obras </w:t>
      </w:r>
      <w:r w:rsidRPr="003474A3">
        <w:rPr>
          <w:rFonts w:ascii="Century Gothic" w:eastAsia="Calibri" w:hAnsi="Century Gothic" w:cs="Arial"/>
          <w:i/>
          <w:iCs/>
          <w:color w:val="000000" w:themeColor="text1"/>
          <w:sz w:val="20"/>
          <w:szCs w:val="20"/>
          <w:u w:val="single"/>
          <w:lang w:val="es-ES_tradnl"/>
        </w:rPr>
        <w:t>hasta</w:t>
      </w:r>
      <w:r w:rsidRPr="003474A3">
        <w:rPr>
          <w:rFonts w:ascii="Century Gothic" w:eastAsia="Calibri" w:hAnsi="Century Gothic" w:cs="Arial"/>
          <w:color w:val="000000" w:themeColor="text1"/>
          <w:sz w:val="20"/>
          <w:szCs w:val="20"/>
          <w:lang w:val="es-ES_tradnl"/>
        </w:rPr>
        <w:t xml:space="preserve"> la menor cuantía con Organismos de Acción Comunal.</w:t>
      </w:r>
    </w:p>
    <w:p w14:paraId="6F2CAED7" w14:textId="77777777" w:rsidR="003474A3" w:rsidRDefault="003474A3" w:rsidP="003474A3">
      <w:pPr>
        <w:spacing w:after="0" w:line="240" w:lineRule="auto"/>
        <w:jc w:val="both"/>
        <w:rPr>
          <w:rFonts w:ascii="Arial" w:eastAsia="Calibri" w:hAnsi="Arial" w:cs="Arial"/>
          <w:color w:val="000000" w:themeColor="text1"/>
          <w:lang w:val="es-ES_tradnl"/>
        </w:rPr>
      </w:pPr>
    </w:p>
    <w:p w14:paraId="203C573B" w14:textId="77777777" w:rsidR="003474A3" w:rsidRPr="00D63460" w:rsidRDefault="003474A3" w:rsidP="003474A3">
      <w:pPr>
        <w:spacing w:after="0" w:line="240" w:lineRule="auto"/>
        <w:jc w:val="both"/>
        <w:rPr>
          <w:rFonts w:ascii="Arial" w:hAnsi="Arial" w:cs="Arial"/>
          <w:sz w:val="20"/>
          <w:szCs w:val="20"/>
        </w:rPr>
      </w:pPr>
      <w:r w:rsidRPr="00ED3CF9">
        <w:rPr>
          <w:rFonts w:ascii="Arial" w:hAnsi="Arial" w:cs="Arial"/>
          <w:sz w:val="20"/>
          <w:szCs w:val="20"/>
        </w:rPr>
        <w:br w:type="page"/>
      </w:r>
    </w:p>
    <w:p w14:paraId="3FE2184B" w14:textId="08B7DC85" w:rsidR="00E245AB" w:rsidRPr="00322A85" w:rsidRDefault="00E245AB" w:rsidP="00E245AB">
      <w:pPr>
        <w:spacing w:after="0"/>
        <w:rPr>
          <w:rFonts w:ascii="Century Gothic" w:hAnsi="Century Gothic"/>
        </w:rPr>
      </w:pPr>
      <w:r w:rsidRPr="00322A85">
        <w:rPr>
          <w:rFonts w:ascii="Century Gothic" w:hAnsi="Century Gothic"/>
        </w:rPr>
        <w:lastRenderedPageBreak/>
        <w:t xml:space="preserve">Bogotá D.C., </w:t>
      </w:r>
      <w:r w:rsidR="00891928" w:rsidRPr="00322A85">
        <w:rPr>
          <w:rFonts w:ascii="Century Gothic" w:hAnsi="Century Gothic"/>
        </w:rPr>
        <w:t>[Día]</w:t>
      </w:r>
      <w:r w:rsidR="005A2340">
        <w:rPr>
          <w:rFonts w:ascii="Century Gothic" w:hAnsi="Century Gothic"/>
        </w:rPr>
        <w:t xml:space="preserve"> </w:t>
      </w:r>
      <w:r w:rsidR="00891928" w:rsidRPr="00322A85">
        <w:rPr>
          <w:rFonts w:ascii="Century Gothic" w:hAnsi="Century Gothic"/>
        </w:rPr>
        <w:t>[</w:t>
      </w:r>
      <w:proofErr w:type="spellStart"/>
      <w:r w:rsidR="00891928" w:rsidRPr="00322A85">
        <w:rPr>
          <w:rFonts w:ascii="Century Gothic" w:hAnsi="Century Gothic"/>
        </w:rPr>
        <w:t>Mes</w:t>
      </w:r>
      <w:r w:rsidR="005A2340">
        <w:rPr>
          <w:rFonts w:ascii="Century Gothic" w:hAnsi="Century Gothic"/>
        </w:rPr>
        <w:t>.</w:t>
      </w:r>
      <w:r w:rsidR="00891928" w:rsidRPr="00322A85">
        <w:rPr>
          <w:rFonts w:ascii="Century Gothic" w:hAnsi="Century Gothic"/>
        </w:rPr>
        <w:t>NombreCapitalizado</w:t>
      </w:r>
      <w:proofErr w:type="spellEnd"/>
      <w:r w:rsidR="00891928" w:rsidRPr="00322A85">
        <w:rPr>
          <w:rFonts w:ascii="Century Gothic" w:hAnsi="Century Gothic"/>
        </w:rPr>
        <w:t>]</w:t>
      </w:r>
      <w:r w:rsidR="005A2340">
        <w:rPr>
          <w:rFonts w:ascii="Century Gothic" w:hAnsi="Century Gothic"/>
        </w:rPr>
        <w:t xml:space="preserve"> </w:t>
      </w:r>
      <w:r w:rsidR="00891928" w:rsidRPr="00322A85">
        <w:rPr>
          <w:rFonts w:ascii="Century Gothic" w:hAnsi="Century Gothic"/>
        </w:rPr>
        <w:t>[Año]</w:t>
      </w:r>
      <w:r w:rsidR="00891928" w:rsidRPr="00322A85">
        <w:rPr>
          <w:rFonts w:ascii="Century Gothic" w:hAnsi="Century Gothic"/>
        </w:rPr>
        <w:tab/>
      </w:r>
    </w:p>
    <w:p w14:paraId="5FCADBF9" w14:textId="77777777" w:rsidR="00E245AB" w:rsidRPr="00322A85" w:rsidRDefault="00E245AB" w:rsidP="00E245AB">
      <w:pPr>
        <w:spacing w:after="0"/>
        <w:rPr>
          <w:rFonts w:ascii="Century Gothic" w:hAnsi="Century Gothic"/>
        </w:rPr>
      </w:pPr>
    </w:p>
    <w:p w14:paraId="0465BA6D" w14:textId="759C8E48" w:rsidR="00E245AB" w:rsidRPr="00322A85" w:rsidRDefault="006E4DEB" w:rsidP="00E245AB">
      <w:pPr>
        <w:spacing w:after="0"/>
        <w:rPr>
          <w:rFonts w:ascii="Century Gothic" w:hAnsi="Century Gothic"/>
        </w:rPr>
      </w:pPr>
      <w:r w:rsidRPr="006E4DEB">
        <w:rPr>
          <w:rFonts w:ascii="Century Gothic" w:eastAsia="Arial" w:hAnsi="Century Gothic" w:cs="Arial"/>
          <w:b/>
          <w:color w:val="000000"/>
        </w:rPr>
        <w:drawing>
          <wp:anchor distT="0" distB="0" distL="114300" distR="114300" simplePos="0" relativeHeight="251658240" behindDoc="1" locked="0" layoutInCell="1" allowOverlap="1" wp14:anchorId="3DC85820" wp14:editId="2DAF9A7A">
            <wp:simplePos x="0" y="0"/>
            <wp:positionH relativeFrom="column">
              <wp:posOffset>3447415</wp:posOffset>
            </wp:positionH>
            <wp:positionV relativeFrom="paragraph">
              <wp:posOffset>91440</wp:posOffset>
            </wp:positionV>
            <wp:extent cx="2540000" cy="762000"/>
            <wp:effectExtent l="0" t="0" r="0" b="0"/>
            <wp:wrapNone/>
            <wp:docPr id="1739847265"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47265" name="Picture 1" descr="A close-up of a labe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40000" cy="762000"/>
                    </a:xfrm>
                    <a:prstGeom prst="rect">
                      <a:avLst/>
                    </a:prstGeom>
                  </pic:spPr>
                </pic:pic>
              </a:graphicData>
            </a:graphic>
            <wp14:sizeRelH relativeFrom="page">
              <wp14:pctWidth>0</wp14:pctWidth>
            </wp14:sizeRelH>
            <wp14:sizeRelV relativeFrom="page">
              <wp14:pctHeight>0</wp14:pctHeight>
            </wp14:sizeRelV>
          </wp:anchor>
        </w:drawing>
      </w:r>
    </w:p>
    <w:bookmarkEnd w:id="0"/>
    <w:p w14:paraId="1FDE67A7" w14:textId="00589874" w:rsidR="000D2BFC" w:rsidRPr="004541A8" w:rsidRDefault="000D2BFC" w:rsidP="000D2BFC">
      <w:pPr>
        <w:spacing w:after="0"/>
        <w:rPr>
          <w:rFonts w:ascii="Century Gothic" w:eastAsia="Arial" w:hAnsi="Century Gothic" w:cs="Arial"/>
          <w:color w:val="000000"/>
        </w:rPr>
      </w:pPr>
      <w:r w:rsidRPr="004541A8">
        <w:rPr>
          <w:rFonts w:ascii="Century Gothic" w:eastAsia="Arial" w:hAnsi="Century Gothic" w:cs="Arial"/>
          <w:color w:val="000000"/>
        </w:rPr>
        <w:t>Señor</w:t>
      </w:r>
    </w:p>
    <w:p w14:paraId="323B2419" w14:textId="2AD983A8" w:rsidR="000D2BFC" w:rsidRDefault="000D2BFC" w:rsidP="000D2BFC">
      <w:pPr>
        <w:spacing w:after="0"/>
        <w:rPr>
          <w:rFonts w:ascii="Century Gothic" w:eastAsia="Arial" w:hAnsi="Century Gothic" w:cs="Arial"/>
          <w:b/>
          <w:color w:val="000000"/>
        </w:rPr>
      </w:pPr>
      <w:r w:rsidRPr="00EE4963">
        <w:rPr>
          <w:rFonts w:ascii="Century Gothic" w:eastAsia="Arial" w:hAnsi="Century Gothic" w:cs="Arial"/>
          <w:b/>
          <w:color w:val="000000"/>
        </w:rPr>
        <w:t>Luis Antonio Chaves Ávila</w:t>
      </w:r>
    </w:p>
    <w:p w14:paraId="21E48FED" w14:textId="77777777" w:rsidR="000D2BFC" w:rsidRDefault="000D2BFC" w:rsidP="000D2BFC">
      <w:pPr>
        <w:spacing w:after="0"/>
        <w:rPr>
          <w:rFonts w:ascii="Century Gothic" w:eastAsia="Arial" w:hAnsi="Century Gothic" w:cs="Arial"/>
          <w:color w:val="000000"/>
        </w:rPr>
      </w:pPr>
      <w:r w:rsidRPr="004541A8">
        <w:rPr>
          <w:rFonts w:ascii="Century Gothic" w:eastAsia="Arial" w:hAnsi="Century Gothic" w:cs="Arial"/>
          <w:color w:val="000000"/>
        </w:rPr>
        <w:t>Ciudad</w:t>
      </w:r>
    </w:p>
    <w:p w14:paraId="58723D74" w14:textId="77777777" w:rsidR="000D2BFC" w:rsidRPr="004541A8" w:rsidRDefault="000D2BFC" w:rsidP="000D2BFC">
      <w:pPr>
        <w:spacing w:after="0"/>
        <w:rPr>
          <w:rFonts w:ascii="Century Gothic" w:eastAsia="Arial" w:hAnsi="Century Gothic" w:cs="Arial"/>
          <w:color w:val="000000"/>
        </w:rPr>
      </w:pPr>
    </w:p>
    <w:p w14:paraId="31AC7A7C" w14:textId="77777777" w:rsidR="000D2BFC" w:rsidRPr="004541A8" w:rsidRDefault="000D2BFC" w:rsidP="000D2BFC">
      <w:pPr>
        <w:spacing w:after="0"/>
        <w:rPr>
          <w:rFonts w:ascii="Century Gothic" w:eastAsia="Arial" w:hAnsi="Century Gothic" w:cs="Arial"/>
          <w:color w:val="000000"/>
        </w:rPr>
      </w:pPr>
    </w:p>
    <w:p w14:paraId="40E3BDBD" w14:textId="77777777" w:rsidR="000D2BFC" w:rsidRPr="004541A8" w:rsidRDefault="000D2BFC" w:rsidP="000D2BFC">
      <w:pPr>
        <w:spacing w:after="0"/>
        <w:rPr>
          <w:rFonts w:ascii="Century Gothic" w:eastAsia="Arial" w:hAnsi="Century Gothic" w:cs="Arial"/>
          <w:b/>
          <w:bCs/>
          <w:color w:val="000000"/>
        </w:rPr>
      </w:pPr>
      <w:r>
        <w:rPr>
          <w:rFonts w:ascii="Century Gothic" w:eastAsia="Arial" w:hAnsi="Century Gothic" w:cs="Arial"/>
          <w:b/>
          <w:bCs/>
          <w:color w:val="000000"/>
        </w:rPr>
        <w:t xml:space="preserve">                                             </w:t>
      </w:r>
      <w:r w:rsidRPr="004541A8">
        <w:rPr>
          <w:rFonts w:ascii="Century Gothic" w:eastAsia="Arial" w:hAnsi="Century Gothic" w:cs="Arial"/>
          <w:b/>
          <w:bCs/>
          <w:color w:val="000000"/>
        </w:rPr>
        <w:t>Concepto C–</w:t>
      </w:r>
      <w:r>
        <w:rPr>
          <w:rFonts w:ascii="Century Gothic" w:eastAsia="Arial" w:hAnsi="Century Gothic" w:cs="Arial"/>
          <w:b/>
          <w:bCs/>
          <w:color w:val="000000"/>
        </w:rPr>
        <w:t>394</w:t>
      </w:r>
      <w:r w:rsidRPr="004541A8">
        <w:rPr>
          <w:rFonts w:ascii="Century Gothic" w:eastAsia="Arial" w:hAnsi="Century Gothic" w:cs="Arial"/>
          <w:b/>
          <w:bCs/>
          <w:color w:val="000000"/>
        </w:rPr>
        <w:t xml:space="preserve"> de 2023</w:t>
      </w:r>
    </w:p>
    <w:p w14:paraId="7BF2DB91" w14:textId="77777777" w:rsidR="000D2BFC" w:rsidRPr="004541A8" w:rsidRDefault="000D2BFC" w:rsidP="000D2BFC">
      <w:pPr>
        <w:spacing w:after="0"/>
        <w:rPr>
          <w:rFonts w:ascii="Century Gothic" w:eastAsia="Arial" w:hAnsi="Century Gothic" w:cs="Arial"/>
          <w:b/>
          <w:bCs/>
          <w:color w:val="000000"/>
        </w:rPr>
      </w:pP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0D2BFC" w:rsidRPr="004541A8" w14:paraId="7C5FA764" w14:textId="77777777" w:rsidTr="00BB2E8A">
        <w:trPr>
          <w:trHeight w:val="1038"/>
        </w:trPr>
        <w:tc>
          <w:tcPr>
            <w:tcW w:w="2689" w:type="dxa"/>
          </w:tcPr>
          <w:p w14:paraId="2EDE36B3" w14:textId="77777777" w:rsidR="000D2BFC" w:rsidRPr="004541A8" w:rsidRDefault="000D2BFC" w:rsidP="00BB2E8A">
            <w:pPr>
              <w:rPr>
                <w:rFonts w:ascii="Century Gothic" w:eastAsia="Arial" w:hAnsi="Century Gothic" w:cs="Arial"/>
                <w:color w:val="000000"/>
              </w:rPr>
            </w:pPr>
            <w:r w:rsidRPr="004541A8">
              <w:rPr>
                <w:rFonts w:ascii="Century Gothic" w:eastAsia="Arial" w:hAnsi="Century Gothic" w:cs="Arial"/>
                <w:b/>
                <w:color w:val="000000"/>
              </w:rPr>
              <w:t>Temas:</w:t>
            </w:r>
            <w:r w:rsidRPr="004541A8">
              <w:rPr>
                <w:rFonts w:ascii="Century Gothic" w:eastAsia="Arial" w:hAnsi="Century Gothic" w:cs="Arial"/>
                <w:color w:val="000000"/>
              </w:rPr>
              <w:t xml:space="preserve">        </w:t>
            </w:r>
          </w:p>
        </w:tc>
        <w:tc>
          <w:tcPr>
            <w:tcW w:w="6237" w:type="dxa"/>
          </w:tcPr>
          <w:p w14:paraId="1DE52F98" w14:textId="77777777" w:rsidR="000D2BFC" w:rsidRPr="004541A8" w:rsidRDefault="000D2BFC" w:rsidP="00BB2E8A">
            <w:pPr>
              <w:spacing w:before="0" w:after="120" w:line="276" w:lineRule="auto"/>
              <w:jc w:val="both"/>
              <w:rPr>
                <w:rFonts w:ascii="Century Gothic" w:hAnsi="Century Gothic" w:cs="Arial"/>
                <w:color w:val="000000"/>
                <w:sz w:val="22"/>
                <w:szCs w:val="22"/>
                <w:highlight w:val="yellow"/>
                <w:lang w:eastAsia="en-US"/>
              </w:rPr>
            </w:pPr>
            <w:r w:rsidRPr="00EE4963">
              <w:rPr>
                <w:rFonts w:ascii="Century Gothic" w:hAnsi="Century Gothic" w:cs="Arial"/>
                <w:color w:val="000000"/>
                <w:sz w:val="22"/>
                <w:szCs w:val="22"/>
                <w:lang w:val="es-ES_tradnl" w:eastAsia="en-US"/>
              </w:rPr>
              <w:t>DOCUMENTOS TIPO – Fundamento normativo – Ley 1882 de 2018</w:t>
            </w:r>
            <w:r w:rsidRPr="009D070E">
              <w:rPr>
                <w:rFonts w:ascii="Century Gothic" w:hAnsi="Century Gothic" w:cs="Arial"/>
                <w:color w:val="000000"/>
                <w:sz w:val="22"/>
                <w:szCs w:val="22"/>
                <w:lang w:val="es-ES_tradnl" w:eastAsia="en-US"/>
              </w:rPr>
              <w:t>– Inalterabilidad</w:t>
            </w:r>
            <w:r w:rsidRPr="00EE4963">
              <w:rPr>
                <w:rFonts w:ascii="Century Gothic" w:hAnsi="Century Gothic" w:cs="Arial"/>
                <w:color w:val="000000"/>
                <w:sz w:val="22"/>
                <w:szCs w:val="22"/>
                <w:lang w:val="es-ES_tradnl" w:eastAsia="en-US"/>
              </w:rPr>
              <w:t xml:space="preserve"> / DOCUMENTO TIPO – Convenios solidarios – Contratación directa –</w:t>
            </w:r>
            <w:r>
              <w:rPr>
                <w:rFonts w:ascii="Century Gothic" w:hAnsi="Century Gothic" w:cs="Arial"/>
                <w:color w:val="000000"/>
                <w:sz w:val="22"/>
                <w:szCs w:val="22"/>
                <w:lang w:val="es-ES_tradnl" w:eastAsia="en-US"/>
              </w:rPr>
              <w:t xml:space="preserve"> </w:t>
            </w:r>
            <w:r w:rsidRPr="00EE4963">
              <w:rPr>
                <w:rFonts w:ascii="Century Gothic" w:hAnsi="Century Gothic" w:cs="Arial"/>
                <w:color w:val="000000"/>
                <w:sz w:val="22"/>
                <w:szCs w:val="22"/>
                <w:lang w:val="es-ES_tradnl" w:eastAsia="en-US"/>
              </w:rPr>
              <w:t>Organismos de acción comunal</w:t>
            </w:r>
            <w:r w:rsidRPr="009D070E">
              <w:rPr>
                <w:rFonts w:ascii="Century Gothic" w:hAnsi="Century Gothic" w:cs="Arial"/>
                <w:color w:val="000000"/>
                <w:sz w:val="22"/>
                <w:szCs w:val="22"/>
                <w:lang w:val="es-ES_tradnl" w:eastAsia="en-US"/>
              </w:rPr>
              <w:t xml:space="preserve">/ </w:t>
            </w:r>
            <w:r w:rsidRPr="00044577">
              <w:rPr>
                <w:rFonts w:ascii="Century Gothic" w:hAnsi="Century Gothic" w:cs="Arial"/>
                <w:color w:val="000000"/>
                <w:sz w:val="22"/>
                <w:szCs w:val="22"/>
                <w:lang w:val="es-ES_tradnl" w:eastAsia="en-US"/>
              </w:rPr>
              <w:t xml:space="preserve">MINUTA TIPO – Cláusula 7 </w:t>
            </w:r>
            <w:r w:rsidRPr="00044577">
              <w:rPr>
                <w:rFonts w:ascii="Arial" w:hAnsi="Arial" w:cs="Arial"/>
                <w:color w:val="000000"/>
                <w:sz w:val="22"/>
                <w:szCs w:val="22"/>
                <w:lang w:val="es-ES_tradnl" w:eastAsia="en-US"/>
              </w:rPr>
              <w:t>‒</w:t>
            </w:r>
            <w:r w:rsidRPr="00044577">
              <w:rPr>
                <w:rFonts w:ascii="Century Gothic" w:hAnsi="Century Gothic" w:cs="Arial"/>
                <w:color w:val="000000"/>
                <w:sz w:val="22"/>
                <w:szCs w:val="22"/>
                <w:lang w:val="es-ES_tradnl" w:eastAsia="en-US"/>
              </w:rPr>
              <w:t xml:space="preserve"> Giros de los recursos</w:t>
            </w:r>
            <w:r w:rsidRPr="00044577">
              <w:rPr>
                <w:rFonts w:ascii="Century Gothic" w:hAnsi="Century Gothic" w:cs="Century Gothic"/>
                <w:color w:val="000000"/>
                <w:sz w:val="22"/>
                <w:szCs w:val="22"/>
                <w:lang w:val="es-ES_tradnl" w:eastAsia="en-US"/>
              </w:rPr>
              <w:t>–</w:t>
            </w:r>
            <w:r w:rsidRPr="00044577">
              <w:rPr>
                <w:rFonts w:ascii="Century Gothic" w:hAnsi="Century Gothic" w:cs="Arial"/>
                <w:color w:val="000000"/>
                <w:sz w:val="22"/>
                <w:szCs w:val="22"/>
                <w:lang w:val="es-ES_tradnl" w:eastAsia="en-US"/>
              </w:rPr>
              <w:t xml:space="preserve"> Cl</w:t>
            </w:r>
            <w:r w:rsidRPr="00044577">
              <w:rPr>
                <w:rFonts w:ascii="Century Gothic" w:hAnsi="Century Gothic" w:cs="Century Gothic"/>
                <w:color w:val="000000"/>
                <w:sz w:val="22"/>
                <w:szCs w:val="22"/>
                <w:lang w:val="es-ES_tradnl" w:eastAsia="en-US"/>
              </w:rPr>
              <w:t>á</w:t>
            </w:r>
            <w:r w:rsidRPr="00044577">
              <w:rPr>
                <w:rFonts w:ascii="Century Gothic" w:hAnsi="Century Gothic" w:cs="Arial"/>
                <w:color w:val="000000"/>
                <w:sz w:val="22"/>
                <w:szCs w:val="22"/>
                <w:lang w:val="es-ES_tradnl" w:eastAsia="en-US"/>
              </w:rPr>
              <w:t xml:space="preserve">usula 9 </w:t>
            </w:r>
            <w:r w:rsidRPr="00044577">
              <w:rPr>
                <w:rFonts w:ascii="Arial" w:hAnsi="Arial" w:cs="Arial"/>
                <w:color w:val="000000"/>
                <w:sz w:val="22"/>
                <w:szCs w:val="22"/>
                <w:lang w:val="es-ES_tradnl" w:eastAsia="en-US"/>
              </w:rPr>
              <w:t>‒</w:t>
            </w:r>
            <w:r w:rsidRPr="00044577">
              <w:rPr>
                <w:rFonts w:ascii="Century Gothic" w:hAnsi="Century Gothic" w:cs="Arial"/>
                <w:color w:val="000000"/>
                <w:sz w:val="22"/>
                <w:szCs w:val="22"/>
                <w:lang w:val="es-ES_tradnl" w:eastAsia="en-US"/>
              </w:rPr>
              <w:t xml:space="preserve"> Forma de uso y disposición de los recursos por parte del OAC– Cláusula 19 </w:t>
            </w:r>
            <w:r w:rsidRPr="00044577">
              <w:rPr>
                <w:rFonts w:ascii="Arial" w:hAnsi="Arial" w:cs="Arial"/>
                <w:color w:val="000000"/>
                <w:sz w:val="22"/>
                <w:szCs w:val="22"/>
                <w:lang w:val="es-ES_tradnl" w:eastAsia="en-US"/>
              </w:rPr>
              <w:t>‒</w:t>
            </w:r>
            <w:r w:rsidRPr="00044577">
              <w:rPr>
                <w:rFonts w:ascii="Century Gothic" w:hAnsi="Century Gothic" w:cs="Arial"/>
                <w:color w:val="000000"/>
                <w:sz w:val="22"/>
                <w:szCs w:val="22"/>
                <w:lang w:val="es-ES_tradnl" w:eastAsia="en-US"/>
              </w:rPr>
              <w:t xml:space="preserve"> Inexistencia de relaci</w:t>
            </w:r>
            <w:r w:rsidRPr="00044577">
              <w:rPr>
                <w:rFonts w:ascii="Century Gothic" w:hAnsi="Century Gothic" w:cs="Century Gothic"/>
                <w:color w:val="000000"/>
                <w:sz w:val="22"/>
                <w:szCs w:val="22"/>
                <w:lang w:val="es-ES_tradnl" w:eastAsia="en-US"/>
              </w:rPr>
              <w:t>ó</w:t>
            </w:r>
            <w:r w:rsidRPr="00044577">
              <w:rPr>
                <w:rFonts w:ascii="Century Gothic" w:hAnsi="Century Gothic" w:cs="Arial"/>
                <w:color w:val="000000"/>
                <w:sz w:val="22"/>
                <w:szCs w:val="22"/>
                <w:lang w:val="es-ES_tradnl" w:eastAsia="en-US"/>
              </w:rPr>
              <w:t>n laboral</w:t>
            </w:r>
          </w:p>
        </w:tc>
      </w:tr>
      <w:tr w:rsidR="000D2BFC" w:rsidRPr="004541A8" w14:paraId="77B66591" w14:textId="77777777" w:rsidTr="00BB2E8A">
        <w:tc>
          <w:tcPr>
            <w:tcW w:w="2689" w:type="dxa"/>
          </w:tcPr>
          <w:p w14:paraId="7CA5AAF9" w14:textId="77777777" w:rsidR="000D2BFC" w:rsidRPr="004541A8" w:rsidRDefault="000D2BFC" w:rsidP="00BB2E8A">
            <w:pPr>
              <w:rPr>
                <w:rFonts w:ascii="Century Gothic" w:eastAsia="Arial" w:hAnsi="Century Gothic" w:cs="Arial"/>
                <w:b/>
                <w:color w:val="000000"/>
                <w:sz w:val="22"/>
                <w:szCs w:val="22"/>
              </w:rPr>
            </w:pPr>
            <w:r w:rsidRPr="004541A8">
              <w:rPr>
                <w:rFonts w:ascii="Century Gothic" w:eastAsia="Arial" w:hAnsi="Century Gothic" w:cs="Arial"/>
                <w:b/>
                <w:color w:val="000000"/>
                <w:sz w:val="22"/>
                <w:szCs w:val="22"/>
              </w:rPr>
              <w:t>Radicación:</w:t>
            </w:r>
            <w:r w:rsidRPr="004541A8">
              <w:rPr>
                <w:rFonts w:ascii="Century Gothic" w:eastAsia="Arial" w:hAnsi="Century Gothic" w:cs="Arial"/>
                <w:color w:val="000000"/>
                <w:sz w:val="22"/>
                <w:szCs w:val="22"/>
              </w:rPr>
              <w:t xml:space="preserve">                              </w:t>
            </w:r>
          </w:p>
        </w:tc>
        <w:tc>
          <w:tcPr>
            <w:tcW w:w="6237" w:type="dxa"/>
          </w:tcPr>
          <w:p w14:paraId="7A9D1833" w14:textId="77777777" w:rsidR="000D2BFC" w:rsidRPr="004541A8" w:rsidRDefault="000D2BFC" w:rsidP="00BB2E8A">
            <w:pPr>
              <w:spacing w:before="0" w:line="276" w:lineRule="auto"/>
              <w:rPr>
                <w:rFonts w:ascii="Century Gothic" w:eastAsia="Arial" w:hAnsi="Century Gothic" w:cs="Arial"/>
                <w:color w:val="000000"/>
                <w:sz w:val="22"/>
                <w:szCs w:val="22"/>
              </w:rPr>
            </w:pPr>
            <w:r w:rsidRPr="004541A8">
              <w:rPr>
                <w:rFonts w:ascii="Century Gothic" w:eastAsia="Arial" w:hAnsi="Century Gothic" w:cs="Arial"/>
                <w:color w:val="000000"/>
                <w:sz w:val="22"/>
                <w:szCs w:val="22"/>
              </w:rPr>
              <w:t xml:space="preserve">Respuesta a consulta </w:t>
            </w:r>
            <w:r w:rsidRPr="009D070E">
              <w:rPr>
                <w:rFonts w:ascii="Century Gothic" w:eastAsia="Arial" w:hAnsi="Century Gothic" w:cs="Arial"/>
                <w:color w:val="000000"/>
                <w:sz w:val="22"/>
                <w:szCs w:val="22"/>
                <w:lang w:val="es-ES_tradnl"/>
              </w:rPr>
              <w:t>P20230815014242</w:t>
            </w:r>
          </w:p>
        </w:tc>
      </w:tr>
    </w:tbl>
    <w:p w14:paraId="2B63746C" w14:textId="77777777" w:rsidR="000D2BFC" w:rsidRPr="004541A8" w:rsidRDefault="000D2BFC" w:rsidP="000D2BFC">
      <w:pPr>
        <w:spacing w:after="0"/>
        <w:rPr>
          <w:rFonts w:ascii="Century Gothic" w:hAnsi="Century Gothic" w:cs="Arial"/>
          <w:color w:val="000000"/>
        </w:rPr>
      </w:pPr>
    </w:p>
    <w:p w14:paraId="217619BE" w14:textId="77777777" w:rsidR="000D2BFC" w:rsidRPr="004541A8" w:rsidRDefault="000D2BFC" w:rsidP="000D2BFC">
      <w:pPr>
        <w:spacing w:after="0"/>
        <w:rPr>
          <w:rFonts w:ascii="Century Gothic" w:eastAsia="Arial" w:hAnsi="Century Gothic" w:cs="Arial"/>
          <w:color w:val="000000"/>
        </w:rPr>
      </w:pPr>
    </w:p>
    <w:p w14:paraId="4AC664F1" w14:textId="146531B2" w:rsidR="000D2BFC" w:rsidRPr="004541A8" w:rsidRDefault="000D2BFC" w:rsidP="000D2BFC">
      <w:pPr>
        <w:spacing w:after="0"/>
        <w:rPr>
          <w:rFonts w:ascii="Century Gothic" w:eastAsia="Arial" w:hAnsi="Century Gothic" w:cs="Arial"/>
          <w:color w:val="000000"/>
        </w:rPr>
      </w:pPr>
      <w:r w:rsidRPr="004541A8">
        <w:rPr>
          <w:rFonts w:ascii="Century Gothic" w:eastAsia="Arial" w:hAnsi="Century Gothic" w:cs="Arial"/>
          <w:color w:val="000000"/>
        </w:rPr>
        <w:t xml:space="preserve">Estimado señor </w:t>
      </w:r>
      <w:r w:rsidR="00871EA9">
        <w:rPr>
          <w:rFonts w:ascii="Century Gothic" w:eastAsia="Arial" w:hAnsi="Century Gothic" w:cs="Arial"/>
          <w:color w:val="000000"/>
        </w:rPr>
        <w:t>Chaves</w:t>
      </w:r>
      <w:r w:rsidRPr="004541A8">
        <w:rPr>
          <w:rFonts w:ascii="Century Gothic" w:eastAsia="Arial" w:hAnsi="Century Gothic" w:cs="Arial"/>
          <w:color w:val="000000"/>
        </w:rPr>
        <w:t>,</w:t>
      </w:r>
    </w:p>
    <w:p w14:paraId="381B4000" w14:textId="77777777" w:rsidR="000D2BFC" w:rsidRPr="004541A8" w:rsidRDefault="000D2BFC" w:rsidP="000D2BFC">
      <w:pPr>
        <w:spacing w:after="0" w:line="276" w:lineRule="auto"/>
        <w:ind w:firstLine="709"/>
        <w:jc w:val="both"/>
        <w:rPr>
          <w:rFonts w:ascii="Century Gothic" w:eastAsia="Arial" w:hAnsi="Century Gothic" w:cs="Arial"/>
          <w:color w:val="000000"/>
        </w:rPr>
      </w:pPr>
    </w:p>
    <w:p w14:paraId="087320A9" w14:textId="77777777" w:rsidR="000D2BFC" w:rsidRPr="004541A8" w:rsidRDefault="000D2BFC" w:rsidP="000D2BFC">
      <w:pPr>
        <w:spacing w:after="0" w:line="276" w:lineRule="auto"/>
        <w:ind w:right="-94"/>
        <w:jc w:val="both"/>
        <w:rPr>
          <w:rFonts w:ascii="Century Gothic" w:eastAsia="Arial" w:hAnsi="Century Gothic" w:cs="Arial"/>
          <w:color w:val="000000"/>
        </w:rPr>
      </w:pPr>
      <w:r w:rsidRPr="004541A8">
        <w:rPr>
          <w:rFonts w:ascii="Century Gothic" w:eastAsia="Arial" w:hAnsi="Century Gothic" w:cs="Arial"/>
          <w:color w:val="000000"/>
        </w:rPr>
        <w:t>En ejercicio de la competencia otorgada por el numeral 8 del artículo 11 y el numeral 5 del artículo 3 del Decreto Ley 4170 de 2011, la Agencia Nacional de Contratación Pública – Colombia Compra Eficiente responde su consulta del 1</w:t>
      </w:r>
      <w:r>
        <w:rPr>
          <w:rFonts w:ascii="Century Gothic" w:eastAsia="Arial" w:hAnsi="Century Gothic" w:cs="Arial"/>
          <w:color w:val="000000"/>
        </w:rPr>
        <w:t>5</w:t>
      </w:r>
      <w:r w:rsidRPr="004541A8">
        <w:rPr>
          <w:rFonts w:ascii="Century Gothic" w:eastAsia="Arial" w:hAnsi="Century Gothic" w:cs="Arial"/>
          <w:color w:val="000000"/>
        </w:rPr>
        <w:t xml:space="preserve"> de agosto de 2023:</w:t>
      </w:r>
    </w:p>
    <w:p w14:paraId="43B8B302" w14:textId="77777777" w:rsidR="000D2BFC" w:rsidRPr="004541A8" w:rsidRDefault="000D2BFC" w:rsidP="000D2BFC">
      <w:pPr>
        <w:spacing w:after="0" w:line="240" w:lineRule="auto"/>
        <w:rPr>
          <w:rFonts w:ascii="Century Gothic" w:eastAsia="Arial" w:hAnsi="Century Gothic" w:cs="Arial"/>
          <w:color w:val="000000"/>
        </w:rPr>
      </w:pPr>
    </w:p>
    <w:p w14:paraId="1FB835BC" w14:textId="77777777" w:rsidR="000D2BFC" w:rsidRPr="004541A8" w:rsidRDefault="000D2BFC" w:rsidP="000D2BFC">
      <w:pPr>
        <w:spacing w:after="0" w:line="276" w:lineRule="auto"/>
        <w:ind w:right="-94"/>
        <w:jc w:val="both"/>
        <w:rPr>
          <w:rFonts w:ascii="Century Gothic" w:eastAsia="Arial" w:hAnsi="Century Gothic" w:cs="Arial"/>
          <w:color w:val="000000"/>
        </w:rPr>
      </w:pPr>
      <w:r w:rsidRPr="004541A8">
        <w:rPr>
          <w:rFonts w:ascii="Century Gothic" w:eastAsia="Arial" w:hAnsi="Century Gothic" w:cs="Arial"/>
          <w:b/>
          <w:color w:val="000000"/>
        </w:rPr>
        <w:t xml:space="preserve">1. Problema planteado </w:t>
      </w:r>
    </w:p>
    <w:p w14:paraId="78F2373F" w14:textId="77777777" w:rsidR="000D2BFC" w:rsidRPr="004541A8" w:rsidRDefault="000D2BFC" w:rsidP="000D2BFC">
      <w:pPr>
        <w:spacing w:after="0" w:line="240" w:lineRule="auto"/>
        <w:ind w:right="-94"/>
        <w:jc w:val="both"/>
        <w:rPr>
          <w:rFonts w:ascii="Century Gothic" w:eastAsia="Arial" w:hAnsi="Century Gothic" w:cs="Arial"/>
          <w:color w:val="000000"/>
        </w:rPr>
      </w:pPr>
    </w:p>
    <w:p w14:paraId="7F3E76CD" w14:textId="77777777" w:rsidR="000D2BFC" w:rsidRPr="009D070E" w:rsidRDefault="000D2BFC" w:rsidP="000D2BFC">
      <w:pPr>
        <w:spacing w:line="276" w:lineRule="auto"/>
        <w:jc w:val="both"/>
        <w:rPr>
          <w:rFonts w:ascii="Century Gothic" w:eastAsia="Arial" w:hAnsi="Century Gothic" w:cs="Arial"/>
          <w:color w:val="000000"/>
        </w:rPr>
      </w:pPr>
      <w:r w:rsidRPr="009D070E">
        <w:rPr>
          <w:rFonts w:ascii="Century Gothic" w:eastAsia="Arial" w:hAnsi="Century Gothic" w:cs="Arial"/>
          <w:color w:val="000000"/>
        </w:rPr>
        <w:t>Usted formula la siguiente consulta:</w:t>
      </w:r>
    </w:p>
    <w:p w14:paraId="1A608DB0" w14:textId="77777777" w:rsidR="000D2BFC" w:rsidRPr="009D070E" w:rsidRDefault="000D2BFC" w:rsidP="000D2BFC">
      <w:pPr>
        <w:spacing w:line="276" w:lineRule="auto"/>
        <w:ind w:firstLine="708"/>
        <w:jc w:val="both"/>
        <w:rPr>
          <w:rFonts w:ascii="Century Gothic" w:eastAsia="Arial" w:hAnsi="Century Gothic" w:cs="Arial"/>
          <w:color w:val="000000"/>
        </w:rPr>
      </w:pPr>
      <w:r w:rsidRPr="5FA28C31">
        <w:rPr>
          <w:rFonts w:ascii="Century Gothic" w:eastAsia="Arial" w:hAnsi="Century Gothic" w:cs="Arial"/>
          <w:color w:val="000000" w:themeColor="text1"/>
        </w:rPr>
        <w:t xml:space="preserve">En atención a los documentos tipo implementados mediante Resolución 358 de 2023 “Por la cual se adopta el documento tipo para la contratación directa de convenios solidarios para la ejecución de obras hasta la menor cuantía con organismos de acción comunal”, me permito solicitar aclaración respecto de los siguientes puntos de los documentos tipo establecidos para la contratación directa de convenios solidarios, en los siguientes términos: </w:t>
      </w:r>
    </w:p>
    <w:p w14:paraId="598A0ED0" w14:textId="37870ED4" w:rsidR="001A04D5" w:rsidRDefault="001A04D5" w:rsidP="000D2BFC">
      <w:pPr>
        <w:spacing w:line="276" w:lineRule="auto"/>
        <w:ind w:firstLine="708"/>
        <w:jc w:val="both"/>
        <w:rPr>
          <w:rFonts w:ascii="Century Gothic" w:eastAsia="Arial" w:hAnsi="Century Gothic" w:cs="Arial"/>
          <w:color w:val="000000"/>
        </w:rPr>
      </w:pPr>
      <w:r>
        <w:rPr>
          <w:rFonts w:ascii="Century Gothic" w:eastAsia="Arial" w:hAnsi="Century Gothic" w:cs="Arial"/>
          <w:color w:val="000000"/>
        </w:rPr>
        <w:lastRenderedPageBreak/>
        <w:t xml:space="preserve">1. </w:t>
      </w:r>
      <w:r w:rsidR="000360A7">
        <w:rPr>
          <w:rFonts w:ascii="Century Gothic" w:eastAsia="Arial" w:hAnsi="Century Gothic" w:cs="Arial"/>
          <w:color w:val="000000"/>
        </w:rPr>
        <w:t>E</w:t>
      </w:r>
      <w:r w:rsidR="000360A7" w:rsidRPr="000360A7">
        <w:rPr>
          <w:rFonts w:ascii="Century Gothic" w:eastAsia="Arial" w:hAnsi="Century Gothic" w:cs="Arial"/>
          <w:color w:val="000000"/>
        </w:rPr>
        <w:t>n la ejecución de los convenios, el Organismo de Acción Comunal cuando realiza sus aportes en especie, específicamente en mano de obra no calificada, la cual hace referencia a los habitantes de la comunidad, dicho vínculo se podría materializar por medio de contratos de voluntariado, sin que deba existir la obligación por parte del OAC de realizar los aportes al sistema de seguridad social integral, o si en su defecto, independientemente del vínculo contractual, deberá verificarse la afiliación al sistema de seguridad social integral de cada uno de los voluntarios dentro del convenio, o si en su defecto, los voluntarios del convenio están exonerados de los aportes al sistema de seguridad social integral</w:t>
      </w:r>
    </w:p>
    <w:p w14:paraId="1F8A3EB4" w14:textId="2162775E" w:rsidR="000360A7" w:rsidRDefault="000D2BFC" w:rsidP="000D2BFC">
      <w:pPr>
        <w:spacing w:line="276" w:lineRule="auto"/>
        <w:ind w:firstLine="708"/>
        <w:jc w:val="both"/>
        <w:rPr>
          <w:rFonts w:ascii="Century Gothic" w:eastAsia="Arial" w:hAnsi="Century Gothic" w:cs="Arial"/>
          <w:color w:val="000000"/>
        </w:rPr>
      </w:pPr>
      <w:r w:rsidRPr="009D070E">
        <w:rPr>
          <w:rFonts w:ascii="Century Gothic" w:eastAsia="Arial" w:hAnsi="Century Gothic" w:cs="Arial"/>
          <w:color w:val="000000"/>
        </w:rPr>
        <w:t xml:space="preserve">2. </w:t>
      </w:r>
      <w:r w:rsidR="000360A7">
        <w:rPr>
          <w:rFonts w:ascii="Century Gothic" w:eastAsia="Arial" w:hAnsi="Century Gothic" w:cs="Arial"/>
          <w:color w:val="000000"/>
        </w:rPr>
        <w:t>D</w:t>
      </w:r>
      <w:r w:rsidR="000360A7" w:rsidRPr="000360A7">
        <w:rPr>
          <w:rFonts w:ascii="Century Gothic" w:eastAsia="Arial" w:hAnsi="Century Gothic" w:cs="Arial"/>
          <w:color w:val="000000"/>
        </w:rPr>
        <w:t>ichos desembolsos pueden ser condicionados al avance de las actividades establecidas dentro del convenio</w:t>
      </w:r>
      <w:r w:rsidR="000360A7">
        <w:rPr>
          <w:rFonts w:ascii="Century Gothic" w:eastAsia="Arial" w:hAnsi="Century Gothic" w:cs="Arial"/>
          <w:color w:val="000000"/>
        </w:rPr>
        <w:t>?</w:t>
      </w:r>
    </w:p>
    <w:p w14:paraId="56930CD4" w14:textId="77777777" w:rsidR="000360A7" w:rsidRDefault="000360A7" w:rsidP="000D2BFC">
      <w:pPr>
        <w:spacing w:line="276" w:lineRule="auto"/>
        <w:ind w:firstLine="708"/>
        <w:jc w:val="both"/>
        <w:rPr>
          <w:rFonts w:ascii="Century Gothic" w:eastAsia="Arial" w:hAnsi="Century Gothic" w:cs="Arial"/>
          <w:color w:val="000000"/>
        </w:rPr>
      </w:pPr>
      <w:r>
        <w:rPr>
          <w:rFonts w:ascii="Century Gothic" w:eastAsia="Arial" w:hAnsi="Century Gothic" w:cs="Arial"/>
          <w:color w:val="000000"/>
        </w:rPr>
        <w:t>3. L</w:t>
      </w:r>
      <w:r w:rsidRPr="000360A7">
        <w:rPr>
          <w:rFonts w:ascii="Century Gothic" w:eastAsia="Arial" w:hAnsi="Century Gothic" w:cs="Arial"/>
          <w:color w:val="000000"/>
        </w:rPr>
        <w:t>a Entidad puede establecer un desembolso inicial sin que exista avance de actividades dentro del convenio?</w:t>
      </w:r>
    </w:p>
    <w:p w14:paraId="1B2A5813" w14:textId="704F36A5" w:rsidR="000D2BFC" w:rsidRPr="009D070E" w:rsidRDefault="001A04D5" w:rsidP="000D2BFC">
      <w:pPr>
        <w:spacing w:line="276" w:lineRule="auto"/>
        <w:ind w:firstLine="708"/>
        <w:jc w:val="both"/>
        <w:rPr>
          <w:rFonts w:ascii="Century Gothic" w:eastAsia="Arial" w:hAnsi="Century Gothic" w:cs="Arial"/>
          <w:color w:val="000000"/>
        </w:rPr>
      </w:pPr>
      <w:r>
        <w:rPr>
          <w:rFonts w:ascii="Century Gothic" w:eastAsia="Arial" w:hAnsi="Century Gothic" w:cs="Arial"/>
          <w:color w:val="000000"/>
        </w:rPr>
        <w:t>4.</w:t>
      </w:r>
      <w:r w:rsidR="00CD4276">
        <w:rPr>
          <w:rFonts w:ascii="Century Gothic" w:eastAsia="Arial" w:hAnsi="Century Gothic" w:cs="Arial"/>
          <w:color w:val="000000"/>
        </w:rPr>
        <w:t xml:space="preserve"> </w:t>
      </w:r>
      <w:r w:rsidR="005C0F18" w:rsidRPr="005C0F18">
        <w:rPr>
          <w:rFonts w:ascii="Century Gothic" w:eastAsia="Arial" w:hAnsi="Century Gothic" w:cs="Arial"/>
          <w:color w:val="000000"/>
        </w:rPr>
        <w:t>¿los giros siempre deberán realizarse directamente a terceros proveedores y/o mano de obra contratada? O ¿Se podrá autorizar uno o varios desembolsos al OAC con el fin de que sea este quien realice los respectivos pagos, siempre y cuando antes de la liquidación del convenio, entregue cada uno de ellos soportes establecidos en la cláusula novena de la minuta tipo</w:t>
      </w:r>
      <w:r w:rsidR="005F30A9">
        <w:rPr>
          <w:rFonts w:ascii="Century Gothic" w:eastAsia="Arial" w:hAnsi="Century Gothic" w:cs="Arial"/>
          <w:color w:val="000000"/>
        </w:rPr>
        <w:t>?</w:t>
      </w:r>
      <w:r w:rsidR="000D2BFC" w:rsidRPr="009D070E">
        <w:rPr>
          <w:rFonts w:ascii="Century Gothic" w:eastAsia="Arial" w:hAnsi="Century Gothic" w:cs="Arial"/>
          <w:color w:val="000000"/>
        </w:rPr>
        <w:t xml:space="preserve"> </w:t>
      </w:r>
    </w:p>
    <w:p w14:paraId="06446599" w14:textId="77777777" w:rsidR="000D2BFC" w:rsidRPr="004541A8" w:rsidRDefault="000D2BFC" w:rsidP="000D2BFC">
      <w:pPr>
        <w:tabs>
          <w:tab w:val="left" w:pos="284"/>
        </w:tabs>
        <w:spacing w:after="0" w:line="276" w:lineRule="auto"/>
        <w:rPr>
          <w:rFonts w:ascii="Century Gothic" w:eastAsia="Arial" w:hAnsi="Century Gothic" w:cs="Arial"/>
          <w:b/>
          <w:color w:val="000000"/>
        </w:rPr>
      </w:pPr>
      <w:r w:rsidRPr="00DA3292">
        <w:rPr>
          <w:rFonts w:ascii="Century Gothic" w:eastAsia="Arial" w:hAnsi="Century Gothic" w:cs="Arial"/>
          <w:b/>
          <w:color w:val="000000"/>
        </w:rPr>
        <w:t>2. Consideraciones</w:t>
      </w:r>
    </w:p>
    <w:p w14:paraId="08FA495F" w14:textId="77777777" w:rsidR="000D2BFC" w:rsidRDefault="000D2BFC" w:rsidP="000D2BFC">
      <w:pPr>
        <w:spacing w:after="0" w:line="240" w:lineRule="auto"/>
        <w:rPr>
          <w:rFonts w:ascii="Century Gothic" w:eastAsia="Arial" w:hAnsi="Century Gothic" w:cs="Arial"/>
          <w:color w:val="000000"/>
        </w:rPr>
      </w:pPr>
    </w:p>
    <w:p w14:paraId="04DD75A0" w14:textId="77777777" w:rsidR="000D2BFC" w:rsidRPr="00CD3CEA" w:rsidRDefault="000D2BFC" w:rsidP="000D2BFC">
      <w:pPr>
        <w:spacing w:after="120" w:line="276" w:lineRule="auto"/>
        <w:jc w:val="both"/>
        <w:rPr>
          <w:rFonts w:ascii="Century Gothic" w:hAnsi="Century Gothic" w:cs="Arial"/>
          <w:lang w:val="es-ES"/>
        </w:rPr>
      </w:pPr>
      <w:r>
        <w:rPr>
          <w:rFonts w:ascii="Century Gothic" w:hAnsi="Century Gothic" w:cs="Arial"/>
        </w:rPr>
        <w:t>E</w:t>
      </w:r>
      <w:r w:rsidRPr="00CD3CEA">
        <w:rPr>
          <w:rFonts w:ascii="Century Gothic" w:hAnsi="Century Gothic" w:cs="Arial"/>
        </w:rPr>
        <w:t xml:space="preserve">n ejercicio de las competencias establecidas en 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CD3CEA">
        <w:rPr>
          <w:rFonts w:ascii="Century Gothic" w:hAnsi="Century Gothic" w:cs="Arial"/>
          <w:lang w:val="es-ES"/>
        </w:rPr>
        <w:t>citados.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D3CEA">
        <w:rPr>
          <w:rFonts w:ascii="Century Gothic" w:hAnsi="Century Gothic" w:cs="Arial"/>
        </w:rPr>
        <w:t xml:space="preserve"> de todos los partícipes de la contratación estatal.</w:t>
      </w:r>
    </w:p>
    <w:p w14:paraId="3EF6207F" w14:textId="77777777" w:rsidR="000D2BFC" w:rsidRPr="00CD3CEA" w:rsidRDefault="000D2BFC" w:rsidP="000D2BFC">
      <w:pPr>
        <w:spacing w:after="120" w:line="276" w:lineRule="auto"/>
        <w:ind w:firstLine="708"/>
        <w:jc w:val="both"/>
        <w:rPr>
          <w:rFonts w:ascii="Century Gothic" w:hAnsi="Century Gothic" w:cs="Arial"/>
          <w:lang w:val="es-ES"/>
        </w:rPr>
      </w:pPr>
      <w:r w:rsidRPr="00CD3CEA">
        <w:rPr>
          <w:rFonts w:ascii="Century Gothic" w:hAnsi="Century Gothic"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CD3CEA">
        <w:rPr>
          <w:rFonts w:ascii="Century Gothic" w:hAnsi="Century Gothic" w:cs="Arial"/>
          <w:lang w:val="es-ES"/>
        </w:rPr>
        <w:lastRenderedPageBreak/>
        <w:t>contratación pública</w:t>
      </w:r>
      <w:r w:rsidRPr="00CD3CEA">
        <w:rPr>
          <w:rFonts w:ascii="Century Gothic" w:hAnsi="Century Gothic" w:cs="Arial"/>
          <w:vertAlign w:val="superscript"/>
          <w:lang w:val="es-ES"/>
        </w:rPr>
        <w:footnoteReference w:id="2"/>
      </w:r>
      <w:r w:rsidRPr="00CD3CEA">
        <w:rPr>
          <w:rFonts w:ascii="Century Gothic" w:hAnsi="Century Gothic"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w:t>
      </w:r>
    </w:p>
    <w:p w14:paraId="03497BF7" w14:textId="77777777" w:rsidR="000D2BFC" w:rsidRDefault="000D2BFC" w:rsidP="000D2BFC">
      <w:pPr>
        <w:tabs>
          <w:tab w:val="left" w:pos="709"/>
        </w:tabs>
        <w:spacing w:after="120" w:line="276" w:lineRule="auto"/>
        <w:jc w:val="both"/>
        <w:rPr>
          <w:rFonts w:ascii="Century Gothic" w:eastAsia="Calibri" w:hAnsi="Century Gothic" w:cs="Arial"/>
          <w:bCs/>
          <w:lang w:val="es-ES"/>
        </w:rPr>
      </w:pPr>
      <w:r w:rsidRPr="00CD3CEA">
        <w:rPr>
          <w:rFonts w:ascii="Century Gothic" w:eastAsia="Calibri" w:hAnsi="Century Gothic" w:cs="Arial"/>
          <w:bCs/>
        </w:rPr>
        <w:tab/>
        <w:t xml:space="preserve">En este contexto, la Subdirección –dentro de los límites de sus atribuciones– resolverá la petición conforme a las normas generales en materia de contratación estatal. Con este objetivo se abordarán </w:t>
      </w:r>
      <w:r w:rsidRPr="00CD3CEA">
        <w:rPr>
          <w:rFonts w:ascii="Century Gothic" w:eastAsia="Calibri" w:hAnsi="Century Gothic" w:cs="Arial"/>
          <w:bCs/>
          <w:lang w:val="es-ES"/>
        </w:rPr>
        <w:t xml:space="preserve">los siguientes temas: i) documentos tipo de convenios solidarios para la ejecución de obras hasta la menor cuantía con organismos de acción </w:t>
      </w:r>
      <w:r w:rsidRPr="00044577">
        <w:rPr>
          <w:rFonts w:ascii="Century Gothic" w:eastAsia="Calibri" w:hAnsi="Century Gothic" w:cs="Arial"/>
          <w:bCs/>
          <w:lang w:val="es-ES"/>
        </w:rPr>
        <w:t xml:space="preserve">comunal </w:t>
      </w:r>
      <w:proofErr w:type="spellStart"/>
      <w:r w:rsidRPr="00044577">
        <w:rPr>
          <w:rFonts w:ascii="Century Gothic" w:eastAsia="Calibri" w:hAnsi="Century Gothic" w:cs="Arial"/>
          <w:bCs/>
          <w:lang w:val="es-ES"/>
        </w:rPr>
        <w:t>ii</w:t>
      </w:r>
      <w:proofErr w:type="spellEnd"/>
      <w:r w:rsidRPr="00044577">
        <w:rPr>
          <w:rFonts w:ascii="Century Gothic" w:eastAsia="Calibri" w:hAnsi="Century Gothic" w:cs="Arial"/>
          <w:bCs/>
          <w:lang w:val="es-ES"/>
        </w:rPr>
        <w:t xml:space="preserve">) inalterabilidad de los documentos tipo </w:t>
      </w:r>
      <w:proofErr w:type="spellStart"/>
      <w:r w:rsidRPr="00044577">
        <w:rPr>
          <w:rFonts w:ascii="Century Gothic" w:eastAsia="Calibri" w:hAnsi="Century Gothic" w:cs="Arial"/>
          <w:bCs/>
          <w:lang w:val="es-ES"/>
        </w:rPr>
        <w:t>iii</w:t>
      </w:r>
      <w:proofErr w:type="spellEnd"/>
      <w:r w:rsidRPr="00044577">
        <w:rPr>
          <w:rFonts w:ascii="Century Gothic" w:eastAsia="Calibri" w:hAnsi="Century Gothic" w:cs="Arial"/>
          <w:bCs/>
          <w:lang w:val="es-ES"/>
        </w:rPr>
        <w:t xml:space="preserve">) discrecionalidad para establecer forma de uno, disposición y giro de los recursos, </w:t>
      </w:r>
      <w:r>
        <w:rPr>
          <w:rFonts w:ascii="Century Gothic" w:eastAsia="Calibri" w:hAnsi="Century Gothic" w:cs="Arial"/>
          <w:bCs/>
          <w:lang w:val="es-ES"/>
        </w:rPr>
        <w:t>in</w:t>
      </w:r>
      <w:r w:rsidRPr="00044577">
        <w:rPr>
          <w:rFonts w:ascii="Century Gothic" w:hAnsi="Century Gothic" w:cs="Arial"/>
          <w:color w:val="000000"/>
          <w:lang w:val="es-ES_tradnl"/>
        </w:rPr>
        <w:t>existencia de relaci</w:t>
      </w:r>
      <w:r w:rsidRPr="00044577">
        <w:rPr>
          <w:rFonts w:ascii="Century Gothic" w:hAnsi="Century Gothic" w:cs="Century Gothic"/>
          <w:color w:val="000000"/>
          <w:lang w:val="es-ES_tradnl"/>
        </w:rPr>
        <w:t>ó</w:t>
      </w:r>
      <w:r w:rsidRPr="00044577">
        <w:rPr>
          <w:rFonts w:ascii="Century Gothic" w:hAnsi="Century Gothic" w:cs="Arial"/>
          <w:color w:val="000000"/>
          <w:lang w:val="es-ES_tradnl"/>
        </w:rPr>
        <w:t>n laboral.</w:t>
      </w:r>
    </w:p>
    <w:p w14:paraId="352577E4" w14:textId="77777777" w:rsidR="000D2BFC" w:rsidRDefault="000D2BFC" w:rsidP="000D2BFC">
      <w:pPr>
        <w:spacing w:line="276" w:lineRule="auto"/>
        <w:jc w:val="both"/>
        <w:rPr>
          <w:rFonts w:ascii="Century Gothic" w:eastAsia="Calibri" w:hAnsi="Century Gothic" w:cs="Arial"/>
          <w:b/>
          <w:bCs/>
          <w:color w:val="000000"/>
          <w:lang w:eastAsia="en-GB"/>
        </w:rPr>
      </w:pPr>
      <w:r w:rsidRPr="004541A8">
        <w:rPr>
          <w:rFonts w:ascii="Century Gothic" w:eastAsia="Calibri" w:hAnsi="Century Gothic" w:cs="Arial"/>
          <w:b/>
          <w:bCs/>
          <w:color w:val="000000"/>
          <w:lang w:eastAsia="en-GB"/>
        </w:rPr>
        <w:t xml:space="preserve">2.1. </w:t>
      </w:r>
      <w:r>
        <w:rPr>
          <w:rFonts w:ascii="Century Gothic" w:eastAsia="Calibri" w:hAnsi="Century Gothic" w:cs="Arial"/>
          <w:b/>
          <w:bCs/>
          <w:color w:val="000000"/>
          <w:lang w:eastAsia="en-GB"/>
        </w:rPr>
        <w:t>D</w:t>
      </w:r>
      <w:r w:rsidRPr="00555B92">
        <w:rPr>
          <w:rFonts w:ascii="Century Gothic" w:eastAsia="Calibri" w:hAnsi="Century Gothic" w:cs="Arial"/>
          <w:b/>
          <w:bCs/>
          <w:color w:val="000000"/>
          <w:lang w:eastAsia="en-GB"/>
        </w:rPr>
        <w:t>ocumentos tipo de convenios solidarios para la ejecución de obras hasta la menor cuantía con organismos de acción comunal</w:t>
      </w:r>
    </w:p>
    <w:p w14:paraId="79753267" w14:textId="77777777" w:rsidR="000D2BFC" w:rsidRPr="00555B92" w:rsidRDefault="000D2BFC" w:rsidP="000D2BFC">
      <w:pPr>
        <w:tabs>
          <w:tab w:val="left" w:pos="0"/>
        </w:tabs>
        <w:spacing w:after="120" w:line="276" w:lineRule="auto"/>
        <w:jc w:val="both"/>
        <w:rPr>
          <w:rFonts w:ascii="Century Gothic" w:hAnsi="Century Gothic" w:cs="Arial"/>
          <w:spacing w:val="2"/>
          <w:lang w:eastAsia="es-CO"/>
        </w:rPr>
      </w:pPr>
      <w:r w:rsidRPr="00555B92">
        <w:rPr>
          <w:rFonts w:ascii="Century Gothic" w:hAnsi="Century Gothic" w:cs="Arial"/>
          <w:spacing w:val="2"/>
          <w:lang w:eastAsia="es-CO"/>
        </w:rPr>
        <w:t xml:space="preserve">Tal como se expuso en el numeral 2.1 de este concepto, con fundamento en la competencia prevista en el artículo 1 de la Ley 2022 de 2020, el pasado 30 de junio de 2023 la Agencia Nacional de Contratación Pública </w:t>
      </w:r>
      <w:r w:rsidRPr="00555B92">
        <w:rPr>
          <w:rFonts w:ascii="Century Gothic" w:eastAsia="Calibri" w:hAnsi="Century Gothic" w:cs="Arial"/>
          <w:color w:val="000000"/>
          <w:lang w:val="es-ES" w:eastAsia="es-ES"/>
        </w:rPr>
        <w:t>– Colombia Compra Eficiente</w:t>
      </w:r>
      <w:r w:rsidRPr="00555B92">
        <w:rPr>
          <w:rFonts w:ascii="Century Gothic" w:hAnsi="Century Gothic" w:cs="Arial"/>
          <w:spacing w:val="2"/>
          <w:lang w:eastAsia="es-CO"/>
        </w:rPr>
        <w:t xml:space="preserve"> expidió la Resolución 358 de 2023 “</w:t>
      </w:r>
      <w:hyperlink r:id="rId12" w:history="1">
        <w:r w:rsidRPr="00555B92">
          <w:rPr>
            <w:rFonts w:ascii="Century Gothic" w:hAnsi="Century Gothic" w:cs="Arial"/>
            <w:spacing w:val="2"/>
            <w:lang w:eastAsia="es-CO"/>
          </w:rPr>
          <w:t>Por la cual se adopta el documento tipo para la contratación directa de convenios solidarios para la ejecución de obras hasta la menor cuantía con organismos de acción comunal”</w:t>
        </w:r>
        <w:r w:rsidRPr="00555B92">
          <w:rPr>
            <w:rStyle w:val="FootnoteReference"/>
            <w:rFonts w:ascii="Century Gothic" w:hAnsi="Century Gothic" w:cs="Arial"/>
            <w:spacing w:val="2"/>
            <w:lang w:eastAsia="es-CO"/>
          </w:rPr>
          <w:footnoteReference w:id="3"/>
        </w:r>
        <w:r w:rsidRPr="00555B92">
          <w:rPr>
            <w:rFonts w:ascii="Century Gothic" w:hAnsi="Century Gothic" w:cs="Arial"/>
            <w:spacing w:val="2"/>
            <w:lang w:eastAsia="es-CO"/>
          </w:rPr>
          <w:t>. </w:t>
        </w:r>
      </w:hyperlink>
      <w:r w:rsidRPr="00555B92">
        <w:rPr>
          <w:rFonts w:ascii="Century Gothic" w:hAnsi="Century Gothic"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201BA2B0" w14:textId="77777777" w:rsidR="000D2BFC" w:rsidRPr="00555B92" w:rsidRDefault="000D2BFC" w:rsidP="000D2BFC">
      <w:pPr>
        <w:tabs>
          <w:tab w:val="left" w:pos="0"/>
        </w:tabs>
        <w:spacing w:after="120" w:line="276" w:lineRule="auto"/>
        <w:jc w:val="both"/>
        <w:rPr>
          <w:rFonts w:ascii="Century Gothic" w:hAnsi="Century Gothic" w:cs="Arial"/>
          <w:spacing w:val="2"/>
          <w:lang w:eastAsia="es-CO"/>
        </w:rPr>
      </w:pPr>
      <w:r w:rsidRPr="00555B92">
        <w:rPr>
          <w:rFonts w:ascii="Century Gothic" w:hAnsi="Century Gothic" w:cs="Arial"/>
          <w:spacing w:val="2"/>
          <w:lang w:eastAsia="es-CO"/>
        </w:rPr>
        <w:lastRenderedPageBreak/>
        <w:tab/>
        <w:t>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hasta el monto de la menor cuantía</w:t>
      </w:r>
      <w:r w:rsidRPr="00555B92">
        <w:rPr>
          <w:rStyle w:val="FootnoteReference"/>
          <w:rFonts w:ascii="Century Gothic" w:hAnsi="Century Gothic" w:cs="Arial"/>
          <w:spacing w:val="2"/>
          <w:lang w:eastAsia="es-CO"/>
        </w:rPr>
        <w:footnoteReference w:id="4"/>
      </w:r>
      <w:r w:rsidRPr="00555B92">
        <w:rPr>
          <w:rFonts w:ascii="Century Gothic" w:hAnsi="Century Gothic" w:cs="Arial"/>
          <w:spacing w:val="2"/>
          <w:lang w:eastAsia="es-CO"/>
        </w:rPr>
        <w:t xml:space="preserve">. Además, en este artículo se señala que componen ese documento tipo: i) Minuta tipo, </w:t>
      </w:r>
      <w:proofErr w:type="spellStart"/>
      <w:r w:rsidRPr="00555B92">
        <w:rPr>
          <w:rFonts w:ascii="Century Gothic" w:hAnsi="Century Gothic" w:cs="Arial"/>
          <w:spacing w:val="2"/>
          <w:lang w:eastAsia="es-CO"/>
        </w:rPr>
        <w:t>ii</w:t>
      </w:r>
      <w:proofErr w:type="spellEnd"/>
      <w:r w:rsidRPr="00555B92">
        <w:rPr>
          <w:rFonts w:ascii="Century Gothic" w:hAnsi="Century Gothic" w:cs="Arial"/>
          <w:spacing w:val="2"/>
          <w:lang w:eastAsia="es-CO"/>
        </w:rPr>
        <w:t xml:space="preserve">) Anexo1 – Especificaciones técnicas, </w:t>
      </w:r>
      <w:proofErr w:type="spellStart"/>
      <w:r w:rsidRPr="00555B92">
        <w:rPr>
          <w:rFonts w:ascii="Century Gothic" w:hAnsi="Century Gothic" w:cs="Arial"/>
          <w:spacing w:val="2"/>
          <w:lang w:eastAsia="es-CO"/>
        </w:rPr>
        <w:t>iii</w:t>
      </w:r>
      <w:proofErr w:type="spellEnd"/>
      <w:r w:rsidRPr="00555B92">
        <w:rPr>
          <w:rFonts w:ascii="Century Gothic" w:hAnsi="Century Gothic" w:cs="Arial"/>
          <w:spacing w:val="2"/>
          <w:lang w:eastAsia="es-CO"/>
        </w:rPr>
        <w:t xml:space="preserve">) Anexo 2 – Análisis del Sector y </w:t>
      </w:r>
      <w:proofErr w:type="spellStart"/>
      <w:r w:rsidRPr="00555B92">
        <w:rPr>
          <w:rFonts w:ascii="Century Gothic" w:hAnsi="Century Gothic" w:cs="Arial"/>
          <w:spacing w:val="2"/>
          <w:lang w:eastAsia="es-CO"/>
        </w:rPr>
        <w:t>iv</w:t>
      </w:r>
      <w:proofErr w:type="spellEnd"/>
      <w:r w:rsidRPr="00555B92">
        <w:rPr>
          <w:rFonts w:ascii="Century Gothic" w:hAnsi="Century Gothic" w:cs="Arial"/>
          <w:spacing w:val="2"/>
          <w:lang w:eastAsia="es-CO"/>
        </w:rPr>
        <w:t xml:space="preserve">) Matriz de Riesgos. </w:t>
      </w:r>
    </w:p>
    <w:p w14:paraId="5F3D0AC9" w14:textId="77777777" w:rsidR="000D2BFC" w:rsidRPr="00555B92" w:rsidRDefault="000D2BFC" w:rsidP="000D2BFC">
      <w:pPr>
        <w:shd w:val="clear" w:color="auto" w:fill="FFFFFF"/>
        <w:spacing w:after="120" w:line="276" w:lineRule="auto"/>
        <w:jc w:val="both"/>
        <w:textAlignment w:val="baseline"/>
        <w:rPr>
          <w:rFonts w:ascii="Century Gothic" w:hAnsi="Century Gothic" w:cs="Arial"/>
          <w:bCs/>
          <w:lang w:val="es-ES_tradnl"/>
        </w:rPr>
      </w:pPr>
      <w:r w:rsidRPr="00555B92">
        <w:rPr>
          <w:rFonts w:ascii="Century Gothic" w:hAnsi="Century Gothic" w:cs="Arial"/>
          <w:spacing w:val="2"/>
          <w:lang w:eastAsia="es-CO"/>
        </w:rPr>
        <w:tab/>
        <w:t xml:space="preserve">Seguidamente, el artículo 3 dispone </w:t>
      </w:r>
      <w:r w:rsidRPr="00555B92">
        <w:rPr>
          <w:rFonts w:ascii="Century Gothic" w:hAnsi="Century Gothic" w:cs="Arial"/>
          <w:bCs/>
          <w:lang w:val="es-ES_tradnl"/>
        </w:rPr>
        <w:t xml:space="preserve">dispone la inalterabilidad de los documentos tipo </w:t>
      </w:r>
      <w:r w:rsidRPr="00555B92">
        <w:rPr>
          <w:rFonts w:ascii="Century Gothic" w:eastAsia="Calibri" w:hAnsi="Century Gothic" w:cs="Arial"/>
          <w:lang w:val="es-ES" w:eastAsia="es-MX"/>
        </w:rPr>
        <w:t>para la contratación directa de convenios solidarios para la ejecución de obras hasta la menor cuantía con organismos de acción comunal</w:t>
      </w:r>
      <w:r w:rsidRPr="00555B92">
        <w:rPr>
          <w:rFonts w:ascii="Century Gothic" w:hAnsi="Century Gothic"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podrán variarse algunos de los requisitos fijados en ellos. </w:t>
      </w:r>
    </w:p>
    <w:p w14:paraId="43D39A7C" w14:textId="77777777" w:rsidR="000D2BFC" w:rsidRPr="00555B92" w:rsidRDefault="000D2BFC" w:rsidP="000D2BFC">
      <w:pPr>
        <w:shd w:val="clear" w:color="auto" w:fill="FFFFFF"/>
        <w:spacing w:after="120" w:line="276" w:lineRule="auto"/>
        <w:ind w:firstLine="708"/>
        <w:jc w:val="both"/>
        <w:textAlignment w:val="baseline"/>
        <w:rPr>
          <w:rFonts w:ascii="Century Gothic" w:eastAsia="Calibri" w:hAnsi="Century Gothic" w:cs="Arial"/>
          <w:bCs/>
          <w:szCs w:val="24"/>
          <w:lang w:val="es-ES_tradnl" w:eastAsia="es-ES_tradnl"/>
        </w:rPr>
      </w:pPr>
      <w:r w:rsidRPr="00555B92">
        <w:rPr>
          <w:rFonts w:ascii="Century Gothic" w:eastAsia="Calibri" w:hAnsi="Century Gothic" w:cs="Arial"/>
          <w:bCs/>
          <w:szCs w:val="24"/>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27DA5C3E" w14:textId="77777777" w:rsidR="000D2BFC" w:rsidRPr="00555B92" w:rsidRDefault="000D2BFC" w:rsidP="000D2BFC">
      <w:pPr>
        <w:tabs>
          <w:tab w:val="left" w:pos="0"/>
        </w:tabs>
        <w:spacing w:after="120" w:line="276" w:lineRule="auto"/>
        <w:jc w:val="both"/>
        <w:rPr>
          <w:rFonts w:ascii="Century Gothic" w:hAnsi="Century Gothic" w:cs="Arial"/>
          <w:bCs/>
          <w:color w:val="000000" w:themeColor="text1"/>
          <w:lang w:eastAsia="es-MX"/>
        </w:rPr>
      </w:pPr>
      <w:r w:rsidRPr="00555B92">
        <w:rPr>
          <w:rFonts w:ascii="Century Gothic" w:eastAsia="Calibri" w:hAnsi="Century Gothic" w:cs="Arial"/>
          <w:bCs/>
          <w:szCs w:val="24"/>
          <w:lang w:val="es-ES_tradnl" w:eastAsia="es-ES_tradnl"/>
        </w:rPr>
        <w:tab/>
        <w:t xml:space="preserve">Conforme al contenido de la Resolución 358 del 30 de junio de 2023, conviene precisar que los documentos tipo que se adoptan, son aquellos </w:t>
      </w:r>
      <w:r w:rsidRPr="00555B92">
        <w:rPr>
          <w:rFonts w:ascii="Century Gothic" w:hAnsi="Century Gothic" w:cs="Arial"/>
          <w:spacing w:val="2"/>
          <w:lang w:eastAsia="es-CO"/>
        </w:rPr>
        <w:t>para la contratación directa de convenios solidarios para la ejecución de obras hasta la menor cuantía con Organismos de Acción Comunal, los cuales tiene como fundamento normativo el artículo 95 “Convenios solidarios” de la Ley 2166 de 2021</w:t>
      </w:r>
      <w:r w:rsidRPr="00555B92">
        <w:rPr>
          <w:rStyle w:val="FootnoteReference"/>
          <w:rFonts w:ascii="Century Gothic" w:hAnsi="Century Gothic" w:cs="Arial"/>
          <w:spacing w:val="2"/>
          <w:lang w:eastAsia="es-CO"/>
        </w:rPr>
        <w:footnoteReference w:id="5"/>
      </w:r>
      <w:r w:rsidRPr="00555B92">
        <w:rPr>
          <w:rFonts w:ascii="Century Gothic" w:hAnsi="Century Gothic" w:cs="Arial"/>
          <w:spacing w:val="2"/>
          <w:lang w:eastAsia="es-CO"/>
        </w:rPr>
        <w:t xml:space="preserve">, reglamentado en el artículo </w:t>
      </w:r>
      <w:r w:rsidRPr="00555B92">
        <w:rPr>
          <w:rFonts w:ascii="Century Gothic" w:hAnsi="Century Gothic" w:cs="Arial"/>
          <w:color w:val="000000" w:themeColor="text1"/>
          <w:lang w:val="es-MX"/>
        </w:rPr>
        <w:t>15 del Decreto 142 de 2023</w:t>
      </w:r>
      <w:r w:rsidRPr="00555B92">
        <w:rPr>
          <w:rStyle w:val="FootnoteReference"/>
          <w:rFonts w:ascii="Century Gothic" w:hAnsi="Century Gothic" w:cs="Arial"/>
          <w:color w:val="000000" w:themeColor="text1"/>
          <w:lang w:val="es-MX"/>
        </w:rPr>
        <w:footnoteReference w:id="6"/>
      </w:r>
      <w:r w:rsidRPr="00555B92">
        <w:rPr>
          <w:rFonts w:ascii="Century Gothic" w:hAnsi="Century Gothic" w:cs="Arial"/>
          <w:color w:val="000000" w:themeColor="text1"/>
          <w:lang w:val="es-MX"/>
        </w:rPr>
        <w:t xml:space="preserve"> </w:t>
      </w:r>
      <w:r w:rsidRPr="00555B92">
        <w:rPr>
          <w:rFonts w:ascii="Century Gothic" w:hAnsi="Century Gothic" w:cs="Arial"/>
          <w:bCs/>
          <w:color w:val="000000" w:themeColor="text1"/>
          <w:lang w:eastAsia="es-MX"/>
        </w:rPr>
        <w:t xml:space="preserve">el cual adiciona el </w:t>
      </w:r>
      <w:r w:rsidRPr="00555B92">
        <w:rPr>
          <w:rFonts w:ascii="Century Gothic" w:hAnsi="Century Gothic" w:cs="Arial"/>
          <w:bCs/>
          <w:color w:val="000000" w:themeColor="text1"/>
          <w:lang w:eastAsia="es-MX"/>
        </w:rPr>
        <w:lastRenderedPageBreak/>
        <w:t>artículo 2.2.15.1.2 del Decreto 1082 de 2015, en la forma que se señala a continuación.</w:t>
      </w:r>
    </w:p>
    <w:p w14:paraId="7F117E27" w14:textId="77777777" w:rsidR="000D2BFC" w:rsidRPr="00555B92" w:rsidRDefault="000D2BFC" w:rsidP="000D2BFC">
      <w:pPr>
        <w:shd w:val="clear" w:color="auto" w:fill="FFFFFF" w:themeFill="background1"/>
        <w:spacing w:after="120" w:line="276" w:lineRule="auto"/>
        <w:jc w:val="both"/>
        <w:rPr>
          <w:rFonts w:ascii="Century Gothic" w:hAnsi="Century Gothic" w:cs="Arial"/>
          <w:bCs/>
          <w:color w:val="000000" w:themeColor="text1"/>
          <w:lang w:eastAsia="es-MX"/>
        </w:rPr>
      </w:pPr>
      <w:r w:rsidRPr="00555B92">
        <w:rPr>
          <w:rFonts w:ascii="Century Gothic" w:hAnsi="Century Gothic" w:cs="Arial"/>
          <w:bCs/>
          <w:color w:val="000000" w:themeColor="text1"/>
          <w:lang w:eastAsia="es-MX"/>
        </w:rPr>
        <w:tab/>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555B92">
        <w:rPr>
          <w:rFonts w:ascii="Century Gothic" w:eastAsia="Calibri" w:hAnsi="Century Gothic" w:cs="Arial"/>
          <w:color w:val="000000" w:themeColor="text1"/>
          <w:lang w:val="es-ES_tradnl"/>
        </w:rPr>
        <w:t>“</w:t>
      </w:r>
      <w:r w:rsidRPr="00555B92">
        <w:rPr>
          <w:rFonts w:ascii="Century Gothic" w:hAnsi="Century Gothic"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555B92">
        <w:rPr>
          <w:rFonts w:ascii="Century Gothic" w:eastAsia="Calibri" w:hAnsi="Century Gothic" w:cs="Arial"/>
          <w:color w:val="000000" w:themeColor="text1"/>
          <w:lang w:val="es-ES_tradnl"/>
        </w:rPr>
        <w:t>”</w:t>
      </w:r>
      <w:r w:rsidRPr="00555B92">
        <w:rPr>
          <w:rFonts w:ascii="Century Gothic" w:hAnsi="Century Gothic" w:cs="Arial"/>
          <w:bCs/>
          <w:color w:val="000000" w:themeColor="text1"/>
          <w:lang w:eastAsia="es-MX"/>
        </w:rPr>
        <w:t xml:space="preserve">. </w:t>
      </w:r>
    </w:p>
    <w:p w14:paraId="5D2190E2" w14:textId="77777777" w:rsidR="000D2BFC" w:rsidRPr="00555B92" w:rsidRDefault="000D2BFC" w:rsidP="000D2BFC">
      <w:pPr>
        <w:shd w:val="clear" w:color="auto" w:fill="FFFFFF" w:themeFill="background1"/>
        <w:spacing w:before="120" w:after="0" w:line="276" w:lineRule="auto"/>
        <w:ind w:firstLine="709"/>
        <w:jc w:val="both"/>
        <w:rPr>
          <w:rFonts w:ascii="Century Gothic" w:hAnsi="Century Gothic" w:cs="Arial"/>
          <w:bCs/>
          <w:color w:val="000000" w:themeColor="text1"/>
          <w:lang w:eastAsia="es-MX"/>
        </w:rPr>
      </w:pPr>
      <w:r w:rsidRPr="00555B92">
        <w:rPr>
          <w:rFonts w:ascii="Century Gothic" w:hAnsi="Century Gothic" w:cs="Arial"/>
          <w:bCs/>
          <w:color w:val="000000" w:themeColor="text1"/>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6BC00B89" w14:textId="77777777" w:rsidR="000D2BFC" w:rsidRPr="00555B92" w:rsidRDefault="000D2BFC" w:rsidP="000D2BFC">
      <w:pPr>
        <w:shd w:val="clear" w:color="auto" w:fill="FFFFFF" w:themeFill="background1"/>
        <w:spacing w:after="0" w:line="276" w:lineRule="auto"/>
        <w:ind w:firstLine="709"/>
        <w:jc w:val="both"/>
        <w:rPr>
          <w:rFonts w:ascii="Century Gothic" w:hAnsi="Century Gothic" w:cs="Arial"/>
          <w:bCs/>
          <w:color w:val="000000" w:themeColor="text1"/>
          <w:lang w:eastAsia="es-MX"/>
        </w:rPr>
      </w:pPr>
    </w:p>
    <w:p w14:paraId="41877404" w14:textId="77777777" w:rsidR="000D2BFC" w:rsidRPr="00555B92" w:rsidRDefault="000D2BFC" w:rsidP="000D2BFC">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555B92">
        <w:rPr>
          <w:rFonts w:ascii="Century Gothic" w:hAnsi="Century Gothic" w:cs="Arial"/>
          <w:color w:val="000000" w:themeColor="text1"/>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47A9101" w14:textId="77777777" w:rsidR="000D2BFC" w:rsidRPr="00555B92" w:rsidRDefault="000D2BFC" w:rsidP="000D2BFC">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555B92">
        <w:rPr>
          <w:rFonts w:ascii="Century Gothic" w:hAnsi="Century Gothic"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D1974C7" w14:textId="77777777" w:rsidR="000D2BFC" w:rsidRPr="00555B92" w:rsidRDefault="000D2BFC" w:rsidP="000D2BFC">
      <w:pPr>
        <w:shd w:val="clear" w:color="auto" w:fill="FFFFFF" w:themeFill="background1"/>
        <w:spacing w:after="0" w:line="240" w:lineRule="auto"/>
        <w:ind w:left="709" w:right="709"/>
        <w:jc w:val="both"/>
        <w:rPr>
          <w:rFonts w:ascii="Century Gothic" w:hAnsi="Century Gothic" w:cs="Arial"/>
          <w:color w:val="000000" w:themeColor="text1"/>
          <w:sz w:val="21"/>
          <w:szCs w:val="21"/>
        </w:rPr>
      </w:pPr>
      <w:r w:rsidRPr="00555B92">
        <w:rPr>
          <w:rFonts w:ascii="Century Gothic" w:hAnsi="Century Gothic"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555B92">
        <w:rPr>
          <w:rFonts w:ascii="Century Gothic" w:hAnsi="Century Gothic" w:cs="Arial"/>
          <w:color w:val="000000" w:themeColor="text1"/>
          <w:sz w:val="21"/>
          <w:szCs w:val="21"/>
          <w:vertAlign w:val="superscript"/>
        </w:rPr>
        <w:footnoteReference w:id="7"/>
      </w:r>
      <w:r w:rsidRPr="00555B92">
        <w:rPr>
          <w:rFonts w:ascii="Century Gothic" w:hAnsi="Century Gothic" w:cs="Arial"/>
          <w:color w:val="000000" w:themeColor="text1"/>
          <w:sz w:val="21"/>
          <w:szCs w:val="21"/>
        </w:rPr>
        <w:t>.</w:t>
      </w:r>
    </w:p>
    <w:p w14:paraId="04A1F6F3" w14:textId="77777777" w:rsidR="000D2BFC" w:rsidRPr="00555B92" w:rsidRDefault="000D2BFC" w:rsidP="000D2BFC">
      <w:pPr>
        <w:shd w:val="clear" w:color="auto" w:fill="FFFFFF" w:themeFill="background1"/>
        <w:spacing w:after="0"/>
        <w:ind w:firstLine="709"/>
        <w:jc w:val="both"/>
        <w:rPr>
          <w:rFonts w:ascii="Century Gothic" w:hAnsi="Century Gothic" w:cs="Arial"/>
          <w:bCs/>
          <w:color w:val="000000" w:themeColor="text1"/>
          <w:lang w:eastAsia="es-MX"/>
        </w:rPr>
      </w:pPr>
    </w:p>
    <w:p w14:paraId="548B771B" w14:textId="77777777" w:rsidR="000D2BFC" w:rsidRPr="00555B92" w:rsidRDefault="000D2BFC" w:rsidP="000D2BFC">
      <w:pPr>
        <w:shd w:val="clear" w:color="auto" w:fill="FFFFFF" w:themeFill="background1"/>
        <w:spacing w:after="120" w:line="276" w:lineRule="auto"/>
        <w:ind w:firstLine="709"/>
        <w:jc w:val="both"/>
        <w:rPr>
          <w:rFonts w:ascii="Century Gothic" w:eastAsia="Calibri" w:hAnsi="Century Gothic" w:cs="Arial"/>
          <w:color w:val="000000" w:themeColor="text1"/>
          <w:lang w:val="es-ES_tradnl"/>
        </w:rPr>
      </w:pPr>
      <w:r w:rsidRPr="00555B92">
        <w:rPr>
          <w:rFonts w:ascii="Century Gothic" w:hAnsi="Century Gothic" w:cs="Arial"/>
          <w:bCs/>
          <w:color w:val="000000" w:themeColor="text1"/>
          <w:lang w:eastAsia="es-MX"/>
        </w:rPr>
        <w:lastRenderedPageBreak/>
        <w:t xml:space="preserve">Según se evidencia, esta norma desarrolla las siguientes reglas: i) Las </w:t>
      </w:r>
      <w:r w:rsidRPr="00555B92">
        <w:rPr>
          <w:rFonts w:ascii="Century Gothic" w:eastAsia="Calibri" w:hAnsi="Century Gothic" w:cs="Arial"/>
          <w:color w:val="000000" w:themeColor="text1"/>
          <w:lang w:val="es-ES_tradnl"/>
        </w:rPr>
        <w:t>“</w:t>
      </w:r>
      <w:r w:rsidRPr="00555B92">
        <w:rPr>
          <w:rFonts w:ascii="Century Gothic" w:hAnsi="Century Gothic" w:cs="Arial"/>
          <w:bCs/>
          <w:color w:val="000000" w:themeColor="text1"/>
          <w:lang w:eastAsia="es-MX"/>
        </w:rPr>
        <w:t>entidades del</w:t>
      </w:r>
      <w:r w:rsidRPr="00555B92">
        <w:rPr>
          <w:rFonts w:ascii="Century Gothic" w:eastAsia="Calibri" w:hAnsi="Century Gothic" w:cs="Arial"/>
          <w:color w:val="000000" w:themeColor="text1"/>
          <w:lang w:val="es-ES_tradnl"/>
        </w:rPr>
        <w:t xml:space="preserve"> </w:t>
      </w:r>
      <w:r w:rsidRPr="00555B92">
        <w:rPr>
          <w:rFonts w:ascii="Century Gothic" w:hAnsi="Century Gothic" w:cs="Arial"/>
          <w:color w:val="000000" w:themeColor="text1"/>
        </w:rPr>
        <w:t>orden Nacional, Departamental, Distrital y municipal</w:t>
      </w:r>
      <w:r w:rsidRPr="00555B92">
        <w:rPr>
          <w:rFonts w:ascii="Century Gothic" w:eastAsia="Calibri" w:hAnsi="Century Gothic"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55B92">
        <w:rPr>
          <w:rFonts w:ascii="Century Gothic" w:eastAsia="Calibri" w:hAnsi="Century Gothic" w:cs="Arial"/>
          <w:i/>
          <w:iCs/>
          <w:color w:val="000000" w:themeColor="text1"/>
          <w:lang w:val="es-ES_tradnl"/>
        </w:rPr>
        <w:t>organismos de acción comunal</w:t>
      </w:r>
      <w:r w:rsidRPr="00555B92">
        <w:rPr>
          <w:rFonts w:ascii="Century Gothic" w:eastAsia="Calibri" w:hAnsi="Century Gothic" w:cs="Arial"/>
          <w:color w:val="000000" w:themeColor="text1"/>
          <w:vertAlign w:val="superscript"/>
          <w:lang w:val="es-ES_tradnl"/>
        </w:rPr>
        <w:footnoteReference w:id="8"/>
      </w:r>
      <w:r w:rsidRPr="00555B92">
        <w:rPr>
          <w:rFonts w:ascii="Century Gothic" w:eastAsia="Calibri" w:hAnsi="Century Gothic" w:cs="Arial"/>
          <w:color w:val="000000" w:themeColor="text1"/>
          <w:lang w:val="es-ES_tradnl"/>
        </w:rPr>
        <w:t xml:space="preserve">.  </w:t>
      </w:r>
    </w:p>
    <w:p w14:paraId="056534CF" w14:textId="77777777" w:rsidR="000D2BFC" w:rsidRPr="00555B92" w:rsidRDefault="000D2BFC" w:rsidP="000D2BFC">
      <w:pPr>
        <w:shd w:val="clear" w:color="auto" w:fill="FFFFFF" w:themeFill="background1"/>
        <w:spacing w:before="120" w:after="120" w:line="276" w:lineRule="auto"/>
        <w:ind w:firstLine="709"/>
        <w:jc w:val="both"/>
        <w:rPr>
          <w:rFonts w:ascii="Century Gothic" w:eastAsia="Calibri" w:hAnsi="Century Gothic" w:cs="Arial"/>
          <w:color w:val="000000" w:themeColor="text1"/>
          <w:lang w:val="es-ES_tradnl"/>
        </w:rPr>
      </w:pPr>
      <w:proofErr w:type="spellStart"/>
      <w:r w:rsidRPr="00555B92">
        <w:rPr>
          <w:rFonts w:ascii="Century Gothic" w:eastAsia="Calibri" w:hAnsi="Century Gothic" w:cs="Arial"/>
          <w:color w:val="000000" w:themeColor="text1"/>
          <w:lang w:val="es-ES_tradnl"/>
        </w:rPr>
        <w:t>ii</w:t>
      </w:r>
      <w:proofErr w:type="spellEnd"/>
      <w:r w:rsidRPr="00555B92">
        <w:rPr>
          <w:rFonts w:ascii="Century Gothic" w:eastAsia="Calibri" w:hAnsi="Century Gothic"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16A78F31" w14:textId="77777777" w:rsidR="000D2BFC" w:rsidRPr="00555B92" w:rsidRDefault="000D2BFC" w:rsidP="000D2BFC">
      <w:pPr>
        <w:shd w:val="clear" w:color="auto" w:fill="FFFFFF" w:themeFill="background1"/>
        <w:spacing w:before="120" w:after="120" w:line="276" w:lineRule="auto"/>
        <w:ind w:firstLine="709"/>
        <w:jc w:val="both"/>
        <w:rPr>
          <w:rFonts w:ascii="Century Gothic" w:eastAsia="Calibri" w:hAnsi="Century Gothic" w:cs="Arial"/>
          <w:color w:val="000000" w:themeColor="text1"/>
          <w:lang w:val="es-ES_tradnl"/>
        </w:rPr>
      </w:pPr>
      <w:proofErr w:type="spellStart"/>
      <w:r w:rsidRPr="00555B92">
        <w:rPr>
          <w:rFonts w:ascii="Century Gothic" w:eastAsia="Calibri" w:hAnsi="Century Gothic" w:cs="Arial"/>
          <w:color w:val="000000" w:themeColor="text1"/>
          <w:lang w:val="es-ES_tradnl"/>
        </w:rPr>
        <w:t>iii</w:t>
      </w:r>
      <w:proofErr w:type="spellEnd"/>
      <w:r w:rsidRPr="00555B92">
        <w:rPr>
          <w:rFonts w:ascii="Century Gothic" w:eastAsia="Calibri" w:hAnsi="Century Gothic"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w:t>
      </w:r>
      <w:r w:rsidRPr="00555B92">
        <w:rPr>
          <w:rFonts w:ascii="Century Gothic" w:eastAsia="Calibri" w:hAnsi="Century Gothic" w:cs="Arial"/>
          <w:color w:val="000000" w:themeColor="text1"/>
          <w:lang w:val="es-ES_tradnl"/>
        </w:rPr>
        <w:lastRenderedPageBreak/>
        <w:t xml:space="preserve">entidad, para lo cual se atenderá lo previsto en el literal b) del artículo 2 de la Ley 1150 de 2007 para determinar el tope de la menor cuantía de la entidad estatal. </w:t>
      </w:r>
    </w:p>
    <w:p w14:paraId="352D01CD" w14:textId="77777777" w:rsidR="000D2BFC" w:rsidRPr="00555B92" w:rsidRDefault="000D2BFC" w:rsidP="000D2BFC">
      <w:pPr>
        <w:shd w:val="clear" w:color="auto" w:fill="FFFFFF" w:themeFill="background1"/>
        <w:spacing w:before="120" w:after="120" w:line="276" w:lineRule="auto"/>
        <w:ind w:firstLine="709"/>
        <w:jc w:val="both"/>
        <w:rPr>
          <w:rFonts w:ascii="Century Gothic" w:eastAsia="Calibri" w:hAnsi="Century Gothic" w:cs="Arial"/>
          <w:color w:val="000000" w:themeColor="text1"/>
          <w:lang w:val="es-ES_tradnl"/>
        </w:rPr>
      </w:pPr>
      <w:proofErr w:type="spellStart"/>
      <w:r w:rsidRPr="00555B92">
        <w:rPr>
          <w:rFonts w:ascii="Century Gothic" w:eastAsia="Calibri" w:hAnsi="Century Gothic" w:cs="Arial"/>
          <w:color w:val="000000" w:themeColor="text1"/>
          <w:lang w:val="es-ES_tradnl"/>
        </w:rPr>
        <w:t>iv</w:t>
      </w:r>
      <w:proofErr w:type="spellEnd"/>
      <w:r w:rsidRPr="00555B92">
        <w:rPr>
          <w:rFonts w:ascii="Century Gothic" w:eastAsia="Calibri" w:hAnsi="Century Gothic" w:cs="Arial"/>
          <w:color w:val="000000" w:themeColor="text1"/>
          <w:lang w:val="es-ES_tradnl"/>
        </w:rPr>
        <w:t>) Para la ejecución de las obras se establece el deber de contratar con los habitantes de la comunidad.</w:t>
      </w:r>
    </w:p>
    <w:p w14:paraId="1AAAD564" w14:textId="77777777" w:rsidR="000D2BFC" w:rsidRPr="00555B92" w:rsidRDefault="000D2BFC" w:rsidP="000D2BFC">
      <w:pPr>
        <w:shd w:val="clear" w:color="auto" w:fill="FFFFFF" w:themeFill="background1"/>
        <w:spacing w:before="120" w:after="120" w:line="276" w:lineRule="auto"/>
        <w:ind w:firstLine="709"/>
        <w:jc w:val="both"/>
        <w:rPr>
          <w:rFonts w:ascii="Century Gothic" w:eastAsia="Calibri" w:hAnsi="Century Gothic" w:cs="Arial"/>
          <w:color w:val="000000" w:themeColor="text1"/>
        </w:rPr>
      </w:pPr>
      <w:r w:rsidRPr="00555B92">
        <w:rPr>
          <w:rFonts w:ascii="Century Gothic" w:eastAsia="Calibri" w:hAnsi="Century Gothic" w:cs="Arial"/>
          <w:color w:val="000000" w:themeColor="text1"/>
          <w:lang w:val="es-ES_tradnl"/>
        </w:rPr>
        <w:t xml:space="preserve">v) En el valor total del convenio la entidad podrá incluir los costos directos, los costos administrativos y el subsidio </w:t>
      </w:r>
      <w:r w:rsidRPr="00555B92">
        <w:rPr>
          <w:rFonts w:ascii="Century Gothic" w:eastAsia="Calibri" w:hAnsi="Century Gothic"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6C90E7C" w14:textId="77777777" w:rsidR="000D2BFC" w:rsidRPr="00555B92" w:rsidRDefault="000D2BFC" w:rsidP="000D2BFC">
      <w:pPr>
        <w:shd w:val="clear" w:color="auto" w:fill="FFFFFF" w:themeFill="background1"/>
        <w:spacing w:before="120" w:after="120" w:line="276" w:lineRule="auto"/>
        <w:ind w:firstLine="709"/>
        <w:jc w:val="both"/>
        <w:rPr>
          <w:rFonts w:ascii="Century Gothic" w:eastAsia="Calibri" w:hAnsi="Century Gothic" w:cs="Arial"/>
          <w:color w:val="000000" w:themeColor="text1"/>
          <w:lang w:val="es-ES_tradnl"/>
        </w:rPr>
      </w:pPr>
      <w:r w:rsidRPr="00555B92">
        <w:rPr>
          <w:rFonts w:ascii="Century Gothic" w:eastAsia="Calibri" w:hAnsi="Century Gothic"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A3D6485" w14:textId="77777777" w:rsidR="000D2BFC" w:rsidRPr="00555B92" w:rsidRDefault="000D2BFC" w:rsidP="000D2BFC">
      <w:pPr>
        <w:shd w:val="clear" w:color="auto" w:fill="FFFFFF" w:themeFill="background1"/>
        <w:spacing w:after="0" w:line="276" w:lineRule="auto"/>
        <w:ind w:firstLine="709"/>
        <w:jc w:val="both"/>
        <w:rPr>
          <w:rFonts w:ascii="Century Gothic" w:hAnsi="Century Gothic" w:cs="Arial"/>
          <w:bCs/>
          <w:color w:val="000000" w:themeColor="text1"/>
          <w:lang w:eastAsia="es-MX"/>
        </w:rPr>
      </w:pPr>
      <w:r w:rsidRPr="00555B92">
        <w:rPr>
          <w:rFonts w:ascii="Century Gothic" w:hAnsi="Century Gothic" w:cs="Arial"/>
          <w:bCs/>
          <w:color w:val="000000" w:themeColor="text1"/>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555B92">
        <w:rPr>
          <w:rFonts w:ascii="Century Gothic" w:eastAsia="Calibri" w:hAnsi="Century Gothic" w:cs="Arial"/>
          <w:color w:val="000000" w:themeColor="text1"/>
          <w:lang w:val="es-ES_tradnl"/>
        </w:rPr>
        <w:t>“</w:t>
      </w:r>
      <w:r w:rsidRPr="00555B92">
        <w:rPr>
          <w:rFonts w:ascii="Century Gothic" w:hAnsi="Century Gothic" w:cs="Arial"/>
          <w:bCs/>
          <w:color w:val="000000" w:themeColor="text1"/>
          <w:lang w:eastAsia="es-MX"/>
        </w:rPr>
        <w:t>entes territoriales del</w:t>
      </w:r>
      <w:r w:rsidRPr="00555B92">
        <w:rPr>
          <w:rFonts w:ascii="Century Gothic" w:eastAsia="Calibri" w:hAnsi="Century Gothic" w:cs="Arial"/>
          <w:color w:val="000000" w:themeColor="text1"/>
          <w:lang w:val="es-ES_tradnl"/>
        </w:rPr>
        <w:t xml:space="preserve"> </w:t>
      </w:r>
      <w:r w:rsidRPr="00555B92">
        <w:rPr>
          <w:rFonts w:ascii="Century Gothic" w:hAnsi="Century Gothic" w:cs="Arial"/>
          <w:color w:val="000000" w:themeColor="text1"/>
        </w:rPr>
        <w:t>orden Nacional, Departamental, Distrital y municipal</w:t>
      </w:r>
      <w:r w:rsidRPr="00555B92">
        <w:rPr>
          <w:rFonts w:ascii="Century Gothic" w:eastAsia="Calibri" w:hAnsi="Century Gothic" w:cs="Arial"/>
          <w:color w:val="000000" w:themeColor="text1"/>
          <w:lang w:val="es-ES_tradnl"/>
        </w:rPr>
        <w:t xml:space="preserve">” y a los “organismos de acción comunal”. Es decir, </w:t>
      </w:r>
      <w:r w:rsidRPr="00555B92">
        <w:rPr>
          <w:rFonts w:ascii="Century Gothic" w:hAnsi="Century Gothic" w:cs="Arial"/>
          <w:bCs/>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70460201" w14:textId="77777777" w:rsidR="000D2BFC" w:rsidRPr="00555B92" w:rsidRDefault="000D2BFC" w:rsidP="000D2BFC">
      <w:pPr>
        <w:shd w:val="clear" w:color="auto" w:fill="FFFFFF" w:themeFill="background1"/>
        <w:spacing w:after="0" w:line="276" w:lineRule="auto"/>
        <w:ind w:left="709" w:right="709"/>
        <w:jc w:val="both"/>
        <w:rPr>
          <w:rFonts w:ascii="Century Gothic" w:hAnsi="Century Gothic" w:cs="Arial"/>
          <w:bCs/>
          <w:color w:val="000000" w:themeColor="text1"/>
          <w:lang w:eastAsia="es-MX"/>
        </w:rPr>
      </w:pPr>
    </w:p>
    <w:p w14:paraId="48C7C956" w14:textId="77777777" w:rsidR="000D2BFC" w:rsidRPr="00555B92" w:rsidRDefault="000D2BFC" w:rsidP="000D2BFC">
      <w:pPr>
        <w:shd w:val="clear" w:color="auto" w:fill="FFFFFF" w:themeFill="background1"/>
        <w:spacing w:after="120" w:line="240" w:lineRule="auto"/>
        <w:ind w:left="709" w:right="709"/>
        <w:jc w:val="both"/>
        <w:rPr>
          <w:rFonts w:ascii="Century Gothic" w:hAnsi="Century Gothic" w:cs="Arial"/>
          <w:bCs/>
          <w:color w:val="000000" w:themeColor="text1"/>
          <w:sz w:val="21"/>
          <w:szCs w:val="21"/>
          <w:lang w:eastAsia="es-MX"/>
        </w:rPr>
      </w:pPr>
      <w:r w:rsidRPr="00555B92">
        <w:rPr>
          <w:rFonts w:ascii="Century Gothic" w:hAnsi="Century Gothic" w:cs="Arial"/>
          <w:bCs/>
          <w:color w:val="000000" w:themeColor="text1"/>
          <w:sz w:val="21"/>
          <w:szCs w:val="21"/>
          <w:lang w:eastAsia="es-MX"/>
        </w:rPr>
        <w:t xml:space="preserve">“Artículo 2.2.15.1.2. Convenios solidarios para la ejecución de obras. De conformidad con lo dispuesto en el artículo 95 de la Ley 2166 de 2021, solo podrán celebrar de manera directa convenios solidarios para la </w:t>
      </w:r>
      <w:r w:rsidRPr="00555B92">
        <w:rPr>
          <w:rFonts w:ascii="Century Gothic" w:hAnsi="Century Gothic" w:cs="Arial"/>
          <w:bCs/>
          <w:color w:val="000000" w:themeColor="text1"/>
          <w:sz w:val="21"/>
          <w:szCs w:val="21"/>
          <w:lang w:eastAsia="es-MX"/>
        </w:rPr>
        <w:lastRenderedPageBreak/>
        <w:t>ejecución de obras los entes territoriales del orden nacional, departamental, distrital y municipal con los organismos de acción comunal. El valor de tales convenios no podrá exceder la menor cuantía de la entidad estatal involucrada.</w:t>
      </w:r>
    </w:p>
    <w:p w14:paraId="3383D484" w14:textId="77777777" w:rsidR="000D2BFC" w:rsidRPr="00555B92" w:rsidRDefault="000D2BFC" w:rsidP="000D2BFC">
      <w:pPr>
        <w:shd w:val="clear" w:color="auto" w:fill="FFFFFF" w:themeFill="background1"/>
        <w:spacing w:after="0" w:line="240" w:lineRule="auto"/>
        <w:ind w:left="709" w:right="709"/>
        <w:jc w:val="both"/>
        <w:rPr>
          <w:rFonts w:ascii="Century Gothic" w:hAnsi="Century Gothic" w:cs="Arial"/>
          <w:bCs/>
          <w:color w:val="000000" w:themeColor="text1"/>
          <w:sz w:val="21"/>
          <w:szCs w:val="21"/>
          <w:lang w:eastAsia="es-MX"/>
        </w:rPr>
      </w:pPr>
      <w:r w:rsidRPr="00555B92">
        <w:rPr>
          <w:rFonts w:ascii="Century Gothic" w:hAnsi="Century Gothic"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637C917C" w14:textId="77777777" w:rsidR="000D2BFC" w:rsidRPr="00555B92" w:rsidRDefault="000D2BFC" w:rsidP="000D2BFC">
      <w:pPr>
        <w:shd w:val="clear" w:color="auto" w:fill="FFFFFF" w:themeFill="background1"/>
        <w:spacing w:after="0" w:line="276" w:lineRule="auto"/>
        <w:ind w:left="709" w:right="709"/>
        <w:jc w:val="both"/>
        <w:rPr>
          <w:rFonts w:ascii="Century Gothic" w:hAnsi="Century Gothic" w:cs="Arial"/>
          <w:bCs/>
          <w:color w:val="000000" w:themeColor="text1"/>
          <w:lang w:eastAsia="es-MX"/>
        </w:rPr>
      </w:pPr>
    </w:p>
    <w:p w14:paraId="3CE63177" w14:textId="77777777" w:rsidR="000D2BFC" w:rsidRDefault="000D2BFC" w:rsidP="000D2BFC">
      <w:pPr>
        <w:shd w:val="clear" w:color="auto" w:fill="FFFFFF" w:themeFill="background1"/>
        <w:spacing w:after="0" w:line="276" w:lineRule="auto"/>
        <w:ind w:firstLine="709"/>
        <w:jc w:val="both"/>
        <w:rPr>
          <w:rFonts w:ascii="Century Gothic" w:eastAsia="Calibri" w:hAnsi="Century Gothic" w:cs="Arial"/>
          <w:color w:val="000000" w:themeColor="text1"/>
          <w:lang w:val="es-ES_tradnl"/>
        </w:rPr>
      </w:pPr>
      <w:r w:rsidRPr="00555B92">
        <w:rPr>
          <w:rFonts w:ascii="Century Gothic" w:hAnsi="Century Gothic" w:cs="Arial"/>
          <w:bCs/>
          <w:color w:val="000000" w:themeColor="text1"/>
          <w:lang w:eastAsia="es-MX"/>
        </w:rPr>
        <w:t>De acuerdo con lo señalado, el documento tipo adoptado por la Agencia Nacional de Contratación Pública</w:t>
      </w:r>
      <w:r w:rsidRPr="00555B92">
        <w:rPr>
          <w:rFonts w:ascii="Century Gothic" w:eastAsia="Calibri" w:hAnsi="Century Gothic" w:cs="Arial"/>
          <w:color w:val="000000"/>
          <w:lang w:val="es-ES" w:eastAsia="es-ES"/>
        </w:rPr>
        <w:t>– Colombia Compra Eficiente</w:t>
      </w:r>
      <w:r w:rsidRPr="00555B92">
        <w:rPr>
          <w:rFonts w:ascii="Century Gothic" w:hAnsi="Century Gothic" w:cs="Arial"/>
          <w:spacing w:val="2"/>
          <w:lang w:eastAsia="es-CO"/>
        </w:rPr>
        <w:t xml:space="preserve"> </w:t>
      </w:r>
      <w:r w:rsidRPr="00555B92">
        <w:rPr>
          <w:rFonts w:ascii="Century Gothic" w:hAnsi="Century Gothic" w:cs="Arial"/>
          <w:bCs/>
          <w:color w:val="000000" w:themeColor="text1"/>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555B92">
        <w:rPr>
          <w:rFonts w:ascii="Century Gothic" w:eastAsia="Calibri" w:hAnsi="Century Gothic" w:cs="Arial"/>
          <w:color w:val="000000" w:themeColor="text1"/>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555B92">
        <w:rPr>
          <w:rFonts w:ascii="Century Gothic" w:eastAsia="Calibri" w:hAnsi="Century Gothic" w:cs="Arial"/>
          <w:i/>
          <w:iCs/>
          <w:color w:val="000000" w:themeColor="text1"/>
          <w:u w:val="single"/>
          <w:lang w:val="es-ES_tradnl"/>
        </w:rPr>
        <w:t>hasta</w:t>
      </w:r>
      <w:r w:rsidRPr="00555B92">
        <w:rPr>
          <w:rFonts w:ascii="Century Gothic" w:eastAsia="Calibri" w:hAnsi="Century Gothic" w:cs="Arial"/>
          <w:color w:val="000000" w:themeColor="text1"/>
          <w:lang w:val="es-ES_tradnl"/>
        </w:rPr>
        <w:t xml:space="preserve"> la menor cuantía con Organismos de Acción Comunal.</w:t>
      </w:r>
    </w:p>
    <w:p w14:paraId="66047FE4" w14:textId="77777777" w:rsidR="000D2BFC" w:rsidRDefault="000D2BFC" w:rsidP="000D2BFC">
      <w:pPr>
        <w:shd w:val="clear" w:color="auto" w:fill="FFFFFF" w:themeFill="background1"/>
        <w:spacing w:after="0" w:line="276" w:lineRule="auto"/>
        <w:ind w:firstLine="709"/>
        <w:jc w:val="both"/>
        <w:rPr>
          <w:rFonts w:ascii="Century Gothic" w:eastAsia="Calibri" w:hAnsi="Century Gothic" w:cs="Arial"/>
          <w:b/>
          <w:bCs/>
          <w:color w:val="000000"/>
          <w:lang w:eastAsia="en-GB"/>
        </w:rPr>
      </w:pPr>
    </w:p>
    <w:p w14:paraId="55AB299D" w14:textId="77777777" w:rsidR="000D2BFC" w:rsidRPr="004541A8" w:rsidRDefault="000D2BFC" w:rsidP="000D2BFC">
      <w:pPr>
        <w:spacing w:line="276" w:lineRule="auto"/>
        <w:jc w:val="both"/>
        <w:rPr>
          <w:rFonts w:ascii="Century Gothic" w:eastAsia="Calibri" w:hAnsi="Century Gothic" w:cs="Arial"/>
          <w:b/>
          <w:bCs/>
          <w:color w:val="000000"/>
          <w:lang w:eastAsia="en-GB"/>
        </w:rPr>
      </w:pPr>
      <w:r>
        <w:rPr>
          <w:rFonts w:ascii="Century Gothic" w:eastAsia="Calibri" w:hAnsi="Century Gothic" w:cs="Arial"/>
          <w:b/>
          <w:bCs/>
          <w:color w:val="000000"/>
          <w:lang w:eastAsia="en-GB"/>
        </w:rPr>
        <w:t>2.2 Inalterabilidad de los documentos tipo de convenios solidarios para la ejecución de obras hasta la menor cuantía con organismos de acción comunal</w:t>
      </w:r>
    </w:p>
    <w:p w14:paraId="2268596F" w14:textId="77777777" w:rsidR="000D2BFC" w:rsidRPr="00CD3CEA" w:rsidRDefault="000D2BFC" w:rsidP="000D2BFC">
      <w:pPr>
        <w:shd w:val="clear" w:color="auto" w:fill="FFFFFF"/>
        <w:spacing w:line="276" w:lineRule="auto"/>
        <w:jc w:val="both"/>
        <w:textAlignment w:val="baseline"/>
        <w:rPr>
          <w:rFonts w:ascii="Century Gothic" w:hAnsi="Century Gothic" w:cs="Arial"/>
          <w:b/>
          <w:bCs/>
          <w:color w:val="000000"/>
          <w:lang w:eastAsia="es-CO"/>
        </w:rPr>
      </w:pPr>
      <w:bookmarkStart w:id="2" w:name="_Hlk72774853"/>
      <w:r w:rsidRPr="00CD3CEA">
        <w:rPr>
          <w:rFonts w:ascii="Century Gothic" w:hAnsi="Century Gothic" w:cs="Arial"/>
          <w:bCs/>
          <w:lang w:val="es-ES_tradnl"/>
        </w:rPr>
        <w:t xml:space="preserve">El </w:t>
      </w:r>
      <w:bookmarkStart w:id="3" w:name="_Hlk81313863"/>
      <w:r w:rsidRPr="00CD3CEA">
        <w:rPr>
          <w:rFonts w:ascii="Century Gothic" w:hAnsi="Century Gothic" w:cs="Arial"/>
          <w:bCs/>
          <w:lang w:val="es-ES_tradnl"/>
        </w:rPr>
        <w:t xml:space="preserve">artículo 2.2.1.2.6.1.4 del Decreto 1082 de 2015 </w:t>
      </w:r>
      <w:bookmarkEnd w:id="3"/>
      <w:r w:rsidRPr="00CD3CEA">
        <w:rPr>
          <w:rFonts w:ascii="Century Gothic" w:hAnsi="Century Gothic" w:cs="Arial"/>
          <w:bCs/>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CD3CEA">
        <w:rPr>
          <w:rStyle w:val="FootnoteReference"/>
          <w:rFonts w:ascii="Century Gothic" w:hAnsi="Century Gothic" w:cs="Arial"/>
          <w:bCs/>
          <w:lang w:val="es-ES_tradnl"/>
        </w:rPr>
        <w:footnoteReference w:id="9"/>
      </w:r>
      <w:r w:rsidRPr="00CD3CEA">
        <w:rPr>
          <w:rFonts w:ascii="Century Gothic" w:hAnsi="Century Gothic" w:cs="Arial"/>
          <w:bCs/>
          <w:lang w:val="es-ES_tradnl"/>
        </w:rPr>
        <w:t>. En consecuencia</w:t>
      </w:r>
      <w:bookmarkStart w:id="4" w:name="_Hlk64290904"/>
      <w:r w:rsidRPr="00CD3CEA">
        <w:rPr>
          <w:rFonts w:ascii="Century Gothic" w:hAnsi="Century Gothic"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w:t>
      </w:r>
      <w:bookmarkEnd w:id="4"/>
      <w:r w:rsidRPr="00CD3CEA">
        <w:rPr>
          <w:rFonts w:ascii="Century Gothic" w:hAnsi="Century Gothic" w:cs="Arial"/>
          <w:bCs/>
          <w:lang w:val="es-ES_tradnl"/>
        </w:rPr>
        <w:t xml:space="preserve"> </w:t>
      </w:r>
    </w:p>
    <w:p w14:paraId="183BB24C" w14:textId="77777777" w:rsidR="000D2BFC" w:rsidRPr="00CD3CEA" w:rsidRDefault="000D2BFC" w:rsidP="000D2BFC">
      <w:pPr>
        <w:spacing w:before="120" w:line="276" w:lineRule="auto"/>
        <w:ind w:firstLine="709"/>
        <w:jc w:val="both"/>
        <w:rPr>
          <w:rFonts w:ascii="Century Gothic" w:hAnsi="Century Gothic" w:cs="Arial"/>
          <w:bCs/>
          <w:lang w:val="es-ES_tradnl"/>
        </w:rPr>
      </w:pPr>
      <w:r w:rsidRPr="00CD3CEA">
        <w:rPr>
          <w:rFonts w:ascii="Century Gothic" w:hAnsi="Century Gothic" w:cs="Arial"/>
          <w:bCs/>
          <w:lang w:val="es-ES_tradnl"/>
        </w:rPr>
        <w:lastRenderedPageBreak/>
        <w:t xml:space="preserve">Esta prohibición se ratifica en el </w:t>
      </w:r>
      <w:bookmarkStart w:id="5" w:name="_Hlk81313856"/>
      <w:r w:rsidRPr="00CD3CEA">
        <w:rPr>
          <w:rFonts w:ascii="Century Gothic" w:hAnsi="Century Gothic" w:cs="Arial"/>
          <w:bCs/>
          <w:lang w:val="es-ES_tradnl"/>
        </w:rPr>
        <w:t>artículo 3 de la Resolución 358 de 202</w:t>
      </w:r>
      <w:bookmarkEnd w:id="5"/>
      <w:r w:rsidRPr="00CD3CEA">
        <w:rPr>
          <w:rFonts w:ascii="Century Gothic" w:hAnsi="Century Gothic" w:cs="Arial"/>
          <w:bCs/>
          <w:lang w:val="es-ES_tradnl"/>
        </w:rPr>
        <w:t xml:space="preserve">3, mediante la cual se implementaron los documentos tipo </w:t>
      </w:r>
      <w:r w:rsidRPr="00CD3CEA">
        <w:rPr>
          <w:rFonts w:ascii="Century Gothic" w:hAnsi="Century Gothic" w:cs="Arial"/>
          <w:spacing w:val="2"/>
          <w:lang w:eastAsia="es-CO"/>
        </w:rPr>
        <w:t>de convenios solidarios para la ejecución de obras hasta la menor cuantía con organismos de acción comunal</w:t>
      </w:r>
      <w:r w:rsidRPr="00CD3CEA">
        <w:rPr>
          <w:rFonts w:ascii="Century Gothic" w:hAnsi="Century Gothic" w:cs="Arial"/>
          <w:bCs/>
          <w:lang w:val="es-ES_tradnl"/>
        </w:rPr>
        <w:t xml:space="preserve">, al disponer la inalterabilidad en los siguientes términos: “De conformidad con el artículo 1º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 </w:t>
      </w:r>
    </w:p>
    <w:bookmarkEnd w:id="2"/>
    <w:p w14:paraId="4533BF36" w14:textId="77777777" w:rsidR="000D2BFC" w:rsidRPr="00CD3CEA" w:rsidRDefault="000D2BFC" w:rsidP="000D2BFC">
      <w:pPr>
        <w:spacing w:before="120" w:line="276" w:lineRule="auto"/>
        <w:ind w:firstLine="708"/>
        <w:jc w:val="both"/>
        <w:rPr>
          <w:rFonts w:ascii="Century Gothic" w:hAnsi="Century Gothic" w:cs="Arial"/>
          <w:bCs/>
          <w:lang w:val="es-ES_tradnl"/>
        </w:rPr>
      </w:pPr>
      <w:r w:rsidRPr="00CD3CEA">
        <w:rPr>
          <w:rFonts w:ascii="Century Gothic" w:hAnsi="Century Gothic" w:cs="Arial"/>
          <w:bCs/>
          <w:lang w:val="es-ES_tradnl"/>
        </w:rPr>
        <w:t xml:space="preserve">Además, las entidades estatales deben garantizar el </w:t>
      </w:r>
      <w:r w:rsidRPr="00CD3CEA">
        <w:rPr>
          <w:rFonts w:ascii="Century Gothic" w:hAnsi="Century Gothic" w:cs="Arial"/>
          <w:bCs/>
          <w:i/>
          <w:iCs/>
          <w:lang w:val="es-ES_tradnl"/>
        </w:rPr>
        <w:t>principio de economía</w:t>
      </w:r>
      <w:r w:rsidRPr="00CD3CEA">
        <w:rPr>
          <w:rFonts w:ascii="Century Gothic" w:hAnsi="Century Gothic" w:cs="Arial"/>
          <w:bCs/>
          <w:lang w:val="es-ES_tradnl"/>
        </w:rPr>
        <w:t>, del cual se desprende que no pueden exigir documentos o requisitos más allá de los que permitan la Constitución, la ley y los reglamentos. Este postulado ha encontrado eco no solo en la contratación estatal</w:t>
      </w:r>
      <w:r w:rsidRPr="00CD3CEA">
        <w:rPr>
          <w:rStyle w:val="FootnoteReference"/>
          <w:rFonts w:ascii="Century Gothic" w:hAnsi="Century Gothic" w:cs="Arial"/>
          <w:bCs/>
          <w:lang w:val="es-ES_tradnl"/>
        </w:rPr>
        <w:footnoteReference w:id="10"/>
      </w:r>
      <w:r w:rsidRPr="00CD3CEA">
        <w:rPr>
          <w:rFonts w:ascii="Century Gothic" w:hAnsi="Century Gothic" w:cs="Arial"/>
          <w:bCs/>
          <w:lang w:val="es-ES_tradnl"/>
        </w:rPr>
        <w:t xml:space="preserve"> sino además en la normativa </w:t>
      </w:r>
      <w:proofErr w:type="gramStart"/>
      <w:r w:rsidRPr="00CD3CEA">
        <w:rPr>
          <w:rFonts w:ascii="Century Gothic" w:hAnsi="Century Gothic" w:cs="Arial"/>
          <w:bCs/>
          <w:lang w:val="es-ES_tradnl"/>
        </w:rPr>
        <w:t>anti trámites</w:t>
      </w:r>
      <w:proofErr w:type="gramEnd"/>
      <w:r w:rsidRPr="00CD3CEA">
        <w:rPr>
          <w:rFonts w:ascii="Century Gothic" w:hAnsi="Century Gothic" w:cs="Arial"/>
          <w:bCs/>
          <w:lang w:val="es-ES_tradnl"/>
        </w:rPr>
        <w:t>, pues se inscribe dentro de la tendencia de simplificación y racionalización de los procedimientos administrativos</w:t>
      </w:r>
      <w:r w:rsidRPr="00CD3CEA">
        <w:rPr>
          <w:rStyle w:val="FootnoteReference"/>
          <w:rFonts w:ascii="Century Gothic" w:hAnsi="Century Gothic" w:cs="Arial"/>
          <w:bCs/>
          <w:lang w:val="es-ES_tradnl"/>
        </w:rPr>
        <w:footnoteReference w:id="11"/>
      </w:r>
      <w:r w:rsidRPr="00CD3CEA">
        <w:rPr>
          <w:rFonts w:ascii="Century Gothic" w:hAnsi="Century Gothic" w:cs="Arial"/>
          <w:bCs/>
          <w:lang w:val="es-ES_tradnl"/>
        </w:rPr>
        <w:t>. Por ello</w:t>
      </w:r>
      <w:r w:rsidRPr="00CD3CEA">
        <w:rPr>
          <w:rFonts w:ascii="Century Gothic" w:hAnsi="Century Gothic" w:cs="Arial"/>
        </w:rPr>
        <w:t xml:space="preserve">, la parte introductoria de los documentos tipo dispone que los aspectos incluidos en corchetes y resaltado gris </w:t>
      </w:r>
      <w:r w:rsidRPr="00CD3CEA">
        <w:rPr>
          <w:rFonts w:ascii="Century Gothic" w:hAnsi="Century Gothic" w:cs="Arial"/>
          <w:highlight w:val="lightGray"/>
        </w:rPr>
        <w:t>–[texto de ejemplo]–</w:t>
      </w:r>
      <w:r w:rsidRPr="00CD3CEA">
        <w:rPr>
          <w:rFonts w:ascii="Century Gothic" w:hAnsi="Century Gothic" w:cs="Arial"/>
        </w:rPr>
        <w:t xml:space="preserve"> deben ser diligenciados por la entidad. De todos modos, en cada acápite que esté resaltado en gris la entidad tendrá la libertad de determinar la información que se diligenciará en los documentos tipo, de acuerdo con su necesidad y las instrucciones de la minuta. </w:t>
      </w:r>
    </w:p>
    <w:p w14:paraId="6D3B5DE5" w14:textId="77777777" w:rsidR="000D2BFC" w:rsidRPr="00CD3CEA" w:rsidRDefault="000D2BFC" w:rsidP="000D2BFC">
      <w:pPr>
        <w:spacing w:before="120" w:line="276" w:lineRule="auto"/>
        <w:ind w:firstLine="709"/>
        <w:jc w:val="both"/>
        <w:rPr>
          <w:rFonts w:ascii="Century Gothic" w:hAnsi="Century Gothic" w:cs="Arial"/>
          <w:bCs/>
        </w:rPr>
      </w:pPr>
      <w:r w:rsidRPr="00CD3CEA">
        <w:rPr>
          <w:rFonts w:ascii="Century Gothic" w:hAnsi="Century Gothic" w:cs="Arial"/>
          <w:bCs/>
        </w:rPr>
        <w:t xml:space="preserve">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w:t>
      </w:r>
      <w:r w:rsidRPr="00CD3CEA">
        <w:rPr>
          <w:rFonts w:ascii="Century Gothic" w:hAnsi="Century Gothic" w:cs="Arial"/>
          <w:bCs/>
        </w:rPr>
        <w:lastRenderedPageBreak/>
        <w:t>condiciones, al ser fijadas por parte de la entidad, pueden implicar modificaciones a los documentos tipo, las cuales deben ser adecuadas, proporcionales y consecuentes con su contenido, respetando el principio de inalterabilidad.</w:t>
      </w:r>
    </w:p>
    <w:p w14:paraId="198E0DE2" w14:textId="77777777" w:rsidR="000D2BFC" w:rsidRPr="00CD3CEA" w:rsidRDefault="000D2BFC" w:rsidP="000D2BFC">
      <w:pPr>
        <w:spacing w:before="120" w:line="276" w:lineRule="auto"/>
        <w:ind w:firstLine="709"/>
        <w:jc w:val="both"/>
        <w:rPr>
          <w:rFonts w:ascii="Century Gothic" w:hAnsi="Century Gothic" w:cs="Arial"/>
        </w:rPr>
      </w:pPr>
      <w:r w:rsidRPr="00CD3CEA">
        <w:rPr>
          <w:rFonts w:ascii="Century Gothic" w:hAnsi="Century Gothic" w:cs="Arial"/>
        </w:rPr>
        <w:t>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w:t>
      </w:r>
      <w:r>
        <w:rPr>
          <w:rFonts w:ascii="Century Gothic" w:hAnsi="Century Gothic" w:cs="Arial"/>
        </w:rPr>
        <w:t>n</w:t>
      </w:r>
      <w:r w:rsidRPr="00CD3CEA">
        <w:rPr>
          <w:rFonts w:ascii="Century Gothic" w:hAnsi="Century Gothic" w:cs="Arial"/>
        </w:rPr>
        <w:t xml:space="preserve"> para ello los actores de la contratación pública. En relación con el principio constitucional </w:t>
      </w:r>
      <w:r w:rsidRPr="00CD3CEA">
        <w:rPr>
          <w:rFonts w:ascii="Century Gothic" w:hAnsi="Century Gothic" w:cs="Arial"/>
          <w:i/>
          <w:iCs/>
        </w:rPr>
        <w:t>sub examine</w:t>
      </w:r>
      <w:r w:rsidRPr="00CD3CEA">
        <w:rPr>
          <w:rFonts w:ascii="Century Gothic" w:hAnsi="Century Gothic" w:cs="Arial"/>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CD3CEA">
        <w:rPr>
          <w:rStyle w:val="FootnoteReference"/>
          <w:rFonts w:ascii="Century Gothic" w:hAnsi="Century Gothic" w:cs="Arial"/>
        </w:rPr>
        <w:footnoteReference w:id="12"/>
      </w:r>
      <w:r w:rsidRPr="00CD3CEA">
        <w:rPr>
          <w:rFonts w:ascii="Century Gothic" w:hAnsi="Century Gothic" w:cs="Arial"/>
        </w:rPr>
        <w:t xml:space="preserve">. </w:t>
      </w:r>
    </w:p>
    <w:p w14:paraId="79B75BF5" w14:textId="77777777" w:rsidR="000D2BFC" w:rsidRPr="00CD3CEA" w:rsidRDefault="000D2BFC" w:rsidP="000D2BFC">
      <w:pPr>
        <w:spacing w:before="120" w:line="276" w:lineRule="auto"/>
        <w:ind w:firstLine="709"/>
        <w:jc w:val="both"/>
        <w:rPr>
          <w:rFonts w:ascii="Century Gothic" w:hAnsi="Century Gothic" w:cs="Arial"/>
        </w:rPr>
      </w:pPr>
      <w:r w:rsidRPr="00CD3CEA">
        <w:rPr>
          <w:rFonts w:ascii="Century Gothic" w:hAnsi="Century Gothic" w:cs="Aria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0A4FC370" w14:textId="77777777" w:rsidR="000D2BFC" w:rsidRPr="00A7604A" w:rsidRDefault="000D2BFC" w:rsidP="000D2BFC">
      <w:pPr>
        <w:spacing w:line="276" w:lineRule="auto"/>
        <w:jc w:val="both"/>
        <w:rPr>
          <w:rFonts w:ascii="Century Gothic" w:hAnsi="Century Gothic" w:cs="Arial"/>
          <w:b/>
          <w:bCs/>
          <w:color w:val="000000"/>
          <w:bdr w:val="none" w:sz="0" w:space="0" w:color="auto" w:frame="1"/>
        </w:rPr>
      </w:pPr>
      <w:r w:rsidRPr="00A7604A">
        <w:rPr>
          <w:rFonts w:ascii="Century Gothic" w:hAnsi="Century Gothic" w:cs="Arial"/>
          <w:b/>
          <w:bCs/>
          <w:color w:val="000000"/>
          <w:bdr w:val="none" w:sz="0" w:space="0" w:color="auto" w:frame="1"/>
        </w:rPr>
        <w:t>2.</w:t>
      </w:r>
      <w:r>
        <w:rPr>
          <w:rFonts w:ascii="Century Gothic" w:hAnsi="Century Gothic" w:cs="Arial"/>
          <w:b/>
          <w:bCs/>
          <w:color w:val="000000"/>
          <w:bdr w:val="none" w:sz="0" w:space="0" w:color="auto" w:frame="1"/>
        </w:rPr>
        <w:t>3</w:t>
      </w:r>
      <w:r w:rsidRPr="00A7604A">
        <w:rPr>
          <w:rFonts w:ascii="Century Gothic" w:hAnsi="Century Gothic" w:cs="Arial"/>
          <w:b/>
          <w:bCs/>
          <w:color w:val="000000"/>
          <w:bdr w:val="none" w:sz="0" w:space="0" w:color="auto" w:frame="1"/>
        </w:rPr>
        <w:t xml:space="preserve"> Discrecionalidad para establecer forma de uno, disposición</w:t>
      </w:r>
      <w:r>
        <w:rPr>
          <w:rFonts w:ascii="Century Gothic" w:hAnsi="Century Gothic" w:cs="Arial"/>
          <w:b/>
          <w:bCs/>
          <w:color w:val="000000"/>
          <w:bdr w:val="none" w:sz="0" w:space="0" w:color="auto" w:frame="1"/>
        </w:rPr>
        <w:t xml:space="preserve">, </w:t>
      </w:r>
      <w:r w:rsidRPr="00A7604A">
        <w:rPr>
          <w:rFonts w:ascii="Century Gothic" w:hAnsi="Century Gothic" w:cs="Arial"/>
          <w:b/>
          <w:bCs/>
          <w:color w:val="000000"/>
          <w:bdr w:val="none" w:sz="0" w:space="0" w:color="auto" w:frame="1"/>
        </w:rPr>
        <w:t>giro de los recursos</w:t>
      </w:r>
      <w:r>
        <w:rPr>
          <w:rFonts w:ascii="Century Gothic" w:hAnsi="Century Gothic" w:cs="Arial"/>
          <w:b/>
          <w:bCs/>
          <w:color w:val="000000"/>
          <w:bdr w:val="none" w:sz="0" w:space="0" w:color="auto" w:frame="1"/>
        </w:rPr>
        <w:t xml:space="preserve"> y vinculación de personal.</w:t>
      </w:r>
    </w:p>
    <w:p w14:paraId="310955DD" w14:textId="77777777" w:rsidR="000D2BFC" w:rsidRPr="00CD3CEA" w:rsidRDefault="000D2BFC" w:rsidP="000D2BFC">
      <w:pPr>
        <w:spacing w:line="276" w:lineRule="auto"/>
        <w:jc w:val="both"/>
        <w:rPr>
          <w:rFonts w:ascii="Century Gothic" w:eastAsia="Calibri" w:hAnsi="Century Gothic" w:cs="Arial"/>
        </w:rPr>
      </w:pPr>
      <w:r w:rsidRPr="00CD3CEA">
        <w:rPr>
          <w:rFonts w:ascii="Century Gothic" w:hAnsi="Century Gothic" w:cs="Arial"/>
          <w:color w:val="000000"/>
          <w:bdr w:val="none" w:sz="0" w:space="0" w:color="auto" w:frame="1"/>
        </w:rPr>
        <w:t xml:space="preserve">Conforme a la competencia del artículo 1° de la Ley 2022 de 2020, esta Agencia expidió </w:t>
      </w:r>
      <w:r w:rsidRPr="00CD3CEA">
        <w:rPr>
          <w:rFonts w:ascii="Century Gothic" w:eastAsia="Calibri" w:hAnsi="Century Gothic" w:cs="Arial"/>
        </w:rPr>
        <w:t xml:space="preserve">la Resolución 358 de 2023. Mediante este acto administrativo se adoptaron los documentos </w:t>
      </w:r>
      <w:r w:rsidRPr="00555B92">
        <w:rPr>
          <w:rFonts w:ascii="Century Gothic" w:eastAsia="Calibri" w:hAnsi="Century Gothic" w:cs="Arial"/>
        </w:rPr>
        <w:t>tipo para la contratación directa</w:t>
      </w:r>
      <w:r w:rsidRPr="00CD3CEA">
        <w:rPr>
          <w:rFonts w:ascii="Century Gothic" w:eastAsia="Calibri" w:hAnsi="Century Gothic" w:cs="Arial"/>
        </w:rPr>
        <w:t xml:space="preserve"> de convenios solidarios para la ejecución de obras hasta la menor cuantía con organismos de acción comuna</w:t>
      </w:r>
      <w:r>
        <w:rPr>
          <w:rFonts w:ascii="Century Gothic" w:eastAsia="Calibri" w:hAnsi="Century Gothic" w:cs="Arial"/>
        </w:rPr>
        <w:t>l</w:t>
      </w:r>
      <w:r w:rsidRPr="00CD3CEA">
        <w:rPr>
          <w:rFonts w:ascii="Century Gothic" w:eastAsia="Calibri" w:hAnsi="Century Gothic" w:cs="Arial"/>
        </w:rPr>
        <w:t xml:space="preserve">. </w:t>
      </w:r>
      <w:r w:rsidRPr="00CD3CEA">
        <w:rPr>
          <w:rFonts w:ascii="Century Gothic" w:eastAsia="Calibri" w:hAnsi="Century Gothic" w:cs="Arial"/>
        </w:rPr>
        <w:lastRenderedPageBreak/>
        <w:t xml:space="preserve">De acuerdo con el artículo 4 </w:t>
      </w:r>
      <w:proofErr w:type="spellStart"/>
      <w:r w:rsidRPr="00CD3CEA">
        <w:rPr>
          <w:rFonts w:ascii="Century Gothic" w:eastAsia="Calibri" w:hAnsi="Century Gothic" w:cs="Arial"/>
          <w:i/>
          <w:iCs/>
        </w:rPr>
        <w:t>ibídem</w:t>
      </w:r>
      <w:proofErr w:type="spellEnd"/>
      <w:r w:rsidRPr="00CD3CEA">
        <w:rPr>
          <w:rFonts w:ascii="Century Gothic" w:eastAsia="Calibri" w:hAnsi="Century Gothic" w:cs="Arial"/>
        </w:rPr>
        <w:t>, la vigencia de este acto administrativo –y, por tanto, la obligatoriedad de los documentos tipo– com</w:t>
      </w:r>
      <w:r>
        <w:rPr>
          <w:rFonts w:ascii="Century Gothic" w:eastAsia="Calibri" w:hAnsi="Century Gothic" w:cs="Arial"/>
        </w:rPr>
        <w:t>enzó</w:t>
      </w:r>
      <w:r w:rsidRPr="00CD3CEA">
        <w:rPr>
          <w:rFonts w:ascii="Century Gothic" w:eastAsia="Calibri" w:hAnsi="Century Gothic" w:cs="Arial"/>
        </w:rPr>
        <w:t xml:space="preserve"> a partir de la fecha de su publicación, es decir, a partir del 30 de junio del presente año. </w:t>
      </w:r>
    </w:p>
    <w:p w14:paraId="4E2FBF46" w14:textId="77777777" w:rsidR="000D2BFC" w:rsidRPr="00CD3CEA" w:rsidRDefault="000D2BFC" w:rsidP="000D2BFC">
      <w:pPr>
        <w:spacing w:before="120" w:line="276" w:lineRule="auto"/>
        <w:ind w:firstLine="709"/>
        <w:jc w:val="both"/>
        <w:rPr>
          <w:rFonts w:ascii="Century Gothic" w:eastAsia="Calibri" w:hAnsi="Century Gothic" w:cs="Arial"/>
          <w:bCs/>
        </w:rPr>
      </w:pPr>
      <w:r w:rsidRPr="00CD3CEA">
        <w:rPr>
          <w:rFonts w:ascii="Century Gothic" w:eastAsia="Calibri" w:hAnsi="Century Gothic" w:cs="Arial"/>
        </w:rPr>
        <w:t xml:space="preserve">En relación con los documentos tipo propiamente dichos, el artículo 2 de la resolución citada contempló el modelo de contrato, junto con los correspondientes anexos y matrices. </w:t>
      </w:r>
      <w:r w:rsidRPr="00CD3CEA">
        <w:rPr>
          <w:rFonts w:ascii="Century Gothic" w:eastAsia="Calibri" w:hAnsi="Century Gothic" w:cs="Arial"/>
          <w:bCs/>
        </w:rPr>
        <w:t>Dentro del listado de los documentos tipo se encuentra la “Minuta Tipo”. Este documento consta de 28 cláusulas orientadas a servir de insumo para el contrato que finalmente será suscrito por las partes. Esta minuta constituye una particularidad frente a otros anexos de los demás documentos tipo, pues está destinado a regular aspectos propios de la relación contractual.</w:t>
      </w:r>
    </w:p>
    <w:p w14:paraId="18C9BEEB" w14:textId="77777777" w:rsidR="000D2BFC" w:rsidRPr="00CD3CEA" w:rsidRDefault="000D2BFC" w:rsidP="000D2BFC">
      <w:pPr>
        <w:spacing w:before="120" w:after="0" w:line="276" w:lineRule="auto"/>
        <w:ind w:firstLine="709"/>
        <w:jc w:val="both"/>
        <w:rPr>
          <w:rFonts w:ascii="Century Gothic" w:eastAsia="Calibri" w:hAnsi="Century Gothic" w:cs="Arial"/>
          <w:bCs/>
        </w:rPr>
      </w:pPr>
      <w:r w:rsidRPr="00CD3CEA">
        <w:rPr>
          <w:rFonts w:ascii="Century Gothic" w:eastAsia="Calibri" w:hAnsi="Century Gothic" w:cs="Arial"/>
          <w:bCs/>
        </w:rPr>
        <w:t xml:space="preserve">En razón de ello, dentro de las 28 cláusulas que conforman este documento encontramos una serie de apartados grises entre corchetes –que se presentan con mayor frecuencia en otros documentos tipo– destinados a que las entidades estatales, en el marco de la autonomía y discrecionalidad que les corresponde, dispongan en ellos información relativa a las necesidades que pretenden satisfacer, el objeto a contratar y en general información necesaria para regular las obligaciones de la relación contractual, partiendo de los aspectos básicos como el objeto, el plazo, la forma de pago, las obligaciones, etc., a partir de opciones, alternativas y sugerencias de cláusulas contractuales prestablecidas en </w:t>
      </w:r>
      <w:bookmarkStart w:id="6" w:name="_Hlk81313414"/>
      <w:r w:rsidRPr="00CD3CEA">
        <w:rPr>
          <w:rFonts w:ascii="Century Gothic" w:eastAsia="Calibri" w:hAnsi="Century Gothic" w:cs="Arial"/>
          <w:bCs/>
        </w:rPr>
        <w:t xml:space="preserve">la “Minuta Tipo”. Al respecto, </w:t>
      </w:r>
      <w:bookmarkEnd w:id="6"/>
      <w:r w:rsidRPr="00CD3CEA">
        <w:rPr>
          <w:rFonts w:ascii="Century Gothic" w:eastAsia="Calibri" w:hAnsi="Century Gothic" w:cs="Arial"/>
          <w:bCs/>
        </w:rPr>
        <w:t>el diligenciamiento de los apartados grises entre corchetes de la minuta debe realizarse conforme a las indicaciones de los documentos tipo, las cuales están establecidas en el párrafo sombreado en gris y entre corchetes que encabeza dicho anexo. Este dispone lo siguiente:</w:t>
      </w:r>
    </w:p>
    <w:p w14:paraId="0EADF2B9" w14:textId="77777777" w:rsidR="000D2BFC" w:rsidRPr="00CD3CEA" w:rsidRDefault="000D2BFC" w:rsidP="000D2BFC">
      <w:pPr>
        <w:spacing w:after="0" w:line="276" w:lineRule="auto"/>
        <w:ind w:firstLine="709"/>
        <w:jc w:val="both"/>
        <w:rPr>
          <w:rFonts w:ascii="Century Gothic" w:eastAsia="Calibri" w:hAnsi="Century Gothic" w:cs="Arial"/>
          <w:bCs/>
        </w:rPr>
      </w:pPr>
    </w:p>
    <w:p w14:paraId="42456345" w14:textId="77777777" w:rsidR="000D2BFC" w:rsidRPr="00CD3CEA" w:rsidRDefault="000D2BFC" w:rsidP="000D2BFC">
      <w:pPr>
        <w:spacing w:after="120" w:line="240" w:lineRule="auto"/>
        <w:ind w:left="709" w:right="709"/>
        <w:jc w:val="both"/>
        <w:rPr>
          <w:rFonts w:ascii="Century Gothic" w:hAnsi="Century Gothic" w:cs="Arial"/>
          <w:sz w:val="21"/>
          <w:szCs w:val="21"/>
        </w:rPr>
      </w:pPr>
      <w:r w:rsidRPr="00CD3CEA">
        <w:rPr>
          <w:rFonts w:ascii="Century Gothic" w:hAnsi="Century Gothic" w:cs="Arial"/>
          <w:sz w:val="21"/>
          <w:szCs w:val="21"/>
        </w:rPr>
        <w:t>“[…]</w:t>
      </w:r>
    </w:p>
    <w:p w14:paraId="7AFE3384" w14:textId="77777777" w:rsidR="000D2BFC" w:rsidRPr="00CD3CEA" w:rsidRDefault="000D2BFC" w:rsidP="000D2BFC">
      <w:pPr>
        <w:spacing w:after="120" w:line="240" w:lineRule="auto"/>
        <w:ind w:left="709" w:right="709"/>
        <w:jc w:val="both"/>
        <w:rPr>
          <w:rFonts w:ascii="Century Gothic" w:hAnsi="Century Gothic" w:cs="Arial"/>
          <w:sz w:val="21"/>
          <w:szCs w:val="21"/>
        </w:rPr>
      </w:pPr>
      <w:r w:rsidRPr="00CD3CEA">
        <w:rPr>
          <w:rFonts w:ascii="Century Gothic" w:hAnsi="Century Gothic" w:cs="Arial"/>
          <w:sz w:val="21"/>
          <w:szCs w:val="21"/>
        </w:rPr>
        <w:t>[La Entidad Estatal deberá incluir el contenido mínimo del presente Documento en las minutas de los convenios solidarios que vaya a celebrar, e incluso podrá incluir condiciones adicionales. En todo caso, las condiciones adicionales deberán obedecer a las necesidades de ejecución del Convenio, definidas por la Entidad Estatal. En algunas cláusulas la Entidad Estatal podrá escoger entre algunas opciones, podrá combinarlas o podrá construir su propia cláusula, esto se indicará de manera clara cuando a ello haya lugar]</w:t>
      </w:r>
    </w:p>
    <w:p w14:paraId="050B4CE9" w14:textId="77777777" w:rsidR="000D2BFC" w:rsidRPr="00CD3CEA" w:rsidRDefault="000D2BFC" w:rsidP="000D2BFC">
      <w:pPr>
        <w:spacing w:after="120" w:line="240" w:lineRule="auto"/>
        <w:ind w:left="709" w:right="709"/>
        <w:jc w:val="both"/>
        <w:rPr>
          <w:rFonts w:ascii="Century Gothic" w:hAnsi="Century Gothic" w:cs="Arial"/>
          <w:sz w:val="21"/>
          <w:szCs w:val="21"/>
        </w:rPr>
      </w:pPr>
      <w:r w:rsidRPr="00CD3CEA">
        <w:rPr>
          <w:rFonts w:ascii="Century Gothic" w:hAnsi="Century Gothic" w:cs="Arial"/>
          <w:sz w:val="21"/>
          <w:szCs w:val="21"/>
        </w:rPr>
        <w:t>[…]</w:t>
      </w:r>
    </w:p>
    <w:p w14:paraId="1D924729" w14:textId="77777777" w:rsidR="000D2BFC" w:rsidRPr="00CD3CEA" w:rsidRDefault="000D2BFC" w:rsidP="000D2BFC">
      <w:pPr>
        <w:spacing w:after="120" w:line="240" w:lineRule="auto"/>
        <w:ind w:left="709" w:right="709"/>
        <w:jc w:val="both"/>
        <w:rPr>
          <w:rFonts w:ascii="Century Gothic" w:hAnsi="Century Gothic" w:cs="Arial"/>
          <w:sz w:val="21"/>
          <w:szCs w:val="21"/>
        </w:rPr>
      </w:pPr>
      <w:r w:rsidRPr="00CD3CEA">
        <w:rPr>
          <w:rFonts w:ascii="Century Gothic" w:hAnsi="Century Gothic" w:cs="Arial"/>
          <w:sz w:val="21"/>
          <w:szCs w:val="21"/>
        </w:rPr>
        <w:t xml:space="preserve">[Los aspectos incluidos en corchetes y resaltados en gris, al igual que los espacios con una raya «____» deben ser diligenciados por la Entidad Estatal, </w:t>
      </w:r>
      <w:bookmarkStart w:id="7" w:name="_Hlk146007241"/>
      <w:r w:rsidRPr="00CD3CEA">
        <w:rPr>
          <w:rFonts w:ascii="Century Gothic" w:hAnsi="Century Gothic" w:cs="Arial"/>
          <w:sz w:val="21"/>
          <w:szCs w:val="21"/>
        </w:rPr>
        <w:t>por lo que su contenido es susceptible de modificación</w:t>
      </w:r>
      <w:bookmarkEnd w:id="7"/>
      <w:r w:rsidRPr="00CD3CEA">
        <w:rPr>
          <w:rFonts w:ascii="Century Gothic" w:hAnsi="Century Gothic" w:cs="Arial"/>
          <w:sz w:val="21"/>
          <w:szCs w:val="21"/>
        </w:rPr>
        <w:t xml:space="preserve">. En estos lugares, en algunos casos, también se incluyen apartes entre paréntesis </w:t>
      </w:r>
      <w:r w:rsidRPr="00CD3CEA">
        <w:rPr>
          <w:rFonts w:ascii="Century Gothic" w:hAnsi="Century Gothic" w:cs="Arial"/>
          <w:sz w:val="21"/>
          <w:szCs w:val="21"/>
        </w:rPr>
        <w:lastRenderedPageBreak/>
        <w:t xml:space="preserve">que constituyen indicaciones para diligenciar los aspectos entre corchetes y resaltados en gris] </w:t>
      </w:r>
    </w:p>
    <w:p w14:paraId="0FC0B26F" w14:textId="77777777" w:rsidR="000D2BFC" w:rsidRPr="00CD3CEA" w:rsidRDefault="000D2BFC" w:rsidP="000D2BFC">
      <w:pPr>
        <w:spacing w:after="0" w:line="240" w:lineRule="auto"/>
        <w:ind w:left="709" w:right="709"/>
        <w:jc w:val="both"/>
        <w:rPr>
          <w:rFonts w:ascii="Century Gothic" w:hAnsi="Century Gothic" w:cs="Arial"/>
          <w:sz w:val="21"/>
          <w:szCs w:val="21"/>
        </w:rPr>
      </w:pPr>
      <w:r w:rsidRPr="00CD3CEA">
        <w:rPr>
          <w:rFonts w:ascii="Century Gothic" w:hAnsi="Century Gothic" w:cs="Arial"/>
          <w:sz w:val="21"/>
          <w:szCs w:val="21"/>
        </w:rPr>
        <w:t>[…]”.</w:t>
      </w:r>
    </w:p>
    <w:p w14:paraId="6E8A0B30" w14:textId="77777777" w:rsidR="000D2BFC" w:rsidRDefault="000D2BFC" w:rsidP="000D2BFC">
      <w:pPr>
        <w:spacing w:after="0" w:line="276" w:lineRule="auto"/>
        <w:jc w:val="both"/>
        <w:rPr>
          <w:rFonts w:ascii="Century Gothic" w:eastAsia="Calibri" w:hAnsi="Century Gothic" w:cs="Arial"/>
          <w:b/>
          <w:bCs/>
          <w:color w:val="000000"/>
          <w:szCs w:val="24"/>
          <w:lang w:eastAsia="es-ES_tradnl"/>
        </w:rPr>
      </w:pPr>
    </w:p>
    <w:p w14:paraId="40DC197D" w14:textId="77777777" w:rsidR="000D2BFC" w:rsidRPr="00CD3CEA" w:rsidRDefault="000D2BFC" w:rsidP="000D2BFC">
      <w:pPr>
        <w:spacing w:after="0" w:line="276" w:lineRule="auto"/>
        <w:ind w:firstLine="708"/>
        <w:jc w:val="both"/>
        <w:rPr>
          <w:rFonts w:ascii="Century Gothic" w:hAnsi="Century Gothic" w:cs="Arial"/>
        </w:rPr>
      </w:pPr>
      <w:r w:rsidRPr="00CD3CEA">
        <w:rPr>
          <w:rFonts w:ascii="Century Gothic" w:eastAsia="Calibri" w:hAnsi="Century Gothic" w:cs="Arial"/>
          <w:bCs/>
        </w:rPr>
        <w:t xml:space="preserve">Para los documentos tipo de infraestructura de transporte, indicaciones similares fueron precisadas por la Agencia en el Concepto C-289 del 26 de mayo de 2020. En este se explicó que la entidad estatal debe incluir como mínimo cláusulas mencionadas en la minuta, y que la indicación de que se </w:t>
      </w:r>
      <w:r w:rsidRPr="00CD3CEA">
        <w:rPr>
          <w:rFonts w:ascii="Century Gothic" w:hAnsi="Century Gothic" w:cs="Arial"/>
        </w:rPr>
        <w:t>“Podrá incluir condiciones adicionales que no contradigan lo dispuesto en el presente Anexo”,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Además, el concepto citado precisó el alcance la expresión “En algunas cláusulas la Entidad podrá escoger entre algunas opciones de cláusula, podrá combinar opciones o podrá construir su propia cláusula […]”, explicando que:</w:t>
      </w:r>
    </w:p>
    <w:p w14:paraId="56CA9D5C" w14:textId="77777777" w:rsidR="000D2BFC" w:rsidRPr="00CD3CEA" w:rsidRDefault="000D2BFC" w:rsidP="000D2BFC">
      <w:pPr>
        <w:spacing w:after="0" w:line="276" w:lineRule="auto"/>
        <w:ind w:left="709" w:right="709"/>
        <w:jc w:val="both"/>
        <w:rPr>
          <w:rFonts w:ascii="Century Gothic" w:hAnsi="Century Gothic" w:cs="Arial"/>
        </w:rPr>
      </w:pPr>
    </w:p>
    <w:p w14:paraId="3603C12B" w14:textId="77777777" w:rsidR="000D2BFC" w:rsidRPr="00CD3CEA" w:rsidRDefault="000D2BFC" w:rsidP="000D2BFC">
      <w:pPr>
        <w:spacing w:after="0" w:line="240" w:lineRule="auto"/>
        <w:ind w:left="709" w:right="709"/>
        <w:jc w:val="both"/>
        <w:rPr>
          <w:rFonts w:ascii="Century Gothic" w:hAnsi="Century Gothic" w:cs="Arial"/>
          <w:sz w:val="21"/>
          <w:szCs w:val="21"/>
        </w:rPr>
      </w:pPr>
      <w:r w:rsidRPr="00CD3CEA">
        <w:rPr>
          <w:rFonts w:ascii="Century Gothic" w:hAnsi="Century Gothic" w:cs="Arial"/>
          <w:sz w:val="21"/>
          <w:szCs w:val="21"/>
        </w:rPr>
        <w:t xml:space="preserve">“[…] algunas cláusulas del “Anexo 5 </w:t>
      </w:r>
      <w:r w:rsidRPr="00CD3CEA">
        <w:rPr>
          <w:rFonts w:ascii="Arial" w:hAnsi="Arial" w:cs="Arial"/>
          <w:sz w:val="21"/>
          <w:szCs w:val="21"/>
        </w:rPr>
        <w:t>‒</w:t>
      </w:r>
      <w:r w:rsidRPr="00CD3CEA">
        <w:rPr>
          <w:rFonts w:ascii="Century Gothic" w:hAnsi="Century Gothic" w:cs="Arial"/>
          <w:sz w:val="21"/>
          <w:szCs w:val="21"/>
        </w:rPr>
        <w:t xml:space="preserve"> Minuta del contrato” tienen un mayor grado de modificabilidad o alterabilidad que permiten, a discrecionalidad de la entidad, estipular algunas condiciones, que, de acuerdo con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491653EE" w14:textId="77777777" w:rsidR="000D2BFC" w:rsidRPr="00CD3CEA" w:rsidRDefault="000D2BFC" w:rsidP="000D2BFC">
      <w:pPr>
        <w:spacing w:after="0" w:line="276" w:lineRule="auto"/>
        <w:ind w:left="709" w:right="709"/>
        <w:jc w:val="both"/>
        <w:rPr>
          <w:rFonts w:ascii="Century Gothic" w:eastAsia="Calibri" w:hAnsi="Century Gothic" w:cs="Arial"/>
          <w:bCs/>
        </w:rPr>
      </w:pPr>
    </w:p>
    <w:p w14:paraId="789EABF9" w14:textId="77777777" w:rsidR="000D2BFC" w:rsidRPr="00CD3CEA" w:rsidRDefault="000D2BFC" w:rsidP="000D2BFC">
      <w:pPr>
        <w:spacing w:line="276" w:lineRule="auto"/>
        <w:ind w:firstLine="708"/>
        <w:jc w:val="both"/>
        <w:rPr>
          <w:rFonts w:ascii="Century Gothic" w:eastAsia="Calibri" w:hAnsi="Century Gothic" w:cs="Arial"/>
          <w:bCs/>
        </w:rPr>
      </w:pPr>
      <w:r w:rsidRPr="00CD3CEA">
        <w:rPr>
          <w:rFonts w:ascii="Century Gothic" w:eastAsia="Calibri" w:hAnsi="Century Gothic" w:cs="Arial"/>
          <w:bCs/>
        </w:rPr>
        <w:t xml:space="preserve">Para los documentos tipo de convenios solidarios, el contenido de las 28 cláusulas de la minuta sirve de punto de partida para que las partes regulen su relación contractual. En ese orden, las diferentes cláusulas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para ello en el cuerpo del documento. Así, las indicaciones en el encabezado de la “Minuta Tipo” y los espacios entre corchetes incluidos en el clausulado prestablecido en este, ofrecen a las entidades </w:t>
      </w:r>
      <w:r w:rsidRPr="00CD3CEA">
        <w:rPr>
          <w:rFonts w:ascii="Century Gothic" w:eastAsia="Calibri" w:hAnsi="Century Gothic" w:cs="Arial"/>
          <w:bCs/>
        </w:rPr>
        <w:lastRenderedPageBreak/>
        <w:t>estatales un margen amplio para la configuración del contrato de acuerdo con las necesidades identificadas por cada una de ellas.</w:t>
      </w:r>
    </w:p>
    <w:p w14:paraId="7A38597A" w14:textId="77777777" w:rsidR="000D2BFC" w:rsidRPr="00CD3CEA" w:rsidRDefault="000D2BFC" w:rsidP="000D2BFC">
      <w:pPr>
        <w:spacing w:line="276" w:lineRule="auto"/>
        <w:ind w:firstLine="708"/>
        <w:jc w:val="both"/>
        <w:rPr>
          <w:rFonts w:ascii="Century Gothic" w:eastAsia="Calibri" w:hAnsi="Century Gothic" w:cs="Arial"/>
          <w:bCs/>
          <w:color w:val="000000" w:themeColor="text1"/>
        </w:rPr>
      </w:pPr>
      <w:r w:rsidRPr="00CD3CEA">
        <w:rPr>
          <w:rFonts w:ascii="Century Gothic" w:eastAsia="Calibri" w:hAnsi="Century Gothic" w:cs="Arial"/>
          <w:bCs/>
          <w:color w:val="000000" w:themeColor="text1"/>
        </w:rPr>
        <w:t>Los requisitos establecidos en los documentos tipo constituyen buenas prácticas contractuales, que son el resultado del estudio conjunto realizado con las entidades técnicas y/o especializadas que participaron en las mesas de trabajo para la construcción de estos documentos</w:t>
      </w:r>
      <w:r>
        <w:rPr>
          <w:rFonts w:ascii="Century Gothic" w:eastAsia="Calibri" w:hAnsi="Century Gothic" w:cs="Arial"/>
          <w:bCs/>
          <w:color w:val="000000" w:themeColor="text1"/>
        </w:rPr>
        <w:t xml:space="preserve">, adicional, </w:t>
      </w:r>
      <w:r w:rsidRPr="00CD3CEA">
        <w:rPr>
          <w:rFonts w:ascii="Century Gothic" w:eastAsia="Calibri" w:hAnsi="Century Gothic" w:cs="Arial"/>
          <w:bCs/>
          <w:color w:val="000000" w:themeColor="text1"/>
        </w:rPr>
        <w:t xml:space="preserve">antes de su expedición, también fueron socializados con los partícipes del sistema de compras públicas con el fin de recibir comentarios y sugerencias. </w:t>
      </w:r>
    </w:p>
    <w:p w14:paraId="5ECD9E6C" w14:textId="77777777" w:rsidR="000D2BFC" w:rsidRPr="00CD3CEA" w:rsidRDefault="000D2BFC" w:rsidP="000D2BFC">
      <w:pPr>
        <w:tabs>
          <w:tab w:val="center" w:pos="4244"/>
        </w:tabs>
        <w:spacing w:before="120" w:after="120" w:line="276" w:lineRule="auto"/>
        <w:ind w:firstLine="709"/>
        <w:jc w:val="both"/>
        <w:rPr>
          <w:rFonts w:ascii="Century Gothic" w:eastAsia="Calibri" w:hAnsi="Century Gothic" w:cs="Arial"/>
          <w:color w:val="000000" w:themeColor="text1"/>
        </w:rPr>
      </w:pPr>
      <w:r w:rsidRPr="00CD3CEA">
        <w:rPr>
          <w:rFonts w:ascii="Century Gothic" w:eastAsia="Calibri" w:hAnsi="Century Gothic" w:cs="Arial"/>
          <w:color w:val="000000" w:themeColor="text1"/>
        </w:rPr>
        <w:t xml:space="preserve">Ahora bien, la </w:t>
      </w:r>
      <w:bookmarkStart w:id="8" w:name="_Hlk81313602"/>
      <w:r w:rsidRPr="00CD3CEA">
        <w:rPr>
          <w:rFonts w:ascii="Century Gothic" w:eastAsia="Calibri" w:hAnsi="Century Gothic" w:cs="Arial"/>
          <w:color w:val="000000" w:themeColor="text1"/>
        </w:rPr>
        <w:t xml:space="preserve">“Cláusula 7. Giros de los recursos” </w:t>
      </w:r>
      <w:bookmarkEnd w:id="8"/>
      <w:r w:rsidRPr="00CD3CEA">
        <w:rPr>
          <w:rFonts w:ascii="Century Gothic" w:eastAsia="Calibri" w:hAnsi="Century Gothic" w:cs="Arial"/>
          <w:color w:val="000000" w:themeColor="text1"/>
        </w:rPr>
        <w:t>tiene por objeto establecer las condiciones a las que está sometida la entidad respecto a los desembolsos a favor de contratista para la ejecución del proyecto</w:t>
      </w:r>
      <w:r w:rsidRPr="00CD3CEA">
        <w:rPr>
          <w:rStyle w:val="FootnoteReference"/>
          <w:rFonts w:ascii="Century Gothic" w:eastAsia="Calibri" w:hAnsi="Century Gothic" w:cs="Arial"/>
          <w:color w:val="000000" w:themeColor="text1"/>
        </w:rPr>
        <w:footnoteReference w:id="13"/>
      </w:r>
      <w:r w:rsidRPr="00CD3CEA">
        <w:rPr>
          <w:rFonts w:ascii="Century Gothic" w:eastAsia="Calibri" w:hAnsi="Century Gothic" w:cs="Arial"/>
          <w:color w:val="000000" w:themeColor="text1"/>
        </w:rPr>
        <w:t xml:space="preserve">. Esta cláusula contiene tres (3) </w:t>
      </w:r>
      <w:r w:rsidRPr="00CD3CEA">
        <w:rPr>
          <w:rFonts w:ascii="Century Gothic" w:eastAsia="Calibri" w:hAnsi="Century Gothic" w:cs="Arial"/>
          <w:color w:val="000000" w:themeColor="text1"/>
        </w:rPr>
        <w:lastRenderedPageBreak/>
        <w:t xml:space="preserve">opciones </w:t>
      </w:r>
      <w:r>
        <w:rPr>
          <w:rFonts w:ascii="Century Gothic" w:eastAsia="Calibri" w:hAnsi="Century Gothic" w:cs="Arial"/>
          <w:color w:val="000000" w:themeColor="text1"/>
        </w:rPr>
        <w:t>para realizar</w:t>
      </w:r>
      <w:r w:rsidRPr="00CD3CEA">
        <w:rPr>
          <w:rFonts w:ascii="Century Gothic" w:eastAsia="Calibri" w:hAnsi="Century Gothic" w:cs="Arial"/>
          <w:color w:val="000000" w:themeColor="text1"/>
        </w:rPr>
        <w:t xml:space="preserve"> los giros. Mientras las opciones 1 y 3 se refiere</w:t>
      </w:r>
      <w:r>
        <w:rPr>
          <w:rFonts w:ascii="Century Gothic" w:eastAsia="Calibri" w:hAnsi="Century Gothic" w:cs="Arial"/>
          <w:color w:val="000000" w:themeColor="text1"/>
        </w:rPr>
        <w:t>n</w:t>
      </w:r>
      <w:r w:rsidRPr="00CD3CEA">
        <w:rPr>
          <w:rFonts w:ascii="Century Gothic" w:eastAsia="Calibri" w:hAnsi="Century Gothic" w:cs="Arial"/>
          <w:color w:val="000000" w:themeColor="text1"/>
        </w:rPr>
        <w:t xml:space="preserve"> a la apertura de una cuenta bancaria, la opción 3 alude a la constitución de un patrimonio autónomo</w:t>
      </w:r>
      <w:r>
        <w:rPr>
          <w:rFonts w:ascii="Century Gothic" w:eastAsia="Calibri" w:hAnsi="Century Gothic" w:cs="Arial"/>
          <w:color w:val="000000" w:themeColor="text1"/>
        </w:rPr>
        <w:t xml:space="preserve">, </w:t>
      </w:r>
      <w:r w:rsidRPr="0042038C">
        <w:rPr>
          <w:rFonts w:ascii="Century Gothic" w:eastAsia="Calibri" w:hAnsi="Century Gothic" w:cs="Arial"/>
          <w:color w:val="000000" w:themeColor="text1"/>
        </w:rPr>
        <w:t xml:space="preserve">la Entidad Estatal en su labor de estructuración deberá establecer la periodicidad y el monto del desembolso </w:t>
      </w:r>
      <w:r>
        <w:rPr>
          <w:rFonts w:ascii="Century Gothic" w:eastAsia="Calibri" w:hAnsi="Century Gothic" w:cs="Arial"/>
          <w:color w:val="000000" w:themeColor="text1"/>
        </w:rPr>
        <w:t xml:space="preserve">y </w:t>
      </w:r>
      <w:r w:rsidRPr="0042038C">
        <w:rPr>
          <w:rFonts w:ascii="Century Gothic" w:eastAsia="Calibri" w:hAnsi="Century Gothic" w:cs="Arial"/>
          <w:color w:val="000000" w:themeColor="text1"/>
        </w:rPr>
        <w:t xml:space="preserve">escoger </w:t>
      </w:r>
      <w:r>
        <w:rPr>
          <w:rFonts w:ascii="Century Gothic" w:eastAsia="Calibri" w:hAnsi="Century Gothic" w:cs="Arial"/>
          <w:color w:val="000000" w:themeColor="text1"/>
        </w:rPr>
        <w:t>l</w:t>
      </w:r>
      <w:r w:rsidRPr="0042038C">
        <w:rPr>
          <w:rFonts w:ascii="Century Gothic" w:eastAsia="Calibri" w:hAnsi="Century Gothic" w:cs="Arial"/>
          <w:color w:val="000000" w:themeColor="text1"/>
        </w:rPr>
        <w:t xml:space="preserve">a </w:t>
      </w:r>
      <w:r>
        <w:rPr>
          <w:rFonts w:ascii="Century Gothic" w:eastAsia="Calibri" w:hAnsi="Century Gothic" w:cs="Arial"/>
          <w:color w:val="000000" w:themeColor="text1"/>
        </w:rPr>
        <w:t xml:space="preserve">opción </w:t>
      </w:r>
      <w:r w:rsidRPr="0042038C">
        <w:rPr>
          <w:rFonts w:ascii="Century Gothic" w:eastAsia="Calibri" w:hAnsi="Century Gothic" w:cs="Arial"/>
          <w:color w:val="000000" w:themeColor="text1"/>
        </w:rPr>
        <w:t>que más le favorezca y aplique al sector y población con la que se suscribirá el convenio solidario.</w:t>
      </w:r>
    </w:p>
    <w:p w14:paraId="11436DE1" w14:textId="77777777" w:rsidR="000D2BFC" w:rsidRDefault="000D2BFC" w:rsidP="000D2BFC">
      <w:pPr>
        <w:tabs>
          <w:tab w:val="center" w:pos="4244"/>
        </w:tabs>
        <w:spacing w:before="120" w:after="120" w:line="276" w:lineRule="auto"/>
        <w:ind w:firstLine="709"/>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Por su parte </w:t>
      </w:r>
      <w:r w:rsidRPr="00CD3CEA">
        <w:rPr>
          <w:rFonts w:ascii="Century Gothic" w:eastAsia="Calibri" w:hAnsi="Century Gothic" w:cs="Arial"/>
          <w:color w:val="000000" w:themeColor="text1"/>
        </w:rPr>
        <w:t xml:space="preserve">la “Cláusula </w:t>
      </w:r>
      <w:r>
        <w:rPr>
          <w:rFonts w:ascii="Century Gothic" w:eastAsia="Calibri" w:hAnsi="Century Gothic" w:cs="Arial"/>
          <w:color w:val="000000" w:themeColor="text1"/>
        </w:rPr>
        <w:t>9</w:t>
      </w:r>
      <w:r w:rsidRPr="00CD3CEA">
        <w:rPr>
          <w:rFonts w:ascii="Century Gothic" w:eastAsia="Calibri" w:hAnsi="Century Gothic" w:cs="Arial"/>
          <w:color w:val="000000" w:themeColor="text1"/>
        </w:rPr>
        <w:t xml:space="preserve">. </w:t>
      </w:r>
      <w:r w:rsidRPr="00011111">
        <w:rPr>
          <w:rFonts w:ascii="Century Gothic" w:eastAsia="Calibri" w:hAnsi="Century Gothic" w:cs="Arial"/>
          <w:color w:val="000000" w:themeColor="text1"/>
        </w:rPr>
        <w:t>FORMA DE USO Y DISPOSICIÓN DE LOS RECURSOS POR PARTE DEL OAC</w:t>
      </w:r>
      <w:r w:rsidRPr="00CD3CEA">
        <w:rPr>
          <w:rFonts w:ascii="Century Gothic" w:eastAsia="Calibri" w:hAnsi="Century Gothic" w:cs="Arial"/>
          <w:color w:val="000000" w:themeColor="text1"/>
        </w:rPr>
        <w:t>” tiene por objeto</w:t>
      </w:r>
      <w:r>
        <w:rPr>
          <w:rFonts w:ascii="Century Gothic" w:eastAsia="Calibri" w:hAnsi="Century Gothic" w:cs="Arial"/>
          <w:color w:val="000000" w:themeColor="text1"/>
        </w:rPr>
        <w:t xml:space="preserve"> </w:t>
      </w:r>
      <w:r w:rsidRPr="00011111">
        <w:rPr>
          <w:rFonts w:ascii="Century Gothic" w:eastAsia="Calibri" w:hAnsi="Century Gothic" w:cs="Arial"/>
          <w:color w:val="000000" w:themeColor="text1"/>
        </w:rPr>
        <w:t>establece</w:t>
      </w:r>
      <w:r>
        <w:rPr>
          <w:rFonts w:ascii="Century Gothic" w:eastAsia="Calibri" w:hAnsi="Century Gothic" w:cs="Arial"/>
          <w:color w:val="000000" w:themeColor="text1"/>
        </w:rPr>
        <w:t>r</w:t>
      </w:r>
      <w:r w:rsidRPr="00011111">
        <w:rPr>
          <w:rFonts w:ascii="Century Gothic" w:eastAsia="Calibri" w:hAnsi="Century Gothic" w:cs="Arial"/>
          <w:color w:val="000000" w:themeColor="text1"/>
        </w:rPr>
        <w:t xml:space="preserve"> los documentos mínimos que se consideran necesarios para soportar la disposición de recursos, sin perjuicio de que las entidades desde su estructuración y de acuerdo </w:t>
      </w:r>
      <w:r>
        <w:rPr>
          <w:rFonts w:ascii="Century Gothic" w:eastAsia="Calibri" w:hAnsi="Century Gothic" w:cs="Arial"/>
          <w:color w:val="000000" w:themeColor="text1"/>
        </w:rPr>
        <w:t>con</w:t>
      </w:r>
      <w:r w:rsidRPr="00011111">
        <w:rPr>
          <w:rFonts w:ascii="Century Gothic" w:eastAsia="Calibri" w:hAnsi="Century Gothic" w:cs="Arial"/>
          <w:color w:val="000000" w:themeColor="text1"/>
        </w:rPr>
        <w:t xml:space="preserve"> las necesidades y alcance propio de la obra pueda solicitar documentación adicional. </w:t>
      </w:r>
      <w:r>
        <w:rPr>
          <w:rFonts w:ascii="Century Gothic" w:eastAsia="Calibri" w:hAnsi="Century Gothic" w:cs="Arial"/>
          <w:color w:val="000000" w:themeColor="text1"/>
        </w:rPr>
        <w:t>L</w:t>
      </w:r>
      <w:r w:rsidRPr="00011111">
        <w:rPr>
          <w:rFonts w:ascii="Century Gothic" w:eastAsia="Calibri" w:hAnsi="Century Gothic" w:cs="Arial"/>
          <w:color w:val="000000" w:themeColor="text1"/>
        </w:rPr>
        <w:t xml:space="preserve">os informes parciales o finales que se establecen en </w:t>
      </w:r>
      <w:r>
        <w:rPr>
          <w:rFonts w:ascii="Century Gothic" w:eastAsia="Calibri" w:hAnsi="Century Gothic" w:cs="Arial"/>
          <w:color w:val="000000" w:themeColor="text1"/>
        </w:rPr>
        <w:t>esta</w:t>
      </w:r>
      <w:r w:rsidRPr="00011111">
        <w:rPr>
          <w:rFonts w:ascii="Century Gothic" w:eastAsia="Calibri" w:hAnsi="Century Gothic" w:cs="Arial"/>
          <w:color w:val="000000" w:themeColor="text1"/>
        </w:rPr>
        <w:t xml:space="preserve"> cláusula de forma de uso de la Minuta Tipo no hacen referencia a que sea el OAC quien deba realizarlos, estos deberán presentarse por el tercero prestador del bien o servicio que se vaya a pagar, y deberá pasar por revisión del OAC para que a su vez lo aporte a la interventoría y/o supervisión para que verificados los mismos se avale el pago y giro de los recursos</w:t>
      </w:r>
      <w:r>
        <w:rPr>
          <w:rFonts w:ascii="Century Gothic" w:eastAsia="Calibri" w:hAnsi="Century Gothic" w:cs="Arial"/>
          <w:color w:val="000000" w:themeColor="text1"/>
        </w:rPr>
        <w:t>.</w:t>
      </w:r>
      <w:r>
        <w:rPr>
          <w:rStyle w:val="FootnoteReference"/>
          <w:rFonts w:ascii="Century Gothic" w:eastAsia="Calibri" w:hAnsi="Century Gothic" w:cs="Arial"/>
          <w:color w:val="000000" w:themeColor="text1"/>
        </w:rPr>
        <w:footnoteReference w:id="14"/>
      </w:r>
    </w:p>
    <w:p w14:paraId="62DAFFA4" w14:textId="77777777" w:rsidR="000D2BFC" w:rsidRDefault="000D2BFC" w:rsidP="000D2BFC">
      <w:pPr>
        <w:tabs>
          <w:tab w:val="center" w:pos="4244"/>
        </w:tabs>
        <w:spacing w:before="120" w:after="120" w:line="276" w:lineRule="auto"/>
        <w:ind w:firstLine="709"/>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Por su último, </w:t>
      </w:r>
      <w:r w:rsidRPr="00CD3CEA">
        <w:rPr>
          <w:rFonts w:ascii="Century Gothic" w:eastAsia="Calibri" w:hAnsi="Century Gothic" w:cs="Arial"/>
          <w:color w:val="000000" w:themeColor="text1"/>
        </w:rPr>
        <w:t xml:space="preserve">la “Cláusula </w:t>
      </w:r>
      <w:r>
        <w:rPr>
          <w:rFonts w:ascii="Century Gothic" w:eastAsia="Calibri" w:hAnsi="Century Gothic" w:cs="Arial"/>
          <w:color w:val="000000" w:themeColor="text1"/>
        </w:rPr>
        <w:t>19</w:t>
      </w:r>
      <w:r w:rsidRPr="00CD3CEA">
        <w:rPr>
          <w:rFonts w:ascii="Century Gothic" w:eastAsia="Calibri" w:hAnsi="Century Gothic" w:cs="Arial"/>
          <w:color w:val="000000" w:themeColor="text1"/>
        </w:rPr>
        <w:t>.</w:t>
      </w:r>
      <w:r>
        <w:rPr>
          <w:rFonts w:ascii="Century Gothic" w:eastAsia="Calibri" w:hAnsi="Century Gothic" w:cs="Arial"/>
          <w:color w:val="000000" w:themeColor="text1"/>
        </w:rPr>
        <w:t xml:space="preserve"> </w:t>
      </w:r>
      <w:r w:rsidRPr="0066725F">
        <w:rPr>
          <w:rFonts w:ascii="Century Gothic" w:eastAsia="Calibri" w:hAnsi="Century Gothic" w:cs="Arial"/>
          <w:color w:val="000000" w:themeColor="text1"/>
        </w:rPr>
        <w:tab/>
        <w:t>INEXISTENCIA DE RELACIÓN LABORAL</w:t>
      </w:r>
      <w:r w:rsidRPr="00CD3CEA">
        <w:rPr>
          <w:rFonts w:ascii="Century Gothic" w:eastAsia="Calibri" w:hAnsi="Century Gothic" w:cs="Arial"/>
          <w:color w:val="000000" w:themeColor="text1"/>
        </w:rPr>
        <w:t>” tiene por objeto</w:t>
      </w:r>
      <w:r>
        <w:rPr>
          <w:rFonts w:ascii="Century Gothic" w:eastAsia="Calibri" w:hAnsi="Century Gothic" w:cs="Arial"/>
          <w:color w:val="000000" w:themeColor="text1"/>
        </w:rPr>
        <w:t xml:space="preserve"> </w:t>
      </w:r>
      <w:r w:rsidRPr="0066725F">
        <w:rPr>
          <w:rFonts w:ascii="Century Gothic" w:eastAsia="Calibri" w:hAnsi="Century Gothic" w:cs="Arial"/>
          <w:color w:val="000000" w:themeColor="text1"/>
        </w:rPr>
        <w:t xml:space="preserve">establecer la </w:t>
      </w:r>
      <w:r>
        <w:rPr>
          <w:rFonts w:ascii="Century Gothic" w:eastAsia="Calibri" w:hAnsi="Century Gothic" w:cs="Arial"/>
          <w:color w:val="000000" w:themeColor="text1"/>
        </w:rPr>
        <w:t>autonomía del Organismo de Acción Comunal respecto d</w:t>
      </w:r>
      <w:r w:rsidRPr="0066725F">
        <w:rPr>
          <w:rFonts w:ascii="Century Gothic" w:eastAsia="Calibri" w:hAnsi="Century Gothic" w:cs="Arial"/>
          <w:color w:val="000000" w:themeColor="text1"/>
        </w:rPr>
        <w:t xml:space="preserve">el personal que </w:t>
      </w:r>
      <w:r>
        <w:rPr>
          <w:rFonts w:ascii="Century Gothic" w:eastAsia="Calibri" w:hAnsi="Century Gothic" w:cs="Arial"/>
          <w:color w:val="000000" w:themeColor="text1"/>
        </w:rPr>
        <w:t xml:space="preserve">se </w:t>
      </w:r>
      <w:r w:rsidRPr="0066725F">
        <w:rPr>
          <w:rFonts w:ascii="Century Gothic" w:eastAsia="Calibri" w:hAnsi="Century Gothic" w:cs="Arial"/>
          <w:color w:val="000000" w:themeColor="text1"/>
        </w:rPr>
        <w:t xml:space="preserve">vincule durante la ejecución del convenio, debiendo cumplir </w:t>
      </w:r>
      <w:r w:rsidRPr="0066725F">
        <w:rPr>
          <w:rFonts w:ascii="Century Gothic" w:eastAsia="Calibri" w:hAnsi="Century Gothic" w:cs="Arial"/>
          <w:color w:val="000000" w:themeColor="text1"/>
        </w:rPr>
        <w:lastRenderedPageBreak/>
        <w:t>con todos los requisitos exigidos en los Estudios y Documentos previos soporte de la Contratación. Entre el OAC, el personal que éste contrate y la Entidad Estatal no existe, ni existirá vínculo laboral alguno. En consecuencia, el OAC responderá de manera exclusiva por el pago de honorarios, salarios, prestaciones e indemnizaciones de carácter laboral y contractual a que haya lugar. Asimismo, el OAC deberá verificar y/o cumplir con la afiliación de dicho personal al Sistema de Seguridad Social integral (salud, pensiones y riesgos laborales) y a la Caja de Compensación Familiar, ICBF y SENA, cuando haya lugar, de acuerdo con lo dispuesto en la Ley.</w:t>
      </w:r>
    </w:p>
    <w:p w14:paraId="068E2B8C" w14:textId="77777777" w:rsidR="000D2BFC" w:rsidRDefault="000D2BFC" w:rsidP="000D2BFC">
      <w:pPr>
        <w:tabs>
          <w:tab w:val="center" w:pos="4244"/>
        </w:tabs>
        <w:spacing w:before="120" w:after="120" w:line="276" w:lineRule="auto"/>
        <w:ind w:firstLine="709"/>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 </w:t>
      </w:r>
    </w:p>
    <w:p w14:paraId="17293BBB" w14:textId="77777777" w:rsidR="000D2BFC" w:rsidRPr="004541A8" w:rsidRDefault="000D2BFC" w:rsidP="000D2BFC">
      <w:pPr>
        <w:spacing w:after="120" w:line="276" w:lineRule="auto"/>
        <w:jc w:val="both"/>
        <w:rPr>
          <w:rFonts w:ascii="Century Gothic" w:hAnsi="Century Gothic" w:cs="Arial"/>
          <w:b/>
          <w:bCs/>
        </w:rPr>
      </w:pPr>
      <w:r w:rsidRPr="004541A8">
        <w:rPr>
          <w:rFonts w:ascii="Century Gothic" w:hAnsi="Century Gothic" w:cs="Arial"/>
          <w:b/>
          <w:bCs/>
        </w:rPr>
        <w:t xml:space="preserve">3. Respuesta </w:t>
      </w:r>
    </w:p>
    <w:p w14:paraId="23E52C4F" w14:textId="77777777" w:rsidR="000D2BFC" w:rsidRDefault="000D2BFC" w:rsidP="000D2BFC">
      <w:pPr>
        <w:spacing w:after="0" w:line="240" w:lineRule="auto"/>
        <w:ind w:left="709" w:right="709"/>
        <w:jc w:val="both"/>
        <w:rPr>
          <w:rFonts w:ascii="Century Gothic" w:eastAsia="Arial" w:hAnsi="Century Gothic" w:cs="Arial"/>
          <w:color w:val="000000"/>
          <w:sz w:val="20"/>
          <w:szCs w:val="20"/>
        </w:rPr>
      </w:pPr>
      <w:r>
        <w:rPr>
          <w:rFonts w:ascii="Century Gothic" w:eastAsia="Arial" w:hAnsi="Century Gothic" w:cs="Arial"/>
          <w:color w:val="000000"/>
          <w:sz w:val="20"/>
          <w:szCs w:val="20"/>
        </w:rPr>
        <w:t>1.</w:t>
      </w:r>
      <w:r w:rsidRPr="004541A8">
        <w:rPr>
          <w:rFonts w:ascii="Century Gothic" w:eastAsia="Arial" w:hAnsi="Century Gothic" w:cs="Arial"/>
          <w:color w:val="000000"/>
          <w:sz w:val="20"/>
          <w:szCs w:val="20"/>
        </w:rPr>
        <w:t>“</w:t>
      </w:r>
      <w:r w:rsidRPr="00975502">
        <w:rPr>
          <w:rFonts w:ascii="Century Gothic" w:eastAsia="Arial" w:hAnsi="Century Gothic" w:cs="Arial"/>
          <w:color w:val="000000"/>
          <w:sz w:val="20"/>
          <w:szCs w:val="20"/>
        </w:rPr>
        <w:t>en la ejecución de los convenios, el Organismo de Acción Comunal cuando realiza sus aportes en especie, específicamente en mano de obra no calificada, la cual hace referencia a los habitantes de la comunidad, dicho vínculo se podría materializar por medio de contratos de voluntariado, sin que deba existir la obligación por parte del OAC de realizar los aportes al sistema de seguridad social integral, o si en su defecto, independientemente del vínculo contractual, deberá verificarse la afiliación al sistema de seguridad social integral de cada uno de los voluntarios dentro del convenio, o si en su defecto, los voluntarios del convenio están exonerados de los aportes al sistema de seguridad social integral</w:t>
      </w:r>
      <w:r>
        <w:rPr>
          <w:rFonts w:ascii="Century Gothic" w:eastAsia="Arial" w:hAnsi="Century Gothic" w:cs="Arial"/>
          <w:color w:val="000000"/>
          <w:sz w:val="20"/>
          <w:szCs w:val="20"/>
        </w:rPr>
        <w:t>”</w:t>
      </w:r>
      <w:r w:rsidRPr="00975502">
        <w:rPr>
          <w:rFonts w:ascii="Century Gothic" w:eastAsia="Arial" w:hAnsi="Century Gothic" w:cs="Arial"/>
          <w:color w:val="000000"/>
          <w:sz w:val="20"/>
          <w:szCs w:val="20"/>
        </w:rPr>
        <w:t>.</w:t>
      </w:r>
    </w:p>
    <w:p w14:paraId="29E18F18" w14:textId="77777777" w:rsidR="000D2BFC" w:rsidRDefault="000D2BFC" w:rsidP="000D2BFC">
      <w:pPr>
        <w:spacing w:after="0" w:line="240" w:lineRule="auto"/>
        <w:ind w:left="709" w:right="709"/>
        <w:jc w:val="both"/>
        <w:rPr>
          <w:rFonts w:ascii="Century Gothic" w:eastAsia="Arial" w:hAnsi="Century Gothic" w:cs="Arial"/>
          <w:color w:val="000000"/>
          <w:sz w:val="20"/>
          <w:szCs w:val="20"/>
        </w:rPr>
      </w:pPr>
    </w:p>
    <w:p w14:paraId="4D3B4EA1" w14:textId="77777777" w:rsidR="000D2BFC" w:rsidRPr="00E00AC7" w:rsidRDefault="000D2BFC" w:rsidP="000D2BFC">
      <w:pPr>
        <w:spacing w:after="120" w:line="276" w:lineRule="auto"/>
        <w:ind w:firstLine="708"/>
        <w:jc w:val="both"/>
        <w:rPr>
          <w:rFonts w:ascii="Century Gothic" w:hAnsi="Century Gothic" w:cs="Arial"/>
          <w:bCs/>
        </w:rPr>
      </w:pPr>
      <w:r w:rsidRPr="00E00AC7">
        <w:rPr>
          <w:rFonts w:ascii="Century Gothic" w:hAnsi="Century Gothic" w:cs="Arial"/>
        </w:rPr>
        <w:t xml:space="preserve">De la pregunta en concreto, se precisa que la Agencia Nacional de Contratación Pública tiene competencia para atender consultas relativas a temas contractuales, pero solo para absolver consultas sobre la aplicación de normas de carácter general. Por ello, </w:t>
      </w:r>
      <w:r w:rsidRPr="00E00AC7">
        <w:rPr>
          <w:rFonts w:ascii="Century Gothic" w:hAnsi="Century Gothic" w:cs="Arial"/>
          <w:lang w:val="es-ES"/>
        </w:rPr>
        <w:t>resolver casos particulares desborda las atribuciones asignadas por el legislador extraordinario, que no concibió a Colombia Compra Eficiente como una autoridad para solucionar problemas jurídicos particulares</w:t>
      </w:r>
      <w:r w:rsidRPr="00E00AC7">
        <w:rPr>
          <w:rFonts w:ascii="Century Gothic" w:hAnsi="Century Gothic" w:cs="Arial"/>
          <w:bCs/>
        </w:rPr>
        <w:t xml:space="preserve"> de todos los partícipes de la contratación estatal ni para interpretar el alcance de cualquier norma vigente en el ordenamiento jurídico.</w:t>
      </w:r>
    </w:p>
    <w:p w14:paraId="77445831" w14:textId="09E6F7BC" w:rsidR="000D2BFC" w:rsidRDefault="000D2BFC" w:rsidP="000D2BFC">
      <w:pPr>
        <w:pStyle w:val="BodyText"/>
        <w:spacing w:before="1"/>
        <w:ind w:firstLine="708"/>
        <w:jc w:val="both"/>
        <w:rPr>
          <w:rFonts w:ascii="Century Gothic" w:eastAsia="Arial" w:hAnsi="Century Gothic" w:cs="Arial"/>
          <w:color w:val="000000"/>
          <w:lang w:val="es-CO"/>
        </w:rPr>
      </w:pPr>
      <w:r>
        <w:rPr>
          <w:rFonts w:ascii="Century Gothic" w:eastAsia="Arial" w:hAnsi="Century Gothic" w:cs="Arial"/>
          <w:color w:val="000000"/>
          <w:lang w:val="es-CO"/>
        </w:rPr>
        <w:t>Con todo, es claro que e</w:t>
      </w:r>
      <w:r w:rsidRPr="00CE4FB9">
        <w:rPr>
          <w:rFonts w:ascii="Century Gothic" w:eastAsia="Arial" w:hAnsi="Century Gothic" w:cs="Arial"/>
          <w:color w:val="000000"/>
          <w:lang w:val="es-CO"/>
        </w:rPr>
        <w:t>l OAC al realizar un aporte en especie</w:t>
      </w:r>
      <w:r w:rsidR="001D13C1">
        <w:rPr>
          <w:rFonts w:ascii="Century Gothic" w:eastAsia="Arial" w:hAnsi="Century Gothic" w:cs="Arial"/>
          <w:color w:val="000000"/>
          <w:lang w:val="es-CO"/>
        </w:rPr>
        <w:t>,</w:t>
      </w:r>
      <w:r w:rsidRPr="00CE4FB9">
        <w:rPr>
          <w:rFonts w:ascii="Century Gothic" w:eastAsia="Arial" w:hAnsi="Century Gothic" w:cs="Arial"/>
          <w:color w:val="000000"/>
          <w:lang w:val="es-CO"/>
        </w:rPr>
        <w:t xml:space="preserve"> en este caso mano de obra no calificada debe realizar la respectiva cuantificación del aporte, </w:t>
      </w:r>
      <w:r>
        <w:rPr>
          <w:rFonts w:ascii="Century Gothic" w:eastAsia="Arial" w:hAnsi="Century Gothic" w:cs="Arial"/>
          <w:color w:val="000000"/>
          <w:lang w:val="es-CO"/>
        </w:rPr>
        <w:t>adicional a ello tiene que cumplir con las oblig</w:t>
      </w:r>
      <w:r w:rsidRPr="00CE4FB9">
        <w:rPr>
          <w:rFonts w:ascii="Century Gothic" w:eastAsia="Arial" w:hAnsi="Century Gothic" w:cs="Arial"/>
          <w:color w:val="000000"/>
          <w:lang w:val="es-CO"/>
        </w:rPr>
        <w:t>aciones laborales respecto del personal a su cargo, y con las obligaciones tributarias y ambientales que le correspondan de acuerdo con su labor</w:t>
      </w:r>
      <w:r>
        <w:rPr>
          <w:rFonts w:ascii="Century Gothic" w:eastAsia="Arial" w:hAnsi="Century Gothic" w:cs="Arial"/>
          <w:color w:val="000000"/>
          <w:lang w:val="es-CO"/>
        </w:rPr>
        <w:t xml:space="preserve">; por último el OAC es quien debe responder </w:t>
      </w:r>
      <w:r w:rsidRPr="00CE4FB9">
        <w:rPr>
          <w:rFonts w:ascii="Century Gothic" w:eastAsia="Arial" w:hAnsi="Century Gothic" w:cs="Arial"/>
          <w:color w:val="000000"/>
          <w:lang w:val="es-CO"/>
        </w:rPr>
        <w:t>de manera exclusiva por el pago de honorarios, salarios, prestaciones e indemnizaciones de carácter laboral y contractual a que haya lugar</w:t>
      </w:r>
      <w:r>
        <w:rPr>
          <w:rFonts w:ascii="Century Gothic" w:eastAsia="Arial" w:hAnsi="Century Gothic" w:cs="Arial"/>
          <w:color w:val="000000"/>
          <w:lang w:val="es-CO"/>
        </w:rPr>
        <w:t>, v</w:t>
      </w:r>
      <w:r w:rsidRPr="00CE4FB9">
        <w:rPr>
          <w:rFonts w:ascii="Century Gothic" w:eastAsia="Arial" w:hAnsi="Century Gothic" w:cs="Arial"/>
          <w:color w:val="000000"/>
          <w:lang w:val="es-CO"/>
        </w:rPr>
        <w:t>erifica</w:t>
      </w:r>
      <w:r>
        <w:rPr>
          <w:rFonts w:ascii="Century Gothic" w:eastAsia="Arial" w:hAnsi="Century Gothic" w:cs="Arial"/>
          <w:color w:val="000000"/>
          <w:lang w:val="es-CO"/>
        </w:rPr>
        <w:t>ndo</w:t>
      </w:r>
      <w:r w:rsidRPr="00CE4FB9">
        <w:rPr>
          <w:rFonts w:ascii="Century Gothic" w:eastAsia="Arial" w:hAnsi="Century Gothic" w:cs="Arial"/>
          <w:color w:val="000000"/>
          <w:lang w:val="es-CO"/>
        </w:rPr>
        <w:t xml:space="preserve"> o cumpli</w:t>
      </w:r>
      <w:r>
        <w:rPr>
          <w:rFonts w:ascii="Century Gothic" w:eastAsia="Arial" w:hAnsi="Century Gothic" w:cs="Arial"/>
          <w:color w:val="000000"/>
          <w:lang w:val="es-CO"/>
        </w:rPr>
        <w:t>endo</w:t>
      </w:r>
      <w:r w:rsidRPr="00CE4FB9">
        <w:rPr>
          <w:rFonts w:ascii="Century Gothic" w:eastAsia="Arial" w:hAnsi="Century Gothic" w:cs="Arial"/>
          <w:color w:val="000000"/>
          <w:lang w:val="es-CO"/>
        </w:rPr>
        <w:t xml:space="preserve"> con la afiliación de dicho personal al Sistema de Seguridad Social integral (salud, pensiones y riesgos laborales) y a la Caja de Compensación Familiar, </w:t>
      </w:r>
      <w:r w:rsidRPr="00CE4FB9">
        <w:rPr>
          <w:rFonts w:ascii="Century Gothic" w:eastAsia="Arial" w:hAnsi="Century Gothic" w:cs="Arial"/>
          <w:color w:val="000000"/>
          <w:lang w:val="es-CO"/>
        </w:rPr>
        <w:lastRenderedPageBreak/>
        <w:t>ICBF y SENA, cuando haya lugar, de acuerdo con lo dispuesto en la Ley.</w:t>
      </w:r>
      <w:r>
        <w:rPr>
          <w:rFonts w:ascii="Century Gothic" w:eastAsia="Arial" w:hAnsi="Century Gothic" w:cs="Arial"/>
          <w:color w:val="000000"/>
          <w:lang w:val="es-CO"/>
        </w:rPr>
        <w:t xml:space="preserve"> </w:t>
      </w:r>
    </w:p>
    <w:p w14:paraId="13F84A9C" w14:textId="77777777" w:rsidR="000D2BFC" w:rsidRDefault="000D2BFC" w:rsidP="000D2BFC">
      <w:pPr>
        <w:pStyle w:val="BodyText"/>
        <w:spacing w:before="1"/>
        <w:ind w:firstLine="708"/>
        <w:jc w:val="both"/>
        <w:rPr>
          <w:rFonts w:ascii="Century Gothic" w:eastAsia="Arial" w:hAnsi="Century Gothic" w:cs="Arial"/>
          <w:color w:val="000000"/>
          <w:lang w:val="es-CO"/>
        </w:rPr>
      </w:pPr>
    </w:p>
    <w:p w14:paraId="4D684F2A" w14:textId="53206935" w:rsidR="00E90807" w:rsidRDefault="00D11993" w:rsidP="000D2BFC">
      <w:pPr>
        <w:pStyle w:val="BodyText"/>
        <w:spacing w:before="1"/>
        <w:ind w:firstLine="360"/>
        <w:jc w:val="both"/>
        <w:rPr>
          <w:rFonts w:ascii="Century Gothic" w:eastAsia="Arial" w:hAnsi="Century Gothic" w:cs="Arial"/>
          <w:color w:val="000000"/>
          <w:lang w:val="es-CO"/>
        </w:rPr>
      </w:pPr>
      <w:r>
        <w:rPr>
          <w:rFonts w:ascii="Century Gothic" w:eastAsia="Arial" w:hAnsi="Century Gothic" w:cs="Arial"/>
          <w:color w:val="000000"/>
          <w:lang w:val="es-CO"/>
        </w:rPr>
        <w:t>En este sentido</w:t>
      </w:r>
      <w:r w:rsidR="000D2BFC">
        <w:rPr>
          <w:rFonts w:ascii="Century Gothic" w:eastAsia="Arial" w:hAnsi="Century Gothic" w:cs="Arial"/>
          <w:color w:val="000000"/>
          <w:lang w:val="es-CO"/>
        </w:rPr>
        <w:t>,</w:t>
      </w:r>
      <w:r w:rsidR="00DB62E3">
        <w:rPr>
          <w:rFonts w:ascii="Century Gothic" w:eastAsia="Arial" w:hAnsi="Century Gothic" w:cs="Arial"/>
          <w:color w:val="000000"/>
          <w:lang w:val="es-CO"/>
        </w:rPr>
        <w:t xml:space="preserve"> es autonomía de las partes, especialmente del OAC </w:t>
      </w:r>
      <w:r w:rsidR="00CB7225">
        <w:rPr>
          <w:rFonts w:ascii="Century Gothic" w:eastAsia="Arial" w:hAnsi="Century Gothic" w:cs="Arial"/>
          <w:color w:val="000000"/>
          <w:lang w:val="es-CO"/>
        </w:rPr>
        <w:t>definir la modalidad de vinculación de su personal</w:t>
      </w:r>
      <w:r w:rsidR="00972520">
        <w:rPr>
          <w:rFonts w:ascii="Century Gothic" w:eastAsia="Arial" w:hAnsi="Century Gothic" w:cs="Arial"/>
          <w:color w:val="000000"/>
          <w:lang w:val="es-CO"/>
        </w:rPr>
        <w:t xml:space="preserve"> </w:t>
      </w:r>
      <w:r w:rsidR="00CB7225">
        <w:rPr>
          <w:rFonts w:ascii="Century Gothic" w:eastAsia="Arial" w:hAnsi="Century Gothic" w:cs="Arial"/>
          <w:color w:val="000000"/>
          <w:lang w:val="es-CO"/>
        </w:rPr>
        <w:t>a cargo; sin embargo</w:t>
      </w:r>
      <w:r w:rsidR="009D24BA">
        <w:rPr>
          <w:rFonts w:ascii="Century Gothic" w:eastAsia="Arial" w:hAnsi="Century Gothic" w:cs="Arial"/>
          <w:color w:val="000000"/>
          <w:lang w:val="es-CO"/>
        </w:rPr>
        <w:t>,</w:t>
      </w:r>
      <w:r w:rsidR="000360A7">
        <w:rPr>
          <w:rFonts w:ascii="Century Gothic" w:eastAsia="Arial" w:hAnsi="Century Gothic" w:cs="Arial"/>
          <w:color w:val="000000"/>
          <w:lang w:val="es-CO"/>
        </w:rPr>
        <w:t xml:space="preserve"> </w:t>
      </w:r>
      <w:r w:rsidR="00CB7225">
        <w:rPr>
          <w:rFonts w:ascii="Century Gothic" w:eastAsia="Arial" w:hAnsi="Century Gothic" w:cs="Arial"/>
          <w:color w:val="000000"/>
          <w:lang w:val="es-CO"/>
        </w:rPr>
        <w:t xml:space="preserve">es necesario aclarar que </w:t>
      </w:r>
      <w:r w:rsidR="00972520">
        <w:rPr>
          <w:rFonts w:ascii="Century Gothic" w:eastAsia="Arial" w:hAnsi="Century Gothic" w:cs="Arial"/>
          <w:color w:val="000000"/>
          <w:lang w:val="es-CO"/>
        </w:rPr>
        <w:t xml:space="preserve">la figura de voluntariado </w:t>
      </w:r>
      <w:r w:rsidR="00F3062E">
        <w:rPr>
          <w:rFonts w:ascii="Century Gothic" w:eastAsia="Arial" w:hAnsi="Century Gothic" w:cs="Arial"/>
          <w:color w:val="000000"/>
          <w:lang w:val="es-CO"/>
        </w:rPr>
        <w:t xml:space="preserve">se define en </w:t>
      </w:r>
      <w:r w:rsidR="004B36CC">
        <w:rPr>
          <w:rFonts w:ascii="Century Gothic" w:eastAsia="Arial" w:hAnsi="Century Gothic" w:cs="Arial"/>
          <w:color w:val="000000"/>
          <w:lang w:val="es-CO"/>
        </w:rPr>
        <w:t xml:space="preserve">el </w:t>
      </w:r>
      <w:r w:rsidR="00DA7B0C">
        <w:rPr>
          <w:rFonts w:ascii="Century Gothic" w:eastAsia="Arial" w:hAnsi="Century Gothic" w:cs="Arial"/>
          <w:color w:val="000000"/>
          <w:lang w:val="es-CO"/>
        </w:rPr>
        <w:t xml:space="preserve">inciso 1 del </w:t>
      </w:r>
      <w:r w:rsidR="004B36CC">
        <w:rPr>
          <w:rFonts w:ascii="Century Gothic" w:eastAsia="Arial" w:hAnsi="Century Gothic" w:cs="Arial"/>
          <w:color w:val="000000"/>
          <w:lang w:val="es-CO"/>
        </w:rPr>
        <w:t xml:space="preserve">artículo </w:t>
      </w:r>
      <w:r w:rsidR="00E90807">
        <w:rPr>
          <w:rFonts w:ascii="Century Gothic" w:eastAsia="Arial" w:hAnsi="Century Gothic" w:cs="Arial"/>
          <w:color w:val="000000"/>
          <w:lang w:val="es-CO"/>
        </w:rPr>
        <w:t xml:space="preserve">3 de la Ley 720 de 2001 así </w:t>
      </w:r>
    </w:p>
    <w:p w14:paraId="44AAEE6D" w14:textId="77777777" w:rsidR="00E90807" w:rsidRDefault="00E90807" w:rsidP="000D2BFC">
      <w:pPr>
        <w:pStyle w:val="BodyText"/>
        <w:spacing w:before="1"/>
        <w:ind w:firstLine="360"/>
        <w:jc w:val="both"/>
        <w:rPr>
          <w:rFonts w:ascii="Century Gothic" w:eastAsia="Arial" w:hAnsi="Century Gothic" w:cs="Arial"/>
          <w:color w:val="000000"/>
          <w:lang w:val="es-CO"/>
        </w:rPr>
      </w:pPr>
    </w:p>
    <w:p w14:paraId="3753116C" w14:textId="12AE79B1" w:rsidR="000D2BFC" w:rsidRPr="00CE4FB9" w:rsidRDefault="00E90807" w:rsidP="00AA7300">
      <w:pPr>
        <w:pStyle w:val="BodyText"/>
        <w:spacing w:before="1"/>
        <w:ind w:left="567" w:right="758" w:firstLine="360"/>
        <w:jc w:val="both"/>
        <w:rPr>
          <w:rFonts w:ascii="Century Gothic" w:eastAsia="Arial" w:hAnsi="Century Gothic" w:cs="Arial"/>
          <w:color w:val="000000"/>
          <w:lang w:val="es-CO"/>
        </w:rPr>
      </w:pPr>
      <w:r>
        <w:rPr>
          <w:rFonts w:ascii="Work Sans" w:hAnsi="Work Sans"/>
          <w:color w:val="333333"/>
          <w:sz w:val="25"/>
          <w:szCs w:val="25"/>
          <w:shd w:val="clear" w:color="auto" w:fill="FFFFFF"/>
        </w:rPr>
        <w:t>“"</w:t>
      </w:r>
      <w:r w:rsidRPr="00AA7300">
        <w:rPr>
          <w:rFonts w:ascii="Century Gothic" w:eastAsia="Arial" w:hAnsi="Century Gothic" w:cs="Arial"/>
          <w:color w:val="000000"/>
          <w:sz w:val="20"/>
          <w:szCs w:val="20"/>
          <w:lang w:val="es-CO"/>
        </w:rPr>
        <w:t>Voluntariado" Es el conjunto de acciones de interés general desarrolladas por personas naturales o jurídicas, quienes ejercen su acción de servicio a la comunidad en virtud de una relación de carácter civil y voluntario</w:t>
      </w:r>
      <w:r w:rsidR="00DA7B0C" w:rsidRPr="00AA7300">
        <w:rPr>
          <w:rFonts w:ascii="Century Gothic" w:eastAsia="Arial" w:hAnsi="Century Gothic" w:cs="Arial"/>
          <w:color w:val="000000"/>
          <w:sz w:val="20"/>
          <w:szCs w:val="20"/>
          <w:lang w:val="es-CO"/>
        </w:rPr>
        <w:t>.”</w:t>
      </w:r>
      <w:r w:rsidR="00972520">
        <w:rPr>
          <w:rFonts w:ascii="Century Gothic" w:eastAsia="Arial" w:hAnsi="Century Gothic" w:cs="Arial"/>
          <w:color w:val="000000"/>
          <w:lang w:val="es-CO"/>
        </w:rPr>
        <w:t xml:space="preserve"> </w:t>
      </w:r>
      <w:r w:rsidR="000D2BFC">
        <w:rPr>
          <w:rFonts w:ascii="Century Gothic" w:eastAsia="Arial" w:hAnsi="Century Gothic" w:cs="Arial"/>
          <w:color w:val="000000"/>
          <w:lang w:val="es-CO"/>
        </w:rPr>
        <w:t xml:space="preserve"> </w:t>
      </w:r>
    </w:p>
    <w:p w14:paraId="08D03268" w14:textId="77777777" w:rsidR="000D2BFC" w:rsidRPr="007363E9" w:rsidRDefault="000D2BFC" w:rsidP="000D2BFC">
      <w:pPr>
        <w:pStyle w:val="BodyText"/>
        <w:spacing w:before="1"/>
        <w:rPr>
          <w:rFonts w:ascii="Century Gothic" w:hAnsi="Century Gothic" w:cs="Arial"/>
          <w:bCs/>
        </w:rPr>
      </w:pPr>
    </w:p>
    <w:p w14:paraId="3C19A0E4" w14:textId="6900DE02" w:rsidR="00AD0D0A" w:rsidRPr="00AA7300" w:rsidRDefault="00AD0D0A" w:rsidP="00AA7300">
      <w:pPr>
        <w:pStyle w:val="BodyText"/>
        <w:spacing w:before="1"/>
        <w:ind w:firstLine="567"/>
        <w:jc w:val="both"/>
        <w:rPr>
          <w:rFonts w:ascii="Century Gothic" w:eastAsia="Arial" w:hAnsi="Century Gothic" w:cs="Arial"/>
          <w:color w:val="000000"/>
          <w:lang w:val="es-CO"/>
        </w:rPr>
      </w:pPr>
      <w:r w:rsidRPr="00AA7300">
        <w:rPr>
          <w:rFonts w:ascii="Century Gothic" w:eastAsia="Arial" w:hAnsi="Century Gothic" w:cs="Arial"/>
          <w:color w:val="000000"/>
          <w:lang w:val="es-CO"/>
        </w:rPr>
        <w:t>En esta misma línea el inciso segundo del artículo 3 de la referida Ley define voluntario de la siguiente manera:</w:t>
      </w:r>
    </w:p>
    <w:p w14:paraId="73308663" w14:textId="77777777" w:rsidR="00AD0D0A" w:rsidRDefault="00AD0D0A" w:rsidP="00AA7300">
      <w:pPr>
        <w:pStyle w:val="BodyText"/>
        <w:spacing w:before="1"/>
        <w:ind w:left="993" w:hanging="993"/>
        <w:rPr>
          <w:rFonts w:ascii="Century Gothic" w:hAnsi="Century Gothic" w:cs="Arial"/>
          <w:bCs/>
        </w:rPr>
      </w:pPr>
    </w:p>
    <w:p w14:paraId="42DEAD4B" w14:textId="62013BED" w:rsidR="00AD0D0A" w:rsidRDefault="00AD0D0A" w:rsidP="00AA7300">
      <w:pPr>
        <w:pStyle w:val="BodyText"/>
        <w:spacing w:before="1"/>
        <w:ind w:left="709" w:right="616" w:firstLine="284"/>
        <w:jc w:val="both"/>
        <w:rPr>
          <w:rFonts w:ascii="Century Gothic" w:eastAsia="Arial" w:hAnsi="Century Gothic" w:cs="Arial"/>
          <w:color w:val="000000"/>
          <w:sz w:val="20"/>
          <w:szCs w:val="20"/>
          <w:lang w:val="es-CO"/>
        </w:rPr>
      </w:pPr>
      <w:r w:rsidRPr="00AA7300">
        <w:rPr>
          <w:rFonts w:ascii="Century Gothic" w:eastAsia="Arial" w:hAnsi="Century Gothic" w:cs="Arial"/>
          <w:color w:val="000000"/>
          <w:sz w:val="20"/>
          <w:szCs w:val="20"/>
          <w:lang w:val="es-CO"/>
        </w:rPr>
        <w:t>“"Voluntario" Es toda persona natural que libre y responsablemente, sin recibir remuneración de carácter laboral, ofrece tiempo, trabajo y talento para la construcción del bien común en forma individual o colectiva, en organizaciones públicas o privadas o fuera de ellas.”</w:t>
      </w:r>
    </w:p>
    <w:p w14:paraId="0F988429" w14:textId="77777777" w:rsidR="00AD0D0A" w:rsidRDefault="00AD0D0A" w:rsidP="00AD0D0A">
      <w:pPr>
        <w:pStyle w:val="BodyText"/>
        <w:spacing w:before="1"/>
        <w:jc w:val="both"/>
        <w:rPr>
          <w:rFonts w:ascii="Century Gothic" w:eastAsia="Arial" w:hAnsi="Century Gothic" w:cs="Arial"/>
          <w:color w:val="000000"/>
          <w:sz w:val="20"/>
          <w:szCs w:val="20"/>
          <w:lang w:val="es-CO"/>
        </w:rPr>
      </w:pPr>
    </w:p>
    <w:p w14:paraId="4C526D4E" w14:textId="77777777" w:rsidR="00AD0D0A" w:rsidRPr="00AA7300" w:rsidRDefault="00AD0D0A" w:rsidP="00AD0D0A">
      <w:pPr>
        <w:pStyle w:val="BodyText"/>
        <w:spacing w:before="1"/>
        <w:jc w:val="both"/>
        <w:rPr>
          <w:rFonts w:ascii="Century Gothic" w:eastAsia="Arial" w:hAnsi="Century Gothic" w:cs="Arial"/>
          <w:color w:val="000000"/>
          <w:lang w:val="es-CO"/>
        </w:rPr>
      </w:pPr>
    </w:p>
    <w:p w14:paraId="32D80B95" w14:textId="0B5BB126" w:rsidR="00AD0D0A" w:rsidRPr="00AA7300" w:rsidRDefault="00AD0D0A" w:rsidP="00AA7300">
      <w:pPr>
        <w:pStyle w:val="BodyText"/>
        <w:spacing w:before="1"/>
        <w:ind w:firstLine="360"/>
        <w:jc w:val="both"/>
        <w:rPr>
          <w:rFonts w:ascii="Century Gothic" w:eastAsia="Arial" w:hAnsi="Century Gothic" w:cs="Arial"/>
          <w:color w:val="000000"/>
          <w:lang w:val="es-CO"/>
        </w:rPr>
      </w:pPr>
      <w:r w:rsidRPr="00AA7300">
        <w:rPr>
          <w:rFonts w:ascii="Century Gothic" w:eastAsia="Arial" w:hAnsi="Century Gothic" w:cs="Arial"/>
          <w:color w:val="000000"/>
          <w:lang w:val="es-CO"/>
        </w:rPr>
        <w:t xml:space="preserve">Conforme las </w:t>
      </w:r>
      <w:r w:rsidR="00121A43" w:rsidRPr="00AA7300">
        <w:rPr>
          <w:rFonts w:ascii="Century Gothic" w:eastAsia="Arial" w:hAnsi="Century Gothic" w:cs="Arial"/>
          <w:color w:val="000000"/>
          <w:lang w:val="es-CO"/>
        </w:rPr>
        <w:t>definiciones</w:t>
      </w:r>
      <w:r w:rsidRPr="00AA7300">
        <w:rPr>
          <w:rFonts w:ascii="Century Gothic" w:eastAsia="Arial" w:hAnsi="Century Gothic" w:cs="Arial"/>
          <w:color w:val="000000"/>
          <w:lang w:val="es-CO"/>
        </w:rPr>
        <w:t xml:space="preserve"> anteriores, </w:t>
      </w:r>
      <w:r w:rsidR="00121A43" w:rsidRPr="00AA7300">
        <w:rPr>
          <w:rFonts w:ascii="Century Gothic" w:eastAsia="Arial" w:hAnsi="Century Gothic" w:cs="Arial"/>
          <w:color w:val="000000"/>
          <w:lang w:val="es-CO"/>
        </w:rPr>
        <w:t xml:space="preserve">las partes que hagan parte de los convenios solidarios deben realizar el análisis de conveniencia sobre la vinculación del personal que ejecutará las actividades propias del proyecto a desarrollar. </w:t>
      </w:r>
    </w:p>
    <w:p w14:paraId="1B5A64B0" w14:textId="77777777" w:rsidR="00121A43" w:rsidRDefault="00121A43" w:rsidP="00AD0D0A">
      <w:pPr>
        <w:pStyle w:val="BodyText"/>
        <w:spacing w:before="1"/>
        <w:jc w:val="both"/>
        <w:rPr>
          <w:rFonts w:ascii="Century Gothic" w:eastAsia="Arial" w:hAnsi="Century Gothic" w:cs="Arial"/>
          <w:color w:val="000000"/>
          <w:sz w:val="20"/>
          <w:szCs w:val="20"/>
          <w:lang w:val="es-CO"/>
        </w:rPr>
      </w:pPr>
    </w:p>
    <w:p w14:paraId="4F763497" w14:textId="77777777" w:rsidR="00121A43" w:rsidRPr="00AA7300" w:rsidRDefault="00121A43" w:rsidP="00AA7300">
      <w:pPr>
        <w:pStyle w:val="BodyText"/>
        <w:spacing w:before="1"/>
        <w:jc w:val="both"/>
        <w:rPr>
          <w:rFonts w:ascii="Century Gothic" w:eastAsia="Arial" w:hAnsi="Century Gothic" w:cs="Arial"/>
          <w:color w:val="000000"/>
          <w:sz w:val="20"/>
          <w:szCs w:val="20"/>
          <w:lang w:val="es-CO"/>
        </w:rPr>
      </w:pPr>
    </w:p>
    <w:p w14:paraId="362A6EE9" w14:textId="77777777" w:rsidR="000D2BFC" w:rsidRPr="00A12EEC" w:rsidRDefault="000D2BFC" w:rsidP="000D2BFC">
      <w:pPr>
        <w:pStyle w:val="ListParagraph"/>
        <w:numPr>
          <w:ilvl w:val="0"/>
          <w:numId w:val="19"/>
        </w:numPr>
        <w:spacing w:line="276" w:lineRule="auto"/>
        <w:jc w:val="both"/>
        <w:rPr>
          <w:rFonts w:ascii="Century Gothic" w:eastAsia="Arial" w:hAnsi="Century Gothic" w:cs="Arial"/>
          <w:color w:val="000000"/>
          <w:sz w:val="20"/>
          <w:szCs w:val="20"/>
        </w:rPr>
      </w:pPr>
      <w:r w:rsidRPr="00A12EEC">
        <w:rPr>
          <w:rFonts w:ascii="Century Gothic" w:eastAsia="Arial" w:hAnsi="Century Gothic" w:cs="Arial"/>
          <w:color w:val="000000"/>
          <w:sz w:val="20"/>
          <w:szCs w:val="20"/>
        </w:rPr>
        <w:t>“¿dichos desembolsos pueden ser condicionados al avance de las actividades establecidas dentro del convenio?</w:t>
      </w:r>
      <w:r>
        <w:rPr>
          <w:rFonts w:ascii="Century Gothic" w:eastAsia="Arial" w:hAnsi="Century Gothic" w:cs="Arial"/>
          <w:color w:val="000000"/>
          <w:sz w:val="20"/>
          <w:szCs w:val="20"/>
        </w:rPr>
        <w:t>”</w:t>
      </w:r>
      <w:r w:rsidRPr="00A12EEC">
        <w:rPr>
          <w:rFonts w:ascii="Century Gothic" w:eastAsia="Arial" w:hAnsi="Century Gothic" w:cs="Arial"/>
          <w:color w:val="000000"/>
          <w:sz w:val="20"/>
          <w:szCs w:val="20"/>
        </w:rPr>
        <w:t xml:space="preserve"> </w:t>
      </w:r>
    </w:p>
    <w:p w14:paraId="14EDC427" w14:textId="77777777" w:rsidR="000D2BFC" w:rsidRPr="00A12EEC" w:rsidRDefault="000D2BFC" w:rsidP="000D2BFC">
      <w:pPr>
        <w:spacing w:line="276" w:lineRule="auto"/>
        <w:ind w:left="160"/>
        <w:jc w:val="both"/>
        <w:rPr>
          <w:rFonts w:ascii="Century Gothic" w:eastAsia="Arial" w:hAnsi="Century Gothic" w:cs="Arial"/>
          <w:color w:val="000000"/>
          <w:lang w:val="es-ES"/>
        </w:rPr>
      </w:pPr>
      <w:r w:rsidRPr="00A12EEC">
        <w:rPr>
          <w:rFonts w:ascii="Century Gothic" w:eastAsia="Arial" w:hAnsi="Century Gothic" w:cs="Arial"/>
          <w:color w:val="000000"/>
        </w:rPr>
        <w:t xml:space="preserve">Si bien es cierto que la relación surgida en un convenio solidario, al concretarse el acuerdo de voluntades, tiene naturaleza convencional, no contractual, es importante resaltar que en el convenio convergen y cooperan en una función del cumplimiento eficiente de un propósito estatal común superior, a través de un negocio jurídico cuyo objeto es coordinar, cooperar, colaborar o distribuir competencias en la realización de funciones administrativas de interés común y, por tanto, tienen intereses convergentes o coincidentes, sin que se reciba por alguna de ellas el pago de un precio o contraprestación, por lo tanto, no existe la figura de "pagos" sino de "desembolso" de los aportes realizados por cada una de las partes. En tal sentido, lo que se contempla en la minuta es el desembolso de los recursos que aporten las partes y la forma de uso de los mismos, desembolsos que según la estructuración del convenio podrán realizar en uno </w:t>
      </w:r>
      <w:r w:rsidRPr="00A12EEC">
        <w:rPr>
          <w:rFonts w:ascii="Century Gothic" w:eastAsia="Arial" w:hAnsi="Century Gothic" w:cs="Arial"/>
          <w:color w:val="000000"/>
        </w:rPr>
        <w:lastRenderedPageBreak/>
        <w:t>solo del 100% o en varios de diferentes porcentajes según etapas o avances propios que establezcan las partes.</w:t>
      </w:r>
    </w:p>
    <w:p w14:paraId="008AC80A" w14:textId="77777777" w:rsidR="000D2BFC" w:rsidRDefault="000D2BFC" w:rsidP="000D2BFC">
      <w:pPr>
        <w:spacing w:line="276" w:lineRule="auto"/>
        <w:ind w:firstLine="708"/>
        <w:jc w:val="both"/>
        <w:rPr>
          <w:rFonts w:ascii="Century Gothic" w:eastAsia="Arial" w:hAnsi="Century Gothic" w:cs="Arial"/>
          <w:color w:val="000000"/>
          <w:sz w:val="20"/>
          <w:szCs w:val="20"/>
        </w:rPr>
      </w:pPr>
      <w:r>
        <w:rPr>
          <w:rFonts w:ascii="Century Gothic" w:eastAsia="Arial" w:hAnsi="Century Gothic" w:cs="Arial"/>
          <w:color w:val="000000"/>
          <w:sz w:val="20"/>
          <w:szCs w:val="20"/>
        </w:rPr>
        <w:t>“</w:t>
      </w:r>
      <w:r w:rsidRPr="0074033E">
        <w:rPr>
          <w:rFonts w:ascii="Century Gothic" w:eastAsia="Arial" w:hAnsi="Century Gothic" w:cs="Arial"/>
          <w:color w:val="000000"/>
          <w:sz w:val="20"/>
          <w:szCs w:val="20"/>
        </w:rPr>
        <w:t>¿la Entidad puede establecer un desembolso inicial sin que exista avance de actividades dentro del convenio?</w:t>
      </w:r>
      <w:r>
        <w:rPr>
          <w:rFonts w:ascii="Century Gothic" w:eastAsia="Arial" w:hAnsi="Century Gothic" w:cs="Arial"/>
          <w:color w:val="000000"/>
          <w:sz w:val="20"/>
          <w:szCs w:val="20"/>
        </w:rPr>
        <w:t>”</w:t>
      </w:r>
    </w:p>
    <w:p w14:paraId="6728E020" w14:textId="4118EF51" w:rsidR="000D2BFC" w:rsidRDefault="000D2BFC" w:rsidP="000D2BFC">
      <w:pPr>
        <w:spacing w:line="276" w:lineRule="auto"/>
        <w:ind w:firstLine="708"/>
        <w:jc w:val="both"/>
        <w:rPr>
          <w:rFonts w:ascii="Century Gothic" w:eastAsia="Arial" w:hAnsi="Century Gothic" w:cs="Arial"/>
          <w:color w:val="000000"/>
        </w:rPr>
      </w:pPr>
      <w:r w:rsidRPr="00A12EEC">
        <w:rPr>
          <w:rFonts w:ascii="Century Gothic" w:eastAsia="Arial" w:hAnsi="Century Gothic" w:cs="Arial"/>
          <w:color w:val="000000"/>
        </w:rPr>
        <w:t xml:space="preserve">La naturaleza asociativa del convenio en donde los que se busca es aunar esfuerzos, el concepto de anticipo no aplica, pues no corresponde a un contrato de obra. En tal sentido, </w:t>
      </w:r>
      <w:r w:rsidRPr="004E626D">
        <w:rPr>
          <w:rFonts w:ascii="Century Gothic" w:eastAsia="Arial" w:hAnsi="Century Gothic" w:cs="Arial"/>
          <w:color w:val="000000"/>
        </w:rPr>
        <w:t>lo que se contempla en la minuta es el desembolso de los recursos que aporten las partes y la forma de uso de los mismos, desembolsos que según la estructuración del convenio podrán realizar en uno solo del 100% o en varios de diferentes porcentajes según etapas o avances propios que establezcan las partes</w:t>
      </w:r>
      <w:r w:rsidR="001965E9">
        <w:rPr>
          <w:rFonts w:ascii="Century Gothic" w:eastAsia="Arial" w:hAnsi="Century Gothic" w:cs="Arial"/>
          <w:color w:val="000000"/>
        </w:rPr>
        <w:t xml:space="preserve">. </w:t>
      </w:r>
    </w:p>
    <w:p w14:paraId="262B2A2F" w14:textId="77777777" w:rsidR="000D2BFC" w:rsidRPr="004D5A26" w:rsidRDefault="000D2BFC" w:rsidP="000D2BFC">
      <w:pPr>
        <w:pStyle w:val="ListParagraph"/>
        <w:numPr>
          <w:ilvl w:val="0"/>
          <w:numId w:val="17"/>
        </w:numPr>
        <w:spacing w:after="0" w:line="240" w:lineRule="auto"/>
        <w:ind w:right="709"/>
        <w:jc w:val="both"/>
        <w:rPr>
          <w:rFonts w:ascii="Century Gothic" w:eastAsia="Arial" w:hAnsi="Century Gothic" w:cs="Arial"/>
          <w:color w:val="000000"/>
          <w:sz w:val="20"/>
          <w:szCs w:val="20"/>
        </w:rPr>
      </w:pPr>
      <w:r w:rsidRPr="004D5A26">
        <w:rPr>
          <w:rFonts w:ascii="Century Gothic" w:eastAsia="Arial" w:hAnsi="Century Gothic" w:cs="Arial"/>
          <w:color w:val="000000"/>
          <w:sz w:val="20"/>
          <w:szCs w:val="20"/>
        </w:rPr>
        <w:t>“¿los giros siempre deberán realizarse directamente a terceros proveedores y/o mano de obra contratada? O ¿Se podrá autorizar uno o varios desembolsos al OAC con el fin de que sea este quien realice los respectivos pagos, siempre y cuando antes de la liquidación del convenio, entregue cada uno de ellos soportes establecidos en la cláusula novena de la minuta tipo?”</w:t>
      </w:r>
    </w:p>
    <w:p w14:paraId="60FE03FF" w14:textId="77777777" w:rsidR="000D2BFC" w:rsidRDefault="000D2BFC" w:rsidP="000D2BFC">
      <w:pPr>
        <w:spacing w:after="0" w:line="240" w:lineRule="auto"/>
        <w:ind w:right="709"/>
        <w:jc w:val="both"/>
        <w:rPr>
          <w:rFonts w:ascii="Century Gothic" w:eastAsia="Arial" w:hAnsi="Century Gothic" w:cs="Arial"/>
          <w:color w:val="000000"/>
          <w:sz w:val="20"/>
          <w:szCs w:val="20"/>
        </w:rPr>
      </w:pPr>
    </w:p>
    <w:p w14:paraId="19E3AE41" w14:textId="33E33799" w:rsidR="00632EF5" w:rsidRDefault="00632EF5" w:rsidP="000D2BFC">
      <w:pPr>
        <w:spacing w:line="276" w:lineRule="auto"/>
        <w:jc w:val="both"/>
        <w:rPr>
          <w:rFonts w:ascii="Century Gothic" w:hAnsi="Century Gothic" w:cs="Arial"/>
          <w:lang w:val="es-ES_tradnl"/>
        </w:rPr>
      </w:pPr>
      <w:r>
        <w:rPr>
          <w:rFonts w:ascii="Century Gothic" w:hAnsi="Century Gothic" w:cs="Arial"/>
          <w:lang w:val="es-ES_tradnl"/>
        </w:rPr>
        <w:t>E</w:t>
      </w:r>
      <w:r w:rsidR="000D2BFC" w:rsidRPr="00044577">
        <w:rPr>
          <w:rFonts w:ascii="Century Gothic" w:hAnsi="Century Gothic" w:cs="Arial"/>
          <w:lang w:val="es-ES_tradnl"/>
        </w:rPr>
        <w:t>l parágrafo 2 del artículo 60 de la Ley 2166 de 2021</w:t>
      </w:r>
      <w:r>
        <w:rPr>
          <w:rFonts w:ascii="Century Gothic" w:hAnsi="Century Gothic" w:cs="Arial"/>
          <w:lang w:val="es-ES_tradnl"/>
        </w:rPr>
        <w:t xml:space="preserve">establece </w:t>
      </w:r>
    </w:p>
    <w:p w14:paraId="2C1DE041" w14:textId="7A591505" w:rsidR="00632EF5" w:rsidRPr="00044577" w:rsidRDefault="00632EF5" w:rsidP="00AA7300">
      <w:pPr>
        <w:spacing w:line="276" w:lineRule="auto"/>
        <w:ind w:left="426" w:right="616"/>
        <w:jc w:val="both"/>
        <w:rPr>
          <w:rFonts w:ascii="Century Gothic" w:hAnsi="Century Gothic" w:cs="Arial"/>
          <w:lang w:val="es-ES_tradnl"/>
        </w:rPr>
      </w:pPr>
      <w:r w:rsidRPr="00044577">
        <w:rPr>
          <w:rFonts w:ascii="Century Gothic" w:hAnsi="Century Gothic" w:cs="Arial"/>
          <w:lang w:val="es-ES_tradnl"/>
        </w:rPr>
        <w:t>". Patrimonio. El patrimonio de los organismos de acción comunal es el conjunto de bienes, derechos y obligaciones que ingresen legalmente por concepto de contribuciones, aportes, donaciones y las que provengan de cualquier actividad u operación lícita que ellos realicen.</w:t>
      </w:r>
    </w:p>
    <w:p w14:paraId="1130DEE1" w14:textId="77777777" w:rsidR="00632EF5" w:rsidRPr="00C714FC" w:rsidRDefault="00632EF5" w:rsidP="00AA7300">
      <w:pPr>
        <w:spacing w:line="276" w:lineRule="auto"/>
        <w:ind w:left="426" w:right="616"/>
        <w:jc w:val="both"/>
        <w:rPr>
          <w:rFonts w:ascii="Century Gothic" w:hAnsi="Century Gothic" w:cs="Arial"/>
          <w:lang w:val="es-ES_tradnl"/>
        </w:rPr>
      </w:pPr>
      <w:r w:rsidRPr="00044577">
        <w:rPr>
          <w:rFonts w:ascii="Century Gothic" w:hAnsi="Century Gothic" w:cs="Arial"/>
          <w:lang w:val="es-ES_tradnl"/>
        </w:rPr>
        <w:t>PARÁGRAFO. El patrimonio de los organismos de acción comunal no pertenece ni en todo ni en parte a ninguno de los afiliados. Su uso, usufructo y destino se acordará colectivamente en los organismos comunales, de conformidad con sus estatutos. Parágrafo 2. Los recursos oficiales que ingresen a los organismos de acción comunal para la realización de obras, prestación de servicios o desarrollo de convenios, no ingresarán a su patrimonio y el importe de los mismos se manejará contablemente en rubro especial."</w:t>
      </w:r>
    </w:p>
    <w:p w14:paraId="151A025F" w14:textId="77777777" w:rsidR="00D11993" w:rsidRDefault="0033703F" w:rsidP="000D2BFC">
      <w:pPr>
        <w:spacing w:line="276" w:lineRule="auto"/>
        <w:jc w:val="both"/>
        <w:rPr>
          <w:rFonts w:ascii="Century Gothic" w:hAnsi="Century Gothic" w:cs="Arial"/>
          <w:lang w:val="es-ES_tradnl"/>
        </w:rPr>
      </w:pPr>
      <w:r>
        <w:rPr>
          <w:rFonts w:ascii="Century Gothic" w:hAnsi="Century Gothic" w:cs="Arial"/>
          <w:lang w:val="es-ES_tradnl"/>
        </w:rPr>
        <w:t>En este sentido,</w:t>
      </w:r>
      <w:r w:rsidR="000D2BFC" w:rsidRPr="00044577">
        <w:rPr>
          <w:rFonts w:ascii="Century Gothic" w:hAnsi="Century Gothic" w:cs="Arial"/>
          <w:lang w:val="es-ES_tradnl"/>
        </w:rPr>
        <w:t xml:space="preserve"> los recursos del convenio no harán parte del patrimonio de los OAC y deberán manejarse en la contabilidad bajo un rubro aparte e independiente, </w:t>
      </w:r>
      <w:r w:rsidR="00D11993">
        <w:rPr>
          <w:rFonts w:ascii="Century Gothic" w:hAnsi="Century Gothic" w:cs="Arial"/>
          <w:lang w:val="es-ES_tradnl"/>
        </w:rPr>
        <w:t xml:space="preserve">tal y como lo establece la Minuta Tipo. </w:t>
      </w:r>
    </w:p>
    <w:p w14:paraId="73992E21" w14:textId="77777777" w:rsidR="009D4E4C" w:rsidRDefault="009D4E4C" w:rsidP="000D2BFC">
      <w:pPr>
        <w:spacing w:line="276" w:lineRule="auto"/>
        <w:jc w:val="both"/>
        <w:rPr>
          <w:rFonts w:ascii="Century Gothic" w:hAnsi="Century Gothic" w:cs="Arial"/>
          <w:lang w:val="es-ES_tradnl"/>
        </w:rPr>
      </w:pPr>
    </w:p>
    <w:p w14:paraId="6025C8FA" w14:textId="77777777" w:rsidR="000D2BFC" w:rsidRPr="004541A8" w:rsidRDefault="000D2BFC" w:rsidP="000D2BFC">
      <w:pPr>
        <w:spacing w:line="276" w:lineRule="auto"/>
        <w:jc w:val="both"/>
        <w:rPr>
          <w:rFonts w:ascii="Century Gothic" w:hAnsi="Century Gothic" w:cs="Arial"/>
          <w:lang w:val="es-ES_tradnl"/>
        </w:rPr>
      </w:pPr>
      <w:r w:rsidRPr="004541A8">
        <w:rPr>
          <w:rFonts w:ascii="Century Gothic" w:hAnsi="Century Gothic" w:cs="Arial"/>
          <w:lang w:val="es-ES_tradnl"/>
        </w:rPr>
        <w:lastRenderedPageBreak/>
        <w:t>Este concepto tiene el alcance previsto en el artículo 28 del Código de Procedimiento Administrativo y de lo Contencioso Administrativo.</w:t>
      </w:r>
    </w:p>
    <w:p w14:paraId="249C00E7" w14:textId="77777777" w:rsidR="000D2BFC" w:rsidRPr="004541A8" w:rsidRDefault="000D2BFC" w:rsidP="000D2BFC">
      <w:pPr>
        <w:pStyle w:val="NormalWeb"/>
        <w:spacing w:before="0" w:beforeAutospacing="0" w:after="0" w:afterAutospacing="0" w:line="276" w:lineRule="auto"/>
        <w:rPr>
          <w:rFonts w:ascii="Century Gothic" w:hAnsi="Century Gothic" w:cs="Arial"/>
          <w:noProof/>
          <w:lang w:val="es-ES_tradnl"/>
        </w:rPr>
      </w:pPr>
    </w:p>
    <w:p w14:paraId="0FDB6ED8" w14:textId="77777777" w:rsidR="000D2BFC" w:rsidRPr="004541A8" w:rsidRDefault="000D2BFC" w:rsidP="000D2BFC">
      <w:pPr>
        <w:pStyle w:val="NormalWeb"/>
        <w:spacing w:before="0" w:beforeAutospacing="0" w:after="0" w:afterAutospacing="0" w:line="276" w:lineRule="auto"/>
        <w:rPr>
          <w:rFonts w:ascii="Century Gothic" w:hAnsi="Century Gothic" w:cs="Arial"/>
          <w:noProof/>
          <w:sz w:val="22"/>
          <w:szCs w:val="22"/>
          <w:lang w:val="es-ES"/>
        </w:rPr>
      </w:pPr>
      <w:r w:rsidRPr="004541A8">
        <w:rPr>
          <w:rFonts w:ascii="Century Gothic" w:hAnsi="Century Gothic" w:cs="Arial"/>
          <w:noProof/>
          <w:sz w:val="22"/>
          <w:szCs w:val="22"/>
          <w:lang w:val="es-ES"/>
        </w:rPr>
        <w:t>Atentamente,</w:t>
      </w:r>
    </w:p>
    <w:p w14:paraId="70380E89" w14:textId="77777777" w:rsidR="000D2BFC" w:rsidRPr="004541A8" w:rsidRDefault="000D2BFC" w:rsidP="000D2BFC">
      <w:pPr>
        <w:pStyle w:val="NormalWeb"/>
        <w:spacing w:before="0" w:beforeAutospacing="0" w:after="0" w:afterAutospacing="0" w:line="276" w:lineRule="auto"/>
        <w:rPr>
          <w:rFonts w:ascii="Century Gothic" w:hAnsi="Century Gothic" w:cs="Arial"/>
          <w:noProof/>
          <w:sz w:val="22"/>
          <w:szCs w:val="22"/>
          <w:lang w:val="es-ES"/>
        </w:rPr>
      </w:pPr>
    </w:p>
    <w:p w14:paraId="31929535" w14:textId="487DA5AF" w:rsidR="000D2BFC" w:rsidRPr="004541A8" w:rsidRDefault="00D21B83" w:rsidP="000D2BFC">
      <w:pPr>
        <w:pStyle w:val="NormalWeb"/>
        <w:spacing w:before="0" w:beforeAutospacing="0" w:after="0" w:afterAutospacing="0" w:line="276" w:lineRule="auto"/>
        <w:jc w:val="center"/>
        <w:rPr>
          <w:rFonts w:ascii="Century Gothic" w:hAnsi="Century Gothic" w:cs="Arial"/>
          <w:noProof/>
          <w:sz w:val="22"/>
          <w:szCs w:val="22"/>
          <w:lang w:val="es-ES_tradnl"/>
        </w:rPr>
      </w:pPr>
      <w:r>
        <w:rPr>
          <w:rFonts w:ascii="Century Gothic" w:hAnsi="Century Gothic" w:cs="Arial"/>
          <w:noProof/>
          <w:sz w:val="22"/>
          <w:szCs w:val="22"/>
          <w:lang w:val="es-ES_tradnl"/>
        </w:rPr>
        <w:drawing>
          <wp:inline distT="0" distB="0" distL="0" distR="0" wp14:anchorId="174A0D55" wp14:editId="41E969CD">
            <wp:extent cx="3152775" cy="1209675"/>
            <wp:effectExtent l="0" t="0" r="9525" b="9525"/>
            <wp:docPr id="1507964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6419" name="Picture 1" descr="A close-up of a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5F72DA69" w14:textId="77777777" w:rsidR="000D2BFC" w:rsidRPr="004541A8" w:rsidRDefault="000D2BFC" w:rsidP="000D2BFC">
      <w:pPr>
        <w:pStyle w:val="NormalWeb"/>
        <w:spacing w:before="0" w:beforeAutospacing="0" w:after="0" w:afterAutospacing="0" w:line="276" w:lineRule="auto"/>
        <w:jc w:val="center"/>
        <w:rPr>
          <w:rFonts w:ascii="Century Gothic" w:hAnsi="Century Gothic" w:cs="Arial"/>
          <w:sz w:val="16"/>
          <w:szCs w:val="16"/>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815"/>
      </w:tblGrid>
      <w:tr w:rsidR="000D2BFC" w:rsidRPr="004541A8" w14:paraId="7CDE2B35" w14:textId="77777777" w:rsidTr="00BB2E8A">
        <w:trPr>
          <w:trHeight w:val="160"/>
        </w:trPr>
        <w:tc>
          <w:tcPr>
            <w:tcW w:w="855" w:type="dxa"/>
            <w:vAlign w:val="center"/>
            <w:hideMark/>
          </w:tcPr>
          <w:p w14:paraId="5431C4E9" w14:textId="77777777" w:rsidR="000D2BFC" w:rsidRPr="004541A8" w:rsidRDefault="000D2BFC" w:rsidP="00BB2E8A">
            <w:pPr>
              <w:spacing w:line="276" w:lineRule="auto"/>
              <w:jc w:val="both"/>
              <w:rPr>
                <w:rFonts w:ascii="Century Gothic" w:hAnsi="Century Gothic" w:cs="Arial"/>
                <w:sz w:val="16"/>
                <w:szCs w:val="16"/>
                <w:lang w:val="es-ES_tradnl" w:eastAsia="es-ES"/>
              </w:rPr>
            </w:pPr>
            <w:bookmarkStart w:id="9" w:name="_Hlk146698794"/>
            <w:r w:rsidRPr="004541A8">
              <w:rPr>
                <w:rFonts w:ascii="Century Gothic" w:hAnsi="Century Gothic" w:cs="Arial"/>
                <w:sz w:val="16"/>
                <w:szCs w:val="16"/>
                <w:lang w:val="es-ES_tradnl" w:eastAsia="es-ES"/>
              </w:rPr>
              <w:t>Elaboró:</w:t>
            </w:r>
          </w:p>
        </w:tc>
        <w:tc>
          <w:tcPr>
            <w:tcW w:w="4815" w:type="dxa"/>
            <w:tcBorders>
              <w:top w:val="nil"/>
              <w:left w:val="nil"/>
              <w:bottom w:val="dotted" w:sz="4" w:space="0" w:color="7F7F7F" w:themeColor="text1" w:themeTint="80"/>
              <w:right w:val="nil"/>
            </w:tcBorders>
            <w:vAlign w:val="center"/>
            <w:hideMark/>
          </w:tcPr>
          <w:p w14:paraId="145C0586"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Mariana Triana Ortiz</w:t>
            </w:r>
          </w:p>
          <w:p w14:paraId="294CA838"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Contratista de la Subdirección de Gestión Contractual</w:t>
            </w:r>
          </w:p>
        </w:tc>
      </w:tr>
      <w:tr w:rsidR="000D2BFC" w:rsidRPr="004541A8" w14:paraId="4FC95AE2" w14:textId="77777777" w:rsidTr="00BB2E8A">
        <w:trPr>
          <w:trHeight w:val="70"/>
        </w:trPr>
        <w:tc>
          <w:tcPr>
            <w:tcW w:w="855" w:type="dxa"/>
            <w:vAlign w:val="center"/>
            <w:hideMark/>
          </w:tcPr>
          <w:p w14:paraId="722C794D"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Revisó: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2F36724A" w14:textId="77777777" w:rsidR="000D2BFC" w:rsidRPr="004541A8" w:rsidRDefault="000D2BFC" w:rsidP="00BB2E8A">
            <w:pPr>
              <w:spacing w:line="276" w:lineRule="auto"/>
              <w:jc w:val="both"/>
              <w:rPr>
                <w:rFonts w:ascii="Century Gothic" w:hAnsi="Century Gothic" w:cs="Arial"/>
                <w:sz w:val="16"/>
                <w:szCs w:val="16"/>
                <w:lang w:val="es-ES" w:eastAsia="es-ES"/>
              </w:rPr>
            </w:pPr>
            <w:r>
              <w:rPr>
                <w:rFonts w:ascii="Century Gothic" w:hAnsi="Century Gothic" w:cs="Arial"/>
                <w:sz w:val="16"/>
                <w:szCs w:val="16"/>
                <w:lang w:val="es-ES" w:eastAsia="es-ES"/>
              </w:rPr>
              <w:t>Martha Alicia Romero Vargas</w:t>
            </w:r>
          </w:p>
          <w:p w14:paraId="56CB4956" w14:textId="77777777" w:rsidR="000D2BFC" w:rsidRPr="004541A8" w:rsidRDefault="000D2BFC" w:rsidP="00BB2E8A">
            <w:pPr>
              <w:rPr>
                <w:rFonts w:ascii="Century Gothic" w:hAnsi="Century Gothic" w:cs="Arial"/>
                <w:color w:val="000000"/>
                <w:sz w:val="16"/>
                <w:szCs w:val="16"/>
                <w:lang w:val="es-ES" w:eastAsia="es-ES"/>
              </w:rPr>
            </w:pPr>
            <w:r w:rsidRPr="004541A8">
              <w:rPr>
                <w:rFonts w:ascii="Century Gothic" w:hAnsi="Century Gothic" w:cs="Arial"/>
                <w:color w:val="000000"/>
                <w:sz w:val="16"/>
                <w:szCs w:val="16"/>
                <w:shd w:val="clear" w:color="auto" w:fill="FFFFFF"/>
              </w:rPr>
              <w:t>Gestor T1-15 de la </w:t>
            </w:r>
            <w:r w:rsidRPr="004541A8">
              <w:rPr>
                <w:rFonts w:ascii="Century Gothic" w:hAnsi="Century Gothic" w:cs="Arial"/>
                <w:color w:val="000000"/>
                <w:sz w:val="16"/>
                <w:szCs w:val="16"/>
                <w:lang w:val="es-ES" w:eastAsia="es-ES"/>
              </w:rPr>
              <w:t>Subdirección de Gestión Contractual</w:t>
            </w:r>
          </w:p>
        </w:tc>
      </w:tr>
      <w:tr w:rsidR="000D2BFC" w:rsidRPr="004541A8" w14:paraId="14502BFC" w14:textId="77777777" w:rsidTr="00BB2E8A">
        <w:trPr>
          <w:trHeight w:val="300"/>
        </w:trPr>
        <w:tc>
          <w:tcPr>
            <w:tcW w:w="855" w:type="dxa"/>
            <w:vAlign w:val="center"/>
            <w:hideMark/>
          </w:tcPr>
          <w:p w14:paraId="7AB0667E"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Aprobó: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5C58DA2C"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 xml:space="preserve">Nohelia del Carmen </w:t>
            </w:r>
            <w:proofErr w:type="spellStart"/>
            <w:r w:rsidRPr="004541A8">
              <w:rPr>
                <w:rFonts w:ascii="Century Gothic" w:hAnsi="Century Gothic" w:cs="Arial"/>
                <w:sz w:val="16"/>
                <w:szCs w:val="16"/>
                <w:lang w:val="es-ES_tradnl" w:eastAsia="es-ES"/>
              </w:rPr>
              <w:t>Zawady</w:t>
            </w:r>
            <w:proofErr w:type="spellEnd"/>
            <w:r w:rsidRPr="004541A8">
              <w:rPr>
                <w:rFonts w:ascii="Century Gothic" w:hAnsi="Century Gothic" w:cs="Arial"/>
                <w:sz w:val="16"/>
                <w:szCs w:val="16"/>
                <w:lang w:val="es-ES_tradnl" w:eastAsia="es-ES"/>
              </w:rPr>
              <w:t xml:space="preserve"> Palacio</w:t>
            </w:r>
          </w:p>
          <w:p w14:paraId="57B6A120" w14:textId="77777777" w:rsidR="000D2BFC" w:rsidRPr="004541A8" w:rsidRDefault="000D2BFC" w:rsidP="00BB2E8A">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 xml:space="preserve">Subdirectora de Gestión Contractual </w:t>
            </w:r>
            <w:r w:rsidRPr="004541A8">
              <w:rPr>
                <w:rFonts w:ascii="Century Gothic" w:hAnsi="Century Gothic" w:cs="Arial"/>
                <w:sz w:val="16"/>
                <w:szCs w:val="16"/>
                <w:lang w:eastAsia="es-ES"/>
              </w:rPr>
              <w:t>ANCP – CCE</w:t>
            </w:r>
          </w:p>
        </w:tc>
      </w:tr>
    </w:tbl>
    <w:bookmarkEnd w:id="9"/>
    <w:p w14:paraId="39418625" w14:textId="77777777" w:rsidR="00322A85" w:rsidRPr="00322A85"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21C4051F" w14:textId="77777777" w:rsidR="00322A85" w:rsidRPr="00322A85"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78053B45" w14:textId="77777777" w:rsidR="00322A85" w:rsidRPr="00322A85"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0F293BF4" w14:textId="7BBFAB11" w:rsidR="00127233" w:rsidRPr="00322A85" w:rsidRDefault="00127233" w:rsidP="00665D70">
      <w:pPr>
        <w:spacing w:after="0"/>
        <w:jc w:val="both"/>
        <w:rPr>
          <w:rFonts w:ascii="Century Gothic" w:hAnsi="Century Gothic"/>
        </w:rPr>
      </w:pPr>
    </w:p>
    <w:sectPr w:rsidR="00127233" w:rsidRPr="00322A85"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B7D" w14:textId="77777777" w:rsidR="007845D3" w:rsidRDefault="007845D3" w:rsidP="004A1847">
      <w:pPr>
        <w:spacing w:after="0" w:line="240" w:lineRule="auto"/>
      </w:pPr>
      <w:r>
        <w:separator/>
      </w:r>
    </w:p>
  </w:endnote>
  <w:endnote w:type="continuationSeparator" w:id="0">
    <w:p w14:paraId="2980F890" w14:textId="77777777" w:rsidR="007845D3" w:rsidRDefault="007845D3" w:rsidP="004A1847">
      <w:pPr>
        <w:spacing w:after="0" w:line="240" w:lineRule="auto"/>
      </w:pPr>
      <w:r>
        <w:continuationSeparator/>
      </w:r>
    </w:p>
  </w:endnote>
  <w:endnote w:type="continuationNotice" w:id="1">
    <w:p w14:paraId="66496E99" w14:textId="77777777" w:rsidR="00AB6921" w:rsidRDefault="00AB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Footer"/>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Footer"/>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EE4D" w14:textId="77777777" w:rsidR="007845D3" w:rsidRDefault="007845D3" w:rsidP="004A1847">
      <w:pPr>
        <w:spacing w:after="0" w:line="240" w:lineRule="auto"/>
      </w:pPr>
      <w:r>
        <w:separator/>
      </w:r>
    </w:p>
  </w:footnote>
  <w:footnote w:type="continuationSeparator" w:id="0">
    <w:p w14:paraId="74E43AE5" w14:textId="77777777" w:rsidR="007845D3" w:rsidRDefault="007845D3" w:rsidP="004A1847">
      <w:pPr>
        <w:spacing w:after="0" w:line="240" w:lineRule="auto"/>
      </w:pPr>
      <w:r>
        <w:continuationSeparator/>
      </w:r>
    </w:p>
  </w:footnote>
  <w:footnote w:type="continuationNotice" w:id="1">
    <w:p w14:paraId="0E66FF3B" w14:textId="77777777" w:rsidR="00AB6921" w:rsidRDefault="00AB6921">
      <w:pPr>
        <w:spacing w:after="0" w:line="240" w:lineRule="auto"/>
      </w:pPr>
    </w:p>
  </w:footnote>
  <w:footnote w:id="2">
    <w:p w14:paraId="759BA9AC" w14:textId="77777777" w:rsidR="000D2BFC" w:rsidRPr="00CD3CEA" w:rsidRDefault="000D2BFC" w:rsidP="000D2BFC">
      <w:pPr>
        <w:pStyle w:val="FootnoteText"/>
        <w:ind w:firstLine="708"/>
        <w:jc w:val="both"/>
        <w:rPr>
          <w:rFonts w:ascii="Century Gothic" w:hAnsi="Century Gothic" w:cs="Arial"/>
          <w:sz w:val="18"/>
          <w:szCs w:val="18"/>
          <w:lang w:val="es-ES"/>
        </w:rPr>
      </w:pPr>
      <w:r w:rsidRPr="00CD3CEA">
        <w:rPr>
          <w:rStyle w:val="FootnoteReference"/>
          <w:rFonts w:ascii="Century Gothic" w:hAnsi="Century Gothic" w:cs="Arial"/>
          <w:sz w:val="18"/>
          <w:szCs w:val="18"/>
        </w:rPr>
        <w:footnoteRef/>
      </w:r>
      <w:r w:rsidRPr="00CD3CEA">
        <w:rPr>
          <w:rFonts w:ascii="Century Gothic" w:hAnsi="Century Gothic" w:cs="Arial"/>
          <w:sz w:val="18"/>
          <w:szCs w:val="18"/>
        </w:rPr>
        <w:t xml:space="preserve"> La Agencia Nacional de Contratación Pública </w:t>
      </w:r>
      <w:r w:rsidRPr="00CD3CEA">
        <w:rPr>
          <w:rFonts w:ascii="Arial" w:hAnsi="Arial" w:cs="Arial"/>
          <w:sz w:val="18"/>
          <w:szCs w:val="18"/>
        </w:rPr>
        <w:t>‒</w:t>
      </w:r>
      <w:r w:rsidRPr="00CD3CEA">
        <w:rPr>
          <w:rFonts w:ascii="Century Gothic" w:hAnsi="Century Gothic" w:cs="Arial"/>
          <w:sz w:val="18"/>
          <w:szCs w:val="18"/>
        </w:rPr>
        <w:t xml:space="preserve"> Colombia Compra Eficiente fue creada por el Decreto Ley 4170 de 2011. Su objetivo es servir como ente rector de la pol</w:t>
      </w:r>
      <w:r w:rsidRPr="00CD3CEA">
        <w:rPr>
          <w:rFonts w:ascii="Century Gothic" w:hAnsi="Century Gothic" w:cs="Century Gothic"/>
          <w:sz w:val="18"/>
          <w:szCs w:val="18"/>
        </w:rPr>
        <w:t>í</w:t>
      </w:r>
      <w:r w:rsidRPr="00CD3CEA">
        <w:rPr>
          <w:rFonts w:ascii="Century Gothic" w:hAnsi="Century Gothic" w:cs="Arial"/>
          <w:sz w:val="18"/>
          <w:szCs w:val="18"/>
        </w:rPr>
        <w:t>tica de compras y contrataci</w:t>
      </w:r>
      <w:r w:rsidRPr="00CD3CEA">
        <w:rPr>
          <w:rFonts w:ascii="Century Gothic" w:hAnsi="Century Gothic" w:cs="Century Gothic"/>
          <w:sz w:val="18"/>
          <w:szCs w:val="18"/>
        </w:rPr>
        <w:t>ó</w:t>
      </w:r>
      <w:r w:rsidRPr="00CD3CEA">
        <w:rPr>
          <w:rFonts w:ascii="Century Gothic" w:hAnsi="Century Gothic" w:cs="Arial"/>
          <w:sz w:val="18"/>
          <w:szCs w:val="18"/>
        </w:rPr>
        <w:t xml:space="preserve">n del Estado. Para tales fines, como </w:t>
      </w:r>
      <w:r w:rsidRPr="00CD3CEA">
        <w:rPr>
          <w:rFonts w:ascii="Century Gothic" w:hAnsi="Century Gothic" w:cs="Century Gothic"/>
          <w:sz w:val="18"/>
          <w:szCs w:val="18"/>
        </w:rPr>
        <w:t>ó</w:t>
      </w:r>
      <w:r w:rsidRPr="00CD3CEA">
        <w:rPr>
          <w:rFonts w:ascii="Century Gothic" w:hAnsi="Century Gothic" w:cs="Arial"/>
          <w:sz w:val="18"/>
          <w:szCs w:val="18"/>
        </w:rPr>
        <w:t>rgano t</w:t>
      </w:r>
      <w:r w:rsidRPr="00CD3CEA">
        <w:rPr>
          <w:rFonts w:ascii="Century Gothic" w:hAnsi="Century Gothic" w:cs="Century Gothic"/>
          <w:sz w:val="18"/>
          <w:szCs w:val="18"/>
        </w:rPr>
        <w:t>é</w:t>
      </w:r>
      <w:r w:rsidRPr="00CD3CEA">
        <w:rPr>
          <w:rFonts w:ascii="Century Gothic" w:hAnsi="Century Gothic" w:cs="Arial"/>
          <w:sz w:val="18"/>
          <w:szCs w:val="18"/>
        </w:rPr>
        <w:t>cnico especializado, le corresponde formular pol</w:t>
      </w:r>
      <w:r w:rsidRPr="00CD3CEA">
        <w:rPr>
          <w:rFonts w:ascii="Century Gothic" w:hAnsi="Century Gothic" w:cs="Century Gothic"/>
          <w:sz w:val="18"/>
          <w:szCs w:val="18"/>
        </w:rPr>
        <w:t>í</w:t>
      </w:r>
      <w:r w:rsidRPr="00CD3CEA">
        <w:rPr>
          <w:rFonts w:ascii="Century Gothic" w:hAnsi="Century Gothic" w:cs="Arial"/>
          <w:sz w:val="18"/>
          <w:szCs w:val="18"/>
        </w:rPr>
        <w:t>ticas p</w:t>
      </w:r>
      <w:r w:rsidRPr="00CD3CEA">
        <w:rPr>
          <w:rFonts w:ascii="Century Gothic" w:hAnsi="Century Gothic" w:cs="Century Gothic"/>
          <w:sz w:val="18"/>
          <w:szCs w:val="18"/>
        </w:rPr>
        <w:t>ú</w:t>
      </w:r>
      <w:r w:rsidRPr="00CD3CEA">
        <w:rPr>
          <w:rFonts w:ascii="Century Gothic" w:hAnsi="Century Gothic" w:cs="Arial"/>
          <w:sz w:val="18"/>
          <w:szCs w:val="18"/>
        </w:rPr>
        <w:t>blicas y normas y unificar los procesos de contrataci</w:t>
      </w:r>
      <w:r w:rsidRPr="00CD3CEA">
        <w:rPr>
          <w:rFonts w:ascii="Century Gothic" w:hAnsi="Century Gothic" w:cs="Century Gothic"/>
          <w:sz w:val="18"/>
          <w:szCs w:val="18"/>
        </w:rPr>
        <w:t>ó</w:t>
      </w:r>
      <w:r w:rsidRPr="00CD3CEA">
        <w:rPr>
          <w:rFonts w:ascii="Century Gothic" w:hAnsi="Century Gothic" w:cs="Arial"/>
          <w:sz w:val="18"/>
          <w:szCs w:val="18"/>
        </w:rPr>
        <w:t>n estatal, con el fin de lograr una mayor eficiencia, transparencia y optimizaci</w:t>
      </w:r>
      <w:r w:rsidRPr="00CD3CEA">
        <w:rPr>
          <w:rFonts w:ascii="Century Gothic" w:hAnsi="Century Gothic" w:cs="Century Gothic"/>
          <w:sz w:val="18"/>
          <w:szCs w:val="18"/>
        </w:rPr>
        <w:t>ó</w:t>
      </w:r>
      <w:r w:rsidRPr="00CD3CEA">
        <w:rPr>
          <w:rFonts w:ascii="Century Gothic" w:hAnsi="Century Gothic" w:cs="Arial"/>
          <w:sz w:val="18"/>
          <w:szCs w:val="18"/>
        </w:rPr>
        <w:t>n de los recursos del Estado. El art</w:t>
      </w:r>
      <w:r w:rsidRPr="00CD3CEA">
        <w:rPr>
          <w:rFonts w:ascii="Century Gothic" w:hAnsi="Century Gothic" w:cs="Century Gothic"/>
          <w:sz w:val="18"/>
          <w:szCs w:val="18"/>
        </w:rPr>
        <w:t>í</w:t>
      </w:r>
      <w:r w:rsidRPr="00CD3CEA">
        <w:rPr>
          <w:rFonts w:ascii="Century Gothic" w:hAnsi="Century Gothic" w:cs="Arial"/>
          <w:sz w:val="18"/>
          <w:szCs w:val="18"/>
        </w:rPr>
        <w:t xml:space="preserve">culo 3 </w:t>
      </w:r>
      <w:r w:rsidRPr="00CD3CEA">
        <w:rPr>
          <w:rFonts w:ascii="Century Gothic" w:hAnsi="Century Gothic" w:cs="Arial"/>
          <w:i/>
          <w:iCs/>
          <w:sz w:val="18"/>
          <w:szCs w:val="18"/>
        </w:rPr>
        <w:t xml:space="preserve">ibidem </w:t>
      </w:r>
      <w:r w:rsidRPr="00CD3CEA">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FC92AB6" w14:textId="77777777" w:rsidR="000D2BFC" w:rsidRPr="0032512D" w:rsidRDefault="000D2BFC" w:rsidP="000D2BFC">
      <w:pPr>
        <w:pStyle w:val="FootnoteText"/>
        <w:ind w:firstLine="709"/>
        <w:jc w:val="both"/>
        <w:rPr>
          <w:rFonts w:ascii="Arial" w:hAnsi="Arial" w:cs="Arial"/>
          <w:sz w:val="19"/>
          <w:szCs w:val="19"/>
          <w:lang w:val="es-CO"/>
        </w:rPr>
      </w:pPr>
      <w:r w:rsidRPr="0032512D">
        <w:rPr>
          <w:rStyle w:val="FootnoteReference"/>
          <w:rFonts w:ascii="Arial" w:hAnsi="Arial" w:cs="Arial"/>
          <w:sz w:val="19"/>
          <w:szCs w:val="19"/>
        </w:rPr>
        <w:footnoteRef/>
      </w:r>
      <w:r w:rsidRPr="0032512D">
        <w:rPr>
          <w:rFonts w:ascii="Arial" w:hAnsi="Arial" w:cs="Arial"/>
          <w:sz w:val="19"/>
          <w:szCs w:val="19"/>
        </w:rPr>
        <w:t xml:space="preserve"> </w:t>
      </w:r>
      <w:r w:rsidRPr="00CD4440">
        <w:rPr>
          <w:rFonts w:ascii="Century Gothic" w:hAnsi="Century Gothic" w:cs="Arial"/>
          <w:sz w:val="19"/>
          <w:szCs w:val="19"/>
        </w:rPr>
        <w:t xml:space="preserve">Esta resolución puede consultarse en la página web de la Agencia Nacional de Contratación Pública </w:t>
      </w:r>
      <w:r w:rsidRPr="00CD4440">
        <w:rPr>
          <w:rFonts w:ascii="Century Gothic" w:eastAsia="Calibri" w:hAnsi="Century Gothic" w:cs="Arial"/>
          <w:sz w:val="19"/>
          <w:szCs w:val="19"/>
          <w:lang w:val="es-ES" w:eastAsia="es-ES"/>
        </w:rPr>
        <w:t xml:space="preserve">– Colombia Compra Eficiente en el siguiente enlace: </w:t>
      </w:r>
      <w:hyperlink r:id="rId1" w:history="1">
        <w:r w:rsidRPr="00CD4440">
          <w:rPr>
            <w:rStyle w:val="Hyperlink"/>
            <w:rFonts w:ascii="Century Gothic" w:eastAsia="Calibri" w:hAnsi="Century Gothic" w:cs="Arial"/>
            <w:color w:val="auto"/>
            <w:sz w:val="19"/>
            <w:szCs w:val="19"/>
            <w:lang w:val="es-ES" w:eastAsia="es-ES"/>
          </w:rPr>
          <w:t>https://www.colombiacompra.gov.co/content/documento-tipo-para-la-contratacion-directa-de-convenios-solidarios-para-la-ejecucion-de</w:t>
        </w:r>
      </w:hyperlink>
      <w:r w:rsidRPr="0032512D">
        <w:rPr>
          <w:rFonts w:ascii="Arial" w:eastAsia="Calibri" w:hAnsi="Arial" w:cs="Arial"/>
          <w:sz w:val="19"/>
          <w:szCs w:val="19"/>
          <w:lang w:val="es-ES" w:eastAsia="es-ES"/>
        </w:rPr>
        <w:t xml:space="preserve"> </w:t>
      </w:r>
    </w:p>
  </w:footnote>
  <w:footnote w:id="4">
    <w:p w14:paraId="13787272" w14:textId="77777777" w:rsidR="000D2BFC" w:rsidRPr="00CD4440" w:rsidRDefault="000D2BFC" w:rsidP="000D2BFC">
      <w:pPr>
        <w:pStyle w:val="FootnoteText"/>
        <w:ind w:firstLine="709"/>
        <w:jc w:val="both"/>
        <w:rPr>
          <w:rFonts w:ascii="Century Gothic" w:hAnsi="Century Gothic" w:cs="Arial"/>
          <w:sz w:val="19"/>
          <w:szCs w:val="19"/>
          <w:lang w:val="es-CO"/>
        </w:rPr>
      </w:pPr>
      <w:r w:rsidRPr="0032512D">
        <w:rPr>
          <w:rStyle w:val="FootnoteReference"/>
          <w:rFonts w:ascii="Arial" w:hAnsi="Arial" w:cs="Arial"/>
          <w:sz w:val="19"/>
          <w:szCs w:val="19"/>
        </w:rPr>
        <w:footnoteRef/>
      </w:r>
      <w:r w:rsidRPr="0032512D">
        <w:rPr>
          <w:rFonts w:ascii="Arial" w:hAnsi="Arial" w:cs="Arial"/>
          <w:sz w:val="19"/>
          <w:szCs w:val="19"/>
        </w:rPr>
        <w:t xml:space="preserve"> </w:t>
      </w:r>
      <w:r w:rsidRPr="00CD4440">
        <w:rPr>
          <w:rFonts w:ascii="Century Gothic" w:hAnsi="Century Gothic" w:cs="Arial"/>
          <w:sz w:val="19"/>
          <w:szCs w:val="19"/>
        </w:rPr>
        <w:t xml:space="preserve">En relación con el artículo 2. “Desarrollo e implementación de los documentos tipo” contenido en la Resolución 358 del 30 de junio de 2023, debe aclararse que respecto a la palabra subrayada “[…] la ejecución de obras hasta el </w:t>
      </w:r>
      <w:r w:rsidRPr="00CD4440">
        <w:rPr>
          <w:rFonts w:ascii="Century Gothic" w:hAnsi="Century Gothic" w:cs="Arial"/>
          <w:i/>
          <w:iCs/>
          <w:sz w:val="19"/>
          <w:szCs w:val="19"/>
          <w:u w:val="single"/>
        </w:rPr>
        <w:t>momento</w:t>
      </w:r>
      <w:r w:rsidRPr="00CD4440">
        <w:rPr>
          <w:rFonts w:ascii="Century Gothic" w:hAnsi="Century Gothic" w:cs="Arial"/>
          <w:sz w:val="19"/>
          <w:szCs w:val="19"/>
        </w:rPr>
        <w:t xml:space="preserve"> de la menor cuantía”, se cometió una impresión en la digitación, y esta palabra debe entenderse como </w:t>
      </w:r>
      <w:r w:rsidRPr="00CD4440">
        <w:rPr>
          <w:rFonts w:ascii="Century Gothic" w:hAnsi="Century Gothic" w:cs="Arial"/>
          <w:i/>
          <w:iCs/>
          <w:sz w:val="19"/>
          <w:szCs w:val="19"/>
          <w:u w:val="single"/>
        </w:rPr>
        <w:t>monto</w:t>
      </w:r>
      <w:r w:rsidRPr="00CD4440">
        <w:rPr>
          <w:rFonts w:ascii="Century Gothic" w:hAnsi="Century Gothic" w:cs="Arial"/>
          <w:sz w:val="19"/>
          <w:szCs w:val="19"/>
        </w:rPr>
        <w:t xml:space="preserve">. </w:t>
      </w:r>
    </w:p>
  </w:footnote>
  <w:footnote w:id="5">
    <w:p w14:paraId="0ECB294D"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Style w:val="FootnoteReference"/>
          <w:rFonts w:ascii="Century Gothic" w:hAnsi="Century Gothic" w:cs="Arial"/>
          <w:sz w:val="19"/>
          <w:szCs w:val="19"/>
        </w:rPr>
        <w:footnoteRef/>
      </w:r>
      <w:r w:rsidRPr="00CD4440">
        <w:rPr>
          <w:rFonts w:ascii="Century Gothic" w:hAnsi="Century Gothic" w:cs="Arial"/>
          <w:sz w:val="19"/>
          <w:szCs w:val="19"/>
        </w:rPr>
        <w:t xml:space="preserve"> </w:t>
      </w:r>
      <w:r w:rsidRPr="00CD4440">
        <w:rPr>
          <w:rFonts w:ascii="Century Gothic" w:hAnsi="Century Gothic" w:cs="Arial"/>
          <w:b/>
          <w:bCs/>
          <w:sz w:val="19"/>
          <w:szCs w:val="19"/>
        </w:rPr>
        <w:t>“</w:t>
      </w:r>
      <w:r w:rsidRPr="00CD4440">
        <w:rPr>
          <w:rStyle w:val="Strong"/>
          <w:rFonts w:ascii="Century Gothic" w:hAnsi="Century Gothic" w:cs="Arial"/>
          <w:sz w:val="19"/>
          <w:szCs w:val="19"/>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6">
    <w:p w14:paraId="22FC370E" w14:textId="77777777" w:rsidR="000D2BFC" w:rsidRPr="0032512D" w:rsidRDefault="000D2BFC" w:rsidP="000D2BFC">
      <w:pPr>
        <w:pStyle w:val="FootnoteText"/>
        <w:ind w:firstLine="709"/>
        <w:jc w:val="both"/>
        <w:rPr>
          <w:rFonts w:ascii="Arial" w:hAnsi="Arial" w:cs="Arial"/>
          <w:sz w:val="19"/>
          <w:szCs w:val="19"/>
          <w:lang w:val="es-CO"/>
        </w:rPr>
      </w:pPr>
      <w:r w:rsidRPr="00CD4440">
        <w:rPr>
          <w:rStyle w:val="FootnoteReference"/>
          <w:rFonts w:ascii="Century Gothic" w:hAnsi="Century Gothic" w:cs="Arial"/>
          <w:sz w:val="19"/>
          <w:szCs w:val="19"/>
        </w:rPr>
        <w:footnoteRef/>
      </w:r>
      <w:r w:rsidRPr="00CD4440">
        <w:rPr>
          <w:rFonts w:ascii="Century Gothic" w:hAnsi="Century Gothic" w:cs="Arial"/>
          <w:sz w:val="19"/>
          <w:szCs w:val="19"/>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w:t>
      </w:r>
      <w:r w:rsidRPr="0032512D">
        <w:rPr>
          <w:rFonts w:ascii="Arial" w:hAnsi="Arial" w:cs="Arial"/>
          <w:sz w:val="19"/>
          <w:szCs w:val="19"/>
        </w:rPr>
        <w:t xml:space="preserve"> </w:t>
      </w:r>
    </w:p>
  </w:footnote>
  <w:footnote w:id="7">
    <w:p w14:paraId="40D8E3E3" w14:textId="77777777" w:rsidR="000D2BFC" w:rsidRPr="0032512D" w:rsidRDefault="000D2BFC" w:rsidP="000D2BFC">
      <w:pPr>
        <w:pStyle w:val="FootnoteText"/>
        <w:ind w:firstLine="709"/>
        <w:jc w:val="both"/>
        <w:rPr>
          <w:rFonts w:ascii="Arial" w:hAnsi="Arial" w:cs="Arial"/>
          <w:color w:val="000000" w:themeColor="text1"/>
          <w:sz w:val="19"/>
          <w:szCs w:val="19"/>
          <w:lang w:val="es-CO"/>
        </w:rPr>
      </w:pPr>
      <w:r w:rsidRPr="0032512D">
        <w:rPr>
          <w:rStyle w:val="FootnoteReference"/>
          <w:rFonts w:ascii="Arial" w:hAnsi="Arial" w:cs="Arial"/>
          <w:sz w:val="19"/>
          <w:szCs w:val="19"/>
        </w:rPr>
        <w:footnoteRef/>
      </w:r>
      <w:r w:rsidRPr="0032512D">
        <w:rPr>
          <w:rFonts w:ascii="Arial" w:hAnsi="Arial" w:cs="Arial"/>
          <w:sz w:val="19"/>
          <w:szCs w:val="19"/>
        </w:rPr>
        <w:t xml:space="preserve"> </w:t>
      </w:r>
      <w:r w:rsidRPr="00CD4440">
        <w:rPr>
          <w:rFonts w:ascii="Century Gothic" w:hAnsi="Century Gothic" w:cs="Arial"/>
          <w:sz w:val="19"/>
          <w:szCs w:val="19"/>
        </w:rPr>
        <w:t>Texto tomado de la ley sancionada y publicada en la página web de la Presidencia de la República, disponible en el siguiente enlace</w:t>
      </w:r>
      <w:r w:rsidRPr="00CD4440">
        <w:rPr>
          <w:rFonts w:ascii="Century Gothic" w:hAnsi="Century Gothic" w:cs="Arial"/>
          <w:color w:val="000000" w:themeColor="text1"/>
          <w:sz w:val="19"/>
          <w:szCs w:val="19"/>
        </w:rPr>
        <w:t xml:space="preserve">: </w:t>
      </w:r>
      <w:hyperlink r:id="rId2" w:history="1">
        <w:r w:rsidRPr="00CD4440">
          <w:rPr>
            <w:rStyle w:val="Hyperlink"/>
            <w:rFonts w:ascii="Century Gothic" w:hAnsi="Century Gothic" w:cs="Arial"/>
            <w:color w:val="000000" w:themeColor="text1"/>
            <w:sz w:val="19"/>
            <w:szCs w:val="19"/>
          </w:rPr>
          <w:t>https://dapre.presidencia.gov.co/normativa/leyes</w:t>
        </w:r>
      </w:hyperlink>
      <w:r w:rsidRPr="00CD4440">
        <w:rPr>
          <w:rFonts w:ascii="Century Gothic" w:hAnsi="Century Gothic" w:cs="Arial"/>
          <w:color w:val="000000" w:themeColor="text1"/>
          <w:sz w:val="19"/>
          <w:szCs w:val="19"/>
        </w:rPr>
        <w:t>.</w:t>
      </w:r>
      <w:r w:rsidRPr="0032512D">
        <w:rPr>
          <w:rFonts w:ascii="Arial" w:hAnsi="Arial" w:cs="Arial"/>
          <w:color w:val="000000" w:themeColor="text1"/>
          <w:sz w:val="19"/>
          <w:szCs w:val="19"/>
        </w:rPr>
        <w:t xml:space="preserve"> </w:t>
      </w:r>
    </w:p>
  </w:footnote>
  <w:footnote w:id="8">
    <w:p w14:paraId="5BAB4019" w14:textId="77777777" w:rsidR="000D2BFC" w:rsidRPr="00CD4440" w:rsidRDefault="000D2BFC" w:rsidP="000D2BFC">
      <w:pPr>
        <w:pStyle w:val="FootnoteText"/>
        <w:ind w:firstLine="709"/>
        <w:jc w:val="both"/>
        <w:rPr>
          <w:rFonts w:ascii="Century Gothic" w:hAnsi="Century Gothic" w:cs="Arial"/>
          <w:sz w:val="19"/>
          <w:szCs w:val="19"/>
          <w:lang w:val="es-CO"/>
        </w:rPr>
      </w:pPr>
      <w:r w:rsidRPr="0032512D">
        <w:rPr>
          <w:rStyle w:val="FootnoteReference"/>
          <w:rFonts w:ascii="Arial" w:hAnsi="Arial" w:cs="Arial"/>
          <w:sz w:val="19"/>
          <w:szCs w:val="19"/>
        </w:rPr>
        <w:footnoteRef/>
      </w:r>
      <w:r w:rsidRPr="0032512D">
        <w:rPr>
          <w:rFonts w:ascii="Arial" w:hAnsi="Arial" w:cs="Arial"/>
          <w:sz w:val="19"/>
          <w:szCs w:val="19"/>
        </w:rPr>
        <w:t xml:space="preserve"> </w:t>
      </w:r>
      <w:bookmarkStart w:id="1" w:name="7"/>
      <w:r w:rsidRPr="00CD4440">
        <w:rPr>
          <w:rFonts w:ascii="Century Gothic" w:eastAsia="Calibri" w:hAnsi="Century Gothic" w:cs="Arial"/>
          <w:color w:val="000000" w:themeColor="text1"/>
          <w:sz w:val="19"/>
          <w:szCs w:val="19"/>
          <w:lang w:val="es-ES_tradnl"/>
        </w:rPr>
        <w:t>“</w:t>
      </w:r>
      <w:r w:rsidRPr="00CD4440">
        <w:rPr>
          <w:rFonts w:ascii="Century Gothic" w:hAnsi="Century Gothic" w:cs="Arial"/>
          <w:sz w:val="19"/>
          <w:szCs w:val="19"/>
          <w:lang w:val="es-CO"/>
        </w:rPr>
        <w:t>Artículo 7. Organismos de la Acción Comunal.</w:t>
      </w:r>
      <w:bookmarkEnd w:id="1"/>
    </w:p>
    <w:p w14:paraId="53C6E79B"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0B00E10"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4D182CBD"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3793FF4"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 xml:space="preserve">d) Es organismo de acción comunal de tercer grado la federación de acción </w:t>
      </w:r>
      <w:r w:rsidRPr="00CD4440">
        <w:rPr>
          <w:rFonts w:ascii="Century Gothic" w:hAnsi="Century Gothic" w:cs="Arial"/>
          <w:sz w:val="19"/>
          <w:szCs w:val="19"/>
          <w:lang w:val="es-CO"/>
        </w:rPr>
        <w:t>comunal, tiene la misma naturaleza jurídica de las juntas de acción comunal y se constituye con los organismos de acción comunal de segundo grado fundadores y que posteriormente se afilien;</w:t>
      </w:r>
    </w:p>
    <w:p w14:paraId="4D973FB1"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E735127"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PARÁGRAFO 1o. Cada organismo de acción comunal, se dará su propio reglamento conforme al marco brindado por esta ley enunciado en el artículo 1 y las normas que le sucedan.</w:t>
      </w:r>
    </w:p>
    <w:p w14:paraId="68FD1590" w14:textId="77777777" w:rsidR="000D2BFC" w:rsidRPr="00CD4440" w:rsidRDefault="000D2BFC" w:rsidP="000D2BFC">
      <w:pPr>
        <w:pStyle w:val="FootnoteText"/>
        <w:ind w:firstLine="709"/>
        <w:jc w:val="both"/>
        <w:rPr>
          <w:rFonts w:ascii="Century Gothic" w:hAnsi="Century Gothic" w:cs="Arial"/>
          <w:sz w:val="19"/>
          <w:szCs w:val="19"/>
          <w:lang w:val="es-CO"/>
        </w:rPr>
      </w:pPr>
      <w:r w:rsidRPr="00CD4440">
        <w:rPr>
          <w:rFonts w:ascii="Century Gothic" w:hAnsi="Century Gothic"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CD4440">
        <w:rPr>
          <w:rFonts w:ascii="Century Gothic" w:eastAsia="Calibri" w:hAnsi="Century Gothic" w:cs="Arial"/>
          <w:color w:val="000000" w:themeColor="text1"/>
          <w:sz w:val="19"/>
          <w:szCs w:val="19"/>
          <w:lang w:val="es-ES_tradnl"/>
        </w:rPr>
        <w:t>”.</w:t>
      </w:r>
    </w:p>
    <w:p w14:paraId="503131B1" w14:textId="77777777" w:rsidR="000D2BFC" w:rsidRPr="0032512D" w:rsidRDefault="000D2BFC" w:rsidP="000D2BFC">
      <w:pPr>
        <w:pStyle w:val="FootnoteText"/>
        <w:ind w:firstLine="709"/>
        <w:jc w:val="both"/>
        <w:rPr>
          <w:rFonts w:ascii="Arial" w:hAnsi="Arial" w:cs="Arial"/>
          <w:sz w:val="19"/>
          <w:szCs w:val="19"/>
          <w:lang w:val="es-CO"/>
        </w:rPr>
      </w:pPr>
    </w:p>
  </w:footnote>
  <w:footnote w:id="9">
    <w:p w14:paraId="0A4C4139" w14:textId="77777777" w:rsidR="000D2BFC" w:rsidRPr="00CD3CEA" w:rsidRDefault="000D2BFC" w:rsidP="000D2BFC">
      <w:pPr>
        <w:pStyle w:val="FootnoteText"/>
        <w:ind w:firstLine="708"/>
        <w:jc w:val="both"/>
        <w:rPr>
          <w:rFonts w:ascii="Century Gothic" w:hAnsi="Century Gothic" w:cs="Arial"/>
          <w:sz w:val="18"/>
          <w:szCs w:val="18"/>
        </w:rPr>
      </w:pPr>
      <w:r w:rsidRPr="00CD3CEA">
        <w:rPr>
          <w:rStyle w:val="FootnoteReference"/>
          <w:rFonts w:ascii="Century Gothic" w:hAnsi="Century Gothic" w:cs="Arial"/>
          <w:sz w:val="18"/>
          <w:szCs w:val="18"/>
        </w:rPr>
        <w:footnoteRef/>
      </w:r>
      <w:r w:rsidRPr="00CD3CEA">
        <w:rPr>
          <w:rFonts w:ascii="Century Gothic" w:hAnsi="Century Gothic" w:cs="Arial"/>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10">
    <w:p w14:paraId="2A6EED18" w14:textId="77777777" w:rsidR="000D2BFC" w:rsidRPr="00CD3CEA" w:rsidRDefault="000D2BFC" w:rsidP="000D2BFC">
      <w:pPr>
        <w:pStyle w:val="FootnoteText"/>
        <w:ind w:firstLine="709"/>
        <w:jc w:val="both"/>
        <w:rPr>
          <w:rFonts w:ascii="Century Gothic" w:hAnsi="Century Gothic" w:cs="Arial"/>
          <w:color w:val="000000" w:themeColor="text1"/>
          <w:sz w:val="18"/>
          <w:szCs w:val="18"/>
        </w:rPr>
      </w:pPr>
      <w:r w:rsidRPr="00CD3CEA">
        <w:rPr>
          <w:rStyle w:val="FootnoteReference"/>
          <w:rFonts w:ascii="Century Gothic" w:hAnsi="Century Gothic" w:cs="Arial"/>
          <w:color w:val="000000" w:themeColor="text1"/>
          <w:sz w:val="18"/>
          <w:szCs w:val="18"/>
        </w:rPr>
        <w:footnoteRef/>
      </w:r>
      <w:r w:rsidRPr="00CD3CEA">
        <w:rPr>
          <w:rFonts w:ascii="Century Gothic" w:hAnsi="Century Gothic"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11">
    <w:p w14:paraId="7C8A6CD5" w14:textId="77777777" w:rsidR="000D2BFC" w:rsidRPr="00CD3CEA" w:rsidRDefault="000D2BFC" w:rsidP="000D2BFC">
      <w:pPr>
        <w:spacing w:after="0" w:line="240" w:lineRule="auto"/>
        <w:ind w:firstLine="709"/>
        <w:jc w:val="both"/>
        <w:rPr>
          <w:rFonts w:ascii="Century Gothic" w:hAnsi="Century Gothic" w:cs="Arial"/>
          <w:color w:val="000000" w:themeColor="text1"/>
          <w:sz w:val="18"/>
          <w:szCs w:val="18"/>
          <w:lang w:val="es-ES"/>
        </w:rPr>
      </w:pPr>
      <w:r w:rsidRPr="00CD3CEA">
        <w:rPr>
          <w:rStyle w:val="FootnoteReference"/>
          <w:rFonts w:ascii="Century Gothic" w:hAnsi="Century Gothic" w:cs="Arial"/>
          <w:color w:val="000000" w:themeColor="text1"/>
          <w:sz w:val="18"/>
          <w:szCs w:val="18"/>
        </w:rPr>
        <w:footnoteRef/>
      </w:r>
      <w:r w:rsidRPr="00CD3CEA">
        <w:rPr>
          <w:rFonts w:ascii="Century Gothic" w:hAnsi="Century Gothic" w:cs="Arial"/>
          <w:color w:val="000000" w:themeColor="text1"/>
          <w:sz w:val="18"/>
          <w:szCs w:val="18"/>
        </w:rPr>
        <w:t xml:space="preserve"> </w:t>
      </w:r>
      <w:r w:rsidRPr="00CD3CEA">
        <w:rPr>
          <w:rFonts w:ascii="Century Gothic" w:hAnsi="Century Gothic"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12">
    <w:p w14:paraId="657E33A5" w14:textId="77777777" w:rsidR="000D2BFC" w:rsidRPr="00CD3CEA" w:rsidRDefault="000D2BFC" w:rsidP="000D2BFC">
      <w:pPr>
        <w:spacing w:after="0" w:line="240" w:lineRule="auto"/>
        <w:ind w:firstLine="708"/>
        <w:jc w:val="both"/>
        <w:rPr>
          <w:rFonts w:ascii="Century Gothic" w:hAnsi="Century Gothic" w:cs="Arial"/>
          <w:color w:val="000000" w:themeColor="text1"/>
          <w:sz w:val="18"/>
          <w:szCs w:val="18"/>
        </w:rPr>
      </w:pPr>
      <w:r w:rsidRPr="00CD3CEA">
        <w:rPr>
          <w:rStyle w:val="FootnoteReference"/>
          <w:rFonts w:ascii="Century Gothic" w:hAnsi="Century Gothic" w:cs="Arial"/>
          <w:color w:val="000000" w:themeColor="text1"/>
          <w:sz w:val="18"/>
          <w:szCs w:val="18"/>
        </w:rPr>
        <w:footnoteRef/>
      </w:r>
      <w:r w:rsidRPr="00CD3CEA">
        <w:rPr>
          <w:rFonts w:ascii="Century Gothic" w:hAnsi="Century Gothic" w:cs="Arial"/>
          <w:color w:val="000000" w:themeColor="text1"/>
          <w:sz w:val="18"/>
          <w:szCs w:val="18"/>
        </w:rPr>
        <w:t xml:space="preserve"> Cita tomada de la providencia del 20 de febrero de 2020, dictada por el Consejo de Estado. Sección Tercera. Subsección A, dentro del expediente 47001-23-33-000-2018-00035-01 (63.854), cuya ponente fue Marta Nubia Velásquez Rico.</w:t>
      </w:r>
    </w:p>
  </w:footnote>
  <w:footnote w:id="13">
    <w:p w14:paraId="35901BFB" w14:textId="77777777" w:rsidR="000D2BFC" w:rsidRPr="00CD3CEA" w:rsidRDefault="000D2BFC" w:rsidP="000D2BFC">
      <w:pPr>
        <w:pStyle w:val="clusulas"/>
        <w:numPr>
          <w:ilvl w:val="0"/>
          <w:numId w:val="0"/>
        </w:numPr>
        <w:spacing w:before="0" w:after="0"/>
        <w:ind w:left="567"/>
        <w:rPr>
          <w:rFonts w:ascii="Century Gothic" w:hAnsi="Century Gothic" w:cs="Arial"/>
          <w:sz w:val="18"/>
          <w:szCs w:val="18"/>
        </w:rPr>
      </w:pPr>
      <w:r w:rsidRPr="00CD3CEA">
        <w:rPr>
          <w:rStyle w:val="FootnoteReference"/>
          <w:rFonts w:ascii="Century Gothic" w:hAnsi="Century Gothic" w:cs="Arial"/>
          <w:sz w:val="18"/>
          <w:szCs w:val="18"/>
        </w:rPr>
        <w:footnoteRef/>
      </w:r>
      <w:r w:rsidRPr="00CD3CEA">
        <w:rPr>
          <w:rFonts w:ascii="Century Gothic" w:hAnsi="Century Gothic" w:cs="Arial"/>
          <w:sz w:val="18"/>
          <w:szCs w:val="18"/>
        </w:rPr>
        <w:t xml:space="preserve"> </w:t>
      </w:r>
      <w:r w:rsidRPr="00CD3CEA">
        <w:rPr>
          <w:rFonts w:ascii="Century Gothic" w:hAnsi="Century Gothic" w:cs="Arial"/>
          <w:bCs/>
          <w:color w:val="000000" w:themeColor="text1"/>
          <w:sz w:val="18"/>
          <w:szCs w:val="18"/>
          <w:lang w:val="es-ES"/>
        </w:rPr>
        <w:t xml:space="preserve">Minuta </w:t>
      </w:r>
      <w:r w:rsidRPr="00A32E07">
        <w:rPr>
          <w:rFonts w:ascii="Century Gothic" w:hAnsi="Century Gothic" w:cs="Arial"/>
          <w:color w:val="000000" w:themeColor="text1"/>
          <w:sz w:val="18"/>
          <w:szCs w:val="18"/>
          <w:lang w:val="es-ES"/>
        </w:rPr>
        <w:t>Tipo.</w:t>
      </w:r>
      <w:r w:rsidRPr="00CD3CEA">
        <w:rPr>
          <w:rFonts w:ascii="Century Gothic" w:hAnsi="Century Gothic" w:cs="Arial"/>
          <w:bCs/>
          <w:color w:val="000000" w:themeColor="text1"/>
          <w:sz w:val="18"/>
          <w:szCs w:val="18"/>
          <w:lang w:val="es-ES"/>
        </w:rPr>
        <w:t xml:space="preserve"> […] CLÁUSULA 7. </w:t>
      </w:r>
      <w:r w:rsidRPr="00CD3CEA">
        <w:rPr>
          <w:rFonts w:ascii="Century Gothic" w:hAnsi="Century Gothic" w:cs="Arial"/>
          <w:sz w:val="18"/>
          <w:szCs w:val="18"/>
        </w:rPr>
        <w:t>GIROS DE LOS RECURSOS</w:t>
      </w:r>
    </w:p>
    <w:p w14:paraId="748E3A42" w14:textId="77777777" w:rsidR="000D2BFC" w:rsidRPr="00CD3CEA" w:rsidRDefault="000D2BFC" w:rsidP="000D2BFC">
      <w:pPr>
        <w:shd w:val="clear" w:color="auto" w:fill="FFFFFF" w:themeFill="background1"/>
        <w:spacing w:after="0"/>
        <w:ind w:firstLine="567"/>
        <w:jc w:val="both"/>
        <w:rPr>
          <w:rFonts w:ascii="Century Gothic" w:hAnsi="Century Gothic" w:cs="Arial"/>
          <w:sz w:val="18"/>
          <w:szCs w:val="18"/>
        </w:rPr>
      </w:pPr>
      <w:r w:rsidRPr="00CD3CEA">
        <w:rPr>
          <w:rFonts w:ascii="Century Gothic" w:hAnsi="Century Gothic" w:cs="Arial"/>
          <w:sz w:val="18"/>
          <w:szCs w:val="18"/>
        </w:rPr>
        <w:t xml:space="preserve">La Entidad Estatal girará a la cuenta que se constituya a nombre del convenio o al Patrimonio Autónomo, según corresponda, el valor a su cargo en ______ </w:t>
      </w:r>
      <w:r w:rsidRPr="00CD3CEA">
        <w:rPr>
          <w:rFonts w:ascii="Century Gothic" w:hAnsi="Century Gothic" w:cs="Arial"/>
          <w:sz w:val="18"/>
          <w:szCs w:val="18"/>
          <w:shd w:val="clear" w:color="auto" w:fill="BFBFBF" w:themeFill="background1" w:themeFillShade="BF"/>
        </w:rPr>
        <w:t>[indicar el número de desembolsos]</w:t>
      </w:r>
      <w:r w:rsidRPr="00CD3CEA">
        <w:rPr>
          <w:rFonts w:ascii="Century Gothic" w:hAnsi="Century Gothic" w:cs="Arial"/>
          <w:sz w:val="18"/>
          <w:szCs w:val="18"/>
          <w:shd w:val="clear" w:color="auto" w:fill="FFFFFF" w:themeFill="background1"/>
        </w:rPr>
        <w:t xml:space="preserve"> e</w:t>
      </w:r>
      <w:r w:rsidRPr="00CD3CEA">
        <w:rPr>
          <w:rFonts w:ascii="Century Gothic" w:hAnsi="Century Gothic" w:cs="Arial"/>
          <w:sz w:val="18"/>
          <w:szCs w:val="18"/>
        </w:rPr>
        <w:t xml:space="preserve">quivalentes a ______ </w:t>
      </w:r>
      <w:r w:rsidRPr="00CD3CEA">
        <w:rPr>
          <w:rFonts w:ascii="Century Gothic" w:hAnsi="Century Gothic" w:cs="Arial"/>
          <w:sz w:val="18"/>
          <w:szCs w:val="18"/>
          <w:shd w:val="clear" w:color="auto" w:fill="BFBFBF" w:themeFill="background1" w:themeFillShade="BF"/>
        </w:rPr>
        <w:t>[indicar el porcentaje de cada desembolso, sin que la sumatoria de estos supere el 100%]</w:t>
      </w:r>
      <w:r w:rsidRPr="00CD3CEA">
        <w:rPr>
          <w:rFonts w:ascii="Century Gothic" w:hAnsi="Century Gothic" w:cs="Arial"/>
          <w:sz w:val="18"/>
          <w:szCs w:val="18"/>
          <w:shd w:val="clear" w:color="auto" w:fill="FFFFFF" w:themeFill="background1"/>
        </w:rPr>
        <w:t xml:space="preserve"> correspondientes a la vigencia fiscal ______</w:t>
      </w:r>
      <w:r w:rsidRPr="00CD3CEA">
        <w:rPr>
          <w:rFonts w:ascii="Century Gothic" w:hAnsi="Century Gothic" w:cs="Arial"/>
          <w:sz w:val="18"/>
          <w:szCs w:val="18"/>
          <w:shd w:val="clear" w:color="auto" w:fill="FFFFFF" w:themeFill="background1"/>
        </w:rPr>
        <w:t>_</w:t>
      </w:r>
      <w:r w:rsidRPr="00CD3CEA">
        <w:rPr>
          <w:rFonts w:ascii="Century Gothic" w:hAnsi="Century Gothic" w:cs="Arial"/>
          <w:sz w:val="18"/>
          <w:szCs w:val="18"/>
          <w:shd w:val="clear" w:color="auto" w:fill="BFBFBF" w:themeFill="background1" w:themeFillShade="BF"/>
        </w:rPr>
        <w:t>[indicar el año de vigencia],</w:t>
      </w:r>
      <w:r w:rsidRPr="00CD3CEA">
        <w:rPr>
          <w:rFonts w:ascii="Century Gothic" w:hAnsi="Century Gothic" w:cs="Arial"/>
          <w:sz w:val="18"/>
          <w:szCs w:val="18"/>
          <w:shd w:val="clear" w:color="auto" w:fill="FFFFFF" w:themeFill="background1"/>
        </w:rPr>
        <w:t xml:space="preserve"> cuando </w:t>
      </w:r>
      <w:r w:rsidRPr="00CD3CEA">
        <w:rPr>
          <w:rFonts w:ascii="Century Gothic" w:hAnsi="Century Gothic" w:cs="Arial"/>
          <w:sz w:val="18"/>
          <w:szCs w:val="18"/>
          <w:shd w:val="clear" w:color="auto" w:fill="BFBFBF" w:themeFill="background1" w:themeFillShade="BF"/>
        </w:rPr>
        <w:t>[indicar el momento en que se realizará cada giro y las condiciones que se deban cumplir para ello].</w:t>
      </w:r>
    </w:p>
    <w:p w14:paraId="0F5DDA29" w14:textId="77777777" w:rsidR="000D2BFC" w:rsidRPr="00CD3CEA" w:rsidRDefault="000D2BFC" w:rsidP="000D2BFC">
      <w:pPr>
        <w:spacing w:after="0"/>
        <w:ind w:firstLine="567"/>
        <w:jc w:val="both"/>
        <w:rPr>
          <w:rFonts w:ascii="Century Gothic" w:hAnsi="Century Gothic" w:cs="Arial"/>
          <w:b/>
          <w:bCs/>
          <w:sz w:val="18"/>
          <w:szCs w:val="18"/>
        </w:rPr>
      </w:pPr>
      <w:r w:rsidRPr="00CD3CEA">
        <w:rPr>
          <w:rFonts w:ascii="Century Gothic" w:hAnsi="Century Gothic" w:cs="Arial"/>
          <w:b/>
          <w:bCs/>
          <w:sz w:val="18"/>
          <w:szCs w:val="18"/>
        </w:rPr>
        <w:t>Opción 1</w:t>
      </w:r>
    </w:p>
    <w:p w14:paraId="1E8704D4" w14:textId="77777777" w:rsidR="000D2BFC" w:rsidRPr="00CD3CEA" w:rsidRDefault="000D2BFC" w:rsidP="000D2BFC">
      <w:pPr>
        <w:shd w:val="clear" w:color="auto" w:fill="BFBFBF" w:themeFill="background1" w:themeFillShade="BF"/>
        <w:spacing w:after="0"/>
        <w:ind w:firstLine="567"/>
        <w:jc w:val="both"/>
        <w:rPr>
          <w:rFonts w:ascii="Century Gothic" w:hAnsi="Century Gothic" w:cs="Arial"/>
          <w:sz w:val="18"/>
          <w:szCs w:val="18"/>
        </w:rPr>
      </w:pPr>
      <w:r w:rsidRPr="00CD3CEA">
        <w:rPr>
          <w:rFonts w:ascii="Century Gothic" w:hAnsi="Century Gothic" w:cs="Arial"/>
          <w:sz w:val="18"/>
          <w:szCs w:val="18"/>
        </w:rPr>
        <w:t>[Los giros de los recursos que realice la Entidad Estatal deberán realizarse a cuenta de manejo conjunto a nombre del convenio que genere rendimientos financieros y sin posibilidad de sobregiro, en la que no se podrá disponer de los recursos de manera electrónica por el OAC y que requiere para la disposición de los recursos allí depositados de la autorización del Representante Legal del OAC y del Interventor y/o Supervisor de la Entidad Estatal]</w:t>
      </w:r>
    </w:p>
    <w:p w14:paraId="3CD0F9C1" w14:textId="77777777" w:rsidR="000D2BFC" w:rsidRPr="00CD3CEA" w:rsidRDefault="000D2BFC" w:rsidP="000D2BFC">
      <w:pPr>
        <w:shd w:val="clear" w:color="auto" w:fill="BFBFBF" w:themeFill="background1" w:themeFillShade="BF"/>
        <w:spacing w:after="0"/>
        <w:ind w:firstLine="567"/>
        <w:jc w:val="both"/>
        <w:rPr>
          <w:rFonts w:ascii="Century Gothic" w:hAnsi="Century Gothic" w:cs="Arial"/>
          <w:sz w:val="18"/>
          <w:szCs w:val="18"/>
        </w:rPr>
      </w:pPr>
      <w:r w:rsidRPr="00CD3CEA">
        <w:rPr>
          <w:rFonts w:ascii="Century Gothic" w:hAnsi="Century Gothic" w:cs="Arial"/>
          <w:sz w:val="18"/>
          <w:szCs w:val="18"/>
        </w:rPr>
        <w:t>[La Entidad Estatal puede indicar condiciones propias de los giros respecto de la disponibilidad de PAC o Soportes que se requieran de la OAC para efectuar el giro de los recursos.]</w:t>
      </w:r>
    </w:p>
    <w:p w14:paraId="380A388E" w14:textId="77777777" w:rsidR="000D2BFC" w:rsidRPr="00CD3CEA" w:rsidRDefault="000D2BFC" w:rsidP="000D2BFC">
      <w:pPr>
        <w:spacing w:after="0"/>
        <w:ind w:firstLine="567"/>
        <w:jc w:val="both"/>
        <w:rPr>
          <w:rFonts w:ascii="Century Gothic" w:hAnsi="Century Gothic" w:cs="Arial"/>
          <w:b/>
          <w:bCs/>
          <w:sz w:val="18"/>
          <w:szCs w:val="18"/>
        </w:rPr>
      </w:pPr>
      <w:r w:rsidRPr="00CD3CEA">
        <w:rPr>
          <w:rFonts w:ascii="Century Gothic" w:hAnsi="Century Gothic" w:cs="Arial"/>
          <w:b/>
          <w:bCs/>
          <w:sz w:val="18"/>
          <w:szCs w:val="18"/>
        </w:rPr>
        <w:t>Opción 2</w:t>
      </w:r>
    </w:p>
    <w:p w14:paraId="7B287873" w14:textId="77777777" w:rsidR="000D2BFC" w:rsidRPr="00CD3CEA" w:rsidRDefault="000D2BFC" w:rsidP="000D2BFC">
      <w:pPr>
        <w:spacing w:after="0"/>
        <w:ind w:firstLine="567"/>
        <w:jc w:val="both"/>
        <w:rPr>
          <w:rFonts w:ascii="Century Gothic" w:eastAsia="Arial" w:hAnsi="Century Gothic" w:cs="Arial"/>
          <w:sz w:val="18"/>
          <w:szCs w:val="18"/>
          <w:highlight w:val="lightGray"/>
        </w:rPr>
      </w:pPr>
      <w:r w:rsidRPr="00CD3CEA">
        <w:rPr>
          <w:rFonts w:ascii="Century Gothic" w:eastAsia="Arial" w:hAnsi="Century Gothic" w:cs="Arial"/>
          <w:sz w:val="18"/>
          <w:szCs w:val="18"/>
          <w:highlight w:val="lightGray"/>
        </w:rPr>
        <w:t>[Para el giro de los recursos que la entidad destine como aporte, el OAC constituirá un patrimonio autónomo irrevocable a nombre del convenio, cuyo beneficiario sea [Nombre de la entidad], el cual será vigilado por el Interventor y/o Supervisor del contrato. Por consiguiente, ningún pago o gravamen que afecte el aporte realizado por la entidad podrá ser efectuado sin la autorización expresa y escrita del Interventor y/o Supervisor, quien velará así porque todo desembolso del aporte corresponda a gastos del convenio y que estén de acuerdo con el plan de ejecución aprobado por el Interventor y/o Supervisor. El costo de la comisión fiduciaria es asumido dentro de los costos administrativos del convenio. El OAC presentará la respectiva minuta del contrato de fiducia para aprobación previa del Interventor y/o Supervisor.]</w:t>
      </w:r>
    </w:p>
    <w:p w14:paraId="5AA1BDF3" w14:textId="77777777" w:rsidR="000D2BFC" w:rsidRPr="00CD3CEA" w:rsidRDefault="000D2BFC" w:rsidP="000D2BFC">
      <w:pPr>
        <w:shd w:val="clear" w:color="auto" w:fill="BFBFBF" w:themeFill="background1" w:themeFillShade="BF"/>
        <w:spacing w:after="0"/>
        <w:ind w:firstLine="567"/>
        <w:jc w:val="both"/>
        <w:rPr>
          <w:rFonts w:ascii="Century Gothic" w:hAnsi="Century Gothic" w:cs="Arial"/>
          <w:sz w:val="18"/>
          <w:szCs w:val="18"/>
        </w:rPr>
      </w:pPr>
      <w:r w:rsidRPr="00CD3CEA">
        <w:rPr>
          <w:rFonts w:ascii="Century Gothic" w:hAnsi="Century Gothic" w:cs="Arial"/>
          <w:sz w:val="18"/>
          <w:szCs w:val="18"/>
        </w:rPr>
        <w:t>[La Entidad Estatal puede indicar condiciones propias de los giros respecto de la disponibilidad de PAC o Soportes que se requieran de la OAC para efectuar el giro de los recursos]</w:t>
      </w:r>
    </w:p>
    <w:p w14:paraId="0A00FBF5" w14:textId="77777777" w:rsidR="000D2BFC" w:rsidRPr="00CD3CEA" w:rsidRDefault="000D2BFC" w:rsidP="000D2BFC">
      <w:pPr>
        <w:spacing w:after="0"/>
        <w:ind w:firstLine="567"/>
        <w:jc w:val="both"/>
        <w:rPr>
          <w:rFonts w:ascii="Century Gothic" w:hAnsi="Century Gothic" w:cs="Arial"/>
          <w:b/>
          <w:bCs/>
          <w:sz w:val="18"/>
          <w:szCs w:val="18"/>
        </w:rPr>
      </w:pPr>
      <w:r w:rsidRPr="00CD3CEA">
        <w:rPr>
          <w:rFonts w:ascii="Century Gothic" w:hAnsi="Century Gothic" w:cs="Arial"/>
          <w:b/>
          <w:bCs/>
          <w:sz w:val="18"/>
          <w:szCs w:val="18"/>
        </w:rPr>
        <w:t>Opción 3</w:t>
      </w:r>
    </w:p>
    <w:p w14:paraId="62CE8FF6" w14:textId="77777777" w:rsidR="000D2BFC" w:rsidRPr="00CD3CEA" w:rsidRDefault="000D2BFC" w:rsidP="000D2BFC">
      <w:pPr>
        <w:shd w:val="clear" w:color="auto" w:fill="BFBFBF" w:themeFill="background1" w:themeFillShade="BF"/>
        <w:spacing w:after="0"/>
        <w:ind w:firstLine="567"/>
        <w:jc w:val="both"/>
        <w:rPr>
          <w:rFonts w:ascii="Century Gothic" w:hAnsi="Century Gothic" w:cs="Arial"/>
          <w:sz w:val="18"/>
          <w:szCs w:val="18"/>
        </w:rPr>
      </w:pPr>
      <w:r w:rsidRPr="00CD3CEA">
        <w:rPr>
          <w:rFonts w:ascii="Century Gothic" w:hAnsi="Century Gothic" w:cs="Arial"/>
          <w:sz w:val="18"/>
          <w:szCs w:val="18"/>
        </w:rPr>
        <w:t xml:space="preserve">[Los giros de los recursos que realice la Entidad Estatal deberán realizarse a cuenta bancaria a nombre del convenio que genere rendimientos financieros y sin posibilidad de sobregiro, en la que se dispondrá de los recursos únicamente de manera electrónica, por lo cual esta cuenta deberá contar con un mecanismo de autenticación dual, </w:t>
      </w:r>
      <w:r w:rsidRPr="00CD3CEA">
        <w:rPr>
          <w:rFonts w:ascii="Century Gothic" w:eastAsia="Arial" w:hAnsi="Century Gothic" w:cs="Arial"/>
          <w:sz w:val="18"/>
          <w:szCs w:val="18"/>
        </w:rPr>
        <w:t>en el cual, el usuario preparador será asignado al OAC y el usuario aprobador será asignado al</w:t>
      </w:r>
      <w:r w:rsidRPr="00CD3CEA">
        <w:rPr>
          <w:rFonts w:ascii="Century Gothic" w:hAnsi="Century Gothic" w:cs="Arial"/>
          <w:sz w:val="18"/>
          <w:szCs w:val="18"/>
        </w:rPr>
        <w:t xml:space="preserve"> Interventor y/o Supervisor de la Entidad Estatal], por lo cual para cualquier disposición que se realice de los recursos se deberá contar siempre con la aprobación dual.</w:t>
      </w:r>
    </w:p>
    <w:p w14:paraId="2975C5C8" w14:textId="77777777" w:rsidR="000D2BFC" w:rsidRPr="00CD3CEA" w:rsidRDefault="000D2BFC" w:rsidP="000D2BFC">
      <w:pPr>
        <w:shd w:val="clear" w:color="auto" w:fill="BFBFBF" w:themeFill="background1" w:themeFillShade="BF"/>
        <w:spacing w:after="0"/>
        <w:ind w:firstLine="567"/>
        <w:jc w:val="both"/>
        <w:rPr>
          <w:rFonts w:ascii="Century Gothic" w:hAnsi="Century Gothic" w:cs="Arial"/>
          <w:sz w:val="18"/>
          <w:szCs w:val="18"/>
        </w:rPr>
      </w:pPr>
      <w:r w:rsidRPr="00CD3CEA">
        <w:rPr>
          <w:rFonts w:ascii="Century Gothic" w:hAnsi="Century Gothic" w:cs="Arial"/>
          <w:sz w:val="18"/>
          <w:szCs w:val="18"/>
        </w:rPr>
        <w:t>[La Entidad Estatal puede indicar condiciones propias de los giros respecto de la disponibilidad de PAC o Soportes que se requieran de la OAC para efectuar el giro de los recursos]”.</w:t>
      </w:r>
    </w:p>
  </w:footnote>
  <w:footnote w:id="14">
    <w:p w14:paraId="26315556" w14:textId="77777777" w:rsidR="000D2BFC" w:rsidRPr="00A32E07" w:rsidRDefault="000D2BFC" w:rsidP="000D2BFC">
      <w:pPr>
        <w:pStyle w:val="clusulas"/>
        <w:spacing w:before="0" w:after="0"/>
        <w:ind w:left="426"/>
        <w:rPr>
          <w:rFonts w:ascii="Century Gothic" w:hAnsi="Century Gothic" w:cs="Arial"/>
          <w:color w:val="000000" w:themeColor="text1"/>
          <w:sz w:val="18"/>
          <w:szCs w:val="18"/>
          <w:lang w:val="es-ES"/>
        </w:rPr>
      </w:pPr>
      <w:r>
        <w:rPr>
          <w:rStyle w:val="FootnoteReference"/>
        </w:rPr>
        <w:footnoteRef/>
      </w:r>
      <w:r>
        <w:t xml:space="preserve"> </w:t>
      </w:r>
      <w:r w:rsidRPr="00A32E07">
        <w:rPr>
          <w:rFonts w:ascii="Century Gothic" w:hAnsi="Century Gothic" w:cs="Arial"/>
          <w:color w:val="000000" w:themeColor="text1"/>
          <w:sz w:val="18"/>
          <w:szCs w:val="18"/>
          <w:lang w:val="es-ES"/>
        </w:rPr>
        <w:t>Minuta Tipo. […] CLÁUSULA 9. FORMA DE USO Y DISPOSICIÓN DE LOS RECURSOS POR PARTE DEL OAC</w:t>
      </w:r>
    </w:p>
    <w:p w14:paraId="4DA38940" w14:textId="77777777" w:rsidR="000D2BFC" w:rsidRPr="002F59FF" w:rsidRDefault="000D2BFC" w:rsidP="000D2BFC">
      <w:pPr>
        <w:pStyle w:val="clusulas"/>
        <w:numPr>
          <w:ilvl w:val="0"/>
          <w:numId w:val="0"/>
        </w:numPr>
        <w:spacing w:before="0" w:after="0"/>
        <w:ind w:left="426"/>
        <w:rPr>
          <w:rFonts w:ascii="Arial" w:hAnsi="Arial" w:cs="Arial"/>
          <w:sz w:val="22"/>
        </w:rPr>
      </w:pPr>
    </w:p>
    <w:p w14:paraId="15D54142" w14:textId="77777777" w:rsidR="000D2BFC" w:rsidRPr="00A32E07" w:rsidRDefault="000D2BFC" w:rsidP="000D2BFC">
      <w:pPr>
        <w:tabs>
          <w:tab w:val="left" w:pos="1560"/>
        </w:tabs>
        <w:rPr>
          <w:rFonts w:ascii="Century Gothic" w:hAnsi="Century Gothic" w:cs="Arial"/>
          <w:bCs/>
          <w:color w:val="000000" w:themeColor="text1"/>
          <w:sz w:val="18"/>
          <w:szCs w:val="18"/>
          <w:lang w:val="es-ES"/>
        </w:rPr>
      </w:pPr>
      <w:r w:rsidRPr="00A32E07">
        <w:rPr>
          <w:rFonts w:ascii="Century Gothic" w:hAnsi="Century Gothic" w:cs="Arial"/>
          <w:bCs/>
          <w:color w:val="000000" w:themeColor="text1"/>
          <w:sz w:val="18"/>
          <w:szCs w:val="18"/>
          <w:lang w:val="es-ES"/>
        </w:rPr>
        <w:t>Con el fin de cumplir con las obligaciones que se contraigan con terceros en virtud del presente Convenio, para hacer uso y disposición de los recursos aportados por la Entidad Estatal, el OAC deberá como mínimo aportar los siguientes documentos soporte, los cuales a su vez deberán ser validados por el interventor y/o supervisor a fin de ser autorizado el uso de dichos recursos:</w:t>
      </w:r>
    </w:p>
    <w:p w14:paraId="31352EC2" w14:textId="77777777" w:rsidR="000D2BFC" w:rsidRPr="00A32E07" w:rsidRDefault="000D2BFC" w:rsidP="000D2BFC">
      <w:pPr>
        <w:pStyle w:val="ListParagraph"/>
        <w:numPr>
          <w:ilvl w:val="0"/>
          <w:numId w:val="20"/>
        </w:numPr>
        <w:spacing w:after="0" w:line="240" w:lineRule="auto"/>
        <w:ind w:hanging="436"/>
        <w:jc w:val="both"/>
        <w:rPr>
          <w:rFonts w:ascii="Century Gothic" w:hAnsi="Century Gothic" w:cs="Arial"/>
          <w:bCs/>
          <w:color w:val="000000" w:themeColor="text1"/>
          <w:sz w:val="18"/>
          <w:szCs w:val="18"/>
        </w:rPr>
      </w:pPr>
      <w:r w:rsidRPr="00A32E07">
        <w:rPr>
          <w:rFonts w:ascii="Century Gothic" w:hAnsi="Century Gothic" w:cs="Arial"/>
          <w:bCs/>
          <w:color w:val="000000" w:themeColor="text1"/>
          <w:sz w:val="18"/>
          <w:szCs w:val="18"/>
        </w:rPr>
        <w:t>Cuenta de cobro y/o factura emitida por el tercero que realizado el cobro</w:t>
      </w:r>
    </w:p>
    <w:p w14:paraId="604FA1A4" w14:textId="77777777" w:rsidR="000D2BFC" w:rsidRPr="00A32E07" w:rsidRDefault="000D2BFC" w:rsidP="000D2BFC">
      <w:pPr>
        <w:pStyle w:val="ListParagraph"/>
        <w:numPr>
          <w:ilvl w:val="0"/>
          <w:numId w:val="20"/>
        </w:numPr>
        <w:spacing w:after="0" w:line="240" w:lineRule="auto"/>
        <w:ind w:hanging="436"/>
        <w:jc w:val="both"/>
        <w:rPr>
          <w:rFonts w:ascii="Century Gothic" w:hAnsi="Century Gothic" w:cs="Arial"/>
          <w:bCs/>
          <w:color w:val="000000" w:themeColor="text1"/>
          <w:sz w:val="18"/>
          <w:szCs w:val="18"/>
        </w:rPr>
      </w:pPr>
      <w:r w:rsidRPr="00A32E07">
        <w:rPr>
          <w:rFonts w:ascii="Century Gothic" w:hAnsi="Century Gothic" w:cs="Arial"/>
          <w:bCs/>
          <w:color w:val="000000" w:themeColor="text1"/>
          <w:sz w:val="18"/>
          <w:szCs w:val="18"/>
        </w:rPr>
        <w:t>Soporte de pago de seguridad social del prestador del bien o servicio que presenta la cuenta de cobro y/o factura</w:t>
      </w:r>
    </w:p>
    <w:p w14:paraId="69F8F042" w14:textId="77777777" w:rsidR="000D2BFC" w:rsidRPr="00A32E07" w:rsidRDefault="000D2BFC" w:rsidP="000D2BFC">
      <w:pPr>
        <w:pStyle w:val="ListParagraph"/>
        <w:numPr>
          <w:ilvl w:val="0"/>
          <w:numId w:val="20"/>
        </w:numPr>
        <w:spacing w:after="0" w:line="240" w:lineRule="auto"/>
        <w:ind w:hanging="436"/>
        <w:jc w:val="both"/>
        <w:rPr>
          <w:rFonts w:ascii="Century Gothic" w:hAnsi="Century Gothic" w:cs="Arial"/>
          <w:bCs/>
          <w:color w:val="000000" w:themeColor="text1"/>
          <w:sz w:val="18"/>
          <w:szCs w:val="18"/>
        </w:rPr>
      </w:pPr>
      <w:r w:rsidRPr="00A32E07">
        <w:rPr>
          <w:rFonts w:ascii="Century Gothic" w:hAnsi="Century Gothic" w:cs="Arial"/>
          <w:bCs/>
          <w:color w:val="000000" w:themeColor="text1"/>
          <w:sz w:val="18"/>
          <w:szCs w:val="18"/>
        </w:rPr>
        <w:t>Informes parciales o totales de ejecución de las actividades realizadas por el prestador del bien o servicio.</w:t>
      </w:r>
    </w:p>
    <w:p w14:paraId="0E261275" w14:textId="77777777" w:rsidR="000D2BFC" w:rsidRPr="00A32E07" w:rsidRDefault="000D2BFC" w:rsidP="000D2BFC">
      <w:pPr>
        <w:pStyle w:val="ListParagraph"/>
        <w:numPr>
          <w:ilvl w:val="0"/>
          <w:numId w:val="20"/>
        </w:numPr>
        <w:shd w:val="clear" w:color="auto" w:fill="FFFFFF"/>
        <w:tabs>
          <w:tab w:val="left" w:pos="1560"/>
        </w:tabs>
        <w:spacing w:after="0" w:line="240" w:lineRule="auto"/>
        <w:ind w:hanging="436"/>
        <w:jc w:val="both"/>
        <w:textAlignment w:val="baseline"/>
        <w:rPr>
          <w:rFonts w:ascii="Century Gothic" w:hAnsi="Century Gothic" w:cs="Arial"/>
          <w:b/>
          <w:color w:val="000000" w:themeColor="text1"/>
          <w:sz w:val="18"/>
          <w:szCs w:val="18"/>
        </w:rPr>
      </w:pPr>
      <w:r w:rsidRPr="00A32E07">
        <w:rPr>
          <w:rFonts w:ascii="Century Gothic" w:hAnsi="Century Gothic" w:cs="Arial"/>
          <w:bCs/>
          <w:color w:val="000000" w:themeColor="text1"/>
          <w:sz w:val="18"/>
          <w:szCs w:val="18"/>
        </w:rPr>
        <w:t>Certificación de cuenta bancaria o billetera digital a nombre del prestador del bien o servicio a donde se girará el pago</w:t>
      </w:r>
    </w:p>
    <w:p w14:paraId="659EDD5B" w14:textId="77777777" w:rsidR="000D2BFC" w:rsidRPr="00A32E07" w:rsidRDefault="000D2BFC" w:rsidP="000D2BFC">
      <w:pPr>
        <w:pStyle w:val="ListParagraph"/>
        <w:shd w:val="clear" w:color="auto" w:fill="FFFFFF"/>
        <w:tabs>
          <w:tab w:val="left" w:pos="1560"/>
        </w:tabs>
        <w:spacing w:after="0" w:line="240" w:lineRule="auto"/>
        <w:jc w:val="both"/>
        <w:textAlignment w:val="baseline"/>
        <w:rPr>
          <w:rFonts w:ascii="Century Gothic" w:hAnsi="Century Gothic" w:cs="Arial"/>
          <w:b/>
          <w:color w:val="000000" w:themeColor="text1"/>
          <w:sz w:val="18"/>
          <w:szCs w:val="18"/>
        </w:rPr>
      </w:pPr>
    </w:p>
    <w:p w14:paraId="1A9ED782" w14:textId="77777777" w:rsidR="000D2BFC" w:rsidRDefault="000D2BFC" w:rsidP="000D2BFC">
      <w:pPr>
        <w:pStyle w:val="clusulas"/>
        <w:numPr>
          <w:ilvl w:val="0"/>
          <w:numId w:val="0"/>
        </w:numPr>
        <w:spacing w:before="0" w:after="0"/>
        <w:ind w:left="567"/>
      </w:pPr>
      <w:r w:rsidRPr="00A32E07">
        <w:rPr>
          <w:rFonts w:ascii="Century Gothic" w:eastAsia="Arial" w:hAnsi="Century Gothic" w:cs="Arial"/>
          <w:b w:val="0"/>
          <w:sz w:val="18"/>
          <w:szCs w:val="18"/>
          <w:highlight w:val="lightGray"/>
        </w:rPr>
        <w:t>[La Entidad Estatal podrá incluir documentos soporte adicionales con los que se contraste la prestación efectiva de un bien o servicio por parte de terceros con cargo a los aportes del convenio</w:t>
      </w:r>
      <w:r w:rsidRPr="570DDA35">
        <w:rPr>
          <w:rFonts w:ascii="Arial" w:hAnsi="Arial" w:cs="Arial"/>
          <w:sz w:val="22"/>
          <w:highlight w:val="lightGra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Header"/>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Header"/>
    </w:pPr>
  </w:p>
  <w:p w14:paraId="1BE2B9AE" w14:textId="4B94DB3B" w:rsidR="00756841" w:rsidRDefault="00756841">
    <w:pPr>
      <w:pStyle w:val="Header"/>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ECE7268"/>
    <w:multiLevelType w:val="multilevel"/>
    <w:tmpl w:val="09345104"/>
    <w:lvl w:ilvl="0">
      <w:start w:val="1"/>
      <w:numFmt w:val="upperRoman"/>
      <w:lvlText w:val="%1."/>
      <w:lvlJc w:val="righ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020B52"/>
    <w:multiLevelType w:val="hybridMultilevel"/>
    <w:tmpl w:val="8FA2D614"/>
    <w:lvl w:ilvl="0" w:tplc="8F40252C">
      <w:start w:val="1"/>
      <w:numFmt w:val="decimal"/>
      <w:lvlText w:val="%1."/>
      <w:lvlJc w:val="left"/>
      <w:pPr>
        <w:ind w:left="520" w:hanging="360"/>
      </w:pPr>
      <w:rPr>
        <w:rFonts w:hint="default"/>
      </w:rPr>
    </w:lvl>
    <w:lvl w:ilvl="1" w:tplc="240A0019" w:tentative="1">
      <w:start w:val="1"/>
      <w:numFmt w:val="lowerLetter"/>
      <w:lvlText w:val="%2."/>
      <w:lvlJc w:val="left"/>
      <w:pPr>
        <w:ind w:left="1240" w:hanging="360"/>
      </w:pPr>
    </w:lvl>
    <w:lvl w:ilvl="2" w:tplc="240A001B" w:tentative="1">
      <w:start w:val="1"/>
      <w:numFmt w:val="lowerRoman"/>
      <w:lvlText w:val="%3."/>
      <w:lvlJc w:val="right"/>
      <w:pPr>
        <w:ind w:left="1960" w:hanging="180"/>
      </w:pPr>
    </w:lvl>
    <w:lvl w:ilvl="3" w:tplc="240A000F" w:tentative="1">
      <w:start w:val="1"/>
      <w:numFmt w:val="decimal"/>
      <w:lvlText w:val="%4."/>
      <w:lvlJc w:val="left"/>
      <w:pPr>
        <w:ind w:left="2680" w:hanging="360"/>
      </w:pPr>
    </w:lvl>
    <w:lvl w:ilvl="4" w:tplc="240A0019" w:tentative="1">
      <w:start w:val="1"/>
      <w:numFmt w:val="lowerLetter"/>
      <w:lvlText w:val="%5."/>
      <w:lvlJc w:val="left"/>
      <w:pPr>
        <w:ind w:left="3400" w:hanging="360"/>
      </w:pPr>
    </w:lvl>
    <w:lvl w:ilvl="5" w:tplc="240A001B" w:tentative="1">
      <w:start w:val="1"/>
      <w:numFmt w:val="lowerRoman"/>
      <w:lvlText w:val="%6."/>
      <w:lvlJc w:val="right"/>
      <w:pPr>
        <w:ind w:left="4120" w:hanging="180"/>
      </w:pPr>
    </w:lvl>
    <w:lvl w:ilvl="6" w:tplc="240A000F" w:tentative="1">
      <w:start w:val="1"/>
      <w:numFmt w:val="decimal"/>
      <w:lvlText w:val="%7."/>
      <w:lvlJc w:val="left"/>
      <w:pPr>
        <w:ind w:left="4840" w:hanging="360"/>
      </w:pPr>
    </w:lvl>
    <w:lvl w:ilvl="7" w:tplc="240A0019" w:tentative="1">
      <w:start w:val="1"/>
      <w:numFmt w:val="lowerLetter"/>
      <w:lvlText w:val="%8."/>
      <w:lvlJc w:val="left"/>
      <w:pPr>
        <w:ind w:left="5560" w:hanging="360"/>
      </w:pPr>
    </w:lvl>
    <w:lvl w:ilvl="8" w:tplc="240A001B" w:tentative="1">
      <w:start w:val="1"/>
      <w:numFmt w:val="lowerRoman"/>
      <w:lvlText w:val="%9."/>
      <w:lvlJc w:val="right"/>
      <w:pPr>
        <w:ind w:left="62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E379C"/>
    <w:multiLevelType w:val="hybridMultilevel"/>
    <w:tmpl w:val="C972937E"/>
    <w:lvl w:ilvl="0" w:tplc="BB62418C">
      <w:start w:val="1"/>
      <w:numFmt w:val="decimal"/>
      <w:pStyle w:val="clusulas"/>
      <w:lvlText w:val="CLÁUSULA %1."/>
      <w:lvlJc w:val="left"/>
      <w:pPr>
        <w:ind w:left="360" w:hanging="360"/>
      </w:pPr>
      <w:rPr>
        <w:rFonts w:hint="default"/>
        <w:b/>
        <w:color w:val="auto"/>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397F2C"/>
    <w:multiLevelType w:val="hybridMultilevel"/>
    <w:tmpl w:val="A278839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9529942">
    <w:abstractNumId w:val="9"/>
  </w:num>
  <w:num w:numId="2" w16cid:durableId="1797991553">
    <w:abstractNumId w:val="2"/>
  </w:num>
  <w:num w:numId="3" w16cid:durableId="943149611">
    <w:abstractNumId w:val="7"/>
  </w:num>
  <w:num w:numId="4" w16cid:durableId="1073812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151871">
    <w:abstractNumId w:val="2"/>
  </w:num>
  <w:num w:numId="6" w16cid:durableId="482893952">
    <w:abstractNumId w:val="15"/>
  </w:num>
  <w:num w:numId="7" w16cid:durableId="2011255152">
    <w:abstractNumId w:val="8"/>
  </w:num>
  <w:num w:numId="8" w16cid:durableId="160659547">
    <w:abstractNumId w:val="14"/>
  </w:num>
  <w:num w:numId="9" w16cid:durableId="771903632">
    <w:abstractNumId w:val="10"/>
  </w:num>
  <w:num w:numId="10" w16cid:durableId="411633010">
    <w:abstractNumId w:val="13"/>
  </w:num>
  <w:num w:numId="11" w16cid:durableId="781801248">
    <w:abstractNumId w:val="11"/>
  </w:num>
  <w:num w:numId="12" w16cid:durableId="1618877396">
    <w:abstractNumId w:val="1"/>
  </w:num>
  <w:num w:numId="13" w16cid:durableId="1455447019">
    <w:abstractNumId w:val="5"/>
  </w:num>
  <w:num w:numId="14" w16cid:durableId="538318666">
    <w:abstractNumId w:val="16"/>
  </w:num>
  <w:num w:numId="15" w16cid:durableId="1948001818">
    <w:abstractNumId w:val="12"/>
  </w:num>
  <w:num w:numId="16" w16cid:durableId="1491629777">
    <w:abstractNumId w:val="0"/>
  </w:num>
  <w:num w:numId="17" w16cid:durableId="501513736">
    <w:abstractNumId w:val="4"/>
  </w:num>
  <w:num w:numId="18" w16cid:durableId="989401195">
    <w:abstractNumId w:val="6"/>
  </w:num>
  <w:num w:numId="19" w16cid:durableId="293603660">
    <w:abstractNumId w:val="17"/>
  </w:num>
  <w:num w:numId="20" w16cid:durableId="1719357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360A7"/>
    <w:rsid w:val="00061B2A"/>
    <w:rsid w:val="00082362"/>
    <w:rsid w:val="000A683E"/>
    <w:rsid w:val="000B19B9"/>
    <w:rsid w:val="000D0334"/>
    <w:rsid w:val="000D2BFC"/>
    <w:rsid w:val="000E6002"/>
    <w:rsid w:val="000F6486"/>
    <w:rsid w:val="00121A43"/>
    <w:rsid w:val="00125105"/>
    <w:rsid w:val="00127233"/>
    <w:rsid w:val="001965E9"/>
    <w:rsid w:val="001A04D5"/>
    <w:rsid w:val="001D13C1"/>
    <w:rsid w:val="001E4177"/>
    <w:rsid w:val="001F7DC6"/>
    <w:rsid w:val="002414CE"/>
    <w:rsid w:val="002421BB"/>
    <w:rsid w:val="002529E6"/>
    <w:rsid w:val="002707A2"/>
    <w:rsid w:val="002951A0"/>
    <w:rsid w:val="002962BC"/>
    <w:rsid w:val="002A093D"/>
    <w:rsid w:val="002A0DD0"/>
    <w:rsid w:val="002A49AC"/>
    <w:rsid w:val="002A64FD"/>
    <w:rsid w:val="002C7A84"/>
    <w:rsid w:val="002D1BB9"/>
    <w:rsid w:val="002E4FD9"/>
    <w:rsid w:val="00322A85"/>
    <w:rsid w:val="0033703F"/>
    <w:rsid w:val="003448F4"/>
    <w:rsid w:val="003474A3"/>
    <w:rsid w:val="00374F5E"/>
    <w:rsid w:val="00377E3E"/>
    <w:rsid w:val="00383779"/>
    <w:rsid w:val="003A779E"/>
    <w:rsid w:val="003D0F4D"/>
    <w:rsid w:val="003D5B0D"/>
    <w:rsid w:val="003E0499"/>
    <w:rsid w:val="003E1F8D"/>
    <w:rsid w:val="003F3941"/>
    <w:rsid w:val="00406575"/>
    <w:rsid w:val="0042722E"/>
    <w:rsid w:val="004368FD"/>
    <w:rsid w:val="004A1847"/>
    <w:rsid w:val="004A305D"/>
    <w:rsid w:val="004B36CC"/>
    <w:rsid w:val="004F21C4"/>
    <w:rsid w:val="004F685F"/>
    <w:rsid w:val="005424E2"/>
    <w:rsid w:val="005566E8"/>
    <w:rsid w:val="00574867"/>
    <w:rsid w:val="00591460"/>
    <w:rsid w:val="005A2340"/>
    <w:rsid w:val="005C0F18"/>
    <w:rsid w:val="005C3777"/>
    <w:rsid w:val="005C5CDC"/>
    <w:rsid w:val="005D476C"/>
    <w:rsid w:val="005F30A9"/>
    <w:rsid w:val="006219F8"/>
    <w:rsid w:val="00632EF5"/>
    <w:rsid w:val="00665D70"/>
    <w:rsid w:val="006900D9"/>
    <w:rsid w:val="006E0C8A"/>
    <w:rsid w:val="006E4DEB"/>
    <w:rsid w:val="00706C16"/>
    <w:rsid w:val="007175D2"/>
    <w:rsid w:val="00756841"/>
    <w:rsid w:val="007649AB"/>
    <w:rsid w:val="00771D0C"/>
    <w:rsid w:val="007833AC"/>
    <w:rsid w:val="007845D3"/>
    <w:rsid w:val="007B268C"/>
    <w:rsid w:val="007B7171"/>
    <w:rsid w:val="007C3DC2"/>
    <w:rsid w:val="007E5497"/>
    <w:rsid w:val="00806F5F"/>
    <w:rsid w:val="00820278"/>
    <w:rsid w:val="00871EA9"/>
    <w:rsid w:val="008843B6"/>
    <w:rsid w:val="00891928"/>
    <w:rsid w:val="0089668E"/>
    <w:rsid w:val="008A446D"/>
    <w:rsid w:val="008D180B"/>
    <w:rsid w:val="008F0EA7"/>
    <w:rsid w:val="00923EEF"/>
    <w:rsid w:val="009419F9"/>
    <w:rsid w:val="00961B09"/>
    <w:rsid w:val="00965334"/>
    <w:rsid w:val="0097093E"/>
    <w:rsid w:val="00972520"/>
    <w:rsid w:val="00973889"/>
    <w:rsid w:val="009A6976"/>
    <w:rsid w:val="009B14BB"/>
    <w:rsid w:val="009C71FA"/>
    <w:rsid w:val="009C72E7"/>
    <w:rsid w:val="009D0839"/>
    <w:rsid w:val="009D24BA"/>
    <w:rsid w:val="009D4E4C"/>
    <w:rsid w:val="009F3A13"/>
    <w:rsid w:val="00A122D3"/>
    <w:rsid w:val="00A17F13"/>
    <w:rsid w:val="00A20739"/>
    <w:rsid w:val="00A33C78"/>
    <w:rsid w:val="00AA7300"/>
    <w:rsid w:val="00AB02C6"/>
    <w:rsid w:val="00AB0ADB"/>
    <w:rsid w:val="00AB6921"/>
    <w:rsid w:val="00AC5A4A"/>
    <w:rsid w:val="00AD0D0A"/>
    <w:rsid w:val="00B048B3"/>
    <w:rsid w:val="00B72CD3"/>
    <w:rsid w:val="00B72FFF"/>
    <w:rsid w:val="00BC3D36"/>
    <w:rsid w:val="00BD7F72"/>
    <w:rsid w:val="00C04FB3"/>
    <w:rsid w:val="00C330EB"/>
    <w:rsid w:val="00C633A0"/>
    <w:rsid w:val="00C754BE"/>
    <w:rsid w:val="00C76B1C"/>
    <w:rsid w:val="00CB6357"/>
    <w:rsid w:val="00CB7225"/>
    <w:rsid w:val="00CC1B26"/>
    <w:rsid w:val="00CD4276"/>
    <w:rsid w:val="00D11993"/>
    <w:rsid w:val="00D21B83"/>
    <w:rsid w:val="00D423A2"/>
    <w:rsid w:val="00D46808"/>
    <w:rsid w:val="00D63AC2"/>
    <w:rsid w:val="00D7383B"/>
    <w:rsid w:val="00DA231B"/>
    <w:rsid w:val="00DA7B0C"/>
    <w:rsid w:val="00DB62E3"/>
    <w:rsid w:val="00DF5254"/>
    <w:rsid w:val="00E16408"/>
    <w:rsid w:val="00E20894"/>
    <w:rsid w:val="00E245AB"/>
    <w:rsid w:val="00E2764C"/>
    <w:rsid w:val="00E27F2E"/>
    <w:rsid w:val="00E50AFE"/>
    <w:rsid w:val="00E771DC"/>
    <w:rsid w:val="00E854EC"/>
    <w:rsid w:val="00E8772A"/>
    <w:rsid w:val="00E90807"/>
    <w:rsid w:val="00E90F6B"/>
    <w:rsid w:val="00E92C27"/>
    <w:rsid w:val="00E97D30"/>
    <w:rsid w:val="00EA0E3D"/>
    <w:rsid w:val="00EE1AA8"/>
    <w:rsid w:val="00F3062E"/>
    <w:rsid w:val="00F31EDC"/>
    <w:rsid w:val="00F462B3"/>
    <w:rsid w:val="00F5664F"/>
    <w:rsid w:val="00F666C4"/>
    <w:rsid w:val="00F76AFC"/>
    <w:rsid w:val="00FB5DD1"/>
    <w:rsid w:val="00FC2B5D"/>
    <w:rsid w:val="00FF1449"/>
    <w:rsid w:val="00FF4750"/>
    <w:rsid w:val="5FA28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link w:val="NormalWebCh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table" w:customStyle="1" w:styleId="2">
    <w:name w:val="2"/>
    <w:basedOn w:val="TableNormal"/>
    <w:rsid w:val="000D2BFC"/>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customStyle="1" w:styleId="Appelnotedebasde">
    <w:name w:val="Appel note de bas de..."/>
    <w:basedOn w:val="Normal"/>
    <w:link w:val="FootnoteReference"/>
    <w:uiPriority w:val="99"/>
    <w:rsid w:val="000D2BFC"/>
    <w:pPr>
      <w:spacing w:line="240" w:lineRule="exact"/>
    </w:pPr>
    <w:rPr>
      <w:vertAlign w:val="superscript"/>
    </w:rPr>
  </w:style>
  <w:style w:type="character" w:customStyle="1" w:styleId="NormalWebChar">
    <w:name w:val="Normal (Web) Char"/>
    <w:link w:val="NormalWeb"/>
    <w:uiPriority w:val="99"/>
    <w:rsid w:val="000D2BFC"/>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0D2BFC"/>
    <w:rPr>
      <w:b/>
      <w:bCs/>
    </w:rPr>
  </w:style>
  <w:style w:type="paragraph" w:styleId="BodyText">
    <w:name w:val="Body Text"/>
    <w:basedOn w:val="Normal"/>
    <w:link w:val="BodyTextChar"/>
    <w:uiPriority w:val="1"/>
    <w:qFormat/>
    <w:rsid w:val="000D2BFC"/>
    <w:pPr>
      <w:widowControl w:val="0"/>
      <w:autoSpaceDE w:val="0"/>
      <w:autoSpaceDN w:val="0"/>
      <w:spacing w:after="0" w:line="240" w:lineRule="auto"/>
    </w:pPr>
    <w:rPr>
      <w:rFonts w:ascii="Arial MT" w:eastAsia="Arial MT" w:hAnsi="Arial MT" w:cs="Arial MT"/>
      <w:lang w:val="es-ES"/>
    </w:rPr>
  </w:style>
  <w:style w:type="character" w:customStyle="1" w:styleId="BodyTextChar">
    <w:name w:val="Body Text Char"/>
    <w:basedOn w:val="DefaultParagraphFont"/>
    <w:link w:val="BodyText"/>
    <w:uiPriority w:val="1"/>
    <w:rsid w:val="000D2BFC"/>
    <w:rPr>
      <w:rFonts w:ascii="Arial MT" w:eastAsia="Arial MT" w:hAnsi="Arial MT" w:cs="Arial MT"/>
      <w:lang w:val="es-ES"/>
    </w:rPr>
  </w:style>
  <w:style w:type="paragraph" w:customStyle="1" w:styleId="clusulas">
    <w:name w:val="cláusulas"/>
    <w:basedOn w:val="Normal"/>
    <w:qFormat/>
    <w:rsid w:val="000D2BFC"/>
    <w:pPr>
      <w:numPr>
        <w:numId w:val="18"/>
      </w:numPr>
      <w:spacing w:before="120" w:after="120" w:line="240" w:lineRule="auto"/>
      <w:jc w:val="both"/>
    </w:pPr>
    <w:rPr>
      <w:b/>
      <w:sz w:val="20"/>
    </w:rPr>
  </w:style>
  <w:style w:type="character" w:customStyle="1" w:styleId="ListParagraphChar">
    <w:name w:val="List Paragraph Char"/>
    <w:aliases w:val="HOJA Char,Bolita Char,Párrafo de lista4 Char,BOLADEF Char,Párrafo de lista3 Char,Párrafo de lista21 Char,BOLA Char,Nivel 1 OS Char,Colorful List Accent 1 Char,Colorful List - Accent 11 Char,TITULO 2_CR Char,Viñeta 6 Char,Ha Char"/>
    <w:basedOn w:val="DefaultParagraphFont"/>
    <w:link w:val="ListParagraph"/>
    <w:uiPriority w:val="34"/>
    <w:qFormat/>
    <w:rsid w:val="000D2BFC"/>
    <w:rPr>
      <w:rFonts w:ascii="Geomanist Light" w:hAnsi="Geomanist Light"/>
      <w:lang w:val="es-ES"/>
    </w:rPr>
  </w:style>
  <w:style w:type="character" w:styleId="CommentReference">
    <w:name w:val="annotation reference"/>
    <w:basedOn w:val="DefaultParagraphFont"/>
    <w:uiPriority w:val="99"/>
    <w:semiHidden/>
    <w:unhideWhenUsed/>
    <w:rsid w:val="00AB6921"/>
    <w:rPr>
      <w:sz w:val="16"/>
      <w:szCs w:val="16"/>
    </w:rPr>
  </w:style>
  <w:style w:type="paragraph" w:styleId="CommentText">
    <w:name w:val="annotation text"/>
    <w:basedOn w:val="Normal"/>
    <w:link w:val="CommentTextChar"/>
    <w:uiPriority w:val="99"/>
    <w:unhideWhenUsed/>
    <w:rsid w:val="00AB6921"/>
    <w:pPr>
      <w:spacing w:line="240" w:lineRule="auto"/>
    </w:pPr>
    <w:rPr>
      <w:sz w:val="20"/>
      <w:szCs w:val="20"/>
    </w:rPr>
  </w:style>
  <w:style w:type="character" w:customStyle="1" w:styleId="CommentTextChar">
    <w:name w:val="Comment Text Char"/>
    <w:basedOn w:val="DefaultParagraphFont"/>
    <w:link w:val="CommentText"/>
    <w:uiPriority w:val="99"/>
    <w:rsid w:val="00AB6921"/>
    <w:rPr>
      <w:sz w:val="20"/>
      <w:szCs w:val="20"/>
    </w:rPr>
  </w:style>
  <w:style w:type="paragraph" w:styleId="CommentSubject">
    <w:name w:val="annotation subject"/>
    <w:basedOn w:val="CommentText"/>
    <w:next w:val="CommentText"/>
    <w:link w:val="CommentSubjectChar"/>
    <w:uiPriority w:val="99"/>
    <w:semiHidden/>
    <w:unhideWhenUsed/>
    <w:rsid w:val="00AB6921"/>
    <w:rPr>
      <w:b/>
      <w:bCs/>
    </w:rPr>
  </w:style>
  <w:style w:type="character" w:customStyle="1" w:styleId="CommentSubjectChar">
    <w:name w:val="Comment Subject Char"/>
    <w:basedOn w:val="CommentTextChar"/>
    <w:link w:val="CommentSubject"/>
    <w:uiPriority w:val="99"/>
    <w:semiHidden/>
    <w:rsid w:val="00AB6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lombiacompra.gov.co/sites/cce_public/files/files_2020/02._resolucion_358_de_2023_dt_-_convenios_solidario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cabc2350-70b2-4dba-bb42-96a3175f4d5a"/>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8ae15d26-076e-464e-81a7-6f76a0fb3917"/>
    <ds:schemaRef ds:uri="http://www.w3.org/XML/1998/namespace"/>
    <ds:schemaRef ds:uri="http://purl.org/dc/dcmitype/"/>
  </ds:schemaRefs>
</ds:datastoreItem>
</file>

<file path=customXml/itemProps2.xml><?xml version="1.0" encoding="utf-8"?>
<ds:datastoreItem xmlns:ds="http://schemas.openxmlformats.org/officeDocument/2006/customXml" ds:itemID="{0A774A84-B382-4A57-A4A0-4EBCE4C7869D}"/>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6029</Words>
  <Characters>33164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Mariana Triana</cp:lastModifiedBy>
  <cp:revision>2</cp:revision>
  <cp:lastPrinted>2023-01-10T21:18:00Z</cp:lastPrinted>
  <dcterms:created xsi:type="dcterms:W3CDTF">2023-10-11T20:56:00Z</dcterms:created>
  <dcterms:modified xsi:type="dcterms:W3CDTF">2023-10-11T20:56:00Z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