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14CC" w14:textId="77777777" w:rsidR="00490794" w:rsidRPr="00D82A1E" w:rsidRDefault="00490794" w:rsidP="00490794">
      <w:pPr>
        <w:spacing w:after="0" w:line="240" w:lineRule="auto"/>
        <w:ind w:right="102"/>
        <w:jc w:val="both"/>
        <w:rPr>
          <w:rFonts w:ascii="Century Gothic" w:eastAsiaTheme="minorEastAsia" w:hAnsi="Century Gothic" w:cs="Arial"/>
          <w:b/>
          <w:lang w:val="es-ES_tradnl" w:eastAsia="es-CO"/>
        </w:rPr>
      </w:pPr>
      <w:bookmarkStart w:id="0" w:name="_Hlk94281581"/>
      <w:bookmarkStart w:id="1" w:name="_Hlk102489058"/>
      <w:bookmarkStart w:id="2" w:name="_Hlk34951122"/>
      <w:r w:rsidRPr="00D82A1E">
        <w:rPr>
          <w:rFonts w:ascii="Century Gothic" w:eastAsiaTheme="minorEastAsia" w:hAnsi="Century Gothic" w:cs="Arial"/>
          <w:b/>
          <w:lang w:val="es-ES_tradnl" w:eastAsia="es-CO"/>
        </w:rPr>
        <w:t xml:space="preserve">DECRETO 092 DE 2017 – Finalidad – Clases de contratos </w:t>
      </w:r>
    </w:p>
    <w:p w14:paraId="7199A096" w14:textId="77777777" w:rsidR="00490794" w:rsidRPr="00D82A1E" w:rsidRDefault="00490794" w:rsidP="00490794">
      <w:pPr>
        <w:spacing w:after="0" w:line="240" w:lineRule="auto"/>
        <w:ind w:right="102"/>
        <w:jc w:val="both"/>
        <w:rPr>
          <w:rFonts w:ascii="Century Gothic" w:eastAsiaTheme="minorEastAsia" w:hAnsi="Century Gothic" w:cs="Arial"/>
          <w:sz w:val="20"/>
          <w:szCs w:val="20"/>
          <w:lang w:val="es-ES_tradnl" w:eastAsia="es-CO"/>
        </w:rPr>
      </w:pPr>
    </w:p>
    <w:p w14:paraId="2DB28976" w14:textId="77777777" w:rsidR="00490794" w:rsidRPr="00D82A1E" w:rsidRDefault="00490794" w:rsidP="00490794">
      <w:pPr>
        <w:spacing w:after="0" w:line="240" w:lineRule="auto"/>
        <w:jc w:val="both"/>
        <w:rPr>
          <w:rFonts w:ascii="Century Gothic" w:eastAsia="Arial" w:hAnsi="Century Gothic" w:cs="Arial"/>
          <w:sz w:val="20"/>
          <w:szCs w:val="20"/>
          <w:lang w:val="es-ES_tradnl"/>
        </w:rPr>
      </w:pPr>
      <w:r w:rsidRPr="00D82A1E">
        <w:rPr>
          <w:rFonts w:ascii="Century Gothic" w:eastAsia="Arial" w:hAnsi="Century Gothic" w:cs="Arial"/>
          <w:sz w:val="20"/>
          <w:szCs w:val="20"/>
          <w:lang w:val="es-ES_tradnl"/>
        </w:rPr>
        <w:t>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w:t>
      </w:r>
    </w:p>
    <w:p w14:paraId="35504E28" w14:textId="77777777" w:rsidR="00490794" w:rsidRPr="00D82A1E" w:rsidRDefault="00490794" w:rsidP="00490794">
      <w:pPr>
        <w:spacing w:after="0" w:line="240" w:lineRule="auto"/>
        <w:jc w:val="both"/>
        <w:rPr>
          <w:rFonts w:ascii="Century Gothic" w:eastAsia="Calibri" w:hAnsi="Century Gothic" w:cs="Arial"/>
          <w:b/>
          <w:lang w:val="es-ES_tradnl"/>
        </w:rPr>
      </w:pPr>
    </w:p>
    <w:p w14:paraId="64D329A6" w14:textId="77777777" w:rsidR="00490794" w:rsidRPr="00D82A1E" w:rsidRDefault="00490794" w:rsidP="00490794">
      <w:pPr>
        <w:spacing w:after="0" w:line="240" w:lineRule="auto"/>
        <w:jc w:val="both"/>
        <w:rPr>
          <w:rFonts w:ascii="Century Gothic" w:eastAsia="Calibri" w:hAnsi="Century Gothic" w:cs="Arial"/>
          <w:b/>
          <w:lang w:val="es-ES_tradnl"/>
        </w:rPr>
      </w:pPr>
      <w:r w:rsidRPr="00D82A1E">
        <w:rPr>
          <w:rFonts w:ascii="Century Gothic" w:eastAsia="Calibri" w:hAnsi="Century Gothic" w:cs="Arial"/>
          <w:b/>
          <w:lang w:val="es-ES_tradnl"/>
        </w:rPr>
        <w:t xml:space="preserve">CONTRATACIÓN CON ESAL – Contrato de colaboración – Objeto – Alcance </w:t>
      </w:r>
    </w:p>
    <w:p w14:paraId="13F1AC56" w14:textId="77777777" w:rsidR="00490794" w:rsidRPr="00D82A1E" w:rsidRDefault="00490794" w:rsidP="00490794">
      <w:pPr>
        <w:spacing w:after="0" w:line="240" w:lineRule="auto"/>
        <w:jc w:val="both"/>
        <w:rPr>
          <w:rFonts w:ascii="Century Gothic" w:eastAsia="Calibri" w:hAnsi="Century Gothic" w:cs="Arial"/>
          <w:bCs/>
          <w:sz w:val="20"/>
          <w:szCs w:val="20"/>
          <w:lang w:val="es-ES_tradnl"/>
        </w:rPr>
      </w:pPr>
    </w:p>
    <w:p w14:paraId="396D095A" w14:textId="77777777" w:rsidR="00490794" w:rsidRPr="00D82A1E" w:rsidRDefault="00490794" w:rsidP="00490794">
      <w:pPr>
        <w:spacing w:after="0" w:line="240" w:lineRule="auto"/>
        <w:jc w:val="both"/>
        <w:rPr>
          <w:rFonts w:ascii="Century Gothic" w:hAnsi="Century Gothic" w:cs="Arial"/>
          <w:sz w:val="20"/>
          <w:szCs w:val="20"/>
          <w:lang w:val="es-ES_tradnl"/>
        </w:rPr>
      </w:pPr>
      <w:r w:rsidRPr="00D82A1E">
        <w:rPr>
          <w:rFonts w:ascii="Century Gothic" w:hAnsi="Century Gothic" w:cs="Arial"/>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14:paraId="270C9EAF" w14:textId="77777777" w:rsidR="00490794" w:rsidRPr="00D82A1E" w:rsidRDefault="00490794" w:rsidP="00490794">
      <w:pPr>
        <w:spacing w:after="0" w:line="240" w:lineRule="auto"/>
        <w:jc w:val="both"/>
        <w:rPr>
          <w:rFonts w:ascii="Century Gothic" w:hAnsi="Century Gothic" w:cs="Arial"/>
          <w:sz w:val="21"/>
          <w:szCs w:val="21"/>
          <w:lang w:val="es-ES_tradnl"/>
        </w:rPr>
      </w:pPr>
    </w:p>
    <w:p w14:paraId="2A306303" w14:textId="77777777" w:rsidR="00490794" w:rsidRPr="00D82A1E" w:rsidRDefault="00490794" w:rsidP="00490794">
      <w:pPr>
        <w:spacing w:after="0" w:line="240" w:lineRule="auto"/>
        <w:jc w:val="both"/>
        <w:rPr>
          <w:rFonts w:ascii="Century Gothic" w:eastAsia="Calibri" w:hAnsi="Century Gothic" w:cs="Arial"/>
          <w:b/>
          <w:lang w:val="es-ES_tradnl"/>
        </w:rPr>
      </w:pPr>
      <w:bookmarkStart w:id="3" w:name="_Hlk109118876"/>
      <w:r w:rsidRPr="00D82A1E">
        <w:rPr>
          <w:rFonts w:ascii="Century Gothic" w:eastAsia="Calibri" w:hAnsi="Century Gothic" w:cs="Arial"/>
          <w:b/>
          <w:lang w:val="es-ES_tradnl"/>
        </w:rPr>
        <w:t>CONTRATACIÓN CON ESAL –</w:t>
      </w:r>
      <w:bookmarkEnd w:id="3"/>
      <w:r w:rsidRPr="00D82A1E">
        <w:rPr>
          <w:rFonts w:ascii="Century Gothic" w:eastAsia="Calibri" w:hAnsi="Century Gothic" w:cs="Arial"/>
          <w:b/>
          <w:lang w:val="es-ES_tradnl"/>
        </w:rPr>
        <w:t xml:space="preserve"> Contrato de asociación – Objeto – Alcance </w:t>
      </w:r>
    </w:p>
    <w:p w14:paraId="1D532FDA" w14:textId="77777777" w:rsidR="00490794" w:rsidRPr="00D82A1E" w:rsidRDefault="00490794" w:rsidP="00490794">
      <w:pPr>
        <w:spacing w:after="0" w:line="240" w:lineRule="auto"/>
        <w:jc w:val="both"/>
        <w:rPr>
          <w:rFonts w:ascii="Century Gothic" w:eastAsia="Calibri" w:hAnsi="Century Gothic" w:cs="Arial"/>
          <w:b/>
          <w:lang w:val="es-ES_tradnl"/>
        </w:rPr>
      </w:pPr>
    </w:p>
    <w:p w14:paraId="1B5F75CB" w14:textId="77777777" w:rsidR="00490794" w:rsidRPr="00D82A1E" w:rsidRDefault="00490794" w:rsidP="00490794">
      <w:pPr>
        <w:spacing w:after="0" w:line="240" w:lineRule="auto"/>
        <w:jc w:val="both"/>
        <w:rPr>
          <w:rFonts w:ascii="Century Gothic" w:hAnsi="Century Gothic" w:cs="Arial"/>
          <w:sz w:val="20"/>
          <w:szCs w:val="20"/>
          <w:lang w:val="es-ES_tradnl"/>
        </w:rPr>
      </w:pPr>
      <w:r w:rsidRPr="00D82A1E">
        <w:rPr>
          <w:rFonts w:ascii="Century Gothic" w:hAnsi="Century Gothic" w:cs="Arial"/>
          <w:sz w:val="20"/>
          <w:szCs w:val="20"/>
          <w:lang w:val="es-ES_tradnl"/>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3836BE0B" w14:textId="77777777" w:rsidR="00490794" w:rsidRPr="00D82A1E" w:rsidRDefault="00490794" w:rsidP="00490794">
      <w:pPr>
        <w:spacing w:after="0" w:line="240" w:lineRule="auto"/>
        <w:jc w:val="both"/>
        <w:rPr>
          <w:rFonts w:ascii="Century Gothic" w:hAnsi="Century Gothic" w:cs="Arial"/>
          <w:sz w:val="20"/>
          <w:szCs w:val="20"/>
          <w:lang w:val="es-ES_tradnl"/>
        </w:rPr>
      </w:pPr>
    </w:p>
    <w:p w14:paraId="272588E9" w14:textId="77777777" w:rsidR="00490794" w:rsidRPr="00D82A1E" w:rsidRDefault="00490794" w:rsidP="00490794">
      <w:pPr>
        <w:spacing w:after="0" w:line="240" w:lineRule="auto"/>
        <w:jc w:val="both"/>
        <w:rPr>
          <w:rFonts w:ascii="Century Gothic" w:eastAsia="Calibri" w:hAnsi="Century Gothic" w:cs="Arial"/>
          <w:b/>
          <w:lang w:val="es-ES_tradnl"/>
        </w:rPr>
      </w:pPr>
      <w:r w:rsidRPr="00D82A1E">
        <w:rPr>
          <w:rFonts w:ascii="Century Gothic" w:eastAsia="Calibri" w:hAnsi="Century Gothic" w:cs="Arial"/>
          <w:b/>
          <w:lang w:val="es-ES_tradnl"/>
        </w:rPr>
        <w:t xml:space="preserve">DECRETO 092 DE 2017 – Criterios – Aplicación </w:t>
      </w:r>
    </w:p>
    <w:p w14:paraId="66020F1C" w14:textId="77777777" w:rsidR="00490794" w:rsidRPr="00D82A1E" w:rsidRDefault="00490794" w:rsidP="00490794">
      <w:pPr>
        <w:spacing w:after="0" w:line="240" w:lineRule="auto"/>
        <w:jc w:val="both"/>
        <w:rPr>
          <w:rFonts w:ascii="Century Gothic" w:hAnsi="Century Gothic" w:cs="Arial"/>
          <w:sz w:val="21"/>
          <w:szCs w:val="21"/>
          <w:lang w:val="es-ES_tradnl"/>
        </w:rPr>
      </w:pPr>
    </w:p>
    <w:p w14:paraId="780A9569" w14:textId="77777777" w:rsidR="00490794" w:rsidRPr="00D82A1E" w:rsidRDefault="00490794" w:rsidP="00490794">
      <w:pPr>
        <w:spacing w:after="0" w:line="240" w:lineRule="auto"/>
        <w:jc w:val="both"/>
        <w:rPr>
          <w:rFonts w:ascii="Century Gothic" w:hAnsi="Century Gothic" w:cs="Arial"/>
          <w:sz w:val="20"/>
          <w:szCs w:val="20"/>
          <w:lang w:val="es-ES_tradnl"/>
        </w:rPr>
      </w:pPr>
      <w:r w:rsidRPr="00D82A1E">
        <w:rPr>
          <w:rFonts w:ascii="Century Gothic" w:hAnsi="Century Gothic" w:cs="Arial"/>
          <w:sz w:val="20"/>
          <w:szCs w:val="20"/>
          <w:lang w:val="es-ES_tradnl"/>
        </w:rPr>
        <w:t>[…]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4912E118" w14:textId="77777777" w:rsidR="00490794" w:rsidRPr="00D82A1E" w:rsidRDefault="00490794" w:rsidP="00490794">
      <w:pPr>
        <w:spacing w:after="0" w:line="240" w:lineRule="auto"/>
        <w:jc w:val="both"/>
        <w:rPr>
          <w:rFonts w:ascii="Century Gothic" w:eastAsia="Arial" w:hAnsi="Century Gothic" w:cs="Arial"/>
          <w:sz w:val="20"/>
          <w:szCs w:val="20"/>
          <w:lang w:val="es-ES_tradnl"/>
        </w:rPr>
      </w:pPr>
    </w:p>
    <w:p w14:paraId="74522A9C" w14:textId="77777777" w:rsidR="00490794" w:rsidRPr="00D82A1E" w:rsidRDefault="00490794" w:rsidP="00490794">
      <w:pPr>
        <w:spacing w:after="0" w:line="240" w:lineRule="auto"/>
        <w:jc w:val="both"/>
        <w:rPr>
          <w:rFonts w:ascii="Century Gothic" w:eastAsia="Arial" w:hAnsi="Century Gothic" w:cs="Arial"/>
          <w:b/>
          <w:bCs/>
          <w:lang w:val="es-ES_tradnl"/>
        </w:rPr>
      </w:pPr>
      <w:r w:rsidRPr="00D82A1E">
        <w:rPr>
          <w:rFonts w:ascii="Century Gothic" w:eastAsia="Arial" w:hAnsi="Century Gothic" w:cs="Arial"/>
          <w:b/>
          <w:bCs/>
          <w:lang w:val="es-ES_tradnl"/>
        </w:rPr>
        <w:t xml:space="preserve">DECRETO 092 DE 2017 – Normativa vigente </w:t>
      </w:r>
    </w:p>
    <w:p w14:paraId="0F399B29" w14:textId="77777777" w:rsidR="00490794" w:rsidRPr="00D82A1E" w:rsidRDefault="00490794" w:rsidP="00490794">
      <w:pPr>
        <w:spacing w:after="0" w:line="240" w:lineRule="auto"/>
        <w:jc w:val="both"/>
        <w:rPr>
          <w:rFonts w:ascii="Century Gothic" w:eastAsia="Arial" w:hAnsi="Century Gothic" w:cs="Arial"/>
          <w:b/>
          <w:bCs/>
          <w:lang w:val="es-ES_tradnl"/>
        </w:rPr>
      </w:pPr>
    </w:p>
    <w:p w14:paraId="30022A5E" w14:textId="77777777" w:rsidR="00490794" w:rsidRPr="00D82A1E" w:rsidRDefault="00490794" w:rsidP="00490794">
      <w:pPr>
        <w:spacing w:after="0" w:line="240" w:lineRule="auto"/>
        <w:jc w:val="both"/>
        <w:rPr>
          <w:rFonts w:ascii="Century Gothic" w:eastAsia="Arial" w:hAnsi="Century Gothic" w:cs="Arial"/>
          <w:b/>
          <w:bCs/>
          <w:lang w:val="es-ES_tradnl"/>
        </w:rPr>
      </w:pPr>
      <w:r w:rsidRPr="00D82A1E">
        <w:rPr>
          <w:rFonts w:ascii="Century Gothic" w:hAnsi="Century Gothic" w:cs="Arial"/>
          <w:sz w:val="20"/>
          <w:szCs w:val="20"/>
          <w:lang w:val="es-ES_tradnl"/>
        </w:rPr>
        <w:t>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14:paraId="5E203402" w14:textId="77777777" w:rsidR="00490794" w:rsidRPr="00D82A1E" w:rsidRDefault="00490794" w:rsidP="00490794">
      <w:pPr>
        <w:spacing w:after="0" w:line="240" w:lineRule="auto"/>
        <w:rPr>
          <w:rFonts w:ascii="Arial" w:eastAsia="Geomanist Light" w:hAnsi="Arial" w:cs="Arial"/>
          <w:lang w:val="es-MX"/>
        </w:rPr>
      </w:pPr>
    </w:p>
    <w:p w14:paraId="14782518" w14:textId="77777777" w:rsidR="00490794" w:rsidRPr="00D82A1E" w:rsidRDefault="00490794" w:rsidP="00490794">
      <w:pPr>
        <w:spacing w:after="0" w:line="240" w:lineRule="auto"/>
        <w:rPr>
          <w:rFonts w:ascii="Century Gothic" w:eastAsia="Geomanist Light" w:hAnsi="Century Gothic" w:cs="Arial"/>
          <w:b/>
          <w:bCs/>
          <w:lang w:val="es-MX"/>
        </w:rPr>
      </w:pPr>
      <w:r w:rsidRPr="00D82A1E">
        <w:rPr>
          <w:rFonts w:ascii="Century Gothic" w:eastAsia="Geomanist Light" w:hAnsi="Century Gothic" w:cs="Arial"/>
          <w:b/>
          <w:bCs/>
          <w:lang w:val="es-MX"/>
        </w:rPr>
        <w:t>LEY 2069 DE 2020 – Criterios diferenciales – No aplicabilidad – Decreto 092 de 20</w:t>
      </w:r>
      <w:r>
        <w:rPr>
          <w:rFonts w:ascii="Century Gothic" w:eastAsia="Geomanist Light" w:hAnsi="Century Gothic" w:cs="Arial"/>
          <w:b/>
          <w:bCs/>
          <w:lang w:val="es-MX"/>
        </w:rPr>
        <w:t>17</w:t>
      </w:r>
    </w:p>
    <w:p w14:paraId="6033C091" w14:textId="77777777" w:rsidR="00490794" w:rsidRPr="00D82A1E" w:rsidRDefault="00490794" w:rsidP="00490794">
      <w:pPr>
        <w:spacing w:after="0" w:line="240" w:lineRule="auto"/>
        <w:rPr>
          <w:rFonts w:ascii="Century Gothic" w:hAnsi="Century Gothic" w:cs="Arial"/>
          <w:sz w:val="20"/>
          <w:szCs w:val="20"/>
          <w:shd w:val="clear" w:color="auto" w:fill="FFFFFF"/>
          <w:lang w:val="es-MX"/>
        </w:rPr>
      </w:pPr>
    </w:p>
    <w:p w14:paraId="3C6F5304" w14:textId="77777777" w:rsidR="00490794" w:rsidRPr="00D82A1E" w:rsidRDefault="00490794" w:rsidP="00490794">
      <w:pPr>
        <w:spacing w:before="120" w:after="0" w:line="240" w:lineRule="auto"/>
        <w:jc w:val="both"/>
        <w:rPr>
          <w:rFonts w:ascii="Century Gothic" w:eastAsia="Arial" w:hAnsi="Century Gothic" w:cs="Arial"/>
          <w:sz w:val="20"/>
          <w:szCs w:val="20"/>
        </w:rPr>
      </w:pPr>
      <w:r w:rsidRPr="00D82A1E">
        <w:rPr>
          <w:rFonts w:ascii="Century Gothic" w:eastAsia="Arial" w:hAnsi="Century Gothic" w:cs="Arial"/>
          <w:sz w:val="20"/>
          <w:szCs w:val="20"/>
        </w:rPr>
        <w:t>[…] pese a que el artículo 31 de la Ley 2069 de 2020 introdujo criterios diferenciales para el acceso a Mipymes al sistema de compras públicas, esto es, para los procesos de selección que adelanten las Entidades Estatales, lo cierto es que, como se indicó previamente, los procesos que se adelantan a través del Decreto 092 de 2017 no se consideran como tal, parte de dicho sistema. Por ello, sería contrario a la ley, que se procurara incentivar la participación de Mipymes en un procedimiento que no integra el sistema de compras públicas.</w:t>
      </w:r>
    </w:p>
    <w:p w14:paraId="15D0A037" w14:textId="77777777" w:rsidR="00490794" w:rsidRPr="00D82A1E" w:rsidRDefault="00490794" w:rsidP="00490794">
      <w:pPr>
        <w:spacing w:after="0" w:line="240" w:lineRule="auto"/>
        <w:rPr>
          <w:rFonts w:ascii="Century Gothic" w:hAnsi="Century Gothic" w:cs="Arial"/>
          <w:sz w:val="20"/>
          <w:szCs w:val="20"/>
          <w:shd w:val="clear" w:color="auto" w:fill="FFFFFF"/>
          <w:lang w:val="es-MX"/>
        </w:rPr>
      </w:pPr>
    </w:p>
    <w:p w14:paraId="7F9F16B3" w14:textId="77777777" w:rsidR="00490794" w:rsidRPr="00D82A1E" w:rsidRDefault="00490794" w:rsidP="00490794">
      <w:pPr>
        <w:spacing w:after="0" w:line="240" w:lineRule="auto"/>
        <w:jc w:val="both"/>
        <w:rPr>
          <w:rFonts w:ascii="Century Gothic" w:eastAsia="Arial" w:hAnsi="Century Gothic" w:cs="Arial"/>
          <w:sz w:val="20"/>
          <w:szCs w:val="20"/>
        </w:rPr>
      </w:pPr>
      <w:r w:rsidRPr="00D82A1E">
        <w:rPr>
          <w:rFonts w:ascii="Century Gothic" w:eastAsia="Arial" w:hAnsi="Century Gothic" w:cs="Arial"/>
          <w:sz w:val="20"/>
          <w:szCs w:val="20"/>
        </w:rPr>
        <w:t>A lo anterior, se le suma que, los negocios jurídicos que adelantan las Entidades Estatales en aplicación del Decreto 092 de 2017, se suscriben con ESAL, quienes, por regla general, no cumplen la condición de Mipymes. Esto, en razón a que, según el artículo 43 de la Ley 1450 de 2011 sólo podrán ser Mipymes las empresas entendidas éstas como unidades de explotación económica que buscan el reparto de utilidades entre los miembros de la empresa. Caso contrario para las ESAL, pues estas están destinadas a realizar una actividad de interés general sin esperar la repartición de utilidades, por lo que no podrían considerarse Mipymes para ningún efecto en procesos de contratación; salvo, en los eventos en que sean consideradas como entidades de economía solidaria y participen en los procedimientos contractuales que se adelanten en aplicación del EGCAP.</w:t>
      </w:r>
    </w:p>
    <w:p w14:paraId="1536BE20" w14:textId="77777777" w:rsidR="00490794" w:rsidRPr="00D82A1E" w:rsidRDefault="00490794" w:rsidP="00490794">
      <w:pPr>
        <w:spacing w:after="0" w:line="240" w:lineRule="auto"/>
        <w:jc w:val="both"/>
        <w:rPr>
          <w:rFonts w:ascii="Century Gothic" w:eastAsia="Arial" w:hAnsi="Century Gothic" w:cs="Arial"/>
          <w:sz w:val="20"/>
          <w:szCs w:val="20"/>
        </w:rPr>
      </w:pPr>
    </w:p>
    <w:p w14:paraId="70289715" w14:textId="77777777" w:rsidR="00490794" w:rsidRPr="00D82A1E" w:rsidRDefault="00490794" w:rsidP="00490794">
      <w:pPr>
        <w:spacing w:after="0" w:line="240" w:lineRule="auto"/>
        <w:jc w:val="both"/>
        <w:rPr>
          <w:rFonts w:ascii="Century Gothic" w:eastAsia="Arial" w:hAnsi="Century Gothic" w:cs="Arial"/>
          <w:sz w:val="20"/>
          <w:szCs w:val="20"/>
        </w:rPr>
      </w:pPr>
      <w:r w:rsidRPr="00D82A1E">
        <w:rPr>
          <w:rFonts w:ascii="Century Gothic" w:eastAsia="Arial" w:hAnsi="Century Gothic" w:cs="Arial"/>
          <w:sz w:val="20"/>
          <w:szCs w:val="20"/>
        </w:rPr>
        <w:t xml:space="preserve">Por otra parte, es importante aclarar que los artículos 32 de la Ley 2069 de 2020 y el artículo 2.2.1.2.4.2.15 del Decreto 1082 del 2015 –adicionado por el artículo 3 del Decreto 1860 de 2021– definieron el ámbito de aplicación de los requisitos habilitantes diferenciales y puntajes adicionales para los emprendimientos y empresa de mujeres, estableciendo que estos se aplicarán en los procesos contractuales en que resulte aplicable los procedimientos de licitación pública, selección abreviada de menor cuantía y concurso de méritos, así como los procesos competitivos que adelanten las entidades exceptuadas del EGCAP. En </w:t>
      </w:r>
      <w:r w:rsidRPr="00D82A1E">
        <w:rPr>
          <w:rFonts w:ascii="Century Gothic" w:eastAsia="Arial" w:hAnsi="Century Gothic" w:cs="Arial"/>
          <w:sz w:val="20"/>
          <w:szCs w:val="20"/>
        </w:rPr>
        <w:lastRenderedPageBreak/>
        <w:t>tal sentido, las demás modalidades de selección del artículo 2 de la Ley 1150 de 2007 que no se encuentren relacionadas en ese listado están excluidas, lo que descarta su aplicación, entre otros, en la selección abreviada por subasta inversa, en la mínima cuantía y en los procesos competitivos de que trata el Decreto 092 de 2017.</w:t>
      </w:r>
    </w:p>
    <w:p w14:paraId="6038E914" w14:textId="77777777" w:rsidR="00490794" w:rsidRPr="00D82A1E" w:rsidRDefault="00490794" w:rsidP="00490794">
      <w:pPr>
        <w:spacing w:after="0"/>
        <w:rPr>
          <w:rFonts w:ascii="Century Gothic" w:hAnsi="Century Gothic" w:cs="Arial"/>
          <w:shd w:val="clear" w:color="auto" w:fill="FFFFFF"/>
          <w:lang w:val="es-MX"/>
        </w:rPr>
      </w:pPr>
    </w:p>
    <w:p w14:paraId="02528633" w14:textId="77777777" w:rsidR="00490794" w:rsidRPr="00D82A1E" w:rsidRDefault="00490794" w:rsidP="00490794">
      <w:pPr>
        <w:spacing w:after="0"/>
        <w:rPr>
          <w:rFonts w:ascii="Century Gothic" w:hAnsi="Century Gothic" w:cs="Arial"/>
          <w:shd w:val="clear" w:color="auto" w:fill="FFFFFF"/>
          <w:lang w:val="es-MX"/>
        </w:rPr>
      </w:pPr>
    </w:p>
    <w:p w14:paraId="32F31584" w14:textId="77777777" w:rsidR="00490794" w:rsidRPr="00D82A1E" w:rsidRDefault="00490794" w:rsidP="00490794">
      <w:pPr>
        <w:spacing w:after="0"/>
        <w:rPr>
          <w:rFonts w:ascii="Century Gothic" w:hAnsi="Century Gothic" w:cs="Arial"/>
          <w:shd w:val="clear" w:color="auto" w:fill="FFFFFF"/>
          <w:lang w:val="es-MX"/>
        </w:rPr>
      </w:pPr>
    </w:p>
    <w:p w14:paraId="328D2B45" w14:textId="77777777" w:rsidR="00490794" w:rsidRPr="00D82A1E" w:rsidRDefault="00490794" w:rsidP="00490794">
      <w:pPr>
        <w:spacing w:after="0"/>
        <w:rPr>
          <w:rFonts w:ascii="Century Gothic" w:hAnsi="Century Gothic" w:cs="Arial"/>
          <w:shd w:val="clear" w:color="auto" w:fill="FFFFFF"/>
          <w:lang w:val="es-MX"/>
        </w:rPr>
      </w:pPr>
    </w:p>
    <w:p w14:paraId="6CC1B707" w14:textId="77777777" w:rsidR="00490794" w:rsidRPr="00D82A1E" w:rsidRDefault="00490794" w:rsidP="00490794">
      <w:pPr>
        <w:spacing w:after="0"/>
        <w:rPr>
          <w:rFonts w:ascii="Century Gothic" w:hAnsi="Century Gothic" w:cs="Arial"/>
          <w:shd w:val="clear" w:color="auto" w:fill="FFFFFF"/>
          <w:lang w:val="es-MX"/>
        </w:rPr>
      </w:pPr>
    </w:p>
    <w:p w14:paraId="5E9773E3" w14:textId="77777777" w:rsidR="00490794" w:rsidRPr="00D82A1E" w:rsidRDefault="00490794" w:rsidP="00490794">
      <w:pPr>
        <w:spacing w:after="0"/>
        <w:rPr>
          <w:rFonts w:ascii="Century Gothic" w:hAnsi="Century Gothic" w:cs="Arial"/>
          <w:shd w:val="clear" w:color="auto" w:fill="FFFFFF"/>
          <w:lang w:val="es-MX"/>
        </w:rPr>
      </w:pPr>
    </w:p>
    <w:p w14:paraId="7345BE7A" w14:textId="77777777" w:rsidR="00490794" w:rsidRPr="00D82A1E" w:rsidRDefault="00490794" w:rsidP="00490794">
      <w:pPr>
        <w:spacing w:after="0"/>
        <w:rPr>
          <w:rFonts w:ascii="Century Gothic" w:hAnsi="Century Gothic" w:cs="Arial"/>
          <w:shd w:val="clear" w:color="auto" w:fill="FFFFFF"/>
          <w:lang w:val="es-MX"/>
        </w:rPr>
      </w:pPr>
    </w:p>
    <w:p w14:paraId="55A9478E" w14:textId="77777777" w:rsidR="00490794" w:rsidRDefault="00490794" w:rsidP="00490794">
      <w:pPr>
        <w:spacing w:after="0"/>
        <w:rPr>
          <w:rFonts w:ascii="Century Gothic" w:hAnsi="Century Gothic" w:cs="Arial"/>
          <w:shd w:val="clear" w:color="auto" w:fill="FFFFFF"/>
          <w:lang w:val="es-MX"/>
        </w:rPr>
      </w:pPr>
    </w:p>
    <w:p w14:paraId="5A2AE887" w14:textId="77777777" w:rsidR="00490794" w:rsidRDefault="00490794" w:rsidP="00490794">
      <w:pPr>
        <w:spacing w:after="0"/>
        <w:rPr>
          <w:rFonts w:ascii="Century Gothic" w:hAnsi="Century Gothic" w:cs="Arial"/>
          <w:shd w:val="clear" w:color="auto" w:fill="FFFFFF"/>
          <w:lang w:val="es-MX"/>
        </w:rPr>
      </w:pPr>
    </w:p>
    <w:p w14:paraId="3B2769FF" w14:textId="77777777" w:rsidR="00490794" w:rsidRDefault="00490794" w:rsidP="00490794">
      <w:pPr>
        <w:spacing w:after="0"/>
        <w:rPr>
          <w:rFonts w:ascii="Century Gothic" w:hAnsi="Century Gothic" w:cs="Arial"/>
          <w:shd w:val="clear" w:color="auto" w:fill="FFFFFF"/>
          <w:lang w:val="es-MX"/>
        </w:rPr>
      </w:pPr>
    </w:p>
    <w:p w14:paraId="721A2523" w14:textId="77777777" w:rsidR="00490794" w:rsidRDefault="00490794" w:rsidP="00490794">
      <w:pPr>
        <w:spacing w:after="0"/>
        <w:rPr>
          <w:rFonts w:ascii="Century Gothic" w:hAnsi="Century Gothic" w:cs="Arial"/>
          <w:shd w:val="clear" w:color="auto" w:fill="FFFFFF"/>
          <w:lang w:val="es-MX"/>
        </w:rPr>
      </w:pPr>
    </w:p>
    <w:p w14:paraId="700FB72F" w14:textId="77777777" w:rsidR="00490794" w:rsidRDefault="00490794" w:rsidP="00490794">
      <w:pPr>
        <w:spacing w:after="0"/>
        <w:rPr>
          <w:rFonts w:ascii="Century Gothic" w:hAnsi="Century Gothic" w:cs="Arial"/>
          <w:shd w:val="clear" w:color="auto" w:fill="FFFFFF"/>
          <w:lang w:val="es-MX"/>
        </w:rPr>
      </w:pPr>
    </w:p>
    <w:p w14:paraId="0C67ED8C" w14:textId="77777777" w:rsidR="00490794" w:rsidRDefault="00490794" w:rsidP="00490794">
      <w:pPr>
        <w:spacing w:after="0"/>
        <w:rPr>
          <w:rFonts w:ascii="Century Gothic" w:hAnsi="Century Gothic" w:cs="Arial"/>
          <w:shd w:val="clear" w:color="auto" w:fill="FFFFFF"/>
          <w:lang w:val="es-MX"/>
        </w:rPr>
      </w:pPr>
    </w:p>
    <w:p w14:paraId="3E8E5901" w14:textId="77777777" w:rsidR="00490794" w:rsidRDefault="00490794" w:rsidP="00490794">
      <w:pPr>
        <w:spacing w:after="0"/>
        <w:rPr>
          <w:rFonts w:ascii="Century Gothic" w:hAnsi="Century Gothic" w:cs="Arial"/>
          <w:shd w:val="clear" w:color="auto" w:fill="FFFFFF"/>
          <w:lang w:val="es-MX"/>
        </w:rPr>
      </w:pPr>
    </w:p>
    <w:p w14:paraId="784988F1" w14:textId="77777777" w:rsidR="00490794" w:rsidRDefault="00490794" w:rsidP="00490794">
      <w:pPr>
        <w:spacing w:after="0"/>
        <w:rPr>
          <w:rFonts w:ascii="Century Gothic" w:hAnsi="Century Gothic" w:cs="Arial"/>
          <w:shd w:val="clear" w:color="auto" w:fill="FFFFFF"/>
          <w:lang w:val="es-MX"/>
        </w:rPr>
      </w:pPr>
    </w:p>
    <w:p w14:paraId="7642B396" w14:textId="77777777" w:rsidR="00490794" w:rsidRDefault="00490794" w:rsidP="00490794">
      <w:pPr>
        <w:spacing w:after="0"/>
        <w:rPr>
          <w:rFonts w:ascii="Century Gothic" w:hAnsi="Century Gothic" w:cs="Arial"/>
          <w:shd w:val="clear" w:color="auto" w:fill="FFFFFF"/>
          <w:lang w:val="es-MX"/>
        </w:rPr>
      </w:pPr>
    </w:p>
    <w:p w14:paraId="5ED210D3" w14:textId="77777777" w:rsidR="00490794" w:rsidRDefault="00490794" w:rsidP="00490794">
      <w:pPr>
        <w:spacing w:after="0"/>
        <w:rPr>
          <w:rFonts w:ascii="Century Gothic" w:hAnsi="Century Gothic" w:cs="Arial"/>
          <w:shd w:val="clear" w:color="auto" w:fill="FFFFFF"/>
          <w:lang w:val="es-MX"/>
        </w:rPr>
      </w:pPr>
    </w:p>
    <w:p w14:paraId="0D48D647" w14:textId="77777777" w:rsidR="00490794" w:rsidRDefault="00490794" w:rsidP="00490794">
      <w:pPr>
        <w:spacing w:after="0"/>
        <w:rPr>
          <w:rFonts w:ascii="Century Gothic" w:hAnsi="Century Gothic" w:cs="Arial"/>
          <w:shd w:val="clear" w:color="auto" w:fill="FFFFFF"/>
          <w:lang w:val="es-MX"/>
        </w:rPr>
      </w:pPr>
    </w:p>
    <w:p w14:paraId="45E39E2C" w14:textId="77777777" w:rsidR="00490794" w:rsidRDefault="00490794" w:rsidP="00490794">
      <w:pPr>
        <w:spacing w:after="0"/>
        <w:rPr>
          <w:rFonts w:ascii="Century Gothic" w:hAnsi="Century Gothic" w:cs="Arial"/>
          <w:shd w:val="clear" w:color="auto" w:fill="FFFFFF"/>
          <w:lang w:val="es-MX"/>
        </w:rPr>
      </w:pPr>
    </w:p>
    <w:p w14:paraId="21260DEA" w14:textId="77777777" w:rsidR="00490794" w:rsidRDefault="00490794" w:rsidP="00490794">
      <w:pPr>
        <w:spacing w:after="0"/>
        <w:rPr>
          <w:rFonts w:ascii="Century Gothic" w:hAnsi="Century Gothic" w:cs="Arial"/>
          <w:shd w:val="clear" w:color="auto" w:fill="FFFFFF"/>
          <w:lang w:val="es-MX"/>
        </w:rPr>
      </w:pPr>
    </w:p>
    <w:p w14:paraId="64D406AA" w14:textId="77777777" w:rsidR="00490794" w:rsidRDefault="00490794" w:rsidP="00490794">
      <w:pPr>
        <w:spacing w:after="0"/>
        <w:rPr>
          <w:rFonts w:ascii="Century Gothic" w:hAnsi="Century Gothic" w:cs="Arial"/>
          <w:shd w:val="clear" w:color="auto" w:fill="FFFFFF"/>
          <w:lang w:val="es-MX"/>
        </w:rPr>
      </w:pPr>
    </w:p>
    <w:p w14:paraId="57FA7D37" w14:textId="77777777" w:rsidR="00490794" w:rsidRDefault="00490794" w:rsidP="00490794">
      <w:pPr>
        <w:spacing w:after="0"/>
        <w:rPr>
          <w:rFonts w:ascii="Century Gothic" w:hAnsi="Century Gothic" w:cs="Arial"/>
          <w:shd w:val="clear" w:color="auto" w:fill="FFFFFF"/>
          <w:lang w:val="es-MX"/>
        </w:rPr>
      </w:pPr>
    </w:p>
    <w:p w14:paraId="59657C40" w14:textId="77777777" w:rsidR="00490794" w:rsidRDefault="00490794" w:rsidP="00490794">
      <w:pPr>
        <w:spacing w:after="0"/>
        <w:rPr>
          <w:rFonts w:ascii="Century Gothic" w:hAnsi="Century Gothic" w:cs="Arial"/>
          <w:shd w:val="clear" w:color="auto" w:fill="FFFFFF"/>
          <w:lang w:val="es-MX"/>
        </w:rPr>
      </w:pPr>
    </w:p>
    <w:p w14:paraId="6BAD0531" w14:textId="77777777" w:rsidR="00490794" w:rsidRDefault="00490794" w:rsidP="00490794">
      <w:pPr>
        <w:spacing w:after="0"/>
        <w:rPr>
          <w:rFonts w:ascii="Century Gothic" w:hAnsi="Century Gothic" w:cs="Arial"/>
          <w:shd w:val="clear" w:color="auto" w:fill="FFFFFF"/>
          <w:lang w:val="es-MX"/>
        </w:rPr>
      </w:pPr>
    </w:p>
    <w:p w14:paraId="787B2393" w14:textId="77777777" w:rsidR="00490794" w:rsidRDefault="00490794" w:rsidP="00490794">
      <w:pPr>
        <w:spacing w:after="0"/>
        <w:rPr>
          <w:rFonts w:ascii="Century Gothic" w:hAnsi="Century Gothic" w:cs="Arial"/>
          <w:shd w:val="clear" w:color="auto" w:fill="FFFFFF"/>
          <w:lang w:val="es-MX"/>
        </w:rPr>
      </w:pPr>
    </w:p>
    <w:p w14:paraId="45C9905F" w14:textId="77777777" w:rsidR="00490794" w:rsidRDefault="00490794" w:rsidP="00490794">
      <w:pPr>
        <w:spacing w:after="0"/>
        <w:rPr>
          <w:rFonts w:ascii="Century Gothic" w:hAnsi="Century Gothic" w:cs="Arial"/>
          <w:shd w:val="clear" w:color="auto" w:fill="FFFFFF"/>
          <w:lang w:val="es-MX"/>
        </w:rPr>
      </w:pPr>
    </w:p>
    <w:p w14:paraId="051D6CFB" w14:textId="77777777" w:rsidR="00490794" w:rsidRDefault="00490794" w:rsidP="00490794">
      <w:pPr>
        <w:spacing w:after="0"/>
        <w:rPr>
          <w:rFonts w:ascii="Century Gothic" w:hAnsi="Century Gothic" w:cs="Arial"/>
          <w:shd w:val="clear" w:color="auto" w:fill="FFFFFF"/>
          <w:lang w:val="es-MX"/>
        </w:rPr>
      </w:pPr>
    </w:p>
    <w:p w14:paraId="4650D37D" w14:textId="77777777" w:rsidR="00490794" w:rsidRDefault="00490794" w:rsidP="00490794">
      <w:pPr>
        <w:spacing w:after="0"/>
        <w:rPr>
          <w:rFonts w:ascii="Century Gothic" w:hAnsi="Century Gothic" w:cs="Arial"/>
          <w:shd w:val="clear" w:color="auto" w:fill="FFFFFF"/>
          <w:lang w:val="es-MX"/>
        </w:rPr>
      </w:pPr>
    </w:p>
    <w:p w14:paraId="723DE830" w14:textId="77777777" w:rsidR="00490794" w:rsidRDefault="00490794" w:rsidP="00490794">
      <w:pPr>
        <w:spacing w:after="0"/>
        <w:rPr>
          <w:rFonts w:ascii="Century Gothic" w:hAnsi="Century Gothic" w:cs="Arial"/>
          <w:shd w:val="clear" w:color="auto" w:fill="FFFFFF"/>
          <w:lang w:val="es-MX"/>
        </w:rPr>
      </w:pPr>
    </w:p>
    <w:p w14:paraId="6F9BBAA3" w14:textId="77777777" w:rsidR="00490794" w:rsidRDefault="00490794" w:rsidP="00490794">
      <w:pPr>
        <w:spacing w:after="0"/>
        <w:rPr>
          <w:rFonts w:ascii="Century Gothic" w:hAnsi="Century Gothic" w:cs="Arial"/>
          <w:shd w:val="clear" w:color="auto" w:fill="FFFFFF"/>
          <w:lang w:val="es-MX"/>
        </w:rPr>
      </w:pPr>
    </w:p>
    <w:p w14:paraId="6183CB58" w14:textId="77777777" w:rsidR="00490794" w:rsidRDefault="00490794" w:rsidP="00490794">
      <w:pPr>
        <w:spacing w:after="0"/>
        <w:rPr>
          <w:rFonts w:ascii="Century Gothic" w:hAnsi="Century Gothic" w:cs="Arial"/>
          <w:shd w:val="clear" w:color="auto" w:fill="FFFFFF"/>
          <w:lang w:val="es-MX"/>
        </w:rPr>
      </w:pPr>
    </w:p>
    <w:p w14:paraId="24E00CE6" w14:textId="77777777" w:rsidR="00490794" w:rsidRDefault="00490794" w:rsidP="00490794">
      <w:pPr>
        <w:spacing w:after="0"/>
        <w:rPr>
          <w:rFonts w:ascii="Century Gothic" w:hAnsi="Century Gothic" w:cs="Arial"/>
          <w:shd w:val="clear" w:color="auto" w:fill="FFFFFF"/>
          <w:lang w:val="es-MX"/>
        </w:rPr>
      </w:pPr>
    </w:p>
    <w:p w14:paraId="25F36F80" w14:textId="77777777" w:rsidR="00490794" w:rsidRDefault="00490794" w:rsidP="00490794">
      <w:pPr>
        <w:spacing w:after="0"/>
        <w:rPr>
          <w:rFonts w:ascii="Century Gothic" w:hAnsi="Century Gothic" w:cs="Arial"/>
          <w:shd w:val="clear" w:color="auto" w:fill="FFFFFF"/>
          <w:lang w:val="es-MX"/>
        </w:rPr>
      </w:pPr>
    </w:p>
    <w:p w14:paraId="07094ADC" w14:textId="77777777" w:rsidR="00490794" w:rsidRDefault="00490794" w:rsidP="00490794">
      <w:pPr>
        <w:spacing w:after="0"/>
        <w:rPr>
          <w:rFonts w:ascii="Century Gothic" w:hAnsi="Century Gothic" w:cs="Arial"/>
          <w:shd w:val="clear" w:color="auto" w:fill="FFFFFF"/>
          <w:lang w:val="es-MX"/>
        </w:rPr>
      </w:pPr>
    </w:p>
    <w:p w14:paraId="0A8986BC" w14:textId="77777777" w:rsidR="00490794" w:rsidRPr="00D82A1E" w:rsidRDefault="00490794" w:rsidP="00490794">
      <w:pPr>
        <w:spacing w:after="0"/>
        <w:rPr>
          <w:rFonts w:ascii="Century Gothic" w:hAnsi="Century Gothic" w:cs="Arial"/>
          <w:shd w:val="clear" w:color="auto" w:fill="FFFFFF"/>
          <w:lang w:val="es-MX"/>
        </w:rPr>
      </w:pPr>
    </w:p>
    <w:p w14:paraId="59027F3C" w14:textId="77777777" w:rsidR="00490794" w:rsidRPr="00D82A1E" w:rsidRDefault="00490794" w:rsidP="00490794">
      <w:pPr>
        <w:spacing w:after="0"/>
        <w:rPr>
          <w:rFonts w:ascii="Century Gothic" w:hAnsi="Century Gothic" w:cs="Arial"/>
          <w:shd w:val="clear" w:color="auto" w:fill="FFFFFF"/>
          <w:lang w:val="es-MX"/>
        </w:rPr>
      </w:pPr>
    </w:p>
    <w:p w14:paraId="4FD80FB1" w14:textId="77777777" w:rsidR="00490794" w:rsidRPr="00D82A1E" w:rsidRDefault="00490794" w:rsidP="00490794">
      <w:pPr>
        <w:spacing w:after="0"/>
        <w:rPr>
          <w:rFonts w:ascii="Century Gothic" w:hAnsi="Century Gothic" w:cs="Arial"/>
          <w:shd w:val="clear" w:color="auto" w:fill="FFFFFF"/>
          <w:lang w:val="es-MX"/>
        </w:rPr>
      </w:pPr>
    </w:p>
    <w:p w14:paraId="7737A9C0" w14:textId="77777777" w:rsidR="00490794" w:rsidRDefault="00490794" w:rsidP="00490794">
      <w:pPr>
        <w:spacing w:after="0"/>
        <w:rPr>
          <w:rFonts w:ascii="Century Gothic" w:eastAsia="Geomanist Light" w:hAnsi="Century Gothic" w:cs="Arial"/>
          <w:lang w:val="es-MX"/>
        </w:rPr>
      </w:pPr>
      <w:r w:rsidRPr="00D82A1E">
        <w:rPr>
          <w:rFonts w:ascii="Century Gothic" w:hAnsi="Century Gothic" w:cs="Arial"/>
          <w:shd w:val="clear" w:color="auto" w:fill="FFFFFF"/>
        </w:rPr>
        <w:lastRenderedPageBreak/>
        <w:t>Bogotá D.C., [Día] de [Mes.NombreCapitalizado] de [Año]</w:t>
      </w:r>
      <w:r w:rsidRPr="00D82A1E">
        <w:rPr>
          <w:rFonts w:ascii="Century Gothic" w:hAnsi="Century Gothic" w:cs="Calibri"/>
          <w:shd w:val="clear" w:color="auto" w:fill="FFFFFF"/>
        </w:rPr>
        <w:tab/>
      </w:r>
      <w:r w:rsidRPr="00D82A1E">
        <w:rPr>
          <w:rFonts w:ascii="Arial" w:hAnsi="Arial" w:cs="Arial"/>
          <w:shd w:val="clear" w:color="auto" w:fill="FFFFFF"/>
        </w:rPr>
        <w:t>    </w:t>
      </w:r>
      <w:r w:rsidRPr="00D82A1E">
        <w:rPr>
          <w:rFonts w:ascii="Century Gothic" w:hAnsi="Century Gothic" w:cs="Arial"/>
          <w:shd w:val="clear" w:color="auto" w:fill="FFFFFF"/>
        </w:rPr>
        <w:t> </w:t>
      </w:r>
      <w:r w:rsidRPr="00D82A1E">
        <w:rPr>
          <w:rFonts w:ascii="Arial" w:hAnsi="Arial" w:cs="Arial"/>
          <w:shd w:val="clear" w:color="auto" w:fill="FFFFFF"/>
        </w:rPr>
        <w:t> </w:t>
      </w:r>
      <w:r w:rsidRPr="00D82A1E">
        <w:rPr>
          <w:rFonts w:ascii="Century Gothic" w:hAnsi="Century Gothic" w:cs="Century Gothic"/>
          <w:shd w:val="clear" w:color="auto" w:fill="FFFFFF"/>
        </w:rPr>
        <w:t> </w:t>
      </w:r>
      <w:r w:rsidRPr="00D82A1E">
        <w:rPr>
          <w:rFonts w:ascii="Century Gothic" w:eastAsia="Geomanist Light" w:hAnsi="Century Gothic" w:cs="Arial"/>
          <w:lang w:val="es-MX"/>
        </w:rPr>
        <w:cr/>
      </w:r>
    </w:p>
    <w:p w14:paraId="0865F1EF" w14:textId="77777777" w:rsidR="003F4EA1" w:rsidRDefault="003F4EA1" w:rsidP="00490794">
      <w:pPr>
        <w:spacing w:after="0"/>
        <w:jc w:val="right"/>
        <w:rPr>
          <w:noProof/>
          <w14:ligatures w14:val="standardContextual"/>
        </w:rPr>
      </w:pPr>
    </w:p>
    <w:p w14:paraId="3459E922" w14:textId="3ADB4153" w:rsidR="00490794" w:rsidRPr="00D82A1E" w:rsidRDefault="00490794" w:rsidP="00490794">
      <w:pPr>
        <w:spacing w:after="0"/>
        <w:jc w:val="right"/>
        <w:rPr>
          <w:rFonts w:ascii="Century Gothic" w:eastAsia="Geomanist Light" w:hAnsi="Century Gothic" w:cs="Arial"/>
          <w:lang w:val="es-MX"/>
        </w:rPr>
      </w:pPr>
      <w:r>
        <w:rPr>
          <w:noProof/>
          <w14:ligatures w14:val="standardContextual"/>
        </w:rPr>
        <w:drawing>
          <wp:inline distT="0" distB="0" distL="0" distR="0" wp14:anchorId="0FD778AC" wp14:editId="7EC7D6BE">
            <wp:extent cx="3233319" cy="956988"/>
            <wp:effectExtent l="0" t="0" r="5715" b="0"/>
            <wp:docPr id="1230164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64667" name=""/>
                    <pic:cNvPicPr/>
                  </pic:nvPicPr>
                  <pic:blipFill>
                    <a:blip r:embed="rId10"/>
                    <a:stretch>
                      <a:fillRect/>
                    </a:stretch>
                  </pic:blipFill>
                  <pic:spPr>
                    <a:xfrm>
                      <a:off x="0" y="0"/>
                      <a:ext cx="3236024" cy="957789"/>
                    </a:xfrm>
                    <a:prstGeom prst="rect">
                      <a:avLst/>
                    </a:prstGeom>
                  </pic:spPr>
                </pic:pic>
              </a:graphicData>
            </a:graphic>
          </wp:inline>
        </w:drawing>
      </w:r>
    </w:p>
    <w:p w14:paraId="785181C2" w14:textId="77777777" w:rsidR="00490794" w:rsidRPr="00D82A1E" w:rsidRDefault="00490794" w:rsidP="00490794">
      <w:pPr>
        <w:spacing w:after="0"/>
        <w:rPr>
          <w:rFonts w:ascii="Century Gothic" w:eastAsia="Geomanist Light" w:hAnsi="Century Gothic" w:cs="Arial"/>
          <w:lang w:val="es-MX"/>
        </w:rPr>
      </w:pPr>
    </w:p>
    <w:p w14:paraId="69EBE975" w14:textId="77777777" w:rsidR="00490794" w:rsidRPr="00D82A1E" w:rsidRDefault="00490794" w:rsidP="00490794">
      <w:pPr>
        <w:contextualSpacing/>
        <w:jc w:val="both"/>
        <w:rPr>
          <w:rFonts w:ascii="Century Gothic" w:eastAsia="Calibri" w:hAnsi="Century Gothic" w:cs="Arial"/>
          <w:lang w:eastAsia="es-ES_tradnl"/>
        </w:rPr>
      </w:pPr>
      <w:r w:rsidRPr="00D82A1E">
        <w:rPr>
          <w:rFonts w:ascii="Century Gothic" w:eastAsia="Calibri" w:hAnsi="Century Gothic" w:cs="Arial"/>
          <w:lang w:eastAsia="es-ES_tradnl"/>
        </w:rPr>
        <w:t>Señor</w:t>
      </w:r>
    </w:p>
    <w:p w14:paraId="1A68229F" w14:textId="77777777" w:rsidR="00490794" w:rsidRPr="00D82A1E" w:rsidRDefault="00490794" w:rsidP="00490794">
      <w:pPr>
        <w:contextualSpacing/>
        <w:jc w:val="both"/>
        <w:rPr>
          <w:rFonts w:ascii="Century Gothic" w:eastAsia="Calibri" w:hAnsi="Century Gothic" w:cs="Arial"/>
          <w:b/>
          <w:lang w:eastAsia="es-ES_tradnl"/>
        </w:rPr>
      </w:pPr>
      <w:r w:rsidRPr="00D82A1E">
        <w:rPr>
          <w:rFonts w:ascii="Century Gothic" w:eastAsia="Calibri" w:hAnsi="Century Gothic" w:cs="Arial"/>
          <w:b/>
          <w:lang w:eastAsia="es-ES_tradnl"/>
        </w:rPr>
        <w:t>Johann Diderick Granados Ordóñez</w:t>
      </w:r>
    </w:p>
    <w:p w14:paraId="2804DD91" w14:textId="77777777" w:rsidR="00490794" w:rsidRPr="00D82A1E" w:rsidRDefault="00490794" w:rsidP="00490794">
      <w:pPr>
        <w:contextualSpacing/>
        <w:jc w:val="both"/>
        <w:rPr>
          <w:rFonts w:ascii="Century Gothic" w:eastAsia="Calibri" w:hAnsi="Century Gothic" w:cs="Arial"/>
          <w:bCs/>
          <w:lang w:eastAsia="es-ES_tradnl"/>
        </w:rPr>
      </w:pPr>
      <w:hyperlink r:id="rId11" w:history="1">
        <w:r w:rsidRPr="00D82A1E">
          <w:rPr>
            <w:rFonts w:ascii="Century Gothic" w:eastAsia="Calibri" w:hAnsi="Century Gothic" w:cs="Arial"/>
            <w:bCs/>
            <w:u w:val="single"/>
            <w:lang w:eastAsia="es-ES_tradnl"/>
          </w:rPr>
          <w:t>johann.granados@hotmail.com</w:t>
        </w:r>
      </w:hyperlink>
      <w:r w:rsidRPr="00D82A1E">
        <w:rPr>
          <w:rFonts w:ascii="Century Gothic" w:eastAsia="Calibri" w:hAnsi="Century Gothic" w:cs="Arial"/>
          <w:bCs/>
          <w:lang w:eastAsia="es-ES_tradnl"/>
        </w:rPr>
        <w:t xml:space="preserve"> </w:t>
      </w:r>
    </w:p>
    <w:p w14:paraId="5DB4D92B" w14:textId="77777777" w:rsidR="00490794" w:rsidRPr="00D82A1E" w:rsidRDefault="00490794" w:rsidP="00490794">
      <w:pPr>
        <w:contextualSpacing/>
        <w:jc w:val="both"/>
        <w:rPr>
          <w:rFonts w:ascii="Century Gothic" w:eastAsia="Calibri" w:hAnsi="Century Gothic" w:cs="Arial"/>
          <w:bCs/>
          <w:lang w:eastAsia="es-ES_tradnl"/>
        </w:rPr>
      </w:pPr>
      <w:r w:rsidRPr="00D82A1E">
        <w:rPr>
          <w:rFonts w:ascii="Century Gothic" w:eastAsia="Geomanist Light" w:hAnsi="Century Gothic" w:cs="Arial"/>
          <w:lang w:val="es-MX"/>
        </w:rPr>
        <w:t>Floridablanca, Santander</w:t>
      </w:r>
    </w:p>
    <w:p w14:paraId="7DFC2A1F" w14:textId="77777777" w:rsidR="00490794" w:rsidRPr="00D82A1E" w:rsidRDefault="00490794" w:rsidP="00490794">
      <w:pPr>
        <w:contextualSpacing/>
        <w:rPr>
          <w:rFonts w:ascii="Century Gothic" w:eastAsia="Calibri" w:hAnsi="Century Gothic" w:cs="Arial"/>
          <w:b/>
          <w:bCs/>
          <w:lang w:val="es-ES_tradnl" w:eastAsia="es-ES_tradnl"/>
        </w:rPr>
      </w:pPr>
    </w:p>
    <w:p w14:paraId="4DE8EFDB" w14:textId="77777777" w:rsidR="00490794" w:rsidRPr="00D82A1E" w:rsidRDefault="00490794" w:rsidP="00490794">
      <w:pPr>
        <w:contextualSpacing/>
        <w:rPr>
          <w:rFonts w:ascii="Century Gothic" w:eastAsia="Calibri" w:hAnsi="Century Gothic" w:cs="Arial"/>
          <w:b/>
          <w:bCs/>
          <w:lang w:val="es-ES_tradnl" w:eastAsia="es-ES_tradnl"/>
        </w:rPr>
      </w:pPr>
    </w:p>
    <w:p w14:paraId="7C46837D" w14:textId="77777777" w:rsidR="00490794" w:rsidRPr="00D82A1E" w:rsidRDefault="00490794" w:rsidP="00490794">
      <w:pPr>
        <w:ind w:left="2124" w:firstLine="570"/>
        <w:contextualSpacing/>
        <w:rPr>
          <w:rFonts w:ascii="Century Gothic" w:eastAsia="Calibri" w:hAnsi="Century Gothic" w:cs="Arial"/>
          <w:b/>
          <w:bCs/>
          <w:lang w:val="es-ES_tradnl" w:eastAsia="es-ES_tradnl"/>
        </w:rPr>
      </w:pPr>
      <w:r w:rsidRPr="00D82A1E">
        <w:rPr>
          <w:rFonts w:ascii="Century Gothic" w:eastAsia="Calibri" w:hAnsi="Century Gothic" w:cs="Arial"/>
          <w:b/>
          <w:bCs/>
          <w:lang w:val="es-ES_tradnl" w:eastAsia="es-ES_tradnl"/>
        </w:rPr>
        <w:t>Concepto C – 003 de 2024</w:t>
      </w:r>
    </w:p>
    <w:p w14:paraId="382F57EF" w14:textId="77777777" w:rsidR="00490794" w:rsidRPr="00D82A1E" w:rsidRDefault="00490794" w:rsidP="00490794">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90794" w:rsidRPr="00D82A1E" w14:paraId="4088477A" w14:textId="77777777" w:rsidTr="009F68B5">
        <w:tc>
          <w:tcPr>
            <w:tcW w:w="2689" w:type="dxa"/>
          </w:tcPr>
          <w:p w14:paraId="0B4D39AE" w14:textId="77777777" w:rsidR="00490794" w:rsidRPr="00D82A1E" w:rsidRDefault="00490794" w:rsidP="009F68B5">
            <w:pPr>
              <w:contextualSpacing/>
              <w:jc w:val="both"/>
              <w:rPr>
                <w:rFonts w:ascii="Century Gothic" w:eastAsia="Calibri" w:hAnsi="Century Gothic" w:cs="Arial"/>
                <w:lang w:val="es-ES_tradnl" w:eastAsia="es-ES_tradnl"/>
              </w:rPr>
            </w:pPr>
            <w:r w:rsidRPr="00D82A1E">
              <w:rPr>
                <w:rFonts w:ascii="Century Gothic" w:eastAsia="Calibri" w:hAnsi="Century Gothic" w:cs="Arial"/>
                <w:b/>
                <w:lang w:val="es-ES_tradnl" w:eastAsia="es-ES_tradnl"/>
              </w:rPr>
              <w:t>Temas:</w:t>
            </w:r>
            <w:r w:rsidRPr="00D82A1E">
              <w:rPr>
                <w:rFonts w:ascii="Century Gothic" w:eastAsia="Calibri" w:hAnsi="Century Gothic" w:cs="Arial"/>
                <w:lang w:val="es-ES_tradnl" w:eastAsia="es-ES_tradnl"/>
              </w:rPr>
              <w:t xml:space="preserve">                                      </w:t>
            </w:r>
          </w:p>
        </w:tc>
        <w:tc>
          <w:tcPr>
            <w:tcW w:w="6237" w:type="dxa"/>
          </w:tcPr>
          <w:p w14:paraId="2CAA7120" w14:textId="77777777" w:rsidR="00490794" w:rsidRPr="00D82A1E" w:rsidRDefault="00490794" w:rsidP="009F68B5">
            <w:pPr>
              <w:spacing w:after="120"/>
              <w:contextualSpacing/>
              <w:jc w:val="both"/>
              <w:rPr>
                <w:rFonts w:ascii="Century Gothic" w:eastAsia="Calibri" w:hAnsi="Century Gothic" w:cs="Arial"/>
                <w:bCs/>
                <w:lang w:val="es-ES_tradnl" w:eastAsia="es-ES_tradnl"/>
              </w:rPr>
            </w:pPr>
            <w:r w:rsidRPr="00D82A1E">
              <w:rPr>
                <w:rFonts w:ascii="Century Gothic" w:eastAsia="Calibri" w:hAnsi="Century Gothic" w:cs="Arial"/>
                <w:bCs/>
                <w:lang w:val="es-ES_tradnl" w:eastAsia="es-ES_tradnl"/>
              </w:rPr>
              <w:t>DECRETO 092 DE 2017 – Finalidad – Clases de contratos / CONTRATACIÓN CON ESAL – Contrato de colaboración – Objeto – Alcance / CONTRATACIÓN CON ESAL – Contrato de asociación – Objeto – Alcance / DECRETO 092 DE 2017 – Criterios – Aplicación / DECRETO 092 DE 2017 – Normativa vigente / LEY 2069 DE 2020 – Criterios diferenciales – No aplicabilidad – Decreto 092 de 2020</w:t>
            </w:r>
          </w:p>
          <w:p w14:paraId="21C292D9" w14:textId="77777777" w:rsidR="00490794" w:rsidRPr="00D82A1E" w:rsidRDefault="00490794" w:rsidP="009F68B5">
            <w:pPr>
              <w:spacing w:after="120"/>
              <w:contextualSpacing/>
              <w:jc w:val="both"/>
              <w:rPr>
                <w:rFonts w:ascii="Century Gothic" w:eastAsia="Calibri" w:hAnsi="Century Gothic" w:cs="Arial"/>
                <w:bCs/>
                <w:sz w:val="12"/>
                <w:szCs w:val="12"/>
                <w:lang w:val="es-ES_tradnl" w:eastAsia="es-ES_tradnl"/>
              </w:rPr>
            </w:pPr>
          </w:p>
        </w:tc>
      </w:tr>
      <w:tr w:rsidR="00490794" w:rsidRPr="00D82A1E" w14:paraId="4B52DD22" w14:textId="77777777" w:rsidTr="009F68B5">
        <w:trPr>
          <w:trHeight w:val="227"/>
        </w:trPr>
        <w:tc>
          <w:tcPr>
            <w:tcW w:w="2689" w:type="dxa"/>
          </w:tcPr>
          <w:p w14:paraId="472AF973" w14:textId="77777777" w:rsidR="00490794" w:rsidRPr="00D82A1E" w:rsidRDefault="00490794" w:rsidP="009F68B5">
            <w:pPr>
              <w:contextualSpacing/>
              <w:jc w:val="both"/>
              <w:rPr>
                <w:rFonts w:ascii="Century Gothic" w:eastAsia="Calibri" w:hAnsi="Century Gothic" w:cs="Arial"/>
                <w:b/>
                <w:lang w:val="es-ES_tradnl" w:eastAsia="es-ES_tradnl"/>
              </w:rPr>
            </w:pPr>
            <w:r w:rsidRPr="00D82A1E">
              <w:rPr>
                <w:rFonts w:ascii="Century Gothic" w:eastAsia="Calibri" w:hAnsi="Century Gothic" w:cs="Arial"/>
                <w:b/>
                <w:lang w:val="es-ES_tradnl" w:eastAsia="es-ES_tradnl"/>
              </w:rPr>
              <w:t>Radicación:</w:t>
            </w:r>
            <w:r w:rsidRPr="00D82A1E">
              <w:rPr>
                <w:rFonts w:ascii="Century Gothic" w:eastAsia="Calibri" w:hAnsi="Century Gothic" w:cs="Arial"/>
                <w:lang w:val="es-ES_tradnl" w:eastAsia="es-ES_tradnl"/>
              </w:rPr>
              <w:t xml:space="preserve">                             </w:t>
            </w:r>
          </w:p>
        </w:tc>
        <w:tc>
          <w:tcPr>
            <w:tcW w:w="6237" w:type="dxa"/>
          </w:tcPr>
          <w:p w14:paraId="56B07A5B" w14:textId="77777777" w:rsidR="00490794" w:rsidRPr="00D82A1E" w:rsidRDefault="00490794" w:rsidP="009F68B5">
            <w:pPr>
              <w:contextualSpacing/>
              <w:jc w:val="both"/>
              <w:rPr>
                <w:rFonts w:ascii="Century Gothic" w:eastAsia="Calibri" w:hAnsi="Century Gothic" w:cs="Arial"/>
                <w:lang w:val="es-ES_tradnl" w:eastAsia="es-ES_tradnl"/>
              </w:rPr>
            </w:pPr>
            <w:r w:rsidRPr="00D82A1E">
              <w:rPr>
                <w:rFonts w:ascii="Century Gothic" w:eastAsia="Calibri" w:hAnsi="Century Gothic" w:cs="Arial"/>
                <w:lang w:val="es-ES_tradnl" w:eastAsia="es-ES_tradnl"/>
              </w:rPr>
              <w:t>Respuesta a consultas acumuladas Nos. P20240107000135</w:t>
            </w:r>
            <w:r w:rsidRPr="00D82A1E">
              <w:rPr>
                <w:rFonts w:ascii="Century Gothic" w:eastAsia="Calibri" w:hAnsi="Century Gothic" w:cs="Arial"/>
                <w:lang w:val="es-ES_tradnl" w:eastAsia="es-ES_tradnl"/>
              </w:rPr>
              <w:tab/>
            </w:r>
            <w:r w:rsidRPr="00D82A1E">
              <w:rPr>
                <w:rFonts w:ascii="Century Gothic" w:eastAsia="Calibri" w:hAnsi="Century Gothic" w:cs="Arial"/>
                <w:lang w:val="es-ES_tradnl" w:eastAsia="es-ES_tradnl"/>
              </w:rPr>
              <w:tab/>
              <w:t xml:space="preserve"> y P20240107000136</w:t>
            </w:r>
            <w:r w:rsidRPr="00D82A1E">
              <w:rPr>
                <w:rFonts w:ascii="Century Gothic" w:eastAsia="Calibri" w:hAnsi="Century Gothic" w:cs="Arial"/>
                <w:lang w:val="es-ES_tradnl" w:eastAsia="es-ES_tradnl"/>
              </w:rPr>
              <w:tab/>
            </w:r>
            <w:r w:rsidRPr="00D82A1E">
              <w:rPr>
                <w:rFonts w:ascii="Century Gothic" w:eastAsia="Calibri" w:hAnsi="Century Gothic" w:cs="Arial"/>
                <w:lang w:val="es-ES_tradnl" w:eastAsia="es-ES_tradnl"/>
              </w:rPr>
              <w:tab/>
            </w:r>
          </w:p>
        </w:tc>
      </w:tr>
    </w:tbl>
    <w:p w14:paraId="44FA46A8" w14:textId="77777777" w:rsidR="00490794" w:rsidRPr="00D82A1E" w:rsidRDefault="00490794" w:rsidP="00490794">
      <w:pPr>
        <w:contextualSpacing/>
        <w:jc w:val="both"/>
        <w:rPr>
          <w:rFonts w:ascii="Century Gothic" w:eastAsia="Calibri" w:hAnsi="Century Gothic" w:cs="Arial"/>
          <w:lang w:val="es-ES_tradnl" w:eastAsia="es-ES_tradnl"/>
        </w:rPr>
      </w:pPr>
    </w:p>
    <w:p w14:paraId="507564AF" w14:textId="77777777" w:rsidR="00490794" w:rsidRPr="00D82A1E" w:rsidRDefault="00490794" w:rsidP="00490794">
      <w:pPr>
        <w:contextualSpacing/>
        <w:jc w:val="both"/>
        <w:rPr>
          <w:rFonts w:ascii="Century Gothic" w:eastAsia="Calibri" w:hAnsi="Century Gothic" w:cs="Arial"/>
          <w:lang w:val="es-ES_tradnl" w:eastAsia="es-ES_tradnl"/>
        </w:rPr>
      </w:pPr>
    </w:p>
    <w:p w14:paraId="42A47C9E" w14:textId="77777777" w:rsidR="00490794" w:rsidRPr="00D82A1E" w:rsidRDefault="00490794" w:rsidP="00490794">
      <w:pPr>
        <w:contextualSpacing/>
        <w:jc w:val="both"/>
        <w:rPr>
          <w:rFonts w:ascii="Century Gothic" w:eastAsia="Calibri" w:hAnsi="Century Gothic" w:cs="Arial"/>
          <w:lang w:val="es-ES" w:eastAsia="es-ES"/>
        </w:rPr>
      </w:pPr>
      <w:r w:rsidRPr="00D82A1E">
        <w:rPr>
          <w:rFonts w:ascii="Century Gothic" w:eastAsia="Calibri" w:hAnsi="Century Gothic" w:cs="Arial"/>
          <w:lang w:val="es-ES" w:eastAsia="es-ES"/>
        </w:rPr>
        <w:t>Estimado señor Granados:</w:t>
      </w:r>
    </w:p>
    <w:p w14:paraId="3B4D9A95" w14:textId="77777777" w:rsidR="00490794" w:rsidRPr="00D82A1E" w:rsidRDefault="00490794" w:rsidP="00490794">
      <w:pPr>
        <w:spacing w:line="276" w:lineRule="auto"/>
        <w:contextualSpacing/>
        <w:jc w:val="both"/>
        <w:rPr>
          <w:rFonts w:ascii="Century Gothic" w:eastAsia="Calibri" w:hAnsi="Century Gothic" w:cs="Arial"/>
          <w:szCs w:val="24"/>
          <w:lang w:val="es-ES_tradnl" w:eastAsia="es-ES_tradnl"/>
        </w:rPr>
      </w:pPr>
    </w:p>
    <w:bookmarkEnd w:id="0"/>
    <w:bookmarkEnd w:id="1"/>
    <w:p w14:paraId="2B301029" w14:textId="77777777" w:rsidR="00490794" w:rsidRPr="00D82A1E" w:rsidRDefault="00490794" w:rsidP="00490794">
      <w:pPr>
        <w:spacing w:after="0" w:line="276" w:lineRule="auto"/>
        <w:jc w:val="both"/>
        <w:rPr>
          <w:rFonts w:ascii="Century Gothic" w:eastAsia="Calibri" w:hAnsi="Century Gothic" w:cs="Arial"/>
          <w:lang w:val="es-ES_tradnl"/>
        </w:rPr>
      </w:pPr>
      <w:r w:rsidRPr="00D82A1E">
        <w:rPr>
          <w:rFonts w:ascii="Century Gothic" w:eastAsia="Calibri" w:hAnsi="Century Gothic" w:cs="Arial"/>
          <w:lang w:val="es-ES_tradnl"/>
        </w:rPr>
        <w:t>En ejercicio de la competencia otorgada por el numeral 5° del artículo 3 y el numeral 8° del artículo 11 del Decreto Ley 4170 de 2011</w:t>
      </w:r>
      <w:bookmarkStart w:id="4" w:name="_Hlk99120496"/>
      <w:r w:rsidRPr="00D82A1E">
        <w:rPr>
          <w:rFonts w:ascii="Century Gothic" w:eastAsia="Arial MT" w:hAnsi="Century Gothic" w:cs="Arial MT"/>
          <w:lang w:val="es-ES"/>
        </w:rPr>
        <w:t xml:space="preserve">, </w:t>
      </w:r>
      <w:bookmarkEnd w:id="4"/>
      <w:r w:rsidRPr="00D82A1E">
        <w:rPr>
          <w:rFonts w:ascii="Century Gothic" w:eastAsia="Calibri" w:hAnsi="Century Gothic" w:cs="Arial"/>
          <w:lang w:val="es-ES_tradnl"/>
        </w:rPr>
        <w:t>la Agencia Nacional de Contratación Pública – Colombia Compra Eficiente– responde sus peticiones acumuladas recibidas el 07 de enero de 2024.</w:t>
      </w:r>
    </w:p>
    <w:p w14:paraId="6DE8BA0D" w14:textId="77777777" w:rsidR="00490794" w:rsidRPr="00D82A1E" w:rsidRDefault="00490794" w:rsidP="00490794">
      <w:pPr>
        <w:spacing w:after="0" w:line="276" w:lineRule="auto"/>
        <w:jc w:val="both"/>
        <w:rPr>
          <w:rFonts w:ascii="Century Gothic" w:eastAsia="Calibri" w:hAnsi="Century Gothic" w:cs="Arial"/>
          <w:b/>
          <w:lang w:val="es-ES_tradnl"/>
        </w:rPr>
      </w:pPr>
    </w:p>
    <w:p w14:paraId="143677AA" w14:textId="77777777" w:rsidR="00490794" w:rsidRPr="00D82A1E" w:rsidRDefault="00490794" w:rsidP="00490794">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D82A1E">
        <w:rPr>
          <w:rFonts w:ascii="Century Gothic" w:eastAsia="Calibri" w:hAnsi="Century Gothic" w:cs="Arial"/>
          <w:b/>
          <w:lang w:val="es-ES_tradnl"/>
        </w:rPr>
        <w:t xml:space="preserve">Problemas planteados </w:t>
      </w:r>
    </w:p>
    <w:p w14:paraId="089980D0" w14:textId="77777777" w:rsidR="00490794" w:rsidRPr="00D82A1E" w:rsidRDefault="00490794" w:rsidP="00490794">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03EF6D0E" w14:textId="77777777" w:rsidR="00490794" w:rsidRPr="00D82A1E" w:rsidRDefault="00490794" w:rsidP="00490794">
      <w:pPr>
        <w:tabs>
          <w:tab w:val="left" w:pos="0"/>
          <w:tab w:val="left" w:pos="142"/>
          <w:tab w:val="left" w:pos="284"/>
        </w:tabs>
        <w:spacing w:after="0" w:line="276" w:lineRule="auto"/>
        <w:contextualSpacing/>
        <w:jc w:val="both"/>
        <w:rPr>
          <w:rFonts w:ascii="Century Gothic" w:hAnsi="Century Gothic" w:cs="Arial"/>
          <w:sz w:val="20"/>
          <w:szCs w:val="20"/>
          <w:lang w:val="es-ES_tradnl"/>
        </w:rPr>
      </w:pPr>
      <w:r w:rsidRPr="00D82A1E">
        <w:rPr>
          <w:rFonts w:ascii="Century Gothic" w:eastAsia="Calibri" w:hAnsi="Century Gothic" w:cs="Arial"/>
          <w:bCs/>
          <w:lang w:val="es-ES_tradnl"/>
        </w:rPr>
        <w:t>Usted realiza las siguientes consultas:</w:t>
      </w:r>
    </w:p>
    <w:p w14:paraId="13375C20" w14:textId="77777777" w:rsidR="00490794" w:rsidRPr="00D82A1E" w:rsidRDefault="00490794" w:rsidP="00490794">
      <w:pPr>
        <w:spacing w:after="0" w:line="240" w:lineRule="auto"/>
        <w:jc w:val="both"/>
        <w:rPr>
          <w:rFonts w:ascii="Century Gothic" w:hAnsi="Century Gothic" w:cs="Arial"/>
          <w:lang w:val="es-ES_tradnl"/>
        </w:rPr>
      </w:pPr>
    </w:p>
    <w:p w14:paraId="4DD5E747"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r w:rsidRPr="00D82A1E">
        <w:rPr>
          <w:rFonts w:ascii="Century Gothic" w:hAnsi="Century Gothic" w:cs="Arial"/>
          <w:sz w:val="21"/>
          <w:szCs w:val="21"/>
          <w:lang w:val="es-ES_tradnl"/>
        </w:rPr>
        <w:lastRenderedPageBreak/>
        <w:t>“1) REGIMEN JURIDCO APLICABLE DE LOS PROCESOS LLEVADOS A CABO POR EL DECRETO 092 DE 2017?</w:t>
      </w:r>
    </w:p>
    <w:p w14:paraId="22167CB7"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r w:rsidRPr="00D82A1E">
        <w:rPr>
          <w:rFonts w:ascii="Century Gothic" w:hAnsi="Century Gothic" w:cs="Arial"/>
          <w:sz w:val="21"/>
          <w:szCs w:val="21"/>
          <w:lang w:val="es-ES_tradnl"/>
        </w:rPr>
        <w:t>2) ES APLICABLE LA LEY 80 DE 1993 A LOS PROCESOS POR DECRETO 092 DE 2017?</w:t>
      </w:r>
    </w:p>
    <w:p w14:paraId="53BB3DDD"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r w:rsidRPr="00D82A1E">
        <w:rPr>
          <w:rFonts w:ascii="Century Gothic" w:hAnsi="Century Gothic" w:cs="Arial"/>
          <w:sz w:val="21"/>
          <w:szCs w:val="21"/>
          <w:lang w:val="es-ES_tradnl"/>
        </w:rPr>
        <w:t>3) QUE ES APLICABLE DE LA LEY 80 DE 1993 A LOS PROCESOS POR DECRETO 092 DE 2017?</w:t>
      </w:r>
    </w:p>
    <w:p w14:paraId="514128C4"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r w:rsidRPr="00D82A1E">
        <w:rPr>
          <w:rFonts w:ascii="Century Gothic" w:hAnsi="Century Gothic" w:cs="Arial"/>
          <w:sz w:val="21"/>
          <w:szCs w:val="21"/>
          <w:lang w:val="es-ES_tradnl"/>
        </w:rPr>
        <w:t>4) EN LOS PROCESOS POR DECRETO 092 DE 2017 ES APLICABLE LOS INCENTIVOS Y CRITERIOS DIFERENCIALES EN FAVOR DE MIPYMES Y EMPRENDIMIENTOS DE EMPRESAS DE MUJERES?” [sic]</w:t>
      </w:r>
    </w:p>
    <w:p w14:paraId="4BC5CD1B" w14:textId="77777777" w:rsidR="00490794" w:rsidRPr="00D82A1E" w:rsidRDefault="00490794" w:rsidP="00490794">
      <w:pPr>
        <w:spacing w:after="0" w:line="276" w:lineRule="auto"/>
        <w:ind w:right="709"/>
        <w:jc w:val="both"/>
        <w:rPr>
          <w:rFonts w:ascii="Century Gothic" w:hAnsi="Century Gothic" w:cs="Arial"/>
        </w:rPr>
      </w:pPr>
    </w:p>
    <w:p w14:paraId="7E5A5FD8" w14:textId="77777777" w:rsidR="00490794" w:rsidRPr="00D82A1E" w:rsidRDefault="00490794" w:rsidP="00490794">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D82A1E">
        <w:rPr>
          <w:rFonts w:ascii="Century Gothic" w:eastAsia="Calibri" w:hAnsi="Century Gothic" w:cs="Arial"/>
          <w:b/>
          <w:lang w:val="es-ES_tradnl"/>
        </w:rPr>
        <w:t>Consideraciones</w:t>
      </w:r>
    </w:p>
    <w:p w14:paraId="6C1BD5E8" w14:textId="77777777" w:rsidR="00490794" w:rsidRPr="00D82A1E" w:rsidRDefault="00490794" w:rsidP="00490794">
      <w:pPr>
        <w:spacing w:after="0" w:line="276" w:lineRule="auto"/>
        <w:jc w:val="both"/>
        <w:rPr>
          <w:rFonts w:ascii="Century Gothic" w:eastAsia="Calibri" w:hAnsi="Century Gothic" w:cs="Arial"/>
          <w:lang w:val="es-ES"/>
        </w:rPr>
      </w:pPr>
    </w:p>
    <w:p w14:paraId="02EA099D" w14:textId="77777777" w:rsidR="00490794" w:rsidRPr="00D82A1E" w:rsidRDefault="00490794" w:rsidP="00490794">
      <w:pPr>
        <w:spacing w:after="120" w:line="276" w:lineRule="auto"/>
        <w:jc w:val="both"/>
        <w:rPr>
          <w:rFonts w:ascii="Century Gothic" w:hAnsi="Century Gothic" w:cs="Arial"/>
          <w:lang w:val="es-ES"/>
        </w:rPr>
      </w:pPr>
      <w:r w:rsidRPr="00D82A1E">
        <w:rPr>
          <w:rFonts w:ascii="Century Gothic" w:hAnsi="Century Gothic" w:cs="Arial"/>
          <w:bCs/>
        </w:rPr>
        <w:t xml:space="preserve">En ejercicio de las competencias establecidas en los artículos 3, numeral 5° y 11, numeral 8° del Decreto 4170 de 2011, la Agencia Nacional de Contratación Pública – Colombia Compra Eficiente resuelve consultas sobre </w:t>
      </w:r>
      <w:r w:rsidRPr="00D82A1E">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D82A1E">
        <w:rPr>
          <w:rFonts w:ascii="Century Gothic" w:hAnsi="Century Gothic" w:cs="Arial"/>
          <w:bCs/>
        </w:rPr>
        <w:t xml:space="preserve"> de todos los partícipes de la contratación estatal.</w:t>
      </w:r>
    </w:p>
    <w:p w14:paraId="677F87E7" w14:textId="77777777" w:rsidR="00490794" w:rsidRPr="00D82A1E" w:rsidRDefault="00490794" w:rsidP="00490794">
      <w:pPr>
        <w:spacing w:after="120" w:line="276" w:lineRule="auto"/>
        <w:ind w:firstLine="708"/>
        <w:jc w:val="both"/>
        <w:rPr>
          <w:rFonts w:ascii="Century Gothic" w:hAnsi="Century Gothic" w:cs="Arial"/>
          <w:lang w:val="es-ES"/>
        </w:rPr>
      </w:pPr>
      <w:r w:rsidRPr="00D82A1E">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82A1E">
        <w:rPr>
          <w:rFonts w:ascii="Century Gothic" w:hAnsi="Century Gothic" w:cs="Arial"/>
          <w:vertAlign w:val="superscript"/>
          <w:lang w:val="es-ES"/>
        </w:rPr>
        <w:footnoteReference w:id="1"/>
      </w:r>
      <w:r w:rsidRPr="00D82A1E">
        <w:rPr>
          <w:rFonts w:ascii="Century Gothic" w:hAnsi="Century Gothic" w:cs="Arial"/>
          <w:lang w:val="es-ES"/>
        </w:rPr>
        <w:t xml:space="preserve">. Esta competencia de interpretación de normas generales, por definición, no puede extenderse a la resolución de controversias ni brindar asesorías sobre casos puntuales. </w:t>
      </w:r>
    </w:p>
    <w:p w14:paraId="228D87C8" w14:textId="77777777" w:rsidR="00490794" w:rsidRPr="00D82A1E" w:rsidRDefault="00490794" w:rsidP="00490794">
      <w:pPr>
        <w:spacing w:after="120" w:line="276" w:lineRule="auto"/>
        <w:ind w:firstLine="708"/>
        <w:jc w:val="both"/>
        <w:rPr>
          <w:rFonts w:ascii="Century Gothic" w:eastAsia="Calibri" w:hAnsi="Century Gothic" w:cs="Arial"/>
          <w:lang w:val="es-ES"/>
        </w:rPr>
      </w:pPr>
      <w:r w:rsidRPr="00D82A1E">
        <w:rPr>
          <w:rFonts w:ascii="Century Gothic" w:eastAsia="Calibri" w:hAnsi="Century Gothic" w:cs="Arial"/>
          <w:lang w:val="es-MX"/>
        </w:rPr>
        <w:t xml:space="preserve">En atención a lo anterior, </w:t>
      </w:r>
      <w:r w:rsidRPr="00D82A1E">
        <w:rPr>
          <w:rFonts w:ascii="Century Gothic" w:eastAsia="Calibri" w:hAnsi="Century Gothic" w:cs="Arial"/>
          <w:lang w:val="es-ES"/>
        </w:rPr>
        <w:t>la Subdirección de Gestión Contractual de esta Agencia, dentro de los límites de sus atribuciones, resolverá la consulta conforme a las normas generales en materia de contratación estatal</w:t>
      </w:r>
      <w:r w:rsidRPr="00D82A1E">
        <w:rPr>
          <w:rFonts w:ascii="Century Gothic" w:eastAsia="Calibri" w:hAnsi="Century Gothic" w:cs="Arial"/>
          <w:lang w:val="es-ES_tradnl" w:eastAsia="es-MX"/>
        </w:rPr>
        <w:t xml:space="preserve">, luego de analizar los siguientes temas: i) régimen de los contratos del Decreto 092 de 2017; ii) suspensión </w:t>
      </w:r>
      <w:r w:rsidRPr="00D82A1E">
        <w:rPr>
          <w:rFonts w:ascii="Century Gothic" w:eastAsia="Calibri" w:hAnsi="Century Gothic" w:cs="Arial"/>
          <w:lang w:val="es-ES_tradnl" w:eastAsia="es-MX"/>
        </w:rPr>
        <w:lastRenderedPageBreak/>
        <w:t>provisional de algunas normas del Decreto 092 de 2017; y iii)</w:t>
      </w:r>
      <w:r w:rsidRPr="00D82A1E">
        <w:t xml:space="preserve"> </w:t>
      </w:r>
      <w:r w:rsidRPr="00D82A1E">
        <w:rPr>
          <w:rFonts w:ascii="Century Gothic" w:eastAsia="Calibri" w:hAnsi="Century Gothic" w:cs="Arial"/>
          <w:lang w:val="es-ES_tradnl" w:eastAsia="es-MX"/>
        </w:rPr>
        <w:t>criterios diferenciales en favor de las Mipyme y los emprendimientos y empresas de mujeres en los procesos adelantados mediante el Decreto 092 de 2017.</w:t>
      </w:r>
    </w:p>
    <w:p w14:paraId="2A9ECC7D" w14:textId="77777777" w:rsidR="00490794" w:rsidRPr="00D82A1E" w:rsidRDefault="00490794" w:rsidP="00490794">
      <w:pPr>
        <w:widowControl w:val="0"/>
        <w:autoSpaceDE w:val="0"/>
        <w:autoSpaceDN w:val="0"/>
        <w:spacing w:before="120" w:after="0" w:line="276" w:lineRule="auto"/>
        <w:ind w:firstLine="709"/>
        <w:jc w:val="both"/>
        <w:rPr>
          <w:rFonts w:ascii="Century Gothic" w:hAnsi="Century Gothic" w:cs="Arial"/>
        </w:rPr>
      </w:pPr>
      <w:r w:rsidRPr="00D82A1E">
        <w:rPr>
          <w:rFonts w:ascii="Century Gothic" w:hAnsi="Century Gothic" w:cs="Arial"/>
        </w:rPr>
        <w:t>La Agencia Nacional de Contratación Pública – Colombia Compra Eficiente se ha pronunciado en diferentes conceptos sobre la contratación con entidades privadas sin ánimo de lucro y de reconocida idoneidad –desde ahora ESAL–, con fundamento en el Decreto 092 de 2017, en particular en los Conceptos,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y C-853 del 9 de diciembre de 2022</w:t>
      </w:r>
      <w:r>
        <w:rPr>
          <w:rFonts w:ascii="Century Gothic" w:hAnsi="Century Gothic" w:cs="Arial"/>
        </w:rPr>
        <w:t>, C-026 de 16 de marzo de 2023, C-037 de 05 de abril de 2023, C-203 de 21 de junio de 2023</w:t>
      </w:r>
      <w:r w:rsidRPr="00D82A1E">
        <w:rPr>
          <w:rFonts w:ascii="Century Gothic" w:hAnsi="Century Gothic" w:cs="Arial"/>
        </w:rPr>
        <w:t xml:space="preserve">. </w:t>
      </w:r>
    </w:p>
    <w:p w14:paraId="2917A02B" w14:textId="77777777" w:rsidR="00490794" w:rsidRPr="00D82A1E" w:rsidRDefault="00490794" w:rsidP="00490794">
      <w:pPr>
        <w:widowControl w:val="0"/>
        <w:autoSpaceDE w:val="0"/>
        <w:autoSpaceDN w:val="0"/>
        <w:spacing w:before="120" w:after="0" w:line="276" w:lineRule="auto"/>
        <w:ind w:firstLine="709"/>
        <w:jc w:val="both"/>
        <w:rPr>
          <w:rFonts w:ascii="Century Gothic" w:eastAsia="Calibri" w:hAnsi="Century Gothic" w:cs="Arial"/>
          <w:bCs/>
          <w:lang w:val="es-ES_tradnl"/>
        </w:rPr>
      </w:pPr>
      <w:r w:rsidRPr="00D82A1E">
        <w:rPr>
          <w:rFonts w:ascii="Century Gothic" w:hAnsi="Century Gothic" w:cs="Arial"/>
        </w:rPr>
        <w:t>Así mismo, esta Agencia en los, C-031 del 1 de marzo de 2022, C-281 del 12 de mayo de 2022, C-245 de 02 de mayo 2022, C-326 del 18 de mayo de 2022, C-347 del 09 de junio de 2022, C-421 del 06 de julio de 2022, C-509 del 8 de agosto de 2022, C-627 del 29 de septiembre de 2022</w:t>
      </w:r>
      <w:r>
        <w:rPr>
          <w:rFonts w:ascii="Century Gothic" w:hAnsi="Century Gothic" w:cs="Arial"/>
        </w:rPr>
        <w:t>,</w:t>
      </w:r>
      <w:r w:rsidRPr="00D82A1E">
        <w:rPr>
          <w:rFonts w:ascii="Century Gothic" w:hAnsi="Century Gothic" w:cs="Arial"/>
        </w:rPr>
        <w:t xml:space="preserve"> C-872 del 22 de diciembre de 2022,</w:t>
      </w:r>
      <w:r>
        <w:rPr>
          <w:rFonts w:ascii="Century Gothic" w:hAnsi="Century Gothic" w:cs="Arial"/>
        </w:rPr>
        <w:t xml:space="preserve"> C-070 de 24 de abril de 2023 y C-113 de 19 de mayo de 2023,</w:t>
      </w:r>
      <w:r w:rsidRPr="00D82A1E">
        <w:rPr>
          <w:rFonts w:ascii="Century Gothic" w:hAnsi="Century Gothic" w:cs="Arial"/>
        </w:rPr>
        <w:t xml:space="preserve"> se pronunció sobre el contexto general de la Ley 2069 de 2020</w:t>
      </w:r>
      <w:r w:rsidRPr="00D82A1E">
        <w:rPr>
          <w:rFonts w:ascii="Century Gothic" w:eastAsia="Calibri" w:hAnsi="Century Gothic" w:cs="Arial"/>
          <w:vertAlign w:val="superscript"/>
        </w:rPr>
        <w:footnoteReference w:id="2"/>
      </w:r>
      <w:r w:rsidRPr="00D82A1E">
        <w:rPr>
          <w:rFonts w:ascii="Century Gothic" w:hAnsi="Century Gothic" w:cs="Arial"/>
        </w:rPr>
        <w:t>. Las tesis propuestas en tales conceptos se reiteran a continuación y se complementan en lo pertinente</w:t>
      </w:r>
      <w:r w:rsidRPr="00D82A1E">
        <w:rPr>
          <w:rFonts w:ascii="Century Gothic" w:eastAsia="Calibri" w:hAnsi="Century Gothic" w:cs="Arial"/>
          <w:bCs/>
          <w:lang w:val="es-ES_tradnl"/>
        </w:rPr>
        <w:t>.</w:t>
      </w:r>
    </w:p>
    <w:p w14:paraId="0A685369" w14:textId="77777777" w:rsidR="00490794" w:rsidRPr="00D82A1E" w:rsidRDefault="00490794" w:rsidP="00490794">
      <w:pPr>
        <w:widowControl w:val="0"/>
        <w:autoSpaceDE w:val="0"/>
        <w:autoSpaceDN w:val="0"/>
        <w:spacing w:after="0" w:line="276" w:lineRule="auto"/>
        <w:ind w:firstLine="708"/>
        <w:jc w:val="both"/>
        <w:rPr>
          <w:rFonts w:ascii="Century Gothic" w:hAnsi="Century Gothic" w:cs="Arial"/>
          <w:b/>
          <w:lang w:val="es-MX"/>
        </w:rPr>
      </w:pPr>
    </w:p>
    <w:p w14:paraId="5F54A90D" w14:textId="77777777" w:rsidR="00490794" w:rsidRPr="00D82A1E" w:rsidRDefault="00490794" w:rsidP="00490794">
      <w:pPr>
        <w:spacing w:after="0" w:line="276" w:lineRule="auto"/>
        <w:contextualSpacing/>
        <w:jc w:val="both"/>
        <w:rPr>
          <w:rFonts w:ascii="Century Gothic" w:eastAsia="Arial" w:hAnsi="Century Gothic" w:cs="Arial"/>
          <w:b/>
          <w:bCs/>
          <w:lang w:val="es-ES_tradnl" w:eastAsia="es-ES_tradnl"/>
        </w:rPr>
      </w:pPr>
      <w:bookmarkStart w:id="5" w:name="_Hlk73970609"/>
      <w:r w:rsidRPr="00D82A1E">
        <w:rPr>
          <w:rFonts w:ascii="Century Gothic" w:eastAsia="Arial" w:hAnsi="Century Gothic" w:cs="Arial"/>
          <w:b/>
          <w:bCs/>
          <w:lang w:val="es-ES_tradnl" w:eastAsia="es-ES_tradnl"/>
        </w:rPr>
        <w:t>2.1. Régimen de los contratos del Decreto 092 de 2017. Reiteración de línea</w:t>
      </w:r>
    </w:p>
    <w:p w14:paraId="4DE6439E" w14:textId="77777777" w:rsidR="00490794" w:rsidRPr="00D82A1E" w:rsidRDefault="00490794" w:rsidP="00490794">
      <w:pPr>
        <w:spacing w:after="0" w:line="276" w:lineRule="auto"/>
        <w:contextualSpacing/>
        <w:jc w:val="both"/>
        <w:rPr>
          <w:rFonts w:ascii="Century Gothic" w:eastAsia="Arial" w:hAnsi="Century Gothic" w:cs="Arial"/>
          <w:b/>
          <w:bCs/>
          <w:lang w:val="es-ES_tradnl" w:eastAsia="es-ES_tradnl"/>
        </w:rPr>
      </w:pPr>
    </w:p>
    <w:p w14:paraId="15BCF3D2" w14:textId="77777777" w:rsidR="00490794" w:rsidRPr="00D82A1E" w:rsidRDefault="00490794" w:rsidP="00490794">
      <w:pPr>
        <w:spacing w:after="0" w:line="276" w:lineRule="auto"/>
        <w:jc w:val="both"/>
        <w:rPr>
          <w:rFonts w:ascii="Century Gothic" w:eastAsia="Arial" w:hAnsi="Century Gothic" w:cs="Arial"/>
        </w:rPr>
      </w:pPr>
      <w:r w:rsidRPr="00D82A1E">
        <w:rPr>
          <w:rFonts w:ascii="Century Gothic" w:eastAsia="Arial" w:hAnsi="Century Gothic" w:cs="Ari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D82A1E">
        <w:rPr>
          <w:rFonts w:ascii="Century Gothic" w:hAnsi="Century Gothic" w:cs="Arial"/>
          <w:vertAlign w:val="superscript"/>
        </w:rPr>
        <w:footnoteReference w:id="3"/>
      </w:r>
      <w:r w:rsidRPr="00D82A1E">
        <w:rPr>
          <w:rFonts w:ascii="Century Gothic" w:eastAsia="Calibri" w:hAnsi="Century Gothic" w:cs="Arial"/>
          <w:bCs/>
          <w:lang w:val="es-ES_tradnl"/>
        </w:rPr>
        <w:t xml:space="preserve">. Por otra parte, el artículo 96 de la Ley 489 de 1998 permite a las entidades públicas en general, es decir, cualquiera sea su naturaleza y orden administrativo, asociarse con personas jurídicas </w:t>
      </w:r>
      <w:r w:rsidRPr="00D82A1E">
        <w:rPr>
          <w:rFonts w:ascii="Century Gothic" w:eastAsia="Calibri" w:hAnsi="Century Gothic" w:cs="Arial"/>
          <w:bCs/>
          <w:lang w:val="es-ES_tradnl"/>
        </w:rPr>
        <w:lastRenderedPageBreak/>
        <w:t>particulares, mediante la celebración de convenios de asociación o la creación de personas jurídicas. Ambas figuras tienen como fin desarrollar conjuntamente actividades relacionadas con los cometidos y funciones legales asignadas a la entidad</w:t>
      </w:r>
      <w:r w:rsidRPr="00D82A1E">
        <w:rPr>
          <w:rFonts w:ascii="Century Gothic" w:eastAsia="Calibri" w:hAnsi="Century Gothic" w:cs="Arial"/>
          <w:bCs/>
          <w:vertAlign w:val="superscript"/>
          <w:lang w:val="es-ES_tradnl"/>
        </w:rPr>
        <w:footnoteReference w:id="4"/>
      </w:r>
      <w:r w:rsidRPr="00D82A1E">
        <w:rPr>
          <w:rFonts w:ascii="Century Gothic" w:eastAsia="Calibri" w:hAnsi="Century Gothic" w:cs="Arial"/>
          <w:bCs/>
          <w:lang w:val="es-ES_tradnl"/>
        </w:rPr>
        <w:t>.</w:t>
      </w:r>
    </w:p>
    <w:p w14:paraId="0CE27697" w14:textId="77777777" w:rsidR="00490794" w:rsidRPr="00D82A1E" w:rsidRDefault="00490794" w:rsidP="00490794">
      <w:pPr>
        <w:spacing w:before="120" w:after="0" w:line="276" w:lineRule="auto"/>
        <w:jc w:val="both"/>
        <w:rPr>
          <w:rFonts w:ascii="Century Gothic" w:eastAsia="Arial" w:hAnsi="Century Gothic" w:cs="Arial"/>
        </w:rPr>
      </w:pPr>
      <w:r w:rsidRPr="00D82A1E">
        <w:rPr>
          <w:rFonts w:ascii="Century Gothic" w:eastAsia="Arial" w:hAnsi="Century Gothic" w:cs="Arial"/>
        </w:rPr>
        <w:tab/>
        <w:t>El Decreto 092 de 2017 dispone reglas para las contrataciones que realicen las Entidades Estatales con las ESAL. El Decreto regula dos (2) eventos: i) los contratos del artículo 355 de la Constitución Política con el fin de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w:t>
      </w:r>
    </w:p>
    <w:p w14:paraId="66EC3447"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t xml:space="preserve">Los </w:t>
      </w:r>
      <w:r w:rsidRPr="00D82A1E">
        <w:rPr>
          <w:rFonts w:ascii="Century Gothic" w:eastAsia="Arial" w:hAnsi="Century Gothic" w:cs="Arial"/>
          <w:i/>
          <w:iCs/>
        </w:rPr>
        <w:t xml:space="preserve">contratos del artículo 355 de </w:t>
      </w:r>
      <w:r>
        <w:rPr>
          <w:rFonts w:ascii="Century Gothic" w:eastAsia="Arial" w:hAnsi="Century Gothic" w:cs="Arial"/>
          <w:i/>
          <w:iCs/>
        </w:rPr>
        <w:t>l</w:t>
      </w:r>
      <w:r w:rsidRPr="00D82A1E">
        <w:rPr>
          <w:rFonts w:ascii="Century Gothic" w:eastAsia="Arial" w:hAnsi="Century Gothic" w:cs="Arial"/>
          <w:i/>
          <w:iCs/>
        </w:rPr>
        <w:t xml:space="preserve">a Constitución Política, </w:t>
      </w:r>
      <w:r w:rsidRPr="00D82A1E">
        <w:rPr>
          <w:rFonts w:ascii="Century Gothic" w:eastAsia="Arial" w:hAnsi="Century Gothic" w:cs="Arial"/>
        </w:rPr>
        <w:t>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ESAL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dirigida al beneficio de la población en general, ya que cuando se adquieren bienes y servicios o se ejecutan obras en una relación conmutativa, las normas aplicables son las del Estatuto General de Contratación de la Administración Pública, en adelante EGCAP.</w:t>
      </w:r>
    </w:p>
    <w:p w14:paraId="0E9E7531"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lastRenderedPageBreak/>
        <w:t xml:space="preserve">De otro lado, los </w:t>
      </w:r>
      <w:r w:rsidRPr="00D82A1E">
        <w:rPr>
          <w:rFonts w:ascii="Century Gothic" w:eastAsia="Arial" w:hAnsi="Century Gothic" w:cs="Arial"/>
          <w:i/>
          <w:iCs/>
        </w:rPr>
        <w:t xml:space="preserve">convenios de asociación </w:t>
      </w:r>
      <w:r w:rsidRPr="00D82A1E">
        <w:rPr>
          <w:rFonts w:ascii="Century Gothic" w:eastAsia="Arial" w:hAnsi="Century Gothic" w:cs="Arial"/>
        </w:rPr>
        <w:t>“[t]ienen como finalidad que la entidad estatal, cualquiera que sea su naturaleza y ordenamiento administrativo, se asocien con personas jurídicas particulares para el desarrollo conjunto de actividades relacionadas con los cometidos y funciones asignadas a aquellas conforme a la Constitución y a la Ley”</w:t>
      </w:r>
      <w:r w:rsidRPr="00D82A1E">
        <w:rPr>
          <w:rFonts w:ascii="Century Gothic" w:hAnsi="Century Gothic" w:cs="Arial"/>
          <w:vertAlign w:val="superscript"/>
        </w:rPr>
        <w:footnoteReference w:id="5"/>
      </w:r>
      <w:r w:rsidRPr="00D82A1E">
        <w:rPr>
          <w:rFonts w:ascii="Century Gothic" w:eastAsia="Calibri" w:hAnsi="Century Gothic" w:cs="Arial"/>
          <w:bCs/>
          <w:lang w:val="es-ES_tradnl"/>
        </w:rPr>
        <w:t>. En</w:t>
      </w:r>
      <w:r w:rsidRPr="00D82A1E">
        <w:rPr>
          <w:rFonts w:ascii="Century Gothic" w:eastAsia="Arial" w:hAnsi="Century Gothic" w:cs="Arial"/>
        </w:rPr>
        <w:t xml:space="preserve">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toral del convenio</w:t>
      </w:r>
      <w:r w:rsidRPr="00D82A1E">
        <w:rPr>
          <w:rFonts w:ascii="Century Gothic" w:eastAsia="Calibri" w:hAnsi="Century Gothic" w:cs="Arial"/>
          <w:bCs/>
          <w:vertAlign w:val="superscript"/>
          <w:lang w:val="es-ES_tradnl"/>
        </w:rPr>
        <w:footnoteReference w:id="6"/>
      </w:r>
      <w:r w:rsidRPr="00D82A1E">
        <w:rPr>
          <w:rFonts w:ascii="Century Gothic" w:eastAsia="Arial" w:hAnsi="Century Gothic" w:cs="Arial"/>
        </w:rPr>
        <w:t>. El convenio de asociación no es conmutativo y, por tanto, la entidad no instruye al contratista para desarrollar los programas o actividades previstas, sino que se asocia con él para el cumplimiento de objetivos comunes</w:t>
      </w:r>
      <w:r w:rsidRPr="00D82A1E">
        <w:rPr>
          <w:rFonts w:ascii="Century Gothic" w:hAnsi="Century Gothic" w:cs="Arial"/>
          <w:vertAlign w:val="superscript"/>
          <w:lang w:val="es-MX"/>
        </w:rPr>
        <w:footnoteReference w:id="7"/>
      </w:r>
      <w:r w:rsidRPr="00D82A1E">
        <w:rPr>
          <w:rFonts w:ascii="Century Gothic" w:eastAsia="Calibri" w:hAnsi="Century Gothic" w:cs="Arial"/>
          <w:bCs/>
          <w:lang w:val="es-ES_tradnl"/>
        </w:rPr>
        <w:t>.</w:t>
      </w:r>
    </w:p>
    <w:p w14:paraId="700293C4"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t xml:space="preserve">La normativa vigente no impide que varias entidades suscriban conjuntamente el convenio de asociación y tampoco que dos o más ESAL puedan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w:t>
      </w:r>
      <w:r w:rsidRPr="00D82A1E">
        <w:rPr>
          <w:rFonts w:ascii="Century Gothic" w:eastAsia="Arial" w:hAnsi="Century Gothic" w:cs="Arial"/>
        </w:rPr>
        <w:lastRenderedPageBreak/>
        <w:t>esas actividades en una proporción no inferior al 30% del valor total del convenio”, las entidades deben asegurarse de que su contratista, es decir, las ESAL, aporte al menos el treinta por ciento (30%) del valor del convenio para celebrarlo directamente. Además, en atención al inciso 2 del artículo 5 del Decreto 092 de 2017, deben asegurarse de que no haya otras ESAL que ofrezcan su compromiso de recursos en dinero en una proporción no inferior al 30% del valor total del convenio. En caso de que sí, la entidad deberá seleccionar objetivamente con cual asociarse.</w:t>
      </w:r>
    </w:p>
    <w:p w14:paraId="2DEBC489" w14:textId="77777777" w:rsidR="00490794" w:rsidRPr="00D82A1E" w:rsidRDefault="00490794" w:rsidP="00490794">
      <w:pPr>
        <w:spacing w:before="120" w:after="0" w:line="276" w:lineRule="auto"/>
        <w:ind w:firstLine="709"/>
        <w:jc w:val="both"/>
        <w:rPr>
          <w:rFonts w:ascii="Arial" w:hAnsi="Arial" w:cs="Arial"/>
          <w:lang w:val="es-MX"/>
        </w:rPr>
      </w:pPr>
      <w:r w:rsidRPr="00D82A1E">
        <w:rPr>
          <w:rFonts w:ascii="Century Gothic" w:eastAsia="Arial" w:hAnsi="Century Gothic" w:cs="Arial"/>
        </w:rPr>
        <w:t xml:space="preserve">La noción </w:t>
      </w:r>
      <w:r w:rsidRPr="00D82A1E">
        <w:rPr>
          <w:rFonts w:ascii="Century Gothic" w:eastAsia="Arial" w:hAnsi="Century Gothic" w:cs="Arial"/>
          <w:i/>
          <w:iCs/>
        </w:rPr>
        <w:t xml:space="preserve">“seleccionar de forma objetiva”, </w:t>
      </w:r>
      <w:r w:rsidRPr="00D82A1E">
        <w:rPr>
          <w:rFonts w:ascii="Century Gothic" w:eastAsia="Arial" w:hAnsi="Century Gothic" w:cs="Arial"/>
        </w:rPr>
        <w:t xml:space="preserve">contenida en la disposición </w:t>
      </w:r>
      <w:r w:rsidRPr="00D82A1E">
        <w:rPr>
          <w:rFonts w:ascii="Century Gothic" w:eastAsia="Arial" w:hAnsi="Century Gothic" w:cs="Arial"/>
          <w:i/>
          <w:iCs/>
        </w:rPr>
        <w:t xml:space="preserve">sub examine </w:t>
      </w:r>
      <w:r w:rsidRPr="00D82A1E">
        <w:rPr>
          <w:rFonts w:ascii="Century Gothic" w:eastAsia="Arial" w:hAnsi="Century Gothic" w:cs="Arial"/>
        </w:rPr>
        <w:t>no puede ser entendida como una remisión total a la Leyes 80 de 1993 y 1150 de 2007. A lo que se refiere la norma es que la Entidad Estatal debe diseñar herramientas que permitan una comparación objetiva de las ESAL para seleccionar objetivamente a aquella que tenga las mejores condiciones para alcanzar el resultado esperado con el proyecto de cooperación. Por ello, la entidad puede tomar la decisión de acudir a los procesos de selección de contratistas que establece el EGCAP o, incluso, al trámite que regula el inciso 2 del artículo 2 del Decreto 092 de 2017.</w:t>
      </w:r>
      <w:r w:rsidRPr="00C14F49">
        <w:rPr>
          <w:rFonts w:ascii="Century Gothic" w:eastAsia="Arial" w:hAnsi="Century Gothic" w:cs="Arial"/>
          <w:lang w:val="es-MX"/>
        </w:rPr>
        <w:t xml:space="preserve">Sin embargo, resulta a bien aclarar que </w:t>
      </w:r>
      <w:r w:rsidRPr="00C14F49">
        <w:rPr>
          <w:rFonts w:ascii="Century Gothic" w:eastAsia="Arial" w:hAnsi="Century Gothic" w:cs="Arial"/>
          <w:u w:val="single"/>
          <w:lang w:val="es-MX"/>
        </w:rPr>
        <w:t>los negocios jurídicos que regula el Decreto 092 de 2017 “[…]son esencialmente distintos a los contratos para la adquisición y aprovisionamiento de bienes, obras o servicios regulados por el estatuto de contratación y[,como tal,] no hacen parte del sistema de compra pública</w:t>
      </w:r>
      <w:r w:rsidRPr="00C14F49">
        <w:rPr>
          <w:rFonts w:ascii="Century Gothic" w:eastAsia="Arial" w:hAnsi="Century Gothic" w:cs="Arial"/>
          <w:lang w:val="es-MX"/>
        </w:rPr>
        <w:t xml:space="preserve">. […] </w:t>
      </w:r>
      <w:r w:rsidRPr="00C14F49">
        <w:rPr>
          <w:rFonts w:ascii="Century Gothic" w:eastAsia="Arial" w:hAnsi="Century Gothic" w:cs="Arial"/>
          <w:u w:val="single"/>
          <w:lang w:val="es-MX"/>
        </w:rPr>
        <w:t>De acuerdo con lo anterior, si la entidad estatal adquiere o se abastece de un bien, obra o servicio en un contrato conmutativo en el cual el proveedor es una [ESAL], debe aplicar el régimen contenido en las Leyes 80 de 1993 y 1150 de 2007</w:t>
      </w:r>
      <w:r w:rsidRPr="00C14F49">
        <w:rPr>
          <w:rFonts w:ascii="Century Gothic" w:eastAsia="Arial" w:hAnsi="Century Gothic" w:cs="Arial"/>
          <w:lang w:val="es-MX"/>
        </w:rPr>
        <w:t>, y no el Decreto 092 de 2017”</w:t>
      </w:r>
      <w:r w:rsidRPr="001E7CE7">
        <w:rPr>
          <w:rFonts w:ascii="Century Gothic" w:hAnsi="Century Gothic" w:cs="Arial"/>
          <w:vertAlign w:val="superscript"/>
          <w:lang w:val="es-MX"/>
        </w:rPr>
        <w:footnoteReference w:id="8"/>
      </w:r>
      <w:r w:rsidRPr="001E7CE7">
        <w:rPr>
          <w:rFonts w:ascii="Century Gothic" w:hAnsi="Century Gothic" w:cs="Arial"/>
          <w:lang w:val="es-MX"/>
        </w:rPr>
        <w:t>.</w:t>
      </w:r>
      <w:r w:rsidRPr="00C14F49">
        <w:rPr>
          <w:rFonts w:ascii="Century Gothic" w:hAnsi="Century Gothic" w:cs="Arial"/>
          <w:lang w:val="es-MX"/>
        </w:rPr>
        <w:t xml:space="preserve"> Así lo consideró la Sala de Consulta y Servicio Civil del Consejo de Estado</w:t>
      </w:r>
      <w:r w:rsidRPr="00D82A1E">
        <w:rPr>
          <w:rFonts w:ascii="Century Gothic" w:hAnsi="Century Gothic" w:cs="Arial"/>
          <w:vertAlign w:val="superscript"/>
          <w:lang w:val="es-MX"/>
        </w:rPr>
        <w:footnoteReference w:id="9"/>
      </w:r>
      <w:r w:rsidRPr="00D82A1E">
        <w:rPr>
          <w:rFonts w:ascii="Century Gothic" w:hAnsi="Century Gothic" w:cs="Arial"/>
          <w:lang w:val="es-MX"/>
        </w:rPr>
        <w:t>:</w:t>
      </w:r>
    </w:p>
    <w:p w14:paraId="48DF78D6" w14:textId="77777777" w:rsidR="00490794" w:rsidRPr="00D82A1E" w:rsidRDefault="00490794" w:rsidP="00490794">
      <w:pPr>
        <w:spacing w:after="0" w:line="240" w:lineRule="auto"/>
        <w:ind w:left="709" w:right="709"/>
        <w:jc w:val="both"/>
        <w:rPr>
          <w:rFonts w:ascii="Century Gothic" w:eastAsia="Calibri" w:hAnsi="Century Gothic" w:cs="Arial"/>
          <w:sz w:val="21"/>
          <w:szCs w:val="21"/>
        </w:rPr>
      </w:pPr>
    </w:p>
    <w:p w14:paraId="402B8501" w14:textId="77777777" w:rsidR="00490794" w:rsidRPr="00D82A1E" w:rsidRDefault="00490794" w:rsidP="00490794">
      <w:pPr>
        <w:spacing w:after="0" w:line="240" w:lineRule="auto"/>
        <w:ind w:left="709" w:right="709"/>
        <w:jc w:val="both"/>
        <w:rPr>
          <w:rFonts w:ascii="Century Gothic" w:eastAsia="Calibri" w:hAnsi="Century Gothic" w:cs="Arial"/>
          <w:b/>
          <w:bCs/>
          <w:i/>
          <w:iCs/>
          <w:sz w:val="21"/>
          <w:szCs w:val="21"/>
        </w:rPr>
      </w:pPr>
      <w:r w:rsidRPr="00D82A1E">
        <w:rPr>
          <w:rFonts w:ascii="Century Gothic" w:eastAsia="Calibri" w:hAnsi="Century Gothic" w:cs="Arial"/>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w:t>
      </w:r>
      <w:r w:rsidRPr="00D82A1E">
        <w:rPr>
          <w:rFonts w:ascii="Century Gothic" w:eastAsia="Calibri" w:hAnsi="Century Gothic" w:cs="Arial"/>
          <w:b/>
          <w:bCs/>
          <w:i/>
          <w:iCs/>
          <w:sz w:val="21"/>
          <w:szCs w:val="21"/>
        </w:rPr>
        <w:t xml:space="preserve">Aquellos que generan una contraprestación directa a favor de la entidad contratante y los que tienen por objeto desarrollar proyectos específicos, corresponden al giro normal de las funciones propias de la entidad estatal, y por lo tanto, se tipifican dentro de cualquiera de las </w:t>
      </w:r>
      <w:r w:rsidRPr="00D82A1E">
        <w:rPr>
          <w:rFonts w:ascii="Century Gothic" w:eastAsia="Calibri" w:hAnsi="Century Gothic" w:cs="Arial"/>
          <w:b/>
          <w:bCs/>
          <w:i/>
          <w:iCs/>
          <w:sz w:val="21"/>
          <w:szCs w:val="21"/>
        </w:rPr>
        <w:lastRenderedPageBreak/>
        <w:t>modalidades de contratación de la ley 80 de 1.993, debiendo sujetarse a los procedimientos allí previstos, en especial los de escogencia del contratista.</w:t>
      </w:r>
    </w:p>
    <w:p w14:paraId="609A5A58" w14:textId="77777777" w:rsidR="00490794" w:rsidRPr="00D82A1E" w:rsidRDefault="00490794" w:rsidP="00490794">
      <w:pPr>
        <w:spacing w:before="120" w:after="0" w:line="240" w:lineRule="auto"/>
        <w:ind w:left="709" w:right="709"/>
        <w:jc w:val="both"/>
        <w:rPr>
          <w:rFonts w:ascii="Century Gothic" w:eastAsia="Calibri" w:hAnsi="Century Gothic" w:cs="Arial"/>
          <w:sz w:val="21"/>
          <w:szCs w:val="21"/>
        </w:rPr>
      </w:pPr>
      <w:r w:rsidRPr="00D82A1E">
        <w:rPr>
          <w:rFonts w:ascii="Century Gothic" w:eastAsia="Calibri" w:hAnsi="Century Gothic" w:cs="Arial"/>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 [Énfasis fuera de texto]</w:t>
      </w:r>
    </w:p>
    <w:p w14:paraId="1C88B9CA" w14:textId="77777777" w:rsidR="00490794" w:rsidRPr="00D82A1E" w:rsidRDefault="00490794" w:rsidP="00490794">
      <w:pPr>
        <w:spacing w:after="0" w:line="276" w:lineRule="auto"/>
        <w:ind w:firstLine="708"/>
        <w:jc w:val="both"/>
        <w:rPr>
          <w:rFonts w:ascii="Century Gothic" w:eastAsia="Calibri" w:hAnsi="Century Gothic" w:cs="Arial"/>
        </w:rPr>
      </w:pPr>
      <w:r w:rsidRPr="00D82A1E">
        <w:rPr>
          <w:rFonts w:ascii="Century Gothic" w:eastAsia="Calibri" w:hAnsi="Century Gothic" w:cs="Arial"/>
        </w:rPr>
        <w:t>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 Así lo reconoció la Corte Constitucional en la sentencia C-287 del 18 de abril de 2012, en la que sostuvo lo siguiente:</w:t>
      </w:r>
    </w:p>
    <w:p w14:paraId="444C295D" w14:textId="77777777" w:rsidR="00490794" w:rsidRPr="00D82A1E" w:rsidRDefault="00490794" w:rsidP="00490794">
      <w:pPr>
        <w:spacing w:after="0" w:line="240" w:lineRule="auto"/>
        <w:ind w:left="709" w:right="709"/>
        <w:jc w:val="both"/>
        <w:rPr>
          <w:rFonts w:ascii="Arial" w:eastAsia="Calibri" w:hAnsi="Arial" w:cs="Arial"/>
          <w:sz w:val="21"/>
          <w:szCs w:val="21"/>
        </w:rPr>
      </w:pPr>
    </w:p>
    <w:p w14:paraId="38DBAA5B" w14:textId="77777777" w:rsidR="00490794" w:rsidRPr="00D82A1E" w:rsidRDefault="00490794" w:rsidP="00490794">
      <w:pPr>
        <w:spacing w:after="0" w:line="240" w:lineRule="auto"/>
        <w:ind w:left="709" w:right="709"/>
        <w:jc w:val="both"/>
        <w:rPr>
          <w:rFonts w:ascii="Century Gothic" w:eastAsia="Calibri" w:hAnsi="Century Gothic" w:cs="Arial"/>
          <w:sz w:val="21"/>
          <w:szCs w:val="21"/>
        </w:rPr>
      </w:pPr>
      <w:r w:rsidRPr="00D82A1E">
        <w:rPr>
          <w:rFonts w:ascii="Century Gothic" w:eastAsia="Calibri" w:hAnsi="Century Gothic" w:cs="Arial"/>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5E23292B" w14:textId="77777777" w:rsidR="00490794" w:rsidRPr="00D82A1E" w:rsidRDefault="00490794" w:rsidP="00490794">
      <w:pPr>
        <w:spacing w:before="120" w:after="0" w:line="240" w:lineRule="auto"/>
        <w:ind w:left="709" w:right="709"/>
        <w:jc w:val="both"/>
        <w:rPr>
          <w:rFonts w:ascii="Century Gothic" w:eastAsia="Calibri" w:hAnsi="Century Gothic" w:cs="Arial"/>
          <w:sz w:val="21"/>
          <w:szCs w:val="21"/>
        </w:rPr>
      </w:pPr>
      <w:r w:rsidRPr="00D82A1E">
        <w:rPr>
          <w:rFonts w:ascii="Century Gothic" w:eastAsia="Calibri" w:hAnsi="Century Gothic" w:cs="Arial"/>
          <w:i/>
          <w:iCs/>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D82A1E">
        <w:rPr>
          <w:rFonts w:ascii="Century Gothic" w:eastAsia="Calibri" w:hAnsi="Century Gothic" w:cs="Arial"/>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14:paraId="05EF34BC" w14:textId="77777777" w:rsidR="00490794" w:rsidRPr="00D82A1E" w:rsidRDefault="00490794" w:rsidP="00490794">
      <w:pPr>
        <w:tabs>
          <w:tab w:val="left" w:pos="1122"/>
        </w:tabs>
        <w:spacing w:after="0" w:line="276" w:lineRule="auto"/>
        <w:ind w:firstLine="709"/>
        <w:jc w:val="both"/>
        <w:rPr>
          <w:rFonts w:ascii="Century Gothic" w:eastAsia="Calibri" w:hAnsi="Century Gothic" w:cs="Arial"/>
        </w:rPr>
      </w:pPr>
    </w:p>
    <w:p w14:paraId="44C6C92B" w14:textId="77777777" w:rsidR="00490794" w:rsidRDefault="00490794" w:rsidP="00490794">
      <w:pPr>
        <w:tabs>
          <w:tab w:val="left" w:pos="1122"/>
        </w:tabs>
        <w:spacing w:after="0" w:line="276" w:lineRule="auto"/>
        <w:ind w:firstLine="709"/>
        <w:jc w:val="both"/>
        <w:rPr>
          <w:rFonts w:ascii="Century Gothic" w:eastAsia="Calibri" w:hAnsi="Century Gothic" w:cs="Arial"/>
        </w:rPr>
      </w:pPr>
      <w:r w:rsidRPr="00D82A1E">
        <w:rPr>
          <w:rFonts w:ascii="Century Gothic" w:eastAsia="Calibri" w:hAnsi="Century Gothic" w:cs="Arial"/>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w:t>
      </w:r>
      <w:r w:rsidRPr="00D82A1E">
        <w:rPr>
          <w:rFonts w:ascii="Century Gothic" w:hAnsi="Century Gothic"/>
        </w:rPr>
        <w:t xml:space="preserve"> </w:t>
      </w:r>
      <w:r w:rsidRPr="00D82A1E">
        <w:rPr>
          <w:rFonts w:ascii="Century Gothic" w:eastAsia="Calibri" w:hAnsi="Century Gothic" w:cs="Arial"/>
        </w:rPr>
        <w:t xml:space="preserve">Con todo, las </w:t>
      </w:r>
      <w:r w:rsidRPr="00D82A1E">
        <w:rPr>
          <w:rFonts w:ascii="Century Gothic" w:eastAsia="Calibri" w:hAnsi="Century Gothic" w:cs="Arial"/>
        </w:rPr>
        <w:lastRenderedPageBreak/>
        <w:t>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19204B4B" w14:textId="77777777" w:rsidR="00490794" w:rsidRPr="00D82A1E" w:rsidRDefault="00490794" w:rsidP="00490794">
      <w:pPr>
        <w:spacing w:after="0" w:line="276" w:lineRule="auto"/>
        <w:jc w:val="both"/>
        <w:rPr>
          <w:rFonts w:ascii="Century Gothic" w:eastAsia="Arial" w:hAnsi="Century Gothic" w:cs="Arial"/>
        </w:rPr>
      </w:pPr>
    </w:p>
    <w:p w14:paraId="06F53977" w14:textId="77777777" w:rsidR="00490794" w:rsidRPr="00D82A1E" w:rsidRDefault="00490794" w:rsidP="00490794">
      <w:pPr>
        <w:spacing w:after="0" w:line="276" w:lineRule="auto"/>
        <w:jc w:val="both"/>
        <w:rPr>
          <w:rFonts w:ascii="Century Gothic" w:eastAsia="Arial" w:hAnsi="Century Gothic" w:cs="Arial"/>
          <w:b/>
          <w:bCs/>
        </w:rPr>
      </w:pPr>
      <w:r w:rsidRPr="00D82A1E">
        <w:rPr>
          <w:rFonts w:ascii="Century Gothic" w:eastAsia="Arial" w:hAnsi="Century Gothic" w:cs="Arial"/>
          <w:b/>
          <w:bCs/>
        </w:rPr>
        <w:t>2.2. Suspensión provisional de algunas normas del Decreto 092 de 2017. Reiteración de línea</w:t>
      </w:r>
    </w:p>
    <w:p w14:paraId="08AA4D12" w14:textId="77777777" w:rsidR="00490794" w:rsidRPr="00D82A1E" w:rsidRDefault="00490794" w:rsidP="00490794">
      <w:pPr>
        <w:spacing w:after="0" w:line="276" w:lineRule="auto"/>
        <w:jc w:val="both"/>
        <w:rPr>
          <w:rFonts w:ascii="Century Gothic" w:eastAsia="Arial" w:hAnsi="Century Gothic" w:cs="Arial"/>
        </w:rPr>
      </w:pPr>
    </w:p>
    <w:p w14:paraId="085B5FEB" w14:textId="77777777" w:rsidR="00490794" w:rsidRPr="00D82A1E" w:rsidRDefault="00490794" w:rsidP="00490794">
      <w:pPr>
        <w:spacing w:line="276" w:lineRule="auto"/>
        <w:jc w:val="both"/>
        <w:rPr>
          <w:rFonts w:ascii="Century Gothic" w:eastAsia="Calibri" w:hAnsi="Century Gothic" w:cs="Arial"/>
        </w:rPr>
      </w:pPr>
      <w:r w:rsidRPr="00D82A1E">
        <w:rPr>
          <w:rFonts w:ascii="Century Gothic" w:eastAsia="Calibri" w:hAnsi="Century Gothic" w:cs="Arial"/>
        </w:rPr>
        <w:t>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D82A1E">
        <w:rPr>
          <w:rFonts w:ascii="Century Gothic" w:eastAsia="Calibri" w:hAnsi="Century Gothic" w:cs="Arial"/>
          <w:vertAlign w:val="superscript"/>
        </w:rPr>
        <w:footnoteReference w:id="10"/>
      </w:r>
      <w:r w:rsidRPr="00D82A1E">
        <w:rPr>
          <w:rFonts w:ascii="Century Gothic" w:eastAsia="Calibri" w:hAnsi="Century Gothic" w:cs="Arial"/>
        </w:rPr>
        <w:t>. Cabe precisar que las decisiones adoptadas en el auto indicado fueron mantenidas en su mayoría en el Auto del 15 de marzo de 2022 de la Sala Plena del Consejo de Estado</w:t>
      </w:r>
      <w:r w:rsidRPr="00D82A1E">
        <w:rPr>
          <w:rFonts w:ascii="Century Gothic" w:eastAsia="Calibri" w:hAnsi="Century Gothic" w:cs="Arial"/>
          <w:vertAlign w:val="superscript"/>
        </w:rPr>
        <w:footnoteReference w:id="11"/>
      </w:r>
      <w:r w:rsidRPr="00D82A1E">
        <w:rPr>
          <w:rFonts w:ascii="Century Gothic" w:eastAsia="Calibri" w:hAnsi="Century Gothic" w:cs="Arial"/>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 </w:t>
      </w:r>
    </w:p>
    <w:p w14:paraId="347B6C93" w14:textId="77777777" w:rsidR="00490794" w:rsidRPr="00D82A1E" w:rsidRDefault="00490794" w:rsidP="00490794">
      <w:pPr>
        <w:spacing w:before="120" w:after="0" w:line="276" w:lineRule="auto"/>
        <w:ind w:firstLine="708"/>
        <w:jc w:val="both"/>
        <w:rPr>
          <w:rFonts w:ascii="Century Gothic" w:eastAsia="Calibri" w:hAnsi="Century Gothic" w:cs="Arial"/>
        </w:rPr>
      </w:pPr>
      <w:r w:rsidRPr="00D82A1E">
        <w:rPr>
          <w:rFonts w:ascii="Century Gothic" w:eastAsia="Calibri" w:hAnsi="Century Gothic" w:cs="Arial"/>
        </w:rPr>
        <w:t xml:space="preserve">La </w:t>
      </w:r>
      <w:r w:rsidRPr="00D82A1E">
        <w:rPr>
          <w:rFonts w:ascii="Century Gothic" w:eastAsia="Calibri" w:hAnsi="Century Gothic" w:cs="Arial"/>
          <w:i/>
          <w:iCs/>
        </w:rPr>
        <w:t>primera</w:t>
      </w:r>
      <w:r w:rsidRPr="00D82A1E">
        <w:rPr>
          <w:rFonts w:ascii="Century Gothic" w:eastAsia="Calibri" w:hAnsi="Century Gothic" w:cs="Arial"/>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D82A1E">
        <w:rPr>
          <w:rFonts w:ascii="Century Gothic" w:eastAsia="Calibri" w:hAnsi="Century Gothic" w:cs="Arial"/>
          <w:vertAlign w:val="superscript"/>
        </w:rPr>
        <w:footnoteReference w:id="12"/>
      </w:r>
      <w:r w:rsidRPr="00D82A1E">
        <w:rPr>
          <w:rFonts w:ascii="Century Gothic" w:eastAsia="Calibri" w:hAnsi="Century Gothic" w:cs="Arial"/>
        </w:rPr>
        <w:t xml:space="preserve">. Señaló que esta </w:t>
      </w:r>
      <w:r w:rsidRPr="00D82A1E">
        <w:rPr>
          <w:rFonts w:ascii="Century Gothic" w:eastAsia="Calibri" w:hAnsi="Century Gothic" w:cs="Arial"/>
        </w:rPr>
        <w:lastRenderedPageBreak/>
        <w:t>disposición, así como el inciso segundo del artículo 3 del Decreto 092 de 2017</w:t>
      </w:r>
      <w:r w:rsidRPr="00D82A1E">
        <w:rPr>
          <w:rFonts w:ascii="Century Gothic" w:eastAsia="Calibri" w:hAnsi="Century Gothic" w:cs="Arial"/>
          <w:vertAlign w:val="superscript"/>
        </w:rPr>
        <w:footnoteReference w:id="13"/>
      </w:r>
      <w:r w:rsidRPr="00D82A1E">
        <w:rPr>
          <w:rFonts w:ascii="Century Gothic" w:eastAsia="Calibri" w:hAnsi="Century Gothic" w:cs="Arial"/>
        </w:rPr>
        <w:t xml:space="preserve">, 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14:paraId="7E0111B3" w14:textId="77777777" w:rsidR="00490794" w:rsidRPr="00D82A1E" w:rsidRDefault="00490794" w:rsidP="00490794">
      <w:pPr>
        <w:spacing w:after="0" w:line="276" w:lineRule="auto"/>
        <w:jc w:val="both"/>
        <w:rPr>
          <w:rFonts w:ascii="Century Gothic" w:eastAsia="Calibri" w:hAnsi="Century Gothic" w:cs="Arial"/>
        </w:rPr>
      </w:pPr>
    </w:p>
    <w:p w14:paraId="0A10F91D" w14:textId="77777777" w:rsidR="00490794" w:rsidRPr="00D82A1E" w:rsidRDefault="00490794" w:rsidP="00490794">
      <w:pPr>
        <w:tabs>
          <w:tab w:val="left" w:pos="8789"/>
        </w:tabs>
        <w:spacing w:after="0" w:line="240" w:lineRule="auto"/>
        <w:ind w:left="708" w:right="709"/>
        <w:jc w:val="both"/>
        <w:rPr>
          <w:rFonts w:ascii="Century Gothic" w:eastAsia="Calibri" w:hAnsi="Century Gothic" w:cs="Arial"/>
          <w:sz w:val="21"/>
          <w:szCs w:val="21"/>
        </w:rPr>
      </w:pPr>
      <w:r w:rsidRPr="00D82A1E">
        <w:rPr>
          <w:rFonts w:ascii="Century Gothic" w:eastAsia="Calibri" w:hAnsi="Century Gothic"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48319564" w14:textId="77777777" w:rsidR="00490794" w:rsidRPr="00D82A1E" w:rsidRDefault="00490794" w:rsidP="00490794">
      <w:pPr>
        <w:tabs>
          <w:tab w:val="left" w:pos="8789"/>
        </w:tabs>
        <w:spacing w:after="0" w:line="276" w:lineRule="auto"/>
        <w:ind w:left="708" w:right="709"/>
        <w:jc w:val="both"/>
        <w:rPr>
          <w:rFonts w:ascii="Century Gothic" w:eastAsia="Calibri" w:hAnsi="Century Gothic" w:cs="Arial"/>
        </w:rPr>
      </w:pPr>
    </w:p>
    <w:p w14:paraId="313CFE96" w14:textId="77777777" w:rsidR="00490794" w:rsidRPr="00D82A1E" w:rsidRDefault="00490794" w:rsidP="00490794">
      <w:pPr>
        <w:spacing w:after="0" w:line="276" w:lineRule="auto"/>
        <w:ind w:firstLine="709"/>
        <w:jc w:val="both"/>
        <w:rPr>
          <w:rFonts w:ascii="Century Gothic" w:eastAsia="Calibri" w:hAnsi="Century Gothic" w:cs="Arial"/>
        </w:rPr>
      </w:pPr>
      <w:r w:rsidRPr="00D82A1E">
        <w:rPr>
          <w:rFonts w:ascii="Century Gothic" w:eastAsia="Calibri" w:hAnsi="Century Gothic" w:cs="Arial"/>
        </w:rPr>
        <w:t xml:space="preserve">En virtud de este análisis, el Consejo de Estado, en el auto del 9 de agosto de 2019 suspendió provisionalmente el inciso 2 del artículo primero y el inciso 2 del artículo 3, lo que significaba que los contratos celebrados ESAL no tenían que aplicar la “Guía para la contratación con entidades privadas sin ánimo de lucro y de reconocida idoneidad”, expedida por la Agencia Nacional de Contratación Pública - Colombia Compra Eficiente. Sin embargo, mediante el auto del 15 de marzo de 2022 de la Sala Plena del Consejo de Estado, al que se hizo referencia en inicio de este acápite, se ordenó levantar la suspensión provisional del inciso </w:t>
      </w:r>
      <w:r w:rsidRPr="00D82A1E">
        <w:rPr>
          <w:rFonts w:ascii="Century Gothic" w:eastAsia="Calibri" w:hAnsi="Century Gothic" w:cs="Arial"/>
        </w:rPr>
        <w:lastRenderedPageBreak/>
        <w:t>segundo del artículo 1 y del inciso segundo del artículo 3, al considerar la Alta Corporación que:</w:t>
      </w:r>
    </w:p>
    <w:p w14:paraId="0BFF917E" w14:textId="77777777" w:rsidR="00490794" w:rsidRPr="00D82A1E" w:rsidRDefault="00490794" w:rsidP="00490794">
      <w:pPr>
        <w:spacing w:after="0" w:line="276" w:lineRule="auto"/>
        <w:ind w:firstLine="709"/>
        <w:jc w:val="both"/>
        <w:rPr>
          <w:rFonts w:ascii="Century Gothic" w:eastAsia="Calibri" w:hAnsi="Century Gothic" w:cs="Arial"/>
        </w:rPr>
      </w:pPr>
    </w:p>
    <w:p w14:paraId="667D4FCF" w14:textId="77777777" w:rsidR="00490794" w:rsidRPr="00D82A1E" w:rsidRDefault="00490794" w:rsidP="00490794">
      <w:pPr>
        <w:spacing w:after="0" w:line="240" w:lineRule="auto"/>
        <w:ind w:left="708" w:right="709"/>
        <w:jc w:val="both"/>
        <w:rPr>
          <w:rFonts w:ascii="Century Gothic" w:eastAsia="Calibri" w:hAnsi="Century Gothic" w:cs="Arial"/>
          <w:sz w:val="21"/>
          <w:szCs w:val="21"/>
        </w:rPr>
      </w:pPr>
      <w:r w:rsidRPr="00D82A1E">
        <w:rPr>
          <w:rFonts w:ascii="Century Gothic" w:eastAsia="Calibri" w:hAnsi="Century Gothic" w:cs="Arial"/>
          <w:sz w:val="21"/>
          <w:szCs w:val="21"/>
        </w:rPr>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p>
    <w:p w14:paraId="706BAB83" w14:textId="77777777" w:rsidR="00490794" w:rsidRPr="00D82A1E" w:rsidRDefault="00490794" w:rsidP="00490794">
      <w:pPr>
        <w:spacing w:after="0" w:line="276" w:lineRule="auto"/>
        <w:ind w:left="708" w:right="709"/>
        <w:jc w:val="both"/>
        <w:rPr>
          <w:rFonts w:ascii="Century Gothic" w:eastAsia="Calibri" w:hAnsi="Century Gothic" w:cs="Arial"/>
        </w:rPr>
      </w:pPr>
    </w:p>
    <w:p w14:paraId="6D9FAF55" w14:textId="77777777" w:rsidR="00490794" w:rsidRPr="00D82A1E" w:rsidRDefault="00490794" w:rsidP="00490794">
      <w:pPr>
        <w:spacing w:after="0" w:line="276" w:lineRule="auto"/>
        <w:ind w:firstLine="709"/>
        <w:jc w:val="both"/>
        <w:rPr>
          <w:rFonts w:ascii="Century Gothic" w:eastAsia="Calibri" w:hAnsi="Century Gothic" w:cs="Arial"/>
        </w:rPr>
      </w:pPr>
      <w:r w:rsidRPr="00D82A1E">
        <w:rPr>
          <w:rFonts w:ascii="Century Gothic" w:eastAsia="Calibri" w:hAnsi="Century Gothic" w:cs="Arial"/>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14:paraId="22163BB4" w14:textId="77777777" w:rsidR="00490794" w:rsidRPr="00D82A1E" w:rsidRDefault="00490794" w:rsidP="00490794">
      <w:pPr>
        <w:spacing w:after="0" w:line="276" w:lineRule="auto"/>
        <w:ind w:firstLine="709"/>
        <w:jc w:val="both"/>
        <w:rPr>
          <w:rFonts w:ascii="Century Gothic" w:eastAsia="Calibri" w:hAnsi="Century Gothic" w:cs="Arial"/>
        </w:rPr>
      </w:pPr>
    </w:p>
    <w:p w14:paraId="49FD2A8D" w14:textId="77777777" w:rsidR="00490794" w:rsidRPr="00D82A1E" w:rsidRDefault="00490794" w:rsidP="00490794">
      <w:pPr>
        <w:spacing w:after="0" w:line="240" w:lineRule="auto"/>
        <w:ind w:left="708" w:right="709"/>
        <w:jc w:val="both"/>
        <w:rPr>
          <w:rFonts w:ascii="Century Gothic" w:eastAsia="Calibri" w:hAnsi="Century Gothic" w:cs="Arial"/>
          <w:sz w:val="21"/>
          <w:szCs w:val="21"/>
        </w:rPr>
      </w:pPr>
      <w:r w:rsidRPr="00D82A1E">
        <w:rPr>
          <w:rFonts w:ascii="Century Gothic" w:eastAsia="Calibri" w:hAnsi="Century Gothic" w:cs="Arial"/>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14:paraId="10564BFA" w14:textId="77777777" w:rsidR="00490794" w:rsidRPr="00D82A1E" w:rsidRDefault="00490794" w:rsidP="00490794">
      <w:pPr>
        <w:spacing w:after="0" w:line="276" w:lineRule="auto"/>
        <w:ind w:firstLine="709"/>
        <w:jc w:val="both"/>
        <w:rPr>
          <w:rFonts w:ascii="Century Gothic" w:eastAsia="Calibri" w:hAnsi="Century Gothic" w:cs="Arial"/>
        </w:rPr>
      </w:pPr>
    </w:p>
    <w:p w14:paraId="59AD66BF" w14:textId="77777777" w:rsidR="00490794" w:rsidRPr="00D82A1E" w:rsidRDefault="00490794" w:rsidP="00490794">
      <w:pPr>
        <w:spacing w:line="276" w:lineRule="auto"/>
        <w:ind w:firstLine="709"/>
        <w:jc w:val="both"/>
        <w:rPr>
          <w:rFonts w:ascii="Century Gothic" w:eastAsia="Calibri" w:hAnsi="Century Gothic" w:cs="Arial"/>
        </w:rPr>
      </w:pPr>
      <w:r w:rsidRPr="00D82A1E">
        <w:rPr>
          <w:rFonts w:ascii="Century Gothic" w:eastAsia="Calibri" w:hAnsi="Century Gothic" w:cs="Arial"/>
        </w:rPr>
        <w:t xml:space="preserve">Además, en relación con el inciso segundo del artículo 3, que establece que la Entidad Estatal debe definir en los documentos del proceso las características que debe acreditar la ESAL,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w:t>
      </w:r>
      <w:r w:rsidRPr="00D82A1E">
        <w:rPr>
          <w:rFonts w:ascii="Century Gothic" w:eastAsia="Calibri" w:hAnsi="Century Gothic" w:cs="Arial"/>
        </w:rPr>
        <w:lastRenderedPageBreak/>
        <w:t>sentencia respectiva, pues, a su juicio, no resulta evidente que se haya delegado indebidamente el ejercicio de la potestad reglamentaria</w:t>
      </w:r>
      <w:r w:rsidRPr="00D82A1E">
        <w:rPr>
          <w:rFonts w:ascii="Century Gothic" w:eastAsia="Calibri" w:hAnsi="Century Gothic" w:cs="Arial"/>
          <w:vertAlign w:val="superscript"/>
        </w:rPr>
        <w:footnoteReference w:id="14"/>
      </w:r>
      <w:r w:rsidRPr="00D82A1E">
        <w:rPr>
          <w:rFonts w:ascii="Century Gothic" w:eastAsia="Calibri" w:hAnsi="Century Gothic" w:cs="Arial"/>
        </w:rPr>
        <w:t>.</w:t>
      </w:r>
    </w:p>
    <w:p w14:paraId="6C4B9EAD" w14:textId="77777777" w:rsidR="00490794" w:rsidRPr="00D82A1E" w:rsidRDefault="00490794" w:rsidP="00490794">
      <w:pPr>
        <w:spacing w:before="120" w:line="276" w:lineRule="auto"/>
        <w:ind w:firstLine="709"/>
        <w:jc w:val="both"/>
        <w:rPr>
          <w:rFonts w:ascii="Century Gothic" w:eastAsia="Calibri" w:hAnsi="Century Gothic" w:cs="Arial"/>
        </w:rPr>
      </w:pPr>
      <w:r w:rsidRPr="00D82A1E">
        <w:rPr>
          <w:rFonts w:ascii="Century Gothic" w:eastAsia="Calibri" w:hAnsi="Century Gothic" w:cs="Arial"/>
        </w:rPr>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14:paraId="2C134544" w14:textId="77777777" w:rsidR="00490794" w:rsidRPr="00D82A1E" w:rsidRDefault="00490794" w:rsidP="00490794">
      <w:pPr>
        <w:spacing w:before="120" w:after="0" w:line="276" w:lineRule="auto"/>
        <w:ind w:firstLine="709"/>
        <w:jc w:val="both"/>
        <w:rPr>
          <w:rFonts w:ascii="Century Gothic" w:eastAsia="Calibri" w:hAnsi="Century Gothic" w:cs="Arial"/>
        </w:rPr>
      </w:pPr>
      <w:r w:rsidRPr="00D82A1E">
        <w:rPr>
          <w:rFonts w:ascii="Century Gothic" w:eastAsia="Calibri" w:hAnsi="Century Gothic" w:cs="Arial"/>
        </w:rPr>
        <w:t xml:space="preserve">La </w:t>
      </w:r>
      <w:r w:rsidRPr="00D82A1E">
        <w:rPr>
          <w:rFonts w:ascii="Century Gothic" w:eastAsia="Calibri" w:hAnsi="Century Gothic" w:cs="Arial"/>
          <w:i/>
          <w:iCs/>
        </w:rPr>
        <w:t>segunda</w:t>
      </w:r>
      <w:r w:rsidRPr="00D82A1E">
        <w:rPr>
          <w:rFonts w:ascii="Century Gothic" w:eastAsia="Calibri" w:hAnsi="Century Gothic" w:cs="Arial"/>
        </w:rPr>
        <w:t xml:space="preserve"> norma que analizó el Consejo de Estado en el auto del 6 de agosto de 2019, fue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D82A1E">
        <w:rPr>
          <w:rFonts w:ascii="Century Gothic" w:hAnsi="Century Gothic" w:cs="Arial"/>
          <w:vertAlign w:val="superscript"/>
        </w:rPr>
        <w:footnoteReference w:id="15"/>
      </w:r>
      <w:r w:rsidRPr="00D82A1E">
        <w:rPr>
          <w:rFonts w:ascii="Century Gothic" w:eastAsia="Calibri" w:hAnsi="Century Gothic" w:cs="Arial"/>
        </w:rPr>
        <w:t xml:space="preserve">. </w:t>
      </w:r>
      <w:bookmarkStart w:id="8" w:name="_Hlk95756502"/>
      <w:r w:rsidRPr="00D82A1E">
        <w:rPr>
          <w:rFonts w:ascii="Century Gothic" w:eastAsia="Calibri" w:hAnsi="Century Gothic" w:cs="Arial"/>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w:t>
      </w:r>
      <w:r w:rsidRPr="00D82A1E">
        <w:rPr>
          <w:rFonts w:ascii="Century Gothic" w:eastAsia="Calibri" w:hAnsi="Century Gothic" w:cs="Arial"/>
        </w:rPr>
        <w:lastRenderedPageBreak/>
        <w:t xml:space="preserve">desarrollo sino que se encuentre en armonía con este. </w:t>
      </w:r>
      <w:bookmarkEnd w:id="8"/>
      <w:r w:rsidRPr="00D82A1E">
        <w:rPr>
          <w:rFonts w:ascii="Century Gothic" w:eastAsia="Calibri" w:hAnsi="Century Gothic" w:cs="Arial"/>
        </w:rPr>
        <w:t xml:space="preserve">En relación con lo anterior, el auto del Consejo de Estado explica que: </w:t>
      </w:r>
    </w:p>
    <w:p w14:paraId="7A550343" w14:textId="77777777" w:rsidR="00490794" w:rsidRPr="00D82A1E" w:rsidRDefault="00490794" w:rsidP="00490794">
      <w:pPr>
        <w:spacing w:after="0" w:line="276" w:lineRule="auto"/>
        <w:jc w:val="both"/>
        <w:rPr>
          <w:rFonts w:ascii="Century Gothic" w:eastAsia="Calibri" w:hAnsi="Century Gothic" w:cs="Arial"/>
        </w:rPr>
      </w:pPr>
    </w:p>
    <w:p w14:paraId="2A6B1F12" w14:textId="77777777" w:rsidR="00490794" w:rsidRPr="00D82A1E" w:rsidRDefault="00490794" w:rsidP="00490794">
      <w:pPr>
        <w:spacing w:after="0" w:line="240" w:lineRule="auto"/>
        <w:ind w:left="708" w:right="709"/>
        <w:jc w:val="both"/>
        <w:rPr>
          <w:rFonts w:ascii="Century Gothic" w:eastAsia="Calibri" w:hAnsi="Century Gothic" w:cs="Arial"/>
          <w:sz w:val="21"/>
          <w:szCs w:val="21"/>
        </w:rPr>
      </w:pPr>
      <w:r w:rsidRPr="00D82A1E">
        <w:rPr>
          <w:rFonts w:ascii="Century Gothic" w:eastAsia="Calibri" w:hAnsi="Century Gothic"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6A93C795" w14:textId="77777777" w:rsidR="00490794" w:rsidRPr="00D82A1E" w:rsidRDefault="00490794" w:rsidP="00490794">
      <w:pPr>
        <w:spacing w:after="0" w:line="276" w:lineRule="auto"/>
        <w:jc w:val="both"/>
        <w:rPr>
          <w:rFonts w:ascii="Century Gothic" w:eastAsia="Calibri" w:hAnsi="Century Gothic" w:cs="Arial"/>
        </w:rPr>
      </w:pPr>
    </w:p>
    <w:p w14:paraId="425C9B5C" w14:textId="77777777" w:rsidR="00490794" w:rsidRPr="00D82A1E" w:rsidRDefault="00490794" w:rsidP="00490794">
      <w:pPr>
        <w:spacing w:after="0" w:line="276" w:lineRule="auto"/>
        <w:ind w:firstLine="708"/>
        <w:jc w:val="both"/>
        <w:rPr>
          <w:rFonts w:ascii="Century Gothic" w:eastAsia="Calibri" w:hAnsi="Century Gothic" w:cs="Arial"/>
        </w:rPr>
      </w:pPr>
      <w:r w:rsidRPr="00D82A1E">
        <w:rPr>
          <w:rFonts w:ascii="Century Gothic" w:eastAsia="Calibri" w:hAnsi="Century Gothic" w:cs="Arial"/>
        </w:rPr>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75C0F867" w14:textId="77777777" w:rsidR="00490794" w:rsidRPr="00D82A1E" w:rsidRDefault="00490794" w:rsidP="00490794">
      <w:pPr>
        <w:spacing w:after="0" w:line="276" w:lineRule="auto"/>
        <w:jc w:val="both"/>
        <w:rPr>
          <w:rFonts w:ascii="Century Gothic" w:eastAsia="Calibri" w:hAnsi="Century Gothic" w:cs="Arial"/>
        </w:rPr>
      </w:pPr>
    </w:p>
    <w:p w14:paraId="07067B69" w14:textId="77777777" w:rsidR="00490794" w:rsidRPr="00D82A1E" w:rsidRDefault="00490794" w:rsidP="00490794">
      <w:pPr>
        <w:tabs>
          <w:tab w:val="left" w:pos="8080"/>
        </w:tabs>
        <w:spacing w:after="0" w:line="240" w:lineRule="auto"/>
        <w:ind w:left="708" w:right="709"/>
        <w:jc w:val="both"/>
        <w:rPr>
          <w:rFonts w:ascii="Century Gothic" w:eastAsia="Calibri" w:hAnsi="Century Gothic" w:cs="Arial"/>
          <w:sz w:val="21"/>
          <w:szCs w:val="21"/>
        </w:rPr>
      </w:pPr>
      <w:r w:rsidRPr="00D82A1E">
        <w:rPr>
          <w:rFonts w:ascii="Century Gothic" w:eastAsia="Calibri" w:hAnsi="Century Gothic"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1EB92584" w14:textId="77777777" w:rsidR="00490794" w:rsidRPr="00D82A1E" w:rsidRDefault="00490794" w:rsidP="00490794">
      <w:pPr>
        <w:spacing w:after="0" w:line="276" w:lineRule="auto"/>
        <w:jc w:val="both"/>
        <w:rPr>
          <w:rFonts w:ascii="Century Gothic" w:eastAsia="Calibri" w:hAnsi="Century Gothic" w:cs="Arial"/>
        </w:rPr>
      </w:pPr>
      <w:r w:rsidRPr="00D82A1E">
        <w:rPr>
          <w:rFonts w:ascii="Century Gothic" w:eastAsia="Calibri" w:hAnsi="Century Gothic" w:cs="Arial"/>
        </w:rPr>
        <w:t xml:space="preserve"> </w:t>
      </w:r>
    </w:p>
    <w:p w14:paraId="3FE0FF89" w14:textId="77777777" w:rsidR="00490794" w:rsidRPr="00D82A1E" w:rsidRDefault="00490794" w:rsidP="00490794">
      <w:pPr>
        <w:spacing w:line="276" w:lineRule="auto"/>
        <w:ind w:firstLine="709"/>
        <w:jc w:val="both"/>
        <w:rPr>
          <w:rFonts w:ascii="Century Gothic" w:eastAsia="Calibri" w:hAnsi="Century Gothic" w:cs="Arial"/>
        </w:rPr>
      </w:pPr>
      <w:bookmarkStart w:id="9" w:name="_Hlk95756534"/>
      <w:r w:rsidRPr="00D82A1E">
        <w:rPr>
          <w:rFonts w:ascii="Century Gothic" w:eastAsia="Calibri" w:hAnsi="Century Gothic" w:cs="Arial"/>
        </w:rPr>
        <w:t>Así las cosas, el Consejo de Estado suspendió provisionalmente el literal a), por lo cual el objeto de los contratos debe ser acorde con los planes nacionales o seccionales de desarrollo; y no necesariamente estar previstos directamente en ellos. Por lo demás, no sólo se pueden celebrar contratos para los objetos específicos señalados en el Decreto 092 de 2017.</w:t>
      </w:r>
    </w:p>
    <w:bookmarkEnd w:id="9"/>
    <w:p w14:paraId="35B808A8" w14:textId="77777777" w:rsidR="00490794" w:rsidRPr="00D82A1E" w:rsidRDefault="00490794" w:rsidP="00490794">
      <w:pPr>
        <w:spacing w:after="0" w:line="276" w:lineRule="auto"/>
        <w:ind w:firstLine="709"/>
        <w:jc w:val="both"/>
        <w:rPr>
          <w:rFonts w:ascii="Century Gothic" w:eastAsia="Calibri" w:hAnsi="Century Gothic" w:cs="Arial"/>
        </w:rPr>
      </w:pPr>
      <w:r w:rsidRPr="00D82A1E">
        <w:rPr>
          <w:rFonts w:ascii="Century Gothic" w:eastAsia="Calibri" w:hAnsi="Century Gothic" w:cs="Arial"/>
        </w:rPr>
        <w:lastRenderedPageBreak/>
        <w:t xml:space="preserve">El Consejo de Estado, en el auto del 6 de agosto de 2019, en </w:t>
      </w:r>
      <w:r w:rsidRPr="00D82A1E">
        <w:rPr>
          <w:rFonts w:ascii="Century Gothic" w:eastAsia="Calibri" w:hAnsi="Century Gothic" w:cs="Arial"/>
          <w:i/>
          <w:iCs/>
        </w:rPr>
        <w:t>tercer</w:t>
      </w:r>
      <w:r w:rsidRPr="00D82A1E">
        <w:rPr>
          <w:rFonts w:ascii="Century Gothic" w:eastAsia="Calibri" w:hAnsi="Century Gothic" w:cs="Arial"/>
        </w:rPr>
        <w:t xml:space="preserve"> lugar, examinó el literal c) y el inciso 5 del artículo 2 del Decreto</w:t>
      </w:r>
      <w:r w:rsidRPr="00D82A1E">
        <w:rPr>
          <w:rFonts w:ascii="Century Gothic" w:eastAsia="Calibri" w:hAnsi="Century Gothic" w:cs="Arial"/>
          <w:vertAlign w:val="superscript"/>
        </w:rPr>
        <w:footnoteReference w:id="16"/>
      </w:r>
      <w:r w:rsidRPr="00D82A1E">
        <w:rPr>
          <w:rFonts w:ascii="Century Gothic" w:eastAsia="Calibri" w:hAnsi="Century Gothic" w:cs="Arial"/>
        </w:rPr>
        <w:t xml:space="preserve">, señalando que contraría la norma constitucional al condicionar que los contratos sólo se pueden celebrar cuando no exista oferta en el mercado, sometiendo su celebración a que, de existir oferta, la contratación con las ESAL represente la optimización de los recursos públicos en términos de eficiencia, eficacia, economía y manejo del riesgo, toda vez que se desconocería la naturaleza de las ESAL que implica que ellas no participan en el mercado de bienes y servicios de la misma forma que las demás sociedades. En este sentido, el Consejo de Estado manifestó: </w:t>
      </w:r>
    </w:p>
    <w:p w14:paraId="7030DF5C" w14:textId="77777777" w:rsidR="00490794" w:rsidRPr="00D82A1E" w:rsidRDefault="00490794" w:rsidP="00490794">
      <w:pPr>
        <w:spacing w:after="0" w:line="276" w:lineRule="auto"/>
        <w:jc w:val="both"/>
        <w:rPr>
          <w:rFonts w:ascii="Century Gothic" w:eastAsia="Calibri" w:hAnsi="Century Gothic" w:cs="Arial"/>
        </w:rPr>
      </w:pPr>
    </w:p>
    <w:p w14:paraId="1DF5AD75" w14:textId="77777777" w:rsidR="00490794" w:rsidRPr="00D82A1E" w:rsidRDefault="00490794" w:rsidP="00490794">
      <w:pPr>
        <w:spacing w:after="0" w:line="240" w:lineRule="auto"/>
        <w:ind w:left="708" w:right="709"/>
        <w:jc w:val="both"/>
        <w:rPr>
          <w:rFonts w:ascii="Century Gothic" w:eastAsia="Calibri" w:hAnsi="Century Gothic" w:cs="Arial"/>
          <w:sz w:val="21"/>
          <w:szCs w:val="21"/>
        </w:rPr>
      </w:pPr>
      <w:r w:rsidRPr="00D82A1E">
        <w:rPr>
          <w:rFonts w:ascii="Century Gothic" w:eastAsia="Calibri" w:hAnsi="Century Gothic"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750C1DAB" w14:textId="77777777" w:rsidR="00490794" w:rsidRPr="00D82A1E" w:rsidRDefault="00490794" w:rsidP="00490794">
      <w:pPr>
        <w:spacing w:after="0" w:line="276" w:lineRule="auto"/>
        <w:jc w:val="both"/>
        <w:rPr>
          <w:rFonts w:ascii="Century Gothic" w:eastAsia="Calibri" w:hAnsi="Century Gothic" w:cs="Arial"/>
        </w:rPr>
      </w:pPr>
    </w:p>
    <w:p w14:paraId="6CDB23DA" w14:textId="77777777" w:rsidR="00490794" w:rsidRPr="00D82A1E" w:rsidRDefault="00490794" w:rsidP="00490794">
      <w:pPr>
        <w:spacing w:line="276" w:lineRule="auto"/>
        <w:ind w:firstLine="709"/>
        <w:jc w:val="both"/>
        <w:rPr>
          <w:rFonts w:ascii="Century Gothic" w:eastAsia="Calibri" w:hAnsi="Century Gothic" w:cs="Arial"/>
        </w:rPr>
      </w:pPr>
      <w:r w:rsidRPr="00D82A1E">
        <w:rPr>
          <w:rFonts w:ascii="Century Gothic" w:eastAsia="Calibri" w:hAnsi="Century Gothic" w:cs="Arial"/>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2DFB506B" w14:textId="77777777" w:rsidR="00490794" w:rsidRPr="00D82A1E" w:rsidRDefault="00490794" w:rsidP="00490794">
      <w:pPr>
        <w:spacing w:after="0" w:line="276" w:lineRule="auto"/>
        <w:ind w:firstLine="709"/>
        <w:jc w:val="both"/>
        <w:rPr>
          <w:rFonts w:ascii="Century Gothic" w:eastAsia="Calibri" w:hAnsi="Century Gothic" w:cs="Arial"/>
        </w:rPr>
      </w:pPr>
      <w:r w:rsidRPr="00D82A1E">
        <w:rPr>
          <w:rFonts w:ascii="Century Gothic" w:eastAsia="Calibri" w:hAnsi="Century Gothic" w:cs="Arial"/>
        </w:rPr>
        <w:t xml:space="preserve">La </w:t>
      </w:r>
      <w:r w:rsidRPr="00D82A1E">
        <w:rPr>
          <w:rFonts w:ascii="Century Gothic" w:eastAsia="Calibri" w:hAnsi="Century Gothic" w:cs="Arial"/>
          <w:i/>
          <w:iCs/>
        </w:rPr>
        <w:t>cuarta</w:t>
      </w:r>
      <w:r w:rsidRPr="00D82A1E">
        <w:rPr>
          <w:rFonts w:ascii="Century Gothic" w:eastAsia="Calibri" w:hAnsi="Century Gothic" w:cs="Arial"/>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w:t>
      </w:r>
      <w:r w:rsidRPr="00D82A1E">
        <w:rPr>
          <w:rFonts w:ascii="Century Gothic" w:eastAsia="Calibri" w:hAnsi="Century Gothic" w:cs="Arial"/>
        </w:rPr>
        <w:lastRenderedPageBreak/>
        <w:t>promoción de la diversidad étnica colombiana, que únicamente pueden ejecutar determinadas personas jurídicas o naturales</w:t>
      </w:r>
      <w:r w:rsidRPr="00D82A1E">
        <w:rPr>
          <w:rFonts w:ascii="Century Gothic" w:eastAsia="Calibri" w:hAnsi="Century Gothic" w:cs="Arial"/>
          <w:vertAlign w:val="superscript"/>
        </w:rPr>
        <w:footnoteReference w:id="17"/>
      </w:r>
      <w:r w:rsidRPr="00D82A1E">
        <w:rPr>
          <w:rFonts w:ascii="Century Gothic" w:eastAsia="Calibri" w:hAnsi="Century Gothic" w:cs="Arial"/>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1D48D3D8" w14:textId="77777777" w:rsidR="00490794" w:rsidRPr="00D82A1E" w:rsidRDefault="00490794" w:rsidP="00490794">
      <w:pPr>
        <w:spacing w:after="0" w:line="276" w:lineRule="auto"/>
        <w:jc w:val="both"/>
        <w:rPr>
          <w:rFonts w:ascii="Century Gothic" w:eastAsia="Calibri" w:hAnsi="Century Gothic" w:cs="Arial"/>
        </w:rPr>
      </w:pPr>
    </w:p>
    <w:p w14:paraId="0DF3B713" w14:textId="77777777" w:rsidR="00490794" w:rsidRPr="00D82A1E" w:rsidRDefault="00490794" w:rsidP="00490794">
      <w:pPr>
        <w:spacing w:after="0" w:line="240" w:lineRule="auto"/>
        <w:ind w:left="708" w:right="709"/>
        <w:jc w:val="both"/>
        <w:rPr>
          <w:rFonts w:ascii="Century Gothic" w:eastAsia="Calibri" w:hAnsi="Century Gothic" w:cs="Arial"/>
          <w:sz w:val="21"/>
          <w:szCs w:val="21"/>
        </w:rPr>
      </w:pPr>
      <w:r w:rsidRPr="00D82A1E">
        <w:rPr>
          <w:rFonts w:ascii="Century Gothic" w:eastAsia="Calibri" w:hAnsi="Century Gothic" w:cs="Arial"/>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59C310D1" w14:textId="77777777" w:rsidR="00490794" w:rsidRPr="00D82A1E" w:rsidRDefault="00490794" w:rsidP="00490794">
      <w:pPr>
        <w:spacing w:after="0" w:line="276" w:lineRule="auto"/>
        <w:ind w:firstLine="709"/>
        <w:jc w:val="both"/>
        <w:rPr>
          <w:rFonts w:ascii="Century Gothic" w:eastAsia="Calibri" w:hAnsi="Century Gothic" w:cs="Arial"/>
        </w:rPr>
      </w:pPr>
      <w:bookmarkStart w:id="10" w:name="_Hlk95756891"/>
    </w:p>
    <w:p w14:paraId="2B69159E" w14:textId="77777777" w:rsidR="00490794" w:rsidRPr="00D82A1E" w:rsidRDefault="00490794" w:rsidP="00490794">
      <w:pPr>
        <w:spacing w:line="276" w:lineRule="auto"/>
        <w:ind w:firstLine="709"/>
        <w:jc w:val="both"/>
        <w:rPr>
          <w:rFonts w:ascii="Century Gothic" w:eastAsia="Calibri" w:hAnsi="Century Gothic" w:cs="Arial"/>
        </w:rPr>
      </w:pPr>
      <w:r w:rsidRPr="00D82A1E">
        <w:rPr>
          <w:rFonts w:ascii="Century Gothic" w:eastAsia="Calibri" w:hAnsi="Century Gothic" w:cs="Arial"/>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ESAL. </w:t>
      </w:r>
      <w:bookmarkEnd w:id="10"/>
      <w:r w:rsidRPr="00D82A1E">
        <w:rPr>
          <w:rFonts w:ascii="Century Gothic" w:eastAsia="Calibri" w:hAnsi="Century Gothic" w:cs="Arial"/>
        </w:rPr>
        <w:t xml:space="preserve">En estos procesos, entonces, se debe acudir a los criterios aplicables a los otros negocios jurídicos que regula el Decreto 092 de 2017, particularmente las exigencias del artículo 2 </w:t>
      </w:r>
      <w:r w:rsidRPr="00D82A1E">
        <w:rPr>
          <w:rFonts w:ascii="Century Gothic" w:eastAsia="Calibri" w:hAnsi="Century Gothic" w:cs="Arial"/>
          <w:i/>
          <w:iCs/>
        </w:rPr>
        <w:t>ibidem</w:t>
      </w:r>
      <w:r w:rsidRPr="00D82A1E">
        <w:rPr>
          <w:rFonts w:ascii="Century Gothic" w:eastAsia="Calibri" w:hAnsi="Century Gothic" w:cs="Arial"/>
        </w:rPr>
        <w:t xml:space="preserve">. Incluso, habría que tener en cuenta las exigencias del inciso 2 del artículo 4 </w:t>
      </w:r>
      <w:r w:rsidRPr="00D82A1E">
        <w:rPr>
          <w:rFonts w:ascii="Century Gothic" w:eastAsia="Calibri" w:hAnsi="Century Gothic" w:cs="Arial"/>
          <w:i/>
          <w:iCs/>
        </w:rPr>
        <w:t>íbídem</w:t>
      </w:r>
      <w:r w:rsidRPr="00D82A1E">
        <w:rPr>
          <w:rFonts w:ascii="Century Gothic" w:eastAsia="Calibri" w:hAnsi="Century Gothic" w:cs="Arial"/>
        </w:rPr>
        <w:t>, siempre que se configuren los supuestos de aplicación de dicha normativa, esto es, siempre que exista más de una entidad sin ánimo de lucro de reconocida idoneidad.</w:t>
      </w:r>
    </w:p>
    <w:p w14:paraId="796F1341" w14:textId="77777777" w:rsidR="00490794" w:rsidRPr="00D82A1E" w:rsidRDefault="00490794" w:rsidP="00490794">
      <w:pPr>
        <w:spacing w:before="120" w:line="276" w:lineRule="auto"/>
        <w:ind w:firstLine="709"/>
        <w:jc w:val="both"/>
        <w:rPr>
          <w:rFonts w:ascii="Century Gothic" w:eastAsia="Calibri" w:hAnsi="Century Gothic" w:cs="Arial"/>
        </w:rPr>
      </w:pPr>
      <w:r w:rsidRPr="00D82A1E">
        <w:rPr>
          <w:rFonts w:ascii="Century Gothic" w:eastAsia="Calibri" w:hAnsi="Century Gothic" w:cs="Arial"/>
        </w:rPr>
        <w:t xml:space="preserve">Por último, en </w:t>
      </w:r>
      <w:r w:rsidRPr="00D82A1E">
        <w:rPr>
          <w:rFonts w:ascii="Century Gothic" w:eastAsia="Calibri" w:hAnsi="Century Gothic" w:cs="Arial"/>
          <w:i/>
          <w:iCs/>
        </w:rPr>
        <w:t xml:space="preserve">quinto </w:t>
      </w:r>
      <w:r w:rsidRPr="00D82A1E">
        <w:rPr>
          <w:rFonts w:ascii="Century Gothic" w:eastAsia="Calibri" w:hAnsi="Century Gothic" w:cs="Arial"/>
        </w:rPr>
        <w:t xml:space="preserve">lugar, el Consejo de Estado en el auto del 6 de agosto de 2019 analizó la solicitud de suspensión del artículo 5 del Decreto 092 de 2017, que reglamenta los convenios de asociación que prevé el artículo 96 de la Ley 489 </w:t>
      </w:r>
      <w:r w:rsidRPr="00D82A1E">
        <w:rPr>
          <w:rFonts w:ascii="Century Gothic" w:eastAsia="Calibri" w:hAnsi="Century Gothic" w:cs="Arial"/>
        </w:rPr>
        <w:lastRenderedPageBreak/>
        <w:t xml:space="preserve">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3542A20B" w14:textId="77777777" w:rsidR="00490794" w:rsidRPr="00D82A1E" w:rsidRDefault="00490794" w:rsidP="00490794">
      <w:pPr>
        <w:spacing w:before="120" w:after="0" w:line="276" w:lineRule="auto"/>
        <w:ind w:firstLine="709"/>
        <w:jc w:val="both"/>
        <w:rPr>
          <w:rFonts w:ascii="Century Gothic" w:eastAsia="Calibri" w:hAnsi="Century Gothic" w:cs="Arial"/>
        </w:rPr>
      </w:pPr>
      <w:r w:rsidRPr="00D82A1E">
        <w:rPr>
          <w:rFonts w:ascii="Century Gothic" w:eastAsia="Calibri" w:hAnsi="Century Gothic" w:cs="Arial"/>
        </w:rPr>
        <w:t>La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decreto limita su órbita de aplicación a un catálogo de actividades y programas de interés público susceptibles de este mecanismo</w:t>
      </w:r>
      <w:r w:rsidRPr="00D82A1E">
        <w:rPr>
          <w:rFonts w:ascii="Century Gothic" w:eastAsia="Calibri" w:hAnsi="Century Gothic" w:cs="Arial"/>
          <w:vertAlign w:val="superscript"/>
        </w:rPr>
        <w:footnoteReference w:id="18"/>
      </w:r>
      <w:r w:rsidRPr="00D82A1E">
        <w:rPr>
          <w:rFonts w:ascii="Century Gothic" w:eastAsia="Calibri" w:hAnsi="Century Gothic" w:cs="Arial"/>
        </w:rPr>
        <w:t xml:space="preserve">. Por lo demás, respecto al inciso final del artículo 4 </w:t>
      </w:r>
      <w:r w:rsidRPr="00D82A1E">
        <w:rPr>
          <w:rFonts w:ascii="Century Gothic" w:eastAsia="Calibri" w:hAnsi="Century Gothic" w:cs="Arial"/>
          <w:i/>
          <w:iCs/>
        </w:rPr>
        <w:t>ibidem</w:t>
      </w:r>
      <w:r w:rsidRPr="00D82A1E">
        <w:rPr>
          <w:rFonts w:ascii="Century Gothic" w:eastAsia="Calibri" w:hAnsi="Century Gothic" w:cs="Arial"/>
        </w:rPr>
        <w:t>, el Consejo de Estado mantiene la medida cautelar al configurarse el cargo de violación del principio de igualdad. Para estos efectos, considera que:</w:t>
      </w:r>
    </w:p>
    <w:p w14:paraId="584F5C88" w14:textId="77777777" w:rsidR="00490794" w:rsidRPr="00D82A1E" w:rsidRDefault="00490794" w:rsidP="00490794">
      <w:pPr>
        <w:spacing w:after="0" w:line="276" w:lineRule="auto"/>
        <w:ind w:firstLine="709"/>
        <w:jc w:val="both"/>
        <w:rPr>
          <w:rFonts w:ascii="Century Gothic" w:eastAsia="Calibri" w:hAnsi="Century Gothic" w:cs="Arial"/>
        </w:rPr>
      </w:pPr>
    </w:p>
    <w:p w14:paraId="779DB3C1" w14:textId="77777777" w:rsidR="00490794" w:rsidRPr="00D82A1E" w:rsidRDefault="00490794" w:rsidP="00490794">
      <w:pPr>
        <w:spacing w:after="120" w:line="240" w:lineRule="auto"/>
        <w:ind w:left="709" w:right="709"/>
        <w:jc w:val="both"/>
        <w:rPr>
          <w:rFonts w:ascii="Century Gothic" w:eastAsia="Calibri" w:hAnsi="Century Gothic" w:cs="Arial"/>
          <w:sz w:val="21"/>
          <w:szCs w:val="21"/>
        </w:rPr>
      </w:pPr>
      <w:r w:rsidRPr="00D82A1E">
        <w:rPr>
          <w:rFonts w:ascii="Century Gothic" w:eastAsia="Calibri" w:hAnsi="Century Gothic" w:cs="Arial"/>
          <w:sz w:val="21"/>
          <w:szCs w:val="21"/>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14:paraId="7805F7F5" w14:textId="77777777" w:rsidR="00490794" w:rsidRPr="00D82A1E" w:rsidRDefault="00490794" w:rsidP="00490794">
      <w:pPr>
        <w:spacing w:after="0" w:line="240" w:lineRule="auto"/>
        <w:ind w:left="709" w:right="709"/>
        <w:jc w:val="both"/>
        <w:rPr>
          <w:rFonts w:ascii="Century Gothic" w:eastAsia="Calibri" w:hAnsi="Century Gothic" w:cs="Arial"/>
          <w:sz w:val="21"/>
          <w:szCs w:val="21"/>
        </w:rPr>
      </w:pPr>
      <w:r w:rsidRPr="00D82A1E">
        <w:rPr>
          <w:rFonts w:ascii="Century Gothic" w:eastAsia="Calibri" w:hAnsi="Century Gothic" w:cs="Arial"/>
          <w:sz w:val="21"/>
          <w:szCs w:val="21"/>
        </w:rPr>
        <w:t>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no hace parte de las actividades enunciadas en la norma: de índole artística, cultural, deportiva o de promoción de la diversidad étnica”</w:t>
      </w:r>
      <w:r w:rsidRPr="00D82A1E">
        <w:rPr>
          <w:rFonts w:ascii="Century Gothic" w:eastAsia="Calibri" w:hAnsi="Century Gothic" w:cs="Arial"/>
          <w:sz w:val="21"/>
          <w:szCs w:val="21"/>
          <w:vertAlign w:val="superscript"/>
        </w:rPr>
        <w:footnoteReference w:id="19"/>
      </w:r>
      <w:r w:rsidRPr="00D82A1E">
        <w:rPr>
          <w:rFonts w:ascii="Century Gothic" w:eastAsia="Calibri" w:hAnsi="Century Gothic" w:cs="Arial"/>
          <w:sz w:val="21"/>
          <w:szCs w:val="21"/>
        </w:rPr>
        <w:t xml:space="preserve">.  </w:t>
      </w:r>
    </w:p>
    <w:p w14:paraId="18067428" w14:textId="77777777" w:rsidR="00490794" w:rsidRPr="00D82A1E" w:rsidRDefault="00490794" w:rsidP="00490794">
      <w:pPr>
        <w:spacing w:after="0" w:line="276" w:lineRule="auto"/>
        <w:jc w:val="both"/>
        <w:rPr>
          <w:rFonts w:ascii="Century Gothic" w:eastAsia="Arial" w:hAnsi="Century Gothic" w:cs="Arial"/>
        </w:rPr>
      </w:pPr>
    </w:p>
    <w:p w14:paraId="4AA2E9A3" w14:textId="77777777" w:rsidR="00490794" w:rsidRPr="00D82A1E" w:rsidRDefault="00490794" w:rsidP="00490794">
      <w:pPr>
        <w:spacing w:after="0" w:line="276" w:lineRule="auto"/>
        <w:ind w:firstLine="708"/>
        <w:jc w:val="both"/>
        <w:rPr>
          <w:rFonts w:ascii="Century Gothic" w:eastAsia="Arial" w:hAnsi="Century Gothic" w:cs="Arial"/>
        </w:rPr>
      </w:pPr>
      <w:r w:rsidRPr="00D82A1E">
        <w:rPr>
          <w:rFonts w:ascii="Century Gothic" w:eastAsia="Arial" w:hAnsi="Century Gothic" w:cs="Arial"/>
        </w:rPr>
        <w:t xml:space="preserve">De lo anterior se desprende que la contratación con ESAL se sigue rigiendo por el Decreto 092 de 2017, salvo lo que fue objeto de suspensión provisional. Por lo </w:t>
      </w:r>
      <w:r w:rsidRPr="00D82A1E">
        <w:rPr>
          <w:rFonts w:ascii="Century Gothic" w:eastAsia="Arial" w:hAnsi="Century Gothic" w:cs="Arial"/>
        </w:rPr>
        <w:lastRenderedPageBreak/>
        <w:t>tanto, las Entidades Estatales que deseen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a que las actividades o programas correspondan exclusivamente a promover los derechos de personas en situación de debilidad manifiesta o indefensión, los derechos de las minorías, el derecho a la educación, el derecho a la paz,</w:t>
      </w:r>
      <w:r w:rsidRPr="00D82A1E">
        <w:t xml:space="preserve"> </w:t>
      </w:r>
      <w:r w:rsidRPr="00D82A1E">
        <w:rPr>
          <w:rFonts w:ascii="Century Gothic" w:eastAsia="Arial" w:hAnsi="Century Gothic" w:cs="Arial"/>
        </w:rPr>
        <w:t>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ésta al contratista para cumplir con el objeto del contrato.</w:t>
      </w:r>
    </w:p>
    <w:p w14:paraId="66E9FA83" w14:textId="77777777" w:rsidR="00490794" w:rsidRPr="00D82A1E" w:rsidRDefault="00490794" w:rsidP="00490794">
      <w:pPr>
        <w:spacing w:before="120" w:after="0" w:line="276" w:lineRule="auto"/>
        <w:jc w:val="both"/>
        <w:rPr>
          <w:rFonts w:ascii="Century Gothic" w:eastAsia="Arial" w:hAnsi="Century Gothic" w:cs="Arial"/>
        </w:rPr>
      </w:pPr>
      <w:r w:rsidRPr="00D82A1E">
        <w:rPr>
          <w:rFonts w:ascii="Century Gothic" w:eastAsia="Arial" w:hAnsi="Century Gothic" w:cs="Arial"/>
        </w:rPr>
        <w:tab/>
        <w:t xml:space="preserve">En caso de que se pretenda suscribir un </w:t>
      </w:r>
      <w:r w:rsidRPr="00D82A1E">
        <w:rPr>
          <w:rFonts w:ascii="Century Gothic" w:eastAsia="Arial" w:hAnsi="Century Gothic" w:cs="Arial"/>
          <w:i/>
          <w:iCs/>
        </w:rPr>
        <w:t xml:space="preserve">convenio de asociación </w:t>
      </w:r>
      <w:r w:rsidRPr="00D82A1E">
        <w:rPr>
          <w:rFonts w:ascii="Century Gothic" w:eastAsia="Arial" w:hAnsi="Century Gothic" w:cs="Arial"/>
        </w:rPr>
        <w:t>con ESAL de reconocida idoneidad para el cumplimiento de las funciones que la ley les asigna a las Entidades Estatales, deberá aplicarse lo dispuesto en el artículo 5 del Decreto 092 de 2017. De esta manera, deben estar sujetos a competencia, salvo en aquellos casos en que una ESAL comprometa recursos en dinero por un monto igual o superior al 30% del valor total del convenio</w:t>
      </w:r>
      <w:r w:rsidRPr="00D82A1E">
        <w:rPr>
          <w:rFonts w:ascii="Century Gothic" w:hAnsi="Century Gothic" w:cs="Arial"/>
          <w:sz w:val="20"/>
          <w:szCs w:val="20"/>
          <w:vertAlign w:val="superscript"/>
        </w:rPr>
        <w:footnoteReference w:id="20"/>
      </w:r>
      <w:r w:rsidRPr="00D82A1E">
        <w:rPr>
          <w:rFonts w:ascii="Century Gothic" w:eastAsia="Calibri" w:hAnsi="Century Gothic" w:cs="Arial"/>
        </w:rPr>
        <w:t>, y siempre que la Entidad Estatal verifique previamente que no existe ninguna otra ESAL que ofrezca aportes iguales o superiores al 30%.</w:t>
      </w:r>
    </w:p>
    <w:p w14:paraId="393C6DCC"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t xml:space="preserve">Ahora bien, teniendo en cuenta el objeto bajo consulta, procederemos </w:t>
      </w:r>
      <w:r>
        <w:rPr>
          <w:rFonts w:ascii="Century Gothic" w:eastAsia="Arial" w:hAnsi="Century Gothic" w:cs="Arial"/>
        </w:rPr>
        <w:t xml:space="preserve">a </w:t>
      </w:r>
      <w:r w:rsidRPr="00D82A1E">
        <w:rPr>
          <w:rFonts w:ascii="Century Gothic" w:eastAsia="Arial" w:hAnsi="Century Gothic" w:cs="Arial"/>
        </w:rPr>
        <w:t>analizar si es o no factible la aplicación de criterios diferenciales en favor de las Mipyme y los emprendimientos y empresas de mujeres en los procesos adelantados mediante el Decreto 092 de 2017.</w:t>
      </w:r>
    </w:p>
    <w:p w14:paraId="5E4D0EC3" w14:textId="77777777" w:rsidR="00490794" w:rsidRPr="00D82A1E" w:rsidRDefault="00490794" w:rsidP="00490794">
      <w:pPr>
        <w:spacing w:after="0" w:line="276" w:lineRule="auto"/>
        <w:jc w:val="both"/>
        <w:rPr>
          <w:rFonts w:ascii="Century Gothic" w:eastAsia="Arial" w:hAnsi="Century Gothic" w:cs="Arial"/>
        </w:rPr>
      </w:pPr>
    </w:p>
    <w:p w14:paraId="4D3C3F02" w14:textId="77777777" w:rsidR="00490794" w:rsidRPr="00D82A1E" w:rsidRDefault="00490794" w:rsidP="00490794">
      <w:pPr>
        <w:spacing w:after="0" w:line="276" w:lineRule="auto"/>
        <w:jc w:val="both"/>
        <w:rPr>
          <w:rFonts w:ascii="Century Gothic" w:eastAsia="Arial" w:hAnsi="Century Gothic" w:cs="Arial"/>
          <w:b/>
          <w:bCs/>
        </w:rPr>
      </w:pPr>
      <w:r w:rsidRPr="00D82A1E">
        <w:rPr>
          <w:rFonts w:ascii="Century Gothic" w:eastAsia="Arial" w:hAnsi="Century Gothic" w:cs="Arial"/>
          <w:b/>
          <w:bCs/>
        </w:rPr>
        <w:t>2.3. Criterios diferenciales en favor de las Mipyme y los emprendimientos y empresas de mujeres. Imposibilidad de aplicación en los procesos adelantados mediante el Decreto 092 de 2017</w:t>
      </w:r>
    </w:p>
    <w:p w14:paraId="1B4A0659" w14:textId="77777777" w:rsidR="00490794" w:rsidRPr="00D82A1E" w:rsidRDefault="00490794" w:rsidP="00490794">
      <w:pPr>
        <w:spacing w:after="0" w:line="276" w:lineRule="auto"/>
        <w:jc w:val="both"/>
        <w:rPr>
          <w:rFonts w:ascii="Century Gothic" w:eastAsia="Arial" w:hAnsi="Century Gothic" w:cs="Arial"/>
        </w:rPr>
      </w:pPr>
    </w:p>
    <w:p w14:paraId="01E236EA" w14:textId="77777777" w:rsidR="00490794" w:rsidRPr="00D82A1E" w:rsidRDefault="00490794" w:rsidP="00490794">
      <w:pPr>
        <w:spacing w:after="0" w:line="276" w:lineRule="auto"/>
        <w:jc w:val="both"/>
        <w:rPr>
          <w:rFonts w:ascii="Century Gothic" w:eastAsia="Arial" w:hAnsi="Century Gothic" w:cs="Arial"/>
        </w:rPr>
      </w:pPr>
      <w:r w:rsidRPr="00D82A1E">
        <w:rPr>
          <w:rFonts w:ascii="Century Gothic" w:eastAsia="Arial" w:hAnsi="Century Gothic" w:cs="Arial"/>
        </w:rPr>
        <w:t xml:space="preserve">De manera preliminar, es importante destacar tal y como se evidenció en el numeral anterior, que el Decreto 092 de 2017 otorgó un alto grado de discrecionalidad a las Entidades Estatales para la configuración de los procedimientos competitivos mediante los cuales se seleccionan a las ESAL, por lo que la ausencia de regulación detallada de estos procedimientos no implica que exista un vacío normativo, sino la intención del reglamento de permitir que sean las Entidades Estatales quienes estructuren dichos procedimientos, por lo cual no es procedente acudir automáticamente a las reglas establecidas en el EGCAP para complementar la estructura de dichos procedimientos. </w:t>
      </w:r>
    </w:p>
    <w:p w14:paraId="5E61536C" w14:textId="77777777" w:rsidR="00490794" w:rsidRPr="00D82A1E" w:rsidRDefault="00490794" w:rsidP="00490794">
      <w:pPr>
        <w:spacing w:before="120" w:after="0" w:line="276" w:lineRule="auto"/>
        <w:ind w:firstLine="709"/>
        <w:jc w:val="both"/>
        <w:rPr>
          <w:rFonts w:ascii="Century Gothic" w:eastAsia="Arial" w:hAnsi="Century Gothic" w:cs="Arial"/>
        </w:rPr>
      </w:pPr>
      <w:r w:rsidRPr="00D82A1E">
        <w:rPr>
          <w:rFonts w:ascii="Century Gothic" w:eastAsia="Arial" w:hAnsi="Century Gothic" w:cs="Arial"/>
        </w:rPr>
        <w:t>Ahora bien, en lo que respecta a la aplicación de los criterios diferenciales a favor de las Mipyme y los emprendimientos y empresas de mujeres dispuestos en la Ley 2069 de 2020 –también conocida como Ley de Emprendimiento–, podría afirmarse que estos no están armonizados con la finalidad que se persiguen en los contratos regulados por el Decreto 092 de 2017</w:t>
      </w:r>
      <w:r w:rsidRPr="00D82A1E">
        <w:rPr>
          <w:rFonts w:ascii="Century Gothic" w:hAnsi="Century Gothic" w:cs="Arial"/>
          <w:lang w:val="es-MX"/>
        </w:rPr>
        <w:t>.</w:t>
      </w:r>
    </w:p>
    <w:p w14:paraId="56CA3AB7"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t>Lo anterior, se fundamenta en que, tal y como se indicó en el numeral 2.1 de este concepto, los negocios jurídicos que regula el Decreto 092 de 2017 son esencialmente distintos a los contratos para la adquisición y aprovisionamiento de bienes, obras o servicios regulados por el EGCAP y, por ende, no hacen parte del sistema de compra pública. Pues bien, la celebración de contratos bajo la aplicación de dicha norma, se realiza principalmente con el fin de impulsar programas y actividades de interés público acordes con el plan nacional y los planes seccionales de desarrollo, así como para ejecutar actividades relacionadas con sus funciones</w:t>
      </w:r>
      <w:r w:rsidRPr="00D82A1E">
        <w:rPr>
          <w:rFonts w:ascii="Century Gothic" w:eastAsia="Arial" w:hAnsi="Century Gothic" w:cs="Arial"/>
          <w:vertAlign w:val="superscript"/>
        </w:rPr>
        <w:footnoteReference w:id="21"/>
      </w:r>
      <w:r w:rsidRPr="00D82A1E">
        <w:rPr>
          <w:rFonts w:ascii="Century Gothic" w:eastAsia="Arial" w:hAnsi="Century Gothic" w:cs="Arial"/>
        </w:rPr>
        <w:t>, a través de la celebración de contratos de interés público en los términos del artículo 355 de la Constitución Política o mediante la suscripción de convenios de asociación; ambos, con ESAL de reconocida idoneidad.</w:t>
      </w:r>
    </w:p>
    <w:p w14:paraId="273B5F37"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t>Sin embargo, por un lado, debe resaltarse que, pese a que el artículo 31 de la Ley 2069 de 2020 introdujo criterios diferenciales para el acceso a Mipymes al sistema de compras públicas, esto es, para los procesos de selección que adelanten las Entidades Estatales, lo cierto es que, como se indicó previamente, los procesos que se adelantan a través del Decreto 092 de 2017 no se consideran como tal, parte de dicho sistema. Por ello, sería contrario a la ley, que se procurara incentivar la participación de Mipymes en un procedimiento que no integra el sistema de compras públicas.</w:t>
      </w:r>
    </w:p>
    <w:p w14:paraId="2BC08791"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lastRenderedPageBreak/>
        <w:t>A lo anterior, se le suma que, los negocios jurídicos que adelantan las Entidades Estatales en aplicación del Decreto 092 de 2017, se suscriben con ESAL, quienes, por regla general, no cumplen la condición de Mipymes. Esto, en razón a que, según el artículo 43 de la Ley 1450 de 2011 sólo podrán ser Mipymes las empresas entendidas éstas como unidades de explotación económica que buscan el reparto de utilidades entre los miembros de la empresa. Caso contrario para las ESAL, pues estas están destinadas a realizar una actividad de interés general sin esperar la repartición de utilidades, por lo que no podrían considerarse Mipymes para ningún efecto en procesos de contratación; salvo, en los eventos en que sean consideradas como entidades de economía solidaria y participen en los procedimientos contractuales que se adelanten en aplicación del EGCAP.</w:t>
      </w:r>
    </w:p>
    <w:p w14:paraId="141D7D33"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t xml:space="preserve">Por otra parte, es importante aclarar que los artículos 32 de la Ley 2069 de 2020 y el artículo 2.2.1.2.4.2.15 del Decreto 1082 del 2015 –adicionado por el artículo 3 del Decreto 1860 de 2021– definieron el ámbito de aplicación de los requisitos habilitantes diferenciales y puntajes adicionales para los emprendimientos y empresa de mujeres, estableciendo que estos se aplicarán en los procesos contractuales en que resulte aplicable los procedimientos de </w:t>
      </w:r>
      <w:r w:rsidRPr="00D82A1E">
        <w:rPr>
          <w:rFonts w:ascii="Century Gothic" w:eastAsia="Arial" w:hAnsi="Century Gothic" w:cs="Arial"/>
          <w:i/>
        </w:rPr>
        <w:t xml:space="preserve">licitación pública, selección abreviada de menor cuantía </w:t>
      </w:r>
      <w:r w:rsidRPr="00D82A1E">
        <w:rPr>
          <w:rFonts w:ascii="Century Gothic" w:eastAsia="Arial" w:hAnsi="Century Gothic" w:cs="Arial"/>
        </w:rPr>
        <w:t>y</w:t>
      </w:r>
      <w:r w:rsidRPr="00D82A1E">
        <w:rPr>
          <w:rFonts w:ascii="Century Gothic" w:eastAsia="Arial" w:hAnsi="Century Gothic" w:cs="Arial"/>
          <w:i/>
        </w:rPr>
        <w:t xml:space="preserve"> concurso de méritos</w:t>
      </w:r>
      <w:r w:rsidRPr="00D82A1E">
        <w:rPr>
          <w:rFonts w:ascii="Century Gothic" w:eastAsia="Arial" w:hAnsi="Century Gothic" w:cs="Arial"/>
        </w:rPr>
        <w:t>, así como los procesos competitivos que adelanten las entidades exceptuadas del EGCAP. En tal sentido, las demás modalidades de selección del artículo 2 de la Ley 1150 de 2007 que no se encuentren relacionadas en ese listado están excluidas, lo que descarta su aplicación, entre otros, en la selección abreviada por subasta inversa, en la mínima cuantía y en los procesos competitivos de que trata el Decreto 092 de 2017.</w:t>
      </w:r>
    </w:p>
    <w:p w14:paraId="4A58D7DB" w14:textId="77777777" w:rsidR="00490794" w:rsidRPr="00D82A1E" w:rsidRDefault="00490794" w:rsidP="00490794">
      <w:pPr>
        <w:spacing w:before="120" w:after="0" w:line="276" w:lineRule="auto"/>
        <w:ind w:firstLine="708"/>
        <w:jc w:val="both"/>
        <w:rPr>
          <w:rFonts w:ascii="Century Gothic" w:eastAsia="Arial" w:hAnsi="Century Gothic" w:cs="Arial"/>
        </w:rPr>
      </w:pPr>
      <w:r w:rsidRPr="00D82A1E">
        <w:rPr>
          <w:rFonts w:ascii="Century Gothic" w:eastAsia="Arial" w:hAnsi="Century Gothic" w:cs="Arial"/>
        </w:rPr>
        <w:t>En ese orden y teniendo en cuenta lo antes expuesto, no sería procedente la aplicación de los criterios diferenciales en favor de las Mipyme y los emprendimientos y empresas de mujeres, en los procesos de contratación que se adelanten bajo el Decreto 092 de 2017.</w:t>
      </w:r>
    </w:p>
    <w:bookmarkEnd w:id="5"/>
    <w:p w14:paraId="4D5DCD97" w14:textId="77777777" w:rsidR="00490794" w:rsidRPr="00D82A1E" w:rsidRDefault="00490794" w:rsidP="00490794">
      <w:pPr>
        <w:tabs>
          <w:tab w:val="left" w:pos="0"/>
        </w:tabs>
        <w:spacing w:after="0"/>
        <w:jc w:val="both"/>
        <w:rPr>
          <w:rFonts w:ascii="Century Gothic" w:eastAsia="Calibri" w:hAnsi="Century Gothic" w:cs="Arial"/>
          <w:b/>
          <w:lang w:val="es-ES_tradnl"/>
        </w:rPr>
      </w:pPr>
    </w:p>
    <w:p w14:paraId="22A4FC50" w14:textId="77777777" w:rsidR="00490794" w:rsidRPr="00D82A1E" w:rsidRDefault="00490794" w:rsidP="00490794">
      <w:pPr>
        <w:tabs>
          <w:tab w:val="left" w:pos="0"/>
        </w:tabs>
        <w:spacing w:after="0"/>
        <w:jc w:val="both"/>
        <w:rPr>
          <w:rFonts w:ascii="Century Gothic" w:eastAsia="Calibri" w:hAnsi="Century Gothic" w:cs="Arial"/>
          <w:b/>
          <w:lang w:val="es-ES_tradnl"/>
        </w:rPr>
      </w:pPr>
      <w:r w:rsidRPr="00D82A1E">
        <w:rPr>
          <w:rFonts w:ascii="Century Gothic" w:eastAsia="Calibri" w:hAnsi="Century Gothic" w:cs="Arial"/>
          <w:b/>
          <w:lang w:val="es-ES_tradnl"/>
        </w:rPr>
        <w:t>3. Respuestas</w:t>
      </w:r>
    </w:p>
    <w:p w14:paraId="2E705677" w14:textId="77777777" w:rsidR="00490794" w:rsidRPr="00D82A1E" w:rsidRDefault="00490794" w:rsidP="00490794">
      <w:pPr>
        <w:spacing w:after="0" w:line="276" w:lineRule="auto"/>
        <w:jc w:val="both"/>
        <w:rPr>
          <w:rFonts w:ascii="Century Gothic" w:hAnsi="Century Gothic" w:cs="Arial"/>
          <w:lang w:val="es-ES_tradnl"/>
        </w:rPr>
      </w:pPr>
    </w:p>
    <w:p w14:paraId="26B1DF0F"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r w:rsidRPr="00D82A1E">
        <w:rPr>
          <w:rFonts w:ascii="Century Gothic" w:hAnsi="Century Gothic" w:cs="Arial"/>
          <w:sz w:val="21"/>
          <w:szCs w:val="21"/>
          <w:lang w:val="es-ES_tradnl"/>
        </w:rPr>
        <w:t>“1) REGIMEN JURIDCO APLICABLE DE LOS PROCESOS LLEVADOS A CABO POR EL DECRETO 092 DE 2017?” [sic]</w:t>
      </w:r>
    </w:p>
    <w:p w14:paraId="10C71566" w14:textId="77777777" w:rsidR="00490794" w:rsidRPr="00D82A1E" w:rsidRDefault="00490794" w:rsidP="00490794">
      <w:pPr>
        <w:spacing w:after="0" w:line="240" w:lineRule="auto"/>
        <w:jc w:val="both"/>
        <w:rPr>
          <w:rFonts w:ascii="Century Gothic" w:hAnsi="Century Gothic"/>
        </w:rPr>
      </w:pPr>
    </w:p>
    <w:p w14:paraId="408CA074" w14:textId="77777777" w:rsidR="00490794" w:rsidRPr="00D82A1E" w:rsidRDefault="00490794" w:rsidP="00490794">
      <w:pPr>
        <w:spacing w:after="0" w:line="276" w:lineRule="auto"/>
        <w:jc w:val="both"/>
        <w:rPr>
          <w:rFonts w:ascii="Century Gothic" w:eastAsia="Arial" w:hAnsi="Century Gothic" w:cs="Arial"/>
        </w:rPr>
      </w:pPr>
      <w:r w:rsidRPr="00D82A1E">
        <w:rPr>
          <w:rFonts w:ascii="Century Gothic" w:hAnsi="Century Gothic"/>
        </w:rPr>
        <w:t xml:space="preserve">De conformidad con lo expuesto en este concepto, el Decreto 092 de 2017 dispone las reglas para las contrataciones que realicen las Entidades Estatales con ESAL. Dicha norma regula dos </w:t>
      </w:r>
      <w:r w:rsidRPr="00D82A1E">
        <w:rPr>
          <w:rFonts w:ascii="Century Gothic" w:eastAsia="Arial" w:hAnsi="Century Gothic" w:cs="Arial"/>
        </w:rPr>
        <w:t xml:space="preserve">(2) eventos: i) los contratos del artículo 355 de la </w:t>
      </w:r>
      <w:r w:rsidRPr="00D82A1E">
        <w:rPr>
          <w:rFonts w:ascii="Century Gothic" w:eastAsia="Arial" w:hAnsi="Century Gothic" w:cs="Arial"/>
        </w:rPr>
        <w:lastRenderedPageBreak/>
        <w:t xml:space="preserve">Constitución Política con el fin de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6DF45708" w14:textId="77777777" w:rsidR="00490794" w:rsidRPr="00D82A1E" w:rsidRDefault="00490794" w:rsidP="00490794">
      <w:pPr>
        <w:spacing w:before="120" w:after="0" w:line="276" w:lineRule="auto"/>
        <w:jc w:val="both"/>
        <w:rPr>
          <w:rFonts w:ascii="Century Gothic" w:hAnsi="Century Gothic"/>
        </w:rPr>
      </w:pPr>
      <w:r w:rsidRPr="00D82A1E">
        <w:rPr>
          <w:rFonts w:ascii="Century Gothic" w:hAnsi="Century Gothic"/>
        </w:rPr>
        <w:tab/>
        <w:t>En ese sentido, resulta claro entonces que cuando las Entidades Estatales pretendan la celebración de dichos contratos, deberán aplicar el régimen contractual dispuesto en el Decreto 092 de 2017; salvo, en los casos en los que excepcionalmente deban remitirse al EGCAP.</w:t>
      </w:r>
    </w:p>
    <w:p w14:paraId="51BBC664"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p>
    <w:p w14:paraId="2BB6C72A"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r w:rsidRPr="00D82A1E">
        <w:rPr>
          <w:rFonts w:ascii="Century Gothic" w:hAnsi="Century Gothic" w:cs="Arial"/>
          <w:sz w:val="21"/>
          <w:szCs w:val="21"/>
          <w:lang w:val="es-ES_tradnl"/>
        </w:rPr>
        <w:t>“2) ES APLICABLE LA LEY 80 DE 1993 A LOS PROCESOS POR DECRETO 092 DE 2017?</w:t>
      </w:r>
    </w:p>
    <w:p w14:paraId="1E03721F"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r w:rsidRPr="00D82A1E">
        <w:rPr>
          <w:rFonts w:ascii="Century Gothic" w:hAnsi="Century Gothic" w:cs="Arial"/>
          <w:sz w:val="21"/>
          <w:szCs w:val="21"/>
          <w:lang w:val="es-ES_tradnl"/>
        </w:rPr>
        <w:t>3) QUE ES APLICABLE DE LA LEY 80 DE 1993 A LOS PROCESOS POR DECRETO 092 DE 2017?” [sic]</w:t>
      </w:r>
    </w:p>
    <w:p w14:paraId="053DDD44" w14:textId="77777777" w:rsidR="00490794" w:rsidRPr="00D82A1E" w:rsidRDefault="00490794" w:rsidP="00490794">
      <w:pPr>
        <w:spacing w:before="120" w:after="0" w:line="360" w:lineRule="auto"/>
        <w:jc w:val="both"/>
        <w:rPr>
          <w:rFonts w:ascii="Century Gothic" w:hAnsi="Century Gothic"/>
        </w:rPr>
      </w:pPr>
    </w:p>
    <w:p w14:paraId="315E308D" w14:textId="77777777" w:rsidR="00490794" w:rsidRPr="00D82A1E" w:rsidRDefault="00490794" w:rsidP="00490794">
      <w:pPr>
        <w:spacing w:after="0" w:line="276" w:lineRule="auto"/>
        <w:jc w:val="both"/>
        <w:rPr>
          <w:rFonts w:ascii="Century Gothic" w:hAnsi="Century Gothic"/>
        </w:rPr>
      </w:pPr>
      <w:r w:rsidRPr="00D82A1E">
        <w:rPr>
          <w:rFonts w:ascii="Century Gothic" w:hAnsi="Century Gothic"/>
        </w:rPr>
        <w:t>Las Entidades Estatales que adelantan sus procesos de contratación con ESAL bajo la aplicación del Decreto 092 de 2017, deberán acatar las reglas dispuestas en este, salvo en los casos excepcional</w:t>
      </w:r>
      <w:r>
        <w:rPr>
          <w:rFonts w:ascii="Century Gothic" w:hAnsi="Century Gothic"/>
        </w:rPr>
        <w:t>es en los que dicho decreto remita la aplicación del EGCAP, como sucede en el artículo 2, literal c) y el artículo 6.</w:t>
      </w:r>
      <w:r w:rsidRPr="00D82A1E">
        <w:rPr>
          <w:rFonts w:ascii="Century Gothic" w:hAnsi="Century Gothic"/>
        </w:rPr>
        <w:t>. Es decir, pese a que la regla general es desarrollar los procedimientos de contratación observando las pautas contenidas en dicho decreto, las entidades contratantes en ciertos eventos aplicarán el EGCAP –Ley 80 de 1993, Ley 1150 de 2011–.</w:t>
      </w:r>
    </w:p>
    <w:p w14:paraId="05796991" w14:textId="77777777" w:rsidR="00490794" w:rsidRPr="00D82A1E" w:rsidRDefault="00490794" w:rsidP="00490794">
      <w:pPr>
        <w:spacing w:before="120" w:after="0" w:line="276" w:lineRule="auto"/>
        <w:ind w:firstLine="708"/>
        <w:jc w:val="both"/>
        <w:rPr>
          <w:rFonts w:ascii="Century Gothic" w:hAnsi="Century Gothic"/>
        </w:rPr>
      </w:pPr>
      <w:r w:rsidRPr="00D82A1E">
        <w:rPr>
          <w:rFonts w:ascii="Century Gothic" w:hAnsi="Century Gothic"/>
        </w:rPr>
        <w:t xml:space="preserve">Como  ejemplo de ello tenemos: i) cuando se pretenda las celebración de los contratos del artículo 355 de la constitución política, no es factible que en este exista contraprestación directa a favor de la Entidad Estatal, esto es, que el programa o actividad a desempeñar esté dirigido al beneficio de la población en general, pues cuando se adquieren bienes y servicios o se ejecutan obras en una relación conmutativa, las normas aplicables son las del EGCAP; y ii)en el caso de la celebración de convenios de asociación, si la entidad al verificar que existe otra ESAL que ofrece su compromiso de recursos en dinero en una proporción no inferior al 30% del valor total del convenio, podrá, con el fin de realizar una selección objetiva, acudir a los procesos de selección de contratistas que establece el EGCAP. </w:t>
      </w:r>
    </w:p>
    <w:p w14:paraId="1DD39913" w14:textId="77777777" w:rsidR="00490794" w:rsidRPr="00D82A1E" w:rsidRDefault="00490794" w:rsidP="00490794">
      <w:pPr>
        <w:spacing w:before="120" w:after="0" w:line="276" w:lineRule="auto"/>
        <w:ind w:firstLine="708"/>
        <w:jc w:val="both"/>
        <w:rPr>
          <w:rFonts w:ascii="Century Gothic" w:hAnsi="Century Gothic"/>
        </w:rPr>
      </w:pPr>
      <w:r w:rsidRPr="00D82A1E">
        <w:rPr>
          <w:rFonts w:ascii="Century Gothic" w:hAnsi="Century Gothic"/>
        </w:rPr>
        <w:t xml:space="preserve">Sin embargo, para los efectos se aclara que, los negocios jurídicos que regula el Decreto 092 de 2017 son esencialmente distintos a los contratos para la adquisición y aprovisionamiento de bienes, obras o servicios regulados por el </w:t>
      </w:r>
      <w:r w:rsidRPr="00D82A1E">
        <w:rPr>
          <w:rFonts w:ascii="Century Gothic" w:hAnsi="Century Gothic"/>
        </w:rPr>
        <w:lastRenderedPageBreak/>
        <w:t>EGCAP, por lo que, como tal, no hacen parte del sistema de compra pública. De acuerdo con lo anterior, si la Entidad Estatal adquiere o se abastece de un bien, obra o servicio en un contrato conmutativo en el cual el proveedor es una ESAL, deberá aplicar el régimen contenido en las Leyes 80 de 1993 y 1150 de 2007, y no el Decreto 092 de 2017.</w:t>
      </w:r>
    </w:p>
    <w:p w14:paraId="59A4269F"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p>
    <w:p w14:paraId="096A8EDC" w14:textId="77777777" w:rsidR="00490794" w:rsidRPr="00D82A1E" w:rsidRDefault="00490794" w:rsidP="00490794">
      <w:pPr>
        <w:spacing w:after="0" w:line="240" w:lineRule="auto"/>
        <w:ind w:left="709" w:right="709"/>
        <w:jc w:val="both"/>
        <w:rPr>
          <w:rFonts w:ascii="Century Gothic" w:hAnsi="Century Gothic" w:cs="Arial"/>
          <w:sz w:val="21"/>
          <w:szCs w:val="21"/>
          <w:lang w:val="es-ES_tradnl"/>
        </w:rPr>
      </w:pPr>
      <w:r w:rsidRPr="00D82A1E">
        <w:rPr>
          <w:rFonts w:ascii="Century Gothic" w:hAnsi="Century Gothic" w:cs="Arial"/>
          <w:sz w:val="21"/>
          <w:szCs w:val="21"/>
          <w:lang w:val="es-ES_tradnl"/>
        </w:rPr>
        <w:t>“4) EN LOS PROCESOS POR DECRETO 092 DE 2017 ES APLICABLE LOS INCENTIVOS Y CRITERIOS DIFERENCIALES EN FAVOR DE MIPYMES Y EMPRENDIMIENTOS DE EMPRESAS DE MUJERES?” [sic]</w:t>
      </w:r>
    </w:p>
    <w:p w14:paraId="57F75361" w14:textId="77777777" w:rsidR="00490794" w:rsidRPr="00D82A1E" w:rsidRDefault="00490794" w:rsidP="00490794">
      <w:pPr>
        <w:spacing w:after="0" w:line="276" w:lineRule="auto"/>
        <w:jc w:val="both"/>
        <w:rPr>
          <w:rFonts w:ascii="Century Gothic" w:hAnsi="Century Gothic"/>
        </w:rPr>
      </w:pPr>
    </w:p>
    <w:p w14:paraId="464698B0" w14:textId="77777777" w:rsidR="00490794" w:rsidRPr="00D82A1E" w:rsidRDefault="00490794" w:rsidP="00490794">
      <w:pPr>
        <w:spacing w:after="0" w:line="276" w:lineRule="auto"/>
        <w:jc w:val="both"/>
        <w:rPr>
          <w:rFonts w:ascii="Century Gothic" w:hAnsi="Century Gothic"/>
        </w:rPr>
      </w:pPr>
      <w:r w:rsidRPr="00D82A1E">
        <w:rPr>
          <w:rFonts w:ascii="Century Gothic" w:hAnsi="Century Gothic"/>
        </w:rPr>
        <w:t>Pese a que el artículo 31 de la Ley 2069 de 2020 introdujo criterios diferenciales para el acceso a Mipymes al sistema de compras públicas, esto es, para los procesos de selección que adelanten las Entidades Estatales, lo cierto es que, como se indicó en el considerando de este concepto, los procesos que se adelantan a través del Decreto 092 de 2017 no se consideran como tal, parte de dicho sistema. Por ello, sería contrario a la ley, que se procurara incentivar la participación de Mipymes en un procedimiento que no integra el sistema de compras públicas. A lo anterior, se le suma que, los negocios jurídicos que adelantan las Entidades Estatales en aplicación del Decreto 092 de 2017, se suscriben con ESAL, quienes, por regla general, no cumplen la condición de Mipymes.</w:t>
      </w:r>
    </w:p>
    <w:p w14:paraId="1D5C79B9" w14:textId="77777777" w:rsidR="00490794" w:rsidRPr="00D82A1E" w:rsidRDefault="00490794" w:rsidP="00490794">
      <w:pPr>
        <w:spacing w:before="120" w:after="0" w:line="276" w:lineRule="auto"/>
        <w:jc w:val="both"/>
        <w:rPr>
          <w:rFonts w:ascii="Century Gothic" w:hAnsi="Century Gothic"/>
        </w:rPr>
      </w:pPr>
      <w:r w:rsidRPr="00D82A1E">
        <w:rPr>
          <w:rFonts w:ascii="Century Gothic" w:hAnsi="Century Gothic"/>
        </w:rPr>
        <w:tab/>
        <w:t>Finalmente, resulta a bien aclarar que los artículos 32 de la Ley 2069 de 2020 y el artículo 2.2.1.2.4.2.15 del Decreto 1082 del 2015 –adicionado por el artículo 3 del Decreto 1860 de 2021– definieron el ámbito de aplicación de los requisitos habilitantes diferenciales y puntajes adicionales para los emprendimientos y empresa de mujeres, estableciendo que estos se aplicarán en los procesos contractuales en que resulte aplicable los procedimientos de licitación pública, selección abreviada de menor cuantía y concurso de méritos, así como los procesos competitivos que adelanten las entidades exceptuadas del EGCAP. En tal sentido, las demás modalidades de selección del artículo 2 de la Ley 1150 de 2007 que no se encuentren relacionadas en ese listado están excluidas, lo que descarta su aplicación, entre otros, en la selección abreviada por subasta inversa, en la mínima cuantía y en los procesos competitivos de que trata el Decreto 092 de 2017.</w:t>
      </w:r>
    </w:p>
    <w:p w14:paraId="7FB66341" w14:textId="77777777" w:rsidR="00490794" w:rsidRPr="00D82A1E" w:rsidRDefault="00490794" w:rsidP="00490794">
      <w:pPr>
        <w:spacing w:after="0" w:line="276" w:lineRule="auto"/>
        <w:jc w:val="both"/>
        <w:rPr>
          <w:rFonts w:ascii="Century Gothic" w:hAnsi="Century Gothic" w:cs="Arial"/>
          <w:lang w:val="es-ES"/>
        </w:rPr>
      </w:pPr>
    </w:p>
    <w:p w14:paraId="130AA589" w14:textId="77777777" w:rsidR="00490794" w:rsidRPr="00D82A1E" w:rsidRDefault="00490794" w:rsidP="00490794">
      <w:pPr>
        <w:widowControl w:val="0"/>
        <w:autoSpaceDE w:val="0"/>
        <w:autoSpaceDN w:val="0"/>
        <w:spacing w:after="0" w:line="276" w:lineRule="auto"/>
        <w:jc w:val="both"/>
        <w:rPr>
          <w:rFonts w:ascii="Century Gothic" w:hAnsi="Century Gothic" w:cs="Arial"/>
          <w:lang w:val="es-ES_tradnl" w:bidi="es-ES"/>
        </w:rPr>
      </w:pPr>
      <w:r w:rsidRPr="00D82A1E">
        <w:rPr>
          <w:rFonts w:ascii="Century Gothic" w:hAnsi="Century Gothic" w:cs="Arial"/>
          <w:lang w:val="es-ES_tradnl"/>
        </w:rPr>
        <w:t>Este concepto tiene el alcance previsto en el artículo 28 del Código de Procedimiento Administrativo y de lo Contencioso Administrativo.</w:t>
      </w:r>
    </w:p>
    <w:p w14:paraId="1A7D220F" w14:textId="77777777" w:rsidR="00490794" w:rsidRPr="00D82A1E" w:rsidRDefault="00490794" w:rsidP="00490794">
      <w:pPr>
        <w:widowControl w:val="0"/>
        <w:autoSpaceDE w:val="0"/>
        <w:autoSpaceDN w:val="0"/>
        <w:spacing w:after="0" w:line="276" w:lineRule="auto"/>
        <w:jc w:val="both"/>
        <w:rPr>
          <w:rFonts w:ascii="Century Gothic" w:hAnsi="Century Gothic" w:cs="Arial"/>
          <w:lang w:val="es-ES_tradnl" w:bidi="es-ES"/>
        </w:rPr>
      </w:pPr>
    </w:p>
    <w:p w14:paraId="4D905025" w14:textId="77777777" w:rsidR="00490794" w:rsidRPr="00D82A1E" w:rsidRDefault="00490794" w:rsidP="00490794">
      <w:pPr>
        <w:tabs>
          <w:tab w:val="left" w:pos="426"/>
        </w:tabs>
        <w:spacing w:line="276" w:lineRule="auto"/>
        <w:jc w:val="both"/>
        <w:rPr>
          <w:rFonts w:ascii="Century Gothic" w:eastAsia="Times New Roman" w:hAnsi="Century Gothic" w:cs="Arial"/>
        </w:rPr>
      </w:pPr>
      <w:r w:rsidRPr="00D82A1E">
        <w:rPr>
          <w:rFonts w:ascii="Century Gothic" w:eastAsia="Times New Roman" w:hAnsi="Century Gothic" w:cs="Arial"/>
        </w:rPr>
        <w:t>Atentamente,</w:t>
      </w:r>
    </w:p>
    <w:p w14:paraId="345F8C36" w14:textId="3DD99676" w:rsidR="00490794" w:rsidRPr="00D82A1E" w:rsidRDefault="00490794" w:rsidP="00490794">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lastRenderedPageBreak/>
        <w:drawing>
          <wp:inline distT="0" distB="0" distL="0" distR="0" wp14:anchorId="0DC83836" wp14:editId="2E9FA715">
            <wp:extent cx="3152775" cy="1207135"/>
            <wp:effectExtent l="0" t="0" r="9525" b="0"/>
            <wp:docPr id="7283369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7135"/>
                    </a:xfrm>
                    <a:prstGeom prst="rect">
                      <a:avLst/>
                    </a:prstGeom>
                    <a:noFill/>
                    <a:ln>
                      <a:noFill/>
                    </a:ln>
                  </pic:spPr>
                </pic:pic>
              </a:graphicData>
            </a:graphic>
          </wp:inline>
        </w:drawing>
      </w:r>
      <w:r>
        <w:rPr>
          <w:rFonts w:ascii="Calibri" w:hAnsi="Calibri" w:cs="Calibri"/>
          <w:color w:val="000000"/>
          <w:shd w:val="clear" w:color="auto" w:fill="FFFFFF"/>
        </w:rPr>
        <w:br/>
      </w:r>
      <w:r w:rsidRPr="00D82A1E">
        <w:rPr>
          <w:rFonts w:ascii="Calibri" w:hAnsi="Calibri" w:cs="Calibri"/>
          <w:shd w:val="clear" w:color="auto" w:fill="FFFFFF"/>
        </w:rPr>
        <w:br/>
      </w:r>
      <w:r w:rsidRPr="00D82A1E">
        <w:rPr>
          <w:rFonts w:ascii="Calibri" w:hAnsi="Calibri" w:cs="Calibri"/>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90794" w:rsidRPr="00D82A1E" w14:paraId="43B47564" w14:textId="77777777" w:rsidTr="009F68B5">
        <w:trPr>
          <w:trHeight w:val="409"/>
        </w:trPr>
        <w:tc>
          <w:tcPr>
            <w:tcW w:w="817" w:type="dxa"/>
            <w:tcBorders>
              <w:top w:val="nil"/>
              <w:left w:val="nil"/>
              <w:bottom w:val="nil"/>
              <w:right w:val="nil"/>
            </w:tcBorders>
            <w:vAlign w:val="center"/>
            <w:hideMark/>
          </w:tcPr>
          <w:p w14:paraId="5092B541"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7405CF3"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Nasly Yeana Mosquera Rivas</w:t>
            </w:r>
          </w:p>
          <w:p w14:paraId="6B3AA40D"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Analista T2 – 06 de la Subdirección de Gestión Contractual</w:t>
            </w:r>
          </w:p>
        </w:tc>
      </w:tr>
      <w:tr w:rsidR="00490794" w:rsidRPr="00D82A1E" w14:paraId="0967450C" w14:textId="77777777" w:rsidTr="009F68B5">
        <w:trPr>
          <w:trHeight w:val="409"/>
        </w:trPr>
        <w:tc>
          <w:tcPr>
            <w:tcW w:w="817" w:type="dxa"/>
            <w:tcBorders>
              <w:top w:val="nil"/>
              <w:left w:val="nil"/>
              <w:right w:val="nil"/>
            </w:tcBorders>
            <w:vAlign w:val="center"/>
          </w:tcPr>
          <w:p w14:paraId="7D08621A" w14:textId="77777777" w:rsidR="00490794" w:rsidRPr="00D82A1E" w:rsidRDefault="00490794" w:rsidP="009F68B5">
            <w:pPr>
              <w:jc w:val="both"/>
              <w:rPr>
                <w:rFonts w:ascii="Century Gothic" w:hAnsi="Century Gothic" w:cs="Arial"/>
                <w:sz w:val="16"/>
                <w:szCs w:val="16"/>
              </w:rPr>
            </w:pPr>
            <w:r w:rsidRPr="00D82A1E">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5A88B69"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Ximena Ríos López</w:t>
            </w:r>
          </w:p>
          <w:p w14:paraId="6DF920AB"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Gesto T1 – 11 de la Subdirección de Gestión Contractual</w:t>
            </w:r>
          </w:p>
        </w:tc>
      </w:tr>
      <w:tr w:rsidR="00490794" w:rsidRPr="00D82A1E" w14:paraId="7C8ED81C" w14:textId="77777777" w:rsidTr="009F68B5">
        <w:trPr>
          <w:trHeight w:val="389"/>
        </w:trPr>
        <w:tc>
          <w:tcPr>
            <w:tcW w:w="817" w:type="dxa"/>
            <w:tcBorders>
              <w:top w:val="nil"/>
              <w:left w:val="nil"/>
              <w:bottom w:val="nil"/>
              <w:right w:val="nil"/>
            </w:tcBorders>
            <w:vAlign w:val="center"/>
            <w:hideMark/>
          </w:tcPr>
          <w:p w14:paraId="59D099D3"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2AA23E5"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Nohelia del Carmen Zawady Palacio</w:t>
            </w:r>
          </w:p>
          <w:p w14:paraId="442FE5C7"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Subdirectora de Gestión Contractual ANCP - CCE</w:t>
            </w:r>
          </w:p>
        </w:tc>
      </w:tr>
      <w:bookmarkEnd w:id="2"/>
    </w:tbl>
    <w:p w14:paraId="0F059BB1" w14:textId="77777777" w:rsidR="00490794" w:rsidRPr="00D82A1E" w:rsidRDefault="00490794" w:rsidP="00490794">
      <w:pPr>
        <w:rPr>
          <w:rFonts w:ascii="Century Gothic" w:hAnsi="Century Gothic"/>
        </w:rPr>
      </w:pPr>
    </w:p>
    <w:p w14:paraId="65328FF8" w14:textId="77777777" w:rsidR="00490794" w:rsidRPr="00D82A1E" w:rsidRDefault="00490794" w:rsidP="00490794">
      <w:pPr>
        <w:rPr>
          <w:rFonts w:ascii="Century Gothic" w:hAnsi="Century Gothic"/>
        </w:rPr>
      </w:pPr>
    </w:p>
    <w:p w14:paraId="5FC9FF8C" w14:textId="77777777" w:rsidR="00490794" w:rsidRPr="00D82A1E" w:rsidRDefault="00490794" w:rsidP="00490794"/>
    <w:p w14:paraId="635D919F" w14:textId="77777777" w:rsidR="00490794" w:rsidRPr="00D82A1E" w:rsidRDefault="00490794" w:rsidP="00490794"/>
    <w:p w14:paraId="113C075B" w14:textId="77777777" w:rsidR="00490794" w:rsidRPr="00490794" w:rsidRDefault="00490794" w:rsidP="00490794"/>
    <w:sectPr w:rsidR="00490794" w:rsidRPr="00490794" w:rsidSect="008D647B">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9DA5" w14:textId="77777777" w:rsidR="008D647B" w:rsidRDefault="008D647B" w:rsidP="00490794">
      <w:pPr>
        <w:spacing w:after="0" w:line="240" w:lineRule="auto"/>
      </w:pPr>
      <w:r>
        <w:separator/>
      </w:r>
    </w:p>
  </w:endnote>
  <w:endnote w:type="continuationSeparator" w:id="0">
    <w:p w14:paraId="5BD22049" w14:textId="77777777" w:rsidR="008D647B" w:rsidRDefault="008D647B" w:rsidP="0049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9836" w14:textId="77777777" w:rsidR="00000000" w:rsidRDefault="00000000">
    <w:pPr>
      <w:pStyle w:val="Piedepgina"/>
    </w:pPr>
    <w:r>
      <w:rPr>
        <w:noProof/>
      </w:rPr>
      <w:drawing>
        <wp:inline distT="0" distB="0" distL="0" distR="0" wp14:anchorId="2F0526E2" wp14:editId="73B171B5">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79642323" wp14:editId="11A4F59F">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7776334"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DF628A1" w14:textId="77777777" w:rsidR="00000000" w:rsidRPr="003F3941" w:rsidRDefault="00000000"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781A099" w14:textId="77777777" w:rsidR="00000000" w:rsidRPr="003F3941" w:rsidRDefault="00000000"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w:t>
          </w:r>
          <w:r>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2FAEE03" w14:textId="77777777" w:rsidR="00000000" w:rsidRPr="003F3941" w:rsidRDefault="00000000"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F89E087" w14:textId="77777777" w:rsidR="00000000" w:rsidRPr="003F3941" w:rsidRDefault="00000000"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0A25724C" w14:textId="77777777" w:rsidR="00000000" w:rsidRDefault="00000000"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6173" w14:textId="77777777" w:rsidR="008D647B" w:rsidRDefault="008D647B" w:rsidP="00490794">
      <w:pPr>
        <w:spacing w:after="0" w:line="240" w:lineRule="auto"/>
      </w:pPr>
      <w:r>
        <w:separator/>
      </w:r>
    </w:p>
  </w:footnote>
  <w:footnote w:type="continuationSeparator" w:id="0">
    <w:p w14:paraId="04C8A324" w14:textId="77777777" w:rsidR="008D647B" w:rsidRDefault="008D647B" w:rsidP="00490794">
      <w:pPr>
        <w:spacing w:after="0" w:line="240" w:lineRule="auto"/>
      </w:pPr>
      <w:r>
        <w:continuationSeparator/>
      </w:r>
    </w:p>
  </w:footnote>
  <w:footnote w:id="1">
    <w:p w14:paraId="4E31D041" w14:textId="77777777" w:rsidR="00490794" w:rsidRPr="0054001B" w:rsidRDefault="00490794" w:rsidP="00490794">
      <w:pPr>
        <w:pStyle w:val="Textonotapie"/>
        <w:ind w:firstLine="708"/>
        <w:jc w:val="both"/>
        <w:rPr>
          <w:rFonts w:ascii="Century Gothic" w:hAnsi="Century Gothic" w:cs="Arial"/>
          <w:sz w:val="18"/>
          <w:szCs w:val="18"/>
          <w:lang w:val="es-ES"/>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La Agencia Nacional de Contratación Pública </w:t>
      </w:r>
      <w:r w:rsidRPr="0054001B">
        <w:rPr>
          <w:rFonts w:ascii="Arial" w:hAnsi="Arial" w:cs="Arial"/>
          <w:sz w:val="18"/>
          <w:szCs w:val="18"/>
        </w:rPr>
        <w:t>‒</w:t>
      </w:r>
      <w:r w:rsidRPr="0054001B">
        <w:rPr>
          <w:rFonts w:ascii="Century Gothic" w:hAnsi="Century Gothic" w:cs="Arial"/>
          <w:sz w:val="18"/>
          <w:szCs w:val="18"/>
        </w:rPr>
        <w:t xml:space="preserve"> Colombia Compra Eficiente fue creada por el Decreto Ley 4170 de 2011. Su objetivo es servir como ente rector de la pol</w:t>
      </w:r>
      <w:r w:rsidRPr="0054001B">
        <w:rPr>
          <w:rFonts w:ascii="Century Gothic" w:hAnsi="Century Gothic" w:cs="Century Gothic"/>
          <w:sz w:val="18"/>
          <w:szCs w:val="18"/>
        </w:rPr>
        <w:t>í</w:t>
      </w:r>
      <w:r w:rsidRPr="0054001B">
        <w:rPr>
          <w:rFonts w:ascii="Century Gothic" w:hAnsi="Century Gothic" w:cs="Arial"/>
          <w:sz w:val="18"/>
          <w:szCs w:val="18"/>
        </w:rPr>
        <w:t>tica de compras y contrataci</w:t>
      </w:r>
      <w:r w:rsidRPr="0054001B">
        <w:rPr>
          <w:rFonts w:ascii="Century Gothic" w:hAnsi="Century Gothic" w:cs="Century Gothic"/>
          <w:sz w:val="18"/>
          <w:szCs w:val="18"/>
        </w:rPr>
        <w:t>ó</w:t>
      </w:r>
      <w:r w:rsidRPr="0054001B">
        <w:rPr>
          <w:rFonts w:ascii="Century Gothic" w:hAnsi="Century Gothic" w:cs="Arial"/>
          <w:sz w:val="18"/>
          <w:szCs w:val="18"/>
        </w:rPr>
        <w:t xml:space="preserve">n del Estado. Para tales fines, como </w:t>
      </w:r>
      <w:r w:rsidRPr="0054001B">
        <w:rPr>
          <w:rFonts w:ascii="Century Gothic" w:hAnsi="Century Gothic" w:cs="Century Gothic"/>
          <w:sz w:val="18"/>
          <w:szCs w:val="18"/>
        </w:rPr>
        <w:t>ó</w:t>
      </w:r>
      <w:r w:rsidRPr="0054001B">
        <w:rPr>
          <w:rFonts w:ascii="Century Gothic" w:hAnsi="Century Gothic" w:cs="Arial"/>
          <w:sz w:val="18"/>
          <w:szCs w:val="18"/>
        </w:rPr>
        <w:t>rgano t</w:t>
      </w:r>
      <w:r w:rsidRPr="0054001B">
        <w:rPr>
          <w:rFonts w:ascii="Century Gothic" w:hAnsi="Century Gothic" w:cs="Century Gothic"/>
          <w:sz w:val="18"/>
          <w:szCs w:val="18"/>
        </w:rPr>
        <w:t>é</w:t>
      </w:r>
      <w:r w:rsidRPr="0054001B">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54001B">
        <w:rPr>
          <w:rFonts w:ascii="Century Gothic" w:hAnsi="Century Gothic" w:cs="Arial"/>
          <w:i/>
          <w:iCs/>
          <w:sz w:val="18"/>
          <w:szCs w:val="18"/>
        </w:rPr>
        <w:t xml:space="preserve">ibidem </w:t>
      </w:r>
      <w:r w:rsidRPr="0054001B">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80F2281" w14:textId="77777777" w:rsidR="00490794" w:rsidRPr="0054001B" w:rsidRDefault="00490794" w:rsidP="00490794">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4001B">
          <w:rPr>
            <w:rStyle w:val="Hipervnculo"/>
            <w:rFonts w:ascii="Century Gothic" w:hAnsi="Century Gothic" w:cs="Arial"/>
            <w:sz w:val="18"/>
            <w:szCs w:val="18"/>
          </w:rPr>
          <w:t>https://relatoria.colombiacompra.gov.co/busqueda/conceptos</w:t>
        </w:r>
      </w:hyperlink>
      <w:r w:rsidRPr="0054001B">
        <w:rPr>
          <w:rStyle w:val="Hipervnculo"/>
          <w:rFonts w:ascii="Century Gothic" w:hAnsi="Century Gothic" w:cs="Arial"/>
          <w:sz w:val="18"/>
          <w:szCs w:val="18"/>
        </w:rPr>
        <w:t xml:space="preserve">. </w:t>
      </w:r>
      <w:r w:rsidRPr="0054001B">
        <w:rPr>
          <w:rFonts w:ascii="Century Gothic" w:hAnsi="Century Gothic" w:cs="Arial"/>
          <w:sz w:val="18"/>
          <w:szCs w:val="18"/>
          <w:shd w:val="clear" w:color="auto" w:fill="E6E6E6"/>
        </w:rPr>
        <w:t xml:space="preserve"> </w:t>
      </w:r>
    </w:p>
  </w:footnote>
  <w:footnote w:id="3">
    <w:p w14:paraId="27ABA75A" w14:textId="77777777" w:rsidR="00490794" w:rsidRPr="0054001B" w:rsidRDefault="00490794" w:rsidP="00490794">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Sobre esta norma, consultar los conceptos del 8 de octubre de 2019, con radicado No. 2201913000007532, y del 20 de diciembre de 2019, con radicado No. 4201913000008240.</w:t>
      </w:r>
    </w:p>
  </w:footnote>
  <w:footnote w:id="4">
    <w:p w14:paraId="7F3FDE2A" w14:textId="77777777" w:rsidR="00490794" w:rsidRDefault="00490794" w:rsidP="00490794">
      <w:pPr>
        <w:pStyle w:val="Textonotapie"/>
        <w:ind w:firstLine="708"/>
        <w:jc w:val="both"/>
        <w:rPr>
          <w:rFonts w:ascii="Century Gothic" w:hAnsi="Century Gothic"/>
          <w:sz w:val="18"/>
          <w:szCs w:val="18"/>
        </w:rPr>
      </w:pPr>
    </w:p>
    <w:p w14:paraId="503AF37C" w14:textId="77777777" w:rsidR="00490794" w:rsidRPr="0054001B" w:rsidRDefault="00490794" w:rsidP="00490794">
      <w:pPr>
        <w:pStyle w:val="Textonotapie"/>
        <w:ind w:firstLine="708"/>
        <w:jc w:val="both"/>
        <w:rPr>
          <w:rFonts w:ascii="Century Gothic" w:hAnsi="Century Gothic" w:cs="Arial"/>
          <w:sz w:val="18"/>
          <w:szCs w:val="18"/>
        </w:rPr>
      </w:pPr>
      <w:r w:rsidRPr="0054001B">
        <w:rPr>
          <w:rStyle w:val="Refdenotaalpie"/>
          <w:rFonts w:ascii="Century Gothic" w:hAnsi="Century Gothic"/>
          <w:sz w:val="18"/>
          <w:szCs w:val="18"/>
        </w:rPr>
        <w:footnoteRef/>
      </w:r>
      <w:r w:rsidRPr="0054001B">
        <w:rPr>
          <w:rFonts w:ascii="Century Gothic" w:hAnsi="Century Gothic"/>
          <w:sz w:val="18"/>
          <w:szCs w:val="18"/>
        </w:rPr>
        <w:t xml:space="preserve"> </w:t>
      </w:r>
      <w:r w:rsidRPr="0054001B">
        <w:rPr>
          <w:rFonts w:ascii="Century Gothic" w:hAnsi="Century Gothic" w:cs="Arial"/>
          <w:sz w:val="18"/>
          <w:szCs w:val="18"/>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09BAA34" w14:textId="77777777" w:rsidR="00490794" w:rsidRPr="0054001B" w:rsidRDefault="00490794" w:rsidP="00490794">
      <w:pPr>
        <w:pStyle w:val="Textonotapie"/>
        <w:ind w:firstLine="708"/>
        <w:jc w:val="both"/>
        <w:rPr>
          <w:rFonts w:ascii="Century Gothic" w:hAnsi="Century Gothic" w:cs="Arial"/>
          <w:sz w:val="18"/>
          <w:szCs w:val="18"/>
        </w:rPr>
      </w:pPr>
      <w:r w:rsidRPr="0054001B">
        <w:rPr>
          <w:rFonts w:ascii="Century Gothic" w:hAnsi="Century Gothic" w:cs="Arial"/>
          <w:sz w:val="18"/>
          <w:szCs w:val="18"/>
        </w:rPr>
        <w:t xml:space="preserve">Los convenios de asociación a que se refiere el presente artículo </w:t>
      </w:r>
      <w:bookmarkStart w:id="6" w:name="_Hlk36023315"/>
      <w:r w:rsidRPr="0054001B">
        <w:rPr>
          <w:rFonts w:ascii="Century Gothic" w:hAnsi="Century Gothic" w:cs="Arial"/>
          <w:sz w:val="18"/>
          <w:szCs w:val="18"/>
        </w:rPr>
        <w:t>se celebrarán de conformidad con lo dispuesto en el artículo 355 de la Constitución Política</w:t>
      </w:r>
      <w:bookmarkEnd w:id="6"/>
      <w:r w:rsidRPr="0054001B">
        <w:rPr>
          <w:rFonts w:ascii="Century Gothic" w:hAnsi="Century Gothic" w:cs="Arial"/>
          <w:sz w:val="18"/>
          <w:szCs w:val="18"/>
        </w:rPr>
        <w:t>, en ellos se determinará con precisión su objeto, término, obligaciones de las partes, aportes, coordinación y todos aquellos aspectos que se consideren pertinentes”.</w:t>
      </w:r>
    </w:p>
  </w:footnote>
  <w:footnote w:id="5">
    <w:p w14:paraId="6EDD2B4F" w14:textId="77777777" w:rsidR="00490794" w:rsidRPr="0054001B" w:rsidRDefault="00490794" w:rsidP="00490794">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Concepto del 3 de septiembre de 2019, con radicado No. 2201913000006512.</w:t>
      </w:r>
    </w:p>
  </w:footnote>
  <w:footnote w:id="6">
    <w:p w14:paraId="35D36C2A" w14:textId="77777777" w:rsidR="00490794" w:rsidRDefault="00490794" w:rsidP="00490794">
      <w:pPr>
        <w:pStyle w:val="Textonotapie"/>
        <w:ind w:firstLine="709"/>
        <w:jc w:val="both"/>
        <w:rPr>
          <w:rFonts w:ascii="Century Gothic" w:hAnsi="Century Gothic" w:cs="Arial"/>
          <w:sz w:val="18"/>
          <w:szCs w:val="18"/>
        </w:rPr>
      </w:pPr>
    </w:p>
    <w:p w14:paraId="0AE94D05" w14:textId="77777777" w:rsidR="00490794" w:rsidRPr="0054001B" w:rsidRDefault="00490794" w:rsidP="00490794">
      <w:pPr>
        <w:pStyle w:val="Textonotapie"/>
        <w:ind w:firstLine="709"/>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Decreto 092 de 2017: </w:t>
      </w:r>
      <w:r>
        <w:rPr>
          <w:rFonts w:ascii="Century Gothic" w:hAnsi="Century Gothic" w:cs="Arial"/>
          <w:sz w:val="18"/>
          <w:szCs w:val="18"/>
        </w:rPr>
        <w:t>“</w:t>
      </w:r>
      <w:r w:rsidRPr="0054001B">
        <w:rPr>
          <w:rFonts w:ascii="Century Gothic" w:hAnsi="Century Gothic" w:cs="Arial"/>
          <w:sz w:val="18"/>
          <w:szCs w:val="18"/>
        </w:rPr>
        <w:t xml:space="preserve">Artículo 5. </w:t>
      </w:r>
      <w:r w:rsidRPr="0054001B">
        <w:rPr>
          <w:rFonts w:ascii="Century Gothic" w:hAnsi="Century Gothic" w:cs="Arial"/>
          <w:i/>
          <w:iCs/>
          <w:sz w:val="18"/>
          <w:szCs w:val="18"/>
        </w:rPr>
        <w:t>Asociación con entidades privadas sin ánimo de lucro para cumplir actividades propias de las Entidades Estatales.</w:t>
      </w:r>
      <w:r w:rsidRPr="0054001B">
        <w:rPr>
          <w:rFonts w:ascii="Century Gothic" w:hAnsi="Century Gothic" w:cs="Arial"/>
          <w:sz w:val="18"/>
          <w:szCs w:val="18"/>
        </w:rPr>
        <w:t xml:space="preserve">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333C706A" w14:textId="77777777" w:rsidR="00490794" w:rsidRPr="0054001B" w:rsidRDefault="00490794" w:rsidP="00490794">
      <w:pPr>
        <w:pStyle w:val="Textonotapie"/>
        <w:ind w:firstLine="709"/>
        <w:jc w:val="both"/>
        <w:rPr>
          <w:rFonts w:ascii="Century Gothic" w:hAnsi="Century Gothic" w:cs="Arial"/>
          <w:sz w:val="18"/>
          <w:szCs w:val="18"/>
        </w:rPr>
      </w:pPr>
      <w:r w:rsidRPr="0054001B">
        <w:rPr>
          <w:rFonts w:ascii="Century Gothic" w:hAnsi="Century Gothic" w:cs="Arial"/>
          <w:sz w:val="18"/>
          <w:szCs w:val="18"/>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30B163CE" w14:textId="77777777" w:rsidR="00490794" w:rsidRPr="0054001B" w:rsidRDefault="00490794" w:rsidP="00490794">
      <w:pPr>
        <w:pStyle w:val="Textonotapie"/>
        <w:ind w:firstLine="708"/>
        <w:jc w:val="both"/>
        <w:rPr>
          <w:rFonts w:ascii="Century Gothic" w:hAnsi="Century Gothic" w:cs="Arial"/>
          <w:sz w:val="18"/>
          <w:szCs w:val="18"/>
        </w:rPr>
      </w:pPr>
      <w:r w:rsidRPr="0054001B">
        <w:rPr>
          <w:rFonts w:ascii="Century Gothic" w:hAnsi="Century Gothic" w:cs="Arial"/>
          <w:sz w:val="18"/>
          <w:szCs w:val="18"/>
        </w:rPr>
        <w:t>[…]</w:t>
      </w:r>
      <w:r>
        <w:rPr>
          <w:rFonts w:ascii="Century Gothic" w:hAnsi="Century Gothic" w:cs="Arial"/>
          <w:sz w:val="18"/>
          <w:szCs w:val="18"/>
        </w:rPr>
        <w:t>”</w:t>
      </w:r>
      <w:r w:rsidRPr="0054001B">
        <w:rPr>
          <w:rFonts w:ascii="Century Gothic" w:hAnsi="Century Gothic" w:cs="Arial"/>
          <w:sz w:val="18"/>
          <w:szCs w:val="18"/>
        </w:rPr>
        <w:t>.</w:t>
      </w:r>
    </w:p>
    <w:p w14:paraId="204EB2C0" w14:textId="77777777" w:rsidR="00490794" w:rsidRPr="0054001B" w:rsidRDefault="00490794" w:rsidP="00490794">
      <w:pPr>
        <w:pStyle w:val="Textonotapie"/>
        <w:ind w:firstLine="709"/>
        <w:jc w:val="both"/>
        <w:rPr>
          <w:rFonts w:ascii="Century Gothic" w:hAnsi="Century Gothic" w:cs="Arial"/>
          <w:sz w:val="18"/>
          <w:szCs w:val="18"/>
        </w:rPr>
      </w:pPr>
    </w:p>
  </w:footnote>
  <w:footnote w:id="7">
    <w:p w14:paraId="062C2C39" w14:textId="77777777" w:rsidR="00490794" w:rsidRPr="0054001B" w:rsidRDefault="00490794" w:rsidP="00490794">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Sobre la naturaleza de los convenios de asociación, se reitera lo expuesto en el concepto del 19 de noviembre de 2019, con radicado No. 2201913000008611.</w:t>
      </w:r>
    </w:p>
    <w:p w14:paraId="67A92A39" w14:textId="77777777" w:rsidR="00490794" w:rsidRPr="0054001B" w:rsidRDefault="00490794" w:rsidP="00490794">
      <w:pPr>
        <w:pStyle w:val="Textonotapie"/>
        <w:ind w:firstLine="708"/>
        <w:jc w:val="both"/>
        <w:rPr>
          <w:rFonts w:ascii="Century Gothic" w:hAnsi="Century Gothic" w:cs="Arial"/>
          <w:sz w:val="18"/>
          <w:szCs w:val="18"/>
        </w:rPr>
      </w:pPr>
    </w:p>
  </w:footnote>
  <w:footnote w:id="8">
    <w:p w14:paraId="5FC5AA4A" w14:textId="77777777" w:rsidR="00490794" w:rsidRPr="0054001B" w:rsidRDefault="00490794" w:rsidP="00490794">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Cfr. </w:t>
      </w:r>
      <w:bookmarkStart w:id="7" w:name="_Hlk156829568"/>
      <w:r w:rsidRPr="0054001B">
        <w:rPr>
          <w:rFonts w:ascii="Century Gothic" w:hAnsi="Century Gothic" w:cs="Arial"/>
          <w:color w:val="000000" w:themeColor="text1"/>
          <w:sz w:val="18"/>
          <w:szCs w:val="18"/>
        </w:rPr>
        <w:t>Concepto del 21 de agosto de 2019, dictado dentro del radicado No. 2201913000006047.</w:t>
      </w:r>
      <w:bookmarkEnd w:id="7"/>
    </w:p>
  </w:footnote>
  <w:footnote w:id="9">
    <w:p w14:paraId="3D22D411" w14:textId="77777777" w:rsidR="00490794" w:rsidRDefault="00490794" w:rsidP="00490794">
      <w:pPr>
        <w:pStyle w:val="Textonotapie"/>
        <w:ind w:firstLine="708"/>
        <w:jc w:val="both"/>
        <w:rPr>
          <w:rFonts w:ascii="Century Gothic" w:hAnsi="Century Gothic" w:cs="Arial"/>
          <w:color w:val="000000" w:themeColor="text1"/>
          <w:sz w:val="18"/>
          <w:szCs w:val="18"/>
        </w:rPr>
      </w:pPr>
    </w:p>
    <w:p w14:paraId="7C2E5B53" w14:textId="77777777" w:rsidR="00490794" w:rsidRPr="0054001B" w:rsidRDefault="00490794" w:rsidP="00490794">
      <w:pPr>
        <w:pStyle w:val="Textonotapie"/>
        <w:ind w:firstLine="708"/>
        <w:jc w:val="both"/>
        <w:rPr>
          <w:rFonts w:ascii="Century Gothic" w:hAnsi="Century Gothic" w:cs="Arial"/>
          <w:color w:val="000000" w:themeColor="text1"/>
          <w:sz w:val="18"/>
          <w:szCs w:val="18"/>
          <w:lang w:val="es-ES"/>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Concepto del 24 de febrero de 2005, con radicado No. 1626, C.P. Dra. Gloria Duque Hernández</w:t>
      </w:r>
    </w:p>
  </w:footnote>
  <w:footnote w:id="10">
    <w:p w14:paraId="1972867A" w14:textId="77777777" w:rsidR="00490794" w:rsidRPr="0054001B" w:rsidRDefault="00490794" w:rsidP="00490794">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1">
    <w:p w14:paraId="599DAB98" w14:textId="77777777" w:rsidR="00490794" w:rsidRDefault="00490794" w:rsidP="00490794">
      <w:pPr>
        <w:pStyle w:val="Textonotapie"/>
        <w:ind w:firstLine="708"/>
        <w:rPr>
          <w:rFonts w:ascii="Century Gothic" w:hAnsi="Century Gothic"/>
          <w:sz w:val="18"/>
          <w:szCs w:val="18"/>
        </w:rPr>
      </w:pPr>
    </w:p>
    <w:p w14:paraId="10CCC5AE" w14:textId="77777777" w:rsidR="00490794" w:rsidRPr="0054001B" w:rsidRDefault="00490794" w:rsidP="00490794">
      <w:pPr>
        <w:pStyle w:val="Textonotapie"/>
        <w:ind w:firstLine="708"/>
        <w:rPr>
          <w:rFonts w:ascii="Century Gothic" w:hAnsi="Century Gothic" w:cs="Arial"/>
          <w:color w:val="000000" w:themeColor="text1"/>
          <w:sz w:val="18"/>
          <w:szCs w:val="18"/>
        </w:rPr>
      </w:pPr>
      <w:r w:rsidRPr="0054001B">
        <w:rPr>
          <w:rStyle w:val="Refdenotaalpie"/>
          <w:rFonts w:ascii="Century Gothic" w:hAnsi="Century Gothic"/>
          <w:sz w:val="18"/>
          <w:szCs w:val="18"/>
        </w:rPr>
        <w:footnoteRef/>
      </w:r>
      <w:r w:rsidRPr="0054001B">
        <w:rPr>
          <w:rFonts w:ascii="Century Gothic" w:hAnsi="Century Gothic"/>
          <w:sz w:val="18"/>
          <w:szCs w:val="18"/>
        </w:rPr>
        <w:t xml:space="preserve"> </w:t>
      </w:r>
      <w:r w:rsidRPr="0054001B">
        <w:rPr>
          <w:rFonts w:ascii="Century Gothic" w:hAnsi="Century Gothic" w:cs="Arial"/>
          <w:color w:val="000000" w:themeColor="text1"/>
          <w:sz w:val="18"/>
          <w:szCs w:val="18"/>
        </w:rPr>
        <w:t>CONSEJO DE ESTADO. Sala Plena. Auto del 15 de marzo de 2022. Exp. 11001-03-26-000-2018-00113-01 (62.003). C.P. Rocío Araújo Oñate.</w:t>
      </w:r>
    </w:p>
  </w:footnote>
  <w:footnote w:id="12">
    <w:p w14:paraId="1AC8676D" w14:textId="77777777" w:rsidR="00490794" w:rsidRDefault="00490794" w:rsidP="00490794">
      <w:pPr>
        <w:pStyle w:val="Textonotapie"/>
        <w:ind w:firstLine="708"/>
        <w:jc w:val="both"/>
        <w:rPr>
          <w:rFonts w:ascii="Century Gothic" w:hAnsi="Century Gothic" w:cs="Arial"/>
          <w:color w:val="000000" w:themeColor="text1"/>
          <w:sz w:val="18"/>
          <w:szCs w:val="18"/>
        </w:rPr>
      </w:pPr>
    </w:p>
    <w:p w14:paraId="15347174" w14:textId="77777777" w:rsidR="00490794" w:rsidRPr="0054001B" w:rsidRDefault="00490794" w:rsidP="00490794">
      <w:pPr>
        <w:pStyle w:val="Textonotapie"/>
        <w:ind w:firstLine="708"/>
        <w:jc w:val="both"/>
        <w:rPr>
          <w:rFonts w:ascii="Century Gothic" w:eastAsia="Calibri"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w:t>
      </w:r>
      <w:r w:rsidRPr="0054001B">
        <w:rPr>
          <w:rFonts w:ascii="Century Gothic" w:eastAsia="Calibri" w:hAnsi="Century Gothic" w:cs="Arial"/>
          <w:color w:val="000000" w:themeColor="text1"/>
          <w:sz w:val="18"/>
          <w:szCs w:val="18"/>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footnote>
  <w:footnote w:id="13">
    <w:p w14:paraId="17F1331A" w14:textId="77777777" w:rsidR="00490794" w:rsidRDefault="00490794" w:rsidP="00490794">
      <w:pPr>
        <w:pStyle w:val="Textonotapie"/>
        <w:ind w:firstLine="708"/>
        <w:jc w:val="both"/>
        <w:rPr>
          <w:rFonts w:ascii="Century Gothic" w:hAnsi="Century Gothic" w:cs="Arial"/>
          <w:color w:val="000000" w:themeColor="text1"/>
          <w:sz w:val="18"/>
          <w:szCs w:val="18"/>
        </w:rPr>
      </w:pPr>
    </w:p>
    <w:p w14:paraId="1B423C9F" w14:textId="77777777" w:rsidR="00490794" w:rsidRPr="0054001B" w:rsidRDefault="00490794" w:rsidP="00490794">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w:t>
      </w:r>
      <w:r w:rsidRPr="0054001B">
        <w:rPr>
          <w:rFonts w:ascii="Century Gothic" w:eastAsia="Calibri" w:hAnsi="Century Gothic" w:cs="Arial"/>
          <w:color w:val="000000" w:themeColor="text1"/>
          <w:sz w:val="18"/>
          <w:szCs w:val="18"/>
        </w:rPr>
        <w:t>Decreto 092 de 2017, artículo 3, inciso 2: “</w:t>
      </w:r>
      <w:r w:rsidRPr="0054001B">
        <w:rPr>
          <w:rFonts w:ascii="Century Gothic" w:hAnsi="Century Gothic" w:cs="Arial"/>
          <w:color w:val="000000" w:themeColor="text1"/>
          <w:sz w:val="18"/>
          <w:szCs w:val="18"/>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4">
    <w:p w14:paraId="571C60E0" w14:textId="77777777" w:rsidR="00490794" w:rsidRPr="0054001B" w:rsidRDefault="00490794" w:rsidP="00490794">
      <w:pPr>
        <w:spacing w:after="0" w:line="240" w:lineRule="auto"/>
        <w:ind w:firstLine="708"/>
        <w:jc w:val="both"/>
        <w:rPr>
          <w:rFonts w:ascii="Century Gothic" w:hAnsi="Century Gothic" w:cs="Arial"/>
          <w:color w:val="000000" w:themeColor="text1"/>
          <w:sz w:val="18"/>
          <w:szCs w:val="18"/>
        </w:rPr>
      </w:pPr>
      <w:r w:rsidRPr="0054001B">
        <w:rPr>
          <w:rFonts w:ascii="Century Gothic" w:hAnsi="Century Gothic" w:cs="Arial"/>
          <w:color w:val="000000" w:themeColor="text1"/>
          <w:sz w:val="18"/>
          <w:szCs w:val="18"/>
          <w:vertAlign w:val="superscript"/>
        </w:rPr>
        <w:footnoteRef/>
      </w:r>
      <w:r w:rsidRPr="0054001B">
        <w:rPr>
          <w:rFonts w:ascii="Century Gothic" w:hAnsi="Century Gothic" w:cs="Arial"/>
          <w:color w:val="000000" w:themeColor="text1"/>
          <w:sz w:val="18"/>
          <w:szCs w:val="18"/>
        </w:rPr>
        <w:t xml:space="preserve"> 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 </w:t>
      </w:r>
    </w:p>
    <w:p w14:paraId="76BD454B" w14:textId="77777777" w:rsidR="00490794" w:rsidRPr="0054001B" w:rsidRDefault="00490794" w:rsidP="00490794">
      <w:pPr>
        <w:spacing w:after="0" w:line="240" w:lineRule="auto"/>
        <w:ind w:firstLine="708"/>
        <w:jc w:val="both"/>
        <w:rPr>
          <w:rFonts w:ascii="Century Gothic" w:hAnsi="Century Gothic" w:cs="Arial"/>
          <w:color w:val="000000" w:themeColor="text1"/>
          <w:sz w:val="18"/>
          <w:szCs w:val="18"/>
        </w:rPr>
      </w:pPr>
      <w:r w:rsidRPr="0054001B">
        <w:rPr>
          <w:rFonts w:ascii="Century Gothic" w:hAnsi="Century Gothic" w:cs="Arial"/>
          <w:color w:val="000000" w:themeColor="text1"/>
          <w:sz w:val="18"/>
          <w:szCs w:val="18"/>
        </w:rPr>
        <w:t xml:space="preserve"> 44. 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 revocará dicha medida cautelar y la negará en relación con esas disposiciones”. (CONSEJO DE ESTADO. Sala Plena. Auto del 15 de marzo de 2022. Exp. 11001-03-26-000-2018-00113-01 (62.003). C.P. Rocío Araújo Oñate).</w:t>
      </w:r>
    </w:p>
  </w:footnote>
  <w:footnote w:id="15">
    <w:p w14:paraId="561838DE" w14:textId="77777777" w:rsidR="00490794" w:rsidRPr="0054001B" w:rsidRDefault="00490794" w:rsidP="00490794">
      <w:pPr>
        <w:spacing w:after="0" w:line="240" w:lineRule="auto"/>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6">
    <w:p w14:paraId="7A4A88C4" w14:textId="77777777" w:rsidR="00490794" w:rsidRPr="0054001B" w:rsidRDefault="00490794" w:rsidP="00490794">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footnote>
  <w:footnote w:id="17">
    <w:p w14:paraId="186DCB87" w14:textId="77777777" w:rsidR="00490794" w:rsidRPr="0054001B" w:rsidRDefault="00490794" w:rsidP="00490794">
      <w:pPr>
        <w:pStyle w:val="Textonotapie"/>
        <w:ind w:firstLine="708"/>
        <w:jc w:val="both"/>
        <w:rPr>
          <w:rFonts w:ascii="Century Gothic" w:hAnsi="Century Gothic" w:cs="Arial"/>
          <w:color w:val="000000" w:themeColor="text1"/>
          <w:sz w:val="18"/>
          <w:szCs w:val="18"/>
          <w:lang w:val="es-ES"/>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8">
    <w:p w14:paraId="4725CB7D" w14:textId="77777777" w:rsidR="00490794" w:rsidRPr="0054001B" w:rsidRDefault="00490794" w:rsidP="00490794">
      <w:pPr>
        <w:pStyle w:val="Textonotapie"/>
        <w:ind w:firstLine="708"/>
        <w:jc w:val="both"/>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De esta manera, agrega que “[…] 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 (Cfr. Consejo de Estado. Sala Plena. </w:t>
      </w:r>
      <w:bookmarkStart w:id="11" w:name="_Hlk102655636"/>
      <w:r w:rsidRPr="0054001B">
        <w:rPr>
          <w:rFonts w:ascii="Century Gothic" w:hAnsi="Century Gothic" w:cs="Arial"/>
          <w:sz w:val="18"/>
          <w:szCs w:val="18"/>
        </w:rPr>
        <w:t>Auto del 15 de marzo de 2022</w:t>
      </w:r>
      <w:bookmarkEnd w:id="11"/>
      <w:r w:rsidRPr="0054001B">
        <w:rPr>
          <w:rFonts w:ascii="Century Gothic" w:hAnsi="Century Gothic" w:cs="Arial"/>
          <w:sz w:val="18"/>
          <w:szCs w:val="18"/>
        </w:rPr>
        <w:t>. Exp. 62.003. C.P. Rocío Araújo Oñate).</w:t>
      </w:r>
    </w:p>
  </w:footnote>
  <w:footnote w:id="19">
    <w:p w14:paraId="0FFC6543" w14:textId="77777777" w:rsidR="00490794" w:rsidRDefault="00490794" w:rsidP="00490794">
      <w:pPr>
        <w:pStyle w:val="Textonotapie"/>
        <w:ind w:firstLine="708"/>
        <w:rPr>
          <w:rFonts w:ascii="Century Gothic" w:hAnsi="Century Gothic" w:cs="Arial"/>
          <w:sz w:val="18"/>
          <w:szCs w:val="18"/>
        </w:rPr>
      </w:pPr>
      <w:r w:rsidRPr="0054001B">
        <w:rPr>
          <w:rStyle w:val="Refdenotaalpie"/>
          <w:rFonts w:ascii="Century Gothic" w:hAnsi="Century Gothic" w:cs="Arial"/>
          <w:sz w:val="18"/>
          <w:szCs w:val="18"/>
        </w:rPr>
        <w:footnoteRef/>
      </w:r>
      <w:r w:rsidRPr="0054001B">
        <w:rPr>
          <w:rFonts w:ascii="Century Gothic" w:hAnsi="Century Gothic" w:cs="Arial"/>
          <w:sz w:val="18"/>
          <w:szCs w:val="18"/>
        </w:rPr>
        <w:t xml:space="preserve"> </w:t>
      </w:r>
      <w:r w:rsidRPr="0054001B">
        <w:rPr>
          <w:rFonts w:ascii="Century Gothic" w:hAnsi="Century Gothic" w:cs="Arial"/>
          <w:i/>
          <w:iCs/>
          <w:sz w:val="18"/>
          <w:szCs w:val="18"/>
        </w:rPr>
        <w:t>Ibidem</w:t>
      </w:r>
      <w:r w:rsidRPr="0054001B">
        <w:rPr>
          <w:rFonts w:ascii="Century Gothic" w:hAnsi="Century Gothic" w:cs="Arial"/>
          <w:sz w:val="18"/>
          <w:szCs w:val="18"/>
        </w:rPr>
        <w:t>.</w:t>
      </w:r>
    </w:p>
    <w:p w14:paraId="60C56F90" w14:textId="77777777" w:rsidR="00490794" w:rsidRPr="0054001B" w:rsidRDefault="00490794" w:rsidP="00490794">
      <w:pPr>
        <w:pStyle w:val="Textonotapie"/>
        <w:ind w:firstLine="708"/>
        <w:rPr>
          <w:rFonts w:ascii="Century Gothic" w:hAnsi="Century Gothic" w:cs="Arial"/>
          <w:sz w:val="18"/>
          <w:szCs w:val="18"/>
        </w:rPr>
      </w:pPr>
    </w:p>
  </w:footnote>
  <w:footnote w:id="20">
    <w:p w14:paraId="1155D84F" w14:textId="77777777" w:rsidR="00490794" w:rsidRPr="0054001B" w:rsidRDefault="00490794" w:rsidP="00490794">
      <w:pPr>
        <w:pStyle w:val="Textonotapie"/>
        <w:ind w:firstLine="708"/>
        <w:jc w:val="both"/>
        <w:rPr>
          <w:rFonts w:ascii="Century Gothic" w:hAnsi="Century Gothic" w:cs="Arial"/>
          <w:color w:val="000000" w:themeColor="text1"/>
          <w:sz w:val="18"/>
          <w:szCs w:val="18"/>
        </w:rPr>
      </w:pPr>
      <w:r w:rsidRPr="0054001B">
        <w:rPr>
          <w:rStyle w:val="Refdenotaalpie"/>
          <w:rFonts w:ascii="Century Gothic" w:hAnsi="Century Gothic" w:cs="Arial"/>
          <w:color w:val="000000" w:themeColor="text1"/>
          <w:sz w:val="18"/>
          <w:szCs w:val="18"/>
        </w:rPr>
        <w:footnoteRef/>
      </w:r>
      <w:r w:rsidRPr="0054001B">
        <w:rPr>
          <w:rFonts w:ascii="Century Gothic" w:hAnsi="Century Gothic" w:cs="Arial"/>
          <w:color w:val="000000" w:themeColor="text1"/>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21">
    <w:p w14:paraId="2557FEE1" w14:textId="77777777" w:rsidR="00490794" w:rsidRPr="0054001B" w:rsidRDefault="00490794" w:rsidP="00490794">
      <w:pPr>
        <w:pStyle w:val="Textonotapie"/>
        <w:ind w:firstLine="708"/>
        <w:rPr>
          <w:rFonts w:ascii="Century Gothic" w:hAnsi="Century Gothic"/>
          <w:sz w:val="18"/>
          <w:szCs w:val="18"/>
          <w:lang w:val="es-CO"/>
        </w:rPr>
      </w:pPr>
      <w:r w:rsidRPr="0054001B">
        <w:rPr>
          <w:rStyle w:val="Refdenotaalpie"/>
          <w:rFonts w:ascii="Century Gothic" w:hAnsi="Century Gothic"/>
          <w:sz w:val="18"/>
          <w:szCs w:val="18"/>
        </w:rPr>
        <w:footnoteRef/>
      </w:r>
      <w:r w:rsidRPr="0054001B">
        <w:rPr>
          <w:rFonts w:ascii="Century Gothic" w:hAnsi="Century Gothic"/>
          <w:sz w:val="18"/>
          <w:szCs w:val="18"/>
          <w:lang w:val="es-CO"/>
        </w:rPr>
        <w:t xml:space="preserve"> En desarrollo del artículo 96 de la Ley 489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CFB6" w14:textId="77777777" w:rsidR="00000000" w:rsidRDefault="00000000">
    <w:pPr>
      <w:pStyle w:val="Encabezado"/>
    </w:pPr>
    <w:r>
      <w:rPr>
        <w:noProof/>
      </w:rPr>
      <w:drawing>
        <wp:anchor distT="0" distB="0" distL="114300" distR="114300" simplePos="0" relativeHeight="251659264" behindDoc="1" locked="0" layoutInCell="1" allowOverlap="1" wp14:anchorId="32BF242A" wp14:editId="69DB1E1F">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161F7450" wp14:editId="4FBDEDDD">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445B1818" wp14:editId="75B81E4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36E16D5" wp14:editId="216EB43C">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2E024805" w14:textId="77777777" w:rsidR="00000000" w:rsidRDefault="00000000">
    <w:pPr>
      <w:pStyle w:val="Encabezado"/>
    </w:pPr>
  </w:p>
  <w:p w14:paraId="2891A58F" w14:textId="77777777" w:rsidR="00000000" w:rsidRDefault="00000000">
    <w:pPr>
      <w:pStyle w:val="Encabezado"/>
    </w:pPr>
  </w:p>
  <w:p w14:paraId="76892C33" w14:textId="77777777" w:rsidR="00000000" w:rsidRPr="004A305D" w:rsidRDefault="00000000"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077184C9" w14:textId="77777777" w:rsidR="00000000" w:rsidRPr="004A305D" w:rsidRDefault="00000000"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w:t>
    </w:r>
    <w:r>
      <w:rPr>
        <w:rFonts w:ascii="Century Gothic" w:eastAsia="Geo" w:hAnsi="Century Gothic" w:cs="Geo"/>
        <w:bCs/>
        <w:color w:val="000000"/>
        <w:sz w:val="16"/>
        <w:szCs w:val="16"/>
        <w:lang w:eastAsia="es-CO"/>
      </w:rPr>
      <w:t>7</w:t>
    </w:r>
  </w:p>
  <w:p w14:paraId="28FFC7FF" w14:textId="77777777" w:rsidR="00000000" w:rsidRPr="004A305D" w:rsidRDefault="00000000"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31</w:t>
    </w:r>
    <w:r>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7A84538" w14:textId="77777777" w:rsidR="00000000" w:rsidRDefault="00000000"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3F4EA1"/>
    <w:rsid w:val="00490794"/>
    <w:rsid w:val="0070420A"/>
    <w:rsid w:val="008D647B"/>
    <w:rsid w:val="00F52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295C"/>
  <w15:chartTrackingRefBased/>
  <w15:docId w15:val="{43336762-73C4-4DBF-BD89-55373292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9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9079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490794"/>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90794"/>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90794"/>
    <w:rPr>
      <w:vertAlign w:val="superscript"/>
    </w:rPr>
  </w:style>
  <w:style w:type="character" w:styleId="Hipervnculo">
    <w:name w:val="Hyperlink"/>
    <w:basedOn w:val="Fuentedeprrafopredeter"/>
    <w:uiPriority w:val="99"/>
    <w:unhideWhenUsed/>
    <w:rsid w:val="00490794"/>
    <w:rPr>
      <w:color w:val="0000FF"/>
      <w:u w:val="single"/>
    </w:rPr>
  </w:style>
  <w:style w:type="paragraph" w:customStyle="1" w:styleId="Appelnotedebasde">
    <w:name w:val="Appel note de bas de..."/>
    <w:basedOn w:val="Normal"/>
    <w:link w:val="Refdenotaalpie"/>
    <w:uiPriority w:val="99"/>
    <w:rsid w:val="00490794"/>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4907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794"/>
    <w:rPr>
      <w:kern w:val="0"/>
      <w14:ligatures w14:val="none"/>
    </w:rPr>
  </w:style>
  <w:style w:type="paragraph" w:styleId="Piedepgina">
    <w:name w:val="footer"/>
    <w:basedOn w:val="Normal"/>
    <w:link w:val="PiedepginaCar"/>
    <w:uiPriority w:val="99"/>
    <w:unhideWhenUsed/>
    <w:rsid w:val="004907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794"/>
    <w:rPr>
      <w:kern w:val="0"/>
      <w14:ligatures w14:val="none"/>
    </w:rPr>
  </w:style>
  <w:style w:type="table" w:styleId="Tablaconcuadrcula">
    <w:name w:val="Table Grid"/>
    <w:basedOn w:val="Tablanormal"/>
    <w:uiPriority w:val="39"/>
    <w:rsid w:val="004907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Fuentedeprrafopredeter"/>
    <w:rsid w:val="004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ann.granados@hot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9A8F39-AEFD-4118-A6AF-587FC8CBD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22C68-5244-47E4-97CD-1F138F9E054D}">
  <ds:schemaRefs>
    <ds:schemaRef ds:uri="http://schemas.microsoft.com/sharepoint/v3/contenttype/forms"/>
  </ds:schemaRefs>
</ds:datastoreItem>
</file>

<file path=customXml/itemProps3.xml><?xml version="1.0" encoding="utf-8"?>
<ds:datastoreItem xmlns:ds="http://schemas.openxmlformats.org/officeDocument/2006/customXml" ds:itemID="{D523708A-2CF2-4287-8653-595732FFFA8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7811</Words>
  <Characters>42961</Characters>
  <Application>Microsoft Office Word</Application>
  <DocSecurity>0</DocSecurity>
  <Lines>358</Lines>
  <Paragraphs>101</Paragraphs>
  <ScaleCrop>false</ScaleCrop>
  <Company/>
  <LinksUpToDate>false</LinksUpToDate>
  <CharactersWithSpaces>50671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3</cp:revision>
  <dcterms:created xsi:type="dcterms:W3CDTF">2024-02-02T22:18:00Z</dcterms:created>
  <dcterms:modified xsi:type="dcterms:W3CDTF">2024-02-02T22:21:00Z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