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36393" w14:textId="77777777" w:rsidR="00D93BB6" w:rsidRDefault="00D93BB6" w:rsidP="00D93BB6">
      <w:pPr>
        <w:spacing w:after="120"/>
        <w:contextualSpacing/>
        <w:jc w:val="both"/>
        <w:rPr>
          <w:rFonts w:ascii="Century Gothic" w:eastAsia="Calibri" w:hAnsi="Century Gothic" w:cs="Arial"/>
          <w:b/>
          <w:lang w:val="es-ES_tradnl" w:eastAsia="es-ES_tradnl"/>
        </w:rPr>
      </w:pPr>
      <w:bookmarkStart w:id="0" w:name="_Hlk94281581"/>
      <w:bookmarkStart w:id="1" w:name="_Hlk102489058"/>
      <w:bookmarkStart w:id="2" w:name="_Hlk34951122"/>
      <w:r w:rsidRPr="00D93BB6">
        <w:rPr>
          <w:rFonts w:ascii="Century Gothic" w:eastAsia="Calibri" w:hAnsi="Century Gothic" w:cs="Arial"/>
          <w:b/>
          <w:lang w:val="es-ES_tradnl" w:eastAsia="es-ES_tradnl"/>
        </w:rPr>
        <w:t xml:space="preserve">CONVOCATORIAS LIMITADAS A MIPYMES – Limitación territorial – Documentos – Solicitud de limitación </w:t>
      </w:r>
    </w:p>
    <w:p w14:paraId="423F5E59" w14:textId="77777777" w:rsidR="00D93BB6" w:rsidRDefault="00D93BB6" w:rsidP="00D93BB6">
      <w:pPr>
        <w:spacing w:after="120"/>
        <w:contextualSpacing/>
        <w:jc w:val="both"/>
        <w:rPr>
          <w:rFonts w:ascii="Century Gothic" w:eastAsia="Calibri" w:hAnsi="Century Gothic" w:cs="Arial"/>
          <w:b/>
          <w:lang w:val="es-ES_tradnl" w:eastAsia="es-ES_tradnl"/>
        </w:rPr>
      </w:pPr>
    </w:p>
    <w:p w14:paraId="3EE1FBE2" w14:textId="77777777" w:rsidR="00D45D40" w:rsidRPr="00D45D40" w:rsidRDefault="00D45D40" w:rsidP="00D45D40">
      <w:pPr>
        <w:spacing w:after="0" w:line="240" w:lineRule="auto"/>
        <w:jc w:val="both"/>
        <w:rPr>
          <w:rFonts w:ascii="Century Gothic" w:eastAsia="Calibri" w:hAnsi="Century Gothic" w:cs="Arial"/>
          <w:color w:val="000000" w:themeColor="text1"/>
          <w:sz w:val="20"/>
          <w:szCs w:val="20"/>
        </w:rPr>
      </w:pPr>
      <w:r w:rsidRPr="00D45D40">
        <w:rPr>
          <w:rFonts w:ascii="Century Gothic" w:eastAsia="Arial" w:hAnsi="Century Gothic" w:cs="Arial"/>
          <w:color w:val="000000"/>
          <w:sz w:val="20"/>
          <w:szCs w:val="20"/>
          <w:lang w:val="es-ES_tradnl" w:eastAsia="es-ES_tradnl"/>
        </w:rPr>
        <w:t xml:space="preserve">[…] la decisión de limitar la convocatoria por parte de la entidad, únicamente puede darse si la solicitud provino de dos (2) o más Mipymes domiciliadas en el municipio o departamento en donde se va a ejecutar el contrato. Sin embargo, previo a esto, la entidad debe verificar el cumplimiento de los requisitos dispuestos en los numerales 1 y 2 del artículo </w:t>
      </w:r>
      <w:r w:rsidRPr="00D45D40">
        <w:rPr>
          <w:rFonts w:ascii="Century Gothic" w:eastAsia="Calibri" w:hAnsi="Century Gothic" w:cs="Arial"/>
          <w:color w:val="000000" w:themeColor="text1"/>
          <w:sz w:val="20"/>
          <w:szCs w:val="20"/>
        </w:rPr>
        <w:t xml:space="preserve">2.2.1.2.4.2.2. del Decreto 1082 de 2015, modificado por el artículo 5 del Decreto 1860 de 2021. </w:t>
      </w:r>
    </w:p>
    <w:p w14:paraId="7E88D03C" w14:textId="77777777" w:rsidR="00D45D40" w:rsidRPr="00D45D40" w:rsidRDefault="00D45D40" w:rsidP="00D45D40">
      <w:pPr>
        <w:spacing w:after="0" w:line="240" w:lineRule="auto"/>
        <w:jc w:val="both"/>
        <w:rPr>
          <w:rFonts w:ascii="Century Gothic" w:eastAsia="Arial" w:hAnsi="Century Gothic" w:cs="Arial"/>
          <w:color w:val="000000"/>
          <w:sz w:val="20"/>
          <w:szCs w:val="20"/>
          <w:lang w:val="es-ES_tradnl" w:eastAsia="es-ES_tradnl"/>
        </w:rPr>
      </w:pPr>
    </w:p>
    <w:p w14:paraId="61A98468" w14:textId="77777777" w:rsidR="00D45D40" w:rsidRPr="00FB13CF" w:rsidRDefault="00D45D40" w:rsidP="00D45D40">
      <w:pPr>
        <w:spacing w:after="0" w:line="240" w:lineRule="auto"/>
        <w:jc w:val="both"/>
        <w:rPr>
          <w:rFonts w:ascii="Century Gothic" w:eastAsia="Calibri" w:hAnsi="Century Gothic" w:cs="Arial"/>
          <w:sz w:val="20"/>
          <w:szCs w:val="20"/>
          <w:lang w:val="es-MX"/>
        </w:rPr>
      </w:pPr>
      <w:r w:rsidRPr="00D45D40">
        <w:rPr>
          <w:rFonts w:ascii="Century Gothic" w:eastAsia="Calibri" w:hAnsi="Century Gothic" w:cs="Arial"/>
          <w:sz w:val="20"/>
          <w:szCs w:val="20"/>
          <w:lang w:val="es-MX"/>
        </w:rPr>
        <w:t xml:space="preserve">En ese orden, en caso de que una Mipyme se encuentre interesada en solicitar la limitación de la convocatoria, deberá junto con su respectiva solicitud, las cual podrá </w:t>
      </w:r>
      <w:proofErr w:type="spellStart"/>
      <w:r w:rsidRPr="00D45D40">
        <w:rPr>
          <w:rFonts w:ascii="Century Gothic" w:eastAsia="Calibri" w:hAnsi="Century Gothic" w:cs="Arial"/>
          <w:sz w:val="20"/>
          <w:szCs w:val="20"/>
          <w:lang w:val="es-MX"/>
        </w:rPr>
        <w:t>allegar</w:t>
      </w:r>
      <w:proofErr w:type="spellEnd"/>
      <w:r w:rsidRPr="00D45D40">
        <w:rPr>
          <w:rFonts w:ascii="Century Gothic" w:eastAsia="Calibri" w:hAnsi="Century Gothic" w:cs="Arial"/>
          <w:sz w:val="20"/>
          <w:szCs w:val="20"/>
          <w:lang w:val="es-MX"/>
        </w:rPr>
        <w:t xml:space="preserve"> a la entidad por lo menos un (1) día hábil antes de la expedición del acto administrativo de apertura del proceso de contratación, acreditar: i) que tiene el tamaño empresarial establecido por la ley para ser considerada Mipyme, </w:t>
      </w:r>
      <w:proofErr w:type="spellStart"/>
      <w:r w:rsidRPr="00D45D40">
        <w:rPr>
          <w:rFonts w:ascii="Century Gothic" w:eastAsia="Calibri" w:hAnsi="Century Gothic" w:cs="Arial"/>
          <w:sz w:val="20"/>
          <w:szCs w:val="20"/>
          <w:lang w:val="es-MX"/>
        </w:rPr>
        <w:t>ii</w:t>
      </w:r>
      <w:proofErr w:type="spellEnd"/>
      <w:r w:rsidRPr="00D45D40">
        <w:rPr>
          <w:rFonts w:ascii="Century Gothic" w:eastAsia="Calibri" w:hAnsi="Century Gothic" w:cs="Arial"/>
          <w:sz w:val="20"/>
          <w:szCs w:val="20"/>
          <w:lang w:val="es-MX"/>
        </w:rPr>
        <w:t xml:space="preserve">) que cuenta mínimo, con un (1) año de existencia y, en caso de que se trate una persona jurídica, </w:t>
      </w:r>
      <w:proofErr w:type="spellStart"/>
      <w:r w:rsidRPr="00D45D40">
        <w:rPr>
          <w:rFonts w:ascii="Century Gothic" w:eastAsia="Calibri" w:hAnsi="Century Gothic" w:cs="Arial"/>
          <w:sz w:val="20"/>
          <w:szCs w:val="20"/>
          <w:lang w:val="es-MX"/>
        </w:rPr>
        <w:t>iii</w:t>
      </w:r>
      <w:proofErr w:type="spellEnd"/>
      <w:r w:rsidRPr="00D45D40">
        <w:rPr>
          <w:rFonts w:ascii="Century Gothic" w:eastAsia="Calibri" w:hAnsi="Century Gothic" w:cs="Arial"/>
          <w:sz w:val="20"/>
          <w:szCs w:val="20"/>
          <w:lang w:val="es-MX"/>
        </w:rPr>
        <w:t xml:space="preserve">) que su objeto social le permite ejecutar el contrato relacionado con el proceso contractual. Información esta, que verificará la Entidad Estatal que adelanta el respectivo proceso de contratación, para así </w:t>
      </w:r>
      <w:r w:rsidRPr="00FB13CF">
        <w:rPr>
          <w:rFonts w:ascii="Century Gothic" w:eastAsia="Calibri" w:hAnsi="Century Gothic" w:cs="Arial"/>
          <w:sz w:val="20"/>
          <w:szCs w:val="20"/>
          <w:lang w:val="es-MX"/>
        </w:rPr>
        <w:t>determinar si procede o no a efectuar la limitación de la convocaría. Sin embargo, debe aclararse, que las entidades en el marco del principio de autonomía, están facultadas para establecer en el pliego de condiciones, las reglas a través de las cuales se acreditarán dichas situaciones, esto, bajo la observación de lo señalado en el artículo 2.2.1.2.4.2.4 del Decreto 1082 de 2015, modificado por el artículo 5 del Decreto 1860 de 2021.</w:t>
      </w:r>
    </w:p>
    <w:p w14:paraId="1A26E258" w14:textId="77777777" w:rsidR="00D93BB6" w:rsidRPr="00F85256" w:rsidRDefault="00D93BB6" w:rsidP="00F85256">
      <w:pPr>
        <w:spacing w:after="120" w:line="240" w:lineRule="auto"/>
        <w:contextualSpacing/>
        <w:jc w:val="both"/>
        <w:rPr>
          <w:rFonts w:ascii="Century Gothic" w:eastAsia="Calibri" w:hAnsi="Century Gothic" w:cs="Arial"/>
          <w:b/>
          <w:sz w:val="20"/>
          <w:szCs w:val="20"/>
          <w:lang w:val="es-MX" w:eastAsia="es-ES_tradnl"/>
        </w:rPr>
      </w:pPr>
    </w:p>
    <w:p w14:paraId="1D9D0950" w14:textId="2E21DEC0" w:rsidR="00FF697A" w:rsidRPr="000223DD" w:rsidRDefault="00D45D40" w:rsidP="00F85256">
      <w:pPr>
        <w:spacing w:after="0" w:line="240" w:lineRule="auto"/>
        <w:jc w:val="both"/>
        <w:rPr>
          <w:rFonts w:ascii="Century Gothic" w:hAnsi="Century Gothic" w:cs="Arial"/>
          <w:b/>
          <w:bCs/>
          <w:shd w:val="clear" w:color="auto" w:fill="FFFFFF"/>
          <w:lang w:val="es-MX"/>
        </w:rPr>
      </w:pPr>
      <w:r w:rsidRPr="000223DD">
        <w:rPr>
          <w:rFonts w:ascii="Century Gothic" w:hAnsi="Century Gothic" w:cs="Arial"/>
          <w:b/>
          <w:bCs/>
          <w:shd w:val="clear" w:color="auto" w:fill="FFFFFF"/>
          <w:lang w:val="es-MX"/>
        </w:rPr>
        <w:t xml:space="preserve">PRINCIPIO DE </w:t>
      </w:r>
      <w:r w:rsidR="00BB5D8E" w:rsidRPr="000223DD">
        <w:rPr>
          <w:rFonts w:ascii="Century Gothic" w:hAnsi="Century Gothic" w:cs="Arial"/>
          <w:b/>
          <w:bCs/>
          <w:shd w:val="clear" w:color="auto" w:fill="FFFFFF"/>
          <w:lang w:val="es-MX"/>
        </w:rPr>
        <w:t xml:space="preserve">PUBLICIDAD – Noción – Acceso a la información pública </w:t>
      </w:r>
      <w:r w:rsidR="00A318FF" w:rsidRPr="000223DD">
        <w:rPr>
          <w:rFonts w:ascii="Century Gothic" w:hAnsi="Century Gothic" w:cs="Arial"/>
          <w:b/>
          <w:bCs/>
          <w:shd w:val="clear" w:color="auto" w:fill="FFFFFF"/>
          <w:lang w:val="es-MX"/>
        </w:rPr>
        <w:t>–</w:t>
      </w:r>
      <w:r w:rsidR="00453434" w:rsidRPr="000223DD">
        <w:rPr>
          <w:rFonts w:ascii="Century Gothic" w:hAnsi="Century Gothic" w:cs="Arial"/>
          <w:b/>
          <w:bCs/>
          <w:shd w:val="clear" w:color="auto" w:fill="FFFFFF"/>
          <w:lang w:val="es-MX"/>
        </w:rPr>
        <w:t xml:space="preserve"> Documentos expedidos - Actividad contractual</w:t>
      </w:r>
    </w:p>
    <w:p w14:paraId="05436877" w14:textId="77777777" w:rsidR="00D93BB6" w:rsidRPr="00F85256" w:rsidRDefault="00D93BB6" w:rsidP="00F85256">
      <w:pPr>
        <w:spacing w:after="0" w:line="240" w:lineRule="auto"/>
        <w:jc w:val="both"/>
        <w:rPr>
          <w:rFonts w:ascii="Century Gothic" w:hAnsi="Century Gothic" w:cs="Arial"/>
          <w:sz w:val="20"/>
          <w:szCs w:val="20"/>
          <w:shd w:val="clear" w:color="auto" w:fill="FFFFFF"/>
          <w:lang w:val="es-MX"/>
        </w:rPr>
      </w:pPr>
    </w:p>
    <w:p w14:paraId="5614CD85" w14:textId="03BA6826" w:rsidR="00C639AF" w:rsidRPr="00F85256" w:rsidRDefault="00C639AF" w:rsidP="00F85256">
      <w:pPr>
        <w:spacing w:after="0" w:line="240" w:lineRule="auto"/>
        <w:jc w:val="both"/>
        <w:rPr>
          <w:rFonts w:ascii="Century Gothic" w:hAnsi="Century Gothic" w:cs="Arial"/>
          <w:sz w:val="20"/>
          <w:szCs w:val="20"/>
          <w:shd w:val="clear" w:color="auto" w:fill="FFFFFF"/>
          <w:lang w:val="es-MX"/>
        </w:rPr>
      </w:pPr>
      <w:r w:rsidRPr="00F85256">
        <w:rPr>
          <w:rFonts w:ascii="Century Gothic" w:hAnsi="Century Gothic" w:cs="Arial"/>
          <w:sz w:val="20"/>
          <w:szCs w:val="20"/>
          <w:shd w:val="clear" w:color="auto" w:fill="FFFFFF"/>
          <w:lang w:val="es-MX"/>
        </w:rPr>
        <w:t>El principio de publicidad 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r w:rsidR="005C5C23" w:rsidRPr="00F85256">
        <w:rPr>
          <w:rFonts w:ascii="Century Gothic" w:hAnsi="Century Gothic" w:cs="Arial"/>
          <w:sz w:val="20"/>
          <w:szCs w:val="20"/>
          <w:shd w:val="clear" w:color="auto" w:fill="FFFFFF"/>
          <w:lang w:val="es-MX"/>
        </w:rPr>
        <w:t>”.</w:t>
      </w:r>
    </w:p>
    <w:p w14:paraId="391444CC" w14:textId="0B6F6487" w:rsidR="00C639AF" w:rsidRPr="00F85256" w:rsidRDefault="005C5C23" w:rsidP="00F85256">
      <w:pPr>
        <w:spacing w:after="0" w:line="240" w:lineRule="auto"/>
        <w:jc w:val="both"/>
        <w:rPr>
          <w:rFonts w:ascii="Century Gothic" w:hAnsi="Century Gothic" w:cs="Arial"/>
          <w:sz w:val="20"/>
          <w:szCs w:val="20"/>
          <w:shd w:val="clear" w:color="auto" w:fill="FFFFFF"/>
          <w:lang w:val="es-MX"/>
        </w:rPr>
      </w:pPr>
      <w:r w:rsidRPr="00F85256">
        <w:rPr>
          <w:rFonts w:ascii="Century Gothic" w:hAnsi="Century Gothic" w:cs="Arial"/>
          <w:sz w:val="20"/>
          <w:szCs w:val="20"/>
          <w:shd w:val="clear" w:color="auto" w:fill="FFFFFF"/>
          <w:lang w:val="es-MX"/>
        </w:rPr>
        <w:t>[…]</w:t>
      </w:r>
    </w:p>
    <w:p w14:paraId="2ADA6F54" w14:textId="37083556" w:rsidR="005C5C23" w:rsidRPr="00F85256" w:rsidRDefault="005C5C23" w:rsidP="00F85256">
      <w:pPr>
        <w:spacing w:after="0" w:line="240" w:lineRule="auto"/>
        <w:jc w:val="both"/>
        <w:rPr>
          <w:rFonts w:ascii="Century Gothic" w:hAnsi="Century Gothic" w:cs="Arial"/>
          <w:sz w:val="20"/>
          <w:szCs w:val="20"/>
          <w:shd w:val="clear" w:color="auto" w:fill="FFFFFF"/>
          <w:lang w:val="es-MX"/>
        </w:rPr>
      </w:pPr>
      <w:r w:rsidRPr="00F85256">
        <w:rPr>
          <w:rFonts w:ascii="Century Gothic" w:hAnsi="Century Gothic" w:cs="Arial"/>
          <w:sz w:val="20"/>
          <w:szCs w:val="20"/>
          <w:shd w:val="clear" w:color="auto" w:fill="FFFFFF"/>
          <w:lang w:val="es-MX"/>
        </w:rPr>
        <w:t>[…]la Ley 1712 de 2014, por medio de la cual se regula la transparencia 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proofErr w:type="gramStart"/>
      <w:r w:rsidRPr="00F85256">
        <w:rPr>
          <w:rFonts w:ascii="Century Gothic" w:hAnsi="Century Gothic" w:cs="Arial"/>
          <w:sz w:val="20"/>
          <w:szCs w:val="20"/>
          <w:shd w:val="clear" w:color="auto" w:fill="FFFFFF"/>
          <w:lang w:val="es-MX"/>
        </w:rPr>
        <w:t>” .</w:t>
      </w:r>
      <w:proofErr w:type="gramEnd"/>
      <w:r w:rsidRPr="00F85256">
        <w:rPr>
          <w:rFonts w:ascii="Century Gothic" w:hAnsi="Century Gothic" w:cs="Arial"/>
          <w:sz w:val="20"/>
          <w:szCs w:val="20"/>
          <w:shd w:val="clear" w:color="auto" w:fill="FFFFFF"/>
          <w:lang w:val="es-MX"/>
        </w:rPr>
        <w:t xml:space="preserve"> El principio de transparencia en la información alude al deber de los sujetos de proporcionar y facilitar el acceso a la misma en los términos más amplios posibles, y a través de los medios y procedimientos que establezca la ley.</w:t>
      </w:r>
    </w:p>
    <w:p w14:paraId="6F01FE6E" w14:textId="03301446" w:rsidR="00C639AF" w:rsidRPr="00F85256" w:rsidRDefault="00F85256" w:rsidP="00F85256">
      <w:pPr>
        <w:spacing w:after="0" w:line="240" w:lineRule="auto"/>
        <w:jc w:val="both"/>
        <w:rPr>
          <w:rFonts w:ascii="Century Gothic" w:hAnsi="Century Gothic" w:cs="Arial"/>
          <w:sz w:val="20"/>
          <w:szCs w:val="20"/>
          <w:shd w:val="clear" w:color="auto" w:fill="FFFFFF"/>
          <w:lang w:val="es-MX"/>
        </w:rPr>
      </w:pPr>
      <w:r w:rsidRPr="00F85256">
        <w:rPr>
          <w:rFonts w:ascii="Century Gothic" w:hAnsi="Century Gothic" w:cs="Arial"/>
          <w:sz w:val="20"/>
          <w:szCs w:val="20"/>
          <w:shd w:val="clear" w:color="auto" w:fill="FFFFFF"/>
          <w:lang w:val="es-MX"/>
        </w:rPr>
        <w:t>[…]</w:t>
      </w:r>
    </w:p>
    <w:p w14:paraId="4D0C534E" w14:textId="14B13598" w:rsidR="00F85256" w:rsidRPr="00F85256" w:rsidRDefault="00F85256" w:rsidP="00F85256">
      <w:pPr>
        <w:spacing w:after="0" w:line="240" w:lineRule="auto"/>
        <w:jc w:val="both"/>
        <w:rPr>
          <w:rFonts w:ascii="Century Gothic" w:hAnsi="Century Gothic" w:cs="Arial"/>
          <w:sz w:val="20"/>
          <w:szCs w:val="20"/>
          <w:shd w:val="clear" w:color="auto" w:fill="FFFFFF"/>
          <w:lang w:val="es-MX"/>
        </w:rPr>
      </w:pPr>
      <w:r w:rsidRPr="00F85256">
        <w:rPr>
          <w:rFonts w:ascii="Century Gothic" w:hAnsi="Century Gothic" w:cs="Arial"/>
          <w:sz w:val="20"/>
          <w:szCs w:val="20"/>
          <w:shd w:val="clear" w:color="auto" w:fill="FFFFFF"/>
          <w:lang w:val="es-MX"/>
        </w:rPr>
        <w:t xml:space="preserve">El deber de publicidad de los documentos expedidos en virtud de la actividad contractual que se desprende del artículo 3 de la Ley 1150 de 2007, se encuentra regulado por el artículo 2.2.1.1.1.7.1. del Decreto 1082 de 2015 el cual establece los documentos que se deben </w:t>
      </w:r>
      <w:r w:rsidRPr="00F85256">
        <w:rPr>
          <w:rFonts w:ascii="Century Gothic" w:hAnsi="Century Gothic" w:cs="Arial"/>
          <w:sz w:val="20"/>
          <w:szCs w:val="20"/>
          <w:shd w:val="clear" w:color="auto" w:fill="FFFFFF"/>
          <w:lang w:val="es-MX"/>
        </w:rPr>
        <w:lastRenderedPageBreak/>
        <w:t>publicar y al SECOP como medio de publicación, lo que permite controlar las actuaciones y decisiones de la Administración y el cumplimiento de los demás principios de la contratación pública.</w:t>
      </w:r>
    </w:p>
    <w:p w14:paraId="79217892" w14:textId="77777777" w:rsidR="00D93BB6" w:rsidRPr="00FB13CF" w:rsidRDefault="00D93BB6" w:rsidP="00490794">
      <w:pPr>
        <w:spacing w:after="0"/>
        <w:rPr>
          <w:rFonts w:ascii="Century Gothic" w:hAnsi="Century Gothic" w:cs="Arial"/>
          <w:shd w:val="clear" w:color="auto" w:fill="FFFFFF"/>
          <w:lang w:val="es-MX"/>
        </w:rPr>
      </w:pPr>
    </w:p>
    <w:p w14:paraId="156A6E79" w14:textId="77777777" w:rsidR="00FB13CF" w:rsidRPr="00FB13CF" w:rsidRDefault="00FB13CF" w:rsidP="00FB13CF">
      <w:pPr>
        <w:spacing w:after="0" w:line="240" w:lineRule="auto"/>
        <w:jc w:val="both"/>
        <w:rPr>
          <w:rFonts w:ascii="Century Gothic" w:eastAsia="Calibri" w:hAnsi="Century Gothic" w:cs="Arial"/>
          <w:b/>
          <w:bCs/>
          <w:color w:val="000000" w:themeColor="text1"/>
        </w:rPr>
      </w:pPr>
      <w:r w:rsidRPr="00FB13CF">
        <w:rPr>
          <w:rFonts w:ascii="Century Gothic" w:eastAsia="Calibri" w:hAnsi="Century Gothic" w:cs="Arial"/>
          <w:b/>
          <w:bCs/>
          <w:color w:val="000000" w:themeColor="text1"/>
        </w:rPr>
        <w:t>PRINCIPIO DE TRANSPARENCIA – Documentos del proceso – Observaciones</w:t>
      </w:r>
    </w:p>
    <w:p w14:paraId="2F1CC6DD" w14:textId="77777777" w:rsidR="00FB13CF" w:rsidRPr="00FB13CF" w:rsidRDefault="00FB13CF" w:rsidP="00FB13CF">
      <w:pPr>
        <w:spacing w:after="0" w:line="240" w:lineRule="auto"/>
        <w:jc w:val="both"/>
        <w:rPr>
          <w:rFonts w:ascii="Century Gothic" w:eastAsia="Calibri" w:hAnsi="Century Gothic" w:cs="Arial"/>
          <w:color w:val="000000" w:themeColor="text1"/>
          <w:sz w:val="20"/>
          <w:szCs w:val="20"/>
          <w:highlight w:val="yellow"/>
        </w:rPr>
      </w:pPr>
    </w:p>
    <w:p w14:paraId="7E05DAE2" w14:textId="77777777" w:rsidR="00FB13CF" w:rsidRPr="00FB13CF" w:rsidRDefault="00FB13CF" w:rsidP="00FB13CF">
      <w:pPr>
        <w:spacing w:after="0" w:line="240" w:lineRule="auto"/>
        <w:jc w:val="both"/>
        <w:rPr>
          <w:rFonts w:ascii="Century Gothic" w:eastAsia="Calibri" w:hAnsi="Century Gothic" w:cs="Arial"/>
          <w:color w:val="000000" w:themeColor="text1"/>
          <w:sz w:val="20"/>
          <w:szCs w:val="20"/>
          <w:highlight w:val="yellow"/>
        </w:rPr>
      </w:pPr>
      <w:r w:rsidRPr="00FB13CF">
        <w:rPr>
          <w:rFonts w:ascii="Century Gothic" w:eastAsia="Calibri" w:hAnsi="Century Gothic" w:cs="Arial"/>
          <w:color w:val="000000" w:themeColor="text1"/>
          <w:sz w:val="20"/>
          <w:szCs w:val="20"/>
        </w:rPr>
        <w:t>El artículo 23 de la Ley 80 de 1993 regula los principios aplicables a las actuaciones contractuales adelantadas por las entidades estatales. Entre otros, allí se estableció el principio de transparencia de la actividad contractual, objeto de regulación expresa en el artículo 24 ibidem. Este principio guarda estrecha relación con el de publicidad, que rige el ejercicio de la función administrativa. Por ello, el numeral 2º dispone la facultad de los interesados para realizar y/o presentar observaciones, como un mecanismo para controvertir algunas de las decisiones adoptadas por las entidades estatales.</w:t>
      </w:r>
    </w:p>
    <w:p w14:paraId="7E4622FD" w14:textId="77777777" w:rsidR="00D93BB6" w:rsidRDefault="00D93BB6" w:rsidP="00490794">
      <w:pPr>
        <w:spacing w:after="0"/>
        <w:rPr>
          <w:rFonts w:ascii="Century Gothic" w:hAnsi="Century Gothic" w:cs="Arial"/>
          <w:shd w:val="clear" w:color="auto" w:fill="FFFFFF"/>
          <w:lang w:val="es-MX"/>
        </w:rPr>
      </w:pPr>
    </w:p>
    <w:p w14:paraId="522CA440" w14:textId="77777777" w:rsidR="00D93BB6" w:rsidRDefault="00D93BB6" w:rsidP="00490794">
      <w:pPr>
        <w:spacing w:after="0"/>
        <w:rPr>
          <w:rFonts w:ascii="Century Gothic" w:hAnsi="Century Gothic" w:cs="Arial"/>
          <w:shd w:val="clear" w:color="auto" w:fill="FFFFFF"/>
          <w:lang w:val="es-MX"/>
        </w:rPr>
      </w:pPr>
    </w:p>
    <w:p w14:paraId="1C1E408A" w14:textId="77777777" w:rsidR="00D93BB6" w:rsidRDefault="00D93BB6" w:rsidP="00490794">
      <w:pPr>
        <w:spacing w:after="0"/>
        <w:rPr>
          <w:rFonts w:ascii="Century Gothic" w:hAnsi="Century Gothic" w:cs="Arial"/>
          <w:shd w:val="clear" w:color="auto" w:fill="FFFFFF"/>
          <w:lang w:val="es-MX"/>
        </w:rPr>
      </w:pPr>
    </w:p>
    <w:p w14:paraId="16D26B02" w14:textId="77777777" w:rsidR="00D93BB6" w:rsidRDefault="00D93BB6" w:rsidP="00490794">
      <w:pPr>
        <w:spacing w:after="0"/>
        <w:rPr>
          <w:rFonts w:ascii="Century Gothic" w:hAnsi="Century Gothic" w:cs="Arial"/>
          <w:shd w:val="clear" w:color="auto" w:fill="FFFFFF"/>
          <w:lang w:val="es-MX"/>
        </w:rPr>
      </w:pPr>
    </w:p>
    <w:p w14:paraId="74E04C9F" w14:textId="77777777" w:rsidR="00D93BB6" w:rsidRDefault="00D93BB6" w:rsidP="00490794">
      <w:pPr>
        <w:spacing w:after="0"/>
        <w:rPr>
          <w:rFonts w:ascii="Century Gothic" w:hAnsi="Century Gothic" w:cs="Arial"/>
          <w:shd w:val="clear" w:color="auto" w:fill="FFFFFF"/>
          <w:lang w:val="es-MX"/>
        </w:rPr>
      </w:pPr>
    </w:p>
    <w:p w14:paraId="7E2D9322" w14:textId="77777777" w:rsidR="00D93BB6" w:rsidRDefault="00D93BB6" w:rsidP="00490794">
      <w:pPr>
        <w:spacing w:after="0"/>
        <w:rPr>
          <w:rFonts w:ascii="Century Gothic" w:hAnsi="Century Gothic" w:cs="Arial"/>
          <w:shd w:val="clear" w:color="auto" w:fill="FFFFFF"/>
          <w:lang w:val="es-MX"/>
        </w:rPr>
      </w:pPr>
    </w:p>
    <w:p w14:paraId="040762C0" w14:textId="77777777" w:rsidR="00D93BB6" w:rsidRDefault="00D93BB6" w:rsidP="00490794">
      <w:pPr>
        <w:spacing w:after="0"/>
        <w:rPr>
          <w:rFonts w:ascii="Century Gothic" w:hAnsi="Century Gothic" w:cs="Arial"/>
          <w:shd w:val="clear" w:color="auto" w:fill="FFFFFF"/>
          <w:lang w:val="es-MX"/>
        </w:rPr>
      </w:pPr>
    </w:p>
    <w:p w14:paraId="5A0C2338" w14:textId="77777777" w:rsidR="00D93BB6" w:rsidRDefault="00D93BB6" w:rsidP="00490794">
      <w:pPr>
        <w:spacing w:after="0"/>
        <w:rPr>
          <w:rFonts w:ascii="Century Gothic" w:hAnsi="Century Gothic" w:cs="Arial"/>
          <w:shd w:val="clear" w:color="auto" w:fill="FFFFFF"/>
          <w:lang w:val="es-MX"/>
        </w:rPr>
      </w:pPr>
    </w:p>
    <w:p w14:paraId="603B33C9" w14:textId="77777777" w:rsidR="00D93BB6" w:rsidRDefault="00D93BB6" w:rsidP="00490794">
      <w:pPr>
        <w:spacing w:after="0"/>
        <w:rPr>
          <w:rFonts w:ascii="Century Gothic" w:hAnsi="Century Gothic" w:cs="Arial"/>
          <w:shd w:val="clear" w:color="auto" w:fill="FFFFFF"/>
          <w:lang w:val="es-MX"/>
        </w:rPr>
      </w:pPr>
    </w:p>
    <w:p w14:paraId="2EDADD22" w14:textId="77777777" w:rsidR="00D93BB6" w:rsidRDefault="00D93BB6" w:rsidP="00490794">
      <w:pPr>
        <w:spacing w:after="0"/>
        <w:rPr>
          <w:rFonts w:ascii="Century Gothic" w:hAnsi="Century Gothic" w:cs="Arial"/>
          <w:shd w:val="clear" w:color="auto" w:fill="FFFFFF"/>
          <w:lang w:val="es-MX"/>
        </w:rPr>
      </w:pPr>
    </w:p>
    <w:p w14:paraId="5A049550" w14:textId="77777777" w:rsidR="00D93BB6" w:rsidRDefault="00D93BB6" w:rsidP="00490794">
      <w:pPr>
        <w:spacing w:after="0"/>
        <w:rPr>
          <w:rFonts w:ascii="Century Gothic" w:hAnsi="Century Gothic" w:cs="Arial"/>
          <w:shd w:val="clear" w:color="auto" w:fill="FFFFFF"/>
          <w:lang w:val="es-MX"/>
        </w:rPr>
      </w:pPr>
    </w:p>
    <w:p w14:paraId="5D3FCE57" w14:textId="77777777" w:rsidR="00D93BB6" w:rsidRDefault="00D93BB6" w:rsidP="00490794">
      <w:pPr>
        <w:spacing w:after="0"/>
        <w:rPr>
          <w:rFonts w:ascii="Century Gothic" w:hAnsi="Century Gothic" w:cs="Arial"/>
          <w:shd w:val="clear" w:color="auto" w:fill="FFFFFF"/>
          <w:lang w:val="es-MX"/>
        </w:rPr>
      </w:pPr>
    </w:p>
    <w:p w14:paraId="5001551A" w14:textId="77777777" w:rsidR="00D93BB6" w:rsidRDefault="00D93BB6" w:rsidP="00490794">
      <w:pPr>
        <w:spacing w:after="0"/>
        <w:rPr>
          <w:rFonts w:ascii="Century Gothic" w:hAnsi="Century Gothic" w:cs="Arial"/>
          <w:shd w:val="clear" w:color="auto" w:fill="FFFFFF"/>
          <w:lang w:val="es-MX"/>
        </w:rPr>
      </w:pPr>
    </w:p>
    <w:p w14:paraId="2567D5C7" w14:textId="77777777" w:rsidR="00D93BB6" w:rsidRDefault="00D93BB6" w:rsidP="00490794">
      <w:pPr>
        <w:spacing w:after="0"/>
        <w:rPr>
          <w:rFonts w:ascii="Century Gothic" w:hAnsi="Century Gothic" w:cs="Arial"/>
          <w:shd w:val="clear" w:color="auto" w:fill="FFFFFF"/>
          <w:lang w:val="es-MX"/>
        </w:rPr>
      </w:pPr>
    </w:p>
    <w:p w14:paraId="3F04787E" w14:textId="77777777" w:rsidR="00D93BB6" w:rsidRDefault="00D93BB6" w:rsidP="00490794">
      <w:pPr>
        <w:spacing w:after="0"/>
        <w:rPr>
          <w:rFonts w:ascii="Century Gothic" w:hAnsi="Century Gothic" w:cs="Arial"/>
          <w:shd w:val="clear" w:color="auto" w:fill="FFFFFF"/>
          <w:lang w:val="es-MX"/>
        </w:rPr>
      </w:pPr>
    </w:p>
    <w:p w14:paraId="797F0B9A" w14:textId="77777777" w:rsidR="00D93BB6" w:rsidRDefault="00D93BB6" w:rsidP="00490794">
      <w:pPr>
        <w:spacing w:after="0"/>
        <w:rPr>
          <w:rFonts w:ascii="Century Gothic" w:hAnsi="Century Gothic" w:cs="Arial"/>
          <w:shd w:val="clear" w:color="auto" w:fill="FFFFFF"/>
          <w:lang w:val="es-MX"/>
        </w:rPr>
      </w:pPr>
    </w:p>
    <w:p w14:paraId="3646B316" w14:textId="77777777" w:rsidR="00D93BB6" w:rsidRDefault="00D93BB6" w:rsidP="00490794">
      <w:pPr>
        <w:spacing w:after="0"/>
        <w:rPr>
          <w:rFonts w:ascii="Century Gothic" w:hAnsi="Century Gothic" w:cs="Arial"/>
          <w:shd w:val="clear" w:color="auto" w:fill="FFFFFF"/>
          <w:lang w:val="es-MX"/>
        </w:rPr>
      </w:pPr>
    </w:p>
    <w:p w14:paraId="33B007DA" w14:textId="77777777" w:rsidR="00D93BB6" w:rsidRDefault="00D93BB6" w:rsidP="00490794">
      <w:pPr>
        <w:spacing w:after="0"/>
        <w:rPr>
          <w:rFonts w:ascii="Century Gothic" w:hAnsi="Century Gothic" w:cs="Arial"/>
          <w:shd w:val="clear" w:color="auto" w:fill="FFFFFF"/>
          <w:lang w:val="es-MX"/>
        </w:rPr>
      </w:pPr>
    </w:p>
    <w:p w14:paraId="7DFE2EBA" w14:textId="77777777" w:rsidR="00D93BB6" w:rsidRDefault="00D93BB6" w:rsidP="00490794">
      <w:pPr>
        <w:spacing w:after="0"/>
        <w:rPr>
          <w:rFonts w:ascii="Century Gothic" w:hAnsi="Century Gothic" w:cs="Arial"/>
          <w:shd w:val="clear" w:color="auto" w:fill="FFFFFF"/>
          <w:lang w:val="es-MX"/>
        </w:rPr>
      </w:pPr>
    </w:p>
    <w:p w14:paraId="6D55BBD4" w14:textId="77777777" w:rsidR="00D93BB6" w:rsidRDefault="00D93BB6" w:rsidP="00490794">
      <w:pPr>
        <w:spacing w:after="0"/>
        <w:rPr>
          <w:rFonts w:ascii="Century Gothic" w:hAnsi="Century Gothic" w:cs="Arial"/>
          <w:shd w:val="clear" w:color="auto" w:fill="FFFFFF"/>
          <w:lang w:val="es-MX"/>
        </w:rPr>
      </w:pPr>
    </w:p>
    <w:p w14:paraId="45CAD320" w14:textId="77777777" w:rsidR="00D93BB6" w:rsidRDefault="00D93BB6" w:rsidP="00490794">
      <w:pPr>
        <w:spacing w:after="0"/>
        <w:rPr>
          <w:rFonts w:ascii="Century Gothic" w:hAnsi="Century Gothic" w:cs="Arial"/>
          <w:shd w:val="clear" w:color="auto" w:fill="FFFFFF"/>
          <w:lang w:val="es-MX"/>
        </w:rPr>
      </w:pPr>
    </w:p>
    <w:p w14:paraId="0687DD58" w14:textId="77777777" w:rsidR="00D93BB6" w:rsidRDefault="00D93BB6" w:rsidP="00490794">
      <w:pPr>
        <w:spacing w:after="0"/>
        <w:rPr>
          <w:rFonts w:ascii="Century Gothic" w:hAnsi="Century Gothic" w:cs="Arial"/>
          <w:shd w:val="clear" w:color="auto" w:fill="FFFFFF"/>
          <w:lang w:val="es-MX"/>
        </w:rPr>
      </w:pPr>
    </w:p>
    <w:p w14:paraId="1F2C2AA5" w14:textId="77777777" w:rsidR="00D93BB6" w:rsidRDefault="00D93BB6" w:rsidP="00490794">
      <w:pPr>
        <w:spacing w:after="0"/>
        <w:rPr>
          <w:rFonts w:ascii="Century Gothic" w:hAnsi="Century Gothic" w:cs="Arial"/>
          <w:shd w:val="clear" w:color="auto" w:fill="FFFFFF"/>
          <w:lang w:val="es-MX"/>
        </w:rPr>
      </w:pPr>
    </w:p>
    <w:p w14:paraId="74836026" w14:textId="77777777" w:rsidR="00D93BB6" w:rsidRDefault="00D93BB6" w:rsidP="00490794">
      <w:pPr>
        <w:spacing w:after="0"/>
        <w:rPr>
          <w:rFonts w:ascii="Century Gothic" w:hAnsi="Century Gothic" w:cs="Arial"/>
          <w:shd w:val="clear" w:color="auto" w:fill="FFFFFF"/>
          <w:lang w:val="es-MX"/>
        </w:rPr>
      </w:pPr>
    </w:p>
    <w:p w14:paraId="4C2E17CE" w14:textId="77777777" w:rsidR="00D93BB6" w:rsidRDefault="00D93BB6" w:rsidP="00490794">
      <w:pPr>
        <w:spacing w:after="0"/>
        <w:rPr>
          <w:rFonts w:ascii="Century Gothic" w:hAnsi="Century Gothic" w:cs="Arial"/>
          <w:shd w:val="clear" w:color="auto" w:fill="FFFFFF"/>
          <w:lang w:val="es-MX"/>
        </w:rPr>
      </w:pPr>
    </w:p>
    <w:p w14:paraId="7A52452F" w14:textId="77777777" w:rsidR="00D93BB6" w:rsidRDefault="00D93BB6" w:rsidP="00490794">
      <w:pPr>
        <w:spacing w:after="0"/>
        <w:rPr>
          <w:rFonts w:ascii="Century Gothic" w:hAnsi="Century Gothic" w:cs="Arial"/>
          <w:shd w:val="clear" w:color="auto" w:fill="FFFFFF"/>
          <w:lang w:val="es-MX"/>
        </w:rPr>
      </w:pPr>
    </w:p>
    <w:p w14:paraId="2E4E18BF" w14:textId="77777777" w:rsidR="00D93BB6" w:rsidRDefault="00D93BB6" w:rsidP="00490794">
      <w:pPr>
        <w:spacing w:after="0"/>
        <w:rPr>
          <w:rFonts w:ascii="Century Gothic" w:hAnsi="Century Gothic" w:cs="Arial"/>
          <w:shd w:val="clear" w:color="auto" w:fill="FFFFFF"/>
          <w:lang w:val="es-MX"/>
        </w:rPr>
      </w:pPr>
    </w:p>
    <w:p w14:paraId="0B5EF8AB" w14:textId="77777777" w:rsidR="00D93BB6" w:rsidRDefault="00D93BB6" w:rsidP="00490794">
      <w:pPr>
        <w:spacing w:after="0"/>
        <w:rPr>
          <w:rFonts w:ascii="Century Gothic" w:hAnsi="Century Gothic" w:cs="Arial"/>
          <w:shd w:val="clear" w:color="auto" w:fill="FFFFFF"/>
          <w:lang w:val="es-MX"/>
        </w:rPr>
      </w:pPr>
    </w:p>
    <w:p w14:paraId="3D57E3BE" w14:textId="77777777" w:rsidR="00D93BB6" w:rsidRDefault="00D93BB6" w:rsidP="00490794">
      <w:pPr>
        <w:spacing w:after="0"/>
        <w:rPr>
          <w:rFonts w:ascii="Century Gothic" w:hAnsi="Century Gothic" w:cs="Arial"/>
          <w:shd w:val="clear" w:color="auto" w:fill="FFFFFF"/>
          <w:lang w:val="es-MX"/>
        </w:rPr>
      </w:pPr>
    </w:p>
    <w:p w14:paraId="54350165" w14:textId="77777777" w:rsidR="00D93BB6" w:rsidRPr="00D82A1E" w:rsidRDefault="00D93BB6" w:rsidP="00490794">
      <w:pPr>
        <w:spacing w:after="0"/>
        <w:rPr>
          <w:rFonts w:ascii="Century Gothic" w:hAnsi="Century Gothic" w:cs="Arial"/>
          <w:shd w:val="clear" w:color="auto" w:fill="FFFFFF"/>
          <w:lang w:val="es-MX"/>
        </w:rPr>
      </w:pPr>
    </w:p>
    <w:p w14:paraId="7737A9C0" w14:textId="77777777" w:rsidR="00490794" w:rsidRDefault="00490794" w:rsidP="00490794">
      <w:pPr>
        <w:spacing w:after="0"/>
        <w:rPr>
          <w:rFonts w:ascii="Century Gothic" w:eastAsia="Geomanist Light" w:hAnsi="Century Gothic" w:cs="Arial"/>
          <w:lang w:val="es-MX"/>
        </w:rPr>
      </w:pPr>
      <w:r w:rsidRPr="00D82A1E">
        <w:rPr>
          <w:rFonts w:ascii="Century Gothic" w:hAnsi="Century Gothic" w:cs="Arial"/>
          <w:shd w:val="clear" w:color="auto" w:fill="FFFFFF"/>
        </w:rPr>
        <w:t>Bogotá D.C., [Día] de [</w:t>
      </w:r>
      <w:proofErr w:type="spellStart"/>
      <w:r w:rsidRPr="00D82A1E">
        <w:rPr>
          <w:rFonts w:ascii="Century Gothic" w:hAnsi="Century Gothic" w:cs="Arial"/>
          <w:shd w:val="clear" w:color="auto" w:fill="FFFFFF"/>
        </w:rPr>
        <w:t>Mes.NombreCapitalizado</w:t>
      </w:r>
      <w:proofErr w:type="spellEnd"/>
      <w:r w:rsidRPr="00D82A1E">
        <w:rPr>
          <w:rFonts w:ascii="Century Gothic" w:hAnsi="Century Gothic" w:cs="Arial"/>
          <w:shd w:val="clear" w:color="auto" w:fill="FFFFFF"/>
        </w:rPr>
        <w:t>] de [Año]</w:t>
      </w:r>
      <w:r w:rsidRPr="00D82A1E">
        <w:rPr>
          <w:rFonts w:ascii="Century Gothic" w:hAnsi="Century Gothic" w:cs="Calibri"/>
          <w:shd w:val="clear" w:color="auto" w:fill="FFFFFF"/>
        </w:rPr>
        <w:tab/>
      </w:r>
      <w:r w:rsidRPr="00D82A1E">
        <w:rPr>
          <w:rFonts w:ascii="Arial" w:hAnsi="Arial" w:cs="Arial"/>
          <w:shd w:val="clear" w:color="auto" w:fill="FFFFFF"/>
        </w:rPr>
        <w:t>    </w:t>
      </w:r>
      <w:r w:rsidRPr="00D82A1E">
        <w:rPr>
          <w:rFonts w:ascii="Century Gothic" w:hAnsi="Century Gothic" w:cs="Arial"/>
          <w:shd w:val="clear" w:color="auto" w:fill="FFFFFF"/>
        </w:rPr>
        <w:t> </w:t>
      </w:r>
      <w:r w:rsidRPr="00D82A1E">
        <w:rPr>
          <w:rFonts w:ascii="Arial" w:hAnsi="Arial" w:cs="Arial"/>
          <w:shd w:val="clear" w:color="auto" w:fill="FFFFFF"/>
        </w:rPr>
        <w:t> </w:t>
      </w:r>
      <w:r w:rsidRPr="00D82A1E">
        <w:rPr>
          <w:rFonts w:ascii="Century Gothic" w:hAnsi="Century Gothic" w:cs="Century Gothic"/>
          <w:shd w:val="clear" w:color="auto" w:fill="FFFFFF"/>
        </w:rPr>
        <w:t> </w:t>
      </w:r>
      <w:r w:rsidRPr="00D82A1E">
        <w:rPr>
          <w:rFonts w:ascii="Century Gothic" w:eastAsia="Geomanist Light" w:hAnsi="Century Gothic" w:cs="Arial"/>
          <w:lang w:val="es-MX"/>
        </w:rPr>
        <w:cr/>
      </w:r>
    </w:p>
    <w:p w14:paraId="0865F1EF" w14:textId="77777777" w:rsidR="003F4EA1" w:rsidRDefault="003F4EA1" w:rsidP="00490794">
      <w:pPr>
        <w:spacing w:after="0"/>
        <w:jc w:val="right"/>
        <w:rPr>
          <w:noProof/>
          <w14:ligatures w14:val="standardContextual"/>
        </w:rPr>
      </w:pPr>
    </w:p>
    <w:p w14:paraId="3459E922" w14:textId="40C152BE" w:rsidR="00490794" w:rsidRPr="00D82A1E" w:rsidRDefault="00E23185" w:rsidP="00490794">
      <w:pPr>
        <w:spacing w:after="0"/>
        <w:jc w:val="right"/>
        <w:rPr>
          <w:rFonts w:ascii="Century Gothic" w:eastAsia="Geomanist Light" w:hAnsi="Century Gothic" w:cs="Arial"/>
          <w:lang w:val="es-MX"/>
        </w:rPr>
      </w:pPr>
      <w:r w:rsidRPr="00E23185">
        <w:rPr>
          <w:rFonts w:ascii="Century Gothic" w:eastAsia="Geomanist Light" w:hAnsi="Century Gothic" w:cs="Arial"/>
          <w:lang w:val="es-MX"/>
        </w:rPr>
        <w:drawing>
          <wp:inline distT="0" distB="0" distL="0" distR="0" wp14:anchorId="53901286" wp14:editId="59236DCE">
            <wp:extent cx="3286584" cy="962159"/>
            <wp:effectExtent l="0" t="0" r="9525" b="9525"/>
            <wp:docPr id="20293002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300268" name=""/>
                    <pic:cNvPicPr/>
                  </pic:nvPicPr>
                  <pic:blipFill>
                    <a:blip r:embed="rId11"/>
                    <a:stretch>
                      <a:fillRect/>
                    </a:stretch>
                  </pic:blipFill>
                  <pic:spPr>
                    <a:xfrm>
                      <a:off x="0" y="0"/>
                      <a:ext cx="3286584" cy="962159"/>
                    </a:xfrm>
                    <a:prstGeom prst="rect">
                      <a:avLst/>
                    </a:prstGeom>
                  </pic:spPr>
                </pic:pic>
              </a:graphicData>
            </a:graphic>
          </wp:inline>
        </w:drawing>
      </w:r>
    </w:p>
    <w:p w14:paraId="69EBE975" w14:textId="1E2D3A12" w:rsidR="00490794" w:rsidRPr="00D82A1E" w:rsidRDefault="00490794" w:rsidP="00490794">
      <w:pPr>
        <w:contextualSpacing/>
        <w:jc w:val="both"/>
        <w:rPr>
          <w:rFonts w:ascii="Century Gothic" w:eastAsia="Calibri" w:hAnsi="Century Gothic" w:cs="Arial"/>
          <w:lang w:eastAsia="es-ES_tradnl"/>
        </w:rPr>
      </w:pPr>
      <w:r w:rsidRPr="00D82A1E">
        <w:rPr>
          <w:rFonts w:ascii="Century Gothic" w:eastAsia="Calibri" w:hAnsi="Century Gothic" w:cs="Arial"/>
          <w:lang w:eastAsia="es-ES_tradnl"/>
        </w:rPr>
        <w:t>Señor</w:t>
      </w:r>
      <w:r w:rsidR="00034C2D">
        <w:rPr>
          <w:rFonts w:ascii="Century Gothic" w:eastAsia="Calibri" w:hAnsi="Century Gothic" w:cs="Arial"/>
          <w:lang w:eastAsia="es-ES_tradnl"/>
        </w:rPr>
        <w:t>a</w:t>
      </w:r>
    </w:p>
    <w:p w14:paraId="1A68229F" w14:textId="7FD91645" w:rsidR="00490794" w:rsidRPr="00CC0B5C" w:rsidRDefault="00CF3CCD" w:rsidP="00490794">
      <w:pPr>
        <w:contextualSpacing/>
        <w:jc w:val="both"/>
        <w:rPr>
          <w:rFonts w:ascii="Century Gothic" w:eastAsia="Calibri" w:hAnsi="Century Gothic" w:cs="Arial"/>
          <w:b/>
          <w:lang w:eastAsia="es-ES_tradnl"/>
        </w:rPr>
      </w:pPr>
      <w:r>
        <w:rPr>
          <w:rFonts w:ascii="Century Gothic" w:eastAsia="Calibri" w:hAnsi="Century Gothic" w:cs="Arial"/>
          <w:b/>
          <w:lang w:eastAsia="es-ES_tradnl"/>
        </w:rPr>
        <w:t xml:space="preserve">Laura </w:t>
      </w:r>
      <w:proofErr w:type="spellStart"/>
      <w:r>
        <w:rPr>
          <w:rFonts w:ascii="Century Gothic" w:eastAsia="Calibri" w:hAnsi="Century Gothic" w:cs="Arial"/>
          <w:b/>
          <w:lang w:eastAsia="es-ES_tradnl"/>
        </w:rPr>
        <w:t>Gisell</w:t>
      </w:r>
      <w:proofErr w:type="spellEnd"/>
      <w:r>
        <w:rPr>
          <w:rFonts w:ascii="Century Gothic" w:eastAsia="Calibri" w:hAnsi="Century Gothic" w:cs="Arial"/>
          <w:b/>
          <w:lang w:eastAsia="es-ES_tradnl"/>
        </w:rPr>
        <w:t xml:space="preserve"> Contreras Mariño</w:t>
      </w:r>
    </w:p>
    <w:p w14:paraId="5DB4D92B" w14:textId="4C63BC8C" w:rsidR="00490794" w:rsidRPr="00CC0B5C" w:rsidRDefault="00CC0B5C" w:rsidP="00490794">
      <w:pPr>
        <w:contextualSpacing/>
        <w:jc w:val="both"/>
        <w:rPr>
          <w:rFonts w:ascii="Century Gothic" w:eastAsia="Calibri" w:hAnsi="Century Gothic" w:cs="Arial"/>
          <w:bCs/>
          <w:lang w:eastAsia="es-ES_tradnl"/>
        </w:rPr>
      </w:pPr>
      <w:r w:rsidRPr="00CC0B5C">
        <w:rPr>
          <w:rFonts w:ascii="Century Gothic" w:hAnsi="Century Gothic"/>
        </w:rPr>
        <w:t>Bogotá D.C.</w:t>
      </w:r>
    </w:p>
    <w:p w14:paraId="7DFC2A1F" w14:textId="77777777" w:rsidR="00490794" w:rsidRPr="00D82A1E" w:rsidRDefault="00490794" w:rsidP="00490794">
      <w:pPr>
        <w:contextualSpacing/>
        <w:rPr>
          <w:rFonts w:ascii="Century Gothic" w:eastAsia="Calibri" w:hAnsi="Century Gothic" w:cs="Arial"/>
          <w:b/>
          <w:bCs/>
          <w:lang w:val="es-ES_tradnl" w:eastAsia="es-ES_tradnl"/>
        </w:rPr>
      </w:pPr>
    </w:p>
    <w:p w14:paraId="4DE8EFDB" w14:textId="77777777" w:rsidR="00490794" w:rsidRPr="00D82A1E" w:rsidRDefault="00490794" w:rsidP="00490794">
      <w:pPr>
        <w:contextualSpacing/>
        <w:rPr>
          <w:rFonts w:ascii="Century Gothic" w:eastAsia="Calibri" w:hAnsi="Century Gothic" w:cs="Arial"/>
          <w:b/>
          <w:bCs/>
          <w:lang w:val="es-ES_tradnl" w:eastAsia="es-ES_tradnl"/>
        </w:rPr>
      </w:pPr>
    </w:p>
    <w:p w14:paraId="7C46837D" w14:textId="547AC125" w:rsidR="00490794" w:rsidRPr="00BB6C67" w:rsidRDefault="00490794" w:rsidP="00490794">
      <w:pPr>
        <w:ind w:left="2124" w:firstLine="570"/>
        <w:contextualSpacing/>
        <w:rPr>
          <w:rFonts w:ascii="Century Gothic" w:eastAsia="Calibri" w:hAnsi="Century Gothic" w:cs="Arial"/>
          <w:b/>
          <w:bCs/>
          <w:lang w:val="es-ES_tradnl" w:eastAsia="es-ES_tradnl"/>
        </w:rPr>
      </w:pPr>
      <w:r w:rsidRPr="00BB6C67">
        <w:rPr>
          <w:rFonts w:ascii="Century Gothic" w:eastAsia="Calibri" w:hAnsi="Century Gothic" w:cs="Arial"/>
          <w:b/>
          <w:bCs/>
          <w:lang w:val="es-ES_tradnl" w:eastAsia="es-ES_tradnl"/>
        </w:rPr>
        <w:t xml:space="preserve">Concepto C – </w:t>
      </w:r>
      <w:r w:rsidR="00BB6C67" w:rsidRPr="00BB6C67">
        <w:rPr>
          <w:rFonts w:ascii="Century Gothic" w:eastAsia="Calibri" w:hAnsi="Century Gothic" w:cs="Arial"/>
          <w:b/>
          <w:bCs/>
          <w:lang w:val="es-ES_tradnl" w:eastAsia="es-ES_tradnl"/>
        </w:rPr>
        <w:t>0</w:t>
      </w:r>
      <w:r w:rsidR="00CF3CCD">
        <w:rPr>
          <w:rFonts w:ascii="Century Gothic" w:eastAsia="Calibri" w:hAnsi="Century Gothic" w:cs="Arial"/>
          <w:b/>
          <w:bCs/>
          <w:lang w:val="es-ES_tradnl" w:eastAsia="es-ES_tradnl"/>
        </w:rPr>
        <w:t>17</w:t>
      </w:r>
      <w:r w:rsidRPr="00BB6C67">
        <w:rPr>
          <w:rFonts w:ascii="Century Gothic" w:eastAsia="Calibri" w:hAnsi="Century Gothic" w:cs="Arial"/>
          <w:b/>
          <w:bCs/>
          <w:lang w:val="es-ES_tradnl" w:eastAsia="es-ES_tradnl"/>
        </w:rPr>
        <w:t xml:space="preserve"> de 2024</w:t>
      </w:r>
    </w:p>
    <w:p w14:paraId="382F57EF" w14:textId="77777777" w:rsidR="00490794" w:rsidRPr="00CC0B5C" w:rsidRDefault="00490794" w:rsidP="00490794">
      <w:pPr>
        <w:contextualSpacing/>
        <w:jc w:val="both"/>
        <w:rPr>
          <w:rFonts w:ascii="Century Gothic" w:eastAsia="Calibri" w:hAnsi="Century Gothic" w:cs="Arial"/>
          <w:highlight w:val="yellow"/>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90794" w:rsidRPr="00D82A1E" w14:paraId="4088477A" w14:textId="77777777" w:rsidTr="009F68B5">
        <w:tc>
          <w:tcPr>
            <w:tcW w:w="2689" w:type="dxa"/>
          </w:tcPr>
          <w:p w14:paraId="0B4D39AE" w14:textId="77777777" w:rsidR="00490794" w:rsidRPr="00CF3CCD" w:rsidRDefault="00490794" w:rsidP="009F68B5">
            <w:pPr>
              <w:contextualSpacing/>
              <w:jc w:val="both"/>
              <w:rPr>
                <w:rFonts w:ascii="Century Gothic" w:eastAsia="Calibri" w:hAnsi="Century Gothic" w:cs="Arial"/>
                <w:highlight w:val="yellow"/>
                <w:lang w:val="es-ES_tradnl" w:eastAsia="es-ES_tradnl"/>
              </w:rPr>
            </w:pPr>
            <w:r w:rsidRPr="00936529">
              <w:rPr>
                <w:rFonts w:ascii="Century Gothic" w:eastAsia="Calibri" w:hAnsi="Century Gothic" w:cs="Arial"/>
                <w:b/>
                <w:lang w:val="es-ES_tradnl" w:eastAsia="es-ES_tradnl"/>
              </w:rPr>
              <w:t>Temas:</w:t>
            </w:r>
            <w:r w:rsidRPr="00936529">
              <w:rPr>
                <w:rFonts w:ascii="Century Gothic" w:eastAsia="Calibri" w:hAnsi="Century Gothic" w:cs="Arial"/>
                <w:lang w:val="es-ES_tradnl" w:eastAsia="es-ES_tradnl"/>
              </w:rPr>
              <w:t xml:space="preserve">                                      </w:t>
            </w:r>
          </w:p>
        </w:tc>
        <w:tc>
          <w:tcPr>
            <w:tcW w:w="6237" w:type="dxa"/>
          </w:tcPr>
          <w:p w14:paraId="60A3D90A" w14:textId="4C1954A3" w:rsidR="00895C5F" w:rsidRPr="00CF3CCD" w:rsidRDefault="004B730D" w:rsidP="00D02A62">
            <w:pPr>
              <w:spacing w:after="120"/>
              <w:contextualSpacing/>
              <w:jc w:val="both"/>
              <w:rPr>
                <w:rFonts w:ascii="Century Gothic" w:eastAsia="Calibri" w:hAnsi="Century Gothic" w:cs="Arial"/>
                <w:bCs/>
                <w:sz w:val="12"/>
                <w:szCs w:val="12"/>
                <w:highlight w:val="yellow"/>
                <w:lang w:val="es-ES_tradnl" w:eastAsia="es-ES_tradnl"/>
              </w:rPr>
            </w:pPr>
            <w:r w:rsidRPr="004B730D">
              <w:rPr>
                <w:rFonts w:ascii="Century Gothic" w:eastAsia="Calibri" w:hAnsi="Century Gothic" w:cs="Arial"/>
                <w:bCs/>
                <w:lang w:val="es-ES_tradnl" w:eastAsia="es-ES_tradnl"/>
              </w:rPr>
              <w:t xml:space="preserve">CONVOCATORIAS LIMITADAS A MIPYMES – Limitación territorial – Documentos – Solicitud de limitación </w:t>
            </w:r>
            <w:r>
              <w:rPr>
                <w:rFonts w:ascii="Century Gothic" w:eastAsia="Calibri" w:hAnsi="Century Gothic" w:cs="Arial"/>
                <w:bCs/>
                <w:lang w:val="es-ES_tradnl" w:eastAsia="es-ES_tradnl"/>
              </w:rPr>
              <w:t xml:space="preserve">/ </w:t>
            </w:r>
            <w:r w:rsidR="00CE7E8D" w:rsidRPr="00CE7E8D">
              <w:rPr>
                <w:rFonts w:ascii="Century Gothic" w:eastAsia="Calibri" w:hAnsi="Century Gothic" w:cs="Arial"/>
                <w:bCs/>
                <w:lang w:val="es-ES_tradnl" w:eastAsia="es-ES_tradnl"/>
              </w:rPr>
              <w:t>PRINCIPIO DE PUBLICIDAD – Noción – Acceso a la información pública – Documentos expedidos - Actividad contractual</w:t>
            </w:r>
            <w:r w:rsidR="00CE7E8D">
              <w:rPr>
                <w:rFonts w:ascii="Century Gothic" w:eastAsia="Calibri" w:hAnsi="Century Gothic" w:cs="Arial"/>
                <w:bCs/>
                <w:lang w:val="es-ES_tradnl" w:eastAsia="es-ES_tradnl"/>
              </w:rPr>
              <w:t xml:space="preserve"> / </w:t>
            </w:r>
            <w:r w:rsidR="00936529" w:rsidRPr="00936529">
              <w:rPr>
                <w:rFonts w:ascii="Century Gothic" w:eastAsia="Calibri" w:hAnsi="Century Gothic" w:cs="Arial"/>
                <w:bCs/>
                <w:lang w:val="es-ES_tradnl" w:eastAsia="es-ES_tradnl"/>
              </w:rPr>
              <w:t>PRINCIPIO DE TRANSPARENCIA – Documentos del proceso – Observaciones</w:t>
            </w:r>
          </w:p>
          <w:p w14:paraId="21C292D9" w14:textId="7BA4FA51" w:rsidR="00895C5F" w:rsidRPr="00CF3CCD" w:rsidRDefault="00895C5F" w:rsidP="00D02A62">
            <w:pPr>
              <w:spacing w:after="120"/>
              <w:contextualSpacing/>
              <w:jc w:val="both"/>
              <w:rPr>
                <w:rFonts w:ascii="Century Gothic" w:eastAsia="Calibri" w:hAnsi="Century Gothic" w:cs="Arial"/>
                <w:bCs/>
                <w:sz w:val="12"/>
                <w:szCs w:val="12"/>
                <w:highlight w:val="yellow"/>
                <w:lang w:val="es-ES_tradnl" w:eastAsia="es-ES_tradnl"/>
              </w:rPr>
            </w:pPr>
          </w:p>
        </w:tc>
      </w:tr>
      <w:tr w:rsidR="00490794" w:rsidRPr="00D82A1E" w14:paraId="4B52DD22" w14:textId="77777777" w:rsidTr="009F68B5">
        <w:trPr>
          <w:trHeight w:val="227"/>
        </w:trPr>
        <w:tc>
          <w:tcPr>
            <w:tcW w:w="2689" w:type="dxa"/>
          </w:tcPr>
          <w:p w14:paraId="472AF973" w14:textId="77777777" w:rsidR="00490794" w:rsidRPr="00D82A1E" w:rsidRDefault="00490794" w:rsidP="009F68B5">
            <w:pPr>
              <w:contextualSpacing/>
              <w:jc w:val="both"/>
              <w:rPr>
                <w:rFonts w:ascii="Century Gothic" w:eastAsia="Calibri" w:hAnsi="Century Gothic" w:cs="Arial"/>
                <w:b/>
                <w:lang w:val="es-ES_tradnl" w:eastAsia="es-ES_tradnl"/>
              </w:rPr>
            </w:pPr>
            <w:r w:rsidRPr="00D82A1E">
              <w:rPr>
                <w:rFonts w:ascii="Century Gothic" w:eastAsia="Calibri" w:hAnsi="Century Gothic" w:cs="Arial"/>
                <w:b/>
                <w:lang w:val="es-ES_tradnl" w:eastAsia="es-ES_tradnl"/>
              </w:rPr>
              <w:t>Radicación:</w:t>
            </w:r>
            <w:r w:rsidRPr="00D82A1E">
              <w:rPr>
                <w:rFonts w:ascii="Century Gothic" w:eastAsia="Calibri" w:hAnsi="Century Gothic" w:cs="Arial"/>
                <w:lang w:val="es-ES_tradnl" w:eastAsia="es-ES_tradnl"/>
              </w:rPr>
              <w:t xml:space="preserve">                             </w:t>
            </w:r>
          </w:p>
        </w:tc>
        <w:tc>
          <w:tcPr>
            <w:tcW w:w="6237" w:type="dxa"/>
          </w:tcPr>
          <w:p w14:paraId="56B07A5B" w14:textId="39C4CCF6" w:rsidR="00490794" w:rsidRPr="00D82A1E" w:rsidRDefault="00490794" w:rsidP="009F68B5">
            <w:pPr>
              <w:contextualSpacing/>
              <w:jc w:val="both"/>
              <w:rPr>
                <w:rFonts w:ascii="Century Gothic" w:eastAsia="Calibri" w:hAnsi="Century Gothic" w:cs="Arial"/>
                <w:lang w:val="es-ES_tradnl" w:eastAsia="es-ES_tradnl"/>
              </w:rPr>
            </w:pPr>
            <w:r w:rsidRPr="00D82A1E">
              <w:rPr>
                <w:rFonts w:ascii="Century Gothic" w:eastAsia="Calibri" w:hAnsi="Century Gothic" w:cs="Arial"/>
                <w:lang w:val="es-ES_tradnl" w:eastAsia="es-ES_tradnl"/>
              </w:rPr>
              <w:t>Respuesta a consulta</w:t>
            </w:r>
            <w:r w:rsidR="00CC0B5C">
              <w:rPr>
                <w:rFonts w:ascii="Century Gothic" w:eastAsia="Calibri" w:hAnsi="Century Gothic" w:cs="Arial"/>
                <w:lang w:val="es-ES_tradnl" w:eastAsia="es-ES_tradnl"/>
              </w:rPr>
              <w:t xml:space="preserve"> No. </w:t>
            </w:r>
            <w:r w:rsidR="00CF3CCD" w:rsidRPr="00CF3CCD">
              <w:rPr>
                <w:rFonts w:ascii="Century Gothic" w:eastAsia="Calibri" w:hAnsi="Century Gothic" w:cs="Arial"/>
                <w:lang w:val="es-ES_tradnl" w:eastAsia="es-ES_tradnl"/>
              </w:rPr>
              <w:t>P20240131000943</w:t>
            </w:r>
            <w:r w:rsidR="00CF3CCD" w:rsidRPr="00CF3CCD">
              <w:rPr>
                <w:rFonts w:ascii="Century Gothic" w:eastAsia="Calibri" w:hAnsi="Century Gothic" w:cs="Arial"/>
                <w:lang w:val="es-ES_tradnl" w:eastAsia="es-ES_tradnl"/>
              </w:rPr>
              <w:tab/>
            </w:r>
            <w:r w:rsidRPr="00D82A1E">
              <w:rPr>
                <w:rFonts w:ascii="Century Gothic" w:eastAsia="Calibri" w:hAnsi="Century Gothic" w:cs="Arial"/>
                <w:lang w:val="es-ES_tradnl" w:eastAsia="es-ES_tradnl"/>
              </w:rPr>
              <w:tab/>
            </w:r>
          </w:p>
        </w:tc>
      </w:tr>
    </w:tbl>
    <w:p w14:paraId="44FA46A8" w14:textId="77777777" w:rsidR="00490794" w:rsidRPr="00D82A1E" w:rsidRDefault="00490794" w:rsidP="00490794">
      <w:pPr>
        <w:contextualSpacing/>
        <w:jc w:val="both"/>
        <w:rPr>
          <w:rFonts w:ascii="Century Gothic" w:eastAsia="Calibri" w:hAnsi="Century Gothic" w:cs="Arial"/>
          <w:lang w:val="es-ES_tradnl" w:eastAsia="es-ES_tradnl"/>
        </w:rPr>
      </w:pPr>
    </w:p>
    <w:p w14:paraId="507564AF" w14:textId="77777777" w:rsidR="00490794" w:rsidRPr="00D82A1E" w:rsidRDefault="00490794" w:rsidP="00490794">
      <w:pPr>
        <w:contextualSpacing/>
        <w:jc w:val="both"/>
        <w:rPr>
          <w:rFonts w:ascii="Century Gothic" w:eastAsia="Calibri" w:hAnsi="Century Gothic" w:cs="Arial"/>
          <w:lang w:val="es-ES_tradnl" w:eastAsia="es-ES_tradnl"/>
        </w:rPr>
      </w:pPr>
    </w:p>
    <w:p w14:paraId="42A47C9E" w14:textId="4E031080" w:rsidR="00490794" w:rsidRPr="00D82A1E" w:rsidRDefault="00490794" w:rsidP="00490794">
      <w:pPr>
        <w:contextualSpacing/>
        <w:jc w:val="both"/>
        <w:rPr>
          <w:rFonts w:ascii="Century Gothic" w:eastAsia="Calibri" w:hAnsi="Century Gothic" w:cs="Arial"/>
          <w:lang w:val="es-ES" w:eastAsia="es-ES"/>
        </w:rPr>
      </w:pPr>
      <w:r w:rsidRPr="00D82A1E">
        <w:rPr>
          <w:rFonts w:ascii="Century Gothic" w:eastAsia="Calibri" w:hAnsi="Century Gothic" w:cs="Arial"/>
          <w:lang w:val="es-ES" w:eastAsia="es-ES"/>
        </w:rPr>
        <w:t>Estimad</w:t>
      </w:r>
      <w:r w:rsidR="00CC0B5C">
        <w:rPr>
          <w:rFonts w:ascii="Century Gothic" w:eastAsia="Calibri" w:hAnsi="Century Gothic" w:cs="Arial"/>
          <w:lang w:val="es-ES" w:eastAsia="es-ES"/>
        </w:rPr>
        <w:t>a Señora Díaz</w:t>
      </w:r>
      <w:r w:rsidRPr="00D82A1E">
        <w:rPr>
          <w:rFonts w:ascii="Century Gothic" w:eastAsia="Calibri" w:hAnsi="Century Gothic" w:cs="Arial"/>
          <w:lang w:val="es-ES" w:eastAsia="es-ES"/>
        </w:rPr>
        <w:t>:</w:t>
      </w:r>
    </w:p>
    <w:p w14:paraId="3B4D9A95" w14:textId="77777777" w:rsidR="00490794" w:rsidRPr="00D82A1E" w:rsidRDefault="00490794" w:rsidP="00490794">
      <w:pPr>
        <w:spacing w:line="276" w:lineRule="auto"/>
        <w:contextualSpacing/>
        <w:jc w:val="both"/>
        <w:rPr>
          <w:rFonts w:ascii="Century Gothic" w:eastAsia="Calibri" w:hAnsi="Century Gothic" w:cs="Arial"/>
          <w:szCs w:val="24"/>
          <w:lang w:val="es-ES_tradnl" w:eastAsia="es-ES_tradnl"/>
        </w:rPr>
      </w:pPr>
    </w:p>
    <w:bookmarkEnd w:id="0"/>
    <w:bookmarkEnd w:id="1"/>
    <w:p w14:paraId="2B301029" w14:textId="08FE9730" w:rsidR="00490794" w:rsidRPr="00D82A1E" w:rsidRDefault="00490794" w:rsidP="00490794">
      <w:pPr>
        <w:spacing w:after="0" w:line="276" w:lineRule="auto"/>
        <w:jc w:val="both"/>
        <w:rPr>
          <w:rFonts w:ascii="Century Gothic" w:eastAsia="Calibri" w:hAnsi="Century Gothic" w:cs="Arial"/>
          <w:lang w:val="es-ES_tradnl"/>
        </w:rPr>
      </w:pPr>
      <w:r w:rsidRPr="00D82A1E">
        <w:rPr>
          <w:rFonts w:ascii="Century Gothic" w:eastAsia="Calibri" w:hAnsi="Century Gothic" w:cs="Arial"/>
          <w:lang w:val="es-ES_tradnl"/>
        </w:rPr>
        <w:t>En ejercicio de la competencia otorgada por el numeral 5° del artículo 3 y el numeral 8° del artículo 11 del Decreto Ley 4170 de 2011</w:t>
      </w:r>
      <w:bookmarkStart w:id="3" w:name="_Hlk99120496"/>
      <w:r w:rsidRPr="00D82A1E">
        <w:rPr>
          <w:rFonts w:ascii="Century Gothic" w:eastAsia="Arial MT" w:hAnsi="Century Gothic" w:cs="Arial MT"/>
          <w:lang w:val="es-ES"/>
        </w:rPr>
        <w:t xml:space="preserve">, </w:t>
      </w:r>
      <w:bookmarkEnd w:id="3"/>
      <w:r w:rsidRPr="00D82A1E">
        <w:rPr>
          <w:rFonts w:ascii="Century Gothic" w:eastAsia="Calibri" w:hAnsi="Century Gothic" w:cs="Arial"/>
          <w:lang w:val="es-ES_tradnl"/>
        </w:rPr>
        <w:t xml:space="preserve">la Agencia Nacional de Contratación Pública – Colombia Compra Eficiente– responde su </w:t>
      </w:r>
      <w:r w:rsidR="00DE5031">
        <w:rPr>
          <w:rFonts w:ascii="Century Gothic" w:eastAsia="Calibri" w:hAnsi="Century Gothic" w:cs="Arial"/>
          <w:lang w:val="es-ES_tradnl"/>
        </w:rPr>
        <w:t>petición</w:t>
      </w:r>
      <w:r w:rsidRPr="00D82A1E">
        <w:rPr>
          <w:rFonts w:ascii="Century Gothic" w:eastAsia="Calibri" w:hAnsi="Century Gothic" w:cs="Arial"/>
          <w:lang w:val="es-ES_tradnl"/>
        </w:rPr>
        <w:t xml:space="preserve"> recibida</w:t>
      </w:r>
      <w:r w:rsidR="00DE5031">
        <w:rPr>
          <w:rFonts w:ascii="Century Gothic" w:eastAsia="Calibri" w:hAnsi="Century Gothic" w:cs="Arial"/>
          <w:lang w:val="es-ES_tradnl"/>
        </w:rPr>
        <w:t xml:space="preserve"> </w:t>
      </w:r>
      <w:r w:rsidRPr="00D82A1E">
        <w:rPr>
          <w:rFonts w:ascii="Century Gothic" w:eastAsia="Calibri" w:hAnsi="Century Gothic" w:cs="Arial"/>
          <w:lang w:val="es-ES_tradnl"/>
        </w:rPr>
        <w:t xml:space="preserve">el </w:t>
      </w:r>
      <w:r w:rsidR="00431856">
        <w:rPr>
          <w:rFonts w:ascii="Century Gothic" w:eastAsia="Calibri" w:hAnsi="Century Gothic" w:cs="Arial"/>
          <w:lang w:val="es-ES_tradnl"/>
        </w:rPr>
        <w:t>31</w:t>
      </w:r>
      <w:r w:rsidRPr="00D82A1E">
        <w:rPr>
          <w:rFonts w:ascii="Century Gothic" w:eastAsia="Calibri" w:hAnsi="Century Gothic" w:cs="Arial"/>
          <w:lang w:val="es-ES_tradnl"/>
        </w:rPr>
        <w:t xml:space="preserve"> de enero de 2024.</w:t>
      </w:r>
    </w:p>
    <w:p w14:paraId="6DE8BA0D" w14:textId="77777777" w:rsidR="00490794" w:rsidRPr="00D82A1E" w:rsidRDefault="00490794" w:rsidP="00490794">
      <w:pPr>
        <w:spacing w:after="0" w:line="276" w:lineRule="auto"/>
        <w:jc w:val="both"/>
        <w:rPr>
          <w:rFonts w:ascii="Century Gothic" w:eastAsia="Calibri" w:hAnsi="Century Gothic" w:cs="Arial"/>
          <w:b/>
          <w:lang w:val="es-ES_tradnl"/>
        </w:rPr>
      </w:pPr>
    </w:p>
    <w:p w14:paraId="143677AA" w14:textId="77777777" w:rsidR="00490794" w:rsidRPr="00D82A1E" w:rsidRDefault="00490794" w:rsidP="00490794">
      <w:pPr>
        <w:numPr>
          <w:ilvl w:val="0"/>
          <w:numId w:val="1"/>
        </w:numPr>
        <w:tabs>
          <w:tab w:val="left" w:pos="0"/>
          <w:tab w:val="left" w:pos="142"/>
          <w:tab w:val="left" w:pos="284"/>
        </w:tabs>
        <w:spacing w:after="0" w:line="276" w:lineRule="auto"/>
        <w:ind w:left="0" w:firstLine="0"/>
        <w:contextualSpacing/>
        <w:jc w:val="both"/>
        <w:rPr>
          <w:rFonts w:ascii="Century Gothic" w:eastAsia="Calibri" w:hAnsi="Century Gothic" w:cs="Arial"/>
          <w:b/>
          <w:lang w:val="es-ES_tradnl"/>
        </w:rPr>
      </w:pPr>
      <w:r w:rsidRPr="00D82A1E">
        <w:rPr>
          <w:rFonts w:ascii="Century Gothic" w:eastAsia="Calibri" w:hAnsi="Century Gothic" w:cs="Arial"/>
          <w:b/>
          <w:lang w:val="es-ES_tradnl"/>
        </w:rPr>
        <w:t xml:space="preserve">Problemas planteados </w:t>
      </w:r>
    </w:p>
    <w:p w14:paraId="089980D0" w14:textId="77777777" w:rsidR="00490794" w:rsidRPr="00D82A1E" w:rsidRDefault="00490794" w:rsidP="00490794">
      <w:pPr>
        <w:tabs>
          <w:tab w:val="left" w:pos="0"/>
          <w:tab w:val="left" w:pos="142"/>
          <w:tab w:val="left" w:pos="284"/>
        </w:tabs>
        <w:spacing w:after="0" w:line="276" w:lineRule="auto"/>
        <w:contextualSpacing/>
        <w:jc w:val="both"/>
        <w:rPr>
          <w:rFonts w:ascii="Century Gothic" w:eastAsia="Calibri" w:hAnsi="Century Gothic" w:cs="Arial"/>
          <w:b/>
          <w:lang w:val="es-ES_tradnl"/>
        </w:rPr>
      </w:pPr>
    </w:p>
    <w:p w14:paraId="03EF6D0E" w14:textId="266D0DDC" w:rsidR="00490794" w:rsidRPr="00D82A1E" w:rsidRDefault="00B6047B" w:rsidP="00490794">
      <w:pPr>
        <w:tabs>
          <w:tab w:val="left" w:pos="0"/>
          <w:tab w:val="left" w:pos="142"/>
          <w:tab w:val="left" w:pos="284"/>
        </w:tabs>
        <w:spacing w:after="0" w:line="276" w:lineRule="auto"/>
        <w:contextualSpacing/>
        <w:jc w:val="both"/>
        <w:rPr>
          <w:rFonts w:ascii="Century Gothic" w:hAnsi="Century Gothic" w:cs="Arial"/>
          <w:sz w:val="20"/>
          <w:szCs w:val="20"/>
          <w:lang w:val="es-ES_tradnl"/>
        </w:rPr>
      </w:pPr>
      <w:r>
        <w:rPr>
          <w:rFonts w:ascii="Century Gothic" w:eastAsia="Calibri" w:hAnsi="Century Gothic" w:cs="Arial"/>
          <w:bCs/>
          <w:lang w:val="es-ES_tradnl"/>
        </w:rPr>
        <w:t>En lo</w:t>
      </w:r>
      <w:r w:rsidR="00C1709E">
        <w:rPr>
          <w:rFonts w:ascii="Century Gothic" w:eastAsia="Calibri" w:hAnsi="Century Gothic" w:cs="Arial"/>
          <w:bCs/>
          <w:lang w:val="es-ES_tradnl"/>
        </w:rPr>
        <w:t xml:space="preserve"> concerniente </w:t>
      </w:r>
      <w:r w:rsidR="00245A4E">
        <w:rPr>
          <w:rFonts w:ascii="Century Gothic" w:eastAsia="Calibri" w:hAnsi="Century Gothic" w:cs="Arial"/>
          <w:bCs/>
          <w:lang w:val="es-ES_tradnl"/>
        </w:rPr>
        <w:t>a l</w:t>
      </w:r>
      <w:r w:rsidR="00B80332">
        <w:rPr>
          <w:rFonts w:ascii="Century Gothic" w:eastAsia="Calibri" w:hAnsi="Century Gothic" w:cs="Arial"/>
          <w:bCs/>
          <w:lang w:val="es-ES_tradnl"/>
        </w:rPr>
        <w:t>as convocatorias limitadas a Mipyme</w:t>
      </w:r>
      <w:r w:rsidR="00B85956">
        <w:rPr>
          <w:rFonts w:ascii="Century Gothic" w:eastAsia="Calibri" w:hAnsi="Century Gothic" w:cs="Arial"/>
          <w:bCs/>
          <w:lang w:val="es-ES_tradnl"/>
        </w:rPr>
        <w:t>,</w:t>
      </w:r>
      <w:r w:rsidR="00B80332">
        <w:rPr>
          <w:rFonts w:ascii="Century Gothic" w:eastAsia="Calibri" w:hAnsi="Century Gothic" w:cs="Arial"/>
          <w:bCs/>
          <w:lang w:val="es-ES_tradnl"/>
        </w:rPr>
        <w:t xml:space="preserve"> regulada por </w:t>
      </w:r>
      <w:r w:rsidR="00393AD5">
        <w:rPr>
          <w:rFonts w:ascii="Century Gothic" w:eastAsia="Calibri" w:hAnsi="Century Gothic" w:cs="Arial"/>
          <w:bCs/>
          <w:lang w:val="es-ES_tradnl"/>
        </w:rPr>
        <w:t>los</w:t>
      </w:r>
      <w:r w:rsidR="00B80332">
        <w:rPr>
          <w:rFonts w:ascii="Century Gothic" w:eastAsia="Calibri" w:hAnsi="Century Gothic" w:cs="Arial"/>
          <w:bCs/>
          <w:lang w:val="es-ES_tradnl"/>
        </w:rPr>
        <w:t xml:space="preserve"> artículo</w:t>
      </w:r>
      <w:r w:rsidR="00393AD5">
        <w:rPr>
          <w:rFonts w:ascii="Century Gothic" w:eastAsia="Calibri" w:hAnsi="Century Gothic" w:cs="Arial"/>
          <w:bCs/>
          <w:lang w:val="es-ES_tradnl"/>
        </w:rPr>
        <w:t>s</w:t>
      </w:r>
      <w:r w:rsidR="00B80332">
        <w:rPr>
          <w:rFonts w:ascii="Century Gothic" w:eastAsia="Calibri" w:hAnsi="Century Gothic" w:cs="Arial"/>
          <w:bCs/>
          <w:lang w:val="es-ES_tradnl"/>
        </w:rPr>
        <w:t xml:space="preserve"> </w:t>
      </w:r>
      <w:r w:rsidR="00B80332" w:rsidRPr="00B80332">
        <w:rPr>
          <w:rFonts w:ascii="Century Gothic" w:eastAsia="Calibri" w:hAnsi="Century Gothic" w:cs="Arial"/>
          <w:bCs/>
          <w:lang w:val="es-ES_tradnl"/>
        </w:rPr>
        <w:t>2.2.1.2.4.2.2</w:t>
      </w:r>
      <w:r w:rsidR="00393AD5">
        <w:rPr>
          <w:rFonts w:ascii="Century Gothic" w:eastAsia="Calibri" w:hAnsi="Century Gothic" w:cs="Arial"/>
          <w:bCs/>
          <w:lang w:val="es-ES_tradnl"/>
        </w:rPr>
        <w:t xml:space="preserve">, </w:t>
      </w:r>
      <w:r w:rsidR="009015C1" w:rsidRPr="009015C1">
        <w:rPr>
          <w:rFonts w:ascii="Century Gothic" w:eastAsia="Calibri" w:hAnsi="Century Gothic" w:cs="Arial"/>
          <w:bCs/>
          <w:lang w:val="es-ES_tradnl"/>
        </w:rPr>
        <w:t>2.2.1.2.4.2.3</w:t>
      </w:r>
      <w:r w:rsidR="009015C1">
        <w:rPr>
          <w:rFonts w:ascii="Century Gothic" w:eastAsia="Calibri" w:hAnsi="Century Gothic" w:cs="Arial"/>
          <w:bCs/>
          <w:lang w:val="es-ES_tradnl"/>
        </w:rPr>
        <w:t xml:space="preserve"> y </w:t>
      </w:r>
      <w:r w:rsidR="009015C1" w:rsidRPr="009015C1">
        <w:rPr>
          <w:rFonts w:ascii="Century Gothic" w:eastAsia="Calibri" w:hAnsi="Century Gothic" w:cs="Arial"/>
          <w:bCs/>
          <w:lang w:val="es-ES_tradnl"/>
        </w:rPr>
        <w:t>2.2.1.2.4.2.4</w:t>
      </w:r>
      <w:r w:rsidR="00B80332">
        <w:rPr>
          <w:rFonts w:ascii="Century Gothic" w:eastAsia="Calibri" w:hAnsi="Century Gothic" w:cs="Arial"/>
          <w:bCs/>
          <w:lang w:val="es-ES_tradnl"/>
        </w:rPr>
        <w:t xml:space="preserve"> del Decr</w:t>
      </w:r>
      <w:r w:rsidR="007F74B8">
        <w:rPr>
          <w:rFonts w:ascii="Century Gothic" w:eastAsia="Calibri" w:hAnsi="Century Gothic" w:cs="Arial"/>
          <w:bCs/>
          <w:lang w:val="es-ES_tradnl"/>
        </w:rPr>
        <w:t>eto 1082 de 2015, modificado</w:t>
      </w:r>
      <w:r w:rsidR="009015C1">
        <w:rPr>
          <w:rFonts w:ascii="Century Gothic" w:eastAsia="Calibri" w:hAnsi="Century Gothic" w:cs="Arial"/>
          <w:bCs/>
          <w:lang w:val="es-ES_tradnl"/>
        </w:rPr>
        <w:t>s</w:t>
      </w:r>
      <w:r w:rsidR="007F74B8">
        <w:rPr>
          <w:rFonts w:ascii="Century Gothic" w:eastAsia="Calibri" w:hAnsi="Century Gothic" w:cs="Arial"/>
          <w:bCs/>
          <w:lang w:val="es-ES_tradnl"/>
        </w:rPr>
        <w:t xml:space="preserve"> por el artículo 5 del Decreto 1860 de 20</w:t>
      </w:r>
      <w:r w:rsidR="009015C1">
        <w:rPr>
          <w:rFonts w:ascii="Century Gothic" w:eastAsia="Calibri" w:hAnsi="Century Gothic" w:cs="Arial"/>
          <w:bCs/>
          <w:lang w:val="es-ES_tradnl"/>
        </w:rPr>
        <w:t>2</w:t>
      </w:r>
      <w:r w:rsidR="007F74B8">
        <w:rPr>
          <w:rFonts w:ascii="Century Gothic" w:eastAsia="Calibri" w:hAnsi="Century Gothic" w:cs="Arial"/>
          <w:bCs/>
          <w:lang w:val="es-ES_tradnl"/>
        </w:rPr>
        <w:t>1</w:t>
      </w:r>
      <w:r w:rsidR="00BA0380">
        <w:rPr>
          <w:rFonts w:ascii="Century Gothic" w:eastAsia="Calibri" w:hAnsi="Century Gothic" w:cs="Arial"/>
          <w:bCs/>
          <w:lang w:val="es-ES_tradnl"/>
        </w:rPr>
        <w:t>, u</w:t>
      </w:r>
      <w:r w:rsidR="00490794" w:rsidRPr="00D82A1E">
        <w:rPr>
          <w:rFonts w:ascii="Century Gothic" w:eastAsia="Calibri" w:hAnsi="Century Gothic" w:cs="Arial"/>
          <w:bCs/>
          <w:lang w:val="es-ES_tradnl"/>
        </w:rPr>
        <w:t xml:space="preserve">sted realiza las siguientes </w:t>
      </w:r>
      <w:r w:rsidR="006D4A38">
        <w:rPr>
          <w:rFonts w:ascii="Century Gothic" w:eastAsia="Calibri" w:hAnsi="Century Gothic" w:cs="Arial"/>
          <w:bCs/>
          <w:lang w:val="es-ES_tradnl"/>
        </w:rPr>
        <w:t>preguntas</w:t>
      </w:r>
      <w:r w:rsidR="00490794" w:rsidRPr="00D82A1E">
        <w:rPr>
          <w:rFonts w:ascii="Century Gothic" w:eastAsia="Calibri" w:hAnsi="Century Gothic" w:cs="Arial"/>
          <w:bCs/>
          <w:lang w:val="es-ES_tradnl"/>
        </w:rPr>
        <w:t>:</w:t>
      </w:r>
    </w:p>
    <w:p w14:paraId="13375C20" w14:textId="77777777" w:rsidR="00490794" w:rsidRPr="00D82A1E" w:rsidRDefault="00490794" w:rsidP="00490794">
      <w:pPr>
        <w:spacing w:after="0" w:line="240" w:lineRule="auto"/>
        <w:jc w:val="both"/>
        <w:rPr>
          <w:rFonts w:ascii="Century Gothic" w:hAnsi="Century Gothic" w:cs="Arial"/>
          <w:lang w:val="es-ES_tradnl"/>
        </w:rPr>
      </w:pPr>
    </w:p>
    <w:p w14:paraId="6BAF2A73" w14:textId="64719805" w:rsidR="00CC0B5C" w:rsidRDefault="00CC0B5C" w:rsidP="00CC0B5C">
      <w:pPr>
        <w:spacing w:after="0" w:line="240" w:lineRule="auto"/>
        <w:ind w:left="709" w:right="709"/>
        <w:jc w:val="both"/>
        <w:textAlignment w:val="baseline"/>
        <w:rPr>
          <w:rFonts w:ascii="Century Gothic" w:hAnsi="Century Gothic" w:cs="Arial"/>
          <w:sz w:val="21"/>
          <w:szCs w:val="21"/>
          <w:shd w:val="clear" w:color="auto" w:fill="FFFFFF"/>
        </w:rPr>
      </w:pPr>
      <w:r>
        <w:rPr>
          <w:rFonts w:ascii="Century Gothic" w:hAnsi="Century Gothic" w:cs="Arial"/>
          <w:sz w:val="21"/>
          <w:szCs w:val="21"/>
          <w:shd w:val="clear" w:color="auto" w:fill="FFFFFF"/>
        </w:rPr>
        <w:lastRenderedPageBreak/>
        <w:t>“</w:t>
      </w:r>
      <w:r w:rsidRPr="009449F3">
        <w:rPr>
          <w:rFonts w:ascii="Century Gothic" w:hAnsi="Century Gothic" w:cs="Arial"/>
          <w:sz w:val="21"/>
          <w:szCs w:val="21"/>
          <w:shd w:val="clear" w:color="auto" w:fill="FFFFFF"/>
        </w:rPr>
        <w:t>1</w:t>
      </w:r>
      <w:r w:rsidR="007F74B8">
        <w:rPr>
          <w:rFonts w:ascii="Century Gothic" w:hAnsi="Century Gothic" w:cs="Arial"/>
          <w:sz w:val="21"/>
          <w:szCs w:val="21"/>
          <w:shd w:val="clear" w:color="auto" w:fill="FFFFFF"/>
        </w:rPr>
        <w:t>)</w:t>
      </w:r>
      <w:r>
        <w:rPr>
          <w:rFonts w:ascii="Century Gothic" w:hAnsi="Century Gothic" w:cs="Arial"/>
          <w:sz w:val="21"/>
          <w:szCs w:val="21"/>
          <w:shd w:val="clear" w:color="auto" w:fill="FFFFFF"/>
        </w:rPr>
        <w:t xml:space="preserve"> </w:t>
      </w:r>
      <w:r w:rsidR="007F74B8">
        <w:rPr>
          <w:rFonts w:ascii="Century Gothic" w:hAnsi="Century Gothic" w:cs="Arial"/>
          <w:sz w:val="21"/>
          <w:szCs w:val="21"/>
          <w:shd w:val="clear" w:color="auto" w:fill="FFFFFF"/>
        </w:rPr>
        <w:t>[</w:t>
      </w:r>
      <w:r>
        <w:rPr>
          <w:rFonts w:ascii="Century Gothic" w:hAnsi="Century Gothic" w:cs="Arial"/>
          <w:sz w:val="21"/>
          <w:szCs w:val="21"/>
          <w:shd w:val="clear" w:color="auto" w:fill="FFFFFF"/>
        </w:rPr>
        <w:t>¿</w:t>
      </w:r>
      <w:r w:rsidR="007F74B8">
        <w:rPr>
          <w:rFonts w:ascii="Century Gothic" w:hAnsi="Century Gothic" w:cs="Arial"/>
          <w:sz w:val="21"/>
          <w:szCs w:val="21"/>
          <w:shd w:val="clear" w:color="auto" w:fill="FFFFFF"/>
        </w:rPr>
        <w:t>]Que documentos debe aportar el proponente que tenga interés en solicitarle a la entidad la limitación a Mi</w:t>
      </w:r>
      <w:r w:rsidR="00E66431">
        <w:rPr>
          <w:rFonts w:ascii="Century Gothic" w:hAnsi="Century Gothic" w:cs="Arial"/>
          <w:sz w:val="21"/>
          <w:szCs w:val="21"/>
          <w:shd w:val="clear" w:color="auto" w:fill="FFFFFF"/>
        </w:rPr>
        <w:t>P</w:t>
      </w:r>
      <w:r w:rsidR="007F74B8">
        <w:rPr>
          <w:rFonts w:ascii="Century Gothic" w:hAnsi="Century Gothic" w:cs="Arial"/>
          <w:sz w:val="21"/>
          <w:szCs w:val="21"/>
          <w:shd w:val="clear" w:color="auto" w:fill="FFFFFF"/>
        </w:rPr>
        <w:t xml:space="preserve">ymes? </w:t>
      </w:r>
      <w:r w:rsidR="00E66431">
        <w:rPr>
          <w:rFonts w:ascii="Century Gothic" w:hAnsi="Century Gothic" w:cs="Arial"/>
          <w:sz w:val="21"/>
          <w:szCs w:val="21"/>
          <w:shd w:val="clear" w:color="auto" w:fill="FFFFFF"/>
        </w:rPr>
        <w:t>p</w:t>
      </w:r>
      <w:r w:rsidR="007F74B8">
        <w:rPr>
          <w:rFonts w:ascii="Century Gothic" w:hAnsi="Century Gothic" w:cs="Arial"/>
          <w:sz w:val="21"/>
          <w:szCs w:val="21"/>
          <w:shd w:val="clear" w:color="auto" w:fill="FFFFFF"/>
        </w:rPr>
        <w:t>or favor enumerarlos</w:t>
      </w:r>
    </w:p>
    <w:p w14:paraId="3C573EAB" w14:textId="5013B312" w:rsidR="007F74B8" w:rsidRDefault="007F74B8" w:rsidP="007F74B8">
      <w:pPr>
        <w:spacing w:before="120" w:after="0" w:line="240" w:lineRule="auto"/>
        <w:ind w:left="709" w:right="709"/>
        <w:jc w:val="both"/>
        <w:textAlignment w:val="baseline"/>
        <w:rPr>
          <w:rFonts w:ascii="Century Gothic" w:hAnsi="Century Gothic" w:cs="Arial"/>
          <w:sz w:val="21"/>
          <w:szCs w:val="21"/>
          <w:shd w:val="clear" w:color="auto" w:fill="FFFFFF"/>
        </w:rPr>
      </w:pPr>
      <w:r>
        <w:rPr>
          <w:rFonts w:ascii="Century Gothic" w:hAnsi="Century Gothic" w:cs="Arial"/>
          <w:sz w:val="21"/>
          <w:szCs w:val="21"/>
          <w:shd w:val="clear" w:color="auto" w:fill="FFFFFF"/>
        </w:rPr>
        <w:t>2) [¿</w:t>
      </w:r>
      <w:r w:rsidR="0097198B">
        <w:rPr>
          <w:rFonts w:ascii="Century Gothic" w:hAnsi="Century Gothic" w:cs="Arial"/>
          <w:sz w:val="21"/>
          <w:szCs w:val="21"/>
          <w:shd w:val="clear" w:color="auto" w:fill="FFFFFF"/>
        </w:rPr>
        <w:t>]</w:t>
      </w:r>
      <w:r>
        <w:rPr>
          <w:rFonts w:ascii="Century Gothic" w:hAnsi="Century Gothic" w:cs="Arial"/>
          <w:sz w:val="21"/>
          <w:szCs w:val="21"/>
          <w:shd w:val="clear" w:color="auto" w:fill="FFFFFF"/>
        </w:rPr>
        <w:t>Que documento</w:t>
      </w:r>
      <w:r w:rsidR="00E66431">
        <w:rPr>
          <w:rFonts w:ascii="Century Gothic" w:hAnsi="Century Gothic" w:cs="Arial"/>
          <w:sz w:val="21"/>
          <w:szCs w:val="21"/>
          <w:shd w:val="clear" w:color="auto" w:fill="FFFFFF"/>
        </w:rPr>
        <w:t>s debe verificar la Entidad para proceder a hacer la limitación a MiPymes? Por favor enumerarlos</w:t>
      </w:r>
    </w:p>
    <w:p w14:paraId="2AEE735F" w14:textId="561F083F" w:rsidR="0097198B" w:rsidRDefault="00E66431" w:rsidP="0097198B">
      <w:pPr>
        <w:spacing w:before="120" w:after="0" w:line="240" w:lineRule="auto"/>
        <w:ind w:left="709" w:right="709"/>
        <w:jc w:val="both"/>
        <w:textAlignment w:val="baseline"/>
        <w:rPr>
          <w:rFonts w:ascii="Century Gothic" w:hAnsi="Century Gothic" w:cs="Arial"/>
          <w:sz w:val="21"/>
          <w:szCs w:val="21"/>
          <w:shd w:val="clear" w:color="auto" w:fill="FFFFFF"/>
        </w:rPr>
      </w:pPr>
      <w:r>
        <w:rPr>
          <w:rFonts w:ascii="Century Gothic" w:hAnsi="Century Gothic" w:cs="Arial"/>
          <w:sz w:val="21"/>
          <w:szCs w:val="21"/>
          <w:shd w:val="clear" w:color="auto" w:fill="FFFFFF"/>
        </w:rPr>
        <w:t>3) [¿]</w:t>
      </w:r>
      <w:r w:rsidR="0097198B">
        <w:rPr>
          <w:rFonts w:ascii="Century Gothic" w:hAnsi="Century Gothic" w:cs="Arial"/>
          <w:sz w:val="21"/>
          <w:szCs w:val="21"/>
          <w:shd w:val="clear" w:color="auto" w:fill="FFFFFF"/>
        </w:rPr>
        <w:t>La entidad tiene la obligación legal de hacer públicos los documentos que contienen las solicitudes de limitación a MiPymes?</w:t>
      </w:r>
    </w:p>
    <w:p w14:paraId="4459EF03" w14:textId="24ABA24B" w:rsidR="0097198B" w:rsidRDefault="0097198B" w:rsidP="0097198B">
      <w:pPr>
        <w:spacing w:before="120" w:after="0" w:line="240" w:lineRule="auto"/>
        <w:ind w:left="709" w:right="709"/>
        <w:jc w:val="both"/>
        <w:textAlignment w:val="baseline"/>
        <w:rPr>
          <w:rFonts w:ascii="Century Gothic" w:hAnsi="Century Gothic" w:cs="Arial"/>
          <w:sz w:val="21"/>
          <w:szCs w:val="21"/>
          <w:shd w:val="clear" w:color="auto" w:fill="FFFFFF"/>
        </w:rPr>
      </w:pPr>
      <w:r>
        <w:rPr>
          <w:rFonts w:ascii="Century Gothic" w:hAnsi="Century Gothic" w:cs="Arial"/>
          <w:sz w:val="21"/>
          <w:szCs w:val="21"/>
          <w:shd w:val="clear" w:color="auto" w:fill="FFFFFF"/>
        </w:rPr>
        <w:t xml:space="preserve">4) en caso de que la respuesta anterior sea AFIRMATIVA [¿]que principios de la contratación estatal o norma </w:t>
      </w:r>
      <w:proofErr w:type="spellStart"/>
      <w:r>
        <w:rPr>
          <w:rFonts w:ascii="Century Gothic" w:hAnsi="Century Gothic" w:cs="Arial"/>
          <w:sz w:val="21"/>
          <w:szCs w:val="21"/>
          <w:shd w:val="clear" w:color="auto" w:fill="FFFFFF"/>
        </w:rPr>
        <w:t>mas</w:t>
      </w:r>
      <w:proofErr w:type="spellEnd"/>
      <w:r>
        <w:rPr>
          <w:rFonts w:ascii="Century Gothic" w:hAnsi="Century Gothic" w:cs="Arial"/>
          <w:sz w:val="21"/>
          <w:szCs w:val="21"/>
          <w:shd w:val="clear" w:color="auto" w:fill="FFFFFF"/>
        </w:rPr>
        <w:t xml:space="preserve"> exactamente se violaría en caso de que la Entidad no haga públicos los documentos de las solicitudes a MiPymes.</w:t>
      </w:r>
    </w:p>
    <w:p w14:paraId="3D28015D" w14:textId="25558588" w:rsidR="00F979F9" w:rsidRDefault="00F979F9" w:rsidP="0097198B">
      <w:pPr>
        <w:spacing w:before="120" w:after="0" w:line="240" w:lineRule="auto"/>
        <w:ind w:left="709" w:right="709"/>
        <w:jc w:val="both"/>
        <w:textAlignment w:val="baseline"/>
        <w:rPr>
          <w:rFonts w:ascii="Century Gothic" w:hAnsi="Century Gothic" w:cs="Arial"/>
          <w:sz w:val="21"/>
          <w:szCs w:val="21"/>
          <w:shd w:val="clear" w:color="auto" w:fill="FFFFFF"/>
        </w:rPr>
      </w:pPr>
      <w:r>
        <w:rPr>
          <w:rFonts w:ascii="Century Gothic" w:hAnsi="Century Gothic" w:cs="Arial"/>
          <w:sz w:val="21"/>
          <w:szCs w:val="21"/>
          <w:shd w:val="clear" w:color="auto" w:fill="FFFFFF"/>
        </w:rPr>
        <w:t>5)</w:t>
      </w:r>
      <w:r w:rsidR="00D42B8B">
        <w:rPr>
          <w:rFonts w:ascii="Century Gothic" w:hAnsi="Century Gothic" w:cs="Arial"/>
          <w:sz w:val="21"/>
          <w:szCs w:val="21"/>
          <w:shd w:val="clear" w:color="auto" w:fill="FFFFFF"/>
        </w:rPr>
        <w:t xml:space="preserve"> </w:t>
      </w:r>
      <w:r w:rsidR="00030543">
        <w:rPr>
          <w:rFonts w:ascii="Century Gothic" w:hAnsi="Century Gothic" w:cs="Arial"/>
          <w:sz w:val="21"/>
          <w:szCs w:val="21"/>
          <w:shd w:val="clear" w:color="auto" w:fill="FFFFFF"/>
        </w:rPr>
        <w:t>[¿]</w:t>
      </w:r>
      <w:r w:rsidR="00D42B8B">
        <w:rPr>
          <w:rFonts w:ascii="Century Gothic" w:hAnsi="Century Gothic" w:cs="Arial"/>
          <w:sz w:val="21"/>
          <w:szCs w:val="21"/>
          <w:shd w:val="clear" w:color="auto" w:fill="FFFFFF"/>
        </w:rPr>
        <w:t xml:space="preserve">La entidad debe dar respuestas a las observaciones que se hagan con respecto al cumplimiento o no de los requisitos de las solicitudes de </w:t>
      </w:r>
      <w:r w:rsidR="00030543">
        <w:rPr>
          <w:rFonts w:ascii="Century Gothic" w:hAnsi="Century Gothic" w:cs="Arial"/>
          <w:sz w:val="21"/>
          <w:szCs w:val="21"/>
          <w:shd w:val="clear" w:color="auto" w:fill="FFFFFF"/>
        </w:rPr>
        <w:t>limitación a MiPymes de los demás proponentes?</w:t>
      </w:r>
      <w:r w:rsidR="00A612DD">
        <w:rPr>
          <w:rFonts w:ascii="Century Gothic" w:hAnsi="Century Gothic" w:cs="Arial"/>
          <w:sz w:val="21"/>
          <w:szCs w:val="21"/>
          <w:shd w:val="clear" w:color="auto" w:fill="FFFFFF"/>
        </w:rPr>
        <w:t>” [sic]</w:t>
      </w:r>
    </w:p>
    <w:p w14:paraId="60875E85" w14:textId="77777777" w:rsidR="00CC0B5C" w:rsidRDefault="00CC0B5C" w:rsidP="00CC0B5C">
      <w:pPr>
        <w:spacing w:after="0" w:line="240" w:lineRule="auto"/>
        <w:ind w:left="709" w:right="709"/>
        <w:jc w:val="both"/>
        <w:textAlignment w:val="baseline"/>
        <w:rPr>
          <w:rFonts w:ascii="Century Gothic" w:hAnsi="Century Gothic" w:cs="Arial"/>
          <w:sz w:val="21"/>
          <w:szCs w:val="21"/>
          <w:shd w:val="clear" w:color="auto" w:fill="FFFFFF"/>
        </w:rPr>
      </w:pPr>
    </w:p>
    <w:p w14:paraId="7E5A5FD8" w14:textId="77777777" w:rsidR="00490794" w:rsidRPr="00D82A1E" w:rsidRDefault="00490794" w:rsidP="00490794">
      <w:pPr>
        <w:numPr>
          <w:ilvl w:val="0"/>
          <w:numId w:val="1"/>
        </w:numPr>
        <w:tabs>
          <w:tab w:val="left" w:pos="0"/>
          <w:tab w:val="left" w:pos="284"/>
        </w:tabs>
        <w:spacing w:after="0" w:line="240" w:lineRule="auto"/>
        <w:ind w:left="0" w:firstLine="0"/>
        <w:contextualSpacing/>
        <w:jc w:val="both"/>
        <w:rPr>
          <w:rFonts w:ascii="Century Gothic" w:eastAsia="Calibri" w:hAnsi="Century Gothic" w:cs="Arial"/>
          <w:b/>
          <w:lang w:val="es-ES_tradnl"/>
        </w:rPr>
      </w:pPr>
      <w:r w:rsidRPr="00D82A1E">
        <w:rPr>
          <w:rFonts w:ascii="Century Gothic" w:eastAsia="Calibri" w:hAnsi="Century Gothic" w:cs="Arial"/>
          <w:b/>
          <w:lang w:val="es-ES_tradnl"/>
        </w:rPr>
        <w:t>Consideraciones</w:t>
      </w:r>
    </w:p>
    <w:p w14:paraId="6C1BD5E8" w14:textId="77777777" w:rsidR="00490794" w:rsidRPr="00D82A1E" w:rsidRDefault="00490794" w:rsidP="00490794">
      <w:pPr>
        <w:spacing w:after="0" w:line="276" w:lineRule="auto"/>
        <w:jc w:val="both"/>
        <w:rPr>
          <w:rFonts w:ascii="Century Gothic" w:eastAsia="Calibri" w:hAnsi="Century Gothic" w:cs="Arial"/>
          <w:lang w:val="es-ES"/>
        </w:rPr>
      </w:pPr>
    </w:p>
    <w:p w14:paraId="02EA099D" w14:textId="77777777" w:rsidR="00490794" w:rsidRPr="00D82A1E" w:rsidRDefault="00490794" w:rsidP="00490794">
      <w:pPr>
        <w:spacing w:after="120" w:line="276" w:lineRule="auto"/>
        <w:jc w:val="both"/>
        <w:rPr>
          <w:rFonts w:ascii="Century Gothic" w:hAnsi="Century Gothic" w:cs="Arial"/>
          <w:lang w:val="es-ES"/>
        </w:rPr>
      </w:pPr>
      <w:r w:rsidRPr="00D82A1E">
        <w:rPr>
          <w:rFonts w:ascii="Century Gothic" w:hAnsi="Century Gothic" w:cs="Arial"/>
          <w:bCs/>
        </w:rPr>
        <w:t xml:space="preserve">En ejercicio de las competencias establecidas en los artículos 3, numeral 5° y 11, numeral 8° del Decreto 4170 de 2011, la Agencia Nacional de Contratación Pública – Colombia Compra Eficiente resuelve consultas sobre </w:t>
      </w:r>
      <w:r w:rsidRPr="00D82A1E">
        <w:rPr>
          <w:rFonts w:ascii="Century Gothic" w:hAnsi="Century Gothic" w:cs="Arial"/>
          <w:lang w:val="es-ES"/>
        </w:rPr>
        <w:t>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w:t>
      </w:r>
      <w:r w:rsidRPr="00D82A1E">
        <w:rPr>
          <w:rFonts w:ascii="Century Gothic" w:hAnsi="Century Gothic" w:cs="Arial"/>
          <w:bCs/>
        </w:rPr>
        <w:t xml:space="preserve"> de todos los partícipes de la contratación estatal.</w:t>
      </w:r>
    </w:p>
    <w:p w14:paraId="677F87E7" w14:textId="77777777" w:rsidR="00490794" w:rsidRPr="00D82A1E" w:rsidRDefault="00490794" w:rsidP="00490794">
      <w:pPr>
        <w:spacing w:after="120" w:line="276" w:lineRule="auto"/>
        <w:ind w:firstLine="708"/>
        <w:jc w:val="both"/>
        <w:rPr>
          <w:rFonts w:ascii="Century Gothic" w:hAnsi="Century Gothic" w:cs="Arial"/>
          <w:lang w:val="es-ES"/>
        </w:rPr>
      </w:pPr>
      <w:r w:rsidRPr="00D82A1E">
        <w:rPr>
          <w:rFonts w:ascii="Century Gothic"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D82A1E">
        <w:rPr>
          <w:rFonts w:ascii="Century Gothic" w:hAnsi="Century Gothic" w:cs="Arial"/>
          <w:vertAlign w:val="superscript"/>
          <w:lang w:val="es-ES"/>
        </w:rPr>
        <w:footnoteReference w:id="2"/>
      </w:r>
      <w:r w:rsidRPr="00D82A1E">
        <w:rPr>
          <w:rFonts w:ascii="Century Gothic" w:hAnsi="Century Gothic" w:cs="Arial"/>
          <w:lang w:val="es-ES"/>
        </w:rPr>
        <w:t xml:space="preserve">. Esta competencia de interpretación de normas generales, </w:t>
      </w:r>
      <w:r w:rsidRPr="00D82A1E">
        <w:rPr>
          <w:rFonts w:ascii="Century Gothic" w:hAnsi="Century Gothic" w:cs="Arial"/>
          <w:lang w:val="es-ES"/>
        </w:rPr>
        <w:lastRenderedPageBreak/>
        <w:t xml:space="preserve">por definición, no puede extenderse a la resolución de controversias ni brindar asesorías sobre casos puntuales. </w:t>
      </w:r>
    </w:p>
    <w:p w14:paraId="228D87C8" w14:textId="697DDB83" w:rsidR="00490794" w:rsidRPr="00D82A1E" w:rsidRDefault="00EE71AB" w:rsidP="00490794">
      <w:pPr>
        <w:spacing w:after="120" w:line="276" w:lineRule="auto"/>
        <w:ind w:firstLine="708"/>
        <w:jc w:val="both"/>
        <w:rPr>
          <w:rFonts w:ascii="Century Gothic" w:eastAsia="Calibri" w:hAnsi="Century Gothic" w:cs="Arial"/>
          <w:lang w:val="es-ES"/>
        </w:rPr>
      </w:pPr>
      <w:r>
        <w:rPr>
          <w:rFonts w:ascii="Century Gothic" w:eastAsia="Calibri" w:hAnsi="Century Gothic" w:cs="Arial"/>
          <w:lang w:val="es-MX"/>
        </w:rPr>
        <w:t>Sin perjuicio de</w:t>
      </w:r>
      <w:r w:rsidR="00490794" w:rsidRPr="00D82A1E">
        <w:rPr>
          <w:rFonts w:ascii="Century Gothic" w:eastAsia="Calibri" w:hAnsi="Century Gothic" w:cs="Arial"/>
          <w:lang w:val="es-MX"/>
        </w:rPr>
        <w:t xml:space="preserve"> lo anterior, </w:t>
      </w:r>
      <w:r w:rsidR="00490794" w:rsidRPr="00D82A1E">
        <w:rPr>
          <w:rFonts w:ascii="Century Gothic" w:eastAsia="Calibri" w:hAnsi="Century Gothic" w:cs="Arial"/>
          <w:lang w:val="es-ES"/>
        </w:rPr>
        <w:t>la Subdirección de Gestión Contractual de esta Agencia, dentro de los límites de sus atribuciones, resolverá la consulta conforme a las normas generales en materia de contratación estatal</w:t>
      </w:r>
      <w:r w:rsidR="00490794" w:rsidRPr="00D82A1E">
        <w:rPr>
          <w:rFonts w:ascii="Century Gothic" w:eastAsia="Calibri" w:hAnsi="Century Gothic" w:cs="Arial"/>
          <w:lang w:val="es-ES_tradnl" w:eastAsia="es-MX"/>
        </w:rPr>
        <w:t xml:space="preserve">, luego de analizar los </w:t>
      </w:r>
      <w:r w:rsidR="00490794" w:rsidRPr="00936529">
        <w:rPr>
          <w:rFonts w:ascii="Century Gothic" w:eastAsia="Calibri" w:hAnsi="Century Gothic" w:cs="Arial"/>
          <w:lang w:val="es-ES_tradnl" w:eastAsia="es-MX"/>
        </w:rPr>
        <w:t xml:space="preserve">siguientes temas: i) </w:t>
      </w:r>
      <w:r w:rsidR="00034BDE" w:rsidRPr="00936529">
        <w:rPr>
          <w:rFonts w:ascii="Century Gothic" w:eastAsia="Calibri" w:hAnsi="Century Gothic" w:cs="Arial"/>
          <w:lang w:val="es-ES_tradnl" w:eastAsia="es-MX"/>
        </w:rPr>
        <w:t>regulación de las convocatorias limitadas a Mipyme</w:t>
      </w:r>
      <w:r w:rsidR="00683195" w:rsidRPr="00936529">
        <w:rPr>
          <w:rFonts w:ascii="Century Gothic" w:eastAsia="Calibri" w:hAnsi="Century Gothic" w:cs="Arial"/>
          <w:lang w:val="es-ES_tradnl" w:eastAsia="es-MX"/>
        </w:rPr>
        <w:t xml:space="preserve"> e la Ley 2069 de 2020 y el Decreto 1860 de 2021</w:t>
      </w:r>
      <w:r w:rsidR="00D702D2" w:rsidRPr="00936529">
        <w:rPr>
          <w:rFonts w:ascii="Century Gothic" w:eastAsia="Calibri" w:hAnsi="Century Gothic" w:cs="Arial"/>
          <w:lang w:val="es-ES_tradnl" w:eastAsia="es-MX"/>
        </w:rPr>
        <w:t xml:space="preserve">; </w:t>
      </w:r>
      <w:proofErr w:type="spellStart"/>
      <w:r w:rsidR="00D702D2" w:rsidRPr="00936529">
        <w:rPr>
          <w:rFonts w:ascii="Century Gothic" w:eastAsia="Calibri" w:hAnsi="Century Gothic" w:cs="Arial"/>
          <w:lang w:val="es-ES_tradnl" w:eastAsia="es-MX"/>
        </w:rPr>
        <w:t>ii</w:t>
      </w:r>
      <w:proofErr w:type="spellEnd"/>
      <w:r w:rsidR="00D702D2" w:rsidRPr="00936529">
        <w:rPr>
          <w:rFonts w:ascii="Century Gothic" w:eastAsia="Calibri" w:hAnsi="Century Gothic" w:cs="Arial"/>
          <w:lang w:val="es-ES_tradnl" w:eastAsia="es-MX"/>
        </w:rPr>
        <w:t xml:space="preserve">) </w:t>
      </w:r>
      <w:r w:rsidR="00F7293D" w:rsidRPr="00936529">
        <w:rPr>
          <w:rFonts w:ascii="Century Gothic" w:eastAsia="Calibri" w:hAnsi="Century Gothic" w:cs="Arial"/>
          <w:lang w:val="es-ES_tradnl" w:eastAsia="es-MX"/>
        </w:rPr>
        <w:t>marco normativo del principio de publicidad y acceso a la información pública y</w:t>
      </w:r>
      <w:r w:rsidR="00683195" w:rsidRPr="00936529">
        <w:rPr>
          <w:rFonts w:ascii="Century Gothic" w:eastAsia="Calibri" w:hAnsi="Century Gothic" w:cs="Arial"/>
          <w:lang w:val="es-ES_tradnl" w:eastAsia="es-MX"/>
        </w:rPr>
        <w:t xml:space="preserve"> </w:t>
      </w:r>
      <w:proofErr w:type="spellStart"/>
      <w:r w:rsidR="00683195" w:rsidRPr="00936529">
        <w:rPr>
          <w:rFonts w:ascii="Century Gothic" w:eastAsia="Calibri" w:hAnsi="Century Gothic" w:cs="Arial"/>
          <w:lang w:val="es-ES_tradnl" w:eastAsia="es-MX"/>
        </w:rPr>
        <w:t>ii</w:t>
      </w:r>
      <w:proofErr w:type="spellEnd"/>
      <w:r w:rsidR="00683195" w:rsidRPr="00936529">
        <w:rPr>
          <w:rFonts w:ascii="Century Gothic" w:eastAsia="Calibri" w:hAnsi="Century Gothic" w:cs="Arial"/>
          <w:lang w:val="es-ES_tradnl" w:eastAsia="es-MX"/>
        </w:rPr>
        <w:t xml:space="preserve">) el principio de </w:t>
      </w:r>
      <w:r w:rsidR="002C2E5D" w:rsidRPr="00936529">
        <w:rPr>
          <w:rFonts w:ascii="Century Gothic" w:eastAsia="Calibri" w:hAnsi="Century Gothic" w:cs="Arial"/>
          <w:lang w:val="es-ES_tradnl" w:eastAsia="es-MX"/>
        </w:rPr>
        <w:t>transparencia en la contratación estatal</w:t>
      </w:r>
      <w:r w:rsidR="00F7293D" w:rsidRPr="00936529">
        <w:rPr>
          <w:rFonts w:ascii="Century Gothic" w:eastAsia="Calibri" w:hAnsi="Century Gothic" w:cs="Arial"/>
          <w:lang w:val="es-ES_tradnl" w:eastAsia="es-MX"/>
        </w:rPr>
        <w:t>:</w:t>
      </w:r>
      <w:r w:rsidR="007F4EEA" w:rsidRPr="00936529">
        <w:rPr>
          <w:rFonts w:ascii="Century Gothic" w:eastAsia="Calibri" w:hAnsi="Century Gothic" w:cs="Arial"/>
          <w:lang w:val="es-ES_tradnl" w:eastAsia="es-MX"/>
        </w:rPr>
        <w:t xml:space="preserve"> régimen de observaciones a los documentos del proceso de selección.</w:t>
      </w:r>
    </w:p>
    <w:p w14:paraId="005A893E" w14:textId="4418C1C1" w:rsidR="00A34F92" w:rsidRDefault="00A34F92" w:rsidP="00490794">
      <w:pPr>
        <w:widowControl w:val="0"/>
        <w:autoSpaceDE w:val="0"/>
        <w:autoSpaceDN w:val="0"/>
        <w:spacing w:before="120" w:after="0" w:line="276" w:lineRule="auto"/>
        <w:ind w:firstLine="709"/>
        <w:jc w:val="both"/>
        <w:rPr>
          <w:rFonts w:ascii="Century Gothic" w:eastAsia="Arial MT" w:hAnsi="Century Gothic" w:cs="Arial"/>
          <w:lang w:val="es-ES"/>
        </w:rPr>
      </w:pPr>
      <w:r>
        <w:rPr>
          <w:rFonts w:ascii="Century Gothic" w:hAnsi="Century Gothic" w:cs="Arial"/>
          <w:shd w:val="clear" w:color="auto" w:fill="FFFFFF"/>
        </w:rPr>
        <w:t xml:space="preserve">La Agencia Nacional de Contratación Pública – Colombia Compra Eficiente, </w:t>
      </w:r>
      <w:r w:rsidR="00426E58">
        <w:rPr>
          <w:rFonts w:ascii="Century Gothic" w:hAnsi="Century Gothic" w:cs="Arial"/>
          <w:shd w:val="clear" w:color="auto" w:fill="FFFFFF"/>
        </w:rPr>
        <w:t>analizó las convocatorias limita</w:t>
      </w:r>
      <w:r w:rsidR="009814B1">
        <w:rPr>
          <w:rFonts w:ascii="Century Gothic" w:hAnsi="Century Gothic" w:cs="Arial"/>
          <w:shd w:val="clear" w:color="auto" w:fill="FFFFFF"/>
        </w:rPr>
        <w:t xml:space="preserve">das a Mipyme, entre otros, en los conceptos </w:t>
      </w:r>
      <w:r w:rsidR="000F50AB" w:rsidRPr="000F50AB">
        <w:rPr>
          <w:rFonts w:ascii="Century Gothic" w:hAnsi="Century Gothic" w:cs="Arial"/>
          <w:shd w:val="clear" w:color="auto" w:fill="FFFFFF"/>
        </w:rPr>
        <w:t>C-001 del 17 de febrero de 2022, C-041 del 2 de marzo de 2022, C-293 del 12 de mayo de 2022, C-340 del 26 de mayo de 2022, C-395 del 17 de junio de 2022, C-539 del 29 de agosto de 2022, C-089 del 28 de abril de 2023, C-159 del 22 de junio de 2023, C-206 del 20 de junio de 2023</w:t>
      </w:r>
      <w:r w:rsidR="000F50AB">
        <w:rPr>
          <w:rFonts w:ascii="Century Gothic" w:hAnsi="Century Gothic" w:cs="Arial"/>
          <w:shd w:val="clear" w:color="auto" w:fill="FFFFFF"/>
        </w:rPr>
        <w:t>,</w:t>
      </w:r>
      <w:r w:rsidR="000F50AB" w:rsidRPr="000F50AB">
        <w:rPr>
          <w:rFonts w:ascii="Century Gothic" w:hAnsi="Century Gothic" w:cs="Arial"/>
          <w:shd w:val="clear" w:color="auto" w:fill="FFFFFF"/>
        </w:rPr>
        <w:t xml:space="preserve"> C-207 del 20 de junio de 2023</w:t>
      </w:r>
      <w:r w:rsidR="000F50AB">
        <w:rPr>
          <w:rFonts w:ascii="Century Gothic" w:hAnsi="Century Gothic" w:cs="Arial"/>
          <w:shd w:val="clear" w:color="auto" w:fill="FFFFFF"/>
        </w:rPr>
        <w:t xml:space="preserve">, C-366 del 8 de septiembre de 2023, </w:t>
      </w:r>
      <w:r w:rsidR="00802159">
        <w:rPr>
          <w:rFonts w:ascii="Century Gothic" w:hAnsi="Century Gothic" w:cs="Arial"/>
          <w:shd w:val="clear" w:color="auto" w:fill="FFFFFF"/>
        </w:rPr>
        <w:t>C-389 del 22 de septiembre de 2023 y C-436 del 24 de octubre de 2023.</w:t>
      </w:r>
    </w:p>
    <w:p w14:paraId="2917A02B" w14:textId="57CADAC0" w:rsidR="00490794" w:rsidRPr="0076129F" w:rsidRDefault="00490794" w:rsidP="0076129F">
      <w:pPr>
        <w:widowControl w:val="0"/>
        <w:autoSpaceDE w:val="0"/>
        <w:autoSpaceDN w:val="0"/>
        <w:spacing w:before="120" w:after="0" w:line="276" w:lineRule="auto"/>
        <w:ind w:firstLine="709"/>
        <w:jc w:val="both"/>
        <w:rPr>
          <w:rFonts w:ascii="Century Gothic" w:hAnsi="Century Gothic" w:cs="Arial"/>
        </w:rPr>
      </w:pPr>
      <w:r w:rsidRPr="00D82A1E">
        <w:rPr>
          <w:rFonts w:ascii="Century Gothic" w:hAnsi="Century Gothic" w:cs="Arial"/>
        </w:rPr>
        <w:t>Así mismo, esta Agencia</w:t>
      </w:r>
      <w:r w:rsidR="00F719D8">
        <w:rPr>
          <w:rFonts w:ascii="Century Gothic" w:hAnsi="Century Gothic" w:cs="Arial"/>
        </w:rPr>
        <w:t xml:space="preserve"> analizó el </w:t>
      </w:r>
      <w:r w:rsidR="00BD2305">
        <w:rPr>
          <w:rFonts w:ascii="Century Gothic" w:hAnsi="Century Gothic" w:cs="Arial"/>
        </w:rPr>
        <w:t xml:space="preserve">marco normativo y acceso a la información pública, en los conceptos </w:t>
      </w:r>
      <w:r w:rsidR="002A49D9" w:rsidRPr="002A49D9">
        <w:rPr>
          <w:rFonts w:ascii="Century Gothic" w:hAnsi="Century Gothic" w:cs="Arial"/>
        </w:rPr>
        <w:t>C-137 del 7 de abril de 2021, C-172 del 13 de abril de 2021, C-185 del 29 de abril de 2021, C-222 del 19 de mayo de 2021, C-229 y C-238 del 24 de mayo de 2021, C-241 del 27 de mayo de 2021, C-253 del 2 de junio de 2021, C-026 del 18 de febrero de 2022, C-074 del 10 de marzo de 2022, C-083 del 18 de marzo de 2022, C-135 del 28 de marzo de 2022, C-495 del 2 de agosto de 2022, C-508 del 30 de agosto de 2022</w:t>
      </w:r>
      <w:r w:rsidR="00E545C8">
        <w:rPr>
          <w:rFonts w:ascii="Century Gothic" w:hAnsi="Century Gothic" w:cs="Arial"/>
        </w:rPr>
        <w:t>,</w:t>
      </w:r>
      <w:r w:rsidR="002A49D9" w:rsidRPr="002A49D9">
        <w:rPr>
          <w:rFonts w:ascii="Century Gothic" w:hAnsi="Century Gothic" w:cs="Arial"/>
        </w:rPr>
        <w:t xml:space="preserve"> C-609 del 23 de septiembre de 2022</w:t>
      </w:r>
      <w:r w:rsidR="00E545C8">
        <w:rPr>
          <w:rFonts w:ascii="Century Gothic" w:hAnsi="Century Gothic" w:cs="Arial"/>
        </w:rPr>
        <w:t xml:space="preserve">, C-211 del 23 de junio de 2023, </w:t>
      </w:r>
      <w:r w:rsidR="00AF587A">
        <w:rPr>
          <w:rFonts w:ascii="Century Gothic" w:hAnsi="Century Gothic" w:cs="Arial"/>
        </w:rPr>
        <w:t>C-260 del 10 de octubre de 2023,</w:t>
      </w:r>
      <w:r w:rsidR="00631B72">
        <w:rPr>
          <w:rFonts w:ascii="Century Gothic" w:hAnsi="Century Gothic" w:cs="Arial"/>
        </w:rPr>
        <w:t xml:space="preserve"> C-422 del 10 de octubre de 2023, C-391 de</w:t>
      </w:r>
      <w:r w:rsidR="0076129F">
        <w:rPr>
          <w:rFonts w:ascii="Century Gothic" w:hAnsi="Century Gothic" w:cs="Arial"/>
        </w:rPr>
        <w:t xml:space="preserve">l 14 de noviembre de 2023, entre otros. De igual forma, </w:t>
      </w:r>
      <w:r w:rsidRPr="00D82A1E">
        <w:rPr>
          <w:rFonts w:ascii="Century Gothic" w:hAnsi="Century Gothic" w:cs="Arial"/>
        </w:rPr>
        <w:t xml:space="preserve">en </w:t>
      </w:r>
      <w:r w:rsidR="00C05294">
        <w:rPr>
          <w:rFonts w:ascii="Century Gothic" w:hAnsi="Century Gothic" w:cs="Arial"/>
        </w:rPr>
        <w:t xml:space="preserve">los conceptos </w:t>
      </w:r>
      <w:r w:rsidR="00B41CBA">
        <w:rPr>
          <w:rFonts w:ascii="Century Gothic" w:hAnsi="Century Gothic" w:cs="Arial"/>
        </w:rPr>
        <w:t xml:space="preserve">C-124 del 5 de marzo de 2020, </w:t>
      </w:r>
      <w:r w:rsidR="00AA4BE0">
        <w:rPr>
          <w:rFonts w:ascii="Century Gothic" w:hAnsi="Century Gothic" w:cs="Arial"/>
        </w:rPr>
        <w:t>C-171 del 7 de abril de 2020, C-419 del 12 de agosto de 2021</w:t>
      </w:r>
      <w:r w:rsidR="00F81FEF">
        <w:rPr>
          <w:rFonts w:ascii="Century Gothic" w:hAnsi="Century Gothic" w:cs="Arial"/>
        </w:rPr>
        <w:t>, C-746 del 11 de noviembre de 2022, C-</w:t>
      </w:r>
      <w:r w:rsidR="004822E4">
        <w:rPr>
          <w:rFonts w:ascii="Century Gothic" w:hAnsi="Century Gothic" w:cs="Arial"/>
        </w:rPr>
        <w:t>366 del 8 de septiembre de 2023, entre otros, se manifestó sobre el principio de transparencia en la contrataci</w:t>
      </w:r>
      <w:r w:rsidR="0003083D">
        <w:rPr>
          <w:rFonts w:ascii="Century Gothic" w:hAnsi="Century Gothic" w:cs="Arial"/>
        </w:rPr>
        <w:t>ón pública</w:t>
      </w:r>
      <w:r w:rsidRPr="00D82A1E">
        <w:rPr>
          <w:rFonts w:ascii="Century Gothic" w:eastAsia="Calibri" w:hAnsi="Century Gothic" w:cs="Arial"/>
          <w:vertAlign w:val="superscript"/>
        </w:rPr>
        <w:footnoteReference w:id="3"/>
      </w:r>
      <w:r w:rsidRPr="00D82A1E">
        <w:rPr>
          <w:rFonts w:ascii="Century Gothic" w:hAnsi="Century Gothic" w:cs="Arial"/>
        </w:rPr>
        <w:t>. Las tesis propuestas en tales conceptos se reiteran a continuación y se complementan en lo pertinente</w:t>
      </w:r>
      <w:r w:rsidRPr="00D82A1E">
        <w:rPr>
          <w:rFonts w:ascii="Century Gothic" w:eastAsia="Calibri" w:hAnsi="Century Gothic" w:cs="Arial"/>
          <w:bCs/>
          <w:lang w:val="es-ES_tradnl"/>
        </w:rPr>
        <w:t>.</w:t>
      </w:r>
    </w:p>
    <w:p w14:paraId="0A685369" w14:textId="77777777" w:rsidR="00490794" w:rsidRPr="00D82A1E" w:rsidRDefault="00490794" w:rsidP="00490794">
      <w:pPr>
        <w:widowControl w:val="0"/>
        <w:autoSpaceDE w:val="0"/>
        <w:autoSpaceDN w:val="0"/>
        <w:spacing w:after="0" w:line="276" w:lineRule="auto"/>
        <w:ind w:firstLine="708"/>
        <w:jc w:val="both"/>
        <w:rPr>
          <w:rFonts w:ascii="Century Gothic" w:hAnsi="Century Gothic" w:cs="Arial"/>
          <w:b/>
          <w:lang w:val="es-MX"/>
        </w:rPr>
      </w:pPr>
    </w:p>
    <w:p w14:paraId="5F54A90D" w14:textId="6CCE4568" w:rsidR="00490794" w:rsidRPr="00D82A1E" w:rsidRDefault="00490794" w:rsidP="00490794">
      <w:pPr>
        <w:spacing w:after="0" w:line="276" w:lineRule="auto"/>
        <w:contextualSpacing/>
        <w:jc w:val="both"/>
        <w:rPr>
          <w:rFonts w:ascii="Century Gothic" w:eastAsia="Arial" w:hAnsi="Century Gothic" w:cs="Arial"/>
          <w:b/>
          <w:bCs/>
          <w:lang w:val="es-ES_tradnl" w:eastAsia="es-ES_tradnl"/>
        </w:rPr>
      </w:pPr>
      <w:bookmarkStart w:id="4" w:name="_Hlk73970609"/>
      <w:r w:rsidRPr="00D82A1E">
        <w:rPr>
          <w:rFonts w:ascii="Century Gothic" w:eastAsia="Arial" w:hAnsi="Century Gothic" w:cs="Arial"/>
          <w:b/>
          <w:bCs/>
          <w:lang w:val="es-ES_tradnl" w:eastAsia="es-ES_tradnl"/>
        </w:rPr>
        <w:lastRenderedPageBreak/>
        <w:t xml:space="preserve">2.1. </w:t>
      </w:r>
      <w:r w:rsidR="00AE6E8D">
        <w:rPr>
          <w:rFonts w:ascii="Century Gothic" w:eastAsia="Arial" w:hAnsi="Century Gothic" w:cs="Arial"/>
          <w:b/>
          <w:bCs/>
          <w:lang w:val="es-ES_tradnl" w:eastAsia="es-ES_tradnl"/>
        </w:rPr>
        <w:t>Regulación de las convocatorias limitadas</w:t>
      </w:r>
      <w:r w:rsidR="00F85441">
        <w:rPr>
          <w:rFonts w:ascii="Century Gothic" w:eastAsia="Arial" w:hAnsi="Century Gothic" w:cs="Arial"/>
          <w:b/>
          <w:bCs/>
          <w:lang w:val="es-ES_tradnl" w:eastAsia="es-ES_tradnl"/>
        </w:rPr>
        <w:t xml:space="preserve"> a Mipyme en </w:t>
      </w:r>
      <w:r w:rsidR="0046516B">
        <w:rPr>
          <w:rFonts w:ascii="Century Gothic" w:eastAsia="Arial" w:hAnsi="Century Gothic" w:cs="Arial"/>
          <w:b/>
          <w:bCs/>
          <w:lang w:val="es-ES_tradnl" w:eastAsia="es-ES_tradnl"/>
        </w:rPr>
        <w:t xml:space="preserve">la Ley </w:t>
      </w:r>
      <w:r w:rsidR="00126203">
        <w:rPr>
          <w:rFonts w:ascii="Century Gothic" w:eastAsia="Arial" w:hAnsi="Century Gothic" w:cs="Arial"/>
          <w:b/>
          <w:bCs/>
          <w:lang w:val="es-ES_tradnl" w:eastAsia="es-ES_tradnl"/>
        </w:rPr>
        <w:t>2069 de 2020 y en el Decreto 1860 de 202</w:t>
      </w:r>
      <w:r w:rsidR="00E00FCA">
        <w:rPr>
          <w:rFonts w:ascii="Century Gothic" w:eastAsia="Arial" w:hAnsi="Century Gothic" w:cs="Arial"/>
          <w:b/>
          <w:bCs/>
          <w:lang w:val="es-ES_tradnl" w:eastAsia="es-ES_tradnl"/>
        </w:rPr>
        <w:t>1</w:t>
      </w:r>
    </w:p>
    <w:p w14:paraId="6AAF304D" w14:textId="77777777" w:rsidR="00910BC8" w:rsidRDefault="00910BC8" w:rsidP="00490794">
      <w:pPr>
        <w:spacing w:after="0" w:line="276" w:lineRule="auto"/>
        <w:jc w:val="both"/>
        <w:rPr>
          <w:rFonts w:ascii="Century Gothic" w:eastAsia="Arial" w:hAnsi="Century Gothic" w:cs="Arial"/>
        </w:rPr>
      </w:pPr>
    </w:p>
    <w:p w14:paraId="26DA4EE1" w14:textId="4CDD8B17" w:rsidR="001A534E" w:rsidRDefault="00126203" w:rsidP="001A534E">
      <w:pPr>
        <w:spacing w:line="276" w:lineRule="auto"/>
        <w:jc w:val="both"/>
        <w:rPr>
          <w:rFonts w:ascii="Century Gothic" w:hAnsi="Century Gothic" w:cs="Arial"/>
          <w:bCs/>
          <w:lang w:val="es-ES_tradnl" w:eastAsia="es-ES"/>
        </w:rPr>
      </w:pPr>
      <w:r>
        <w:rPr>
          <w:rFonts w:ascii="Century Gothic" w:eastAsia="Arial" w:hAnsi="Century Gothic" w:cs="Arial"/>
        </w:rPr>
        <w:t>En desarrollo de la Ley 2069 de 2020 –Ley de emprendimiento–, el</w:t>
      </w:r>
      <w:r w:rsidR="00910BC8">
        <w:rPr>
          <w:rFonts w:ascii="Century Gothic" w:eastAsia="Arial" w:hAnsi="Century Gothic" w:cs="Arial"/>
        </w:rPr>
        <w:t xml:space="preserve"> Gobierno Nacional expidió</w:t>
      </w:r>
      <w:r w:rsidR="00573052">
        <w:rPr>
          <w:rFonts w:ascii="Century Gothic" w:eastAsia="Arial" w:hAnsi="Century Gothic" w:cs="Arial"/>
        </w:rPr>
        <w:t xml:space="preserve"> el Decreto 1860 de 2021 “Por el cual se modifica y adiciona el Decreto 1082 de 2015, Único Reglamentario del Sector Administrativo de Planeación Nacional, con el fin de reglamentar los artículos 30, 31, 32, 34 y 35 de la Ley 2069 de 2020, en lo relativo al sistema de compras públicas y se dictas otras disposiciones”. Entre los aspectos reglamentarios por el decreto en mención, se encuentran </w:t>
      </w:r>
      <w:r w:rsidR="009B5A64">
        <w:rPr>
          <w:rFonts w:ascii="Century Gothic" w:eastAsia="Arial" w:hAnsi="Century Gothic" w:cs="Arial"/>
        </w:rPr>
        <w:t xml:space="preserve">las convocatorias limitadas a Mipyme. De esta manera, el artículo 5 de dicha norma, </w:t>
      </w:r>
      <w:r w:rsidR="00BF5EE0">
        <w:rPr>
          <w:rFonts w:ascii="Century Gothic" w:eastAsia="Arial" w:hAnsi="Century Gothic" w:cs="Arial"/>
        </w:rPr>
        <w:t xml:space="preserve">modifica los artículos </w:t>
      </w:r>
      <w:r w:rsidR="00584E69">
        <w:rPr>
          <w:rFonts w:ascii="Century Gothic" w:eastAsia="Arial" w:hAnsi="Century Gothic" w:cs="Arial"/>
        </w:rPr>
        <w:t>2</w:t>
      </w:r>
      <w:r w:rsidR="001A534E" w:rsidRPr="001A534E">
        <w:rPr>
          <w:rFonts w:ascii="Century Gothic" w:hAnsi="Century Gothic" w:cs="Arial"/>
          <w:bCs/>
          <w:lang w:eastAsia="es-ES"/>
        </w:rPr>
        <w:t>.2.1.2.4.2.2, 2.2.1.2.4.2.3 y 2.2.1.2.4.2.4 de la Subsección 2 de la Sección 4 del Capítulo 2 del Título 1 de la Parte 2 del Libro 2 del Decreto 1082 de 2015,</w:t>
      </w:r>
      <w:r w:rsidR="001A534E" w:rsidRPr="001A534E">
        <w:rPr>
          <w:rFonts w:ascii="Century Gothic" w:hAnsi="Century Gothic" w:cs="Arial"/>
          <w:bCs/>
          <w:lang w:val="es-ES_tradnl" w:eastAsia="es-ES"/>
        </w:rPr>
        <w:t xml:space="preserve"> por lo que reglamenta este asunto con fundamento en lo establecido en el artículo 34 de la Ley 2069 de 2020.</w:t>
      </w:r>
    </w:p>
    <w:p w14:paraId="35CB1199" w14:textId="18F7BD37" w:rsidR="00ED78CC" w:rsidRDefault="001A534E" w:rsidP="001A534E">
      <w:pPr>
        <w:spacing w:line="276" w:lineRule="auto"/>
        <w:jc w:val="both"/>
        <w:rPr>
          <w:rFonts w:ascii="Century Gothic" w:hAnsi="Century Gothic" w:cs="Arial"/>
          <w:bCs/>
          <w:lang w:val="es-ES_tradnl" w:eastAsia="es-ES"/>
        </w:rPr>
      </w:pPr>
      <w:r>
        <w:rPr>
          <w:rFonts w:ascii="Century Gothic" w:hAnsi="Century Gothic" w:cs="Arial"/>
          <w:bCs/>
          <w:lang w:val="es-ES_tradnl" w:eastAsia="es-ES"/>
        </w:rPr>
        <w:tab/>
      </w:r>
      <w:r w:rsidR="00DE64E9">
        <w:rPr>
          <w:rFonts w:ascii="Century Gothic" w:hAnsi="Century Gothic" w:cs="Arial"/>
          <w:bCs/>
          <w:lang w:val="es-ES_tradnl" w:eastAsia="es-ES"/>
        </w:rPr>
        <w:t>Así pues, esta nueva Subsección 2 contempla los siguientes aspectos: i) requisitos para limitar la convocatoria de los procesos de contratación con pluralidad de oferentes a las Mipyme colombianas con mínimo un (1) año de existencia –</w:t>
      </w:r>
      <w:r w:rsidR="0050639E">
        <w:rPr>
          <w:rFonts w:ascii="Century Gothic" w:hAnsi="Century Gothic" w:cs="Arial"/>
          <w:bCs/>
          <w:lang w:val="es-ES_tradnl" w:eastAsia="es-ES"/>
        </w:rPr>
        <w:t xml:space="preserve"> artículo</w:t>
      </w:r>
      <w:r w:rsidR="00403824" w:rsidRPr="00B00B5F">
        <w:rPr>
          <w:rFonts w:ascii="Century Gothic" w:hAnsi="Century Gothic" w:cs="Arial"/>
          <w:bCs/>
          <w:lang w:val="es-ES_tradnl" w:eastAsia="es-ES"/>
        </w:rPr>
        <w:t xml:space="preserve"> </w:t>
      </w:r>
      <w:r w:rsidR="00403824" w:rsidRPr="00B00B5F">
        <w:rPr>
          <w:rFonts w:ascii="Century Gothic" w:hAnsi="Century Gothic" w:cs="Arial"/>
          <w:bCs/>
          <w:lang w:eastAsia="es-ES"/>
        </w:rPr>
        <w:t>2.2.1.2.4.2.2</w:t>
      </w:r>
      <w:r w:rsidR="00403824">
        <w:rPr>
          <w:rFonts w:ascii="Century Gothic" w:hAnsi="Century Gothic" w:cs="Arial"/>
          <w:bCs/>
          <w:lang w:eastAsia="es-ES"/>
        </w:rPr>
        <w:t xml:space="preserve">–, </w:t>
      </w:r>
      <w:proofErr w:type="spellStart"/>
      <w:r w:rsidR="00403824">
        <w:rPr>
          <w:rFonts w:ascii="Century Gothic" w:hAnsi="Century Gothic" w:cs="Arial"/>
          <w:bCs/>
          <w:lang w:eastAsia="es-ES"/>
        </w:rPr>
        <w:t>ii</w:t>
      </w:r>
      <w:proofErr w:type="spellEnd"/>
      <w:r w:rsidR="00403824">
        <w:rPr>
          <w:rFonts w:ascii="Century Gothic" w:hAnsi="Century Gothic" w:cs="Arial"/>
          <w:bCs/>
          <w:lang w:eastAsia="es-ES"/>
        </w:rPr>
        <w:t xml:space="preserve">) desarrolla las convocatorias limitadas a Mipyme colombianas </w:t>
      </w:r>
      <w:bookmarkStart w:id="5" w:name="_Hlk159572268"/>
      <w:r w:rsidR="00403824">
        <w:rPr>
          <w:rFonts w:ascii="Century Gothic" w:hAnsi="Century Gothic" w:cs="Arial"/>
          <w:bCs/>
          <w:lang w:eastAsia="es-ES"/>
        </w:rPr>
        <w:t xml:space="preserve">que tengan domicilio en los departamentos o municipios en donde se va a ejecutar el contrato </w:t>
      </w:r>
      <w:bookmarkEnd w:id="5"/>
      <w:r w:rsidR="00403824">
        <w:rPr>
          <w:rFonts w:ascii="Century Gothic" w:hAnsi="Century Gothic" w:cs="Arial"/>
          <w:bCs/>
          <w:lang w:eastAsia="es-ES"/>
        </w:rPr>
        <w:t>–</w:t>
      </w:r>
      <w:r w:rsidR="00407962" w:rsidRPr="00407962">
        <w:rPr>
          <w:rFonts w:ascii="Century Gothic" w:hAnsi="Century Gothic" w:cs="Arial"/>
          <w:bCs/>
          <w:lang w:eastAsia="es-ES"/>
        </w:rPr>
        <w:t xml:space="preserve"> </w:t>
      </w:r>
      <w:r w:rsidR="00407962" w:rsidRPr="00B00B5F">
        <w:rPr>
          <w:rFonts w:ascii="Century Gothic" w:hAnsi="Century Gothic" w:cs="Arial"/>
          <w:bCs/>
          <w:lang w:eastAsia="es-ES"/>
        </w:rPr>
        <w:t>artículo 2.2.1.2.4.2.3–,</w:t>
      </w:r>
      <w:r w:rsidR="00ED78CC">
        <w:rPr>
          <w:rFonts w:ascii="Century Gothic" w:hAnsi="Century Gothic" w:cs="Arial"/>
          <w:bCs/>
          <w:lang w:eastAsia="es-ES"/>
        </w:rPr>
        <w:t xml:space="preserve"> y </w:t>
      </w:r>
      <w:proofErr w:type="spellStart"/>
      <w:r w:rsidR="00ED78CC">
        <w:rPr>
          <w:rFonts w:ascii="Century Gothic" w:hAnsi="Century Gothic" w:cs="Arial"/>
          <w:bCs/>
          <w:lang w:eastAsia="es-ES"/>
        </w:rPr>
        <w:t>iii</w:t>
      </w:r>
      <w:proofErr w:type="spellEnd"/>
      <w:r w:rsidR="00ED78CC">
        <w:rPr>
          <w:rFonts w:ascii="Century Gothic" w:hAnsi="Century Gothic" w:cs="Arial"/>
          <w:bCs/>
          <w:lang w:eastAsia="es-ES"/>
        </w:rPr>
        <w:t>) regula la acreditación de requisitos para participar en convocatorias limitadas –</w:t>
      </w:r>
      <w:r w:rsidR="00D24997">
        <w:rPr>
          <w:rFonts w:ascii="Century Gothic" w:hAnsi="Century Gothic" w:cs="Arial"/>
          <w:bCs/>
          <w:lang w:eastAsia="es-ES"/>
        </w:rPr>
        <w:t xml:space="preserve">artículo </w:t>
      </w:r>
      <w:r w:rsidR="004A696B" w:rsidRPr="00B00B5F">
        <w:rPr>
          <w:rFonts w:ascii="Century Gothic" w:hAnsi="Century Gothic" w:cs="Arial"/>
          <w:bCs/>
          <w:lang w:eastAsia="es-ES"/>
        </w:rPr>
        <w:t>2.2.1.2.4.2.4</w:t>
      </w:r>
      <w:r w:rsidR="004A696B" w:rsidRPr="00B00B5F">
        <w:rPr>
          <w:rFonts w:ascii="Century Gothic" w:hAnsi="Century Gothic" w:cs="Arial"/>
          <w:bCs/>
          <w:lang w:val="es-ES_tradnl" w:eastAsia="es-ES"/>
        </w:rPr>
        <w:t>–</w:t>
      </w:r>
      <w:r w:rsidR="00CC1677">
        <w:rPr>
          <w:rFonts w:ascii="Century Gothic" w:hAnsi="Century Gothic" w:cs="Arial"/>
          <w:bCs/>
          <w:lang w:val="es-ES_tradnl" w:eastAsia="es-ES"/>
        </w:rPr>
        <w:t>.</w:t>
      </w:r>
      <w:r w:rsidR="00FA3F54">
        <w:rPr>
          <w:rFonts w:ascii="Century Gothic" w:hAnsi="Century Gothic" w:cs="Arial"/>
          <w:bCs/>
          <w:lang w:val="es-ES_tradnl" w:eastAsia="es-ES"/>
        </w:rPr>
        <w:t xml:space="preserve"> </w:t>
      </w:r>
      <w:r w:rsidR="00CC1677" w:rsidRPr="002C666F">
        <w:rPr>
          <w:rFonts w:ascii="Century Gothic" w:hAnsi="Century Gothic" w:cs="Arial"/>
          <w:bCs/>
          <w:lang w:val="es-ES_tradnl" w:eastAsia="es-ES"/>
        </w:rPr>
        <w:t>C</w:t>
      </w:r>
      <w:r w:rsidR="00FA3F54" w:rsidRPr="002C666F">
        <w:rPr>
          <w:rFonts w:ascii="Century Gothic" w:hAnsi="Century Gothic" w:cs="Arial"/>
          <w:bCs/>
          <w:lang w:val="es-ES_tradnl" w:eastAsia="es-ES"/>
        </w:rPr>
        <w:t>ada uno de estos</w:t>
      </w:r>
      <w:r w:rsidR="00CC1677" w:rsidRPr="002C666F">
        <w:rPr>
          <w:rFonts w:ascii="Century Gothic" w:hAnsi="Century Gothic" w:cs="Arial"/>
          <w:bCs/>
          <w:lang w:val="es-ES_tradnl" w:eastAsia="es-ES"/>
        </w:rPr>
        <w:t>,</w:t>
      </w:r>
      <w:r w:rsidR="00FA3F54" w:rsidRPr="002C666F">
        <w:rPr>
          <w:rFonts w:ascii="Century Gothic" w:hAnsi="Century Gothic" w:cs="Arial"/>
          <w:bCs/>
          <w:lang w:val="es-ES_tradnl" w:eastAsia="es-ES"/>
        </w:rPr>
        <w:t xml:space="preserve"> serán analizados </w:t>
      </w:r>
      <w:r w:rsidR="00CC1677" w:rsidRPr="002C666F">
        <w:rPr>
          <w:rFonts w:ascii="Century Gothic" w:hAnsi="Century Gothic" w:cs="Arial"/>
          <w:bCs/>
          <w:lang w:val="es-ES_tradnl" w:eastAsia="es-ES"/>
        </w:rPr>
        <w:t>a continuación</w:t>
      </w:r>
      <w:r w:rsidR="004A696B" w:rsidRPr="002C666F">
        <w:rPr>
          <w:rFonts w:ascii="Century Gothic" w:hAnsi="Century Gothic" w:cs="Arial"/>
          <w:bCs/>
          <w:lang w:val="es-ES_tradnl" w:eastAsia="es-ES"/>
        </w:rPr>
        <w:t>.</w:t>
      </w:r>
      <w:r w:rsidR="004A696B">
        <w:rPr>
          <w:rFonts w:ascii="Century Gothic" w:hAnsi="Century Gothic" w:cs="Arial"/>
          <w:bCs/>
          <w:lang w:val="es-ES_tradnl" w:eastAsia="es-ES"/>
        </w:rPr>
        <w:t xml:space="preserve"> </w:t>
      </w:r>
    </w:p>
    <w:p w14:paraId="06CFC015" w14:textId="03D399F7" w:rsidR="00A46DC8" w:rsidRDefault="006700DE" w:rsidP="001A534E">
      <w:pPr>
        <w:spacing w:line="276" w:lineRule="auto"/>
        <w:jc w:val="both"/>
        <w:rPr>
          <w:rFonts w:ascii="Century Gothic" w:hAnsi="Century Gothic" w:cs="Arial"/>
          <w:bCs/>
          <w:lang w:val="es-ES_tradnl" w:eastAsia="es-ES"/>
        </w:rPr>
      </w:pPr>
      <w:r>
        <w:rPr>
          <w:rFonts w:ascii="Century Gothic" w:hAnsi="Century Gothic" w:cs="Arial"/>
          <w:bCs/>
          <w:lang w:val="es-ES_tradnl" w:eastAsia="es-ES"/>
        </w:rPr>
        <w:tab/>
      </w:r>
      <w:r w:rsidR="00645B9E">
        <w:rPr>
          <w:rFonts w:ascii="Century Gothic" w:hAnsi="Century Gothic" w:cs="Arial"/>
          <w:bCs/>
          <w:lang w:val="es-ES_tradnl" w:eastAsia="es-ES"/>
        </w:rPr>
        <w:t>En</w:t>
      </w:r>
      <w:r w:rsidR="00E56459">
        <w:rPr>
          <w:rFonts w:ascii="Century Gothic" w:hAnsi="Century Gothic" w:cs="Arial"/>
          <w:bCs/>
          <w:lang w:val="es-ES_tradnl" w:eastAsia="es-ES"/>
        </w:rPr>
        <w:t xml:space="preserve"> lo que respecta a</w:t>
      </w:r>
      <w:r w:rsidR="003F2FBB">
        <w:rPr>
          <w:rFonts w:ascii="Century Gothic" w:hAnsi="Century Gothic" w:cs="Arial"/>
          <w:bCs/>
          <w:lang w:val="es-ES_tradnl" w:eastAsia="es-ES"/>
        </w:rPr>
        <w:t xml:space="preserve"> los </w:t>
      </w:r>
      <w:r w:rsidR="003F2FBB" w:rsidRPr="002C666F">
        <w:rPr>
          <w:rFonts w:ascii="Century Gothic" w:hAnsi="Century Gothic" w:cs="Arial"/>
          <w:bCs/>
          <w:lang w:val="es-ES_tradnl" w:eastAsia="es-ES"/>
        </w:rPr>
        <w:t>requisitos para limitar la convocatoria d</w:t>
      </w:r>
      <w:r w:rsidR="00CA79FC" w:rsidRPr="002C666F">
        <w:rPr>
          <w:rFonts w:ascii="Century Gothic" w:hAnsi="Century Gothic" w:cs="Arial"/>
          <w:bCs/>
          <w:lang w:val="es-ES_tradnl" w:eastAsia="es-ES"/>
        </w:rPr>
        <w:t xml:space="preserve">e los procesos de contratación </w:t>
      </w:r>
      <w:r w:rsidR="005026B4" w:rsidRPr="002C666F">
        <w:rPr>
          <w:rFonts w:ascii="Century Gothic" w:hAnsi="Century Gothic" w:cs="Arial"/>
          <w:bCs/>
          <w:lang w:val="es-ES_tradnl" w:eastAsia="es-ES"/>
        </w:rPr>
        <w:t>con plur</w:t>
      </w:r>
      <w:r w:rsidR="00FC0389" w:rsidRPr="002C666F">
        <w:rPr>
          <w:rFonts w:ascii="Century Gothic" w:hAnsi="Century Gothic" w:cs="Arial"/>
          <w:bCs/>
          <w:lang w:val="es-ES_tradnl" w:eastAsia="es-ES"/>
        </w:rPr>
        <w:t xml:space="preserve">alidad de oferentes </w:t>
      </w:r>
      <w:r w:rsidR="00CA79FC" w:rsidRPr="002C666F">
        <w:rPr>
          <w:rFonts w:ascii="Century Gothic" w:hAnsi="Century Gothic" w:cs="Arial"/>
          <w:bCs/>
          <w:lang w:val="es-ES_tradnl" w:eastAsia="es-ES"/>
        </w:rPr>
        <w:t>a las Mipyme colombianas</w:t>
      </w:r>
      <w:r w:rsidR="00CA79FC">
        <w:rPr>
          <w:rFonts w:ascii="Century Gothic" w:hAnsi="Century Gothic" w:cs="Arial"/>
          <w:bCs/>
          <w:i/>
          <w:iCs/>
          <w:lang w:val="es-ES_tradnl" w:eastAsia="es-ES"/>
        </w:rPr>
        <w:t xml:space="preserve">, </w:t>
      </w:r>
      <w:r w:rsidR="005026B4">
        <w:rPr>
          <w:rFonts w:ascii="Century Gothic" w:hAnsi="Century Gothic" w:cs="Arial"/>
          <w:bCs/>
          <w:lang w:val="es-ES_tradnl" w:eastAsia="es-ES"/>
        </w:rPr>
        <w:t>debe preci</w:t>
      </w:r>
      <w:r w:rsidR="00FC0389">
        <w:rPr>
          <w:rFonts w:ascii="Century Gothic" w:hAnsi="Century Gothic" w:cs="Arial"/>
          <w:bCs/>
          <w:lang w:val="es-ES_tradnl" w:eastAsia="es-ES"/>
        </w:rPr>
        <w:t>sar</w:t>
      </w:r>
      <w:r w:rsidR="00CC1677">
        <w:rPr>
          <w:rFonts w:ascii="Century Gothic" w:hAnsi="Century Gothic" w:cs="Arial"/>
          <w:bCs/>
          <w:lang w:val="es-ES_tradnl" w:eastAsia="es-ES"/>
        </w:rPr>
        <w:t>se</w:t>
      </w:r>
      <w:r w:rsidR="00FC0389">
        <w:rPr>
          <w:rFonts w:ascii="Century Gothic" w:hAnsi="Century Gothic" w:cs="Arial"/>
          <w:bCs/>
          <w:lang w:val="es-ES_tradnl" w:eastAsia="es-ES"/>
        </w:rPr>
        <w:t xml:space="preserve"> que el </w:t>
      </w:r>
      <w:r w:rsidR="00870019">
        <w:rPr>
          <w:rFonts w:ascii="Century Gothic" w:hAnsi="Century Gothic" w:cs="Arial"/>
          <w:bCs/>
          <w:lang w:val="es-ES_tradnl" w:eastAsia="es-ES"/>
        </w:rPr>
        <w:t xml:space="preserve">inciso primero del </w:t>
      </w:r>
      <w:r w:rsidR="00FC0389">
        <w:rPr>
          <w:rFonts w:ascii="Century Gothic" w:hAnsi="Century Gothic" w:cs="Arial"/>
          <w:bCs/>
          <w:lang w:val="es-ES_tradnl" w:eastAsia="es-ES"/>
        </w:rPr>
        <w:t xml:space="preserve">artículo </w:t>
      </w:r>
      <w:r w:rsidR="00880865">
        <w:rPr>
          <w:rFonts w:ascii="Century Gothic" w:hAnsi="Century Gothic" w:cs="Arial"/>
          <w:bCs/>
          <w:lang w:val="es-ES_tradnl" w:eastAsia="es-ES"/>
        </w:rPr>
        <w:t>2</w:t>
      </w:r>
      <w:r w:rsidR="0062222C" w:rsidRPr="0062222C">
        <w:rPr>
          <w:rFonts w:ascii="Century Gothic" w:hAnsi="Century Gothic" w:cs="Arial"/>
          <w:bCs/>
          <w:lang w:val="es-ES_tradnl" w:eastAsia="es-ES"/>
        </w:rPr>
        <w:t>.2.1.2.4.2.2. del Decreto 1082 de 2015</w:t>
      </w:r>
      <w:r w:rsidR="0062222C">
        <w:rPr>
          <w:rFonts w:ascii="Century Gothic" w:hAnsi="Century Gothic" w:cs="Arial"/>
          <w:bCs/>
          <w:lang w:val="es-ES_tradnl" w:eastAsia="es-ES"/>
        </w:rPr>
        <w:t xml:space="preserve">, modificado por el </w:t>
      </w:r>
      <w:r w:rsidR="002C666F">
        <w:rPr>
          <w:rFonts w:ascii="Century Gothic" w:hAnsi="Century Gothic" w:cs="Arial"/>
          <w:bCs/>
          <w:lang w:val="es-ES_tradnl" w:eastAsia="es-ES"/>
        </w:rPr>
        <w:t xml:space="preserve">artículo 5 del </w:t>
      </w:r>
      <w:r w:rsidR="00870019">
        <w:rPr>
          <w:rFonts w:ascii="Century Gothic" w:hAnsi="Century Gothic" w:cs="Arial"/>
          <w:bCs/>
          <w:lang w:val="es-ES_tradnl" w:eastAsia="es-ES"/>
        </w:rPr>
        <w:t xml:space="preserve">Decreto 1860 de 2021, </w:t>
      </w:r>
      <w:r w:rsidR="00880865">
        <w:rPr>
          <w:rFonts w:ascii="Century Gothic" w:hAnsi="Century Gothic" w:cs="Arial"/>
          <w:bCs/>
          <w:lang w:val="es-ES_tradnl" w:eastAsia="es-ES"/>
        </w:rPr>
        <w:t>exige que las Entidades Estatales independientemente de su</w:t>
      </w:r>
      <w:r w:rsidR="008103DF">
        <w:rPr>
          <w:rFonts w:ascii="Century Gothic" w:hAnsi="Century Gothic" w:cs="Arial"/>
          <w:bCs/>
          <w:lang w:val="es-ES_tradnl" w:eastAsia="es-ES"/>
        </w:rPr>
        <w:t xml:space="preserve"> régimen de contratación, los patrimonios autónomos constituidos por Entidades Estatales y los particulares que ejecuten recursos públicos</w:t>
      </w:r>
      <w:r w:rsidR="00FA3F54">
        <w:rPr>
          <w:rFonts w:ascii="Century Gothic" w:hAnsi="Century Gothic" w:cs="Arial"/>
          <w:bCs/>
          <w:lang w:val="es-ES_tradnl" w:eastAsia="es-ES"/>
        </w:rPr>
        <w:t xml:space="preserve">, limiten las convocatorias de los procesos de contratación a las Mipyme colombianas con mínimo </w:t>
      </w:r>
      <w:r w:rsidR="006C75CF">
        <w:rPr>
          <w:rFonts w:ascii="Century Gothic" w:hAnsi="Century Gothic" w:cs="Arial"/>
          <w:bCs/>
          <w:lang w:val="es-ES_tradnl" w:eastAsia="es-ES"/>
        </w:rPr>
        <w:t>un (1) año de existencia, siempre que se cumplan los requisitos señalados allí. Al respecto, el referido artículo indica lo siguiente:</w:t>
      </w:r>
    </w:p>
    <w:p w14:paraId="6E3280AA" w14:textId="08BF142C" w:rsidR="0022230E" w:rsidRPr="0022230E" w:rsidRDefault="00291A37" w:rsidP="0022230E">
      <w:pPr>
        <w:spacing w:after="0" w:line="240" w:lineRule="auto"/>
        <w:ind w:left="709" w:right="709"/>
        <w:jc w:val="both"/>
        <w:rPr>
          <w:rFonts w:ascii="Century Gothic" w:hAnsi="Century Gothic" w:cs="Arial"/>
          <w:bCs/>
          <w:sz w:val="21"/>
          <w:szCs w:val="21"/>
          <w:lang w:val="es-ES_tradnl" w:eastAsia="es-ES"/>
        </w:rPr>
      </w:pPr>
      <w:r>
        <w:rPr>
          <w:rFonts w:ascii="Century Gothic" w:hAnsi="Century Gothic" w:cs="Arial"/>
          <w:bCs/>
          <w:sz w:val="21"/>
          <w:szCs w:val="21"/>
          <w:lang w:val="es-ES_tradnl" w:eastAsia="es-ES"/>
        </w:rPr>
        <w:t>“</w:t>
      </w:r>
      <w:r w:rsidR="0022230E" w:rsidRPr="0022230E">
        <w:rPr>
          <w:rFonts w:ascii="Century Gothic" w:hAnsi="Century Gothic" w:cs="Arial"/>
          <w:bCs/>
          <w:sz w:val="21"/>
          <w:szCs w:val="21"/>
          <w:lang w:val="es-ES_tradnl" w:eastAsia="es-ES"/>
        </w:rPr>
        <w:t xml:space="preserve">Artículo 2.2.1.2.4.2.2. Convocatorias Imitadas a Mipyme. Las Entidades Estatales independientemente de su régimen de contratación, los patrimonios autónomos constituidos por Entidades Estatales y los particulares que ejecuten recursos públicos, deben limitar la </w:t>
      </w:r>
      <w:r w:rsidR="0022230E" w:rsidRPr="0022230E">
        <w:rPr>
          <w:rFonts w:ascii="Century Gothic" w:hAnsi="Century Gothic" w:cs="Arial"/>
          <w:bCs/>
          <w:sz w:val="21"/>
          <w:szCs w:val="21"/>
          <w:lang w:val="es-ES_tradnl" w:eastAsia="es-ES"/>
        </w:rPr>
        <w:lastRenderedPageBreak/>
        <w:t xml:space="preserve">convocatoria de los Procesos de Contratación con pluralidad de oferentes, cuando concurran los siguientes requisitos: </w:t>
      </w:r>
    </w:p>
    <w:p w14:paraId="79E0FFC9" w14:textId="77777777" w:rsidR="0022230E" w:rsidRPr="0022230E" w:rsidRDefault="0022230E" w:rsidP="0022230E">
      <w:pPr>
        <w:spacing w:before="120" w:after="0" w:line="240" w:lineRule="auto"/>
        <w:ind w:left="709" w:right="709"/>
        <w:jc w:val="both"/>
        <w:rPr>
          <w:rFonts w:ascii="Century Gothic" w:hAnsi="Century Gothic" w:cs="Arial"/>
          <w:bCs/>
          <w:sz w:val="21"/>
          <w:szCs w:val="21"/>
          <w:lang w:val="es-ES_tradnl" w:eastAsia="es-ES"/>
        </w:rPr>
      </w:pPr>
      <w:r w:rsidRPr="0022230E">
        <w:rPr>
          <w:rFonts w:ascii="Century Gothic" w:hAnsi="Century Gothic" w:cs="Arial"/>
          <w:bCs/>
          <w:sz w:val="21"/>
          <w:szCs w:val="21"/>
          <w:lang w:val="es-ES_tradnl" w:eastAsia="es-ES"/>
        </w:rPr>
        <w:t>1. El valor del Proceso de Contratación sea menor a ciento veinticinco mil dólares de los Estados Unidos de América (US$125.000), liquidados con la tasa de cambio que para el efecto determina cada dos años el Ministerio de Comercio, Industria y Turismo.</w:t>
      </w:r>
    </w:p>
    <w:p w14:paraId="702DABE7" w14:textId="77777777" w:rsidR="0022230E" w:rsidRPr="0022230E" w:rsidRDefault="0022230E" w:rsidP="0022230E">
      <w:pPr>
        <w:spacing w:before="120" w:after="0" w:line="240" w:lineRule="auto"/>
        <w:ind w:left="709" w:right="709"/>
        <w:jc w:val="both"/>
        <w:rPr>
          <w:rFonts w:ascii="Century Gothic" w:hAnsi="Century Gothic" w:cs="Arial"/>
          <w:bCs/>
          <w:sz w:val="21"/>
          <w:szCs w:val="21"/>
          <w:lang w:val="es-ES_tradnl" w:eastAsia="es-ES"/>
        </w:rPr>
      </w:pPr>
      <w:r w:rsidRPr="0022230E">
        <w:rPr>
          <w:rFonts w:ascii="Century Gothic" w:hAnsi="Century Gothic" w:cs="Arial"/>
          <w:bCs/>
          <w:sz w:val="21"/>
          <w:szCs w:val="21"/>
          <w:lang w:val="es-ES_tradnl" w:eastAsia="es-ES"/>
        </w:rPr>
        <w:t xml:space="preserve">2. </w:t>
      </w:r>
      <w:r w:rsidRPr="00B957A5">
        <w:rPr>
          <w:rFonts w:ascii="Century Gothic" w:hAnsi="Century Gothic" w:cs="Arial"/>
          <w:bCs/>
          <w:i/>
          <w:iCs/>
          <w:sz w:val="21"/>
          <w:szCs w:val="21"/>
          <w:u w:val="single"/>
          <w:lang w:val="es-ES_tradnl" w:eastAsia="es-ES"/>
        </w:rPr>
        <w:t>Se hayan recibido solicitudes de por lo menos dos (2) Mipyme colombianas para limitar la convocatoria a Mipyme colombianas</w:t>
      </w:r>
      <w:r w:rsidRPr="0022230E">
        <w:rPr>
          <w:rFonts w:ascii="Century Gothic" w:hAnsi="Century Gothic" w:cs="Arial"/>
          <w:bCs/>
          <w:sz w:val="21"/>
          <w:szCs w:val="21"/>
          <w:lang w:val="es-ES_tradnl" w:eastAsia="es-ES"/>
        </w:rPr>
        <w:t xml:space="preserve">. Las Entidades Estatales independientemente de su régimen de contratación, los patrimonios autónomos constituidos por Entidades Estatales y los particulares que ejecuten recursos públicos, </w:t>
      </w:r>
      <w:r w:rsidRPr="009F6EEB">
        <w:rPr>
          <w:rFonts w:ascii="Century Gothic" w:hAnsi="Century Gothic" w:cs="Arial"/>
          <w:bCs/>
          <w:i/>
          <w:iCs/>
          <w:sz w:val="21"/>
          <w:szCs w:val="21"/>
          <w:u w:val="single"/>
          <w:lang w:val="es-ES_tradnl" w:eastAsia="es-ES"/>
        </w:rPr>
        <w:t>deben recibir estas solicitudes por lo menos un (1) día hábil antes de la expedición del acto administrativo de apertura, o el que haga sus veces</w:t>
      </w:r>
      <w:r w:rsidRPr="0022230E">
        <w:rPr>
          <w:rFonts w:ascii="Century Gothic" w:hAnsi="Century Gothic" w:cs="Arial"/>
          <w:bCs/>
          <w:sz w:val="21"/>
          <w:szCs w:val="21"/>
          <w:lang w:val="es-ES_tradnl" w:eastAsia="es-ES"/>
        </w:rPr>
        <w:t xml:space="preserve"> de acuerdo con la normativa aplicable a cada Proceso de Contratación. </w:t>
      </w:r>
      <w:r w:rsidRPr="00B957A5">
        <w:rPr>
          <w:rFonts w:ascii="Century Gothic" w:hAnsi="Century Gothic" w:cs="Arial"/>
          <w:bCs/>
          <w:i/>
          <w:iCs/>
          <w:sz w:val="21"/>
          <w:szCs w:val="21"/>
          <w:u w:val="single"/>
          <w:lang w:val="es-ES_tradnl" w:eastAsia="es-ES"/>
        </w:rPr>
        <w:t>Tratándose de personas jurídicas, las solicitudes solo las podrán realizar Mipyme, cuyo objeto social les permita ejecutar el contrato relacionado con el proceso contractual</w:t>
      </w:r>
      <w:r w:rsidRPr="0022230E">
        <w:rPr>
          <w:rFonts w:ascii="Century Gothic" w:hAnsi="Century Gothic" w:cs="Arial"/>
          <w:bCs/>
          <w:sz w:val="21"/>
          <w:szCs w:val="21"/>
          <w:lang w:val="es-ES_tradnl" w:eastAsia="es-ES"/>
        </w:rPr>
        <w:t>.</w:t>
      </w:r>
    </w:p>
    <w:p w14:paraId="68D2EF49" w14:textId="28C58099" w:rsidR="0022230E" w:rsidRPr="0022230E" w:rsidRDefault="0022230E" w:rsidP="0022230E">
      <w:pPr>
        <w:spacing w:before="120" w:after="0" w:line="240" w:lineRule="auto"/>
        <w:ind w:left="709" w:right="709"/>
        <w:jc w:val="both"/>
        <w:rPr>
          <w:rFonts w:ascii="Century Gothic" w:hAnsi="Century Gothic" w:cs="Arial"/>
          <w:bCs/>
          <w:sz w:val="21"/>
          <w:szCs w:val="21"/>
          <w:lang w:val="es-ES_tradnl" w:eastAsia="es-ES"/>
        </w:rPr>
      </w:pPr>
      <w:r w:rsidRPr="0022230E">
        <w:rPr>
          <w:rFonts w:ascii="Century Gothic" w:hAnsi="Century Gothic" w:cs="Arial"/>
          <w:bCs/>
          <w:sz w:val="21"/>
          <w:szCs w:val="21"/>
          <w:lang w:val="es-ES_tradnl" w:eastAsia="es-ES"/>
        </w:rPr>
        <w:t>Parágrafo. Las cooperativas y demás entidades de economía solidaria, siempre que tengan la calidad de Mipyme, podrán solicitar y participar en las convocatorias limitadas en las mismas condiciones dispuestas en el presente artículo</w:t>
      </w:r>
      <w:r w:rsidR="00C3345A">
        <w:rPr>
          <w:rFonts w:ascii="Century Gothic" w:hAnsi="Century Gothic" w:cs="Arial"/>
          <w:bCs/>
          <w:sz w:val="21"/>
          <w:szCs w:val="21"/>
          <w:lang w:val="es-ES_tradnl" w:eastAsia="es-ES"/>
        </w:rPr>
        <w:t>”</w:t>
      </w:r>
      <w:r w:rsidRPr="0022230E">
        <w:rPr>
          <w:rFonts w:ascii="Century Gothic" w:hAnsi="Century Gothic" w:cs="Arial"/>
          <w:bCs/>
          <w:sz w:val="21"/>
          <w:szCs w:val="21"/>
          <w:lang w:val="es-ES_tradnl" w:eastAsia="es-ES"/>
        </w:rPr>
        <w:t>.</w:t>
      </w:r>
      <w:r w:rsidR="00884710">
        <w:rPr>
          <w:rFonts w:ascii="Century Gothic" w:hAnsi="Century Gothic" w:cs="Arial"/>
          <w:bCs/>
          <w:sz w:val="21"/>
          <w:szCs w:val="21"/>
          <w:lang w:val="es-ES_tradnl" w:eastAsia="es-ES"/>
        </w:rPr>
        <w:t xml:space="preserve"> [Énfasis fuera de texto]</w:t>
      </w:r>
    </w:p>
    <w:p w14:paraId="4DB799CF" w14:textId="7F32B2DC" w:rsidR="006C75CF" w:rsidRDefault="006C75CF" w:rsidP="00291A37">
      <w:pPr>
        <w:spacing w:after="0" w:line="240" w:lineRule="auto"/>
        <w:ind w:left="709" w:right="709"/>
        <w:jc w:val="both"/>
        <w:rPr>
          <w:rFonts w:ascii="Century Gothic" w:hAnsi="Century Gothic" w:cs="Arial"/>
          <w:bCs/>
          <w:sz w:val="21"/>
          <w:szCs w:val="21"/>
          <w:lang w:val="es-ES_tradnl" w:eastAsia="es-ES"/>
        </w:rPr>
      </w:pPr>
    </w:p>
    <w:p w14:paraId="39903B7C" w14:textId="0F53EAC5" w:rsidR="0021688F" w:rsidRDefault="00E534A2" w:rsidP="008F3537">
      <w:pPr>
        <w:spacing w:after="120" w:line="276" w:lineRule="auto"/>
        <w:ind w:firstLine="709"/>
        <w:jc w:val="both"/>
        <w:rPr>
          <w:rFonts w:ascii="Century Gothic" w:eastAsia="Arial" w:hAnsi="Century Gothic" w:cs="Arial"/>
          <w:color w:val="000000"/>
          <w:lang w:eastAsia="es-ES_tradnl"/>
        </w:rPr>
      </w:pPr>
      <w:r>
        <w:rPr>
          <w:rFonts w:ascii="Century Gothic" w:hAnsi="Century Gothic" w:cs="Arial"/>
          <w:bCs/>
          <w:lang w:val="es-ES_tradnl" w:eastAsia="es-ES"/>
        </w:rPr>
        <w:t>Según se evidencia, el numeral primero limita</w:t>
      </w:r>
      <w:r w:rsidR="001608E3">
        <w:rPr>
          <w:rFonts w:ascii="Century Gothic" w:hAnsi="Century Gothic" w:cs="Arial"/>
          <w:bCs/>
          <w:lang w:val="es-ES_tradnl" w:eastAsia="es-ES"/>
        </w:rPr>
        <w:t xml:space="preserve"> cuant</w:t>
      </w:r>
      <w:r w:rsidR="007F0436">
        <w:rPr>
          <w:rFonts w:ascii="Century Gothic" w:hAnsi="Century Gothic" w:cs="Arial"/>
          <w:bCs/>
          <w:lang w:val="es-ES_tradnl" w:eastAsia="es-ES"/>
        </w:rPr>
        <w:t>itativamente los procesos cont</w:t>
      </w:r>
      <w:r w:rsidR="004960CA">
        <w:rPr>
          <w:rFonts w:ascii="Century Gothic" w:hAnsi="Century Gothic" w:cs="Arial"/>
          <w:bCs/>
          <w:lang w:val="es-ES_tradnl" w:eastAsia="es-ES"/>
        </w:rPr>
        <w:t xml:space="preserve">ractuales en los que se puede hacer esa convocatoria limitada a Mipyme, </w:t>
      </w:r>
      <w:r w:rsidR="004960CA" w:rsidRPr="008F3537">
        <w:rPr>
          <w:rFonts w:ascii="Century Gothic" w:hAnsi="Century Gothic" w:cs="Arial"/>
          <w:bCs/>
          <w:lang w:val="es-ES_tradnl" w:eastAsia="es-ES"/>
        </w:rPr>
        <w:t xml:space="preserve">en la medida en que el valor </w:t>
      </w:r>
      <w:r w:rsidR="005F39EC" w:rsidRPr="008F3537">
        <w:rPr>
          <w:rFonts w:ascii="Century Gothic" w:hAnsi="Century Gothic" w:cs="Arial"/>
          <w:bCs/>
          <w:lang w:val="es-ES_tradnl" w:eastAsia="es-ES"/>
        </w:rPr>
        <w:t xml:space="preserve">del proceso de contratación tendrá que ser “menor a </w:t>
      </w:r>
      <w:r w:rsidR="00F957DE">
        <w:rPr>
          <w:rFonts w:ascii="Century Gothic" w:hAnsi="Century Gothic" w:cs="Arial"/>
          <w:bCs/>
          <w:lang w:val="es-ES_tradnl" w:eastAsia="es-ES"/>
        </w:rPr>
        <w:t>veinticinco</w:t>
      </w:r>
      <w:r w:rsidR="00016B22" w:rsidRPr="008F3537">
        <w:rPr>
          <w:rFonts w:ascii="Century Gothic" w:hAnsi="Century Gothic" w:cs="Arial"/>
          <w:bCs/>
          <w:lang w:val="es-ES_tradnl" w:eastAsia="es-ES"/>
        </w:rPr>
        <w:t xml:space="preserve"> mil dólares de los Estados Unidos </w:t>
      </w:r>
      <w:r w:rsidR="008F3537" w:rsidRPr="008F3537">
        <w:rPr>
          <w:rFonts w:ascii="Century Gothic" w:eastAsia="Arial" w:hAnsi="Century Gothic" w:cs="Arial"/>
          <w:color w:val="000000"/>
          <w:lang w:eastAsia="es-ES_tradnl"/>
        </w:rPr>
        <w:t>de América</w:t>
      </w:r>
      <w:r w:rsidR="00AA6477">
        <w:rPr>
          <w:rFonts w:ascii="Century Gothic" w:eastAsia="Arial" w:hAnsi="Century Gothic" w:cs="Arial"/>
          <w:color w:val="000000"/>
          <w:lang w:eastAsia="es-ES_tradnl"/>
        </w:rPr>
        <w:t>”</w:t>
      </w:r>
      <w:r w:rsidR="008F3537" w:rsidRPr="008F3537">
        <w:rPr>
          <w:rFonts w:ascii="Century Gothic" w:eastAsia="Arial" w:hAnsi="Century Gothic" w:cs="Arial"/>
          <w:color w:val="000000"/>
          <w:lang w:eastAsia="es-ES_tradnl"/>
        </w:rPr>
        <w:t>. Esta limitante, valga la pena aclarar, es establecida de acuerdo con la tasa que, para el efecto, determine cada dos (2) años el Ministerio de Comercio, Industria y Turismo</w:t>
      </w:r>
      <w:r w:rsidR="008F3537" w:rsidRPr="008F3537">
        <w:rPr>
          <w:rFonts w:ascii="Century Gothic" w:eastAsia="Arial" w:hAnsi="Century Gothic" w:cs="Arial"/>
          <w:color w:val="000000"/>
          <w:vertAlign w:val="superscript"/>
          <w:lang w:eastAsia="es-ES_tradnl"/>
        </w:rPr>
        <w:footnoteReference w:id="4"/>
      </w:r>
      <w:r w:rsidR="008F3537" w:rsidRPr="008F3537">
        <w:rPr>
          <w:rFonts w:ascii="Century Gothic" w:eastAsia="Arial" w:hAnsi="Century Gothic" w:cs="Arial"/>
          <w:color w:val="000000"/>
          <w:lang w:eastAsia="es-ES_tradnl"/>
        </w:rPr>
        <w:t xml:space="preserve">. </w:t>
      </w:r>
    </w:p>
    <w:p w14:paraId="6CD3FC09" w14:textId="6E7E08F1" w:rsidR="008F3537" w:rsidRDefault="008F3537" w:rsidP="0021688F">
      <w:pPr>
        <w:spacing w:after="120" w:line="276" w:lineRule="auto"/>
        <w:ind w:firstLine="708"/>
        <w:jc w:val="both"/>
        <w:rPr>
          <w:rFonts w:ascii="Arial" w:eastAsia="Arial" w:hAnsi="Arial" w:cs="Arial"/>
          <w:color w:val="000000"/>
          <w:sz w:val="21"/>
          <w:szCs w:val="21"/>
          <w:lang w:val="es-ES_tradnl" w:eastAsia="es-ES_tradnl"/>
        </w:rPr>
      </w:pPr>
      <w:r w:rsidRPr="008F3537">
        <w:rPr>
          <w:rFonts w:ascii="Century Gothic" w:eastAsia="Arial" w:hAnsi="Century Gothic" w:cs="Arial"/>
          <w:color w:val="000000"/>
          <w:lang w:eastAsia="es-ES_tradnl"/>
        </w:rPr>
        <w:t>Por su parte, el numeral</w:t>
      </w:r>
      <w:r w:rsidR="00725D27">
        <w:rPr>
          <w:rFonts w:ascii="Century Gothic" w:eastAsia="Arial" w:hAnsi="Century Gothic" w:cs="Arial"/>
          <w:color w:val="000000"/>
          <w:lang w:eastAsia="es-ES_tradnl"/>
        </w:rPr>
        <w:t xml:space="preserve"> </w:t>
      </w:r>
      <w:r w:rsidRPr="008F3537">
        <w:rPr>
          <w:rFonts w:ascii="Century Gothic" w:eastAsia="Arial" w:hAnsi="Century Gothic" w:cs="Arial"/>
          <w:color w:val="000000"/>
          <w:lang w:eastAsia="es-ES_tradnl"/>
        </w:rPr>
        <w:t>segundo</w:t>
      </w:r>
      <w:r w:rsidR="0021688F">
        <w:rPr>
          <w:rFonts w:ascii="Century Gothic" w:eastAsia="Arial" w:hAnsi="Century Gothic" w:cs="Arial"/>
          <w:color w:val="000000"/>
          <w:lang w:eastAsia="es-ES_tradnl"/>
        </w:rPr>
        <w:t xml:space="preserve">, </w:t>
      </w:r>
      <w:r w:rsidRPr="008F3537">
        <w:rPr>
          <w:rFonts w:ascii="Century Gothic" w:eastAsia="Arial" w:hAnsi="Century Gothic" w:cs="Arial"/>
          <w:color w:val="000000"/>
          <w:lang w:eastAsia="es-ES_tradnl"/>
        </w:rPr>
        <w:t xml:space="preserve">establece dos exigencias: por un lado, que al menos dos (2) Mipyme colombianas presenten a la entidad la solicitud de limitar el proceso contractual y, por el otro, que hagan la solicitud por lo menos un día (1) hábil antes de la expedición del acto administrativo de apertura </w:t>
      </w:r>
      <w:r w:rsidRPr="008F3537">
        <w:rPr>
          <w:rFonts w:ascii="Century Gothic" w:eastAsia="Arial" w:hAnsi="Century Gothic" w:cs="Arial"/>
          <w:color w:val="000000"/>
          <w:lang w:val="es-ES_tradnl" w:eastAsia="es-ES_tradnl"/>
        </w:rPr>
        <w:t xml:space="preserve">o el que haga sus veces de acuerdo con la normativa aplicable a cada </w:t>
      </w:r>
      <w:r w:rsidR="009C67A9">
        <w:rPr>
          <w:rFonts w:ascii="Century Gothic" w:eastAsia="Arial" w:hAnsi="Century Gothic" w:cs="Arial"/>
          <w:color w:val="000000"/>
          <w:lang w:val="es-ES_tradnl" w:eastAsia="es-ES_tradnl"/>
        </w:rPr>
        <w:t>p</w:t>
      </w:r>
      <w:r w:rsidRPr="008F3537">
        <w:rPr>
          <w:rFonts w:ascii="Century Gothic" w:eastAsia="Arial" w:hAnsi="Century Gothic" w:cs="Arial"/>
          <w:color w:val="000000"/>
          <w:lang w:val="es-ES_tradnl" w:eastAsia="es-ES_tradnl"/>
        </w:rPr>
        <w:t xml:space="preserve">roceso de </w:t>
      </w:r>
      <w:r w:rsidR="009C67A9">
        <w:rPr>
          <w:rFonts w:ascii="Century Gothic" w:eastAsia="Arial" w:hAnsi="Century Gothic" w:cs="Arial"/>
          <w:color w:val="000000"/>
          <w:lang w:val="es-ES_tradnl" w:eastAsia="es-ES_tradnl"/>
        </w:rPr>
        <w:t>c</w:t>
      </w:r>
      <w:r w:rsidRPr="008F3537">
        <w:rPr>
          <w:rFonts w:ascii="Century Gothic" w:eastAsia="Arial" w:hAnsi="Century Gothic" w:cs="Arial"/>
          <w:color w:val="000000"/>
          <w:lang w:val="es-ES_tradnl" w:eastAsia="es-ES_tradnl"/>
        </w:rPr>
        <w:t>ontratación</w:t>
      </w:r>
      <w:r w:rsidRPr="008F3537">
        <w:rPr>
          <w:rFonts w:ascii="Century Gothic" w:eastAsia="Arial" w:hAnsi="Century Gothic" w:cs="Arial"/>
          <w:color w:val="000000"/>
          <w:lang w:eastAsia="es-ES_tradnl"/>
        </w:rPr>
        <w:t xml:space="preserve">. Además, la norma señala que, </w:t>
      </w:r>
      <w:r w:rsidRPr="008F3537">
        <w:rPr>
          <w:rFonts w:ascii="Century Gothic" w:eastAsia="Arial" w:hAnsi="Century Gothic" w:cs="Arial"/>
          <w:color w:val="000000"/>
          <w:lang w:val="es-ES_tradnl" w:eastAsia="es-ES_tradnl"/>
        </w:rPr>
        <w:t>tratándose de personas jurídicas, las solicitudes s</w:t>
      </w:r>
      <w:r w:rsidR="00A6723A">
        <w:rPr>
          <w:rFonts w:ascii="Century Gothic" w:eastAsia="Arial" w:hAnsi="Century Gothic" w:cs="Arial"/>
          <w:color w:val="000000"/>
          <w:lang w:val="es-ES_tradnl" w:eastAsia="es-ES_tradnl"/>
        </w:rPr>
        <w:t>ó</w:t>
      </w:r>
      <w:r w:rsidRPr="008F3537">
        <w:rPr>
          <w:rFonts w:ascii="Century Gothic" w:eastAsia="Arial" w:hAnsi="Century Gothic" w:cs="Arial"/>
          <w:color w:val="000000"/>
          <w:lang w:val="es-ES_tradnl" w:eastAsia="es-ES_tradnl"/>
        </w:rPr>
        <w:t xml:space="preserve">lo las podrán realizar Mipyme, cuyo objeto social les permita ejecutar el contrato </w:t>
      </w:r>
      <w:r w:rsidRPr="008F3537">
        <w:rPr>
          <w:rFonts w:ascii="Century Gothic" w:eastAsia="Arial" w:hAnsi="Century Gothic" w:cs="Arial"/>
          <w:color w:val="000000"/>
          <w:lang w:val="es-ES_tradnl" w:eastAsia="es-ES_tradnl"/>
        </w:rPr>
        <w:lastRenderedPageBreak/>
        <w:t>relacionado con el proceso contractual. Asimismo, este artículo incluye a las cooperativas y demás entidades de economía solidaria dentro de los sujetos que pueden solicitar y participar en las convocatorias limitadas a Mipyme, siempre que estas cumplan con las condiciones señaladas en el artículo.</w:t>
      </w:r>
      <w:r w:rsidRPr="008F3537">
        <w:rPr>
          <w:rFonts w:ascii="Arial" w:eastAsia="Arial" w:hAnsi="Arial" w:cs="Arial"/>
          <w:color w:val="000000"/>
          <w:sz w:val="21"/>
          <w:szCs w:val="21"/>
          <w:lang w:val="es-ES_tradnl" w:eastAsia="es-ES_tradnl"/>
        </w:rPr>
        <w:t xml:space="preserve"> </w:t>
      </w:r>
    </w:p>
    <w:p w14:paraId="108CED7A" w14:textId="77777777" w:rsidR="0058013C" w:rsidRPr="0058013C" w:rsidRDefault="00DC3C0B" w:rsidP="0058013C">
      <w:pPr>
        <w:spacing w:before="120" w:line="276" w:lineRule="auto"/>
        <w:ind w:firstLine="708"/>
        <w:jc w:val="both"/>
        <w:rPr>
          <w:rFonts w:ascii="Century Gothic" w:hAnsi="Century Gothic" w:cs="Arial"/>
          <w:color w:val="000000" w:themeColor="text1"/>
        </w:rPr>
      </w:pPr>
      <w:r w:rsidRPr="00DC3C0B">
        <w:rPr>
          <w:rFonts w:ascii="Century Gothic" w:eastAsia="Arial" w:hAnsi="Century Gothic" w:cs="Arial"/>
          <w:color w:val="000000"/>
          <w:lang w:val="es-ES_tradnl" w:eastAsia="es-ES_tradnl"/>
        </w:rPr>
        <w:t>En ese or</w:t>
      </w:r>
      <w:r>
        <w:rPr>
          <w:rFonts w:ascii="Century Gothic" w:eastAsia="Arial" w:hAnsi="Century Gothic" w:cs="Arial"/>
          <w:color w:val="000000"/>
          <w:lang w:val="es-ES_tradnl" w:eastAsia="es-ES_tradnl"/>
        </w:rPr>
        <w:t xml:space="preserve">den, cumplidos los dos requisitos del artículo </w:t>
      </w:r>
      <w:r w:rsidR="00E15390" w:rsidRPr="00E15390">
        <w:rPr>
          <w:rFonts w:ascii="Century Gothic" w:eastAsia="Arial" w:hAnsi="Century Gothic" w:cs="Arial"/>
          <w:color w:val="000000"/>
          <w:lang w:val="es-ES_tradnl" w:eastAsia="es-ES_tradnl"/>
        </w:rPr>
        <w:t xml:space="preserve">2.2.1.2.4.2.2. </w:t>
      </w:r>
      <w:r w:rsidR="00E15390" w:rsidRPr="00E15390">
        <w:rPr>
          <w:rFonts w:ascii="Century Gothic" w:eastAsia="Arial" w:hAnsi="Century Gothic" w:cs="Arial"/>
          <w:i/>
          <w:iCs/>
          <w:color w:val="000000"/>
          <w:lang w:val="es-ES_tradnl" w:eastAsia="es-ES_tradnl"/>
        </w:rPr>
        <w:t>ibidem</w:t>
      </w:r>
      <w:r w:rsidR="00E15390">
        <w:rPr>
          <w:rFonts w:ascii="Century Gothic" w:eastAsia="Arial" w:hAnsi="Century Gothic" w:cs="Arial"/>
          <w:i/>
          <w:iCs/>
          <w:color w:val="000000"/>
          <w:lang w:val="es-ES_tradnl" w:eastAsia="es-ES_tradnl"/>
        </w:rPr>
        <w:t xml:space="preserve">, </w:t>
      </w:r>
      <w:r w:rsidR="00E15390">
        <w:rPr>
          <w:rFonts w:ascii="Century Gothic" w:eastAsia="Arial" w:hAnsi="Century Gothic" w:cs="Arial"/>
          <w:color w:val="000000"/>
          <w:lang w:val="es-ES_tradnl" w:eastAsia="es-ES_tradnl"/>
        </w:rPr>
        <w:t>la entidad puede –no tiene que–</w:t>
      </w:r>
      <w:r w:rsidR="00F01558">
        <w:rPr>
          <w:rFonts w:ascii="Century Gothic" w:eastAsia="Arial" w:hAnsi="Century Gothic" w:cs="Arial"/>
          <w:color w:val="000000"/>
          <w:lang w:val="es-ES_tradnl" w:eastAsia="es-ES_tradnl"/>
        </w:rPr>
        <w:t xml:space="preserve"> decidir si limita la convocatoria a las Mipymes nacionales domiciliadas en el municipio o departam</w:t>
      </w:r>
      <w:r w:rsidR="004E491B">
        <w:rPr>
          <w:rFonts w:ascii="Century Gothic" w:eastAsia="Arial" w:hAnsi="Century Gothic" w:cs="Arial"/>
          <w:color w:val="000000"/>
          <w:lang w:val="es-ES_tradnl" w:eastAsia="es-ES_tradnl"/>
        </w:rPr>
        <w:t>ento en el que se ejecutará el contrato</w:t>
      </w:r>
      <w:r w:rsidR="002A190F" w:rsidRPr="00B00B5F">
        <w:rPr>
          <w:rFonts w:ascii="Century Gothic" w:hAnsi="Century Gothic" w:cs="Arial"/>
          <w:color w:val="000000" w:themeColor="text1"/>
          <w:vertAlign w:val="superscript"/>
        </w:rPr>
        <w:footnoteReference w:id="5"/>
      </w:r>
      <w:r w:rsidR="002A190F" w:rsidRPr="00B00B5F">
        <w:rPr>
          <w:rFonts w:ascii="Century Gothic" w:hAnsi="Century Gothic" w:cs="Arial"/>
          <w:color w:val="000000" w:themeColor="text1"/>
        </w:rPr>
        <w:t>.</w:t>
      </w:r>
      <w:r w:rsidR="002A190F">
        <w:rPr>
          <w:rFonts w:ascii="Century Gothic" w:hAnsi="Century Gothic" w:cs="Arial"/>
          <w:color w:val="000000" w:themeColor="text1"/>
        </w:rPr>
        <w:t xml:space="preserve"> Esto, de acuerdo con lo establecido en el artículo </w:t>
      </w:r>
      <w:r w:rsidR="00917942" w:rsidRPr="00B00B5F">
        <w:rPr>
          <w:rFonts w:ascii="Century Gothic" w:hAnsi="Century Gothic" w:cs="Arial"/>
          <w:color w:val="000000" w:themeColor="text1"/>
        </w:rPr>
        <w:t>2.2.1.2.4.2.3. del Decreto 1082 de 2015</w:t>
      </w:r>
      <w:r w:rsidR="00917942">
        <w:rPr>
          <w:rFonts w:ascii="Century Gothic" w:hAnsi="Century Gothic" w:cs="Arial"/>
          <w:color w:val="000000" w:themeColor="text1"/>
        </w:rPr>
        <w:t xml:space="preserve">, modificado por </w:t>
      </w:r>
      <w:r w:rsidR="00B86BA8">
        <w:rPr>
          <w:rFonts w:ascii="Century Gothic" w:hAnsi="Century Gothic" w:cs="Arial"/>
          <w:color w:val="000000" w:themeColor="text1"/>
        </w:rPr>
        <w:t>el artículo 5 del Decreto 1860 de 2021, norma que se refiere a la facultad de la Administración con el verbo infinitivo “poder”, no “deber”. En cu</w:t>
      </w:r>
      <w:r w:rsidR="00F20C29">
        <w:rPr>
          <w:rFonts w:ascii="Century Gothic" w:hAnsi="Century Gothic" w:cs="Arial"/>
          <w:color w:val="000000" w:themeColor="text1"/>
        </w:rPr>
        <w:t>alquier caso, Colombia Compra Eficiente ha sostenido que es discrecional la decisión de limitar territorialmente una convocatoria</w:t>
      </w:r>
      <w:r w:rsidR="00987B64">
        <w:rPr>
          <w:rFonts w:ascii="Century Gothic" w:hAnsi="Century Gothic" w:cs="Arial"/>
          <w:color w:val="000000" w:themeColor="text1"/>
        </w:rPr>
        <w:t xml:space="preserve"> a Mipymes, y ha sostenido que, de todos modos, la decisión debe estar justificada en los correspondientes “estudios del sector”. Así lo consideró en </w:t>
      </w:r>
      <w:r w:rsidR="0027775C">
        <w:rPr>
          <w:rFonts w:ascii="Century Gothic" w:hAnsi="Century Gothic" w:cs="Arial"/>
          <w:color w:val="000000" w:themeColor="text1"/>
        </w:rPr>
        <w:t xml:space="preserve">la consulta No. </w:t>
      </w:r>
      <w:r w:rsidR="0058013C" w:rsidRPr="0058013C">
        <w:rPr>
          <w:rFonts w:ascii="Century Gothic" w:eastAsia="Calibri" w:hAnsi="Century Gothic" w:cs="Arial"/>
          <w:color w:val="000000" w:themeColor="text1"/>
        </w:rPr>
        <w:t xml:space="preserve">216130003241, resuelta el 30 de junio de 2016. Igualmente, en la consulta resuelta en el radicado No. 2201813000008184, del 7 de septiembre de 2018, se dijo que, de acuerdo con el </w:t>
      </w:r>
      <w:r w:rsidR="0058013C" w:rsidRPr="0058013C">
        <w:rPr>
          <w:rFonts w:ascii="Century Gothic" w:hAnsi="Century Gothic" w:cs="Arial"/>
          <w:color w:val="000000" w:themeColor="text1"/>
        </w:rPr>
        <w:t>artículo 2.2.1.2.4.2.3. del Decreto 1082 de 2015,</w:t>
      </w:r>
      <w:r w:rsidR="0058013C" w:rsidRPr="0058013C">
        <w:rPr>
          <w:rFonts w:ascii="Century Gothic" w:eastAsia="Calibri" w:hAnsi="Century Gothic" w:cs="Arial"/>
          <w:color w:val="000000" w:themeColor="text1"/>
        </w:rPr>
        <w:t xml:space="preserve"> las Mipymes beneficiadas deben tener su domicilio principal en el municipio o departamento donde se ejecutará el contrato para poder participar en una convocatoria limitada territorialmente</w:t>
      </w:r>
      <w:r w:rsidR="0058013C" w:rsidRPr="0058013C">
        <w:rPr>
          <w:rFonts w:ascii="Century Gothic" w:hAnsi="Century Gothic" w:cs="Arial"/>
          <w:color w:val="000000" w:themeColor="text1"/>
          <w:vertAlign w:val="superscript"/>
        </w:rPr>
        <w:footnoteReference w:id="6"/>
      </w:r>
      <w:r w:rsidR="0058013C" w:rsidRPr="0058013C">
        <w:rPr>
          <w:rFonts w:ascii="Century Gothic" w:hAnsi="Century Gothic" w:cs="Arial"/>
          <w:color w:val="000000" w:themeColor="text1"/>
        </w:rPr>
        <w:t>.</w:t>
      </w:r>
    </w:p>
    <w:p w14:paraId="37ECDF33" w14:textId="2A47BC27" w:rsidR="00E15390" w:rsidRPr="00E15390" w:rsidRDefault="00D84C1C" w:rsidP="00F01558">
      <w:pPr>
        <w:spacing w:after="120" w:line="276" w:lineRule="auto"/>
        <w:ind w:firstLine="708"/>
        <w:jc w:val="both"/>
        <w:rPr>
          <w:rFonts w:ascii="Century Gothic" w:eastAsia="Arial" w:hAnsi="Century Gothic" w:cs="Arial"/>
          <w:color w:val="000000"/>
          <w:lang w:val="es-ES_tradnl" w:eastAsia="es-ES_tradnl"/>
        </w:rPr>
      </w:pPr>
      <w:r>
        <w:rPr>
          <w:rFonts w:ascii="Century Gothic" w:eastAsia="Arial" w:hAnsi="Century Gothic" w:cs="Arial"/>
          <w:color w:val="000000"/>
          <w:lang w:val="es-ES_tradnl" w:eastAsia="es-ES_tradnl"/>
        </w:rPr>
        <w:t xml:space="preserve">Conforme se mencionó antes, los artículos </w:t>
      </w:r>
      <w:r w:rsidR="00DB50AF" w:rsidRPr="00DB50AF">
        <w:rPr>
          <w:rFonts w:ascii="Century Gothic" w:eastAsia="Arial" w:hAnsi="Century Gothic" w:cs="Arial"/>
          <w:color w:val="000000"/>
          <w:lang w:val="es-ES_tradnl" w:eastAsia="es-ES_tradnl"/>
        </w:rPr>
        <w:t xml:space="preserve">2.1.2.4.2.2 y 2.2.1.2.4.2.3 </w:t>
      </w:r>
      <w:r w:rsidR="00DB50AF">
        <w:rPr>
          <w:rFonts w:ascii="Century Gothic" w:eastAsia="Arial" w:hAnsi="Century Gothic" w:cs="Arial"/>
          <w:color w:val="000000"/>
          <w:lang w:val="es-ES_tradnl" w:eastAsia="es-ES_tradnl"/>
        </w:rPr>
        <w:t xml:space="preserve">deben ser interpretados de manera armónica, como quiera que para </w:t>
      </w:r>
      <w:r w:rsidR="004C11A0">
        <w:rPr>
          <w:rFonts w:ascii="Century Gothic" w:eastAsia="Arial" w:hAnsi="Century Gothic" w:cs="Arial"/>
          <w:color w:val="000000"/>
          <w:lang w:val="es-ES_tradnl" w:eastAsia="es-ES_tradnl"/>
        </w:rPr>
        <w:t xml:space="preserve">realizar la limitación territorial a Mipymes, es indispensable que se cumplan, no solo </w:t>
      </w:r>
      <w:r w:rsidR="008B2FD9">
        <w:rPr>
          <w:rFonts w:ascii="Century Gothic" w:eastAsia="Arial" w:hAnsi="Century Gothic" w:cs="Arial"/>
          <w:color w:val="000000"/>
          <w:lang w:val="es-ES_tradnl" w:eastAsia="es-ES_tradnl"/>
        </w:rPr>
        <w:t>los</w:t>
      </w:r>
      <w:r w:rsidR="004C11A0">
        <w:rPr>
          <w:rFonts w:ascii="Century Gothic" w:eastAsia="Arial" w:hAnsi="Century Gothic" w:cs="Arial"/>
          <w:color w:val="000000"/>
          <w:lang w:val="es-ES_tradnl" w:eastAsia="es-ES_tradnl"/>
        </w:rPr>
        <w:t xml:space="preserve"> </w:t>
      </w:r>
      <w:r w:rsidR="003F05E1">
        <w:rPr>
          <w:rFonts w:ascii="Century Gothic" w:eastAsia="Arial" w:hAnsi="Century Gothic" w:cs="Arial"/>
          <w:color w:val="000000"/>
          <w:lang w:val="es-ES_tradnl" w:eastAsia="es-ES_tradnl"/>
        </w:rPr>
        <w:t>presupuesto</w:t>
      </w:r>
      <w:r w:rsidR="008B2FD9">
        <w:rPr>
          <w:rFonts w:ascii="Century Gothic" w:eastAsia="Arial" w:hAnsi="Century Gothic" w:cs="Arial"/>
          <w:color w:val="000000"/>
          <w:lang w:val="es-ES_tradnl" w:eastAsia="es-ES_tradnl"/>
        </w:rPr>
        <w:t>s</w:t>
      </w:r>
      <w:r w:rsidR="003F05E1">
        <w:rPr>
          <w:rFonts w:ascii="Century Gothic" w:eastAsia="Arial" w:hAnsi="Century Gothic" w:cs="Arial"/>
          <w:color w:val="000000"/>
          <w:lang w:val="es-ES_tradnl" w:eastAsia="es-ES_tradnl"/>
        </w:rPr>
        <w:t xml:space="preserve"> establecido</w:t>
      </w:r>
      <w:r w:rsidR="008B2FD9">
        <w:rPr>
          <w:rFonts w:ascii="Century Gothic" w:eastAsia="Arial" w:hAnsi="Century Gothic" w:cs="Arial"/>
          <w:color w:val="000000"/>
          <w:lang w:val="es-ES_tradnl" w:eastAsia="es-ES_tradnl"/>
        </w:rPr>
        <w:t>s</w:t>
      </w:r>
      <w:r w:rsidR="003F05E1">
        <w:rPr>
          <w:rFonts w:ascii="Century Gothic" w:eastAsia="Arial" w:hAnsi="Century Gothic" w:cs="Arial"/>
          <w:color w:val="000000"/>
          <w:lang w:val="es-ES_tradnl" w:eastAsia="es-ES_tradnl"/>
        </w:rPr>
        <w:t xml:space="preserve"> en el </w:t>
      </w:r>
      <w:r w:rsidR="007D358E">
        <w:rPr>
          <w:rFonts w:ascii="Century Gothic" w:eastAsia="Arial" w:hAnsi="Century Gothic" w:cs="Arial"/>
          <w:color w:val="000000"/>
          <w:lang w:val="es-ES_tradnl" w:eastAsia="es-ES_tradnl"/>
        </w:rPr>
        <w:t>artículo 2.2.1.2.4.2.3.</w:t>
      </w:r>
      <w:r w:rsidR="007D358E" w:rsidRPr="007D358E">
        <w:rPr>
          <w:rFonts w:ascii="Century Gothic" w:eastAsia="Arial" w:hAnsi="Century Gothic" w:cs="Arial"/>
          <w:color w:val="000000"/>
          <w:lang w:val="es-ES_tradnl" w:eastAsia="es-ES_tradnl"/>
        </w:rPr>
        <w:t>–domicilio en el municipio o departamento de ejecución del contrato–,</w:t>
      </w:r>
      <w:r w:rsidR="007D358E">
        <w:rPr>
          <w:rFonts w:ascii="Century Gothic" w:eastAsia="Arial" w:hAnsi="Century Gothic" w:cs="Arial"/>
          <w:color w:val="000000"/>
          <w:lang w:val="es-ES_tradnl" w:eastAsia="es-ES_tradnl"/>
        </w:rPr>
        <w:t xml:space="preserve"> </w:t>
      </w:r>
      <w:r w:rsidR="001A0E2C">
        <w:rPr>
          <w:rFonts w:ascii="Century Gothic" w:eastAsia="Arial" w:hAnsi="Century Gothic" w:cs="Arial"/>
          <w:color w:val="000000"/>
          <w:lang w:val="es-ES_tradnl" w:eastAsia="es-ES_tradnl"/>
        </w:rPr>
        <w:t xml:space="preserve">sino también los establecidos en el artículo </w:t>
      </w:r>
      <w:r w:rsidR="0002022D" w:rsidRPr="0002022D">
        <w:rPr>
          <w:rFonts w:ascii="Century Gothic" w:eastAsia="Arial" w:hAnsi="Century Gothic" w:cs="Arial"/>
          <w:color w:val="000000"/>
          <w:lang w:val="es-ES_tradnl" w:eastAsia="es-ES_tradnl"/>
        </w:rPr>
        <w:t>2.2.1.2.4.2.2 –valor del proceso de contratación en el rango indicado y solicitudes de al menos dos Mipymes presentadas oportunamente–.</w:t>
      </w:r>
      <w:r w:rsidR="0002022D">
        <w:rPr>
          <w:rFonts w:ascii="Century Gothic" w:eastAsia="Arial" w:hAnsi="Century Gothic" w:cs="Arial"/>
          <w:color w:val="000000"/>
          <w:lang w:val="es-ES_tradnl" w:eastAsia="es-ES_tradnl"/>
        </w:rPr>
        <w:t xml:space="preserve"> En ese sentido, para que proceda la limitación territorial, es necesario que se presenten al menos </w:t>
      </w:r>
      <w:r w:rsidR="00A824F7">
        <w:rPr>
          <w:rFonts w:ascii="Century Gothic" w:eastAsia="Arial" w:hAnsi="Century Gothic" w:cs="Arial"/>
          <w:color w:val="000000"/>
          <w:lang w:val="es-ES_tradnl" w:eastAsia="es-ES_tradnl"/>
        </w:rPr>
        <w:t xml:space="preserve">dos </w:t>
      </w:r>
      <w:r w:rsidR="005F5A9F">
        <w:rPr>
          <w:rFonts w:ascii="Century Gothic" w:eastAsia="Arial" w:hAnsi="Century Gothic" w:cs="Arial"/>
          <w:color w:val="000000"/>
          <w:lang w:val="es-ES_tradnl" w:eastAsia="es-ES_tradnl"/>
        </w:rPr>
        <w:t xml:space="preserve">solicitudes de Mipymes domiciliadas en el departamento o municipio en donde se va a ejecutar </w:t>
      </w:r>
      <w:r w:rsidR="005F5A9F">
        <w:rPr>
          <w:rFonts w:ascii="Century Gothic" w:eastAsia="Arial" w:hAnsi="Century Gothic" w:cs="Arial"/>
          <w:color w:val="000000"/>
          <w:lang w:val="es-ES_tradnl" w:eastAsia="es-ES_tradnl"/>
        </w:rPr>
        <w:lastRenderedPageBreak/>
        <w:t>el contrato.</w:t>
      </w:r>
      <w:r w:rsidR="004B6022">
        <w:rPr>
          <w:rFonts w:ascii="Century Gothic" w:eastAsia="Arial" w:hAnsi="Century Gothic" w:cs="Arial"/>
          <w:color w:val="000000"/>
          <w:lang w:val="es-ES_tradnl" w:eastAsia="es-ES_tradnl"/>
        </w:rPr>
        <w:t xml:space="preserve"> </w:t>
      </w:r>
      <w:r w:rsidR="00301BD8" w:rsidRPr="00B00B5F">
        <w:rPr>
          <w:rFonts w:ascii="Century Gothic" w:eastAsia="Calibri" w:hAnsi="Century Gothic" w:cs="Arial"/>
          <w:color w:val="000000" w:themeColor="text1"/>
        </w:rPr>
        <w:t>Este entendimiento de la norma</w:t>
      </w:r>
      <w:r w:rsidR="004B6022">
        <w:rPr>
          <w:rFonts w:ascii="Century Gothic" w:eastAsia="Arial" w:hAnsi="Century Gothic" w:cs="Arial"/>
          <w:color w:val="000000"/>
          <w:lang w:val="es-ES_tradnl" w:eastAsia="es-ES_tradnl"/>
        </w:rPr>
        <w:t xml:space="preserve">, </w:t>
      </w:r>
      <w:r w:rsidR="00CE4600">
        <w:rPr>
          <w:rFonts w:ascii="Century Gothic" w:eastAsia="Arial" w:hAnsi="Century Gothic" w:cs="Arial"/>
          <w:color w:val="000000"/>
          <w:lang w:val="es-ES_tradnl" w:eastAsia="es-ES_tradnl"/>
        </w:rPr>
        <w:t>permite incluso, que se realicen dos interpretaciones sobre las que se deben hacer unas precisiones.</w:t>
      </w:r>
    </w:p>
    <w:p w14:paraId="7DF50A2B" w14:textId="28C7862D" w:rsidR="00DC3C0B" w:rsidRDefault="00301BD8" w:rsidP="0021688F">
      <w:pPr>
        <w:spacing w:after="120" w:line="276" w:lineRule="auto"/>
        <w:ind w:firstLine="708"/>
        <w:jc w:val="both"/>
        <w:rPr>
          <w:rFonts w:ascii="Century Gothic" w:eastAsia="Arial" w:hAnsi="Century Gothic" w:cs="Arial"/>
          <w:color w:val="000000"/>
          <w:lang w:val="es-ES_tradnl" w:eastAsia="es-ES_tradnl"/>
        </w:rPr>
      </w:pPr>
      <w:r>
        <w:rPr>
          <w:rFonts w:ascii="Century Gothic" w:eastAsia="Arial" w:hAnsi="Century Gothic" w:cs="Arial"/>
          <w:color w:val="000000"/>
          <w:lang w:val="es-ES_tradnl" w:eastAsia="es-ES_tradnl"/>
        </w:rPr>
        <w:t xml:space="preserve">Por un lado, supone que la </w:t>
      </w:r>
      <w:r w:rsidR="00E6266E">
        <w:rPr>
          <w:rFonts w:ascii="Century Gothic" w:eastAsia="Arial" w:hAnsi="Century Gothic" w:cs="Arial"/>
          <w:color w:val="000000"/>
          <w:lang w:val="es-ES_tradnl" w:eastAsia="es-ES_tradnl"/>
        </w:rPr>
        <w:t>decisión de limitar territorialmente la convocatoria opera de pleno derecho, cuando lo solicitan dos Mipymes nacionales domiciliadas en el municipio o en el ordenamiento en el que se va a ejecutar el contrato</w:t>
      </w:r>
      <w:r w:rsidR="00F71E09">
        <w:rPr>
          <w:rFonts w:ascii="Century Gothic" w:eastAsia="Arial" w:hAnsi="Century Gothic" w:cs="Arial"/>
          <w:color w:val="000000"/>
          <w:lang w:val="es-ES_tradnl" w:eastAsia="es-ES_tradnl"/>
        </w:rPr>
        <w:t>. Sin embargo, se debe tener presente que lo que sucede de pleno derecho es la limitación a Mipymes nacionales</w:t>
      </w:r>
      <w:r w:rsidR="00095246">
        <w:rPr>
          <w:rFonts w:ascii="Century Gothic" w:eastAsia="Arial" w:hAnsi="Century Gothic" w:cs="Arial"/>
          <w:color w:val="000000"/>
          <w:lang w:val="es-ES_tradnl" w:eastAsia="es-ES_tradnl"/>
        </w:rPr>
        <w:t xml:space="preserve"> a la que se refiere el artículo </w:t>
      </w:r>
      <w:r w:rsidR="00243F34" w:rsidRPr="00243F34">
        <w:rPr>
          <w:rFonts w:ascii="Century Gothic" w:eastAsia="Arial" w:hAnsi="Century Gothic" w:cs="Arial"/>
          <w:color w:val="000000"/>
          <w:lang w:val="es-ES_tradnl" w:eastAsia="es-ES_tradnl"/>
        </w:rPr>
        <w:t>2.2.1.2.4.2.2. del Decreto 1082 de 2015</w:t>
      </w:r>
      <w:r w:rsidR="00243F34">
        <w:rPr>
          <w:rFonts w:ascii="Century Gothic" w:eastAsia="Arial" w:hAnsi="Century Gothic" w:cs="Arial"/>
          <w:color w:val="000000"/>
          <w:lang w:val="es-ES_tradnl" w:eastAsia="es-ES_tradnl"/>
        </w:rPr>
        <w:t xml:space="preserve">, modificado por el artículo 5 del Decreto 1860 de 2021, </w:t>
      </w:r>
      <w:r w:rsidR="00ED5D1A">
        <w:rPr>
          <w:rFonts w:ascii="Century Gothic" w:eastAsia="Arial" w:hAnsi="Century Gothic" w:cs="Arial"/>
          <w:color w:val="000000"/>
          <w:lang w:val="es-ES_tradnl" w:eastAsia="es-ES_tradnl"/>
        </w:rPr>
        <w:t xml:space="preserve">pero no la limitación territorial referida en el artículo </w:t>
      </w:r>
      <w:r w:rsidR="00316053" w:rsidRPr="00316053">
        <w:rPr>
          <w:rFonts w:ascii="Century Gothic" w:eastAsia="Arial" w:hAnsi="Century Gothic" w:cs="Arial"/>
          <w:color w:val="000000"/>
          <w:lang w:val="es-ES_tradnl" w:eastAsia="es-ES_tradnl"/>
        </w:rPr>
        <w:t>2.2.1.2.4.2.3. ibídem, pues esta, como ya se dijo, es facultativa para la entidad. Las únicas exigencias son que la convocatoria esté limitada a las Mipyme nacionales “domiciliadas en los departamentos o municipios en donde se va a ejecutar el contrato” y que la entidad justifique su decisión en los “estudios del sector”. No es procedente, entonces, que sean las Mipymes las que soliciten la “limitación territorial” a la que se refiere el artículo 2.2.1.2.4.2.3. del Decreto 1082 de 2015.</w:t>
      </w:r>
    </w:p>
    <w:p w14:paraId="17030066" w14:textId="7B353A3F" w:rsidR="00DC3C0B" w:rsidRPr="00BE0F12" w:rsidRDefault="00316053" w:rsidP="00E6266E">
      <w:pPr>
        <w:spacing w:after="120" w:line="276" w:lineRule="auto"/>
        <w:jc w:val="both"/>
        <w:rPr>
          <w:rFonts w:ascii="Century Gothic" w:eastAsia="Arial" w:hAnsi="Century Gothic" w:cs="Arial"/>
          <w:color w:val="000000"/>
          <w:lang w:val="es-ES_tradnl" w:eastAsia="es-ES_tradnl"/>
        </w:rPr>
      </w:pPr>
      <w:r>
        <w:rPr>
          <w:rFonts w:ascii="Century Gothic" w:eastAsia="Arial" w:hAnsi="Century Gothic" w:cs="Arial"/>
          <w:color w:val="000000"/>
          <w:lang w:val="es-ES_tradnl" w:eastAsia="es-ES_tradnl"/>
        </w:rPr>
        <w:tab/>
      </w:r>
      <w:r w:rsidR="00CE408C">
        <w:rPr>
          <w:rFonts w:ascii="Century Gothic" w:eastAsia="Arial" w:hAnsi="Century Gothic" w:cs="Arial"/>
          <w:color w:val="000000"/>
          <w:lang w:val="es-ES_tradnl" w:eastAsia="es-ES_tradnl"/>
        </w:rPr>
        <w:t xml:space="preserve">Es del caso insistir en que si la entidad ejerce la facultad que le confiere el artículo </w:t>
      </w:r>
      <w:r w:rsidR="00BE0F12" w:rsidRPr="00BE0F12">
        <w:rPr>
          <w:rFonts w:ascii="Century Gothic" w:eastAsia="Arial" w:hAnsi="Century Gothic" w:cs="Arial"/>
          <w:color w:val="000000"/>
          <w:lang w:val="es-ES_tradnl" w:eastAsia="es-ES_tradnl"/>
        </w:rPr>
        <w:t>2.2.1.2.4.2.3</w:t>
      </w:r>
      <w:r w:rsidR="00BE0F12">
        <w:rPr>
          <w:rFonts w:ascii="Century Gothic" w:eastAsia="Arial" w:hAnsi="Century Gothic" w:cs="Arial"/>
          <w:color w:val="000000"/>
          <w:lang w:val="es-ES_tradnl" w:eastAsia="es-ES_tradnl"/>
        </w:rPr>
        <w:t xml:space="preserve"> </w:t>
      </w:r>
      <w:r w:rsidR="00BE0F12">
        <w:rPr>
          <w:rFonts w:ascii="Century Gothic" w:eastAsia="Arial" w:hAnsi="Century Gothic" w:cs="Arial"/>
          <w:i/>
          <w:iCs/>
          <w:color w:val="000000"/>
          <w:lang w:val="es-ES_tradnl" w:eastAsia="es-ES_tradnl"/>
        </w:rPr>
        <w:t xml:space="preserve">ibidem, </w:t>
      </w:r>
      <w:r w:rsidR="00BE0F12">
        <w:rPr>
          <w:rFonts w:ascii="Century Gothic" w:eastAsia="Arial" w:hAnsi="Century Gothic" w:cs="Arial"/>
          <w:color w:val="000000"/>
          <w:lang w:val="es-ES_tradnl" w:eastAsia="es-ES_tradnl"/>
        </w:rPr>
        <w:t xml:space="preserve">tendrá que justificar </w:t>
      </w:r>
      <w:r w:rsidR="00976CD3">
        <w:rPr>
          <w:rFonts w:ascii="Century Gothic" w:eastAsia="Arial" w:hAnsi="Century Gothic" w:cs="Arial"/>
          <w:color w:val="000000"/>
          <w:lang w:val="es-ES_tradnl" w:eastAsia="es-ES_tradnl"/>
        </w:rPr>
        <w:t xml:space="preserve">dicha decisión, acudiendo a criterios técnicos y económicos, y en todo caso, explicando concretamente las razones que justifican tal determinación. </w:t>
      </w:r>
      <w:r w:rsidR="009A02C5" w:rsidRPr="009A02C5">
        <w:rPr>
          <w:rFonts w:ascii="Century Gothic" w:eastAsia="Arial" w:hAnsi="Century Gothic" w:cs="Arial"/>
          <w:color w:val="000000"/>
          <w:lang w:val="es-ES_tradnl" w:eastAsia="es-ES_tradnl"/>
        </w:rPr>
        <w:t>También se debe reiterar que el origen de las Mipymes que solicitan la “limitación territorial” no es relevante frente a dicha decisión, por dos razones. Primero, porque las Mipymes no están habilitadas para pedir la “limitación territorial”, lo están para pedir la “convocatoria limitada a Mipymes”, y, segundo, porque el único criterio a tener en cuenta, una vez se ha decidido justificadamente limitar territorialmente la convocatoria previamente limitada a Mipymes, es el lugar donde se va a ejecutar el contrato.</w:t>
      </w:r>
    </w:p>
    <w:p w14:paraId="332B4B21" w14:textId="2566FDF7" w:rsidR="00316053" w:rsidRDefault="009A02C5" w:rsidP="00E6266E">
      <w:pPr>
        <w:spacing w:after="120" w:line="276" w:lineRule="auto"/>
        <w:jc w:val="both"/>
        <w:rPr>
          <w:rFonts w:ascii="Century Gothic" w:eastAsia="Arial" w:hAnsi="Century Gothic" w:cs="Arial"/>
          <w:color w:val="000000"/>
          <w:lang w:val="es-ES_tradnl" w:eastAsia="es-ES_tradnl"/>
        </w:rPr>
      </w:pPr>
      <w:r>
        <w:rPr>
          <w:rFonts w:ascii="Century Gothic" w:eastAsia="Arial" w:hAnsi="Century Gothic" w:cs="Arial"/>
          <w:color w:val="000000"/>
          <w:lang w:val="es-ES_tradnl" w:eastAsia="es-ES_tradnl"/>
        </w:rPr>
        <w:tab/>
        <w:t xml:space="preserve">Por otro lado, y teniendo en cuenta el asunto bajo consulta, </w:t>
      </w:r>
      <w:r w:rsidR="00F55E98">
        <w:rPr>
          <w:rFonts w:ascii="Century Gothic" w:eastAsia="Arial" w:hAnsi="Century Gothic" w:cs="Arial"/>
          <w:color w:val="000000"/>
          <w:lang w:val="es-ES_tradnl" w:eastAsia="es-ES_tradnl"/>
        </w:rPr>
        <w:t>debe resaltarse que la decisión</w:t>
      </w:r>
      <w:r w:rsidR="009A36C8">
        <w:rPr>
          <w:rFonts w:ascii="Century Gothic" w:eastAsia="Arial" w:hAnsi="Century Gothic" w:cs="Arial"/>
          <w:color w:val="000000"/>
          <w:lang w:val="es-ES_tradnl" w:eastAsia="es-ES_tradnl"/>
        </w:rPr>
        <w:t xml:space="preserve"> de limitar la convocatoria por parte</w:t>
      </w:r>
      <w:r w:rsidR="00F55E98">
        <w:rPr>
          <w:rFonts w:ascii="Century Gothic" w:eastAsia="Arial" w:hAnsi="Century Gothic" w:cs="Arial"/>
          <w:color w:val="000000"/>
          <w:lang w:val="es-ES_tradnl" w:eastAsia="es-ES_tradnl"/>
        </w:rPr>
        <w:t xml:space="preserve"> de la entidad</w:t>
      </w:r>
      <w:r w:rsidR="00E70018">
        <w:rPr>
          <w:rFonts w:ascii="Century Gothic" w:eastAsia="Arial" w:hAnsi="Century Gothic" w:cs="Arial"/>
          <w:color w:val="000000"/>
          <w:lang w:val="es-ES_tradnl" w:eastAsia="es-ES_tradnl"/>
        </w:rPr>
        <w:t>,</w:t>
      </w:r>
      <w:r w:rsidR="00317512">
        <w:rPr>
          <w:rFonts w:ascii="Century Gothic" w:eastAsia="Arial" w:hAnsi="Century Gothic" w:cs="Arial"/>
          <w:color w:val="000000"/>
          <w:lang w:val="es-ES_tradnl" w:eastAsia="es-ES_tradnl"/>
        </w:rPr>
        <w:t xml:space="preserve"> únicamente puede darse si la solicitud provino de dos</w:t>
      </w:r>
      <w:r w:rsidR="00E70018">
        <w:rPr>
          <w:rFonts w:ascii="Century Gothic" w:eastAsia="Arial" w:hAnsi="Century Gothic" w:cs="Arial"/>
          <w:color w:val="000000"/>
          <w:lang w:val="es-ES_tradnl" w:eastAsia="es-ES_tradnl"/>
        </w:rPr>
        <w:t xml:space="preserve"> (2)</w:t>
      </w:r>
      <w:r w:rsidR="00317512">
        <w:rPr>
          <w:rFonts w:ascii="Century Gothic" w:eastAsia="Arial" w:hAnsi="Century Gothic" w:cs="Arial"/>
          <w:color w:val="000000"/>
          <w:lang w:val="es-ES_tradnl" w:eastAsia="es-ES_tradnl"/>
        </w:rPr>
        <w:t xml:space="preserve"> o más Mipymes domiciliadas en el municipio o departamento en donde se va a ejecutar el contrato. Sin embargo,</w:t>
      </w:r>
      <w:r w:rsidR="00A05B56">
        <w:rPr>
          <w:rFonts w:ascii="Century Gothic" w:eastAsia="Arial" w:hAnsi="Century Gothic" w:cs="Arial"/>
          <w:color w:val="000000"/>
          <w:lang w:val="es-ES_tradnl" w:eastAsia="es-ES_tradnl"/>
        </w:rPr>
        <w:t xml:space="preserve"> previo a esto,</w:t>
      </w:r>
      <w:r w:rsidR="00317512">
        <w:rPr>
          <w:rFonts w:ascii="Century Gothic" w:eastAsia="Arial" w:hAnsi="Century Gothic" w:cs="Arial"/>
          <w:color w:val="000000"/>
          <w:lang w:val="es-ES_tradnl" w:eastAsia="es-ES_tradnl"/>
        </w:rPr>
        <w:t xml:space="preserve"> </w:t>
      </w:r>
      <w:r w:rsidR="00A05B56">
        <w:rPr>
          <w:rFonts w:ascii="Century Gothic" w:eastAsia="Arial" w:hAnsi="Century Gothic" w:cs="Arial"/>
          <w:color w:val="000000"/>
          <w:lang w:val="es-ES_tradnl" w:eastAsia="es-ES_tradnl"/>
        </w:rPr>
        <w:t>la entidad debe verificar el cumplimiento de los requisitos</w:t>
      </w:r>
      <w:r w:rsidR="00EA384E">
        <w:rPr>
          <w:rFonts w:ascii="Century Gothic" w:eastAsia="Arial" w:hAnsi="Century Gothic" w:cs="Arial"/>
          <w:color w:val="000000"/>
          <w:lang w:val="es-ES_tradnl" w:eastAsia="es-ES_tradnl"/>
        </w:rPr>
        <w:t xml:space="preserve"> dispuestos en los numerales 1 y 2 del artículo </w:t>
      </w:r>
      <w:r w:rsidR="00F43BB2" w:rsidRPr="00B00B5F">
        <w:rPr>
          <w:rFonts w:ascii="Century Gothic" w:eastAsia="Calibri" w:hAnsi="Century Gothic" w:cs="Arial"/>
          <w:color w:val="000000" w:themeColor="text1"/>
        </w:rPr>
        <w:t>2.2.1.2.4.2.2. del Decreto 1082 de 2015, modificado por el</w:t>
      </w:r>
      <w:r w:rsidR="00F43BB2">
        <w:rPr>
          <w:rFonts w:ascii="Century Gothic" w:eastAsia="Calibri" w:hAnsi="Century Gothic" w:cs="Arial"/>
          <w:color w:val="000000" w:themeColor="text1"/>
        </w:rPr>
        <w:t xml:space="preserve"> artículo 5 del</w:t>
      </w:r>
      <w:r w:rsidR="00F43BB2" w:rsidRPr="00B00B5F">
        <w:rPr>
          <w:rFonts w:ascii="Century Gothic" w:eastAsia="Calibri" w:hAnsi="Century Gothic" w:cs="Arial"/>
          <w:color w:val="000000" w:themeColor="text1"/>
        </w:rPr>
        <w:t xml:space="preserve"> Decreto 1860 de 2021</w:t>
      </w:r>
      <w:r w:rsidR="004243BA">
        <w:rPr>
          <w:rFonts w:ascii="Century Gothic" w:eastAsia="Calibri" w:hAnsi="Century Gothic" w:cs="Arial"/>
          <w:color w:val="000000" w:themeColor="text1"/>
        </w:rPr>
        <w:t xml:space="preserve">. </w:t>
      </w:r>
    </w:p>
    <w:p w14:paraId="2AE3528E" w14:textId="2AF6D24A" w:rsidR="00316053" w:rsidRPr="005763B7" w:rsidRDefault="00BC38FF" w:rsidP="00EF7C8B">
      <w:pPr>
        <w:spacing w:after="0" w:line="276" w:lineRule="auto"/>
        <w:jc w:val="both"/>
        <w:rPr>
          <w:rFonts w:ascii="Century Gothic" w:eastAsia="Arial" w:hAnsi="Century Gothic" w:cs="Arial"/>
          <w:color w:val="000000"/>
          <w:lang w:val="es-ES_tradnl" w:eastAsia="es-ES_tradnl"/>
        </w:rPr>
      </w:pPr>
      <w:r>
        <w:rPr>
          <w:rFonts w:ascii="Century Gothic" w:eastAsia="Arial" w:hAnsi="Century Gothic" w:cs="Arial"/>
          <w:color w:val="000000"/>
          <w:lang w:val="es-ES_tradnl" w:eastAsia="es-ES_tradnl"/>
        </w:rPr>
        <w:tab/>
        <w:t>En ese orden, en caso de que una Mipyme se encuentre interesada en solicitar la limitación d</w:t>
      </w:r>
      <w:r w:rsidR="00764090">
        <w:rPr>
          <w:rFonts w:ascii="Century Gothic" w:eastAsia="Arial" w:hAnsi="Century Gothic" w:cs="Arial"/>
          <w:color w:val="000000"/>
          <w:lang w:val="es-ES_tradnl" w:eastAsia="es-ES_tradnl"/>
        </w:rPr>
        <w:t>e la convocatoria, deberá</w:t>
      </w:r>
      <w:r w:rsidR="00DC53C9">
        <w:rPr>
          <w:rFonts w:ascii="Century Gothic" w:eastAsia="Arial" w:hAnsi="Century Gothic" w:cs="Arial"/>
          <w:color w:val="000000"/>
          <w:lang w:val="es-ES_tradnl" w:eastAsia="es-ES_tradnl"/>
        </w:rPr>
        <w:t xml:space="preserve"> junto con su respectiva solicitud</w:t>
      </w:r>
      <w:r w:rsidR="005D27A1">
        <w:rPr>
          <w:rFonts w:ascii="Century Gothic" w:eastAsia="Arial" w:hAnsi="Century Gothic" w:cs="Arial"/>
          <w:color w:val="000000"/>
          <w:lang w:val="es-ES_tradnl" w:eastAsia="es-ES_tradnl"/>
        </w:rPr>
        <w:t xml:space="preserve">, las cual </w:t>
      </w:r>
      <w:r w:rsidR="00A6318E">
        <w:rPr>
          <w:rFonts w:ascii="Century Gothic" w:eastAsia="Arial" w:hAnsi="Century Gothic" w:cs="Arial"/>
          <w:color w:val="000000"/>
          <w:lang w:val="es-ES_tradnl" w:eastAsia="es-ES_tradnl"/>
        </w:rPr>
        <w:t xml:space="preserve">podrá </w:t>
      </w:r>
      <w:proofErr w:type="spellStart"/>
      <w:r w:rsidR="00A6318E">
        <w:rPr>
          <w:rFonts w:ascii="Century Gothic" w:eastAsia="Arial" w:hAnsi="Century Gothic" w:cs="Arial"/>
          <w:color w:val="000000"/>
          <w:lang w:val="es-ES_tradnl" w:eastAsia="es-ES_tradnl"/>
        </w:rPr>
        <w:t>allegar</w:t>
      </w:r>
      <w:proofErr w:type="spellEnd"/>
      <w:r w:rsidR="00A6318E">
        <w:rPr>
          <w:rFonts w:ascii="Century Gothic" w:eastAsia="Arial" w:hAnsi="Century Gothic" w:cs="Arial"/>
          <w:color w:val="000000"/>
          <w:lang w:val="es-ES_tradnl" w:eastAsia="es-ES_tradnl"/>
        </w:rPr>
        <w:t xml:space="preserve"> a la entidad</w:t>
      </w:r>
      <w:r w:rsidR="00801F2E">
        <w:rPr>
          <w:rFonts w:ascii="Century Gothic" w:eastAsia="Arial" w:hAnsi="Century Gothic" w:cs="Arial"/>
          <w:color w:val="000000"/>
          <w:lang w:val="es-ES_tradnl" w:eastAsia="es-ES_tradnl"/>
        </w:rPr>
        <w:t xml:space="preserve"> por lo menos un (1) día hábil antes de la expedición del acto administrativo de apertura del proceso de contratación</w:t>
      </w:r>
      <w:r w:rsidR="00DC53C9">
        <w:rPr>
          <w:rFonts w:ascii="Century Gothic" w:eastAsia="Arial" w:hAnsi="Century Gothic" w:cs="Arial"/>
          <w:color w:val="000000"/>
          <w:lang w:val="es-ES_tradnl" w:eastAsia="es-ES_tradnl"/>
        </w:rPr>
        <w:t xml:space="preserve">, </w:t>
      </w:r>
      <w:r w:rsidR="00DC53C9">
        <w:rPr>
          <w:rFonts w:ascii="Century Gothic" w:eastAsia="Arial" w:hAnsi="Century Gothic" w:cs="Arial"/>
          <w:color w:val="000000"/>
          <w:lang w:val="es-ES_tradnl" w:eastAsia="es-ES_tradnl"/>
        </w:rPr>
        <w:lastRenderedPageBreak/>
        <w:t>acreditar</w:t>
      </w:r>
      <w:r w:rsidR="001A2A63">
        <w:rPr>
          <w:rFonts w:ascii="Century Gothic" w:eastAsia="Arial" w:hAnsi="Century Gothic" w:cs="Arial"/>
          <w:color w:val="000000"/>
          <w:lang w:val="es-ES_tradnl" w:eastAsia="es-ES_tradnl"/>
        </w:rPr>
        <w:t>:</w:t>
      </w:r>
      <w:r w:rsidR="00DC53C9">
        <w:rPr>
          <w:rFonts w:ascii="Century Gothic" w:eastAsia="Arial" w:hAnsi="Century Gothic" w:cs="Arial"/>
          <w:color w:val="000000"/>
          <w:lang w:val="es-ES_tradnl" w:eastAsia="es-ES_tradnl"/>
        </w:rPr>
        <w:t xml:space="preserve"> </w:t>
      </w:r>
      <w:r w:rsidR="00DC53C9">
        <w:rPr>
          <w:rFonts w:ascii="Century Gothic" w:eastAsia="Arial" w:hAnsi="Century Gothic" w:cs="Arial"/>
          <w:i/>
          <w:iCs/>
          <w:color w:val="000000"/>
          <w:lang w:val="es-ES_tradnl" w:eastAsia="es-ES_tradnl"/>
        </w:rPr>
        <w:t>i)</w:t>
      </w:r>
      <w:r w:rsidR="005D27A1">
        <w:rPr>
          <w:rFonts w:ascii="Century Gothic" w:eastAsia="Arial" w:hAnsi="Century Gothic" w:cs="Arial"/>
          <w:i/>
          <w:iCs/>
          <w:color w:val="000000"/>
          <w:lang w:val="es-ES_tradnl" w:eastAsia="es-ES_tradnl"/>
        </w:rPr>
        <w:t xml:space="preserve"> </w:t>
      </w:r>
      <w:r w:rsidR="005763B7">
        <w:rPr>
          <w:rFonts w:ascii="Century Gothic" w:eastAsia="Arial" w:hAnsi="Century Gothic" w:cs="Arial"/>
          <w:color w:val="000000"/>
          <w:lang w:val="es-ES_tradnl" w:eastAsia="es-ES_tradnl"/>
        </w:rPr>
        <w:t xml:space="preserve">que </w:t>
      </w:r>
      <w:r w:rsidR="005D27A1" w:rsidRPr="001A2A63">
        <w:rPr>
          <w:rFonts w:ascii="Century Gothic" w:eastAsia="Arial" w:hAnsi="Century Gothic" w:cs="Arial"/>
          <w:color w:val="000000"/>
          <w:lang w:val="es-ES_tradnl" w:eastAsia="es-ES_tradnl"/>
        </w:rPr>
        <w:t>tiene el tamaño empresarial establecido por la ley para ser considerada Mipyme</w:t>
      </w:r>
      <w:r w:rsidR="00624737">
        <w:rPr>
          <w:rFonts w:ascii="Century Gothic" w:eastAsia="Arial" w:hAnsi="Century Gothic" w:cs="Arial"/>
          <w:i/>
          <w:iCs/>
          <w:color w:val="000000"/>
          <w:lang w:val="es-ES_tradnl" w:eastAsia="es-ES_tradnl"/>
        </w:rPr>
        <w:t>,</w:t>
      </w:r>
      <w:r w:rsidR="005D27A1">
        <w:rPr>
          <w:rFonts w:ascii="Century Gothic" w:eastAsia="Arial" w:hAnsi="Century Gothic" w:cs="Arial"/>
          <w:i/>
          <w:iCs/>
          <w:color w:val="000000"/>
          <w:lang w:val="es-ES_tradnl" w:eastAsia="es-ES_tradnl"/>
        </w:rPr>
        <w:t xml:space="preserve"> </w:t>
      </w:r>
      <w:proofErr w:type="spellStart"/>
      <w:r w:rsidR="005D27A1">
        <w:rPr>
          <w:rFonts w:ascii="Century Gothic" w:eastAsia="Arial" w:hAnsi="Century Gothic" w:cs="Arial"/>
          <w:i/>
          <w:iCs/>
          <w:color w:val="000000"/>
          <w:lang w:val="es-ES_tradnl" w:eastAsia="es-ES_tradnl"/>
        </w:rPr>
        <w:t>ii</w:t>
      </w:r>
      <w:proofErr w:type="spellEnd"/>
      <w:r w:rsidR="005D27A1">
        <w:rPr>
          <w:rFonts w:ascii="Century Gothic" w:eastAsia="Arial" w:hAnsi="Century Gothic" w:cs="Arial"/>
          <w:i/>
          <w:iCs/>
          <w:color w:val="000000"/>
          <w:lang w:val="es-ES_tradnl" w:eastAsia="es-ES_tradnl"/>
        </w:rPr>
        <w:t xml:space="preserve">) </w:t>
      </w:r>
      <w:r w:rsidR="005763B7">
        <w:rPr>
          <w:rFonts w:ascii="Century Gothic" w:eastAsia="Arial" w:hAnsi="Century Gothic" w:cs="Arial"/>
          <w:color w:val="000000"/>
          <w:lang w:val="es-ES_tradnl" w:eastAsia="es-ES_tradnl"/>
        </w:rPr>
        <w:t>que cuenta</w:t>
      </w:r>
      <w:r w:rsidR="00A6318E" w:rsidRPr="001A2A63">
        <w:rPr>
          <w:rFonts w:ascii="Century Gothic" w:eastAsia="Arial" w:hAnsi="Century Gothic" w:cs="Arial"/>
          <w:color w:val="000000"/>
          <w:lang w:val="es-ES_tradnl" w:eastAsia="es-ES_tradnl"/>
        </w:rPr>
        <w:t xml:space="preserve"> mínimo</w:t>
      </w:r>
      <w:r w:rsidR="005763B7">
        <w:rPr>
          <w:rFonts w:ascii="Century Gothic" w:eastAsia="Arial" w:hAnsi="Century Gothic" w:cs="Arial"/>
          <w:color w:val="000000"/>
          <w:lang w:val="es-ES_tradnl" w:eastAsia="es-ES_tradnl"/>
        </w:rPr>
        <w:t>, con</w:t>
      </w:r>
      <w:r w:rsidR="00A6318E" w:rsidRPr="001A2A63">
        <w:rPr>
          <w:rFonts w:ascii="Century Gothic" w:eastAsia="Arial" w:hAnsi="Century Gothic" w:cs="Arial"/>
          <w:color w:val="000000"/>
          <w:lang w:val="es-ES_tradnl" w:eastAsia="es-ES_tradnl"/>
        </w:rPr>
        <w:t xml:space="preserve"> un (1) año de existencia</w:t>
      </w:r>
      <w:r w:rsidR="00ED196C" w:rsidRPr="005763B7">
        <w:rPr>
          <w:rFonts w:ascii="Century Gothic" w:eastAsia="Arial" w:hAnsi="Century Gothic" w:cs="Arial"/>
          <w:color w:val="000000"/>
          <w:lang w:val="es-ES_tradnl" w:eastAsia="es-ES_tradnl"/>
        </w:rPr>
        <w:t xml:space="preserve"> y</w:t>
      </w:r>
      <w:r w:rsidR="00624737">
        <w:rPr>
          <w:rFonts w:ascii="Century Gothic" w:eastAsia="Arial" w:hAnsi="Century Gothic" w:cs="Arial"/>
          <w:color w:val="000000"/>
          <w:lang w:val="es-ES_tradnl" w:eastAsia="es-ES_tradnl"/>
        </w:rPr>
        <w:t>,</w:t>
      </w:r>
      <w:r w:rsidR="002B0863" w:rsidRPr="005763B7">
        <w:rPr>
          <w:rFonts w:ascii="Century Gothic" w:eastAsia="Arial" w:hAnsi="Century Gothic" w:cs="Arial"/>
          <w:color w:val="000000"/>
          <w:lang w:val="es-ES_tradnl" w:eastAsia="es-ES_tradnl"/>
        </w:rPr>
        <w:t xml:space="preserve"> en caso de</w:t>
      </w:r>
      <w:r w:rsidR="005763B7">
        <w:rPr>
          <w:rFonts w:ascii="Century Gothic" w:eastAsia="Arial" w:hAnsi="Century Gothic" w:cs="Arial"/>
          <w:color w:val="000000"/>
          <w:lang w:val="es-ES_tradnl" w:eastAsia="es-ES_tradnl"/>
        </w:rPr>
        <w:t xml:space="preserve"> que se</w:t>
      </w:r>
      <w:r w:rsidR="002B0863" w:rsidRPr="005763B7">
        <w:rPr>
          <w:rFonts w:ascii="Century Gothic" w:eastAsia="Arial" w:hAnsi="Century Gothic" w:cs="Arial"/>
          <w:color w:val="000000"/>
          <w:lang w:val="es-ES_tradnl" w:eastAsia="es-ES_tradnl"/>
        </w:rPr>
        <w:t xml:space="preserve"> trat</w:t>
      </w:r>
      <w:r w:rsidR="005763B7">
        <w:rPr>
          <w:rFonts w:ascii="Century Gothic" w:eastAsia="Arial" w:hAnsi="Century Gothic" w:cs="Arial"/>
          <w:color w:val="000000"/>
          <w:lang w:val="es-ES_tradnl" w:eastAsia="es-ES_tradnl"/>
        </w:rPr>
        <w:t>e una</w:t>
      </w:r>
      <w:r w:rsidR="002B0863" w:rsidRPr="005763B7">
        <w:rPr>
          <w:rFonts w:ascii="Century Gothic" w:eastAsia="Arial" w:hAnsi="Century Gothic" w:cs="Arial"/>
          <w:color w:val="000000"/>
          <w:lang w:val="es-ES_tradnl" w:eastAsia="es-ES_tradnl"/>
        </w:rPr>
        <w:t xml:space="preserve"> persona jurídica</w:t>
      </w:r>
      <w:r w:rsidR="002B0863">
        <w:rPr>
          <w:rFonts w:ascii="Century Gothic" w:eastAsia="Arial" w:hAnsi="Century Gothic" w:cs="Arial"/>
          <w:i/>
          <w:iCs/>
          <w:color w:val="000000"/>
          <w:lang w:val="es-ES_tradnl" w:eastAsia="es-ES_tradnl"/>
        </w:rPr>
        <w:t xml:space="preserve">, </w:t>
      </w:r>
      <w:proofErr w:type="spellStart"/>
      <w:r w:rsidR="002B0863">
        <w:rPr>
          <w:rFonts w:ascii="Century Gothic" w:eastAsia="Arial" w:hAnsi="Century Gothic" w:cs="Arial"/>
          <w:i/>
          <w:iCs/>
          <w:color w:val="000000"/>
          <w:lang w:val="es-ES_tradnl" w:eastAsia="es-ES_tradnl"/>
        </w:rPr>
        <w:t>iii</w:t>
      </w:r>
      <w:proofErr w:type="spellEnd"/>
      <w:r w:rsidR="002B0863">
        <w:rPr>
          <w:rFonts w:ascii="Century Gothic" w:eastAsia="Arial" w:hAnsi="Century Gothic" w:cs="Arial"/>
          <w:i/>
          <w:iCs/>
          <w:color w:val="000000"/>
          <w:lang w:val="es-ES_tradnl" w:eastAsia="es-ES_tradnl"/>
        </w:rPr>
        <w:t xml:space="preserve">) </w:t>
      </w:r>
      <w:r w:rsidR="002B0863" w:rsidRPr="005763B7">
        <w:rPr>
          <w:rFonts w:ascii="Century Gothic" w:eastAsia="Arial" w:hAnsi="Century Gothic" w:cs="Arial"/>
          <w:color w:val="000000"/>
          <w:lang w:val="es-ES_tradnl" w:eastAsia="es-ES_tradnl"/>
        </w:rPr>
        <w:t>que su objet</w:t>
      </w:r>
      <w:r w:rsidR="007D44B7" w:rsidRPr="005763B7">
        <w:rPr>
          <w:rFonts w:ascii="Century Gothic" w:eastAsia="Arial" w:hAnsi="Century Gothic" w:cs="Arial"/>
          <w:color w:val="000000"/>
          <w:lang w:val="es-ES_tradnl" w:eastAsia="es-ES_tradnl"/>
        </w:rPr>
        <w:t>o social le permite ejecutar el contrato relacionado con el proceso contractual.</w:t>
      </w:r>
      <w:r w:rsidR="00C8300A">
        <w:rPr>
          <w:rFonts w:ascii="Century Gothic" w:eastAsia="Arial" w:hAnsi="Century Gothic" w:cs="Arial"/>
          <w:color w:val="000000"/>
          <w:lang w:val="es-ES_tradnl" w:eastAsia="es-ES_tradnl"/>
        </w:rPr>
        <w:t xml:space="preserve"> Información esta, que verificará la Entidad Estatal que adelanta el respectivo proceso de contratación, para así determinar si procede o no a efectuar la limitación de la convocaría. Sin embargo, debe aclararse, que las entidades en el marco del principio de autonomía, están facultadas para establecer en </w:t>
      </w:r>
      <w:r w:rsidR="004407ED">
        <w:rPr>
          <w:rFonts w:ascii="Century Gothic" w:eastAsia="Arial" w:hAnsi="Century Gothic" w:cs="Arial"/>
          <w:color w:val="000000"/>
          <w:lang w:val="es-ES_tradnl" w:eastAsia="es-ES_tradnl"/>
        </w:rPr>
        <w:t>el pliego de condiciones</w:t>
      </w:r>
      <w:r w:rsidR="004818E6">
        <w:rPr>
          <w:rFonts w:ascii="Century Gothic" w:eastAsia="Arial" w:hAnsi="Century Gothic" w:cs="Arial"/>
          <w:color w:val="000000"/>
          <w:lang w:val="es-ES_tradnl" w:eastAsia="es-ES_tradnl"/>
        </w:rPr>
        <w:t>,</w:t>
      </w:r>
      <w:r w:rsidR="008874B2">
        <w:rPr>
          <w:rFonts w:ascii="Century Gothic" w:eastAsia="Arial" w:hAnsi="Century Gothic" w:cs="Arial"/>
          <w:color w:val="000000"/>
          <w:lang w:val="es-ES_tradnl" w:eastAsia="es-ES_tradnl"/>
        </w:rPr>
        <w:t xml:space="preserve"> la</w:t>
      </w:r>
      <w:r w:rsidR="00AA683C">
        <w:rPr>
          <w:rFonts w:ascii="Century Gothic" w:eastAsia="Arial" w:hAnsi="Century Gothic" w:cs="Arial"/>
          <w:color w:val="000000"/>
          <w:lang w:val="es-ES_tradnl" w:eastAsia="es-ES_tradnl"/>
        </w:rPr>
        <w:t xml:space="preserve">s reglas </w:t>
      </w:r>
      <w:r w:rsidR="004818E6">
        <w:rPr>
          <w:rFonts w:ascii="Century Gothic" w:eastAsia="Arial" w:hAnsi="Century Gothic" w:cs="Arial"/>
          <w:color w:val="000000"/>
          <w:lang w:val="es-ES_tradnl" w:eastAsia="es-ES_tradnl"/>
        </w:rPr>
        <w:t>a través de las cuales se acreditará</w:t>
      </w:r>
      <w:r w:rsidR="00F628D7">
        <w:rPr>
          <w:rFonts w:ascii="Century Gothic" w:eastAsia="Arial" w:hAnsi="Century Gothic" w:cs="Arial"/>
          <w:color w:val="000000"/>
          <w:lang w:val="es-ES_tradnl" w:eastAsia="es-ES_tradnl"/>
        </w:rPr>
        <w:t>n</w:t>
      </w:r>
      <w:r w:rsidR="004818E6">
        <w:rPr>
          <w:rFonts w:ascii="Century Gothic" w:eastAsia="Arial" w:hAnsi="Century Gothic" w:cs="Arial"/>
          <w:color w:val="000000"/>
          <w:lang w:val="es-ES_tradnl" w:eastAsia="es-ES_tradnl"/>
        </w:rPr>
        <w:t xml:space="preserve"> di</w:t>
      </w:r>
      <w:r w:rsidR="003C532C">
        <w:rPr>
          <w:rFonts w:ascii="Century Gothic" w:eastAsia="Arial" w:hAnsi="Century Gothic" w:cs="Arial"/>
          <w:color w:val="000000"/>
          <w:lang w:val="es-ES_tradnl" w:eastAsia="es-ES_tradnl"/>
        </w:rPr>
        <w:t xml:space="preserve">chas situaciones, esto, bajo la observación de lo señalado en el artículo </w:t>
      </w:r>
      <w:r w:rsidR="003C532C" w:rsidRPr="003C532C">
        <w:rPr>
          <w:rFonts w:ascii="Century Gothic" w:eastAsia="Arial" w:hAnsi="Century Gothic" w:cs="Arial"/>
          <w:color w:val="000000"/>
          <w:lang w:val="es-ES_tradnl" w:eastAsia="es-ES_tradnl"/>
        </w:rPr>
        <w:t>2.2.1.2.4.2.4</w:t>
      </w:r>
      <w:r w:rsidR="003C532C">
        <w:rPr>
          <w:rFonts w:ascii="Century Gothic" w:eastAsia="Arial" w:hAnsi="Century Gothic" w:cs="Arial"/>
          <w:color w:val="000000"/>
          <w:lang w:val="es-ES_tradnl" w:eastAsia="es-ES_tradnl"/>
        </w:rPr>
        <w:t xml:space="preserve"> del Decreto 1082 de 2015, modificado por el artículo 5 del Decreto 1860 de 2021.</w:t>
      </w:r>
      <w:r w:rsidR="009B2C73">
        <w:rPr>
          <w:rFonts w:ascii="Century Gothic" w:eastAsia="Arial" w:hAnsi="Century Gothic" w:cs="Arial"/>
          <w:color w:val="000000"/>
          <w:lang w:val="es-ES_tradnl" w:eastAsia="es-ES_tradnl"/>
        </w:rPr>
        <w:t xml:space="preserve"> Dicha norma, en su tenor literal dispone:</w:t>
      </w:r>
    </w:p>
    <w:p w14:paraId="348D7066" w14:textId="77777777" w:rsidR="00E127F9" w:rsidRPr="00020E78" w:rsidRDefault="00E127F9" w:rsidP="00EF7C8B">
      <w:pPr>
        <w:spacing w:after="0" w:line="276" w:lineRule="auto"/>
        <w:jc w:val="both"/>
        <w:rPr>
          <w:rFonts w:ascii="Century Gothic" w:eastAsia="Arial" w:hAnsi="Century Gothic" w:cs="Arial"/>
          <w:color w:val="000000"/>
        </w:rPr>
      </w:pPr>
    </w:p>
    <w:p w14:paraId="502444D7" w14:textId="34DDDC2D" w:rsidR="00E127F9" w:rsidRPr="00E127F9" w:rsidRDefault="00E127F9" w:rsidP="00E127F9">
      <w:pPr>
        <w:spacing w:after="0" w:line="240" w:lineRule="auto"/>
        <w:ind w:left="709" w:right="709"/>
        <w:contextualSpacing/>
        <w:jc w:val="both"/>
        <w:rPr>
          <w:rFonts w:ascii="Century Gothic" w:eastAsia="Calibri" w:hAnsi="Century Gothic" w:cs="Arial"/>
          <w:sz w:val="21"/>
          <w:szCs w:val="21"/>
          <w:lang w:val="es-ES_tradnl" w:eastAsia="es-ES_tradnl"/>
        </w:rPr>
      </w:pPr>
      <w:r w:rsidRPr="00E127F9">
        <w:rPr>
          <w:rFonts w:ascii="Century Gothic" w:eastAsia="Calibri" w:hAnsi="Century Gothic" w:cs="Arial"/>
          <w:bCs/>
          <w:sz w:val="21"/>
          <w:szCs w:val="21"/>
          <w:lang w:eastAsia="es-ES_tradnl"/>
        </w:rPr>
        <w:t>“</w:t>
      </w:r>
      <w:r w:rsidRPr="00E127F9">
        <w:rPr>
          <w:rFonts w:ascii="Century Gothic" w:eastAsia="Calibri" w:hAnsi="Century Gothic" w:cs="Arial"/>
          <w:bCs/>
          <w:sz w:val="21"/>
          <w:szCs w:val="21"/>
          <w:lang w:val="es-ES_tradnl" w:eastAsia="es-ES_tradnl"/>
        </w:rPr>
        <w:t>Artículo 2.2.1.2.4.2.4. Acreditación de requisitos para participar en convocatorias limitadas.</w:t>
      </w:r>
      <w:r w:rsidRPr="00E127F9">
        <w:rPr>
          <w:rFonts w:ascii="Century Gothic" w:eastAsia="Calibri" w:hAnsi="Century Gothic" w:cs="Arial"/>
          <w:sz w:val="21"/>
          <w:szCs w:val="21"/>
          <w:lang w:val="es-ES_tradnl" w:eastAsia="es-ES_tradnl"/>
        </w:rPr>
        <w:t xml:space="preserve"> La Mipyme colombianas deben acreditar que tiene el tamaño empresarial establecido por la ley de la siguiente manera: </w:t>
      </w:r>
    </w:p>
    <w:p w14:paraId="1A71DBC1" w14:textId="77777777" w:rsidR="00E127F9" w:rsidRPr="00E127F9" w:rsidRDefault="00E127F9" w:rsidP="00E127F9">
      <w:pPr>
        <w:spacing w:after="0" w:line="240" w:lineRule="auto"/>
        <w:ind w:left="709" w:right="709"/>
        <w:contextualSpacing/>
        <w:jc w:val="both"/>
        <w:rPr>
          <w:rFonts w:ascii="Century Gothic" w:eastAsia="Calibri" w:hAnsi="Century Gothic" w:cs="Arial"/>
          <w:sz w:val="21"/>
          <w:szCs w:val="21"/>
          <w:lang w:val="es-ES_tradnl" w:eastAsia="es-ES_tradnl"/>
        </w:rPr>
      </w:pPr>
    </w:p>
    <w:p w14:paraId="1D0837F5" w14:textId="77777777" w:rsidR="00E127F9" w:rsidRPr="00E127F9" w:rsidRDefault="00E127F9" w:rsidP="00E127F9">
      <w:pPr>
        <w:spacing w:after="0" w:line="240" w:lineRule="auto"/>
        <w:ind w:left="709" w:right="709"/>
        <w:contextualSpacing/>
        <w:jc w:val="both"/>
        <w:rPr>
          <w:rFonts w:ascii="Century Gothic" w:eastAsia="Calibri" w:hAnsi="Century Gothic" w:cs="Arial"/>
          <w:sz w:val="21"/>
          <w:szCs w:val="21"/>
          <w:lang w:val="es-ES_tradnl" w:eastAsia="es-ES_tradnl"/>
        </w:rPr>
      </w:pPr>
      <w:r w:rsidRPr="00E127F9">
        <w:rPr>
          <w:rFonts w:ascii="Century Gothic" w:eastAsia="Calibri" w:hAnsi="Century Gothic" w:cs="Arial"/>
          <w:sz w:val="21"/>
          <w:szCs w:val="21"/>
          <w:lang w:val="es-ES_tradnl" w:eastAsia="es-ES_tradnl"/>
        </w:rPr>
        <w:t xml:space="preserve">1. Las personas naturales mediante </w:t>
      </w:r>
      <w:r w:rsidRPr="00C343D2">
        <w:rPr>
          <w:rFonts w:ascii="Century Gothic" w:eastAsia="Calibri" w:hAnsi="Century Gothic" w:cs="Arial"/>
          <w:sz w:val="21"/>
          <w:szCs w:val="21"/>
          <w:lang w:val="es-ES_tradnl" w:eastAsia="es-ES_tradnl"/>
        </w:rPr>
        <w:t>certificación expedida por ellos y un contador público, adjuntando copia</w:t>
      </w:r>
      <w:r w:rsidRPr="00E127F9">
        <w:rPr>
          <w:rFonts w:ascii="Century Gothic" w:eastAsia="Calibri" w:hAnsi="Century Gothic" w:cs="Arial"/>
          <w:sz w:val="21"/>
          <w:szCs w:val="21"/>
          <w:lang w:val="es-ES_tradnl" w:eastAsia="es-ES_tradnl"/>
        </w:rPr>
        <w:t xml:space="preserve"> del registro mercantil. </w:t>
      </w:r>
    </w:p>
    <w:p w14:paraId="788DA15E" w14:textId="77777777" w:rsidR="00C343D2" w:rsidRDefault="00C343D2" w:rsidP="00C343D2">
      <w:pPr>
        <w:spacing w:before="120" w:after="0" w:line="240" w:lineRule="auto"/>
        <w:ind w:left="709" w:right="709"/>
        <w:contextualSpacing/>
        <w:jc w:val="both"/>
        <w:rPr>
          <w:rFonts w:ascii="Century Gothic" w:eastAsia="Calibri" w:hAnsi="Century Gothic" w:cs="Arial"/>
          <w:sz w:val="21"/>
          <w:szCs w:val="21"/>
          <w:lang w:val="es-ES_tradnl" w:eastAsia="es-ES_tradnl"/>
        </w:rPr>
      </w:pPr>
    </w:p>
    <w:p w14:paraId="39B150C4" w14:textId="50055B55" w:rsidR="00E127F9" w:rsidRPr="00E127F9" w:rsidRDefault="00E127F9" w:rsidP="00C343D2">
      <w:pPr>
        <w:spacing w:before="120" w:after="0" w:line="240" w:lineRule="auto"/>
        <w:ind w:left="709" w:right="709"/>
        <w:contextualSpacing/>
        <w:jc w:val="both"/>
        <w:rPr>
          <w:rFonts w:ascii="Century Gothic" w:eastAsia="Calibri" w:hAnsi="Century Gothic" w:cs="Arial"/>
          <w:sz w:val="21"/>
          <w:szCs w:val="21"/>
          <w:lang w:val="es-ES_tradnl" w:eastAsia="es-ES_tradnl"/>
        </w:rPr>
      </w:pPr>
      <w:r w:rsidRPr="00E127F9">
        <w:rPr>
          <w:rFonts w:ascii="Century Gothic" w:eastAsia="Calibri" w:hAnsi="Century Gothic" w:cs="Arial"/>
          <w:sz w:val="21"/>
          <w:szCs w:val="21"/>
          <w:lang w:val="es-ES_tradnl" w:eastAsia="es-ES_tradnl"/>
        </w:rPr>
        <w:t xml:space="preserve">2. Las personas jurídicas mediante </w:t>
      </w:r>
      <w:r w:rsidRPr="00C343D2">
        <w:rPr>
          <w:rFonts w:ascii="Century Gothic" w:eastAsia="Calibri" w:hAnsi="Century Gothic" w:cs="Arial"/>
          <w:sz w:val="21"/>
          <w:szCs w:val="21"/>
          <w:lang w:val="es-ES_tradnl" w:eastAsia="es-ES_tradnl"/>
        </w:rPr>
        <w:t>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 Para la acreditación deberán observarse los rangos de clasificación empresarial establecidos de conformidad con la Ley 590 de 2000 y el Decreto</w:t>
      </w:r>
      <w:r w:rsidRPr="00E127F9">
        <w:rPr>
          <w:rFonts w:ascii="Century Gothic" w:eastAsia="Calibri" w:hAnsi="Century Gothic" w:cs="Arial"/>
          <w:sz w:val="21"/>
          <w:szCs w:val="21"/>
          <w:lang w:val="es-ES_tradnl" w:eastAsia="es-ES_tradnl"/>
        </w:rPr>
        <w:t xml:space="preserve"> 1074 de 2015, o las normas que lo modifiquen, sustituyan o complementen.</w:t>
      </w:r>
    </w:p>
    <w:p w14:paraId="627445E5" w14:textId="6C749D04" w:rsidR="00E127F9" w:rsidRPr="00E127F9" w:rsidRDefault="00E127F9" w:rsidP="00E127F9">
      <w:pPr>
        <w:tabs>
          <w:tab w:val="left" w:pos="6660"/>
        </w:tabs>
        <w:spacing w:after="0" w:line="240" w:lineRule="auto"/>
        <w:ind w:left="709" w:right="709"/>
        <w:contextualSpacing/>
        <w:jc w:val="both"/>
        <w:rPr>
          <w:rFonts w:ascii="Century Gothic" w:eastAsia="Calibri" w:hAnsi="Century Gothic" w:cs="Arial"/>
          <w:b/>
          <w:bCs/>
          <w:sz w:val="21"/>
          <w:szCs w:val="21"/>
          <w:lang w:val="es-ES_tradnl" w:eastAsia="es-ES_tradnl"/>
        </w:rPr>
      </w:pPr>
    </w:p>
    <w:p w14:paraId="21AA421A" w14:textId="77777777" w:rsidR="00E127F9" w:rsidRPr="00E127F9" w:rsidRDefault="00E127F9" w:rsidP="00E127F9">
      <w:pPr>
        <w:spacing w:after="0" w:line="240" w:lineRule="auto"/>
        <w:ind w:left="709" w:right="709"/>
        <w:contextualSpacing/>
        <w:jc w:val="both"/>
        <w:rPr>
          <w:rFonts w:ascii="Century Gothic" w:eastAsia="Calibri" w:hAnsi="Century Gothic" w:cs="Arial"/>
          <w:sz w:val="21"/>
          <w:szCs w:val="21"/>
          <w:lang w:val="es-ES_tradnl" w:eastAsia="es-ES_tradnl"/>
        </w:rPr>
      </w:pPr>
      <w:r w:rsidRPr="00E127F9">
        <w:rPr>
          <w:rFonts w:ascii="Century Gothic" w:eastAsia="Calibri" w:hAnsi="Century Gothic" w:cs="Arial"/>
          <w:sz w:val="21"/>
          <w:szCs w:val="21"/>
          <w:lang w:val="es-ES_tradnl" w:eastAsia="es-ES_tradnl"/>
        </w:rPr>
        <w:t>Parágrafo 1. En todo caso, las Mipyme también podrán acreditar esta condición con la copia del certificado del Registro Único de Proponentes, el cual deberá encontrarse vigente y en firme al momento de su presentación.</w:t>
      </w:r>
    </w:p>
    <w:p w14:paraId="1BB6A61B" w14:textId="77777777" w:rsidR="00E127F9" w:rsidRPr="00E127F9" w:rsidRDefault="00E127F9" w:rsidP="00E127F9">
      <w:pPr>
        <w:spacing w:after="0" w:line="240" w:lineRule="auto"/>
        <w:ind w:left="709" w:right="709"/>
        <w:contextualSpacing/>
        <w:jc w:val="both"/>
        <w:rPr>
          <w:rFonts w:ascii="Century Gothic" w:eastAsia="Calibri" w:hAnsi="Century Gothic" w:cs="Arial"/>
          <w:sz w:val="21"/>
          <w:szCs w:val="21"/>
          <w:lang w:val="es-ES_tradnl" w:eastAsia="es-ES_tradnl"/>
        </w:rPr>
      </w:pPr>
    </w:p>
    <w:p w14:paraId="490F184C" w14:textId="77777777" w:rsidR="00E127F9" w:rsidRPr="00E127F9" w:rsidRDefault="00E127F9" w:rsidP="00E127F9">
      <w:pPr>
        <w:spacing w:after="0" w:line="240" w:lineRule="auto"/>
        <w:ind w:left="709" w:right="709"/>
        <w:contextualSpacing/>
        <w:jc w:val="both"/>
        <w:rPr>
          <w:rFonts w:ascii="Century Gothic" w:eastAsia="Calibri" w:hAnsi="Century Gothic" w:cs="Arial"/>
          <w:sz w:val="21"/>
          <w:szCs w:val="21"/>
          <w:lang w:val="es-ES_tradnl" w:eastAsia="es-ES_tradnl"/>
        </w:rPr>
      </w:pPr>
      <w:r w:rsidRPr="00E127F9">
        <w:rPr>
          <w:rFonts w:ascii="Century Gothic" w:eastAsia="Calibri" w:hAnsi="Century Gothic" w:cs="Arial"/>
          <w:sz w:val="21"/>
          <w:szCs w:val="21"/>
          <w:lang w:val="es-ES_tradnl" w:eastAsia="es-ES_tradnl"/>
        </w:rPr>
        <w:t xml:space="preserve">Parágrafo 2. Para efectos de la limitación a Mipyme, los proponentes aportarán la copia del registro mercantil, del certificado de existencia y representación legal o del Registro Único de Proponentes, según corresponda conforme a las reglas precedentes, con una fecha de máximo sesenta (60) días calendario anteriores a la prevista en el cronograma del Proceso de Contratación para el inicio del plazo para solicitar la convocatoria limitada. </w:t>
      </w:r>
    </w:p>
    <w:p w14:paraId="6324082E" w14:textId="77777777" w:rsidR="00E127F9" w:rsidRPr="00E127F9" w:rsidRDefault="00E127F9" w:rsidP="00E127F9">
      <w:pPr>
        <w:spacing w:after="0" w:line="240" w:lineRule="auto"/>
        <w:ind w:left="709" w:right="709"/>
        <w:contextualSpacing/>
        <w:jc w:val="both"/>
        <w:rPr>
          <w:rFonts w:ascii="Century Gothic" w:eastAsia="Calibri" w:hAnsi="Century Gothic" w:cs="Arial"/>
          <w:sz w:val="21"/>
          <w:szCs w:val="21"/>
          <w:lang w:val="es-ES_tradnl" w:eastAsia="es-ES_tradnl"/>
        </w:rPr>
      </w:pPr>
    </w:p>
    <w:p w14:paraId="785AAE1D" w14:textId="77777777" w:rsidR="00E127F9" w:rsidRPr="00E127F9" w:rsidRDefault="00E127F9" w:rsidP="00E127F9">
      <w:pPr>
        <w:spacing w:after="0" w:line="240" w:lineRule="auto"/>
        <w:ind w:left="709" w:right="709"/>
        <w:contextualSpacing/>
        <w:jc w:val="both"/>
        <w:rPr>
          <w:rFonts w:ascii="Century Gothic" w:eastAsia="Calibri" w:hAnsi="Century Gothic" w:cs="Arial"/>
          <w:sz w:val="21"/>
          <w:szCs w:val="21"/>
          <w:lang w:val="es-ES_tradnl" w:eastAsia="es-ES_tradnl"/>
        </w:rPr>
      </w:pPr>
      <w:r w:rsidRPr="00E127F9">
        <w:rPr>
          <w:rFonts w:ascii="Century Gothic" w:eastAsia="Calibri" w:hAnsi="Century Gothic" w:cs="Arial"/>
          <w:sz w:val="21"/>
          <w:szCs w:val="21"/>
          <w:lang w:val="es-ES_tradnl" w:eastAsia="es-ES_tradnl"/>
        </w:rPr>
        <w:t>Parágrafo 3. En las convocatorias limitadas, las Entidades Estatales independientemente de su régimen de contratación, los patrimonios autónomos constituidos por Entidades Estatales y los particulares que ejecuten recursos públicos, solo deberán aceptar las ofertas de Mipyme o de proponentes plurales integrados únicamente por Mipyme.</w:t>
      </w:r>
    </w:p>
    <w:p w14:paraId="49D693D5" w14:textId="77777777" w:rsidR="00E127F9" w:rsidRPr="00E127F9" w:rsidRDefault="00E127F9" w:rsidP="00E127F9">
      <w:pPr>
        <w:spacing w:after="0" w:line="240" w:lineRule="auto"/>
        <w:ind w:left="709" w:right="709"/>
        <w:contextualSpacing/>
        <w:jc w:val="both"/>
        <w:rPr>
          <w:rFonts w:ascii="Century Gothic" w:eastAsia="Calibri" w:hAnsi="Century Gothic" w:cs="Arial"/>
          <w:sz w:val="21"/>
          <w:szCs w:val="21"/>
          <w:lang w:val="es-ES_tradnl" w:eastAsia="es-ES_tradnl"/>
        </w:rPr>
      </w:pPr>
    </w:p>
    <w:p w14:paraId="47F2319D" w14:textId="307DE7F8" w:rsidR="00E127F9" w:rsidRPr="00E127F9" w:rsidRDefault="00E127F9" w:rsidP="00E127F9">
      <w:pPr>
        <w:spacing w:after="0" w:line="240" w:lineRule="auto"/>
        <w:ind w:left="709" w:right="709"/>
        <w:contextualSpacing/>
        <w:jc w:val="both"/>
        <w:rPr>
          <w:rFonts w:ascii="Century Gothic" w:eastAsia="Calibri" w:hAnsi="Century Gothic" w:cs="Arial"/>
          <w:sz w:val="21"/>
          <w:szCs w:val="21"/>
          <w:lang w:val="es-ES_tradnl" w:eastAsia="es-ES_tradnl"/>
        </w:rPr>
      </w:pPr>
      <w:r w:rsidRPr="00E127F9">
        <w:rPr>
          <w:rFonts w:ascii="Century Gothic" w:eastAsia="Calibri" w:hAnsi="Century Gothic" w:cs="Arial"/>
          <w:sz w:val="21"/>
          <w:szCs w:val="21"/>
          <w:lang w:val="es-ES_tradnl" w:eastAsia="es-ES_tradnl"/>
        </w:rPr>
        <w:t>Parágrafo 4. Los incentivos previstos en los artículos 2.2.1.2.4.2.2 y 2.2.1.2.4.2.3 de este Decreto no excluyen la aplicación de los criterios diferenciales para los emprendimientos y empresas de mujeres en el sistema de compras públicas</w:t>
      </w:r>
      <w:r w:rsidRPr="00E127F9">
        <w:rPr>
          <w:rFonts w:ascii="Century Gothic" w:eastAsia="Times New Roman" w:hAnsi="Century Gothic" w:cs="Arial"/>
          <w:sz w:val="21"/>
          <w:szCs w:val="21"/>
          <w:lang w:eastAsia="es-ES_tradnl"/>
        </w:rPr>
        <w:t>”</w:t>
      </w:r>
      <w:r w:rsidRPr="00E127F9">
        <w:rPr>
          <w:rFonts w:ascii="Century Gothic" w:eastAsia="Calibri" w:hAnsi="Century Gothic" w:cs="Arial"/>
          <w:sz w:val="21"/>
          <w:szCs w:val="21"/>
          <w:lang w:val="es-ES_tradnl" w:eastAsia="es-ES_tradnl"/>
        </w:rPr>
        <w:t>. [Énfasis fuera del texto]</w:t>
      </w:r>
    </w:p>
    <w:p w14:paraId="7E754B16" w14:textId="06CEC645" w:rsidR="006700DE" w:rsidRDefault="006700DE" w:rsidP="00A10049">
      <w:pPr>
        <w:spacing w:after="0" w:line="276" w:lineRule="auto"/>
        <w:jc w:val="both"/>
        <w:rPr>
          <w:rFonts w:ascii="Century Gothic" w:hAnsi="Century Gothic" w:cs="Arial"/>
          <w:bCs/>
          <w:lang w:val="es-ES_tradnl" w:eastAsia="es-ES"/>
        </w:rPr>
      </w:pPr>
    </w:p>
    <w:p w14:paraId="6E7FCDDA" w14:textId="6458343F" w:rsidR="00A10049" w:rsidRDefault="00A10049" w:rsidP="00A10049">
      <w:pPr>
        <w:spacing w:after="0" w:line="276" w:lineRule="auto"/>
        <w:jc w:val="both"/>
        <w:rPr>
          <w:rFonts w:ascii="Century Gothic" w:hAnsi="Century Gothic" w:cs="Arial"/>
          <w:bCs/>
          <w:lang w:val="es-ES_tradnl" w:eastAsia="es-ES"/>
        </w:rPr>
      </w:pPr>
      <w:r>
        <w:rPr>
          <w:rFonts w:ascii="Century Gothic" w:hAnsi="Century Gothic" w:cs="Arial"/>
          <w:bCs/>
          <w:lang w:val="es-ES_tradnl" w:eastAsia="es-ES"/>
        </w:rPr>
        <w:tab/>
      </w:r>
      <w:r w:rsidR="00DD4C38">
        <w:rPr>
          <w:rFonts w:ascii="Century Gothic" w:hAnsi="Century Gothic" w:cs="Arial"/>
          <w:bCs/>
          <w:lang w:val="es-ES_tradnl" w:eastAsia="es-ES"/>
        </w:rPr>
        <w:t>En tal sentido, la norma precitada</w:t>
      </w:r>
      <w:r w:rsidR="00734589">
        <w:rPr>
          <w:rFonts w:ascii="Century Gothic" w:hAnsi="Century Gothic" w:cs="Arial"/>
          <w:bCs/>
          <w:lang w:val="es-ES_tradnl" w:eastAsia="es-ES"/>
        </w:rPr>
        <w:t xml:space="preserve"> señala las formas en las que las Mipyme colombianas deben acreditar el tamaño empresarial establecido en por la</w:t>
      </w:r>
      <w:r w:rsidR="002D09B2">
        <w:rPr>
          <w:rFonts w:ascii="Century Gothic" w:hAnsi="Century Gothic" w:cs="Arial"/>
          <w:bCs/>
          <w:lang w:val="es-ES_tradnl" w:eastAsia="es-ES"/>
        </w:rPr>
        <w:t xml:space="preserve"> ley</w:t>
      </w:r>
      <w:r w:rsidR="00E501F3">
        <w:rPr>
          <w:rFonts w:ascii="Century Gothic" w:hAnsi="Century Gothic" w:cs="Arial"/>
          <w:bCs/>
          <w:lang w:val="es-ES_tradnl" w:eastAsia="es-ES"/>
        </w:rPr>
        <w:t xml:space="preserve">. De este modo, las entidades deben dar cumplimiento </w:t>
      </w:r>
      <w:r w:rsidR="0063364C">
        <w:rPr>
          <w:rFonts w:ascii="Century Gothic" w:hAnsi="Century Gothic" w:cs="Arial"/>
          <w:bCs/>
          <w:lang w:val="es-ES_tradnl" w:eastAsia="es-ES"/>
        </w:rPr>
        <w:t>expreso a las distintas posibilidades que otorga el Decreto 1082 de 2015, para que las Mipyme acrediten que tienen el tamaño empresarial dispuesto en la norma</w:t>
      </w:r>
      <w:r w:rsidR="005627E2">
        <w:rPr>
          <w:rFonts w:ascii="Century Gothic" w:hAnsi="Century Gothic" w:cs="Arial"/>
          <w:bCs/>
          <w:lang w:val="es-ES_tradnl" w:eastAsia="es-ES"/>
        </w:rPr>
        <w:t>. Esto, sin perjuicio de que las entidades determinen en cada caso concreto</w:t>
      </w:r>
      <w:r w:rsidR="001911F5">
        <w:rPr>
          <w:rFonts w:ascii="Century Gothic" w:hAnsi="Century Gothic" w:cs="Arial"/>
          <w:bCs/>
          <w:lang w:val="es-ES_tradnl" w:eastAsia="es-ES"/>
        </w:rPr>
        <w:t>, si los particulares partícipes de sus procesos de contratación cumplen o no las condiciones antes explicadas</w:t>
      </w:r>
      <w:r w:rsidR="00223131">
        <w:rPr>
          <w:rFonts w:ascii="Century Gothic" w:hAnsi="Century Gothic" w:cs="Arial"/>
          <w:bCs/>
          <w:lang w:val="es-ES_tradnl" w:eastAsia="es-ES"/>
        </w:rPr>
        <w:t>, para así dilucidar si limitan o no la convocatoria a Mipymes.</w:t>
      </w:r>
    </w:p>
    <w:p w14:paraId="3012ADB1" w14:textId="77777777" w:rsidR="006700DE" w:rsidRDefault="006700DE" w:rsidP="00D76211">
      <w:pPr>
        <w:spacing w:after="0" w:line="276" w:lineRule="auto"/>
        <w:jc w:val="both"/>
        <w:rPr>
          <w:rFonts w:ascii="Century Gothic" w:hAnsi="Century Gothic" w:cs="Arial"/>
          <w:bCs/>
          <w:lang w:val="es-ES_tradnl" w:eastAsia="es-ES"/>
        </w:rPr>
      </w:pPr>
    </w:p>
    <w:p w14:paraId="5DD8B06D" w14:textId="7CD720CA" w:rsidR="001925EE" w:rsidRDefault="00CC087C" w:rsidP="00D76211">
      <w:pPr>
        <w:spacing w:after="0" w:line="276" w:lineRule="auto"/>
        <w:jc w:val="both"/>
        <w:rPr>
          <w:rFonts w:ascii="Century Gothic" w:hAnsi="Century Gothic" w:cs="Arial"/>
          <w:b/>
          <w:lang w:val="es-ES_tradnl" w:eastAsia="es-ES"/>
        </w:rPr>
      </w:pPr>
      <w:r>
        <w:rPr>
          <w:rFonts w:ascii="Century Gothic" w:hAnsi="Century Gothic" w:cs="Arial"/>
          <w:b/>
          <w:lang w:val="es-ES_tradnl" w:eastAsia="es-ES"/>
        </w:rPr>
        <w:t xml:space="preserve">2.2. </w:t>
      </w:r>
      <w:r w:rsidR="00FC058B">
        <w:rPr>
          <w:rFonts w:ascii="Century Gothic" w:hAnsi="Century Gothic" w:cs="Arial"/>
          <w:b/>
          <w:lang w:val="es-ES_tradnl" w:eastAsia="es-ES"/>
        </w:rPr>
        <w:t>Marco normativo del principio de publicidad y acceso a la información pública. Reiteración de línea</w:t>
      </w:r>
    </w:p>
    <w:p w14:paraId="479AC59F" w14:textId="77777777" w:rsidR="001925EE" w:rsidRDefault="001925EE" w:rsidP="00D76211">
      <w:pPr>
        <w:spacing w:after="0" w:line="276" w:lineRule="auto"/>
        <w:jc w:val="both"/>
        <w:rPr>
          <w:rFonts w:ascii="Century Gothic" w:hAnsi="Century Gothic" w:cs="Arial"/>
          <w:b/>
          <w:lang w:val="es-ES_tradnl" w:eastAsia="es-ES"/>
        </w:rPr>
      </w:pPr>
    </w:p>
    <w:p w14:paraId="5E51602E" w14:textId="305050BF" w:rsidR="001925EE" w:rsidRPr="00FC058B" w:rsidRDefault="00FC058B" w:rsidP="009C63CC">
      <w:pPr>
        <w:spacing w:after="0" w:line="276" w:lineRule="auto"/>
        <w:jc w:val="both"/>
        <w:rPr>
          <w:rFonts w:ascii="Century Gothic" w:hAnsi="Century Gothic" w:cs="Arial"/>
          <w:bCs/>
          <w:lang w:val="es-ES_tradnl" w:eastAsia="es-ES"/>
        </w:rPr>
      </w:pPr>
      <w:r>
        <w:rPr>
          <w:rFonts w:ascii="Century Gothic" w:hAnsi="Century Gothic" w:cs="Arial"/>
          <w:bCs/>
          <w:lang w:val="es-ES_tradnl" w:eastAsia="es-ES"/>
        </w:rPr>
        <w:t>Para la Corte Constitucional el principio de publicidad es la garantía de las personas de conocer las actuaciones judiciales y administrativas</w:t>
      </w:r>
      <w:r w:rsidR="002C1E5E">
        <w:rPr>
          <w:rFonts w:ascii="Century Gothic" w:hAnsi="Century Gothic" w:cs="Arial"/>
          <w:bCs/>
          <w:lang w:val="es-ES_tradnl" w:eastAsia="es-ES"/>
        </w:rPr>
        <w:t>, y con base en ese conocimiento, tener la posibilidad de exigir que se r</w:t>
      </w:r>
      <w:r w:rsidR="00326A1C">
        <w:rPr>
          <w:rFonts w:ascii="Century Gothic" w:hAnsi="Century Gothic" w:cs="Arial"/>
          <w:bCs/>
          <w:lang w:val="es-ES_tradnl" w:eastAsia="es-ES"/>
        </w:rPr>
        <w:t xml:space="preserve">ealicen conforme a la ley: </w:t>
      </w:r>
    </w:p>
    <w:p w14:paraId="0F3E4137" w14:textId="77777777" w:rsidR="008D5AF4" w:rsidRPr="008D5AF4" w:rsidRDefault="008D5AF4" w:rsidP="008D5AF4">
      <w:pPr>
        <w:widowControl w:val="0"/>
        <w:tabs>
          <w:tab w:val="left" w:pos="728"/>
        </w:tabs>
        <w:autoSpaceDE w:val="0"/>
        <w:autoSpaceDN w:val="0"/>
        <w:spacing w:after="0" w:line="276" w:lineRule="auto"/>
        <w:jc w:val="both"/>
        <w:rPr>
          <w:rFonts w:ascii="Century Gothic" w:eastAsia="Arial" w:hAnsi="Century Gothic" w:cs="Arial"/>
          <w:lang w:val="es-ES"/>
        </w:rPr>
      </w:pPr>
    </w:p>
    <w:p w14:paraId="62588C35" w14:textId="77777777" w:rsidR="008D5AF4" w:rsidRPr="008D5AF4" w:rsidRDefault="008D5AF4" w:rsidP="008D5AF4">
      <w:pPr>
        <w:widowControl w:val="0"/>
        <w:tabs>
          <w:tab w:val="left" w:pos="728"/>
        </w:tabs>
        <w:autoSpaceDE w:val="0"/>
        <w:autoSpaceDN w:val="0"/>
        <w:spacing w:after="120" w:line="240" w:lineRule="auto"/>
        <w:ind w:left="709" w:right="709"/>
        <w:jc w:val="both"/>
        <w:rPr>
          <w:rFonts w:ascii="Century Gothic" w:eastAsia="Arial" w:hAnsi="Century Gothic" w:cs="Arial"/>
          <w:sz w:val="21"/>
          <w:szCs w:val="21"/>
          <w:lang w:val="es-ES"/>
        </w:rPr>
      </w:pPr>
      <w:r w:rsidRPr="008D5AF4">
        <w:rPr>
          <w:rFonts w:ascii="Century Gothic" w:eastAsia="Arial" w:hAnsi="Century Gothic" w:cs="Arial"/>
          <w:sz w:val="21"/>
          <w:szCs w:val="21"/>
          <w:lang w:val="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7A07B40D" w14:textId="77777777" w:rsidR="008D5AF4" w:rsidRPr="008D5AF4" w:rsidRDefault="008D5AF4" w:rsidP="008D5AF4">
      <w:pPr>
        <w:widowControl w:val="0"/>
        <w:tabs>
          <w:tab w:val="left" w:pos="728"/>
        </w:tabs>
        <w:autoSpaceDE w:val="0"/>
        <w:autoSpaceDN w:val="0"/>
        <w:spacing w:after="120" w:line="240" w:lineRule="auto"/>
        <w:ind w:left="709" w:right="709"/>
        <w:jc w:val="both"/>
        <w:rPr>
          <w:rFonts w:ascii="Century Gothic" w:eastAsia="Arial" w:hAnsi="Century Gothic" w:cs="Arial"/>
          <w:sz w:val="21"/>
          <w:szCs w:val="21"/>
          <w:lang w:val="es-ES"/>
        </w:rPr>
      </w:pPr>
      <w:r w:rsidRPr="008D5AF4">
        <w:rPr>
          <w:rFonts w:ascii="Century Gothic" w:eastAsia="Arial" w:hAnsi="Century Gothic" w:cs="Arial"/>
          <w:sz w:val="21"/>
          <w:szCs w:val="21"/>
          <w:lang w:val="es-ES"/>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8D5AF4">
        <w:rPr>
          <w:rFonts w:ascii="Century Gothic" w:eastAsia="Arial" w:hAnsi="Century Gothic" w:cs="Arial"/>
          <w:sz w:val="21"/>
          <w:szCs w:val="21"/>
          <w:lang w:val="es-ES"/>
        </w:rPr>
        <w:t>autoridades públicas</w:t>
      </w:r>
      <w:proofErr w:type="gramEnd"/>
      <w:r w:rsidRPr="008D5AF4">
        <w:rPr>
          <w:rFonts w:ascii="Century Gothic" w:eastAsia="Arial" w:hAnsi="Century Gothic" w:cs="Arial"/>
          <w:sz w:val="21"/>
          <w:szCs w:val="21"/>
          <w:lang w:val="es-ES"/>
        </w:rPr>
        <w:t xml:space="preserve"> y, a través de ese conocimiento, a exigir que ellas </w:t>
      </w:r>
      <w:r w:rsidRPr="008D5AF4">
        <w:rPr>
          <w:rFonts w:ascii="Century Gothic" w:eastAsia="Arial" w:hAnsi="Century Gothic" w:cs="Arial"/>
          <w:sz w:val="21"/>
          <w:szCs w:val="21"/>
          <w:lang w:val="es-ES"/>
        </w:rPr>
        <w:lastRenderedPageBreak/>
        <w:t>se surtan conforme a la ley”</w:t>
      </w:r>
      <w:r w:rsidRPr="008D5AF4">
        <w:rPr>
          <w:rFonts w:ascii="Century Gothic" w:eastAsia="Arial" w:hAnsi="Century Gothic" w:cs="Arial"/>
          <w:sz w:val="21"/>
          <w:szCs w:val="21"/>
          <w:vertAlign w:val="superscript"/>
          <w:lang w:val="es-ES"/>
        </w:rPr>
        <w:footnoteReference w:id="7"/>
      </w:r>
      <w:r w:rsidRPr="008D5AF4">
        <w:rPr>
          <w:rFonts w:ascii="Century Gothic" w:eastAsia="Arial" w:hAnsi="Century Gothic" w:cs="Arial"/>
          <w:sz w:val="21"/>
          <w:szCs w:val="21"/>
          <w:vertAlign w:val="superscript"/>
          <w:lang w:val="es-ES"/>
        </w:rPr>
        <w:t>.</w:t>
      </w:r>
    </w:p>
    <w:p w14:paraId="21AAF45F" w14:textId="77777777" w:rsidR="001925EE" w:rsidRDefault="001925EE" w:rsidP="008D5AF4">
      <w:pPr>
        <w:spacing w:after="0" w:line="276" w:lineRule="auto"/>
        <w:jc w:val="both"/>
        <w:rPr>
          <w:rFonts w:ascii="Century Gothic" w:hAnsi="Century Gothic" w:cs="Arial"/>
          <w:b/>
          <w:lang w:val="es-ES_tradnl" w:eastAsia="es-ES"/>
        </w:rPr>
      </w:pPr>
    </w:p>
    <w:p w14:paraId="69EFD807" w14:textId="77777777" w:rsidR="00D41175" w:rsidRPr="00D41175" w:rsidRDefault="008D5AF4" w:rsidP="00D41175">
      <w:pPr>
        <w:widowControl w:val="0"/>
        <w:tabs>
          <w:tab w:val="left" w:pos="728"/>
        </w:tabs>
        <w:autoSpaceDE w:val="0"/>
        <w:autoSpaceDN w:val="0"/>
        <w:spacing w:after="0" w:line="276" w:lineRule="auto"/>
        <w:jc w:val="both"/>
        <w:rPr>
          <w:rFonts w:ascii="Century Gothic" w:eastAsia="Arial" w:hAnsi="Century Gothic" w:cs="Arial"/>
          <w:lang w:val="es-ES"/>
        </w:rPr>
      </w:pPr>
      <w:r>
        <w:rPr>
          <w:rFonts w:ascii="Century Gothic" w:hAnsi="Century Gothic" w:cs="Arial"/>
          <w:b/>
          <w:lang w:val="es-ES_tradnl" w:eastAsia="es-ES"/>
        </w:rPr>
        <w:tab/>
      </w:r>
      <w:r>
        <w:rPr>
          <w:rFonts w:ascii="Century Gothic" w:hAnsi="Century Gothic" w:cs="Arial"/>
          <w:bCs/>
          <w:lang w:val="es-ES_tradnl" w:eastAsia="es-ES"/>
        </w:rPr>
        <w:t>El principio de publicidad impone a las autoridades administrativas el deber de dar a conocer sus actos, contratos y decisiones, para que se divulguen y eventualmente se controlen las actuaciones. El literal c) del artículo 3 de la Ley 1150 de 2007 establ</w:t>
      </w:r>
      <w:r w:rsidR="00D92C7E">
        <w:rPr>
          <w:rFonts w:ascii="Century Gothic" w:hAnsi="Century Gothic" w:cs="Arial"/>
          <w:bCs/>
          <w:lang w:val="es-ES_tradnl" w:eastAsia="es-ES"/>
        </w:rPr>
        <w:t>ece que el Sistema Electrónico para la Contratación Pública –SECOP–</w:t>
      </w:r>
      <w:r w:rsidR="00D41175">
        <w:rPr>
          <w:rFonts w:ascii="Century Gothic" w:hAnsi="Century Gothic" w:cs="Arial"/>
          <w:bCs/>
          <w:lang w:val="es-ES_tradnl" w:eastAsia="es-ES"/>
        </w:rPr>
        <w:t xml:space="preserve"> </w:t>
      </w:r>
      <w:r w:rsidR="00D41175" w:rsidRPr="00D41175">
        <w:rPr>
          <w:rFonts w:ascii="Century Gothic" w:eastAsia="Arial" w:hAnsi="Century Gothic" w:cs="Arial"/>
          <w:lang w:val="es-ES"/>
        </w:rPr>
        <w:t>“contará con la información oficial de la contratación realizada con dineros públicos, para lo cual establecerá los patrones a que haya lugar y se encargará de su difusión a través de canales electrónicos”</w:t>
      </w:r>
      <w:r w:rsidR="00D41175" w:rsidRPr="00D41175">
        <w:rPr>
          <w:rFonts w:ascii="Century Gothic" w:eastAsia="Arial" w:hAnsi="Century Gothic" w:cs="Arial"/>
          <w:vertAlign w:val="superscript"/>
          <w:lang w:val="es-ES"/>
        </w:rPr>
        <w:footnoteReference w:id="8"/>
      </w:r>
      <w:r w:rsidR="00D41175" w:rsidRPr="00D41175">
        <w:rPr>
          <w:rFonts w:ascii="Century Gothic" w:eastAsia="Arial" w:hAnsi="Century Gothic" w:cs="Arial"/>
          <w:lang w:val="es-ES"/>
        </w:rPr>
        <w:t xml:space="preserve">. </w:t>
      </w:r>
    </w:p>
    <w:p w14:paraId="15F65F54" w14:textId="4C00E10E" w:rsidR="00D92C7E" w:rsidRDefault="00D41175" w:rsidP="00D41175">
      <w:pPr>
        <w:spacing w:before="120" w:after="0" w:line="276" w:lineRule="auto"/>
        <w:jc w:val="both"/>
        <w:rPr>
          <w:rFonts w:ascii="Century Gothic" w:eastAsia="Arial" w:hAnsi="Century Gothic" w:cs="Arial"/>
          <w:lang w:val="es-ES"/>
        </w:rPr>
      </w:pPr>
      <w:r>
        <w:rPr>
          <w:rFonts w:ascii="Century Gothic" w:hAnsi="Century Gothic" w:cs="Arial"/>
          <w:bCs/>
          <w:lang w:val="es-ES_tradnl" w:eastAsia="es-ES"/>
        </w:rPr>
        <w:tab/>
        <w:t>Por otro lado, la Ley 1712 de 2014, por medio de la cual se regula la transparencia</w:t>
      </w:r>
      <w:r w:rsidR="00F91363">
        <w:rPr>
          <w:rFonts w:ascii="Century Gothic" w:hAnsi="Century Gothic" w:cs="Arial"/>
          <w:bCs/>
          <w:lang w:val="es-ES_tradnl" w:eastAsia="es-ES"/>
        </w:rPr>
        <w:t>, el derecho de acceso a la información pública nacional y se dictan otras disposiciones, identifica como principios que orientan el derecho de acceso a la información pública el de máxima publicidad</w:t>
      </w:r>
      <w:r w:rsidR="00E8228C">
        <w:rPr>
          <w:rFonts w:ascii="Century Gothic" w:hAnsi="Century Gothic" w:cs="Arial"/>
          <w:bCs/>
          <w:lang w:val="es-ES_tradnl" w:eastAsia="es-ES"/>
        </w:rPr>
        <w:t xml:space="preserve">, transparencia en la información y buena fe. El principio de máxima publicidad establece que “toda información en posesión, bajo control o custodia de un sujeto obligado </w:t>
      </w:r>
      <w:r w:rsidR="00D74BB1" w:rsidRPr="002C21EE">
        <w:rPr>
          <w:rFonts w:ascii="Century Gothic" w:eastAsia="Arial" w:hAnsi="Century Gothic" w:cs="Arial"/>
          <w:lang w:val="es-ES"/>
        </w:rPr>
        <w:t>es pública y no podrá ser reservada o limitada sino por disposición constitucional o legal</w:t>
      </w:r>
      <w:r w:rsidR="00D74BB1">
        <w:rPr>
          <w:rFonts w:ascii="Century Gothic" w:eastAsia="Arial" w:hAnsi="Century Gothic" w:cs="Arial"/>
          <w:lang w:val="es-ES"/>
        </w:rPr>
        <w:t>”</w:t>
      </w:r>
      <w:r w:rsidR="00D74BB1" w:rsidRPr="002C21EE">
        <w:rPr>
          <w:rFonts w:ascii="Century Gothic" w:eastAsia="Arial" w:hAnsi="Century Gothic" w:cs="Arial"/>
          <w:vertAlign w:val="superscript"/>
          <w:lang w:val="es-ES"/>
        </w:rPr>
        <w:footnoteReference w:id="9"/>
      </w:r>
      <w:r w:rsidR="00D74BB1" w:rsidRPr="002C21EE">
        <w:rPr>
          <w:rFonts w:ascii="Century Gothic" w:eastAsia="Arial" w:hAnsi="Century Gothic" w:cs="Arial"/>
          <w:lang w:val="es-ES"/>
        </w:rPr>
        <w:t>.</w:t>
      </w:r>
      <w:r w:rsidR="00D74BB1">
        <w:rPr>
          <w:rFonts w:ascii="Century Gothic" w:eastAsia="Arial" w:hAnsi="Century Gothic" w:cs="Arial"/>
          <w:lang w:val="es-ES"/>
        </w:rPr>
        <w:t xml:space="preserve"> El principio de transparencia en la información alude al deber</w:t>
      </w:r>
      <w:r w:rsidR="00953839">
        <w:rPr>
          <w:rFonts w:ascii="Century Gothic" w:eastAsia="Arial" w:hAnsi="Century Gothic" w:cs="Arial"/>
          <w:lang w:val="es-ES"/>
        </w:rPr>
        <w:t xml:space="preserve"> de los sujetos de proporcionar y facilitar el acceso a la misma en los términos más amplios posibles, y a través de los medios y procedimientos que establezca la ley.</w:t>
      </w:r>
    </w:p>
    <w:p w14:paraId="20D678E5" w14:textId="77777777" w:rsidR="00DD7BD8" w:rsidRPr="002C21EE" w:rsidRDefault="00953839" w:rsidP="004532DF">
      <w:pPr>
        <w:widowControl w:val="0"/>
        <w:tabs>
          <w:tab w:val="left" w:pos="728"/>
        </w:tabs>
        <w:autoSpaceDE w:val="0"/>
        <w:autoSpaceDN w:val="0"/>
        <w:spacing w:before="120" w:after="120" w:line="276" w:lineRule="auto"/>
        <w:jc w:val="both"/>
        <w:rPr>
          <w:rFonts w:ascii="Century Gothic" w:eastAsia="Arial" w:hAnsi="Century Gothic" w:cs="Arial"/>
          <w:lang w:val="es-ES"/>
        </w:rPr>
      </w:pPr>
      <w:r>
        <w:rPr>
          <w:rFonts w:ascii="Century Gothic" w:eastAsia="Arial" w:hAnsi="Century Gothic" w:cs="Arial"/>
          <w:lang w:val="es-ES"/>
        </w:rPr>
        <w:tab/>
        <w:t xml:space="preserve">La precitada ley, </w:t>
      </w:r>
      <w:r w:rsidR="008E5EA4">
        <w:rPr>
          <w:rFonts w:ascii="Century Gothic" w:eastAsia="Arial" w:hAnsi="Century Gothic" w:cs="Arial"/>
          <w:lang w:val="es-ES"/>
        </w:rPr>
        <w:t xml:space="preserve">señala en el literal e) del artículo 9, que los sujetos </w:t>
      </w:r>
      <w:r w:rsidR="008E5EA4">
        <w:rPr>
          <w:rFonts w:ascii="Century Gothic" w:eastAsia="Arial" w:hAnsi="Century Gothic" w:cs="Arial"/>
          <w:lang w:val="es-ES"/>
        </w:rPr>
        <w:lastRenderedPageBreak/>
        <w:t>obligados, que son todas las entidades públicas</w:t>
      </w:r>
      <w:r w:rsidR="00E07D92" w:rsidRPr="002C21EE">
        <w:rPr>
          <w:rFonts w:ascii="Century Gothic" w:eastAsia="Arial" w:hAnsi="Century Gothic" w:cs="Arial"/>
          <w:vertAlign w:val="superscript"/>
          <w:lang w:val="es-ES"/>
        </w:rPr>
        <w:footnoteReference w:id="10"/>
      </w:r>
      <w:r w:rsidR="00E07D92" w:rsidRPr="002C21EE">
        <w:rPr>
          <w:rFonts w:ascii="Century Gothic" w:eastAsia="Arial" w:hAnsi="Century Gothic" w:cs="Arial"/>
          <w:lang w:val="es-ES"/>
        </w:rPr>
        <w:t>,</w:t>
      </w:r>
      <w:r w:rsidR="00E07D92">
        <w:rPr>
          <w:rFonts w:ascii="Century Gothic" w:eastAsia="Arial" w:hAnsi="Century Gothic" w:cs="Arial"/>
          <w:lang w:val="es-ES"/>
        </w:rPr>
        <w:t xml:space="preserve"> deben publicar la información relativa a su contratación. Esta obligación fue en principio desarrollada por el </w:t>
      </w:r>
      <w:r w:rsidR="00EF14FC" w:rsidRPr="00EF14FC">
        <w:rPr>
          <w:rFonts w:ascii="Century Gothic" w:eastAsia="Arial" w:hAnsi="Century Gothic" w:cs="Arial"/>
          <w:lang w:val="es-ES"/>
        </w:rPr>
        <w:t>Decreto 103 de 2015, hoy compilado en el Decreto Único Reglamentario 1081 de 2015</w:t>
      </w:r>
      <w:r w:rsidR="00EF14FC" w:rsidRPr="00EF14FC">
        <w:rPr>
          <w:rFonts w:ascii="Century Gothic" w:eastAsia="Arial" w:hAnsi="Century Gothic" w:cs="Arial"/>
          <w:vertAlign w:val="superscript"/>
          <w:lang w:val="es-ES"/>
        </w:rPr>
        <w:footnoteReference w:id="11"/>
      </w:r>
      <w:r w:rsidR="00EF14FC" w:rsidRPr="00EF14FC">
        <w:rPr>
          <w:rFonts w:ascii="Century Gothic" w:eastAsia="Arial" w:hAnsi="Century Gothic" w:cs="Arial"/>
          <w:lang w:val="es-ES"/>
        </w:rPr>
        <w:t>, el cual dispuso que la publicación de la información contractual de los sujetos obligados, que contratan con cargo a recursos públicos, debe hacerse en el Sistema Electrónico de Contratación Pública –SECOP–.</w:t>
      </w:r>
      <w:r w:rsidR="00DD7BD8">
        <w:rPr>
          <w:rFonts w:ascii="Century Gothic" w:eastAsia="Arial" w:hAnsi="Century Gothic" w:cs="Arial"/>
          <w:lang w:val="es-ES"/>
        </w:rPr>
        <w:t xml:space="preserve"> </w:t>
      </w:r>
      <w:r w:rsidR="00DD7BD8" w:rsidRPr="002C21EE">
        <w:rPr>
          <w:rFonts w:ascii="Century Gothic" w:eastAsia="Arial" w:hAnsi="Century Gothic" w:cs="Arial"/>
          <w:lang w:val="es-ES"/>
        </w:rPr>
        <w:t xml:space="preserve">Asimismo, de acuerdo con el literal g) del artículo 11 de la misma Ley, todos los destinatarios de la ley de transparencia deben garantizar la publicidad de </w:t>
      </w:r>
      <w:r w:rsidR="00DD7BD8">
        <w:rPr>
          <w:rFonts w:ascii="Century Gothic" w:eastAsia="Arial" w:hAnsi="Century Gothic" w:cs="Arial"/>
          <w:lang w:val="es-ES"/>
        </w:rPr>
        <w:t>“</w:t>
      </w:r>
      <w:r w:rsidR="00DD7BD8" w:rsidRPr="002C21EE">
        <w:rPr>
          <w:rFonts w:ascii="Century Gothic" w:eastAsia="Arial" w:hAnsi="Century Gothic" w:cs="Arial"/>
          <w:lang w:val="es-ES"/>
        </w:rPr>
        <w:t>sus procedimientos, lineamientos, políticas en materia de adquisiciones y compras, así como todos los datos de adjudicación y ejecución de contratos, incluidos concursos y licitaciones</w:t>
      </w:r>
      <w:r w:rsidR="00DD7BD8">
        <w:rPr>
          <w:rFonts w:ascii="Century Gothic" w:eastAsia="Arial" w:hAnsi="Century Gothic" w:cs="Arial"/>
          <w:lang w:val="es-ES"/>
        </w:rPr>
        <w:t>”</w:t>
      </w:r>
      <w:r w:rsidR="00DD7BD8" w:rsidRPr="002C21EE">
        <w:rPr>
          <w:rFonts w:ascii="Century Gothic" w:eastAsia="Arial" w:hAnsi="Century Gothic" w:cs="Arial"/>
          <w:lang w:val="es-ES"/>
        </w:rPr>
        <w:t xml:space="preserve">, y esta información también debe estar en el SECOP. </w:t>
      </w:r>
    </w:p>
    <w:p w14:paraId="6A3FB154" w14:textId="77777777" w:rsidR="007156C1" w:rsidRPr="007156C1" w:rsidRDefault="00BC75F6" w:rsidP="007156C1">
      <w:pPr>
        <w:widowControl w:val="0"/>
        <w:tabs>
          <w:tab w:val="left" w:pos="728"/>
        </w:tabs>
        <w:autoSpaceDE w:val="0"/>
        <w:autoSpaceDN w:val="0"/>
        <w:spacing w:after="0" w:line="276" w:lineRule="auto"/>
        <w:jc w:val="both"/>
        <w:rPr>
          <w:rFonts w:ascii="Century Gothic" w:eastAsia="Calibri" w:hAnsi="Century Gothic" w:cs="Arial"/>
          <w:lang w:val="es-ES"/>
        </w:rPr>
      </w:pPr>
      <w:r>
        <w:rPr>
          <w:rFonts w:ascii="Century Gothic" w:eastAsia="Arial" w:hAnsi="Century Gothic" w:cs="Arial"/>
          <w:lang w:val="es-ES"/>
        </w:rPr>
        <w:tab/>
        <w:t xml:space="preserve">El derecho de acceso a la información pública o de interés público permite a toda persona, sin necesidad de acreditar </w:t>
      </w:r>
      <w:r w:rsidR="00D855FA">
        <w:rPr>
          <w:rFonts w:ascii="Century Gothic" w:eastAsia="Arial" w:hAnsi="Century Gothic" w:cs="Arial"/>
          <w:lang w:val="es-ES"/>
        </w:rPr>
        <w:t>calidad, interés o condición particular, conocer la existencia de información pública acceder a la misma y difundirla o publicarla, según su interés</w:t>
      </w:r>
      <w:r w:rsidR="00926914" w:rsidRPr="002C21EE">
        <w:rPr>
          <w:rFonts w:ascii="Century Gothic" w:eastAsia="Arial" w:hAnsi="Century Gothic" w:cs="Arial"/>
          <w:vertAlign w:val="superscript"/>
          <w:lang w:val="es-ES"/>
        </w:rPr>
        <w:footnoteReference w:id="12"/>
      </w:r>
      <w:r w:rsidR="00926914" w:rsidRPr="002C21EE">
        <w:rPr>
          <w:rFonts w:ascii="Century Gothic" w:eastAsia="Arial" w:hAnsi="Century Gothic" w:cs="Arial"/>
          <w:lang w:val="es-ES"/>
        </w:rPr>
        <w:t>.</w:t>
      </w:r>
      <w:r w:rsidR="00926914">
        <w:rPr>
          <w:rFonts w:ascii="Century Gothic" w:eastAsia="Arial" w:hAnsi="Century Gothic" w:cs="Arial"/>
          <w:lang w:val="es-ES"/>
        </w:rPr>
        <w:t xml:space="preserve"> El deber de publicidad de los documentos expedidos en virtud de la actividad contractual que se de</w:t>
      </w:r>
      <w:r w:rsidR="00F87A0F">
        <w:rPr>
          <w:rFonts w:ascii="Century Gothic" w:eastAsia="Arial" w:hAnsi="Century Gothic" w:cs="Arial"/>
          <w:lang w:val="es-ES"/>
        </w:rPr>
        <w:t xml:space="preserve">sprende del artículo </w:t>
      </w:r>
      <w:r w:rsidR="007156C1" w:rsidRPr="007156C1">
        <w:rPr>
          <w:rFonts w:ascii="Century Gothic" w:eastAsia="Calibri" w:hAnsi="Century Gothic" w:cs="Arial"/>
          <w:lang w:val="es-ES"/>
        </w:rPr>
        <w:t>3 de la Ley 1150 de 2007, se encuentra regulado por el artículo 2.2.1.1.1.7.1. del Decreto 1082 de 2015 el cual establece los documentos que se deben publicar y al SECOP como medio de publicación</w:t>
      </w:r>
      <w:r w:rsidR="007156C1" w:rsidRPr="007156C1">
        <w:rPr>
          <w:rFonts w:ascii="Century Gothic" w:eastAsia="Calibri" w:hAnsi="Century Gothic" w:cs="Arial"/>
          <w:vertAlign w:val="superscript"/>
          <w:lang w:val="es-ES"/>
        </w:rPr>
        <w:footnoteReference w:id="13"/>
      </w:r>
      <w:r w:rsidR="007156C1" w:rsidRPr="007156C1">
        <w:rPr>
          <w:rFonts w:ascii="Century Gothic" w:eastAsia="Calibri" w:hAnsi="Century Gothic" w:cs="Arial"/>
          <w:lang w:val="es-ES"/>
        </w:rPr>
        <w:t xml:space="preserve">, lo que permite controlar las actuaciones y decisiones de </w:t>
      </w:r>
      <w:r w:rsidR="007156C1" w:rsidRPr="007156C1">
        <w:rPr>
          <w:rFonts w:ascii="Century Gothic" w:eastAsia="Calibri" w:hAnsi="Century Gothic" w:cs="Arial"/>
          <w:lang w:val="es-ES"/>
        </w:rPr>
        <w:lastRenderedPageBreak/>
        <w:t>la Administración y el cumplimiento de los demás principios de la contratación pública. Así lo confirma el Consejo de Estado, analizando el principio de publicidad:</w:t>
      </w:r>
    </w:p>
    <w:p w14:paraId="2882E046" w14:textId="77777777" w:rsidR="007156C1" w:rsidRPr="007156C1" w:rsidRDefault="007156C1" w:rsidP="007156C1">
      <w:pPr>
        <w:spacing w:after="0" w:line="240" w:lineRule="auto"/>
        <w:ind w:left="709" w:right="709"/>
        <w:jc w:val="both"/>
        <w:rPr>
          <w:rFonts w:ascii="Century Gothic" w:eastAsia="Calibri" w:hAnsi="Century Gothic" w:cs="Arial"/>
          <w:lang w:val="es-ES"/>
        </w:rPr>
      </w:pPr>
    </w:p>
    <w:p w14:paraId="3FE2A177" w14:textId="77777777" w:rsidR="007156C1" w:rsidRPr="007156C1" w:rsidRDefault="007156C1" w:rsidP="007156C1">
      <w:pPr>
        <w:spacing w:after="120" w:line="240" w:lineRule="auto"/>
        <w:ind w:left="709" w:right="709"/>
        <w:jc w:val="both"/>
        <w:rPr>
          <w:rFonts w:ascii="Century Gothic" w:eastAsia="Calibri" w:hAnsi="Century Gothic" w:cs="Arial"/>
          <w:sz w:val="21"/>
          <w:szCs w:val="21"/>
          <w:lang w:val="es-ES"/>
        </w:rPr>
      </w:pPr>
      <w:r w:rsidRPr="007156C1">
        <w:rPr>
          <w:rFonts w:ascii="Century Gothic" w:eastAsia="Calibri" w:hAnsi="Century Gothic" w:cs="Arial"/>
          <w:sz w:val="21"/>
          <w:szCs w:val="21"/>
          <w:lang w:val="es-ES"/>
        </w:rPr>
        <w:t>“En virtud del principio de publicidad: las autoridades deben dar a conocer sus actuaciones y decisiones mediante las comunicaciones, notificaciones o publicaciones que ordena la ley, con el propósito de que sean vinculantes y puedan ser acatadas por sus destinatarios. Publicidad significa anunciar, divulgar, difundir, informar y revelar las decisiones y su motivación para hacerlas saber a quiénes va dirigida, de manera que puedan ser obligatorias, controvertibles y controlables.</w:t>
      </w:r>
    </w:p>
    <w:p w14:paraId="7459295F" w14:textId="77777777" w:rsidR="007156C1" w:rsidRPr="007156C1" w:rsidRDefault="007156C1" w:rsidP="007156C1">
      <w:pPr>
        <w:spacing w:after="120" w:line="240" w:lineRule="auto"/>
        <w:ind w:left="709" w:right="709"/>
        <w:jc w:val="both"/>
        <w:rPr>
          <w:rFonts w:ascii="Century Gothic" w:eastAsia="Calibri" w:hAnsi="Century Gothic" w:cs="Arial"/>
          <w:sz w:val="21"/>
          <w:szCs w:val="21"/>
          <w:lang w:val="es-ES"/>
        </w:rPr>
      </w:pPr>
      <w:r w:rsidRPr="007156C1">
        <w:rPr>
          <w:rFonts w:ascii="Century Gothic" w:eastAsia="Calibri" w:hAnsi="Century Gothic" w:cs="Arial"/>
          <w:sz w:val="21"/>
          <w:szCs w:val="21"/>
          <w:lang w:val="es-ES"/>
        </w:rPr>
        <w:t>En efecto, los posibles oferentes y la comunidad en general deben tener conocimiento o la oportunidad de conocer tanto la convocatoria y reglas del proceso de selección o llamado a la licitación, como los actos y hechos del procedimiento y los participantes de presentar observaciones (art. 24 Nos. 2 y 6 y 30 No. 3 Ley 80 de 1993). La actuación de la administración debe ser abierta al público y a los participantes o concurrentes, quienes, incluso, en el caso de la licitación pueden hacer uso del ejercicio del derecho a la audiencia pública (art. 24 No. 3 ibídem en armonía con el artículo 273 de la Constitución Política).</w:t>
      </w:r>
    </w:p>
    <w:p w14:paraId="1B9504DF" w14:textId="77777777" w:rsidR="007156C1" w:rsidRPr="007156C1" w:rsidRDefault="007156C1" w:rsidP="007156C1">
      <w:pPr>
        <w:spacing w:after="0" w:line="240" w:lineRule="auto"/>
        <w:ind w:left="709" w:right="709"/>
        <w:jc w:val="both"/>
        <w:rPr>
          <w:rFonts w:ascii="Century Gothic" w:eastAsia="Calibri" w:hAnsi="Century Gothic" w:cs="Arial"/>
          <w:sz w:val="21"/>
          <w:szCs w:val="21"/>
          <w:lang w:val="es-ES"/>
        </w:rPr>
      </w:pPr>
      <w:r w:rsidRPr="007156C1">
        <w:rPr>
          <w:rFonts w:ascii="Century Gothic" w:eastAsia="Calibri" w:hAnsi="Century Gothic" w:cs="Arial"/>
          <w:sz w:val="21"/>
          <w:szCs w:val="21"/>
          <w:lang w:val="es-ES"/>
        </w:rPr>
        <w:t>Este principio-deber también se traduce en el correlativo derecho de los interesados de enterarse de esas actuaciones de la administración, pedir por parte de quien demuestre un interés legítimo información y solicitar las copias de los documentos que la integran, con sujeción a la reserva de ley (art. 23 y 74 de la C.P., No. 4 del artículo 24 de la Ley 80 de 1993, entre otros)”</w:t>
      </w:r>
      <w:r w:rsidRPr="007156C1">
        <w:rPr>
          <w:rFonts w:ascii="Century Gothic" w:eastAsia="Calibri" w:hAnsi="Century Gothic" w:cs="Arial"/>
          <w:sz w:val="21"/>
          <w:szCs w:val="21"/>
          <w:vertAlign w:val="superscript"/>
          <w:lang w:val="es-ES"/>
        </w:rPr>
        <w:footnoteReference w:id="14"/>
      </w:r>
      <w:r w:rsidRPr="007156C1">
        <w:rPr>
          <w:rFonts w:ascii="Century Gothic" w:eastAsia="Calibri" w:hAnsi="Century Gothic" w:cs="Arial"/>
          <w:sz w:val="21"/>
          <w:szCs w:val="21"/>
          <w:lang w:val="es-ES"/>
        </w:rPr>
        <w:t>.</w:t>
      </w:r>
    </w:p>
    <w:p w14:paraId="3EE88D18" w14:textId="77777777" w:rsidR="007156C1" w:rsidRPr="007156C1" w:rsidRDefault="007156C1" w:rsidP="007156C1">
      <w:pPr>
        <w:spacing w:after="0" w:line="240" w:lineRule="auto"/>
        <w:ind w:left="709" w:right="709"/>
        <w:jc w:val="both"/>
        <w:rPr>
          <w:rFonts w:ascii="Century Gothic" w:eastAsia="Calibri" w:hAnsi="Century Gothic" w:cs="Arial"/>
          <w:lang w:val="es-ES"/>
        </w:rPr>
      </w:pPr>
    </w:p>
    <w:p w14:paraId="7A79A064" w14:textId="77777777" w:rsidR="007156C1" w:rsidRPr="007156C1" w:rsidRDefault="007156C1" w:rsidP="007156C1">
      <w:pPr>
        <w:spacing w:after="120" w:line="276" w:lineRule="auto"/>
        <w:ind w:firstLine="709"/>
        <w:jc w:val="both"/>
        <w:rPr>
          <w:rFonts w:ascii="Century Gothic" w:eastAsia="Calibri" w:hAnsi="Century Gothic" w:cs="Arial"/>
          <w:lang w:val="es-ES"/>
        </w:rPr>
      </w:pPr>
      <w:r w:rsidRPr="007156C1">
        <w:rPr>
          <w:rFonts w:ascii="Century Gothic" w:eastAsia="Calibri" w:hAnsi="Century Gothic" w:cs="Arial"/>
          <w:lang w:val="es-ES"/>
        </w:rPr>
        <w:t xml:space="preserve">De acuerdo con esto, las entidades deben cumplir con el principio de publicidad respecto de su actividad contractual como garantía para los administrados, para conocer las actuaciones y participar en el control de estas, siendo el SECOP la herramienta que dispuso el Estado para que las entidades cumplan el principio de publicidad. </w:t>
      </w:r>
    </w:p>
    <w:p w14:paraId="3FD84C5F" w14:textId="4EA72204" w:rsidR="0096614B" w:rsidRPr="002C21EE" w:rsidRDefault="0096614B" w:rsidP="0096614B">
      <w:pPr>
        <w:spacing w:after="120" w:line="276" w:lineRule="auto"/>
        <w:ind w:firstLine="709"/>
        <w:jc w:val="both"/>
        <w:rPr>
          <w:rFonts w:ascii="Century Gothic" w:eastAsia="Calibri" w:hAnsi="Century Gothic" w:cs="Arial"/>
          <w:lang w:val="es-ES"/>
        </w:rPr>
      </w:pPr>
      <w:r w:rsidRPr="002C21EE">
        <w:rPr>
          <w:rFonts w:ascii="Century Gothic" w:eastAsia="Calibri" w:hAnsi="Century Gothic" w:cs="Arial"/>
          <w:lang w:val="es-ES"/>
        </w:rPr>
        <w:lastRenderedPageBreak/>
        <w:t xml:space="preserve">Conforme a lo anterior, la Agencia Nacional de Contratación Pública – Colombia Compra Eficiente, en el concepto de 4 de diciembre de 2019 –4201912000007289–, sostuvo que la disposición del artículo 3 de la Ley 1150 de 2007 debe armonizarse con lo dispuesto por el artículo 2.2.1.1.1.7.1 del Decreto 1082 de 2015 citado, donde se relacionan los documentos que se deben publicar en el SECOP, como un desarrollo de los principios de transparencia y publicidad, que busca permitir, mediante la publicación, que la ciudadanía pueda conocer la actividad contractual de las entidades, comoquiera que tales documentos dan cuenta de las decisiones de la Administración pública en beneficio del interés general y que, por tanto, incumben a la ciudadanía.  </w:t>
      </w:r>
    </w:p>
    <w:p w14:paraId="67F6B93E" w14:textId="3402556A" w:rsidR="0096614B" w:rsidRPr="002C21EE" w:rsidRDefault="0096614B" w:rsidP="0096614B">
      <w:pPr>
        <w:spacing w:after="0" w:line="276" w:lineRule="auto"/>
        <w:ind w:firstLine="709"/>
        <w:jc w:val="both"/>
        <w:rPr>
          <w:rFonts w:ascii="Century Gothic" w:eastAsia="Calibri" w:hAnsi="Century Gothic" w:cs="Arial"/>
          <w:lang w:val="es-ES"/>
        </w:rPr>
      </w:pPr>
      <w:r w:rsidRPr="002C21EE">
        <w:rPr>
          <w:rFonts w:ascii="Century Gothic" w:eastAsia="Calibri" w:hAnsi="Century Gothic" w:cs="Arial"/>
          <w:lang w:val="es-ES"/>
        </w:rPr>
        <w:t>En conclusión, el artículo 3 de la Ley 1150 de 2007 desarrolla los principios de publicidad y transparencia de las actuaciones contractuales, del cual se desprende un deber de publicar las actuaciones contractuales, el cual implica que todas las entidades estatales publiquen los documentos en los que se evidencia el desarrollo de sus procesos de contratación, esto comoquiera que el objetivo del deber de dar publicidad de las actuaciones contractuales es materializar el derecho a conocer e intervenir de las decisiones de la Administración Pública.</w:t>
      </w:r>
    </w:p>
    <w:p w14:paraId="360CD822" w14:textId="77777777" w:rsidR="001925EE" w:rsidRDefault="001925EE" w:rsidP="00D76211">
      <w:pPr>
        <w:spacing w:after="0" w:line="276" w:lineRule="auto"/>
        <w:jc w:val="both"/>
        <w:rPr>
          <w:rFonts w:ascii="Century Gothic" w:hAnsi="Century Gothic" w:cs="Arial"/>
          <w:b/>
          <w:lang w:val="es-ES_tradnl" w:eastAsia="es-ES"/>
        </w:rPr>
      </w:pPr>
    </w:p>
    <w:p w14:paraId="41644053" w14:textId="415080E6" w:rsidR="0072646A" w:rsidRDefault="00CC087C" w:rsidP="00D76211">
      <w:pPr>
        <w:spacing w:after="0" w:line="276" w:lineRule="auto"/>
        <w:jc w:val="both"/>
        <w:rPr>
          <w:rFonts w:ascii="Century Gothic" w:hAnsi="Century Gothic" w:cs="Arial"/>
          <w:b/>
          <w:lang w:val="es-ES_tradnl" w:eastAsia="es-ES"/>
        </w:rPr>
      </w:pPr>
      <w:r>
        <w:rPr>
          <w:rFonts w:ascii="Century Gothic" w:hAnsi="Century Gothic" w:cs="Arial"/>
          <w:b/>
          <w:lang w:val="es-ES_tradnl" w:eastAsia="es-ES"/>
        </w:rPr>
        <w:t xml:space="preserve">Principio de </w:t>
      </w:r>
      <w:r w:rsidR="00BE0876">
        <w:rPr>
          <w:rFonts w:ascii="Century Gothic" w:hAnsi="Century Gothic" w:cs="Arial"/>
          <w:b/>
          <w:lang w:val="es-ES_tradnl" w:eastAsia="es-ES"/>
        </w:rPr>
        <w:t>transparencia en</w:t>
      </w:r>
      <w:r>
        <w:rPr>
          <w:rFonts w:ascii="Century Gothic" w:hAnsi="Century Gothic" w:cs="Arial"/>
          <w:b/>
          <w:lang w:val="es-ES_tradnl" w:eastAsia="es-ES"/>
        </w:rPr>
        <w:t xml:space="preserve"> los procesos de contratación</w:t>
      </w:r>
      <w:r w:rsidR="00BE0876">
        <w:rPr>
          <w:rFonts w:ascii="Century Gothic" w:hAnsi="Century Gothic" w:cs="Arial"/>
          <w:b/>
          <w:lang w:val="es-ES_tradnl" w:eastAsia="es-ES"/>
        </w:rPr>
        <w:t xml:space="preserve"> estatal</w:t>
      </w:r>
      <w:r w:rsidR="001D1F05">
        <w:rPr>
          <w:rFonts w:ascii="Century Gothic" w:hAnsi="Century Gothic" w:cs="Arial"/>
          <w:b/>
          <w:lang w:val="es-ES_tradnl" w:eastAsia="es-ES"/>
        </w:rPr>
        <w:t>: régimen de observaciones a los documentos del proceso de selección.</w:t>
      </w:r>
      <w:r w:rsidR="00C05985">
        <w:rPr>
          <w:rFonts w:ascii="Century Gothic" w:hAnsi="Century Gothic" w:cs="Arial"/>
          <w:b/>
          <w:lang w:val="es-ES_tradnl" w:eastAsia="es-ES"/>
        </w:rPr>
        <w:t xml:space="preserve"> Reiteración de línea</w:t>
      </w:r>
    </w:p>
    <w:p w14:paraId="3093E1D9" w14:textId="77777777" w:rsidR="00BE0876" w:rsidRDefault="00BE0876" w:rsidP="00D76211">
      <w:pPr>
        <w:spacing w:after="0" w:line="276" w:lineRule="auto"/>
        <w:jc w:val="both"/>
        <w:rPr>
          <w:rFonts w:ascii="Century Gothic" w:hAnsi="Century Gothic" w:cs="Arial"/>
          <w:b/>
          <w:lang w:val="es-ES_tradnl" w:eastAsia="es-ES"/>
        </w:rPr>
      </w:pPr>
    </w:p>
    <w:p w14:paraId="7614C097" w14:textId="100AD1FF" w:rsidR="00FD6F8B" w:rsidRPr="00FD6F8B" w:rsidRDefault="00597C09" w:rsidP="00D76211">
      <w:pPr>
        <w:spacing w:after="0" w:line="276" w:lineRule="auto"/>
        <w:jc w:val="both"/>
        <w:rPr>
          <w:rFonts w:ascii="Century Gothic" w:hAnsi="Century Gothic" w:cs="Arial"/>
          <w:bCs/>
          <w:lang w:val="es-ES_tradnl" w:eastAsia="es-ES"/>
        </w:rPr>
      </w:pPr>
      <w:r>
        <w:rPr>
          <w:rFonts w:ascii="Century Gothic" w:hAnsi="Century Gothic" w:cs="Arial"/>
          <w:bCs/>
          <w:lang w:val="es-ES_tradnl" w:eastAsia="es-ES"/>
        </w:rPr>
        <w:t>En línea con lo expuesto</w:t>
      </w:r>
      <w:r w:rsidR="00FD6F8B">
        <w:rPr>
          <w:rFonts w:ascii="Century Gothic" w:hAnsi="Century Gothic" w:cs="Arial"/>
          <w:bCs/>
          <w:lang w:val="es-ES_tradnl" w:eastAsia="es-ES"/>
        </w:rPr>
        <w:t xml:space="preserve"> en el numeral anterior, </w:t>
      </w:r>
      <w:r w:rsidR="00992D43">
        <w:rPr>
          <w:rFonts w:ascii="Century Gothic" w:hAnsi="Century Gothic" w:cs="Arial"/>
          <w:bCs/>
          <w:lang w:val="es-ES_tradnl" w:eastAsia="es-ES"/>
        </w:rPr>
        <w:t xml:space="preserve">se itera que la contratación estatal tiene como propósito el </w:t>
      </w:r>
      <w:r w:rsidR="001D3514" w:rsidRPr="001D3514">
        <w:rPr>
          <w:rFonts w:ascii="Century Gothic" w:hAnsi="Century Gothic" w:cs="Arial"/>
          <w:bCs/>
          <w:lang w:val="es-ES_tradnl" w:eastAsia="es-ES"/>
        </w:rPr>
        <w:t>cumplimiento de los fines estatales, la continua y eficiente prestación de los servicios públicos y la efectividad de los derechos e intereses d</w:t>
      </w:r>
      <w:r w:rsidR="001D3514" w:rsidRPr="00872426">
        <w:rPr>
          <w:rFonts w:ascii="Century Gothic" w:hAnsi="Century Gothic" w:cs="Arial"/>
          <w:bCs/>
          <w:lang w:val="es-ES_tradnl" w:eastAsia="es-ES"/>
        </w:rPr>
        <w:t>e los administrados que colaboran con ellas en la consecución de dichos fines</w:t>
      </w:r>
      <w:r w:rsidR="00872426" w:rsidRPr="00872426">
        <w:rPr>
          <w:rFonts w:ascii="Century Gothic" w:eastAsia="Calibri" w:hAnsi="Century Gothic" w:cs="Arial"/>
          <w:vertAlign w:val="superscript"/>
          <w:lang w:val="es-MX"/>
        </w:rPr>
        <w:footnoteReference w:id="15"/>
      </w:r>
      <w:r w:rsidR="00872426" w:rsidRPr="00872426">
        <w:rPr>
          <w:rFonts w:ascii="Century Gothic" w:eastAsia="Calibri" w:hAnsi="Century Gothic" w:cs="Arial"/>
          <w:lang w:val="es-MX"/>
        </w:rPr>
        <w:t>.</w:t>
      </w:r>
      <w:r w:rsidR="00872426">
        <w:rPr>
          <w:rFonts w:ascii="Century Gothic" w:eastAsia="Calibri" w:hAnsi="Century Gothic" w:cs="Arial"/>
          <w:lang w:val="es-MX"/>
        </w:rPr>
        <w:t xml:space="preserve"> En cumplimiento de ese objetivo</w:t>
      </w:r>
      <w:r w:rsidR="00294BDA">
        <w:rPr>
          <w:rFonts w:ascii="Century Gothic" w:eastAsia="Calibri" w:hAnsi="Century Gothic" w:cs="Arial"/>
          <w:lang w:val="es-MX"/>
        </w:rPr>
        <w:t>, el legislador determinó que las actuaciones adelantadas por las Entidades Estatales, en materia contractual, se llevan a cabo, entre otros,</w:t>
      </w:r>
      <w:r w:rsidR="00705665">
        <w:rPr>
          <w:rFonts w:ascii="Century Gothic" w:eastAsia="Calibri" w:hAnsi="Century Gothic" w:cs="Arial"/>
          <w:lang w:val="es-MX"/>
        </w:rPr>
        <w:t xml:space="preserve"> bajo la observancia</w:t>
      </w:r>
      <w:r w:rsidR="000E4703">
        <w:rPr>
          <w:rFonts w:ascii="Century Gothic" w:eastAsia="Calibri" w:hAnsi="Century Gothic" w:cs="Arial"/>
          <w:lang w:val="es-MX"/>
        </w:rPr>
        <w:t xml:space="preserve"> de los principios que gobiernas los procesos de contratación pública.</w:t>
      </w:r>
    </w:p>
    <w:p w14:paraId="27B1F95B" w14:textId="5C848CFF" w:rsidR="00972DB0" w:rsidRDefault="00972DB0" w:rsidP="00972DB0">
      <w:pPr>
        <w:spacing w:before="120" w:after="0" w:line="276" w:lineRule="auto"/>
        <w:jc w:val="both"/>
        <w:rPr>
          <w:rFonts w:ascii="Century Gothic" w:eastAsia="Calibri" w:hAnsi="Century Gothic" w:cs="Arial"/>
          <w:lang w:val="es-MX"/>
        </w:rPr>
      </w:pPr>
      <w:r>
        <w:rPr>
          <w:rFonts w:ascii="Century Gothic" w:eastAsia="Arial" w:hAnsi="Century Gothic" w:cs="Arial"/>
        </w:rPr>
        <w:lastRenderedPageBreak/>
        <w:tab/>
        <w:t>El artículo 23 de la Ley 80 de 1993 regula los principios aplicables a las actuaciones contractuales adelantadas por las Entidades Estata</w:t>
      </w:r>
      <w:r w:rsidRPr="00477D86">
        <w:rPr>
          <w:rFonts w:ascii="Century Gothic" w:eastAsia="Arial" w:hAnsi="Century Gothic" w:cs="Arial"/>
        </w:rPr>
        <w:t>les</w:t>
      </w:r>
      <w:r w:rsidR="00477D86" w:rsidRPr="00477D86">
        <w:rPr>
          <w:rFonts w:ascii="Century Gothic" w:eastAsia="Calibri" w:hAnsi="Century Gothic" w:cs="Arial"/>
          <w:vertAlign w:val="superscript"/>
          <w:lang w:val="es-MX"/>
        </w:rPr>
        <w:footnoteReference w:id="16"/>
      </w:r>
      <w:r w:rsidR="00477D86" w:rsidRPr="00477D86">
        <w:rPr>
          <w:rFonts w:ascii="Century Gothic" w:eastAsia="Calibri" w:hAnsi="Century Gothic" w:cs="Arial"/>
          <w:lang w:val="es-MX"/>
        </w:rPr>
        <w:t>.</w:t>
      </w:r>
      <w:r w:rsidR="00477D86">
        <w:rPr>
          <w:rFonts w:ascii="Century Gothic" w:eastAsia="Calibri" w:hAnsi="Century Gothic" w:cs="Arial"/>
          <w:lang w:val="es-MX"/>
        </w:rPr>
        <w:t xml:space="preserve"> Entre otros, allí se estableció el principio de </w:t>
      </w:r>
      <w:r w:rsidR="00477D86" w:rsidRPr="000E4703">
        <w:rPr>
          <w:rFonts w:ascii="Century Gothic" w:eastAsia="Calibri" w:hAnsi="Century Gothic" w:cs="Arial"/>
          <w:lang w:val="es-MX"/>
        </w:rPr>
        <w:t>transparencia</w:t>
      </w:r>
      <w:r w:rsidR="00477D86">
        <w:rPr>
          <w:rFonts w:ascii="Century Gothic" w:eastAsia="Calibri" w:hAnsi="Century Gothic" w:cs="Arial"/>
          <w:lang w:val="es-MX"/>
        </w:rPr>
        <w:t xml:space="preserve"> de la actividad contractual, objeto de regulación expresa en el artículo 24 </w:t>
      </w:r>
      <w:r w:rsidR="00C26B83">
        <w:rPr>
          <w:rFonts w:ascii="Century Gothic" w:eastAsia="Calibri" w:hAnsi="Century Gothic" w:cs="Arial"/>
          <w:i/>
          <w:iCs/>
          <w:lang w:val="es-MX"/>
        </w:rPr>
        <w:t xml:space="preserve">ibidem. </w:t>
      </w:r>
      <w:r w:rsidR="00C26B83">
        <w:rPr>
          <w:rFonts w:ascii="Century Gothic" w:eastAsia="Calibri" w:hAnsi="Century Gothic" w:cs="Arial"/>
          <w:lang w:val="es-MX"/>
        </w:rPr>
        <w:t xml:space="preserve">Este principio guarda estrecha relación con el de publicidad, </w:t>
      </w:r>
      <w:r w:rsidR="000E4703">
        <w:rPr>
          <w:rFonts w:ascii="Century Gothic" w:eastAsia="Calibri" w:hAnsi="Century Gothic" w:cs="Arial"/>
          <w:lang w:val="es-MX"/>
        </w:rPr>
        <w:t xml:space="preserve">como se indicó en numeral 2.2 de este concepto, </w:t>
      </w:r>
      <w:r w:rsidR="00C26B83">
        <w:rPr>
          <w:rFonts w:ascii="Century Gothic" w:eastAsia="Calibri" w:hAnsi="Century Gothic" w:cs="Arial"/>
          <w:lang w:val="es-MX"/>
        </w:rPr>
        <w:t xml:space="preserve">que rige el ejercicio de la función administrativa. Por ello, </w:t>
      </w:r>
      <w:r w:rsidR="00EA747A">
        <w:rPr>
          <w:rFonts w:ascii="Century Gothic" w:eastAsia="Calibri" w:hAnsi="Century Gothic" w:cs="Arial"/>
          <w:lang w:val="es-MX"/>
        </w:rPr>
        <w:t>en los numerales 2° y 3° se estab</w:t>
      </w:r>
      <w:r w:rsidR="00374D4D">
        <w:rPr>
          <w:rFonts w:ascii="Century Gothic" w:eastAsia="Calibri" w:hAnsi="Century Gothic" w:cs="Arial"/>
          <w:lang w:val="es-MX"/>
        </w:rPr>
        <w:t xml:space="preserve">leció </w:t>
      </w:r>
      <w:r w:rsidR="00A54376">
        <w:rPr>
          <w:rFonts w:ascii="Century Gothic" w:eastAsia="Calibri" w:hAnsi="Century Gothic" w:cs="Arial"/>
          <w:lang w:val="es-MX"/>
        </w:rPr>
        <w:t xml:space="preserve">el deber de publicidad de </w:t>
      </w:r>
      <w:r w:rsidR="001F41D3">
        <w:rPr>
          <w:rFonts w:ascii="Century Gothic" w:eastAsia="Calibri" w:hAnsi="Century Gothic" w:cs="Arial"/>
          <w:lang w:val="es-MX"/>
        </w:rPr>
        <w:t>las actuaciones</w:t>
      </w:r>
      <w:r w:rsidR="00A54376">
        <w:rPr>
          <w:rFonts w:ascii="Century Gothic" w:eastAsia="Calibri" w:hAnsi="Century Gothic" w:cs="Arial"/>
          <w:lang w:val="es-MX"/>
        </w:rPr>
        <w:t xml:space="preserve"> de l</w:t>
      </w:r>
      <w:r w:rsidR="00B752F6">
        <w:rPr>
          <w:rFonts w:ascii="Century Gothic" w:eastAsia="Calibri" w:hAnsi="Century Gothic" w:cs="Arial"/>
          <w:lang w:val="es-MX"/>
        </w:rPr>
        <w:t>as autoridades</w:t>
      </w:r>
      <w:r w:rsidR="00A54376">
        <w:rPr>
          <w:rFonts w:ascii="Century Gothic" w:eastAsia="Calibri" w:hAnsi="Century Gothic" w:cs="Arial"/>
          <w:lang w:val="es-MX"/>
        </w:rPr>
        <w:t xml:space="preserve">, así </w:t>
      </w:r>
      <w:r w:rsidR="00B752F6">
        <w:rPr>
          <w:rFonts w:ascii="Century Gothic" w:eastAsia="Calibri" w:hAnsi="Century Gothic" w:cs="Arial"/>
          <w:lang w:val="es-MX"/>
        </w:rPr>
        <w:t xml:space="preserve">como </w:t>
      </w:r>
      <w:r w:rsidR="00374D4D">
        <w:rPr>
          <w:rFonts w:ascii="Century Gothic" w:eastAsia="Calibri" w:hAnsi="Century Gothic" w:cs="Arial"/>
          <w:lang w:val="es-MX"/>
        </w:rPr>
        <w:t>la facultad de los interesados para realizar y/o presentar observaciones</w:t>
      </w:r>
      <w:r w:rsidR="00A94528">
        <w:rPr>
          <w:rFonts w:ascii="Century Gothic" w:eastAsia="Calibri" w:hAnsi="Century Gothic" w:cs="Arial"/>
          <w:lang w:val="es-MX"/>
        </w:rPr>
        <w:t xml:space="preserve">, como un mecanismo para controvertir algunas de las decisiones adoptadas por las Entidades Estatales </w:t>
      </w:r>
      <w:r w:rsidR="009D7BC3">
        <w:rPr>
          <w:rFonts w:ascii="Century Gothic" w:eastAsia="Calibri" w:hAnsi="Century Gothic" w:cs="Arial"/>
          <w:lang w:val="es-MX"/>
        </w:rPr>
        <w:t>en el marco de sus actuaciones</w:t>
      </w:r>
      <w:r w:rsidR="00AD5E32">
        <w:rPr>
          <w:rFonts w:ascii="Century Gothic" w:eastAsia="Calibri" w:hAnsi="Century Gothic" w:cs="Arial"/>
          <w:lang w:val="es-MX"/>
        </w:rPr>
        <w:t>, así:</w:t>
      </w:r>
    </w:p>
    <w:p w14:paraId="32079A63" w14:textId="77777777" w:rsidR="001F41D3" w:rsidRDefault="001F41D3" w:rsidP="001F41D3">
      <w:pPr>
        <w:spacing w:after="0" w:line="240" w:lineRule="auto"/>
        <w:ind w:left="709" w:right="709"/>
        <w:jc w:val="both"/>
        <w:rPr>
          <w:rFonts w:ascii="Geomanist Light" w:eastAsia="Calibri" w:hAnsi="Geomanist Light" w:cs="Arial"/>
          <w:sz w:val="21"/>
          <w:szCs w:val="21"/>
          <w:lang w:val="es-MX"/>
        </w:rPr>
      </w:pPr>
    </w:p>
    <w:p w14:paraId="47639691" w14:textId="4A7F395A" w:rsidR="001F41D3" w:rsidRPr="001F41D3" w:rsidRDefault="001F41D3" w:rsidP="001F41D3">
      <w:pPr>
        <w:spacing w:after="0" w:line="240" w:lineRule="auto"/>
        <w:ind w:left="709" w:right="709"/>
        <w:jc w:val="both"/>
        <w:rPr>
          <w:rFonts w:ascii="Geomanist Light" w:eastAsia="Calibri" w:hAnsi="Geomanist Light" w:cs="Arial"/>
          <w:sz w:val="21"/>
          <w:szCs w:val="21"/>
          <w:lang w:val="es-MX"/>
        </w:rPr>
      </w:pPr>
      <w:r>
        <w:rPr>
          <w:rFonts w:ascii="Geomanist Light" w:eastAsia="Calibri" w:hAnsi="Geomanist Light" w:cs="Arial"/>
          <w:sz w:val="21"/>
          <w:szCs w:val="21"/>
          <w:lang w:val="es-MX"/>
        </w:rPr>
        <w:t>“</w:t>
      </w:r>
      <w:r w:rsidRPr="001F41D3">
        <w:rPr>
          <w:rFonts w:ascii="Geomanist Light" w:eastAsia="Calibri" w:hAnsi="Geomanist Light" w:cs="Arial"/>
          <w:sz w:val="21"/>
          <w:szCs w:val="21"/>
          <w:lang w:val="es-MX"/>
        </w:rPr>
        <w:t>ARTÍCULO 24. DEL PRINCIPIO DE TRANSPARENCIA. En virtud de este principio:</w:t>
      </w:r>
    </w:p>
    <w:p w14:paraId="5294057A" w14:textId="77777777" w:rsidR="001F41D3" w:rsidRPr="001F41D3" w:rsidRDefault="001F41D3" w:rsidP="001F41D3">
      <w:pPr>
        <w:spacing w:after="0" w:line="240" w:lineRule="auto"/>
        <w:ind w:left="709" w:right="709"/>
        <w:jc w:val="both"/>
        <w:rPr>
          <w:rFonts w:ascii="Geomanist Light" w:eastAsia="Calibri" w:hAnsi="Geomanist Light" w:cs="Arial"/>
          <w:sz w:val="21"/>
          <w:szCs w:val="21"/>
          <w:lang w:val="es-MX"/>
        </w:rPr>
      </w:pPr>
      <w:r w:rsidRPr="001F41D3">
        <w:rPr>
          <w:rFonts w:ascii="Geomanist Light" w:eastAsia="Calibri" w:hAnsi="Geomanist Light" w:cs="Arial"/>
          <w:sz w:val="21"/>
          <w:szCs w:val="21"/>
          <w:lang w:val="es-MX"/>
        </w:rPr>
        <w:t>[…]</w:t>
      </w:r>
    </w:p>
    <w:p w14:paraId="13A2FA21" w14:textId="77777777" w:rsidR="001F41D3" w:rsidRPr="001F41D3" w:rsidRDefault="001F41D3" w:rsidP="001F41D3">
      <w:pPr>
        <w:spacing w:after="0" w:line="240" w:lineRule="auto"/>
        <w:ind w:left="709" w:right="709"/>
        <w:jc w:val="both"/>
        <w:rPr>
          <w:rFonts w:ascii="Geomanist Light" w:eastAsia="Calibri" w:hAnsi="Geomanist Light" w:cs="Arial"/>
          <w:sz w:val="21"/>
          <w:szCs w:val="21"/>
          <w:lang w:val="es-MX"/>
        </w:rPr>
      </w:pPr>
    </w:p>
    <w:p w14:paraId="49167FFA" w14:textId="4F492889" w:rsidR="003423A9" w:rsidRDefault="001F41D3" w:rsidP="003423A9">
      <w:pPr>
        <w:spacing w:after="0" w:line="240" w:lineRule="auto"/>
        <w:ind w:left="709" w:right="709"/>
        <w:jc w:val="both"/>
        <w:rPr>
          <w:rFonts w:ascii="Geomanist Light" w:eastAsia="Calibri" w:hAnsi="Geomanist Light" w:cs="Arial"/>
          <w:sz w:val="21"/>
          <w:szCs w:val="21"/>
          <w:lang w:val="es-MX"/>
        </w:rPr>
      </w:pPr>
      <w:r w:rsidRPr="001F41D3">
        <w:rPr>
          <w:rFonts w:ascii="Geomanist Light" w:eastAsia="Calibri" w:hAnsi="Geomanist Light" w:cs="Arial"/>
          <w:sz w:val="21"/>
          <w:szCs w:val="21"/>
          <w:lang w:val="es-MX"/>
        </w:rPr>
        <w:t>2o.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p>
    <w:p w14:paraId="343E261E" w14:textId="77777777" w:rsidR="003423A9" w:rsidRDefault="003423A9" w:rsidP="003423A9">
      <w:pPr>
        <w:spacing w:after="0" w:line="240" w:lineRule="auto"/>
        <w:ind w:left="709" w:right="709"/>
        <w:jc w:val="both"/>
        <w:rPr>
          <w:rFonts w:ascii="Geomanist Light" w:eastAsia="Calibri" w:hAnsi="Geomanist Light" w:cs="Arial"/>
          <w:sz w:val="21"/>
          <w:szCs w:val="21"/>
          <w:lang w:val="es-MX"/>
        </w:rPr>
      </w:pPr>
    </w:p>
    <w:p w14:paraId="52496636" w14:textId="7D50A25E" w:rsidR="00AD5E32" w:rsidRPr="003423A9" w:rsidRDefault="001F41D3" w:rsidP="003423A9">
      <w:pPr>
        <w:spacing w:after="0" w:line="240" w:lineRule="auto"/>
        <w:ind w:left="709" w:right="709"/>
        <w:jc w:val="both"/>
        <w:rPr>
          <w:rFonts w:ascii="Geomanist Light" w:eastAsia="Calibri" w:hAnsi="Geomanist Light" w:cs="Arial"/>
          <w:sz w:val="21"/>
          <w:szCs w:val="21"/>
          <w:lang w:val="es-MX"/>
        </w:rPr>
      </w:pPr>
      <w:r w:rsidRPr="001F41D3">
        <w:rPr>
          <w:rFonts w:ascii="Geomanist Light" w:eastAsia="Calibri" w:hAnsi="Geomanist Light" w:cs="Arial"/>
          <w:sz w:val="21"/>
          <w:szCs w:val="21"/>
          <w:lang w:val="es-MX"/>
        </w:rPr>
        <w:t>3o. Las actuaciones de las autoridades serán públicas y los expedientes que las contengan estarán abiertos al público, permitiendo en el caso de licitación el ejercicio del derecho de que trata el artículo 273 de la Constitución Polític</w:t>
      </w:r>
      <w:r w:rsidR="003423A9">
        <w:rPr>
          <w:rFonts w:ascii="Geomanist Light" w:eastAsia="Calibri" w:hAnsi="Geomanist Light" w:cs="Arial"/>
          <w:sz w:val="21"/>
          <w:szCs w:val="21"/>
          <w:lang w:val="es-MX"/>
        </w:rPr>
        <w:t>a”.</w:t>
      </w:r>
    </w:p>
    <w:p w14:paraId="6DAE709B" w14:textId="77777777" w:rsidR="00972DB0" w:rsidRDefault="00972DB0" w:rsidP="0050441E">
      <w:pPr>
        <w:spacing w:after="0" w:line="276" w:lineRule="auto"/>
        <w:jc w:val="both"/>
        <w:rPr>
          <w:rFonts w:ascii="Century Gothic" w:eastAsia="Arial" w:hAnsi="Century Gothic" w:cs="Arial"/>
        </w:rPr>
      </w:pPr>
    </w:p>
    <w:p w14:paraId="46ADE79D" w14:textId="73FF4E2B" w:rsidR="006D18CB" w:rsidRDefault="0050441E" w:rsidP="0050441E">
      <w:pPr>
        <w:spacing w:after="0" w:line="276" w:lineRule="auto"/>
        <w:jc w:val="both"/>
        <w:rPr>
          <w:rFonts w:ascii="Century Gothic" w:eastAsia="Calibri" w:hAnsi="Century Gothic" w:cs="Arial"/>
          <w:lang w:val="es-MX"/>
        </w:rPr>
      </w:pPr>
      <w:r>
        <w:rPr>
          <w:rFonts w:ascii="Century Gothic" w:eastAsia="Arial" w:hAnsi="Century Gothic" w:cs="Arial"/>
        </w:rPr>
        <w:tab/>
      </w:r>
      <w:r w:rsidR="006D18CB">
        <w:rPr>
          <w:rFonts w:ascii="Century Gothic" w:eastAsia="Arial" w:hAnsi="Century Gothic" w:cs="Arial"/>
        </w:rPr>
        <w:t xml:space="preserve">Conforme a lo anterior, el conocimiento y motivación de las decisiones tomadas por la administración son un presupuesto necesario para controvertirlas. Así las cosas, de </w:t>
      </w:r>
      <w:r w:rsidR="006D18CB" w:rsidRPr="00733F32">
        <w:rPr>
          <w:rFonts w:ascii="Century Gothic" w:eastAsia="Arial" w:hAnsi="Century Gothic" w:cs="Arial"/>
        </w:rPr>
        <w:t>acuerdo con lo dispuesto en el numeral 2° previamente citado, la doctrina considera que “</w:t>
      </w:r>
      <w:r w:rsidR="0012404F" w:rsidRPr="00733F32">
        <w:rPr>
          <w:rFonts w:ascii="Century Gothic" w:eastAsia="Arial" w:hAnsi="Century Gothic" w:cs="Arial"/>
        </w:rPr>
        <w:t xml:space="preserve">[…] </w:t>
      </w:r>
      <w:r w:rsidR="00733F32" w:rsidRPr="00733F32">
        <w:rPr>
          <w:rFonts w:ascii="Century Gothic" w:eastAsia="Calibri" w:hAnsi="Century Gothic" w:cs="Arial"/>
          <w:lang w:val="es-MX"/>
        </w:rPr>
        <w:t>en los procesos de selección en los cuales el ordenamiento jurídico no indique de manera expresa una etapa tal para esos fines, los pliegos de condiciones deben introducir y reglar una instancia en donde los oferentes puedan expresar sus opiniones y observaciones […]”</w:t>
      </w:r>
      <w:r w:rsidR="00733F32" w:rsidRPr="00733F32">
        <w:rPr>
          <w:rFonts w:ascii="Century Gothic" w:eastAsia="Calibri" w:hAnsi="Century Gothic" w:cs="Arial"/>
          <w:vertAlign w:val="superscript"/>
          <w:lang w:val="es-MX"/>
        </w:rPr>
        <w:footnoteReference w:id="17"/>
      </w:r>
      <w:r w:rsidR="00733F32" w:rsidRPr="00733F32">
        <w:rPr>
          <w:rFonts w:ascii="Century Gothic" w:eastAsia="Calibri" w:hAnsi="Century Gothic" w:cs="Arial"/>
          <w:lang w:val="es-MX"/>
        </w:rPr>
        <w:t>.</w:t>
      </w:r>
    </w:p>
    <w:p w14:paraId="24A408BB" w14:textId="2D674E40" w:rsidR="00DE5C60" w:rsidRDefault="00DE5C60" w:rsidP="00652FD4">
      <w:pPr>
        <w:spacing w:before="120" w:after="0" w:line="276" w:lineRule="auto"/>
        <w:jc w:val="both"/>
        <w:rPr>
          <w:rFonts w:ascii="Century Gothic" w:eastAsia="Calibri" w:hAnsi="Century Gothic" w:cs="Arial"/>
          <w:lang w:val="es-MX"/>
        </w:rPr>
      </w:pPr>
      <w:r>
        <w:rPr>
          <w:rFonts w:ascii="Century Gothic" w:eastAsia="Calibri" w:hAnsi="Century Gothic" w:cs="Arial"/>
          <w:lang w:val="es-MX"/>
        </w:rPr>
        <w:tab/>
        <w:t xml:space="preserve">Este principio está desarrollado en el Decreto 1082 de 2015, el cual establece los plazos dentro de los cuales los interesados podrán realizar observaciones en las </w:t>
      </w:r>
      <w:r w:rsidR="00783791">
        <w:rPr>
          <w:rFonts w:ascii="Century Gothic" w:eastAsia="Calibri" w:hAnsi="Century Gothic" w:cs="Arial"/>
          <w:lang w:val="es-MX"/>
        </w:rPr>
        <w:lastRenderedPageBreak/>
        <w:t xml:space="preserve">actuaciones adelantadas a instancia de las Entidades Estatales en sus procesos de contratación. Dichos plazos podrán ampliarse, más </w:t>
      </w:r>
      <w:r w:rsidR="005F18BC">
        <w:rPr>
          <w:rFonts w:ascii="Century Gothic" w:eastAsia="Calibri" w:hAnsi="Century Gothic" w:cs="Arial"/>
          <w:lang w:val="es-MX"/>
        </w:rPr>
        <w:t>no restringirse por las entidades, dependiendo del procedimiento de selección. En cuanto a la importancia del principio de transparencia que rige las actuaciones contractuales de las Entidades Estatales, la Sección Tercera del Consejo de Estado explica lo siguiente:</w:t>
      </w:r>
    </w:p>
    <w:p w14:paraId="0D382AE1" w14:textId="77777777" w:rsidR="00652FD4" w:rsidRDefault="00652FD4" w:rsidP="00652FD4">
      <w:pPr>
        <w:spacing w:before="120" w:after="0" w:line="276" w:lineRule="auto"/>
        <w:jc w:val="both"/>
        <w:rPr>
          <w:rFonts w:ascii="Century Gothic" w:eastAsia="Calibri" w:hAnsi="Century Gothic" w:cs="Arial"/>
          <w:lang w:val="es-MX"/>
        </w:rPr>
      </w:pPr>
    </w:p>
    <w:p w14:paraId="17F1D056" w14:textId="3F9C722E" w:rsidR="00652FD4" w:rsidRPr="00652FD4" w:rsidRDefault="00652FD4" w:rsidP="00652FD4">
      <w:pPr>
        <w:spacing w:after="0" w:line="240" w:lineRule="auto"/>
        <w:ind w:left="709" w:right="709"/>
        <w:jc w:val="both"/>
        <w:rPr>
          <w:rFonts w:ascii="Century Gothic" w:eastAsia="Batang" w:hAnsi="Century Gothic" w:cs="Arial"/>
          <w:sz w:val="21"/>
          <w:szCs w:val="21"/>
          <w:lang w:val="es-MX"/>
        </w:rPr>
      </w:pPr>
      <w:r>
        <w:rPr>
          <w:rFonts w:ascii="Century Gothic" w:eastAsia="Batang" w:hAnsi="Century Gothic" w:cs="Arial"/>
          <w:sz w:val="21"/>
          <w:szCs w:val="21"/>
          <w:lang w:val="es-MX"/>
        </w:rPr>
        <w:t>“</w:t>
      </w:r>
      <w:r w:rsidRPr="00652FD4">
        <w:rPr>
          <w:rFonts w:ascii="Century Gothic" w:eastAsia="Batang" w:hAnsi="Century Gothic" w:cs="Arial"/>
          <w:sz w:val="21"/>
          <w:szCs w:val="21"/>
          <w:lang w:val="es-MX"/>
        </w:rPr>
        <w:t xml:space="preserve">El principio de transparencia persigue la garantía que en la formación del contrato, con plena publicidad de las bases del proceso de selección y en igualdad de oportunidades de quienes en él participen, se escoja la oferta más favorable para los intereses de la administración, de suerte que la actuación administrativa de la contratación sea imparcial, alejada de todo favoritismo y, por ende, extraña a cualquier factor político, económico o familiar. </w:t>
      </w:r>
    </w:p>
    <w:p w14:paraId="32D23003" w14:textId="77777777" w:rsidR="00652FD4" w:rsidRPr="00652FD4" w:rsidRDefault="00652FD4" w:rsidP="00652FD4">
      <w:pPr>
        <w:spacing w:after="120" w:line="240" w:lineRule="auto"/>
        <w:ind w:left="709" w:right="709"/>
        <w:jc w:val="both"/>
        <w:rPr>
          <w:rFonts w:ascii="Century Gothic" w:eastAsia="Batang" w:hAnsi="Century Gothic" w:cs="Arial"/>
          <w:sz w:val="21"/>
          <w:szCs w:val="21"/>
          <w:lang w:val="es-MX"/>
        </w:rPr>
      </w:pPr>
      <w:r w:rsidRPr="00652FD4">
        <w:rPr>
          <w:rFonts w:ascii="Century Gothic" w:eastAsia="Batang" w:hAnsi="Century Gothic" w:cs="Arial"/>
          <w:sz w:val="21"/>
          <w:szCs w:val="21"/>
          <w:lang w:val="es-MX"/>
        </w:rPr>
        <w:t>En palabras de la Corte Suprema de Justicia:</w:t>
      </w:r>
    </w:p>
    <w:p w14:paraId="4488A27B" w14:textId="77777777" w:rsidR="00652FD4" w:rsidRPr="00652FD4" w:rsidRDefault="00652FD4" w:rsidP="00652FD4">
      <w:pPr>
        <w:spacing w:after="120" w:line="240" w:lineRule="auto"/>
        <w:ind w:left="709" w:right="709"/>
        <w:jc w:val="both"/>
        <w:rPr>
          <w:rFonts w:ascii="Century Gothic" w:eastAsia="Batang" w:hAnsi="Century Gothic" w:cs="Arial"/>
          <w:sz w:val="21"/>
          <w:szCs w:val="21"/>
          <w:lang w:val="es-MX"/>
        </w:rPr>
      </w:pPr>
      <w:r w:rsidRPr="00652FD4">
        <w:rPr>
          <w:rFonts w:ascii="Century Gothic" w:eastAsia="Batang" w:hAnsi="Century Gothic" w:cs="Arial"/>
          <w:sz w:val="21"/>
          <w:szCs w:val="21"/>
          <w:lang w:val="es-ES"/>
        </w:rPr>
        <w:t>“</w:t>
      </w:r>
      <w:r w:rsidRPr="00652FD4">
        <w:rPr>
          <w:rFonts w:ascii="Century Gothic" w:eastAsia="Batang" w:hAnsi="Century Gothic" w:cs="Arial"/>
          <w:sz w:val="21"/>
          <w:szCs w:val="21"/>
          <w:lang w:val="es-MX"/>
        </w:rPr>
        <w:t>Mediante la transparencia se garantiza la igualdad y el ejercicio del poder con acatamiento de la imparcialidad y la publicidad. (…) Transparencia quiere decir claridad, diafanidad, nitidez, pureza, translucidez. Significa que algo debe ser visible, que puede verse, para evitar la oscuridad, la opacidad, lo turbio y lo nebuloso.  Así, la actuación administrativa contractual, debe ser perspicua, tersa y cristalina (…). Se trata de un postulado que pretende combatir la corrupción en la contratación estatal, que en sus grandes líneas desarrolla también los principios constitucionales de igualdad, moralidad, eficiencia, imparcialidad y publicidad aplicados a la función administrativa (art. 209. C.N)”.</w:t>
      </w:r>
    </w:p>
    <w:p w14:paraId="48CE15C9" w14:textId="5F8CFA60" w:rsidR="00652FD4" w:rsidRPr="00652FD4" w:rsidRDefault="00652FD4" w:rsidP="00652FD4">
      <w:pPr>
        <w:spacing w:after="0" w:line="240" w:lineRule="auto"/>
        <w:ind w:left="709" w:right="709"/>
        <w:jc w:val="both"/>
        <w:rPr>
          <w:rFonts w:ascii="Century Gothic" w:eastAsia="Batang" w:hAnsi="Century Gothic" w:cs="Arial"/>
          <w:sz w:val="21"/>
          <w:szCs w:val="21"/>
          <w:lang w:val="es-MX"/>
        </w:rPr>
      </w:pPr>
      <w:r w:rsidRPr="00652FD4">
        <w:rPr>
          <w:rFonts w:ascii="Century Gothic" w:eastAsia="Batang" w:hAnsi="Century Gothic" w:cs="Arial"/>
          <w:sz w:val="21"/>
          <w:szCs w:val="21"/>
          <w:lang w:val="es-MX"/>
        </w:rPr>
        <w:t>Por consiguiente, este principio aplicado a la contratación pública, excluye una actividad oculta, secreta, oscura y arbitraria en la actividad contractual y, al contrario, propende por una selección objetiva de la propuesta y del contratista del Estado para el logro de los fines de la contratación y la satisfacción de los intereses colectivos, en los términos del artículo 29 de la Ley 80 de 1993, en forma clara, limpia, pulcra, sana, ajena a consideraciones subjetivas, libre de presiones indebidas y en especial de cualquier sospecha de corrupción por parte de los administradores y de los particulares que participan en los procesos de selección contractual del Estado</w:t>
      </w:r>
      <w:r w:rsidRPr="00652FD4">
        <w:rPr>
          <w:rFonts w:ascii="Century Gothic" w:eastAsia="Batang" w:hAnsi="Century Gothic" w:cs="Arial"/>
          <w:sz w:val="21"/>
          <w:szCs w:val="21"/>
          <w:vertAlign w:val="superscript"/>
          <w:lang w:val="es-MX"/>
        </w:rPr>
        <w:footnoteReference w:id="18"/>
      </w:r>
      <w:r w:rsidRPr="00652FD4">
        <w:rPr>
          <w:rFonts w:ascii="Century Gothic" w:eastAsia="Batang" w:hAnsi="Century Gothic" w:cs="Arial"/>
          <w:sz w:val="21"/>
          <w:szCs w:val="21"/>
          <w:lang w:val="es-MX"/>
        </w:rPr>
        <w:t>”</w:t>
      </w:r>
      <w:r>
        <w:rPr>
          <w:rFonts w:ascii="Century Gothic" w:eastAsia="Batang" w:hAnsi="Century Gothic" w:cs="Arial"/>
          <w:sz w:val="21"/>
          <w:szCs w:val="21"/>
          <w:lang w:val="es-MX"/>
        </w:rPr>
        <w:t>.</w:t>
      </w:r>
    </w:p>
    <w:p w14:paraId="5D5D504E" w14:textId="77777777" w:rsidR="00DE5C60" w:rsidRDefault="00DE5C60" w:rsidP="004747C2">
      <w:pPr>
        <w:spacing w:after="0" w:line="276" w:lineRule="auto"/>
        <w:jc w:val="both"/>
        <w:rPr>
          <w:rFonts w:ascii="Century Gothic" w:eastAsia="Calibri" w:hAnsi="Century Gothic" w:cs="Arial"/>
          <w:lang w:val="es-MX"/>
        </w:rPr>
      </w:pPr>
    </w:p>
    <w:p w14:paraId="285E93A6" w14:textId="3946D2B4" w:rsidR="004747C2" w:rsidRDefault="004747C2" w:rsidP="004747C2">
      <w:pPr>
        <w:spacing w:after="0" w:line="276" w:lineRule="auto"/>
        <w:jc w:val="both"/>
        <w:rPr>
          <w:rFonts w:ascii="Century Gothic" w:eastAsia="Calibri" w:hAnsi="Century Gothic" w:cs="Arial"/>
          <w:lang w:val="es-MX"/>
        </w:rPr>
      </w:pPr>
      <w:r>
        <w:rPr>
          <w:rFonts w:ascii="Century Gothic" w:eastAsia="Calibri" w:hAnsi="Century Gothic" w:cs="Arial"/>
          <w:lang w:val="es-MX"/>
        </w:rPr>
        <w:tab/>
        <w:t>De lo anterior se desprende, que el principio de transparencia garantiza la participación tanto de los intere</w:t>
      </w:r>
      <w:r w:rsidR="00246161">
        <w:rPr>
          <w:rFonts w:ascii="Century Gothic" w:eastAsia="Calibri" w:hAnsi="Century Gothic" w:cs="Arial"/>
          <w:lang w:val="es-MX"/>
        </w:rPr>
        <w:t xml:space="preserve">sados como de la ciudadanía en general en las </w:t>
      </w:r>
      <w:r w:rsidR="00246161">
        <w:rPr>
          <w:rFonts w:ascii="Century Gothic" w:eastAsia="Calibri" w:hAnsi="Century Gothic" w:cs="Arial"/>
          <w:lang w:val="es-MX"/>
        </w:rPr>
        <w:lastRenderedPageBreak/>
        <w:t>actuaciones contractuales adelantadas por las Entidades Estatale</w:t>
      </w:r>
      <w:r w:rsidR="00246161" w:rsidRPr="007C3506">
        <w:rPr>
          <w:rFonts w:ascii="Century Gothic" w:eastAsia="Calibri" w:hAnsi="Century Gothic" w:cs="Arial"/>
          <w:lang w:val="es-MX"/>
        </w:rPr>
        <w:t>s</w:t>
      </w:r>
      <w:r w:rsidR="007C3506" w:rsidRPr="007C3506">
        <w:rPr>
          <w:rFonts w:ascii="Century Gothic" w:eastAsia="Batang" w:hAnsi="Century Gothic" w:cs="Arial"/>
          <w:vertAlign w:val="superscript"/>
          <w:lang w:val="es-MX"/>
        </w:rPr>
        <w:footnoteReference w:id="19"/>
      </w:r>
      <w:r w:rsidR="007C3506" w:rsidRPr="007C3506">
        <w:rPr>
          <w:rFonts w:ascii="Century Gothic" w:eastAsia="Batang" w:hAnsi="Century Gothic" w:cs="Arial"/>
          <w:lang w:val="es-MX"/>
        </w:rPr>
        <w:t>.</w:t>
      </w:r>
      <w:r w:rsidR="007C3506">
        <w:rPr>
          <w:rFonts w:ascii="Century Gothic" w:eastAsia="Batang" w:hAnsi="Century Gothic" w:cs="Arial"/>
          <w:lang w:val="es-MX"/>
        </w:rPr>
        <w:t xml:space="preserve"> Esta participación se materializa en la oportunidad concedida para presentar observaciones en las distintas etapas o fases del proceso</w:t>
      </w:r>
      <w:r w:rsidR="001F5975">
        <w:rPr>
          <w:rFonts w:ascii="Century Gothic" w:eastAsia="Batang" w:hAnsi="Century Gothic" w:cs="Arial"/>
          <w:lang w:val="es-MX"/>
        </w:rPr>
        <w:t>, que culmina con la celebración del contrato estatal, lo cual busca salvaguar</w:t>
      </w:r>
      <w:r w:rsidR="001F5975" w:rsidRPr="00483B45">
        <w:rPr>
          <w:rFonts w:ascii="Century Gothic" w:eastAsia="Batang" w:hAnsi="Century Gothic" w:cs="Arial"/>
          <w:lang w:val="es-MX"/>
        </w:rPr>
        <w:t xml:space="preserve">dar también, el ejercicio </w:t>
      </w:r>
      <w:r w:rsidR="00524F04" w:rsidRPr="00483B45">
        <w:rPr>
          <w:rFonts w:ascii="Century Gothic" w:eastAsia="Batang" w:hAnsi="Century Gothic" w:cs="Arial"/>
          <w:lang w:val="es-MX"/>
        </w:rPr>
        <w:t>del derecho de contradicción en las actuaciones administrativas</w:t>
      </w:r>
      <w:r w:rsidR="00483B45" w:rsidRPr="00483B45">
        <w:rPr>
          <w:rStyle w:val="Refdenotaalpie"/>
          <w:rFonts w:ascii="Century Gothic" w:eastAsia="Batang" w:hAnsi="Century Gothic" w:cs="Arial"/>
          <w:lang w:val="es-MX"/>
        </w:rPr>
        <w:footnoteReference w:id="20"/>
      </w:r>
      <w:r w:rsidR="00483B45" w:rsidRPr="00483B45">
        <w:rPr>
          <w:rFonts w:ascii="Century Gothic" w:eastAsia="Batang" w:hAnsi="Century Gothic" w:cs="Arial"/>
          <w:lang w:val="es-MX"/>
        </w:rPr>
        <w:t>.</w:t>
      </w:r>
      <w:r w:rsidR="00483B45">
        <w:rPr>
          <w:rFonts w:ascii="Century Gothic" w:eastAsia="Batang" w:hAnsi="Century Gothic" w:cs="Arial"/>
          <w:lang w:val="es-MX"/>
        </w:rPr>
        <w:t xml:space="preserve"> Por ello, es necesario dis</w:t>
      </w:r>
      <w:r w:rsidR="00370FA9">
        <w:rPr>
          <w:rFonts w:ascii="Century Gothic" w:eastAsia="Batang" w:hAnsi="Century Gothic" w:cs="Arial"/>
          <w:lang w:val="es-MX"/>
        </w:rPr>
        <w:t>tinguir las etapas o fases del proceso contractual, a efectos de establecer el término o plazo para presentar observaciones por parte de los interesados y el plazo para responderlas por parte de las Entidades Estatales.</w:t>
      </w:r>
    </w:p>
    <w:p w14:paraId="7AFAD5F3" w14:textId="2505DF57" w:rsidR="00EF437E" w:rsidRPr="00EF437E" w:rsidRDefault="00D75CE6" w:rsidP="00EF437E">
      <w:pPr>
        <w:spacing w:before="120" w:after="120" w:line="276" w:lineRule="auto"/>
        <w:ind w:firstLine="709"/>
        <w:jc w:val="both"/>
        <w:rPr>
          <w:rFonts w:ascii="Century Gothic" w:hAnsi="Century Gothic" w:cs="Arial"/>
          <w:color w:val="000000" w:themeColor="text1"/>
        </w:rPr>
      </w:pPr>
      <w:r w:rsidRPr="00EF437E">
        <w:rPr>
          <w:rFonts w:ascii="Century Gothic" w:eastAsia="Arial" w:hAnsi="Century Gothic" w:cs="Arial"/>
          <w:i/>
          <w:iCs/>
        </w:rPr>
        <w:t xml:space="preserve">i) Publicación del proyecto de pliego de condiciones. </w:t>
      </w:r>
      <w:r w:rsidR="00EF437E" w:rsidRPr="00EF437E">
        <w:rPr>
          <w:rFonts w:ascii="Century Gothic" w:hAnsi="Century Gothic" w:cs="Arial"/>
          <w:color w:val="000000" w:themeColor="text1"/>
        </w:rPr>
        <w:t xml:space="preserve">La Ley 1150 de 2007 estableció en el artículo 8 la obligación de las </w:t>
      </w:r>
      <w:r w:rsidR="00EF437E">
        <w:rPr>
          <w:rFonts w:ascii="Century Gothic" w:hAnsi="Century Gothic" w:cs="Arial"/>
          <w:color w:val="000000" w:themeColor="text1"/>
        </w:rPr>
        <w:t>E</w:t>
      </w:r>
      <w:r w:rsidR="00EF437E" w:rsidRPr="00EF437E">
        <w:rPr>
          <w:rFonts w:ascii="Century Gothic" w:hAnsi="Century Gothic" w:cs="Arial"/>
          <w:color w:val="000000" w:themeColor="text1"/>
        </w:rPr>
        <w:t xml:space="preserve">ntidades </w:t>
      </w:r>
      <w:r w:rsidR="00EF437E">
        <w:rPr>
          <w:rFonts w:ascii="Century Gothic" w:hAnsi="Century Gothic" w:cs="Arial"/>
          <w:color w:val="000000" w:themeColor="text1"/>
        </w:rPr>
        <w:t>E</w:t>
      </w:r>
      <w:r w:rsidR="00EF437E" w:rsidRPr="00EF437E">
        <w:rPr>
          <w:rFonts w:ascii="Century Gothic" w:hAnsi="Century Gothic" w:cs="Arial"/>
          <w:color w:val="000000" w:themeColor="text1"/>
        </w:rPr>
        <w:t>statales de publicar el proyecto de pliego de condiciones o su documento equivalente, con el propósito de que el público en general pueda presentar las observaciones que estime pertinentes</w:t>
      </w:r>
      <w:r w:rsidR="00EF437E" w:rsidRPr="00EF437E">
        <w:rPr>
          <w:rFonts w:ascii="Century Gothic" w:hAnsi="Century Gothic" w:cs="Arial"/>
          <w:color w:val="000000" w:themeColor="text1"/>
          <w:vertAlign w:val="superscript"/>
        </w:rPr>
        <w:footnoteReference w:id="21"/>
      </w:r>
      <w:r w:rsidR="00EF437E" w:rsidRPr="00EF437E">
        <w:rPr>
          <w:rFonts w:ascii="Century Gothic" w:hAnsi="Century Gothic" w:cs="Arial"/>
          <w:color w:val="000000" w:themeColor="text1"/>
        </w:rPr>
        <w:t xml:space="preserve">. Esa misma disposición consagra la obligación de las </w:t>
      </w:r>
      <w:r w:rsidR="00EF437E">
        <w:rPr>
          <w:rFonts w:ascii="Century Gothic" w:hAnsi="Century Gothic" w:cs="Arial"/>
          <w:color w:val="000000" w:themeColor="text1"/>
        </w:rPr>
        <w:t>E</w:t>
      </w:r>
      <w:r w:rsidR="00EF437E" w:rsidRPr="00EF437E">
        <w:rPr>
          <w:rFonts w:ascii="Century Gothic" w:hAnsi="Century Gothic" w:cs="Arial"/>
          <w:color w:val="000000" w:themeColor="text1"/>
        </w:rPr>
        <w:t xml:space="preserve">ntidades </w:t>
      </w:r>
      <w:r w:rsidR="00EF437E">
        <w:rPr>
          <w:rFonts w:ascii="Century Gothic" w:hAnsi="Century Gothic" w:cs="Arial"/>
          <w:color w:val="000000" w:themeColor="text1"/>
        </w:rPr>
        <w:t>E</w:t>
      </w:r>
      <w:r w:rsidR="00EF437E" w:rsidRPr="00EF437E">
        <w:rPr>
          <w:rFonts w:ascii="Century Gothic" w:hAnsi="Century Gothic" w:cs="Arial"/>
          <w:color w:val="000000" w:themeColor="text1"/>
        </w:rPr>
        <w:t>statales de pronunciarse sobre las observaciones presentadas, las cuales deberán motivarse ya sea para acogerlas o para rechazarlas.</w:t>
      </w:r>
    </w:p>
    <w:p w14:paraId="03EEC4F7" w14:textId="682E0E0F" w:rsidR="00EF437E" w:rsidRPr="00EF437E" w:rsidRDefault="00EF437E" w:rsidP="00EF437E">
      <w:pPr>
        <w:spacing w:before="120" w:after="120" w:line="276" w:lineRule="auto"/>
        <w:ind w:firstLine="709"/>
        <w:jc w:val="both"/>
        <w:rPr>
          <w:rFonts w:ascii="Century Gothic" w:hAnsi="Century Gothic" w:cs="Arial"/>
          <w:color w:val="000000" w:themeColor="text1"/>
        </w:rPr>
      </w:pPr>
      <w:r w:rsidRPr="00EF437E">
        <w:rPr>
          <w:rFonts w:ascii="Century Gothic" w:hAnsi="Century Gothic" w:cs="Arial"/>
          <w:color w:val="000000" w:themeColor="text1"/>
        </w:rPr>
        <w:t xml:space="preserve">Por su parte, el inciso 2 del artículo 2.2.1.1.1.7.1 del Decreto 1082 de 2015 precisó que “[…] 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 Respecto al plazo o término para presentar observaciones al proyecto de pliego de condiciones, el </w:t>
      </w:r>
      <w:r w:rsidRPr="00EF437E">
        <w:rPr>
          <w:rFonts w:ascii="Century Gothic" w:hAnsi="Century Gothic" w:cs="Arial"/>
          <w:color w:val="000000" w:themeColor="text1"/>
        </w:rPr>
        <w:lastRenderedPageBreak/>
        <w:t xml:space="preserve">artículo 2.2.1.1.2.1.4 </w:t>
      </w:r>
      <w:r w:rsidRPr="00EF437E">
        <w:rPr>
          <w:rFonts w:ascii="Century Gothic" w:hAnsi="Century Gothic" w:cs="Arial"/>
          <w:i/>
          <w:iCs/>
          <w:color w:val="000000" w:themeColor="text1"/>
        </w:rPr>
        <w:t xml:space="preserve">ibidem </w:t>
      </w:r>
      <w:r w:rsidRPr="00EF437E">
        <w:rPr>
          <w:rFonts w:ascii="Century Gothic" w:hAnsi="Century Gothic" w:cs="Arial"/>
          <w:color w:val="000000" w:themeColor="text1"/>
        </w:rPr>
        <w:t>agrega que “Los interesados pueden hacer comentarios al proyecto de pliegos de condiciones a partir de la fecha de publicación de los mismos: (a) durante un término de diez (10) días hábiles en la licitación pública; y (b) durante un término de cinco (5) días hábiles en la selección abreviada y el concurso de méritos”.</w:t>
      </w:r>
    </w:p>
    <w:p w14:paraId="3F81DD4A" w14:textId="5EB23329" w:rsidR="00712196" w:rsidRPr="00712196" w:rsidRDefault="00712196" w:rsidP="00712196">
      <w:pPr>
        <w:spacing w:before="120" w:after="120" w:line="276" w:lineRule="auto"/>
        <w:ind w:firstLine="709"/>
        <w:jc w:val="both"/>
        <w:rPr>
          <w:rFonts w:ascii="Century Gothic" w:hAnsi="Century Gothic" w:cs="Arial"/>
          <w:color w:val="000000" w:themeColor="text1"/>
        </w:rPr>
      </w:pPr>
      <w:r w:rsidRPr="00712196">
        <w:rPr>
          <w:rFonts w:ascii="Century Gothic" w:hAnsi="Century Gothic" w:cs="Arial"/>
          <w:color w:val="000000" w:themeColor="text1"/>
        </w:rPr>
        <w:t xml:space="preserve">En relación con la respuesta a las observaciones presentadas al proyecto de pliego de condiciones, el ordenamiento jurídico no contempló un término para tal efecto. Sin embargo, esa circunstancia de ninguna manera implica la inexistencia de un límite, ya que de conformidad con lo establecido en las disposiciones que rigen el procedimiento de contratación, este se realiza por fases o etapas. Así las cosas, si bien no existe un término expreso para responder las observaciones al proyecto de pliego de condiciones, no lo es menos que impera un límite para que la </w:t>
      </w:r>
      <w:r>
        <w:rPr>
          <w:rFonts w:ascii="Century Gothic" w:hAnsi="Century Gothic" w:cs="Arial"/>
          <w:color w:val="000000" w:themeColor="text1"/>
        </w:rPr>
        <w:t>E</w:t>
      </w:r>
      <w:r w:rsidRPr="00712196">
        <w:rPr>
          <w:rFonts w:ascii="Century Gothic" w:hAnsi="Century Gothic" w:cs="Arial"/>
          <w:color w:val="000000" w:themeColor="text1"/>
        </w:rPr>
        <w:t xml:space="preserve">ntidad </w:t>
      </w:r>
      <w:r>
        <w:rPr>
          <w:rFonts w:ascii="Century Gothic" w:hAnsi="Century Gothic" w:cs="Arial"/>
          <w:color w:val="000000" w:themeColor="text1"/>
        </w:rPr>
        <w:t>E</w:t>
      </w:r>
      <w:r w:rsidRPr="00712196">
        <w:rPr>
          <w:rFonts w:ascii="Century Gothic" w:hAnsi="Century Gothic" w:cs="Arial"/>
          <w:color w:val="000000" w:themeColor="text1"/>
        </w:rPr>
        <w:t xml:space="preserve">statal profiera la respuesta a esas observaciones, el cual está determinado por la expedición del acto administrativo de apertura del proceso de selección. Esto significa que antes que la </w:t>
      </w:r>
      <w:r>
        <w:rPr>
          <w:rFonts w:ascii="Century Gothic" w:hAnsi="Century Gothic" w:cs="Arial"/>
          <w:color w:val="000000" w:themeColor="text1"/>
        </w:rPr>
        <w:t>E</w:t>
      </w:r>
      <w:r w:rsidRPr="00712196">
        <w:rPr>
          <w:rFonts w:ascii="Century Gothic" w:hAnsi="Century Gothic" w:cs="Arial"/>
          <w:color w:val="000000" w:themeColor="text1"/>
        </w:rPr>
        <w:t xml:space="preserve">ntidad </w:t>
      </w:r>
      <w:r>
        <w:rPr>
          <w:rFonts w:ascii="Century Gothic" w:hAnsi="Century Gothic" w:cs="Arial"/>
          <w:color w:val="000000" w:themeColor="text1"/>
        </w:rPr>
        <w:t>E</w:t>
      </w:r>
      <w:r w:rsidRPr="00712196">
        <w:rPr>
          <w:rFonts w:ascii="Century Gothic" w:hAnsi="Century Gothic" w:cs="Arial"/>
          <w:color w:val="000000" w:themeColor="text1"/>
        </w:rPr>
        <w:t>statal profiera dicho acto administrativo y publique el pliego de condiciones definitivo, deberá responder las observaciones presentadas al proyecto de pliego de condiciones.</w:t>
      </w:r>
    </w:p>
    <w:p w14:paraId="6ADD2F1D" w14:textId="2D02AF9E" w:rsidR="00972DB0" w:rsidRDefault="006D2290" w:rsidP="00D75CE6">
      <w:pPr>
        <w:spacing w:before="120" w:after="0" w:line="276" w:lineRule="auto"/>
        <w:jc w:val="both"/>
        <w:rPr>
          <w:rFonts w:ascii="Century Gothic" w:eastAsia="Arial" w:hAnsi="Century Gothic" w:cs="Arial"/>
        </w:rPr>
      </w:pPr>
      <w:r>
        <w:rPr>
          <w:rFonts w:ascii="Century Gothic" w:eastAsia="Arial" w:hAnsi="Century Gothic" w:cs="Arial"/>
        </w:rPr>
        <w:tab/>
      </w:r>
      <w:proofErr w:type="spellStart"/>
      <w:r>
        <w:rPr>
          <w:rFonts w:ascii="Century Gothic" w:eastAsia="Arial" w:hAnsi="Century Gothic" w:cs="Arial"/>
          <w:i/>
          <w:iCs/>
        </w:rPr>
        <w:t>ii</w:t>
      </w:r>
      <w:proofErr w:type="spellEnd"/>
      <w:r>
        <w:rPr>
          <w:rFonts w:ascii="Century Gothic" w:eastAsia="Arial" w:hAnsi="Century Gothic" w:cs="Arial"/>
          <w:i/>
          <w:iCs/>
        </w:rPr>
        <w:t xml:space="preserve">) Apertura del proceso de selección. </w:t>
      </w:r>
      <w:r>
        <w:rPr>
          <w:rFonts w:ascii="Century Gothic" w:eastAsia="Arial" w:hAnsi="Century Gothic" w:cs="Arial"/>
        </w:rPr>
        <w:t>Esta fase o etapa inicia con la expedición del acto administrativo de apertura del proceso de selección, momento en el cual se publica el pliego de condiciones definitivo, documento respecto al cual también pueden presentarse observaciones y/o solicitudes de aclaraciones.</w:t>
      </w:r>
    </w:p>
    <w:p w14:paraId="34AD67CF" w14:textId="79A01D8C" w:rsidR="00600B7C" w:rsidRPr="00254E14" w:rsidRDefault="006D2290" w:rsidP="00600B7C">
      <w:pPr>
        <w:spacing w:before="120" w:after="120" w:line="276" w:lineRule="auto"/>
        <w:ind w:firstLine="709"/>
        <w:jc w:val="both"/>
        <w:rPr>
          <w:rFonts w:ascii="Century Gothic" w:hAnsi="Century Gothic" w:cs="Arial"/>
          <w:color w:val="000000" w:themeColor="text1"/>
        </w:rPr>
      </w:pPr>
      <w:r w:rsidRPr="00600B7C">
        <w:rPr>
          <w:rFonts w:ascii="Century Gothic" w:eastAsia="Arial" w:hAnsi="Century Gothic" w:cs="Arial"/>
        </w:rPr>
        <w:t xml:space="preserve">El ordenamiento </w:t>
      </w:r>
      <w:r w:rsidR="002A321A" w:rsidRPr="00600B7C">
        <w:rPr>
          <w:rFonts w:ascii="Century Gothic" w:eastAsia="Arial" w:hAnsi="Century Gothic" w:cs="Arial"/>
        </w:rPr>
        <w:t xml:space="preserve">jurídico no estableció un término para la presentación de las observaciones al pliego de condiciones definitivo, salvo en la licitación pública, </w:t>
      </w:r>
      <w:r w:rsidR="00600B7C" w:rsidRPr="00600B7C">
        <w:rPr>
          <w:rFonts w:ascii="Century Gothic" w:hAnsi="Century Gothic" w:cs="Arial"/>
          <w:color w:val="000000" w:themeColor="text1"/>
        </w:rPr>
        <w:t>proceso en el cual a petición o solicitud de parte o de al menos uno de los interesados, dentro de los tres (3) días hábiles siguientes al inicio del término para la presentación de propuestas se realizará una audiencia con el propósito de precisar el contenido y alcance de los pliegos de condiciones</w:t>
      </w:r>
      <w:r w:rsidR="00600B7C" w:rsidRPr="00600B7C">
        <w:rPr>
          <w:rFonts w:ascii="Century Gothic" w:hAnsi="Century Gothic" w:cs="Arial"/>
          <w:color w:val="000000" w:themeColor="text1"/>
          <w:vertAlign w:val="superscript"/>
        </w:rPr>
        <w:footnoteReference w:id="22"/>
      </w:r>
      <w:r w:rsidR="00600B7C" w:rsidRPr="00600B7C">
        <w:rPr>
          <w:rFonts w:ascii="Century Gothic" w:hAnsi="Century Gothic" w:cs="Arial"/>
          <w:color w:val="000000" w:themeColor="text1"/>
        </w:rPr>
        <w:t xml:space="preserve">. Este asunto, de </w:t>
      </w:r>
      <w:r w:rsidR="00600B7C" w:rsidRPr="00600B7C">
        <w:rPr>
          <w:rFonts w:ascii="Century Gothic" w:hAnsi="Century Gothic" w:cs="Arial"/>
          <w:color w:val="000000" w:themeColor="text1"/>
        </w:rPr>
        <w:lastRenderedPageBreak/>
        <w:t xml:space="preserve">conformidad el artículo 2.2.1.2.1.1.2 del Decreto 1082 de 2015, se abordará y resolverá en la audiencia de asignación de riesgos de que trata el artículo 4 de la Ley 1150 de 2007. Por tanto, las observaciones presentadas o solicitudes de </w:t>
      </w:r>
      <w:r w:rsidR="00600B7C" w:rsidRPr="00254E14">
        <w:rPr>
          <w:rFonts w:ascii="Century Gothic" w:hAnsi="Century Gothic" w:cs="Arial"/>
          <w:color w:val="000000" w:themeColor="text1"/>
        </w:rPr>
        <w:t xml:space="preserve">aclaraciones realizadas al pliego de condiciones en la audiencia de asignación de riesgos deberán ser resueltas por la Entidad Estatal en esa misma diligencia.  </w:t>
      </w:r>
    </w:p>
    <w:p w14:paraId="07C347F7" w14:textId="3F3EE7D9" w:rsidR="00254E14" w:rsidRPr="00254E14" w:rsidRDefault="00D60AAE" w:rsidP="00254E14">
      <w:pPr>
        <w:spacing w:before="120" w:after="120" w:line="276" w:lineRule="auto"/>
        <w:ind w:firstLine="709"/>
        <w:jc w:val="both"/>
        <w:rPr>
          <w:rFonts w:ascii="Century Gothic" w:hAnsi="Century Gothic" w:cs="Arial"/>
          <w:color w:val="000000" w:themeColor="text1"/>
        </w:rPr>
      </w:pPr>
      <w:r w:rsidRPr="00254E14">
        <w:rPr>
          <w:rFonts w:ascii="Century Gothic" w:eastAsia="Arial" w:hAnsi="Century Gothic" w:cs="Arial"/>
        </w:rPr>
        <w:t xml:space="preserve">A pesar de lo anterior, es preciso señalar que las Entidades Estatales con la apertura del proceso de selección </w:t>
      </w:r>
      <w:r w:rsidR="00254E14" w:rsidRPr="00254E14">
        <w:rPr>
          <w:rFonts w:ascii="Century Gothic" w:hAnsi="Century Gothic" w:cs="Arial"/>
          <w:color w:val="000000" w:themeColor="text1"/>
        </w:rPr>
        <w:t>están en la obligación de publicar el cronograma del mismo, el cual es definido como el “Documento en el cual la Entidad Estatal establece las fechas, horas y plazos para las actividades propias del Proceso de Contratación y el lugar en el que estas deben llevarse a cabo”</w:t>
      </w:r>
      <w:r w:rsidR="00254E14" w:rsidRPr="00254E14">
        <w:rPr>
          <w:rFonts w:ascii="Century Gothic" w:hAnsi="Century Gothic" w:cs="Arial"/>
          <w:color w:val="000000" w:themeColor="text1"/>
          <w:vertAlign w:val="superscript"/>
        </w:rPr>
        <w:footnoteReference w:id="23"/>
      </w:r>
      <w:r w:rsidR="00254E14" w:rsidRPr="00254E14">
        <w:rPr>
          <w:rFonts w:ascii="Century Gothic" w:hAnsi="Century Gothic" w:cs="Arial"/>
          <w:color w:val="000000" w:themeColor="text1"/>
        </w:rPr>
        <w:t xml:space="preserve">. En el cronograma, la </w:t>
      </w:r>
      <w:r w:rsidR="00254E14">
        <w:rPr>
          <w:rFonts w:ascii="Century Gothic" w:hAnsi="Century Gothic" w:cs="Arial"/>
          <w:color w:val="000000" w:themeColor="text1"/>
        </w:rPr>
        <w:t>E</w:t>
      </w:r>
      <w:r w:rsidR="00254E14" w:rsidRPr="00254E14">
        <w:rPr>
          <w:rFonts w:ascii="Century Gothic" w:hAnsi="Century Gothic" w:cs="Arial"/>
          <w:color w:val="000000" w:themeColor="text1"/>
        </w:rPr>
        <w:t xml:space="preserve">ntidad </w:t>
      </w:r>
      <w:r w:rsidR="00254E14">
        <w:rPr>
          <w:rFonts w:ascii="Century Gothic" w:hAnsi="Century Gothic" w:cs="Arial"/>
          <w:color w:val="000000" w:themeColor="text1"/>
        </w:rPr>
        <w:t>E</w:t>
      </w:r>
      <w:r w:rsidR="00254E14" w:rsidRPr="00254E14">
        <w:rPr>
          <w:rFonts w:ascii="Century Gothic" w:hAnsi="Century Gothic" w:cs="Arial"/>
          <w:color w:val="000000" w:themeColor="text1"/>
        </w:rPr>
        <w:t>statal debe contemplar un término o plazo para la presentación de observaciones y/o aclaraciones al pliego de condiciones definitivo, al igual que un plazo para responder esas solicitudes, inclusive en el proceso de licitación.</w:t>
      </w:r>
    </w:p>
    <w:p w14:paraId="42F912C5" w14:textId="6745B1BD" w:rsidR="006D2290" w:rsidRPr="00783D3D" w:rsidRDefault="00A46774" w:rsidP="00A46774">
      <w:pPr>
        <w:spacing w:before="120" w:after="0" w:line="276" w:lineRule="auto"/>
        <w:ind w:firstLine="708"/>
        <w:jc w:val="both"/>
        <w:rPr>
          <w:rFonts w:ascii="Century Gothic" w:eastAsia="Arial" w:hAnsi="Century Gothic" w:cs="Arial"/>
        </w:rPr>
      </w:pPr>
      <w:r w:rsidRPr="00A46774">
        <w:rPr>
          <w:rFonts w:ascii="Century Gothic" w:eastAsia="Arial" w:hAnsi="Century Gothic" w:cs="Arial"/>
        </w:rPr>
        <w:t xml:space="preserve">Ahora bien, en esta fase o etapa del proceso de contratación el </w:t>
      </w:r>
      <w:r w:rsidRPr="00783D3D">
        <w:rPr>
          <w:rFonts w:ascii="Century Gothic" w:eastAsia="Arial" w:hAnsi="Century Gothic" w:cs="Arial"/>
        </w:rPr>
        <w:t>ordenamiento jurídico tampoco contempló un término para responder las observaciones y/o solicitudes de aclaraciones; sin embargo, también existe un límite para que la Entidad Estatal pueda pronunciarse sobre esas solicitudes. Así las cosas, el pronunciamiento sobre las observaciones y/o solicitudes de aclaraciones al pliego de condiciones definitivo debe efectuarse antes del vencimiento del plazo establecido en el cronograma para la presentación de las propuestas u ofertas por parte de los interesados.</w:t>
      </w:r>
      <w:r w:rsidRPr="00783D3D">
        <w:rPr>
          <w:rFonts w:ascii="Century Gothic" w:eastAsia="Arial" w:hAnsi="Century Gothic" w:cs="Arial"/>
        </w:rPr>
        <w:tab/>
      </w:r>
    </w:p>
    <w:p w14:paraId="5628B940" w14:textId="77777777" w:rsidR="0089705A" w:rsidRPr="0089705A" w:rsidRDefault="0089705A" w:rsidP="0089705A">
      <w:pPr>
        <w:spacing w:before="120" w:after="120" w:line="276" w:lineRule="auto"/>
        <w:ind w:firstLine="709"/>
        <w:jc w:val="both"/>
        <w:rPr>
          <w:rFonts w:ascii="Century Gothic" w:hAnsi="Century Gothic" w:cs="Arial"/>
          <w:color w:val="000000" w:themeColor="text1"/>
        </w:rPr>
      </w:pPr>
      <w:r w:rsidRPr="0089705A">
        <w:rPr>
          <w:rFonts w:ascii="Century Gothic" w:hAnsi="Century Gothic" w:cs="Arial"/>
          <w:color w:val="000000" w:themeColor="text1"/>
        </w:rPr>
        <w:t>Esto en consideración a que, conforme al numeral 6 del artículo 30 de la Ley 80 de 1993, la propuesta debe ajustarse a todos los puntos determinados en el pliego de condiciones</w:t>
      </w:r>
      <w:r w:rsidRPr="0089705A">
        <w:rPr>
          <w:rFonts w:ascii="Century Gothic" w:hAnsi="Century Gothic" w:cs="Arial"/>
          <w:color w:val="000000" w:themeColor="text1"/>
          <w:vertAlign w:val="superscript"/>
        </w:rPr>
        <w:footnoteReference w:id="24"/>
      </w:r>
      <w:r w:rsidRPr="0089705A">
        <w:rPr>
          <w:rFonts w:ascii="Century Gothic" w:hAnsi="Century Gothic" w:cs="Arial"/>
          <w:color w:val="000000" w:themeColor="text1"/>
        </w:rPr>
        <w:t xml:space="preserve">. </w:t>
      </w:r>
      <w:r w:rsidRPr="0089705A">
        <w:rPr>
          <w:rFonts w:ascii="Century Gothic" w:hAnsi="Century Gothic" w:cs="Arial"/>
          <w:i/>
          <w:iCs/>
          <w:color w:val="000000" w:themeColor="text1"/>
        </w:rPr>
        <w:t>Contrario sensu,</w:t>
      </w:r>
      <w:r w:rsidRPr="0089705A">
        <w:rPr>
          <w:rFonts w:ascii="Century Gothic" w:hAnsi="Century Gothic" w:cs="Arial"/>
          <w:color w:val="000000" w:themeColor="text1"/>
        </w:rPr>
        <w:t xml:space="preserve"> si la respuesta a las observaciones y/o solicitudes de aclaraciones al pliego de condiciones definitivo se realiza de forma posterior al vencimiento del término para presentar las propuestas, en el evento que se acoja alguna de esas observaciones y/o solicitudes de aclaraciones, se impedirá la presentación de propuestas que se ajusten al pliego de condiciones, circunstancia esta que atenta contra el principio de transparencia que rige la actividad contractual del Estado.</w:t>
      </w:r>
    </w:p>
    <w:p w14:paraId="796E59FA" w14:textId="77777777" w:rsidR="000910E2" w:rsidRPr="00783D3D" w:rsidRDefault="000910E2" w:rsidP="000910E2">
      <w:pPr>
        <w:spacing w:before="120" w:line="276" w:lineRule="auto"/>
        <w:ind w:firstLine="709"/>
        <w:jc w:val="both"/>
        <w:rPr>
          <w:rFonts w:ascii="Century Gothic" w:hAnsi="Century Gothic" w:cs="Arial"/>
        </w:rPr>
      </w:pPr>
      <w:r w:rsidRPr="00783D3D">
        <w:rPr>
          <w:rFonts w:ascii="Century Gothic" w:hAnsi="Century Gothic" w:cs="Arial"/>
        </w:rPr>
        <w:lastRenderedPageBreak/>
        <w:t xml:space="preserve">De esta manera, las observaciones o aclaraciones que sean presentadas frente al proyecto de pliego de condiciones deberán ser resueltas por la entidad antes de publicar el pliego de condiciones definitivo, lo cual implica que la entidad no podrá seguir adelante con la siguiente etapa del correspondiente proceso de contratación, si antes no se ha pronunciado sobre las observaciones presentadas. Sin perjuicio de lo anterior, es pertinente aclarar que no todas las observaciones o aclaraciones que se presenten en virtud del control ciudadano conllevarán a una modificación del pliego de condiciones. </w:t>
      </w:r>
    </w:p>
    <w:p w14:paraId="53E20B0D" w14:textId="7EE3EF6F" w:rsidR="00783D3D" w:rsidRPr="00783D3D" w:rsidRDefault="00783D3D" w:rsidP="00783D3D">
      <w:pPr>
        <w:spacing w:before="120" w:line="276" w:lineRule="auto"/>
        <w:ind w:firstLine="709"/>
        <w:jc w:val="both"/>
        <w:rPr>
          <w:rFonts w:ascii="Century Gothic" w:hAnsi="Century Gothic" w:cs="Arial"/>
        </w:rPr>
      </w:pPr>
      <w:r w:rsidRPr="00783D3D">
        <w:rPr>
          <w:rFonts w:ascii="Century Gothic" w:hAnsi="Century Gothic" w:cs="Arial"/>
        </w:rPr>
        <w:t xml:space="preserve">De otro lado, incluso frente al pliego de condiciones definitivo es posible que se presenten observaciones adicionales, correspondiéndole a la </w:t>
      </w:r>
      <w:r>
        <w:rPr>
          <w:rFonts w:ascii="Century Gothic" w:hAnsi="Century Gothic" w:cs="Arial"/>
        </w:rPr>
        <w:t>E</w:t>
      </w:r>
      <w:r w:rsidRPr="00783D3D">
        <w:rPr>
          <w:rFonts w:ascii="Century Gothic" w:hAnsi="Century Gothic" w:cs="Arial"/>
        </w:rPr>
        <w:t xml:space="preserve">ntidad </w:t>
      </w:r>
      <w:r>
        <w:rPr>
          <w:rFonts w:ascii="Century Gothic" w:hAnsi="Century Gothic" w:cs="Arial"/>
        </w:rPr>
        <w:t>E</w:t>
      </w:r>
      <w:r w:rsidRPr="00783D3D">
        <w:rPr>
          <w:rFonts w:ascii="Century Gothic" w:hAnsi="Century Gothic" w:cs="Arial"/>
        </w:rPr>
        <w:t xml:space="preserve">statal pronunciarse motivadamente frente a cada una de ellas y, de ser el caso, indicar expresamente si con ocasión del análisis de las observaciones es necesario modificar, ajustar o aclarar algún aspecto o condición del pliego. En este evento, la modificación debe realizarse por acto administrativo –adenda–, sin que necesariamente se deba titular o rotular de esta manera, como requisito para que esta produzca efectos. En todo caso, en cada procedimiento de selección deberá dilucidarse cuál es la intención de la </w:t>
      </w:r>
      <w:r>
        <w:rPr>
          <w:rFonts w:ascii="Century Gothic" w:hAnsi="Century Gothic" w:cs="Arial"/>
        </w:rPr>
        <w:t>E</w:t>
      </w:r>
      <w:r w:rsidRPr="00783D3D">
        <w:rPr>
          <w:rFonts w:ascii="Century Gothic" w:hAnsi="Century Gothic" w:cs="Arial"/>
        </w:rPr>
        <w:t xml:space="preserve">ntidad </w:t>
      </w:r>
      <w:r>
        <w:rPr>
          <w:rFonts w:ascii="Century Gothic" w:hAnsi="Century Gothic" w:cs="Arial"/>
        </w:rPr>
        <w:t>E</w:t>
      </w:r>
      <w:r w:rsidRPr="00783D3D">
        <w:rPr>
          <w:rFonts w:ascii="Century Gothic" w:hAnsi="Century Gothic" w:cs="Arial"/>
        </w:rPr>
        <w:t>statal al pronunciarse frente a las observaciones recibidas, en el sentido de si mediante su respuesta realizará alguna modificación y en qué consistirá. Lo anterior no obsta para señalar que, en todo caso, para evitar discrepancias lo recomendable frente a las entidades estatales consiste en que el documento se identifique claramente como adenda y se señale de forma precisa qué contenido se modificará del pliego de condiciones.</w:t>
      </w:r>
    </w:p>
    <w:p w14:paraId="3A1989C8" w14:textId="2592540D" w:rsidR="00A631BF" w:rsidRPr="00203F69" w:rsidRDefault="00A631BF" w:rsidP="00A631BF">
      <w:pPr>
        <w:spacing w:before="120" w:after="120" w:line="276" w:lineRule="auto"/>
        <w:ind w:firstLine="709"/>
        <w:jc w:val="both"/>
        <w:rPr>
          <w:rFonts w:ascii="Century Gothic" w:hAnsi="Century Gothic" w:cs="Arial"/>
          <w:color w:val="000000" w:themeColor="text1"/>
        </w:rPr>
      </w:pPr>
      <w:proofErr w:type="spellStart"/>
      <w:r w:rsidRPr="00A631BF">
        <w:rPr>
          <w:rFonts w:ascii="Century Gothic" w:hAnsi="Century Gothic" w:cs="Arial"/>
          <w:i/>
          <w:iCs/>
          <w:color w:val="000000" w:themeColor="text1"/>
        </w:rPr>
        <w:t>iii</w:t>
      </w:r>
      <w:proofErr w:type="spellEnd"/>
      <w:r w:rsidRPr="00A631BF">
        <w:rPr>
          <w:rFonts w:ascii="Century Gothic" w:hAnsi="Century Gothic" w:cs="Arial"/>
          <w:i/>
          <w:iCs/>
          <w:color w:val="000000" w:themeColor="text1"/>
        </w:rPr>
        <w:t>) Informes de evaluación</w:t>
      </w:r>
      <w:r w:rsidRPr="00A631BF">
        <w:rPr>
          <w:rFonts w:ascii="Century Gothic" w:hAnsi="Century Gothic" w:cs="Arial"/>
          <w:color w:val="000000" w:themeColor="text1"/>
        </w:rPr>
        <w:t xml:space="preserve">. El informe de evaluación de las propuestas en los procesos de licitación pública debe permanecer en la Secretaría General de la </w:t>
      </w:r>
      <w:r>
        <w:rPr>
          <w:rFonts w:ascii="Century Gothic" w:hAnsi="Century Gothic" w:cs="Arial"/>
          <w:color w:val="000000" w:themeColor="text1"/>
        </w:rPr>
        <w:t>E</w:t>
      </w:r>
      <w:r w:rsidRPr="00A631BF">
        <w:rPr>
          <w:rFonts w:ascii="Century Gothic" w:hAnsi="Century Gothic" w:cs="Arial"/>
          <w:color w:val="000000" w:themeColor="text1"/>
        </w:rPr>
        <w:t xml:space="preserve">ntidad </w:t>
      </w:r>
      <w:r>
        <w:rPr>
          <w:rFonts w:ascii="Century Gothic" w:hAnsi="Century Gothic" w:cs="Arial"/>
          <w:color w:val="000000" w:themeColor="text1"/>
        </w:rPr>
        <w:t>E</w:t>
      </w:r>
      <w:r w:rsidRPr="00A631BF">
        <w:rPr>
          <w:rFonts w:ascii="Century Gothic" w:hAnsi="Century Gothic" w:cs="Arial"/>
          <w:color w:val="000000" w:themeColor="text1"/>
        </w:rPr>
        <w:t>statal contratante por el un término de cinco (5) días hábiles</w:t>
      </w:r>
      <w:r w:rsidRPr="00A631BF">
        <w:rPr>
          <w:rFonts w:ascii="Century Gothic" w:hAnsi="Century Gothic" w:cs="Arial"/>
          <w:color w:val="000000" w:themeColor="text1"/>
          <w:vertAlign w:val="superscript"/>
        </w:rPr>
        <w:footnoteReference w:id="25"/>
      </w:r>
      <w:r w:rsidRPr="00A631BF">
        <w:rPr>
          <w:rFonts w:ascii="Century Gothic" w:hAnsi="Century Gothic" w:cs="Arial"/>
          <w:color w:val="000000" w:themeColor="text1"/>
        </w:rPr>
        <w:t xml:space="preserve">. En los procesos de selección de concurso de méritos y de selección abreviada de menor cuantía, las </w:t>
      </w:r>
      <w:r>
        <w:rPr>
          <w:rFonts w:ascii="Century Gothic" w:hAnsi="Century Gothic" w:cs="Arial"/>
          <w:color w:val="000000" w:themeColor="text1"/>
        </w:rPr>
        <w:t>E</w:t>
      </w:r>
      <w:r w:rsidRPr="00A631BF">
        <w:rPr>
          <w:rFonts w:ascii="Century Gothic" w:hAnsi="Century Gothic" w:cs="Arial"/>
          <w:color w:val="000000" w:themeColor="text1"/>
        </w:rPr>
        <w:t xml:space="preserve">ntidades </w:t>
      </w:r>
      <w:r>
        <w:rPr>
          <w:rFonts w:ascii="Century Gothic" w:hAnsi="Century Gothic" w:cs="Arial"/>
          <w:color w:val="000000" w:themeColor="text1"/>
        </w:rPr>
        <w:t>E</w:t>
      </w:r>
      <w:r w:rsidRPr="00A631BF">
        <w:rPr>
          <w:rFonts w:ascii="Century Gothic" w:hAnsi="Century Gothic" w:cs="Arial"/>
          <w:color w:val="000000" w:themeColor="text1"/>
        </w:rPr>
        <w:t xml:space="preserve">statales están en la obligación de publicar el informe de evaluación por un término de tres (3) días hábiles, mientras que en los procesos de </w:t>
      </w:r>
      <w:r w:rsidRPr="00A631BF">
        <w:rPr>
          <w:rFonts w:ascii="Century Gothic" w:hAnsi="Century Gothic" w:cs="Arial"/>
          <w:color w:val="000000" w:themeColor="text1"/>
        </w:rPr>
        <w:lastRenderedPageBreak/>
        <w:t xml:space="preserve">selección de mínima cuantía ese informe de evaluación deberá publicarse al </w:t>
      </w:r>
      <w:r w:rsidRPr="00203F69">
        <w:rPr>
          <w:rFonts w:ascii="Century Gothic" w:hAnsi="Century Gothic" w:cs="Arial"/>
          <w:color w:val="000000" w:themeColor="text1"/>
        </w:rPr>
        <w:t>menos por el término de un (1) día hábil</w:t>
      </w:r>
      <w:r w:rsidRPr="00203F69">
        <w:rPr>
          <w:rFonts w:ascii="Century Gothic" w:hAnsi="Century Gothic" w:cs="Arial"/>
          <w:color w:val="000000" w:themeColor="text1"/>
          <w:vertAlign w:val="superscript"/>
        </w:rPr>
        <w:footnoteReference w:id="26"/>
      </w:r>
      <w:r w:rsidRPr="00203F69">
        <w:rPr>
          <w:rFonts w:ascii="Century Gothic" w:hAnsi="Century Gothic" w:cs="Arial"/>
          <w:color w:val="000000" w:themeColor="text1"/>
        </w:rPr>
        <w:t>.</w:t>
      </w:r>
    </w:p>
    <w:p w14:paraId="70529EE6" w14:textId="7524C84B" w:rsidR="002D7496" w:rsidRPr="00203F69" w:rsidRDefault="002D7496" w:rsidP="002D7496">
      <w:pPr>
        <w:spacing w:before="120" w:after="120" w:line="276" w:lineRule="auto"/>
        <w:ind w:firstLine="709"/>
        <w:jc w:val="both"/>
        <w:rPr>
          <w:rStyle w:val="Textoennegrita"/>
          <w:rFonts w:ascii="Century Gothic" w:hAnsi="Century Gothic" w:cs="Arial"/>
          <w:b w:val="0"/>
          <w:bCs w:val="0"/>
          <w:color w:val="000000" w:themeColor="text1"/>
        </w:rPr>
      </w:pPr>
      <w:r w:rsidRPr="00203F69">
        <w:rPr>
          <w:rStyle w:val="Textoennegrita"/>
          <w:rFonts w:ascii="Century Gothic" w:hAnsi="Century Gothic" w:cs="Arial"/>
          <w:b w:val="0"/>
          <w:bCs w:val="0"/>
          <w:color w:val="000000" w:themeColor="text1"/>
        </w:rPr>
        <w:t xml:space="preserve">El propósito de la publicidad del informe de evaluación de las propuestas en cada uno de los procesos de selección citados, es que los oferentes puedan realizar las observaciones que a su juicio consideren pertinentes. No obstante, el ordenamiento jurídico no contempló de manera expresa un término para que las Entidades Estatales se pronuncien sobre las observaciones presentadas al informe de evaluación. Sin embargo, existe un momento límite para responder esas observaciones, el cual está determinado por el acto de adjudicación del respectivo contrato. Es decir, la Entidad Estatal contratante está en la obligación de responder las observaciones presentadas al informe de evaluación de las propuestas como condición previa para la expedición del acto de adjudicación. </w:t>
      </w:r>
    </w:p>
    <w:p w14:paraId="7B70B2C6" w14:textId="77777777" w:rsidR="00557F85" w:rsidRPr="00557F85" w:rsidRDefault="00557F85" w:rsidP="00557F85">
      <w:pPr>
        <w:spacing w:before="120" w:after="120" w:line="276" w:lineRule="auto"/>
        <w:ind w:firstLine="709"/>
        <w:jc w:val="both"/>
        <w:rPr>
          <w:rFonts w:ascii="Century Gothic" w:hAnsi="Century Gothic" w:cs="Arial"/>
          <w:color w:val="000000" w:themeColor="text1"/>
        </w:rPr>
      </w:pPr>
      <w:r w:rsidRPr="00557F85">
        <w:rPr>
          <w:rFonts w:ascii="Century Gothic" w:hAnsi="Century Gothic" w:cs="Arial"/>
          <w:color w:val="000000" w:themeColor="text1"/>
        </w:rPr>
        <w:t>Es de resaltar que, en los procesos de licitación, la respuesta a las observaciones presentadas al informe de evaluación deberá efectuarse antes de la realización de la audiencia de adjudicación, puesto que en esta “[…] los oferentes pueden pronunciarse sobre las respuestas dadas por la Entidad Estatal a las observaciones presentadas respecto del informe de evaluación”</w:t>
      </w:r>
      <w:r w:rsidRPr="00557F85">
        <w:rPr>
          <w:rFonts w:ascii="Century Gothic" w:hAnsi="Century Gothic" w:cs="Arial"/>
          <w:color w:val="000000" w:themeColor="text1"/>
          <w:vertAlign w:val="superscript"/>
        </w:rPr>
        <w:footnoteReference w:id="27"/>
      </w:r>
      <w:r w:rsidRPr="00557F85">
        <w:rPr>
          <w:rFonts w:ascii="Century Gothic" w:hAnsi="Century Gothic" w:cs="Arial"/>
          <w:color w:val="000000" w:themeColor="text1"/>
        </w:rPr>
        <w:t>.</w:t>
      </w:r>
    </w:p>
    <w:p w14:paraId="68FB7E65" w14:textId="28B2941B" w:rsidR="0047002D" w:rsidRPr="00203F69" w:rsidRDefault="0047002D" w:rsidP="0047002D">
      <w:pPr>
        <w:spacing w:before="120" w:after="120" w:line="276" w:lineRule="auto"/>
        <w:ind w:firstLine="709"/>
        <w:jc w:val="both"/>
        <w:rPr>
          <w:rFonts w:ascii="Century Gothic" w:hAnsi="Century Gothic" w:cs="Arial"/>
          <w:color w:val="000000" w:themeColor="text1"/>
        </w:rPr>
      </w:pPr>
      <w:r w:rsidRPr="00203F69">
        <w:rPr>
          <w:rFonts w:ascii="Century Gothic" w:hAnsi="Century Gothic" w:cs="Arial"/>
          <w:color w:val="000000" w:themeColor="text1"/>
        </w:rPr>
        <w:lastRenderedPageBreak/>
        <w:t>Así, en relación con los términos con que cuentan las Entidades Estatales para responder las observaciones y/o solicitudes de aclaraciones en las distintas etapas o fases del proceso de contratación, se precisa que el ordenamiento jurídico no contempló de manera expresa dichos plazos. Estos se encuentran establecidos de forma tácita, en tanto que, no es posible avanzar en las fases o etapas del proceso de contratación, si la Entidad Estatal, previamente, no ha resuelto las observaciones presentadas y/o solicitudes de aclaraciones realizadas en cada una de las etapas analizadas.</w:t>
      </w:r>
    </w:p>
    <w:p w14:paraId="7F068C11" w14:textId="3231B7EE" w:rsidR="00203F69" w:rsidRPr="00203F69" w:rsidRDefault="00203F69" w:rsidP="00203F69">
      <w:pPr>
        <w:spacing w:before="120" w:after="120" w:line="276" w:lineRule="auto"/>
        <w:ind w:firstLine="709"/>
        <w:jc w:val="both"/>
        <w:rPr>
          <w:rFonts w:ascii="Century Gothic" w:hAnsi="Century Gothic" w:cs="Arial"/>
          <w:color w:val="000000" w:themeColor="text1"/>
        </w:rPr>
      </w:pPr>
      <w:r w:rsidRPr="00203F69">
        <w:rPr>
          <w:rFonts w:ascii="Century Gothic" w:hAnsi="Century Gothic" w:cs="Arial"/>
          <w:color w:val="000000" w:themeColor="text1"/>
        </w:rPr>
        <w:t xml:space="preserve">Respecto a la formulación de observaciones por parte de los interesados, estas se sujetan al principio de economía. De acuerdo con el numeral 1 del artículo 25 de la Ley 80 de 1993, “En las normas de selección y en los pliegos de condiciones para la escogencia de contratistas, se cumplirán y establecerán los procedimientos y etapas estrictamente necesarios para asegurar la selección objetiva de la propuesta más favorable. </w:t>
      </w:r>
      <w:r w:rsidRPr="00203F69">
        <w:rPr>
          <w:rFonts w:ascii="Century Gothic" w:hAnsi="Century Gothic" w:cs="Arial"/>
          <w:i/>
          <w:iCs/>
          <w:color w:val="000000" w:themeColor="text1"/>
        </w:rPr>
        <w:t>Para este propósito, se señalarán términos preclusivos y perentorios para las diferentes etapas de la selección y las autoridades darán impulso oficioso a las actuaciones</w:t>
      </w:r>
      <w:r w:rsidRPr="00203F69">
        <w:rPr>
          <w:rFonts w:ascii="Century Gothic" w:hAnsi="Century Gothic" w:cs="Arial"/>
          <w:color w:val="000000" w:themeColor="text1"/>
        </w:rPr>
        <w:t xml:space="preserve">” </w:t>
      </w:r>
      <w:r>
        <w:rPr>
          <w:rFonts w:ascii="Century Gothic" w:hAnsi="Century Gothic" w:cs="Arial"/>
          <w:color w:val="000000" w:themeColor="text1"/>
        </w:rPr>
        <w:t>[</w:t>
      </w:r>
      <w:r w:rsidRPr="00203F69">
        <w:rPr>
          <w:rFonts w:ascii="Century Gothic" w:hAnsi="Century Gothic" w:cs="Arial"/>
          <w:color w:val="000000" w:themeColor="text1"/>
        </w:rPr>
        <w:t>Énfasis fuera de texto</w:t>
      </w:r>
      <w:r>
        <w:rPr>
          <w:rFonts w:ascii="Century Gothic" w:hAnsi="Century Gothic" w:cs="Arial"/>
          <w:color w:val="000000" w:themeColor="text1"/>
        </w:rPr>
        <w:t>]</w:t>
      </w:r>
      <w:r w:rsidRPr="00203F69">
        <w:rPr>
          <w:rFonts w:ascii="Century Gothic" w:hAnsi="Century Gothic" w:cs="Arial"/>
          <w:color w:val="000000" w:themeColor="text1"/>
        </w:rPr>
        <w:t xml:space="preserve">. </w:t>
      </w:r>
    </w:p>
    <w:p w14:paraId="44AD8A0C" w14:textId="4FA9CCD1" w:rsidR="00D033EB" w:rsidRPr="00D033EB" w:rsidRDefault="002B7281" w:rsidP="002B7281">
      <w:pPr>
        <w:spacing w:after="0" w:line="276" w:lineRule="auto"/>
        <w:ind w:firstLine="709"/>
        <w:jc w:val="both"/>
        <w:rPr>
          <w:rFonts w:ascii="Century Gothic" w:hAnsi="Century Gothic" w:cs="Arial"/>
          <w:color w:val="000000" w:themeColor="text1"/>
        </w:rPr>
      </w:pPr>
      <w:r>
        <w:rPr>
          <w:rFonts w:ascii="Century Gothic" w:hAnsi="Century Gothic" w:cs="Arial"/>
          <w:color w:val="000000" w:themeColor="text1"/>
        </w:rPr>
        <w:t>En consecuencia</w:t>
      </w:r>
      <w:r w:rsidR="00D033EB" w:rsidRPr="00D033EB">
        <w:rPr>
          <w:rFonts w:ascii="Century Gothic" w:hAnsi="Century Gothic" w:cs="Arial"/>
          <w:color w:val="000000" w:themeColor="text1"/>
        </w:rPr>
        <w:t xml:space="preserve">, si bien tanto a los interesados como a la ciudadanía en general les asiste el derecho a realizar observaciones, este derecho debe ejercerse dentro de los plazos establecidos por el ordenamiento jurídico y por el cronograma del proceso de contratación, so pena de perder tal facultad por la </w:t>
      </w:r>
      <w:proofErr w:type="spellStart"/>
      <w:r w:rsidR="00D033EB" w:rsidRPr="00D033EB">
        <w:rPr>
          <w:rFonts w:ascii="Century Gothic" w:hAnsi="Century Gothic" w:cs="Arial"/>
          <w:color w:val="000000" w:themeColor="text1"/>
        </w:rPr>
        <w:t>preclusividad</w:t>
      </w:r>
      <w:proofErr w:type="spellEnd"/>
      <w:r w:rsidR="00D033EB" w:rsidRPr="00D033EB">
        <w:rPr>
          <w:rFonts w:ascii="Century Gothic" w:hAnsi="Century Gothic" w:cs="Arial"/>
          <w:color w:val="000000" w:themeColor="text1"/>
        </w:rPr>
        <w:t xml:space="preserve"> y perentoriedad de los términos que rigen el proceso de contratación. Lo anterior teniendo en cuenta que, una vez agotada cada fase de este, la </w:t>
      </w:r>
      <w:r w:rsidR="00D033EB">
        <w:rPr>
          <w:rFonts w:ascii="Century Gothic" w:hAnsi="Century Gothic" w:cs="Arial"/>
          <w:color w:val="000000" w:themeColor="text1"/>
        </w:rPr>
        <w:t>E</w:t>
      </w:r>
      <w:r w:rsidR="00D033EB" w:rsidRPr="00D033EB">
        <w:rPr>
          <w:rFonts w:ascii="Century Gothic" w:hAnsi="Century Gothic" w:cs="Arial"/>
          <w:color w:val="000000" w:themeColor="text1"/>
        </w:rPr>
        <w:t xml:space="preserve">ntidad </w:t>
      </w:r>
      <w:r w:rsidR="00D033EB">
        <w:rPr>
          <w:rFonts w:ascii="Century Gothic" w:hAnsi="Century Gothic" w:cs="Arial"/>
          <w:color w:val="000000" w:themeColor="text1"/>
        </w:rPr>
        <w:t>E</w:t>
      </w:r>
      <w:r w:rsidR="00D033EB" w:rsidRPr="00D033EB">
        <w:rPr>
          <w:rFonts w:ascii="Century Gothic" w:hAnsi="Century Gothic" w:cs="Arial"/>
          <w:color w:val="000000" w:themeColor="text1"/>
        </w:rPr>
        <w:t xml:space="preserve">statal –en principio– no puede volver sobre aquella. </w:t>
      </w:r>
    </w:p>
    <w:bookmarkEnd w:id="4"/>
    <w:p w14:paraId="4D5DCD97" w14:textId="77777777" w:rsidR="00490794" w:rsidRPr="00D82A1E" w:rsidRDefault="00490794" w:rsidP="002B7281">
      <w:pPr>
        <w:tabs>
          <w:tab w:val="left" w:pos="0"/>
        </w:tabs>
        <w:spacing w:after="0"/>
        <w:ind w:left="709" w:hanging="709"/>
        <w:jc w:val="both"/>
        <w:rPr>
          <w:rFonts w:ascii="Century Gothic" w:eastAsia="Calibri" w:hAnsi="Century Gothic" w:cs="Arial"/>
          <w:b/>
          <w:lang w:val="es-ES_tradnl"/>
        </w:rPr>
      </w:pPr>
    </w:p>
    <w:p w14:paraId="22A4FC50" w14:textId="77777777" w:rsidR="00490794" w:rsidRPr="00D82A1E" w:rsidRDefault="00490794" w:rsidP="00490794">
      <w:pPr>
        <w:tabs>
          <w:tab w:val="left" w:pos="0"/>
        </w:tabs>
        <w:spacing w:after="0"/>
        <w:jc w:val="both"/>
        <w:rPr>
          <w:rFonts w:ascii="Century Gothic" w:eastAsia="Calibri" w:hAnsi="Century Gothic" w:cs="Arial"/>
          <w:b/>
          <w:lang w:val="es-ES_tradnl"/>
        </w:rPr>
      </w:pPr>
      <w:r w:rsidRPr="00D82A1E">
        <w:rPr>
          <w:rFonts w:ascii="Century Gothic" w:eastAsia="Calibri" w:hAnsi="Century Gothic" w:cs="Arial"/>
          <w:b/>
          <w:lang w:val="es-ES_tradnl"/>
        </w:rPr>
        <w:t>3. Respuestas</w:t>
      </w:r>
    </w:p>
    <w:p w14:paraId="2E705677" w14:textId="77777777" w:rsidR="00490794" w:rsidRPr="00D82A1E" w:rsidRDefault="00490794" w:rsidP="00490794">
      <w:pPr>
        <w:spacing w:after="0" w:line="276" w:lineRule="auto"/>
        <w:jc w:val="both"/>
        <w:rPr>
          <w:rFonts w:ascii="Century Gothic" w:hAnsi="Century Gothic" w:cs="Arial"/>
          <w:lang w:val="es-ES_tradnl"/>
        </w:rPr>
      </w:pPr>
    </w:p>
    <w:p w14:paraId="3B8D87F8" w14:textId="77777777" w:rsidR="000F6714" w:rsidRDefault="000F6714" w:rsidP="000F6714">
      <w:pPr>
        <w:spacing w:before="120" w:after="0" w:line="240" w:lineRule="auto"/>
        <w:ind w:left="709" w:right="709"/>
        <w:jc w:val="both"/>
        <w:textAlignment w:val="baseline"/>
        <w:rPr>
          <w:rFonts w:ascii="Century Gothic" w:hAnsi="Century Gothic" w:cs="Arial"/>
          <w:sz w:val="21"/>
          <w:szCs w:val="21"/>
          <w:shd w:val="clear" w:color="auto" w:fill="FFFFFF"/>
        </w:rPr>
      </w:pPr>
      <w:r>
        <w:rPr>
          <w:rFonts w:ascii="Century Gothic" w:hAnsi="Century Gothic" w:cs="Arial"/>
          <w:sz w:val="21"/>
          <w:szCs w:val="21"/>
          <w:shd w:val="clear" w:color="auto" w:fill="FFFFFF"/>
        </w:rPr>
        <w:t>“</w:t>
      </w:r>
      <w:r w:rsidRPr="009449F3">
        <w:rPr>
          <w:rFonts w:ascii="Century Gothic" w:hAnsi="Century Gothic" w:cs="Arial"/>
          <w:sz w:val="21"/>
          <w:szCs w:val="21"/>
          <w:shd w:val="clear" w:color="auto" w:fill="FFFFFF"/>
        </w:rPr>
        <w:t>1</w:t>
      </w:r>
      <w:r>
        <w:rPr>
          <w:rFonts w:ascii="Century Gothic" w:hAnsi="Century Gothic" w:cs="Arial"/>
          <w:sz w:val="21"/>
          <w:szCs w:val="21"/>
          <w:shd w:val="clear" w:color="auto" w:fill="FFFFFF"/>
        </w:rPr>
        <w:t>) [¿]Que documentos debe aportar el proponente que tenga interés en solicitarle a la entidad la limitación a MiPymes? por favor enumerarlos</w:t>
      </w:r>
    </w:p>
    <w:p w14:paraId="3FA61B4C" w14:textId="77777777" w:rsidR="000F6714" w:rsidRPr="00A31DDA" w:rsidRDefault="000F6714" w:rsidP="000F6714">
      <w:pPr>
        <w:spacing w:before="120" w:after="0" w:line="240" w:lineRule="auto"/>
        <w:ind w:left="709" w:right="709"/>
        <w:jc w:val="both"/>
        <w:textAlignment w:val="baseline"/>
        <w:rPr>
          <w:rFonts w:ascii="Century Gothic" w:hAnsi="Century Gothic" w:cs="Arial"/>
          <w:shd w:val="clear" w:color="auto" w:fill="FFFFFF"/>
        </w:rPr>
      </w:pPr>
      <w:r>
        <w:rPr>
          <w:rFonts w:ascii="Century Gothic" w:hAnsi="Century Gothic" w:cs="Arial"/>
          <w:sz w:val="21"/>
          <w:szCs w:val="21"/>
          <w:shd w:val="clear" w:color="auto" w:fill="FFFFFF"/>
        </w:rPr>
        <w:t xml:space="preserve">2) [¿]Que documentos debe verificar la Entidad para proceder a hacer la </w:t>
      </w:r>
      <w:r w:rsidRPr="00A31DDA">
        <w:rPr>
          <w:rFonts w:ascii="Century Gothic" w:hAnsi="Century Gothic" w:cs="Arial"/>
          <w:shd w:val="clear" w:color="auto" w:fill="FFFFFF"/>
        </w:rPr>
        <w:t>limitación a MiPymes? Por favor enumerarlos” [sic]</w:t>
      </w:r>
    </w:p>
    <w:p w14:paraId="62720328" w14:textId="77777777" w:rsidR="000F6714" w:rsidRPr="00A31DDA" w:rsidRDefault="000F6714" w:rsidP="000F6714">
      <w:pPr>
        <w:spacing w:after="0" w:line="240" w:lineRule="auto"/>
        <w:ind w:right="709"/>
        <w:jc w:val="both"/>
        <w:textAlignment w:val="baseline"/>
        <w:rPr>
          <w:rFonts w:ascii="Century Gothic" w:hAnsi="Century Gothic" w:cs="Arial"/>
          <w:shd w:val="clear" w:color="auto" w:fill="FFFFFF"/>
        </w:rPr>
      </w:pPr>
    </w:p>
    <w:p w14:paraId="4AEFF97C" w14:textId="77777777" w:rsidR="000F6714" w:rsidRDefault="000F6714" w:rsidP="000F6714">
      <w:pPr>
        <w:spacing w:after="120" w:line="276" w:lineRule="auto"/>
        <w:jc w:val="both"/>
        <w:rPr>
          <w:rFonts w:ascii="Century Gothic" w:eastAsia="Arial" w:hAnsi="Century Gothic" w:cs="Arial"/>
          <w:color w:val="000000"/>
          <w:lang w:val="es-ES_tradnl" w:eastAsia="es-ES_tradnl"/>
        </w:rPr>
      </w:pPr>
      <w:r>
        <w:rPr>
          <w:rFonts w:ascii="Century Gothic" w:hAnsi="Century Gothic" w:cs="Arial"/>
          <w:shd w:val="clear" w:color="auto" w:fill="FFFFFF"/>
        </w:rPr>
        <w:lastRenderedPageBreak/>
        <w:t xml:space="preserve">De conformidad con lo expuesto en este concepto, </w:t>
      </w:r>
      <w:r>
        <w:rPr>
          <w:rFonts w:ascii="Century Gothic" w:eastAsia="Arial" w:hAnsi="Century Gothic" w:cs="Arial"/>
          <w:color w:val="000000"/>
          <w:lang w:val="es-ES_tradnl" w:eastAsia="es-ES_tradnl"/>
        </w:rPr>
        <w:t xml:space="preserve">la decisión de limitar la convocatoria por parte de la entidad, únicamente puede darse si la solicitud provino de dos (2) o más Mipymes domiciliadas en el municipio o departamento en donde se va a ejecutar el contrato. Sin embargo, previo a esto, la entidad debe verificar el cumplimiento de los requisitos dispuestos en los numerales 1 y 2 del artículo </w:t>
      </w:r>
      <w:r w:rsidRPr="00B00B5F">
        <w:rPr>
          <w:rFonts w:ascii="Century Gothic" w:eastAsia="Calibri" w:hAnsi="Century Gothic" w:cs="Arial"/>
          <w:color w:val="000000" w:themeColor="text1"/>
        </w:rPr>
        <w:t>2.2.1.2.4.2.2. del Decreto 1082 de 2015, modificado por el</w:t>
      </w:r>
      <w:r>
        <w:rPr>
          <w:rFonts w:ascii="Century Gothic" w:eastAsia="Calibri" w:hAnsi="Century Gothic" w:cs="Arial"/>
          <w:color w:val="000000" w:themeColor="text1"/>
        </w:rPr>
        <w:t xml:space="preserve"> artículo 5 del</w:t>
      </w:r>
      <w:r w:rsidRPr="00B00B5F">
        <w:rPr>
          <w:rFonts w:ascii="Century Gothic" w:eastAsia="Calibri" w:hAnsi="Century Gothic" w:cs="Arial"/>
          <w:color w:val="000000" w:themeColor="text1"/>
        </w:rPr>
        <w:t xml:space="preserve"> Decreto 1860 de 2021</w:t>
      </w:r>
      <w:r>
        <w:rPr>
          <w:rFonts w:ascii="Century Gothic" w:eastAsia="Calibri" w:hAnsi="Century Gothic" w:cs="Arial"/>
          <w:color w:val="000000" w:themeColor="text1"/>
        </w:rPr>
        <w:t xml:space="preserve">. </w:t>
      </w:r>
    </w:p>
    <w:p w14:paraId="7342EFB9" w14:textId="77777777" w:rsidR="000F6714" w:rsidRPr="00A31DDA" w:rsidRDefault="000F6714" w:rsidP="000F6714">
      <w:pPr>
        <w:spacing w:after="0" w:line="276" w:lineRule="auto"/>
        <w:jc w:val="both"/>
        <w:textAlignment w:val="baseline"/>
        <w:rPr>
          <w:rFonts w:ascii="Century Gothic" w:hAnsi="Century Gothic" w:cs="Arial"/>
          <w:shd w:val="clear" w:color="auto" w:fill="FFFFFF"/>
        </w:rPr>
      </w:pPr>
      <w:r>
        <w:rPr>
          <w:rFonts w:ascii="Century Gothic" w:eastAsia="Arial" w:hAnsi="Century Gothic" w:cs="Arial"/>
          <w:color w:val="000000"/>
          <w:lang w:val="es-ES_tradnl" w:eastAsia="es-ES_tradnl"/>
        </w:rPr>
        <w:tab/>
        <w:t xml:space="preserve">En ese orden, en caso de que una Mipyme se encuentre interesada en solicitar la limitación de la convocatoria, deberá junto con su respectiva solicitud, las cual podrá </w:t>
      </w:r>
      <w:proofErr w:type="spellStart"/>
      <w:r>
        <w:rPr>
          <w:rFonts w:ascii="Century Gothic" w:eastAsia="Arial" w:hAnsi="Century Gothic" w:cs="Arial"/>
          <w:color w:val="000000"/>
          <w:lang w:val="es-ES_tradnl" w:eastAsia="es-ES_tradnl"/>
        </w:rPr>
        <w:t>allegar</w:t>
      </w:r>
      <w:proofErr w:type="spellEnd"/>
      <w:r>
        <w:rPr>
          <w:rFonts w:ascii="Century Gothic" w:eastAsia="Arial" w:hAnsi="Century Gothic" w:cs="Arial"/>
          <w:color w:val="000000"/>
          <w:lang w:val="es-ES_tradnl" w:eastAsia="es-ES_tradnl"/>
        </w:rPr>
        <w:t xml:space="preserve"> a la entidad por lo menos un (1) día hábil antes de la expedición del acto administrativo de apertura del proceso de contratación, acreditar: </w:t>
      </w:r>
      <w:r>
        <w:rPr>
          <w:rFonts w:ascii="Century Gothic" w:eastAsia="Arial" w:hAnsi="Century Gothic" w:cs="Arial"/>
          <w:i/>
          <w:iCs/>
          <w:color w:val="000000"/>
          <w:lang w:val="es-ES_tradnl" w:eastAsia="es-ES_tradnl"/>
        </w:rPr>
        <w:t xml:space="preserve">i) </w:t>
      </w:r>
      <w:r>
        <w:rPr>
          <w:rFonts w:ascii="Century Gothic" w:eastAsia="Arial" w:hAnsi="Century Gothic" w:cs="Arial"/>
          <w:color w:val="000000"/>
          <w:lang w:val="es-ES_tradnl" w:eastAsia="es-ES_tradnl"/>
        </w:rPr>
        <w:t xml:space="preserve">que </w:t>
      </w:r>
      <w:r w:rsidRPr="001A2A63">
        <w:rPr>
          <w:rFonts w:ascii="Century Gothic" w:eastAsia="Arial" w:hAnsi="Century Gothic" w:cs="Arial"/>
          <w:color w:val="000000"/>
          <w:lang w:val="es-ES_tradnl" w:eastAsia="es-ES_tradnl"/>
        </w:rPr>
        <w:t>tiene el tamaño empresarial establecido por la ley para ser considerada Mipyme</w:t>
      </w:r>
      <w:r>
        <w:rPr>
          <w:rFonts w:ascii="Century Gothic" w:eastAsia="Arial" w:hAnsi="Century Gothic" w:cs="Arial"/>
          <w:i/>
          <w:iCs/>
          <w:color w:val="000000"/>
          <w:lang w:val="es-ES_tradnl" w:eastAsia="es-ES_tradnl"/>
        </w:rPr>
        <w:t xml:space="preserve">, </w:t>
      </w:r>
      <w:proofErr w:type="spellStart"/>
      <w:r>
        <w:rPr>
          <w:rFonts w:ascii="Century Gothic" w:eastAsia="Arial" w:hAnsi="Century Gothic" w:cs="Arial"/>
          <w:i/>
          <w:iCs/>
          <w:color w:val="000000"/>
          <w:lang w:val="es-ES_tradnl" w:eastAsia="es-ES_tradnl"/>
        </w:rPr>
        <w:t>ii</w:t>
      </w:r>
      <w:proofErr w:type="spellEnd"/>
      <w:r>
        <w:rPr>
          <w:rFonts w:ascii="Century Gothic" w:eastAsia="Arial" w:hAnsi="Century Gothic" w:cs="Arial"/>
          <w:i/>
          <w:iCs/>
          <w:color w:val="000000"/>
          <w:lang w:val="es-ES_tradnl" w:eastAsia="es-ES_tradnl"/>
        </w:rPr>
        <w:t xml:space="preserve">) </w:t>
      </w:r>
      <w:r>
        <w:rPr>
          <w:rFonts w:ascii="Century Gothic" w:eastAsia="Arial" w:hAnsi="Century Gothic" w:cs="Arial"/>
          <w:color w:val="000000"/>
          <w:lang w:val="es-ES_tradnl" w:eastAsia="es-ES_tradnl"/>
        </w:rPr>
        <w:t>que cuenta</w:t>
      </w:r>
      <w:r w:rsidRPr="001A2A63">
        <w:rPr>
          <w:rFonts w:ascii="Century Gothic" w:eastAsia="Arial" w:hAnsi="Century Gothic" w:cs="Arial"/>
          <w:color w:val="000000"/>
          <w:lang w:val="es-ES_tradnl" w:eastAsia="es-ES_tradnl"/>
        </w:rPr>
        <w:t xml:space="preserve"> mínimo</w:t>
      </w:r>
      <w:r>
        <w:rPr>
          <w:rFonts w:ascii="Century Gothic" w:eastAsia="Arial" w:hAnsi="Century Gothic" w:cs="Arial"/>
          <w:color w:val="000000"/>
          <w:lang w:val="es-ES_tradnl" w:eastAsia="es-ES_tradnl"/>
        </w:rPr>
        <w:t>, con</w:t>
      </w:r>
      <w:r w:rsidRPr="001A2A63">
        <w:rPr>
          <w:rFonts w:ascii="Century Gothic" w:eastAsia="Arial" w:hAnsi="Century Gothic" w:cs="Arial"/>
          <w:color w:val="000000"/>
          <w:lang w:val="es-ES_tradnl" w:eastAsia="es-ES_tradnl"/>
        </w:rPr>
        <w:t xml:space="preserve"> un (1) año de existencia</w:t>
      </w:r>
      <w:r w:rsidRPr="005763B7">
        <w:rPr>
          <w:rFonts w:ascii="Century Gothic" w:eastAsia="Arial" w:hAnsi="Century Gothic" w:cs="Arial"/>
          <w:color w:val="000000"/>
          <w:lang w:val="es-ES_tradnl" w:eastAsia="es-ES_tradnl"/>
        </w:rPr>
        <w:t xml:space="preserve"> y</w:t>
      </w:r>
      <w:r>
        <w:rPr>
          <w:rFonts w:ascii="Century Gothic" w:eastAsia="Arial" w:hAnsi="Century Gothic" w:cs="Arial"/>
          <w:color w:val="000000"/>
          <w:lang w:val="es-ES_tradnl" w:eastAsia="es-ES_tradnl"/>
        </w:rPr>
        <w:t>,</w:t>
      </w:r>
      <w:r w:rsidRPr="005763B7">
        <w:rPr>
          <w:rFonts w:ascii="Century Gothic" w:eastAsia="Arial" w:hAnsi="Century Gothic" w:cs="Arial"/>
          <w:color w:val="000000"/>
          <w:lang w:val="es-ES_tradnl" w:eastAsia="es-ES_tradnl"/>
        </w:rPr>
        <w:t xml:space="preserve"> en caso de</w:t>
      </w:r>
      <w:r>
        <w:rPr>
          <w:rFonts w:ascii="Century Gothic" w:eastAsia="Arial" w:hAnsi="Century Gothic" w:cs="Arial"/>
          <w:color w:val="000000"/>
          <w:lang w:val="es-ES_tradnl" w:eastAsia="es-ES_tradnl"/>
        </w:rPr>
        <w:t xml:space="preserve"> que se</w:t>
      </w:r>
      <w:r w:rsidRPr="005763B7">
        <w:rPr>
          <w:rFonts w:ascii="Century Gothic" w:eastAsia="Arial" w:hAnsi="Century Gothic" w:cs="Arial"/>
          <w:color w:val="000000"/>
          <w:lang w:val="es-ES_tradnl" w:eastAsia="es-ES_tradnl"/>
        </w:rPr>
        <w:t xml:space="preserve"> trat</w:t>
      </w:r>
      <w:r>
        <w:rPr>
          <w:rFonts w:ascii="Century Gothic" w:eastAsia="Arial" w:hAnsi="Century Gothic" w:cs="Arial"/>
          <w:color w:val="000000"/>
          <w:lang w:val="es-ES_tradnl" w:eastAsia="es-ES_tradnl"/>
        </w:rPr>
        <w:t>e una</w:t>
      </w:r>
      <w:r w:rsidRPr="005763B7">
        <w:rPr>
          <w:rFonts w:ascii="Century Gothic" w:eastAsia="Arial" w:hAnsi="Century Gothic" w:cs="Arial"/>
          <w:color w:val="000000"/>
          <w:lang w:val="es-ES_tradnl" w:eastAsia="es-ES_tradnl"/>
        </w:rPr>
        <w:t xml:space="preserve"> persona jurídica</w:t>
      </w:r>
      <w:r>
        <w:rPr>
          <w:rFonts w:ascii="Century Gothic" w:eastAsia="Arial" w:hAnsi="Century Gothic" w:cs="Arial"/>
          <w:i/>
          <w:iCs/>
          <w:color w:val="000000"/>
          <w:lang w:val="es-ES_tradnl" w:eastAsia="es-ES_tradnl"/>
        </w:rPr>
        <w:t xml:space="preserve">, </w:t>
      </w:r>
      <w:proofErr w:type="spellStart"/>
      <w:r>
        <w:rPr>
          <w:rFonts w:ascii="Century Gothic" w:eastAsia="Arial" w:hAnsi="Century Gothic" w:cs="Arial"/>
          <w:i/>
          <w:iCs/>
          <w:color w:val="000000"/>
          <w:lang w:val="es-ES_tradnl" w:eastAsia="es-ES_tradnl"/>
        </w:rPr>
        <w:t>iii</w:t>
      </w:r>
      <w:proofErr w:type="spellEnd"/>
      <w:r>
        <w:rPr>
          <w:rFonts w:ascii="Century Gothic" w:eastAsia="Arial" w:hAnsi="Century Gothic" w:cs="Arial"/>
          <w:i/>
          <w:iCs/>
          <w:color w:val="000000"/>
          <w:lang w:val="es-ES_tradnl" w:eastAsia="es-ES_tradnl"/>
        </w:rPr>
        <w:t xml:space="preserve">) </w:t>
      </w:r>
      <w:r w:rsidRPr="005763B7">
        <w:rPr>
          <w:rFonts w:ascii="Century Gothic" w:eastAsia="Arial" w:hAnsi="Century Gothic" w:cs="Arial"/>
          <w:color w:val="000000"/>
          <w:lang w:val="es-ES_tradnl" w:eastAsia="es-ES_tradnl"/>
        </w:rPr>
        <w:t>que su objeto social le permite ejecutar el contrato relacionado con el proceso contractual.</w:t>
      </w:r>
      <w:r>
        <w:rPr>
          <w:rFonts w:ascii="Century Gothic" w:eastAsia="Arial" w:hAnsi="Century Gothic" w:cs="Arial"/>
          <w:color w:val="000000"/>
          <w:lang w:val="es-ES_tradnl" w:eastAsia="es-ES_tradnl"/>
        </w:rPr>
        <w:t xml:space="preserve"> Información esta, que verificará la Entidad Estatal que adelanta el respectivo proceso de contratación, para así determinar si procede o no a efectuar la limitación de la convocaría. Sin embargo, debe aclararse, que las entidades en el marco del principio de autonomía, están facultadas para establecer en el pliego de condiciones, las reglas a través de las cuales se acreditarán dichas situaciones, esto, bajo la observación de lo señalado en el artículo </w:t>
      </w:r>
      <w:r w:rsidRPr="003C532C">
        <w:rPr>
          <w:rFonts w:ascii="Century Gothic" w:eastAsia="Arial" w:hAnsi="Century Gothic" w:cs="Arial"/>
          <w:color w:val="000000"/>
          <w:lang w:val="es-ES_tradnl" w:eastAsia="es-ES_tradnl"/>
        </w:rPr>
        <w:t>2.2.1.2.4.2.4</w:t>
      </w:r>
      <w:r>
        <w:rPr>
          <w:rFonts w:ascii="Century Gothic" w:eastAsia="Arial" w:hAnsi="Century Gothic" w:cs="Arial"/>
          <w:color w:val="000000"/>
          <w:lang w:val="es-ES_tradnl" w:eastAsia="es-ES_tradnl"/>
        </w:rPr>
        <w:t xml:space="preserve"> del Decreto 1082 de 2015, modificado por el artículo 5 del Decreto 1860 de 2021.</w:t>
      </w:r>
    </w:p>
    <w:p w14:paraId="69F378B3" w14:textId="77777777" w:rsidR="000F6714" w:rsidRDefault="000F6714" w:rsidP="000F6714">
      <w:pPr>
        <w:spacing w:after="0" w:line="240" w:lineRule="auto"/>
        <w:ind w:right="709"/>
        <w:jc w:val="both"/>
        <w:textAlignment w:val="baseline"/>
        <w:rPr>
          <w:rFonts w:ascii="Century Gothic" w:hAnsi="Century Gothic" w:cs="Arial"/>
          <w:sz w:val="21"/>
          <w:szCs w:val="21"/>
          <w:shd w:val="clear" w:color="auto" w:fill="FFFFFF"/>
        </w:rPr>
      </w:pPr>
    </w:p>
    <w:p w14:paraId="3C6A6BD4" w14:textId="77777777" w:rsidR="000F6714" w:rsidRDefault="000F6714" w:rsidP="000F6714">
      <w:pPr>
        <w:spacing w:before="120" w:after="0" w:line="240" w:lineRule="auto"/>
        <w:ind w:left="709" w:right="709"/>
        <w:jc w:val="both"/>
        <w:textAlignment w:val="baseline"/>
        <w:rPr>
          <w:rFonts w:ascii="Century Gothic" w:hAnsi="Century Gothic" w:cs="Arial"/>
          <w:sz w:val="21"/>
          <w:szCs w:val="21"/>
          <w:shd w:val="clear" w:color="auto" w:fill="FFFFFF"/>
        </w:rPr>
      </w:pPr>
      <w:r>
        <w:rPr>
          <w:rFonts w:ascii="Century Gothic" w:hAnsi="Century Gothic" w:cs="Arial"/>
          <w:sz w:val="21"/>
          <w:szCs w:val="21"/>
          <w:shd w:val="clear" w:color="auto" w:fill="FFFFFF"/>
        </w:rPr>
        <w:t>3) [¿]La entidad tiene la obligación legal de hacer públicos los documentos que contienen las solicitudes de limitación a MiPymes?</w:t>
      </w:r>
    </w:p>
    <w:p w14:paraId="59B78712" w14:textId="77777777" w:rsidR="000F6714" w:rsidRPr="00A31DDA" w:rsidRDefault="000F6714" w:rsidP="000F6714">
      <w:pPr>
        <w:spacing w:before="120" w:after="0" w:line="240" w:lineRule="auto"/>
        <w:ind w:left="709" w:right="709"/>
        <w:jc w:val="both"/>
        <w:textAlignment w:val="baseline"/>
        <w:rPr>
          <w:rFonts w:ascii="Century Gothic" w:hAnsi="Century Gothic" w:cs="Arial"/>
          <w:shd w:val="clear" w:color="auto" w:fill="FFFFFF"/>
        </w:rPr>
      </w:pPr>
      <w:r>
        <w:rPr>
          <w:rFonts w:ascii="Century Gothic" w:hAnsi="Century Gothic" w:cs="Arial"/>
          <w:sz w:val="21"/>
          <w:szCs w:val="21"/>
          <w:shd w:val="clear" w:color="auto" w:fill="FFFFFF"/>
        </w:rPr>
        <w:t xml:space="preserve">4) en caso de que la respuesta anterior sea AFIRMATIVA [¿]que principios de la contratación estatal o norma </w:t>
      </w:r>
      <w:proofErr w:type="spellStart"/>
      <w:r>
        <w:rPr>
          <w:rFonts w:ascii="Century Gothic" w:hAnsi="Century Gothic" w:cs="Arial"/>
          <w:sz w:val="21"/>
          <w:szCs w:val="21"/>
          <w:shd w:val="clear" w:color="auto" w:fill="FFFFFF"/>
        </w:rPr>
        <w:t>mas</w:t>
      </w:r>
      <w:proofErr w:type="spellEnd"/>
      <w:r>
        <w:rPr>
          <w:rFonts w:ascii="Century Gothic" w:hAnsi="Century Gothic" w:cs="Arial"/>
          <w:sz w:val="21"/>
          <w:szCs w:val="21"/>
          <w:shd w:val="clear" w:color="auto" w:fill="FFFFFF"/>
        </w:rPr>
        <w:t xml:space="preserve"> exactamente se violaría en caso de que la Entidad no haga públicos los documentos de las solicitudes a </w:t>
      </w:r>
      <w:r w:rsidRPr="00A31DDA">
        <w:rPr>
          <w:rFonts w:ascii="Century Gothic" w:hAnsi="Century Gothic" w:cs="Arial"/>
          <w:sz w:val="21"/>
          <w:szCs w:val="21"/>
          <w:shd w:val="clear" w:color="auto" w:fill="FFFFFF"/>
        </w:rPr>
        <w:t>MiPymes</w:t>
      </w:r>
      <w:r w:rsidRPr="00A31DDA">
        <w:rPr>
          <w:rFonts w:ascii="Century Gothic" w:hAnsi="Century Gothic" w:cs="Arial"/>
          <w:shd w:val="clear" w:color="auto" w:fill="FFFFFF"/>
        </w:rPr>
        <w:t>.</w:t>
      </w:r>
      <w:r>
        <w:rPr>
          <w:rFonts w:ascii="Century Gothic" w:hAnsi="Century Gothic" w:cs="Arial"/>
          <w:shd w:val="clear" w:color="auto" w:fill="FFFFFF"/>
        </w:rPr>
        <w:t>” [sic]</w:t>
      </w:r>
    </w:p>
    <w:p w14:paraId="70C59C52" w14:textId="77777777" w:rsidR="000F6714" w:rsidRPr="00A31DDA" w:rsidRDefault="000F6714" w:rsidP="000F6714">
      <w:pPr>
        <w:spacing w:after="0" w:line="240" w:lineRule="auto"/>
        <w:ind w:right="709"/>
        <w:jc w:val="both"/>
        <w:textAlignment w:val="baseline"/>
        <w:rPr>
          <w:rFonts w:ascii="Century Gothic" w:hAnsi="Century Gothic" w:cs="Arial"/>
          <w:shd w:val="clear" w:color="auto" w:fill="FFFFFF"/>
        </w:rPr>
      </w:pPr>
    </w:p>
    <w:p w14:paraId="680AED5F" w14:textId="77777777" w:rsidR="000F6714" w:rsidRPr="00A31DDA" w:rsidRDefault="000F6714" w:rsidP="000F6714">
      <w:pPr>
        <w:spacing w:after="0" w:line="276" w:lineRule="auto"/>
        <w:jc w:val="both"/>
        <w:rPr>
          <w:rFonts w:ascii="Century Gothic" w:eastAsia="Arial" w:hAnsi="Century Gothic" w:cs="Arial"/>
          <w:lang w:val="es-ES"/>
        </w:rPr>
      </w:pPr>
      <w:r>
        <w:rPr>
          <w:rFonts w:ascii="Century Gothic" w:hAnsi="Century Gothic" w:cs="Arial"/>
          <w:shd w:val="clear" w:color="auto" w:fill="FFFFFF"/>
        </w:rPr>
        <w:tab/>
        <w:t>La</w:t>
      </w:r>
      <w:r w:rsidRPr="00A31DDA">
        <w:rPr>
          <w:rFonts w:ascii="Century Gothic" w:hAnsi="Century Gothic" w:cs="Arial"/>
          <w:bCs/>
          <w:lang w:val="es-ES_tradnl" w:eastAsia="es-ES"/>
        </w:rPr>
        <w:t xml:space="preserve"> Ley 1712 de 2014, por medio de la cual se regula la transparencia, 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w:t>
      </w:r>
      <w:r w:rsidRPr="00A31DDA">
        <w:rPr>
          <w:rFonts w:ascii="Century Gothic" w:eastAsia="Arial" w:hAnsi="Century Gothic" w:cs="Arial"/>
          <w:lang w:val="es-ES"/>
        </w:rPr>
        <w:t xml:space="preserve">es pública y no podrá ser reservada o limitada sino por disposición constitucional o legal”. El principio de transparencia en la información alude al deber de los sujetos de proporcionar y </w:t>
      </w:r>
      <w:r w:rsidRPr="00A31DDA">
        <w:rPr>
          <w:rFonts w:ascii="Century Gothic" w:eastAsia="Arial" w:hAnsi="Century Gothic" w:cs="Arial"/>
          <w:lang w:val="es-ES"/>
        </w:rPr>
        <w:lastRenderedPageBreak/>
        <w:t>facilitar el acceso a la misma en los términos más amplios posibles, y a través de los medios y procedimientos que establezca la ley.</w:t>
      </w:r>
    </w:p>
    <w:p w14:paraId="064151D2" w14:textId="21D4417D" w:rsidR="000F6714" w:rsidRPr="00C8422B" w:rsidRDefault="000F6714" w:rsidP="000F6714">
      <w:pPr>
        <w:widowControl w:val="0"/>
        <w:tabs>
          <w:tab w:val="left" w:pos="728"/>
        </w:tabs>
        <w:autoSpaceDE w:val="0"/>
        <w:autoSpaceDN w:val="0"/>
        <w:spacing w:before="120" w:after="0" w:line="276" w:lineRule="auto"/>
        <w:jc w:val="both"/>
        <w:rPr>
          <w:rFonts w:ascii="Century Gothic" w:eastAsia="Arial" w:hAnsi="Century Gothic" w:cs="Arial"/>
          <w:lang w:val="es-ES"/>
        </w:rPr>
      </w:pPr>
      <w:r>
        <w:rPr>
          <w:rFonts w:ascii="Century Gothic" w:eastAsia="Arial" w:hAnsi="Century Gothic" w:cs="Arial"/>
          <w:lang w:val="es-ES"/>
        </w:rPr>
        <w:tab/>
      </w:r>
      <w:r w:rsidRPr="00A31DDA">
        <w:rPr>
          <w:rFonts w:ascii="Century Gothic" w:eastAsia="Arial" w:hAnsi="Century Gothic" w:cs="Arial"/>
          <w:lang w:val="es-ES"/>
        </w:rPr>
        <w:t xml:space="preserve">La precitada ley, señala en el literal e) del artículo 9, que los sujetos obligados, que son todas las entidades públicas, deben publicar la información relativa a su contratación. Esta obligación fue en principio desarrollada por el Decreto 103 de 2015, hoy compilado en el Decreto Único Reglamentario 1081 de 2015, el cual dispuso que la publicación de la información contractual de los sujetos obligados, que contratan con cargo a recursos públicos, debe hacerse en el Sistema Electrónico de Contratación Pública –SECOP–. 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r>
        <w:rPr>
          <w:rFonts w:ascii="Century Gothic" w:hAnsi="Century Gothic" w:cs="Arial"/>
          <w:shd w:val="clear" w:color="auto" w:fill="FFFFFF"/>
        </w:rPr>
        <w:t>Así pues, en caso de que las Entidades Estatales no acaten lo dispuesto en tales disposiciones, esto es, el deber de publicar sus actuaciones contractuales, desconocerían los principios de transparencia, publicidad y buena fe.</w:t>
      </w:r>
    </w:p>
    <w:p w14:paraId="12ECA5E1" w14:textId="77777777" w:rsidR="000F6714" w:rsidRDefault="000F6714" w:rsidP="000F6714">
      <w:pPr>
        <w:spacing w:after="0" w:line="240" w:lineRule="auto"/>
        <w:ind w:left="709" w:right="709"/>
        <w:jc w:val="both"/>
        <w:textAlignment w:val="baseline"/>
        <w:rPr>
          <w:rFonts w:ascii="Century Gothic" w:hAnsi="Century Gothic" w:cs="Arial"/>
          <w:sz w:val="21"/>
          <w:szCs w:val="21"/>
          <w:shd w:val="clear" w:color="auto" w:fill="FFFFFF"/>
        </w:rPr>
      </w:pPr>
    </w:p>
    <w:p w14:paraId="1BA4723F" w14:textId="77777777" w:rsidR="000F6714" w:rsidRDefault="000F6714" w:rsidP="000F6714">
      <w:pPr>
        <w:spacing w:after="0" w:line="240" w:lineRule="auto"/>
        <w:ind w:left="709" w:right="709"/>
        <w:jc w:val="both"/>
        <w:textAlignment w:val="baseline"/>
        <w:rPr>
          <w:rFonts w:ascii="Century Gothic" w:hAnsi="Century Gothic" w:cs="Arial"/>
          <w:sz w:val="21"/>
          <w:szCs w:val="21"/>
          <w:shd w:val="clear" w:color="auto" w:fill="FFFFFF"/>
        </w:rPr>
      </w:pPr>
      <w:r>
        <w:rPr>
          <w:rFonts w:ascii="Century Gothic" w:hAnsi="Century Gothic" w:cs="Arial"/>
          <w:sz w:val="21"/>
          <w:szCs w:val="21"/>
          <w:shd w:val="clear" w:color="auto" w:fill="FFFFFF"/>
        </w:rPr>
        <w:t>“5) [¿]La entidad debe dar respuestas a las observaciones que se hagan con respecto al cumplimiento o no de los requisitos de las solicitudes de limitación a MiPymes de los demás proponentes?” [sic]</w:t>
      </w:r>
    </w:p>
    <w:p w14:paraId="0EBF95A2" w14:textId="77777777" w:rsidR="000F6714" w:rsidRDefault="000F6714" w:rsidP="000F6714">
      <w:pPr>
        <w:spacing w:after="0" w:line="240" w:lineRule="auto"/>
        <w:ind w:left="709" w:right="709"/>
        <w:jc w:val="both"/>
        <w:textAlignment w:val="baseline"/>
        <w:rPr>
          <w:rFonts w:ascii="Century Gothic" w:hAnsi="Century Gothic" w:cs="Arial"/>
          <w:sz w:val="21"/>
          <w:szCs w:val="21"/>
          <w:shd w:val="clear" w:color="auto" w:fill="FFFFFF"/>
        </w:rPr>
      </w:pPr>
    </w:p>
    <w:p w14:paraId="66DC2AE9" w14:textId="77777777" w:rsidR="000F6714" w:rsidRDefault="000F6714" w:rsidP="000F6714">
      <w:pPr>
        <w:spacing w:after="0" w:line="276" w:lineRule="auto"/>
        <w:jc w:val="both"/>
        <w:textAlignment w:val="baseline"/>
        <w:rPr>
          <w:rFonts w:ascii="Century Gothic" w:hAnsi="Century Gothic" w:cs="Arial"/>
          <w:shd w:val="clear" w:color="auto" w:fill="FFFFFF"/>
        </w:rPr>
      </w:pPr>
      <w:r>
        <w:rPr>
          <w:rFonts w:ascii="Century Gothic" w:hAnsi="Century Gothic" w:cs="Arial"/>
          <w:shd w:val="clear" w:color="auto" w:fill="FFFFFF"/>
        </w:rPr>
        <w:tab/>
      </w:r>
      <w:r w:rsidRPr="001E3D01">
        <w:rPr>
          <w:rFonts w:ascii="Century Gothic" w:hAnsi="Century Gothic" w:cs="Arial"/>
          <w:shd w:val="clear" w:color="auto" w:fill="FFFFFF"/>
        </w:rPr>
        <w:t>El artículo 23 de la Ley 80 de 1993 regula los principios aplicables a las actuaciones contractuales adelantadas por las Entidades Estatales. Entre otros, allí se estableció el principio de transparencia de la actividad contractual, objeto de regulación expresa en el artículo 24 ibidem. Este principio guarda estrecha relación con el de publicidad, como se indicó en numeral 2.2 de este concepto, que rige el ejercicio de la función administrativa. Por ello, en los numerales 2° y 3° se estableció el deber de publicidad de las actuaciones de las autoridades, así como la facultad de los interesados para realizar y/o presentar observaciones, como un mecanismo para controvertir algunas de las decisiones adoptadas por las Entidades Estatales en el marco de sus actuaciones</w:t>
      </w:r>
      <w:r>
        <w:rPr>
          <w:rFonts w:ascii="Century Gothic" w:hAnsi="Century Gothic" w:cs="Arial"/>
          <w:shd w:val="clear" w:color="auto" w:fill="FFFFFF"/>
        </w:rPr>
        <w:t>.</w:t>
      </w:r>
    </w:p>
    <w:p w14:paraId="27671C4A" w14:textId="77777777" w:rsidR="000F6714" w:rsidRPr="00C8422B" w:rsidRDefault="000F6714" w:rsidP="000F6714">
      <w:pPr>
        <w:spacing w:before="120" w:after="0" w:line="276" w:lineRule="auto"/>
        <w:ind w:firstLine="708"/>
        <w:jc w:val="both"/>
        <w:textAlignment w:val="baseline"/>
        <w:rPr>
          <w:rFonts w:ascii="Century Gothic" w:hAnsi="Century Gothic" w:cs="Arial"/>
          <w:shd w:val="clear" w:color="auto" w:fill="FFFFFF"/>
        </w:rPr>
      </w:pPr>
      <w:r w:rsidRPr="001E3D01">
        <w:rPr>
          <w:rFonts w:ascii="Century Gothic" w:hAnsi="Century Gothic" w:cs="Arial"/>
          <w:shd w:val="clear" w:color="auto" w:fill="FFFFFF"/>
        </w:rPr>
        <w:t>Este principio está desarrollado en el Decreto 1082 de 2015, el cual establece los plazos dentro de los cuales los interesados podrán realizar observaciones en las actuaciones adelantadas a instancia de las Entidades Estatales en sus procesos de contratación. Dichos plazos podrán ampliarse, más no restringirse por las entidades, dependiendo del procedimiento de selección.</w:t>
      </w:r>
      <w:r>
        <w:rPr>
          <w:rFonts w:ascii="Century Gothic" w:hAnsi="Century Gothic" w:cs="Arial"/>
          <w:shd w:val="clear" w:color="auto" w:fill="FFFFFF"/>
        </w:rPr>
        <w:t xml:space="preserve"> Así pues, dicha participación se </w:t>
      </w:r>
      <w:r w:rsidRPr="00C8422B">
        <w:rPr>
          <w:rFonts w:ascii="Century Gothic" w:hAnsi="Century Gothic" w:cs="Arial"/>
          <w:shd w:val="clear" w:color="auto" w:fill="FFFFFF"/>
        </w:rPr>
        <w:t>materializa en la oportunidad concedida para presentar observaciones</w:t>
      </w:r>
      <w:r>
        <w:rPr>
          <w:rFonts w:ascii="Century Gothic" w:hAnsi="Century Gothic" w:cs="Arial"/>
          <w:shd w:val="clear" w:color="auto" w:fill="FFFFFF"/>
        </w:rPr>
        <w:t xml:space="preserve"> y, la </w:t>
      </w:r>
      <w:r>
        <w:rPr>
          <w:rFonts w:ascii="Century Gothic" w:hAnsi="Century Gothic" w:cs="Arial"/>
          <w:shd w:val="clear" w:color="auto" w:fill="FFFFFF"/>
        </w:rPr>
        <w:lastRenderedPageBreak/>
        <w:t>resolución de aquellas,</w:t>
      </w:r>
      <w:r w:rsidRPr="00C8422B">
        <w:rPr>
          <w:rFonts w:ascii="Century Gothic" w:hAnsi="Century Gothic" w:cs="Arial"/>
          <w:shd w:val="clear" w:color="auto" w:fill="FFFFFF"/>
        </w:rPr>
        <w:t xml:space="preserve"> en las distintas etapas o fases del proceso, que culmina con la celebración del contrato estatal, lo cual busca salvaguardar también, el ejercicio del derecho de contradicción en las actuaciones administrativa</w:t>
      </w:r>
      <w:r>
        <w:rPr>
          <w:rFonts w:ascii="Century Gothic" w:hAnsi="Century Gothic" w:cs="Arial"/>
          <w:shd w:val="clear" w:color="auto" w:fill="FFFFFF"/>
        </w:rPr>
        <w:t>s.</w:t>
      </w:r>
    </w:p>
    <w:p w14:paraId="0D163DE6" w14:textId="77777777" w:rsidR="00D74738" w:rsidRPr="00D82A1E" w:rsidRDefault="00D74738" w:rsidP="00D74738">
      <w:pPr>
        <w:spacing w:after="0" w:line="276" w:lineRule="auto"/>
        <w:jc w:val="both"/>
        <w:rPr>
          <w:rFonts w:ascii="Century Gothic" w:eastAsia="Arial" w:hAnsi="Century Gothic" w:cs="Arial"/>
        </w:rPr>
      </w:pPr>
    </w:p>
    <w:p w14:paraId="130AA589" w14:textId="77777777" w:rsidR="00490794" w:rsidRPr="00D82A1E" w:rsidRDefault="00490794" w:rsidP="00490794">
      <w:pPr>
        <w:widowControl w:val="0"/>
        <w:autoSpaceDE w:val="0"/>
        <w:autoSpaceDN w:val="0"/>
        <w:spacing w:after="0" w:line="276" w:lineRule="auto"/>
        <w:jc w:val="both"/>
        <w:rPr>
          <w:rFonts w:ascii="Century Gothic" w:hAnsi="Century Gothic" w:cs="Arial"/>
          <w:lang w:val="es-ES_tradnl" w:bidi="es-ES"/>
        </w:rPr>
      </w:pPr>
      <w:r w:rsidRPr="00D82A1E">
        <w:rPr>
          <w:rFonts w:ascii="Century Gothic" w:hAnsi="Century Gothic" w:cs="Arial"/>
          <w:lang w:val="es-ES_tradnl"/>
        </w:rPr>
        <w:t>Este concepto tiene el alcance previsto en el artículo 28 del Código de Procedimiento Administrativo y de lo Contencioso Administrativo.</w:t>
      </w:r>
    </w:p>
    <w:p w14:paraId="1A7D220F" w14:textId="77777777" w:rsidR="00490794" w:rsidRPr="00D82A1E" w:rsidRDefault="00490794" w:rsidP="00490794">
      <w:pPr>
        <w:widowControl w:val="0"/>
        <w:autoSpaceDE w:val="0"/>
        <w:autoSpaceDN w:val="0"/>
        <w:spacing w:after="0" w:line="276" w:lineRule="auto"/>
        <w:jc w:val="both"/>
        <w:rPr>
          <w:rFonts w:ascii="Century Gothic" w:hAnsi="Century Gothic" w:cs="Arial"/>
          <w:lang w:val="es-ES_tradnl" w:bidi="es-ES"/>
        </w:rPr>
      </w:pPr>
    </w:p>
    <w:p w14:paraId="4D905025" w14:textId="77777777" w:rsidR="00490794" w:rsidRPr="00D82A1E" w:rsidRDefault="00490794" w:rsidP="00490794">
      <w:pPr>
        <w:tabs>
          <w:tab w:val="left" w:pos="426"/>
        </w:tabs>
        <w:spacing w:line="276" w:lineRule="auto"/>
        <w:jc w:val="both"/>
        <w:rPr>
          <w:rFonts w:ascii="Century Gothic" w:eastAsia="Times New Roman" w:hAnsi="Century Gothic" w:cs="Arial"/>
        </w:rPr>
      </w:pPr>
      <w:r w:rsidRPr="00D82A1E">
        <w:rPr>
          <w:rFonts w:ascii="Century Gothic" w:eastAsia="Times New Roman" w:hAnsi="Century Gothic" w:cs="Arial"/>
        </w:rPr>
        <w:t>Atentamente,</w:t>
      </w:r>
    </w:p>
    <w:p w14:paraId="345F8C36" w14:textId="036901BE" w:rsidR="00490794" w:rsidRPr="00D82A1E" w:rsidRDefault="005B36CF" w:rsidP="00490794">
      <w:pPr>
        <w:jc w:val="center"/>
        <w:rPr>
          <w:rFonts w:ascii="Century Gothic" w:eastAsia="Times New Roman" w:hAnsi="Century Gothic" w:cs="Arial"/>
          <w:lang w:eastAsia="es-CO"/>
        </w:rPr>
      </w:pPr>
      <w:r>
        <w:rPr>
          <w:rStyle w:val="wacimagecontainer"/>
          <w:rFonts w:ascii="Segoe UI" w:hAnsi="Segoe UI" w:cs="Segoe UI"/>
          <w:noProof/>
          <w:color w:val="000000"/>
          <w:sz w:val="18"/>
          <w:szCs w:val="18"/>
          <w:shd w:val="clear" w:color="auto" w:fill="FFFFFF"/>
        </w:rPr>
        <w:drawing>
          <wp:inline distT="0" distB="0" distL="0" distR="0" wp14:anchorId="4C6527FF" wp14:editId="2960D8C7">
            <wp:extent cx="3152775" cy="1209675"/>
            <wp:effectExtent l="0" t="0" r="9525" b="9525"/>
            <wp:docPr id="136871495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r>
        <w:rPr>
          <w:rFonts w:ascii="Calibri" w:hAnsi="Calibri" w:cs="Calibri"/>
          <w:color w:val="000000"/>
          <w:shd w:val="clear" w:color="auto" w:fill="FFFFFF"/>
        </w:rPr>
        <w:br/>
      </w:r>
      <w:r w:rsidR="00E76D1E">
        <w:rPr>
          <w:rFonts w:ascii="Calibri" w:hAnsi="Calibri" w:cs="Calibri"/>
          <w:color w:val="000000"/>
          <w:shd w:val="clear" w:color="auto" w:fill="FFFFFF"/>
        </w:rPr>
        <w:br/>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490794" w:rsidRPr="00D82A1E" w14:paraId="43B47564" w14:textId="77777777" w:rsidTr="009F68B5">
        <w:trPr>
          <w:trHeight w:val="409"/>
        </w:trPr>
        <w:tc>
          <w:tcPr>
            <w:tcW w:w="817" w:type="dxa"/>
            <w:tcBorders>
              <w:top w:val="nil"/>
              <w:left w:val="nil"/>
              <w:bottom w:val="nil"/>
              <w:right w:val="nil"/>
            </w:tcBorders>
            <w:vAlign w:val="center"/>
            <w:hideMark/>
          </w:tcPr>
          <w:p w14:paraId="5092B541" w14:textId="77777777" w:rsidR="00490794" w:rsidRPr="00D82A1E" w:rsidRDefault="00490794" w:rsidP="009F68B5">
            <w:pPr>
              <w:spacing w:after="0" w:line="240" w:lineRule="auto"/>
              <w:jc w:val="both"/>
              <w:rPr>
                <w:rFonts w:ascii="Century Gothic" w:hAnsi="Century Gothic" w:cs="Arial"/>
                <w:sz w:val="16"/>
                <w:szCs w:val="16"/>
              </w:rPr>
            </w:pPr>
            <w:r w:rsidRPr="00D82A1E">
              <w:rPr>
                <w:rFonts w:ascii="Century Gothic" w:hAnsi="Century Gothic"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27405CF3" w14:textId="77777777" w:rsidR="00490794" w:rsidRPr="00D82A1E" w:rsidRDefault="00490794" w:rsidP="009F68B5">
            <w:pPr>
              <w:spacing w:after="0" w:line="240" w:lineRule="auto"/>
              <w:jc w:val="both"/>
              <w:rPr>
                <w:rFonts w:ascii="Century Gothic" w:hAnsi="Century Gothic" w:cs="Arial"/>
                <w:sz w:val="16"/>
                <w:szCs w:val="16"/>
              </w:rPr>
            </w:pPr>
            <w:r w:rsidRPr="00D82A1E">
              <w:rPr>
                <w:rFonts w:ascii="Century Gothic" w:hAnsi="Century Gothic" w:cs="Arial"/>
                <w:sz w:val="16"/>
                <w:szCs w:val="16"/>
              </w:rPr>
              <w:t>Nasly Yeana Mosquera Rivas</w:t>
            </w:r>
          </w:p>
          <w:p w14:paraId="6B3AA40D" w14:textId="77777777" w:rsidR="00490794" w:rsidRPr="00D82A1E" w:rsidRDefault="00490794" w:rsidP="009F68B5">
            <w:pPr>
              <w:spacing w:after="0" w:line="240" w:lineRule="auto"/>
              <w:jc w:val="both"/>
              <w:rPr>
                <w:rFonts w:ascii="Century Gothic" w:hAnsi="Century Gothic" w:cs="Arial"/>
                <w:sz w:val="16"/>
                <w:szCs w:val="16"/>
              </w:rPr>
            </w:pPr>
            <w:r w:rsidRPr="00D82A1E">
              <w:rPr>
                <w:rFonts w:ascii="Century Gothic" w:hAnsi="Century Gothic" w:cs="Arial"/>
                <w:sz w:val="16"/>
                <w:szCs w:val="16"/>
              </w:rPr>
              <w:t>Analista T2 – 06 de la Subdirección de Gestión Contractual</w:t>
            </w:r>
          </w:p>
        </w:tc>
      </w:tr>
      <w:tr w:rsidR="00490794" w:rsidRPr="00D82A1E" w14:paraId="0967450C" w14:textId="77777777" w:rsidTr="009F68B5">
        <w:trPr>
          <w:trHeight w:val="409"/>
        </w:trPr>
        <w:tc>
          <w:tcPr>
            <w:tcW w:w="817" w:type="dxa"/>
            <w:tcBorders>
              <w:top w:val="nil"/>
              <w:left w:val="nil"/>
              <w:right w:val="nil"/>
            </w:tcBorders>
            <w:vAlign w:val="center"/>
          </w:tcPr>
          <w:p w14:paraId="7D08621A" w14:textId="77777777" w:rsidR="00490794" w:rsidRPr="00D82A1E" w:rsidRDefault="00490794" w:rsidP="009F68B5">
            <w:pPr>
              <w:jc w:val="both"/>
              <w:rPr>
                <w:rFonts w:ascii="Century Gothic" w:hAnsi="Century Gothic" w:cs="Arial"/>
                <w:sz w:val="16"/>
                <w:szCs w:val="16"/>
              </w:rPr>
            </w:pPr>
            <w:r w:rsidRPr="00D82A1E">
              <w:rPr>
                <w:rFonts w:ascii="Century Gothic" w:hAnsi="Century Gothic"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2D7DEF13" w14:textId="00B369BA" w:rsidR="00AC17A8" w:rsidRPr="00AC17A8" w:rsidRDefault="00AC17A8" w:rsidP="00AC17A8">
            <w:pPr>
              <w:spacing w:after="0" w:line="240" w:lineRule="auto"/>
              <w:jc w:val="both"/>
              <w:rPr>
                <w:rFonts w:ascii="Century Gothic" w:hAnsi="Century Gothic" w:cs="Arial"/>
                <w:sz w:val="16"/>
                <w:szCs w:val="16"/>
              </w:rPr>
            </w:pPr>
            <w:r>
              <w:rPr>
                <w:rFonts w:ascii="Century Gothic" w:hAnsi="Century Gothic" w:cs="Arial"/>
                <w:sz w:val="16"/>
                <w:szCs w:val="16"/>
              </w:rPr>
              <w:t>A</w:t>
            </w:r>
            <w:r w:rsidRPr="00AC17A8">
              <w:rPr>
                <w:rFonts w:ascii="Century Gothic" w:hAnsi="Century Gothic" w:cs="Arial"/>
                <w:sz w:val="16"/>
                <w:szCs w:val="16"/>
              </w:rPr>
              <w:t xml:space="preserve">lejandro Sarmiento Cantillo </w:t>
            </w:r>
          </w:p>
          <w:p w14:paraId="6DF920AB" w14:textId="43BF9CAC" w:rsidR="00490794" w:rsidRPr="00D82A1E" w:rsidRDefault="00AC17A8" w:rsidP="00AC17A8">
            <w:pPr>
              <w:spacing w:after="0" w:line="240" w:lineRule="auto"/>
              <w:jc w:val="both"/>
              <w:rPr>
                <w:rFonts w:ascii="Century Gothic" w:hAnsi="Century Gothic" w:cs="Arial"/>
                <w:sz w:val="16"/>
                <w:szCs w:val="16"/>
              </w:rPr>
            </w:pPr>
            <w:r w:rsidRPr="00AC17A8">
              <w:rPr>
                <w:rFonts w:ascii="Century Gothic" w:hAnsi="Century Gothic" w:cs="Arial"/>
                <w:sz w:val="16"/>
                <w:szCs w:val="16"/>
              </w:rPr>
              <w:t>Gesto T1 – 15 de la Subdirección de Gestión Contractual</w:t>
            </w:r>
          </w:p>
        </w:tc>
      </w:tr>
      <w:tr w:rsidR="00490794" w:rsidRPr="00D82A1E" w14:paraId="7C8ED81C" w14:textId="77777777" w:rsidTr="009F68B5">
        <w:trPr>
          <w:trHeight w:val="389"/>
        </w:trPr>
        <w:tc>
          <w:tcPr>
            <w:tcW w:w="817" w:type="dxa"/>
            <w:tcBorders>
              <w:top w:val="nil"/>
              <w:left w:val="nil"/>
              <w:bottom w:val="nil"/>
              <w:right w:val="nil"/>
            </w:tcBorders>
            <w:vAlign w:val="center"/>
            <w:hideMark/>
          </w:tcPr>
          <w:p w14:paraId="59D099D3" w14:textId="77777777" w:rsidR="00490794" w:rsidRPr="00D82A1E" w:rsidRDefault="00490794" w:rsidP="009F68B5">
            <w:pPr>
              <w:spacing w:after="0" w:line="240" w:lineRule="auto"/>
              <w:jc w:val="both"/>
              <w:rPr>
                <w:rFonts w:ascii="Century Gothic" w:hAnsi="Century Gothic" w:cs="Arial"/>
                <w:sz w:val="16"/>
                <w:szCs w:val="16"/>
              </w:rPr>
            </w:pPr>
            <w:r w:rsidRPr="00D82A1E">
              <w:rPr>
                <w:rFonts w:ascii="Century Gothic" w:hAnsi="Century Gothic"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32AA23E5" w14:textId="77777777" w:rsidR="00490794" w:rsidRPr="00D82A1E" w:rsidRDefault="00490794" w:rsidP="009F68B5">
            <w:pPr>
              <w:spacing w:after="0" w:line="240" w:lineRule="auto"/>
              <w:jc w:val="both"/>
              <w:rPr>
                <w:rFonts w:ascii="Century Gothic" w:hAnsi="Century Gothic" w:cs="Arial"/>
                <w:sz w:val="16"/>
                <w:szCs w:val="16"/>
              </w:rPr>
            </w:pPr>
            <w:r w:rsidRPr="00D82A1E">
              <w:rPr>
                <w:rFonts w:ascii="Century Gothic" w:hAnsi="Century Gothic" w:cs="Arial"/>
                <w:sz w:val="16"/>
                <w:szCs w:val="16"/>
              </w:rPr>
              <w:t xml:space="preserve">Nohelia del Carmen </w:t>
            </w:r>
            <w:proofErr w:type="spellStart"/>
            <w:r w:rsidRPr="00D82A1E">
              <w:rPr>
                <w:rFonts w:ascii="Century Gothic" w:hAnsi="Century Gothic" w:cs="Arial"/>
                <w:sz w:val="16"/>
                <w:szCs w:val="16"/>
              </w:rPr>
              <w:t>Zawady</w:t>
            </w:r>
            <w:proofErr w:type="spellEnd"/>
            <w:r w:rsidRPr="00D82A1E">
              <w:rPr>
                <w:rFonts w:ascii="Century Gothic" w:hAnsi="Century Gothic" w:cs="Arial"/>
                <w:sz w:val="16"/>
                <w:szCs w:val="16"/>
              </w:rPr>
              <w:t xml:space="preserve"> Palacio</w:t>
            </w:r>
          </w:p>
          <w:p w14:paraId="442FE5C7" w14:textId="77777777" w:rsidR="00490794" w:rsidRPr="00D82A1E" w:rsidRDefault="00490794" w:rsidP="009F68B5">
            <w:pPr>
              <w:spacing w:after="0" w:line="240" w:lineRule="auto"/>
              <w:jc w:val="both"/>
              <w:rPr>
                <w:rFonts w:ascii="Century Gothic" w:hAnsi="Century Gothic" w:cs="Arial"/>
                <w:sz w:val="16"/>
                <w:szCs w:val="16"/>
              </w:rPr>
            </w:pPr>
            <w:r w:rsidRPr="00D82A1E">
              <w:rPr>
                <w:rFonts w:ascii="Century Gothic" w:hAnsi="Century Gothic" w:cs="Arial"/>
                <w:sz w:val="16"/>
                <w:szCs w:val="16"/>
              </w:rPr>
              <w:t>Subdirectora de Gestión Contractual ANCP - CCE</w:t>
            </w:r>
          </w:p>
        </w:tc>
      </w:tr>
      <w:bookmarkEnd w:id="2"/>
    </w:tbl>
    <w:p w14:paraId="113C075B" w14:textId="77777777" w:rsidR="00490794" w:rsidRPr="00490794" w:rsidRDefault="00490794" w:rsidP="000C01C4"/>
    <w:sectPr w:rsidR="00490794" w:rsidRPr="00490794" w:rsidSect="00022B43">
      <w:headerReference w:type="default" r:id="rId13"/>
      <w:footerReference w:type="default" r:id="rId14"/>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D274E" w14:textId="77777777" w:rsidR="00022B43" w:rsidRDefault="00022B43" w:rsidP="00490794">
      <w:pPr>
        <w:spacing w:after="0" w:line="240" w:lineRule="auto"/>
      </w:pPr>
      <w:r>
        <w:separator/>
      </w:r>
    </w:p>
  </w:endnote>
  <w:endnote w:type="continuationSeparator" w:id="0">
    <w:p w14:paraId="463F13EC" w14:textId="77777777" w:rsidR="00022B43" w:rsidRDefault="00022B43" w:rsidP="00490794">
      <w:pPr>
        <w:spacing w:after="0" w:line="240" w:lineRule="auto"/>
      </w:pPr>
      <w:r>
        <w:continuationSeparator/>
      </w:r>
    </w:p>
  </w:endnote>
  <w:endnote w:type="continuationNotice" w:id="1">
    <w:p w14:paraId="08526B1B" w14:textId="77777777" w:rsidR="00022B43" w:rsidRDefault="00022B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9836" w14:textId="77777777" w:rsidR="005E1787" w:rsidRDefault="00BF5105">
    <w:pPr>
      <w:pStyle w:val="Piedepgina"/>
    </w:pPr>
    <w:r>
      <w:rPr>
        <w:noProof/>
      </w:rPr>
      <w:drawing>
        <wp:inline distT="0" distB="0" distL="0" distR="0" wp14:anchorId="2F0526E2" wp14:editId="73B171B5">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79642323" wp14:editId="11A4F59F">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7776334"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7DF628A1" w14:textId="77777777" w:rsidR="005E1787" w:rsidRPr="003F3941" w:rsidRDefault="00BF5105" w:rsidP="00322A85">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6781A099" w14:textId="77777777" w:rsidR="005E1787" w:rsidRPr="003F3941" w:rsidRDefault="00BF5105"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72FAEE03" w14:textId="77777777" w:rsidR="005E1787" w:rsidRPr="003F3941" w:rsidRDefault="00BF5105" w:rsidP="00FC2B5D">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31</w:t>
          </w:r>
          <w:r w:rsidRPr="003F3941">
            <w:rPr>
              <w:rFonts w:ascii="Century Gothic" w:hAnsi="Century Gothic"/>
              <w:sz w:val="16"/>
              <w:szCs w:val="16"/>
            </w:rPr>
            <w:t xml:space="preserve"> DE </w:t>
          </w:r>
          <w:r>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F89E087" w14:textId="77777777" w:rsidR="005E1787" w:rsidRPr="003F3941" w:rsidRDefault="00BF5105"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2</w:t>
          </w:r>
          <w:r w:rsidRPr="003F3941">
            <w:rPr>
              <w:rFonts w:ascii="Century Gothic" w:hAnsi="Century Gothic"/>
              <w:b/>
              <w:bCs/>
              <w:sz w:val="16"/>
              <w:szCs w:val="16"/>
            </w:rPr>
            <w:fldChar w:fldCharType="end"/>
          </w:r>
        </w:p>
      </w:tc>
    </w:tr>
  </w:tbl>
  <w:p w14:paraId="0A25724C" w14:textId="77777777" w:rsidR="005E1787" w:rsidRDefault="005E1787"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35D7F" w14:textId="77777777" w:rsidR="00022B43" w:rsidRDefault="00022B43" w:rsidP="00490794">
      <w:pPr>
        <w:spacing w:after="0" w:line="240" w:lineRule="auto"/>
      </w:pPr>
      <w:r>
        <w:separator/>
      </w:r>
    </w:p>
  </w:footnote>
  <w:footnote w:type="continuationSeparator" w:id="0">
    <w:p w14:paraId="09AB28B0" w14:textId="77777777" w:rsidR="00022B43" w:rsidRDefault="00022B43" w:rsidP="00490794">
      <w:pPr>
        <w:spacing w:after="0" w:line="240" w:lineRule="auto"/>
      </w:pPr>
      <w:r>
        <w:continuationSeparator/>
      </w:r>
    </w:p>
  </w:footnote>
  <w:footnote w:type="continuationNotice" w:id="1">
    <w:p w14:paraId="11306180" w14:textId="77777777" w:rsidR="00022B43" w:rsidRDefault="00022B43">
      <w:pPr>
        <w:spacing w:after="0" w:line="240" w:lineRule="auto"/>
      </w:pPr>
    </w:p>
  </w:footnote>
  <w:footnote w:id="2">
    <w:p w14:paraId="4E31D041" w14:textId="77777777" w:rsidR="00490794" w:rsidRPr="00936529" w:rsidRDefault="00490794" w:rsidP="00936529">
      <w:pPr>
        <w:pStyle w:val="Textonotapie"/>
        <w:ind w:firstLine="708"/>
        <w:jc w:val="both"/>
        <w:rPr>
          <w:rFonts w:ascii="Century Gothic" w:hAnsi="Century Gothic" w:cs="Arial"/>
          <w:sz w:val="18"/>
          <w:szCs w:val="18"/>
          <w:lang w:val="es-ES"/>
        </w:rPr>
      </w:pPr>
      <w:r w:rsidRPr="00936529">
        <w:rPr>
          <w:rStyle w:val="Refdenotaalpie"/>
          <w:rFonts w:ascii="Century Gothic" w:hAnsi="Century Gothic" w:cs="Arial"/>
          <w:sz w:val="18"/>
          <w:szCs w:val="18"/>
        </w:rPr>
        <w:footnoteRef/>
      </w:r>
      <w:r w:rsidRPr="00936529">
        <w:rPr>
          <w:rFonts w:ascii="Century Gothic" w:hAnsi="Century Gothic" w:cs="Arial"/>
          <w:sz w:val="18"/>
          <w:szCs w:val="18"/>
        </w:rPr>
        <w:t xml:space="preserve"> La Agencia Nacional de Contratación Pública </w:t>
      </w:r>
      <w:r w:rsidRPr="00936529">
        <w:rPr>
          <w:rFonts w:ascii="Arial" w:hAnsi="Arial" w:cs="Arial"/>
          <w:sz w:val="18"/>
          <w:szCs w:val="18"/>
        </w:rPr>
        <w:t>‒</w:t>
      </w:r>
      <w:r w:rsidRPr="00936529">
        <w:rPr>
          <w:rFonts w:ascii="Century Gothic" w:hAnsi="Century Gothic" w:cs="Arial"/>
          <w:sz w:val="18"/>
          <w:szCs w:val="18"/>
        </w:rPr>
        <w:t xml:space="preserve"> Colombia Compra Eficiente fue creada por el Decreto Ley 4170 de 2011. Su objetivo es servir como ente rector de la pol</w:t>
      </w:r>
      <w:r w:rsidRPr="00936529">
        <w:rPr>
          <w:rFonts w:ascii="Century Gothic" w:hAnsi="Century Gothic" w:cs="Century Gothic"/>
          <w:sz w:val="18"/>
          <w:szCs w:val="18"/>
        </w:rPr>
        <w:t>í</w:t>
      </w:r>
      <w:r w:rsidRPr="00936529">
        <w:rPr>
          <w:rFonts w:ascii="Century Gothic" w:hAnsi="Century Gothic" w:cs="Arial"/>
          <w:sz w:val="18"/>
          <w:szCs w:val="18"/>
        </w:rPr>
        <w:t>tica de compras y contrataci</w:t>
      </w:r>
      <w:r w:rsidRPr="00936529">
        <w:rPr>
          <w:rFonts w:ascii="Century Gothic" w:hAnsi="Century Gothic" w:cs="Century Gothic"/>
          <w:sz w:val="18"/>
          <w:szCs w:val="18"/>
        </w:rPr>
        <w:t>ó</w:t>
      </w:r>
      <w:r w:rsidRPr="00936529">
        <w:rPr>
          <w:rFonts w:ascii="Century Gothic" w:hAnsi="Century Gothic" w:cs="Arial"/>
          <w:sz w:val="18"/>
          <w:szCs w:val="18"/>
        </w:rPr>
        <w:t xml:space="preserve">n del Estado. Para tales fines, como </w:t>
      </w:r>
      <w:r w:rsidRPr="00936529">
        <w:rPr>
          <w:rFonts w:ascii="Century Gothic" w:hAnsi="Century Gothic" w:cs="Century Gothic"/>
          <w:sz w:val="18"/>
          <w:szCs w:val="18"/>
        </w:rPr>
        <w:t>ó</w:t>
      </w:r>
      <w:r w:rsidRPr="00936529">
        <w:rPr>
          <w:rFonts w:ascii="Century Gothic" w:hAnsi="Century Gothic" w:cs="Arial"/>
          <w:sz w:val="18"/>
          <w:szCs w:val="18"/>
        </w:rPr>
        <w:t>rgano t</w:t>
      </w:r>
      <w:r w:rsidRPr="00936529">
        <w:rPr>
          <w:rFonts w:ascii="Century Gothic" w:hAnsi="Century Gothic" w:cs="Century Gothic"/>
          <w:sz w:val="18"/>
          <w:szCs w:val="18"/>
        </w:rPr>
        <w:t>é</w:t>
      </w:r>
      <w:r w:rsidRPr="00936529">
        <w:rPr>
          <w:rFonts w:ascii="Century Gothic" w:hAnsi="Century Gothic" w:cs="Arial"/>
          <w:sz w:val="18"/>
          <w:szCs w:val="18"/>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936529">
        <w:rPr>
          <w:rFonts w:ascii="Century Gothic" w:hAnsi="Century Gothic" w:cs="Arial"/>
          <w:i/>
          <w:iCs/>
          <w:sz w:val="18"/>
          <w:szCs w:val="18"/>
        </w:rPr>
        <w:t xml:space="preserve">ibidem </w:t>
      </w:r>
      <w:r w:rsidRPr="00936529">
        <w:rPr>
          <w:rFonts w:ascii="Century Gothic" w:hAnsi="Century Gothic" w:cs="Arial"/>
          <w:sz w:val="18"/>
          <w:szCs w:val="18"/>
        </w:rPr>
        <w:t>señala, de manera precisa, las funciones de Colombia Compra Eficiente. Concretamente, el numeral 5º de este artículo establece que le corresponde a esta entidad: “[a]</w:t>
      </w:r>
      <w:proofErr w:type="spellStart"/>
      <w:r w:rsidRPr="00936529">
        <w:rPr>
          <w:rFonts w:ascii="Century Gothic" w:hAnsi="Century Gothic" w:cs="Arial"/>
          <w:sz w:val="18"/>
          <w:szCs w:val="18"/>
        </w:rPr>
        <w:t>bsolver</w:t>
      </w:r>
      <w:proofErr w:type="spellEnd"/>
      <w:r w:rsidRPr="00936529">
        <w:rPr>
          <w:rFonts w:ascii="Century Gothic" w:hAnsi="Century Gothic" w:cs="Arial"/>
          <w:sz w:val="18"/>
          <w:szCs w:val="18"/>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936529">
        <w:rPr>
          <w:rFonts w:ascii="Century Gothic" w:hAnsi="Century Gothic" w:cs="Arial"/>
          <w:sz w:val="18"/>
          <w:szCs w:val="18"/>
        </w:rPr>
        <w:t>bsolver</w:t>
      </w:r>
      <w:proofErr w:type="spellEnd"/>
      <w:r w:rsidRPr="00936529">
        <w:rPr>
          <w:rFonts w:ascii="Century Gothic" w:hAnsi="Century Gothic" w:cs="Arial"/>
          <w:sz w:val="18"/>
          <w:szCs w:val="18"/>
        </w:rPr>
        <w:t xml:space="preserve"> consultas sobre la aplicación de normas de carácter general”.</w:t>
      </w:r>
    </w:p>
  </w:footnote>
  <w:footnote w:id="3">
    <w:p w14:paraId="680F2281" w14:textId="7F63563F" w:rsidR="00490794" w:rsidRPr="00936529" w:rsidRDefault="00490794" w:rsidP="00936529">
      <w:pPr>
        <w:pStyle w:val="Textonotapie"/>
        <w:ind w:firstLine="708"/>
        <w:jc w:val="both"/>
        <w:rPr>
          <w:rFonts w:ascii="Century Gothic" w:hAnsi="Century Gothic" w:cs="Arial"/>
          <w:sz w:val="18"/>
          <w:szCs w:val="18"/>
          <w:shd w:val="clear" w:color="auto" w:fill="E6E6E6"/>
        </w:rPr>
      </w:pPr>
      <w:r w:rsidRPr="00936529">
        <w:rPr>
          <w:rStyle w:val="Refdenotaalpie"/>
          <w:rFonts w:ascii="Century Gothic" w:hAnsi="Century Gothic" w:cs="Arial"/>
          <w:sz w:val="18"/>
          <w:szCs w:val="18"/>
        </w:rPr>
        <w:footnoteRef/>
      </w:r>
      <w:r w:rsidRPr="00936529">
        <w:rPr>
          <w:rFonts w:ascii="Century Gothic" w:hAnsi="Century Gothic"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936529">
          <w:rPr>
            <w:rStyle w:val="Hipervnculo"/>
            <w:rFonts w:ascii="Century Gothic" w:hAnsi="Century Gothic" w:cs="Arial"/>
            <w:sz w:val="18"/>
            <w:szCs w:val="18"/>
          </w:rPr>
          <w:t>https://relatoria.colombiacompra.gov.co/busqueda/conceptos</w:t>
        </w:r>
      </w:hyperlink>
      <w:r w:rsidRPr="00936529">
        <w:rPr>
          <w:rStyle w:val="Hipervnculo"/>
          <w:rFonts w:ascii="Century Gothic" w:hAnsi="Century Gothic" w:cs="Arial"/>
          <w:sz w:val="18"/>
          <w:szCs w:val="18"/>
        </w:rPr>
        <w:t xml:space="preserve">. </w:t>
      </w:r>
      <w:r w:rsidRPr="00936529">
        <w:rPr>
          <w:rFonts w:ascii="Century Gothic" w:hAnsi="Century Gothic" w:cs="Arial"/>
          <w:sz w:val="18"/>
          <w:szCs w:val="18"/>
          <w:shd w:val="clear" w:color="auto" w:fill="E6E6E6"/>
        </w:rPr>
        <w:t xml:space="preserve"> </w:t>
      </w:r>
    </w:p>
    <w:p w14:paraId="4A604F36" w14:textId="77777777" w:rsidR="00AE4C3E" w:rsidRPr="00936529" w:rsidRDefault="00AE4C3E" w:rsidP="00936529">
      <w:pPr>
        <w:pStyle w:val="Textonotapie"/>
        <w:ind w:firstLine="708"/>
        <w:jc w:val="both"/>
        <w:rPr>
          <w:rFonts w:ascii="Century Gothic" w:hAnsi="Century Gothic" w:cs="Arial"/>
          <w:sz w:val="18"/>
          <w:szCs w:val="18"/>
        </w:rPr>
      </w:pPr>
    </w:p>
  </w:footnote>
  <w:footnote w:id="4">
    <w:p w14:paraId="06253A6F" w14:textId="77777777" w:rsidR="008F3537" w:rsidRPr="00936529" w:rsidRDefault="008F3537" w:rsidP="00936529">
      <w:pPr>
        <w:pStyle w:val="Textonotapie"/>
        <w:ind w:firstLine="708"/>
        <w:jc w:val="both"/>
        <w:rPr>
          <w:rFonts w:ascii="Century Gothic" w:hAnsi="Century Gothic" w:cs="Arial"/>
          <w:sz w:val="18"/>
          <w:szCs w:val="18"/>
        </w:rPr>
      </w:pPr>
      <w:r w:rsidRPr="00936529">
        <w:rPr>
          <w:rStyle w:val="Refdenotaalpie"/>
          <w:rFonts w:ascii="Century Gothic" w:hAnsi="Century Gothic" w:cs="Arial"/>
          <w:sz w:val="18"/>
          <w:szCs w:val="18"/>
        </w:rPr>
        <w:footnoteRef/>
      </w:r>
      <w:r w:rsidRPr="00936529">
        <w:rPr>
          <w:rFonts w:ascii="Century Gothic" w:hAnsi="Century Gothic" w:cs="Arial"/>
          <w:sz w:val="18"/>
          <w:szCs w:val="18"/>
        </w:rPr>
        <w:t xml:space="preserve"> Este monto fue publicado por la Agencia Nacional de Contratación Pública – Colombia Compra Eficiente, de acuerdo con la información remitida por el Ministerio de Comercio Industria y Turismo, disponible en el siguiente enlace: </w:t>
      </w:r>
      <w:hyperlink r:id="rId2" w:history="1">
        <w:r w:rsidRPr="00936529">
          <w:rPr>
            <w:rStyle w:val="Hipervnculo1"/>
            <w:rFonts w:ascii="Century Gothic" w:hAnsi="Century Gothic" w:cs="Arial"/>
            <w:color w:val="000000"/>
            <w:sz w:val="18"/>
            <w:szCs w:val="18"/>
          </w:rPr>
          <w:t>https://www.colombiacompra.gov.co/sites/cce_public/files/files_2020/vf_umbrales_actualizaciones_2022_-_2023_1.pdf</w:t>
        </w:r>
      </w:hyperlink>
      <w:r w:rsidRPr="00936529">
        <w:rPr>
          <w:rFonts w:ascii="Century Gothic" w:hAnsi="Century Gothic" w:cs="Arial"/>
          <w:color w:val="000000"/>
          <w:sz w:val="18"/>
          <w:szCs w:val="18"/>
        </w:rPr>
        <w:t xml:space="preserve">. </w:t>
      </w:r>
      <w:r w:rsidRPr="00936529">
        <w:rPr>
          <w:rFonts w:ascii="Century Gothic" w:hAnsi="Century Gothic" w:cs="Arial"/>
          <w:sz w:val="18"/>
          <w:szCs w:val="18"/>
        </w:rPr>
        <w:t>Allí se señala que el monto corresponde a $ 457.297.264.</w:t>
      </w:r>
    </w:p>
  </w:footnote>
  <w:footnote w:id="5">
    <w:p w14:paraId="057D08EE" w14:textId="77777777" w:rsidR="002A190F" w:rsidRPr="00936529" w:rsidRDefault="002A190F" w:rsidP="00936529">
      <w:pPr>
        <w:pStyle w:val="Textonotapie"/>
        <w:ind w:firstLine="708"/>
        <w:jc w:val="both"/>
        <w:rPr>
          <w:rFonts w:ascii="Century Gothic" w:hAnsi="Century Gothic" w:cs="Arial"/>
          <w:sz w:val="18"/>
          <w:szCs w:val="18"/>
        </w:rPr>
      </w:pPr>
    </w:p>
    <w:p w14:paraId="28CC3707" w14:textId="77777777" w:rsidR="002A190F" w:rsidRPr="00936529" w:rsidRDefault="002A190F" w:rsidP="00936529">
      <w:pPr>
        <w:pStyle w:val="Textonotapie"/>
        <w:ind w:firstLine="708"/>
        <w:jc w:val="both"/>
        <w:rPr>
          <w:rFonts w:ascii="Century Gothic" w:hAnsi="Century Gothic" w:cs="Arial"/>
          <w:sz w:val="18"/>
          <w:szCs w:val="18"/>
        </w:rPr>
      </w:pPr>
      <w:r w:rsidRPr="00936529">
        <w:rPr>
          <w:rStyle w:val="Refdenotaalpie"/>
          <w:rFonts w:ascii="Century Gothic" w:hAnsi="Century Gothic" w:cs="Arial"/>
          <w:sz w:val="18"/>
          <w:szCs w:val="18"/>
        </w:rPr>
        <w:footnoteRef/>
      </w:r>
      <w:r w:rsidRPr="00936529">
        <w:rPr>
          <w:rFonts w:ascii="Century Gothic" w:hAnsi="Century Gothic" w:cs="Arial"/>
          <w:sz w:val="18"/>
          <w:szCs w:val="18"/>
        </w:rPr>
        <w:t>Ley 1450 de 2011: “Artículo 32. Parágrafo 1°: En los procesos de selección que se desarrollen con base en el primer inciso, las entidades podrán realizar las convocatorias limitadas que beneficien a las Mipymes del ámbito municipal o departamental correspondiente al de la ejecución del contrato”.</w:t>
      </w:r>
    </w:p>
    <w:p w14:paraId="3D67D398" w14:textId="77777777" w:rsidR="002A190F" w:rsidRPr="00936529" w:rsidRDefault="002A190F" w:rsidP="00936529">
      <w:pPr>
        <w:pStyle w:val="Textonotapie"/>
        <w:ind w:firstLine="708"/>
        <w:jc w:val="both"/>
        <w:rPr>
          <w:rFonts w:ascii="Century Gothic" w:hAnsi="Century Gothic" w:cs="Arial"/>
          <w:sz w:val="18"/>
          <w:szCs w:val="18"/>
        </w:rPr>
      </w:pPr>
    </w:p>
  </w:footnote>
  <w:footnote w:id="6">
    <w:p w14:paraId="6B67921E" w14:textId="77777777" w:rsidR="0058013C" w:rsidRPr="00936529" w:rsidRDefault="0058013C" w:rsidP="00936529">
      <w:pPr>
        <w:pStyle w:val="Textonotapie"/>
        <w:ind w:firstLine="708"/>
        <w:jc w:val="both"/>
        <w:rPr>
          <w:rFonts w:ascii="Century Gothic" w:hAnsi="Century Gothic" w:cs="Arial"/>
          <w:sz w:val="18"/>
          <w:szCs w:val="18"/>
        </w:rPr>
      </w:pPr>
      <w:r w:rsidRPr="00936529">
        <w:rPr>
          <w:rStyle w:val="Refdenotaalpie"/>
          <w:rFonts w:ascii="Century Gothic" w:hAnsi="Century Gothic" w:cs="Arial"/>
          <w:sz w:val="18"/>
          <w:szCs w:val="18"/>
        </w:rPr>
        <w:footnoteRef/>
      </w:r>
      <w:r w:rsidRPr="00936529">
        <w:rPr>
          <w:rFonts w:ascii="Century Gothic" w:hAnsi="Century Gothic" w:cs="Arial"/>
          <w:sz w:val="18"/>
          <w:szCs w:val="18"/>
        </w:rPr>
        <w:t xml:space="preserve"> Cfr. Concepto emitido en el radicado 4201913000005674, dictado el 27 de septiembre de 2019.</w:t>
      </w:r>
    </w:p>
    <w:p w14:paraId="7F5D7235" w14:textId="77777777" w:rsidR="0058013C" w:rsidRPr="00936529" w:rsidRDefault="0058013C" w:rsidP="00936529">
      <w:pPr>
        <w:pStyle w:val="Textonotapie"/>
        <w:ind w:firstLine="708"/>
        <w:jc w:val="both"/>
        <w:rPr>
          <w:rFonts w:ascii="Century Gothic" w:hAnsi="Century Gothic" w:cs="Arial"/>
          <w:sz w:val="18"/>
          <w:szCs w:val="18"/>
          <w:lang w:val="es-ES"/>
        </w:rPr>
      </w:pPr>
    </w:p>
  </w:footnote>
  <w:footnote w:id="7">
    <w:p w14:paraId="14935F05" w14:textId="77777777" w:rsidR="008D5AF4" w:rsidRPr="00936529" w:rsidRDefault="008D5AF4" w:rsidP="00936529">
      <w:pPr>
        <w:pStyle w:val="Textonotapie"/>
        <w:ind w:right="51" w:firstLine="709"/>
        <w:jc w:val="both"/>
        <w:rPr>
          <w:rFonts w:ascii="Century Gothic" w:hAnsi="Century Gothic" w:cs="Arial"/>
          <w:color w:val="000000" w:themeColor="text1"/>
          <w:sz w:val="18"/>
          <w:szCs w:val="18"/>
        </w:rPr>
      </w:pPr>
      <w:r w:rsidRPr="00936529">
        <w:rPr>
          <w:rStyle w:val="Refdenotaalpie"/>
          <w:rFonts w:ascii="Century Gothic" w:hAnsi="Century Gothic" w:cs="Arial"/>
          <w:color w:val="000000" w:themeColor="text1"/>
          <w:sz w:val="18"/>
          <w:szCs w:val="18"/>
        </w:rPr>
        <w:footnoteRef/>
      </w:r>
      <w:r w:rsidRPr="00936529">
        <w:rPr>
          <w:rFonts w:ascii="Century Gothic" w:hAnsi="Century Gothic" w:cs="Arial"/>
          <w:color w:val="000000" w:themeColor="text1"/>
          <w:sz w:val="18"/>
          <w:szCs w:val="18"/>
        </w:rPr>
        <w:t xml:space="preserve"> Corte Constitucional. Sentencia C- 341 del 4 de junio de 2014. M. P. Mauricio González Cuervo.</w:t>
      </w:r>
    </w:p>
  </w:footnote>
  <w:footnote w:id="8">
    <w:p w14:paraId="684DF92D" w14:textId="77777777" w:rsidR="00D41175" w:rsidRPr="00936529" w:rsidRDefault="00D41175" w:rsidP="00936529">
      <w:pPr>
        <w:pStyle w:val="Textonotapie"/>
        <w:ind w:right="49" w:firstLine="709"/>
        <w:jc w:val="both"/>
        <w:rPr>
          <w:rFonts w:ascii="Century Gothic" w:hAnsi="Century Gothic" w:cs="Arial"/>
          <w:color w:val="000000" w:themeColor="text1"/>
          <w:sz w:val="18"/>
          <w:szCs w:val="18"/>
        </w:rPr>
      </w:pPr>
      <w:r w:rsidRPr="00936529">
        <w:rPr>
          <w:rStyle w:val="Refdenotaalpie"/>
          <w:rFonts w:ascii="Century Gothic" w:hAnsi="Century Gothic" w:cs="Arial"/>
          <w:color w:val="000000" w:themeColor="text1"/>
          <w:sz w:val="18"/>
          <w:szCs w:val="18"/>
        </w:rPr>
        <w:footnoteRef/>
      </w:r>
      <w:r w:rsidRPr="00936529">
        <w:rPr>
          <w:rFonts w:ascii="Century Gothic" w:hAnsi="Century Gothic" w:cs="Arial"/>
          <w:color w:val="000000" w:themeColor="text1"/>
          <w:sz w:val="18"/>
          <w:szCs w:val="18"/>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125D17E8" w14:textId="77777777" w:rsidR="00D41175" w:rsidRPr="00936529" w:rsidRDefault="00D41175" w:rsidP="00936529">
      <w:pPr>
        <w:pStyle w:val="Textonotapie"/>
        <w:ind w:right="49" w:firstLine="709"/>
        <w:jc w:val="both"/>
        <w:rPr>
          <w:rFonts w:ascii="Century Gothic" w:hAnsi="Century Gothic" w:cs="Arial"/>
          <w:color w:val="000000" w:themeColor="text1"/>
          <w:sz w:val="18"/>
          <w:szCs w:val="18"/>
        </w:rPr>
      </w:pPr>
      <w:r w:rsidRPr="00936529">
        <w:rPr>
          <w:rFonts w:ascii="Century Gothic" w:hAnsi="Century Gothic" w:cs="Arial"/>
          <w:color w:val="000000" w:themeColor="text1"/>
          <w:sz w:val="18"/>
          <w:szCs w:val="18"/>
        </w:rPr>
        <w:t>Lo anterior, sin perjuicio de las publicaciones previstas en el numeral 3 del artículo 30 de la Ley 80 de 1993.</w:t>
      </w:r>
    </w:p>
    <w:p w14:paraId="186AC99E" w14:textId="77777777" w:rsidR="00D41175" w:rsidRPr="00936529" w:rsidRDefault="00D41175" w:rsidP="00936529">
      <w:pPr>
        <w:pStyle w:val="Textonotapie"/>
        <w:ind w:right="49" w:firstLine="709"/>
        <w:jc w:val="both"/>
        <w:rPr>
          <w:rFonts w:ascii="Century Gothic" w:hAnsi="Century Gothic" w:cs="Arial"/>
          <w:color w:val="000000" w:themeColor="text1"/>
          <w:sz w:val="18"/>
          <w:szCs w:val="18"/>
        </w:rPr>
      </w:pPr>
      <w:r w:rsidRPr="00936529">
        <w:rPr>
          <w:rFonts w:ascii="Century Gothic" w:hAnsi="Century Gothic" w:cs="Arial"/>
          <w:color w:val="000000" w:themeColor="text1"/>
          <w:sz w:val="18"/>
          <w:szCs w:val="18"/>
        </w:rPr>
        <w:t xml:space="preserve">Con el fin de materializar los objetivos a que se refiere el inciso anterior, el Gobierno Nacional desarrollará el Sistema Electrónico para la Contratación Pública, </w:t>
      </w:r>
      <w:proofErr w:type="spellStart"/>
      <w:r w:rsidRPr="00936529">
        <w:rPr>
          <w:rFonts w:ascii="Century Gothic" w:hAnsi="Century Gothic" w:cs="Arial"/>
          <w:color w:val="000000" w:themeColor="text1"/>
          <w:sz w:val="18"/>
          <w:szCs w:val="18"/>
        </w:rPr>
        <w:t>Secop</w:t>
      </w:r>
      <w:proofErr w:type="spellEnd"/>
      <w:r w:rsidRPr="00936529">
        <w:rPr>
          <w:rFonts w:ascii="Century Gothic" w:hAnsi="Century Gothic" w:cs="Arial"/>
          <w:color w:val="000000" w:themeColor="text1"/>
          <w:sz w:val="18"/>
          <w:szCs w:val="18"/>
        </w:rPr>
        <w:t xml:space="preserve">, el cual: </w:t>
      </w:r>
    </w:p>
    <w:p w14:paraId="53C57DED" w14:textId="77777777" w:rsidR="00D41175" w:rsidRPr="00936529" w:rsidRDefault="00D41175" w:rsidP="00936529">
      <w:pPr>
        <w:pStyle w:val="Textonotapie"/>
        <w:ind w:right="49" w:firstLine="709"/>
        <w:jc w:val="both"/>
        <w:rPr>
          <w:rFonts w:ascii="Century Gothic" w:hAnsi="Century Gothic" w:cs="Arial"/>
          <w:color w:val="000000" w:themeColor="text1"/>
          <w:sz w:val="18"/>
          <w:szCs w:val="18"/>
        </w:rPr>
      </w:pPr>
      <w:r w:rsidRPr="00936529">
        <w:rPr>
          <w:rFonts w:ascii="Century Gothic" w:hAnsi="Century Gothic" w:cs="Arial"/>
          <w:color w:val="000000" w:themeColor="text1"/>
          <w:sz w:val="18"/>
          <w:szCs w:val="18"/>
        </w:rPr>
        <w:t>[…]</w:t>
      </w:r>
    </w:p>
    <w:p w14:paraId="5A7CCA88" w14:textId="77777777" w:rsidR="00D41175" w:rsidRPr="00936529" w:rsidRDefault="00D41175" w:rsidP="00936529">
      <w:pPr>
        <w:pStyle w:val="Textonotapie"/>
        <w:ind w:right="49" w:firstLine="709"/>
        <w:jc w:val="both"/>
        <w:rPr>
          <w:rFonts w:ascii="Century Gothic" w:hAnsi="Century Gothic" w:cs="Arial"/>
          <w:color w:val="000000" w:themeColor="text1"/>
          <w:sz w:val="18"/>
          <w:szCs w:val="18"/>
        </w:rPr>
      </w:pPr>
      <w:r w:rsidRPr="00936529">
        <w:rPr>
          <w:rFonts w:ascii="Century Gothic" w:hAnsi="Century Gothic" w:cs="Arial"/>
          <w:color w:val="000000" w:themeColor="text1"/>
          <w:sz w:val="18"/>
          <w:szCs w:val="18"/>
        </w:rPr>
        <w:t xml:space="preserve">c) Contará con la información oficial de la contratación realizada con dineros públicos, para lo cual establecerá los patrones a que haya lugar y se encargará de su difusión a través de canales electrónico”. </w:t>
      </w:r>
    </w:p>
    <w:p w14:paraId="0072B0A8" w14:textId="77777777" w:rsidR="00D41175" w:rsidRPr="00936529" w:rsidRDefault="00D41175" w:rsidP="00936529">
      <w:pPr>
        <w:pStyle w:val="Textonotapie"/>
        <w:ind w:right="49"/>
        <w:jc w:val="both"/>
        <w:rPr>
          <w:rFonts w:ascii="Century Gothic" w:hAnsi="Century Gothic" w:cs="Arial"/>
          <w:color w:val="000000" w:themeColor="text1"/>
          <w:sz w:val="18"/>
          <w:szCs w:val="18"/>
        </w:rPr>
      </w:pPr>
    </w:p>
  </w:footnote>
  <w:footnote w:id="9">
    <w:p w14:paraId="7807A58E" w14:textId="77777777" w:rsidR="00D74BB1" w:rsidRPr="00936529" w:rsidRDefault="00D74BB1" w:rsidP="00936529">
      <w:pPr>
        <w:pStyle w:val="Textonotapie"/>
        <w:ind w:right="49" w:firstLine="709"/>
        <w:jc w:val="both"/>
        <w:rPr>
          <w:rFonts w:ascii="Century Gothic" w:hAnsi="Century Gothic" w:cs="Arial"/>
          <w:color w:val="000000" w:themeColor="text1"/>
          <w:sz w:val="18"/>
          <w:szCs w:val="18"/>
        </w:rPr>
      </w:pPr>
      <w:r w:rsidRPr="00936529">
        <w:rPr>
          <w:rStyle w:val="Refdenotaalpie"/>
          <w:rFonts w:ascii="Century Gothic" w:hAnsi="Century Gothic" w:cs="Arial"/>
          <w:color w:val="000000" w:themeColor="text1"/>
          <w:sz w:val="18"/>
          <w:szCs w:val="18"/>
        </w:rPr>
        <w:footnoteRef/>
      </w:r>
      <w:r w:rsidRPr="00936529">
        <w:rPr>
          <w:rFonts w:ascii="Century Gothic" w:hAnsi="Century Gothic" w:cs="Arial"/>
          <w:color w:val="000000" w:themeColor="text1"/>
          <w:sz w:val="18"/>
          <w:szCs w:val="18"/>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58673664" w14:textId="77777777" w:rsidR="00D74BB1" w:rsidRPr="00936529" w:rsidRDefault="00D74BB1" w:rsidP="00936529">
      <w:pPr>
        <w:pStyle w:val="Textonotapie"/>
        <w:ind w:right="49" w:firstLine="709"/>
        <w:jc w:val="both"/>
        <w:rPr>
          <w:rFonts w:ascii="Century Gothic" w:hAnsi="Century Gothic" w:cs="Arial"/>
          <w:color w:val="000000" w:themeColor="text1"/>
          <w:sz w:val="18"/>
          <w:szCs w:val="18"/>
        </w:rPr>
      </w:pPr>
    </w:p>
  </w:footnote>
  <w:footnote w:id="10">
    <w:p w14:paraId="150884D8" w14:textId="77777777" w:rsidR="00E07D92" w:rsidRPr="00936529" w:rsidRDefault="00E07D92" w:rsidP="00936529">
      <w:pPr>
        <w:pStyle w:val="Textonotapie"/>
        <w:ind w:right="49" w:firstLine="709"/>
        <w:jc w:val="both"/>
        <w:rPr>
          <w:rFonts w:ascii="Century Gothic" w:hAnsi="Century Gothic" w:cs="Arial"/>
          <w:color w:val="000000" w:themeColor="text1"/>
          <w:sz w:val="18"/>
          <w:szCs w:val="18"/>
        </w:rPr>
      </w:pPr>
      <w:r w:rsidRPr="00936529">
        <w:rPr>
          <w:rStyle w:val="Refdenotaalpie"/>
          <w:rFonts w:ascii="Century Gothic" w:hAnsi="Century Gothic" w:cs="Arial"/>
          <w:color w:val="000000" w:themeColor="text1"/>
          <w:sz w:val="18"/>
          <w:szCs w:val="18"/>
        </w:rPr>
        <w:footnoteRef/>
      </w:r>
      <w:r w:rsidRPr="00936529">
        <w:rPr>
          <w:rFonts w:ascii="Century Gothic" w:hAnsi="Century Gothic" w:cs="Arial"/>
          <w:color w:val="000000" w:themeColor="text1"/>
          <w:sz w:val="18"/>
          <w:szCs w:val="18"/>
        </w:rPr>
        <w:t xml:space="preserve"> Ley 1712 de 2014: “Artículo 5. Ámbito de aplicación. Las disposiciones de esta ley serán aplicables a las siguientes personas en calidad de sujetos obligados: </w:t>
      </w:r>
    </w:p>
    <w:p w14:paraId="02DD1229" w14:textId="77777777" w:rsidR="00E07D92" w:rsidRPr="00936529" w:rsidRDefault="00E07D92" w:rsidP="00936529">
      <w:pPr>
        <w:pStyle w:val="Textonotapie"/>
        <w:ind w:right="49" w:firstLine="709"/>
        <w:jc w:val="both"/>
        <w:rPr>
          <w:rFonts w:ascii="Century Gothic" w:hAnsi="Century Gothic" w:cs="Arial"/>
          <w:color w:val="000000" w:themeColor="text1"/>
          <w:sz w:val="18"/>
          <w:szCs w:val="18"/>
        </w:rPr>
      </w:pPr>
      <w:r w:rsidRPr="00936529">
        <w:rPr>
          <w:rFonts w:ascii="Century Gothic" w:hAnsi="Century Gothic" w:cs="Arial"/>
          <w:color w:val="000000" w:themeColor="text1"/>
          <w:sz w:val="18"/>
          <w:szCs w:val="18"/>
        </w:rPr>
        <w:t>a)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14:paraId="760E7181" w14:textId="77777777" w:rsidR="00E07D92" w:rsidRPr="00936529" w:rsidRDefault="00E07D92" w:rsidP="00936529">
      <w:pPr>
        <w:pStyle w:val="Textonotapie"/>
        <w:ind w:right="49" w:firstLine="709"/>
        <w:jc w:val="both"/>
        <w:rPr>
          <w:rFonts w:ascii="Century Gothic" w:hAnsi="Century Gothic" w:cs="Arial"/>
          <w:color w:val="000000" w:themeColor="text1"/>
          <w:sz w:val="18"/>
          <w:szCs w:val="18"/>
        </w:rPr>
      </w:pPr>
    </w:p>
  </w:footnote>
  <w:footnote w:id="11">
    <w:p w14:paraId="368EF092" w14:textId="77777777" w:rsidR="00EF14FC" w:rsidRPr="00936529" w:rsidRDefault="00EF14FC" w:rsidP="00936529">
      <w:pPr>
        <w:pStyle w:val="Textonotapie"/>
        <w:ind w:right="49" w:firstLine="709"/>
        <w:jc w:val="both"/>
        <w:rPr>
          <w:rFonts w:ascii="Century Gothic" w:hAnsi="Century Gothic" w:cs="Arial"/>
          <w:color w:val="000000" w:themeColor="text1"/>
          <w:sz w:val="18"/>
          <w:szCs w:val="18"/>
        </w:rPr>
      </w:pPr>
      <w:r w:rsidRPr="00936529">
        <w:rPr>
          <w:rFonts w:ascii="Century Gothic" w:hAnsi="Century Gothic" w:cs="Arial"/>
          <w:color w:val="000000" w:themeColor="text1"/>
          <w:sz w:val="18"/>
          <w:szCs w:val="18"/>
          <w:vertAlign w:val="superscript"/>
          <w:lang w:val="es-ES" w:eastAsia="es-ES"/>
        </w:rPr>
        <w:footnoteRef/>
      </w:r>
      <w:r w:rsidRPr="00936529">
        <w:rPr>
          <w:rFonts w:ascii="Century Gothic" w:hAnsi="Century Gothic" w:cs="Arial"/>
          <w:color w:val="000000" w:themeColor="text1"/>
          <w:sz w:val="18"/>
          <w:szCs w:val="18"/>
          <w:vertAlign w:val="superscript"/>
          <w:lang w:val="es-ES" w:eastAsia="es-ES"/>
        </w:rPr>
        <w:t xml:space="preserve"> </w:t>
      </w:r>
      <w:r w:rsidRPr="00936529">
        <w:rPr>
          <w:rFonts w:ascii="Century Gothic" w:hAnsi="Century Gothic" w:cs="Arial"/>
          <w:color w:val="000000" w:themeColor="text1"/>
          <w:sz w:val="18"/>
          <w:szCs w:val="18"/>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24AFDF7E" w14:textId="77777777" w:rsidR="00EF14FC" w:rsidRPr="00936529" w:rsidRDefault="00EF14FC" w:rsidP="00936529">
      <w:pPr>
        <w:pStyle w:val="Textonotapie"/>
        <w:ind w:right="49" w:firstLine="709"/>
        <w:jc w:val="both"/>
        <w:rPr>
          <w:rFonts w:ascii="Century Gothic" w:hAnsi="Century Gothic" w:cs="Arial"/>
          <w:color w:val="000000" w:themeColor="text1"/>
          <w:sz w:val="18"/>
          <w:szCs w:val="18"/>
          <w:lang w:val="es-ES" w:eastAsia="es-ES"/>
        </w:rPr>
      </w:pPr>
      <w:r w:rsidRPr="00936529">
        <w:rPr>
          <w:rFonts w:ascii="Century Gothic" w:hAnsi="Century Gothic" w:cs="Arial"/>
          <w:color w:val="000000" w:themeColor="text1"/>
          <w:sz w:val="18"/>
          <w:szCs w:val="18"/>
        </w:rPr>
        <w:t>[…].</w:t>
      </w:r>
    </w:p>
    <w:p w14:paraId="0A1D9F12" w14:textId="77777777" w:rsidR="00EF14FC" w:rsidRPr="00936529" w:rsidRDefault="00EF14FC" w:rsidP="00936529">
      <w:pPr>
        <w:pStyle w:val="Textonotapie"/>
        <w:ind w:right="49" w:firstLine="709"/>
        <w:jc w:val="both"/>
        <w:rPr>
          <w:rFonts w:ascii="Century Gothic" w:hAnsi="Century Gothic" w:cs="Arial"/>
          <w:color w:val="000000" w:themeColor="text1"/>
          <w:sz w:val="18"/>
          <w:szCs w:val="18"/>
          <w:lang w:val="es-ES" w:eastAsia="es-ES"/>
        </w:rPr>
      </w:pPr>
      <w:r w:rsidRPr="00936529">
        <w:rPr>
          <w:rFonts w:ascii="Century Gothic" w:hAnsi="Century Gothic" w:cs="Arial"/>
          <w:color w:val="000000" w:themeColor="text1"/>
          <w:sz w:val="18"/>
          <w:szCs w:val="18"/>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2D6C3528" w14:textId="77777777" w:rsidR="00EF14FC" w:rsidRPr="00936529" w:rsidRDefault="00EF14FC" w:rsidP="00936529">
      <w:pPr>
        <w:pStyle w:val="Textonotapie"/>
        <w:ind w:right="49" w:firstLine="709"/>
        <w:jc w:val="both"/>
        <w:rPr>
          <w:rFonts w:ascii="Century Gothic" w:hAnsi="Century Gothic" w:cs="Arial"/>
          <w:color w:val="000000" w:themeColor="text1"/>
          <w:sz w:val="18"/>
          <w:szCs w:val="18"/>
          <w:lang w:val="es-ES" w:eastAsia="es-ES"/>
        </w:rPr>
      </w:pPr>
    </w:p>
  </w:footnote>
  <w:footnote w:id="12">
    <w:p w14:paraId="0B57CD11" w14:textId="77777777" w:rsidR="00926914" w:rsidRPr="00936529" w:rsidRDefault="00926914" w:rsidP="00936529">
      <w:pPr>
        <w:pStyle w:val="Textonotapie"/>
        <w:ind w:right="49" w:firstLine="709"/>
        <w:jc w:val="both"/>
        <w:rPr>
          <w:rFonts w:ascii="Century Gothic" w:hAnsi="Century Gothic" w:cs="Arial"/>
          <w:color w:val="000000" w:themeColor="text1"/>
          <w:sz w:val="18"/>
          <w:szCs w:val="18"/>
        </w:rPr>
      </w:pPr>
      <w:r w:rsidRPr="00936529">
        <w:rPr>
          <w:rStyle w:val="Refdenotaalpie"/>
          <w:rFonts w:ascii="Century Gothic" w:hAnsi="Century Gothic" w:cs="Arial"/>
          <w:color w:val="000000" w:themeColor="text1"/>
          <w:sz w:val="18"/>
          <w:szCs w:val="18"/>
        </w:rPr>
        <w:footnoteRef/>
      </w:r>
      <w:r w:rsidRPr="00936529">
        <w:rPr>
          <w:rFonts w:ascii="Century Gothic" w:hAnsi="Century Gothic" w:cs="Arial"/>
          <w:color w:val="000000" w:themeColor="text1"/>
          <w:sz w:val="18"/>
          <w:szCs w:val="18"/>
        </w:rPr>
        <w:t xml:space="preserve"> Corte</w:t>
      </w:r>
      <w:r w:rsidRPr="00936529">
        <w:rPr>
          <w:rFonts w:ascii="Century Gothic" w:hAnsi="Century Gothic" w:cs="Arial"/>
          <w:color w:val="000000" w:themeColor="text1"/>
          <w:sz w:val="18"/>
          <w:szCs w:val="18"/>
          <w:lang w:val="es-ES" w:eastAsia="es-ES"/>
        </w:rPr>
        <w:t xml:space="preserve"> Constitucional. Sentencia C-274 de 9 de mayo de 2013. M.P. María Victoria Calle Correa. </w:t>
      </w:r>
    </w:p>
    <w:p w14:paraId="4262B534" w14:textId="77777777" w:rsidR="00926914" w:rsidRPr="00936529" w:rsidRDefault="00926914" w:rsidP="00936529">
      <w:pPr>
        <w:pStyle w:val="Textonotapie"/>
        <w:ind w:right="49" w:firstLine="709"/>
        <w:jc w:val="both"/>
        <w:rPr>
          <w:rFonts w:ascii="Century Gothic" w:hAnsi="Century Gothic" w:cs="Arial"/>
          <w:color w:val="000000" w:themeColor="text1"/>
          <w:sz w:val="18"/>
          <w:szCs w:val="18"/>
        </w:rPr>
      </w:pPr>
    </w:p>
  </w:footnote>
  <w:footnote w:id="13">
    <w:p w14:paraId="6EBA3184" w14:textId="77777777" w:rsidR="007156C1" w:rsidRPr="00936529" w:rsidRDefault="007156C1" w:rsidP="00936529">
      <w:pPr>
        <w:pStyle w:val="Textonotapie"/>
        <w:ind w:right="49" w:firstLine="708"/>
        <w:jc w:val="both"/>
        <w:rPr>
          <w:rFonts w:ascii="Century Gothic" w:hAnsi="Century Gothic" w:cs="Arial"/>
          <w:color w:val="000000" w:themeColor="text1"/>
          <w:sz w:val="18"/>
          <w:szCs w:val="18"/>
        </w:rPr>
      </w:pPr>
      <w:r w:rsidRPr="00936529">
        <w:rPr>
          <w:rStyle w:val="Refdenotaalpie"/>
          <w:rFonts w:ascii="Century Gothic" w:hAnsi="Century Gothic" w:cs="Arial"/>
          <w:color w:val="000000" w:themeColor="text1"/>
          <w:sz w:val="18"/>
          <w:szCs w:val="18"/>
        </w:rPr>
        <w:footnoteRef/>
      </w:r>
      <w:r w:rsidRPr="00936529">
        <w:rPr>
          <w:rFonts w:ascii="Century Gothic" w:hAnsi="Century Gothic" w:cs="Arial"/>
          <w:color w:val="000000" w:themeColor="text1"/>
          <w:sz w:val="18"/>
          <w:szCs w:val="18"/>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780A7F0C" w14:textId="77777777" w:rsidR="007156C1" w:rsidRPr="00936529" w:rsidRDefault="007156C1" w:rsidP="00936529">
      <w:pPr>
        <w:pStyle w:val="Textonotapie"/>
        <w:ind w:right="49" w:firstLine="708"/>
        <w:jc w:val="both"/>
        <w:rPr>
          <w:rFonts w:ascii="Century Gothic" w:hAnsi="Century Gothic" w:cs="Arial"/>
          <w:color w:val="000000" w:themeColor="text1"/>
          <w:sz w:val="18"/>
          <w:szCs w:val="18"/>
        </w:rPr>
      </w:pPr>
      <w:r w:rsidRPr="00936529">
        <w:rPr>
          <w:rFonts w:ascii="Century Gothic" w:hAnsi="Century Gothic" w:cs="Arial"/>
          <w:color w:val="000000" w:themeColor="text1"/>
          <w:sz w:val="18"/>
          <w:szCs w:val="18"/>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45B8F75B" w14:textId="77777777" w:rsidR="007156C1" w:rsidRPr="00936529" w:rsidRDefault="007156C1" w:rsidP="00936529">
      <w:pPr>
        <w:pStyle w:val="Textonotapie"/>
        <w:ind w:right="49"/>
        <w:jc w:val="both"/>
        <w:rPr>
          <w:rFonts w:ascii="Century Gothic" w:hAnsi="Century Gothic" w:cs="Arial"/>
          <w:color w:val="000000" w:themeColor="text1"/>
          <w:sz w:val="18"/>
          <w:szCs w:val="18"/>
          <w:lang w:val="es-ES"/>
        </w:rPr>
      </w:pPr>
    </w:p>
  </w:footnote>
  <w:footnote w:id="14">
    <w:p w14:paraId="63F62B9C" w14:textId="77777777" w:rsidR="007156C1" w:rsidRPr="00936529" w:rsidRDefault="007156C1" w:rsidP="00936529">
      <w:pPr>
        <w:pStyle w:val="Textonotapie"/>
        <w:ind w:right="49" w:firstLine="708"/>
        <w:jc w:val="both"/>
        <w:rPr>
          <w:rFonts w:ascii="Century Gothic" w:hAnsi="Century Gothic" w:cs="Arial"/>
          <w:color w:val="000000" w:themeColor="text1"/>
          <w:sz w:val="18"/>
          <w:szCs w:val="18"/>
        </w:rPr>
      </w:pPr>
      <w:r w:rsidRPr="00936529">
        <w:rPr>
          <w:rStyle w:val="Refdenotaalpie"/>
          <w:rFonts w:ascii="Century Gothic" w:hAnsi="Century Gothic" w:cs="Arial"/>
          <w:color w:val="000000" w:themeColor="text1"/>
          <w:sz w:val="18"/>
          <w:szCs w:val="18"/>
        </w:rPr>
        <w:footnoteRef/>
      </w:r>
      <w:r w:rsidRPr="00936529">
        <w:rPr>
          <w:rFonts w:ascii="Century Gothic" w:hAnsi="Century Gothic" w:cs="Arial"/>
          <w:color w:val="000000" w:themeColor="text1"/>
          <w:sz w:val="18"/>
          <w:szCs w:val="18"/>
        </w:rPr>
        <w:t xml:space="preserve"> Consejo de Estado. Sección Tercera. Sentencia del 14 de diciembre de 2007. </w:t>
      </w:r>
      <w:proofErr w:type="spellStart"/>
      <w:r w:rsidRPr="00936529">
        <w:rPr>
          <w:rFonts w:ascii="Century Gothic" w:hAnsi="Century Gothic" w:cs="Arial"/>
          <w:color w:val="000000" w:themeColor="text1"/>
          <w:sz w:val="18"/>
          <w:szCs w:val="18"/>
        </w:rPr>
        <w:t>Exp</w:t>
      </w:r>
      <w:proofErr w:type="spellEnd"/>
      <w:r w:rsidRPr="00936529">
        <w:rPr>
          <w:rFonts w:ascii="Century Gothic" w:hAnsi="Century Gothic" w:cs="Arial"/>
          <w:color w:val="000000" w:themeColor="text1"/>
          <w:sz w:val="18"/>
          <w:szCs w:val="18"/>
        </w:rPr>
        <w:t>. 24.715. C.P. Ruth Stella Correa Palacio.</w:t>
      </w:r>
    </w:p>
    <w:p w14:paraId="75F3D96F" w14:textId="77777777" w:rsidR="007156C1" w:rsidRPr="00936529" w:rsidRDefault="007156C1" w:rsidP="00936529">
      <w:pPr>
        <w:pStyle w:val="Textonotapie"/>
        <w:ind w:right="49" w:firstLine="708"/>
        <w:jc w:val="both"/>
        <w:rPr>
          <w:rFonts w:ascii="Century Gothic" w:hAnsi="Century Gothic" w:cs="Arial"/>
          <w:color w:val="000000" w:themeColor="text1"/>
          <w:sz w:val="18"/>
          <w:szCs w:val="18"/>
          <w:lang w:val="es-ES"/>
        </w:rPr>
      </w:pPr>
      <w:r w:rsidRPr="00936529">
        <w:rPr>
          <w:rFonts w:ascii="Century Gothic" w:hAnsi="Century Gothic" w:cs="Arial"/>
          <w:color w:val="000000" w:themeColor="text1"/>
          <w:sz w:val="18"/>
          <w:szCs w:val="18"/>
        </w:rPr>
        <w:t xml:space="preserve"> </w:t>
      </w:r>
    </w:p>
  </w:footnote>
  <w:footnote w:id="15">
    <w:p w14:paraId="2D779156" w14:textId="77777777" w:rsidR="00872426" w:rsidRPr="00936529" w:rsidRDefault="00872426" w:rsidP="00936529">
      <w:pPr>
        <w:pStyle w:val="Textonotapie"/>
        <w:ind w:firstLine="709"/>
        <w:jc w:val="both"/>
        <w:rPr>
          <w:rFonts w:ascii="Century Gothic" w:hAnsi="Century Gothic" w:cs="Arial"/>
          <w:sz w:val="18"/>
          <w:szCs w:val="18"/>
        </w:rPr>
      </w:pPr>
      <w:r w:rsidRPr="00936529">
        <w:rPr>
          <w:rStyle w:val="Refdenotaalpie"/>
          <w:rFonts w:ascii="Century Gothic" w:hAnsi="Century Gothic" w:cs="Arial"/>
          <w:sz w:val="18"/>
          <w:szCs w:val="18"/>
        </w:rPr>
        <w:footnoteRef/>
      </w:r>
      <w:r w:rsidRPr="00936529">
        <w:rPr>
          <w:rFonts w:ascii="Century Gothic" w:hAnsi="Century Gothic" w:cs="Arial"/>
          <w:sz w:val="18"/>
          <w:szCs w:val="18"/>
        </w:rPr>
        <w:t xml:space="preserve"> Ley 80 de 1993: “Artículo 3º. De los fines de la contratación estatal. 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w:t>
      </w:r>
    </w:p>
    <w:p w14:paraId="5F0F6822" w14:textId="77777777" w:rsidR="00872426" w:rsidRPr="00936529" w:rsidRDefault="00872426" w:rsidP="00936529">
      <w:pPr>
        <w:pStyle w:val="Textonotapie"/>
        <w:ind w:firstLine="709"/>
        <w:jc w:val="both"/>
        <w:rPr>
          <w:rFonts w:ascii="Century Gothic" w:hAnsi="Century Gothic" w:cs="Arial"/>
          <w:sz w:val="18"/>
          <w:szCs w:val="18"/>
        </w:rPr>
      </w:pPr>
      <w:r w:rsidRPr="00936529">
        <w:rPr>
          <w:rFonts w:ascii="Century Gothic" w:hAnsi="Century Gothic" w:cs="Arial"/>
          <w:sz w:val="18"/>
          <w:szCs w:val="18"/>
        </w:rPr>
        <w:t>Los particulares, por su parte, tendrán en cuenta al celebrar y ejecutar contratos con las entidades estatales que, colaboran con ellas en el logro de sus fines y cumplen una función social que, como tal, implica obligaciones”.</w:t>
      </w:r>
    </w:p>
  </w:footnote>
  <w:footnote w:id="16">
    <w:p w14:paraId="52B08510" w14:textId="77777777" w:rsidR="00477D86" w:rsidRPr="00936529" w:rsidRDefault="00477D86" w:rsidP="00936529">
      <w:pPr>
        <w:pStyle w:val="Textonotapie"/>
        <w:ind w:firstLine="709"/>
        <w:jc w:val="both"/>
        <w:rPr>
          <w:rFonts w:ascii="Century Gothic" w:hAnsi="Century Gothic" w:cs="Arial"/>
          <w:sz w:val="18"/>
          <w:szCs w:val="18"/>
        </w:rPr>
      </w:pPr>
      <w:r w:rsidRPr="00936529">
        <w:rPr>
          <w:rStyle w:val="Refdenotaalpie"/>
          <w:rFonts w:ascii="Century Gothic" w:hAnsi="Century Gothic" w:cs="Arial"/>
          <w:sz w:val="18"/>
          <w:szCs w:val="18"/>
        </w:rPr>
        <w:footnoteRef/>
      </w:r>
      <w:r w:rsidRPr="00936529">
        <w:rPr>
          <w:rFonts w:ascii="Century Gothic" w:hAnsi="Century Gothic" w:cs="Arial"/>
          <w:sz w:val="18"/>
          <w:szCs w:val="18"/>
        </w:rPr>
        <w:t xml:space="preserve"> Ley 80 de 1993: “Artículo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p>
    <w:p w14:paraId="58ED9093" w14:textId="77777777" w:rsidR="00477D86" w:rsidRPr="00936529" w:rsidRDefault="00477D86" w:rsidP="00936529">
      <w:pPr>
        <w:pStyle w:val="Textonotapie"/>
        <w:ind w:firstLine="709"/>
        <w:jc w:val="both"/>
        <w:rPr>
          <w:rFonts w:ascii="Century Gothic" w:hAnsi="Century Gothic" w:cs="Arial"/>
          <w:sz w:val="18"/>
          <w:szCs w:val="18"/>
        </w:rPr>
      </w:pPr>
    </w:p>
  </w:footnote>
  <w:footnote w:id="17">
    <w:p w14:paraId="2466AAAE" w14:textId="77777777" w:rsidR="00733F32" w:rsidRPr="00936529" w:rsidRDefault="00733F32" w:rsidP="00936529">
      <w:pPr>
        <w:pStyle w:val="Textonotapie"/>
        <w:ind w:firstLine="708"/>
        <w:jc w:val="both"/>
        <w:rPr>
          <w:rFonts w:ascii="Century Gothic" w:hAnsi="Century Gothic" w:cs="Arial"/>
          <w:sz w:val="18"/>
          <w:szCs w:val="18"/>
        </w:rPr>
      </w:pPr>
      <w:r w:rsidRPr="00936529">
        <w:rPr>
          <w:rStyle w:val="Refdenotaalpie"/>
          <w:rFonts w:ascii="Century Gothic" w:hAnsi="Century Gothic" w:cs="Arial"/>
          <w:sz w:val="18"/>
          <w:szCs w:val="18"/>
        </w:rPr>
        <w:footnoteRef/>
      </w:r>
      <w:r w:rsidRPr="00936529">
        <w:rPr>
          <w:rFonts w:ascii="Century Gothic" w:hAnsi="Century Gothic" w:cs="Arial"/>
          <w:sz w:val="18"/>
          <w:szCs w:val="18"/>
        </w:rPr>
        <w:t xml:space="preserve"> DÁVILA VINUEZA, Luis Guillermo. Régimen jurídico de la contratación estatal. Tercera edición. Editorial Legis, Bogotá, 2016, p. 304.</w:t>
      </w:r>
    </w:p>
  </w:footnote>
  <w:footnote w:id="18">
    <w:p w14:paraId="25269657" w14:textId="77777777" w:rsidR="00652FD4" w:rsidRPr="00936529" w:rsidRDefault="00652FD4" w:rsidP="00936529">
      <w:pPr>
        <w:pStyle w:val="Textonotapie"/>
        <w:ind w:firstLine="709"/>
        <w:jc w:val="both"/>
        <w:rPr>
          <w:rFonts w:ascii="Century Gothic" w:hAnsi="Century Gothic" w:cs="Arial"/>
          <w:sz w:val="18"/>
          <w:szCs w:val="18"/>
        </w:rPr>
      </w:pPr>
      <w:r w:rsidRPr="00936529">
        <w:rPr>
          <w:rStyle w:val="Refdenotaalpie"/>
          <w:rFonts w:ascii="Century Gothic" w:hAnsi="Century Gothic" w:cs="Arial"/>
          <w:sz w:val="18"/>
          <w:szCs w:val="18"/>
        </w:rPr>
        <w:footnoteRef/>
      </w:r>
      <w:r w:rsidRPr="00936529">
        <w:rPr>
          <w:rFonts w:ascii="Century Gothic" w:hAnsi="Century Gothic" w:cs="Arial"/>
          <w:sz w:val="18"/>
          <w:szCs w:val="18"/>
        </w:rPr>
        <w:t xml:space="preserve"> Consejo de Estado. Sección Tercera. Sentencia del 3 de diciembre de 2007. </w:t>
      </w:r>
      <w:proofErr w:type="spellStart"/>
      <w:r w:rsidRPr="00936529">
        <w:rPr>
          <w:rFonts w:ascii="Century Gothic" w:hAnsi="Century Gothic" w:cs="Arial"/>
          <w:sz w:val="18"/>
          <w:szCs w:val="18"/>
        </w:rPr>
        <w:t>Exp</w:t>
      </w:r>
      <w:proofErr w:type="spellEnd"/>
      <w:r w:rsidRPr="00936529">
        <w:rPr>
          <w:rFonts w:ascii="Century Gothic" w:hAnsi="Century Gothic" w:cs="Arial"/>
          <w:sz w:val="18"/>
          <w:szCs w:val="18"/>
        </w:rPr>
        <w:t>. 24.715. Consejera Ponente: Ruth Stella Correa Palacio.</w:t>
      </w:r>
    </w:p>
    <w:p w14:paraId="546244AC" w14:textId="77777777" w:rsidR="00652FD4" w:rsidRPr="00936529" w:rsidRDefault="00652FD4" w:rsidP="00936529">
      <w:pPr>
        <w:pStyle w:val="Textonotapie"/>
        <w:ind w:firstLine="709"/>
        <w:jc w:val="both"/>
        <w:rPr>
          <w:rFonts w:ascii="Century Gothic" w:hAnsi="Century Gothic" w:cs="Arial"/>
          <w:sz w:val="18"/>
          <w:szCs w:val="18"/>
        </w:rPr>
      </w:pPr>
    </w:p>
  </w:footnote>
  <w:footnote w:id="19">
    <w:p w14:paraId="59FF4603" w14:textId="77777777" w:rsidR="007C3506" w:rsidRPr="00936529" w:rsidRDefault="007C3506" w:rsidP="00936529">
      <w:pPr>
        <w:pStyle w:val="Textonotapie"/>
        <w:ind w:firstLine="709"/>
        <w:jc w:val="both"/>
        <w:rPr>
          <w:rFonts w:ascii="Century Gothic" w:hAnsi="Century Gothic" w:cs="Arial"/>
          <w:sz w:val="18"/>
          <w:szCs w:val="18"/>
        </w:rPr>
      </w:pPr>
      <w:r w:rsidRPr="00936529">
        <w:rPr>
          <w:rStyle w:val="Refdenotaalpie"/>
          <w:rFonts w:ascii="Century Gothic" w:hAnsi="Century Gothic" w:cs="Arial"/>
          <w:sz w:val="18"/>
          <w:szCs w:val="18"/>
        </w:rPr>
        <w:footnoteRef/>
      </w:r>
      <w:r w:rsidRPr="00936529">
        <w:rPr>
          <w:rFonts w:ascii="Century Gothic" w:hAnsi="Century Gothic" w:cs="Arial"/>
          <w:sz w:val="18"/>
          <w:szCs w:val="18"/>
        </w:rPr>
        <w:t xml:space="preserve"> Concepto con radicado número 4201912000006639 del 29 de noviembre de 2019 “Tipo de asunto consultado: Sujetos que pueden hacer observaciones al informe de evaluación en un procedimiento contractual mediante la modalidad de licitación pública”.</w:t>
      </w:r>
    </w:p>
    <w:p w14:paraId="312DC4D2" w14:textId="77777777" w:rsidR="007C3506" w:rsidRPr="00936529" w:rsidRDefault="007C3506" w:rsidP="00936529">
      <w:pPr>
        <w:pStyle w:val="Textonotapie"/>
        <w:ind w:firstLine="709"/>
        <w:jc w:val="both"/>
        <w:rPr>
          <w:rFonts w:ascii="Century Gothic" w:hAnsi="Century Gothic" w:cs="Arial"/>
          <w:sz w:val="18"/>
          <w:szCs w:val="18"/>
        </w:rPr>
      </w:pPr>
    </w:p>
  </w:footnote>
  <w:footnote w:id="20">
    <w:p w14:paraId="29D3737D" w14:textId="77777777" w:rsidR="00483B45" w:rsidRPr="00936529" w:rsidRDefault="00483B45" w:rsidP="00936529">
      <w:pPr>
        <w:pStyle w:val="Textonotapie"/>
        <w:ind w:firstLine="708"/>
        <w:jc w:val="both"/>
        <w:rPr>
          <w:rFonts w:ascii="Century Gothic" w:hAnsi="Century Gothic" w:cs="Arial"/>
          <w:sz w:val="18"/>
          <w:szCs w:val="18"/>
        </w:rPr>
      </w:pPr>
      <w:r w:rsidRPr="00936529">
        <w:rPr>
          <w:rStyle w:val="Refdenotaalpie"/>
          <w:rFonts w:ascii="Century Gothic" w:hAnsi="Century Gothic" w:cs="Arial"/>
          <w:sz w:val="18"/>
          <w:szCs w:val="18"/>
        </w:rPr>
        <w:footnoteRef/>
      </w:r>
      <w:r w:rsidRPr="00936529">
        <w:rPr>
          <w:rFonts w:ascii="Century Gothic" w:hAnsi="Century Gothic" w:cs="Arial"/>
          <w:sz w:val="18"/>
          <w:szCs w:val="18"/>
        </w:rPr>
        <w:t xml:space="preserve"> Al respecto, el artículo 3.1 de la Ley 1437 de 2011 dispone que “En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p>
    <w:p w14:paraId="30025C8D" w14:textId="77777777" w:rsidR="00483B45" w:rsidRPr="00936529" w:rsidRDefault="00483B45" w:rsidP="00936529">
      <w:pPr>
        <w:pStyle w:val="Textonotapie"/>
        <w:ind w:firstLine="708"/>
        <w:jc w:val="both"/>
        <w:rPr>
          <w:rFonts w:ascii="Century Gothic" w:hAnsi="Century Gothic" w:cs="Arial"/>
          <w:sz w:val="18"/>
          <w:szCs w:val="18"/>
        </w:rPr>
      </w:pPr>
    </w:p>
  </w:footnote>
  <w:footnote w:id="21">
    <w:p w14:paraId="766322F5" w14:textId="77777777" w:rsidR="00EF437E" w:rsidRPr="00936529" w:rsidRDefault="00EF437E" w:rsidP="00936529">
      <w:pPr>
        <w:pStyle w:val="Textonotapie"/>
        <w:ind w:firstLine="709"/>
        <w:jc w:val="both"/>
        <w:rPr>
          <w:rFonts w:ascii="Century Gothic" w:hAnsi="Century Gothic" w:cs="Arial"/>
          <w:color w:val="000000" w:themeColor="text1"/>
          <w:sz w:val="18"/>
          <w:szCs w:val="18"/>
        </w:rPr>
      </w:pPr>
      <w:r w:rsidRPr="00936529">
        <w:rPr>
          <w:rStyle w:val="Refdenotaalpie"/>
          <w:rFonts w:ascii="Century Gothic" w:hAnsi="Century Gothic" w:cs="Arial"/>
          <w:color w:val="000000" w:themeColor="text1"/>
          <w:sz w:val="18"/>
          <w:szCs w:val="18"/>
        </w:rPr>
        <w:footnoteRef/>
      </w:r>
      <w:r w:rsidRPr="00936529">
        <w:rPr>
          <w:rFonts w:ascii="Century Gothic" w:hAnsi="Century Gothic" w:cs="Arial"/>
          <w:color w:val="000000" w:themeColor="text1"/>
          <w:sz w:val="18"/>
          <w:szCs w:val="18"/>
        </w:rPr>
        <w:t xml:space="preserve"> Ley 1150 de 2007: “Artículo 8. De la publicación de proyectos de pliegos de condiciones, y estudios previos. Con el propósito de suministrar al público en general la información que le permita formular observaciones a su contenido, las entidades publicarán los proyectos de pliegos de condiciones o sus equivalentes, en las condiciones que señale el reglamento. La información publicada debe ser veraz, responsable, ecuánime, suficiente y oportuna.</w:t>
      </w:r>
    </w:p>
    <w:p w14:paraId="54410B83" w14:textId="77777777" w:rsidR="00EF437E" w:rsidRPr="00936529" w:rsidRDefault="00EF437E" w:rsidP="00936529">
      <w:pPr>
        <w:pStyle w:val="Textonotapie"/>
        <w:ind w:firstLine="709"/>
        <w:jc w:val="both"/>
        <w:rPr>
          <w:rFonts w:ascii="Century Gothic" w:hAnsi="Century Gothic" w:cs="Arial"/>
          <w:color w:val="000000" w:themeColor="text1"/>
          <w:sz w:val="18"/>
          <w:szCs w:val="18"/>
        </w:rPr>
      </w:pPr>
      <w:r w:rsidRPr="00936529">
        <w:rPr>
          <w:rFonts w:ascii="Century Gothic" w:hAnsi="Century Gothic" w:cs="Arial"/>
          <w:color w:val="000000" w:themeColor="text1"/>
          <w:sz w:val="18"/>
          <w:szCs w:val="18"/>
        </w:rPr>
        <w:t>[…]</w:t>
      </w:r>
    </w:p>
    <w:p w14:paraId="5E6379D4" w14:textId="77777777" w:rsidR="00EF437E" w:rsidRPr="00936529" w:rsidRDefault="00EF437E" w:rsidP="00936529">
      <w:pPr>
        <w:pStyle w:val="Textonotapie"/>
        <w:ind w:firstLine="709"/>
        <w:jc w:val="both"/>
        <w:rPr>
          <w:rFonts w:ascii="Century Gothic" w:hAnsi="Century Gothic" w:cs="Arial"/>
          <w:color w:val="000000" w:themeColor="text1"/>
          <w:sz w:val="18"/>
          <w:szCs w:val="18"/>
        </w:rPr>
      </w:pPr>
      <w:r w:rsidRPr="00936529">
        <w:rPr>
          <w:rFonts w:ascii="Century Gothic" w:hAnsi="Century Gothic" w:cs="Arial"/>
          <w:color w:val="000000" w:themeColor="text1"/>
          <w:sz w:val="18"/>
          <w:szCs w:val="18"/>
        </w:rPr>
        <w:t>Junto con los proyectos de pliegos de condiciones se publicarán los estudios y documentos previos que sirvieron de base para su elaboración.</w:t>
      </w:r>
    </w:p>
    <w:p w14:paraId="2945A0AB" w14:textId="77777777" w:rsidR="00EF437E" w:rsidRPr="00936529" w:rsidRDefault="00EF437E" w:rsidP="00936529">
      <w:pPr>
        <w:pStyle w:val="Textonotapie"/>
        <w:ind w:firstLine="709"/>
        <w:jc w:val="both"/>
        <w:rPr>
          <w:rFonts w:ascii="Century Gothic" w:hAnsi="Century Gothic" w:cs="Arial"/>
          <w:color w:val="000000" w:themeColor="text1"/>
          <w:sz w:val="18"/>
          <w:szCs w:val="18"/>
        </w:rPr>
      </w:pPr>
      <w:r w:rsidRPr="00936529">
        <w:rPr>
          <w:rFonts w:ascii="Century Gothic" w:hAnsi="Century Gothic" w:cs="Arial"/>
          <w:color w:val="000000" w:themeColor="text1"/>
          <w:sz w:val="18"/>
          <w:szCs w:val="18"/>
        </w:rPr>
        <w:t>Las Entidades deberán publicar las razones por las cuales se acogen o rechazan las observaciones a los proyectos de pliegos”.</w:t>
      </w:r>
    </w:p>
  </w:footnote>
  <w:footnote w:id="22">
    <w:p w14:paraId="338BFE5F" w14:textId="77777777" w:rsidR="00600B7C" w:rsidRPr="00936529" w:rsidRDefault="00600B7C" w:rsidP="00936529">
      <w:pPr>
        <w:pStyle w:val="Textonotapie"/>
        <w:ind w:firstLine="709"/>
        <w:jc w:val="both"/>
        <w:rPr>
          <w:rFonts w:ascii="Century Gothic" w:hAnsi="Century Gothic" w:cs="Arial"/>
          <w:color w:val="000000" w:themeColor="text1"/>
          <w:sz w:val="18"/>
          <w:szCs w:val="18"/>
        </w:rPr>
      </w:pPr>
      <w:r w:rsidRPr="00936529">
        <w:rPr>
          <w:rStyle w:val="Refdenotaalpie"/>
          <w:rFonts w:ascii="Century Gothic" w:hAnsi="Century Gothic" w:cs="Arial"/>
          <w:color w:val="000000" w:themeColor="text1"/>
          <w:sz w:val="18"/>
          <w:szCs w:val="18"/>
        </w:rPr>
        <w:footnoteRef/>
      </w:r>
      <w:r w:rsidRPr="00936529">
        <w:rPr>
          <w:rFonts w:ascii="Century Gothic" w:hAnsi="Century Gothic" w:cs="Arial"/>
          <w:color w:val="000000" w:themeColor="text1"/>
          <w:sz w:val="18"/>
          <w:szCs w:val="18"/>
        </w:rPr>
        <w:t xml:space="preserve"> Ley 80 de 1993: “Artículo 30. De la estructura de los procedimientos de selección. La licitación se efectuará conforme a las siguientes reglas:</w:t>
      </w:r>
    </w:p>
    <w:p w14:paraId="1CAA5336" w14:textId="77777777" w:rsidR="00600B7C" w:rsidRPr="00936529" w:rsidRDefault="00600B7C" w:rsidP="00936529">
      <w:pPr>
        <w:pStyle w:val="Textonotapie"/>
        <w:ind w:firstLine="709"/>
        <w:jc w:val="both"/>
        <w:rPr>
          <w:rFonts w:ascii="Century Gothic" w:hAnsi="Century Gothic" w:cs="Arial"/>
          <w:color w:val="000000" w:themeColor="text1"/>
          <w:sz w:val="18"/>
          <w:szCs w:val="18"/>
        </w:rPr>
      </w:pPr>
      <w:r w:rsidRPr="00936529">
        <w:rPr>
          <w:rFonts w:ascii="Century Gothic" w:hAnsi="Century Gothic" w:cs="Arial"/>
          <w:color w:val="000000" w:themeColor="text1"/>
          <w:sz w:val="18"/>
          <w:szCs w:val="18"/>
        </w:rPr>
        <w:t>[…]</w:t>
      </w:r>
    </w:p>
    <w:p w14:paraId="4D470A25" w14:textId="77777777" w:rsidR="00600B7C" w:rsidRPr="00936529" w:rsidRDefault="00600B7C" w:rsidP="00936529">
      <w:pPr>
        <w:pStyle w:val="Textonotapie"/>
        <w:ind w:firstLine="709"/>
        <w:jc w:val="both"/>
        <w:rPr>
          <w:rFonts w:ascii="Century Gothic" w:hAnsi="Century Gothic" w:cs="Arial"/>
          <w:color w:val="000000" w:themeColor="text1"/>
          <w:sz w:val="18"/>
          <w:szCs w:val="18"/>
        </w:rPr>
      </w:pPr>
      <w:r w:rsidRPr="00936529">
        <w:rPr>
          <w:rFonts w:ascii="Century Gothic" w:hAnsi="Century Gothic" w:cs="Arial"/>
          <w:color w:val="000000" w:themeColor="text1"/>
          <w:sz w:val="18"/>
          <w:szCs w:val="18"/>
        </w:rPr>
        <w:t xml:space="preserve">4º. Dentro de los tres (3) días hábiles siguientes al inicio del plazo para </w:t>
      </w:r>
      <w:proofErr w:type="spellStart"/>
      <w:r w:rsidRPr="00936529">
        <w:rPr>
          <w:rFonts w:ascii="Century Gothic" w:hAnsi="Century Gothic" w:cs="Arial"/>
          <w:color w:val="000000" w:themeColor="text1"/>
          <w:sz w:val="18"/>
          <w:szCs w:val="18"/>
        </w:rPr>
        <w:t>Ia</w:t>
      </w:r>
      <w:proofErr w:type="spellEnd"/>
      <w:r w:rsidRPr="00936529">
        <w:rPr>
          <w:rFonts w:ascii="Century Gothic" w:hAnsi="Century Gothic" w:cs="Arial"/>
          <w:color w:val="000000" w:themeColor="text1"/>
          <w:sz w:val="18"/>
          <w:szCs w:val="18"/>
        </w:rPr>
        <w:t xml:space="preserve"> presentación de propuestas y a solicitud de cualquiera de las personas interesadas en el proceso se celebrará una audiencia con el objeto de precisar el contenido y alcance de los pliegos de condiciones, de lo cual se levantará un acta suscrita por los intervinientes. En </w:t>
      </w:r>
      <w:proofErr w:type="spellStart"/>
      <w:r w:rsidRPr="00936529">
        <w:rPr>
          <w:rFonts w:ascii="Century Gothic" w:hAnsi="Century Gothic" w:cs="Arial"/>
          <w:color w:val="000000" w:themeColor="text1"/>
          <w:sz w:val="18"/>
          <w:szCs w:val="18"/>
        </w:rPr>
        <w:t>Ia</w:t>
      </w:r>
      <w:proofErr w:type="spellEnd"/>
      <w:r w:rsidRPr="00936529">
        <w:rPr>
          <w:rFonts w:ascii="Century Gothic" w:hAnsi="Century Gothic" w:cs="Arial"/>
          <w:color w:val="000000" w:themeColor="text1"/>
          <w:sz w:val="18"/>
          <w:szCs w:val="18"/>
        </w:rPr>
        <w:t xml:space="preserve"> misma audiencia se revisará </w:t>
      </w:r>
      <w:proofErr w:type="spellStart"/>
      <w:r w:rsidRPr="00936529">
        <w:rPr>
          <w:rFonts w:ascii="Century Gothic" w:hAnsi="Century Gothic" w:cs="Arial"/>
          <w:color w:val="000000" w:themeColor="text1"/>
          <w:sz w:val="18"/>
          <w:szCs w:val="18"/>
        </w:rPr>
        <w:t>Ia</w:t>
      </w:r>
      <w:proofErr w:type="spellEnd"/>
      <w:r w:rsidRPr="00936529">
        <w:rPr>
          <w:rFonts w:ascii="Century Gothic" w:hAnsi="Century Gothic" w:cs="Arial"/>
          <w:color w:val="000000" w:themeColor="text1"/>
          <w:sz w:val="18"/>
          <w:szCs w:val="18"/>
        </w:rPr>
        <w:t xml:space="preserve"> asignación de riesgos que trata el artículo 4 de </w:t>
      </w:r>
      <w:proofErr w:type="spellStart"/>
      <w:r w:rsidRPr="00936529">
        <w:rPr>
          <w:rFonts w:ascii="Century Gothic" w:hAnsi="Century Gothic" w:cs="Arial"/>
          <w:color w:val="000000" w:themeColor="text1"/>
          <w:sz w:val="18"/>
          <w:szCs w:val="18"/>
        </w:rPr>
        <w:t>Ia</w:t>
      </w:r>
      <w:proofErr w:type="spellEnd"/>
      <w:r w:rsidRPr="00936529">
        <w:rPr>
          <w:rFonts w:ascii="Century Gothic" w:hAnsi="Century Gothic" w:cs="Arial"/>
          <w:color w:val="000000" w:themeColor="text1"/>
          <w:sz w:val="18"/>
          <w:szCs w:val="18"/>
        </w:rPr>
        <w:t xml:space="preserve"> Ley 1150 de 2007 con el fin de establecer su tipificación, estimación y asignación definitiva”.</w:t>
      </w:r>
    </w:p>
    <w:p w14:paraId="395D0AE1" w14:textId="77777777" w:rsidR="00600B7C" w:rsidRPr="00936529" w:rsidRDefault="00600B7C" w:rsidP="00936529">
      <w:pPr>
        <w:pStyle w:val="Textonotapie"/>
        <w:ind w:firstLine="709"/>
        <w:jc w:val="both"/>
        <w:rPr>
          <w:rFonts w:ascii="Century Gothic" w:hAnsi="Century Gothic" w:cs="Arial"/>
          <w:color w:val="000000" w:themeColor="text1"/>
          <w:sz w:val="18"/>
          <w:szCs w:val="18"/>
        </w:rPr>
      </w:pPr>
    </w:p>
  </w:footnote>
  <w:footnote w:id="23">
    <w:p w14:paraId="1CBDDDE4" w14:textId="77777777" w:rsidR="00254E14" w:rsidRPr="00936529" w:rsidRDefault="00254E14" w:rsidP="00936529">
      <w:pPr>
        <w:pStyle w:val="Textonotapie"/>
        <w:ind w:firstLine="709"/>
        <w:jc w:val="both"/>
        <w:rPr>
          <w:rFonts w:ascii="Century Gothic" w:hAnsi="Century Gothic" w:cs="Arial"/>
          <w:color w:val="000000" w:themeColor="text1"/>
          <w:sz w:val="18"/>
          <w:szCs w:val="18"/>
          <w:lang w:val="es-CO"/>
        </w:rPr>
      </w:pPr>
      <w:r w:rsidRPr="00936529">
        <w:rPr>
          <w:rStyle w:val="Refdenotaalpie"/>
          <w:rFonts w:ascii="Century Gothic" w:hAnsi="Century Gothic" w:cs="Arial"/>
          <w:color w:val="000000" w:themeColor="text1"/>
          <w:sz w:val="18"/>
          <w:szCs w:val="18"/>
        </w:rPr>
        <w:footnoteRef/>
      </w:r>
      <w:r w:rsidRPr="00936529">
        <w:rPr>
          <w:rFonts w:ascii="Century Gothic" w:hAnsi="Century Gothic" w:cs="Arial"/>
          <w:color w:val="000000" w:themeColor="text1"/>
          <w:sz w:val="18"/>
          <w:szCs w:val="18"/>
        </w:rPr>
        <w:t xml:space="preserve"> Decreto 1082 de 2015: “Artículo 2.2.1.1.1.3.1.”</w:t>
      </w:r>
    </w:p>
  </w:footnote>
  <w:footnote w:id="24">
    <w:p w14:paraId="7357BFF0" w14:textId="77777777" w:rsidR="0089705A" w:rsidRPr="00936529" w:rsidRDefault="0089705A" w:rsidP="00936529">
      <w:pPr>
        <w:pStyle w:val="Textonotapie"/>
        <w:ind w:firstLine="709"/>
        <w:jc w:val="both"/>
        <w:rPr>
          <w:rFonts w:ascii="Century Gothic" w:hAnsi="Century Gothic" w:cs="Arial"/>
          <w:color w:val="000000" w:themeColor="text1"/>
          <w:sz w:val="18"/>
          <w:szCs w:val="18"/>
        </w:rPr>
      </w:pPr>
      <w:r w:rsidRPr="00936529">
        <w:rPr>
          <w:rStyle w:val="Refdenotaalpie"/>
          <w:rFonts w:ascii="Century Gothic" w:hAnsi="Century Gothic" w:cs="Arial"/>
          <w:color w:val="000000" w:themeColor="text1"/>
          <w:sz w:val="18"/>
          <w:szCs w:val="18"/>
        </w:rPr>
        <w:footnoteRef/>
      </w:r>
      <w:r w:rsidRPr="00936529">
        <w:rPr>
          <w:rFonts w:ascii="Century Gothic" w:hAnsi="Century Gothic" w:cs="Arial"/>
          <w:color w:val="000000" w:themeColor="text1"/>
          <w:sz w:val="18"/>
          <w:szCs w:val="18"/>
        </w:rPr>
        <w:t xml:space="preserve"> Ley 80 de 1993: “Artículo 30. De la estructura de los procedimientos de selección. La licitación se efectuará conforme a las siguientes reglas:</w:t>
      </w:r>
    </w:p>
    <w:p w14:paraId="086B456A" w14:textId="77777777" w:rsidR="0089705A" w:rsidRPr="00936529" w:rsidRDefault="0089705A" w:rsidP="00936529">
      <w:pPr>
        <w:pStyle w:val="Textonotapie"/>
        <w:ind w:firstLine="709"/>
        <w:jc w:val="both"/>
        <w:rPr>
          <w:rFonts w:ascii="Century Gothic" w:hAnsi="Century Gothic" w:cs="Arial"/>
          <w:color w:val="000000" w:themeColor="text1"/>
          <w:sz w:val="18"/>
          <w:szCs w:val="18"/>
        </w:rPr>
      </w:pPr>
      <w:r w:rsidRPr="00936529">
        <w:rPr>
          <w:rFonts w:ascii="Century Gothic" w:hAnsi="Century Gothic" w:cs="Arial"/>
          <w:color w:val="000000" w:themeColor="text1"/>
          <w:sz w:val="18"/>
          <w:szCs w:val="18"/>
        </w:rPr>
        <w:t>[…]</w:t>
      </w:r>
    </w:p>
    <w:p w14:paraId="1652A44A" w14:textId="77777777" w:rsidR="0089705A" w:rsidRPr="00936529" w:rsidRDefault="0089705A" w:rsidP="00936529">
      <w:pPr>
        <w:pStyle w:val="Textonotapie"/>
        <w:ind w:firstLine="709"/>
        <w:jc w:val="both"/>
        <w:rPr>
          <w:rFonts w:ascii="Century Gothic" w:hAnsi="Century Gothic" w:cs="Arial"/>
          <w:color w:val="000000" w:themeColor="text1"/>
          <w:sz w:val="18"/>
          <w:szCs w:val="18"/>
          <w:lang w:val="es-CO"/>
        </w:rPr>
      </w:pPr>
      <w:r w:rsidRPr="00936529">
        <w:rPr>
          <w:rFonts w:ascii="Century Gothic" w:hAnsi="Century Gothic" w:cs="Arial"/>
          <w:color w:val="000000" w:themeColor="text1"/>
          <w:sz w:val="18"/>
          <w:szCs w:val="18"/>
        </w:rPr>
        <w:t>6º. Las propuestas deben referirse y sujetarse a todos y cada uno de los puntos contenidos en el pliego de condiciones”.</w:t>
      </w:r>
    </w:p>
  </w:footnote>
  <w:footnote w:id="25">
    <w:p w14:paraId="008DBD08" w14:textId="77777777" w:rsidR="00A631BF" w:rsidRPr="00936529" w:rsidRDefault="00A631BF" w:rsidP="00936529">
      <w:pPr>
        <w:pStyle w:val="Textonotapie"/>
        <w:ind w:firstLine="709"/>
        <w:jc w:val="both"/>
        <w:rPr>
          <w:rFonts w:ascii="Century Gothic" w:hAnsi="Century Gothic" w:cs="Arial"/>
          <w:color w:val="000000" w:themeColor="text1"/>
          <w:sz w:val="18"/>
          <w:szCs w:val="18"/>
        </w:rPr>
      </w:pPr>
      <w:r w:rsidRPr="00936529">
        <w:rPr>
          <w:rStyle w:val="Refdenotaalpie"/>
          <w:rFonts w:ascii="Century Gothic" w:hAnsi="Century Gothic" w:cs="Arial"/>
          <w:color w:val="000000" w:themeColor="text1"/>
          <w:sz w:val="18"/>
          <w:szCs w:val="18"/>
        </w:rPr>
        <w:footnoteRef/>
      </w:r>
      <w:r w:rsidRPr="00936529">
        <w:rPr>
          <w:rFonts w:ascii="Century Gothic" w:hAnsi="Century Gothic" w:cs="Arial"/>
          <w:color w:val="000000" w:themeColor="text1"/>
          <w:sz w:val="18"/>
          <w:szCs w:val="18"/>
        </w:rPr>
        <w:t xml:space="preserve"> Ley 80 de 1993: “Artículo 30. De la estructura de los procedimientos de selección. La licitación se efectuará conforme a las siguientes reglas:</w:t>
      </w:r>
    </w:p>
    <w:p w14:paraId="58999E98" w14:textId="77777777" w:rsidR="00A631BF" w:rsidRPr="00936529" w:rsidRDefault="00A631BF" w:rsidP="00936529">
      <w:pPr>
        <w:pStyle w:val="Textonotapie"/>
        <w:ind w:firstLine="709"/>
        <w:jc w:val="both"/>
        <w:rPr>
          <w:rFonts w:ascii="Century Gothic" w:hAnsi="Century Gothic" w:cs="Arial"/>
          <w:color w:val="000000" w:themeColor="text1"/>
          <w:sz w:val="18"/>
          <w:szCs w:val="18"/>
        </w:rPr>
      </w:pPr>
      <w:r w:rsidRPr="00936529">
        <w:rPr>
          <w:rFonts w:ascii="Century Gothic" w:hAnsi="Century Gothic" w:cs="Arial"/>
          <w:color w:val="000000" w:themeColor="text1"/>
          <w:sz w:val="18"/>
          <w:szCs w:val="18"/>
        </w:rPr>
        <w:t>[…]</w:t>
      </w:r>
    </w:p>
    <w:p w14:paraId="18660586" w14:textId="77777777" w:rsidR="00A631BF" w:rsidRPr="00936529" w:rsidRDefault="00A631BF" w:rsidP="00936529">
      <w:pPr>
        <w:pStyle w:val="Textonotapie"/>
        <w:ind w:firstLine="709"/>
        <w:jc w:val="both"/>
        <w:rPr>
          <w:rFonts w:ascii="Century Gothic" w:hAnsi="Century Gothic" w:cs="Arial"/>
          <w:color w:val="000000" w:themeColor="text1"/>
          <w:sz w:val="18"/>
          <w:szCs w:val="18"/>
        </w:rPr>
      </w:pPr>
      <w:r w:rsidRPr="00936529">
        <w:rPr>
          <w:rFonts w:ascii="Century Gothic" w:hAnsi="Century Gothic" w:cs="Arial"/>
          <w:color w:val="000000" w:themeColor="text1"/>
          <w:sz w:val="18"/>
          <w:szCs w:val="18"/>
        </w:rPr>
        <w:t>“8º.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p w14:paraId="1CEE97CF" w14:textId="77777777" w:rsidR="00A631BF" w:rsidRPr="00936529" w:rsidRDefault="00A631BF" w:rsidP="00936529">
      <w:pPr>
        <w:pStyle w:val="Textonotapie"/>
        <w:ind w:firstLine="709"/>
        <w:jc w:val="both"/>
        <w:rPr>
          <w:rFonts w:ascii="Century Gothic" w:hAnsi="Century Gothic" w:cs="Arial"/>
          <w:color w:val="000000" w:themeColor="text1"/>
          <w:sz w:val="18"/>
          <w:szCs w:val="18"/>
        </w:rPr>
      </w:pPr>
    </w:p>
  </w:footnote>
  <w:footnote w:id="26">
    <w:p w14:paraId="0842A789" w14:textId="77777777" w:rsidR="00A631BF" w:rsidRPr="00936529" w:rsidRDefault="00A631BF" w:rsidP="00936529">
      <w:pPr>
        <w:pStyle w:val="Textonotapie"/>
        <w:ind w:firstLine="709"/>
        <w:jc w:val="both"/>
        <w:rPr>
          <w:rFonts w:ascii="Century Gothic" w:hAnsi="Century Gothic" w:cs="Arial"/>
          <w:color w:val="000000" w:themeColor="text1"/>
          <w:sz w:val="18"/>
          <w:szCs w:val="18"/>
        </w:rPr>
      </w:pPr>
      <w:r w:rsidRPr="00936529">
        <w:rPr>
          <w:rStyle w:val="Refdenotaalpie"/>
          <w:rFonts w:ascii="Century Gothic" w:hAnsi="Century Gothic" w:cs="Arial"/>
          <w:color w:val="000000" w:themeColor="text1"/>
          <w:sz w:val="18"/>
          <w:szCs w:val="18"/>
        </w:rPr>
        <w:footnoteRef/>
      </w:r>
      <w:r w:rsidRPr="00936529">
        <w:rPr>
          <w:rFonts w:ascii="Century Gothic" w:hAnsi="Century Gothic" w:cs="Arial"/>
          <w:color w:val="000000" w:themeColor="text1"/>
          <w:sz w:val="18"/>
          <w:szCs w:val="18"/>
        </w:rPr>
        <w:t xml:space="preserve"> Decreto 1082 de 2015: “Artículo 2.2.1.2.1.2.20. Procedimiento para la selección abreviada de menor cuantía. Además de las normas generales establecidas en el presente título, las siguientes reglas son aplicables a la selección abreviada de menor cuantía: </w:t>
      </w:r>
    </w:p>
    <w:p w14:paraId="0021E341" w14:textId="77777777" w:rsidR="00A631BF" w:rsidRPr="00936529" w:rsidRDefault="00A631BF" w:rsidP="00936529">
      <w:pPr>
        <w:pStyle w:val="Textonotapie"/>
        <w:ind w:firstLine="709"/>
        <w:jc w:val="both"/>
        <w:rPr>
          <w:rFonts w:ascii="Century Gothic" w:hAnsi="Century Gothic" w:cs="Arial"/>
          <w:color w:val="000000" w:themeColor="text1"/>
          <w:sz w:val="18"/>
          <w:szCs w:val="18"/>
        </w:rPr>
      </w:pPr>
      <w:r w:rsidRPr="00936529">
        <w:rPr>
          <w:rFonts w:ascii="Century Gothic" w:hAnsi="Century Gothic" w:cs="Arial"/>
          <w:color w:val="000000" w:themeColor="text1"/>
          <w:sz w:val="18"/>
          <w:szCs w:val="18"/>
        </w:rPr>
        <w:t>[…]</w:t>
      </w:r>
    </w:p>
    <w:p w14:paraId="2F17D5BC" w14:textId="77777777" w:rsidR="00A631BF" w:rsidRPr="00936529" w:rsidRDefault="00A631BF" w:rsidP="00936529">
      <w:pPr>
        <w:pStyle w:val="Textonotapie"/>
        <w:ind w:firstLine="709"/>
        <w:jc w:val="both"/>
        <w:rPr>
          <w:rFonts w:ascii="Century Gothic" w:hAnsi="Century Gothic" w:cs="Arial"/>
          <w:color w:val="000000" w:themeColor="text1"/>
          <w:sz w:val="18"/>
          <w:szCs w:val="18"/>
        </w:rPr>
      </w:pPr>
      <w:r w:rsidRPr="00936529">
        <w:rPr>
          <w:rFonts w:ascii="Century Gothic" w:hAnsi="Century Gothic" w:cs="Arial"/>
          <w:color w:val="000000" w:themeColor="text1"/>
          <w:sz w:val="18"/>
          <w:szCs w:val="18"/>
        </w:rPr>
        <w:t>4. La Entidad Estatal debe publicar el informe de evaluación de ofertas durante tres (3) días hábiles”.</w:t>
      </w:r>
    </w:p>
    <w:p w14:paraId="406F4BB7" w14:textId="77777777" w:rsidR="00A631BF" w:rsidRPr="00936529" w:rsidRDefault="00A631BF" w:rsidP="00936529">
      <w:pPr>
        <w:pStyle w:val="Textonotapie"/>
        <w:ind w:firstLine="709"/>
        <w:jc w:val="both"/>
        <w:rPr>
          <w:rFonts w:ascii="Century Gothic" w:hAnsi="Century Gothic" w:cs="Arial"/>
          <w:color w:val="000000" w:themeColor="text1"/>
          <w:sz w:val="18"/>
          <w:szCs w:val="18"/>
        </w:rPr>
      </w:pPr>
      <w:r w:rsidRPr="00936529">
        <w:rPr>
          <w:rFonts w:ascii="Century Gothic" w:hAnsi="Century Gothic" w:cs="Arial"/>
          <w:color w:val="000000" w:themeColor="text1"/>
          <w:sz w:val="18"/>
          <w:szCs w:val="18"/>
        </w:rPr>
        <w:t>“Artículo 2.2.1.2.1.3.2. Procedimiento del concurso de méritos. Además de las reglas generales previstas en la ley y en el presente título, las siguientes reglas son aplicables al concurso de méritos abierto o con precalificación:</w:t>
      </w:r>
    </w:p>
    <w:p w14:paraId="08B8791C" w14:textId="77777777" w:rsidR="00A631BF" w:rsidRPr="00936529" w:rsidRDefault="00A631BF" w:rsidP="00936529">
      <w:pPr>
        <w:pStyle w:val="Textonotapie"/>
        <w:ind w:firstLine="709"/>
        <w:jc w:val="both"/>
        <w:rPr>
          <w:rFonts w:ascii="Century Gothic" w:hAnsi="Century Gothic" w:cs="Arial"/>
          <w:color w:val="000000" w:themeColor="text1"/>
          <w:sz w:val="18"/>
          <w:szCs w:val="18"/>
        </w:rPr>
      </w:pPr>
      <w:r w:rsidRPr="00936529">
        <w:rPr>
          <w:rFonts w:ascii="Century Gothic" w:hAnsi="Century Gothic" w:cs="Arial"/>
          <w:color w:val="000000" w:themeColor="text1"/>
          <w:sz w:val="18"/>
          <w:szCs w:val="18"/>
        </w:rPr>
        <w:t>[…]</w:t>
      </w:r>
    </w:p>
    <w:p w14:paraId="280AE18B" w14:textId="77777777" w:rsidR="00A631BF" w:rsidRPr="00936529" w:rsidRDefault="00A631BF" w:rsidP="00936529">
      <w:pPr>
        <w:pStyle w:val="Textonotapie"/>
        <w:ind w:firstLine="709"/>
        <w:jc w:val="both"/>
        <w:rPr>
          <w:rFonts w:ascii="Century Gothic" w:hAnsi="Century Gothic" w:cs="Arial"/>
          <w:color w:val="000000" w:themeColor="text1"/>
          <w:sz w:val="18"/>
          <w:szCs w:val="18"/>
        </w:rPr>
      </w:pPr>
      <w:r w:rsidRPr="00936529">
        <w:rPr>
          <w:rFonts w:ascii="Century Gothic" w:hAnsi="Century Gothic" w:cs="Arial"/>
          <w:color w:val="000000" w:themeColor="text1"/>
          <w:sz w:val="18"/>
          <w:szCs w:val="18"/>
        </w:rPr>
        <w:t>2. La Entidad Estatal debe publicar durante tres (3) días hábiles el informe de evaluación, el cual debe contener la evaluación de las ofertas frente a todos los requisitos exigidos en el pliego de condiciones, incluyendo los requisitos habilitantes y los de asignación de puntaje”.</w:t>
      </w:r>
    </w:p>
    <w:p w14:paraId="447B5814" w14:textId="77777777" w:rsidR="00A631BF" w:rsidRPr="00936529" w:rsidRDefault="00A631BF" w:rsidP="00936529">
      <w:pPr>
        <w:pStyle w:val="Textonotapie"/>
        <w:ind w:firstLine="709"/>
        <w:jc w:val="both"/>
        <w:rPr>
          <w:rFonts w:ascii="Century Gothic" w:hAnsi="Century Gothic" w:cs="Arial"/>
          <w:color w:val="000000" w:themeColor="text1"/>
          <w:sz w:val="18"/>
          <w:szCs w:val="18"/>
        </w:rPr>
      </w:pPr>
      <w:r w:rsidRPr="00936529">
        <w:rPr>
          <w:rFonts w:ascii="Century Gothic" w:hAnsi="Century Gothic" w:cs="Arial"/>
          <w:color w:val="000000" w:themeColor="text1"/>
          <w:sz w:val="18"/>
          <w:szCs w:val="18"/>
        </w:rPr>
        <w:t>“Artículo 2.2.1.2.1.5.2. Procedimiento para la contratación de mínima cuantía. Las siguientes reglas son aplicables a la contratación cuyo valor no excede del 10% de la menor cuantía de la Entidad Estatal, independientemente de su objeto:</w:t>
      </w:r>
    </w:p>
    <w:p w14:paraId="4AEED527" w14:textId="77777777" w:rsidR="00A631BF" w:rsidRPr="00936529" w:rsidRDefault="00A631BF" w:rsidP="00936529">
      <w:pPr>
        <w:pStyle w:val="Textonotapie"/>
        <w:ind w:firstLine="709"/>
        <w:jc w:val="both"/>
        <w:rPr>
          <w:rFonts w:ascii="Century Gothic" w:hAnsi="Century Gothic" w:cs="Arial"/>
          <w:color w:val="000000" w:themeColor="text1"/>
          <w:sz w:val="18"/>
          <w:szCs w:val="18"/>
        </w:rPr>
      </w:pPr>
      <w:r w:rsidRPr="00936529">
        <w:rPr>
          <w:rFonts w:ascii="Century Gothic" w:hAnsi="Century Gothic" w:cs="Arial"/>
          <w:color w:val="000000" w:themeColor="text1"/>
          <w:sz w:val="18"/>
          <w:szCs w:val="18"/>
        </w:rPr>
        <w:t>[…]</w:t>
      </w:r>
    </w:p>
    <w:p w14:paraId="4774037F" w14:textId="77777777" w:rsidR="00A631BF" w:rsidRPr="00936529" w:rsidRDefault="00A631BF" w:rsidP="00936529">
      <w:pPr>
        <w:pStyle w:val="Textonotapie"/>
        <w:ind w:firstLine="709"/>
        <w:jc w:val="both"/>
        <w:rPr>
          <w:rFonts w:ascii="Century Gothic" w:hAnsi="Century Gothic" w:cs="Arial"/>
          <w:color w:val="000000" w:themeColor="text1"/>
          <w:sz w:val="18"/>
          <w:szCs w:val="18"/>
        </w:rPr>
      </w:pPr>
      <w:r w:rsidRPr="00936529">
        <w:rPr>
          <w:rFonts w:ascii="Century Gothic" w:hAnsi="Century Gothic" w:cs="Arial"/>
          <w:color w:val="000000" w:themeColor="text1"/>
          <w:sz w:val="18"/>
          <w:szCs w:val="18"/>
        </w:rPr>
        <w:t>6. La Entidad Estatal debe publicar el informe de evaluación durante mínimo un (1) día hábil, para que durante este término los oferentes presenten las observaciones que deberán ser respondidas por la Entidad Estatal antes de realizar la aceptación de la oferta seleccionada”.</w:t>
      </w:r>
    </w:p>
  </w:footnote>
  <w:footnote w:id="27">
    <w:p w14:paraId="2D874CEB" w14:textId="77777777" w:rsidR="00557F85" w:rsidRPr="00936529" w:rsidRDefault="00557F85" w:rsidP="00936529">
      <w:pPr>
        <w:pStyle w:val="Textonotapie"/>
        <w:ind w:firstLine="709"/>
        <w:jc w:val="both"/>
        <w:rPr>
          <w:rFonts w:ascii="Century Gothic" w:hAnsi="Century Gothic" w:cs="Arial"/>
          <w:color w:val="000000" w:themeColor="text1"/>
          <w:sz w:val="18"/>
          <w:szCs w:val="18"/>
        </w:rPr>
      </w:pPr>
      <w:r w:rsidRPr="00936529">
        <w:rPr>
          <w:rStyle w:val="Refdenotaalpie"/>
          <w:rFonts w:ascii="Century Gothic" w:hAnsi="Century Gothic" w:cs="Arial"/>
          <w:color w:val="000000" w:themeColor="text1"/>
          <w:sz w:val="18"/>
          <w:szCs w:val="18"/>
        </w:rPr>
        <w:footnoteRef/>
      </w:r>
      <w:r w:rsidRPr="00936529">
        <w:rPr>
          <w:rFonts w:ascii="Century Gothic" w:hAnsi="Century Gothic" w:cs="Arial"/>
          <w:color w:val="000000" w:themeColor="text1"/>
          <w:sz w:val="18"/>
          <w:szCs w:val="18"/>
        </w:rPr>
        <w:t xml:space="preserve"> Decreto 1082 de 2015: “Artículo 2.2.1.2.1.1.2. Audiencias en la licitación.</w:t>
      </w:r>
    </w:p>
    <w:p w14:paraId="3A9EA378" w14:textId="77777777" w:rsidR="00557F85" w:rsidRPr="00936529" w:rsidRDefault="00557F85" w:rsidP="00936529">
      <w:pPr>
        <w:pStyle w:val="Textonotapie"/>
        <w:ind w:firstLine="709"/>
        <w:jc w:val="both"/>
        <w:rPr>
          <w:rFonts w:ascii="Century Gothic" w:hAnsi="Century Gothic" w:cs="Arial"/>
          <w:color w:val="000000" w:themeColor="text1"/>
          <w:sz w:val="18"/>
          <w:szCs w:val="18"/>
        </w:rPr>
      </w:pPr>
      <w:r w:rsidRPr="00936529">
        <w:rPr>
          <w:rFonts w:ascii="Century Gothic" w:hAnsi="Century Gothic" w:cs="Arial"/>
          <w:color w:val="000000" w:themeColor="text1"/>
          <w:sz w:val="18"/>
          <w:szCs w:val="18"/>
        </w:rPr>
        <w:t>[…]</w:t>
      </w:r>
    </w:p>
    <w:p w14:paraId="72F21319" w14:textId="77777777" w:rsidR="00557F85" w:rsidRPr="00936529" w:rsidRDefault="00557F85" w:rsidP="00936529">
      <w:pPr>
        <w:pStyle w:val="Textonotapie"/>
        <w:ind w:firstLine="709"/>
        <w:jc w:val="both"/>
        <w:rPr>
          <w:rFonts w:ascii="Century Gothic" w:hAnsi="Century Gothic" w:cs="Arial"/>
          <w:color w:val="000000" w:themeColor="text1"/>
          <w:sz w:val="18"/>
          <w:szCs w:val="18"/>
        </w:rPr>
      </w:pPr>
      <w:r w:rsidRPr="00936529">
        <w:rPr>
          <w:rFonts w:ascii="Century Gothic" w:hAnsi="Century Gothic" w:cs="Arial"/>
          <w:color w:val="000000" w:themeColor="text1"/>
          <w:sz w:val="18"/>
          <w:szCs w:val="18"/>
        </w:rPr>
        <w:t>La Entidad Estatal debe realizar la audiencia de adjudicación en la fecha y hora establecida en el Cronograma, la cual se realizará de acuerdo con las reglas establecidas para el efecto en los mismos y las siguientes consideraciones:</w:t>
      </w:r>
    </w:p>
    <w:p w14:paraId="4BD3A47C" w14:textId="77777777" w:rsidR="00557F85" w:rsidRPr="00936529" w:rsidRDefault="00557F85" w:rsidP="00936529">
      <w:pPr>
        <w:pStyle w:val="Textonotapie"/>
        <w:ind w:firstLine="709"/>
        <w:jc w:val="both"/>
        <w:rPr>
          <w:rFonts w:ascii="Century Gothic" w:hAnsi="Century Gothic" w:cs="Arial"/>
          <w:color w:val="000000" w:themeColor="text1"/>
          <w:sz w:val="18"/>
          <w:szCs w:val="18"/>
          <w:lang w:val="es-CO"/>
        </w:rPr>
      </w:pPr>
      <w:r w:rsidRPr="00936529">
        <w:rPr>
          <w:rFonts w:ascii="Century Gothic" w:hAnsi="Century Gothic" w:cs="Arial"/>
          <w:color w:val="000000" w:themeColor="text1"/>
          <w:sz w:val="18"/>
          <w:szCs w:val="18"/>
        </w:rPr>
        <w:t>1. En la audiencia los oferentes pueden pronunciarse sobre las respuestas dadas por la Entidad Estatal a las observaciones presentadas respecto del informe de evaluación, lo cual no implica una nueva oportunidad para mejorar o modificar la oferta. Si hay pronunciamientos que a juicio de la Entidad Estatal requiere análisis adicional y su solución puede incidir en el sentido de la decisión a adoptar, la audiencia puede suspenderse por el término necesario para la verificación de los asuntos debatidos y la comprobación de lo alegado”.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CFB6" w14:textId="77777777" w:rsidR="005E1787" w:rsidRDefault="00BF5105">
    <w:pPr>
      <w:pStyle w:val="Encabezado"/>
    </w:pPr>
    <w:r>
      <w:rPr>
        <w:noProof/>
      </w:rPr>
      <w:drawing>
        <wp:anchor distT="0" distB="0" distL="114300" distR="114300" simplePos="0" relativeHeight="251658240" behindDoc="1" locked="0" layoutInCell="1" allowOverlap="1" wp14:anchorId="32BF242A" wp14:editId="69DB1E1F">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161F7450" wp14:editId="4FBDEDDD">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8242" behindDoc="0" locked="0" layoutInCell="1" allowOverlap="1" wp14:anchorId="445B1818" wp14:editId="75B81E44">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336E16D5" wp14:editId="216EB43C">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2E024805" w14:textId="77777777" w:rsidR="005E1787" w:rsidRDefault="005E1787">
    <w:pPr>
      <w:pStyle w:val="Encabezado"/>
    </w:pPr>
  </w:p>
  <w:p w14:paraId="2891A58F" w14:textId="77777777" w:rsidR="005E1787" w:rsidRDefault="005E1787">
    <w:pPr>
      <w:pStyle w:val="Encabezado"/>
    </w:pPr>
  </w:p>
  <w:p w14:paraId="76892C33" w14:textId="77777777" w:rsidR="005E1787" w:rsidRPr="004A305D" w:rsidRDefault="00BF5105"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077184C9" w14:textId="77777777" w:rsidR="005E1787" w:rsidRPr="004A305D" w:rsidRDefault="00BF5105"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17</w:t>
    </w:r>
  </w:p>
  <w:p w14:paraId="28FFC7FF" w14:textId="77777777" w:rsidR="005E1787" w:rsidRPr="004A305D" w:rsidRDefault="00BF5105"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31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77A84538" w14:textId="77777777" w:rsidR="005E1787" w:rsidRDefault="005E1787"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E1728A"/>
    <w:multiLevelType w:val="hybridMultilevel"/>
    <w:tmpl w:val="6CAED34E"/>
    <w:lvl w:ilvl="0" w:tplc="EF80C6BA">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 w15:restartNumberingAfterBreak="0">
    <w:nsid w:val="2A2A53DF"/>
    <w:multiLevelType w:val="hybridMultilevel"/>
    <w:tmpl w:val="998E4BC8"/>
    <w:lvl w:ilvl="0" w:tplc="68D2A38C">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2FA50503"/>
    <w:multiLevelType w:val="hybridMultilevel"/>
    <w:tmpl w:val="7DA6E346"/>
    <w:lvl w:ilvl="0" w:tplc="332EE206">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6396402D"/>
    <w:multiLevelType w:val="hybridMultilevel"/>
    <w:tmpl w:val="596E2CEA"/>
    <w:lvl w:ilvl="0" w:tplc="6450EA26">
      <w:start w:val="1"/>
      <w:numFmt w:val="lowerRoman"/>
      <w:lvlText w:val="%1)"/>
      <w:lvlJc w:val="left"/>
      <w:pPr>
        <w:ind w:left="1425" w:hanging="720"/>
      </w:pPr>
      <w:rPr>
        <w:rFonts w:eastAsia="Calibri"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16cid:durableId="1878855506">
    <w:abstractNumId w:val="0"/>
  </w:num>
  <w:num w:numId="2" w16cid:durableId="1190559219">
    <w:abstractNumId w:val="4"/>
  </w:num>
  <w:num w:numId="3" w16cid:durableId="967593107">
    <w:abstractNumId w:val="1"/>
  </w:num>
  <w:num w:numId="4" w16cid:durableId="1308630882">
    <w:abstractNumId w:val="2"/>
  </w:num>
  <w:num w:numId="5" w16cid:durableId="1453012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794"/>
    <w:rsid w:val="0000014E"/>
    <w:rsid w:val="000062DF"/>
    <w:rsid w:val="000108F5"/>
    <w:rsid w:val="000116A1"/>
    <w:rsid w:val="00016B22"/>
    <w:rsid w:val="0002022D"/>
    <w:rsid w:val="00020E78"/>
    <w:rsid w:val="000223DD"/>
    <w:rsid w:val="00022B43"/>
    <w:rsid w:val="00027542"/>
    <w:rsid w:val="00027A6D"/>
    <w:rsid w:val="00030543"/>
    <w:rsid w:val="0003083D"/>
    <w:rsid w:val="00034BDE"/>
    <w:rsid w:val="00034C2D"/>
    <w:rsid w:val="00043B8F"/>
    <w:rsid w:val="000561FC"/>
    <w:rsid w:val="000910E2"/>
    <w:rsid w:val="000923DC"/>
    <w:rsid w:val="00095246"/>
    <w:rsid w:val="000A090F"/>
    <w:rsid w:val="000B7B9D"/>
    <w:rsid w:val="000C01C4"/>
    <w:rsid w:val="000C2A91"/>
    <w:rsid w:val="000C5CDE"/>
    <w:rsid w:val="000E0780"/>
    <w:rsid w:val="000E4703"/>
    <w:rsid w:val="000E5631"/>
    <w:rsid w:val="000F50AB"/>
    <w:rsid w:val="000F6714"/>
    <w:rsid w:val="00105A5D"/>
    <w:rsid w:val="00116990"/>
    <w:rsid w:val="00116DC8"/>
    <w:rsid w:val="0012404F"/>
    <w:rsid w:val="00126203"/>
    <w:rsid w:val="00126817"/>
    <w:rsid w:val="00126D5A"/>
    <w:rsid w:val="00143175"/>
    <w:rsid w:val="0014481D"/>
    <w:rsid w:val="00147552"/>
    <w:rsid w:val="001608E3"/>
    <w:rsid w:val="00166BD8"/>
    <w:rsid w:val="00166CE3"/>
    <w:rsid w:val="00174624"/>
    <w:rsid w:val="00175DF0"/>
    <w:rsid w:val="00186090"/>
    <w:rsid w:val="001911F5"/>
    <w:rsid w:val="001925EE"/>
    <w:rsid w:val="00192FDC"/>
    <w:rsid w:val="001A0E2C"/>
    <w:rsid w:val="001A2A63"/>
    <w:rsid w:val="001A534E"/>
    <w:rsid w:val="001D1F05"/>
    <w:rsid w:val="001D3514"/>
    <w:rsid w:val="001F41D3"/>
    <w:rsid w:val="001F5975"/>
    <w:rsid w:val="001F75A6"/>
    <w:rsid w:val="001F7BA7"/>
    <w:rsid w:val="00203F69"/>
    <w:rsid w:val="0021113D"/>
    <w:rsid w:val="0021688F"/>
    <w:rsid w:val="00220900"/>
    <w:rsid w:val="0022230E"/>
    <w:rsid w:val="0022305D"/>
    <w:rsid w:val="002230EE"/>
    <w:rsid w:val="00223131"/>
    <w:rsid w:val="0024336F"/>
    <w:rsid w:val="00243F34"/>
    <w:rsid w:val="00245A4E"/>
    <w:rsid w:val="00245A92"/>
    <w:rsid w:val="00246161"/>
    <w:rsid w:val="00246DC7"/>
    <w:rsid w:val="00252514"/>
    <w:rsid w:val="00254E14"/>
    <w:rsid w:val="00256ED0"/>
    <w:rsid w:val="0026222F"/>
    <w:rsid w:val="00267765"/>
    <w:rsid w:val="002748FA"/>
    <w:rsid w:val="0027775C"/>
    <w:rsid w:val="00291A37"/>
    <w:rsid w:val="0029277C"/>
    <w:rsid w:val="00294BDA"/>
    <w:rsid w:val="00297CA0"/>
    <w:rsid w:val="002A190F"/>
    <w:rsid w:val="002A321A"/>
    <w:rsid w:val="002A49D9"/>
    <w:rsid w:val="002A4EA7"/>
    <w:rsid w:val="002A6366"/>
    <w:rsid w:val="002B0863"/>
    <w:rsid w:val="002B0B28"/>
    <w:rsid w:val="002B6934"/>
    <w:rsid w:val="002B7281"/>
    <w:rsid w:val="002C1E5E"/>
    <w:rsid w:val="002C2E5D"/>
    <w:rsid w:val="002C3C4D"/>
    <w:rsid w:val="002C666F"/>
    <w:rsid w:val="002D09B2"/>
    <w:rsid w:val="002D5037"/>
    <w:rsid w:val="002D7496"/>
    <w:rsid w:val="002E03E3"/>
    <w:rsid w:val="002E12A7"/>
    <w:rsid w:val="002E45AD"/>
    <w:rsid w:val="002E4E5A"/>
    <w:rsid w:val="002F3D6F"/>
    <w:rsid w:val="002F528C"/>
    <w:rsid w:val="00301BD8"/>
    <w:rsid w:val="003118BA"/>
    <w:rsid w:val="0031437A"/>
    <w:rsid w:val="00316053"/>
    <w:rsid w:val="00317512"/>
    <w:rsid w:val="003217EC"/>
    <w:rsid w:val="00326A1C"/>
    <w:rsid w:val="003423A9"/>
    <w:rsid w:val="00363FA4"/>
    <w:rsid w:val="00370FA9"/>
    <w:rsid w:val="003711A9"/>
    <w:rsid w:val="00374D4D"/>
    <w:rsid w:val="00374FD7"/>
    <w:rsid w:val="00385444"/>
    <w:rsid w:val="00393AD5"/>
    <w:rsid w:val="003A5759"/>
    <w:rsid w:val="003C532C"/>
    <w:rsid w:val="003D2B6D"/>
    <w:rsid w:val="003F05E1"/>
    <w:rsid w:val="003F2FBB"/>
    <w:rsid w:val="003F4EA1"/>
    <w:rsid w:val="003F7E00"/>
    <w:rsid w:val="00403824"/>
    <w:rsid w:val="00407962"/>
    <w:rsid w:val="00407C54"/>
    <w:rsid w:val="00413F0B"/>
    <w:rsid w:val="004243BA"/>
    <w:rsid w:val="00426E58"/>
    <w:rsid w:val="00431856"/>
    <w:rsid w:val="004378B0"/>
    <w:rsid w:val="00437F04"/>
    <w:rsid w:val="004407ED"/>
    <w:rsid w:val="004431ED"/>
    <w:rsid w:val="004532DF"/>
    <w:rsid w:val="00453434"/>
    <w:rsid w:val="00457C19"/>
    <w:rsid w:val="0046516B"/>
    <w:rsid w:val="0047002D"/>
    <w:rsid w:val="004747C2"/>
    <w:rsid w:val="00477D86"/>
    <w:rsid w:val="004818E6"/>
    <w:rsid w:val="004822E4"/>
    <w:rsid w:val="00483B45"/>
    <w:rsid w:val="00487D7C"/>
    <w:rsid w:val="00490794"/>
    <w:rsid w:val="004960CA"/>
    <w:rsid w:val="00497FCB"/>
    <w:rsid w:val="004A0299"/>
    <w:rsid w:val="004A464D"/>
    <w:rsid w:val="004A696B"/>
    <w:rsid w:val="004B1054"/>
    <w:rsid w:val="004B6022"/>
    <w:rsid w:val="004B730D"/>
    <w:rsid w:val="004C11A0"/>
    <w:rsid w:val="004C207A"/>
    <w:rsid w:val="004D0DD5"/>
    <w:rsid w:val="004D1942"/>
    <w:rsid w:val="004E491B"/>
    <w:rsid w:val="004F42AF"/>
    <w:rsid w:val="005026B4"/>
    <w:rsid w:val="0050441E"/>
    <w:rsid w:val="005053C9"/>
    <w:rsid w:val="0050639E"/>
    <w:rsid w:val="0051454B"/>
    <w:rsid w:val="00520AE2"/>
    <w:rsid w:val="005216F4"/>
    <w:rsid w:val="00524F04"/>
    <w:rsid w:val="00526F99"/>
    <w:rsid w:val="00532FB4"/>
    <w:rsid w:val="00557F85"/>
    <w:rsid w:val="005627E2"/>
    <w:rsid w:val="00564C0B"/>
    <w:rsid w:val="00565EDF"/>
    <w:rsid w:val="00573052"/>
    <w:rsid w:val="005763B7"/>
    <w:rsid w:val="0058013C"/>
    <w:rsid w:val="00580684"/>
    <w:rsid w:val="00584E69"/>
    <w:rsid w:val="0058509D"/>
    <w:rsid w:val="00597C09"/>
    <w:rsid w:val="005A6C8E"/>
    <w:rsid w:val="005B1941"/>
    <w:rsid w:val="005B36CF"/>
    <w:rsid w:val="005C5C23"/>
    <w:rsid w:val="005D1E77"/>
    <w:rsid w:val="005D27A1"/>
    <w:rsid w:val="005D6217"/>
    <w:rsid w:val="005E1787"/>
    <w:rsid w:val="005E3AB0"/>
    <w:rsid w:val="005E7E4A"/>
    <w:rsid w:val="005F18BC"/>
    <w:rsid w:val="005F39EC"/>
    <w:rsid w:val="005F5A9F"/>
    <w:rsid w:val="00600B7C"/>
    <w:rsid w:val="006118FF"/>
    <w:rsid w:val="006140D7"/>
    <w:rsid w:val="0062222C"/>
    <w:rsid w:val="00624737"/>
    <w:rsid w:val="00627052"/>
    <w:rsid w:val="00630163"/>
    <w:rsid w:val="00631B72"/>
    <w:rsid w:val="0063364C"/>
    <w:rsid w:val="00633EC1"/>
    <w:rsid w:val="00645B9E"/>
    <w:rsid w:val="00652FD4"/>
    <w:rsid w:val="006700DE"/>
    <w:rsid w:val="00676431"/>
    <w:rsid w:val="006829C4"/>
    <w:rsid w:val="00683195"/>
    <w:rsid w:val="006831F1"/>
    <w:rsid w:val="00686591"/>
    <w:rsid w:val="006978A4"/>
    <w:rsid w:val="006A0FC6"/>
    <w:rsid w:val="006A1DC5"/>
    <w:rsid w:val="006B2EAA"/>
    <w:rsid w:val="006C75CF"/>
    <w:rsid w:val="006D18CB"/>
    <w:rsid w:val="006D2290"/>
    <w:rsid w:val="006D3848"/>
    <w:rsid w:val="006D3E54"/>
    <w:rsid w:val="006D4A38"/>
    <w:rsid w:val="006F3F58"/>
    <w:rsid w:val="006F5963"/>
    <w:rsid w:val="00700AE3"/>
    <w:rsid w:val="00704132"/>
    <w:rsid w:val="0070476E"/>
    <w:rsid w:val="00705665"/>
    <w:rsid w:val="00707542"/>
    <w:rsid w:val="00711BE3"/>
    <w:rsid w:val="00712196"/>
    <w:rsid w:val="007156C1"/>
    <w:rsid w:val="00716355"/>
    <w:rsid w:val="00725D27"/>
    <w:rsid w:val="0072646A"/>
    <w:rsid w:val="007304C6"/>
    <w:rsid w:val="00732168"/>
    <w:rsid w:val="00733F32"/>
    <w:rsid w:val="00734589"/>
    <w:rsid w:val="00740EE1"/>
    <w:rsid w:val="00760A99"/>
    <w:rsid w:val="0076129F"/>
    <w:rsid w:val="00764090"/>
    <w:rsid w:val="00766BF4"/>
    <w:rsid w:val="00772F62"/>
    <w:rsid w:val="00775023"/>
    <w:rsid w:val="00783791"/>
    <w:rsid w:val="00783D3D"/>
    <w:rsid w:val="00790760"/>
    <w:rsid w:val="00791794"/>
    <w:rsid w:val="007941CC"/>
    <w:rsid w:val="007A1012"/>
    <w:rsid w:val="007B1433"/>
    <w:rsid w:val="007C3506"/>
    <w:rsid w:val="007C59C7"/>
    <w:rsid w:val="007D358E"/>
    <w:rsid w:val="007D44B7"/>
    <w:rsid w:val="007F0436"/>
    <w:rsid w:val="007F4EEA"/>
    <w:rsid w:val="007F74B8"/>
    <w:rsid w:val="00801029"/>
    <w:rsid w:val="00801F2E"/>
    <w:rsid w:val="00802159"/>
    <w:rsid w:val="008103DF"/>
    <w:rsid w:val="008105D3"/>
    <w:rsid w:val="00810773"/>
    <w:rsid w:val="00832E11"/>
    <w:rsid w:val="00832F88"/>
    <w:rsid w:val="00841EB9"/>
    <w:rsid w:val="00842650"/>
    <w:rsid w:val="00852B2D"/>
    <w:rsid w:val="008551AF"/>
    <w:rsid w:val="00860B70"/>
    <w:rsid w:val="008651D8"/>
    <w:rsid w:val="00870019"/>
    <w:rsid w:val="00870500"/>
    <w:rsid w:val="008718C3"/>
    <w:rsid w:val="00872426"/>
    <w:rsid w:val="00880865"/>
    <w:rsid w:val="008846FB"/>
    <w:rsid w:val="00884710"/>
    <w:rsid w:val="00885E9D"/>
    <w:rsid w:val="008874B2"/>
    <w:rsid w:val="00895C5F"/>
    <w:rsid w:val="0089705A"/>
    <w:rsid w:val="00897EB9"/>
    <w:rsid w:val="008A27C0"/>
    <w:rsid w:val="008A6669"/>
    <w:rsid w:val="008B2FD9"/>
    <w:rsid w:val="008B5D07"/>
    <w:rsid w:val="008C1169"/>
    <w:rsid w:val="008D310E"/>
    <w:rsid w:val="008D5AF4"/>
    <w:rsid w:val="008D6820"/>
    <w:rsid w:val="008E5EA4"/>
    <w:rsid w:val="008E739C"/>
    <w:rsid w:val="008F0C4F"/>
    <w:rsid w:val="008F14BB"/>
    <w:rsid w:val="008F196D"/>
    <w:rsid w:val="008F3537"/>
    <w:rsid w:val="008F78AF"/>
    <w:rsid w:val="009015C1"/>
    <w:rsid w:val="00910BC8"/>
    <w:rsid w:val="0091786C"/>
    <w:rsid w:val="00917942"/>
    <w:rsid w:val="009238C2"/>
    <w:rsid w:val="00926914"/>
    <w:rsid w:val="009356C9"/>
    <w:rsid w:val="00936529"/>
    <w:rsid w:val="0094006D"/>
    <w:rsid w:val="009439D3"/>
    <w:rsid w:val="00947FC0"/>
    <w:rsid w:val="00950364"/>
    <w:rsid w:val="00953839"/>
    <w:rsid w:val="009544DA"/>
    <w:rsid w:val="00956DD6"/>
    <w:rsid w:val="00965B38"/>
    <w:rsid w:val="0096614B"/>
    <w:rsid w:val="0097198B"/>
    <w:rsid w:val="00971D76"/>
    <w:rsid w:val="00972DB0"/>
    <w:rsid w:val="00975764"/>
    <w:rsid w:val="00976CD3"/>
    <w:rsid w:val="009814B1"/>
    <w:rsid w:val="00987B64"/>
    <w:rsid w:val="00992D43"/>
    <w:rsid w:val="00997FEE"/>
    <w:rsid w:val="009A02C5"/>
    <w:rsid w:val="009A36C8"/>
    <w:rsid w:val="009B03FC"/>
    <w:rsid w:val="009B2C73"/>
    <w:rsid w:val="009B5A64"/>
    <w:rsid w:val="009B7A27"/>
    <w:rsid w:val="009C63CC"/>
    <w:rsid w:val="009C67A9"/>
    <w:rsid w:val="009D15C9"/>
    <w:rsid w:val="009D1BB2"/>
    <w:rsid w:val="009D563A"/>
    <w:rsid w:val="009D7BC3"/>
    <w:rsid w:val="009E6BB9"/>
    <w:rsid w:val="009F6EEB"/>
    <w:rsid w:val="00A05B56"/>
    <w:rsid w:val="00A10049"/>
    <w:rsid w:val="00A13FF3"/>
    <w:rsid w:val="00A27D51"/>
    <w:rsid w:val="00A318FF"/>
    <w:rsid w:val="00A33706"/>
    <w:rsid w:val="00A34F92"/>
    <w:rsid w:val="00A46774"/>
    <w:rsid w:val="00A46DC8"/>
    <w:rsid w:val="00A50D22"/>
    <w:rsid w:val="00A52B29"/>
    <w:rsid w:val="00A54376"/>
    <w:rsid w:val="00A612DD"/>
    <w:rsid w:val="00A6318E"/>
    <w:rsid w:val="00A631BF"/>
    <w:rsid w:val="00A65861"/>
    <w:rsid w:val="00A6723A"/>
    <w:rsid w:val="00A70A5E"/>
    <w:rsid w:val="00A758A4"/>
    <w:rsid w:val="00A77CC3"/>
    <w:rsid w:val="00A80B7C"/>
    <w:rsid w:val="00A81D9B"/>
    <w:rsid w:val="00A824F7"/>
    <w:rsid w:val="00A85418"/>
    <w:rsid w:val="00A87134"/>
    <w:rsid w:val="00A94528"/>
    <w:rsid w:val="00A97E14"/>
    <w:rsid w:val="00AA4BE0"/>
    <w:rsid w:val="00AA6477"/>
    <w:rsid w:val="00AA683C"/>
    <w:rsid w:val="00AA6CC8"/>
    <w:rsid w:val="00AB7BBE"/>
    <w:rsid w:val="00AC17A8"/>
    <w:rsid w:val="00AD5E32"/>
    <w:rsid w:val="00AE39BE"/>
    <w:rsid w:val="00AE4C3E"/>
    <w:rsid w:val="00AE6E8D"/>
    <w:rsid w:val="00AF5793"/>
    <w:rsid w:val="00AF587A"/>
    <w:rsid w:val="00B063B6"/>
    <w:rsid w:val="00B07D39"/>
    <w:rsid w:val="00B265FE"/>
    <w:rsid w:val="00B41CBA"/>
    <w:rsid w:val="00B506E4"/>
    <w:rsid w:val="00B6047B"/>
    <w:rsid w:val="00B655AB"/>
    <w:rsid w:val="00B72811"/>
    <w:rsid w:val="00B752F6"/>
    <w:rsid w:val="00B80332"/>
    <w:rsid w:val="00B85750"/>
    <w:rsid w:val="00B85956"/>
    <w:rsid w:val="00B86BA8"/>
    <w:rsid w:val="00B957A5"/>
    <w:rsid w:val="00BA0380"/>
    <w:rsid w:val="00BA50C8"/>
    <w:rsid w:val="00BA6AAF"/>
    <w:rsid w:val="00BB2908"/>
    <w:rsid w:val="00BB52F8"/>
    <w:rsid w:val="00BB5D8E"/>
    <w:rsid w:val="00BB6C67"/>
    <w:rsid w:val="00BC0CFD"/>
    <w:rsid w:val="00BC38FF"/>
    <w:rsid w:val="00BC75F6"/>
    <w:rsid w:val="00BD2305"/>
    <w:rsid w:val="00BD4FFC"/>
    <w:rsid w:val="00BD5727"/>
    <w:rsid w:val="00BE0876"/>
    <w:rsid w:val="00BE0F12"/>
    <w:rsid w:val="00BF0273"/>
    <w:rsid w:val="00BF5CB1"/>
    <w:rsid w:val="00BF5EE0"/>
    <w:rsid w:val="00BF6567"/>
    <w:rsid w:val="00C02651"/>
    <w:rsid w:val="00C05294"/>
    <w:rsid w:val="00C05985"/>
    <w:rsid w:val="00C06AA9"/>
    <w:rsid w:val="00C10F1A"/>
    <w:rsid w:val="00C1709E"/>
    <w:rsid w:val="00C25A68"/>
    <w:rsid w:val="00C26B83"/>
    <w:rsid w:val="00C3345A"/>
    <w:rsid w:val="00C343D2"/>
    <w:rsid w:val="00C35C39"/>
    <w:rsid w:val="00C42621"/>
    <w:rsid w:val="00C45CFB"/>
    <w:rsid w:val="00C522E1"/>
    <w:rsid w:val="00C639AF"/>
    <w:rsid w:val="00C677E4"/>
    <w:rsid w:val="00C77E01"/>
    <w:rsid w:val="00C8300A"/>
    <w:rsid w:val="00C8364B"/>
    <w:rsid w:val="00C84E84"/>
    <w:rsid w:val="00C871B3"/>
    <w:rsid w:val="00C95FD7"/>
    <w:rsid w:val="00C9611D"/>
    <w:rsid w:val="00CA509E"/>
    <w:rsid w:val="00CA50AB"/>
    <w:rsid w:val="00CA5FEA"/>
    <w:rsid w:val="00CA79FC"/>
    <w:rsid w:val="00CB1DF0"/>
    <w:rsid w:val="00CB260F"/>
    <w:rsid w:val="00CB3157"/>
    <w:rsid w:val="00CB4217"/>
    <w:rsid w:val="00CB42BD"/>
    <w:rsid w:val="00CB4BCB"/>
    <w:rsid w:val="00CB5A9E"/>
    <w:rsid w:val="00CC087C"/>
    <w:rsid w:val="00CC0B5C"/>
    <w:rsid w:val="00CC1677"/>
    <w:rsid w:val="00CC177C"/>
    <w:rsid w:val="00CC410D"/>
    <w:rsid w:val="00CD669F"/>
    <w:rsid w:val="00CE267E"/>
    <w:rsid w:val="00CE3605"/>
    <w:rsid w:val="00CE408C"/>
    <w:rsid w:val="00CE4600"/>
    <w:rsid w:val="00CE7E8D"/>
    <w:rsid w:val="00CF3CCD"/>
    <w:rsid w:val="00D02A62"/>
    <w:rsid w:val="00D033EB"/>
    <w:rsid w:val="00D05E98"/>
    <w:rsid w:val="00D07B54"/>
    <w:rsid w:val="00D12ED8"/>
    <w:rsid w:val="00D12FE9"/>
    <w:rsid w:val="00D21A0E"/>
    <w:rsid w:val="00D21E55"/>
    <w:rsid w:val="00D222E6"/>
    <w:rsid w:val="00D24997"/>
    <w:rsid w:val="00D41175"/>
    <w:rsid w:val="00D42B8B"/>
    <w:rsid w:val="00D44E91"/>
    <w:rsid w:val="00D45D40"/>
    <w:rsid w:val="00D51E65"/>
    <w:rsid w:val="00D52D31"/>
    <w:rsid w:val="00D60AAE"/>
    <w:rsid w:val="00D702D2"/>
    <w:rsid w:val="00D71F43"/>
    <w:rsid w:val="00D72DC5"/>
    <w:rsid w:val="00D74738"/>
    <w:rsid w:val="00D74BB1"/>
    <w:rsid w:val="00D75586"/>
    <w:rsid w:val="00D75CE6"/>
    <w:rsid w:val="00D76211"/>
    <w:rsid w:val="00D7634A"/>
    <w:rsid w:val="00D84C1C"/>
    <w:rsid w:val="00D84E2A"/>
    <w:rsid w:val="00D855FA"/>
    <w:rsid w:val="00D86448"/>
    <w:rsid w:val="00D92C7E"/>
    <w:rsid w:val="00D93BB6"/>
    <w:rsid w:val="00D94492"/>
    <w:rsid w:val="00D974C3"/>
    <w:rsid w:val="00DA0E3D"/>
    <w:rsid w:val="00DB50AF"/>
    <w:rsid w:val="00DC3C0B"/>
    <w:rsid w:val="00DC53C9"/>
    <w:rsid w:val="00DC585A"/>
    <w:rsid w:val="00DD23EB"/>
    <w:rsid w:val="00DD4C38"/>
    <w:rsid w:val="00DD58CA"/>
    <w:rsid w:val="00DD7BD8"/>
    <w:rsid w:val="00DE5031"/>
    <w:rsid w:val="00DE5C60"/>
    <w:rsid w:val="00DE64E9"/>
    <w:rsid w:val="00DF2A61"/>
    <w:rsid w:val="00E00FCA"/>
    <w:rsid w:val="00E07737"/>
    <w:rsid w:val="00E07D92"/>
    <w:rsid w:val="00E127F9"/>
    <w:rsid w:val="00E15390"/>
    <w:rsid w:val="00E15631"/>
    <w:rsid w:val="00E23185"/>
    <w:rsid w:val="00E27E34"/>
    <w:rsid w:val="00E34FA3"/>
    <w:rsid w:val="00E3665A"/>
    <w:rsid w:val="00E41260"/>
    <w:rsid w:val="00E42578"/>
    <w:rsid w:val="00E42892"/>
    <w:rsid w:val="00E466E7"/>
    <w:rsid w:val="00E501F3"/>
    <w:rsid w:val="00E534A2"/>
    <w:rsid w:val="00E54416"/>
    <w:rsid w:val="00E545C8"/>
    <w:rsid w:val="00E56459"/>
    <w:rsid w:val="00E56BDE"/>
    <w:rsid w:val="00E6266E"/>
    <w:rsid w:val="00E66431"/>
    <w:rsid w:val="00E70018"/>
    <w:rsid w:val="00E76D1E"/>
    <w:rsid w:val="00E8228C"/>
    <w:rsid w:val="00E916D5"/>
    <w:rsid w:val="00E94D64"/>
    <w:rsid w:val="00EA384E"/>
    <w:rsid w:val="00EA747A"/>
    <w:rsid w:val="00EC6B94"/>
    <w:rsid w:val="00EC6D1C"/>
    <w:rsid w:val="00ED062D"/>
    <w:rsid w:val="00ED196C"/>
    <w:rsid w:val="00ED5D1A"/>
    <w:rsid w:val="00ED69AF"/>
    <w:rsid w:val="00ED6D51"/>
    <w:rsid w:val="00ED78CC"/>
    <w:rsid w:val="00EE0CB7"/>
    <w:rsid w:val="00EE4870"/>
    <w:rsid w:val="00EE71AB"/>
    <w:rsid w:val="00EF14FC"/>
    <w:rsid w:val="00EF2ADE"/>
    <w:rsid w:val="00EF3CD1"/>
    <w:rsid w:val="00EF437E"/>
    <w:rsid w:val="00EF7C8B"/>
    <w:rsid w:val="00F01558"/>
    <w:rsid w:val="00F04C61"/>
    <w:rsid w:val="00F05812"/>
    <w:rsid w:val="00F11175"/>
    <w:rsid w:val="00F164AC"/>
    <w:rsid w:val="00F20C29"/>
    <w:rsid w:val="00F36193"/>
    <w:rsid w:val="00F43BB2"/>
    <w:rsid w:val="00F44FEC"/>
    <w:rsid w:val="00F55E98"/>
    <w:rsid w:val="00F628D7"/>
    <w:rsid w:val="00F6786C"/>
    <w:rsid w:val="00F678E7"/>
    <w:rsid w:val="00F719D8"/>
    <w:rsid w:val="00F71E09"/>
    <w:rsid w:val="00F7293D"/>
    <w:rsid w:val="00F735B4"/>
    <w:rsid w:val="00F81FEF"/>
    <w:rsid w:val="00F85256"/>
    <w:rsid w:val="00F85441"/>
    <w:rsid w:val="00F87A0F"/>
    <w:rsid w:val="00F91363"/>
    <w:rsid w:val="00F957DE"/>
    <w:rsid w:val="00F979F9"/>
    <w:rsid w:val="00FA3F54"/>
    <w:rsid w:val="00FB13CF"/>
    <w:rsid w:val="00FB2735"/>
    <w:rsid w:val="00FC0389"/>
    <w:rsid w:val="00FC058B"/>
    <w:rsid w:val="00FC05C0"/>
    <w:rsid w:val="00FC3DF0"/>
    <w:rsid w:val="00FC5E59"/>
    <w:rsid w:val="00FC7C42"/>
    <w:rsid w:val="00FD6F8B"/>
    <w:rsid w:val="00FD765E"/>
    <w:rsid w:val="00FF1308"/>
    <w:rsid w:val="00FF69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0295C"/>
  <w15:chartTrackingRefBased/>
  <w15:docId w15:val="{43336762-73C4-4DBF-BD89-55373292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CE3"/>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9079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490794"/>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490794"/>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490794"/>
    <w:rPr>
      <w:vertAlign w:val="superscript"/>
    </w:rPr>
  </w:style>
  <w:style w:type="character" w:styleId="Hipervnculo">
    <w:name w:val="Hyperlink"/>
    <w:basedOn w:val="Fuentedeprrafopredeter"/>
    <w:uiPriority w:val="99"/>
    <w:unhideWhenUsed/>
    <w:rsid w:val="00490794"/>
    <w:rPr>
      <w:color w:val="0000FF"/>
      <w:u w:val="single"/>
    </w:rPr>
  </w:style>
  <w:style w:type="paragraph" w:customStyle="1" w:styleId="Appelnotedebasde">
    <w:name w:val="Appel note de bas de..."/>
    <w:basedOn w:val="Normal"/>
    <w:link w:val="Refdenotaalpie"/>
    <w:uiPriority w:val="99"/>
    <w:rsid w:val="00490794"/>
    <w:pPr>
      <w:spacing w:line="240" w:lineRule="exact"/>
    </w:pPr>
    <w:rPr>
      <w:kern w:val="2"/>
      <w:vertAlign w:val="superscript"/>
      <w14:ligatures w14:val="standardContextual"/>
    </w:rPr>
  </w:style>
  <w:style w:type="paragraph" w:styleId="Encabezado">
    <w:name w:val="header"/>
    <w:basedOn w:val="Normal"/>
    <w:link w:val="EncabezadoCar"/>
    <w:uiPriority w:val="99"/>
    <w:unhideWhenUsed/>
    <w:rsid w:val="004907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0794"/>
    <w:rPr>
      <w:kern w:val="0"/>
      <w14:ligatures w14:val="none"/>
    </w:rPr>
  </w:style>
  <w:style w:type="paragraph" w:styleId="Piedepgina">
    <w:name w:val="footer"/>
    <w:basedOn w:val="Normal"/>
    <w:link w:val="PiedepginaCar"/>
    <w:uiPriority w:val="99"/>
    <w:unhideWhenUsed/>
    <w:rsid w:val="004907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0794"/>
    <w:rPr>
      <w:kern w:val="0"/>
      <w14:ligatures w14:val="none"/>
    </w:rPr>
  </w:style>
  <w:style w:type="table" w:styleId="Tablaconcuadrcula">
    <w:name w:val="Table Grid"/>
    <w:basedOn w:val="Tablanormal"/>
    <w:uiPriority w:val="39"/>
    <w:rsid w:val="0049079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Fuentedeprrafopredeter"/>
    <w:rsid w:val="00490794"/>
  </w:style>
  <w:style w:type="paragraph" w:styleId="Prrafodelista">
    <w:name w:val="List Paragraph"/>
    <w:basedOn w:val="Normal"/>
    <w:uiPriority w:val="34"/>
    <w:qFormat/>
    <w:rsid w:val="00CC0B5C"/>
    <w:pPr>
      <w:ind w:left="720"/>
      <w:contextualSpacing/>
    </w:pPr>
  </w:style>
  <w:style w:type="paragraph" w:styleId="Revisin">
    <w:name w:val="Revision"/>
    <w:hidden/>
    <w:uiPriority w:val="99"/>
    <w:semiHidden/>
    <w:rsid w:val="009238C2"/>
    <w:pPr>
      <w:spacing w:after="0" w:line="240" w:lineRule="auto"/>
    </w:pPr>
    <w:rPr>
      <w:kern w:val="0"/>
      <w14:ligatures w14:val="none"/>
    </w:rPr>
  </w:style>
  <w:style w:type="paragraph" w:styleId="Textoindependiente">
    <w:name w:val="Body Text"/>
    <w:basedOn w:val="Normal"/>
    <w:link w:val="TextoindependienteCar"/>
    <w:uiPriority w:val="99"/>
    <w:semiHidden/>
    <w:unhideWhenUsed/>
    <w:rsid w:val="009544DA"/>
    <w:pPr>
      <w:spacing w:after="120"/>
    </w:pPr>
  </w:style>
  <w:style w:type="character" w:customStyle="1" w:styleId="TextoindependienteCar">
    <w:name w:val="Texto independiente Car"/>
    <w:basedOn w:val="Fuentedeprrafopredeter"/>
    <w:link w:val="Textoindependiente"/>
    <w:uiPriority w:val="99"/>
    <w:semiHidden/>
    <w:rsid w:val="009544DA"/>
    <w:rPr>
      <w:kern w:val="0"/>
      <w14:ligatures w14:val="none"/>
    </w:rPr>
  </w:style>
  <w:style w:type="paragraph" w:customStyle="1" w:styleId="Car1">
    <w:name w:val="Car1"/>
    <w:basedOn w:val="Normal"/>
    <w:next w:val="Textonotapie"/>
    <w:uiPriority w:val="99"/>
    <w:qFormat/>
    <w:rsid w:val="00AE4C3E"/>
    <w:pPr>
      <w:spacing w:after="0" w:line="240" w:lineRule="auto"/>
    </w:pPr>
    <w:rPr>
      <w:sz w:val="20"/>
      <w:szCs w:val="20"/>
      <w:lang w:val="es-MX"/>
    </w:rPr>
  </w:style>
  <w:style w:type="character" w:customStyle="1" w:styleId="Hipervnculo1">
    <w:name w:val="Hipervínculo1"/>
    <w:basedOn w:val="Fuentedeprrafopredeter"/>
    <w:uiPriority w:val="99"/>
    <w:unhideWhenUsed/>
    <w:rsid w:val="008F3537"/>
    <w:rPr>
      <w:color w:val="F2F2F2"/>
      <w:u w:val="single"/>
    </w:rPr>
  </w:style>
  <w:style w:type="character" w:styleId="Textoennegrita">
    <w:name w:val="Strong"/>
    <w:basedOn w:val="Fuentedeprrafopredeter"/>
    <w:uiPriority w:val="22"/>
    <w:qFormat/>
    <w:rsid w:val="002D74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files_2020/vf_umbrales_actualizaciones_2022_-_2023_1.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7E6C63-0F7A-48C2-82CE-E7B92FE3849B}">
  <ds:schemaRefs>
    <ds:schemaRef ds:uri="http://schemas.openxmlformats.org/officeDocument/2006/bibliography"/>
  </ds:schemaRefs>
</ds:datastoreItem>
</file>

<file path=customXml/itemProps2.xml><?xml version="1.0" encoding="utf-8"?>
<ds:datastoreItem xmlns:ds="http://schemas.openxmlformats.org/officeDocument/2006/customXml" ds:itemID="{BA8C1325-0654-4A1B-B4CF-130C690DC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9333A-566A-488D-B885-5D76E316AC46}">
  <ds:schemaRefs>
    <ds:schemaRef ds:uri="http://schemas.microsoft.com/sharepoint/v3/contenttype/forms"/>
  </ds:schemaRefs>
</ds:datastoreItem>
</file>

<file path=customXml/itemProps4.xml><?xml version="1.0" encoding="utf-8"?>
<ds:datastoreItem xmlns:ds="http://schemas.openxmlformats.org/officeDocument/2006/customXml" ds:itemID="{91151569-4EA3-46C1-B831-D311E1D7429E}">
  <ds:schemaRefs>
    <ds:schemaRef ds:uri="http://purl.org/dc/terms/"/>
    <ds:schemaRef ds:uri="http://schemas.microsoft.com/office/infopath/2007/PartnerControls"/>
    <ds:schemaRef ds:uri="a6cb9e4b-f1d1-4245-83ec-6cad768d538a"/>
    <ds:schemaRef ds:uri="http://schemas.openxmlformats.org/package/2006/metadata/core-properties"/>
    <ds:schemaRef ds:uri="http://purl.org/dc/elements/1.1/"/>
    <ds:schemaRef ds:uri="9d85dbaf-23eb-4e57-a637-93dcacc8b1a1"/>
    <ds:schemaRef ds:uri="http://schemas.microsoft.com/office/2006/metadata/properties"/>
    <ds:schemaRef ds:uri="http://www.w3.org/XML/1998/namespace"/>
    <ds:schemaRef ds:uri="http://schemas.microsoft.com/office/2006/documentManagement/typ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8206</Words>
  <Characters>45137</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Nasly Yeana Mosquera Rivas</cp:lastModifiedBy>
  <cp:revision>2</cp:revision>
  <dcterms:created xsi:type="dcterms:W3CDTF">2024-02-26T13:03:00Z</dcterms:created>
  <dcterms:modified xsi:type="dcterms:W3CDTF">2024-02-26T13:03:00Z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