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2FE4" w14:textId="77777777" w:rsidR="005D1D45" w:rsidRPr="00E563D6" w:rsidRDefault="005D1D45" w:rsidP="00E245AB">
      <w:pPr>
        <w:spacing w:after="0"/>
        <w:rPr>
          <w:rFonts w:ascii="Century Gothic" w:hAnsi="Century Gothic" w:cs="Arial"/>
        </w:rPr>
      </w:pPr>
      <w:bookmarkStart w:id="0" w:name="_Hlk143780582"/>
    </w:p>
    <w:p w14:paraId="3F22043E" w14:textId="77777777" w:rsidR="001B037A" w:rsidRPr="00E563D6" w:rsidRDefault="001B037A" w:rsidP="001B037A">
      <w:pPr>
        <w:spacing w:after="0" w:line="240" w:lineRule="auto"/>
        <w:jc w:val="both"/>
        <w:rPr>
          <w:rFonts w:ascii="Century Gothic" w:eastAsia="Calibri" w:hAnsi="Century Gothic" w:cs="Arial"/>
          <w:b/>
        </w:rPr>
      </w:pPr>
      <w:r w:rsidRPr="00E563D6">
        <w:rPr>
          <w:rFonts w:ascii="Century Gothic" w:eastAsia="Calibri" w:hAnsi="Century Gothic" w:cs="Arial"/>
          <w:b/>
        </w:rPr>
        <w:t xml:space="preserve">ARTÍCULO 2.2.1.2.4.2.16 DEL DECRETO 1860 DE 2021 – Propósito – sujetos de especial protección constitucional </w:t>
      </w:r>
    </w:p>
    <w:p w14:paraId="17099ECF" w14:textId="77777777" w:rsidR="001B037A" w:rsidRPr="00E563D6" w:rsidRDefault="001B037A" w:rsidP="001B037A">
      <w:pPr>
        <w:spacing w:after="0" w:line="240" w:lineRule="auto"/>
        <w:jc w:val="both"/>
        <w:rPr>
          <w:rFonts w:ascii="Century Gothic" w:eastAsia="Calibri" w:hAnsi="Century Gothic" w:cs="Arial"/>
          <w:sz w:val="20"/>
          <w:szCs w:val="20"/>
        </w:rPr>
      </w:pPr>
    </w:p>
    <w:p w14:paraId="671E2E55" w14:textId="77777777" w:rsidR="001B037A" w:rsidRPr="00E563D6" w:rsidRDefault="001B037A" w:rsidP="001B037A">
      <w:pPr>
        <w:tabs>
          <w:tab w:val="left" w:pos="6551"/>
        </w:tabs>
        <w:spacing w:after="0" w:line="240" w:lineRule="auto"/>
        <w:jc w:val="both"/>
        <w:rPr>
          <w:rFonts w:ascii="Century Gothic" w:eastAsia="Calibri" w:hAnsi="Century Gothic" w:cs="Arial"/>
          <w:bCs/>
          <w:sz w:val="20"/>
          <w:szCs w:val="20"/>
        </w:rPr>
      </w:pPr>
      <w:r w:rsidRPr="00E563D6">
        <w:rPr>
          <w:rFonts w:ascii="Century Gothic" w:eastAsia="Calibri" w:hAnsi="Century Gothic" w:cs="Arial"/>
          <w:bCs/>
          <w:sz w:val="20"/>
          <w:szCs w:val="20"/>
        </w:rPr>
        <w:t>Ahora bien, es necesario tener en cuenta que el Gobierno Nacional expidió el Decreto 1860 de 24 de diciembre de 2021, el cual adicionó el artículo</w:t>
      </w:r>
      <w:r w:rsidRPr="00E563D6">
        <w:rPr>
          <w:rFonts w:ascii="Arial" w:eastAsia="Calibri" w:hAnsi="Arial" w:cs="Arial"/>
          <w:bCs/>
          <w:sz w:val="20"/>
          <w:szCs w:val="20"/>
        </w:rPr>
        <w:t> </w:t>
      </w:r>
      <w:r w:rsidRPr="00E563D6">
        <w:rPr>
          <w:rFonts w:ascii="Century Gothic" w:eastAsia="Calibri" w:hAnsi="Century Gothic" w:cs="Arial"/>
          <w:bCs/>
          <w:sz w:val="20"/>
          <w:szCs w:val="20"/>
        </w:rPr>
        <w:t>2.2.1.2.4.2.16</w:t>
      </w:r>
      <w:r w:rsidRPr="00E563D6">
        <w:rPr>
          <w:rFonts w:ascii="Arial" w:eastAsia="Calibri" w:hAnsi="Arial" w:cs="Arial"/>
          <w:bCs/>
          <w:sz w:val="20"/>
          <w:szCs w:val="20"/>
        </w:rPr>
        <w:t> </w:t>
      </w:r>
      <w:r w:rsidRPr="00E563D6">
        <w:rPr>
          <w:rFonts w:ascii="Century Gothic" w:eastAsia="Calibri" w:hAnsi="Century Gothic" w:cs="Arial"/>
          <w:bCs/>
          <w:sz w:val="20"/>
          <w:szCs w:val="20"/>
        </w:rPr>
        <w:t>a la Subsecci</w:t>
      </w:r>
      <w:r w:rsidRPr="00E563D6">
        <w:rPr>
          <w:rFonts w:ascii="Century Gothic" w:eastAsia="Calibri" w:hAnsi="Century Gothic" w:cs="Century Gothic"/>
          <w:bCs/>
          <w:sz w:val="20"/>
          <w:szCs w:val="20"/>
        </w:rPr>
        <w:t>ó</w:t>
      </w:r>
      <w:r w:rsidRPr="00E563D6">
        <w:rPr>
          <w:rFonts w:ascii="Century Gothic" w:eastAsia="Calibri" w:hAnsi="Century Gothic" w:cs="Arial"/>
          <w:bCs/>
          <w:sz w:val="20"/>
          <w:szCs w:val="20"/>
        </w:rPr>
        <w:t>n 2 de la Secci</w:t>
      </w:r>
      <w:r w:rsidRPr="00E563D6">
        <w:rPr>
          <w:rFonts w:ascii="Century Gothic" w:eastAsia="Calibri" w:hAnsi="Century Gothic" w:cs="Century Gothic"/>
          <w:bCs/>
          <w:sz w:val="20"/>
          <w:szCs w:val="20"/>
        </w:rPr>
        <w:t>ó</w:t>
      </w:r>
      <w:r w:rsidRPr="00E563D6">
        <w:rPr>
          <w:rFonts w:ascii="Century Gothic" w:eastAsia="Calibri" w:hAnsi="Century Gothic" w:cs="Arial"/>
          <w:bCs/>
          <w:sz w:val="20"/>
          <w:szCs w:val="20"/>
        </w:rPr>
        <w:t>n 4 del Cap</w:t>
      </w:r>
      <w:r w:rsidRPr="00E563D6">
        <w:rPr>
          <w:rFonts w:ascii="Century Gothic" w:eastAsia="Calibri" w:hAnsi="Century Gothic" w:cs="Century Gothic"/>
          <w:bCs/>
          <w:sz w:val="20"/>
          <w:szCs w:val="20"/>
        </w:rPr>
        <w:t>í</w:t>
      </w:r>
      <w:r w:rsidRPr="00E563D6">
        <w:rPr>
          <w:rFonts w:ascii="Century Gothic" w:eastAsia="Calibri" w:hAnsi="Century Gothic" w:cs="Arial"/>
          <w:bCs/>
          <w:sz w:val="20"/>
          <w:szCs w:val="20"/>
        </w:rPr>
        <w:t>tulo 2 del T</w:t>
      </w:r>
      <w:r w:rsidRPr="00E563D6">
        <w:rPr>
          <w:rFonts w:ascii="Century Gothic" w:eastAsia="Calibri" w:hAnsi="Century Gothic" w:cs="Century Gothic"/>
          <w:bCs/>
          <w:sz w:val="20"/>
          <w:szCs w:val="20"/>
        </w:rPr>
        <w:t>í</w:t>
      </w:r>
      <w:r w:rsidRPr="00E563D6">
        <w:rPr>
          <w:rFonts w:ascii="Century Gothic" w:eastAsia="Calibri" w:hAnsi="Century Gothic" w:cs="Arial"/>
          <w:bCs/>
          <w:sz w:val="20"/>
          <w:szCs w:val="20"/>
        </w:rPr>
        <w:t xml:space="preserve">tulo 1 de la Parte 2 del Libro 2 del Decreto 1082 de 2015, </w:t>
      </w:r>
      <w:r w:rsidRPr="00E563D6">
        <w:rPr>
          <w:rFonts w:ascii="Century Gothic" w:eastAsia="Calibri" w:hAnsi="Century Gothic" w:cs="Century Gothic"/>
          <w:bCs/>
          <w:sz w:val="20"/>
          <w:szCs w:val="20"/>
        </w:rPr>
        <w:t>Ú</w:t>
      </w:r>
      <w:r w:rsidRPr="00E563D6">
        <w:rPr>
          <w:rFonts w:ascii="Century Gothic" w:eastAsia="Calibri" w:hAnsi="Century Gothic" w:cs="Arial"/>
          <w:bCs/>
          <w:sz w:val="20"/>
          <w:szCs w:val="20"/>
        </w:rPr>
        <w:t>nico Reglamentario del Sector Administrativo de Planeaci</w:t>
      </w:r>
      <w:r w:rsidRPr="00E563D6">
        <w:rPr>
          <w:rFonts w:ascii="Century Gothic" w:eastAsia="Calibri" w:hAnsi="Century Gothic" w:cs="Century Gothic"/>
          <w:bCs/>
          <w:sz w:val="20"/>
          <w:szCs w:val="20"/>
        </w:rPr>
        <w:t>ó</w:t>
      </w:r>
      <w:r w:rsidRPr="00E563D6">
        <w:rPr>
          <w:rFonts w:ascii="Century Gothic" w:eastAsia="Calibri" w:hAnsi="Century Gothic" w:cs="Arial"/>
          <w:bCs/>
          <w:sz w:val="20"/>
          <w:szCs w:val="20"/>
        </w:rPr>
        <w:t>n Nacional. Esto para desarrollar el inciso cuarto del art</w:t>
      </w:r>
      <w:r w:rsidRPr="00E563D6">
        <w:rPr>
          <w:rFonts w:ascii="Century Gothic" w:eastAsia="Calibri" w:hAnsi="Century Gothic" w:cs="Century Gothic"/>
          <w:bCs/>
          <w:sz w:val="20"/>
          <w:szCs w:val="20"/>
        </w:rPr>
        <w:t>í</w:t>
      </w:r>
      <w:r w:rsidRPr="00E563D6">
        <w:rPr>
          <w:rFonts w:ascii="Century Gothic" w:eastAsia="Calibri" w:hAnsi="Century Gothic" w:cs="Arial"/>
          <w:bCs/>
          <w:sz w:val="20"/>
          <w:szCs w:val="20"/>
        </w:rPr>
        <w:t xml:space="preserve">culo 34 de la Ley 2069 de 2020, el cual dispone que </w:t>
      </w:r>
      <w:r w:rsidRPr="00E563D6">
        <w:rPr>
          <w:rFonts w:ascii="Century Gothic" w:eastAsia="Calibri" w:hAnsi="Century Gothic" w:cs="Century Gothic"/>
          <w:bCs/>
          <w:sz w:val="20"/>
          <w:szCs w:val="20"/>
        </w:rPr>
        <w:t>“</w:t>
      </w:r>
      <w:r w:rsidRPr="00E563D6">
        <w:rPr>
          <w:rFonts w:ascii="Century Gothic" w:eastAsia="Calibri" w:hAnsi="Century Gothic" w:cs="Arial"/>
          <w:bCs/>
          <w:sz w:val="20"/>
          <w:szCs w:val="20"/>
        </w:rPr>
        <w:t>[</w:t>
      </w:r>
      <w:r w:rsidRPr="00E563D6">
        <w:rPr>
          <w:rFonts w:ascii="Century Gothic" w:eastAsia="Calibri" w:hAnsi="Century Gothic" w:cs="Century Gothic"/>
          <w:bCs/>
          <w:sz w:val="20"/>
          <w:szCs w:val="20"/>
        </w:rPr>
        <w:t>…</w:t>
      </w:r>
      <w:r w:rsidRPr="00E563D6">
        <w:rPr>
          <w:rFonts w:ascii="Century Gothic" w:eastAsia="Calibri" w:hAnsi="Century Gothic" w:cs="Arial"/>
          <w:bCs/>
          <w:sz w:val="20"/>
          <w:szCs w:val="20"/>
        </w:rPr>
        <w:t>] en los pliegos de condiciones dispondr</w:t>
      </w:r>
      <w:r w:rsidRPr="00E563D6">
        <w:rPr>
          <w:rFonts w:ascii="Century Gothic" w:eastAsia="Calibri" w:hAnsi="Century Gothic" w:cs="Century Gothic"/>
          <w:bCs/>
          <w:sz w:val="20"/>
          <w:szCs w:val="20"/>
        </w:rPr>
        <w:t>á</w:t>
      </w:r>
      <w:r w:rsidRPr="00E563D6">
        <w:rPr>
          <w:rFonts w:ascii="Century Gothic" w:eastAsia="Calibri" w:hAnsi="Century Gothic" w:cs="Arial"/>
          <w:bCs/>
          <w:sz w:val="20"/>
          <w:szCs w:val="20"/>
        </w:rPr>
        <w:t>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6C84E064" w14:textId="77777777" w:rsidR="005D1D45" w:rsidRPr="00E563D6" w:rsidRDefault="005D1D45" w:rsidP="00E245AB">
      <w:pPr>
        <w:spacing w:after="0"/>
        <w:rPr>
          <w:rFonts w:ascii="Century Gothic" w:hAnsi="Century Gothic" w:cs="Arial"/>
        </w:rPr>
      </w:pPr>
    </w:p>
    <w:p w14:paraId="722E44F6" w14:textId="77777777" w:rsidR="00E563D6" w:rsidRPr="00E563D6" w:rsidRDefault="00E563D6" w:rsidP="00E563D6">
      <w:pPr>
        <w:tabs>
          <w:tab w:val="left" w:pos="6551"/>
        </w:tabs>
        <w:spacing w:after="0" w:line="240" w:lineRule="auto"/>
        <w:jc w:val="both"/>
        <w:rPr>
          <w:rFonts w:ascii="Century Gothic" w:eastAsia="Calibri" w:hAnsi="Century Gothic" w:cs="Arial"/>
          <w:b/>
          <w:color w:val="000000" w:themeColor="text1"/>
          <w:lang w:val="es-ES_tradnl"/>
        </w:rPr>
      </w:pPr>
      <w:r w:rsidRPr="00E563D6">
        <w:rPr>
          <w:rFonts w:ascii="Century Gothic" w:eastAsia="Calibri" w:hAnsi="Century Gothic" w:cs="Arial"/>
          <w:b/>
          <w:color w:val="000000" w:themeColor="text1"/>
          <w:lang w:val="es-ES_tradnl"/>
        </w:rPr>
        <w:t xml:space="preserve">INCENTIVO DE FOMENTO – Ejecución de contratos estatales por sujetos de especial protección constitucional – Aplicación discrecional </w:t>
      </w:r>
    </w:p>
    <w:p w14:paraId="74188654" w14:textId="77777777" w:rsidR="00E563D6" w:rsidRPr="00E563D6" w:rsidRDefault="00E563D6" w:rsidP="00E563D6">
      <w:pPr>
        <w:tabs>
          <w:tab w:val="left" w:pos="6551"/>
        </w:tabs>
        <w:spacing w:after="0" w:line="240" w:lineRule="auto"/>
        <w:jc w:val="both"/>
        <w:rPr>
          <w:rFonts w:ascii="Century Gothic" w:eastAsia="Calibri" w:hAnsi="Century Gothic" w:cs="Arial"/>
          <w:b/>
          <w:color w:val="000000" w:themeColor="text1"/>
          <w:lang w:val="es-ES_tradnl"/>
        </w:rPr>
      </w:pPr>
    </w:p>
    <w:p w14:paraId="6BE6332F" w14:textId="77777777" w:rsidR="00E563D6" w:rsidRPr="00E563D6" w:rsidRDefault="00E563D6" w:rsidP="00E563D6">
      <w:pPr>
        <w:spacing w:after="0" w:line="240" w:lineRule="auto"/>
        <w:jc w:val="both"/>
        <w:rPr>
          <w:rFonts w:ascii="Century Gothic" w:eastAsia="Calibri" w:hAnsi="Century Gothic" w:cs="Arial"/>
          <w:bCs/>
          <w:sz w:val="20"/>
          <w:szCs w:val="20"/>
        </w:rPr>
      </w:pPr>
      <w:r w:rsidRPr="00E563D6">
        <w:rPr>
          <w:rFonts w:ascii="Century Gothic" w:eastAsia="Calibri" w:hAnsi="Century Gothic" w:cs="Arial"/>
          <w:bCs/>
          <w:sz w:val="20"/>
          <w:szCs w:val="20"/>
        </w:rPr>
        <w:t>La aplicación del artículo</w:t>
      </w:r>
      <w:r w:rsidRPr="00E563D6">
        <w:rPr>
          <w:rFonts w:ascii="Arial" w:eastAsia="Calibri" w:hAnsi="Arial" w:cs="Arial"/>
          <w:bCs/>
          <w:sz w:val="20"/>
          <w:szCs w:val="20"/>
        </w:rPr>
        <w:t> </w:t>
      </w:r>
      <w:r w:rsidRPr="00E563D6">
        <w:rPr>
          <w:rFonts w:ascii="Century Gothic" w:eastAsia="Calibri" w:hAnsi="Century Gothic" w:cs="Arial"/>
          <w:bCs/>
          <w:sz w:val="20"/>
          <w:szCs w:val="20"/>
        </w:rPr>
        <w:t>2.2.1.2.4.2.16 del Decreto 1082 de 2015, que se traduce en la inclusi</w:t>
      </w:r>
      <w:r w:rsidRPr="00E563D6">
        <w:rPr>
          <w:rFonts w:ascii="Century Gothic" w:eastAsia="Calibri" w:hAnsi="Century Gothic" w:cs="Century Gothic"/>
          <w:bCs/>
          <w:sz w:val="20"/>
          <w:szCs w:val="20"/>
        </w:rPr>
        <w:t>ó</w:t>
      </w:r>
      <w:r w:rsidRPr="00E563D6">
        <w:rPr>
          <w:rFonts w:ascii="Century Gothic" w:eastAsia="Calibri" w:hAnsi="Century Gothic" w:cs="Arial"/>
          <w:bCs/>
          <w:sz w:val="20"/>
          <w:szCs w:val="20"/>
        </w:rPr>
        <w:t>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 Así las cosas, conforme a lo explicado en la memoria de la reglamentación, es necesario considerar que la regla de fomento:</w:t>
      </w:r>
    </w:p>
    <w:p w14:paraId="794676D9" w14:textId="77777777" w:rsidR="00E563D6" w:rsidRPr="00E563D6" w:rsidRDefault="00E563D6" w:rsidP="00E563D6">
      <w:pPr>
        <w:spacing w:after="0" w:line="240" w:lineRule="auto"/>
        <w:jc w:val="both"/>
        <w:rPr>
          <w:rFonts w:ascii="Century Gothic" w:eastAsia="Calibri" w:hAnsi="Century Gothic" w:cs="Arial"/>
          <w:bCs/>
          <w:sz w:val="20"/>
          <w:szCs w:val="20"/>
        </w:rPr>
      </w:pPr>
    </w:p>
    <w:p w14:paraId="1F4A6EE0" w14:textId="77777777" w:rsidR="00E563D6" w:rsidRPr="00E563D6" w:rsidRDefault="00E563D6" w:rsidP="00E563D6">
      <w:pPr>
        <w:spacing w:after="0" w:line="240" w:lineRule="auto"/>
        <w:jc w:val="both"/>
        <w:rPr>
          <w:rFonts w:ascii="Century Gothic" w:eastAsia="Calibri" w:hAnsi="Century Gothic" w:cs="Arial"/>
          <w:bCs/>
          <w:sz w:val="20"/>
          <w:szCs w:val="20"/>
        </w:rPr>
      </w:pPr>
      <w:r w:rsidRPr="00E563D6">
        <w:rPr>
          <w:rFonts w:ascii="Century Gothic" w:eastAsia="Calibri" w:hAnsi="Century Gothic" w:cs="Arial"/>
          <w:bCs/>
          <w:sz w:val="20"/>
          <w:szCs w:val="20"/>
        </w:rPr>
        <w:t xml:space="preserve">“[…] además de estar condicionada por un desarrollo normativo posterior, está limitada en el sentido que los mecanismos que se implementen para incentivar la provisión de bienes y servicios por población en pobreza extrema, desplazados por la violencia, personas en procesos de reintegración y reincorporación, o sujetos de especial protección constitucional, no afecten las condiciones de calidad y cumplimiento del 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w:t>
      </w:r>
      <w:r w:rsidRPr="00E563D6">
        <w:rPr>
          <w:rFonts w:ascii="Century Gothic" w:eastAsia="Calibri" w:hAnsi="Century Gothic" w:cs="Arial"/>
          <w:bCs/>
          <w:i/>
          <w:iCs/>
          <w:sz w:val="20"/>
          <w:szCs w:val="20"/>
        </w:rPr>
        <w:t>Por tanto,</w:t>
      </w:r>
      <w:r w:rsidRPr="00E563D6">
        <w:rPr>
          <w:rFonts w:ascii="Century Gothic" w:eastAsia="Calibri" w:hAnsi="Century Gothic" w:cs="Arial"/>
          <w:bCs/>
          <w:sz w:val="20"/>
          <w:szCs w:val="20"/>
        </w:rPr>
        <w:t xml:space="preserve"> </w:t>
      </w:r>
      <w:r w:rsidRPr="00E563D6">
        <w:rPr>
          <w:rFonts w:ascii="Century Gothic" w:eastAsia="Calibri" w:hAnsi="Century Gothic" w:cs="Arial"/>
          <w:bCs/>
          <w:i/>
          <w:iCs/>
          <w:sz w:val="20"/>
          <w:szCs w:val="20"/>
        </w:rPr>
        <w:t>la inclusión de los mecanismos de fomento mencionados en inciso 4 del artículo 34 de la Ley 2069 en los pliegos de condiciones, e incluso en las obligaciones del contrato, es un asunto que compete a las entidades contratantes, dentro del marco que determine el reglamento</w:t>
      </w:r>
      <w:r w:rsidRPr="00E563D6">
        <w:rPr>
          <w:rFonts w:ascii="Century Gothic" w:eastAsia="Calibri" w:hAnsi="Century Gothic" w:cs="Arial"/>
          <w:bCs/>
          <w:sz w:val="20"/>
          <w:szCs w:val="20"/>
        </w:rPr>
        <w:t>”. (Énfasis fuera de texto)</w:t>
      </w:r>
    </w:p>
    <w:p w14:paraId="058C4D96" w14:textId="77777777" w:rsidR="00E563D6" w:rsidRPr="00E563D6" w:rsidRDefault="00E563D6" w:rsidP="00E563D6">
      <w:pPr>
        <w:spacing w:after="0" w:line="240" w:lineRule="auto"/>
        <w:jc w:val="both"/>
        <w:rPr>
          <w:rFonts w:ascii="Century Gothic" w:eastAsia="Calibri" w:hAnsi="Century Gothic" w:cs="Arial"/>
          <w:bCs/>
          <w:sz w:val="20"/>
          <w:szCs w:val="20"/>
        </w:rPr>
      </w:pPr>
    </w:p>
    <w:p w14:paraId="72892E88" w14:textId="77777777" w:rsidR="00E563D6" w:rsidRPr="00E563D6" w:rsidRDefault="00E563D6" w:rsidP="00E563D6">
      <w:pPr>
        <w:spacing w:after="0" w:line="240" w:lineRule="auto"/>
        <w:jc w:val="both"/>
        <w:rPr>
          <w:rFonts w:ascii="Century Gothic" w:eastAsia="Calibri" w:hAnsi="Century Gothic" w:cs="Arial"/>
          <w:bCs/>
          <w:sz w:val="20"/>
          <w:szCs w:val="20"/>
        </w:rPr>
      </w:pPr>
      <w:r w:rsidRPr="00E563D6">
        <w:rPr>
          <w:rFonts w:ascii="Century Gothic" w:eastAsia="Calibri" w:hAnsi="Century Gothic" w:cs="Arial"/>
          <w:bCs/>
          <w:sz w:val="20"/>
          <w:szCs w:val="20"/>
        </w:rPr>
        <w:t xml:space="preserve">En consecuencia, dado que el fomento a la ejecución de contratos estatales con participación de sujetos de especial protección constitucional en la provisión de los bienes y servicios para el cumplimiento del objeto contractual se realizará bajo criterios de </w:t>
      </w:r>
      <w:r w:rsidRPr="00E563D6">
        <w:rPr>
          <w:rFonts w:ascii="Century Gothic" w:eastAsia="Calibri" w:hAnsi="Century Gothic" w:cs="Arial"/>
          <w:bCs/>
          <w:sz w:val="20"/>
          <w:szCs w:val="20"/>
        </w:rPr>
        <w:lastRenderedPageBreak/>
        <w:t>oportunidad y conveniencia, garantizando la calidad y sin poner en riesgo el cumplimiento del contrato, debe concluirse que la aplicación de este incentivo es de naturaleza discrecional.</w:t>
      </w:r>
    </w:p>
    <w:p w14:paraId="13CB1CB5" w14:textId="77777777" w:rsidR="00E563D6" w:rsidRDefault="00E563D6" w:rsidP="00E563D6">
      <w:pPr>
        <w:spacing w:after="0"/>
        <w:rPr>
          <w:rFonts w:ascii="Arial" w:eastAsia="Geomanist Light" w:hAnsi="Arial" w:cs="Arial"/>
          <w:color w:val="201F1E"/>
          <w:lang w:val="es-MX"/>
        </w:rPr>
      </w:pPr>
    </w:p>
    <w:p w14:paraId="088A4931" w14:textId="77777777" w:rsidR="005D1D45" w:rsidRDefault="005D1D45" w:rsidP="00E245AB">
      <w:pPr>
        <w:spacing w:after="0"/>
        <w:rPr>
          <w:rFonts w:ascii="Century Gothic" w:hAnsi="Century Gothic" w:cs="Arial"/>
        </w:rPr>
      </w:pPr>
    </w:p>
    <w:p w14:paraId="2C4EFE6D" w14:textId="77777777" w:rsidR="005D1D45" w:rsidRDefault="005D1D45" w:rsidP="00E245AB">
      <w:pPr>
        <w:spacing w:after="0"/>
        <w:rPr>
          <w:rFonts w:ascii="Century Gothic" w:hAnsi="Century Gothic" w:cs="Arial"/>
        </w:rPr>
      </w:pPr>
    </w:p>
    <w:p w14:paraId="2C2D0746" w14:textId="77777777" w:rsidR="00E563D6" w:rsidRDefault="00E563D6" w:rsidP="00E245AB">
      <w:pPr>
        <w:spacing w:after="0"/>
        <w:rPr>
          <w:rFonts w:ascii="Century Gothic" w:hAnsi="Century Gothic" w:cs="Arial"/>
        </w:rPr>
      </w:pPr>
    </w:p>
    <w:p w14:paraId="101B2194" w14:textId="77777777" w:rsidR="00E563D6" w:rsidRDefault="00E563D6" w:rsidP="00E245AB">
      <w:pPr>
        <w:spacing w:after="0"/>
        <w:rPr>
          <w:rFonts w:ascii="Century Gothic" w:hAnsi="Century Gothic" w:cs="Arial"/>
        </w:rPr>
      </w:pPr>
    </w:p>
    <w:p w14:paraId="6FF160C5" w14:textId="77777777" w:rsidR="00E563D6" w:rsidRDefault="00E563D6" w:rsidP="00E245AB">
      <w:pPr>
        <w:spacing w:after="0"/>
        <w:rPr>
          <w:rFonts w:ascii="Century Gothic" w:hAnsi="Century Gothic" w:cs="Arial"/>
        </w:rPr>
      </w:pPr>
    </w:p>
    <w:p w14:paraId="00A554FE" w14:textId="77777777" w:rsidR="00E563D6" w:rsidRDefault="00E563D6" w:rsidP="00E245AB">
      <w:pPr>
        <w:spacing w:after="0"/>
        <w:rPr>
          <w:rFonts w:ascii="Century Gothic" w:hAnsi="Century Gothic" w:cs="Arial"/>
        </w:rPr>
      </w:pPr>
    </w:p>
    <w:p w14:paraId="40A1D678" w14:textId="77777777" w:rsidR="00E563D6" w:rsidRDefault="00E563D6" w:rsidP="00E245AB">
      <w:pPr>
        <w:spacing w:after="0"/>
        <w:rPr>
          <w:rFonts w:ascii="Century Gothic" w:hAnsi="Century Gothic" w:cs="Arial"/>
        </w:rPr>
      </w:pPr>
    </w:p>
    <w:p w14:paraId="6CA1DF22" w14:textId="77777777" w:rsidR="00E563D6" w:rsidRDefault="00E563D6" w:rsidP="00E245AB">
      <w:pPr>
        <w:spacing w:after="0"/>
        <w:rPr>
          <w:rFonts w:ascii="Century Gothic" w:hAnsi="Century Gothic" w:cs="Arial"/>
        </w:rPr>
      </w:pPr>
    </w:p>
    <w:p w14:paraId="4AB2CE5B" w14:textId="77777777" w:rsidR="00E563D6" w:rsidRDefault="00E563D6" w:rsidP="00E245AB">
      <w:pPr>
        <w:spacing w:after="0"/>
        <w:rPr>
          <w:rFonts w:ascii="Century Gothic" w:hAnsi="Century Gothic" w:cs="Arial"/>
        </w:rPr>
      </w:pPr>
    </w:p>
    <w:p w14:paraId="3B4303A7" w14:textId="77777777" w:rsidR="00E563D6" w:rsidRDefault="00E563D6" w:rsidP="00E245AB">
      <w:pPr>
        <w:spacing w:after="0"/>
        <w:rPr>
          <w:rFonts w:ascii="Century Gothic" w:hAnsi="Century Gothic" w:cs="Arial"/>
        </w:rPr>
      </w:pPr>
    </w:p>
    <w:p w14:paraId="52D7C057" w14:textId="77777777" w:rsidR="00E563D6" w:rsidRDefault="00E563D6" w:rsidP="00E245AB">
      <w:pPr>
        <w:spacing w:after="0"/>
        <w:rPr>
          <w:rFonts w:ascii="Century Gothic" w:hAnsi="Century Gothic" w:cs="Arial"/>
        </w:rPr>
      </w:pPr>
    </w:p>
    <w:p w14:paraId="61096AD1" w14:textId="77777777" w:rsidR="00E563D6" w:rsidRDefault="00E563D6" w:rsidP="00E245AB">
      <w:pPr>
        <w:spacing w:after="0"/>
        <w:rPr>
          <w:rFonts w:ascii="Century Gothic" w:hAnsi="Century Gothic" w:cs="Arial"/>
        </w:rPr>
      </w:pPr>
    </w:p>
    <w:p w14:paraId="42242B0A" w14:textId="77777777" w:rsidR="00E563D6" w:rsidRDefault="00E563D6" w:rsidP="00E245AB">
      <w:pPr>
        <w:spacing w:after="0"/>
        <w:rPr>
          <w:rFonts w:ascii="Century Gothic" w:hAnsi="Century Gothic" w:cs="Arial"/>
        </w:rPr>
      </w:pPr>
    </w:p>
    <w:p w14:paraId="476DEE9A" w14:textId="77777777" w:rsidR="00E563D6" w:rsidRDefault="00E563D6" w:rsidP="00E245AB">
      <w:pPr>
        <w:spacing w:after="0"/>
        <w:rPr>
          <w:rFonts w:ascii="Century Gothic" w:hAnsi="Century Gothic" w:cs="Arial"/>
        </w:rPr>
      </w:pPr>
    </w:p>
    <w:p w14:paraId="1F0F74C4" w14:textId="77777777" w:rsidR="00E563D6" w:rsidRDefault="00E563D6" w:rsidP="00E245AB">
      <w:pPr>
        <w:spacing w:after="0"/>
        <w:rPr>
          <w:rFonts w:ascii="Century Gothic" w:hAnsi="Century Gothic" w:cs="Arial"/>
        </w:rPr>
      </w:pPr>
    </w:p>
    <w:p w14:paraId="12F51F73" w14:textId="77777777" w:rsidR="00E563D6" w:rsidRDefault="00E563D6" w:rsidP="00E245AB">
      <w:pPr>
        <w:spacing w:after="0"/>
        <w:rPr>
          <w:rFonts w:ascii="Century Gothic" w:hAnsi="Century Gothic" w:cs="Arial"/>
        </w:rPr>
      </w:pPr>
    </w:p>
    <w:p w14:paraId="64F9148E" w14:textId="77777777" w:rsidR="00E563D6" w:rsidRDefault="00E563D6" w:rsidP="00E245AB">
      <w:pPr>
        <w:spacing w:after="0"/>
        <w:rPr>
          <w:rFonts w:ascii="Century Gothic" w:hAnsi="Century Gothic" w:cs="Arial"/>
        </w:rPr>
      </w:pPr>
    </w:p>
    <w:p w14:paraId="2180F875" w14:textId="77777777" w:rsidR="00E563D6" w:rsidRDefault="00E563D6" w:rsidP="00E245AB">
      <w:pPr>
        <w:spacing w:after="0"/>
        <w:rPr>
          <w:rFonts w:ascii="Century Gothic" w:hAnsi="Century Gothic" w:cs="Arial"/>
        </w:rPr>
      </w:pPr>
    </w:p>
    <w:p w14:paraId="0286709D" w14:textId="77777777" w:rsidR="00E563D6" w:rsidRDefault="00E563D6" w:rsidP="00E245AB">
      <w:pPr>
        <w:spacing w:after="0"/>
        <w:rPr>
          <w:rFonts w:ascii="Century Gothic" w:hAnsi="Century Gothic" w:cs="Arial"/>
        </w:rPr>
      </w:pPr>
    </w:p>
    <w:p w14:paraId="2473F1A5" w14:textId="77777777" w:rsidR="00E563D6" w:rsidRDefault="00E563D6" w:rsidP="00E245AB">
      <w:pPr>
        <w:spacing w:after="0"/>
        <w:rPr>
          <w:rFonts w:ascii="Century Gothic" w:hAnsi="Century Gothic" w:cs="Arial"/>
        </w:rPr>
      </w:pPr>
    </w:p>
    <w:p w14:paraId="10314602" w14:textId="77777777" w:rsidR="00E563D6" w:rsidRDefault="00E563D6" w:rsidP="00E245AB">
      <w:pPr>
        <w:spacing w:after="0"/>
        <w:rPr>
          <w:rFonts w:ascii="Century Gothic" w:hAnsi="Century Gothic" w:cs="Arial"/>
        </w:rPr>
      </w:pPr>
    </w:p>
    <w:p w14:paraId="2E09141E" w14:textId="77777777" w:rsidR="00E563D6" w:rsidRDefault="00E563D6" w:rsidP="00E245AB">
      <w:pPr>
        <w:spacing w:after="0"/>
        <w:rPr>
          <w:rFonts w:ascii="Century Gothic" w:hAnsi="Century Gothic" w:cs="Arial"/>
        </w:rPr>
      </w:pPr>
    </w:p>
    <w:p w14:paraId="4443402F" w14:textId="77777777" w:rsidR="00E563D6" w:rsidRDefault="00E563D6" w:rsidP="00E245AB">
      <w:pPr>
        <w:spacing w:after="0"/>
        <w:rPr>
          <w:rFonts w:ascii="Century Gothic" w:hAnsi="Century Gothic" w:cs="Arial"/>
        </w:rPr>
      </w:pPr>
    </w:p>
    <w:p w14:paraId="62C80844" w14:textId="77777777" w:rsidR="00E563D6" w:rsidRDefault="00E563D6" w:rsidP="00E245AB">
      <w:pPr>
        <w:spacing w:after="0"/>
        <w:rPr>
          <w:rFonts w:ascii="Century Gothic" w:hAnsi="Century Gothic" w:cs="Arial"/>
        </w:rPr>
      </w:pPr>
    </w:p>
    <w:p w14:paraId="16622899" w14:textId="77777777" w:rsidR="00E563D6" w:rsidRDefault="00E563D6" w:rsidP="00E245AB">
      <w:pPr>
        <w:spacing w:after="0"/>
        <w:rPr>
          <w:rFonts w:ascii="Century Gothic" w:hAnsi="Century Gothic" w:cs="Arial"/>
        </w:rPr>
      </w:pPr>
    </w:p>
    <w:p w14:paraId="242C6E5D" w14:textId="77777777" w:rsidR="00E563D6" w:rsidRDefault="00E563D6" w:rsidP="00E245AB">
      <w:pPr>
        <w:spacing w:after="0"/>
        <w:rPr>
          <w:rFonts w:ascii="Century Gothic" w:hAnsi="Century Gothic" w:cs="Arial"/>
        </w:rPr>
      </w:pPr>
    </w:p>
    <w:p w14:paraId="312D8D0F" w14:textId="77777777" w:rsidR="00E563D6" w:rsidRDefault="00E563D6" w:rsidP="00E245AB">
      <w:pPr>
        <w:spacing w:after="0"/>
        <w:rPr>
          <w:rFonts w:ascii="Century Gothic" w:hAnsi="Century Gothic" w:cs="Arial"/>
        </w:rPr>
      </w:pPr>
    </w:p>
    <w:p w14:paraId="1EDEAA48" w14:textId="77777777" w:rsidR="00E563D6" w:rsidRDefault="00E563D6" w:rsidP="00E245AB">
      <w:pPr>
        <w:spacing w:after="0"/>
        <w:rPr>
          <w:rFonts w:ascii="Century Gothic" w:hAnsi="Century Gothic" w:cs="Arial"/>
        </w:rPr>
      </w:pPr>
    </w:p>
    <w:p w14:paraId="6637B405" w14:textId="77777777" w:rsidR="00E563D6" w:rsidRDefault="00E563D6" w:rsidP="00E245AB">
      <w:pPr>
        <w:spacing w:after="0"/>
        <w:rPr>
          <w:rFonts w:ascii="Century Gothic" w:hAnsi="Century Gothic" w:cs="Arial"/>
        </w:rPr>
      </w:pPr>
    </w:p>
    <w:p w14:paraId="25C83587" w14:textId="77777777" w:rsidR="00E563D6" w:rsidRDefault="00E563D6" w:rsidP="00E245AB">
      <w:pPr>
        <w:spacing w:after="0"/>
        <w:rPr>
          <w:rFonts w:ascii="Century Gothic" w:hAnsi="Century Gothic" w:cs="Arial"/>
        </w:rPr>
      </w:pPr>
    </w:p>
    <w:p w14:paraId="5F84158E" w14:textId="77777777" w:rsidR="00E563D6" w:rsidRDefault="00E563D6" w:rsidP="00E245AB">
      <w:pPr>
        <w:spacing w:after="0"/>
        <w:rPr>
          <w:rFonts w:ascii="Century Gothic" w:hAnsi="Century Gothic" w:cs="Arial"/>
        </w:rPr>
      </w:pPr>
    </w:p>
    <w:p w14:paraId="39198DAB" w14:textId="77777777" w:rsidR="00E563D6" w:rsidRDefault="00E563D6" w:rsidP="00E245AB">
      <w:pPr>
        <w:spacing w:after="0"/>
        <w:rPr>
          <w:rFonts w:ascii="Century Gothic" w:hAnsi="Century Gothic" w:cs="Arial"/>
        </w:rPr>
      </w:pPr>
    </w:p>
    <w:p w14:paraId="140530A3" w14:textId="77777777" w:rsidR="00E563D6" w:rsidRDefault="00E563D6" w:rsidP="00E245AB">
      <w:pPr>
        <w:spacing w:after="0"/>
        <w:rPr>
          <w:rFonts w:ascii="Century Gothic" w:hAnsi="Century Gothic" w:cs="Arial"/>
        </w:rPr>
      </w:pPr>
    </w:p>
    <w:p w14:paraId="56EF4795" w14:textId="77777777" w:rsidR="00E563D6" w:rsidRDefault="00E563D6" w:rsidP="00E245AB">
      <w:pPr>
        <w:spacing w:after="0"/>
        <w:rPr>
          <w:rFonts w:ascii="Century Gothic" w:hAnsi="Century Gothic" w:cs="Arial"/>
        </w:rPr>
      </w:pPr>
    </w:p>
    <w:p w14:paraId="15C547AB" w14:textId="77777777" w:rsidR="00E563D6" w:rsidRDefault="00E563D6" w:rsidP="00E245AB">
      <w:pPr>
        <w:spacing w:after="0"/>
        <w:rPr>
          <w:rFonts w:ascii="Century Gothic" w:hAnsi="Century Gothic" w:cs="Arial"/>
        </w:rPr>
      </w:pPr>
    </w:p>
    <w:p w14:paraId="65A20DDA" w14:textId="77777777" w:rsidR="005D1D45" w:rsidRDefault="005D1D45" w:rsidP="00E245AB">
      <w:pPr>
        <w:spacing w:after="0"/>
        <w:rPr>
          <w:rFonts w:ascii="Century Gothic" w:hAnsi="Century Gothic" w:cs="Arial"/>
        </w:rPr>
      </w:pPr>
    </w:p>
    <w:p w14:paraId="34DECCEF" w14:textId="77777777" w:rsidR="005D1D45" w:rsidRDefault="005D1D45" w:rsidP="00E245AB">
      <w:pPr>
        <w:spacing w:after="0"/>
        <w:rPr>
          <w:rFonts w:ascii="Century Gothic" w:hAnsi="Century Gothic" w:cs="Arial"/>
        </w:rPr>
      </w:pPr>
    </w:p>
    <w:p w14:paraId="541D0C80" w14:textId="2B1AA5F1" w:rsidR="009A5765" w:rsidRPr="00A83AB4" w:rsidRDefault="003828BA" w:rsidP="00E245AB">
      <w:pPr>
        <w:spacing w:after="0"/>
        <w:rPr>
          <w:rFonts w:ascii="Century Gothic" w:hAnsi="Century Gothic" w:cs="Arial"/>
        </w:rPr>
      </w:pPr>
      <w:r w:rsidRPr="003828BA">
        <w:rPr>
          <w:rFonts w:ascii="Century Gothic" w:hAnsi="Century Gothic" w:cs="Arial"/>
        </w:rPr>
        <w:t>Bogotá D.C., 16 Febrero 2024</w:t>
      </w:r>
    </w:p>
    <w:p w14:paraId="5FCADBF9" w14:textId="573E64D5" w:rsidR="00E245AB" w:rsidRPr="00A83AB4" w:rsidRDefault="009A5765" w:rsidP="009A5765">
      <w:pPr>
        <w:spacing w:after="0"/>
        <w:jc w:val="right"/>
        <w:rPr>
          <w:rFonts w:ascii="Century Gothic" w:hAnsi="Century Gothic" w:cs="Arial"/>
        </w:rPr>
      </w:pPr>
      <w:r w:rsidRPr="009A5765">
        <w:rPr>
          <w:rFonts w:ascii="Century Gothic" w:eastAsia="Calibri" w:hAnsi="Century Gothic" w:cs="Arial"/>
          <w:b/>
          <w:bCs/>
          <w:lang w:val="es-ES"/>
        </w:rPr>
        <w:drawing>
          <wp:inline distT="0" distB="0" distL="0" distR="0" wp14:anchorId="0FAF34A5" wp14:editId="4F835BAF">
            <wp:extent cx="2781688" cy="943107"/>
            <wp:effectExtent l="0" t="0" r="0" b="9525"/>
            <wp:docPr id="2643144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14435" name="Imagen 1" descr="Texto&#10;&#10;Descripción generada automáticamente"/>
                    <pic:cNvPicPr/>
                  </pic:nvPicPr>
                  <pic:blipFill>
                    <a:blip r:embed="rId11"/>
                    <a:stretch>
                      <a:fillRect/>
                    </a:stretch>
                  </pic:blipFill>
                  <pic:spPr>
                    <a:xfrm>
                      <a:off x="0" y="0"/>
                      <a:ext cx="2781688" cy="943107"/>
                    </a:xfrm>
                    <a:prstGeom prst="rect">
                      <a:avLst/>
                    </a:prstGeom>
                  </pic:spPr>
                </pic:pic>
              </a:graphicData>
            </a:graphic>
          </wp:inline>
        </w:drawing>
      </w:r>
    </w:p>
    <w:p w14:paraId="6EAC13B1" w14:textId="77777777" w:rsidR="001D2627" w:rsidRPr="00A83AB4" w:rsidRDefault="001D2627" w:rsidP="00EB36F8">
      <w:pPr>
        <w:spacing w:after="0" w:line="276" w:lineRule="auto"/>
        <w:jc w:val="both"/>
        <w:rPr>
          <w:rFonts w:ascii="Century Gothic" w:eastAsia="Calibri" w:hAnsi="Century Gothic" w:cs="Arial"/>
          <w:lang w:val="es-ES"/>
        </w:rPr>
      </w:pPr>
      <w:r w:rsidRPr="00A83AB4">
        <w:rPr>
          <w:rFonts w:ascii="Century Gothic" w:eastAsia="Calibri" w:hAnsi="Century Gothic" w:cs="Arial"/>
          <w:lang w:val="es-ES"/>
        </w:rPr>
        <w:t>Señor</w:t>
      </w:r>
    </w:p>
    <w:p w14:paraId="5A7C5E84" w14:textId="62B09333" w:rsidR="001D2627" w:rsidRPr="00A83AB4" w:rsidRDefault="001D2627" w:rsidP="00EB36F8">
      <w:pPr>
        <w:spacing w:after="0"/>
        <w:rPr>
          <w:rFonts w:ascii="Century Gothic" w:eastAsia="Calibri" w:hAnsi="Century Gothic" w:cs="Arial"/>
          <w:b/>
          <w:bCs/>
          <w:lang w:val="es-ES"/>
        </w:rPr>
      </w:pPr>
      <w:r w:rsidRPr="00A83AB4">
        <w:rPr>
          <w:rFonts w:ascii="Century Gothic" w:eastAsia="Calibri" w:hAnsi="Century Gothic" w:cs="Arial"/>
          <w:b/>
          <w:bCs/>
          <w:lang w:val="es-ES"/>
        </w:rPr>
        <w:t>Iván Felipe Acevedo</w:t>
      </w:r>
      <w:r w:rsidR="009A5765">
        <w:rPr>
          <w:rFonts w:ascii="Century Gothic" w:eastAsia="Calibri" w:hAnsi="Century Gothic" w:cs="Arial"/>
          <w:b/>
          <w:bCs/>
          <w:lang w:val="es-ES"/>
        </w:rPr>
        <w:t xml:space="preserve">                                                          </w:t>
      </w:r>
    </w:p>
    <w:p w14:paraId="7042D979" w14:textId="77777777" w:rsidR="001D2627" w:rsidRPr="00A83AB4" w:rsidRDefault="00000000" w:rsidP="00EB36F8">
      <w:pPr>
        <w:spacing w:after="0"/>
        <w:rPr>
          <w:rFonts w:ascii="Century Gothic" w:eastAsia="Calibri" w:hAnsi="Century Gothic" w:cs="Arial"/>
          <w:lang w:val="es-ES"/>
        </w:rPr>
      </w:pPr>
      <w:hyperlink r:id="rId12" w:history="1">
        <w:r w:rsidR="001D2627" w:rsidRPr="00A83AB4">
          <w:rPr>
            <w:rStyle w:val="Hipervnculo"/>
            <w:rFonts w:ascii="Century Gothic" w:eastAsia="Calibri" w:hAnsi="Century Gothic" w:cs="Arial"/>
            <w:lang w:val="es-ES"/>
          </w:rPr>
          <w:t>ivanfacevedo@hotmail.com</w:t>
        </w:r>
      </w:hyperlink>
    </w:p>
    <w:p w14:paraId="4F9DE9E5" w14:textId="77777777" w:rsidR="001D2627" w:rsidRPr="00A83AB4" w:rsidRDefault="001D2627" w:rsidP="00EB36F8">
      <w:pPr>
        <w:spacing w:after="0"/>
        <w:rPr>
          <w:rFonts w:ascii="Century Gothic" w:eastAsia="Calibri" w:hAnsi="Century Gothic" w:cs="Arial"/>
          <w:lang w:val="es-ES_tradnl"/>
        </w:rPr>
      </w:pPr>
      <w:r w:rsidRPr="00A83AB4">
        <w:rPr>
          <w:rFonts w:ascii="Century Gothic" w:eastAsia="Calibri" w:hAnsi="Century Gothic" w:cs="Arial"/>
          <w:lang w:val="es-ES"/>
        </w:rPr>
        <w:t>Ciudad</w:t>
      </w:r>
    </w:p>
    <w:p w14:paraId="2F1B7252" w14:textId="77777777" w:rsidR="009B7000" w:rsidRPr="00A83AB4" w:rsidRDefault="009B7000" w:rsidP="001D2627">
      <w:pPr>
        <w:rPr>
          <w:rFonts w:ascii="Century Gothic" w:eastAsia="Calibri" w:hAnsi="Century Gothic" w:cs="Arial"/>
          <w:lang w:val="es-ES_tradnl"/>
        </w:rPr>
      </w:pPr>
    </w:p>
    <w:p w14:paraId="6E426A28" w14:textId="2E3B653D" w:rsidR="001D2627" w:rsidRPr="00A83AB4" w:rsidRDefault="001D2627" w:rsidP="001D2627">
      <w:pPr>
        <w:ind w:left="2694"/>
        <w:rPr>
          <w:rFonts w:ascii="Century Gothic" w:eastAsia="Calibri" w:hAnsi="Century Gothic" w:cs="Arial"/>
          <w:b/>
          <w:bCs/>
          <w:lang w:val="es-ES"/>
        </w:rPr>
      </w:pPr>
      <w:r w:rsidRPr="00A83AB4">
        <w:rPr>
          <w:rFonts w:ascii="Century Gothic" w:eastAsia="Calibri" w:hAnsi="Century Gothic" w:cs="Arial"/>
          <w:b/>
          <w:bCs/>
          <w:lang w:val="es-ES"/>
        </w:rPr>
        <w:t>Concepto C- 002 de 202</w:t>
      </w:r>
      <w:r w:rsidR="002176CF" w:rsidRPr="00A83AB4">
        <w:rPr>
          <w:rFonts w:ascii="Century Gothic" w:eastAsia="Calibri" w:hAnsi="Century Gothic" w:cs="Arial"/>
          <w:b/>
          <w:bCs/>
          <w:lang w:val="es-ES"/>
        </w:rPr>
        <w:t>4</w:t>
      </w:r>
    </w:p>
    <w:p w14:paraId="04EF7772" w14:textId="77777777" w:rsidR="001D2627" w:rsidRPr="00A83AB4" w:rsidRDefault="001D2627" w:rsidP="001D2627">
      <w:pPr>
        <w:jc w:val="both"/>
        <w:rPr>
          <w:rFonts w:ascii="Century Gothic" w:eastAsia="Calibri" w:hAnsi="Century Gothic"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1D2627" w:rsidRPr="00A83AB4" w14:paraId="4BB1302B" w14:textId="77777777" w:rsidTr="006F6A5C">
        <w:trPr>
          <w:jc w:val="right"/>
        </w:trPr>
        <w:tc>
          <w:tcPr>
            <w:tcW w:w="1838" w:type="dxa"/>
          </w:tcPr>
          <w:p w14:paraId="71C60E14" w14:textId="77777777" w:rsidR="001D2627" w:rsidRPr="00A83AB4" w:rsidRDefault="001D2627" w:rsidP="006F6A5C">
            <w:pPr>
              <w:jc w:val="center"/>
              <w:rPr>
                <w:rFonts w:ascii="Century Gothic" w:eastAsia="Calibri" w:hAnsi="Century Gothic" w:cs="Arial"/>
                <w:lang w:val="es-ES_tradnl"/>
              </w:rPr>
            </w:pPr>
            <w:r w:rsidRPr="00A83AB4">
              <w:rPr>
                <w:rFonts w:ascii="Century Gothic" w:eastAsia="Calibri" w:hAnsi="Century Gothic" w:cs="Arial"/>
                <w:b/>
                <w:lang w:val="es-ES_tradnl"/>
              </w:rPr>
              <w:t>Temas:</w:t>
            </w:r>
          </w:p>
        </w:tc>
        <w:tc>
          <w:tcPr>
            <w:tcW w:w="6237" w:type="dxa"/>
          </w:tcPr>
          <w:p w14:paraId="4CC0A217" w14:textId="77777777" w:rsidR="001D2627" w:rsidRPr="00A83AB4" w:rsidRDefault="001D2627" w:rsidP="006F6A5C">
            <w:pPr>
              <w:jc w:val="both"/>
              <w:rPr>
                <w:rFonts w:ascii="Century Gothic" w:eastAsia="Calibri" w:hAnsi="Century Gothic" w:cs="Arial"/>
                <w:lang w:val="es-MX"/>
              </w:rPr>
            </w:pPr>
            <w:r w:rsidRPr="00A83AB4">
              <w:rPr>
                <w:rFonts w:ascii="Century Gothic" w:eastAsia="Calibri" w:hAnsi="Century Gothic" w:cs="Arial"/>
                <w:lang w:val="es-MX"/>
              </w:rPr>
              <w:t xml:space="preserve">DECRETO 1860 DE 2021 – </w:t>
            </w:r>
            <w:r w:rsidR="002176CF" w:rsidRPr="00A83AB4">
              <w:rPr>
                <w:rFonts w:ascii="Century Gothic" w:eastAsia="Calibri" w:hAnsi="Century Gothic" w:cs="Arial"/>
                <w:lang w:val="es-MX"/>
              </w:rPr>
              <w:t xml:space="preserve">Artículo 2.2.1.2.4.2.16 – </w:t>
            </w:r>
            <w:r w:rsidRPr="00A83AB4">
              <w:rPr>
                <w:rFonts w:ascii="Century Gothic" w:eastAsia="Calibri" w:hAnsi="Century Gothic" w:cs="Arial"/>
                <w:lang w:val="es-MX"/>
              </w:rPr>
              <w:t xml:space="preserve">Propósito – sujetos de especial protección constitucional / INCENTIVO DE FOMENTO – Ejecución de contratos estatales por sujetos de especial protección constitucional – Aplicación discrecional  </w:t>
            </w:r>
          </w:p>
          <w:p w14:paraId="561701E9" w14:textId="37A7ACAD" w:rsidR="009B7000" w:rsidRPr="00A83AB4" w:rsidRDefault="009B7000" w:rsidP="006F6A5C">
            <w:pPr>
              <w:jc w:val="both"/>
              <w:rPr>
                <w:rFonts w:ascii="Century Gothic" w:hAnsi="Century Gothic" w:cs="Arial"/>
                <w:color w:val="FF0000"/>
                <w:lang w:val="es-ES_tradnl"/>
              </w:rPr>
            </w:pPr>
          </w:p>
        </w:tc>
      </w:tr>
      <w:tr w:rsidR="001D2627" w:rsidRPr="00A83AB4" w14:paraId="226D2AC4" w14:textId="77777777" w:rsidTr="006F6A5C">
        <w:trPr>
          <w:jc w:val="right"/>
        </w:trPr>
        <w:tc>
          <w:tcPr>
            <w:tcW w:w="1838" w:type="dxa"/>
          </w:tcPr>
          <w:p w14:paraId="6791CA5E" w14:textId="77777777" w:rsidR="001D2627" w:rsidRPr="00A83AB4" w:rsidRDefault="001D2627" w:rsidP="006F6A5C">
            <w:pPr>
              <w:spacing w:before="120"/>
              <w:jc w:val="center"/>
              <w:rPr>
                <w:rFonts w:ascii="Century Gothic" w:eastAsia="Calibri" w:hAnsi="Century Gothic" w:cs="Arial"/>
                <w:b/>
                <w:lang w:val="es-ES"/>
              </w:rPr>
            </w:pPr>
            <w:r w:rsidRPr="00A83AB4">
              <w:rPr>
                <w:rFonts w:ascii="Century Gothic" w:eastAsia="Calibri" w:hAnsi="Century Gothic" w:cs="Arial"/>
                <w:b/>
                <w:lang w:val="es-ES"/>
              </w:rPr>
              <w:t>Radicación:</w:t>
            </w:r>
          </w:p>
        </w:tc>
        <w:tc>
          <w:tcPr>
            <w:tcW w:w="6237" w:type="dxa"/>
          </w:tcPr>
          <w:p w14:paraId="5F0D75CD" w14:textId="77777777" w:rsidR="001D2627" w:rsidRPr="00A83AB4" w:rsidRDefault="001D2627" w:rsidP="006F6A5C">
            <w:pPr>
              <w:spacing w:before="120"/>
              <w:jc w:val="both"/>
              <w:rPr>
                <w:rFonts w:ascii="Century Gothic" w:eastAsia="Calibri" w:hAnsi="Century Gothic" w:cs="Arial"/>
                <w:lang w:val="es-ES"/>
              </w:rPr>
            </w:pPr>
            <w:r w:rsidRPr="00A83AB4">
              <w:rPr>
                <w:rFonts w:ascii="Century Gothic" w:eastAsia="Calibri" w:hAnsi="Century Gothic" w:cs="Arial"/>
                <w:lang w:val="es-ES"/>
              </w:rPr>
              <w:t>Respuesta a consulta P20240103000070</w:t>
            </w:r>
          </w:p>
        </w:tc>
      </w:tr>
    </w:tbl>
    <w:p w14:paraId="31823E77" w14:textId="77777777" w:rsidR="001D2627" w:rsidRPr="00A83AB4" w:rsidRDefault="001D2627" w:rsidP="001D2627">
      <w:pPr>
        <w:jc w:val="both"/>
        <w:rPr>
          <w:rFonts w:ascii="Century Gothic" w:eastAsia="Calibri" w:hAnsi="Century Gothic" w:cs="Arial"/>
          <w:lang w:val="es-ES_tradnl"/>
        </w:rPr>
      </w:pPr>
    </w:p>
    <w:p w14:paraId="7A1E42F4" w14:textId="29CFD7DC" w:rsidR="009B7000" w:rsidRPr="00A83AB4" w:rsidRDefault="001D2627" w:rsidP="00EB36F8">
      <w:pPr>
        <w:spacing w:after="0"/>
        <w:jc w:val="both"/>
        <w:rPr>
          <w:rFonts w:ascii="Century Gothic" w:eastAsia="Calibri" w:hAnsi="Century Gothic" w:cs="Arial"/>
          <w:bCs/>
          <w:lang w:val="es-ES_tradnl"/>
        </w:rPr>
      </w:pPr>
      <w:r w:rsidRPr="00A83AB4">
        <w:rPr>
          <w:rFonts w:ascii="Century Gothic" w:eastAsia="Calibri" w:hAnsi="Century Gothic" w:cs="Arial"/>
          <w:lang w:val="es-ES_tradnl"/>
        </w:rPr>
        <w:t xml:space="preserve">Estimado señor </w:t>
      </w:r>
      <w:r w:rsidRPr="00A83AB4">
        <w:rPr>
          <w:rFonts w:ascii="Century Gothic" w:eastAsia="Calibri" w:hAnsi="Century Gothic" w:cs="Arial"/>
          <w:bCs/>
          <w:lang w:val="es-ES_tradnl"/>
        </w:rPr>
        <w:t>Acevedo:</w:t>
      </w:r>
    </w:p>
    <w:p w14:paraId="4ACD9581" w14:textId="77777777" w:rsidR="001D2627" w:rsidRPr="00A83AB4" w:rsidRDefault="001D2627" w:rsidP="00EB36F8">
      <w:pPr>
        <w:spacing w:after="0"/>
        <w:jc w:val="both"/>
        <w:rPr>
          <w:rFonts w:ascii="Century Gothic" w:eastAsia="Calibri" w:hAnsi="Century Gothic" w:cs="Arial"/>
          <w:lang w:val="es-ES_tradnl"/>
        </w:rPr>
      </w:pPr>
    </w:p>
    <w:p w14:paraId="6D19DB67" w14:textId="46021B06" w:rsidR="001D2627" w:rsidRPr="00A83AB4" w:rsidRDefault="001D2627" w:rsidP="00EB36F8">
      <w:pPr>
        <w:spacing w:after="0" w:line="276" w:lineRule="auto"/>
        <w:jc w:val="both"/>
        <w:rPr>
          <w:rFonts w:ascii="Century Gothic" w:eastAsia="Calibri" w:hAnsi="Century Gothic" w:cs="Arial"/>
          <w:lang w:val="es-ES"/>
        </w:rPr>
      </w:pPr>
      <w:r w:rsidRPr="00A83AB4">
        <w:rPr>
          <w:rFonts w:ascii="Century Gothic" w:eastAsia="Calibri" w:hAnsi="Century Gothic" w:cs="Arial"/>
          <w:lang w:val="es-ES"/>
        </w:rPr>
        <w:t>En ejercicio de la competencia otorgada por el numeral 8 del artículo 11 y el numeral 5 del artículo 3 del Decreto Ley 4170 de 2011, la Agencia Nacional de Contratación Pública ― Colombia Compra Eficiente responde su consulta del 3 de enero de 2024.</w:t>
      </w:r>
    </w:p>
    <w:p w14:paraId="4CA02283" w14:textId="77777777" w:rsidR="009B7000" w:rsidRPr="00A83AB4" w:rsidRDefault="009B7000" w:rsidP="00EB36F8">
      <w:pPr>
        <w:spacing w:after="0" w:line="276" w:lineRule="auto"/>
        <w:jc w:val="both"/>
        <w:rPr>
          <w:rFonts w:ascii="Century Gothic" w:eastAsia="Calibri" w:hAnsi="Century Gothic" w:cs="Arial"/>
          <w:b/>
          <w:lang w:val="es-ES_tradnl"/>
        </w:rPr>
      </w:pPr>
    </w:p>
    <w:p w14:paraId="1402DFE7" w14:textId="77777777" w:rsidR="001D2627" w:rsidRPr="00A83AB4" w:rsidRDefault="001D2627" w:rsidP="00757A0A">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A83AB4">
        <w:rPr>
          <w:rFonts w:ascii="Century Gothic" w:eastAsia="Calibri" w:hAnsi="Century Gothic" w:cs="Arial"/>
          <w:b/>
          <w:lang w:val="es-ES_tradnl"/>
        </w:rPr>
        <w:t xml:space="preserve">Problema planteado </w:t>
      </w:r>
    </w:p>
    <w:p w14:paraId="37FF6E4E" w14:textId="77777777" w:rsidR="00757A0A" w:rsidRPr="00A83AB4" w:rsidRDefault="00757A0A" w:rsidP="00EB36F8">
      <w:pPr>
        <w:tabs>
          <w:tab w:val="left" w:pos="426"/>
        </w:tabs>
        <w:spacing w:after="0" w:line="276" w:lineRule="auto"/>
        <w:jc w:val="both"/>
        <w:rPr>
          <w:rFonts w:ascii="Century Gothic" w:eastAsia="Calibri" w:hAnsi="Century Gothic" w:cs="Arial"/>
          <w:b/>
          <w:lang w:val="es-ES_tradnl"/>
        </w:rPr>
      </w:pPr>
    </w:p>
    <w:p w14:paraId="2DD6D81E" w14:textId="0AC5B14C" w:rsidR="00757A0A" w:rsidRPr="00A83AB4" w:rsidRDefault="00757A0A" w:rsidP="00EB36F8">
      <w:pPr>
        <w:tabs>
          <w:tab w:val="left" w:pos="426"/>
        </w:tabs>
        <w:spacing w:after="0" w:line="276" w:lineRule="auto"/>
        <w:jc w:val="both"/>
        <w:rPr>
          <w:rFonts w:ascii="Century Gothic" w:eastAsia="Calibri" w:hAnsi="Century Gothic" w:cs="Arial"/>
          <w:bCs/>
          <w:lang w:val="es-ES_tradnl"/>
        </w:rPr>
      </w:pPr>
      <w:r w:rsidRPr="00A83AB4">
        <w:rPr>
          <w:rFonts w:ascii="Century Gothic" w:eastAsia="Calibri" w:hAnsi="Century Gothic" w:cs="Arial"/>
          <w:bCs/>
          <w:lang w:val="es-ES_tradnl"/>
        </w:rPr>
        <w:t>Usted realiza la siguiente solicitud:</w:t>
      </w:r>
    </w:p>
    <w:p w14:paraId="3AC6A229" w14:textId="77777777" w:rsidR="002176CF" w:rsidRPr="00A83AB4" w:rsidRDefault="002176CF" w:rsidP="00EB36F8">
      <w:pPr>
        <w:spacing w:after="0"/>
        <w:ind w:right="709"/>
        <w:jc w:val="both"/>
        <w:rPr>
          <w:rFonts w:ascii="Century Gothic" w:hAnsi="Century Gothic" w:cs="Arial"/>
          <w:color w:val="000000"/>
          <w:sz w:val="21"/>
          <w:szCs w:val="21"/>
        </w:rPr>
      </w:pPr>
    </w:p>
    <w:p w14:paraId="08436377" w14:textId="39BAB49D" w:rsidR="001D2627" w:rsidRPr="00A83AB4" w:rsidRDefault="006578EA" w:rsidP="001D2627">
      <w:pPr>
        <w:ind w:left="709" w:right="709"/>
        <w:jc w:val="both"/>
        <w:rPr>
          <w:rFonts w:ascii="Century Gothic" w:hAnsi="Century Gothic" w:cs="Arial"/>
          <w:color w:val="000000"/>
          <w:sz w:val="21"/>
          <w:szCs w:val="21"/>
          <w:lang w:eastAsia="es-CO"/>
        </w:rPr>
      </w:pPr>
      <w:r w:rsidRPr="00A83AB4">
        <w:rPr>
          <w:rFonts w:ascii="Century Gothic" w:hAnsi="Century Gothic" w:cs="Arial"/>
          <w:color w:val="000000"/>
          <w:sz w:val="21"/>
          <w:szCs w:val="21"/>
        </w:rPr>
        <w:t>“</w:t>
      </w:r>
      <w:r w:rsidR="001D2627" w:rsidRPr="00A83AB4">
        <w:rPr>
          <w:rFonts w:ascii="Century Gothic" w:hAnsi="Century Gothic" w:cs="Arial"/>
          <w:color w:val="000000"/>
          <w:sz w:val="21"/>
          <w:szCs w:val="21"/>
        </w:rPr>
        <w:t>Las preguntas a realizar son con relación al artículo 2.2.1.2.4.2.16. del Decreto 1082 de 2015 referente al “</w:t>
      </w:r>
      <w:r w:rsidR="001D2627" w:rsidRPr="00A83AB4">
        <w:rPr>
          <w:rFonts w:ascii="Century Gothic" w:hAnsi="Century Gothic" w:cs="Arial"/>
          <w:i/>
          <w:iCs/>
          <w:color w:val="000000"/>
          <w:sz w:val="21"/>
          <w:szCs w:val="21"/>
        </w:rPr>
        <w:t xml:space="preserve">fomento a la ejecución de contratos estatales por parte de población en pobreza extrema, desplazados por la violencia, personas en proceso de reintegración o reincorporación y </w:t>
      </w:r>
      <w:r w:rsidR="001D2627" w:rsidRPr="00A83AB4">
        <w:rPr>
          <w:rFonts w:ascii="Century Gothic" w:hAnsi="Century Gothic" w:cs="Arial"/>
          <w:i/>
          <w:iCs/>
          <w:color w:val="000000"/>
          <w:sz w:val="21"/>
          <w:szCs w:val="21"/>
        </w:rPr>
        <w:lastRenderedPageBreak/>
        <w:t>sujetos de especial protección constitucional</w:t>
      </w:r>
      <w:r w:rsidR="001D2627" w:rsidRPr="00A83AB4">
        <w:rPr>
          <w:rFonts w:ascii="Century Gothic" w:hAnsi="Century Gothic" w:cs="Arial"/>
          <w:color w:val="000000"/>
          <w:sz w:val="21"/>
          <w:szCs w:val="21"/>
        </w:rPr>
        <w:t>”, es menester consultar para efectos de su correcta aplicación: </w:t>
      </w:r>
    </w:p>
    <w:p w14:paraId="1C4B8A6C" w14:textId="77777777" w:rsidR="001D2627" w:rsidRPr="00A83AB4" w:rsidRDefault="001D2627" w:rsidP="001D2627">
      <w:pPr>
        <w:ind w:left="709" w:right="709"/>
        <w:jc w:val="both"/>
        <w:rPr>
          <w:rFonts w:ascii="Century Gothic" w:hAnsi="Century Gothic" w:cs="Arial"/>
          <w:color w:val="000000"/>
          <w:sz w:val="21"/>
          <w:szCs w:val="21"/>
        </w:rPr>
      </w:pPr>
      <w:r w:rsidRPr="00A83AB4">
        <w:rPr>
          <w:rStyle w:val="contentpasted0"/>
          <w:rFonts w:ascii="Century Gothic" w:hAnsi="Century Gothic" w:cs="Arial"/>
          <w:noProof/>
          <w:color w:val="000000"/>
          <w:sz w:val="21"/>
          <w:szCs w:val="21"/>
        </w:rPr>
        <w:t>-¿Dicho fomento se debe verificar desde la etapa de evaluación de las propuestas, para lo cual las condiciones de su cumplimiento deben establecerse en los documentos precontractuales del proceso o la obligación se incorpora directamente como obligación en la minuta contractual o equivalente? </w:t>
      </w:r>
    </w:p>
    <w:p w14:paraId="190A21EF" w14:textId="77777777" w:rsidR="001D2627" w:rsidRPr="00A83AB4" w:rsidRDefault="001D2627" w:rsidP="001D2627">
      <w:pPr>
        <w:ind w:left="709" w:right="709"/>
        <w:jc w:val="both"/>
        <w:rPr>
          <w:rFonts w:ascii="Century Gothic" w:hAnsi="Century Gothic" w:cs="Arial"/>
          <w:color w:val="000000"/>
          <w:sz w:val="21"/>
          <w:szCs w:val="21"/>
        </w:rPr>
      </w:pPr>
      <w:r w:rsidRPr="00A83AB4">
        <w:rPr>
          <w:rStyle w:val="contentpasted0"/>
          <w:rFonts w:ascii="Century Gothic" w:hAnsi="Century Gothic" w:cs="Arial"/>
          <w:noProof/>
          <w:color w:val="000000"/>
          <w:sz w:val="21"/>
          <w:szCs w:val="21"/>
        </w:rPr>
        <w:t>-En línea con la anterior pregunta, en caso que deba verificarse desde la etapa de evaluación, ¿este fomento se traduciría en un requisito habilitante o como un criterio de ponderación comparativo con el resto de las ofertas? </w:t>
      </w:r>
    </w:p>
    <w:p w14:paraId="34C4995A" w14:textId="77777777" w:rsidR="001D2627" w:rsidRPr="00A83AB4" w:rsidRDefault="001D2627" w:rsidP="001D2627">
      <w:pPr>
        <w:ind w:left="709" w:right="709"/>
        <w:jc w:val="both"/>
        <w:rPr>
          <w:rFonts w:ascii="Century Gothic" w:hAnsi="Century Gothic" w:cs="Arial"/>
          <w:color w:val="000000"/>
          <w:sz w:val="21"/>
          <w:szCs w:val="21"/>
        </w:rPr>
      </w:pPr>
      <w:r w:rsidRPr="00A83AB4">
        <w:rPr>
          <w:rStyle w:val="contentpasted0"/>
          <w:rFonts w:ascii="Century Gothic" w:hAnsi="Century Gothic" w:cs="Arial"/>
          <w:noProof/>
          <w:color w:val="000000"/>
          <w:sz w:val="21"/>
          <w:szCs w:val="21"/>
        </w:rPr>
        <w:t>-Para colocar el caso de una consultoría en la que, por ejemplo, se requiere para su desarrollo la vinculación de cinco profesionales, ¿cómo se satisface el porcentaje exigido por la norma de establecer un porcentaje que “</w:t>
      </w:r>
      <w:r w:rsidRPr="00A83AB4">
        <w:rPr>
          <w:rStyle w:val="contentpasted0"/>
          <w:rFonts w:ascii="Century Gothic" w:hAnsi="Century Gothic" w:cs="Arial"/>
          <w:i/>
          <w:iCs/>
          <w:noProof/>
          <w:color w:val="000000"/>
          <w:sz w:val="21"/>
          <w:szCs w:val="21"/>
        </w:rPr>
        <w:t>no será superior al diez por ciento (10%) ni inferior al cinco por ciento (5%) de los bienes o servicios requeridos para la ejecución del contrato</w:t>
      </w:r>
      <w:r w:rsidRPr="00A83AB4">
        <w:rPr>
          <w:rStyle w:val="contentpasted0"/>
          <w:rFonts w:ascii="Century Gothic" w:hAnsi="Century Gothic" w:cs="Arial"/>
          <w:noProof/>
          <w:color w:val="000000"/>
          <w:sz w:val="21"/>
          <w:szCs w:val="21"/>
        </w:rPr>
        <w:t>”?, pues a mi entender, en el ejemplo propuesto cada perfil a vincular correspondería a un 20%, por lo que se excedería el límite establecido por la norma. ¿Es inviable para este tipo de casos la aplicación de este fomento? </w:t>
      </w:r>
    </w:p>
    <w:p w14:paraId="753BEF21" w14:textId="77777777" w:rsidR="001D2627" w:rsidRPr="00A83AB4" w:rsidRDefault="001D2627" w:rsidP="001D2627">
      <w:pPr>
        <w:ind w:left="709" w:right="709"/>
        <w:jc w:val="both"/>
        <w:rPr>
          <w:rFonts w:ascii="Century Gothic" w:hAnsi="Century Gothic" w:cs="Arial"/>
          <w:color w:val="000000"/>
          <w:sz w:val="21"/>
          <w:szCs w:val="21"/>
        </w:rPr>
      </w:pPr>
      <w:r w:rsidRPr="00A83AB4">
        <w:rPr>
          <w:rStyle w:val="contentpasted0"/>
          <w:rFonts w:ascii="Century Gothic" w:hAnsi="Century Gothic" w:cs="Arial"/>
          <w:noProof/>
          <w:color w:val="000000"/>
          <w:sz w:val="21"/>
          <w:szCs w:val="21"/>
        </w:rPr>
        <w:t>-Teniendo en cuenta el poco desarrollo que el Gobierno realizó frente a este precepto normativo, agradezco encarecidamente se aclare qué parámetros debe tener en cuenta la Entidad Estatal en su análisis a la hora de determinar la oportunidad y conveniencia de incorporar este criterio en determinado proceso de selección, y mejor aún, por favor informar si existe algún manual, guía o similar expedido por Colombia Compra Eficiente en el que trate este tema. </w:t>
      </w:r>
    </w:p>
    <w:p w14:paraId="1751B23D" w14:textId="77777777" w:rsidR="001D2627" w:rsidRPr="00A83AB4" w:rsidRDefault="001D2627" w:rsidP="001D2627">
      <w:pPr>
        <w:ind w:left="709" w:right="709"/>
        <w:jc w:val="both"/>
        <w:rPr>
          <w:rFonts w:ascii="Century Gothic" w:hAnsi="Century Gothic" w:cs="Arial"/>
          <w:color w:val="000000"/>
          <w:sz w:val="21"/>
          <w:szCs w:val="21"/>
        </w:rPr>
      </w:pPr>
      <w:r w:rsidRPr="00A83AB4">
        <w:rPr>
          <w:rStyle w:val="contentpasted0"/>
          <w:rFonts w:ascii="Century Gothic" w:hAnsi="Century Gothic" w:cs="Arial"/>
          <w:noProof/>
          <w:color w:val="000000"/>
          <w:sz w:val="21"/>
          <w:szCs w:val="21"/>
        </w:rPr>
        <w:t>-Dado que la información relativa a los grupos poblacionales que la norma pretende beneficiar con esta implementación suele ser reservada, las entidades a la hora de realizar este análisis se ven bastante limitadas por la falta de datos que se pueden recolectar a través la web, por tanto, también se agradece si es posible señalar cuáles son las bases de datos en las que la entidad puede consultar información a este respecto. </w:t>
      </w:r>
    </w:p>
    <w:p w14:paraId="342F7B58" w14:textId="0EED3973" w:rsidR="001D2627" w:rsidRPr="00A83AB4" w:rsidRDefault="001D2627" w:rsidP="001D2627">
      <w:pPr>
        <w:ind w:left="709" w:right="709"/>
        <w:jc w:val="both"/>
        <w:rPr>
          <w:rFonts w:ascii="Century Gothic" w:hAnsi="Century Gothic" w:cs="Arial"/>
          <w:color w:val="000000"/>
          <w:sz w:val="21"/>
          <w:szCs w:val="21"/>
        </w:rPr>
      </w:pPr>
      <w:r w:rsidRPr="00A83AB4">
        <w:rPr>
          <w:rStyle w:val="contentpasted0"/>
          <w:rFonts w:ascii="Century Gothic" w:hAnsi="Century Gothic" w:cs="Arial"/>
          <w:noProof/>
          <w:color w:val="000000"/>
          <w:sz w:val="21"/>
          <w:szCs w:val="21"/>
        </w:rPr>
        <w:t xml:space="preserve">-A manera de ejemplificar la forma de adoptar este fomento, ¿es posible dentro de sus facultades que nos identifiquen algunos procesos de contratación adelantado por una entidad estatal en el que se haya realizado el análisis de oportunidad y conveniencia del que habla la norma?, a pesar de haber buscado ampliamente por medio del SECOP </w:t>
      </w:r>
      <w:r w:rsidRPr="00A83AB4">
        <w:rPr>
          <w:rStyle w:val="contentpasted0"/>
          <w:rFonts w:ascii="Century Gothic" w:hAnsi="Century Gothic" w:cs="Arial"/>
          <w:noProof/>
          <w:color w:val="000000"/>
          <w:sz w:val="21"/>
          <w:szCs w:val="21"/>
        </w:rPr>
        <w:lastRenderedPageBreak/>
        <w:t>procesos de contratación en los que se realizara este análisis, la realidad es que son irrisorias las entidades que tocan este tópico en sus estudios del sector o previos, y las que lo hacen considero que no abarcan de manera adecuada el querer de la norma, incluso grandes capitales o entes del orden nacional</w:t>
      </w:r>
      <w:r w:rsidR="006578EA" w:rsidRPr="00A83AB4">
        <w:rPr>
          <w:rStyle w:val="contentpasted0"/>
          <w:rFonts w:ascii="Century Gothic" w:hAnsi="Century Gothic" w:cs="Arial"/>
          <w:noProof/>
          <w:color w:val="000000"/>
          <w:sz w:val="21"/>
          <w:szCs w:val="21"/>
        </w:rPr>
        <w:t>”</w:t>
      </w:r>
      <w:r w:rsidRPr="00A83AB4">
        <w:rPr>
          <w:rStyle w:val="contentpasted0"/>
          <w:rFonts w:ascii="Century Gothic" w:hAnsi="Century Gothic" w:cs="Arial"/>
          <w:noProof/>
          <w:color w:val="000000"/>
          <w:sz w:val="21"/>
          <w:szCs w:val="21"/>
        </w:rPr>
        <w:t>.</w:t>
      </w:r>
      <w:r w:rsidR="006578EA" w:rsidRPr="00A83AB4">
        <w:rPr>
          <w:rStyle w:val="contentpasted0"/>
          <w:rFonts w:ascii="Century Gothic" w:hAnsi="Century Gothic" w:cs="Arial"/>
          <w:noProof/>
          <w:color w:val="000000"/>
          <w:sz w:val="21"/>
          <w:szCs w:val="21"/>
        </w:rPr>
        <w:t xml:space="preserve"> (SIC)</w:t>
      </w:r>
      <w:r w:rsidRPr="00A83AB4">
        <w:rPr>
          <w:rStyle w:val="contentpasted0"/>
          <w:rFonts w:ascii="Century Gothic" w:hAnsi="Century Gothic" w:cs="Arial"/>
          <w:noProof/>
          <w:color w:val="000000"/>
          <w:sz w:val="21"/>
          <w:szCs w:val="21"/>
        </w:rPr>
        <w:t> </w:t>
      </w:r>
    </w:p>
    <w:p w14:paraId="1A58EE0B" w14:textId="77777777" w:rsidR="001D2627" w:rsidRPr="00A83AB4" w:rsidRDefault="001D2627" w:rsidP="00757A0A">
      <w:pPr>
        <w:pStyle w:val="Prrafodelista"/>
        <w:numPr>
          <w:ilvl w:val="0"/>
          <w:numId w:val="17"/>
        </w:numPr>
        <w:tabs>
          <w:tab w:val="left" w:pos="0"/>
          <w:tab w:val="left" w:pos="284"/>
        </w:tabs>
        <w:spacing w:after="0" w:line="240" w:lineRule="auto"/>
        <w:ind w:left="0" w:firstLine="0"/>
        <w:contextualSpacing w:val="0"/>
        <w:jc w:val="both"/>
        <w:rPr>
          <w:rFonts w:ascii="Century Gothic" w:eastAsia="Calibri" w:hAnsi="Century Gothic" w:cs="Arial"/>
          <w:b/>
          <w:lang w:val="es-ES_tradnl"/>
        </w:rPr>
      </w:pPr>
      <w:r w:rsidRPr="00A83AB4">
        <w:rPr>
          <w:rFonts w:ascii="Century Gothic" w:eastAsia="Calibri" w:hAnsi="Century Gothic" w:cs="Arial"/>
          <w:b/>
          <w:lang w:val="es-ES_tradnl"/>
        </w:rPr>
        <w:t>Consideraciones</w:t>
      </w:r>
    </w:p>
    <w:p w14:paraId="60B0CAC0" w14:textId="77777777" w:rsidR="001D2627" w:rsidRPr="00A83AB4" w:rsidRDefault="001D2627" w:rsidP="00EB36F8">
      <w:pPr>
        <w:pStyle w:val="Prrafodelista"/>
        <w:tabs>
          <w:tab w:val="left" w:pos="0"/>
          <w:tab w:val="left" w:pos="284"/>
        </w:tabs>
        <w:spacing w:after="0"/>
        <w:ind w:left="0"/>
        <w:contextualSpacing w:val="0"/>
        <w:jc w:val="both"/>
        <w:rPr>
          <w:rFonts w:ascii="Century Gothic" w:eastAsia="Calibri" w:hAnsi="Century Gothic" w:cs="Arial"/>
          <w:b/>
          <w:lang w:val="es-ES_tradnl"/>
        </w:rPr>
      </w:pPr>
    </w:p>
    <w:p w14:paraId="795F0EC6" w14:textId="4DE7FFB1" w:rsidR="001D2627" w:rsidRPr="00A83AB4" w:rsidRDefault="001D2627" w:rsidP="001D2627">
      <w:pPr>
        <w:spacing w:after="120" w:line="276" w:lineRule="auto"/>
        <w:jc w:val="both"/>
        <w:rPr>
          <w:rFonts w:ascii="Century Gothic" w:hAnsi="Century Gothic" w:cs="Arial"/>
          <w:lang w:val="es-ES"/>
        </w:rPr>
      </w:pPr>
      <w:r w:rsidRPr="00A83AB4">
        <w:rPr>
          <w:rFonts w:ascii="Century Gothic" w:hAnsi="Century Gothic" w:cs="Arial"/>
        </w:rPr>
        <w:t>En ejercicio de las competencias establecidas en los artículos 3</w:t>
      </w:r>
      <w:r w:rsidR="00757A0A" w:rsidRPr="00A83AB4">
        <w:rPr>
          <w:rFonts w:ascii="Century Gothic" w:hAnsi="Century Gothic" w:cs="Arial"/>
        </w:rPr>
        <w:t xml:space="preserve">, numeral </w:t>
      </w:r>
      <w:r w:rsidRPr="00A83AB4">
        <w:rPr>
          <w:rFonts w:ascii="Century Gothic" w:hAnsi="Century Gothic" w:cs="Arial"/>
        </w:rPr>
        <w:t>5 y 11</w:t>
      </w:r>
      <w:r w:rsidR="00757A0A" w:rsidRPr="00A83AB4">
        <w:rPr>
          <w:rFonts w:ascii="Century Gothic" w:hAnsi="Century Gothic" w:cs="Arial"/>
        </w:rPr>
        <w:t xml:space="preserve">, numeral </w:t>
      </w:r>
      <w:r w:rsidRPr="00A83AB4">
        <w:rPr>
          <w:rFonts w:ascii="Century Gothic" w:hAnsi="Century Gothic" w:cs="Arial"/>
        </w:rPr>
        <w:t>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A83AB4">
        <w:rPr>
          <w:rFonts w:ascii="Century Gothic" w:hAnsi="Century Gothic" w:cs="Arial"/>
          <w:lang w:val="es-ES"/>
        </w:rPr>
        <w:t xml:space="preserve">Es necesario tener en cuenta que </w:t>
      </w:r>
      <w:bookmarkStart w:id="3" w:name="_Hlk61026958"/>
      <w:r w:rsidRPr="00A83AB4">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83AB4">
        <w:rPr>
          <w:rFonts w:ascii="Century Gothic" w:hAnsi="Century Gothic" w:cs="Arial"/>
        </w:rPr>
        <w:t xml:space="preserve"> de todos los partícipes de la contratación estatal.</w:t>
      </w:r>
    </w:p>
    <w:p w14:paraId="4EC6B8C4" w14:textId="77777777" w:rsidR="001D2627" w:rsidRPr="00A83AB4" w:rsidRDefault="001D2627" w:rsidP="001D2627">
      <w:pPr>
        <w:spacing w:after="120" w:line="276" w:lineRule="auto"/>
        <w:ind w:firstLine="708"/>
        <w:jc w:val="both"/>
        <w:rPr>
          <w:rFonts w:ascii="Century Gothic" w:hAnsi="Century Gothic" w:cs="Arial"/>
          <w:lang w:val="es-ES"/>
        </w:rPr>
      </w:pPr>
      <w:r w:rsidRPr="00A83AB4">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83AB4">
        <w:rPr>
          <w:rStyle w:val="Refdenotaalpie"/>
          <w:rFonts w:ascii="Century Gothic" w:hAnsi="Century Gothic" w:cs="Arial"/>
        </w:rPr>
        <w:footnoteReference w:id="2"/>
      </w:r>
      <w:r w:rsidRPr="00A83AB4">
        <w:rPr>
          <w:rFonts w:ascii="Century Gothic" w:hAnsi="Century Gothic"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sidRPr="00A83AB4">
        <w:rPr>
          <w:rFonts w:ascii="Century Gothic" w:hAnsi="Century Gothic"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
    </w:p>
    <w:bookmarkEnd w:id="2"/>
    <w:p w14:paraId="38AB1457" w14:textId="044F4AA6" w:rsidR="001D2627" w:rsidRPr="00A83AB4" w:rsidRDefault="001D2627" w:rsidP="001D2627">
      <w:pPr>
        <w:tabs>
          <w:tab w:val="left" w:pos="426"/>
        </w:tabs>
        <w:spacing w:before="120" w:after="120" w:line="276" w:lineRule="auto"/>
        <w:jc w:val="both"/>
        <w:rPr>
          <w:rFonts w:ascii="Century Gothic" w:hAnsi="Century Gothic" w:cs="Arial"/>
          <w:bCs/>
          <w:lang w:val="es-ES"/>
        </w:rPr>
      </w:pPr>
      <w:r w:rsidRPr="00A83AB4">
        <w:rPr>
          <w:rFonts w:ascii="Century Gothic" w:hAnsi="Century Gothic" w:cs="Arial"/>
        </w:rPr>
        <w:lastRenderedPageBreak/>
        <w:tab/>
      </w:r>
      <w:r w:rsidRPr="00A83AB4">
        <w:rPr>
          <w:rFonts w:ascii="Century Gothic" w:hAnsi="Century Gothic" w:cs="Arial"/>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A83AB4">
        <w:rPr>
          <w:rFonts w:ascii="Century Gothic" w:eastAsia="Calibri" w:hAnsi="Century Gothic" w:cs="Arial"/>
          <w:lang w:val="es-ES"/>
        </w:rPr>
        <w:t>los siguientes temas</w:t>
      </w:r>
      <w:r w:rsidRPr="00A83AB4">
        <w:rPr>
          <w:rFonts w:ascii="Century Gothic" w:hAnsi="Century Gothic" w:cs="Arial"/>
          <w:lang w:val="es-ES"/>
        </w:rPr>
        <w:t xml:space="preserve">: </w:t>
      </w:r>
      <w:r w:rsidRPr="00A83AB4">
        <w:rPr>
          <w:rFonts w:ascii="Century Gothic" w:hAnsi="Century Gothic" w:cs="Arial"/>
          <w:lang w:val="es-ES_tradnl"/>
        </w:rPr>
        <w:t>i) Impacto de la Ley 2069 de 2020 en la contratación estatal; ii</w:t>
      </w:r>
      <w:r w:rsidRPr="00A83AB4">
        <w:rPr>
          <w:rFonts w:ascii="Century Gothic" w:hAnsi="Century Gothic" w:cs="Arial"/>
          <w:lang w:val="es-ES"/>
        </w:rPr>
        <w:t xml:space="preserve">) </w:t>
      </w:r>
      <w:r w:rsidRPr="00A83AB4">
        <w:rPr>
          <w:rFonts w:ascii="Century Gothic" w:eastAsia="Calibri" w:hAnsi="Century Gothic" w:cs="Arial"/>
          <w:bCs/>
        </w:rPr>
        <w:t xml:space="preserve">Regulación de la promoción del desarrollo en la contratación pública en el artículo 34 de la Ley 2069 de 2020 y la reglamentación del inciso cuarto en el Decreto 1860 de 2021; </w:t>
      </w:r>
      <w:r w:rsidR="00480DAE" w:rsidRPr="00A83AB4">
        <w:rPr>
          <w:rFonts w:ascii="Century Gothic" w:eastAsia="Calibri" w:hAnsi="Century Gothic" w:cs="Arial"/>
          <w:bCs/>
        </w:rPr>
        <w:t>y</w:t>
      </w:r>
      <w:r w:rsidRPr="00A83AB4">
        <w:rPr>
          <w:rFonts w:ascii="Century Gothic" w:eastAsia="Calibri" w:hAnsi="Century Gothic" w:cs="Arial"/>
          <w:bCs/>
        </w:rPr>
        <w:t xml:space="preserve"> iii)</w:t>
      </w:r>
      <w:r w:rsidRPr="00A83AB4">
        <w:rPr>
          <w:rFonts w:ascii="Century Gothic" w:hAnsi="Century Gothic" w:cs="Arial"/>
        </w:rPr>
        <w:t xml:space="preserve"> </w:t>
      </w:r>
      <w:r w:rsidRPr="00A83AB4">
        <w:rPr>
          <w:rFonts w:ascii="Century Gothic" w:eastAsia="Calibri" w:hAnsi="Century Gothic" w:cs="Arial"/>
          <w:bCs/>
        </w:rPr>
        <w:t>Fomento en la ejecución de los contratos estatales</w:t>
      </w:r>
      <w:r w:rsidR="00124C58" w:rsidRPr="00A83AB4">
        <w:rPr>
          <w:rFonts w:ascii="Century Gothic" w:eastAsia="Calibri" w:hAnsi="Century Gothic" w:cs="Arial"/>
          <w:bCs/>
        </w:rPr>
        <w:t xml:space="preserve"> de </w:t>
      </w:r>
      <w:r w:rsidRPr="00A83AB4">
        <w:rPr>
          <w:rFonts w:ascii="Century Gothic" w:eastAsia="Calibri" w:hAnsi="Century Gothic" w:cs="Arial"/>
          <w:bCs/>
        </w:rPr>
        <w:t>la provisión de bienes y servicios por sujetos de especial protección constitucional.</w:t>
      </w:r>
    </w:p>
    <w:p w14:paraId="16381EFB" w14:textId="77777777" w:rsidR="001D2627" w:rsidRPr="00A83AB4" w:rsidRDefault="001D2627" w:rsidP="00EB36F8">
      <w:pPr>
        <w:spacing w:after="0" w:line="276" w:lineRule="auto"/>
        <w:ind w:firstLine="709"/>
        <w:jc w:val="both"/>
        <w:rPr>
          <w:rFonts w:ascii="Century Gothic" w:eastAsia="Calibri" w:hAnsi="Century Gothic" w:cs="Arial"/>
          <w:lang w:val="es-ES"/>
        </w:rPr>
      </w:pPr>
      <w:r w:rsidRPr="00A83AB4">
        <w:rPr>
          <w:rFonts w:ascii="Century Gothic" w:eastAsia="Calibri" w:hAnsi="Century Gothic" w:cs="Arial"/>
          <w:lang w:val="es-ES"/>
        </w:rPr>
        <w:t>La Agencia Nacional de Contratación Pública – Colombia Compra Eficiente, en los conceptos C-293 del 12 de abril de 2022, C-317 del 16 de mayo de 2022, C-343 del 31 de mayo de 2022, C- 513 del 11 de agosto de 2022 y C-392 del 19 de septiembre de 2023, estudio la aplicación del artículo 2.2.1.2.4.2.16. del Decreto 1082 de 2015 adicionado por el Decreto 1860 de 2021, entre otros</w:t>
      </w:r>
      <w:r w:rsidRPr="00A83AB4">
        <w:rPr>
          <w:rStyle w:val="Refdenotaalpie"/>
          <w:rFonts w:ascii="Century Gothic" w:eastAsia="Calibri" w:hAnsi="Century Gothic" w:cs="Arial"/>
        </w:rPr>
        <w:footnoteReference w:id="3"/>
      </w:r>
      <w:r w:rsidRPr="00A83AB4">
        <w:rPr>
          <w:rFonts w:ascii="Century Gothic" w:eastAsia="Calibri" w:hAnsi="Century Gothic" w:cs="Arial"/>
          <w:lang w:val="es-ES"/>
        </w:rPr>
        <w:t xml:space="preserve">. Las tesis expuestas en estos conceptos se reiteran a continuación y se complementan en lo pertinente, teniendo en cuenta los interrogantes planteados. </w:t>
      </w:r>
    </w:p>
    <w:p w14:paraId="020940B4" w14:textId="77777777" w:rsidR="001D2627" w:rsidRPr="00A83AB4" w:rsidRDefault="001D2627" w:rsidP="00EB36F8">
      <w:pPr>
        <w:spacing w:after="0" w:line="276" w:lineRule="auto"/>
        <w:ind w:firstLine="709"/>
        <w:jc w:val="both"/>
        <w:rPr>
          <w:rFonts w:ascii="Century Gothic" w:eastAsia="Calibri" w:hAnsi="Century Gothic" w:cs="Arial"/>
          <w:lang w:val="es-ES"/>
        </w:rPr>
      </w:pPr>
    </w:p>
    <w:p w14:paraId="3803F1BD" w14:textId="77777777" w:rsidR="001D2627" w:rsidRPr="00A83AB4" w:rsidRDefault="001D2627" w:rsidP="00EB36F8">
      <w:pPr>
        <w:tabs>
          <w:tab w:val="left" w:pos="426"/>
        </w:tabs>
        <w:spacing w:after="0" w:line="276" w:lineRule="auto"/>
        <w:jc w:val="both"/>
        <w:rPr>
          <w:rFonts w:ascii="Century Gothic" w:eastAsia="Calibri" w:hAnsi="Century Gothic" w:cs="Arial"/>
          <w:b/>
          <w:color w:val="000000"/>
        </w:rPr>
      </w:pPr>
      <w:r w:rsidRPr="00A83AB4">
        <w:rPr>
          <w:rFonts w:ascii="Century Gothic" w:eastAsia="Calibri" w:hAnsi="Century Gothic" w:cs="Arial"/>
          <w:b/>
          <w:bCs/>
          <w:lang w:eastAsia="en-GB"/>
        </w:rPr>
        <w:t xml:space="preserve">2.1. </w:t>
      </w:r>
      <w:bookmarkStart w:id="4" w:name="_Hlk117695077"/>
      <w:r w:rsidRPr="00A83AB4">
        <w:rPr>
          <w:rFonts w:ascii="Century Gothic" w:eastAsia="Calibri" w:hAnsi="Century Gothic" w:cs="Arial"/>
          <w:b/>
          <w:color w:val="000000"/>
        </w:rPr>
        <w:t xml:space="preserve"> </w:t>
      </w:r>
      <w:bookmarkStart w:id="5" w:name="_Hlk157419965"/>
      <w:r w:rsidRPr="00A83AB4">
        <w:rPr>
          <w:rFonts w:ascii="Century Gothic" w:eastAsia="Calibri" w:hAnsi="Century Gothic" w:cs="Arial"/>
          <w:b/>
          <w:color w:val="000000"/>
        </w:rPr>
        <w:t>Impacto de la Ley 2069 de 2020 en la contratación estatal</w:t>
      </w:r>
    </w:p>
    <w:p w14:paraId="0A5DA9EC" w14:textId="77777777" w:rsidR="001D2627" w:rsidRPr="00A83AB4" w:rsidRDefault="001D2627" w:rsidP="00EB36F8">
      <w:pPr>
        <w:tabs>
          <w:tab w:val="left" w:pos="426"/>
        </w:tabs>
        <w:spacing w:after="0" w:line="276" w:lineRule="auto"/>
        <w:jc w:val="both"/>
        <w:rPr>
          <w:rFonts w:ascii="Century Gothic" w:eastAsia="Calibri" w:hAnsi="Century Gothic" w:cs="Arial"/>
          <w:b/>
          <w:color w:val="000000"/>
        </w:rPr>
      </w:pPr>
    </w:p>
    <w:p w14:paraId="464C6713" w14:textId="70EF8583" w:rsidR="001D2627" w:rsidRPr="00A83AB4" w:rsidRDefault="001D2627" w:rsidP="001D2627">
      <w:pPr>
        <w:tabs>
          <w:tab w:val="left" w:pos="709"/>
        </w:tabs>
        <w:spacing w:after="120" w:line="276" w:lineRule="auto"/>
        <w:jc w:val="both"/>
        <w:rPr>
          <w:rFonts w:ascii="Century Gothic" w:eastAsia="Calibri" w:hAnsi="Century Gothic" w:cs="Arial"/>
          <w:bCs/>
          <w:color w:val="000000"/>
        </w:rPr>
      </w:pPr>
      <w:bookmarkStart w:id="6" w:name="_Hlk63883948"/>
      <w:bookmarkStart w:id="7" w:name="_Hlk69144089"/>
      <w:r w:rsidRPr="00A83AB4">
        <w:rPr>
          <w:rFonts w:ascii="Century Gothic" w:eastAsia="Calibri" w:hAnsi="Century Gothic" w:cs="Arial"/>
          <w:bCs/>
          <w:color w:val="000000"/>
        </w:rPr>
        <w:t>El 31 de diciembre</w:t>
      </w:r>
      <w:r w:rsidR="00B20202" w:rsidRPr="00A83AB4">
        <w:rPr>
          <w:rFonts w:ascii="Century Gothic" w:eastAsia="Calibri" w:hAnsi="Century Gothic" w:cs="Arial"/>
          <w:bCs/>
          <w:color w:val="000000"/>
        </w:rPr>
        <w:t xml:space="preserve"> de 2020</w:t>
      </w:r>
      <w:r w:rsidRPr="00A83AB4">
        <w:rPr>
          <w:rFonts w:ascii="Century Gothic" w:eastAsia="Calibri" w:hAnsi="Century Gothic" w:cs="Arial"/>
          <w:bCs/>
          <w:color w:val="000000"/>
        </w:rPr>
        <w:t>, en congruencia con el “Pacto por el emprendimiento, la formalización y la productividad” del Plan Nacional de Desarrollo 2018-2022, el Presidente de la República sancionó la Ley 2069 de 2020 para impulsar el nacimiento de nuevas empresas que incentiven la generación de empleo en el país. Esta ley busca generar la reactivación de la economía y fomentar la actividad emprendedora, y tiene como uno de sus propósitos propiciar un entorno para ayudar al crecimiento, consolidación y sostenibilidad de esas iniciativas, generando mayor desarrollo social, creación de las empresas y mejoras tanto en la productividad como en la competitividad</w:t>
      </w:r>
      <w:r w:rsidRPr="00A83AB4">
        <w:rPr>
          <w:rFonts w:ascii="Century Gothic" w:eastAsia="Calibri" w:hAnsi="Century Gothic" w:cs="Arial"/>
          <w:bCs/>
          <w:color w:val="000000"/>
          <w:vertAlign w:val="superscript"/>
        </w:rPr>
        <w:footnoteReference w:id="4"/>
      </w:r>
      <w:r w:rsidRPr="00A83AB4">
        <w:rPr>
          <w:rFonts w:ascii="Century Gothic" w:eastAsia="Calibri" w:hAnsi="Century Gothic" w:cs="Arial"/>
          <w:bCs/>
          <w:color w:val="000000"/>
        </w:rPr>
        <w:t xml:space="preserve">. De esta manera, la ley en comento </w:t>
      </w:r>
      <w:r w:rsidRPr="00A83AB4">
        <w:rPr>
          <w:rFonts w:ascii="Century Gothic" w:eastAsia="Calibri" w:hAnsi="Century Gothic" w:cs="Arial"/>
          <w:bCs/>
          <w:color w:val="000000"/>
        </w:rPr>
        <w:lastRenderedPageBreak/>
        <w:t xml:space="preserve">también concreta la </w:t>
      </w:r>
      <w:bookmarkStart w:id="8" w:name="_Hlk63692496"/>
      <w:r w:rsidRPr="00A83AB4">
        <w:rPr>
          <w:rFonts w:ascii="Century Gothic" w:eastAsia="Calibri" w:hAnsi="Century Gothic" w:cs="Arial"/>
          <w:bCs/>
          <w:color w:val="000000"/>
        </w:rPr>
        <w:t>“Política de formalización empresarial</w:t>
      </w:r>
      <w:bookmarkEnd w:id="8"/>
      <w:r w:rsidRPr="00A83AB4">
        <w:rPr>
          <w:rFonts w:ascii="Century Gothic" w:eastAsia="Calibri" w:hAnsi="Century Gothic" w:cs="Arial"/>
          <w:bCs/>
          <w:color w:val="000000"/>
        </w:rPr>
        <w:t>” del Documento CONPES 3956 del 8 de enero de 2019</w:t>
      </w:r>
      <w:r w:rsidRPr="00A83AB4">
        <w:rPr>
          <w:rFonts w:ascii="Century Gothic" w:eastAsia="Calibri" w:hAnsi="Century Gothic" w:cs="Arial"/>
          <w:bCs/>
          <w:color w:val="000000"/>
          <w:vertAlign w:val="superscript"/>
        </w:rPr>
        <w:footnoteReference w:id="5"/>
      </w:r>
      <w:r w:rsidRPr="00A83AB4">
        <w:rPr>
          <w:rFonts w:ascii="Century Gothic" w:eastAsia="Calibri" w:hAnsi="Century Gothic" w:cs="Arial"/>
          <w:bCs/>
          <w:color w:val="000000"/>
        </w:rPr>
        <w:t>.</w:t>
      </w:r>
      <w:bookmarkEnd w:id="6"/>
    </w:p>
    <w:bookmarkEnd w:id="7"/>
    <w:p w14:paraId="7C1B2169" w14:textId="77777777" w:rsidR="001D2627" w:rsidRPr="00A83AB4" w:rsidRDefault="001D2627" w:rsidP="001D2627">
      <w:pPr>
        <w:tabs>
          <w:tab w:val="left" w:pos="709"/>
        </w:tabs>
        <w:spacing w:after="120" w:line="276" w:lineRule="auto"/>
        <w:jc w:val="both"/>
        <w:rPr>
          <w:rFonts w:ascii="Century Gothic" w:eastAsia="Calibri" w:hAnsi="Century Gothic" w:cs="Arial"/>
          <w:bCs/>
          <w:color w:val="000000"/>
        </w:rPr>
      </w:pPr>
      <w:r w:rsidRPr="00A83AB4">
        <w:rPr>
          <w:rFonts w:ascii="Century Gothic" w:eastAsia="Calibri" w:hAnsi="Century Gothic" w:cs="Arial"/>
          <w:bCs/>
          <w:color w:val="000000"/>
        </w:rPr>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A83AB4">
        <w:rPr>
          <w:rFonts w:ascii="Century Gothic" w:eastAsia="Calibri" w:hAnsi="Century Gothic" w:cs="Arial"/>
          <w:bCs/>
          <w:color w:val="000000"/>
          <w:vertAlign w:val="superscript"/>
        </w:rPr>
        <w:footnoteReference w:id="6"/>
      </w:r>
      <w:r w:rsidRPr="00A83AB4">
        <w:rPr>
          <w:rFonts w:ascii="Century Gothic" w:eastAsia="Calibri" w:hAnsi="Century Gothic" w:cs="Arial"/>
          <w:bCs/>
          <w:color w:val="000000"/>
        </w:rPr>
        <w:t xml:space="preserve">. </w:t>
      </w:r>
    </w:p>
    <w:p w14:paraId="37DDAD5C" w14:textId="77777777" w:rsidR="001D2627" w:rsidRPr="00A83AB4" w:rsidRDefault="001D2627" w:rsidP="001D2627">
      <w:pPr>
        <w:tabs>
          <w:tab w:val="left" w:pos="709"/>
        </w:tabs>
        <w:spacing w:line="276" w:lineRule="auto"/>
        <w:jc w:val="both"/>
        <w:rPr>
          <w:rFonts w:ascii="Century Gothic" w:eastAsia="Calibri" w:hAnsi="Century Gothic" w:cs="Arial"/>
          <w:bCs/>
          <w:color w:val="000000"/>
        </w:rPr>
      </w:pPr>
      <w:r w:rsidRPr="00A83AB4">
        <w:rPr>
          <w:rFonts w:ascii="Century Gothic" w:eastAsia="Calibri" w:hAnsi="Century Gothic" w:cs="Arial"/>
          <w:bCs/>
          <w:color w:val="000000"/>
        </w:rPr>
        <w:tab/>
        <w:t xml:space="preserve">Así las cosas, </w:t>
      </w:r>
      <w:bookmarkStart w:id="10" w:name="_Hlk63848566"/>
      <w:r w:rsidRPr="00A83AB4">
        <w:rPr>
          <w:rFonts w:ascii="Century Gothic" w:eastAsia="Calibri" w:hAnsi="Century Gothic" w:cs="Arial"/>
          <w:bCs/>
          <w:color w:val="000000"/>
        </w:rPr>
        <w:t>los artículos 30, 31, 32, 33, 34, 35 y 36 de la Ley 2069 de 2020</w:t>
      </w:r>
      <w:bookmarkEnd w:id="10"/>
      <w:r w:rsidRPr="00A83AB4">
        <w:rPr>
          <w:rFonts w:ascii="Century Gothic" w:eastAsia="Calibri" w:hAnsi="Century Gothic" w:cs="Arial"/>
          <w:bCs/>
          <w:color w:val="000000"/>
        </w:rPr>
        <w:t xml:space="preserve"> crean una serie de incentivos para las personas interesadas en celebrar contratos con el Estado. Particularmente, conforme a la exposición de motivos, “</w:t>
      </w:r>
      <w:r w:rsidRPr="00A83AB4">
        <w:rPr>
          <w:rFonts w:ascii="Century Gothic" w:eastAsia="Calibri" w:hAnsi="Century Gothic" w:cs="Arial"/>
        </w:rPr>
        <w:t xml:space="preserve">[…] </w:t>
      </w:r>
      <w:r w:rsidRPr="00A83AB4">
        <w:rPr>
          <w:rFonts w:ascii="Century Gothic" w:eastAsia="Calibri" w:hAnsi="Century Gothic" w:cs="Arial"/>
          <w:bCs/>
          <w:color w:val="000000"/>
        </w:rPr>
        <w:t>propone facilitar el acceso de las Mipymes a la modalidad de contratación de mínima cuantía, la limitación de estos procesos a Mipymes, define la posibilidad de establecer criterios diferenciales a favor de las Mipymes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Pr="00A83AB4">
        <w:rPr>
          <w:rFonts w:ascii="Century Gothic" w:eastAsia="Calibri" w:hAnsi="Century Gothic" w:cs="Arial"/>
          <w:bCs/>
          <w:color w:val="000000"/>
          <w:vertAlign w:val="superscript"/>
        </w:rPr>
        <w:footnoteReference w:id="7"/>
      </w:r>
      <w:r w:rsidRPr="00A83AB4">
        <w:rPr>
          <w:rFonts w:ascii="Century Gothic" w:eastAsia="Calibri" w:hAnsi="Century Gothic" w:cs="Arial"/>
          <w:bCs/>
          <w:color w:val="000000"/>
        </w:rPr>
        <w:t xml:space="preserve">. Entre estas disposiciones, resulta relevante destacar el artículo 34 de la Ley 2069 de 2020 –que modificó el </w:t>
      </w:r>
      <w:r w:rsidRPr="00A83AB4">
        <w:rPr>
          <w:rFonts w:ascii="Century Gothic" w:eastAsia="Calibri" w:hAnsi="Century Gothic" w:cs="Arial"/>
          <w:bCs/>
          <w:color w:val="000000"/>
        </w:rPr>
        <w:lastRenderedPageBreak/>
        <w:t>artículo 12 de la Ley 1150 de 2007– y su reglamentación realizada mediante el Decreto 1860 de 2021, en lo relacionado con el fomento en la ejecución de los contratos estatales la provisión de bienes y servicios por sujetos de especial protección constitucional.</w:t>
      </w:r>
    </w:p>
    <w:bookmarkEnd w:id="5"/>
    <w:p w14:paraId="4E5071C5" w14:textId="77777777" w:rsidR="001D2627" w:rsidRPr="00A83AB4" w:rsidRDefault="001D2627" w:rsidP="001D2627">
      <w:pPr>
        <w:spacing w:line="276" w:lineRule="auto"/>
        <w:jc w:val="both"/>
        <w:rPr>
          <w:rFonts w:ascii="Century Gothic" w:hAnsi="Century Gothic" w:cs="Arial"/>
        </w:rPr>
      </w:pPr>
    </w:p>
    <w:bookmarkEnd w:id="4"/>
    <w:p w14:paraId="7F297A1D" w14:textId="77777777" w:rsidR="001D2627" w:rsidRPr="00A83AB4" w:rsidRDefault="001D2627" w:rsidP="00EB36F8">
      <w:pPr>
        <w:spacing w:after="0" w:line="276" w:lineRule="auto"/>
        <w:jc w:val="both"/>
        <w:rPr>
          <w:rFonts w:ascii="Century Gothic" w:eastAsia="Calibri" w:hAnsi="Century Gothic" w:cs="Arial"/>
          <w:b/>
          <w:bCs/>
          <w:lang w:val="es-ES_tradnl"/>
        </w:rPr>
      </w:pPr>
      <w:r w:rsidRPr="00A83AB4">
        <w:rPr>
          <w:rFonts w:ascii="Century Gothic" w:eastAsia="Calibri" w:hAnsi="Century Gothic" w:cs="Arial"/>
          <w:b/>
          <w:bCs/>
          <w:color w:val="000000"/>
          <w:lang w:val="es-ES_tradnl"/>
        </w:rPr>
        <w:t xml:space="preserve">2.2. </w:t>
      </w:r>
      <w:r w:rsidRPr="00A83AB4">
        <w:rPr>
          <w:rFonts w:ascii="Century Gothic" w:eastAsia="Calibri" w:hAnsi="Century Gothic" w:cs="Arial"/>
          <w:b/>
          <w:bCs/>
          <w:lang w:val="es-ES_tradnl"/>
        </w:rPr>
        <w:t xml:space="preserve">Regulación de la promoción del desarrollo en la contratación pública en el artículo 34 de la Ley 2069 de 2020 y la reglamentación del inciso cuarto en el Decreto 1860 de 2021 </w:t>
      </w:r>
    </w:p>
    <w:p w14:paraId="753EABC9" w14:textId="77777777" w:rsidR="001D2627" w:rsidRPr="00A83AB4" w:rsidRDefault="001D2627" w:rsidP="00EB36F8">
      <w:pPr>
        <w:spacing w:after="0" w:line="276" w:lineRule="auto"/>
        <w:jc w:val="both"/>
        <w:rPr>
          <w:rFonts w:ascii="Century Gothic" w:eastAsia="Calibri" w:hAnsi="Century Gothic" w:cs="Arial"/>
          <w:lang w:val="es-ES_tradnl"/>
        </w:rPr>
      </w:pPr>
    </w:p>
    <w:p w14:paraId="0051249A" w14:textId="77777777" w:rsidR="001D2627" w:rsidRPr="00A83AB4" w:rsidRDefault="001D2627" w:rsidP="001D2627">
      <w:pPr>
        <w:spacing w:line="276" w:lineRule="auto"/>
        <w:jc w:val="both"/>
        <w:rPr>
          <w:rFonts w:ascii="Century Gothic" w:eastAsia="Calibri" w:hAnsi="Century Gothic" w:cs="Arial"/>
          <w:lang w:val="es-ES_tradnl"/>
        </w:rPr>
      </w:pPr>
      <w:r w:rsidRPr="00A83AB4">
        <w:rPr>
          <w:rFonts w:ascii="Century Gothic" w:eastAsia="Calibri" w:hAnsi="Century Gothic" w:cs="Arial"/>
          <w:lang w:val="es-ES_tradnl"/>
        </w:rPr>
        <w:t>El artículo 34 de la Ley 2069 de 2020 establece nuevas reglas sobre la promoción al desarrollo en la contratación estatal. Concretamente, modifica el contenido del artículo 12 de la Ley 1150 de 2007</w:t>
      </w:r>
      <w:r w:rsidRPr="00A83AB4">
        <w:rPr>
          <w:rStyle w:val="Refdenotaalpie"/>
          <w:rFonts w:ascii="Century Gothic" w:eastAsia="Calibri" w:hAnsi="Century Gothic" w:cs="Arial"/>
          <w:lang w:val="es-ES_tradnl"/>
        </w:rPr>
        <w:footnoteReference w:id="8"/>
      </w:r>
      <w:r w:rsidRPr="00A83AB4">
        <w:rPr>
          <w:rFonts w:ascii="Century Gothic" w:eastAsia="Calibri" w:hAnsi="Century Gothic" w:cs="Arial"/>
          <w:lang w:val="es-ES_tradnl"/>
        </w:rPr>
        <w:t>, prescribiendo lo que se indica a continuación:</w:t>
      </w:r>
    </w:p>
    <w:p w14:paraId="43F5CEAF"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 xml:space="preserve">i) Encomienda, con carácter imperativo, al gobierno nacional definir las condiciones y los montos para que las entidades estatales –cualquiera sea su régimen contractual–, los patrimonios autónomos constituidos por aquellas y los </w:t>
      </w:r>
      <w:r w:rsidRPr="00A83AB4">
        <w:rPr>
          <w:rFonts w:ascii="Century Gothic" w:eastAsia="Calibri" w:hAnsi="Century Gothic" w:cs="Arial"/>
          <w:lang w:val="es-ES_tradnl"/>
        </w:rPr>
        <w:lastRenderedPageBreak/>
        <w:t xml:space="preserve">particulares que administren recursos públicos efectúen convocatorias limitadas a mipymes en los procesos de contratación. Y agrega que estas convocatorias se pueden realizar también en el ámbito municipal o departamental en el que se ejecute el contrato. </w:t>
      </w:r>
    </w:p>
    <w:p w14:paraId="4806E5E5"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ii) Indica que dichas convocatorias se deben efectuar siempre y cuando, antes del acto administrativo de apertura del proceso de selección, por lo menos dos (2) mipymes hayan manifestado su interés.</w:t>
      </w:r>
    </w:p>
    <w:p w14:paraId="4BAE4DA5"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78E58968"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iv) Establece que, en el reglamento, el gobierno nacional podría establecer condiciones preferenciales para los bienes y servicios producidos por las mipymes, sin contrariar los compromisos internacionales vigentes.</w:t>
      </w:r>
    </w:p>
    <w:p w14:paraId="18D54C27"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49D720E6"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 xml:space="preserve">vi) Señala que el reglamento a cargo del gobierno nacional, además de las convocatorias limitadas a mipymes, deberá contener disposiciones normativas que permitan la provisión de bienes y servicios, a través de la celebración de contratos estatales con algunas </w:t>
      </w:r>
      <w:r w:rsidRPr="00A83AB4">
        <w:rPr>
          <w:rFonts w:ascii="Century Gothic" w:eastAsia="Calibri" w:hAnsi="Century Gothic" w:cs="Arial"/>
          <w:i/>
          <w:iCs/>
          <w:lang w:val="es-ES_tradnl"/>
        </w:rPr>
        <w:t>personas que gozan de especial protección constitucional</w:t>
      </w:r>
      <w:r w:rsidRPr="00A83AB4">
        <w:rPr>
          <w:rFonts w:ascii="Century Gothic" w:eastAsia="Calibri" w:hAnsi="Century Gothic" w:cs="Arial"/>
          <w:lang w:val="es-ES_tradnl"/>
        </w:rPr>
        <w:t>. Entre tales personas se encuentran las que tengan condiciones de pobreza extrema, las desplazadas por la violencia y quienes estén en procesos de reintegración o reincorporación, entre otras que incluya el reglamento.</w:t>
      </w:r>
    </w:p>
    <w:p w14:paraId="5D160240"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30614444"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 xml:space="preserve">viii) Hace obligatorio el cumplimiento de lo dispuesto en los artículos 90 a 95 de la Ley 418 de 1997 –normas que establecen la obligación de declarar la caducidad y la liquidación unilateral cuando el contratista beneficie grupos </w:t>
      </w:r>
      <w:r w:rsidRPr="00A83AB4">
        <w:rPr>
          <w:rFonts w:ascii="Century Gothic" w:eastAsia="Calibri" w:hAnsi="Century Gothic" w:cs="Arial"/>
          <w:lang w:val="es-ES_tradnl"/>
        </w:rPr>
        <w:lastRenderedPageBreak/>
        <w:t>armados organizados al margen de la ley– en la ejecución de los contratos celebrados en virtud del artículo 34 de la Ley 2069 de 2020.</w:t>
      </w:r>
    </w:p>
    <w:p w14:paraId="1E84B794" w14:textId="77777777" w:rsidR="001D2627" w:rsidRPr="00A83AB4" w:rsidRDefault="001D2627" w:rsidP="00EB36F8">
      <w:pPr>
        <w:spacing w:before="120" w:after="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64835831" w14:textId="77777777" w:rsidR="001D2627" w:rsidRPr="00A83AB4" w:rsidRDefault="001D2627" w:rsidP="00EB36F8">
      <w:pPr>
        <w:spacing w:after="0" w:line="276" w:lineRule="auto"/>
        <w:ind w:left="709" w:right="709"/>
        <w:jc w:val="both"/>
        <w:rPr>
          <w:rFonts w:ascii="Century Gothic" w:eastAsia="Calibri" w:hAnsi="Century Gothic" w:cs="Arial"/>
          <w:lang w:val="es-ES_tradnl"/>
        </w:rPr>
      </w:pPr>
    </w:p>
    <w:p w14:paraId="1DDB4F2E" w14:textId="77777777" w:rsidR="001D2627" w:rsidRPr="00A83AB4" w:rsidRDefault="001D2627" w:rsidP="00EB36F8">
      <w:pPr>
        <w:spacing w:after="0"/>
        <w:ind w:left="709" w:right="709"/>
        <w:jc w:val="both"/>
        <w:rPr>
          <w:rFonts w:ascii="Century Gothic" w:eastAsia="Calibri" w:hAnsi="Century Gothic" w:cs="Arial"/>
          <w:sz w:val="21"/>
          <w:szCs w:val="21"/>
          <w:lang w:val="es-ES_tradnl"/>
        </w:rPr>
      </w:pPr>
      <w:r w:rsidRPr="00A83AB4">
        <w:rPr>
          <w:rFonts w:ascii="Century Gothic" w:eastAsia="Calibri" w:hAnsi="Century Gothic"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A83AB4">
        <w:rPr>
          <w:rStyle w:val="Refdenotaalpie"/>
          <w:rFonts w:ascii="Century Gothic" w:eastAsia="Calibri" w:hAnsi="Century Gothic" w:cs="Arial"/>
          <w:sz w:val="21"/>
          <w:szCs w:val="21"/>
          <w:lang w:val="es-ES_tradnl"/>
        </w:rPr>
        <w:footnoteReference w:id="9"/>
      </w:r>
      <w:r w:rsidRPr="00A83AB4">
        <w:rPr>
          <w:rFonts w:ascii="Century Gothic" w:eastAsia="Calibri" w:hAnsi="Century Gothic" w:cs="Arial"/>
          <w:sz w:val="21"/>
          <w:szCs w:val="21"/>
          <w:lang w:val="es-ES_tradnl"/>
        </w:rPr>
        <w:t>.</w:t>
      </w:r>
    </w:p>
    <w:p w14:paraId="01796976" w14:textId="77777777" w:rsidR="001D2627" w:rsidRPr="00A83AB4" w:rsidRDefault="001D2627" w:rsidP="00EB36F8">
      <w:pPr>
        <w:spacing w:after="0" w:line="276" w:lineRule="auto"/>
        <w:ind w:firstLine="709"/>
        <w:jc w:val="both"/>
        <w:rPr>
          <w:rFonts w:ascii="Century Gothic" w:eastAsia="Calibri" w:hAnsi="Century Gothic" w:cs="Arial"/>
          <w:lang w:val="es-ES_tradnl"/>
        </w:rPr>
      </w:pPr>
    </w:p>
    <w:p w14:paraId="29CF8DDD" w14:textId="77777777" w:rsidR="001D2627" w:rsidRPr="00A83AB4" w:rsidRDefault="001D2627" w:rsidP="001D2627">
      <w:pPr>
        <w:spacing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1A822165" w14:textId="77777777" w:rsidR="001D2627" w:rsidRPr="00A83AB4" w:rsidRDefault="001D2627" w:rsidP="001D2627">
      <w:pPr>
        <w:spacing w:before="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Ahora bien, es necesario tener en cuenta que el Gobierno Nacional expidió el Decreto 1860 de 24 de diciembre de 2021, el cual adicionó el artículo</w:t>
      </w:r>
      <w:r w:rsidRPr="00A83AB4">
        <w:rPr>
          <w:rFonts w:ascii="Arial" w:eastAsia="Calibri" w:hAnsi="Arial" w:cs="Arial"/>
          <w:lang w:val="es-ES_tradnl"/>
        </w:rPr>
        <w:t> </w:t>
      </w:r>
      <w:r w:rsidRPr="00A83AB4">
        <w:rPr>
          <w:rFonts w:ascii="Century Gothic" w:eastAsia="Calibri" w:hAnsi="Century Gothic" w:cs="Arial"/>
          <w:lang w:val="es-ES_tradnl"/>
        </w:rPr>
        <w:t>2.2.1.2.4.2.16</w:t>
      </w:r>
      <w:r w:rsidRPr="00A83AB4">
        <w:rPr>
          <w:rFonts w:ascii="Arial" w:eastAsia="Calibri" w:hAnsi="Arial" w:cs="Arial"/>
          <w:lang w:val="es-ES_tradnl"/>
        </w:rPr>
        <w:t> </w:t>
      </w:r>
      <w:r w:rsidRPr="00A83AB4">
        <w:rPr>
          <w:rFonts w:ascii="Century Gothic" w:eastAsia="Calibri" w:hAnsi="Century Gothic" w:cs="Arial"/>
          <w:lang w:val="es-ES_tradnl"/>
        </w:rPr>
        <w:t xml:space="preserve">a la Subsección 2 de la Sección 4 del Capítulo 2 del Título 1 de la Parte 2 del Libro 2 del Decreto 1082 de 2015, Único Reglamentario del Sector Administrativo de Planeación Nacional. Esto para desarrollar el inciso cuarto del artículo 34 de la Ley 2069 de 2020, el cual dispone que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w:t>
      </w:r>
      <w:r w:rsidRPr="00A83AB4">
        <w:rPr>
          <w:rFonts w:ascii="Century Gothic" w:eastAsia="Calibri" w:hAnsi="Century Gothic" w:cs="Arial"/>
          <w:i/>
          <w:iCs/>
          <w:lang w:val="es-ES_tradnl"/>
        </w:rPr>
        <w:t xml:space="preserve">en las condiciones </w:t>
      </w:r>
      <w:r w:rsidRPr="00A83AB4">
        <w:rPr>
          <w:rFonts w:ascii="Century Gothic" w:eastAsia="Calibri" w:hAnsi="Century Gothic" w:cs="Arial"/>
          <w:i/>
          <w:iCs/>
          <w:lang w:val="es-ES_tradnl"/>
        </w:rPr>
        <w:lastRenderedPageBreak/>
        <w:t>que señale el reglamento</w:t>
      </w:r>
      <w:r w:rsidRPr="00A83AB4">
        <w:rPr>
          <w:rFonts w:ascii="Century Gothic" w:eastAsia="Calibri" w:hAnsi="Century Gothic" w:cs="Arial"/>
          <w:lang w:val="es-ES_tradnl"/>
        </w:rPr>
        <w:t>; siempre que se garanticen las condiciones de calidad y cumplimiento del objeto contractual” (Énfasis fuera de texto). Para estos efectos, el artículo</w:t>
      </w:r>
      <w:r w:rsidRPr="00A83AB4">
        <w:rPr>
          <w:rFonts w:ascii="Arial" w:eastAsia="Calibri" w:hAnsi="Arial" w:cs="Arial"/>
          <w:lang w:val="es-ES_tradnl"/>
        </w:rPr>
        <w:t> </w:t>
      </w:r>
      <w:r w:rsidRPr="00A83AB4">
        <w:rPr>
          <w:rFonts w:ascii="Century Gothic" w:eastAsia="Calibri" w:hAnsi="Century Gothic" w:cs="Arial"/>
          <w:lang w:val="es-ES_tradnl"/>
        </w:rPr>
        <w:t xml:space="preserve">2.2.1.2.4.2.16 del Decreto 1082 de 2015, adicionado por el artículo 3 del Decreto 1860 de 2021, prescribe lo siguiente: </w:t>
      </w:r>
    </w:p>
    <w:p w14:paraId="0D47D0F6" w14:textId="77777777" w:rsidR="001D2627" w:rsidRPr="00A83AB4" w:rsidRDefault="001D2627" w:rsidP="001D2627">
      <w:pPr>
        <w:spacing w:line="276" w:lineRule="auto"/>
        <w:ind w:left="709" w:right="709"/>
        <w:jc w:val="both"/>
        <w:rPr>
          <w:rFonts w:ascii="Century Gothic" w:eastAsia="Calibri" w:hAnsi="Century Gothic" w:cs="Arial"/>
          <w:lang w:val="es-ES_tradnl"/>
        </w:rPr>
      </w:pPr>
    </w:p>
    <w:p w14:paraId="17281E1C" w14:textId="77777777" w:rsidR="001D2627" w:rsidRPr="00A83AB4" w:rsidRDefault="001D2627" w:rsidP="001D2627">
      <w:pPr>
        <w:spacing w:after="120"/>
        <w:ind w:left="709" w:right="709"/>
        <w:jc w:val="both"/>
        <w:rPr>
          <w:rFonts w:ascii="Century Gothic" w:hAnsi="Century Gothic" w:cs="Arial"/>
          <w:sz w:val="21"/>
          <w:szCs w:val="21"/>
        </w:rPr>
      </w:pPr>
      <w:r w:rsidRPr="00A83AB4">
        <w:rPr>
          <w:rFonts w:ascii="Century Gothic" w:hAnsi="Century Gothic" w:cs="Arial"/>
          <w:sz w:val="21"/>
          <w:szCs w:val="21"/>
        </w:rPr>
        <w:t xml:space="preserve">“En los Procesos de Contratación, las Entidades Estatales indistintamente de su régimen de contratación, los patrimonios autónomos constituidos por Entidades Estatales y los particulares que ejecuten recursos públicos </w:t>
      </w:r>
      <w:r w:rsidRPr="00A83AB4">
        <w:rPr>
          <w:rFonts w:ascii="Century Gothic" w:hAnsi="Century Gothic" w:cs="Arial"/>
          <w:i/>
          <w:iCs/>
          <w:sz w:val="21"/>
          <w:szCs w:val="21"/>
        </w:rPr>
        <w:t>fomentarán</w:t>
      </w:r>
      <w:r w:rsidRPr="00A83AB4">
        <w:rPr>
          <w:rFonts w:ascii="Century Gothic" w:hAnsi="Century Gothic" w:cs="Arial"/>
          <w:sz w:val="21"/>
          <w:szCs w:val="21"/>
        </w:rPr>
        <w:t xml:space="preserve">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w:t>
      </w:r>
      <w:r w:rsidRPr="00A83AB4">
        <w:rPr>
          <w:rFonts w:ascii="Century Gothic" w:hAnsi="Century Gothic" w:cs="Arial"/>
          <w:i/>
          <w:iCs/>
          <w:sz w:val="21"/>
          <w:szCs w:val="21"/>
        </w:rPr>
        <w:t>sujetos de especial protección constitucional</w:t>
      </w:r>
      <w:r w:rsidRPr="00A83AB4">
        <w:rPr>
          <w:rFonts w:ascii="Century Gothic" w:hAnsi="Century Gothic" w:cs="Arial"/>
          <w:sz w:val="21"/>
          <w:szCs w:val="21"/>
        </w:rPr>
        <w:t xml:space="preserve">, garantizando las condiciones de calidad y sin perjuicio de los Acuerdos Comerciales vigentes. </w:t>
      </w:r>
    </w:p>
    <w:p w14:paraId="7917E4DC" w14:textId="77777777" w:rsidR="001D2627" w:rsidRPr="00A83AB4" w:rsidRDefault="001D2627" w:rsidP="001D2627">
      <w:pPr>
        <w:spacing w:after="120"/>
        <w:ind w:left="709" w:right="709"/>
        <w:jc w:val="both"/>
        <w:rPr>
          <w:rFonts w:ascii="Century Gothic" w:hAnsi="Century Gothic" w:cs="Arial"/>
          <w:sz w:val="21"/>
          <w:szCs w:val="21"/>
        </w:rPr>
      </w:pPr>
      <w:r w:rsidRPr="00A83AB4">
        <w:rPr>
          <w:rFonts w:ascii="Century Gothic" w:hAnsi="Century Gothic" w:cs="Arial"/>
          <w:sz w:val="21"/>
          <w:szCs w:val="21"/>
        </w:rPr>
        <w:t xml:space="preserve">La participación de los sujetos anteriormente mencionados en la ejecución del contrato </w:t>
      </w:r>
      <w:r w:rsidRPr="00A83AB4">
        <w:rPr>
          <w:rFonts w:ascii="Century Gothic" w:hAnsi="Century Gothic" w:cs="Arial"/>
          <w:i/>
          <w:iCs/>
          <w:sz w:val="21"/>
          <w:szCs w:val="21"/>
        </w:rPr>
        <w:t>se fomentará previo análisis de su oportunidad y conveniencia en los Documentos del Proceso</w:t>
      </w:r>
      <w:r w:rsidRPr="00A83AB4">
        <w:rPr>
          <w:rFonts w:ascii="Century Gothic" w:hAnsi="Century Gothic" w:cs="Arial"/>
          <w:sz w:val="21"/>
          <w:szCs w:val="21"/>
        </w:rPr>
        <w:t xml:space="preserve">, teniendo en cuenta el objeto contractual y el alcance de las obligaciones. </w:t>
      </w:r>
    </w:p>
    <w:p w14:paraId="24B3B576" w14:textId="77777777" w:rsidR="001D2627" w:rsidRPr="00A83AB4" w:rsidRDefault="001D2627" w:rsidP="001D2627">
      <w:pPr>
        <w:spacing w:after="120"/>
        <w:ind w:left="709" w:right="709"/>
        <w:jc w:val="both"/>
        <w:rPr>
          <w:rFonts w:ascii="Century Gothic" w:hAnsi="Century Gothic" w:cs="Arial"/>
          <w:sz w:val="21"/>
          <w:szCs w:val="21"/>
        </w:rPr>
      </w:pPr>
      <w:r w:rsidRPr="00A83AB4">
        <w:rPr>
          <w:rFonts w:ascii="Century Gothic" w:hAnsi="Century Gothic" w:cs="Arial"/>
          <w:sz w:val="21"/>
          <w:szCs w:val="21"/>
        </w:rPr>
        <w:t xml:space="preserve">Esta provisión se establecerá en un porcentaje que no será superior al diez por ciento (10%) ni inferior al cinco por ciento (5%) de los bienes o servicios requeridos para la ejecución del contrato, </w:t>
      </w:r>
      <w:r w:rsidRPr="00A83AB4">
        <w:rPr>
          <w:rFonts w:ascii="Century Gothic" w:hAnsi="Century Gothic" w:cs="Arial"/>
          <w:i/>
          <w:iCs/>
          <w:sz w:val="21"/>
          <w:szCs w:val="21"/>
        </w:rPr>
        <w:t>de manera que no se ponga en riesgo su cumplimiento adecuado</w:t>
      </w:r>
      <w:r w:rsidRPr="00A83AB4">
        <w:rPr>
          <w:rFonts w:ascii="Century Gothic" w:hAnsi="Century Gothic" w:cs="Arial"/>
          <w:sz w:val="21"/>
          <w:szCs w:val="21"/>
        </w:rPr>
        <w:t xml:space="preserve">. </w:t>
      </w:r>
      <w:r w:rsidRPr="00A83AB4">
        <w:rPr>
          <w:rFonts w:ascii="Arial" w:hAnsi="Arial" w:cs="Arial"/>
          <w:sz w:val="21"/>
          <w:szCs w:val="21"/>
        </w:rPr>
        <w:t> </w:t>
      </w:r>
      <w:r w:rsidRPr="00A83AB4">
        <w:rPr>
          <w:rFonts w:ascii="Century Gothic" w:hAnsi="Century Gothic" w:cs="Arial"/>
          <w:sz w:val="21"/>
          <w:szCs w:val="21"/>
        </w:rPr>
        <w:t xml:space="preserve"> </w:t>
      </w:r>
    </w:p>
    <w:p w14:paraId="1D453088" w14:textId="77777777" w:rsidR="001D2627" w:rsidRPr="00A83AB4" w:rsidRDefault="001D2627" w:rsidP="001D2627">
      <w:pPr>
        <w:spacing w:after="120"/>
        <w:ind w:left="709" w:right="709"/>
        <w:jc w:val="both"/>
        <w:rPr>
          <w:rFonts w:ascii="Century Gothic" w:hAnsi="Century Gothic" w:cs="Arial"/>
          <w:sz w:val="21"/>
          <w:szCs w:val="21"/>
        </w:rPr>
      </w:pPr>
      <w:r w:rsidRPr="00A83AB4">
        <w:rPr>
          <w:rFonts w:ascii="Century Gothic" w:hAnsi="Century Gothic" w:cs="Arial"/>
          <w:i/>
          <w:iCs/>
          <w:sz w:val="21"/>
          <w:szCs w:val="21"/>
        </w:rPr>
        <w:t>Previo análisis de oportunidad y conveniencia</w:t>
      </w:r>
      <w:r w:rsidRPr="00A83AB4">
        <w:rPr>
          <w:rFonts w:ascii="Century Gothic" w:hAnsi="Century Gothic" w:cs="Arial"/>
          <w:sz w:val="21"/>
          <w:szCs w:val="21"/>
        </w:rPr>
        <w:t xml:space="preserve">, la Entidad Estatal incorporará esta obligación en la minuta del contrato del pliego de condiciones o documento equivalente, precisando las sanciones pecuniarias producto del incumplimiento injustificado de esta a través de las causales de multa que estime pertinentes. </w:t>
      </w:r>
    </w:p>
    <w:p w14:paraId="0263A1E2" w14:textId="77777777" w:rsidR="001D2627" w:rsidRPr="00A83AB4" w:rsidRDefault="001D2627" w:rsidP="001D2627">
      <w:pPr>
        <w:spacing w:after="120"/>
        <w:ind w:left="709" w:right="709"/>
        <w:jc w:val="both"/>
        <w:rPr>
          <w:rFonts w:ascii="Century Gothic" w:hAnsi="Century Gothic" w:cs="Arial"/>
          <w:sz w:val="21"/>
          <w:szCs w:val="21"/>
        </w:rPr>
      </w:pPr>
      <w:r w:rsidRPr="00A83AB4">
        <w:rPr>
          <w:rFonts w:ascii="Century Gothic" w:hAnsi="Century Gothic" w:cs="Arial"/>
          <w:sz w:val="21"/>
          <w:szCs w:val="21"/>
        </w:rPr>
        <w:t xml:space="preserve">El supervisor o el interventor, según el caso, realizará el seguimiento y verificará que las personas vinculadas al inicio y durante la ejecución del contrato pertenezcan a los grupos poblacionales enunciados anteriormente.  </w:t>
      </w:r>
    </w:p>
    <w:p w14:paraId="434611B9" w14:textId="77777777" w:rsidR="001D2627" w:rsidRPr="00A83AB4" w:rsidRDefault="001D2627" w:rsidP="001D2627">
      <w:pPr>
        <w:spacing w:after="120"/>
        <w:ind w:left="709" w:right="709"/>
        <w:jc w:val="both"/>
        <w:rPr>
          <w:rFonts w:ascii="Century Gothic" w:hAnsi="Century Gothic" w:cs="Arial"/>
          <w:sz w:val="21"/>
          <w:szCs w:val="21"/>
        </w:rPr>
      </w:pPr>
      <w:r w:rsidRPr="00A83AB4">
        <w:rPr>
          <w:rFonts w:ascii="Century Gothic" w:hAnsi="Century Gothic" w:cs="Arial"/>
          <w:sz w:val="21"/>
          <w:szCs w:val="21"/>
        </w:rPr>
        <w:t>PARÁGRAFO 1.</w:t>
      </w:r>
      <w:r w:rsidRPr="00A83AB4">
        <w:rPr>
          <w:rFonts w:ascii="Arial" w:hAnsi="Arial" w:cs="Arial"/>
          <w:sz w:val="21"/>
          <w:szCs w:val="21"/>
        </w:rPr>
        <w:t> </w:t>
      </w:r>
      <w:r w:rsidRPr="00A83AB4">
        <w:rPr>
          <w:rFonts w:ascii="Century Gothic" w:hAnsi="Century Gothic" w:cs="Arial"/>
          <w:sz w:val="21"/>
          <w:szCs w:val="21"/>
        </w:rPr>
        <w:t xml:space="preserve">Para los efectos previstos en el presente artículo, </w:t>
      </w:r>
      <w:r w:rsidRPr="00A83AB4">
        <w:rPr>
          <w:rFonts w:ascii="Century Gothic" w:hAnsi="Century Gothic" w:cs="Arial"/>
          <w:i/>
          <w:iCs/>
          <w:sz w:val="21"/>
          <w:szCs w:val="21"/>
        </w:rPr>
        <w:t xml:space="preserve">los sujetos de especial protección constitucional </w:t>
      </w:r>
      <w:r w:rsidRPr="00A83AB4">
        <w:rPr>
          <w:rFonts w:ascii="Century Gothic" w:hAnsi="Century Gothic" w:cs="Arial"/>
          <w:sz w:val="21"/>
          <w:szCs w:val="21"/>
        </w:rPr>
        <w:t xml:space="preserve">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w:t>
      </w:r>
      <w:r w:rsidRPr="00A83AB4">
        <w:rPr>
          <w:rFonts w:ascii="Century Gothic" w:hAnsi="Century Gothic" w:cs="Arial"/>
          <w:sz w:val="21"/>
          <w:szCs w:val="21"/>
        </w:rPr>
        <w:lastRenderedPageBreak/>
        <w:t xml:space="preserve">mayores, las personas en condición de discapacidad, así como la población de las comunidades indígena, negra, afrocolombiana, raizal, palanquera, Rrom o gitanas. </w:t>
      </w:r>
    </w:p>
    <w:p w14:paraId="7222D001" w14:textId="77777777" w:rsidR="001D2627" w:rsidRPr="00A83AB4" w:rsidRDefault="001D2627" w:rsidP="001D2627">
      <w:pPr>
        <w:spacing w:after="120"/>
        <w:ind w:left="709" w:right="709"/>
        <w:jc w:val="both"/>
        <w:rPr>
          <w:rFonts w:ascii="Century Gothic" w:hAnsi="Century Gothic" w:cs="Arial"/>
          <w:sz w:val="21"/>
          <w:szCs w:val="21"/>
        </w:rPr>
      </w:pPr>
      <w:r w:rsidRPr="00A83AB4">
        <w:rPr>
          <w:rFonts w:ascii="Century Gothic" w:hAnsi="Century Gothic" w:cs="Arial"/>
          <w:sz w:val="21"/>
          <w:szCs w:val="21"/>
        </w:rPr>
        <w:t xml:space="preserve">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w:t>
      </w:r>
    </w:p>
    <w:p w14:paraId="3C92B97D" w14:textId="77777777" w:rsidR="001D2627" w:rsidRPr="00A83AB4" w:rsidRDefault="001D2627" w:rsidP="001D2627">
      <w:pPr>
        <w:ind w:left="709" w:right="709"/>
        <w:jc w:val="both"/>
        <w:rPr>
          <w:rFonts w:ascii="Century Gothic" w:hAnsi="Century Gothic" w:cs="Arial"/>
          <w:sz w:val="21"/>
          <w:szCs w:val="21"/>
        </w:rPr>
      </w:pPr>
      <w:r w:rsidRPr="00A83AB4">
        <w:rPr>
          <w:rFonts w:ascii="Century Gothic" w:hAnsi="Century Gothic" w:cs="Arial"/>
          <w:sz w:val="21"/>
          <w:szCs w:val="21"/>
        </w:rPr>
        <w:t>PARÁGRAFO 2.</w:t>
      </w:r>
      <w:r w:rsidRPr="00A83AB4">
        <w:rPr>
          <w:rFonts w:ascii="Arial" w:hAnsi="Arial" w:cs="Arial"/>
          <w:sz w:val="21"/>
          <w:szCs w:val="21"/>
        </w:rPr>
        <w:t> </w:t>
      </w:r>
      <w:r w:rsidRPr="00A83AB4">
        <w:rPr>
          <w:rFonts w:ascii="Century Gothic" w:hAnsi="Century Gothic" w:cs="Arial"/>
          <w:sz w:val="21"/>
          <w:szCs w:val="21"/>
        </w:rPr>
        <w:t>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 (Énfasis fuera de texto)</w:t>
      </w:r>
    </w:p>
    <w:p w14:paraId="0DBDD334" w14:textId="77777777" w:rsidR="001D2627" w:rsidRPr="00A83AB4" w:rsidRDefault="001D2627" w:rsidP="001D2627">
      <w:pPr>
        <w:spacing w:after="120" w:line="276" w:lineRule="auto"/>
        <w:ind w:firstLine="709"/>
        <w:jc w:val="both"/>
        <w:rPr>
          <w:rFonts w:ascii="Century Gothic" w:hAnsi="Century Gothic" w:cs="Arial"/>
        </w:rPr>
      </w:pPr>
      <w:r w:rsidRPr="00A83AB4">
        <w:rPr>
          <w:rFonts w:ascii="Century Gothic" w:hAnsi="Century Gothic" w:cs="Arial"/>
        </w:rPr>
        <w:t xml:space="preserve">Como se aprecia, en primer lugar, la nueva norma está dirigida a las entidades estatales indistintamente de su régimen de contratación, los patrimonios autónomos constituidos por Entidades Estatales y los particulares que ejecuten recursos públicos. En segundo lugar, dispone que en los pliegos de condiciones o documento equivalente deben implementarse mecanismos para que durante la ejecución del contrato estatal participen los </w:t>
      </w:r>
      <w:r w:rsidRPr="00A83AB4">
        <w:rPr>
          <w:rFonts w:ascii="Century Gothic" w:hAnsi="Century Gothic" w:cs="Arial"/>
          <w:i/>
          <w:iCs/>
        </w:rPr>
        <w:t>sujetos de especial protección constitucional</w:t>
      </w:r>
      <w:r w:rsidRPr="00A83AB4">
        <w:rPr>
          <w:rFonts w:ascii="Century Gothic" w:hAnsi="Century Gothic" w:cs="Arial"/>
        </w:rPr>
        <w:t xml:space="preserve"> en la provisión de los bienes o servicios. De esta manera, la norma regula un parámetro cuantitativo, en la medida que dicha provisión no será superior al diez por ciento (10%) ni inferior al cinco por ciento (5%) de los bienes o servicios requeridos para la ejecución del contrato.  </w:t>
      </w:r>
    </w:p>
    <w:p w14:paraId="465C201F" w14:textId="77777777" w:rsidR="001D2627" w:rsidRPr="00A83AB4" w:rsidRDefault="001D2627" w:rsidP="001D2627">
      <w:pPr>
        <w:spacing w:line="276" w:lineRule="auto"/>
        <w:ind w:firstLine="709"/>
        <w:jc w:val="both"/>
        <w:rPr>
          <w:rFonts w:ascii="Century Gothic" w:hAnsi="Century Gothic" w:cs="Arial"/>
        </w:rPr>
      </w:pPr>
      <w:r w:rsidRPr="00A83AB4">
        <w:rPr>
          <w:rFonts w:ascii="Century Gothic" w:hAnsi="Century Gothic" w:cs="Arial"/>
        </w:rPr>
        <w:t>No obstante, la aplicación del artículo</w:t>
      </w:r>
      <w:r w:rsidRPr="00A83AB4">
        <w:rPr>
          <w:rFonts w:ascii="Arial" w:hAnsi="Arial" w:cs="Arial"/>
        </w:rPr>
        <w:t> </w:t>
      </w:r>
      <w:r w:rsidRPr="00A83AB4">
        <w:rPr>
          <w:rFonts w:ascii="Century Gothic" w:hAnsi="Century Gothic" w:cs="Arial"/>
        </w:rPr>
        <w:t>2.2.1.2.4.2.16 del Decreto 1082 de 2015, que se traduce en la inclusión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 Así las cosas, conforme a lo explicado en la memoria de la reglamentación, es necesario considerar que la regla de fomento:</w:t>
      </w:r>
    </w:p>
    <w:p w14:paraId="2BA55555" w14:textId="77777777" w:rsidR="001D2627" w:rsidRPr="00A83AB4" w:rsidRDefault="001D2627" w:rsidP="001D2627">
      <w:pPr>
        <w:ind w:left="709" w:right="709"/>
        <w:jc w:val="both"/>
        <w:rPr>
          <w:rFonts w:ascii="Century Gothic" w:hAnsi="Century Gothic" w:cs="Arial"/>
          <w:sz w:val="21"/>
          <w:szCs w:val="21"/>
        </w:rPr>
      </w:pPr>
      <w:r w:rsidRPr="00A83AB4">
        <w:rPr>
          <w:rFonts w:ascii="Century Gothic" w:hAnsi="Century Gothic" w:cs="Arial"/>
          <w:sz w:val="21"/>
          <w:szCs w:val="21"/>
        </w:rPr>
        <w:lastRenderedPageBreak/>
        <w:t xml:space="preserve">“[…] además de estar condicionada por un desarrollo normativo posterior, está limitada en el sentido que los mecanismos que se implementen para incentivar la provisión de bienes y servicios por población en pobreza extrema, desplazados por la violencia, personas en procesos de reintegración y reincorporación, o sujetos de especial protección constitucional, no afecten las condiciones de calidad y cumplimiento del 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w:t>
      </w:r>
      <w:r w:rsidRPr="00A83AB4">
        <w:rPr>
          <w:rFonts w:ascii="Century Gothic" w:hAnsi="Century Gothic" w:cs="Arial"/>
          <w:i/>
          <w:iCs/>
          <w:sz w:val="21"/>
          <w:szCs w:val="21"/>
        </w:rPr>
        <w:t>Por tanto, la inclusión de los mecanismos de fomento mencionados en inciso 4 del artículo 34 de la Ley 2069 en los pliegos de condiciones, e incluso en las obligaciones del contrato, es un asunto que compete a las entidades contratantes, dentro del marco que determine el reglamento</w:t>
      </w:r>
      <w:r w:rsidRPr="00A83AB4">
        <w:rPr>
          <w:rFonts w:ascii="Century Gothic" w:hAnsi="Century Gothic" w:cs="Arial"/>
          <w:sz w:val="21"/>
          <w:szCs w:val="21"/>
        </w:rPr>
        <w:t>”</w:t>
      </w:r>
      <w:r w:rsidRPr="00A83AB4">
        <w:rPr>
          <w:rStyle w:val="Refdenotaalpie"/>
          <w:rFonts w:ascii="Century Gothic" w:hAnsi="Century Gothic" w:cs="Arial"/>
          <w:sz w:val="21"/>
          <w:szCs w:val="21"/>
        </w:rPr>
        <w:footnoteReference w:id="10"/>
      </w:r>
      <w:r w:rsidRPr="00A83AB4">
        <w:rPr>
          <w:rFonts w:ascii="Century Gothic" w:hAnsi="Century Gothic" w:cs="Arial"/>
          <w:sz w:val="21"/>
          <w:szCs w:val="21"/>
        </w:rPr>
        <w:t>. (Énfasis fuera de texto)</w:t>
      </w:r>
    </w:p>
    <w:p w14:paraId="7F5CBE9B" w14:textId="0FE46BAC" w:rsidR="001D2627" w:rsidRPr="00A83AB4" w:rsidRDefault="001D2627" w:rsidP="001D2627">
      <w:pPr>
        <w:spacing w:after="120" w:line="276" w:lineRule="auto"/>
        <w:ind w:firstLine="708"/>
        <w:jc w:val="both"/>
        <w:rPr>
          <w:rFonts w:ascii="Century Gothic" w:eastAsia="Calibri" w:hAnsi="Century Gothic" w:cs="Arial"/>
          <w:lang w:val="es-ES_tradnl"/>
        </w:rPr>
      </w:pPr>
      <w:r w:rsidRPr="00A83AB4">
        <w:rPr>
          <w:rFonts w:ascii="Century Gothic" w:hAnsi="Century Gothic" w:cs="Arial"/>
        </w:rPr>
        <w:t>Con la salvedad prevista en el parágrafo 2 del artículo</w:t>
      </w:r>
      <w:r w:rsidRPr="00A83AB4">
        <w:rPr>
          <w:rFonts w:ascii="Arial" w:hAnsi="Arial" w:cs="Arial"/>
        </w:rPr>
        <w:t> </w:t>
      </w:r>
      <w:r w:rsidRPr="00A83AB4">
        <w:rPr>
          <w:rFonts w:ascii="Century Gothic" w:hAnsi="Century Gothic" w:cs="Arial"/>
        </w:rPr>
        <w:t>2.2.1.2.4.2.16 del Decreto 1082 de 2015 para los procesos regidos por documentos tipo, dado</w:t>
      </w:r>
      <w:r w:rsidRPr="00A83AB4">
        <w:rPr>
          <w:rFonts w:ascii="Century Gothic" w:eastAsia="Calibri" w:hAnsi="Century Gothic" w:cs="Arial"/>
          <w:lang w:val="es-ES_tradnl"/>
        </w:rPr>
        <w:t xml:space="preserve"> que el fomento a la ejecución de contratos estatales con participación de sujetos de especial protección constitucional en la provisión de los bienes y servicios para el cumplimiento del objeto contractual se realizará bajo criterios </w:t>
      </w:r>
      <w:r w:rsidRPr="00A83AB4">
        <w:rPr>
          <w:rFonts w:ascii="Century Gothic" w:eastAsia="Calibri" w:hAnsi="Century Gothic" w:cs="Arial"/>
          <w:i/>
          <w:iCs/>
          <w:lang w:val="es-ES_tradnl"/>
        </w:rPr>
        <w:t xml:space="preserve">de oportunidad y conveniencia, garantizando la calidad y sin poner en riesgo el cumplimiento del contrato, </w:t>
      </w:r>
      <w:r w:rsidRPr="00A83AB4">
        <w:rPr>
          <w:rFonts w:ascii="Century Gothic" w:eastAsia="Calibri" w:hAnsi="Century Gothic" w:cs="Arial"/>
          <w:lang w:val="es-ES_tradnl"/>
        </w:rPr>
        <w:t>debe concluirse que la aplicación de este incentivo es de naturaleza discrecional. Esto en la medida que corresponderá a la entidad contratante, en la etapa de planeación, determinar si es oportuno o inconveniente incluir dicha provisión en los pliegos de condiciones o documentos equivalentes.</w:t>
      </w:r>
    </w:p>
    <w:p w14:paraId="24094995" w14:textId="77777777" w:rsidR="001D2627" w:rsidRPr="00A83AB4" w:rsidRDefault="001D2627" w:rsidP="001D2627">
      <w:pPr>
        <w:spacing w:line="276" w:lineRule="auto"/>
        <w:ind w:firstLine="708"/>
        <w:jc w:val="both"/>
        <w:rPr>
          <w:rFonts w:ascii="Century Gothic" w:eastAsia="Calibri" w:hAnsi="Century Gothic" w:cs="Arial"/>
        </w:rPr>
      </w:pPr>
      <w:r w:rsidRPr="00A83AB4">
        <w:rPr>
          <w:rFonts w:ascii="Century Gothic" w:eastAsia="Calibri" w:hAnsi="Century Gothic" w:cs="Arial"/>
          <w:lang w:val="es-ES_tradnl"/>
        </w:rPr>
        <w:t>En efecto, el ejercicio de potestades discrecionales comporta valoraciones de conveniencia</w:t>
      </w:r>
      <w:r w:rsidRPr="00A83AB4">
        <w:rPr>
          <w:rFonts w:ascii="Century Gothic" w:eastAsia="Calibri" w:hAnsi="Century Gothic" w:cs="Arial"/>
        </w:rPr>
        <w:t xml:space="preserve">, ya que la norma no predetermina el contenido de la decisión, sino que la deja a la libre consideración del órgano competente. En otras palabras, queda a la Administración la facultad de valorar la oportunidad de actuar o dejar de hacerlo. Esa facultad de apreciación del interés público con el fin de decidir la </w:t>
      </w:r>
      <w:r w:rsidRPr="00A83AB4">
        <w:rPr>
          <w:rFonts w:ascii="Century Gothic" w:eastAsia="Calibri" w:hAnsi="Century Gothic" w:cs="Arial"/>
        </w:rPr>
        <w:lastRenderedPageBreak/>
        <w:t>conveniencia o no de la acción administrativa no correspondería a ejercicio de una potestad reglada</w:t>
      </w:r>
      <w:r w:rsidRPr="00A83AB4">
        <w:rPr>
          <w:rStyle w:val="Refdenotaalpie"/>
          <w:rFonts w:ascii="Century Gothic" w:eastAsia="Calibri" w:hAnsi="Century Gothic" w:cs="Arial"/>
        </w:rPr>
        <w:footnoteReference w:id="11"/>
      </w:r>
      <w:r w:rsidRPr="00A83AB4">
        <w:rPr>
          <w:rFonts w:ascii="Century Gothic" w:eastAsia="Calibri" w:hAnsi="Century Gothic" w:cs="Arial"/>
        </w:rPr>
        <w:t>. De esta manera, la doctrina explica que:</w:t>
      </w:r>
    </w:p>
    <w:p w14:paraId="13588F28" w14:textId="77777777" w:rsidR="001D2627" w:rsidRPr="00A83AB4" w:rsidRDefault="001D2627" w:rsidP="001D2627">
      <w:pPr>
        <w:spacing w:line="276" w:lineRule="auto"/>
        <w:ind w:firstLine="708"/>
        <w:jc w:val="both"/>
        <w:rPr>
          <w:rFonts w:ascii="Century Gothic" w:eastAsia="Calibri" w:hAnsi="Century Gothic" w:cs="Arial"/>
        </w:rPr>
      </w:pPr>
    </w:p>
    <w:p w14:paraId="4778A395" w14:textId="77777777" w:rsidR="001D2627" w:rsidRPr="00A83AB4" w:rsidRDefault="001D2627" w:rsidP="001D2627">
      <w:pPr>
        <w:ind w:left="709" w:right="709"/>
        <w:jc w:val="both"/>
        <w:rPr>
          <w:rFonts w:ascii="Century Gothic" w:eastAsia="Calibri" w:hAnsi="Century Gothic" w:cs="Arial"/>
          <w:sz w:val="21"/>
          <w:szCs w:val="21"/>
        </w:rPr>
      </w:pPr>
      <w:r w:rsidRPr="00A83AB4">
        <w:rPr>
          <w:rFonts w:ascii="Century Gothic" w:eastAsia="Calibri" w:hAnsi="Century Gothic" w:cs="Arial"/>
          <w:sz w:val="21"/>
          <w:szCs w:val="21"/>
        </w:rPr>
        <w:t xml:space="preserve">“[…] la discrecionalidad comporta, como se reconoce por doquier, la necesidad de tomar en cuenta criterios no estrictamente jurídicos para adoptar la decisión, es decir, criterios políticos, técnicos o de mera oportunidad o conveniencia (económica, social, organizativa), según los casos. Criterios que han de utilizarse bien para adoptar una iniciativa de gobierno o de gestión, bien para aplicar una directriz legal imprecisa, </w:t>
      </w:r>
      <w:r w:rsidRPr="00A83AB4">
        <w:rPr>
          <w:rFonts w:ascii="Century Gothic" w:eastAsia="Calibri" w:hAnsi="Century Gothic" w:cs="Arial"/>
          <w:i/>
          <w:iCs/>
          <w:sz w:val="21"/>
          <w:szCs w:val="21"/>
        </w:rPr>
        <w:t>bien para valorar una situación de hecho para la que la ley dispone una cierta consecuencia</w:t>
      </w:r>
      <w:r w:rsidRPr="00A83AB4">
        <w:rPr>
          <w:rFonts w:ascii="Century Gothic" w:eastAsia="Calibri" w:hAnsi="Century Gothic" w:cs="Arial"/>
          <w:sz w:val="21"/>
          <w:szCs w:val="21"/>
        </w:rPr>
        <w:t>, bien para optar entre una u otra soluciones posibles cuando la tarea de gobernar o de administrar impone tomar una decisión”</w:t>
      </w:r>
      <w:r w:rsidRPr="00A83AB4">
        <w:rPr>
          <w:rStyle w:val="Refdenotaalpie"/>
          <w:rFonts w:ascii="Century Gothic" w:eastAsia="Calibri" w:hAnsi="Century Gothic" w:cs="Arial"/>
          <w:sz w:val="21"/>
          <w:szCs w:val="21"/>
        </w:rPr>
        <w:footnoteReference w:id="12"/>
      </w:r>
      <w:r w:rsidRPr="00A83AB4">
        <w:rPr>
          <w:rFonts w:ascii="Century Gothic" w:eastAsia="Calibri" w:hAnsi="Century Gothic" w:cs="Arial"/>
          <w:sz w:val="21"/>
          <w:szCs w:val="21"/>
        </w:rPr>
        <w:t>. (Énfasis fuera de texto)</w:t>
      </w:r>
    </w:p>
    <w:p w14:paraId="7CA4B985" w14:textId="77777777" w:rsidR="001D2627" w:rsidRPr="00A83AB4" w:rsidRDefault="001D2627" w:rsidP="001D2627">
      <w:pPr>
        <w:spacing w:line="276" w:lineRule="auto"/>
        <w:ind w:firstLine="708"/>
        <w:jc w:val="both"/>
        <w:rPr>
          <w:rFonts w:ascii="Century Gothic" w:hAnsi="Century Gothic" w:cs="Arial"/>
        </w:rPr>
      </w:pPr>
      <w:r w:rsidRPr="00A83AB4">
        <w:rPr>
          <w:rFonts w:ascii="Century Gothic" w:eastAsia="Calibri" w:hAnsi="Century Gothic" w:cs="Arial"/>
          <w:lang w:val="es-ES_tradnl"/>
        </w:rPr>
        <w:t xml:space="preserve">Por tanto, si previa valoración de la </w:t>
      </w:r>
      <w:r w:rsidRPr="00A83AB4">
        <w:rPr>
          <w:rFonts w:ascii="Century Gothic" w:eastAsia="Calibri" w:hAnsi="Century Gothic" w:cs="Arial"/>
          <w:i/>
          <w:iCs/>
          <w:lang w:val="es-ES_tradnl"/>
        </w:rPr>
        <w:t xml:space="preserve">oportunidad </w:t>
      </w:r>
      <w:r w:rsidRPr="00A83AB4">
        <w:rPr>
          <w:rFonts w:ascii="Century Gothic" w:eastAsia="Calibri" w:hAnsi="Century Gothic" w:cs="Arial"/>
          <w:lang w:val="es-ES_tradnl"/>
        </w:rPr>
        <w:t>y</w:t>
      </w:r>
      <w:r w:rsidRPr="00A83AB4">
        <w:rPr>
          <w:rFonts w:ascii="Century Gothic" w:eastAsia="Calibri" w:hAnsi="Century Gothic" w:cs="Arial"/>
          <w:i/>
          <w:iCs/>
          <w:lang w:val="es-ES_tradnl"/>
        </w:rPr>
        <w:t xml:space="preserve"> </w:t>
      </w:r>
      <w:r w:rsidRPr="00A83AB4">
        <w:rPr>
          <w:rFonts w:ascii="Century Gothic" w:eastAsia="Calibri" w:hAnsi="Century Gothic" w:cs="Arial"/>
          <w:lang w:val="es-ES_tradnl"/>
        </w:rPr>
        <w:t xml:space="preserve">la </w:t>
      </w:r>
      <w:r w:rsidRPr="00A83AB4">
        <w:rPr>
          <w:rFonts w:ascii="Century Gothic" w:eastAsia="Calibri" w:hAnsi="Century Gothic" w:cs="Arial"/>
          <w:i/>
          <w:iCs/>
          <w:lang w:val="es-ES_tradnl"/>
        </w:rPr>
        <w:t xml:space="preserve">conveniencia </w:t>
      </w:r>
      <w:r w:rsidRPr="00A83AB4">
        <w:rPr>
          <w:rFonts w:ascii="Century Gothic" w:eastAsia="Calibri" w:hAnsi="Century Gothic" w:cs="Arial"/>
          <w:lang w:val="es-ES_tradnl"/>
        </w:rPr>
        <w:t>se concluye que el incentivo no pone en riesgo las condiciones de calidad, no contraría Acuerdos Comerciales vigentes ni pone en riesgo la adecuada ejecución del objeto contractual, la entidad contratante</w:t>
      </w:r>
      <w:r w:rsidRPr="00A83AB4" w:rsidDel="00150930">
        <w:rPr>
          <w:rFonts w:ascii="Century Gothic" w:eastAsia="Calibri" w:hAnsi="Century Gothic" w:cs="Arial"/>
          <w:lang w:val="es-ES_tradnl"/>
        </w:rPr>
        <w:t xml:space="preserve"> </w:t>
      </w:r>
      <w:r w:rsidRPr="00A83AB4">
        <w:rPr>
          <w:rFonts w:ascii="Century Gothic" w:eastAsia="Calibri" w:hAnsi="Century Gothic" w:cs="Arial"/>
          <w:lang w:val="es-ES_tradnl"/>
        </w:rPr>
        <w:t xml:space="preserve">estructurará el pliego de condiciones o documento equivalente exigiendo el porcentaje dentro del rango previsto en la norma en comento y fijando las sanciones pecuniarias derivadas del incumplimiento injustificado en la minuta del contrato. En este caso, por ejemplo, si un contrato de obra pública requiere diez (200) albañiles, mínimo 10 o máximo 20 deberán ser sujetos de especial protección constitucional. Por el contrario, si estima que el incentivo no cumple los criterios anteriormente expuestos por las razones que se expresen en los documentos del proceso, no aplicará la regla de fomento del </w:t>
      </w:r>
      <w:r w:rsidRPr="00A83AB4">
        <w:rPr>
          <w:rFonts w:ascii="Century Gothic" w:hAnsi="Century Gothic" w:cs="Arial"/>
        </w:rPr>
        <w:t>artículo</w:t>
      </w:r>
      <w:r w:rsidRPr="00A83AB4">
        <w:rPr>
          <w:rFonts w:ascii="Arial" w:hAnsi="Arial" w:cs="Arial"/>
        </w:rPr>
        <w:t> </w:t>
      </w:r>
      <w:r w:rsidRPr="00A83AB4">
        <w:rPr>
          <w:rFonts w:ascii="Century Gothic" w:hAnsi="Century Gothic" w:cs="Arial"/>
        </w:rPr>
        <w:t xml:space="preserve">2.2.1.2.4.2.16 del Decreto 1082 de 2015. </w:t>
      </w:r>
    </w:p>
    <w:p w14:paraId="578C9723" w14:textId="46646EA0" w:rsidR="001D2627" w:rsidRPr="00A83AB4" w:rsidRDefault="001D2627" w:rsidP="001D2627">
      <w:pPr>
        <w:spacing w:line="276" w:lineRule="auto"/>
        <w:jc w:val="both"/>
        <w:rPr>
          <w:rFonts w:ascii="Century Gothic" w:eastAsia="Calibri" w:hAnsi="Century Gothic" w:cs="Arial"/>
          <w:b/>
          <w:bCs/>
          <w:lang w:val="es-ES_tradnl"/>
        </w:rPr>
      </w:pPr>
      <w:r w:rsidRPr="00A83AB4">
        <w:rPr>
          <w:rFonts w:ascii="Century Gothic" w:hAnsi="Century Gothic" w:cs="Arial"/>
          <w:b/>
          <w:bCs/>
        </w:rPr>
        <w:t>2.3.</w:t>
      </w:r>
      <w:r w:rsidRPr="00A83AB4">
        <w:rPr>
          <w:rFonts w:ascii="Century Gothic" w:eastAsia="Calibri" w:hAnsi="Century Gothic" w:cs="Arial"/>
          <w:b/>
          <w:bCs/>
          <w:lang w:val="es-ES_tradnl"/>
        </w:rPr>
        <w:t xml:space="preserve"> </w:t>
      </w:r>
      <w:r w:rsidRPr="00A83AB4">
        <w:rPr>
          <w:rFonts w:ascii="Century Gothic" w:eastAsia="Calibri" w:hAnsi="Century Gothic" w:cs="Arial"/>
          <w:b/>
          <w:bCs/>
          <w:color w:val="000000"/>
          <w:lang w:val="es-ES_tradnl"/>
        </w:rPr>
        <w:t>Fomento en la ejecución de los contratos estatales</w:t>
      </w:r>
      <w:r w:rsidR="009B2AD1" w:rsidRPr="00A83AB4">
        <w:rPr>
          <w:rFonts w:ascii="Century Gothic" w:eastAsia="Calibri" w:hAnsi="Century Gothic" w:cs="Arial"/>
          <w:b/>
          <w:bCs/>
          <w:color w:val="000000"/>
          <w:lang w:val="es-ES_tradnl"/>
        </w:rPr>
        <w:t xml:space="preserve"> de</w:t>
      </w:r>
      <w:r w:rsidRPr="00A83AB4">
        <w:rPr>
          <w:rFonts w:ascii="Century Gothic" w:eastAsia="Calibri" w:hAnsi="Century Gothic" w:cs="Arial"/>
          <w:b/>
          <w:bCs/>
          <w:color w:val="000000"/>
          <w:lang w:val="es-ES_tradnl"/>
        </w:rPr>
        <w:t xml:space="preserve"> la provisión de bienes y servicios por sujetos de especial protección constitucional</w:t>
      </w:r>
    </w:p>
    <w:p w14:paraId="510B8CCD" w14:textId="69965601" w:rsidR="001D2627" w:rsidRPr="00A83AB4" w:rsidRDefault="001D2627" w:rsidP="001D2627">
      <w:pPr>
        <w:spacing w:line="276" w:lineRule="auto"/>
        <w:jc w:val="both"/>
        <w:rPr>
          <w:rFonts w:ascii="Century Gothic" w:eastAsia="Calibri" w:hAnsi="Century Gothic" w:cs="Arial"/>
          <w:color w:val="000000"/>
          <w:lang w:val="es-ES_tradnl"/>
        </w:rPr>
      </w:pPr>
      <w:r w:rsidRPr="00A83AB4">
        <w:rPr>
          <w:rFonts w:ascii="Century Gothic" w:eastAsia="Calibri" w:hAnsi="Century Gothic" w:cs="Arial"/>
          <w:color w:val="000000"/>
          <w:lang w:val="es-ES_tradnl"/>
        </w:rPr>
        <w:t xml:space="preserve">El artículo 12 de la Ley 1150 de 2007, modificado por el artículo 34 de la Ley 2069 de 2020, establece en su inciso cuarto el fomento en la ejecución de los contratos </w:t>
      </w:r>
      <w:r w:rsidRPr="00A83AB4">
        <w:rPr>
          <w:rFonts w:ascii="Century Gothic" w:eastAsia="Calibri" w:hAnsi="Century Gothic" w:cs="Arial"/>
          <w:color w:val="000000"/>
          <w:lang w:val="es-ES_tradnl"/>
        </w:rPr>
        <w:lastRenderedPageBreak/>
        <w:t>estatales</w:t>
      </w:r>
      <w:r w:rsidR="009B2AD1" w:rsidRPr="00A83AB4">
        <w:rPr>
          <w:rFonts w:ascii="Century Gothic" w:eastAsia="Calibri" w:hAnsi="Century Gothic" w:cs="Arial"/>
          <w:color w:val="000000"/>
          <w:lang w:val="es-ES_tradnl"/>
        </w:rPr>
        <w:t xml:space="preserve"> de</w:t>
      </w:r>
      <w:r w:rsidRPr="00A83AB4">
        <w:rPr>
          <w:rFonts w:ascii="Century Gothic" w:eastAsia="Calibri" w:hAnsi="Century Gothic" w:cs="Arial"/>
          <w:color w:val="000000"/>
          <w:lang w:val="es-ES_tradnl"/>
        </w:rPr>
        <w:t xml:space="preserve"> la provisión de bienes y servicios por parte de determinados grupos poblacionales y por parte de sujetos de especial protección constitucional. En este sentido, el artículo establece:</w:t>
      </w:r>
    </w:p>
    <w:p w14:paraId="105E89B5" w14:textId="6D2D8692" w:rsidR="001D2627" w:rsidRPr="00A83AB4" w:rsidRDefault="00204301" w:rsidP="00EB36F8">
      <w:pPr>
        <w:spacing w:line="240" w:lineRule="auto"/>
        <w:ind w:left="709" w:right="709"/>
        <w:jc w:val="both"/>
        <w:rPr>
          <w:rFonts w:ascii="Century Gothic" w:eastAsia="Calibri" w:hAnsi="Century Gothic" w:cs="Arial"/>
          <w:color w:val="000000"/>
          <w:sz w:val="21"/>
          <w:szCs w:val="21"/>
          <w:lang w:val="es-ES_tradnl"/>
        </w:rPr>
      </w:pPr>
      <w:r w:rsidRPr="00A83AB4">
        <w:rPr>
          <w:rFonts w:ascii="Century Gothic" w:eastAsia="Calibri" w:hAnsi="Century Gothic" w:cs="Arial"/>
          <w:color w:val="000000"/>
          <w:sz w:val="21"/>
          <w:szCs w:val="21"/>
          <w:lang w:val="es-ES_tradnl"/>
        </w:rPr>
        <w:t>“</w:t>
      </w:r>
      <w:r w:rsidR="001D2627" w:rsidRPr="00A83AB4">
        <w:rPr>
          <w:rFonts w:ascii="Century Gothic" w:eastAsia="Calibri" w:hAnsi="Century Gothic" w:cs="Arial"/>
          <w:color w:val="000000"/>
          <w:sz w:val="21"/>
          <w:szCs w:val="21"/>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41545D8B" w14:textId="77777777" w:rsidR="001D2627" w:rsidRPr="00A83AB4" w:rsidRDefault="001D2627" w:rsidP="00EB36F8">
      <w:pPr>
        <w:spacing w:line="240" w:lineRule="auto"/>
        <w:ind w:left="709" w:right="709"/>
        <w:jc w:val="both"/>
        <w:rPr>
          <w:rFonts w:ascii="Century Gothic" w:eastAsia="Calibri" w:hAnsi="Century Gothic" w:cs="Arial"/>
          <w:color w:val="000000"/>
          <w:sz w:val="21"/>
          <w:szCs w:val="21"/>
          <w:lang w:val="es-ES_tradnl"/>
        </w:rPr>
      </w:pPr>
      <w:r w:rsidRPr="00A83AB4">
        <w:rPr>
          <w:rFonts w:ascii="Century Gothic" w:eastAsia="Calibri" w:hAnsi="Century Gothic" w:cs="Arial"/>
          <w:color w:val="000000"/>
          <w:sz w:val="21"/>
          <w:szCs w:val="21"/>
          <w:lang w:val="es-ES_tradnl"/>
        </w:rPr>
        <w:t>Asimismo, el reglamento podrá establecer condiciones preferenciales en favor de la oferta de bienes y servicios producidos por las Mipyme, respetando los montos y las condiciones contenidas en los compromisos internacionales vigentes, cuando sean aplicables.</w:t>
      </w:r>
    </w:p>
    <w:p w14:paraId="69E27483" w14:textId="77777777" w:rsidR="001D2627" w:rsidRPr="00A83AB4" w:rsidRDefault="001D2627" w:rsidP="00EB36F8">
      <w:pPr>
        <w:spacing w:line="240" w:lineRule="auto"/>
        <w:ind w:left="709" w:right="709"/>
        <w:jc w:val="both"/>
        <w:rPr>
          <w:rFonts w:ascii="Century Gothic" w:eastAsia="Calibri" w:hAnsi="Century Gothic" w:cs="Arial"/>
          <w:color w:val="000000"/>
          <w:sz w:val="21"/>
          <w:szCs w:val="21"/>
          <w:lang w:val="es-ES_tradnl"/>
        </w:rPr>
      </w:pPr>
      <w:r w:rsidRPr="00A83AB4">
        <w:rPr>
          <w:rFonts w:ascii="Century Gothic" w:eastAsia="Calibri" w:hAnsi="Century Gothic" w:cs="Arial"/>
          <w:color w:val="000000"/>
          <w:sz w:val="21"/>
          <w:szCs w:val="21"/>
          <w:lang w:val="es-ES_tradnl"/>
        </w:rPr>
        <w:t>En todo caso, se deberá garantizar la satisfacción de las condiciones técnicas y económicas requeridas en el Proceso de Contratación.</w:t>
      </w:r>
    </w:p>
    <w:p w14:paraId="2B50407C" w14:textId="52E785C0" w:rsidR="001D2627" w:rsidRPr="00A83AB4" w:rsidRDefault="001D2627" w:rsidP="00EB36F8">
      <w:pPr>
        <w:spacing w:after="0" w:line="240" w:lineRule="auto"/>
        <w:ind w:left="709" w:right="709"/>
        <w:jc w:val="both"/>
        <w:rPr>
          <w:rFonts w:ascii="Century Gothic" w:eastAsia="Calibri" w:hAnsi="Century Gothic" w:cs="Arial"/>
          <w:color w:val="000000"/>
          <w:sz w:val="21"/>
          <w:szCs w:val="21"/>
          <w:lang w:val="es-ES_tradnl"/>
        </w:rPr>
      </w:pPr>
      <w:r w:rsidRPr="00A83AB4">
        <w:rPr>
          <w:rFonts w:ascii="Century Gothic" w:eastAsia="Calibri" w:hAnsi="Century Gothic" w:cs="Arial"/>
          <w:i/>
          <w:iCs/>
          <w:color w:val="000000"/>
          <w:sz w:val="21"/>
          <w:szCs w:val="21"/>
          <w:lang w:val="es-ES_tradnl"/>
        </w:rPr>
        <w:t xml:space="preserve">De igual forma, en </w:t>
      </w:r>
      <w:r w:rsidRPr="00A83AB4">
        <w:rPr>
          <w:rFonts w:ascii="Century Gothic" w:eastAsia="Calibri" w:hAnsi="Century Gothic" w:cs="Arial"/>
          <w:b/>
          <w:bCs/>
          <w:i/>
          <w:iCs/>
          <w:color w:val="000000"/>
          <w:sz w:val="21"/>
          <w:szCs w:val="21"/>
          <w:lang w:val="es-ES_tradnl"/>
        </w:rPr>
        <w:t>los pliegos de condiciones</w:t>
      </w:r>
      <w:r w:rsidRPr="00A83AB4">
        <w:rPr>
          <w:rFonts w:ascii="Century Gothic" w:eastAsia="Calibri" w:hAnsi="Century Gothic" w:cs="Arial"/>
          <w:i/>
          <w:iCs/>
          <w:color w:val="000000"/>
          <w:sz w:val="21"/>
          <w:szCs w:val="21"/>
          <w:lang w:val="es-ES_tradnl"/>
        </w:rPr>
        <w:t xml:space="preserve">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sidR="00204301" w:rsidRPr="00A83AB4">
        <w:rPr>
          <w:rFonts w:ascii="Century Gothic" w:eastAsia="Calibri" w:hAnsi="Century Gothic" w:cs="Arial"/>
          <w:color w:val="000000"/>
          <w:sz w:val="21"/>
          <w:szCs w:val="21"/>
          <w:lang w:val="es-ES_tradnl"/>
        </w:rPr>
        <w:t xml:space="preserve">”. </w:t>
      </w:r>
      <w:r w:rsidRPr="00A83AB4">
        <w:rPr>
          <w:rFonts w:ascii="Century Gothic" w:eastAsia="Calibri" w:hAnsi="Century Gothic" w:cs="Arial"/>
          <w:color w:val="000000"/>
          <w:sz w:val="21"/>
          <w:szCs w:val="21"/>
          <w:lang w:val="es-ES_tradnl"/>
        </w:rPr>
        <w:t>[…] (Destacado fuera del original)</w:t>
      </w:r>
    </w:p>
    <w:p w14:paraId="40C6A119" w14:textId="77777777" w:rsidR="001D2627" w:rsidRPr="00A83AB4" w:rsidRDefault="001D2627" w:rsidP="00EB36F8">
      <w:pPr>
        <w:spacing w:after="0"/>
        <w:jc w:val="both"/>
        <w:rPr>
          <w:rFonts w:ascii="Century Gothic" w:eastAsia="Calibri" w:hAnsi="Century Gothic" w:cs="Arial"/>
          <w:color w:val="000000"/>
          <w:sz w:val="21"/>
          <w:szCs w:val="21"/>
          <w:lang w:val="es-ES_tradnl"/>
        </w:rPr>
      </w:pPr>
    </w:p>
    <w:p w14:paraId="1F1F23EF" w14:textId="60FC1220" w:rsidR="001D2627" w:rsidRPr="00A83AB4" w:rsidRDefault="001D2627" w:rsidP="001D2627">
      <w:pPr>
        <w:spacing w:after="120" w:line="276" w:lineRule="auto"/>
        <w:ind w:firstLine="708"/>
        <w:jc w:val="both"/>
        <w:rPr>
          <w:rFonts w:ascii="Century Gothic" w:eastAsia="Calibri" w:hAnsi="Century Gothic" w:cs="Arial"/>
          <w:color w:val="000000"/>
          <w:lang w:val="es-ES_tradnl"/>
        </w:rPr>
      </w:pPr>
      <w:r w:rsidRPr="00A83AB4">
        <w:rPr>
          <w:rFonts w:ascii="Century Gothic" w:eastAsia="Calibri" w:hAnsi="Century Gothic" w:cs="Arial"/>
          <w:color w:val="000000"/>
          <w:lang w:val="es-ES_tradnl"/>
        </w:rPr>
        <w:t>Teniendo en cuenta la pregunta del peticionario, conviene destacar que la norma de orden legal, que fundamentó la expedición del Decreto 1860 de 2021 hace referencia a que el fomento en la ejecución de los contratos estatales</w:t>
      </w:r>
      <w:r w:rsidR="0019092A" w:rsidRPr="00A83AB4">
        <w:rPr>
          <w:rFonts w:ascii="Century Gothic" w:eastAsia="Calibri" w:hAnsi="Century Gothic" w:cs="Arial"/>
          <w:color w:val="000000"/>
          <w:lang w:val="es-ES_tradnl"/>
        </w:rPr>
        <w:t xml:space="preserve"> de</w:t>
      </w:r>
      <w:r w:rsidRPr="00A83AB4">
        <w:rPr>
          <w:rFonts w:ascii="Century Gothic" w:eastAsia="Calibri" w:hAnsi="Century Gothic" w:cs="Arial"/>
          <w:color w:val="000000"/>
          <w:lang w:val="es-ES_tradnl"/>
        </w:rPr>
        <w:t xml:space="preserve"> la provisión de bienes y servicios por parte de ciertos grupos poblacionales y de sujetos de especial protección constitucional se realizará </w:t>
      </w:r>
      <w:r w:rsidRPr="00A83AB4">
        <w:rPr>
          <w:rFonts w:ascii="Century Gothic" w:eastAsia="Calibri" w:hAnsi="Century Gothic" w:cs="Arial"/>
          <w:i/>
          <w:iCs/>
          <w:color w:val="000000"/>
          <w:lang w:val="es-ES_tradnl"/>
        </w:rPr>
        <w:t>en los pliegos de condiciones</w:t>
      </w:r>
      <w:r w:rsidRPr="00A83AB4">
        <w:rPr>
          <w:rFonts w:ascii="Century Gothic" w:eastAsia="Calibri" w:hAnsi="Century Gothic" w:cs="Arial"/>
          <w:color w:val="000000"/>
          <w:lang w:val="es-ES_tradnl"/>
        </w:rPr>
        <w:t>, de acuerdo con las condiciones que señale el reglamento.</w:t>
      </w:r>
    </w:p>
    <w:p w14:paraId="08B2583A" w14:textId="77777777" w:rsidR="001D2627" w:rsidRPr="00A83AB4" w:rsidRDefault="001D2627" w:rsidP="001D2627">
      <w:pPr>
        <w:spacing w:after="120" w:line="276" w:lineRule="auto"/>
        <w:ind w:firstLine="708"/>
        <w:jc w:val="both"/>
        <w:rPr>
          <w:rFonts w:ascii="Century Gothic" w:eastAsia="Calibri" w:hAnsi="Century Gothic" w:cs="Arial"/>
          <w:color w:val="000000"/>
          <w:lang w:val="es-ES_tradnl"/>
        </w:rPr>
      </w:pPr>
      <w:r w:rsidRPr="00A83AB4">
        <w:rPr>
          <w:rFonts w:ascii="Century Gothic" w:eastAsia="Calibri" w:hAnsi="Century Gothic" w:cs="Arial"/>
          <w:color w:val="000000"/>
          <w:lang w:val="es-ES_tradnl"/>
        </w:rPr>
        <w:t xml:space="preserve">En armonía con lo anterior, el artículo 3 del Decreto 1860 de 2021, que adicionó el artículo 2.2.1.2.4.2.16 del Decreto 1082 de 2015, consagra el deber de las entidades estatales de incorporar las obligaciones para el cumplimiento del objeto contractual tendientes a la provisión de bienes y servicios por parte de </w:t>
      </w:r>
      <w:r w:rsidRPr="00A83AB4">
        <w:rPr>
          <w:rFonts w:ascii="Century Gothic" w:eastAsia="Calibri" w:hAnsi="Century Gothic" w:cs="Arial"/>
          <w:color w:val="000000"/>
          <w:lang w:val="es-ES_tradnl"/>
        </w:rPr>
        <w:lastRenderedPageBreak/>
        <w:t>población en pobreza extrema, desplazados por la violencia, personas en proceso de reintegración o reincorporación y sujetos de especial protección constitucional, en los pliegos de condiciones o documento equivalente, garantizando las condiciones de calidad y sin perjuicio de los acuerdos comerciales vigentes</w:t>
      </w:r>
      <w:r w:rsidRPr="00A83AB4">
        <w:rPr>
          <w:rStyle w:val="Refdenotaalpie"/>
          <w:rFonts w:ascii="Century Gothic" w:eastAsia="Calibri" w:hAnsi="Century Gothic" w:cs="Arial"/>
          <w:color w:val="000000"/>
          <w:lang w:val="es-ES_tradnl"/>
        </w:rPr>
        <w:footnoteReference w:id="13"/>
      </w:r>
      <w:r w:rsidRPr="00A83AB4">
        <w:rPr>
          <w:rFonts w:ascii="Century Gothic" w:eastAsia="Calibri" w:hAnsi="Century Gothic" w:cs="Arial"/>
          <w:color w:val="000000"/>
          <w:lang w:val="es-ES_tradnl"/>
        </w:rPr>
        <w:t>.  Esto aplica a las entidades estatales indistintamente de su régimen de contratación, los patrimonios autónomos constituidos por Entidades Estatales y los particulares que ejecuten recursos públicos</w:t>
      </w:r>
      <w:r w:rsidRPr="00A83AB4">
        <w:rPr>
          <w:rStyle w:val="Refdenotaalpie"/>
          <w:rFonts w:ascii="Century Gothic" w:eastAsia="Calibri" w:hAnsi="Century Gothic" w:cs="Arial"/>
          <w:color w:val="000000"/>
          <w:lang w:val="es-ES_tradnl"/>
        </w:rPr>
        <w:footnoteReference w:id="14"/>
      </w:r>
      <w:r w:rsidRPr="00A83AB4">
        <w:rPr>
          <w:rFonts w:ascii="Century Gothic" w:eastAsia="Calibri" w:hAnsi="Century Gothic" w:cs="Arial"/>
          <w:color w:val="000000"/>
          <w:lang w:val="es-ES_tradnl"/>
        </w:rPr>
        <w:t>.</w:t>
      </w:r>
    </w:p>
    <w:p w14:paraId="3CEF58BA" w14:textId="1702FCBB" w:rsidR="001D2627" w:rsidRPr="00A83AB4" w:rsidRDefault="001D2627" w:rsidP="001D2627">
      <w:pPr>
        <w:spacing w:after="120" w:line="276" w:lineRule="auto"/>
        <w:ind w:firstLine="709"/>
        <w:jc w:val="both"/>
        <w:rPr>
          <w:rFonts w:ascii="Century Gothic" w:eastAsia="Calibri" w:hAnsi="Century Gothic" w:cs="Arial"/>
          <w:color w:val="000000"/>
          <w:lang w:val="es-ES_tradnl"/>
        </w:rPr>
      </w:pPr>
      <w:r w:rsidRPr="00A83AB4">
        <w:rPr>
          <w:rFonts w:ascii="Century Gothic" w:eastAsia="Calibri" w:hAnsi="Century Gothic" w:cs="Arial"/>
          <w:color w:val="000000"/>
          <w:lang w:val="es-ES_tradnl"/>
        </w:rPr>
        <w:t xml:space="preserve">Como se evidencia, este artículo busca que las entidades estatales incluyan en los pliegos de condiciones o documento equivalente, disposiciones que garanticen que los bienes y servicios requeridos por el contratista para la ejecución del objeto contractual, sean proveídos por sujetos de especial protección </w:t>
      </w:r>
      <w:r w:rsidRPr="00A83AB4">
        <w:rPr>
          <w:rFonts w:ascii="Century Gothic" w:eastAsia="Calibri" w:hAnsi="Century Gothic" w:cs="Arial"/>
          <w:color w:val="000000"/>
          <w:lang w:val="es-ES_tradnl"/>
        </w:rPr>
        <w:lastRenderedPageBreak/>
        <w:t>constitucional. Para estos efectos, la norma precisa que la participación de los sujetos mencionados se fomentará previo análisis de oportunidad y conveniencia en los documentos del proceso, teniendo en cuenta el objeto contractual y el alcance de las obligaciones. Este parámetro asegura que el mecanismo implementado no atente contra el cabal cumplimiento del contrato, de tal manera que el acatamiento de lo dispuesto no devenga en el incumplimiento del contrato ni la desmejora de la calidad requerida</w:t>
      </w:r>
      <w:r w:rsidRPr="00A83AB4">
        <w:rPr>
          <w:rStyle w:val="Refdenotaalpie"/>
          <w:rFonts w:ascii="Century Gothic" w:eastAsia="Calibri" w:hAnsi="Century Gothic" w:cs="Arial"/>
          <w:color w:val="000000"/>
          <w:lang w:val="es-ES_tradnl"/>
        </w:rPr>
        <w:footnoteReference w:id="15"/>
      </w:r>
      <w:r w:rsidRPr="00A83AB4">
        <w:rPr>
          <w:rFonts w:ascii="Century Gothic" w:eastAsia="Calibri" w:hAnsi="Century Gothic" w:cs="Arial"/>
          <w:color w:val="000000"/>
          <w:lang w:val="es-ES_tradnl"/>
        </w:rPr>
        <w:t>.</w:t>
      </w:r>
    </w:p>
    <w:p w14:paraId="452B9F20" w14:textId="77777777" w:rsidR="001D2627" w:rsidRPr="00A83AB4" w:rsidRDefault="001D2627" w:rsidP="001D2627">
      <w:pPr>
        <w:spacing w:after="120" w:line="276" w:lineRule="auto"/>
        <w:ind w:firstLine="709"/>
        <w:jc w:val="both"/>
        <w:rPr>
          <w:rFonts w:ascii="Century Gothic" w:eastAsia="Calibri" w:hAnsi="Century Gothic" w:cs="Arial"/>
          <w:color w:val="000000"/>
          <w:lang w:val="es-ES_tradnl"/>
        </w:rPr>
      </w:pPr>
      <w:r w:rsidRPr="00A83AB4">
        <w:rPr>
          <w:rFonts w:ascii="Century Gothic" w:eastAsia="Calibri" w:hAnsi="Century Gothic" w:cs="Arial"/>
          <w:color w:val="000000"/>
          <w:lang w:val="es-ES_tradnl"/>
        </w:rPr>
        <w:t>El parágrafo 1 del artículo 2.2.1.2.4.2.16 define algunos de los sujetos de especial protección constitucional, señalando que su acreditación se realizará en las condiciones que disponga la ley o el reglamento, aplicando en lo pertinente lo indicado en el artículo 2.2.1.2.4.2.17. En ausencia de una condición especial prevista en la normativa vigente, se acreditarán en los términos que determine el pliego de condiciones o documento equivalente</w:t>
      </w:r>
      <w:r w:rsidRPr="00A83AB4">
        <w:rPr>
          <w:rStyle w:val="Refdenotaalpie"/>
          <w:rFonts w:ascii="Century Gothic" w:eastAsia="Calibri" w:hAnsi="Century Gothic" w:cs="Arial"/>
          <w:color w:val="000000"/>
          <w:lang w:val="es-ES_tradnl"/>
        </w:rPr>
        <w:footnoteReference w:id="16"/>
      </w:r>
      <w:r w:rsidRPr="00A83AB4">
        <w:rPr>
          <w:rFonts w:ascii="Century Gothic" w:eastAsia="Calibri" w:hAnsi="Century Gothic" w:cs="Arial"/>
          <w:color w:val="000000"/>
          <w:lang w:val="es-ES_tradnl"/>
        </w:rPr>
        <w:t>.</w:t>
      </w:r>
    </w:p>
    <w:p w14:paraId="35847A5F" w14:textId="77777777" w:rsidR="001D2627" w:rsidRPr="00A83AB4" w:rsidRDefault="001D2627" w:rsidP="001D2627">
      <w:pPr>
        <w:spacing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 xml:space="preserve">En efecto, el artículo 2.2.1.2.4.2.17 establece la forma como se debe acreditar el carácter de sujeto de especial protección constitucional, en ciertos eventos. Por ejemplo, a título enunciativo: </w:t>
      </w:r>
    </w:p>
    <w:p w14:paraId="36576FFF"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i) De acuerdo con el numeral 2, para las mujeres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w:t>
      </w:r>
    </w:p>
    <w:p w14:paraId="5370492D"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 xml:space="preserve">ii) Según el numeral 5, la acreditación de la pertenencia a la población indígena, negra, afrocolombiana, raizal, palenquera, Rrom o gitana, en los términos del Decreto Ley 2893 de 2011, o la norma que lo modifique, sustituya o complemente, se certifica por el Ministerio del Interior. </w:t>
      </w:r>
    </w:p>
    <w:p w14:paraId="15B41E63"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 xml:space="preserve">iii) De conformidad con el numeral 6, la situación de encontrarse en un proceso de reintegración o reincorporación, se demuestra con: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w:t>
      </w:r>
      <w:r w:rsidRPr="00A83AB4">
        <w:rPr>
          <w:rFonts w:ascii="Century Gothic" w:eastAsia="Calibri" w:hAnsi="Century Gothic" w:cs="Arial"/>
          <w:bCs/>
          <w:color w:val="000000"/>
          <w:lang w:val="es-ES_tradnl"/>
        </w:rPr>
        <w:lastRenderedPageBreak/>
        <w:t>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39FE8A0A"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En todo caso, el parágrafo 1 del artículo 2.2.1.2.4.2.16. dispone que si no existe una condición especial para demostrar las circunstancias que hacen a las personas sujetos de especial protección constitucional “se acreditarán en los términos que defina el pliego de condiciones o documento equivalente”. Esto significa que si bien, en principio, existiría libertad probatoria, las entidades estatales podrían definir en el pliego de condiciones o documento equivalente de qué manera se deben acreditar tales situaciones. Al configurar estos requisitos, las entidades públicas deben tener en cuenta el principio de proporcionalidad, de manera que no impongan requisitos probatorios irrazonables.</w:t>
      </w:r>
    </w:p>
    <w:p w14:paraId="750285CF"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Por otra parte, el Decreto 1860 de 2021 no define fuentes de información específicas que las entidades públicas puedan consultar para “identificar bienes, servicios y la participación en la economía y en los sectores de la población en pobreza extrema, desplazados por la violencia, personas en proceso de reintegración o reincorporación y sujetos de especial protección constitucional”. Este es un aspecto que debe analizar cada entidad pública en el estudio del sector económico. Así se desprende del artículo 2.2.1.2.4.2.16., cuyo segundo inciso dispone que “La participación de los sujetos anteriormente mencionados en la ejecución del contrato se fomentará previo análisis de su oportunidad y conveniencia en los Documentos del Proceso, teniendo en cuenta el objeto contractual y el alcance de las obligaciones”. Como lo indicó Colombia Compra Eficiente en la Guía para la Elaboración de Estudios del Sector, las entidades estatales están habilitadas para consultar “cualquier […] sistema de información empresarial o sectorial disponible en el mercado”</w:t>
      </w:r>
      <w:r w:rsidRPr="00A83AB4">
        <w:rPr>
          <w:rStyle w:val="Refdenotaalpie"/>
          <w:rFonts w:ascii="Century Gothic" w:eastAsia="Calibri" w:hAnsi="Century Gothic" w:cs="Arial"/>
          <w:bCs/>
          <w:color w:val="000000"/>
          <w:lang w:val="es-ES_tradnl"/>
        </w:rPr>
        <w:footnoteReference w:id="17"/>
      </w:r>
      <w:r w:rsidRPr="00A83AB4">
        <w:rPr>
          <w:rFonts w:ascii="Century Gothic" w:eastAsia="Calibri" w:hAnsi="Century Gothic" w:cs="Arial"/>
          <w:bCs/>
          <w:color w:val="000000"/>
          <w:lang w:val="es-ES_tradnl"/>
        </w:rPr>
        <w:t xml:space="preserve">. </w:t>
      </w:r>
    </w:p>
    <w:p w14:paraId="7CD450C7"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 xml:space="preserve">Adicionalmente, el inciso quinto del artículo 2.2.1.2.4.2.16. establece que “El supervisor o el interventor, según el caso, realizará el seguimiento y verificará que las personas </w:t>
      </w:r>
      <w:r w:rsidRPr="00A83AB4">
        <w:rPr>
          <w:rFonts w:ascii="Century Gothic" w:eastAsia="Calibri" w:hAnsi="Century Gothic" w:cs="Arial"/>
          <w:bCs/>
          <w:i/>
          <w:iCs/>
          <w:color w:val="000000"/>
          <w:lang w:val="es-ES_tradnl"/>
        </w:rPr>
        <w:t>vinculadas</w:t>
      </w:r>
      <w:r w:rsidRPr="00A83AB4">
        <w:rPr>
          <w:rFonts w:ascii="Century Gothic" w:eastAsia="Calibri" w:hAnsi="Century Gothic" w:cs="Arial"/>
          <w:bCs/>
          <w:color w:val="000000"/>
          <w:lang w:val="es-ES_tradnl"/>
        </w:rPr>
        <w:t xml:space="preserve"> al inicio y durante la ejecución del contrato pertenezcan a los grupos poblacionales enunciados anteriormente” (énfasis fuera de texto). La norma no exige que la vinculación sea, necesariamente, laboral, pues de acuerdo </w:t>
      </w:r>
      <w:r w:rsidRPr="00A83AB4">
        <w:rPr>
          <w:rFonts w:ascii="Century Gothic" w:eastAsia="Calibri" w:hAnsi="Century Gothic" w:cs="Arial"/>
          <w:bCs/>
          <w:color w:val="000000"/>
          <w:lang w:val="es-ES_tradnl"/>
        </w:rPr>
        <w:lastRenderedPageBreak/>
        <w:t>con el primer inciso del artículo en comento, lo 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El concepto de “provisión de bienes o servicios” es amplio, pues enmarca las actividades que se desarrollan en el mercado, para vender, suministrar o prestar bienes o servicios</w:t>
      </w:r>
      <w:r w:rsidRPr="00A83AB4">
        <w:rPr>
          <w:rStyle w:val="Refdenotaalpie"/>
          <w:rFonts w:ascii="Century Gothic" w:eastAsia="Calibri" w:hAnsi="Century Gothic" w:cs="Arial"/>
          <w:bCs/>
          <w:color w:val="000000"/>
          <w:lang w:val="es-ES_tradnl"/>
        </w:rPr>
        <w:footnoteReference w:id="18"/>
      </w:r>
      <w:r w:rsidRPr="00A83AB4">
        <w:rPr>
          <w:rFonts w:ascii="Century Gothic" w:eastAsia="Calibri" w:hAnsi="Century Gothic" w:cs="Arial"/>
          <w:bCs/>
          <w:color w:val="000000"/>
          <w:lang w:val="es-ES_tradnl"/>
        </w:rPr>
        <w:t>. Esto significa que se puede ser proveedor de bienes o servicios, en calidad de trabajador o como contratista independiente. El supervisor o interventor, según el caso, debe constatar, entonces, durante la ejecución 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782BE8C9" w14:textId="77777777" w:rsidR="001D2627" w:rsidRPr="00A83AB4" w:rsidRDefault="001D2627" w:rsidP="00EB36F8">
      <w:pPr>
        <w:spacing w:before="120" w:after="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Con todo, la provisión de los bienes o servicios se debe realizar directamente por la población en pobreza extrema, los desplazados por la violencia, las personas en proceso de reintegración o reincorporación y los sujetos de especial protección constitucional. Por tanto, esta Agencia no considera procedente interpretar que se satisface la exigencia del porcentaje de provisión de bienes o servicios, por contratar con un particular que, a su vez, adquirirá los bienes o servicios de parte de los grupos poblacionales enunciados en el artículo 2.2.1.2.4.2.16. En armonía con el artículo 34 de la Ley 2069 de 2020, el espíritu de la norma es promover el desarrollo para las personas que necesiten estas acciones de fomento por parte del Estado; finalidad que se desnaturalizaría si se entendiera que esto puede ser fuente de ganancia económica para sujetos que no caben en los grupos poblacionales beneficiados con esta medida, encareciendo con la intermediación el coste de los bienes o servicios requeridos para cumplir con el objeto contractual.</w:t>
      </w:r>
    </w:p>
    <w:p w14:paraId="478E6905" w14:textId="77777777" w:rsidR="001D2627" w:rsidRPr="00A83AB4" w:rsidRDefault="001D2627" w:rsidP="00EB36F8">
      <w:pPr>
        <w:spacing w:after="0" w:line="276" w:lineRule="auto"/>
        <w:ind w:firstLine="709"/>
        <w:jc w:val="both"/>
        <w:rPr>
          <w:rFonts w:ascii="Century Gothic" w:hAnsi="Century Gothic" w:cs="Arial"/>
          <w:color w:val="000000" w:themeColor="text1"/>
          <w:sz w:val="21"/>
          <w:szCs w:val="21"/>
          <w:lang w:val="es-ES_tradnl"/>
        </w:rPr>
      </w:pPr>
    </w:p>
    <w:p w14:paraId="3D5FC45A" w14:textId="77777777" w:rsidR="001D2627" w:rsidRPr="00A83AB4" w:rsidRDefault="001D2627" w:rsidP="001D2627">
      <w:pPr>
        <w:pStyle w:val="Prrafodelista"/>
        <w:numPr>
          <w:ilvl w:val="0"/>
          <w:numId w:val="17"/>
        </w:numPr>
        <w:spacing w:before="120" w:after="0" w:line="276" w:lineRule="auto"/>
        <w:ind w:left="0" w:firstLine="0"/>
        <w:rPr>
          <w:rFonts w:ascii="Century Gothic" w:eastAsia="Calibri" w:hAnsi="Century Gothic" w:cs="Arial"/>
          <w:b/>
          <w:color w:val="000000"/>
          <w:lang w:val="es-ES_tradnl"/>
        </w:rPr>
      </w:pPr>
      <w:r w:rsidRPr="00A83AB4">
        <w:rPr>
          <w:rFonts w:ascii="Century Gothic" w:eastAsia="Calibri" w:hAnsi="Century Gothic" w:cs="Arial"/>
          <w:b/>
          <w:color w:val="000000"/>
          <w:lang w:val="es-ES_tradnl"/>
        </w:rPr>
        <w:t xml:space="preserve">Respuestas </w:t>
      </w:r>
    </w:p>
    <w:p w14:paraId="021D0D97" w14:textId="77777777" w:rsidR="00204301" w:rsidRPr="00A83AB4" w:rsidRDefault="00204301" w:rsidP="00204301">
      <w:pPr>
        <w:spacing w:after="0" w:line="240" w:lineRule="auto"/>
        <w:ind w:left="709" w:right="709"/>
        <w:jc w:val="both"/>
        <w:rPr>
          <w:rStyle w:val="contentpasted0"/>
          <w:rFonts w:ascii="Century Gothic" w:hAnsi="Century Gothic" w:cs="Arial"/>
          <w:color w:val="000000"/>
          <w:sz w:val="21"/>
          <w:szCs w:val="21"/>
        </w:rPr>
      </w:pPr>
    </w:p>
    <w:p w14:paraId="7A02B678" w14:textId="4C1CA61A" w:rsidR="001D2627" w:rsidRPr="00A83AB4" w:rsidRDefault="001D2627" w:rsidP="00204301">
      <w:pPr>
        <w:spacing w:after="0" w:line="240" w:lineRule="auto"/>
        <w:ind w:left="709" w:right="709"/>
        <w:jc w:val="both"/>
        <w:rPr>
          <w:rStyle w:val="contentpasted0"/>
          <w:rFonts w:ascii="Century Gothic" w:hAnsi="Century Gothic" w:cs="Arial"/>
          <w:color w:val="000000"/>
          <w:sz w:val="21"/>
          <w:szCs w:val="21"/>
        </w:rPr>
      </w:pPr>
      <w:r w:rsidRPr="00A83AB4">
        <w:rPr>
          <w:rStyle w:val="contentpasted0"/>
          <w:rFonts w:ascii="Century Gothic" w:hAnsi="Century Gothic" w:cs="Arial"/>
          <w:color w:val="000000"/>
          <w:sz w:val="21"/>
          <w:szCs w:val="21"/>
        </w:rPr>
        <w:t>“-¿Dicho fomento se debe verificar desde la etapa de evaluación de las propuestas, para lo cual las condiciones de su cumplimiento deben establecerse en los documentos precontractuales del proceso o la obligación se incorpora directamente como obligación en la minuta contractual o equivalente? </w:t>
      </w:r>
    </w:p>
    <w:p w14:paraId="77BE180D" w14:textId="77777777" w:rsidR="00204301" w:rsidRPr="00A83AB4" w:rsidRDefault="00204301" w:rsidP="00EB36F8">
      <w:pPr>
        <w:spacing w:after="0" w:line="240" w:lineRule="auto"/>
        <w:ind w:left="709" w:right="709"/>
        <w:jc w:val="both"/>
        <w:rPr>
          <w:rFonts w:ascii="Century Gothic" w:hAnsi="Century Gothic" w:cs="Arial"/>
          <w:color w:val="000000"/>
          <w:sz w:val="21"/>
          <w:szCs w:val="21"/>
          <w:lang w:eastAsia="es-CO"/>
        </w:rPr>
      </w:pPr>
    </w:p>
    <w:p w14:paraId="551F044A" w14:textId="77777777" w:rsidR="001D2627" w:rsidRPr="00A83AB4" w:rsidRDefault="001D2627" w:rsidP="00EB36F8">
      <w:pPr>
        <w:spacing w:after="0" w:line="240" w:lineRule="auto"/>
        <w:ind w:left="709" w:right="709"/>
        <w:jc w:val="both"/>
        <w:rPr>
          <w:rFonts w:ascii="Century Gothic" w:hAnsi="Century Gothic" w:cs="Arial"/>
          <w:color w:val="000000"/>
          <w:sz w:val="21"/>
          <w:szCs w:val="21"/>
        </w:rPr>
      </w:pPr>
      <w:r w:rsidRPr="00A83AB4">
        <w:rPr>
          <w:rStyle w:val="contentpasted0"/>
          <w:rFonts w:ascii="Century Gothic" w:hAnsi="Century Gothic" w:cs="Arial"/>
          <w:color w:val="000000"/>
          <w:sz w:val="21"/>
          <w:szCs w:val="21"/>
        </w:rPr>
        <w:lastRenderedPageBreak/>
        <w:t>-En línea con la anterior pregunta, en caso que deba verificarse desde la etapa de evaluación, ¿este fomento se traduciría en un requisito habilitante o como un criterio de ponderación comparativo con el resto de las ofertas?”</w:t>
      </w:r>
    </w:p>
    <w:p w14:paraId="21F47DE6" w14:textId="403F0B84" w:rsidR="001D2627" w:rsidRPr="00A83AB4" w:rsidRDefault="001D2627" w:rsidP="001D2627">
      <w:pPr>
        <w:spacing w:after="120" w:line="276" w:lineRule="auto"/>
        <w:jc w:val="both"/>
        <w:rPr>
          <w:rFonts w:ascii="Century Gothic" w:eastAsia="Calibri" w:hAnsi="Century Gothic" w:cs="Arial"/>
          <w:color w:val="000000"/>
          <w:lang w:val="es-ES_tradnl"/>
        </w:rPr>
      </w:pPr>
      <w:r w:rsidRPr="00A83AB4">
        <w:rPr>
          <w:rFonts w:ascii="Century Gothic" w:eastAsia="Calibri" w:hAnsi="Century Gothic" w:cs="Arial"/>
          <w:color w:val="000000"/>
          <w:lang w:val="es-ES_tradnl"/>
        </w:rPr>
        <w:t>El artículo 3 del Decreto 1860 de 2021, que adicionó el artículo 2.2.1.2.4.2.16 del Decreto 1082 de 2015, consagra el deber de las entidades estatales de incorporar las obligaciones para el cumplimiento del objeto contractual tendientes a la provisión de bienes y servicios por parte de población en pobreza extrema, desplazados por la violencia, personas en proceso de reintegración o reincorporación y sujetos de especial protección constitucional, en los pliegos de condiciones o documento equivalente, garantizando las condiciones de calidad y sin perjuicio de los acuerdos comerciales vigentes</w:t>
      </w:r>
      <w:r w:rsidRPr="00A83AB4">
        <w:rPr>
          <w:rStyle w:val="Refdenotaalpie"/>
          <w:rFonts w:ascii="Century Gothic" w:eastAsia="Calibri" w:hAnsi="Century Gothic" w:cs="Arial"/>
          <w:color w:val="000000"/>
          <w:lang w:val="es-ES_tradnl"/>
        </w:rPr>
        <w:footnoteReference w:id="19"/>
      </w:r>
      <w:r w:rsidRPr="00A83AB4">
        <w:rPr>
          <w:rFonts w:ascii="Century Gothic" w:eastAsia="Calibri" w:hAnsi="Century Gothic" w:cs="Arial"/>
          <w:color w:val="000000"/>
          <w:lang w:val="es-ES_tradnl"/>
        </w:rPr>
        <w:t>.  Esto aplica a las entidades estatales indistintamente de su régimen de contratación, los patrimonios autónomos constituidos por Entidades Estatales y los particulares que ejecuten recursos públicos.</w:t>
      </w:r>
    </w:p>
    <w:p w14:paraId="3B8EB36D" w14:textId="4DA9AB5B" w:rsidR="001D2627" w:rsidRPr="00A83AB4" w:rsidRDefault="001D2627" w:rsidP="001D2627">
      <w:pPr>
        <w:spacing w:after="120" w:line="276" w:lineRule="auto"/>
        <w:ind w:firstLine="709"/>
        <w:jc w:val="both"/>
        <w:rPr>
          <w:rFonts w:ascii="Century Gothic" w:eastAsia="Calibri" w:hAnsi="Century Gothic" w:cs="Arial"/>
          <w:color w:val="000000"/>
          <w:lang w:val="es-ES_tradnl"/>
        </w:rPr>
      </w:pPr>
      <w:r w:rsidRPr="00A83AB4">
        <w:rPr>
          <w:rFonts w:ascii="Century Gothic" w:eastAsia="Calibri" w:hAnsi="Century Gothic" w:cs="Arial"/>
          <w:color w:val="000000"/>
          <w:lang w:val="es-ES_tradnl"/>
        </w:rPr>
        <w:t xml:space="preserve">Como se evidencia, este artículo busca que las entidades estatales incluyan en </w:t>
      </w:r>
      <w:r w:rsidRPr="00A83AB4">
        <w:rPr>
          <w:rFonts w:ascii="Century Gothic" w:eastAsia="Calibri" w:hAnsi="Century Gothic" w:cs="Arial"/>
          <w:i/>
          <w:iCs/>
          <w:color w:val="000000"/>
          <w:lang w:val="es-ES_tradnl"/>
        </w:rPr>
        <w:t>los pliegos de condiciones o documento equivalente</w:t>
      </w:r>
      <w:r w:rsidRPr="00A83AB4">
        <w:rPr>
          <w:rFonts w:ascii="Century Gothic" w:eastAsia="Calibri" w:hAnsi="Century Gothic" w:cs="Arial"/>
          <w:color w:val="000000"/>
          <w:lang w:val="es-ES_tradnl"/>
        </w:rPr>
        <w:t>, disposiciones que garanticen que los bienes y servicios requeridos por el contratista para la ejecución del objeto contractual, sean proveídos por sujetos de especial protección constitucional. Para estos efectos, la norma precisa que la participación de los sujetos mencionados se fomentará previo análisis de oportunidad y conveniencia en los documentos del proceso, teniendo en cuenta el objeto contractual y el alcance de las obligaciones.</w:t>
      </w:r>
      <w:r w:rsidR="00691465" w:rsidRPr="00A83AB4">
        <w:rPr>
          <w:rFonts w:ascii="Century Gothic" w:eastAsia="Calibri" w:hAnsi="Century Gothic" w:cs="Arial"/>
          <w:color w:val="000000"/>
          <w:lang w:val="es-ES_tradnl"/>
        </w:rPr>
        <w:t xml:space="preserve"> </w:t>
      </w:r>
      <w:r w:rsidRPr="00A83AB4">
        <w:rPr>
          <w:rFonts w:ascii="Century Gothic" w:eastAsia="Calibri" w:hAnsi="Century Gothic" w:cs="Arial"/>
          <w:color w:val="000000"/>
          <w:lang w:val="es-ES_tradnl"/>
        </w:rPr>
        <w:t>Este parámetro asegura que el mecanismo implementado no atente contra el cabal cumplimiento del contrato, de tal manera que el acatamiento de lo dispuesto no devenga en el incumplimiento del contrato ni la desmejora de la calidad requerida</w:t>
      </w:r>
      <w:r w:rsidRPr="00A83AB4">
        <w:rPr>
          <w:rStyle w:val="Refdenotaalpie"/>
          <w:rFonts w:ascii="Century Gothic" w:eastAsia="Calibri" w:hAnsi="Century Gothic" w:cs="Arial"/>
          <w:color w:val="000000"/>
          <w:lang w:val="es-ES_tradnl"/>
        </w:rPr>
        <w:footnoteReference w:id="20"/>
      </w:r>
      <w:r w:rsidRPr="00A83AB4">
        <w:rPr>
          <w:rFonts w:ascii="Century Gothic" w:eastAsia="Calibri" w:hAnsi="Century Gothic" w:cs="Arial"/>
          <w:color w:val="000000"/>
          <w:lang w:val="es-ES_tradnl"/>
        </w:rPr>
        <w:t>.</w:t>
      </w:r>
    </w:p>
    <w:p w14:paraId="6C863263" w14:textId="4257D3D5" w:rsidR="001D2627" w:rsidRPr="00A83AB4" w:rsidRDefault="001D2627" w:rsidP="001D2627">
      <w:pPr>
        <w:spacing w:before="120" w:line="276" w:lineRule="auto"/>
        <w:ind w:firstLine="708"/>
        <w:jc w:val="both"/>
        <w:rPr>
          <w:rFonts w:ascii="Century Gothic" w:hAnsi="Century Gothic" w:cs="Arial"/>
        </w:rPr>
      </w:pPr>
      <w:r w:rsidRPr="00A83AB4">
        <w:rPr>
          <w:rFonts w:ascii="Century Gothic" w:eastAsia="Calibri" w:hAnsi="Century Gothic" w:cs="Arial"/>
          <w:color w:val="000000" w:themeColor="text1"/>
          <w:lang w:val="es-ES_tradnl"/>
        </w:rPr>
        <w:t>Por último, se considera importante mencionar, que la aplicación del</w:t>
      </w:r>
      <w:r w:rsidR="007E224F" w:rsidRPr="00A83AB4">
        <w:rPr>
          <w:rFonts w:ascii="Century Gothic" w:eastAsia="Calibri" w:hAnsi="Century Gothic" w:cs="Arial"/>
          <w:color w:val="000000" w:themeColor="text1"/>
          <w:lang w:val="es-ES_tradnl"/>
        </w:rPr>
        <w:t xml:space="preserve"> </w:t>
      </w:r>
      <w:r w:rsidRPr="00A83AB4">
        <w:rPr>
          <w:rFonts w:ascii="Century Gothic" w:hAnsi="Century Gothic" w:cs="Arial"/>
        </w:rPr>
        <w:t>artículo</w:t>
      </w:r>
      <w:r w:rsidRPr="00A83AB4">
        <w:rPr>
          <w:rFonts w:ascii="Arial" w:hAnsi="Arial" w:cs="Arial"/>
        </w:rPr>
        <w:t> </w:t>
      </w:r>
      <w:r w:rsidRPr="00A83AB4">
        <w:rPr>
          <w:rFonts w:ascii="Century Gothic" w:hAnsi="Century Gothic" w:cs="Arial"/>
        </w:rPr>
        <w:t xml:space="preserve">2.2.1.2.4.2.16 del Decreto 1082 de 2015 no funge como un criterio de evaluación, así como tampoco como un criterio habilitante toda vez que este parámetro se debe incorporar como una obligación contractual. </w:t>
      </w:r>
      <w:r w:rsidR="006E1F96" w:rsidRPr="00A83AB4">
        <w:rPr>
          <w:rFonts w:ascii="Century Gothic" w:hAnsi="Century Gothic" w:cs="Arial"/>
        </w:rPr>
        <w:t xml:space="preserve">La forma de incorporar la obligación contractual desde el pliego de condiciones es teniendo en cuenta que </w:t>
      </w:r>
      <w:r w:rsidR="00C3559A" w:rsidRPr="00A83AB4">
        <w:rPr>
          <w:rFonts w:ascii="Century Gothic" w:hAnsi="Century Gothic" w:cs="Arial"/>
        </w:rPr>
        <w:t>los estudios previos y la minuta del contrato son parte de los pliegos de condiciones de conformidad con el artículo</w:t>
      </w:r>
      <w:r w:rsidR="00E25389" w:rsidRPr="00A83AB4">
        <w:rPr>
          <w:rFonts w:ascii="Century Gothic" w:hAnsi="Century Gothic" w:cs="Arial"/>
        </w:rPr>
        <w:t xml:space="preserve"> 2.2.1.1.2.1.3. del Decreto 1082 de </w:t>
      </w:r>
      <w:r w:rsidR="00E25389" w:rsidRPr="00A83AB4">
        <w:rPr>
          <w:rFonts w:ascii="Century Gothic" w:hAnsi="Century Gothic" w:cs="Arial"/>
        </w:rPr>
        <w:lastRenderedPageBreak/>
        <w:t>2015</w:t>
      </w:r>
      <w:r w:rsidR="00EB36F8" w:rsidRPr="00A83AB4">
        <w:rPr>
          <w:rStyle w:val="Refdenotaalpie"/>
          <w:rFonts w:ascii="Century Gothic" w:hAnsi="Century Gothic" w:cs="Arial"/>
        </w:rPr>
        <w:footnoteReference w:id="21"/>
      </w:r>
      <w:r w:rsidR="00130EA9" w:rsidRPr="00A83AB4">
        <w:rPr>
          <w:rFonts w:ascii="Century Gothic" w:hAnsi="Century Gothic" w:cs="Arial"/>
        </w:rPr>
        <w:t xml:space="preserve">, </w:t>
      </w:r>
      <w:r w:rsidR="00660520" w:rsidRPr="00A83AB4">
        <w:rPr>
          <w:rFonts w:ascii="Century Gothic" w:hAnsi="Century Gothic" w:cs="Arial"/>
        </w:rPr>
        <w:t>ya que</w:t>
      </w:r>
      <w:r w:rsidR="00130EA9" w:rsidRPr="00A83AB4">
        <w:rPr>
          <w:rFonts w:ascii="Century Gothic" w:hAnsi="Century Gothic" w:cs="Arial"/>
        </w:rPr>
        <w:t xml:space="preserve"> </w:t>
      </w:r>
      <w:r w:rsidR="0008337C" w:rsidRPr="00A83AB4">
        <w:rPr>
          <w:rFonts w:ascii="Century Gothic" w:hAnsi="Century Gothic" w:cs="Arial"/>
        </w:rPr>
        <w:t>de acuerdo con lo señalado por el artículo</w:t>
      </w:r>
      <w:r w:rsidR="0008337C" w:rsidRPr="00A83AB4">
        <w:rPr>
          <w:rFonts w:ascii="Arial" w:hAnsi="Arial" w:cs="Arial"/>
        </w:rPr>
        <w:t> </w:t>
      </w:r>
      <w:r w:rsidR="0008337C" w:rsidRPr="00A83AB4">
        <w:rPr>
          <w:rFonts w:ascii="Century Gothic" w:hAnsi="Century Gothic" w:cs="Arial"/>
        </w:rPr>
        <w:t>2.2.1.2.4.2.16 del Decreto 1082 de 2015</w:t>
      </w:r>
      <w:r w:rsidR="00660520" w:rsidRPr="00A83AB4">
        <w:rPr>
          <w:rFonts w:ascii="Century Gothic" w:hAnsi="Century Gothic" w:cs="Arial"/>
        </w:rPr>
        <w:t xml:space="preserve"> </w:t>
      </w:r>
      <w:r w:rsidR="00660520" w:rsidRPr="00A83AB4">
        <w:rPr>
          <w:rFonts w:ascii="Century Gothic" w:eastAsia="Calibri" w:hAnsi="Century Gothic" w:cs="Arial"/>
          <w:color w:val="000000"/>
          <w:lang w:val="es-ES_tradnl"/>
        </w:rPr>
        <w:t xml:space="preserve">el fomento en la ejecución de los contratos estatales de la provisión de bienes y servicios por parte de ciertos grupos poblacionales y de sujetos de especial protección constitucional se realizará </w:t>
      </w:r>
      <w:r w:rsidR="00660520" w:rsidRPr="00A83AB4">
        <w:rPr>
          <w:rFonts w:ascii="Century Gothic" w:eastAsia="Calibri" w:hAnsi="Century Gothic" w:cs="Arial"/>
          <w:i/>
          <w:iCs/>
          <w:color w:val="000000"/>
          <w:lang w:val="es-ES_tradnl"/>
        </w:rPr>
        <w:t>en los pliegos de condiciones</w:t>
      </w:r>
      <w:r w:rsidR="00D95D3E" w:rsidRPr="00A83AB4">
        <w:rPr>
          <w:rFonts w:ascii="Century Gothic" w:eastAsia="Calibri" w:hAnsi="Century Gothic" w:cs="Arial"/>
          <w:i/>
          <w:iCs/>
          <w:color w:val="000000"/>
          <w:lang w:val="es-ES_tradnl"/>
        </w:rPr>
        <w:t xml:space="preserve">, </w:t>
      </w:r>
      <w:r w:rsidR="00D95D3E" w:rsidRPr="00A83AB4">
        <w:rPr>
          <w:rFonts w:ascii="Century Gothic" w:eastAsia="Calibri" w:hAnsi="Century Gothic" w:cs="Arial"/>
          <w:color w:val="000000"/>
          <w:lang w:val="es-ES_tradnl"/>
        </w:rPr>
        <w:t>de acuerdo con</w:t>
      </w:r>
      <w:r w:rsidR="00D95D3E" w:rsidRPr="00A83AB4">
        <w:rPr>
          <w:rFonts w:ascii="Century Gothic" w:eastAsia="Calibri" w:hAnsi="Century Gothic" w:cs="Arial"/>
          <w:i/>
          <w:iCs/>
          <w:color w:val="000000"/>
          <w:lang w:val="es-ES_tradnl"/>
        </w:rPr>
        <w:t xml:space="preserve"> </w:t>
      </w:r>
      <w:r w:rsidR="00111C06" w:rsidRPr="00A83AB4">
        <w:rPr>
          <w:rFonts w:ascii="Century Gothic" w:eastAsia="Calibri" w:hAnsi="Century Gothic" w:cs="Arial"/>
          <w:color w:val="000000"/>
          <w:lang w:val="es-ES_tradnl"/>
        </w:rPr>
        <w:t>el “análisis de su oportunidad y conveniencia en los Documentos del Proceso, teniendo en cuenta el objeto contractual y el alcance de las obligacione</w:t>
      </w:r>
      <w:r w:rsidR="00111C06" w:rsidRPr="00A83AB4">
        <w:rPr>
          <w:rFonts w:ascii="Century Gothic" w:eastAsia="Calibri" w:hAnsi="Century Gothic" w:cs="Arial"/>
          <w:i/>
          <w:iCs/>
          <w:color w:val="000000"/>
          <w:lang w:val="es-ES_tradnl"/>
        </w:rPr>
        <w:t>s”</w:t>
      </w:r>
      <w:r w:rsidR="00E25389" w:rsidRPr="00A83AB4">
        <w:rPr>
          <w:rFonts w:ascii="Century Gothic" w:hAnsi="Century Gothic" w:cs="Arial"/>
        </w:rPr>
        <w:t>.</w:t>
      </w:r>
    </w:p>
    <w:p w14:paraId="7347FF57" w14:textId="77777777" w:rsidR="001D2627" w:rsidRPr="00A83AB4" w:rsidRDefault="001D2627" w:rsidP="00EB36F8">
      <w:pPr>
        <w:spacing w:after="0" w:line="276" w:lineRule="auto"/>
        <w:ind w:left="709" w:right="709"/>
        <w:jc w:val="both"/>
        <w:rPr>
          <w:rFonts w:ascii="Century Gothic" w:hAnsi="Century Gothic" w:cs="Arial"/>
          <w:sz w:val="21"/>
          <w:szCs w:val="21"/>
        </w:rPr>
      </w:pPr>
      <w:r w:rsidRPr="00A83AB4">
        <w:rPr>
          <w:rFonts w:ascii="Century Gothic" w:hAnsi="Century Gothic" w:cs="Arial"/>
          <w:color w:val="000000"/>
          <w:sz w:val="21"/>
          <w:szCs w:val="21"/>
        </w:rPr>
        <w:t>“Para colocar el caso de una consultoría en la que, por ejemplo, se requiere para su desarrollo la vinculación de cinco profesionales, ¿cómo se satisface el porcentaje exigido por la norma de establecer un porcentaje que “</w:t>
      </w:r>
      <w:r w:rsidRPr="00A83AB4">
        <w:rPr>
          <w:rFonts w:ascii="Century Gothic" w:hAnsi="Century Gothic" w:cs="Arial"/>
          <w:i/>
          <w:iCs/>
          <w:color w:val="000000"/>
          <w:sz w:val="21"/>
          <w:szCs w:val="21"/>
        </w:rPr>
        <w:t>no será superior al diez por ciento (10%) ni inferior al cinco por ciento (5%) de los bienes o servicios requeridos para la ejecución del contrato</w:t>
      </w:r>
      <w:r w:rsidRPr="00A83AB4">
        <w:rPr>
          <w:rFonts w:ascii="Century Gothic" w:hAnsi="Century Gothic" w:cs="Arial"/>
          <w:color w:val="000000"/>
          <w:sz w:val="21"/>
          <w:szCs w:val="21"/>
        </w:rPr>
        <w:t>”?, pues a mi entender, en el ejemplo propuesto cada perfil a vincular correspondería a un 20%, por lo que se excedería el límite establecido por la norma. ¿Es inviable para este tipo de casos la aplicación de este fomento?”</w:t>
      </w:r>
    </w:p>
    <w:p w14:paraId="3B8AE0EA" w14:textId="1402CB1F" w:rsidR="001D2627" w:rsidRPr="00A83AB4" w:rsidRDefault="001D2627" w:rsidP="00EB36F8">
      <w:pPr>
        <w:spacing w:before="120" w:line="276" w:lineRule="auto"/>
        <w:ind w:firstLine="708"/>
        <w:jc w:val="both"/>
        <w:rPr>
          <w:rFonts w:ascii="Century Gothic" w:hAnsi="Century Gothic" w:cs="Arial"/>
          <w:lang w:eastAsia="es-MX"/>
        </w:rPr>
      </w:pPr>
      <w:r w:rsidRPr="00A83AB4">
        <w:rPr>
          <w:rFonts w:ascii="Century Gothic" w:hAnsi="Century Gothic" w:cs="Arial"/>
          <w:lang w:eastAsia="es-MX"/>
        </w:rPr>
        <w:t>La norma establece unos límites dentro de</w:t>
      </w:r>
      <w:r w:rsidR="003E5DEB" w:rsidRPr="00A83AB4">
        <w:rPr>
          <w:rFonts w:ascii="Century Gothic" w:hAnsi="Century Gothic" w:cs="Arial"/>
          <w:lang w:eastAsia="es-MX"/>
        </w:rPr>
        <w:t xml:space="preserve"> los</w:t>
      </w:r>
      <w:r w:rsidRPr="00A83AB4">
        <w:rPr>
          <w:rFonts w:ascii="Century Gothic" w:hAnsi="Century Gothic" w:cs="Arial"/>
          <w:lang w:eastAsia="es-MX"/>
        </w:rPr>
        <w:t xml:space="preserve"> cual</w:t>
      </w:r>
      <w:r w:rsidR="003E5DEB" w:rsidRPr="00A83AB4">
        <w:rPr>
          <w:rFonts w:ascii="Century Gothic" w:hAnsi="Century Gothic" w:cs="Arial"/>
          <w:lang w:eastAsia="es-MX"/>
        </w:rPr>
        <w:t>es</w:t>
      </w:r>
      <w:r w:rsidRPr="00A83AB4">
        <w:rPr>
          <w:rFonts w:ascii="Century Gothic" w:hAnsi="Century Gothic" w:cs="Arial"/>
          <w:lang w:eastAsia="es-MX"/>
        </w:rPr>
        <w:t xml:space="preserve"> la entidad estatal fijará en el pliego de condiciones o documento equivalente un porcentaje que debe cumplir el contratista para garantizar la provisión de bienes y servicios por parte de los sujetos mencionados. En tal sentido, se establece un porcentaje que </w:t>
      </w:r>
      <w:r w:rsidRPr="00A83AB4">
        <w:rPr>
          <w:rFonts w:ascii="Century Gothic" w:eastAsia="Arial" w:hAnsi="Century Gothic" w:cs="Arial"/>
          <w:color w:val="000000"/>
        </w:rPr>
        <w:t>“</w:t>
      </w:r>
      <w:r w:rsidRPr="00A83AB4">
        <w:rPr>
          <w:rFonts w:ascii="Century Gothic" w:hAnsi="Century Gothic" w:cs="Arial"/>
          <w:lang w:eastAsia="es-MX"/>
        </w:rPr>
        <w:t>no será superior al diez por ciento (10%) ni inferior al cinco por ciento (5%) de los bienes o servicios requeridos para la ejecución del contrato, de manera que no se ponga en riesgo su cumplimiento adecuado</w:t>
      </w:r>
      <w:r w:rsidRPr="00A83AB4">
        <w:rPr>
          <w:rFonts w:ascii="Century Gothic" w:eastAsia="Arial" w:hAnsi="Century Gothic" w:cs="Arial"/>
          <w:color w:val="000000"/>
        </w:rPr>
        <w:t>”.</w:t>
      </w:r>
      <w:r w:rsidRPr="00A83AB4">
        <w:rPr>
          <w:rFonts w:ascii="Century Gothic" w:hAnsi="Century Gothic" w:cs="Arial"/>
          <w:lang w:eastAsia="es-MX"/>
        </w:rPr>
        <w:t xml:space="preserve"> Es decir, que la entidad determinará el porcentaje respectivo siempre que no supere los límites establecidos. Además, la </w:t>
      </w:r>
      <w:r w:rsidRPr="00A83AB4">
        <w:rPr>
          <w:rFonts w:ascii="Century Gothic" w:hAnsi="Century Gothic" w:cs="Arial"/>
          <w:lang w:eastAsia="es-MX"/>
        </w:rPr>
        <w:lastRenderedPageBreak/>
        <w:t xml:space="preserve">entidad incorporará esta obligación en la minuta del contrato del pliego de condiciones o documento equivalente, precisando las sanciones pecuniarias producto del incumplimiento injustificado de esta a través de las causales de multa que estime pertinentes. </w:t>
      </w:r>
    </w:p>
    <w:p w14:paraId="59E34214" w14:textId="77777777" w:rsidR="001D2627" w:rsidRPr="00A83AB4" w:rsidRDefault="001D2627" w:rsidP="001D2627">
      <w:pPr>
        <w:spacing w:after="120" w:line="276" w:lineRule="auto"/>
        <w:ind w:firstLine="709"/>
        <w:jc w:val="both"/>
        <w:rPr>
          <w:rFonts w:ascii="Century Gothic" w:hAnsi="Century Gothic" w:cs="Arial"/>
          <w:lang w:eastAsia="es-MX"/>
        </w:rPr>
      </w:pPr>
      <w:r w:rsidRPr="00A83AB4">
        <w:rPr>
          <w:rFonts w:ascii="Century Gothic" w:hAnsi="Century Gothic" w:cs="Arial"/>
          <w:lang w:eastAsia="es-MX"/>
        </w:rPr>
        <w:t>Sin embargo, debe precisarse que</w:t>
      </w:r>
      <w:r w:rsidRPr="00A83AB4">
        <w:rPr>
          <w:rFonts w:ascii="Century Gothic" w:eastAsia="Calibri" w:hAnsi="Century Gothic" w:cs="Arial"/>
          <w:sz w:val="21"/>
          <w:szCs w:val="21"/>
          <w:lang w:val="es-ES_tradnl"/>
        </w:rPr>
        <w:t xml:space="preserve"> </w:t>
      </w:r>
      <w:r w:rsidRPr="00A83AB4">
        <w:rPr>
          <w:rFonts w:ascii="Century Gothic" w:hAnsi="Century Gothic" w:cs="Arial"/>
          <w:lang w:val="es-ES_tradnl" w:eastAsia="es-MX"/>
        </w:rPr>
        <w:t xml:space="preserve">la participación de los sujetos anteriormente mencionados en la ejecución del contrato y la incorporación de esta obligación en la minuta del contrato del pliego de condiciones se realizará previo análisis de oportunidad y conveniencia en los documentos del proceso, teniendo en cuenta el objeto contractual y el alcance de las obligaciones. </w:t>
      </w:r>
      <w:r w:rsidRPr="00A83AB4">
        <w:rPr>
          <w:rFonts w:ascii="Century Gothic" w:hAnsi="Century Gothic" w:cs="Arial"/>
          <w:lang w:eastAsia="es-MX"/>
        </w:rPr>
        <w:t xml:space="preserve">Así las cosas, en los procesos de contratación la entidad deberá determinar el porcentaje que se incluirá para la provisión de bienes y servicios por parte de los sujetos mencionados en </w:t>
      </w:r>
      <w:r w:rsidRPr="00A83AB4">
        <w:rPr>
          <w:rFonts w:ascii="Century Gothic" w:hAnsi="Century Gothic" w:cs="Arial"/>
          <w:bCs/>
          <w:lang w:val="es-ES_tradnl" w:eastAsia="es-MX"/>
        </w:rPr>
        <w:t xml:space="preserve">el artículo </w:t>
      </w:r>
      <w:r w:rsidRPr="00A83AB4">
        <w:rPr>
          <w:rFonts w:ascii="Century Gothic" w:hAnsi="Century Gothic" w:cs="Arial"/>
          <w:lang w:eastAsia="es-MX"/>
        </w:rPr>
        <w:t xml:space="preserve">2.2.1.2.4.2.16. del Decreto 1082 de 2021, el cual no podrá ser superior al diez por ciento (10%) ni inferior al cinco por ciento (5%) de los bienes o servicios requeridos para la ejecución del contrato. </w:t>
      </w:r>
    </w:p>
    <w:p w14:paraId="767A2371" w14:textId="77777777" w:rsidR="00CE222D" w:rsidRPr="00A83AB4" w:rsidRDefault="001D2627" w:rsidP="001D2627">
      <w:pPr>
        <w:spacing w:after="120" w:line="276" w:lineRule="auto"/>
        <w:ind w:firstLine="709"/>
        <w:jc w:val="both"/>
        <w:rPr>
          <w:rFonts w:ascii="Century Gothic" w:eastAsia="Calibri" w:hAnsi="Century Gothic" w:cs="Arial"/>
          <w:lang w:val="es-ES_tradnl"/>
        </w:rPr>
      </w:pPr>
      <w:r w:rsidRPr="00A83AB4">
        <w:rPr>
          <w:rFonts w:ascii="Century Gothic" w:eastAsia="Calibri" w:hAnsi="Century Gothic" w:cs="Arial"/>
          <w:lang w:val="es-ES_tradnl"/>
        </w:rPr>
        <w:t xml:space="preserve">Por tanto, si previa valoración de la </w:t>
      </w:r>
      <w:r w:rsidRPr="00A83AB4">
        <w:rPr>
          <w:rFonts w:ascii="Century Gothic" w:eastAsia="Calibri" w:hAnsi="Century Gothic" w:cs="Arial"/>
          <w:i/>
          <w:iCs/>
          <w:lang w:val="es-ES_tradnl"/>
        </w:rPr>
        <w:t xml:space="preserve">oportunidad </w:t>
      </w:r>
      <w:r w:rsidRPr="00A83AB4">
        <w:rPr>
          <w:rFonts w:ascii="Century Gothic" w:eastAsia="Calibri" w:hAnsi="Century Gothic" w:cs="Arial"/>
          <w:lang w:val="es-ES_tradnl"/>
        </w:rPr>
        <w:t>y</w:t>
      </w:r>
      <w:r w:rsidRPr="00A83AB4">
        <w:rPr>
          <w:rFonts w:ascii="Century Gothic" w:eastAsia="Calibri" w:hAnsi="Century Gothic" w:cs="Arial"/>
          <w:i/>
          <w:iCs/>
          <w:lang w:val="es-ES_tradnl"/>
        </w:rPr>
        <w:t xml:space="preserve"> </w:t>
      </w:r>
      <w:r w:rsidRPr="00A83AB4">
        <w:rPr>
          <w:rFonts w:ascii="Century Gothic" w:eastAsia="Calibri" w:hAnsi="Century Gothic" w:cs="Arial"/>
          <w:lang w:val="es-ES_tradnl"/>
        </w:rPr>
        <w:t xml:space="preserve">la </w:t>
      </w:r>
      <w:r w:rsidRPr="00A83AB4">
        <w:rPr>
          <w:rFonts w:ascii="Century Gothic" w:eastAsia="Calibri" w:hAnsi="Century Gothic" w:cs="Arial"/>
          <w:i/>
          <w:iCs/>
          <w:lang w:val="es-ES_tradnl"/>
        </w:rPr>
        <w:t xml:space="preserve">conveniencia </w:t>
      </w:r>
      <w:r w:rsidRPr="00A83AB4">
        <w:rPr>
          <w:rFonts w:ascii="Century Gothic" w:eastAsia="Calibri" w:hAnsi="Century Gothic" w:cs="Arial"/>
          <w:lang w:val="es-ES_tradnl"/>
        </w:rPr>
        <w:t>se concluye que el incentivo no pone en riesgo las condiciones de calidad, no contraría Acuerdos Comerciales vigentes ni pone en riesgo la adecuada ejecución del objeto contractual, la entidad contratante</w:t>
      </w:r>
      <w:r w:rsidRPr="00A83AB4" w:rsidDel="00150930">
        <w:rPr>
          <w:rFonts w:ascii="Century Gothic" w:eastAsia="Calibri" w:hAnsi="Century Gothic" w:cs="Arial"/>
          <w:lang w:val="es-ES_tradnl"/>
        </w:rPr>
        <w:t xml:space="preserve"> </w:t>
      </w:r>
      <w:r w:rsidRPr="00A83AB4">
        <w:rPr>
          <w:rFonts w:ascii="Century Gothic" w:eastAsia="Calibri" w:hAnsi="Century Gothic" w:cs="Arial"/>
          <w:lang w:val="es-ES_tradnl"/>
        </w:rPr>
        <w:t xml:space="preserve">estructurará el pliego de condiciones o documento equivalente exigiendo el porcentaje dentro del rango previsto en la norma en comento y fijando las sanciones pecuniarias derivadas del incumplimiento injustificado en la minuta del contrato. </w:t>
      </w:r>
    </w:p>
    <w:p w14:paraId="6645210B" w14:textId="615306FF" w:rsidR="001D2627" w:rsidRPr="00A83AB4" w:rsidRDefault="00427DC7" w:rsidP="00EB36F8">
      <w:pPr>
        <w:spacing w:after="0" w:line="240" w:lineRule="auto"/>
        <w:ind w:firstLine="709"/>
        <w:jc w:val="both"/>
        <w:rPr>
          <w:rStyle w:val="ui-provider"/>
          <w:rFonts w:ascii="Century Gothic" w:hAnsi="Century Gothic" w:cs="Arial"/>
        </w:rPr>
      </w:pPr>
      <w:r w:rsidRPr="00A83AB4">
        <w:rPr>
          <w:rStyle w:val="ui-provider"/>
          <w:rFonts w:ascii="Century Gothic" w:hAnsi="Century Gothic" w:cs="Arial"/>
        </w:rPr>
        <w:t>Entonces sobre el caso puntual expresado, se debe mencionar que los contratos de consultoría son aquellos que incluyen dentro de su objeto la realización de actividades que se relacionan o se vinculan con funciones técnicas y especializadas, es por lo que se requiere que las personas que lo ejecutarán tengan un perfil acorde que pueda cumplir con el objeto del contrato, ya que generalmente se necesita un Director de Consultoría, Coordinador de Consultoría (En los casos que aplique) y el Especialista, dicho esto la cantidad de personas claves para realizar esta función es limitada, por esto solo será viable si el personal contratado para realizar la consultoría puede cumplir el porcentaje exigido por el artículo</w:t>
      </w:r>
      <w:r w:rsidRPr="00A83AB4">
        <w:rPr>
          <w:rStyle w:val="ui-provider"/>
          <w:rFonts w:ascii="Arial" w:hAnsi="Arial" w:cs="Arial"/>
        </w:rPr>
        <w:t> </w:t>
      </w:r>
      <w:hyperlink r:id="rId13" w:tgtFrame="_blank" w:tooltip="http://2.2.1.2/" w:history="1">
        <w:r w:rsidRPr="00A83AB4">
          <w:rPr>
            <w:rStyle w:val="Hipervnculo"/>
            <w:rFonts w:ascii="Century Gothic" w:hAnsi="Century Gothic" w:cs="Arial"/>
            <w:color w:val="auto"/>
            <w:u w:val="none"/>
          </w:rPr>
          <w:t>2.2.1.2</w:t>
        </w:r>
      </w:hyperlink>
      <w:r w:rsidRPr="00A83AB4">
        <w:rPr>
          <w:rStyle w:val="ui-provider"/>
          <w:rFonts w:ascii="Century Gothic" w:hAnsi="Century Gothic" w:cs="Arial"/>
        </w:rPr>
        <w:t>.4.2.16 del Decreto 1082 de 2015, el cual no podrá ser superior al diez por ciento (10%) ni inferior al cinco por ciento (5%) de los bienes o servicios requeridos para la ejecución del contrato; y la entidad deberá determinar si es beneficioso o no dar aplicación a este fomento en los contratos de consultoría.</w:t>
      </w:r>
    </w:p>
    <w:p w14:paraId="0DF3EE95" w14:textId="77777777" w:rsidR="00427DC7" w:rsidRPr="00A83AB4" w:rsidRDefault="00427DC7" w:rsidP="00EB36F8">
      <w:pPr>
        <w:spacing w:after="0" w:line="240" w:lineRule="auto"/>
        <w:ind w:firstLine="709"/>
        <w:jc w:val="both"/>
        <w:rPr>
          <w:rFonts w:ascii="Century Gothic" w:hAnsi="Century Gothic" w:cs="Arial"/>
          <w:lang w:eastAsia="es-MX"/>
        </w:rPr>
      </w:pPr>
    </w:p>
    <w:p w14:paraId="0511921E" w14:textId="77777777" w:rsidR="001D2627" w:rsidRPr="00A83AB4" w:rsidRDefault="001D2627" w:rsidP="00EB36F8">
      <w:pPr>
        <w:spacing w:after="0" w:line="240" w:lineRule="auto"/>
        <w:ind w:left="709" w:right="709"/>
        <w:jc w:val="both"/>
        <w:rPr>
          <w:rFonts w:ascii="Century Gothic" w:eastAsia="Calibri" w:hAnsi="Century Gothic" w:cs="Arial"/>
          <w:sz w:val="21"/>
          <w:szCs w:val="21"/>
          <w:lang w:val="es-ES_tradnl"/>
        </w:rPr>
      </w:pPr>
      <w:r w:rsidRPr="00A83AB4">
        <w:rPr>
          <w:rFonts w:ascii="Century Gothic" w:hAnsi="Century Gothic" w:cs="Arial"/>
          <w:color w:val="000000"/>
          <w:sz w:val="21"/>
          <w:szCs w:val="21"/>
        </w:rPr>
        <w:t xml:space="preserve">“Teniendo en cuenta el poco desarrollo que el Gobierno realizó frente a este precepto normativo, agradezco encarecidamente se aclare qué parámetros debe tener en cuenta la Entidad Estatal en su análisis a la hora de determinar la oportunidad y conveniencia de incorporar este </w:t>
      </w:r>
      <w:r w:rsidRPr="00A83AB4">
        <w:rPr>
          <w:rFonts w:ascii="Century Gothic" w:hAnsi="Century Gothic" w:cs="Arial"/>
          <w:color w:val="000000"/>
          <w:sz w:val="21"/>
          <w:szCs w:val="21"/>
        </w:rPr>
        <w:lastRenderedPageBreak/>
        <w:t>criterio en determinado proceso de selección, y mejor aún, por favor informar si existe algún manual, guía o similar expedido por Colombia Compra Eficiente en el que trate este tema” </w:t>
      </w:r>
    </w:p>
    <w:p w14:paraId="0E1F4AB0" w14:textId="77777777" w:rsidR="001D2627" w:rsidRPr="00A83AB4" w:rsidRDefault="001D2627" w:rsidP="00EB36F8">
      <w:pPr>
        <w:spacing w:after="0" w:line="276" w:lineRule="auto"/>
        <w:ind w:left="709" w:right="709"/>
        <w:jc w:val="both"/>
        <w:rPr>
          <w:rFonts w:ascii="Century Gothic" w:eastAsia="Calibri" w:hAnsi="Century Gothic" w:cs="Arial"/>
          <w:color w:val="000000"/>
          <w:lang w:val="es-ES_tradnl"/>
        </w:rPr>
      </w:pPr>
    </w:p>
    <w:p w14:paraId="618107D8" w14:textId="00A022C8" w:rsidR="001D2627" w:rsidRPr="00A83AB4" w:rsidRDefault="001D2627" w:rsidP="00EB36F8">
      <w:pPr>
        <w:spacing w:after="120" w:line="276" w:lineRule="auto"/>
        <w:ind w:firstLine="708"/>
        <w:jc w:val="both"/>
        <w:rPr>
          <w:rFonts w:ascii="Century Gothic" w:eastAsia="Calibri" w:hAnsi="Century Gothic" w:cs="Arial"/>
          <w:lang w:val="es-ES_tradnl"/>
        </w:rPr>
      </w:pPr>
      <w:r w:rsidRPr="00A83AB4">
        <w:rPr>
          <w:rFonts w:ascii="Century Gothic" w:hAnsi="Century Gothic" w:cs="Arial"/>
        </w:rPr>
        <w:t>Dado</w:t>
      </w:r>
      <w:r w:rsidRPr="00A83AB4">
        <w:rPr>
          <w:rFonts w:ascii="Century Gothic" w:eastAsia="Calibri" w:hAnsi="Century Gothic" w:cs="Arial"/>
          <w:lang w:val="es-ES_tradnl"/>
        </w:rPr>
        <w:t xml:space="preserve"> que el fomento a la ejecución de contratos estatales con participación de sujetos de especial protección constitucional en la provisión de los bienes y servicios para el cumplimiento del objeto contractual se realizará bajo criterios de oportunidad y conveniencia, garantizando la calidad y sin poner en riesgo el cumplimiento del contrato, debe concluirse que la aplicación de este incentivo es de naturaleza discrecional, fundamentado en los elementos indicados, los cuales remiten, entre otros aspectos, al criterio de oportunidad y conveniencia realizado por la entidad contratante. De esta manera, corresponderá a la entidad contratante, en la etapa de planeación, determinar si es oportuno o inconveniente incluir dicha provisión en los </w:t>
      </w:r>
      <w:r w:rsidRPr="00A83AB4">
        <w:rPr>
          <w:rFonts w:ascii="Century Gothic" w:eastAsia="Calibri" w:hAnsi="Century Gothic" w:cs="Arial"/>
          <w:i/>
          <w:iCs/>
          <w:lang w:val="es-ES_tradnl"/>
        </w:rPr>
        <w:t>pliegos de condiciones o documentos equivalente</w:t>
      </w:r>
      <w:r w:rsidR="00C25EF5" w:rsidRPr="00A83AB4">
        <w:rPr>
          <w:rFonts w:ascii="Century Gothic" w:eastAsia="Calibri" w:hAnsi="Century Gothic" w:cs="Arial"/>
          <w:i/>
          <w:iCs/>
          <w:lang w:val="es-ES_tradnl"/>
        </w:rPr>
        <w:t xml:space="preserve">, </w:t>
      </w:r>
      <w:r w:rsidR="00C25EF5" w:rsidRPr="00A83AB4">
        <w:rPr>
          <w:rFonts w:ascii="Century Gothic" w:eastAsia="Calibri" w:hAnsi="Century Gothic" w:cs="Arial"/>
          <w:lang w:val="es-ES_tradnl"/>
        </w:rPr>
        <w:t>de acuerdo con los criterios que estime pertinentes para dicha valoración</w:t>
      </w:r>
      <w:r w:rsidRPr="00A83AB4">
        <w:rPr>
          <w:rFonts w:ascii="Century Gothic" w:eastAsia="Calibri" w:hAnsi="Century Gothic" w:cs="Arial"/>
          <w:i/>
          <w:iCs/>
          <w:lang w:val="es-ES_tradnl"/>
        </w:rPr>
        <w:t>.</w:t>
      </w:r>
    </w:p>
    <w:p w14:paraId="2E16D55E" w14:textId="77777777" w:rsidR="001D2627" w:rsidRPr="00A83AB4" w:rsidRDefault="001D2627" w:rsidP="001D2627">
      <w:pPr>
        <w:spacing w:after="120" w:line="276" w:lineRule="auto"/>
        <w:ind w:firstLine="709"/>
        <w:jc w:val="both"/>
        <w:rPr>
          <w:rFonts w:ascii="Century Gothic" w:eastAsia="Calibri" w:hAnsi="Century Gothic" w:cs="Arial"/>
        </w:rPr>
      </w:pPr>
      <w:r w:rsidRPr="00A83AB4">
        <w:rPr>
          <w:rFonts w:ascii="Century Gothic" w:eastAsia="Calibri" w:hAnsi="Century Gothic" w:cs="Arial"/>
          <w:lang w:val="es-ES_tradnl"/>
        </w:rPr>
        <w:t>En efecto, el ejercicio de potestades discrecionales comporta valoraciones de conveniencia</w:t>
      </w:r>
      <w:r w:rsidRPr="00A83AB4">
        <w:rPr>
          <w:rFonts w:ascii="Century Gothic" w:eastAsia="Calibri" w:hAnsi="Century Gothic" w:cs="Arial"/>
        </w:rPr>
        <w:t xml:space="preserve">, ya que la norma no predetermina el contenido de la decisión, sino que la deja a la libre consideración del órgano competente. En otras palabras, queda a la Administración la facultad de valorar la oportunidad de actuar o dejar de hacerlo. Esa facultad de apreciación del interés público con el fin de decidir la conveniencia o no de la acción administrativa no corresponde al ejercicio de una potestad reglada. </w:t>
      </w:r>
    </w:p>
    <w:p w14:paraId="4E294502" w14:textId="3852BE54" w:rsidR="001D2627" w:rsidRPr="00A83AB4" w:rsidRDefault="0060361F" w:rsidP="001D2627">
      <w:pPr>
        <w:spacing w:line="276" w:lineRule="auto"/>
        <w:ind w:firstLine="709"/>
        <w:jc w:val="both"/>
        <w:rPr>
          <w:rFonts w:ascii="Century Gothic" w:hAnsi="Century Gothic" w:cs="Arial"/>
          <w:color w:val="000000"/>
        </w:rPr>
      </w:pPr>
      <w:r w:rsidRPr="00A83AB4">
        <w:rPr>
          <w:rFonts w:ascii="Century Gothic" w:eastAsia="Calibri" w:hAnsi="Century Gothic" w:cs="Arial"/>
          <w:lang w:val="es-ES_tradnl"/>
        </w:rPr>
        <w:t xml:space="preserve">Finalmente, </w:t>
      </w:r>
      <w:r w:rsidRPr="00A83AB4">
        <w:rPr>
          <w:rFonts w:ascii="Century Gothic" w:hAnsi="Century Gothic" w:cs="Arial"/>
        </w:rPr>
        <w:t>e</w:t>
      </w:r>
      <w:r w:rsidR="001D2627" w:rsidRPr="00A83AB4">
        <w:rPr>
          <w:rFonts w:ascii="Century Gothic" w:hAnsi="Century Gothic" w:cs="Arial"/>
        </w:rPr>
        <w:t>s importante mencionar que la Agencia Nacional de Contratación Pública</w:t>
      </w:r>
      <w:r w:rsidRPr="00A83AB4">
        <w:rPr>
          <w:rFonts w:ascii="Century Gothic" w:hAnsi="Century Gothic" w:cs="Arial"/>
        </w:rPr>
        <w:t xml:space="preserve"> -</w:t>
      </w:r>
      <w:r w:rsidR="001D2627" w:rsidRPr="00A83AB4">
        <w:rPr>
          <w:rFonts w:ascii="Century Gothic" w:hAnsi="Century Gothic" w:cs="Arial"/>
        </w:rPr>
        <w:t xml:space="preserve"> Colombia Compra Eficiente no ha emitido manual o guía alguna sobre la aplicación del </w:t>
      </w:r>
      <w:r w:rsidR="001D2627" w:rsidRPr="00A83AB4">
        <w:rPr>
          <w:rFonts w:ascii="Century Gothic" w:hAnsi="Century Gothic" w:cs="Arial"/>
          <w:color w:val="000000"/>
        </w:rPr>
        <w:t>artículo 2.2.1.2.4.2.16. del Decreto 1082 de 2015</w:t>
      </w:r>
      <w:r w:rsidR="00E42773" w:rsidRPr="00A83AB4">
        <w:rPr>
          <w:rFonts w:ascii="Century Gothic" w:hAnsi="Century Gothic" w:cs="Arial"/>
          <w:color w:val="000000"/>
        </w:rPr>
        <w:t xml:space="preserve">, pero es posible consultar la </w:t>
      </w:r>
      <w:r w:rsidR="00E42773" w:rsidRPr="00A83AB4">
        <w:rPr>
          <w:rFonts w:ascii="Century Gothic" w:eastAsia="Calibri" w:hAnsi="Century Gothic" w:cs="Arial"/>
          <w:bCs/>
          <w:color w:val="000000"/>
          <w:lang w:val="es-ES_tradnl"/>
        </w:rPr>
        <w:t>Guía para la Elaboración de Estudios del Sector</w:t>
      </w:r>
      <w:r w:rsidR="00A81699" w:rsidRPr="00A83AB4">
        <w:rPr>
          <w:rStyle w:val="Refdenotaalpie"/>
          <w:rFonts w:ascii="Century Gothic" w:eastAsia="Calibri" w:hAnsi="Century Gothic" w:cs="Arial"/>
          <w:bCs/>
          <w:color w:val="000000"/>
          <w:lang w:val="es-ES_tradnl"/>
        </w:rPr>
        <w:footnoteReference w:id="22"/>
      </w:r>
      <w:r w:rsidR="001D2627" w:rsidRPr="00A83AB4">
        <w:rPr>
          <w:rFonts w:ascii="Century Gothic" w:hAnsi="Century Gothic" w:cs="Arial"/>
          <w:color w:val="000000"/>
        </w:rPr>
        <w:t>.</w:t>
      </w:r>
    </w:p>
    <w:p w14:paraId="36D3C598" w14:textId="77777777" w:rsidR="001D2627" w:rsidRPr="00A83AB4" w:rsidRDefault="001D2627" w:rsidP="00E1083E">
      <w:pPr>
        <w:spacing w:after="0" w:line="240" w:lineRule="auto"/>
        <w:ind w:left="709" w:right="709"/>
        <w:jc w:val="both"/>
        <w:rPr>
          <w:rFonts w:ascii="Century Gothic" w:hAnsi="Century Gothic" w:cs="Arial"/>
          <w:color w:val="000000"/>
          <w:sz w:val="21"/>
          <w:szCs w:val="21"/>
        </w:rPr>
      </w:pPr>
      <w:r w:rsidRPr="00A83AB4">
        <w:rPr>
          <w:rFonts w:ascii="Century Gothic" w:hAnsi="Century Gothic" w:cs="Arial"/>
          <w:color w:val="000000"/>
        </w:rPr>
        <w:t>“</w:t>
      </w:r>
      <w:r w:rsidRPr="00A83AB4">
        <w:rPr>
          <w:rFonts w:ascii="Century Gothic" w:hAnsi="Century Gothic" w:cs="Arial"/>
          <w:color w:val="000000"/>
          <w:sz w:val="21"/>
          <w:szCs w:val="21"/>
        </w:rPr>
        <w:t>Dado que la información relativa a los grupos poblacionales que la norma pretende beneficiar con esta implementación suele ser reservada, las entidades a la hora de realizar este análisis se ven bastante limitadas por la falta de datos que se pueden recolectar a través la web, por tanto, también se agradece si es posible señalar cuáles son las bases de datos en las que la entidad puede consultar información a este respecto”</w:t>
      </w:r>
    </w:p>
    <w:p w14:paraId="7682DFFE" w14:textId="77777777" w:rsidR="00E1083E" w:rsidRPr="00A83AB4" w:rsidRDefault="00E1083E" w:rsidP="00EB36F8">
      <w:pPr>
        <w:spacing w:after="0" w:line="240" w:lineRule="auto"/>
        <w:ind w:left="709" w:right="709"/>
        <w:jc w:val="both"/>
        <w:rPr>
          <w:rFonts w:ascii="Century Gothic" w:hAnsi="Century Gothic" w:cs="Arial"/>
          <w:color w:val="000000"/>
          <w:sz w:val="21"/>
          <w:szCs w:val="21"/>
        </w:rPr>
      </w:pPr>
    </w:p>
    <w:p w14:paraId="20555E5B" w14:textId="77777777" w:rsidR="001D2627" w:rsidRPr="00A83AB4" w:rsidRDefault="001D2627" w:rsidP="00EB36F8">
      <w:pPr>
        <w:spacing w:line="276" w:lineRule="auto"/>
        <w:ind w:firstLine="708"/>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 xml:space="preserve">Frente a la demostración de las circunstancias reguladas por la norma bajo análisis, como se puede observar, el segundo inciso del parágrafo 1 del artículo 2.2.1.2.4.2.16 establece que “Estas circunstancias se acreditarán en las condiciones </w:t>
      </w:r>
      <w:r w:rsidRPr="00A83AB4">
        <w:rPr>
          <w:rFonts w:ascii="Century Gothic" w:eastAsia="Calibri" w:hAnsi="Century Gothic" w:cs="Arial"/>
          <w:bCs/>
          <w:color w:val="000000"/>
          <w:lang w:val="es-ES_tradnl"/>
        </w:rPr>
        <w:lastRenderedPageBreak/>
        <w:t xml:space="preserve">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 Por ejemplo, a título enunciativo: </w:t>
      </w:r>
    </w:p>
    <w:p w14:paraId="06119677"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i) De acuerdo con el numeral 2, para las mujeres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w:t>
      </w:r>
    </w:p>
    <w:p w14:paraId="6BC5F8B1"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 xml:space="preserve">ii) Según el numeral 5, la acreditación de la pertenencia a la población indígena, negra, afrocolombiana, raizal, palenquera, Rrom o gitana, en los términos del Decreto Ley 2893 de 2011, o la norma que lo modifique, sustituya o complemente, se certifica por el Ministerio del Interior. </w:t>
      </w:r>
    </w:p>
    <w:p w14:paraId="24E2979D"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iii) De conformidad con el numeral 6, la situación de encontrarse en un proceso de reintegración o reincorporación, se demuestra con: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23DF1883"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t>En todo caso, el parágrafo 1 del artículo 2.2.1.2.4.2.16. dispone que si no existe una condición especial para demostrar las circunstancias que hacen a las personas sujetos de especial protección constitucional “se acreditarán en los términos que defina el pliego de condiciones o documento equivalente”. Esto significa que si bien, en principio, existiría libertad probatoria, las entidades estatales podrían definir en el pliego de condiciones o documento equivalente de qué manera se deben acreditar tales situaciones. Al configurar estos requisitos, las entidades públicas deben tener en cuenta el principio de proporcionalidad, de manera que no impongan requisitos probatorios irrazonables.</w:t>
      </w:r>
    </w:p>
    <w:p w14:paraId="40BC0F17" w14:textId="77777777" w:rsidR="001D2627" w:rsidRPr="00A83AB4" w:rsidRDefault="001D2627" w:rsidP="001D2627">
      <w:pPr>
        <w:spacing w:before="120" w:line="276" w:lineRule="auto"/>
        <w:ind w:firstLine="709"/>
        <w:jc w:val="both"/>
        <w:rPr>
          <w:rFonts w:ascii="Century Gothic" w:eastAsia="Calibri" w:hAnsi="Century Gothic" w:cs="Arial"/>
          <w:bCs/>
          <w:color w:val="000000"/>
          <w:lang w:val="es-ES_tradnl"/>
        </w:rPr>
      </w:pPr>
      <w:r w:rsidRPr="00A83AB4">
        <w:rPr>
          <w:rFonts w:ascii="Century Gothic" w:eastAsia="Calibri" w:hAnsi="Century Gothic" w:cs="Arial"/>
          <w:bCs/>
          <w:color w:val="000000"/>
          <w:lang w:val="es-ES_tradnl"/>
        </w:rPr>
        <w:lastRenderedPageBreak/>
        <w:t>Por otra parte, el Decreto 1860 de 2021 no define fuentes de información específicas que las entidades públicas puedan consultar para “identificar bienes, servicios y la participación en la economía y en los sectores de la población en pobreza extrema, desplazados por la violencia, personas en proceso de reintegración o reincorporación y sujetos de especial protección constitucional”. Este es un aspecto que debe analizar cada entidad pública en el estudio del sector económico. Así lo establece el artículo 2.2.1.2.4.2.16., en el segundo inciso, cuando dispone que “La participación de los sujetos anteriormente mencionados en la ejecución del contrato se fomentará previo análisis de su oportunidad y conveniencia en los Documentos del Proceso, teniendo en cuenta el objeto contractual y el alcance de las obligaciones”. Como lo indicó Colombia Compra Eficiente en la Guía para la Elaboración de Estudios del Sector, las entidades estatales están habilitadas para consultar “cualquier […] sistema de información empresarial o sectorial disponible en el mercado”</w:t>
      </w:r>
      <w:r w:rsidRPr="00A83AB4">
        <w:rPr>
          <w:rStyle w:val="Refdenotaalpie"/>
          <w:rFonts w:ascii="Century Gothic" w:eastAsia="Calibri" w:hAnsi="Century Gothic" w:cs="Arial"/>
          <w:bCs/>
          <w:color w:val="000000"/>
          <w:lang w:val="es-ES_tradnl"/>
        </w:rPr>
        <w:footnoteReference w:id="23"/>
      </w:r>
      <w:r w:rsidRPr="00A83AB4">
        <w:rPr>
          <w:rFonts w:ascii="Century Gothic" w:eastAsia="Calibri" w:hAnsi="Century Gothic" w:cs="Arial"/>
          <w:bCs/>
          <w:color w:val="000000"/>
          <w:lang w:val="es-ES_tradnl"/>
        </w:rPr>
        <w:t xml:space="preserve">. </w:t>
      </w:r>
    </w:p>
    <w:p w14:paraId="4BACEDBD" w14:textId="4C599591" w:rsidR="00E32EAE" w:rsidRPr="00A83AB4" w:rsidRDefault="00E32EAE" w:rsidP="00EB36F8">
      <w:pPr>
        <w:autoSpaceDE w:val="0"/>
        <w:autoSpaceDN w:val="0"/>
        <w:adjustRightInd w:val="0"/>
        <w:spacing w:after="120" w:line="276" w:lineRule="auto"/>
        <w:ind w:firstLine="708"/>
        <w:jc w:val="both"/>
        <w:rPr>
          <w:rFonts w:ascii="Century Gothic" w:eastAsia="Calibri" w:hAnsi="Century Gothic" w:cs="Arial"/>
        </w:rPr>
      </w:pPr>
      <w:r w:rsidRPr="00A83AB4">
        <w:rPr>
          <w:rFonts w:ascii="Century Gothic" w:hAnsi="Century Gothic" w:cs="Arial"/>
          <w:color w:val="000000"/>
          <w:sz w:val="21"/>
          <w:szCs w:val="21"/>
        </w:rPr>
        <w:t>Por último, e</w:t>
      </w:r>
      <w:r w:rsidRPr="00A83AB4">
        <w:rPr>
          <w:rFonts w:ascii="Century Gothic" w:eastAsia="Calibri" w:hAnsi="Century Gothic" w:cs="Arial"/>
        </w:rPr>
        <w:t xml:space="preserve">s bueno señalar que corresponde a las autoridades administrativas de manera autónoma e independiente, como responsables de sus procedimientos contractuales y conforme a las disposiciones que rigen la contratación estatal, adoptar las decisiones y/o adelantar las actuaciones que estimen pertinentes en el desarrollo de sus procesos de contratación. </w:t>
      </w:r>
    </w:p>
    <w:p w14:paraId="1D12BE03" w14:textId="77777777" w:rsidR="00B75019" w:rsidRPr="00A83AB4" w:rsidRDefault="00B75019" w:rsidP="00B75019">
      <w:pPr>
        <w:autoSpaceDE w:val="0"/>
        <w:autoSpaceDN w:val="0"/>
        <w:adjustRightInd w:val="0"/>
        <w:spacing w:after="120" w:line="276" w:lineRule="auto"/>
        <w:ind w:firstLine="709"/>
        <w:jc w:val="both"/>
        <w:rPr>
          <w:rFonts w:ascii="Century Gothic" w:eastAsia="Calibri" w:hAnsi="Century Gothic" w:cs="Arial"/>
        </w:rPr>
      </w:pPr>
      <w:r w:rsidRPr="00A83AB4">
        <w:rPr>
          <w:rFonts w:ascii="Century Gothic" w:eastAsia="Calibri" w:hAnsi="Century Gothic" w:cs="Arial"/>
        </w:rPr>
        <w:t xml:space="preserve">Con todo se reitera, la imposibilidad de este ente de involucrarse, directa o indirectamente, en la actividad contractual de las entidades estatales, teniendo en cuenta las disposiciones constitucionales y legales que rigen nuestro ordenamiento jurídico, particularmente lo estipulado en el numeral 1º del artículo 2º de la Ley 80 de 1993. </w:t>
      </w:r>
    </w:p>
    <w:p w14:paraId="73103D59" w14:textId="77777777" w:rsidR="00B75019" w:rsidRPr="00A83AB4" w:rsidRDefault="00B75019" w:rsidP="00B75019">
      <w:pPr>
        <w:autoSpaceDE w:val="0"/>
        <w:autoSpaceDN w:val="0"/>
        <w:adjustRightInd w:val="0"/>
        <w:spacing w:after="120" w:line="276" w:lineRule="auto"/>
        <w:ind w:firstLine="709"/>
        <w:jc w:val="both"/>
        <w:rPr>
          <w:rFonts w:ascii="Century Gothic" w:eastAsia="Calibri" w:hAnsi="Century Gothic" w:cs="Arial"/>
        </w:rPr>
      </w:pPr>
      <w:r w:rsidRPr="00A83AB4">
        <w:rPr>
          <w:rFonts w:ascii="Century Gothic" w:eastAsia="Calibri" w:hAnsi="Century Gothic" w:cs="Arial"/>
        </w:rPr>
        <w:t>En virtud de esas disposiciones,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353C8745" w14:textId="77777777" w:rsidR="001D2627" w:rsidRPr="00A83AB4" w:rsidRDefault="001D2627" w:rsidP="001D2627">
      <w:pPr>
        <w:spacing w:after="120"/>
        <w:ind w:left="709" w:right="709"/>
        <w:jc w:val="both"/>
        <w:rPr>
          <w:rFonts w:ascii="Century Gothic" w:hAnsi="Century Gothic" w:cs="Arial"/>
          <w:color w:val="000000"/>
          <w:sz w:val="21"/>
          <w:szCs w:val="21"/>
        </w:rPr>
      </w:pPr>
      <w:r w:rsidRPr="00A83AB4">
        <w:rPr>
          <w:rFonts w:ascii="Century Gothic" w:hAnsi="Century Gothic" w:cs="Arial"/>
          <w:color w:val="000000"/>
          <w:sz w:val="21"/>
          <w:szCs w:val="21"/>
        </w:rPr>
        <w:t>“¿es posible dentro de sus facultades que nos identifiquen algunos procesos de contratación adelantado por una entidad estatal en el que se haya realizado el análisis de oportunidad y conveniencia del que habla la norma?”</w:t>
      </w:r>
    </w:p>
    <w:p w14:paraId="50BFBCEA" w14:textId="25D4DB61" w:rsidR="00E1083E" w:rsidRPr="00A83AB4" w:rsidRDefault="00D94836" w:rsidP="001D2627">
      <w:pPr>
        <w:ind w:right="49"/>
        <w:jc w:val="both"/>
        <w:rPr>
          <w:rFonts w:ascii="Century Gothic" w:hAnsi="Century Gothic" w:cs="Arial"/>
          <w:color w:val="000000"/>
        </w:rPr>
      </w:pPr>
      <w:r w:rsidRPr="00A83AB4">
        <w:rPr>
          <w:rFonts w:ascii="Century Gothic" w:eastAsia="Calibri" w:hAnsi="Century Gothic" w:cs="Arial"/>
        </w:rPr>
        <w:lastRenderedPageBreak/>
        <w:tab/>
      </w:r>
      <w:r w:rsidR="00B75019" w:rsidRPr="00A83AB4">
        <w:rPr>
          <w:rFonts w:ascii="Century Gothic" w:eastAsia="Calibri" w:hAnsi="Century Gothic" w:cs="Arial"/>
        </w:rPr>
        <w:t>R</w:t>
      </w:r>
      <w:r w:rsidR="001D2627" w:rsidRPr="00A83AB4">
        <w:rPr>
          <w:rFonts w:ascii="Century Gothic" w:hAnsi="Century Gothic" w:cs="Arial"/>
          <w:color w:val="000000"/>
        </w:rPr>
        <w:t>especto de su solicitud le informamos que esta Agencia tiene en conocimiento procesos de contratación</w:t>
      </w:r>
      <w:r w:rsidR="0064241B" w:rsidRPr="00A83AB4">
        <w:rPr>
          <w:rFonts w:ascii="Century Gothic" w:hAnsi="Century Gothic" w:cs="Arial"/>
          <w:color w:val="000000"/>
        </w:rPr>
        <w:t xml:space="preserve"> </w:t>
      </w:r>
      <w:r w:rsidR="001D2627" w:rsidRPr="00A83AB4">
        <w:rPr>
          <w:rFonts w:ascii="Century Gothic" w:hAnsi="Century Gothic" w:cs="Arial"/>
          <w:color w:val="000000"/>
        </w:rPr>
        <w:t>en los cuales se ha dado aplicación al artículo 2.2.1.2.4.2.16. del Decreto 1082 de 2015</w:t>
      </w:r>
      <w:r w:rsidR="007B7663" w:rsidRPr="00A83AB4">
        <w:rPr>
          <w:rFonts w:ascii="Century Gothic" w:hAnsi="Century Gothic" w:cs="Arial"/>
          <w:color w:val="000000"/>
        </w:rPr>
        <w:t>,</w:t>
      </w:r>
      <w:r w:rsidR="001D2627" w:rsidRPr="00A83AB4">
        <w:rPr>
          <w:rFonts w:ascii="Century Gothic" w:hAnsi="Century Gothic" w:cs="Arial"/>
          <w:color w:val="000000"/>
        </w:rPr>
        <w:t xml:space="preserve"> los cuales se anexan a esta comunicación. Estos y otros procesos pueden ser encontrados en la </w:t>
      </w:r>
      <w:r w:rsidR="006F6A5C" w:rsidRPr="00A83AB4">
        <w:rPr>
          <w:rFonts w:ascii="Century Gothic" w:hAnsi="Century Gothic" w:cs="Arial"/>
          <w:color w:val="000000"/>
        </w:rPr>
        <w:t>página</w:t>
      </w:r>
      <w:r w:rsidR="001D2627" w:rsidRPr="00A83AB4">
        <w:rPr>
          <w:rFonts w:ascii="Century Gothic" w:hAnsi="Century Gothic" w:cs="Arial"/>
          <w:color w:val="000000"/>
        </w:rPr>
        <w:t xml:space="preserve"> de Secop I y II.</w:t>
      </w:r>
      <w:r w:rsidR="00E1083E" w:rsidRPr="00A83AB4">
        <w:rPr>
          <w:rFonts w:ascii="Century Gothic" w:hAnsi="Century Gothic" w:cs="Arial"/>
          <w:color w:val="000000"/>
        </w:rPr>
        <w:t xml:space="preserve"> </w:t>
      </w:r>
    </w:p>
    <w:p w14:paraId="01A33111" w14:textId="5D95AC67" w:rsidR="001D2627" w:rsidRPr="00A83AB4" w:rsidRDefault="001D2627" w:rsidP="00EB36F8">
      <w:pPr>
        <w:ind w:right="49" w:firstLine="708"/>
        <w:jc w:val="both"/>
        <w:rPr>
          <w:rFonts w:ascii="Century Gothic" w:hAnsi="Century Gothic" w:cs="Arial"/>
          <w:color w:val="000000"/>
          <w:sz w:val="21"/>
          <w:szCs w:val="21"/>
        </w:rPr>
      </w:pPr>
      <w:r w:rsidRPr="00A83AB4">
        <w:rPr>
          <w:rFonts w:ascii="Century Gothic" w:hAnsi="Century Gothic" w:cs="Arial"/>
          <w:color w:val="000000"/>
        </w:rPr>
        <w:t xml:space="preserve">Para visualizar los anexos se recomienda utilizar un aplicativo de visualización de PDF como Adobe Reader que permite la descarga de los archivos anexos. Si presenta inconvenientes para ver los anexos, en el siguiente enlace podrá ver el </w:t>
      </w:r>
      <w:hyperlink r:id="rId14" w:history="1">
        <w:r w:rsidRPr="00A83AB4">
          <w:rPr>
            <w:rStyle w:val="Hipervnculo"/>
            <w:rFonts w:ascii="Century Gothic" w:hAnsi="Century Gothic" w:cs="Arial"/>
            <w:sz w:val="21"/>
            <w:szCs w:val="21"/>
          </w:rPr>
          <w:t>instructivo</w:t>
        </w:r>
      </w:hyperlink>
      <w:r w:rsidR="004B7582" w:rsidRPr="00A83AB4">
        <w:rPr>
          <w:rStyle w:val="Refdenotaalpie"/>
          <w:rFonts w:ascii="Century Gothic" w:hAnsi="Century Gothic" w:cs="Arial"/>
          <w:color w:val="000000"/>
          <w:sz w:val="21"/>
          <w:szCs w:val="21"/>
        </w:rPr>
        <w:footnoteReference w:id="24"/>
      </w:r>
      <w:r w:rsidRPr="00A83AB4">
        <w:rPr>
          <w:rFonts w:ascii="Century Gothic" w:hAnsi="Century Gothic" w:cs="Arial"/>
          <w:color w:val="000000"/>
          <w:sz w:val="21"/>
          <w:szCs w:val="21"/>
        </w:rPr>
        <w:t xml:space="preserve">. </w:t>
      </w:r>
    </w:p>
    <w:p w14:paraId="6C9E0D8C" w14:textId="77777777" w:rsidR="001D2627" w:rsidRPr="00A83AB4" w:rsidRDefault="001D2627" w:rsidP="001D2627">
      <w:pPr>
        <w:ind w:right="49"/>
        <w:jc w:val="both"/>
        <w:rPr>
          <w:rFonts w:ascii="Century Gothic" w:hAnsi="Century Gothic" w:cs="Arial"/>
          <w:color w:val="000000"/>
          <w:sz w:val="21"/>
          <w:szCs w:val="21"/>
        </w:rPr>
      </w:pPr>
    </w:p>
    <w:p w14:paraId="067AB2CB" w14:textId="77777777" w:rsidR="001D2627" w:rsidRPr="00A83AB4" w:rsidRDefault="001D2627" w:rsidP="001D2627">
      <w:pPr>
        <w:ind w:right="49"/>
        <w:jc w:val="both"/>
        <w:rPr>
          <w:rFonts w:ascii="Century Gothic" w:hAnsi="Century Gothic" w:cs="Arial"/>
          <w:color w:val="000000"/>
        </w:rPr>
      </w:pPr>
      <w:r w:rsidRPr="00A83AB4">
        <w:rPr>
          <w:rFonts w:ascii="Century Gothic" w:hAnsi="Century Gothic" w:cs="Arial"/>
          <w:color w:val="000000"/>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C29C939" w14:textId="77777777" w:rsidR="001D2627" w:rsidRPr="00A83AB4" w:rsidRDefault="001D2627" w:rsidP="001D2627">
      <w:pPr>
        <w:ind w:right="49"/>
        <w:jc w:val="both"/>
        <w:rPr>
          <w:rFonts w:ascii="Century Gothic" w:hAnsi="Century Gothic" w:cs="Arial"/>
          <w:color w:val="000000"/>
        </w:rPr>
      </w:pPr>
    </w:p>
    <w:p w14:paraId="5A196161" w14:textId="77777777" w:rsidR="001D2627" w:rsidRPr="00A83AB4" w:rsidRDefault="001D2627" w:rsidP="001D2627">
      <w:pPr>
        <w:spacing w:after="0" w:line="240" w:lineRule="auto"/>
        <w:rPr>
          <w:rFonts w:ascii="Century Gothic" w:eastAsia="Times New Roman" w:hAnsi="Century Gothic" w:cs="Arial"/>
          <w:lang w:eastAsia="es-CO"/>
        </w:rPr>
      </w:pPr>
      <w:r w:rsidRPr="00A83AB4">
        <w:rPr>
          <w:rFonts w:ascii="Century Gothic" w:eastAsia="Times New Roman" w:hAnsi="Century Gothic" w:cs="Arial"/>
          <w:lang w:eastAsia="es-CO"/>
        </w:rPr>
        <w:t>Atentamente,</w:t>
      </w:r>
    </w:p>
    <w:p w14:paraId="1AB99FA1" w14:textId="77777777" w:rsidR="001D2627" w:rsidRPr="00A83AB4" w:rsidRDefault="001D2627" w:rsidP="001D2627">
      <w:pPr>
        <w:spacing w:after="0" w:line="276" w:lineRule="auto"/>
        <w:jc w:val="center"/>
        <w:rPr>
          <w:rFonts w:ascii="Century Gothic" w:eastAsia="Times New Roman" w:hAnsi="Century Gothic" w:cs="Arial"/>
          <w:color w:val="000000"/>
          <w:sz w:val="24"/>
          <w:szCs w:val="24"/>
          <w:lang w:val="es-ES_tradnl" w:eastAsia="es-CO"/>
        </w:rPr>
      </w:pPr>
    </w:p>
    <w:p w14:paraId="5E2DB1B6" w14:textId="046C2067" w:rsidR="001D2627" w:rsidRPr="00A83AB4" w:rsidRDefault="002B596C" w:rsidP="001D2627">
      <w:pPr>
        <w:spacing w:after="0" w:line="276" w:lineRule="auto"/>
        <w:jc w:val="center"/>
        <w:rPr>
          <w:rFonts w:ascii="Century Gothic" w:eastAsia="Times New Roman" w:hAnsi="Century Gothic" w:cs="Arial"/>
          <w:color w:val="000000"/>
          <w:sz w:val="24"/>
          <w:szCs w:val="24"/>
          <w:lang w:val="es-ES_tradnl" w:eastAsia="es-CO"/>
        </w:rPr>
      </w:pPr>
      <w:r>
        <w:rPr>
          <w:noProof/>
        </w:rPr>
        <w:drawing>
          <wp:inline distT="0" distB="0" distL="0" distR="0" wp14:anchorId="77CB36FD" wp14:editId="4A098D82">
            <wp:extent cx="2775006" cy="1064730"/>
            <wp:effectExtent l="0" t="0" r="6350" b="2540"/>
            <wp:docPr id="487073624" name="Imagen 4870736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5"/>
                    <a:stretch>
                      <a:fillRect/>
                    </a:stretch>
                  </pic:blipFill>
                  <pic:spPr>
                    <a:xfrm>
                      <a:off x="0" y="0"/>
                      <a:ext cx="2785707" cy="1068836"/>
                    </a:xfrm>
                    <a:prstGeom prst="rect">
                      <a:avLst/>
                    </a:prstGeom>
                  </pic:spPr>
                </pic:pic>
              </a:graphicData>
            </a:graphic>
          </wp:inline>
        </w:drawing>
      </w:r>
    </w:p>
    <w:p w14:paraId="1A07853C" w14:textId="77777777" w:rsidR="001D2627" w:rsidRPr="00A83AB4" w:rsidRDefault="001D2627" w:rsidP="001D2627">
      <w:pPr>
        <w:spacing w:after="0" w:line="276" w:lineRule="auto"/>
        <w:jc w:val="center"/>
        <w:rPr>
          <w:rFonts w:ascii="Century Gothic" w:eastAsia="Times New Roman" w:hAnsi="Century Gothic" w:cs="Arial"/>
          <w:color w:val="000000"/>
          <w:sz w:val="24"/>
          <w:szCs w:val="24"/>
          <w:lang w:val="es-ES" w:eastAsia="es-CO"/>
        </w:rPr>
      </w:pPr>
    </w:p>
    <w:p w14:paraId="2D8F1AC7" w14:textId="77777777" w:rsidR="001D2627" w:rsidRPr="00A83AB4" w:rsidRDefault="001D2627" w:rsidP="001D2627">
      <w:pPr>
        <w:spacing w:after="0" w:line="240" w:lineRule="auto"/>
        <w:rPr>
          <w:rFonts w:ascii="Century Gothic" w:eastAsia="Times New Roman" w:hAnsi="Century Gothic" w:cs="Arial"/>
          <w:lang w:eastAsia="es-ES"/>
        </w:rPr>
      </w:pP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1D2627" w:rsidRPr="0050268E" w14:paraId="4F326D82" w14:textId="77777777" w:rsidTr="006F6A5C">
        <w:trPr>
          <w:trHeight w:val="315"/>
        </w:trPr>
        <w:tc>
          <w:tcPr>
            <w:tcW w:w="810" w:type="dxa"/>
            <w:tcBorders>
              <w:top w:val="nil"/>
              <w:left w:val="nil"/>
              <w:bottom w:val="nil"/>
              <w:right w:val="nil"/>
            </w:tcBorders>
            <w:shd w:val="clear" w:color="auto" w:fill="auto"/>
            <w:vAlign w:val="center"/>
            <w:hideMark/>
          </w:tcPr>
          <w:p w14:paraId="6602FECF"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Elaboró: </w:t>
            </w:r>
          </w:p>
        </w:tc>
        <w:tc>
          <w:tcPr>
            <w:tcW w:w="4410" w:type="dxa"/>
            <w:tcBorders>
              <w:top w:val="nil"/>
              <w:left w:val="nil"/>
              <w:bottom w:val="dotted" w:sz="6" w:space="0" w:color="7F7F7F"/>
              <w:right w:val="nil"/>
            </w:tcBorders>
            <w:shd w:val="clear" w:color="auto" w:fill="auto"/>
            <w:vAlign w:val="center"/>
            <w:hideMark/>
          </w:tcPr>
          <w:p w14:paraId="1BF64616"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Olga Isabel Pertuz De la Hoz</w:t>
            </w:r>
          </w:p>
          <w:p w14:paraId="51EB6945"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Analista T2-2 de la Subdirección de Gestión Contractual</w:t>
            </w:r>
          </w:p>
        </w:tc>
      </w:tr>
      <w:tr w:rsidR="001D2627" w:rsidRPr="0050268E" w14:paraId="21E5CA6A" w14:textId="77777777" w:rsidTr="006F6A5C">
        <w:trPr>
          <w:trHeight w:val="315"/>
        </w:trPr>
        <w:tc>
          <w:tcPr>
            <w:tcW w:w="810" w:type="dxa"/>
            <w:tcBorders>
              <w:top w:val="nil"/>
              <w:left w:val="nil"/>
              <w:bottom w:val="nil"/>
              <w:right w:val="nil"/>
            </w:tcBorders>
            <w:shd w:val="clear" w:color="auto" w:fill="auto"/>
            <w:vAlign w:val="center"/>
            <w:hideMark/>
          </w:tcPr>
          <w:p w14:paraId="5C9FEE37"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Revisó: </w:t>
            </w:r>
          </w:p>
        </w:tc>
        <w:tc>
          <w:tcPr>
            <w:tcW w:w="4410" w:type="dxa"/>
            <w:tcBorders>
              <w:top w:val="dotted" w:sz="6" w:space="0" w:color="7F7F7F"/>
              <w:left w:val="nil"/>
              <w:bottom w:val="dotted" w:sz="6" w:space="0" w:color="7F7F7F"/>
              <w:right w:val="nil"/>
            </w:tcBorders>
            <w:shd w:val="clear" w:color="auto" w:fill="auto"/>
            <w:vAlign w:val="center"/>
            <w:hideMark/>
          </w:tcPr>
          <w:p w14:paraId="7E829396"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Ximena Ríos López</w:t>
            </w:r>
          </w:p>
          <w:p w14:paraId="7264D900"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Gestor T1</w:t>
            </w:r>
            <w:r w:rsidRPr="0050268E">
              <w:rPr>
                <w:rFonts w:ascii="Arial" w:hAnsi="Arial" w:cs="Arial"/>
                <w:sz w:val="12"/>
                <w:szCs w:val="12"/>
              </w:rPr>
              <w:t>‒</w:t>
            </w:r>
            <w:r w:rsidRPr="0050268E">
              <w:rPr>
                <w:rFonts w:ascii="Century Gothic" w:hAnsi="Century Gothic" w:cs="Arial"/>
                <w:sz w:val="12"/>
                <w:szCs w:val="12"/>
              </w:rPr>
              <w:t>11 de la Subdirección de Gestión Contractual</w:t>
            </w:r>
          </w:p>
        </w:tc>
      </w:tr>
      <w:tr w:rsidR="001D2627" w:rsidRPr="0050268E" w14:paraId="2F127538" w14:textId="77777777" w:rsidTr="006F6A5C">
        <w:trPr>
          <w:trHeight w:val="315"/>
        </w:trPr>
        <w:tc>
          <w:tcPr>
            <w:tcW w:w="810" w:type="dxa"/>
            <w:tcBorders>
              <w:top w:val="nil"/>
              <w:left w:val="nil"/>
              <w:bottom w:val="nil"/>
              <w:right w:val="nil"/>
            </w:tcBorders>
            <w:shd w:val="clear" w:color="auto" w:fill="auto"/>
            <w:vAlign w:val="center"/>
          </w:tcPr>
          <w:p w14:paraId="07931044" w14:textId="77777777" w:rsidR="001D2627" w:rsidRPr="0050268E" w:rsidRDefault="001D2627" w:rsidP="00E6278D">
            <w:pPr>
              <w:pStyle w:val="Sinespaciado"/>
              <w:rPr>
                <w:rFonts w:ascii="Century Gothic" w:hAnsi="Century Gothic" w:cs="Arial"/>
                <w:sz w:val="12"/>
                <w:szCs w:val="12"/>
              </w:rPr>
            </w:pPr>
          </w:p>
        </w:tc>
        <w:tc>
          <w:tcPr>
            <w:tcW w:w="4410" w:type="dxa"/>
            <w:tcBorders>
              <w:top w:val="dotted" w:sz="6" w:space="0" w:color="7F7F7F"/>
              <w:left w:val="nil"/>
              <w:bottom w:val="dotted" w:sz="6" w:space="0" w:color="7F7F7F"/>
              <w:right w:val="nil"/>
            </w:tcBorders>
            <w:shd w:val="clear" w:color="auto" w:fill="auto"/>
            <w:vAlign w:val="center"/>
          </w:tcPr>
          <w:p w14:paraId="2FE3A652"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Alejandro Sarmiento Cantillo</w:t>
            </w:r>
          </w:p>
          <w:p w14:paraId="4B70524F"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 xml:space="preserve">Gestor T1 </w:t>
            </w:r>
            <w:r w:rsidRPr="0050268E">
              <w:rPr>
                <w:rFonts w:ascii="Arial" w:hAnsi="Arial" w:cs="Arial"/>
                <w:sz w:val="12"/>
                <w:szCs w:val="12"/>
              </w:rPr>
              <w:t>‒</w:t>
            </w:r>
            <w:r w:rsidRPr="0050268E">
              <w:rPr>
                <w:rFonts w:ascii="Century Gothic" w:hAnsi="Century Gothic" w:cs="Arial"/>
                <w:sz w:val="12"/>
                <w:szCs w:val="12"/>
              </w:rPr>
              <w:t xml:space="preserve"> 15 de la Subdirección de Gestión Contractual</w:t>
            </w:r>
          </w:p>
        </w:tc>
      </w:tr>
      <w:tr w:rsidR="001D2627" w:rsidRPr="0050268E" w14:paraId="2D61E3FB" w14:textId="77777777" w:rsidTr="006F6A5C">
        <w:trPr>
          <w:trHeight w:val="300"/>
        </w:trPr>
        <w:tc>
          <w:tcPr>
            <w:tcW w:w="810" w:type="dxa"/>
            <w:tcBorders>
              <w:top w:val="nil"/>
              <w:left w:val="nil"/>
              <w:bottom w:val="nil"/>
              <w:right w:val="nil"/>
            </w:tcBorders>
            <w:shd w:val="clear" w:color="auto" w:fill="auto"/>
            <w:vAlign w:val="center"/>
            <w:hideMark/>
          </w:tcPr>
          <w:p w14:paraId="7227BAFC"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Aprobó: </w:t>
            </w:r>
          </w:p>
        </w:tc>
        <w:tc>
          <w:tcPr>
            <w:tcW w:w="4410" w:type="dxa"/>
            <w:tcBorders>
              <w:top w:val="dotted" w:sz="6" w:space="0" w:color="7F7F7F"/>
              <w:left w:val="nil"/>
              <w:bottom w:val="dotted" w:sz="6" w:space="0" w:color="7F7F7F"/>
              <w:right w:val="nil"/>
            </w:tcBorders>
            <w:shd w:val="clear" w:color="auto" w:fill="auto"/>
            <w:vAlign w:val="center"/>
            <w:hideMark/>
          </w:tcPr>
          <w:p w14:paraId="793D46FC"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 xml:space="preserve">Nohelia del Carmen Zawady Palacio </w:t>
            </w:r>
          </w:p>
          <w:p w14:paraId="3ED9320D" w14:textId="77777777" w:rsidR="001D2627" w:rsidRPr="0050268E" w:rsidRDefault="001D2627" w:rsidP="00E6278D">
            <w:pPr>
              <w:pStyle w:val="Sinespaciado"/>
              <w:rPr>
                <w:rFonts w:ascii="Century Gothic" w:hAnsi="Century Gothic" w:cs="Arial"/>
                <w:sz w:val="12"/>
                <w:szCs w:val="12"/>
              </w:rPr>
            </w:pPr>
            <w:r w:rsidRPr="0050268E">
              <w:rPr>
                <w:rFonts w:ascii="Century Gothic" w:hAnsi="Century Gothic" w:cs="Arial"/>
                <w:sz w:val="12"/>
                <w:szCs w:val="12"/>
              </w:rPr>
              <w:t>Subdirectora de Gestión Contractual ANCP-CCE</w:t>
            </w:r>
          </w:p>
        </w:tc>
      </w:tr>
    </w:tbl>
    <w:p w14:paraId="5400797D" w14:textId="77777777" w:rsidR="00E6278D" w:rsidRPr="0050268E" w:rsidRDefault="004B7582" w:rsidP="00E6278D">
      <w:pPr>
        <w:pStyle w:val="Sinespaciado"/>
        <w:rPr>
          <w:rFonts w:ascii="Century Gothic" w:hAnsi="Century Gothic" w:cs="Arial"/>
          <w:color w:val="000000"/>
          <w:sz w:val="12"/>
          <w:szCs w:val="12"/>
        </w:rPr>
      </w:pPr>
      <w:r w:rsidRPr="0050268E">
        <w:rPr>
          <w:rFonts w:ascii="Century Gothic" w:hAnsi="Century Gothic" w:cs="Arial"/>
          <w:color w:val="000000"/>
          <w:sz w:val="12"/>
          <w:szCs w:val="12"/>
        </w:rPr>
        <w:t xml:space="preserve">Anexo: Consolidado de procesos </w:t>
      </w:r>
      <w:r w:rsidR="00E6278D" w:rsidRPr="0050268E">
        <w:rPr>
          <w:rFonts w:ascii="Century Gothic" w:hAnsi="Century Gothic" w:cs="Arial"/>
          <w:color w:val="000000"/>
          <w:sz w:val="12"/>
          <w:szCs w:val="12"/>
        </w:rPr>
        <w:t xml:space="preserve">aplicación del artículo 2.2.1.2.4.2.16. </w:t>
      </w:r>
    </w:p>
    <w:p w14:paraId="06797891" w14:textId="450E6333" w:rsidR="004B7582" w:rsidRPr="0050268E" w:rsidRDefault="00E6278D" w:rsidP="00E6278D">
      <w:pPr>
        <w:pStyle w:val="Sinespaciado"/>
        <w:rPr>
          <w:rFonts w:ascii="Century Gothic" w:hAnsi="Century Gothic" w:cs="Arial"/>
          <w:color w:val="000000"/>
          <w:sz w:val="12"/>
          <w:szCs w:val="12"/>
        </w:rPr>
      </w:pPr>
      <w:r w:rsidRPr="0050268E">
        <w:rPr>
          <w:rFonts w:ascii="Century Gothic" w:hAnsi="Century Gothic" w:cs="Arial"/>
          <w:color w:val="000000"/>
          <w:sz w:val="12"/>
          <w:szCs w:val="12"/>
        </w:rPr>
        <w:t xml:space="preserve">del Decreto 1082 de 2015 </w:t>
      </w:r>
    </w:p>
    <w:bookmarkEnd w:id="0"/>
    <w:p w14:paraId="0465BA6D" w14:textId="77777777" w:rsidR="00E245AB" w:rsidRPr="00A83AB4" w:rsidRDefault="00E245AB" w:rsidP="00E245AB">
      <w:pPr>
        <w:spacing w:after="0"/>
        <w:rPr>
          <w:rFonts w:ascii="Century Gothic" w:hAnsi="Century Gothic" w:cs="Arial"/>
        </w:rPr>
      </w:pPr>
    </w:p>
    <w:sectPr w:rsidR="00E245AB" w:rsidRPr="00A83AB4" w:rsidSect="000A5171">
      <w:headerReference w:type="default" r:id="rId16"/>
      <w:footerReference w:type="default" r:id="rId17"/>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89B6" w14:textId="77777777" w:rsidR="000A5171" w:rsidRDefault="000A5171" w:rsidP="004A1847">
      <w:pPr>
        <w:spacing w:after="0" w:line="240" w:lineRule="auto"/>
      </w:pPr>
      <w:r>
        <w:separator/>
      </w:r>
    </w:p>
  </w:endnote>
  <w:endnote w:type="continuationSeparator" w:id="0">
    <w:p w14:paraId="5AEE7581" w14:textId="77777777" w:rsidR="000A5171" w:rsidRDefault="000A5171" w:rsidP="004A1847">
      <w:pPr>
        <w:spacing w:after="0" w:line="240" w:lineRule="auto"/>
      </w:pPr>
      <w:r>
        <w:continuationSeparator/>
      </w:r>
    </w:p>
  </w:endnote>
  <w:endnote w:type="continuationNotice" w:id="1">
    <w:p w14:paraId="7CD3B531" w14:textId="77777777" w:rsidR="000A5171" w:rsidRDefault="000A5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FF79" w14:textId="77777777" w:rsidR="000A5171" w:rsidRDefault="000A5171" w:rsidP="004A1847">
      <w:pPr>
        <w:spacing w:after="0" w:line="240" w:lineRule="auto"/>
      </w:pPr>
      <w:r>
        <w:separator/>
      </w:r>
    </w:p>
  </w:footnote>
  <w:footnote w:type="continuationSeparator" w:id="0">
    <w:p w14:paraId="3067B2F7" w14:textId="77777777" w:rsidR="000A5171" w:rsidRDefault="000A5171" w:rsidP="004A1847">
      <w:pPr>
        <w:spacing w:after="0" w:line="240" w:lineRule="auto"/>
      </w:pPr>
      <w:r>
        <w:continuationSeparator/>
      </w:r>
    </w:p>
  </w:footnote>
  <w:footnote w:type="continuationNotice" w:id="1">
    <w:p w14:paraId="3EAF570F" w14:textId="77777777" w:rsidR="000A5171" w:rsidRDefault="000A5171">
      <w:pPr>
        <w:spacing w:after="0" w:line="240" w:lineRule="auto"/>
      </w:pPr>
    </w:p>
  </w:footnote>
  <w:footnote w:id="2">
    <w:p w14:paraId="45B1E6C0" w14:textId="77777777" w:rsidR="001D2627" w:rsidRPr="00D31279" w:rsidRDefault="001D2627" w:rsidP="0071202A">
      <w:pPr>
        <w:pStyle w:val="Textonotapie"/>
        <w:ind w:firstLine="708"/>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La Agencia Nacional de Contratación Pública </w:t>
      </w:r>
      <w:r w:rsidRPr="00D31279">
        <w:rPr>
          <w:rFonts w:ascii="Arial" w:hAnsi="Arial" w:cs="Arial"/>
          <w:sz w:val="16"/>
          <w:szCs w:val="16"/>
        </w:rPr>
        <w:t>‒</w:t>
      </w:r>
      <w:r w:rsidRPr="00D31279">
        <w:rPr>
          <w:rFonts w:ascii="Century Gothic" w:hAnsi="Century Gothic" w:cs="Arial"/>
          <w:sz w:val="16"/>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31279">
        <w:rPr>
          <w:rFonts w:ascii="Century Gothic" w:hAnsi="Century Gothic" w:cs="Arial"/>
          <w:i/>
          <w:iCs/>
          <w:sz w:val="16"/>
          <w:szCs w:val="16"/>
        </w:rPr>
        <w:t xml:space="preserve">ibidem </w:t>
      </w:r>
      <w:r w:rsidRPr="00D31279">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4F6EF601" w14:textId="77777777" w:rsidR="001D2627" w:rsidRPr="00D31279" w:rsidRDefault="001D2627" w:rsidP="0071202A">
      <w:pPr>
        <w:pStyle w:val="Textonotapie"/>
        <w:rPr>
          <w:rFonts w:ascii="Century Gothic" w:hAnsi="Century Gothic" w:cs="Arial"/>
          <w:sz w:val="16"/>
          <w:szCs w:val="16"/>
        </w:rPr>
      </w:pPr>
    </w:p>
  </w:footnote>
  <w:footnote w:id="3">
    <w:p w14:paraId="6EE05249" w14:textId="77777777" w:rsidR="001D2627" w:rsidRPr="00D31279" w:rsidRDefault="001D2627" w:rsidP="0071202A">
      <w:pPr>
        <w:pStyle w:val="Textonotapie"/>
        <w:ind w:firstLine="709"/>
        <w:jc w:val="both"/>
        <w:rPr>
          <w:rStyle w:val="Hipervnculo"/>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D31279">
          <w:rPr>
            <w:rStyle w:val="Hipervnculo"/>
            <w:rFonts w:ascii="Century Gothic" w:hAnsi="Century Gothic" w:cs="Arial"/>
            <w:sz w:val="16"/>
            <w:szCs w:val="16"/>
          </w:rPr>
          <w:t>https://relatoria.colombiacompra.gov.co/busqueda/conceptos</w:t>
        </w:r>
      </w:hyperlink>
    </w:p>
    <w:p w14:paraId="2EC1B720" w14:textId="77777777" w:rsidR="001D2627" w:rsidRPr="00D31279" w:rsidRDefault="001D2627" w:rsidP="0071202A">
      <w:pPr>
        <w:pStyle w:val="Textonotapie"/>
        <w:rPr>
          <w:rFonts w:ascii="Century Gothic" w:hAnsi="Century Gothic" w:cs="Arial"/>
          <w:sz w:val="16"/>
          <w:szCs w:val="16"/>
        </w:rPr>
      </w:pPr>
    </w:p>
  </w:footnote>
  <w:footnote w:id="4">
    <w:p w14:paraId="589B2329" w14:textId="77777777" w:rsidR="001D2627" w:rsidRPr="00D31279" w:rsidRDefault="001D2627" w:rsidP="0071202A">
      <w:pPr>
        <w:pStyle w:val="Textonotapie"/>
        <w:ind w:firstLine="708"/>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Conforme al artículo 1 de la Ley 2064 de 2020, “La presente Ley tiene por objeto establecer un marco regulatorio que propicie el emprendimiento y el crecimiento, consolidación y sostenibilidad de las empresas, con el fin de aumentar el bienestar social y generar equidad.</w:t>
      </w:r>
    </w:p>
    <w:p w14:paraId="52A0C23F" w14:textId="77777777" w:rsidR="001D2627" w:rsidRPr="00D31279" w:rsidRDefault="001D2627" w:rsidP="0071202A">
      <w:pPr>
        <w:pStyle w:val="Textonotapie"/>
        <w:ind w:firstLine="708"/>
        <w:jc w:val="both"/>
        <w:rPr>
          <w:rFonts w:ascii="Century Gothic" w:hAnsi="Century Gothic" w:cs="Arial"/>
          <w:sz w:val="16"/>
          <w:szCs w:val="16"/>
        </w:rPr>
      </w:pPr>
      <w:r w:rsidRPr="00D31279">
        <w:rPr>
          <w:rFonts w:ascii="Century Gothic" w:hAnsi="Century Gothic" w:cs="Arial"/>
          <w:sz w:val="16"/>
          <w:szCs w:val="16"/>
        </w:rPr>
        <w:t>“Dicho marco delineará un enfoque regionalizado de acuerdo a las realidades socioeconómicos de cada región”.</w:t>
      </w:r>
    </w:p>
    <w:p w14:paraId="7C48C95E" w14:textId="77777777" w:rsidR="001D2627" w:rsidRPr="00D31279" w:rsidRDefault="001D2627" w:rsidP="0071202A">
      <w:pPr>
        <w:pStyle w:val="Textonotapie"/>
        <w:ind w:firstLine="708"/>
        <w:jc w:val="both"/>
        <w:rPr>
          <w:rFonts w:ascii="Century Gothic" w:hAnsi="Century Gothic" w:cs="Arial"/>
          <w:sz w:val="16"/>
          <w:szCs w:val="16"/>
          <w:lang w:val="es-ES"/>
        </w:rPr>
      </w:pPr>
    </w:p>
  </w:footnote>
  <w:footnote w:id="5">
    <w:p w14:paraId="0F621D3A" w14:textId="77777777" w:rsidR="001D2627" w:rsidRPr="00D31279" w:rsidRDefault="001D2627" w:rsidP="0071202A">
      <w:pPr>
        <w:pStyle w:val="Textonotapie"/>
        <w:ind w:firstLine="708"/>
        <w:jc w:val="both"/>
        <w:rPr>
          <w:rFonts w:ascii="Century Gothic" w:hAnsi="Century Gothic" w:cs="Arial"/>
          <w:bCs/>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bCs/>
          <w:sz w:val="16"/>
          <w:szCs w:val="16"/>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D31279">
        <w:rPr>
          <w:rFonts w:ascii="Century Gothic" w:hAnsi="Century Gothic" w:cs="Arial"/>
          <w:sz w:val="16"/>
          <w:szCs w:val="16"/>
        </w:rPr>
        <w:t xml:space="preserve">CONSEJO NACIONAL DE POLÍTICA ECONÓMICA Y SOCIAL. Documento 3956 del 8 de enero de 2019: “Política de formalización empresarial”. Archivo consultado el 8 de febrero de 2021 en la página web </w:t>
      </w:r>
      <w:hyperlink r:id="rId2" w:history="1">
        <w:r w:rsidRPr="00D31279">
          <w:rPr>
            <w:rStyle w:val="Hipervnculo"/>
            <w:rFonts w:ascii="Century Gothic" w:hAnsi="Century Gothic" w:cs="Arial"/>
            <w:color w:val="000000" w:themeColor="text1"/>
            <w:sz w:val="16"/>
            <w:szCs w:val="16"/>
          </w:rPr>
          <w:t>https://colaboracion.dnp.gov.co/CDT/Conpes/Econ%C3%B3micos/3956.pdf</w:t>
        </w:r>
      </w:hyperlink>
      <w:r w:rsidRPr="00D31279">
        <w:rPr>
          <w:rFonts w:ascii="Century Gothic" w:hAnsi="Century Gothic" w:cs="Arial"/>
          <w:color w:val="000000" w:themeColor="text1"/>
          <w:sz w:val="16"/>
          <w:szCs w:val="16"/>
        </w:rPr>
        <w:t xml:space="preserve">).  </w:t>
      </w:r>
    </w:p>
    <w:p w14:paraId="4207FA22" w14:textId="77777777" w:rsidR="001D2627" w:rsidRPr="00D31279" w:rsidRDefault="001D2627" w:rsidP="0071202A">
      <w:pPr>
        <w:pStyle w:val="Textonotapie"/>
        <w:ind w:firstLine="708"/>
        <w:jc w:val="both"/>
        <w:rPr>
          <w:rFonts w:ascii="Century Gothic" w:hAnsi="Century Gothic" w:cs="Arial"/>
          <w:sz w:val="16"/>
          <w:szCs w:val="16"/>
          <w:lang w:val="es-ES"/>
        </w:rPr>
      </w:pPr>
    </w:p>
  </w:footnote>
  <w:footnote w:id="6">
    <w:p w14:paraId="4713CFCE" w14:textId="77777777" w:rsidR="001D2627" w:rsidRPr="00D31279" w:rsidRDefault="001D2627" w:rsidP="0071202A">
      <w:pPr>
        <w:pStyle w:val="Textonotapie"/>
        <w:ind w:firstLine="708"/>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bookmarkStart w:id="9" w:name="_Hlk63862868"/>
      <w:r w:rsidRPr="00D31279">
        <w:rPr>
          <w:rFonts w:ascii="Century Gothic" w:hAnsi="Century Gothic" w:cs="Arial"/>
          <w:sz w:val="16"/>
          <w:szCs w:val="16"/>
        </w:rPr>
        <w:t xml:space="preserve">CONGRESO DE LA REPÚBLICA. Gaceta No. 670 del 11 de agosto de 2020. Exposición de motivos del Proyecto de Ley No. 122 de 2020 Cámara. p. 13. </w:t>
      </w:r>
    </w:p>
    <w:p w14:paraId="5E17E96D" w14:textId="77777777" w:rsidR="001D2627" w:rsidRPr="00D31279" w:rsidRDefault="001D2627" w:rsidP="0071202A">
      <w:pPr>
        <w:pStyle w:val="Textonotapie"/>
        <w:ind w:firstLine="708"/>
        <w:jc w:val="both"/>
        <w:rPr>
          <w:rFonts w:ascii="Century Gothic" w:hAnsi="Century Gothic" w:cs="Arial"/>
          <w:sz w:val="16"/>
          <w:szCs w:val="16"/>
          <w:lang w:val="es-ES"/>
        </w:rPr>
      </w:pPr>
    </w:p>
    <w:bookmarkEnd w:id="9"/>
  </w:footnote>
  <w:footnote w:id="7">
    <w:p w14:paraId="5662E166" w14:textId="77777777" w:rsidR="001D2627" w:rsidRPr="00D31279" w:rsidRDefault="001D2627" w:rsidP="0071202A">
      <w:pPr>
        <w:pStyle w:val="Textonotapie"/>
        <w:ind w:firstLine="708"/>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i/>
          <w:iCs/>
          <w:sz w:val="16"/>
          <w:szCs w:val="16"/>
        </w:rPr>
        <w:t>Ibidem</w:t>
      </w:r>
      <w:r w:rsidRPr="00D31279">
        <w:rPr>
          <w:rFonts w:ascii="Century Gothic" w:hAnsi="Century Gothic" w:cs="Arial"/>
          <w:sz w:val="16"/>
          <w:szCs w:val="16"/>
        </w:rPr>
        <w:t>. p. 18.</w:t>
      </w:r>
    </w:p>
    <w:p w14:paraId="2A6DE7FD" w14:textId="77777777" w:rsidR="001D2627" w:rsidRPr="00D31279" w:rsidRDefault="001D2627" w:rsidP="0071202A">
      <w:pPr>
        <w:pStyle w:val="Textonotapie"/>
        <w:ind w:firstLine="708"/>
        <w:jc w:val="both"/>
        <w:rPr>
          <w:rFonts w:ascii="Century Gothic" w:hAnsi="Century Gothic" w:cs="Arial"/>
          <w:sz w:val="16"/>
          <w:szCs w:val="16"/>
          <w:lang w:val="es-ES"/>
        </w:rPr>
      </w:pPr>
    </w:p>
  </w:footnote>
  <w:footnote w:id="8">
    <w:p w14:paraId="4EF514DE" w14:textId="77777777" w:rsidR="001D2627" w:rsidRPr="00D31279" w:rsidRDefault="001D2627" w:rsidP="00EB36F8">
      <w:pPr>
        <w:spacing w:after="0"/>
        <w:ind w:firstLine="709"/>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sz w:val="16"/>
          <w:szCs w:val="16"/>
          <w:lang w:val="es-ES"/>
        </w:rPr>
        <w:t>En efecto, el artículo 34 de la Ley 2069 de 2020 establece: “</w:t>
      </w:r>
      <w:r w:rsidRPr="00D31279">
        <w:rPr>
          <w:rFonts w:ascii="Century Gothic" w:hAnsi="Century Gothic" w:cs="Arial"/>
          <w:sz w:val="16"/>
          <w:szCs w:val="16"/>
        </w:rPr>
        <w:t xml:space="preserve">Modifíquese el artículo 12 de la Ley 1150 de 2007, el cual quedará así: </w:t>
      </w:r>
    </w:p>
    <w:p w14:paraId="2B2E58F9" w14:textId="77777777" w:rsidR="001D2627" w:rsidRPr="00D31279" w:rsidRDefault="001D2627" w:rsidP="00EB36F8">
      <w:pPr>
        <w:spacing w:after="0"/>
        <w:ind w:firstLine="709"/>
        <w:jc w:val="both"/>
        <w:rPr>
          <w:rFonts w:ascii="Century Gothic" w:eastAsia="Calibri" w:hAnsi="Century Gothic" w:cs="Arial"/>
          <w:color w:val="000000" w:themeColor="text1"/>
          <w:sz w:val="16"/>
          <w:szCs w:val="16"/>
          <w:lang w:val="es-ES_tradnl"/>
        </w:rPr>
      </w:pPr>
      <w:r w:rsidRPr="00D31279">
        <w:rPr>
          <w:rFonts w:ascii="Century Gothic" w:eastAsia="Calibri" w:hAnsi="Century Gothic" w:cs="Arial"/>
          <w:color w:val="000000" w:themeColor="text1"/>
          <w:sz w:val="16"/>
          <w:szCs w:val="16"/>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2C181782" w14:textId="77777777" w:rsidR="001D2627" w:rsidRPr="00D31279" w:rsidRDefault="001D2627" w:rsidP="00EB36F8">
      <w:pPr>
        <w:spacing w:after="0"/>
        <w:ind w:firstLine="709"/>
        <w:jc w:val="both"/>
        <w:rPr>
          <w:rFonts w:ascii="Century Gothic" w:eastAsia="Calibri" w:hAnsi="Century Gothic" w:cs="Arial"/>
          <w:color w:val="000000" w:themeColor="text1"/>
          <w:sz w:val="16"/>
          <w:szCs w:val="16"/>
          <w:lang w:val="es-ES_tradnl"/>
        </w:rPr>
      </w:pPr>
      <w:r w:rsidRPr="00D31279">
        <w:rPr>
          <w:rFonts w:ascii="Century Gothic" w:eastAsia="Calibri" w:hAnsi="Century Gothic" w:cs="Arial"/>
          <w:color w:val="000000" w:themeColor="text1"/>
          <w:sz w:val="16"/>
          <w:szCs w:val="16"/>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334AA1E8" w14:textId="77777777" w:rsidR="001D2627" w:rsidRPr="00D31279" w:rsidRDefault="001D2627" w:rsidP="00EB36F8">
      <w:pPr>
        <w:spacing w:after="0"/>
        <w:ind w:firstLine="709"/>
        <w:jc w:val="both"/>
        <w:rPr>
          <w:rFonts w:ascii="Century Gothic" w:eastAsia="Calibri" w:hAnsi="Century Gothic" w:cs="Arial"/>
          <w:color w:val="000000" w:themeColor="text1"/>
          <w:sz w:val="16"/>
          <w:szCs w:val="16"/>
          <w:lang w:val="es-ES_tradnl"/>
        </w:rPr>
      </w:pPr>
      <w:r w:rsidRPr="00D31279">
        <w:rPr>
          <w:rFonts w:ascii="Century Gothic" w:eastAsia="Calibri" w:hAnsi="Century Gothic" w:cs="Arial"/>
          <w:color w:val="000000" w:themeColor="text1"/>
          <w:sz w:val="16"/>
          <w:szCs w:val="16"/>
          <w:lang w:val="es-ES_tradnl"/>
        </w:rPr>
        <w:t>En todo caso, se deberá garantizar la satisfacción de las condiciones técnicas y económicas requeridas en el Proceso de Contratación.</w:t>
      </w:r>
    </w:p>
    <w:p w14:paraId="5132064A" w14:textId="77777777" w:rsidR="001D2627" w:rsidRPr="00D31279" w:rsidRDefault="001D2627" w:rsidP="00EB36F8">
      <w:pPr>
        <w:spacing w:after="0"/>
        <w:ind w:firstLine="709"/>
        <w:jc w:val="both"/>
        <w:rPr>
          <w:rFonts w:ascii="Century Gothic" w:eastAsia="Calibri" w:hAnsi="Century Gothic" w:cs="Arial"/>
          <w:color w:val="000000" w:themeColor="text1"/>
          <w:sz w:val="16"/>
          <w:szCs w:val="16"/>
          <w:lang w:val="es-ES_tradnl"/>
        </w:rPr>
      </w:pPr>
      <w:bookmarkStart w:id="11" w:name="_Hlk104884979"/>
      <w:r w:rsidRPr="00D31279">
        <w:rPr>
          <w:rFonts w:ascii="Century Gothic" w:eastAsia="Calibri" w:hAnsi="Century Gothic" w:cs="Arial"/>
          <w:color w:val="000000" w:themeColor="text1"/>
          <w:sz w:val="16"/>
          <w:szCs w:val="16"/>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bookmarkEnd w:id="11"/>
      <w:r w:rsidRPr="00D31279">
        <w:rPr>
          <w:rFonts w:ascii="Century Gothic" w:eastAsia="Calibri" w:hAnsi="Century Gothic" w:cs="Arial"/>
          <w:color w:val="000000" w:themeColor="text1"/>
          <w:sz w:val="16"/>
          <w:szCs w:val="16"/>
          <w:lang w:val="es-ES_tradnl"/>
        </w:rPr>
        <w:t>.</w:t>
      </w:r>
    </w:p>
    <w:p w14:paraId="072829E4" w14:textId="77777777" w:rsidR="001D2627" w:rsidRPr="00D31279" w:rsidRDefault="001D2627" w:rsidP="00EB36F8">
      <w:pPr>
        <w:spacing w:after="0"/>
        <w:ind w:firstLine="709"/>
        <w:jc w:val="both"/>
        <w:rPr>
          <w:rFonts w:ascii="Century Gothic" w:eastAsia="Calibri" w:hAnsi="Century Gothic" w:cs="Arial"/>
          <w:color w:val="000000" w:themeColor="text1"/>
          <w:sz w:val="16"/>
          <w:szCs w:val="16"/>
          <w:lang w:val="es-ES_tradnl"/>
        </w:rPr>
      </w:pPr>
      <w:r w:rsidRPr="00D31279">
        <w:rPr>
          <w:rFonts w:ascii="Century Gothic" w:eastAsia="Calibri" w:hAnsi="Century Gothic" w:cs="Arial"/>
          <w:color w:val="000000" w:themeColor="text1"/>
          <w:sz w:val="16"/>
          <w:szCs w:val="16"/>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2ADBBD9C" w14:textId="77777777" w:rsidR="001D2627" w:rsidRPr="00D31279" w:rsidRDefault="001D2627" w:rsidP="00EB36F8">
      <w:pPr>
        <w:spacing w:after="0"/>
        <w:ind w:firstLine="709"/>
        <w:jc w:val="both"/>
        <w:rPr>
          <w:rFonts w:ascii="Century Gothic" w:eastAsia="Calibri" w:hAnsi="Century Gothic" w:cs="Arial"/>
          <w:color w:val="000000" w:themeColor="text1"/>
          <w:sz w:val="16"/>
          <w:szCs w:val="16"/>
          <w:lang w:val="es-ES_tradnl"/>
        </w:rPr>
      </w:pPr>
      <w:r w:rsidRPr="00D31279">
        <w:rPr>
          <w:rFonts w:ascii="Century Gothic" w:eastAsia="Calibri" w:hAnsi="Century Gothic" w:cs="Arial"/>
          <w:color w:val="000000" w:themeColor="text1"/>
          <w:sz w:val="16"/>
          <w:szCs w:val="16"/>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B05E2D6" w14:textId="77777777" w:rsidR="001D2627" w:rsidRPr="00D31279" w:rsidRDefault="001D2627" w:rsidP="00EB36F8">
      <w:pPr>
        <w:spacing w:after="0"/>
        <w:ind w:firstLine="709"/>
        <w:jc w:val="both"/>
        <w:rPr>
          <w:rFonts w:ascii="Century Gothic" w:eastAsia="Calibri" w:hAnsi="Century Gothic" w:cs="Arial"/>
          <w:color w:val="000000" w:themeColor="text1"/>
          <w:sz w:val="16"/>
          <w:szCs w:val="16"/>
          <w:lang w:val="es-ES_tradnl"/>
        </w:rPr>
      </w:pPr>
      <w:r w:rsidRPr="00D31279">
        <w:rPr>
          <w:rFonts w:ascii="Century Gothic" w:eastAsia="Calibri" w:hAnsi="Century Gothic" w:cs="Arial"/>
          <w:color w:val="000000" w:themeColor="text1"/>
          <w:sz w:val="16"/>
          <w:szCs w:val="16"/>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footnote>
  <w:footnote w:id="9">
    <w:p w14:paraId="03AF2CB8" w14:textId="77777777" w:rsidR="001D2627" w:rsidRPr="00D31279" w:rsidRDefault="001D2627" w:rsidP="00EB36F8">
      <w:pPr>
        <w:spacing w:after="0"/>
        <w:ind w:firstLine="709"/>
        <w:jc w:val="both"/>
        <w:rPr>
          <w:rFonts w:ascii="Century Gothic" w:hAnsi="Century Gothic" w:cs="Arial"/>
          <w:sz w:val="16"/>
          <w:szCs w:val="16"/>
          <w:lang w:val="es-ES"/>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sz w:val="16"/>
          <w:szCs w:val="16"/>
          <w:lang w:val="es-ES"/>
        </w:rPr>
        <w:t>Corte Constitucional. Sentencia C-502 de 2012. Magistrada Ponente: Adriana María Guillén Arango.</w:t>
      </w:r>
    </w:p>
  </w:footnote>
  <w:footnote w:id="10">
    <w:p w14:paraId="7CE52F53" w14:textId="77777777" w:rsidR="001D2627" w:rsidRPr="00D31279" w:rsidRDefault="001D2627" w:rsidP="0071202A">
      <w:pPr>
        <w:pStyle w:val="Textonotapie"/>
        <w:ind w:firstLine="708"/>
        <w:jc w:val="both"/>
        <w:rPr>
          <w:rFonts w:ascii="Century Gothic" w:eastAsia="Times New Roman" w:hAnsi="Century Gothic" w:cs="Arial"/>
          <w:sz w:val="16"/>
          <w:szCs w:val="16"/>
          <w:lang w:val="es-ES" w:eastAsia="es-ES_tradnl"/>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eastAsia="Times New Roman" w:hAnsi="Century Gothic" w:cs="Arial"/>
          <w:sz w:val="16"/>
          <w:szCs w:val="16"/>
          <w:lang w:val="es-ES" w:eastAsia="es-ES_tradnl"/>
        </w:rPr>
        <w:t xml:space="preserve">DNP, Memoria Justificativa del proyecto de decreto de 24/09/2021, publicada en página web: </w:t>
      </w:r>
      <w:hyperlink r:id="rId3" w:history="1">
        <w:r w:rsidRPr="00D31279">
          <w:rPr>
            <w:rStyle w:val="Hipervnculo"/>
            <w:rFonts w:ascii="Century Gothic" w:eastAsia="Times New Roman" w:hAnsi="Century Gothic" w:cs="Arial"/>
            <w:sz w:val="16"/>
            <w:szCs w:val="16"/>
            <w:lang w:val="es-ES" w:eastAsia="es-ES_tradnl"/>
          </w:rPr>
          <w:t>https://colaboracion.dnp.gov.co/CDT/Normatividad/SEGUNDA%20PUBLICACI%c3%93N%20-%20MEMORIA%20JUSTIFICATIVA%2024_09_2021.pdf</w:t>
        </w:r>
      </w:hyperlink>
      <w:r w:rsidRPr="00D31279">
        <w:rPr>
          <w:rFonts w:ascii="Century Gothic" w:eastAsia="Times New Roman" w:hAnsi="Century Gothic" w:cs="Arial"/>
          <w:sz w:val="16"/>
          <w:szCs w:val="16"/>
          <w:lang w:val="es-ES" w:eastAsia="es-ES_tradnl"/>
        </w:rPr>
        <w:t xml:space="preserve">.   </w:t>
      </w:r>
    </w:p>
    <w:p w14:paraId="7F556F45" w14:textId="77777777" w:rsidR="001D2627" w:rsidRPr="00D31279" w:rsidRDefault="001D2627" w:rsidP="0071202A">
      <w:pPr>
        <w:pStyle w:val="Textonotapie"/>
        <w:ind w:firstLine="708"/>
        <w:jc w:val="both"/>
        <w:rPr>
          <w:rFonts w:ascii="Century Gothic" w:eastAsia="Times New Roman" w:hAnsi="Century Gothic" w:cs="Arial"/>
          <w:sz w:val="16"/>
          <w:szCs w:val="16"/>
          <w:lang w:val="es-ES" w:eastAsia="es-ES_tradnl"/>
        </w:rPr>
      </w:pPr>
    </w:p>
  </w:footnote>
  <w:footnote w:id="11">
    <w:p w14:paraId="0B9AAE78" w14:textId="77777777" w:rsidR="001D2627" w:rsidRPr="00D31279" w:rsidRDefault="001D2627" w:rsidP="0071202A">
      <w:pPr>
        <w:pStyle w:val="Textonotapie"/>
        <w:ind w:firstLine="708"/>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En efecto, “En el caso de la determinación </w:t>
      </w:r>
      <w:r w:rsidRPr="00D31279">
        <w:rPr>
          <w:rFonts w:ascii="Century Gothic" w:hAnsi="Century Gothic" w:cs="Arial"/>
          <w:i/>
          <w:iCs/>
          <w:sz w:val="16"/>
          <w:szCs w:val="16"/>
        </w:rPr>
        <w:t>precisa</w:t>
      </w:r>
      <w:r w:rsidRPr="00D31279">
        <w:rPr>
          <w:rFonts w:ascii="Century Gothic" w:hAnsi="Century Gothic" w:cs="Arial"/>
          <w:sz w:val="16"/>
          <w:szCs w:val="16"/>
        </w:rPr>
        <w:t xml:space="preserve"> del interés público, la Administración no tiene potestad alguna de valoración de éste en orden a la oportunidad de actuar o no, por lo que su actividad se llama </w:t>
      </w:r>
      <w:r w:rsidRPr="00D31279">
        <w:rPr>
          <w:rFonts w:ascii="Century Gothic" w:hAnsi="Century Gothic" w:cs="Arial"/>
          <w:i/>
          <w:iCs/>
          <w:sz w:val="16"/>
          <w:szCs w:val="16"/>
        </w:rPr>
        <w:t>reglada</w:t>
      </w:r>
      <w:r w:rsidRPr="00D31279">
        <w:rPr>
          <w:rFonts w:ascii="Century Gothic" w:hAnsi="Century Gothic" w:cs="Arial"/>
          <w:sz w:val="16"/>
          <w:szCs w:val="16"/>
        </w:rPr>
        <w:t xml:space="preserve">. En cambio, en el caso de determinación </w:t>
      </w:r>
      <w:r w:rsidRPr="00D31279">
        <w:rPr>
          <w:rFonts w:ascii="Century Gothic" w:hAnsi="Century Gothic" w:cs="Arial"/>
          <w:i/>
          <w:iCs/>
          <w:sz w:val="16"/>
          <w:szCs w:val="16"/>
        </w:rPr>
        <w:t>imprecisa</w:t>
      </w:r>
      <w:r w:rsidRPr="00D31279">
        <w:rPr>
          <w:rFonts w:ascii="Century Gothic" w:hAnsi="Century Gothic" w:cs="Arial"/>
          <w:sz w:val="16"/>
          <w:szCs w:val="16"/>
        </w:rPr>
        <w:t xml:space="preserve">, a la Administración le queda de cualquier modo, la potestad de valorar la oportunidad de actuar o no, potestad que es más o menos amplia según los casos […]. Tal potestad de apreciación del interés público con el fin de decidir la conveniencia o no de la acción administrativa se llama potestad </w:t>
      </w:r>
      <w:r w:rsidRPr="00D31279">
        <w:rPr>
          <w:rFonts w:ascii="Century Gothic" w:hAnsi="Century Gothic" w:cs="Arial"/>
          <w:i/>
          <w:iCs/>
          <w:sz w:val="16"/>
          <w:szCs w:val="16"/>
        </w:rPr>
        <w:t>discrecional</w:t>
      </w:r>
      <w:r w:rsidRPr="00D31279">
        <w:rPr>
          <w:rFonts w:ascii="Century Gothic" w:hAnsi="Century Gothic" w:cs="Arial"/>
          <w:sz w:val="16"/>
          <w:szCs w:val="16"/>
        </w:rPr>
        <w:t xml:space="preserve"> o </w:t>
      </w:r>
      <w:r w:rsidRPr="00D31279">
        <w:rPr>
          <w:rFonts w:ascii="Century Gothic" w:hAnsi="Century Gothic" w:cs="Arial"/>
          <w:i/>
          <w:iCs/>
          <w:sz w:val="16"/>
          <w:szCs w:val="16"/>
        </w:rPr>
        <w:t>discrecionalidad</w:t>
      </w:r>
      <w:r w:rsidRPr="00D31279">
        <w:rPr>
          <w:rFonts w:ascii="Century Gothic" w:hAnsi="Century Gothic" w:cs="Arial"/>
          <w:sz w:val="16"/>
          <w:szCs w:val="16"/>
        </w:rPr>
        <w:t xml:space="preserve"> […]” (ALESSI, Renato. Instituciones de derecho administrativo. Tomo I. Tercera Edición. Barcelona: Bosch, 1970.  p. 118. Énfasis dentro del texto)    </w:t>
      </w:r>
    </w:p>
    <w:p w14:paraId="4823E392" w14:textId="77777777" w:rsidR="001D2627" w:rsidRPr="00D31279" w:rsidRDefault="001D2627" w:rsidP="0071202A">
      <w:pPr>
        <w:pStyle w:val="Textonotapie"/>
        <w:ind w:firstLine="708"/>
        <w:jc w:val="both"/>
        <w:rPr>
          <w:rFonts w:ascii="Century Gothic" w:hAnsi="Century Gothic" w:cs="Arial"/>
          <w:sz w:val="16"/>
          <w:szCs w:val="16"/>
        </w:rPr>
      </w:pPr>
    </w:p>
  </w:footnote>
  <w:footnote w:id="12">
    <w:p w14:paraId="23DE37CD" w14:textId="77777777" w:rsidR="001D2627" w:rsidRPr="00D31279" w:rsidRDefault="001D2627" w:rsidP="0071202A">
      <w:pPr>
        <w:pStyle w:val="Textonotapie"/>
        <w:ind w:firstLine="708"/>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sz w:val="16"/>
          <w:szCs w:val="16"/>
          <w:lang w:val="es-CO"/>
        </w:rPr>
        <w:t>SÁNCHEZ MORÓN, Miguel. Discrecionalidad administrativa y control judicial. Madrid: Tecnos, 1994. p. 114.</w:t>
      </w:r>
    </w:p>
  </w:footnote>
  <w:footnote w:id="13">
    <w:p w14:paraId="1F0F6C32" w14:textId="77777777" w:rsidR="001D2627" w:rsidRPr="00D31279" w:rsidRDefault="001D2627" w:rsidP="0071202A">
      <w:pPr>
        <w:pStyle w:val="Textonotapie"/>
        <w:ind w:firstLine="708"/>
        <w:jc w:val="both"/>
        <w:rPr>
          <w:rFonts w:ascii="Century Gothic" w:hAnsi="Century Gothic" w:cs="Arial"/>
          <w:sz w:val="16"/>
          <w:szCs w:val="16"/>
          <w:lang w:val="es-ES"/>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sz w:val="16"/>
          <w:szCs w:val="16"/>
          <w:lang w:val="es-ES"/>
        </w:rPr>
        <w:t>Memoria justificativa de la Resolución 275 de 2022 expedida por Colombia Compra Eficiente.</w:t>
      </w:r>
    </w:p>
    <w:p w14:paraId="2DB680E6" w14:textId="77777777" w:rsidR="001D2627" w:rsidRPr="00D31279" w:rsidRDefault="001D2627" w:rsidP="0071202A">
      <w:pPr>
        <w:pStyle w:val="Textonotapie"/>
        <w:ind w:firstLine="708"/>
        <w:jc w:val="both"/>
        <w:rPr>
          <w:rFonts w:ascii="Century Gothic" w:hAnsi="Century Gothic" w:cs="Arial"/>
          <w:sz w:val="16"/>
          <w:szCs w:val="16"/>
          <w:lang w:val="es-ES"/>
        </w:rPr>
      </w:pPr>
    </w:p>
  </w:footnote>
  <w:footnote w:id="14">
    <w:p w14:paraId="4D7BBD03" w14:textId="77777777" w:rsidR="001D2627" w:rsidRPr="00D31279" w:rsidRDefault="001D2627" w:rsidP="0071202A">
      <w:pPr>
        <w:pStyle w:val="Textonotapie"/>
        <w:ind w:firstLine="708"/>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Decreto 1082 de 2015 –de acuerdo con la modificación realizada por el Decreto 1860 de 2021– : “Artículo 2.2.1.2.4.2.16. Fomento a la ejecución de contratos estatales por parte de población en pobreza extrema, desplazados por la violencia, personas en proceso de reintegración o reincorporación y sujetos de especial protección constitucional. En los Procesos de Contratación, las Entidades Estatales indistintamente de su régimen de contratación, los patrimonios autónomos constituidos por Entidades Estatales y los particulares que ejecuten recursos públicos fomentarán </w:t>
      </w:r>
      <w:r w:rsidRPr="00D31279">
        <w:rPr>
          <w:rFonts w:ascii="Century Gothic" w:hAnsi="Century Gothic" w:cs="Arial"/>
          <w:b/>
          <w:bCs/>
          <w:sz w:val="16"/>
          <w:szCs w:val="16"/>
        </w:rPr>
        <w:t>en los pliegos de condiciones o documento equivalente</w:t>
      </w:r>
      <w:r w:rsidRPr="00D31279">
        <w:rPr>
          <w:rFonts w:ascii="Century Gothic" w:hAnsi="Century Gothic" w:cs="Arial"/>
          <w:sz w:val="16"/>
          <w:szCs w:val="16"/>
        </w:rPr>
        <w:t xml:space="preserv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r w:rsidRPr="00D31279">
        <w:rPr>
          <w:rFonts w:ascii="Arial" w:hAnsi="Arial" w:cs="Arial"/>
          <w:sz w:val="16"/>
          <w:szCs w:val="16"/>
        </w:rPr>
        <w:t>​</w:t>
      </w:r>
    </w:p>
    <w:p w14:paraId="1F0F048B" w14:textId="77777777" w:rsidR="001D2627" w:rsidRPr="00D31279" w:rsidRDefault="001D2627" w:rsidP="0071202A">
      <w:pPr>
        <w:pStyle w:val="Textonotapie"/>
        <w:ind w:firstLine="708"/>
        <w:jc w:val="both"/>
        <w:rPr>
          <w:rFonts w:ascii="Century Gothic" w:hAnsi="Century Gothic" w:cs="Arial"/>
          <w:sz w:val="16"/>
          <w:szCs w:val="16"/>
        </w:rPr>
      </w:pPr>
      <w:r w:rsidRPr="00D31279">
        <w:rPr>
          <w:rFonts w:ascii="Century Gothic" w:hAnsi="Century Gothic" w:cs="Arial"/>
          <w:sz w:val="16"/>
          <w:szCs w:val="16"/>
        </w:rPr>
        <w:t>“La participación de los sujetos anteriormente mencionados en la ejecución del contrato se fomentará previo análisis de su oportunidad y conveniencia en los Documentos del Proceso, teniendo en cuenta el objeto contractual y el alcance de las obligaciones.</w:t>
      </w:r>
    </w:p>
    <w:p w14:paraId="1E2E03EB" w14:textId="77777777" w:rsidR="001D2627" w:rsidRPr="00D31279" w:rsidRDefault="001D2627" w:rsidP="0071202A">
      <w:pPr>
        <w:pStyle w:val="Textonotapie"/>
        <w:ind w:firstLine="708"/>
        <w:jc w:val="both"/>
        <w:rPr>
          <w:rFonts w:ascii="Century Gothic" w:hAnsi="Century Gothic" w:cs="Arial"/>
          <w:sz w:val="16"/>
          <w:szCs w:val="16"/>
        </w:rPr>
      </w:pPr>
      <w:r w:rsidRPr="00D31279">
        <w:rPr>
          <w:rFonts w:ascii="Century Gothic" w:hAnsi="Century Gothic" w:cs="Arial"/>
          <w:sz w:val="16"/>
          <w:szCs w:val="16"/>
        </w:rPr>
        <w:t>“Esta provisión se establecerá en un porcentaje que no será superior al diez por ciento (10%) ni inferior al cinco por ciento (5%) de los bienes o servicios requeridos para la ejecución del contrato, de manera que no se ponga en riesgo su cumplimiento adecuado.</w:t>
      </w:r>
    </w:p>
    <w:p w14:paraId="6659036B" w14:textId="77777777" w:rsidR="001D2627" w:rsidRPr="00D31279" w:rsidRDefault="001D2627" w:rsidP="0071202A">
      <w:pPr>
        <w:pStyle w:val="Textonotapie"/>
        <w:ind w:firstLine="708"/>
        <w:jc w:val="both"/>
        <w:rPr>
          <w:rFonts w:ascii="Century Gothic" w:hAnsi="Century Gothic" w:cs="Arial"/>
          <w:sz w:val="16"/>
          <w:szCs w:val="16"/>
        </w:rPr>
      </w:pPr>
      <w:r w:rsidRPr="00D31279">
        <w:rPr>
          <w:rFonts w:ascii="Century Gothic" w:hAnsi="Century Gothic" w:cs="Arial"/>
          <w:b/>
          <w:bCs/>
          <w:sz w:val="16"/>
          <w:szCs w:val="16"/>
        </w:rPr>
        <w:t>“Previo análisis de oportunidad y conveniencia, la Entidad Estatal incorporará esta obligación en la minuta del contrato del pliego de condiciones o documento equivalente</w:t>
      </w:r>
      <w:r w:rsidRPr="00D31279">
        <w:rPr>
          <w:rFonts w:ascii="Century Gothic" w:hAnsi="Century Gothic" w:cs="Arial"/>
          <w:sz w:val="16"/>
          <w:szCs w:val="16"/>
        </w:rPr>
        <w:t>, precisando las sanciones pecuniarias producto del incumplimiento injustificado de esta a través de las causales de multa que estime pertinentes.</w:t>
      </w:r>
    </w:p>
    <w:p w14:paraId="7FE510C9" w14:textId="77777777" w:rsidR="001D2627" w:rsidRPr="00D31279" w:rsidRDefault="001D2627" w:rsidP="0071202A">
      <w:pPr>
        <w:pStyle w:val="Textonotapie"/>
        <w:ind w:firstLine="708"/>
        <w:jc w:val="both"/>
        <w:rPr>
          <w:rFonts w:ascii="Century Gothic" w:hAnsi="Century Gothic" w:cs="Arial"/>
          <w:sz w:val="16"/>
          <w:szCs w:val="16"/>
        </w:rPr>
      </w:pPr>
      <w:r w:rsidRPr="00D31279">
        <w:rPr>
          <w:rFonts w:ascii="Century Gothic" w:hAnsi="Century Gothic" w:cs="Arial"/>
          <w:sz w:val="16"/>
          <w:szCs w:val="16"/>
        </w:rPr>
        <w:t>“El supervisor o el interventor, según el caso, realizará el seguimiento y verificará que las personas vinculadas al inicio y durante la ejecución del contrato pertenezcan a los grupos poblacionales enunciados anteriormente.</w:t>
      </w:r>
    </w:p>
    <w:p w14:paraId="11C1E4F6" w14:textId="77777777" w:rsidR="001D2627" w:rsidRPr="00D31279" w:rsidRDefault="001D2627" w:rsidP="0071202A">
      <w:pPr>
        <w:pStyle w:val="Textonotapie"/>
        <w:ind w:firstLine="708"/>
        <w:jc w:val="both"/>
        <w:rPr>
          <w:rFonts w:ascii="Century Gothic" w:hAnsi="Century Gothic" w:cs="Arial"/>
          <w:sz w:val="16"/>
          <w:szCs w:val="16"/>
        </w:rPr>
      </w:pPr>
      <w:r w:rsidRPr="00D31279">
        <w:rPr>
          <w:rFonts w:ascii="Century Gothic" w:hAnsi="Century Gothic" w:cs="Arial"/>
          <w:sz w:val="16"/>
          <w:szCs w:val="16"/>
        </w:rPr>
        <w:t>“PARÁGRAFO 1. Para los efectos previstos en el presente artículo,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Rrom o gitanas.</w:t>
      </w:r>
    </w:p>
    <w:p w14:paraId="5679613F" w14:textId="77777777" w:rsidR="001D2627" w:rsidRPr="00D31279" w:rsidRDefault="001D2627" w:rsidP="0071202A">
      <w:pPr>
        <w:pStyle w:val="Textonotapie"/>
        <w:ind w:firstLine="708"/>
        <w:jc w:val="both"/>
        <w:rPr>
          <w:rFonts w:ascii="Century Gothic" w:hAnsi="Century Gothic" w:cs="Arial"/>
          <w:sz w:val="16"/>
          <w:szCs w:val="16"/>
        </w:rPr>
      </w:pPr>
      <w:r w:rsidRPr="00D31279">
        <w:rPr>
          <w:rFonts w:ascii="Century Gothic" w:hAnsi="Century Gothic" w:cs="Arial"/>
          <w:sz w:val="16"/>
          <w:szCs w:val="16"/>
        </w:rPr>
        <w:t xml:space="preserve">“Estas circunstancias se acreditarán en las condiciones que disponga la ley o el reglamento, aplicando en lo pertinente lo definido en el artículo 2.2.1.2.4.2.17 del presente Decreto. </w:t>
      </w:r>
      <w:r w:rsidRPr="00D31279">
        <w:rPr>
          <w:rFonts w:ascii="Century Gothic" w:hAnsi="Century Gothic" w:cs="Arial"/>
          <w:b/>
          <w:bCs/>
          <w:sz w:val="16"/>
          <w:szCs w:val="16"/>
        </w:rPr>
        <w:t>En ausencia de una condición especial prevista en la normativa vigente, se acreditarán en los términos que defina el pliego de condiciones o documento equivalente</w:t>
      </w:r>
      <w:r w:rsidRPr="00D31279">
        <w:rPr>
          <w:rFonts w:ascii="Century Gothic" w:hAnsi="Century Gothic" w:cs="Arial"/>
          <w:sz w:val="16"/>
          <w:szCs w:val="16"/>
        </w:rPr>
        <w:t>.</w:t>
      </w:r>
    </w:p>
    <w:p w14:paraId="09948A5A" w14:textId="77777777" w:rsidR="001D2627" w:rsidRPr="00D31279" w:rsidRDefault="001D2627" w:rsidP="0071202A">
      <w:pPr>
        <w:pStyle w:val="Textonotapie"/>
        <w:ind w:firstLine="708"/>
        <w:jc w:val="both"/>
        <w:rPr>
          <w:rFonts w:ascii="Century Gothic" w:hAnsi="Century Gothic" w:cs="Arial"/>
          <w:sz w:val="16"/>
          <w:szCs w:val="16"/>
        </w:rPr>
      </w:pPr>
      <w:r w:rsidRPr="00D31279">
        <w:rPr>
          <w:rFonts w:ascii="Century Gothic" w:hAnsi="Century Gothic" w:cs="Arial"/>
          <w:sz w:val="16"/>
          <w:szCs w:val="16"/>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 (Negrilla fuera del original).</w:t>
      </w:r>
    </w:p>
    <w:p w14:paraId="228C57B8" w14:textId="77777777" w:rsidR="001D2627" w:rsidRPr="00D31279" w:rsidRDefault="001D2627" w:rsidP="0071202A">
      <w:pPr>
        <w:pStyle w:val="Textonotapie"/>
        <w:ind w:firstLine="708"/>
        <w:jc w:val="both"/>
        <w:rPr>
          <w:rFonts w:ascii="Century Gothic" w:hAnsi="Century Gothic" w:cs="Arial"/>
          <w:sz w:val="16"/>
          <w:szCs w:val="16"/>
          <w:lang w:val="es-CO"/>
        </w:rPr>
      </w:pPr>
    </w:p>
  </w:footnote>
  <w:footnote w:id="15">
    <w:p w14:paraId="7D0DEA15" w14:textId="77777777" w:rsidR="001D2627" w:rsidRPr="00D31279" w:rsidRDefault="001D2627" w:rsidP="00EB36F8">
      <w:pPr>
        <w:pBdr>
          <w:top w:val="nil"/>
          <w:left w:val="nil"/>
          <w:bottom w:val="nil"/>
          <w:right w:val="nil"/>
          <w:between w:val="nil"/>
        </w:pBdr>
        <w:spacing w:after="0"/>
        <w:ind w:firstLine="708"/>
        <w:jc w:val="both"/>
        <w:rPr>
          <w:rFonts w:ascii="Century Gothic" w:hAnsi="Century Gothic" w:cs="Arial"/>
          <w:i/>
          <w:sz w:val="16"/>
          <w:szCs w:val="16"/>
          <w:lang w:val="es-ES"/>
        </w:rPr>
      </w:pPr>
      <w:r w:rsidRPr="00D31279">
        <w:rPr>
          <w:rStyle w:val="Refdenotaalpie"/>
          <w:rFonts w:ascii="Century Gothic" w:hAnsi="Century Gothic" w:cs="Arial"/>
          <w:i/>
          <w:sz w:val="16"/>
          <w:szCs w:val="16"/>
        </w:rPr>
        <w:footnoteRef/>
      </w:r>
      <w:r w:rsidRPr="00D31279">
        <w:rPr>
          <w:rFonts w:ascii="Century Gothic" w:hAnsi="Century Gothic" w:cs="Arial"/>
          <w:i/>
          <w:sz w:val="16"/>
          <w:szCs w:val="16"/>
        </w:rPr>
        <w:t xml:space="preserve"> </w:t>
      </w:r>
      <w:r w:rsidRPr="00D31279">
        <w:rPr>
          <w:rFonts w:ascii="Century Gothic" w:hAnsi="Century Gothic" w:cs="Arial"/>
          <w:i/>
          <w:sz w:val="16"/>
          <w:szCs w:val="16"/>
          <w:lang w:val="es-ES"/>
        </w:rPr>
        <w:t>Ibídem</w:t>
      </w:r>
    </w:p>
    <w:p w14:paraId="19DA2955" w14:textId="77777777" w:rsidR="001D2627" w:rsidRPr="00D31279" w:rsidRDefault="001D2627" w:rsidP="00EB36F8">
      <w:pPr>
        <w:pBdr>
          <w:top w:val="nil"/>
          <w:left w:val="nil"/>
          <w:bottom w:val="nil"/>
          <w:right w:val="nil"/>
          <w:between w:val="nil"/>
        </w:pBdr>
        <w:spacing w:after="0"/>
        <w:ind w:firstLine="708"/>
        <w:jc w:val="both"/>
        <w:rPr>
          <w:rFonts w:ascii="Century Gothic" w:hAnsi="Century Gothic" w:cs="Arial"/>
          <w:i/>
          <w:sz w:val="16"/>
          <w:szCs w:val="16"/>
          <w:lang w:val="es-ES"/>
        </w:rPr>
      </w:pPr>
    </w:p>
  </w:footnote>
  <w:footnote w:id="16">
    <w:p w14:paraId="6170658A" w14:textId="77777777" w:rsidR="001D2627" w:rsidRPr="00D31279" w:rsidRDefault="001D2627" w:rsidP="00EB36F8">
      <w:pPr>
        <w:pBdr>
          <w:top w:val="nil"/>
          <w:left w:val="nil"/>
          <w:bottom w:val="nil"/>
          <w:right w:val="nil"/>
          <w:between w:val="nil"/>
        </w:pBdr>
        <w:spacing w:after="0"/>
        <w:ind w:firstLine="708"/>
        <w:jc w:val="both"/>
        <w:rPr>
          <w:rFonts w:ascii="Century Gothic" w:hAnsi="Century Gothic" w:cs="Arial"/>
          <w:i/>
          <w:sz w:val="16"/>
          <w:szCs w:val="16"/>
          <w:lang w:val="es-ES"/>
        </w:rPr>
      </w:pPr>
      <w:r w:rsidRPr="00D31279">
        <w:rPr>
          <w:rStyle w:val="Refdenotaalpie"/>
          <w:rFonts w:ascii="Century Gothic" w:hAnsi="Century Gothic" w:cs="Arial"/>
          <w:i/>
          <w:sz w:val="16"/>
          <w:szCs w:val="16"/>
        </w:rPr>
        <w:footnoteRef/>
      </w:r>
      <w:r w:rsidRPr="00D31279">
        <w:rPr>
          <w:rFonts w:ascii="Century Gothic" w:hAnsi="Century Gothic" w:cs="Arial"/>
          <w:i/>
          <w:sz w:val="16"/>
          <w:szCs w:val="16"/>
        </w:rPr>
        <w:t xml:space="preserve"> </w:t>
      </w:r>
      <w:r w:rsidRPr="00D31279">
        <w:rPr>
          <w:rFonts w:ascii="Century Gothic" w:hAnsi="Century Gothic" w:cs="Arial"/>
          <w:i/>
          <w:sz w:val="16"/>
          <w:szCs w:val="16"/>
          <w:lang w:val="es-ES"/>
        </w:rPr>
        <w:t>Ibídem</w:t>
      </w:r>
    </w:p>
  </w:footnote>
  <w:footnote w:id="17">
    <w:p w14:paraId="2FF439CC" w14:textId="77777777" w:rsidR="001D2627" w:rsidRPr="00D31279" w:rsidRDefault="001D2627" w:rsidP="0071202A">
      <w:pPr>
        <w:pStyle w:val="Textonotapie"/>
        <w:ind w:firstLine="709"/>
        <w:jc w:val="both"/>
        <w:rPr>
          <w:rFonts w:ascii="Century Gothic" w:hAnsi="Century Gothic" w:cs="Arial"/>
          <w:sz w:val="16"/>
          <w:szCs w:val="16"/>
          <w:lang w:val="es-ES"/>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sz w:val="16"/>
          <w:szCs w:val="16"/>
          <w:lang w:val="es-ES"/>
        </w:rPr>
        <w:t>En:</w:t>
      </w:r>
    </w:p>
    <w:p w14:paraId="475A18B5" w14:textId="77777777" w:rsidR="001D2627" w:rsidRPr="00D31279" w:rsidRDefault="001D2627" w:rsidP="0071202A">
      <w:pPr>
        <w:pStyle w:val="Textonotapie"/>
        <w:ind w:firstLine="709"/>
        <w:jc w:val="both"/>
        <w:rPr>
          <w:rFonts w:ascii="Century Gothic" w:hAnsi="Century Gothic" w:cs="Arial"/>
          <w:sz w:val="16"/>
          <w:szCs w:val="16"/>
          <w:lang w:val="es-ES"/>
        </w:rPr>
      </w:pPr>
      <w:r w:rsidRPr="00D31279">
        <w:rPr>
          <w:rFonts w:ascii="Century Gothic" w:hAnsi="Century Gothic" w:cs="Arial"/>
          <w:sz w:val="16"/>
          <w:szCs w:val="16"/>
          <w:lang w:val="es-ES"/>
        </w:rPr>
        <w:t xml:space="preserve"> </w:t>
      </w:r>
      <w:hyperlink r:id="rId4" w:history="1">
        <w:r w:rsidRPr="00D31279">
          <w:rPr>
            <w:rStyle w:val="Hipervnculo"/>
            <w:rFonts w:ascii="Century Gothic" w:hAnsi="Century Gothic" w:cs="Arial"/>
            <w:sz w:val="16"/>
            <w:szCs w:val="16"/>
            <w:lang w:val="es-ES"/>
          </w:rPr>
          <w:t>https://colombiacompra.gov.co/sites/cce_public/files/cce_documents/cce_guia_elaboracion_estudios.pdf</w:t>
        </w:r>
      </w:hyperlink>
    </w:p>
    <w:p w14:paraId="6672AA2C" w14:textId="77777777" w:rsidR="001D2627" w:rsidRPr="00D31279" w:rsidRDefault="001D2627" w:rsidP="0071202A">
      <w:pPr>
        <w:pStyle w:val="Textonotapie"/>
        <w:ind w:firstLine="709"/>
        <w:jc w:val="both"/>
        <w:rPr>
          <w:rFonts w:ascii="Century Gothic" w:hAnsi="Century Gothic" w:cs="Arial"/>
          <w:sz w:val="16"/>
          <w:szCs w:val="16"/>
          <w:lang w:val="es-ES"/>
        </w:rPr>
      </w:pPr>
    </w:p>
  </w:footnote>
  <w:footnote w:id="18">
    <w:p w14:paraId="57F752B1" w14:textId="77777777" w:rsidR="001D2627" w:rsidRPr="00D31279" w:rsidRDefault="001D2627" w:rsidP="0071202A">
      <w:pPr>
        <w:pStyle w:val="Textonotapie"/>
        <w:ind w:firstLine="709"/>
        <w:jc w:val="both"/>
        <w:rPr>
          <w:rFonts w:ascii="Century Gothic" w:hAnsi="Century Gothic" w:cs="Arial"/>
          <w:sz w:val="16"/>
          <w:szCs w:val="16"/>
          <w:lang w:val="es-CO"/>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sz w:val="16"/>
          <w:szCs w:val="16"/>
          <w:lang w:val="es-ES"/>
        </w:rPr>
        <w:t>La RAE define el verbo “proveer”, entre otras acepciones, como “Suministrar o facilitar lo necesario o conveniente para un fin”. En: https://dle.rae.es/proveer?m=form</w:t>
      </w:r>
    </w:p>
  </w:footnote>
  <w:footnote w:id="19">
    <w:p w14:paraId="462C420B" w14:textId="77777777" w:rsidR="001D2627" w:rsidRPr="00D31279" w:rsidRDefault="001D2627" w:rsidP="0071202A">
      <w:pPr>
        <w:pStyle w:val="Textonotapie"/>
        <w:ind w:firstLine="708"/>
        <w:jc w:val="both"/>
        <w:rPr>
          <w:rFonts w:ascii="Century Gothic" w:hAnsi="Century Gothic" w:cs="Arial"/>
          <w:sz w:val="16"/>
          <w:szCs w:val="16"/>
          <w:lang w:val="es-ES"/>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sz w:val="16"/>
          <w:szCs w:val="16"/>
          <w:lang w:val="es-ES"/>
        </w:rPr>
        <w:t>Memoria justificativa de la Resolución 275 de 2022 expedida por Colombia Compra Eficiente.</w:t>
      </w:r>
    </w:p>
    <w:p w14:paraId="2AEE6F7F" w14:textId="77777777" w:rsidR="001D2627" w:rsidRPr="00D31279" w:rsidRDefault="001D2627" w:rsidP="0071202A">
      <w:pPr>
        <w:pStyle w:val="Textonotapie"/>
        <w:ind w:firstLine="708"/>
        <w:jc w:val="both"/>
        <w:rPr>
          <w:rFonts w:ascii="Century Gothic" w:hAnsi="Century Gothic" w:cs="Arial"/>
          <w:sz w:val="16"/>
          <w:szCs w:val="16"/>
          <w:lang w:val="es-ES"/>
        </w:rPr>
      </w:pPr>
    </w:p>
  </w:footnote>
  <w:footnote w:id="20">
    <w:p w14:paraId="057B6AC4" w14:textId="77777777" w:rsidR="001D2627" w:rsidRPr="00D31279" w:rsidRDefault="001D2627" w:rsidP="00EB36F8">
      <w:pPr>
        <w:pBdr>
          <w:top w:val="nil"/>
          <w:left w:val="nil"/>
          <w:bottom w:val="nil"/>
          <w:right w:val="nil"/>
          <w:between w:val="nil"/>
        </w:pBdr>
        <w:spacing w:after="0"/>
        <w:ind w:firstLine="708"/>
        <w:jc w:val="both"/>
        <w:rPr>
          <w:rFonts w:ascii="Century Gothic" w:hAnsi="Century Gothic" w:cs="Arial"/>
          <w:i/>
          <w:sz w:val="16"/>
          <w:szCs w:val="16"/>
          <w:lang w:val="es-ES"/>
        </w:rPr>
      </w:pPr>
      <w:r w:rsidRPr="00D31279">
        <w:rPr>
          <w:rStyle w:val="Refdenotaalpie"/>
          <w:rFonts w:ascii="Century Gothic" w:hAnsi="Century Gothic" w:cs="Arial"/>
          <w:i/>
          <w:sz w:val="16"/>
          <w:szCs w:val="16"/>
        </w:rPr>
        <w:footnoteRef/>
      </w:r>
      <w:r w:rsidRPr="00D31279">
        <w:rPr>
          <w:rFonts w:ascii="Century Gothic" w:hAnsi="Century Gothic" w:cs="Arial"/>
          <w:i/>
          <w:sz w:val="16"/>
          <w:szCs w:val="16"/>
        </w:rPr>
        <w:t xml:space="preserve"> </w:t>
      </w:r>
      <w:r w:rsidRPr="00D31279">
        <w:rPr>
          <w:rFonts w:ascii="Century Gothic" w:hAnsi="Century Gothic" w:cs="Arial"/>
          <w:i/>
          <w:sz w:val="16"/>
          <w:szCs w:val="16"/>
          <w:lang w:val="es-ES"/>
        </w:rPr>
        <w:t>Ibídem</w:t>
      </w:r>
    </w:p>
    <w:p w14:paraId="6ABB9B7F" w14:textId="77777777" w:rsidR="001D2627" w:rsidRPr="00D31279" w:rsidRDefault="001D2627" w:rsidP="00EB36F8">
      <w:pPr>
        <w:pBdr>
          <w:top w:val="nil"/>
          <w:left w:val="nil"/>
          <w:bottom w:val="nil"/>
          <w:right w:val="nil"/>
          <w:between w:val="nil"/>
        </w:pBdr>
        <w:spacing w:after="0"/>
        <w:ind w:firstLine="708"/>
        <w:jc w:val="both"/>
        <w:rPr>
          <w:rFonts w:ascii="Century Gothic" w:hAnsi="Century Gothic" w:cs="Arial"/>
          <w:i/>
          <w:sz w:val="16"/>
          <w:szCs w:val="16"/>
          <w:lang w:val="es-ES"/>
        </w:rPr>
      </w:pPr>
    </w:p>
  </w:footnote>
  <w:footnote w:id="21">
    <w:p w14:paraId="3E6677AF" w14:textId="5D7D07DE" w:rsidR="00EB36F8" w:rsidRPr="00D31279" w:rsidRDefault="00EB36F8" w:rsidP="00EB36F8">
      <w:pPr>
        <w:pStyle w:val="Textonotapie"/>
        <w:ind w:firstLine="709"/>
        <w:jc w:val="both"/>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Conforme al articulo artículo 2.2.1.1.2.1.3. del Decreto 1082 de 2015 “</w:t>
      </w:r>
      <w:r w:rsidRPr="00D31279">
        <w:rPr>
          <w:rStyle w:val="nfasis"/>
          <w:rFonts w:ascii="Century Gothic" w:hAnsi="Century Gothic" w:cs="Arial"/>
          <w:b/>
          <w:bCs/>
          <w:sz w:val="16"/>
          <w:szCs w:val="16"/>
        </w:rPr>
        <w:t>Pliegos de condiciones.</w:t>
      </w:r>
      <w:r w:rsidRPr="00D31279">
        <w:rPr>
          <w:rFonts w:ascii="Century Gothic" w:hAnsi="Century Gothic" w:cs="Arial"/>
          <w:sz w:val="16"/>
          <w:szCs w:val="16"/>
        </w:rPr>
        <w:t> Los pliegos de condiciones deben contener por lo menos la siguiente información</w:t>
      </w:r>
      <w:bookmarkStart w:id="12" w:name="2.2.1.1.2.1.3.1"/>
      <w:bookmarkEnd w:id="12"/>
      <w:r w:rsidRPr="00D31279">
        <w:rPr>
          <w:rFonts w:ascii="Century Gothic" w:hAnsi="Century Gothic" w:cs="Arial"/>
          <w:sz w:val="16"/>
          <w:szCs w:val="16"/>
        </w:rPr>
        <w:t>: 1. La descripción técnica, detallada y completa del bien o servicio objeto del contrato, identificado con el cuarto nivel del Clasificador de Bienes y Servicios, de ser posible o de lo contrario con el tercer nivel del mismo.</w:t>
      </w:r>
      <w:bookmarkStart w:id="13" w:name="2.2.1.1.2.1.3.2"/>
      <w:bookmarkEnd w:id="13"/>
      <w:r w:rsidRPr="00D31279">
        <w:rPr>
          <w:rFonts w:ascii="Century Gothic" w:hAnsi="Century Gothic" w:cs="Arial"/>
          <w:sz w:val="16"/>
          <w:szCs w:val="16"/>
        </w:rPr>
        <w:t xml:space="preserve"> 2. La modalidad del proceso de selección y su justificación</w:t>
      </w:r>
      <w:bookmarkStart w:id="14" w:name="2.2.1.1.2.1.3.3"/>
      <w:bookmarkEnd w:id="14"/>
      <w:r w:rsidRPr="00D31279">
        <w:rPr>
          <w:rFonts w:ascii="Century Gothic" w:hAnsi="Century Gothic" w:cs="Arial"/>
          <w:sz w:val="16"/>
          <w:szCs w:val="16"/>
        </w:rPr>
        <w:t>. 3. Los criterios de selección, incluyendo los factores de desempate y los incentivos cuando a ello haya lugar.</w:t>
      </w:r>
      <w:bookmarkStart w:id="15" w:name="2.2.1.1.2.1.3.4"/>
      <w:bookmarkEnd w:id="15"/>
      <w:r w:rsidRPr="00D31279">
        <w:rPr>
          <w:rFonts w:ascii="Century Gothic" w:hAnsi="Century Gothic" w:cs="Arial"/>
          <w:sz w:val="16"/>
          <w:szCs w:val="16"/>
        </w:rPr>
        <w:t xml:space="preserve"> 4. Las condiciones de costo y/o calidad que la Entidad Estatal debe tener en cuenta para la selección objetiva, de acuerdo con la modalidad de selección del contratista.</w:t>
      </w:r>
      <w:bookmarkStart w:id="16" w:name="2.2.1.1.2.1.3.5"/>
      <w:bookmarkEnd w:id="16"/>
      <w:r w:rsidRPr="00D31279">
        <w:rPr>
          <w:rFonts w:ascii="Century Gothic" w:hAnsi="Century Gothic" w:cs="Arial"/>
          <w:sz w:val="16"/>
          <w:szCs w:val="16"/>
        </w:rPr>
        <w:t xml:space="preserve"> 5. Las reglas aplicables a la presentación de las ofertas, su evaluación y a la adjudicación del contrato</w:t>
      </w:r>
      <w:bookmarkStart w:id="17" w:name="2.2.1.1.2.1.3.6"/>
      <w:bookmarkEnd w:id="17"/>
      <w:r w:rsidRPr="00D31279">
        <w:rPr>
          <w:rFonts w:ascii="Century Gothic" w:hAnsi="Century Gothic" w:cs="Arial"/>
          <w:sz w:val="16"/>
          <w:szCs w:val="16"/>
        </w:rPr>
        <w:t>. 6. Las causas que dan lugar a rechazar una oferta.</w:t>
      </w:r>
      <w:bookmarkStart w:id="18" w:name="2.2.1.1.2.1.3.7"/>
      <w:bookmarkEnd w:id="18"/>
      <w:r w:rsidRPr="00D31279">
        <w:rPr>
          <w:rFonts w:ascii="Century Gothic" w:hAnsi="Century Gothic" w:cs="Arial"/>
          <w:sz w:val="16"/>
          <w:szCs w:val="16"/>
        </w:rPr>
        <w:t xml:space="preserve"> 7. El valor del contrato, el plazo, el cronograma de pagos y la determinación de si debe haber lugar a la entrega de anticipo, y si hubiere, indicar su valor, el cual debe tener en cuenta los rendimientos que este pueda generar</w:t>
      </w:r>
      <w:bookmarkStart w:id="19" w:name="2.2.1.1.2.1.3.8"/>
      <w:bookmarkEnd w:id="19"/>
      <w:r w:rsidRPr="00D31279">
        <w:rPr>
          <w:rFonts w:ascii="Century Gothic" w:hAnsi="Century Gothic" w:cs="Arial"/>
          <w:sz w:val="16"/>
          <w:szCs w:val="16"/>
        </w:rPr>
        <w:t>. 8. Los Riesgos asociados al contrato, la forma de mitigarlos y la asignación del Riesgo entre las partes contratantes.</w:t>
      </w:r>
      <w:bookmarkStart w:id="20" w:name="2.2.1.1.2.1.3.9"/>
      <w:bookmarkEnd w:id="20"/>
      <w:r w:rsidRPr="00D31279">
        <w:rPr>
          <w:rFonts w:ascii="Century Gothic" w:hAnsi="Century Gothic" w:cs="Arial"/>
          <w:sz w:val="16"/>
          <w:szCs w:val="16"/>
        </w:rPr>
        <w:t xml:space="preserve"> 9. Las garantías exigidas en el Proceso de Contratación y sus condiciones.</w:t>
      </w:r>
      <w:bookmarkStart w:id="21" w:name="2.2.1.1.2.1.3.10"/>
      <w:bookmarkEnd w:id="21"/>
      <w:r w:rsidRPr="00D31279">
        <w:rPr>
          <w:rFonts w:ascii="Century Gothic" w:hAnsi="Century Gothic" w:cs="Arial"/>
          <w:sz w:val="16"/>
          <w:szCs w:val="16"/>
        </w:rPr>
        <w:t xml:space="preserve"> 10. La mención de si la Entidad Estatal y el contrato objeto de los pliegos de condiciones están cubiertos por un Acuerdo Comercial.</w:t>
      </w:r>
      <w:bookmarkStart w:id="22" w:name="2.2.1.1.2.1.3.11"/>
      <w:bookmarkEnd w:id="22"/>
      <w:r w:rsidRPr="00D31279">
        <w:rPr>
          <w:rFonts w:ascii="Century Gothic" w:hAnsi="Century Gothic" w:cs="Arial"/>
          <w:sz w:val="16"/>
          <w:szCs w:val="16"/>
        </w:rPr>
        <w:t xml:space="preserve"> 11. Los términos, condiciones y minuta del contrato.</w:t>
      </w:r>
      <w:bookmarkStart w:id="23" w:name="2.2.1.1.2.1.3.12"/>
      <w:bookmarkEnd w:id="23"/>
      <w:r w:rsidRPr="00D31279">
        <w:rPr>
          <w:rFonts w:ascii="Century Gothic" w:hAnsi="Century Gothic" w:cs="Arial"/>
          <w:sz w:val="16"/>
          <w:szCs w:val="16"/>
        </w:rPr>
        <w:t xml:space="preserve"> 12. Los términos de la supervisión y/o de la interventoría del contrato</w:t>
      </w:r>
      <w:bookmarkStart w:id="24" w:name="2.2.1.1.2.1.3.13"/>
      <w:bookmarkEnd w:id="24"/>
      <w:r w:rsidRPr="00D31279">
        <w:rPr>
          <w:rFonts w:ascii="Century Gothic" w:hAnsi="Century Gothic" w:cs="Arial"/>
          <w:sz w:val="16"/>
          <w:szCs w:val="16"/>
        </w:rPr>
        <w:t>. 13. El plazo dentro del cual la Entidad Estatal puede expedir Adendas.</w:t>
      </w:r>
      <w:bookmarkStart w:id="25" w:name="2.2.1.1.2.1.3.14"/>
      <w:bookmarkEnd w:id="25"/>
      <w:r w:rsidRPr="00D31279">
        <w:rPr>
          <w:rFonts w:ascii="Century Gothic" w:hAnsi="Century Gothic" w:cs="Arial"/>
          <w:sz w:val="16"/>
          <w:szCs w:val="16"/>
        </w:rPr>
        <w:t xml:space="preserve"> 14. El Cronograma. </w:t>
      </w:r>
      <w:r w:rsidRPr="00D31279">
        <w:rPr>
          <w:rStyle w:val="Textoennegrita"/>
          <w:rFonts w:ascii="Century Gothic" w:hAnsi="Century Gothic" w:cs="Arial"/>
          <w:sz w:val="16"/>
          <w:szCs w:val="16"/>
        </w:rPr>
        <w:t>ARTÍCULO </w:t>
      </w:r>
      <w:bookmarkStart w:id="26" w:name="2.2.1.1.2.1.4"/>
      <w:bookmarkEnd w:id="26"/>
      <w:r w:rsidRPr="00D31279">
        <w:rPr>
          <w:rStyle w:val="Textoennegrita"/>
          <w:rFonts w:ascii="Century Gothic" w:hAnsi="Century Gothic" w:cs="Arial"/>
          <w:sz w:val="16"/>
          <w:szCs w:val="16"/>
        </w:rPr>
        <w:t>2.2.1.1.2.1.4.</w:t>
      </w:r>
      <w:r w:rsidRPr="00D31279">
        <w:rPr>
          <w:rStyle w:val="nfasis"/>
          <w:rFonts w:ascii="Century Gothic" w:hAnsi="Century Gothic" w:cs="Arial"/>
          <w:b/>
          <w:bCs/>
          <w:sz w:val="16"/>
          <w:szCs w:val="16"/>
        </w:rPr>
        <w:t> Observaciones al proyecto de pliegos de condiciones.</w:t>
      </w:r>
      <w:r w:rsidRPr="00D31279">
        <w:rPr>
          <w:rFonts w:ascii="Century Gothic" w:hAnsi="Century Gothic" w:cs="Arial"/>
          <w:sz w:val="16"/>
          <w:szCs w:val="16"/>
        </w:rPr>
        <w:t> Los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w:t>
      </w:r>
    </w:p>
  </w:footnote>
  <w:footnote w:id="22">
    <w:p w14:paraId="595C5C34" w14:textId="168BCC63" w:rsidR="00A81699" w:rsidRPr="00D31279" w:rsidRDefault="00A81699" w:rsidP="00382D86">
      <w:pPr>
        <w:pStyle w:val="Textonotapie"/>
        <w:ind w:firstLine="709"/>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00382D86" w:rsidRPr="00D31279">
        <w:rPr>
          <w:rFonts w:ascii="Century Gothic" w:hAnsi="Century Gothic" w:cs="Arial"/>
          <w:sz w:val="16"/>
          <w:szCs w:val="16"/>
        </w:rPr>
        <w:t>https://www.colombiacompra.gov.co/manuales-guias-y-pliegos-tipo/manuales-y-guias/guia-para-la-elaboracion-de-estudios-de-sector</w:t>
      </w:r>
    </w:p>
  </w:footnote>
  <w:footnote w:id="23">
    <w:p w14:paraId="3A493D1D" w14:textId="77777777" w:rsidR="001D2627" w:rsidRPr="00D31279" w:rsidRDefault="001D2627" w:rsidP="0071202A">
      <w:pPr>
        <w:pStyle w:val="Textonotapie"/>
        <w:ind w:firstLine="709"/>
        <w:jc w:val="both"/>
        <w:rPr>
          <w:rFonts w:ascii="Century Gothic" w:hAnsi="Century Gothic" w:cs="Arial"/>
          <w:sz w:val="16"/>
          <w:szCs w:val="16"/>
          <w:lang w:val="es-ES"/>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r w:rsidRPr="00D31279">
        <w:rPr>
          <w:rFonts w:ascii="Century Gothic" w:hAnsi="Century Gothic" w:cs="Arial"/>
          <w:sz w:val="16"/>
          <w:szCs w:val="16"/>
          <w:lang w:val="es-ES"/>
        </w:rPr>
        <w:t>En:</w:t>
      </w:r>
    </w:p>
    <w:p w14:paraId="26BA638B" w14:textId="77777777" w:rsidR="001D2627" w:rsidRPr="00D31279" w:rsidRDefault="001D2627" w:rsidP="0071202A">
      <w:pPr>
        <w:pStyle w:val="Textonotapie"/>
        <w:ind w:firstLine="709"/>
        <w:jc w:val="both"/>
        <w:rPr>
          <w:rFonts w:ascii="Century Gothic" w:hAnsi="Century Gothic" w:cs="Arial"/>
          <w:sz w:val="16"/>
          <w:szCs w:val="16"/>
          <w:lang w:val="es-ES"/>
        </w:rPr>
      </w:pPr>
      <w:r w:rsidRPr="00D31279">
        <w:rPr>
          <w:rFonts w:ascii="Century Gothic" w:hAnsi="Century Gothic" w:cs="Arial"/>
          <w:sz w:val="16"/>
          <w:szCs w:val="16"/>
          <w:lang w:val="es-ES"/>
        </w:rPr>
        <w:t xml:space="preserve"> https://colombiacompra.gov.co/sites/cce_public/files/cce_documents/cce_guia_elaboracion_estudios.pdf</w:t>
      </w:r>
    </w:p>
  </w:footnote>
  <w:footnote w:id="24">
    <w:p w14:paraId="5203DAE9" w14:textId="3C62D867" w:rsidR="004B7582" w:rsidRPr="00D31279" w:rsidRDefault="004B7582" w:rsidP="004B7582">
      <w:pPr>
        <w:pStyle w:val="Textonotapie"/>
        <w:ind w:firstLine="709"/>
        <w:rPr>
          <w:rFonts w:ascii="Century Gothic" w:hAnsi="Century Gothic" w:cs="Arial"/>
          <w:sz w:val="16"/>
          <w:szCs w:val="16"/>
        </w:rPr>
      </w:pPr>
      <w:r w:rsidRPr="00D31279">
        <w:rPr>
          <w:rStyle w:val="Refdenotaalpie"/>
          <w:rFonts w:ascii="Century Gothic" w:hAnsi="Century Gothic" w:cs="Arial"/>
          <w:sz w:val="16"/>
          <w:szCs w:val="16"/>
        </w:rPr>
        <w:footnoteRef/>
      </w:r>
      <w:r w:rsidRPr="00D31279">
        <w:rPr>
          <w:rFonts w:ascii="Century Gothic" w:hAnsi="Century Gothic" w:cs="Arial"/>
          <w:sz w:val="16"/>
          <w:szCs w:val="16"/>
        </w:rPr>
        <w:t xml:space="preserve"> </w:t>
      </w:r>
      <w:hyperlink r:id="rId5" w:history="1">
        <w:r w:rsidRPr="00D31279">
          <w:rPr>
            <w:rStyle w:val="Hipervnculo"/>
            <w:rFonts w:ascii="Century Gothic" w:hAnsi="Century Gothic" w:cs="Arial"/>
            <w:color w:val="auto"/>
            <w:sz w:val="16"/>
            <w:szCs w:val="16"/>
          </w:rPr>
          <w:t>Instructivo para visualizar anexos en un archivo pdf | Colombia Compra Eficiente | Agencia Nacional de Contratación Pública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5F"/>
    <w:multiLevelType w:val="multilevel"/>
    <w:tmpl w:val="97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364488">
    <w:abstractNumId w:val="7"/>
  </w:num>
  <w:num w:numId="2" w16cid:durableId="308094936">
    <w:abstractNumId w:val="3"/>
  </w:num>
  <w:num w:numId="3" w16cid:durableId="1461529535">
    <w:abstractNumId w:val="5"/>
  </w:num>
  <w:num w:numId="4" w16cid:durableId="517086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6699838">
    <w:abstractNumId w:val="3"/>
  </w:num>
  <w:num w:numId="6" w16cid:durableId="2131390633">
    <w:abstractNumId w:val="13"/>
  </w:num>
  <w:num w:numId="7" w16cid:durableId="1234662179">
    <w:abstractNumId w:val="6"/>
  </w:num>
  <w:num w:numId="8" w16cid:durableId="1098915636">
    <w:abstractNumId w:val="12"/>
  </w:num>
  <w:num w:numId="9" w16cid:durableId="1112432137">
    <w:abstractNumId w:val="8"/>
  </w:num>
  <w:num w:numId="10" w16cid:durableId="1427965086">
    <w:abstractNumId w:val="11"/>
  </w:num>
  <w:num w:numId="11" w16cid:durableId="1316955405">
    <w:abstractNumId w:val="9"/>
  </w:num>
  <w:num w:numId="12" w16cid:durableId="1820077627">
    <w:abstractNumId w:val="2"/>
  </w:num>
  <w:num w:numId="13" w16cid:durableId="1698503064">
    <w:abstractNumId w:val="4"/>
  </w:num>
  <w:num w:numId="14" w16cid:durableId="488861123">
    <w:abstractNumId w:val="14"/>
  </w:num>
  <w:num w:numId="15" w16cid:durableId="990522961">
    <w:abstractNumId w:val="10"/>
  </w:num>
  <w:num w:numId="16" w16cid:durableId="1548224051">
    <w:abstractNumId w:val="0"/>
  </w:num>
  <w:num w:numId="17" w16cid:durableId="164550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26A6F"/>
    <w:rsid w:val="00061B2A"/>
    <w:rsid w:val="00073A57"/>
    <w:rsid w:val="00082362"/>
    <w:rsid w:val="0008337C"/>
    <w:rsid w:val="000858B4"/>
    <w:rsid w:val="000A37C3"/>
    <w:rsid w:val="000A5171"/>
    <w:rsid w:val="000A683E"/>
    <w:rsid w:val="000B19B9"/>
    <w:rsid w:val="000D0334"/>
    <w:rsid w:val="000E7A18"/>
    <w:rsid w:val="000F5221"/>
    <w:rsid w:val="000F6486"/>
    <w:rsid w:val="000F7162"/>
    <w:rsid w:val="00111C06"/>
    <w:rsid w:val="0011780F"/>
    <w:rsid w:val="00124C58"/>
    <w:rsid w:val="00125105"/>
    <w:rsid w:val="00127233"/>
    <w:rsid w:val="00130EA9"/>
    <w:rsid w:val="0019092A"/>
    <w:rsid w:val="001B037A"/>
    <w:rsid w:val="001B2AE5"/>
    <w:rsid w:val="001C6A49"/>
    <w:rsid w:val="001D2627"/>
    <w:rsid w:val="001E2019"/>
    <w:rsid w:val="001E4177"/>
    <w:rsid w:val="001F7DC6"/>
    <w:rsid w:val="00204301"/>
    <w:rsid w:val="002176CF"/>
    <w:rsid w:val="002421BB"/>
    <w:rsid w:val="002707A2"/>
    <w:rsid w:val="002951A0"/>
    <w:rsid w:val="002962BC"/>
    <w:rsid w:val="002A093D"/>
    <w:rsid w:val="002A0DD0"/>
    <w:rsid w:val="002A49AC"/>
    <w:rsid w:val="002A64FD"/>
    <w:rsid w:val="002B596C"/>
    <w:rsid w:val="002C3EC6"/>
    <w:rsid w:val="002C7A84"/>
    <w:rsid w:val="002E4FD9"/>
    <w:rsid w:val="00301211"/>
    <w:rsid w:val="00317587"/>
    <w:rsid w:val="00322A85"/>
    <w:rsid w:val="003448F4"/>
    <w:rsid w:val="00351DE7"/>
    <w:rsid w:val="00357527"/>
    <w:rsid w:val="00374F5E"/>
    <w:rsid w:val="00377E3E"/>
    <w:rsid w:val="003828BA"/>
    <w:rsid w:val="00382D86"/>
    <w:rsid w:val="003A779E"/>
    <w:rsid w:val="003D0F4D"/>
    <w:rsid w:val="003D5B0D"/>
    <w:rsid w:val="003E0499"/>
    <w:rsid w:val="003E1F8D"/>
    <w:rsid w:val="003E5DEB"/>
    <w:rsid w:val="003F3941"/>
    <w:rsid w:val="003F669C"/>
    <w:rsid w:val="00406575"/>
    <w:rsid w:val="0042722E"/>
    <w:rsid w:val="00427DC7"/>
    <w:rsid w:val="00480DAE"/>
    <w:rsid w:val="004A1847"/>
    <w:rsid w:val="004A305D"/>
    <w:rsid w:val="004B2F7C"/>
    <w:rsid w:val="004B633B"/>
    <w:rsid w:val="004B7582"/>
    <w:rsid w:val="004F21C4"/>
    <w:rsid w:val="004F685F"/>
    <w:rsid w:val="0050268E"/>
    <w:rsid w:val="005566E8"/>
    <w:rsid w:val="00557A06"/>
    <w:rsid w:val="00573BA2"/>
    <w:rsid w:val="00574867"/>
    <w:rsid w:val="00591460"/>
    <w:rsid w:val="005A2340"/>
    <w:rsid w:val="005C3777"/>
    <w:rsid w:val="005C5CDC"/>
    <w:rsid w:val="005D1D45"/>
    <w:rsid w:val="005D476C"/>
    <w:rsid w:val="0060361F"/>
    <w:rsid w:val="00607C88"/>
    <w:rsid w:val="006219F8"/>
    <w:rsid w:val="00624B1E"/>
    <w:rsid w:val="0064241B"/>
    <w:rsid w:val="00650602"/>
    <w:rsid w:val="006539EB"/>
    <w:rsid w:val="006578EA"/>
    <w:rsid w:val="00660520"/>
    <w:rsid w:val="00663F18"/>
    <w:rsid w:val="0066482C"/>
    <w:rsid w:val="00665D70"/>
    <w:rsid w:val="00677E90"/>
    <w:rsid w:val="006900D9"/>
    <w:rsid w:val="00691465"/>
    <w:rsid w:val="0069419C"/>
    <w:rsid w:val="006E039B"/>
    <w:rsid w:val="006E1F96"/>
    <w:rsid w:val="006F6A5C"/>
    <w:rsid w:val="007063DD"/>
    <w:rsid w:val="0070643B"/>
    <w:rsid w:val="00706C16"/>
    <w:rsid w:val="0071202A"/>
    <w:rsid w:val="00756841"/>
    <w:rsid w:val="00757A0A"/>
    <w:rsid w:val="007632F0"/>
    <w:rsid w:val="007633A2"/>
    <w:rsid w:val="007649AB"/>
    <w:rsid w:val="00771D0C"/>
    <w:rsid w:val="007833AC"/>
    <w:rsid w:val="007845D3"/>
    <w:rsid w:val="007B268C"/>
    <w:rsid w:val="007B7171"/>
    <w:rsid w:val="007B7663"/>
    <w:rsid w:val="007C3DC2"/>
    <w:rsid w:val="007E224F"/>
    <w:rsid w:val="007E5497"/>
    <w:rsid w:val="00806F5F"/>
    <w:rsid w:val="00820278"/>
    <w:rsid w:val="008843B6"/>
    <w:rsid w:val="00891928"/>
    <w:rsid w:val="008948A7"/>
    <w:rsid w:val="008A446D"/>
    <w:rsid w:val="008B207C"/>
    <w:rsid w:val="008D180B"/>
    <w:rsid w:val="008F0EA7"/>
    <w:rsid w:val="008F2D5E"/>
    <w:rsid w:val="00923EEF"/>
    <w:rsid w:val="009419F9"/>
    <w:rsid w:val="00961B09"/>
    <w:rsid w:val="00965334"/>
    <w:rsid w:val="0097093E"/>
    <w:rsid w:val="0098234E"/>
    <w:rsid w:val="00990F3B"/>
    <w:rsid w:val="009A5765"/>
    <w:rsid w:val="009A6976"/>
    <w:rsid w:val="009B2AD1"/>
    <w:rsid w:val="009B7000"/>
    <w:rsid w:val="009C71FA"/>
    <w:rsid w:val="009C72E7"/>
    <w:rsid w:val="009D7F23"/>
    <w:rsid w:val="009F3A13"/>
    <w:rsid w:val="00A122D3"/>
    <w:rsid w:val="00A17F13"/>
    <w:rsid w:val="00A20739"/>
    <w:rsid w:val="00A33C78"/>
    <w:rsid w:val="00A3568B"/>
    <w:rsid w:val="00A81699"/>
    <w:rsid w:val="00A83AB4"/>
    <w:rsid w:val="00AB02C6"/>
    <w:rsid w:val="00AB0ADB"/>
    <w:rsid w:val="00AC34BE"/>
    <w:rsid w:val="00AF0302"/>
    <w:rsid w:val="00AF6D48"/>
    <w:rsid w:val="00B20202"/>
    <w:rsid w:val="00B47F1F"/>
    <w:rsid w:val="00B72CD3"/>
    <w:rsid w:val="00B72FFF"/>
    <w:rsid w:val="00B75019"/>
    <w:rsid w:val="00B75576"/>
    <w:rsid w:val="00BC3D36"/>
    <w:rsid w:val="00BD7F72"/>
    <w:rsid w:val="00C02E7D"/>
    <w:rsid w:val="00C04FB3"/>
    <w:rsid w:val="00C25EF5"/>
    <w:rsid w:val="00C330EB"/>
    <w:rsid w:val="00C3559A"/>
    <w:rsid w:val="00C633A0"/>
    <w:rsid w:val="00C754BE"/>
    <w:rsid w:val="00C76B1C"/>
    <w:rsid w:val="00CA7DAD"/>
    <w:rsid w:val="00CB6357"/>
    <w:rsid w:val="00CC1B26"/>
    <w:rsid w:val="00CE222D"/>
    <w:rsid w:val="00D31279"/>
    <w:rsid w:val="00D423A2"/>
    <w:rsid w:val="00D63AC2"/>
    <w:rsid w:val="00D7383B"/>
    <w:rsid w:val="00D94836"/>
    <w:rsid w:val="00D95D3E"/>
    <w:rsid w:val="00DA231B"/>
    <w:rsid w:val="00DF5254"/>
    <w:rsid w:val="00E1083E"/>
    <w:rsid w:val="00E16408"/>
    <w:rsid w:val="00E20894"/>
    <w:rsid w:val="00E245AB"/>
    <w:rsid w:val="00E25389"/>
    <w:rsid w:val="00E2764C"/>
    <w:rsid w:val="00E27F2E"/>
    <w:rsid w:val="00E32EAE"/>
    <w:rsid w:val="00E42773"/>
    <w:rsid w:val="00E50AFE"/>
    <w:rsid w:val="00E53758"/>
    <w:rsid w:val="00E563D6"/>
    <w:rsid w:val="00E6278D"/>
    <w:rsid w:val="00E771DC"/>
    <w:rsid w:val="00E8772A"/>
    <w:rsid w:val="00E90F6B"/>
    <w:rsid w:val="00E92C27"/>
    <w:rsid w:val="00E97D30"/>
    <w:rsid w:val="00EA0E3D"/>
    <w:rsid w:val="00EA361B"/>
    <w:rsid w:val="00EB36F8"/>
    <w:rsid w:val="00EE1AA8"/>
    <w:rsid w:val="00F269E5"/>
    <w:rsid w:val="00F31EDC"/>
    <w:rsid w:val="00F462B3"/>
    <w:rsid w:val="00F5664F"/>
    <w:rsid w:val="00F666C4"/>
    <w:rsid w:val="00F76AFC"/>
    <w:rsid w:val="00F77364"/>
    <w:rsid w:val="00F900D1"/>
    <w:rsid w:val="00FB5DD1"/>
    <w:rsid w:val="00FC2B5D"/>
    <w:rsid w:val="00FF1449"/>
    <w:rsid w:val="00FF330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4DC5254E-3F79-46F4-ACF2-688ADBF1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Sinespaciado">
    <w:name w:val="No Spacing"/>
    <w:aliases w:val="No Indent"/>
    <w:uiPriority w:val="1"/>
    <w:qFormat/>
    <w:rsid w:val="001D2627"/>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2627"/>
    <w:rPr>
      <w:rFonts w:ascii="Geomanist Light" w:hAnsi="Geomanist Light"/>
      <w:lang w:val="es-ES"/>
    </w:rPr>
  </w:style>
  <w:style w:type="paragraph" w:customStyle="1" w:styleId="Appelnotedebasde">
    <w:name w:val="Appel note de bas de..."/>
    <w:basedOn w:val="Normal"/>
    <w:link w:val="Refdenotaalpie"/>
    <w:uiPriority w:val="99"/>
    <w:rsid w:val="001D2627"/>
    <w:pPr>
      <w:spacing w:line="240" w:lineRule="exact"/>
    </w:pPr>
    <w:rPr>
      <w:vertAlign w:val="superscript"/>
    </w:rPr>
  </w:style>
  <w:style w:type="character" w:customStyle="1" w:styleId="contentpasted0">
    <w:name w:val="contentpasted0"/>
    <w:basedOn w:val="Fuentedeprrafopredeter"/>
    <w:rsid w:val="001D2627"/>
  </w:style>
  <w:style w:type="character" w:styleId="Refdecomentario">
    <w:name w:val="annotation reference"/>
    <w:basedOn w:val="Fuentedeprrafopredeter"/>
    <w:uiPriority w:val="99"/>
    <w:semiHidden/>
    <w:unhideWhenUsed/>
    <w:rsid w:val="004B2F7C"/>
    <w:rPr>
      <w:sz w:val="16"/>
      <w:szCs w:val="16"/>
    </w:rPr>
  </w:style>
  <w:style w:type="paragraph" w:styleId="Textocomentario">
    <w:name w:val="annotation text"/>
    <w:basedOn w:val="Normal"/>
    <w:link w:val="TextocomentarioCar"/>
    <w:uiPriority w:val="99"/>
    <w:unhideWhenUsed/>
    <w:rsid w:val="004B2F7C"/>
    <w:pPr>
      <w:spacing w:line="240" w:lineRule="auto"/>
    </w:pPr>
    <w:rPr>
      <w:sz w:val="20"/>
      <w:szCs w:val="20"/>
    </w:rPr>
  </w:style>
  <w:style w:type="character" w:customStyle="1" w:styleId="TextocomentarioCar">
    <w:name w:val="Texto comentario Car"/>
    <w:basedOn w:val="Fuentedeprrafopredeter"/>
    <w:link w:val="Textocomentario"/>
    <w:uiPriority w:val="99"/>
    <w:rsid w:val="004B2F7C"/>
    <w:rPr>
      <w:sz w:val="20"/>
      <w:szCs w:val="20"/>
    </w:rPr>
  </w:style>
  <w:style w:type="paragraph" w:styleId="Asuntodelcomentario">
    <w:name w:val="annotation subject"/>
    <w:basedOn w:val="Textocomentario"/>
    <w:next w:val="Textocomentario"/>
    <w:link w:val="AsuntodelcomentarioCar"/>
    <w:uiPriority w:val="99"/>
    <w:semiHidden/>
    <w:unhideWhenUsed/>
    <w:rsid w:val="004B2F7C"/>
    <w:rPr>
      <w:b/>
      <w:bCs/>
    </w:rPr>
  </w:style>
  <w:style w:type="character" w:customStyle="1" w:styleId="AsuntodelcomentarioCar">
    <w:name w:val="Asunto del comentario Car"/>
    <w:basedOn w:val="TextocomentarioCar"/>
    <w:link w:val="Asuntodelcomentario"/>
    <w:uiPriority w:val="99"/>
    <w:semiHidden/>
    <w:rsid w:val="004B2F7C"/>
    <w:rPr>
      <w:b/>
      <w:bCs/>
      <w:sz w:val="20"/>
      <w:szCs w:val="20"/>
    </w:rPr>
  </w:style>
  <w:style w:type="character" w:styleId="Textoennegrita">
    <w:name w:val="Strong"/>
    <w:basedOn w:val="Fuentedeprrafopredeter"/>
    <w:uiPriority w:val="22"/>
    <w:qFormat/>
    <w:rsid w:val="00EB36F8"/>
    <w:rPr>
      <w:b/>
      <w:bCs/>
    </w:rPr>
  </w:style>
  <w:style w:type="character" w:styleId="nfasis">
    <w:name w:val="Emphasis"/>
    <w:basedOn w:val="Fuentedeprrafopredeter"/>
    <w:uiPriority w:val="20"/>
    <w:qFormat/>
    <w:rsid w:val="00EB36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2.2.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facevedo@hot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infografias/instructivo-para-visualizar-anexos-en-un-archivo-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Normatividad/SEGUNDA%20PUBLICACI%c3%93N%20-%20MEMORIA%20JUSTIFICATIVA%2024_09_2021.pdf" TargetMode="External"/><Relationship Id="rId2" Type="http://schemas.openxmlformats.org/officeDocument/2006/relationships/hyperlink" Target="https://colaboracion.dnp.gov.co/CDT/Conpes/Econ%C3%B3micos/3956.pdf" TargetMode="External"/><Relationship Id="rId1" Type="http://schemas.openxmlformats.org/officeDocument/2006/relationships/hyperlink" Target="https://relatoria.colombiacompra.gov.co/busqueda/conceptos" TargetMode="External"/><Relationship Id="rId5" Type="http://schemas.openxmlformats.org/officeDocument/2006/relationships/hyperlink" Target="https://www.colombiacompra.gov.co/sala-de-prensa/infografias/instructivo-para-visualizar-anexos-en-un-archivo-pdf" TargetMode="External"/><Relationship Id="rId4" Type="http://schemas.openxmlformats.org/officeDocument/2006/relationships/hyperlink" Target="https://colombiacompra.gov.co/sites/cce_public/files/cce_documents/cce_guia_elaboracion_estudio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Olga Isabel Pertuz De La Hoz</DisplayName>
        <AccountId>692</AccountId>
        <AccountType/>
      </UserInfo>
      <UserInfo>
        <DisplayName>Ximena Ríos López</DisplayName>
        <AccountId>48</AccountId>
        <AccountType/>
      </UserInfo>
      <UserInfo>
        <DisplayName>Alejandro Sarmiento</DisplayName>
        <AccountId>119</AccountId>
        <AccountType/>
      </UserInfo>
      <UserInfo>
        <DisplayName>Nohelia Del Carmen Zawady Palacio</DisplayName>
        <AccountId>289</AccountId>
        <AccountType/>
      </UserInfo>
    </SharedWithUsers>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3.xml><?xml version="1.0" encoding="utf-8"?>
<ds:datastoreItem xmlns:ds="http://schemas.openxmlformats.org/officeDocument/2006/customXml" ds:itemID="{AF30C551-22B5-4106-BC90-F717E3A25D73}">
  <ds:schemaRefs>
    <ds:schemaRef ds:uri="http://schemas.openxmlformats.org/officeDocument/2006/bibliography"/>
  </ds:schemaRefs>
</ds:datastoreItem>
</file>

<file path=customXml/itemProps4.xml><?xml version="1.0" encoding="utf-8"?>
<ds:datastoreItem xmlns:ds="http://schemas.openxmlformats.org/officeDocument/2006/customXml" ds:itemID="{B81707EC-0C28-4F54-9BEE-F315CC71341B}"/>
</file>

<file path=docProps/app.xml><?xml version="1.0" encoding="utf-8"?>
<Properties xmlns="http://schemas.openxmlformats.org/officeDocument/2006/extended-properties" xmlns:vt="http://schemas.openxmlformats.org/officeDocument/2006/docPropsVTypes">
  <Template>Normal</Template>
  <TotalTime>4</TotalTime>
  <Pages>26</Pages>
  <Words>8406</Words>
  <Characters>46239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6</cp:revision>
  <cp:lastPrinted>2023-01-10T21:18:00Z</cp:lastPrinted>
  <dcterms:created xsi:type="dcterms:W3CDTF">2024-02-16T16:10:00Z</dcterms:created>
  <dcterms:modified xsi:type="dcterms:W3CDTF">2024-02-16T19:30:00Z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