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0DAD2"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LEY 136 DE 1994 – Convenios Solidarios – Definición - Ámbito de aplicación – Organismos de Acción Comunal – Régimen jurídico</w:t>
      </w:r>
    </w:p>
    <w:p w14:paraId="4E477EA8"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27D2E11A"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De conformidad con lo dispuesto en el parágrafo tercero del artículo 3 de la Ley 136 de 1994, los convenios solidarios se definen como “la complementación de esfuerzos institucionales, comunitarios, económicos y sociales para la construcción de obras y la satisfacción de necesidades y aspiraciones de las comunidades”. De acuerdo con dicha definición y lo expresado en los apartes 2.1. y 2.2. de este concepto, los convenios solidarios podrán ser suscritos para diferentes objetos y es posible evidenciar tres regímenes jurídicos para su suscripción. </w:t>
      </w:r>
    </w:p>
    <w:p w14:paraId="601275C4"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3F3CB971"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cada alternativa contempla su propio régimen jurídico para efectos de la gestión contractual. En este contexto, como exigencia acorde a los principios de la función administrativa, la planeación impone el deber de realizar estudios previos y análisis del sector económico, pues son los insumos para determinar desde el punto de vista técnico tanto las necesidades prioritarias como los presupuestos estimados de cada proyecto. Por otra parte, además de lo explicado en el apartado 2.3 sobre la contratación de los parágrafos tercero y quinto del artículo tercero de la Ley 136 de 1994, cada una de ellas precisa el procedimiento de selección aplicable, aclarando que este se rige por las normas de la contratación directa en el primer régimen y que, para efectos del segundo, el procedimiento será competitivo o no competitivo de acuerdo con los previsto en el artículo 4 del Decreto 092 de 2017.</w:t>
      </w:r>
    </w:p>
    <w:p w14:paraId="17A30AB5"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64DE6F62"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 xml:space="preserve">LEY 2166 DE 2021 – Organismos de Acción Comunal – Artículo 95 – Convenios solidarios – Contratación directa – Contratos de obra- menor cuantía </w:t>
      </w:r>
    </w:p>
    <w:p w14:paraId="4463F431"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499BE3BA"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El primer régimen encuentra su fundamento en el parágrafo cuarto del artículo 3 de la Ley 136 de 1994, el artículo 95 de la Ley 2166 de 2021 y el artículo 15 del Decreto 142 de 2023 que adicionó el artículo 2.2.15.1.2. del Decreto 1082 de 2015, Como se indicó, este determina una </w:t>
      </w:r>
      <w:proofErr w:type="spellStart"/>
      <w:r w:rsidRPr="00C24A08">
        <w:rPr>
          <w:rFonts w:ascii="Century Gothic" w:hAnsi="Century Gothic"/>
          <w:sz w:val="20"/>
          <w:szCs w:val="20"/>
        </w:rPr>
        <w:t>sub-regla</w:t>
      </w:r>
      <w:proofErr w:type="spellEnd"/>
      <w:r w:rsidRPr="00C24A08">
        <w:rPr>
          <w:rFonts w:ascii="Century Gothic" w:hAnsi="Century Gothic"/>
          <w:sz w:val="20"/>
          <w:szCs w:val="20"/>
        </w:rPr>
        <w:t xml:space="preserve"> de contratación prevalente por su especificidad. Para la aplicabilidad de este régimen es necesario que concurran los siguientes requisitos: i) que las partes intervinientes sean, por un lado, entidades de orden nacional, departamental, distrital o municipal y, por otro, Organismos de Acción Comunal; </w:t>
      </w:r>
      <w:proofErr w:type="spellStart"/>
      <w:r w:rsidRPr="00C24A08">
        <w:rPr>
          <w:rFonts w:ascii="Century Gothic" w:hAnsi="Century Gothic"/>
          <w:sz w:val="20"/>
          <w:szCs w:val="20"/>
        </w:rPr>
        <w:t>ii</w:t>
      </w:r>
      <w:proofErr w:type="spellEnd"/>
      <w:r w:rsidRPr="00C24A08">
        <w:rPr>
          <w:rFonts w:ascii="Century Gothic" w:hAnsi="Century Gothic"/>
          <w:sz w:val="20"/>
          <w:szCs w:val="20"/>
        </w:rPr>
        <w:t xml:space="preserve">) que el objeto contractual consista únicamente en la ejecución de obras; y, </w:t>
      </w:r>
      <w:proofErr w:type="spellStart"/>
      <w:r w:rsidRPr="00C24A08">
        <w:rPr>
          <w:rFonts w:ascii="Century Gothic" w:hAnsi="Century Gothic"/>
          <w:sz w:val="20"/>
          <w:szCs w:val="20"/>
        </w:rPr>
        <w:t>iii</w:t>
      </w:r>
      <w:proofErr w:type="spellEnd"/>
      <w:r w:rsidRPr="00C24A08">
        <w:rPr>
          <w:rFonts w:ascii="Century Gothic" w:hAnsi="Century Gothic"/>
          <w:sz w:val="20"/>
          <w:szCs w:val="20"/>
        </w:rPr>
        <w:t xml:space="preserve">) que el contrato no supere la menor cuantía. De concurrir las anteriores circunstancias, la norma autoriza la contratación directa entre dichas entidades y el respectivo Organismo de Acción Comunal, previamente legalizada y reconocida ante los organismos competentes. En todo caso, esta contratación debe tomar como personal para la ejecución de la obra a los habitantes de la comunidad. </w:t>
      </w:r>
    </w:p>
    <w:p w14:paraId="7C7C2DEF"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42FB2216"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 xml:space="preserve">LEY 2166 DE 2021 – Artículo 63 – Convenios solidarios – menor cuantía – Artículo 141 de la Ley 136 de 1994 </w:t>
      </w:r>
    </w:p>
    <w:p w14:paraId="37576E00"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3023BED5"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Un segundo régimen o modalidad de contratación se encuentra prevista en el Decreto 092 de 2017, exceptuando lo consignado en su artículo quinto, pues versa sobre convenios de asociación. Este decreto desarrolla, en términos generales, la contratación autorizada por </w:t>
      </w:r>
      <w:r w:rsidRPr="00C24A08">
        <w:rPr>
          <w:rFonts w:ascii="Century Gothic" w:hAnsi="Century Gothic"/>
          <w:sz w:val="20"/>
          <w:szCs w:val="20"/>
        </w:rPr>
        <w:lastRenderedPageBreak/>
        <w:t xml:space="preserve">el artículo 355 de la Constitución Política, la cual, en concordancia con el numeral 16 y el parágrafo tercero del artículo 3 de la Ley 136 de 1994, puede manifestarse a través de convenios solidarios. En este sentido, el régimen especial y preferente previsto en el Decreto 092 de 2017 para la celebración de convenios solidarios será aplicable cuando se reúnan los siguientes requisitos: i) que las partes intervinientes sean, de un lado, entidades territoriales del orden nacional, departamental, distrital o municipal y, de otro, Organismos de Acción Comunal de reconocida idoneidad; </w:t>
      </w:r>
      <w:proofErr w:type="spellStart"/>
      <w:r w:rsidRPr="00C24A08">
        <w:rPr>
          <w:rFonts w:ascii="Century Gothic" w:hAnsi="Century Gothic"/>
          <w:sz w:val="20"/>
          <w:szCs w:val="20"/>
        </w:rPr>
        <w:t>ii</w:t>
      </w:r>
      <w:proofErr w:type="spellEnd"/>
      <w:r w:rsidRPr="00C24A08">
        <w:rPr>
          <w:rFonts w:ascii="Century Gothic" w:hAnsi="Century Gothic"/>
          <w:sz w:val="20"/>
          <w:szCs w:val="20"/>
        </w:rPr>
        <w:t xml:space="preserve">) que el objeto del contrato esté dirigido al impulso de programas y actividades de interés público acordes con el plan de desarrollo aplicable; </w:t>
      </w:r>
      <w:proofErr w:type="spellStart"/>
      <w:r w:rsidRPr="00C24A08">
        <w:rPr>
          <w:rFonts w:ascii="Century Gothic" w:hAnsi="Century Gothic"/>
          <w:sz w:val="20"/>
          <w:szCs w:val="20"/>
        </w:rPr>
        <w:t>iii</w:t>
      </w:r>
      <w:proofErr w:type="spellEnd"/>
      <w:r w:rsidRPr="00C24A08">
        <w:rPr>
          <w:rFonts w:ascii="Century Gothic" w:hAnsi="Century Gothic"/>
          <w:sz w:val="20"/>
          <w:szCs w:val="20"/>
        </w:rPr>
        <w:t xml:space="preserve">) que el contrato no refleje relaciones conmutativas que impliquen contraprestaciones para la entidad del Estado; </w:t>
      </w:r>
      <w:proofErr w:type="spellStart"/>
      <w:r w:rsidRPr="00C24A08">
        <w:rPr>
          <w:rFonts w:ascii="Century Gothic" w:hAnsi="Century Gothic"/>
          <w:sz w:val="20"/>
          <w:szCs w:val="20"/>
        </w:rPr>
        <w:t>iv</w:t>
      </w:r>
      <w:proofErr w:type="spellEnd"/>
      <w:r w:rsidRPr="00C24A08">
        <w:rPr>
          <w:rFonts w:ascii="Century Gothic" w:hAnsi="Century Gothic"/>
          <w:sz w:val="20"/>
          <w:szCs w:val="20"/>
        </w:rPr>
        <w:t xml:space="preserve">) que la entidad del Estado no imparta instrucciones precisas para la ejecución del objeto convenido; y, v) en virtud del literal f) del artículo 16 de la Ley 2166 de 2021, su cuantía no puede ser superior a la menor cuantía. </w:t>
      </w:r>
    </w:p>
    <w:p w14:paraId="665CBA22"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w:t>
      </w:r>
    </w:p>
    <w:p w14:paraId="0E5D9281"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Por último, en armonía con la modificación realizada por la Ley 1955 de 2019 y la Ley 2200 de 2022, se presenta un tercer régimen, que encuentra su fundamento en los parágrafos tercero y quinto del artículo tercero de la Ley 136 de 1994, que deben interpretarse armónicamente con lo dispuesto en el artículo 141 de la precitada Ley y el artículo 63 de la Ley 2166 de 2021. En virtud de tales disposiciones normativas, los Organismos de Acción Comunal cuentan con la posibilidad de vincularse al desarrollo y mejoramiento municipal y departamental mediante la participación en el ejercicio de las funciones. (…) Las normas previamente citadas disponen que se aplicarán los artículos 375 a 378 del Decreto 1333 de 1986 así como el EGCAP. Frente a este régimen de contratación la Agencia ha indicado que aquel resulta aplicable a todos los casos no reglamentados a través de normas específicas en los que: i) se vinculen entidades del orden departamental, municipal o distrital y Organismos de Acción Comunal; </w:t>
      </w:r>
      <w:proofErr w:type="spellStart"/>
      <w:r w:rsidRPr="00C24A08">
        <w:rPr>
          <w:rFonts w:ascii="Century Gothic" w:hAnsi="Century Gothic"/>
          <w:sz w:val="20"/>
          <w:szCs w:val="20"/>
        </w:rPr>
        <w:t>ii</w:t>
      </w:r>
      <w:proofErr w:type="spellEnd"/>
      <w:r w:rsidRPr="00C24A08">
        <w:rPr>
          <w:rFonts w:ascii="Century Gothic" w:hAnsi="Century Gothic"/>
          <w:sz w:val="20"/>
          <w:szCs w:val="20"/>
        </w:rPr>
        <w:t xml:space="preserve">) se cumpla con el objetivo planteado en el parágrafo tercero del artículo tercero de la Ley 136 de 1994 y el artículo 63 de la Ley 2166 de 2021, en consonancia con el artículo 355 constitucional; y </w:t>
      </w:r>
      <w:proofErr w:type="spellStart"/>
      <w:r w:rsidRPr="00C24A08">
        <w:rPr>
          <w:rFonts w:ascii="Century Gothic" w:hAnsi="Century Gothic"/>
          <w:sz w:val="20"/>
          <w:szCs w:val="20"/>
        </w:rPr>
        <w:t>iii</w:t>
      </w:r>
      <w:proofErr w:type="spellEnd"/>
      <w:r w:rsidRPr="00C24A08">
        <w:rPr>
          <w:rFonts w:ascii="Century Gothic" w:hAnsi="Century Gothic"/>
          <w:sz w:val="20"/>
          <w:szCs w:val="20"/>
        </w:rPr>
        <w:t xml:space="preserve">) no exista otra forma especial de contratación. </w:t>
      </w:r>
    </w:p>
    <w:p w14:paraId="36CA24C6"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03F18578"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 xml:space="preserve">ORGANISMOS DE ACCIÓN COMUNAL – Capacidad jurídica – </w:t>
      </w:r>
    </w:p>
    <w:p w14:paraId="6399EF49"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237DA12F"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En desarrollo de ese ejercicio democrático, el artículo 16 ibidem dispuso como funciones de los Organismos de Acción Comunal promover y fortalecer en el individuo, el sentido de pertenencia frente a su comunidad, localidad, distrito o municipio a través del ejercicio de la democracia participativa, y en virtud a ello generar procesos comunitarios como la formulación, ejecución y administración, entre otros, de planes, programas y proyectos de desarrollo comunitario, por lo que se encuentran facultadas para celebrar contratos con entidades del estado, empresas públicas y privadas del orden internacional, nacional, departamental, distrital, municipal y local, hasta de menor cuantía, con el fin de impulsar planes, programas y proyectos acordes con los planes comunales y comunitarios de desarrollo territorial.</w:t>
      </w:r>
    </w:p>
    <w:p w14:paraId="259D3D80" w14:textId="77777777" w:rsidR="009B7745"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w:t>
      </w:r>
    </w:p>
    <w:p w14:paraId="1C4D1E89"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Asimismo, el artículo 9 ibidem dispuso que “cada organismo de acción comunal desarrollará sus actividades dentro de un territorio delimitado”, indicando las orientaciones para dicha limitación. (…) De lo anterior se concluye, que con base en el principio de participación, el objeto social de las Juntas de Acción Comunal está definido y limitado a la territorialidad a la cual pertenece y tiene jurisdicción, por lo tanto, no podrá ejecutar </w:t>
      </w:r>
      <w:r w:rsidRPr="00C24A08">
        <w:rPr>
          <w:rFonts w:ascii="Century Gothic" w:hAnsi="Century Gothic"/>
          <w:sz w:val="20"/>
          <w:szCs w:val="20"/>
        </w:rPr>
        <w:lastRenderedPageBreak/>
        <w:t>actividades por fuera de esta, pues sólo así se garantizaría que el desarrollo de la comunidad, se dé a través de un proceso territorial que integren los esfuerzos de su población, organismos y el Estado, para mejorar la calidad de vida de las comunidades, fortaleciendo así la construcción de las mismas, a partir de los planes de desarrollo comunales y comunitarios construidos y concertados por los afiliados a los organismos comunales, en articulación con las autoridades de cada uno de sus territorios.</w:t>
      </w:r>
    </w:p>
    <w:p w14:paraId="559928BD"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6FBCB2A0"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ORGANISMOS DE ACCIÓN COMUNAL – Capacidad técnica – Acreditación</w:t>
      </w:r>
    </w:p>
    <w:p w14:paraId="351D8768"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48E06E2F" w14:textId="77777777" w:rsidR="009B7745"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Por lo demás, en lo que respecta a la capacidad técnica del organismo de acción comunal, es necesario tener en cuenta que –de acuerdo en lo explicado en el apartado 2.1 – el convenio solidario se suscribe en ámbito de colaboración institucional. De adoptar una forma contractual, como ocurre en los procedimientos adelantados a través del artículo 2 de la Ley 1150 de 2007, la sujeción del contratista a la entidad justifica requisitos estrictos para la validación de la experiencia, pues es este último quien se encargará de la ejecución de las obligaciones. No obstante, en los convenios autorizados por la Ley 136 de 1994 y sus normas complementarias, las partes actúan en un ámbito de colaboración, por lo cual - de acuerdo con las capacidades de cada extremo de la relación– ambas deben aunar sus esfuerzos para satisfacer la necesidad conjunta.</w:t>
      </w:r>
    </w:p>
    <w:p w14:paraId="64EFCCE6" w14:textId="77777777" w:rsidR="009B7745"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w:t>
      </w:r>
    </w:p>
    <w:p w14:paraId="5E948CDD"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hAnsi="Century Gothic"/>
          <w:sz w:val="20"/>
          <w:szCs w:val="20"/>
        </w:rPr>
        <w:t>En estricto sentido, desde un punto de vista jurídico, podría ser razonable afirmar que , la validación de la idoneidad a los Organismos de Acción Comunal podría realizarse a través de criterios dirigidos a medir las capacidades propias de los mismos o de quienes los conforman, en aspectos como, por ejemplo, la ejecución exitosa de convenios solidarios anteriores, la acreditación de personal profesional con experiencia en el desarrollo de obras civiles, el cumplimiento de obligaciones como mano de obra calificada o no calificada. Sin embargo, dichos criterios se deben determinar por la Entidad Estatal luego de haber adelantado el respectivo análisis para conocer el sector relativo al objeto del convenio que se pretenda celebrar.</w:t>
      </w:r>
    </w:p>
    <w:p w14:paraId="03ECD70D"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3002BC41"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 xml:space="preserve">SUPERVISIÓN – Régimen jurídico </w:t>
      </w:r>
    </w:p>
    <w:p w14:paraId="73FCDBBB"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46869822"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La Ley 1474 de 2011, “por la cual se dictan normas orientadas a fortalecer los mecanismos de prevención, investigación y sanción de actos de corrupción y la efectividad del control de la gestión pública”, obliga a las entidades públicas a vigilar la correcta ejecución del objeto contratado a través de las figuras de “supervisión” o de “interventoría”, con la finalidad de lograr la correcta ejecución del contrato y prevenir actos de corrupción que afecten la moralidad administrativa.</w:t>
      </w:r>
    </w:p>
    <w:p w14:paraId="34872C4A"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40BAE7DA"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En este sentido, el artículo 83 de la citada norma define la supervisión como el seguimiento técnico, administrativo, financiero, contable, y jurídico que debe ejercer la entidad contratante sobre el cumplimiento del objeto del contrato, cuando no se requiera un conocimiento especializado. </w:t>
      </w:r>
    </w:p>
    <w:p w14:paraId="5D5D6F49"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64831C3C"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La obligación mencionada guarda relación con el principio de responsabilidad que rige la celebración y ejecución de los contratos estatales. Así, por ejemplo, los artículos 4, 5, 12, 14,26 y 32 de la Ley 80 de 1993 consagran normas relacionadas con el control y vigilancia </w:t>
      </w:r>
      <w:r w:rsidRPr="00C24A08">
        <w:rPr>
          <w:rFonts w:ascii="Century Gothic" w:hAnsi="Century Gothic"/>
          <w:sz w:val="20"/>
          <w:szCs w:val="20"/>
        </w:rPr>
        <w:lastRenderedPageBreak/>
        <w:t xml:space="preserve">de la ejecución de los contratos estatales. Estas disposiciones establecen, entre otros aspectos, la obligación de las entidades estatales de velar por el correcto y oportuno cumplimiento de las prestaciones del contrato o convenio, las especificaciones de los bienes, obras y servicios objeto </w:t>
      </w:r>
      <w:proofErr w:type="gramStart"/>
      <w:r w:rsidRPr="00C24A08">
        <w:rPr>
          <w:rFonts w:ascii="Century Gothic" w:hAnsi="Century Gothic"/>
          <w:sz w:val="20"/>
          <w:szCs w:val="20"/>
        </w:rPr>
        <w:t>del mismo</w:t>
      </w:r>
      <w:proofErr w:type="gramEnd"/>
      <w:r w:rsidRPr="00C24A08">
        <w:rPr>
          <w:rFonts w:ascii="Century Gothic" w:hAnsi="Century Gothic"/>
          <w:sz w:val="20"/>
          <w:szCs w:val="20"/>
        </w:rPr>
        <w:t xml:space="preserve">, las condiciones de calidad ofrecidas, etc. Esta obligación se predica, en principio, del jefe o representante legal de la entidad, por tener la responsabilidad de la dirección y manejo de la actividad contractual, pero también de los servidores públicos que intervienen en ella. En ese sentido, las entidades estatales deben ejercer el control de la ejecución del contrato o convenio y, de ser el caso, tomar medidas para exigir el adecuado cumplimiento. </w:t>
      </w:r>
    </w:p>
    <w:p w14:paraId="14DF0609"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4AF751BF"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hAnsi="Century Gothic"/>
          <w:sz w:val="20"/>
          <w:szCs w:val="20"/>
        </w:rPr>
        <w:t>Las Leyes 1150 de 2007 y 1474 de 2011 complementan el régimen jurídico de la obligación de vigilar la correcta ejecución de los contratos estatales. Allí se impone el debido proceso como principio rector en materia sancionatoria contractual, entre otros, para la imposición de multas y la decisión de hacer efectiva la cláusula penal; principio que se debe respetar en el ejercicio del control y vigilancia de la ejecución contractual. También se establecen los límites de la responsabilidad del representante legal ante la delegación de sus funciones en materia contractual y se regula la supervisión y la interventoría de los contratos estatales.</w:t>
      </w:r>
    </w:p>
    <w:p w14:paraId="0D07FB5C"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0642AC47"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SUPERVISIÓN – Aplicabilidad a los convenios solidarios</w:t>
      </w:r>
    </w:p>
    <w:p w14:paraId="46D7C794"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5F1063E9"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Ahora bien, frente a los convenios solidarios suscrito con Organismos de Acción Comunal, no cabe duda que las Entidades Estatales que lo suscriban les asiste el deber de vigilar la correcta ejecución del objeto acordado y a proteger tanto los derechos de la propia entidad como los del Organismo y terceros que puedan verse afectados por la ejecución del dicho convenio, sin importar el régimen jurídico que les aplique, para lo cual deberá contar o disponer de servidores públicos o contratistas que cuenten con la idoneidad técnica, administrativa y contable para de vigilar el cumplimiento de las obligaciones pactadas por las partes y apoyar al Organismo de Acción Comunal, en la ejecución de las obras. </w:t>
      </w:r>
    </w:p>
    <w:p w14:paraId="12D5D81C"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p>
    <w:p w14:paraId="30D06451"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hAnsi="Century Gothic"/>
          <w:sz w:val="20"/>
          <w:szCs w:val="20"/>
        </w:rPr>
        <w:t>Igualmente, resulta importante aclarar, sin perjuicio de la supervisión ejercida directamente por la Entidad Estatal, frente a los convenios solidarios cuyo objeto sea exclusivamente la ejecución de obras hasta por la menor cuantía, no le asiste a la Entidad Estatal la obligación de contratar un tercero interventor de conformidad con el numeral 1 del artículo 32 de la Ley 80 de 1993 y el parágrafo 1 del artículo 83 de la Ley 1474 de 2011, pues este sólo es obligatorio en obras cuya contratación se origine de procesos de selección por licitación pública, sin embargo, en caso de considerarlo necesario, las entidades estatales se encuentran facultadas para contratarlos debida justificación en los documentos precontractuales</w:t>
      </w:r>
      <w:r>
        <w:rPr>
          <w:rFonts w:ascii="Century Gothic" w:hAnsi="Century Gothic"/>
          <w:sz w:val="20"/>
          <w:szCs w:val="20"/>
        </w:rPr>
        <w:t>.</w:t>
      </w:r>
    </w:p>
    <w:p w14:paraId="45A54F77"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71E6727A" w14:textId="77777777" w:rsidR="009B7745"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30C2A1E4"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eastAsia="Calibri" w:hAnsi="Century Gothic" w:cs="Arial"/>
          <w:b/>
          <w:sz w:val="20"/>
          <w:szCs w:val="20"/>
          <w:lang w:val="es-MX" w:eastAsia="es-ES_tradnl"/>
        </w:rPr>
        <w:t>PUBLICACIÓN EN SECOP – Principio de transparencia – Convenios solidarios</w:t>
      </w:r>
    </w:p>
    <w:p w14:paraId="35C96D23"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0B6CB23B" w14:textId="77777777" w:rsidR="009B7745" w:rsidRPr="00C24A08"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El principio de publicidad impone a las autoridades el deber de dar a conocer sus actos, contratos y decisiones, para que se divulguen y eventualmente se controlen dichas actuaciones. Por lo tanto, en la contratación estatal, el literal c), del artículo 3, de la Ley 1150 de 2007 establece el Sistema Electrónico para la Contratación Pública –SECOP– como </w:t>
      </w:r>
      <w:r w:rsidRPr="00C24A08">
        <w:rPr>
          <w:rFonts w:ascii="Century Gothic" w:hAnsi="Century Gothic"/>
          <w:sz w:val="20"/>
          <w:szCs w:val="20"/>
        </w:rPr>
        <w:lastRenderedPageBreak/>
        <w:t>un mecanismo que “contará con la información oficial de la contratación realizada con dineros públicos, para lo cual establecerá los patrones a que haya lugar y se encargará de su difusión a través de canales electrónicos”.</w:t>
      </w:r>
    </w:p>
    <w:p w14:paraId="63FE4518" w14:textId="77777777" w:rsidR="009B7745" w:rsidRDefault="009B7745" w:rsidP="009B7745">
      <w:pPr>
        <w:shd w:val="clear" w:color="auto" w:fill="FFFFFF" w:themeFill="background1"/>
        <w:spacing w:before="240" w:after="120" w:line="240" w:lineRule="auto"/>
        <w:contextualSpacing/>
        <w:jc w:val="both"/>
        <w:rPr>
          <w:rFonts w:ascii="Century Gothic" w:hAnsi="Century Gothic"/>
          <w:sz w:val="20"/>
          <w:szCs w:val="20"/>
        </w:rPr>
      </w:pPr>
      <w:r w:rsidRPr="00C24A08">
        <w:rPr>
          <w:rFonts w:ascii="Century Gothic" w:hAnsi="Century Gothic"/>
          <w:sz w:val="20"/>
          <w:szCs w:val="20"/>
        </w:rPr>
        <w:t xml:space="preserve">(…) </w:t>
      </w:r>
    </w:p>
    <w:p w14:paraId="2CAD8462"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r w:rsidRPr="00C24A08">
        <w:rPr>
          <w:rFonts w:ascii="Century Gothic" w:hAnsi="Century Gothic"/>
          <w:sz w:val="20"/>
          <w:szCs w:val="20"/>
        </w:rPr>
        <w:t>Por lo tanto, se advierte que, en la celebración y ejecución de convenios solidarios, sin distinción de su régimen jurídico, no se exime a la Entidad Estatal, en su obligación de publicar sus actuaciones contractuales en el Sistema Electrónico de la Contratación Pública – SECOP, plataforma en la que además el Organismo de Acción Comunal deberá publicar, cuando se encuentre obligada a hacerlo, los documentos contractuales que se originen en el marco del convenio solidario, de conformidad a lo expuesto en este acápite</w:t>
      </w:r>
      <w:r>
        <w:rPr>
          <w:rFonts w:ascii="Century Gothic" w:hAnsi="Century Gothic"/>
          <w:sz w:val="20"/>
          <w:szCs w:val="20"/>
        </w:rPr>
        <w:t>.</w:t>
      </w:r>
    </w:p>
    <w:p w14:paraId="17BC7534" w14:textId="77777777" w:rsidR="009B7745" w:rsidRPr="00C24A08" w:rsidRDefault="009B7745" w:rsidP="009B7745">
      <w:pPr>
        <w:shd w:val="clear" w:color="auto" w:fill="FFFFFF" w:themeFill="background1"/>
        <w:spacing w:before="240" w:after="120" w:line="240" w:lineRule="auto"/>
        <w:contextualSpacing/>
        <w:jc w:val="both"/>
        <w:rPr>
          <w:rFonts w:ascii="Century Gothic" w:eastAsia="Calibri" w:hAnsi="Century Gothic" w:cs="Arial"/>
          <w:b/>
          <w:sz w:val="20"/>
          <w:szCs w:val="20"/>
          <w:lang w:val="es-MX" w:eastAsia="es-ES_tradnl"/>
        </w:rPr>
      </w:pPr>
    </w:p>
    <w:p w14:paraId="33E8F7F3" w14:textId="77777777" w:rsidR="009B7745" w:rsidRDefault="009B7745" w:rsidP="009B7745">
      <w:pPr>
        <w:spacing w:after="0"/>
        <w:rPr>
          <w:rFonts w:ascii="Century Gothic" w:hAnsi="Century Gothic"/>
        </w:rPr>
      </w:pPr>
    </w:p>
    <w:p w14:paraId="0B7CF7A1" w14:textId="77777777" w:rsidR="009B7745" w:rsidRDefault="009B7745" w:rsidP="009B7745">
      <w:pPr>
        <w:spacing w:after="0"/>
        <w:rPr>
          <w:rFonts w:ascii="Century Gothic" w:hAnsi="Century Gothic"/>
        </w:rPr>
      </w:pPr>
    </w:p>
    <w:p w14:paraId="54348081" w14:textId="77777777" w:rsidR="009B7745" w:rsidRDefault="009B7745" w:rsidP="009B7745">
      <w:pPr>
        <w:spacing w:after="0"/>
        <w:rPr>
          <w:rFonts w:ascii="Century Gothic" w:hAnsi="Century Gothic"/>
        </w:rPr>
      </w:pPr>
    </w:p>
    <w:p w14:paraId="7D32A45C" w14:textId="77777777" w:rsidR="009B7745" w:rsidRDefault="009B7745" w:rsidP="009B7745">
      <w:pPr>
        <w:spacing w:after="0"/>
        <w:rPr>
          <w:rFonts w:ascii="Century Gothic" w:hAnsi="Century Gothic"/>
        </w:rPr>
      </w:pPr>
    </w:p>
    <w:p w14:paraId="1AD852E9" w14:textId="77777777" w:rsidR="009B7745" w:rsidRDefault="009B7745" w:rsidP="009B7745">
      <w:pPr>
        <w:spacing w:after="0"/>
        <w:rPr>
          <w:rFonts w:ascii="Century Gothic" w:hAnsi="Century Gothic"/>
        </w:rPr>
      </w:pPr>
    </w:p>
    <w:p w14:paraId="77F1874A" w14:textId="77777777" w:rsidR="009B7745" w:rsidRDefault="009B7745" w:rsidP="009B7745">
      <w:pPr>
        <w:spacing w:after="0"/>
        <w:rPr>
          <w:rFonts w:ascii="Century Gothic" w:hAnsi="Century Gothic"/>
        </w:rPr>
      </w:pPr>
    </w:p>
    <w:p w14:paraId="07E00923" w14:textId="77777777" w:rsidR="009B7745" w:rsidRDefault="009B7745" w:rsidP="009B7745">
      <w:pPr>
        <w:spacing w:after="0"/>
        <w:rPr>
          <w:rFonts w:ascii="Century Gothic" w:hAnsi="Century Gothic"/>
        </w:rPr>
      </w:pPr>
    </w:p>
    <w:p w14:paraId="38CB42E1" w14:textId="77777777" w:rsidR="009B7745" w:rsidRDefault="009B7745" w:rsidP="009B7745">
      <w:pPr>
        <w:spacing w:after="0"/>
        <w:rPr>
          <w:rFonts w:ascii="Century Gothic" w:hAnsi="Century Gothic"/>
        </w:rPr>
      </w:pPr>
    </w:p>
    <w:p w14:paraId="68D1904C" w14:textId="77777777" w:rsidR="009B7745" w:rsidRDefault="009B7745" w:rsidP="009B7745">
      <w:pPr>
        <w:spacing w:after="0"/>
        <w:rPr>
          <w:rFonts w:ascii="Century Gothic" w:hAnsi="Century Gothic"/>
        </w:rPr>
      </w:pPr>
    </w:p>
    <w:p w14:paraId="4A99964A" w14:textId="77777777" w:rsidR="009B7745" w:rsidRDefault="009B7745" w:rsidP="009B7745">
      <w:pPr>
        <w:spacing w:after="0"/>
        <w:rPr>
          <w:rFonts w:ascii="Century Gothic" w:hAnsi="Century Gothic"/>
        </w:rPr>
      </w:pPr>
    </w:p>
    <w:p w14:paraId="01277731" w14:textId="77777777" w:rsidR="009B7745" w:rsidRDefault="009B7745" w:rsidP="009B7745">
      <w:pPr>
        <w:spacing w:after="0"/>
        <w:rPr>
          <w:rFonts w:ascii="Century Gothic" w:hAnsi="Century Gothic"/>
        </w:rPr>
      </w:pPr>
    </w:p>
    <w:p w14:paraId="62145243" w14:textId="77777777" w:rsidR="009B7745" w:rsidRDefault="009B7745" w:rsidP="009B7745">
      <w:pPr>
        <w:spacing w:after="0"/>
        <w:rPr>
          <w:rFonts w:ascii="Century Gothic" w:hAnsi="Century Gothic"/>
        </w:rPr>
      </w:pPr>
    </w:p>
    <w:p w14:paraId="40A4CEC6" w14:textId="77777777" w:rsidR="009B7745" w:rsidRDefault="009B7745" w:rsidP="009B7745">
      <w:pPr>
        <w:spacing w:after="0"/>
        <w:rPr>
          <w:rFonts w:ascii="Century Gothic" w:hAnsi="Century Gothic"/>
        </w:rPr>
      </w:pPr>
    </w:p>
    <w:p w14:paraId="0D9D5F98" w14:textId="77777777" w:rsidR="009B7745" w:rsidRDefault="009B7745" w:rsidP="009B7745">
      <w:pPr>
        <w:spacing w:after="0"/>
        <w:rPr>
          <w:rFonts w:ascii="Century Gothic" w:hAnsi="Century Gothic"/>
        </w:rPr>
      </w:pPr>
    </w:p>
    <w:p w14:paraId="6968FFA4" w14:textId="77777777" w:rsidR="009B7745" w:rsidRDefault="009B7745" w:rsidP="009B7745">
      <w:pPr>
        <w:rPr>
          <w:rFonts w:ascii="Century Gothic" w:hAnsi="Century Gothic"/>
        </w:rPr>
      </w:pPr>
      <w:r>
        <w:rPr>
          <w:rFonts w:ascii="Century Gothic" w:hAnsi="Century Gothic"/>
        </w:rPr>
        <w:br w:type="page"/>
      </w:r>
    </w:p>
    <w:p w14:paraId="7C2423F8" w14:textId="77777777" w:rsidR="009B7745" w:rsidRDefault="009B7745" w:rsidP="009B7745">
      <w:pPr>
        <w:spacing w:after="0"/>
        <w:rPr>
          <w:rFonts w:ascii="Century Gothic" w:hAnsi="Century Gothic"/>
        </w:rPr>
      </w:pPr>
    </w:p>
    <w:p w14:paraId="1184E8CB" w14:textId="77777777" w:rsidR="009B7745" w:rsidRDefault="009B7745" w:rsidP="009B7745">
      <w:pPr>
        <w:spacing w:after="0"/>
        <w:rPr>
          <w:rFonts w:ascii="Century Gothic" w:hAnsi="Century Gothic"/>
        </w:rPr>
      </w:pPr>
      <w:r w:rsidRPr="00C24A08">
        <w:rPr>
          <w:rFonts w:ascii="Century Gothic" w:hAnsi="Century Gothic"/>
        </w:rPr>
        <w:t xml:space="preserve">Bogotá D.C., </w:t>
      </w:r>
      <w:r w:rsidRPr="00D25777">
        <w:rPr>
          <w:rFonts w:ascii="Century Gothic" w:hAnsi="Century Gothic"/>
        </w:rPr>
        <w:t>[Día] [</w:t>
      </w:r>
      <w:proofErr w:type="spellStart"/>
      <w:r w:rsidRPr="00D25777">
        <w:rPr>
          <w:rFonts w:ascii="Century Gothic" w:hAnsi="Century Gothic"/>
        </w:rPr>
        <w:t>Mes.NombreCapitalizado</w:t>
      </w:r>
      <w:proofErr w:type="spellEnd"/>
      <w:r w:rsidRPr="00D25777">
        <w:rPr>
          <w:rFonts w:ascii="Century Gothic" w:hAnsi="Century Gothic"/>
        </w:rPr>
        <w:t>] [Año]</w:t>
      </w:r>
      <w:r w:rsidRPr="00D25777">
        <w:rPr>
          <w:rFonts w:ascii="Century Gothic" w:hAnsi="Century Gothic"/>
        </w:rPr>
        <w:tab/>
      </w:r>
    </w:p>
    <w:p w14:paraId="1EAB992A" w14:textId="77777777" w:rsidR="009D18DB" w:rsidRPr="00C24A08" w:rsidRDefault="009D18DB" w:rsidP="009B7745">
      <w:pPr>
        <w:spacing w:after="0"/>
        <w:rPr>
          <w:rFonts w:ascii="Century Gothic" w:hAnsi="Century Gothic"/>
        </w:rPr>
      </w:pPr>
    </w:p>
    <w:p w14:paraId="32E3656D" w14:textId="1627ADC4" w:rsidR="009B7745" w:rsidRPr="00C24A08" w:rsidRDefault="009D18DB" w:rsidP="009D18DB">
      <w:pPr>
        <w:spacing w:after="0"/>
        <w:jc w:val="right"/>
        <w:rPr>
          <w:rFonts w:ascii="Century Gothic" w:hAnsi="Century Gothic"/>
        </w:rPr>
      </w:pPr>
      <w:bookmarkStart w:id="0" w:name="_Hlk94281581"/>
      <w:bookmarkStart w:id="1" w:name="_Hlk102489058"/>
      <w:bookmarkStart w:id="2" w:name="_Hlk34951122"/>
      <w:r>
        <w:rPr>
          <w:noProof/>
          <w14:ligatures w14:val="standardContextual"/>
        </w:rPr>
        <w:drawing>
          <wp:inline distT="0" distB="0" distL="0" distR="0" wp14:anchorId="0B41FE90" wp14:editId="39D309AC">
            <wp:extent cx="2470811" cy="824230"/>
            <wp:effectExtent l="0" t="0" r="5715" b="0"/>
            <wp:docPr id="93284390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3905" name="Imagen 1" descr="Interfaz de usuario gráfica, Aplicación, Word&#10;&#10;Descripción generada automáticamente"/>
                    <pic:cNvPicPr/>
                  </pic:nvPicPr>
                  <pic:blipFill rotWithShape="1">
                    <a:blip r:embed="rId7"/>
                    <a:srcRect l="14878" t="33615" r="53288" b="35331"/>
                    <a:stretch/>
                  </pic:blipFill>
                  <pic:spPr bwMode="auto">
                    <a:xfrm>
                      <a:off x="0" y="0"/>
                      <a:ext cx="2513093" cy="838335"/>
                    </a:xfrm>
                    <a:prstGeom prst="rect">
                      <a:avLst/>
                    </a:prstGeom>
                    <a:ln>
                      <a:noFill/>
                    </a:ln>
                    <a:extLst>
                      <a:ext uri="{53640926-AAD7-44D8-BBD7-CCE9431645EC}">
                        <a14:shadowObscured xmlns:a14="http://schemas.microsoft.com/office/drawing/2010/main"/>
                      </a:ext>
                    </a:extLst>
                  </pic:spPr>
                </pic:pic>
              </a:graphicData>
            </a:graphic>
          </wp:inline>
        </w:drawing>
      </w:r>
    </w:p>
    <w:p w14:paraId="58B6CA7B" w14:textId="531696DC" w:rsidR="009B7745" w:rsidRPr="00C24A08" w:rsidRDefault="009B7745" w:rsidP="009B7745">
      <w:pPr>
        <w:spacing w:after="0"/>
        <w:rPr>
          <w:rFonts w:ascii="Century Gothic" w:hAnsi="Century Gothic"/>
        </w:rPr>
      </w:pPr>
      <w:r>
        <w:rPr>
          <w:rFonts w:ascii="Century Gothic" w:hAnsi="Century Gothic"/>
        </w:rPr>
        <w:t>Doctor,</w:t>
      </w:r>
      <w:r w:rsidR="009D18DB" w:rsidRPr="009D18DB">
        <w:rPr>
          <w:noProof/>
          <w14:ligatures w14:val="standardContextual"/>
        </w:rPr>
        <w:t xml:space="preserve"> </w:t>
      </w:r>
    </w:p>
    <w:p w14:paraId="7782C040" w14:textId="77777777" w:rsidR="009B7745" w:rsidRDefault="009B7745" w:rsidP="009B7745">
      <w:pPr>
        <w:spacing w:after="0"/>
        <w:rPr>
          <w:rFonts w:ascii="Century Gothic" w:hAnsi="Century Gothic"/>
          <w:b/>
          <w:bCs/>
          <w:lang w:val="es-ES"/>
        </w:rPr>
      </w:pPr>
      <w:r w:rsidRPr="003A11D7">
        <w:rPr>
          <w:rFonts w:ascii="Century Gothic" w:hAnsi="Century Gothic"/>
          <w:b/>
          <w:bCs/>
          <w:lang w:val="es-ES"/>
        </w:rPr>
        <w:t>Alejandro Ramírez Roa</w:t>
      </w:r>
    </w:p>
    <w:p w14:paraId="14789438" w14:textId="77777777" w:rsidR="009D18DB" w:rsidRDefault="009B7745" w:rsidP="009B7745">
      <w:pPr>
        <w:spacing w:after="0"/>
        <w:rPr>
          <w:rFonts w:ascii="Century Gothic" w:hAnsi="Century Gothic"/>
          <w:lang w:val="es-ES"/>
        </w:rPr>
      </w:pPr>
      <w:r w:rsidRPr="003A11D7">
        <w:rPr>
          <w:rFonts w:ascii="Century Gothic" w:hAnsi="Century Gothic"/>
          <w:lang w:val="es-ES"/>
        </w:rPr>
        <w:t xml:space="preserve">Director para la Democracia, </w:t>
      </w:r>
    </w:p>
    <w:p w14:paraId="6E1642D8" w14:textId="56299651" w:rsidR="009B7745" w:rsidRDefault="009B7745" w:rsidP="009B7745">
      <w:pPr>
        <w:spacing w:after="0"/>
        <w:rPr>
          <w:rFonts w:ascii="Century Gothic" w:hAnsi="Century Gothic"/>
          <w:lang w:val="es-ES"/>
        </w:rPr>
      </w:pPr>
      <w:r w:rsidRPr="003A11D7">
        <w:rPr>
          <w:rFonts w:ascii="Century Gothic" w:hAnsi="Century Gothic"/>
          <w:lang w:val="es-ES"/>
        </w:rPr>
        <w:t>la Participación Ciudadana y la Acción Comunal</w:t>
      </w:r>
    </w:p>
    <w:p w14:paraId="670F5260" w14:textId="77777777" w:rsidR="009B7745" w:rsidRPr="003A11D7" w:rsidRDefault="009B7745" w:rsidP="009B7745">
      <w:pPr>
        <w:spacing w:after="0"/>
        <w:rPr>
          <w:rFonts w:ascii="Century Gothic" w:hAnsi="Century Gothic"/>
          <w:lang w:val="es-ES"/>
        </w:rPr>
      </w:pPr>
      <w:r>
        <w:rPr>
          <w:rFonts w:ascii="Century Gothic" w:hAnsi="Century Gothic"/>
          <w:lang w:val="es-ES"/>
        </w:rPr>
        <w:t>Ministerio del Interior</w:t>
      </w:r>
    </w:p>
    <w:p w14:paraId="51D81B18" w14:textId="77777777" w:rsidR="009B7745" w:rsidRDefault="00404B9F" w:rsidP="009B7745">
      <w:pPr>
        <w:spacing w:after="0"/>
        <w:rPr>
          <w:rFonts w:ascii="Century Gothic" w:hAnsi="Century Gothic"/>
        </w:rPr>
      </w:pPr>
      <w:hyperlink r:id="rId8" w:history="1">
        <w:r w:rsidR="009B7745" w:rsidRPr="00465380">
          <w:rPr>
            <w:rStyle w:val="Hipervnculo"/>
            <w:rFonts w:ascii="Century Gothic" w:hAnsi="Century Gothic"/>
          </w:rPr>
          <w:t>alejandro.ramirez@mininterior.gov.co</w:t>
        </w:r>
      </w:hyperlink>
      <w:r w:rsidR="009B7745">
        <w:rPr>
          <w:rFonts w:ascii="Century Gothic" w:hAnsi="Century Gothic"/>
        </w:rPr>
        <w:t xml:space="preserve"> </w:t>
      </w:r>
    </w:p>
    <w:p w14:paraId="6A9448F9" w14:textId="77777777" w:rsidR="009B7745" w:rsidRPr="00C24A08" w:rsidRDefault="009B7745" w:rsidP="009B7745">
      <w:pPr>
        <w:spacing w:after="0"/>
        <w:rPr>
          <w:rFonts w:ascii="Century Gothic" w:hAnsi="Century Gothic"/>
        </w:rPr>
      </w:pPr>
      <w:r>
        <w:rPr>
          <w:rFonts w:ascii="Century Gothic" w:hAnsi="Century Gothic"/>
        </w:rPr>
        <w:t>Cuidad,</w:t>
      </w:r>
    </w:p>
    <w:p w14:paraId="55C06FD1" w14:textId="77777777" w:rsidR="009B7745" w:rsidRPr="00C24A08" w:rsidRDefault="009B7745" w:rsidP="009B7745">
      <w:pPr>
        <w:spacing w:after="0"/>
        <w:rPr>
          <w:rFonts w:ascii="Century Gothic" w:hAnsi="Century Gothic"/>
        </w:rPr>
      </w:pPr>
    </w:p>
    <w:p w14:paraId="528E8C53" w14:textId="77777777" w:rsidR="009B7745" w:rsidRPr="00C24A08" w:rsidRDefault="009B7745" w:rsidP="009B7745">
      <w:pPr>
        <w:shd w:val="clear" w:color="auto" w:fill="FFFFFF" w:themeFill="background1"/>
        <w:ind w:left="2124" w:firstLine="570"/>
        <w:contextualSpacing/>
        <w:rPr>
          <w:rFonts w:ascii="Century Gothic" w:eastAsia="Calibri" w:hAnsi="Century Gothic" w:cs="Arial"/>
          <w:b/>
          <w:bCs/>
          <w:lang w:val="es-ES_tradnl" w:eastAsia="es-ES_tradnl"/>
        </w:rPr>
      </w:pPr>
      <w:r w:rsidRPr="00C24A08">
        <w:rPr>
          <w:rFonts w:ascii="Century Gothic" w:eastAsia="Calibri" w:hAnsi="Century Gothic" w:cs="Arial"/>
          <w:b/>
          <w:bCs/>
          <w:lang w:val="es-ES_tradnl" w:eastAsia="es-ES_tradnl"/>
        </w:rPr>
        <w:t xml:space="preserve">Concepto C – </w:t>
      </w:r>
      <w:r>
        <w:rPr>
          <w:rFonts w:ascii="Century Gothic" w:eastAsia="Calibri" w:hAnsi="Century Gothic" w:cs="Arial"/>
          <w:b/>
          <w:bCs/>
          <w:lang w:val="es-ES_tradnl" w:eastAsia="es-ES_tradnl"/>
        </w:rPr>
        <w:t>020</w:t>
      </w:r>
      <w:r w:rsidRPr="00C24A08">
        <w:rPr>
          <w:rFonts w:ascii="Century Gothic" w:eastAsia="Calibri" w:hAnsi="Century Gothic" w:cs="Arial"/>
          <w:b/>
          <w:bCs/>
          <w:lang w:val="es-ES_tradnl" w:eastAsia="es-ES_tradnl"/>
        </w:rPr>
        <w:t xml:space="preserve"> de 202</w:t>
      </w:r>
      <w:r>
        <w:rPr>
          <w:rFonts w:ascii="Century Gothic" w:eastAsia="Calibri" w:hAnsi="Century Gothic" w:cs="Arial"/>
          <w:b/>
          <w:bCs/>
          <w:lang w:val="es-ES_tradnl" w:eastAsia="es-ES_tradnl"/>
        </w:rPr>
        <w:t>4</w:t>
      </w:r>
    </w:p>
    <w:p w14:paraId="41AA3F78" w14:textId="77777777" w:rsidR="009B7745" w:rsidRPr="00C24A08" w:rsidRDefault="009B7745" w:rsidP="009B7745">
      <w:pPr>
        <w:shd w:val="clear" w:color="auto" w:fill="FFFFFF" w:themeFill="background1"/>
        <w:contextualSpacing/>
        <w:jc w:val="both"/>
        <w:rPr>
          <w:rFonts w:ascii="Century Gothic" w:eastAsia="Calibri" w:hAnsi="Century Gothic" w:cs="Arial"/>
          <w:lang w:val="es-ES_tradnl" w:eastAsia="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9B7745" w:rsidRPr="00C24A08" w14:paraId="0DE48E87" w14:textId="77777777" w:rsidTr="00147633">
        <w:tc>
          <w:tcPr>
            <w:tcW w:w="2689" w:type="dxa"/>
          </w:tcPr>
          <w:p w14:paraId="3B51A6FA" w14:textId="77777777" w:rsidR="009B7745" w:rsidRPr="00C24A08" w:rsidRDefault="009B7745" w:rsidP="00147633">
            <w:pPr>
              <w:shd w:val="clear" w:color="auto" w:fill="FFFFFF" w:themeFill="background1"/>
              <w:contextualSpacing/>
              <w:jc w:val="both"/>
              <w:rPr>
                <w:rFonts w:ascii="Century Gothic" w:eastAsia="Calibri" w:hAnsi="Century Gothic" w:cs="Arial"/>
                <w:lang w:val="es-ES_tradnl" w:eastAsia="es-ES_tradnl"/>
              </w:rPr>
            </w:pPr>
            <w:r w:rsidRPr="00C24A08">
              <w:rPr>
                <w:rFonts w:ascii="Century Gothic" w:eastAsia="Calibri" w:hAnsi="Century Gothic" w:cs="Arial"/>
                <w:b/>
                <w:lang w:val="es-ES_tradnl" w:eastAsia="es-ES_tradnl"/>
              </w:rPr>
              <w:t>Temas:</w:t>
            </w:r>
            <w:r w:rsidRPr="00C24A08">
              <w:rPr>
                <w:rFonts w:ascii="Century Gothic" w:eastAsia="Calibri" w:hAnsi="Century Gothic" w:cs="Arial"/>
                <w:lang w:val="es-ES_tradnl" w:eastAsia="es-ES_tradnl"/>
              </w:rPr>
              <w:t xml:space="preserve">                                      </w:t>
            </w:r>
          </w:p>
        </w:tc>
        <w:tc>
          <w:tcPr>
            <w:tcW w:w="6237" w:type="dxa"/>
          </w:tcPr>
          <w:p w14:paraId="467F8A21" w14:textId="77777777" w:rsidR="009B7745" w:rsidRPr="00C24A08" w:rsidRDefault="009B7745" w:rsidP="00147633">
            <w:pPr>
              <w:shd w:val="clear" w:color="auto" w:fill="FFFFFF" w:themeFill="background1"/>
              <w:spacing w:after="120"/>
              <w:contextualSpacing/>
              <w:jc w:val="both"/>
              <w:rPr>
                <w:rFonts w:ascii="Century Gothic" w:eastAsia="Calibri" w:hAnsi="Century Gothic" w:cs="Arial"/>
                <w:bCs/>
                <w:lang w:val="es-MX" w:eastAsia="es-ES_tradnl"/>
              </w:rPr>
            </w:pPr>
            <w:r w:rsidRPr="00C24A08">
              <w:rPr>
                <w:rFonts w:ascii="Century Gothic" w:eastAsia="Calibri" w:hAnsi="Century Gothic" w:cs="Arial"/>
                <w:bCs/>
                <w:lang w:val="es-MX" w:eastAsia="es-ES_tradnl"/>
              </w:rPr>
              <w:t>CONVENIOS SOLIDARIOS – Marco normativo / LEY 136 DE 1994 – Convenios Solidarios – Definición - Ámbito de aplicación – Organismos de Acción Comunal – Régimen jurídico / LEY 2166 DE 2021 – Organismos de Acción Comunal – Artículo 95 – Convenios solidarios – Contratación directa – Contratos de obra- menor cuantía / LEY 2166 DE 2021 – Artículo 63 – Convenios solidarios – menor cuantía – Artículo 141 de la Ley 136 de 1994 / ORGANISMOS DE ACCIÓN COMUNAL – Capacidad jurídica – Capacidad técnica – Acreditación/ SUPERVISIÓN – Régimen jurídico – Aplicabilidad a los convenios solidarios/ PUBLICACIÓN EN SECOP – Principio de transparencia</w:t>
            </w:r>
          </w:p>
          <w:p w14:paraId="25E2EE81" w14:textId="77777777" w:rsidR="009B7745" w:rsidRPr="00C24A08" w:rsidRDefault="009B7745" w:rsidP="00147633">
            <w:pPr>
              <w:shd w:val="clear" w:color="auto" w:fill="FFFFFF" w:themeFill="background1"/>
              <w:spacing w:after="120"/>
              <w:contextualSpacing/>
              <w:jc w:val="both"/>
              <w:rPr>
                <w:rFonts w:ascii="Century Gothic" w:eastAsia="Calibri" w:hAnsi="Century Gothic" w:cs="Arial"/>
                <w:bCs/>
                <w:sz w:val="12"/>
                <w:szCs w:val="12"/>
                <w:lang w:val="es-ES_tradnl" w:eastAsia="es-ES_tradnl"/>
              </w:rPr>
            </w:pPr>
          </w:p>
        </w:tc>
      </w:tr>
      <w:tr w:rsidR="009B7745" w:rsidRPr="00C24A08" w14:paraId="1C705719" w14:textId="77777777" w:rsidTr="00147633">
        <w:trPr>
          <w:trHeight w:val="227"/>
        </w:trPr>
        <w:tc>
          <w:tcPr>
            <w:tcW w:w="2689" w:type="dxa"/>
          </w:tcPr>
          <w:p w14:paraId="143C8559" w14:textId="77777777" w:rsidR="009B7745" w:rsidRPr="00C24A08" w:rsidRDefault="009B7745" w:rsidP="00147633">
            <w:pPr>
              <w:shd w:val="clear" w:color="auto" w:fill="FFFFFF" w:themeFill="background1"/>
              <w:contextualSpacing/>
              <w:jc w:val="both"/>
              <w:rPr>
                <w:rFonts w:ascii="Century Gothic" w:eastAsia="Calibri" w:hAnsi="Century Gothic" w:cs="Arial"/>
                <w:b/>
                <w:lang w:val="es-ES_tradnl" w:eastAsia="es-ES_tradnl"/>
              </w:rPr>
            </w:pPr>
            <w:r w:rsidRPr="00C24A08">
              <w:rPr>
                <w:rFonts w:ascii="Century Gothic" w:eastAsia="Calibri" w:hAnsi="Century Gothic" w:cs="Arial"/>
                <w:b/>
                <w:lang w:val="es-ES_tradnl" w:eastAsia="es-ES_tradnl"/>
              </w:rPr>
              <w:t>Radicación:</w:t>
            </w:r>
            <w:r w:rsidRPr="00C24A08">
              <w:rPr>
                <w:rFonts w:ascii="Century Gothic" w:eastAsia="Calibri" w:hAnsi="Century Gothic" w:cs="Arial"/>
                <w:lang w:val="es-ES_tradnl" w:eastAsia="es-ES_tradnl"/>
              </w:rPr>
              <w:t xml:space="preserve">                             </w:t>
            </w:r>
          </w:p>
        </w:tc>
        <w:tc>
          <w:tcPr>
            <w:tcW w:w="6237" w:type="dxa"/>
          </w:tcPr>
          <w:p w14:paraId="70D45290" w14:textId="77777777" w:rsidR="009B7745" w:rsidRPr="00C24A08" w:rsidRDefault="009B7745" w:rsidP="00147633">
            <w:pPr>
              <w:shd w:val="clear" w:color="auto" w:fill="FFFFFF" w:themeFill="background1"/>
              <w:contextualSpacing/>
              <w:jc w:val="both"/>
              <w:rPr>
                <w:rFonts w:ascii="Century Gothic" w:eastAsia="Calibri" w:hAnsi="Century Gothic" w:cs="Arial"/>
                <w:lang w:val="es-ES_tradnl" w:eastAsia="es-ES_tradnl"/>
              </w:rPr>
            </w:pPr>
            <w:r w:rsidRPr="00C24A08">
              <w:rPr>
                <w:rFonts w:ascii="Century Gothic" w:eastAsia="Calibri" w:hAnsi="Century Gothic" w:cs="Arial"/>
                <w:lang w:val="es-ES_tradnl" w:eastAsia="es-ES_tradnl"/>
              </w:rPr>
              <w:t xml:space="preserve">Respuesta a consulta </w:t>
            </w:r>
            <w:r w:rsidRPr="0070489A">
              <w:rPr>
                <w:rFonts w:ascii="Century Gothic" w:eastAsia="Calibri" w:hAnsi="Century Gothic" w:cs="Arial"/>
                <w:lang w:val="es-ES_tradnl" w:eastAsia="es-ES_tradnl"/>
              </w:rPr>
              <w:t>P20240201000992</w:t>
            </w:r>
          </w:p>
        </w:tc>
      </w:tr>
    </w:tbl>
    <w:p w14:paraId="1CCA2C6E" w14:textId="77777777" w:rsidR="009B7745" w:rsidRPr="00C24A08" w:rsidRDefault="009B7745" w:rsidP="009B7745">
      <w:pPr>
        <w:shd w:val="clear" w:color="auto" w:fill="FFFFFF" w:themeFill="background1"/>
        <w:contextualSpacing/>
        <w:jc w:val="both"/>
        <w:rPr>
          <w:rFonts w:ascii="Century Gothic" w:eastAsia="Calibri" w:hAnsi="Century Gothic" w:cs="Arial"/>
          <w:lang w:val="es-ES_tradnl" w:eastAsia="es-ES_tradnl"/>
        </w:rPr>
      </w:pPr>
    </w:p>
    <w:p w14:paraId="13174358" w14:textId="77777777" w:rsidR="009B7745" w:rsidRPr="00C24A08" w:rsidRDefault="009B7745" w:rsidP="009B7745">
      <w:pPr>
        <w:shd w:val="clear" w:color="auto" w:fill="FFFFFF" w:themeFill="background1"/>
        <w:contextualSpacing/>
        <w:jc w:val="both"/>
        <w:rPr>
          <w:rFonts w:ascii="Century Gothic" w:eastAsia="Calibri" w:hAnsi="Century Gothic" w:cs="Arial"/>
          <w:lang w:val="es-ES" w:eastAsia="es-ES"/>
        </w:rPr>
      </w:pPr>
      <w:r>
        <w:rPr>
          <w:rFonts w:ascii="Century Gothic" w:eastAsia="Calibri" w:hAnsi="Century Gothic" w:cs="Arial"/>
          <w:lang w:val="es-ES" w:eastAsia="es-ES"/>
        </w:rPr>
        <w:t>Estimado señor Ramírez Roa</w:t>
      </w:r>
      <w:r w:rsidRPr="00C24A08">
        <w:rPr>
          <w:rFonts w:ascii="Century Gothic" w:eastAsia="Calibri" w:hAnsi="Century Gothic" w:cs="Arial"/>
          <w:lang w:val="es-ES" w:eastAsia="es-ES"/>
        </w:rPr>
        <w:t xml:space="preserve">: </w:t>
      </w:r>
    </w:p>
    <w:p w14:paraId="7E7F301A" w14:textId="77777777" w:rsidR="009B7745" w:rsidRPr="00C24A08" w:rsidRDefault="009B7745" w:rsidP="009B7745">
      <w:pPr>
        <w:shd w:val="clear" w:color="auto" w:fill="FFFFFF" w:themeFill="background1"/>
        <w:spacing w:line="276" w:lineRule="auto"/>
        <w:contextualSpacing/>
        <w:jc w:val="both"/>
        <w:rPr>
          <w:rFonts w:ascii="Century Gothic" w:eastAsia="Calibri" w:hAnsi="Century Gothic" w:cs="Arial"/>
          <w:szCs w:val="24"/>
          <w:lang w:val="es-ES_tradnl" w:eastAsia="es-ES_tradnl"/>
        </w:rPr>
      </w:pPr>
    </w:p>
    <w:bookmarkEnd w:id="0"/>
    <w:bookmarkEnd w:id="1"/>
    <w:p w14:paraId="70654AEE" w14:textId="77777777" w:rsidR="009B7745" w:rsidRPr="00C24A08" w:rsidRDefault="009B7745" w:rsidP="009B7745">
      <w:pPr>
        <w:shd w:val="clear" w:color="auto" w:fill="FFFFFF" w:themeFill="background1"/>
        <w:spacing w:after="0" w:line="276" w:lineRule="auto"/>
        <w:jc w:val="both"/>
        <w:rPr>
          <w:rFonts w:ascii="Century Gothic" w:eastAsia="Calibri" w:hAnsi="Century Gothic" w:cs="Arial"/>
          <w:color w:val="000000" w:themeColor="text1"/>
          <w:lang w:val="es-ES_tradnl"/>
        </w:rPr>
      </w:pPr>
      <w:r w:rsidRPr="00C24A08">
        <w:rPr>
          <w:rFonts w:ascii="Century Gothic" w:eastAsia="Calibri" w:hAnsi="Century Gothic" w:cs="Arial"/>
          <w:color w:val="000000" w:themeColor="text1"/>
          <w:lang w:val="es-ES_tradnl"/>
        </w:rPr>
        <w:t>En ejercicio de la competencia otorgada por el numeral 8 del artículo 11 y el numeral 5 del artículo 3 del Decreto Ley 4170 de 2011</w:t>
      </w:r>
      <w:bookmarkStart w:id="3" w:name="_Hlk99120496"/>
      <w:r w:rsidRPr="00C24A08">
        <w:rPr>
          <w:rFonts w:ascii="Century Gothic" w:eastAsia="Arial MT" w:hAnsi="Century Gothic" w:cs="Arial MT"/>
          <w:lang w:val="es-ES"/>
        </w:rPr>
        <w:t xml:space="preserve">, </w:t>
      </w:r>
      <w:bookmarkEnd w:id="3"/>
      <w:r w:rsidRPr="00C24A08">
        <w:rPr>
          <w:rFonts w:ascii="Century Gothic" w:eastAsia="Calibri" w:hAnsi="Century Gothic" w:cs="Arial"/>
          <w:color w:val="000000" w:themeColor="text1"/>
          <w:lang w:val="es-ES_tradnl"/>
        </w:rPr>
        <w:t>la Agencia Nacional de Contratación Pública – Colombia Compra Eficiente</w:t>
      </w:r>
      <w:r>
        <w:rPr>
          <w:rFonts w:ascii="Century Gothic" w:eastAsia="Calibri" w:hAnsi="Century Gothic" w:cs="Arial"/>
          <w:color w:val="000000" w:themeColor="text1"/>
          <w:lang w:val="es-ES_tradnl"/>
        </w:rPr>
        <w:t>-</w:t>
      </w:r>
      <w:r w:rsidRPr="00C24A08">
        <w:rPr>
          <w:rFonts w:ascii="Century Gothic" w:eastAsia="Calibri" w:hAnsi="Century Gothic" w:cs="Arial"/>
          <w:color w:val="000000" w:themeColor="text1"/>
          <w:lang w:val="es-ES_tradnl"/>
        </w:rPr>
        <w:t xml:space="preserve"> responde la consulta radicada el </w:t>
      </w:r>
      <w:r>
        <w:rPr>
          <w:rFonts w:ascii="Century Gothic" w:eastAsia="Calibri" w:hAnsi="Century Gothic" w:cs="Arial"/>
          <w:color w:val="000000" w:themeColor="text1"/>
          <w:lang w:val="es-ES_tradnl"/>
        </w:rPr>
        <w:t>1</w:t>
      </w:r>
      <w:r w:rsidRPr="00C24A08">
        <w:rPr>
          <w:rFonts w:ascii="Century Gothic" w:eastAsia="Calibri" w:hAnsi="Century Gothic" w:cs="Arial"/>
          <w:color w:val="000000" w:themeColor="text1"/>
          <w:lang w:val="es-ES_tradnl"/>
        </w:rPr>
        <w:t xml:space="preserve"> de</w:t>
      </w:r>
      <w:r>
        <w:rPr>
          <w:rFonts w:ascii="Century Gothic" w:eastAsia="Calibri" w:hAnsi="Century Gothic" w:cs="Arial"/>
          <w:color w:val="000000" w:themeColor="text1"/>
          <w:lang w:val="es-ES_tradnl"/>
        </w:rPr>
        <w:t xml:space="preserve"> febrero</w:t>
      </w:r>
      <w:r w:rsidRPr="00C24A08">
        <w:rPr>
          <w:rFonts w:ascii="Century Gothic" w:eastAsia="Calibri" w:hAnsi="Century Gothic" w:cs="Arial"/>
          <w:color w:val="000000" w:themeColor="text1"/>
          <w:lang w:val="es-ES_tradnl"/>
        </w:rPr>
        <w:t xml:space="preserve"> de 202</w:t>
      </w:r>
      <w:r>
        <w:rPr>
          <w:rFonts w:ascii="Century Gothic" w:eastAsia="Calibri" w:hAnsi="Century Gothic" w:cs="Arial"/>
          <w:color w:val="000000" w:themeColor="text1"/>
          <w:lang w:val="es-ES_tradnl"/>
        </w:rPr>
        <w:t>4</w:t>
      </w:r>
      <w:r w:rsidRPr="00C24A08">
        <w:rPr>
          <w:rFonts w:ascii="Century Gothic" w:eastAsia="Calibri" w:hAnsi="Century Gothic" w:cs="Arial"/>
          <w:color w:val="000000" w:themeColor="text1"/>
          <w:lang w:val="es-ES_tradnl"/>
        </w:rPr>
        <w:t>.</w:t>
      </w:r>
    </w:p>
    <w:p w14:paraId="78F88578" w14:textId="77777777" w:rsidR="009B7745" w:rsidRPr="00C24A08" w:rsidRDefault="009B7745" w:rsidP="009B7745">
      <w:pPr>
        <w:shd w:val="clear" w:color="auto" w:fill="FFFFFF" w:themeFill="background1"/>
        <w:spacing w:after="0" w:line="276" w:lineRule="auto"/>
        <w:jc w:val="both"/>
        <w:rPr>
          <w:rFonts w:ascii="Century Gothic" w:eastAsia="Calibri" w:hAnsi="Century Gothic" w:cs="Arial"/>
          <w:b/>
          <w:color w:val="000000" w:themeColor="text1"/>
          <w:lang w:val="es-ES_tradnl"/>
        </w:rPr>
      </w:pPr>
    </w:p>
    <w:p w14:paraId="712533EB" w14:textId="77777777" w:rsidR="009B7745" w:rsidRPr="00C24A08" w:rsidRDefault="009B7745" w:rsidP="009B7745">
      <w:pPr>
        <w:pStyle w:val="Prrafodelista"/>
        <w:numPr>
          <w:ilvl w:val="0"/>
          <w:numId w:val="1"/>
        </w:numPr>
        <w:shd w:val="clear" w:color="auto" w:fill="FFFFFF" w:themeFill="background1"/>
        <w:tabs>
          <w:tab w:val="left" w:pos="0"/>
          <w:tab w:val="left" w:pos="142"/>
          <w:tab w:val="left" w:pos="284"/>
        </w:tabs>
        <w:spacing w:after="0" w:line="276" w:lineRule="auto"/>
        <w:ind w:left="0" w:firstLine="0"/>
        <w:jc w:val="both"/>
        <w:rPr>
          <w:rFonts w:ascii="Century Gothic" w:eastAsia="Calibri" w:hAnsi="Century Gothic" w:cs="Arial"/>
          <w:b/>
          <w:color w:val="000000" w:themeColor="text1"/>
          <w:lang w:val="es-ES_tradnl"/>
        </w:rPr>
      </w:pPr>
      <w:r w:rsidRPr="00C24A08">
        <w:rPr>
          <w:rFonts w:ascii="Century Gothic" w:eastAsia="Calibri" w:hAnsi="Century Gothic" w:cs="Arial"/>
          <w:b/>
          <w:color w:val="000000" w:themeColor="text1"/>
          <w:lang w:val="es-ES_tradnl"/>
        </w:rPr>
        <w:lastRenderedPageBreak/>
        <w:t xml:space="preserve">Problemas planteados </w:t>
      </w:r>
    </w:p>
    <w:p w14:paraId="3B45AACB" w14:textId="77777777" w:rsidR="009B7745" w:rsidRPr="00C24A08" w:rsidRDefault="009B7745" w:rsidP="009B7745">
      <w:pPr>
        <w:shd w:val="clear" w:color="auto" w:fill="FFFFFF" w:themeFill="background1"/>
        <w:tabs>
          <w:tab w:val="left" w:pos="426"/>
        </w:tabs>
        <w:spacing w:after="0" w:line="276" w:lineRule="auto"/>
        <w:jc w:val="both"/>
        <w:rPr>
          <w:rFonts w:ascii="Century Gothic" w:eastAsia="Calibri" w:hAnsi="Century Gothic" w:cs="Arial"/>
          <w:b/>
          <w:color w:val="000000" w:themeColor="text1"/>
          <w:lang w:val="es-ES_tradnl"/>
        </w:rPr>
      </w:pPr>
    </w:p>
    <w:p w14:paraId="7AB6014A" w14:textId="77777777" w:rsidR="009B7745" w:rsidRPr="00C24A08" w:rsidRDefault="009B7745" w:rsidP="009B7745">
      <w:pPr>
        <w:shd w:val="clear" w:color="auto" w:fill="FFFFFF" w:themeFill="background1"/>
        <w:spacing w:after="0" w:line="276" w:lineRule="auto"/>
        <w:jc w:val="both"/>
        <w:rPr>
          <w:rFonts w:ascii="Century Gothic" w:hAnsi="Century Gothic"/>
          <w:color w:val="000000" w:themeColor="text1"/>
        </w:rPr>
      </w:pPr>
      <w:r w:rsidRPr="00C24A08">
        <w:rPr>
          <w:rFonts w:ascii="Century Gothic" w:hAnsi="Century Gothic" w:cs="Arial"/>
          <w:color w:val="000000" w:themeColor="text1"/>
          <w:lang w:val="es-ES_tradnl"/>
        </w:rPr>
        <w:t>Usted realiza las siguientes preguntas:</w:t>
      </w:r>
      <w:r w:rsidRPr="00C24A08">
        <w:rPr>
          <w:rFonts w:ascii="Century Gothic" w:hAnsi="Century Gothic"/>
          <w:color w:val="000000" w:themeColor="text1"/>
        </w:rPr>
        <w:t xml:space="preserve"> </w:t>
      </w:r>
    </w:p>
    <w:p w14:paraId="335C6207" w14:textId="77777777" w:rsidR="009B7745" w:rsidRPr="00C24A08" w:rsidRDefault="009B7745" w:rsidP="009B7745">
      <w:pPr>
        <w:shd w:val="clear" w:color="auto" w:fill="FFFFFF" w:themeFill="background1"/>
        <w:spacing w:after="0" w:line="276" w:lineRule="auto"/>
        <w:jc w:val="both"/>
        <w:rPr>
          <w:rFonts w:ascii="Century Gothic" w:hAnsi="Century Gothic"/>
          <w:color w:val="000000" w:themeColor="text1"/>
        </w:rPr>
      </w:pPr>
    </w:p>
    <w:p w14:paraId="7A2980FA"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“¿Las Entidades Estatales se encuentran obligadas a publicar en el SECOP los convenios solidarios descritos en artículo 95 de la Ley 2166 de 2021?</w:t>
      </w:r>
    </w:p>
    <w:p w14:paraId="2546003E" w14:textId="77777777" w:rsidR="009B7745" w:rsidRPr="00E5605F" w:rsidRDefault="009B7745" w:rsidP="009B7745">
      <w:pPr>
        <w:pStyle w:val="Prrafodelista"/>
        <w:jc w:val="both"/>
        <w:rPr>
          <w:rFonts w:ascii="Franklin Gothic Book" w:hAnsi="Franklin Gothic Book"/>
          <w:bCs/>
          <w:sz w:val="18"/>
          <w:szCs w:val="18"/>
        </w:rPr>
      </w:pPr>
    </w:p>
    <w:p w14:paraId="09840319"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¿Los Organismos de Acción Comunal Para la suscripción de convenios solidarios deben contar con usuario en el SECOP, entendiendo que sobre los mismos hay recursos públicos involucrados?</w:t>
      </w:r>
    </w:p>
    <w:p w14:paraId="28778EE1" w14:textId="77777777" w:rsidR="009B7745" w:rsidRPr="00E5605F" w:rsidRDefault="009B7745" w:rsidP="009B7745">
      <w:pPr>
        <w:pStyle w:val="Prrafodelista"/>
        <w:jc w:val="both"/>
        <w:rPr>
          <w:rFonts w:ascii="Franklin Gothic Book" w:hAnsi="Franklin Gothic Book"/>
          <w:bCs/>
          <w:sz w:val="18"/>
          <w:szCs w:val="18"/>
        </w:rPr>
      </w:pPr>
    </w:p>
    <w:p w14:paraId="0DB11B71"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¿Para la eventual celebración de convenios solidarios, aplica el régimen de inhabilidades e incompatibilidades?</w:t>
      </w:r>
    </w:p>
    <w:p w14:paraId="5E767F63"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0301E1CB"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¿Los Organismos de Acción Comunal deben acreditar idoneidad para la ejecución del convenio a ser celebrado? ¿En caso afirmativo, como debe acreditarla? ¿En caso negativo, no sería posible celebrar el convenio con dicha organización?</w:t>
      </w:r>
    </w:p>
    <w:p w14:paraId="7A3FE0A4"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7F99E0BF"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¿Deben exigirse pólizas que garanticen la calidad de las obras a ser ejecutadas, así como el cumplimiento de los convenios a ser celebrados con las organizaciones de acción comunal? aún cuanto entre ellas no se pacten obligaciones conmutativas?</w:t>
      </w:r>
    </w:p>
    <w:p w14:paraId="4D50092E"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127D050D"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¿Puede manejarse las figuras de anticipo y de pago anticipado? ¿En caso afirmativo, debe exigirse pólizas de buen manejo de anticipo?</w:t>
      </w:r>
    </w:p>
    <w:p w14:paraId="6137874E"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2A4EB565"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¿Si bien el artículo el parágrafo 2° del artículo 95 de la Ley 2166 de 2021, contempla la obligatoriedad de contar con personal técnico y administrativo-contable, para supervisar y apoyar a los Organismos de Acción Comunal en la ejecución de las obras, se debe entender que solo aplica la figura de supervisión para este tipo de convenios y no la interventoría?</w:t>
      </w:r>
    </w:p>
    <w:p w14:paraId="2891B969"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7982C330"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¿El parágrafo único del artículo 141 de la ley 136 de 1994, establece que los contratos o convenios que se celebren en desarrollo del precitado artículo 141 anterior, se sujetarán a la Ley </w:t>
      </w:r>
      <w:hyperlink r:id="rId9" w:anchor="80" w:history="1">
        <w:r w:rsidRPr="00E5605F">
          <w:rPr>
            <w:rFonts w:ascii="Century Gothic" w:hAnsi="Century Gothic" w:cs="Arial"/>
            <w:color w:val="000000" w:themeColor="text1"/>
            <w:sz w:val="18"/>
            <w:szCs w:val="18"/>
            <w:lang w:val="es-ES_tradnl"/>
          </w:rPr>
          <w:t>80</w:t>
        </w:r>
      </w:hyperlink>
      <w:r w:rsidRPr="00E5605F">
        <w:rPr>
          <w:rFonts w:ascii="Century Gothic" w:hAnsi="Century Gothic" w:cs="Arial"/>
          <w:color w:val="000000" w:themeColor="text1"/>
          <w:sz w:val="18"/>
          <w:szCs w:val="18"/>
          <w:lang w:val="es-ES_tradnl"/>
        </w:rPr>
        <w:t> de 1993, debe entenderse entonces que dicha disposición aplica para todos los convenios solidarios a celebrarse con los Organismos de Acción Comunal?</w:t>
      </w:r>
    </w:p>
    <w:p w14:paraId="288704AC"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5ECAF441"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¿Dado que el artículo 2.2.15.1.2 del Decreto 1082 de 2015, contempla los convenios solidarios en el marco de las disposiciones en materia de contratación pública, debe entenderse entonces que a este tipo de convenios le son aplicables las disposiciones y principios de la contratación estatal?</w:t>
      </w:r>
    </w:p>
    <w:p w14:paraId="2B093D2D" w14:textId="77777777" w:rsidR="009B7745" w:rsidRPr="00E5605F" w:rsidRDefault="009B7745" w:rsidP="009B7745">
      <w:pPr>
        <w:pStyle w:val="Prrafodelista"/>
        <w:spacing w:after="0" w:line="240" w:lineRule="auto"/>
        <w:jc w:val="both"/>
        <w:rPr>
          <w:rFonts w:ascii="Century Gothic" w:hAnsi="Century Gothic" w:cs="Arial"/>
          <w:color w:val="000000" w:themeColor="text1"/>
          <w:sz w:val="18"/>
          <w:szCs w:val="18"/>
          <w:lang w:val="es-ES_tradnl"/>
        </w:rPr>
      </w:pPr>
    </w:p>
    <w:p w14:paraId="1C7CBFD7" w14:textId="77777777" w:rsidR="009B7745" w:rsidRPr="00E5605F" w:rsidRDefault="009B7745" w:rsidP="009B7745">
      <w:pPr>
        <w:pStyle w:val="Prrafodelista"/>
        <w:numPr>
          <w:ilvl w:val="0"/>
          <w:numId w:val="2"/>
        </w:numPr>
        <w:spacing w:after="0" w:line="240" w:lineRule="auto"/>
        <w:jc w:val="both"/>
        <w:rPr>
          <w:rFonts w:ascii="Century Gothic" w:hAnsi="Century Gothic" w:cs="Arial"/>
          <w:color w:val="000000" w:themeColor="text1"/>
          <w:sz w:val="18"/>
          <w:szCs w:val="18"/>
          <w:lang w:val="es-ES_tradnl"/>
        </w:rPr>
      </w:pPr>
      <w:r w:rsidRPr="00E5605F">
        <w:rPr>
          <w:rFonts w:ascii="Century Gothic" w:hAnsi="Century Gothic" w:cs="Arial"/>
          <w:color w:val="000000" w:themeColor="text1"/>
          <w:sz w:val="18"/>
          <w:szCs w:val="18"/>
          <w:lang w:val="es-ES_tradnl"/>
        </w:rPr>
        <w:t>¿En caso de un eventual incumplimiento por parte del Organismo de Acción Comunal del convenio solidario, es posible iniciar el procedimiento de incumplimiento? ¿O por tratarse de un convenio en el marco de la participación comunitaria sin que se derive del mismo la ejecución de obligaciones conmutativas, no sería dable? ¿Qué otras medidas se tienen para garantizar el cumplimiento del objeto del convenio a ser celebrado?</w:t>
      </w:r>
    </w:p>
    <w:p w14:paraId="78D8626F"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color w:val="000000" w:themeColor="text1"/>
          <w:sz w:val="21"/>
          <w:szCs w:val="21"/>
        </w:rPr>
      </w:pPr>
    </w:p>
    <w:p w14:paraId="20453988" w14:textId="77777777" w:rsidR="009B7745" w:rsidRPr="00C24A08" w:rsidRDefault="009B7745" w:rsidP="009B7745">
      <w:pPr>
        <w:pStyle w:val="Prrafodelista"/>
        <w:numPr>
          <w:ilvl w:val="0"/>
          <w:numId w:val="1"/>
        </w:numPr>
        <w:shd w:val="clear" w:color="auto" w:fill="FFFFFF" w:themeFill="background1"/>
        <w:tabs>
          <w:tab w:val="left" w:pos="0"/>
          <w:tab w:val="left" w:pos="284"/>
        </w:tabs>
        <w:spacing w:after="0" w:line="240" w:lineRule="auto"/>
        <w:ind w:left="0" w:firstLine="0"/>
        <w:jc w:val="both"/>
        <w:rPr>
          <w:rFonts w:ascii="Century Gothic" w:eastAsia="Calibri" w:hAnsi="Century Gothic" w:cs="Arial"/>
          <w:b/>
          <w:color w:val="000000" w:themeColor="text1"/>
          <w:lang w:val="es-ES_tradnl"/>
        </w:rPr>
      </w:pPr>
      <w:r w:rsidRPr="00C24A08">
        <w:rPr>
          <w:rFonts w:ascii="Century Gothic" w:eastAsia="Calibri" w:hAnsi="Century Gothic" w:cs="Arial"/>
          <w:b/>
          <w:color w:val="000000" w:themeColor="text1"/>
          <w:lang w:val="es-ES_tradnl"/>
        </w:rPr>
        <w:t>Consideraciones</w:t>
      </w:r>
    </w:p>
    <w:p w14:paraId="1ABCDDF7" w14:textId="77777777" w:rsidR="009B7745" w:rsidRPr="00C24A08" w:rsidRDefault="009B7745" w:rsidP="009B7745">
      <w:pPr>
        <w:shd w:val="clear" w:color="auto" w:fill="FFFFFF" w:themeFill="background1"/>
        <w:spacing w:after="0" w:line="276" w:lineRule="auto"/>
        <w:jc w:val="both"/>
        <w:rPr>
          <w:rFonts w:ascii="Century Gothic" w:eastAsia="Calibri" w:hAnsi="Century Gothic" w:cs="Arial"/>
          <w:color w:val="000000" w:themeColor="text1"/>
          <w:lang w:val="es-ES"/>
        </w:rPr>
      </w:pPr>
    </w:p>
    <w:p w14:paraId="5A9C121D" w14:textId="77777777" w:rsidR="009B7745" w:rsidRPr="00C24A08" w:rsidRDefault="009B7745" w:rsidP="009B7745">
      <w:pPr>
        <w:shd w:val="clear" w:color="auto" w:fill="FFFFFF" w:themeFill="background1"/>
        <w:spacing w:line="276" w:lineRule="auto"/>
        <w:jc w:val="both"/>
        <w:rPr>
          <w:rFonts w:ascii="Century Gothic" w:eastAsia="Calibri" w:hAnsi="Century Gothic" w:cs="Arial"/>
          <w:color w:val="000000" w:themeColor="text1"/>
        </w:rPr>
      </w:pPr>
      <w:r w:rsidRPr="00C24A08">
        <w:rPr>
          <w:rFonts w:ascii="Century Gothic" w:eastAsia="Calibri" w:hAnsi="Century Gothic" w:cs="Arial"/>
          <w:color w:val="000000" w:themeColor="text1"/>
        </w:rPr>
        <w:lastRenderedPageBreak/>
        <w:t>La Agencia Nacional de Contratación Pública – Colombia Compra Eficiente</w:t>
      </w:r>
      <w:r>
        <w:rPr>
          <w:rFonts w:ascii="Century Gothic" w:eastAsia="Calibri" w:hAnsi="Century Gothic" w:cs="Arial"/>
          <w:color w:val="000000" w:themeColor="text1"/>
        </w:rPr>
        <w:t xml:space="preserve"> -</w:t>
      </w:r>
      <w:r w:rsidRPr="00C24A08">
        <w:rPr>
          <w:rFonts w:ascii="Century Gothic" w:eastAsia="Calibri" w:hAnsi="Century Gothic" w:cs="Arial"/>
          <w:color w:val="000000" w:themeColor="text1"/>
        </w:rPr>
        <w:t xml:space="preserve"> resuelve consultas sobre la aplicación de normas de carácter general en materia de compras y contratación pública. En ese sentido, resolver casos particulares o conceptuar sobre el alcance de normas ajenas a la contratación estatal desborda las atribuciones asignadas por el legislador extraordinario, que no concibió a Colombia Compra Eficiente como una autoridad para solucionar problemas jurídicos particulares de todos los partícipes de la contratación estatal ni para interpretar el alcance de cualquier norma vigente en el ordenamiento jurídico.</w:t>
      </w:r>
    </w:p>
    <w:p w14:paraId="306FC405" w14:textId="77777777" w:rsidR="009B7745" w:rsidRDefault="009B7745" w:rsidP="009B7745">
      <w:pPr>
        <w:shd w:val="clear" w:color="auto" w:fill="FFFFFF" w:themeFill="background1"/>
        <w:spacing w:line="276" w:lineRule="auto"/>
        <w:ind w:firstLine="708"/>
        <w:jc w:val="both"/>
        <w:rPr>
          <w:rFonts w:ascii="Century Gothic" w:eastAsia="Calibri" w:hAnsi="Century Gothic" w:cs="Arial"/>
          <w:color w:val="000000" w:themeColor="text1"/>
        </w:rPr>
      </w:pPr>
      <w:r w:rsidRPr="00C24A08">
        <w:rPr>
          <w:rFonts w:ascii="Century Gothic" w:eastAsia="Calibri" w:hAnsi="Century Gothic" w:cs="Arial"/>
          <w:color w:val="000000" w:themeColor="text1"/>
        </w:rPr>
        <w:t xml:space="preserve">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brindar asesorías sobre casos puntuales ni interpretar normas ajenas al sistema de compras públicas. </w:t>
      </w:r>
    </w:p>
    <w:p w14:paraId="4ABFB35B" w14:textId="77777777" w:rsidR="009B7745" w:rsidRPr="00D055E1" w:rsidRDefault="009B7745" w:rsidP="009B7745">
      <w:pPr>
        <w:shd w:val="clear" w:color="auto" w:fill="FFFFFF" w:themeFill="background1"/>
        <w:spacing w:line="276" w:lineRule="auto"/>
        <w:ind w:firstLine="708"/>
        <w:jc w:val="both"/>
        <w:rPr>
          <w:rFonts w:ascii="Century Gothic" w:eastAsia="Calibri" w:hAnsi="Century Gothic" w:cs="Arial"/>
          <w:color w:val="000000" w:themeColor="text1"/>
          <w:lang w:val="es-ES"/>
        </w:rPr>
      </w:pPr>
      <w:r w:rsidRPr="00D055E1">
        <w:rPr>
          <w:rFonts w:ascii="Century Gothic" w:eastAsia="Calibri" w:hAnsi="Century Gothic" w:cs="Arial"/>
          <w:color w:val="000000" w:themeColor="text1"/>
        </w:rPr>
        <w:t>En este contexto, la Subdirección de Gestión Contractual, dentro de los límites de sus atribuciones, esto es, haciendo abstracción a las preguntas de casos particulares expuestos, resolverá la consulta conforme a las normas generales en materia de contratación estatal. Con este objetivo se analizarán</w:t>
      </w:r>
      <w:r w:rsidRPr="00D055E1">
        <w:rPr>
          <w:rFonts w:ascii="Century Gothic" w:eastAsia="Calibri" w:hAnsi="Century Gothic" w:cs="Arial"/>
          <w:color w:val="000000" w:themeColor="text1"/>
          <w:lang w:val="es-ES"/>
        </w:rPr>
        <w:t xml:space="preserve"> los siguientes temas: </w:t>
      </w:r>
      <w:r w:rsidRPr="00D055E1">
        <w:rPr>
          <w:rFonts w:ascii="Century Gothic" w:eastAsia="Calibri" w:hAnsi="Century Gothic" w:cs="Arial"/>
          <w:color w:val="000000" w:themeColor="text1"/>
          <w:lang w:val="es-ES_tradnl"/>
        </w:rPr>
        <w:t xml:space="preserve">i) aplicación de los convenios solidarios y los Organismos de Acción Comunal </w:t>
      </w:r>
      <w:r>
        <w:rPr>
          <w:rFonts w:ascii="Century Gothic" w:eastAsia="Calibri" w:hAnsi="Century Gothic" w:cs="Arial"/>
          <w:color w:val="000000" w:themeColor="text1"/>
          <w:lang w:val="es-ES_tradnl"/>
        </w:rPr>
        <w:t>en observancia de</w:t>
      </w:r>
      <w:r w:rsidRPr="00D055E1">
        <w:rPr>
          <w:rFonts w:ascii="Century Gothic" w:eastAsia="Calibri" w:hAnsi="Century Gothic" w:cs="Arial"/>
          <w:color w:val="000000" w:themeColor="text1"/>
          <w:lang w:val="es-ES_tradnl"/>
        </w:rPr>
        <w:t xml:space="preserve"> la Ley 136 de 1994;</w:t>
      </w:r>
      <w:r w:rsidRPr="00D055E1">
        <w:rPr>
          <w:rFonts w:ascii="Century Gothic" w:eastAsia="Calibri" w:hAnsi="Century Gothic" w:cs="Arial"/>
          <w:color w:val="000000" w:themeColor="text1"/>
          <w:lang w:val="es-ES"/>
        </w:rPr>
        <w:t xml:space="preserve"> </w:t>
      </w:r>
      <w:proofErr w:type="spellStart"/>
      <w:r w:rsidRPr="00D055E1">
        <w:rPr>
          <w:rFonts w:ascii="Century Gothic" w:eastAsia="Calibri" w:hAnsi="Century Gothic" w:cs="Arial"/>
          <w:color w:val="000000" w:themeColor="text1"/>
          <w:lang w:val="es-ES"/>
        </w:rPr>
        <w:t>ii</w:t>
      </w:r>
      <w:proofErr w:type="spellEnd"/>
      <w:r w:rsidRPr="00D055E1">
        <w:rPr>
          <w:rFonts w:ascii="Century Gothic" w:eastAsia="Calibri" w:hAnsi="Century Gothic" w:cs="Arial"/>
          <w:color w:val="000000" w:themeColor="text1"/>
          <w:lang w:val="es-ES"/>
        </w:rPr>
        <w:t xml:space="preserve">) </w:t>
      </w:r>
      <w:r w:rsidRPr="00D055E1">
        <w:rPr>
          <w:rFonts w:ascii="Century Gothic" w:eastAsia="Calibri" w:hAnsi="Century Gothic" w:cs="Arial"/>
          <w:bCs/>
          <w:color w:val="000000" w:themeColor="text1"/>
        </w:rPr>
        <w:t xml:space="preserve">convenios solidarios con Organismos de Acción Comunal </w:t>
      </w:r>
      <w:r>
        <w:rPr>
          <w:rFonts w:ascii="Century Gothic" w:eastAsia="Calibri" w:hAnsi="Century Gothic" w:cs="Arial"/>
          <w:bCs/>
          <w:color w:val="000000" w:themeColor="text1"/>
        </w:rPr>
        <w:t>en observancia de la</w:t>
      </w:r>
      <w:r w:rsidRPr="00D055E1">
        <w:rPr>
          <w:rFonts w:ascii="Century Gothic" w:eastAsia="Calibri" w:hAnsi="Century Gothic" w:cs="Arial"/>
          <w:bCs/>
          <w:color w:val="000000" w:themeColor="text1"/>
        </w:rPr>
        <w:t xml:space="preserve"> Ley 2166 de 2021 y el Decreto 142 de 2023</w:t>
      </w:r>
      <w:r>
        <w:rPr>
          <w:rFonts w:ascii="Century Gothic" w:eastAsia="Calibri" w:hAnsi="Century Gothic" w:cs="Arial"/>
          <w:bCs/>
          <w:color w:val="000000" w:themeColor="text1"/>
        </w:rPr>
        <w:t xml:space="preserve">. Régimen sancionatorio y de inhabilidades e incompatibilidades aplicable; </w:t>
      </w:r>
      <w:proofErr w:type="spellStart"/>
      <w:r w:rsidRPr="00D055E1">
        <w:rPr>
          <w:rFonts w:ascii="Century Gothic" w:eastAsia="Calibri" w:hAnsi="Century Gothic" w:cs="Arial"/>
          <w:bCs/>
          <w:color w:val="000000" w:themeColor="text1"/>
        </w:rPr>
        <w:t>iii</w:t>
      </w:r>
      <w:proofErr w:type="spellEnd"/>
      <w:r w:rsidRPr="00D055E1">
        <w:rPr>
          <w:rFonts w:ascii="Century Gothic" w:eastAsia="Calibri" w:hAnsi="Century Gothic" w:cs="Arial"/>
          <w:bCs/>
          <w:color w:val="000000" w:themeColor="text1"/>
        </w:rPr>
        <w:t xml:space="preserve">) supervisión o vigilancia de los contratos o convenios que celebren entidades estatales; </w:t>
      </w:r>
      <w:r>
        <w:rPr>
          <w:rFonts w:ascii="Century Gothic" w:eastAsia="Calibri" w:hAnsi="Century Gothic" w:cs="Arial"/>
          <w:bCs/>
          <w:color w:val="000000" w:themeColor="text1"/>
        </w:rPr>
        <w:t xml:space="preserve">y, </w:t>
      </w:r>
      <w:proofErr w:type="spellStart"/>
      <w:r w:rsidRPr="00D055E1">
        <w:rPr>
          <w:rFonts w:ascii="Century Gothic" w:eastAsia="Calibri" w:hAnsi="Century Gothic" w:cs="Arial"/>
          <w:bCs/>
          <w:color w:val="000000" w:themeColor="text1"/>
        </w:rPr>
        <w:t>iv</w:t>
      </w:r>
      <w:proofErr w:type="spellEnd"/>
      <w:r w:rsidRPr="00D055E1">
        <w:rPr>
          <w:rFonts w:ascii="Century Gothic" w:eastAsia="Calibri" w:hAnsi="Century Gothic" w:cs="Arial"/>
          <w:bCs/>
          <w:color w:val="000000" w:themeColor="text1"/>
        </w:rPr>
        <w:t>) sujetos obligados a publicar sus actuaciones contractuales en el Sistema Electrónico de la Contratación Pública – SECOP</w:t>
      </w:r>
      <w:r>
        <w:rPr>
          <w:rFonts w:ascii="Century Gothic" w:eastAsia="Calibri" w:hAnsi="Century Gothic" w:cs="Arial"/>
          <w:bCs/>
          <w:color w:val="000000" w:themeColor="text1"/>
        </w:rPr>
        <w:t>.</w:t>
      </w:r>
    </w:p>
    <w:p w14:paraId="37508519" w14:textId="77777777" w:rsidR="009B7745" w:rsidRPr="00C24A08" w:rsidRDefault="009B7745" w:rsidP="009B7745">
      <w:pPr>
        <w:shd w:val="clear" w:color="auto" w:fill="FFFFFF" w:themeFill="background1"/>
        <w:spacing w:line="276" w:lineRule="auto"/>
        <w:jc w:val="both"/>
        <w:rPr>
          <w:rFonts w:ascii="Century Gothic" w:eastAsia="Calibri" w:hAnsi="Century Gothic" w:cs="Arial"/>
          <w:color w:val="000000" w:themeColor="text1"/>
          <w:lang w:val="es-ES_tradnl"/>
        </w:rPr>
      </w:pPr>
      <w:r w:rsidRPr="00C24A08">
        <w:rPr>
          <w:rFonts w:ascii="Century Gothic" w:eastAsia="Calibri" w:hAnsi="Century Gothic" w:cs="Arial"/>
          <w:color w:val="000000" w:themeColor="text1"/>
        </w:rPr>
        <w:tab/>
      </w:r>
      <w:r w:rsidRPr="00C24A08">
        <w:rPr>
          <w:rFonts w:ascii="Century Gothic" w:eastAsia="Calibri" w:hAnsi="Century Gothic" w:cs="Arial"/>
          <w:color w:val="000000" w:themeColor="text1"/>
          <w:lang w:val="es-ES"/>
        </w:rPr>
        <w:t>La Agencia Nacional de Contratación Pública – Colombia Compra Eficiente, en los Conceptos No. 4201913000006135 del 10 de septiembre de 2019,</w:t>
      </w:r>
      <w:r w:rsidRPr="00C24A08">
        <w:rPr>
          <w:rFonts w:ascii="Century Gothic" w:hAnsi="Century Gothic"/>
          <w:color w:val="000000" w:themeColor="text1"/>
        </w:rPr>
        <w:t xml:space="preserve"> </w:t>
      </w:r>
      <w:r w:rsidRPr="00C24A08">
        <w:rPr>
          <w:rFonts w:ascii="Century Gothic" w:eastAsia="Calibri" w:hAnsi="Century Gothic" w:cs="Arial"/>
          <w:color w:val="000000" w:themeColor="text1"/>
          <w:lang w:val="es-ES"/>
        </w:rPr>
        <w:t xml:space="preserve">4201912000004117 del 17 de septiembre de 2019, C-140 del 31 de abril de 2020, C-223 del 29 de abril de 2020, C-477 del 27 de julio de 2020, C-656 del 17 de noviembre de 2020, C-763 del 7 de enero de 2021, C-785 del 18 de enero de 2021, C-155 del 14 de abril de 2021, C-364 del 28 de julio de 2021, C-394 del 17 de septiembre de 2021, C-627 del 25 de octubre de 2021, C-002 del 15 de febrero de 2022, C-008 del 25 de febrero de 2022, C-079 del 18 de marzo de 2022, C-092 del 16 de marzo de 2022, C-107 del 18 de marzo de 2022, C-116 del 18 de febrero de 2022, C-119 del </w:t>
      </w:r>
      <w:r w:rsidRPr="00C24A08">
        <w:rPr>
          <w:rFonts w:ascii="Century Gothic" w:eastAsia="Calibri" w:hAnsi="Century Gothic" w:cs="Arial"/>
          <w:color w:val="000000" w:themeColor="text1"/>
          <w:lang w:val="es-ES"/>
        </w:rPr>
        <w:lastRenderedPageBreak/>
        <w:t>25 de marzo de 2022, C-177 del 8 de abril de 2022, C-185 del 12 de abril de 2022, C-333 del 24 de mayo de 2022, C-390 del 21 de junio de 2022, C-404 del 26 de mayo de 2022, C-435 del 6 de julio de 2022, C-455 del 15 de julio de 2022, C-465 del 21 de julio de 2022, C-559 del 2 de septiembre de 2022, C-576 del 25 de septiembre de 2022, C-588 del 21 de septiembre de 2022, C-682 del 19 de octubre de 2022, C-717 del 31 de octubre de 2022, C-718 del 31 de octubre de 2022, C-729 del 28 de noviembre de 2022, C-730 del 3 de noviembre de 2022, C-740 del 31 de octubre de 2022, C-940 del 29 de diciembre de 2022, C-971 del 28 de febrero de 2023, C-972 del 8 de febrero de 2023, C-068 del 9 de marzo de 2023, C-040 del 24 de marzo de 2023, C-052 del 21 de abril de 2023, C-117 del 21 de abril de 2023</w:t>
      </w:r>
      <w:r>
        <w:rPr>
          <w:rFonts w:ascii="Century Gothic" w:eastAsia="Calibri" w:hAnsi="Century Gothic" w:cs="Arial"/>
          <w:color w:val="000000" w:themeColor="text1"/>
          <w:lang w:val="es-ES"/>
        </w:rPr>
        <w:t xml:space="preserve">, </w:t>
      </w:r>
      <w:r w:rsidRPr="00C24A08">
        <w:rPr>
          <w:rFonts w:ascii="Century Gothic" w:eastAsia="Calibri" w:hAnsi="Century Gothic" w:cs="Arial"/>
          <w:color w:val="000000" w:themeColor="text1"/>
          <w:lang w:val="es-ES"/>
        </w:rPr>
        <w:t>C-094 del 4 de mayo de 2023</w:t>
      </w:r>
      <w:r>
        <w:rPr>
          <w:rFonts w:ascii="Century Gothic" w:eastAsia="Calibri" w:hAnsi="Century Gothic" w:cs="Arial"/>
          <w:color w:val="000000" w:themeColor="text1"/>
          <w:lang w:val="es-ES"/>
        </w:rPr>
        <w:t xml:space="preserve">, C-209 del 21 de junio de 2023, C-221 del 29 de junio de 2023, </w:t>
      </w:r>
      <w:r w:rsidRPr="00A415FE">
        <w:rPr>
          <w:rFonts w:ascii="Century Gothic" w:eastAsia="Calibri" w:hAnsi="Century Gothic" w:cs="Arial"/>
          <w:color w:val="000000" w:themeColor="text1"/>
          <w:lang w:val="es-ES"/>
        </w:rPr>
        <w:t>C-244</w:t>
      </w:r>
      <w:r>
        <w:rPr>
          <w:rFonts w:ascii="Century Gothic" w:eastAsia="Calibri" w:hAnsi="Century Gothic" w:cs="Arial"/>
          <w:color w:val="000000" w:themeColor="text1"/>
          <w:lang w:val="es-ES"/>
        </w:rPr>
        <w:t xml:space="preserve"> del 5 de julio de 2023, C-258 del 12 de julio de 2023, C-263 del 13 de julio de 2023, C-358 del 19 de julio de 2023, C-320 del 2 de agosto de 2023, C-212 del 4 de agosto de 2023, C-380  del 8 de agosto de 2023, C-239 del 14 de agosto de 2023, C-229 del 27 de julio de 2023, C-340 del 15 de agosto de 2023, C-359 del 1 de septiembre de 2023, C-370 del 19 de septiembre de 2023, C-371 del 19 de septiembre de 2023, C-384 del 22 de septiembre de 2023, C-287 del 9 de octubre de 2023, C-394 del 11 de octubre de 2023 y C-409 del 26 de octubre de 2023</w:t>
      </w:r>
      <w:r w:rsidRPr="00C24A08">
        <w:rPr>
          <w:rFonts w:ascii="Century Gothic" w:eastAsia="Calibri" w:hAnsi="Century Gothic" w:cs="Arial"/>
          <w:color w:val="000000" w:themeColor="text1"/>
          <w:lang w:val="es-ES"/>
        </w:rPr>
        <w:t xml:space="preserve"> analizó los convenios solidarios, su alcance y su régimen contractual</w:t>
      </w:r>
      <w:r w:rsidRPr="00C24A08">
        <w:rPr>
          <w:rStyle w:val="Refdenotaalpie"/>
          <w:rFonts w:ascii="Century Gothic" w:eastAsia="Calibri" w:hAnsi="Century Gothic" w:cs="Arial"/>
        </w:rPr>
        <w:footnoteReference w:id="1"/>
      </w:r>
      <w:r w:rsidRPr="00C24A08">
        <w:rPr>
          <w:rFonts w:ascii="Century Gothic" w:eastAsia="Calibri" w:hAnsi="Century Gothic" w:cs="Arial"/>
          <w:color w:val="000000" w:themeColor="text1"/>
          <w:lang w:val="es-ES"/>
        </w:rPr>
        <w:t xml:space="preserve">. </w:t>
      </w:r>
    </w:p>
    <w:p w14:paraId="270EDE29" w14:textId="77777777" w:rsidR="009B7745" w:rsidRPr="00C24A08" w:rsidRDefault="009B7745" w:rsidP="009B7745">
      <w:pPr>
        <w:shd w:val="clear" w:color="auto" w:fill="FFFFFF" w:themeFill="background1"/>
        <w:spacing w:before="120" w:after="0" w:line="276" w:lineRule="auto"/>
        <w:ind w:firstLine="709"/>
        <w:jc w:val="both"/>
        <w:rPr>
          <w:rFonts w:ascii="Century Gothic" w:eastAsia="Calibri" w:hAnsi="Century Gothic" w:cs="Arial"/>
          <w:color w:val="000000" w:themeColor="text1"/>
        </w:rPr>
      </w:pPr>
      <w:r w:rsidRPr="00C24A08">
        <w:rPr>
          <w:rFonts w:ascii="Century Gothic" w:eastAsia="Calibri" w:hAnsi="Century Gothic" w:cs="Arial"/>
          <w:color w:val="000000" w:themeColor="text1"/>
        </w:rPr>
        <w:t xml:space="preserve">Igualmente, esta Agencia se ha pronunciado sobre la obligación de controlar y vigilar la ejecución de los contratos estatales, en los conceptos con radicado 4201913000004799 del 30 de agosto  de 2019 y 4201913000008240 del 20 de diciembre de 2019; y en los conceptos C-064 del 28 de febrero de 2020, C–077 del 18 de marzo de 2020, C–150 del 18 de marzo de 2020, C–134 del 30 de marzo de 2020, C–180 del 13 de abril de 2020, C-344 de 26 de mayo de 2020, C-765 de 1 de enero de 2021, C-603 de 02 de noviembre de 2021, C-745 de 3 de febrero de 2022, C-506 del 3 de agosto de 2022, C-577 del 15 de septiembre de 2022 y C-620 del 27 de septiembre de 2022 y C-930 de 30 de diciembre de 2022, entre otros. </w:t>
      </w:r>
      <w:r w:rsidRPr="00C24A08">
        <w:rPr>
          <w:rFonts w:ascii="Century Gothic" w:eastAsia="Calibri" w:hAnsi="Century Gothic" w:cs="Arial"/>
          <w:color w:val="000000" w:themeColor="text1"/>
          <w:lang w:val="es-ES_tradnl"/>
        </w:rPr>
        <w:t>La tesis propuesta en estos conceptos se reitera a continuación y se complementa en lo pertinente de acuerdo con las preguntas realizadas.</w:t>
      </w:r>
    </w:p>
    <w:p w14:paraId="006D88B7" w14:textId="77777777" w:rsidR="009B7745" w:rsidRPr="00C24A08" w:rsidRDefault="009B7745" w:rsidP="009B7745">
      <w:pPr>
        <w:shd w:val="clear" w:color="auto" w:fill="FFFFFF" w:themeFill="background1"/>
        <w:tabs>
          <w:tab w:val="left" w:pos="0"/>
        </w:tabs>
        <w:spacing w:after="0" w:line="276" w:lineRule="auto"/>
        <w:jc w:val="both"/>
        <w:rPr>
          <w:rFonts w:ascii="Century Gothic" w:eastAsia="Calibri" w:hAnsi="Century Gothic" w:cs="Arial"/>
          <w:b/>
          <w:color w:val="000000" w:themeColor="text1"/>
        </w:rPr>
      </w:pPr>
    </w:p>
    <w:p w14:paraId="05228257" w14:textId="77777777" w:rsidR="009B7745" w:rsidRPr="00C24A08" w:rsidRDefault="009B7745" w:rsidP="009B7745">
      <w:pPr>
        <w:shd w:val="clear" w:color="auto" w:fill="FFFFFF" w:themeFill="background1"/>
        <w:tabs>
          <w:tab w:val="left" w:pos="426"/>
        </w:tabs>
        <w:spacing w:after="0"/>
        <w:jc w:val="both"/>
        <w:rPr>
          <w:rFonts w:ascii="Century Gothic" w:eastAsia="Calibri" w:hAnsi="Century Gothic" w:cs="Arial"/>
          <w:noProof/>
          <w:color w:val="000000" w:themeColor="text1"/>
          <w:lang w:val="es-ES"/>
        </w:rPr>
      </w:pPr>
      <w:r w:rsidRPr="00C24A08">
        <w:rPr>
          <w:rFonts w:ascii="Century Gothic" w:eastAsia="Calibri" w:hAnsi="Century Gothic" w:cs="Arial"/>
          <w:b/>
          <w:bCs/>
          <w:color w:val="000000" w:themeColor="text1"/>
          <w:lang w:eastAsia="en-GB"/>
        </w:rPr>
        <w:t xml:space="preserve">2.1. </w:t>
      </w:r>
      <w:r w:rsidRPr="00C24A08">
        <w:rPr>
          <w:rFonts w:ascii="Century Gothic" w:eastAsia="Calibri" w:hAnsi="Century Gothic" w:cs="Arial"/>
          <w:b/>
          <w:bCs/>
          <w:color w:val="000000" w:themeColor="text1"/>
          <w:lang w:val="es-ES" w:eastAsia="en-GB"/>
        </w:rPr>
        <w:t>Aplicación de los convenios solidarios</w:t>
      </w:r>
      <w:r w:rsidRPr="00C24A08">
        <w:rPr>
          <w:rFonts w:ascii="Century Gothic" w:eastAsia="Calibri" w:hAnsi="Century Gothic" w:cs="Arial"/>
          <w:b/>
          <w:bCs/>
          <w:color w:val="000000" w:themeColor="text1"/>
          <w:lang w:eastAsia="en-GB"/>
        </w:rPr>
        <w:t xml:space="preserve"> y los Organismos de Acción Comunal </w:t>
      </w:r>
      <w:r>
        <w:rPr>
          <w:rFonts w:ascii="Century Gothic" w:eastAsia="Calibri" w:hAnsi="Century Gothic" w:cs="Arial"/>
          <w:b/>
          <w:bCs/>
          <w:color w:val="000000" w:themeColor="text1"/>
          <w:lang w:eastAsia="en-GB"/>
        </w:rPr>
        <w:t>en observancia de</w:t>
      </w:r>
      <w:r w:rsidRPr="00C24A08">
        <w:rPr>
          <w:rFonts w:ascii="Century Gothic" w:eastAsia="Calibri" w:hAnsi="Century Gothic" w:cs="Arial"/>
          <w:b/>
          <w:bCs/>
          <w:color w:val="000000" w:themeColor="text1"/>
          <w:lang w:eastAsia="en-GB"/>
        </w:rPr>
        <w:t xml:space="preserve"> la Ley 136 de 1994 – Regímenes jurídicos previo a la expedición Ley 2166 de 2021</w:t>
      </w:r>
      <w:r>
        <w:rPr>
          <w:rFonts w:ascii="Century Gothic" w:eastAsia="Calibri" w:hAnsi="Century Gothic" w:cs="Arial"/>
          <w:b/>
          <w:bCs/>
          <w:color w:val="000000" w:themeColor="text1"/>
          <w:lang w:eastAsia="en-GB"/>
        </w:rPr>
        <w:t>.</w:t>
      </w:r>
    </w:p>
    <w:p w14:paraId="17EEFD61" w14:textId="77777777" w:rsidR="009B7745" w:rsidRPr="00C24A08" w:rsidRDefault="009B7745" w:rsidP="009B7745">
      <w:pPr>
        <w:shd w:val="clear" w:color="auto" w:fill="FFFFFF" w:themeFill="background1"/>
        <w:spacing w:after="0" w:line="276" w:lineRule="auto"/>
        <w:jc w:val="both"/>
        <w:rPr>
          <w:rFonts w:ascii="Century Gothic" w:eastAsia="Arial" w:hAnsi="Century Gothic" w:cs="Arial"/>
          <w:b/>
          <w:color w:val="000000" w:themeColor="text1"/>
          <w:lang w:val="es-ES"/>
        </w:rPr>
      </w:pPr>
    </w:p>
    <w:p w14:paraId="467B32EF" w14:textId="77777777" w:rsidR="009B7745" w:rsidRPr="00C24A08" w:rsidRDefault="009B7745" w:rsidP="009B7745">
      <w:pPr>
        <w:shd w:val="clear" w:color="auto" w:fill="FFFFFF" w:themeFill="background1"/>
        <w:spacing w:after="120" w:line="276" w:lineRule="auto"/>
        <w:jc w:val="both"/>
        <w:rPr>
          <w:rFonts w:ascii="Century Gothic" w:eastAsia="Calibri" w:hAnsi="Century Gothic" w:cs="Arial"/>
          <w:bCs/>
          <w:color w:val="000000" w:themeColor="text1"/>
          <w:lang w:val="es-MX"/>
        </w:rPr>
      </w:pPr>
      <w:r w:rsidRPr="00C24A08">
        <w:rPr>
          <w:rFonts w:ascii="Century Gothic" w:eastAsia="Calibri" w:hAnsi="Century Gothic" w:cs="Arial"/>
          <w:bCs/>
          <w:color w:val="000000" w:themeColor="text1"/>
          <w:lang w:val="es-MX"/>
        </w:rPr>
        <w:lastRenderedPageBreak/>
        <w:t xml:space="preserve">El artículo 38 de la Constitución Política, estableció la obligación de </w:t>
      </w:r>
      <w:r w:rsidRPr="00C24A08">
        <w:rPr>
          <w:rFonts w:ascii="Century Gothic" w:eastAsia="Calibri" w:hAnsi="Century Gothic" w:cs="Arial"/>
          <w:color w:val="000000" w:themeColor="text1"/>
        </w:rPr>
        <w:t>“</w:t>
      </w:r>
      <w:r w:rsidRPr="00C24A08">
        <w:rPr>
          <w:rFonts w:ascii="Century Gothic" w:eastAsia="Calibri" w:hAnsi="Century Gothic" w:cs="Arial"/>
          <w:bCs/>
          <w:color w:val="000000" w:themeColor="text1"/>
          <w:lang w:val="es-MX"/>
        </w:rPr>
        <w:t>garantizar el derecho de libre asociación para el desarrollo de las distintas actividades que las personas realizan en sociedad</w:t>
      </w:r>
      <w:r w:rsidRPr="00C24A08">
        <w:rPr>
          <w:rFonts w:ascii="Century Gothic" w:eastAsia="Calibri" w:hAnsi="Century Gothic" w:cs="Arial"/>
          <w:color w:val="000000" w:themeColor="text1"/>
          <w:lang w:val="es-ES_tradnl"/>
        </w:rPr>
        <w:t>”</w:t>
      </w:r>
      <w:r w:rsidRPr="00C24A08">
        <w:rPr>
          <w:rFonts w:ascii="Century Gothic" w:eastAsia="Calibri" w:hAnsi="Century Gothic" w:cs="Arial"/>
          <w:bCs/>
          <w:i/>
          <w:iCs/>
          <w:color w:val="000000" w:themeColor="text1"/>
          <w:lang w:val="es-MX"/>
        </w:rPr>
        <w:t>,</w:t>
      </w:r>
      <w:r w:rsidRPr="00C24A08">
        <w:rPr>
          <w:rFonts w:ascii="Century Gothic" w:eastAsia="Calibri" w:hAnsi="Century Gothic" w:cs="Arial"/>
          <w:bCs/>
          <w:color w:val="000000" w:themeColor="text1"/>
          <w:lang w:val="es-MX"/>
        </w:rPr>
        <w:t xml:space="preserve"> en aras de contar con una sociedad civil más participativa. De igual forma, los artículos 103 y 355 superior permitieron que las organizaciones civiles previstas por el constituyente no solamente puedan ejercer una labor de vigilancia y control, sino que también se prevé su intervención en la actividad estatal. Al respecto, la Corte Constitucional en sentencia C-580 de 2001, realizó un análisis del desarrollo comunitario de los Organismos de Acción Comunal, concluyendo que su proceso social va de la mano con la acción participativa de la comunidad, en tanto que impulsa al individuo a involucrarse en su contexto detectando necesidades de su comunidad y ayudando a solucionarlas</w:t>
      </w:r>
      <w:r w:rsidRPr="00C24A08">
        <w:rPr>
          <w:rFonts w:ascii="Century Gothic" w:eastAsia="Calibri" w:hAnsi="Century Gothic" w:cs="Arial"/>
          <w:bCs/>
          <w:color w:val="000000" w:themeColor="text1"/>
          <w:vertAlign w:val="superscript"/>
          <w:lang w:val="es-MX"/>
        </w:rPr>
        <w:footnoteReference w:id="2"/>
      </w:r>
      <w:r w:rsidRPr="00C24A08">
        <w:rPr>
          <w:rFonts w:ascii="Century Gothic" w:eastAsia="Calibri" w:hAnsi="Century Gothic" w:cs="Arial"/>
          <w:bCs/>
          <w:color w:val="000000" w:themeColor="text1"/>
          <w:lang w:val="es-MX"/>
        </w:rPr>
        <w:t>.</w:t>
      </w:r>
    </w:p>
    <w:p w14:paraId="7F5DDA56"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bCs/>
          <w:color w:val="000000" w:themeColor="text1"/>
          <w:lang w:val="es-MX"/>
        </w:rPr>
      </w:pPr>
      <w:r w:rsidRPr="00C24A08">
        <w:rPr>
          <w:rFonts w:ascii="Century Gothic" w:eastAsia="Calibri" w:hAnsi="Century Gothic" w:cs="Arial"/>
          <w:color w:val="000000" w:themeColor="text1"/>
          <w:lang w:val="es-MX"/>
        </w:rPr>
        <w:t>Es así como, en desarrollo del principio de participación, el artículo 7 de la Ley 21</w:t>
      </w:r>
      <w:r>
        <w:rPr>
          <w:rFonts w:ascii="Century Gothic" w:eastAsia="Calibri" w:hAnsi="Century Gothic" w:cs="Arial"/>
          <w:color w:val="000000" w:themeColor="text1"/>
          <w:lang w:val="es-MX"/>
        </w:rPr>
        <w:t>6</w:t>
      </w:r>
      <w:r w:rsidRPr="00C24A08">
        <w:rPr>
          <w:rFonts w:ascii="Century Gothic" w:eastAsia="Calibri" w:hAnsi="Century Gothic" w:cs="Arial"/>
          <w:color w:val="000000" w:themeColor="text1"/>
          <w:lang w:val="es-MX"/>
        </w:rPr>
        <w:t>6 de 2021 definió cuatro grados de Organismos de Acción Comunal</w:t>
      </w:r>
      <w:r w:rsidRPr="00C24A08">
        <w:rPr>
          <w:rStyle w:val="Refdenotaalpie"/>
          <w:rFonts w:ascii="Century Gothic" w:eastAsia="Calibri" w:hAnsi="Century Gothic" w:cs="Arial"/>
          <w:color w:val="000000" w:themeColor="text1"/>
          <w:lang w:val="es-MX"/>
        </w:rPr>
        <w:footnoteReference w:id="3"/>
      </w:r>
      <w:r w:rsidRPr="00C24A08">
        <w:rPr>
          <w:rFonts w:ascii="Century Gothic" w:eastAsia="Calibri" w:hAnsi="Century Gothic" w:cs="Arial"/>
          <w:color w:val="000000" w:themeColor="text1"/>
          <w:lang w:val="es-MX"/>
        </w:rPr>
        <w:t xml:space="preserve">. En el primer grado se clasifican las Juntas de Acción Comunal y las Juntas de Vivienda Comunal. Las primeras de ellas fueron definidas como </w:t>
      </w:r>
      <w:r w:rsidRPr="00C24A08">
        <w:rPr>
          <w:rFonts w:ascii="Century Gothic" w:eastAsia="Calibri" w:hAnsi="Century Gothic" w:cs="Arial"/>
          <w:i/>
          <w:color w:val="000000" w:themeColor="text1"/>
          <w:lang w:val="es-MX"/>
        </w:rPr>
        <w:t>“una organización cívica, social y comunitaria de gestión social, sin ánimo de lucro, de naturaleza solidaria, con personería jurídica y patrimonio propio (…)</w:t>
      </w:r>
      <w:r w:rsidRPr="00C24A08">
        <w:rPr>
          <w:rFonts w:ascii="Century Gothic" w:eastAsia="Calibri" w:hAnsi="Century Gothic" w:cs="Arial"/>
          <w:color w:val="000000" w:themeColor="text1"/>
          <w:lang w:val="es-MX"/>
        </w:rPr>
        <w:t xml:space="preserve">”, que se encuentra integrada voluntariamente por los residentes de un lugar que aúnan esfuerzos y recursos para </w:t>
      </w:r>
      <w:r w:rsidRPr="00C24A08">
        <w:rPr>
          <w:rFonts w:ascii="Century Gothic" w:eastAsia="Calibri" w:hAnsi="Century Gothic" w:cs="Arial"/>
          <w:i/>
          <w:color w:val="000000" w:themeColor="text1"/>
          <w:lang w:val="es-MX"/>
        </w:rPr>
        <w:t>“procurar un desarrollo integral, sostenible y sustentable con fundamento en el ejercicio de la democracia participativa.”</w:t>
      </w:r>
      <w:r w:rsidRPr="00C24A08">
        <w:rPr>
          <w:rFonts w:ascii="Century Gothic" w:eastAsia="Calibri" w:hAnsi="Century Gothic" w:cs="Arial"/>
          <w:color w:val="000000" w:themeColor="text1"/>
          <w:lang w:val="es-MX"/>
        </w:rPr>
        <w:t>. Por su parte, las Juntas de Vivienda Comunal, fueron definidas como “</w:t>
      </w:r>
      <w:r w:rsidRPr="00C24A08">
        <w:rPr>
          <w:rFonts w:ascii="Century Gothic" w:eastAsia="Calibri" w:hAnsi="Century Gothic" w:cs="Arial"/>
          <w:i/>
          <w:color w:val="000000" w:themeColor="text1"/>
          <w:lang w:val="es-MX"/>
        </w:rPr>
        <w:t>una organización cívica sin ánimo de lucro, integrada por familias que se reúnen con el propósito de adelantar programas de mejoramiento o de autoconstrucción de vivienda”</w:t>
      </w:r>
      <w:r w:rsidRPr="00C24A08">
        <w:rPr>
          <w:rFonts w:ascii="Century Gothic" w:eastAsia="Calibri" w:hAnsi="Century Gothic" w:cs="Arial"/>
          <w:color w:val="000000" w:themeColor="text1"/>
          <w:lang w:val="es-MX"/>
        </w:rPr>
        <w:t xml:space="preserve"> y una vez concluido el programa se podrán asimilar a una Junta de Acción Comunal, siempre y cuando cumplan los requisitos de Ley.</w:t>
      </w:r>
    </w:p>
    <w:p w14:paraId="4E8E0DA7"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bCs/>
          <w:color w:val="000000" w:themeColor="text1"/>
          <w:lang w:val="es-MX"/>
        </w:rPr>
      </w:pPr>
      <w:r w:rsidRPr="00C24A08">
        <w:rPr>
          <w:rFonts w:ascii="Century Gothic" w:eastAsia="Calibri" w:hAnsi="Century Gothic" w:cs="Arial"/>
          <w:color w:val="000000" w:themeColor="text1"/>
          <w:lang w:val="es-MX"/>
        </w:rPr>
        <w:t xml:space="preserve">En desarrollo de ese ejercicio democrático, el artículo 16 ibidem dispuso como funciones de los Organismos de Acción Comunal promover y fortalecer en el individuo, el sentido de pertenencia frente a su comunidad, localidad, distrito o municipio a través del ejercicio de la democracia participativa, y en virtud a ello generar procesos comunitarios como la formulación, ejecución y administración, entre otros, de planes, programas y proyectos de desarrollo comunitario, por lo que se encuentran facultadas para celebrar contratos con entidades del estado, empresas públicas y privadas del orden internacional, nacional, departamental, </w:t>
      </w:r>
      <w:r w:rsidRPr="00C24A08">
        <w:rPr>
          <w:rFonts w:ascii="Century Gothic" w:eastAsia="Calibri" w:hAnsi="Century Gothic" w:cs="Arial"/>
          <w:color w:val="000000" w:themeColor="text1"/>
          <w:lang w:val="es-MX"/>
        </w:rPr>
        <w:lastRenderedPageBreak/>
        <w:t>distrital, municipal y local, hasta de menor cuantía, con el fin de impulsar planes, programas y proyectos acordes con los planes comunales y comunitarios de desarrollo territorial.</w:t>
      </w:r>
    </w:p>
    <w:p w14:paraId="3AAE959D"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bCs/>
          <w:color w:val="000000" w:themeColor="text1"/>
          <w:lang w:val="es-MX"/>
        </w:rPr>
      </w:pPr>
      <w:r w:rsidRPr="00C24A08">
        <w:rPr>
          <w:rFonts w:ascii="Century Gothic" w:eastAsia="Calibri" w:hAnsi="Century Gothic" w:cs="Arial"/>
          <w:bCs/>
          <w:color w:val="000000" w:themeColor="text1"/>
          <w:lang w:val="es-MX"/>
        </w:rPr>
        <w:t>De igual forma, la Corte Constitucional en sentencia C-106 de 2016 señaló que la Junta de Acción Comunal constituye una gran oportunidad, para que sus miembros no solo puedan colaborar en la promoción del desarrollo económico y en la realización de pequeñas y medianas obras públicas, sino que además es una oportunidad para desarrollar habilidades administrativas y de gestión en su comunidad</w:t>
      </w:r>
      <w:r w:rsidRPr="00C24A08">
        <w:rPr>
          <w:rFonts w:ascii="Century Gothic" w:hAnsi="Century Gothic" w:cs="Arial"/>
          <w:bCs/>
          <w:color w:val="000000" w:themeColor="text1"/>
          <w:vertAlign w:val="superscript"/>
          <w:lang w:val="es-MX" w:eastAsia="es-MX"/>
        </w:rPr>
        <w:footnoteReference w:id="4"/>
      </w:r>
      <w:r w:rsidRPr="00C24A08">
        <w:rPr>
          <w:rFonts w:ascii="Century Gothic" w:eastAsia="Calibri" w:hAnsi="Century Gothic" w:cs="Arial"/>
          <w:bCs/>
          <w:color w:val="000000" w:themeColor="text1"/>
          <w:lang w:val="es-MX"/>
        </w:rPr>
        <w:t>.</w:t>
      </w:r>
    </w:p>
    <w:p w14:paraId="56AE689F"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color w:val="000000" w:themeColor="text1"/>
          <w:lang w:val="es-ES"/>
        </w:rPr>
      </w:pPr>
      <w:r w:rsidRPr="00C24A08">
        <w:rPr>
          <w:rFonts w:ascii="Century Gothic" w:eastAsia="Calibri" w:hAnsi="Century Gothic" w:cs="Arial"/>
          <w:color w:val="000000" w:themeColor="text1"/>
          <w:lang w:val="es-ES"/>
        </w:rPr>
        <w:t>Ahora bien, la contratación estatal con entidades privadas sin ánimo de lucro encuentra su fundamento en el artículo 355 de la Constitución Política, el cual, tras proscribir cualquier tipo de donación por parte del Estado a personas de derecho privado, dispone que “El 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 A su vez, el referido mandato constitucional faculta al Gobierno Nacional para reglamentar la materia.</w:t>
      </w:r>
    </w:p>
    <w:p w14:paraId="7BF08BA0"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color w:val="000000" w:themeColor="text1"/>
          <w:lang w:val="es-ES"/>
        </w:rPr>
      </w:pPr>
      <w:r w:rsidRPr="00C24A08">
        <w:rPr>
          <w:rFonts w:ascii="Century Gothic" w:eastAsia="Calibri" w:hAnsi="Century Gothic" w:cs="Arial"/>
          <w:color w:val="000000" w:themeColor="text1"/>
          <w:lang w:val="es-ES"/>
        </w:rPr>
        <w:t>En concordancia con lo establecido en el artículo 355</w:t>
      </w:r>
      <w:r>
        <w:rPr>
          <w:rFonts w:ascii="Century Gothic" w:eastAsia="Calibri" w:hAnsi="Century Gothic" w:cs="Arial"/>
          <w:color w:val="000000" w:themeColor="text1"/>
          <w:lang w:val="es-ES"/>
        </w:rPr>
        <w:t xml:space="preserve"> de la Constitución Política</w:t>
      </w:r>
      <w:r w:rsidRPr="00C24A08">
        <w:rPr>
          <w:rFonts w:ascii="Century Gothic" w:eastAsia="Calibri" w:hAnsi="Century Gothic" w:cs="Arial"/>
          <w:color w:val="000000" w:themeColor="text1"/>
          <w:lang w:val="es-ES"/>
        </w:rPr>
        <w:t>, la Ley 136 de 1994 introdujo un tipo especial de contratación cuyo objetivo consiste en la celebración de convenios solidarios. En congruencia con la conceptualización del acápite precedente, de conformidad con lo dispuesto en el parágrafo tercero del artículo 3 del referido cuerpo normativo, los convenios solidarios se definen como “</w:t>
      </w:r>
      <w:r w:rsidRPr="00C24A08">
        <w:rPr>
          <w:rFonts w:ascii="Century Gothic" w:eastAsia="Calibri" w:hAnsi="Century Gothic" w:cs="Arial"/>
          <w:i/>
          <w:iCs/>
          <w:color w:val="000000" w:themeColor="text1"/>
          <w:lang w:val="es-ES"/>
        </w:rPr>
        <w:t>la complementación de esfuerzos institucionales, comunitarios, económicos y sociales para la construcción de obras y la satisfacción de necesidades y aspiraciones de las comunidades”.</w:t>
      </w:r>
      <w:r w:rsidRPr="00C24A08">
        <w:rPr>
          <w:rFonts w:ascii="Century Gothic" w:eastAsia="Calibri" w:hAnsi="Century Gothic" w:cs="Arial"/>
          <w:color w:val="000000" w:themeColor="text1"/>
          <w:lang w:val="es-ES"/>
        </w:rPr>
        <w:t xml:space="preserve"> En este sentido, reiterando la tesis expuesta por esta Agencia en el Concepto C-140 del 31 de abril de 2020, el artículo tercero de la Ley 136 de 1994, modificado por la Ley 1551 de 2012, determinó tres (3) alternativas mediante las cuales las entidades territoriales pueden celebrar convenios solidarios con Organismos de Acción Comunal, las cuales se enlistan a continuación:</w:t>
      </w:r>
    </w:p>
    <w:p w14:paraId="56298098"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color w:val="000000" w:themeColor="text1"/>
          <w:lang w:val="es-ES"/>
        </w:rPr>
      </w:pPr>
      <w:r w:rsidRPr="00C24A08">
        <w:rPr>
          <w:rFonts w:ascii="Century Gothic" w:eastAsia="Calibri" w:hAnsi="Century Gothic" w:cs="Arial"/>
          <w:color w:val="000000" w:themeColor="text1"/>
          <w:lang w:val="es-ES"/>
        </w:rPr>
        <w:t>i) En primer lugar, las entidades territoriales del orden municipal o distrital pueden celebrar convenios solidarios con Organismos de Acción Comunal</w:t>
      </w:r>
      <w:r w:rsidRPr="00C24A08">
        <w:rPr>
          <w:rFonts w:ascii="Century Gothic" w:eastAsia="Calibri" w:hAnsi="Century Gothic" w:cs="Arial"/>
          <w:i/>
          <w:iCs/>
          <w:color w:val="000000" w:themeColor="text1"/>
          <w:lang w:val="es-ES"/>
        </w:rPr>
        <w:t xml:space="preserve"> “[…] </w:t>
      </w:r>
      <w:r w:rsidRPr="00C24A08">
        <w:rPr>
          <w:rFonts w:ascii="Century Gothic" w:eastAsia="Calibri" w:hAnsi="Century Gothic" w:cs="Arial"/>
          <w:i/>
          <w:iCs/>
          <w:color w:val="000000" w:themeColor="text1"/>
          <w:lang w:val="es-ES"/>
        </w:rPr>
        <w:lastRenderedPageBreak/>
        <w:t>para el desarrollo conjunto de programas y actividades establecidas por la Ley a los municipios y distritos, acorde con sus planes y desarrollos</w:t>
      </w:r>
      <w:r w:rsidRPr="00C24A08">
        <w:rPr>
          <w:rFonts w:ascii="Century Gothic" w:eastAsia="Calibri" w:hAnsi="Century Gothic" w:cs="Arial"/>
          <w:color w:val="000000" w:themeColor="text1"/>
          <w:lang w:val="es-ES"/>
        </w:rPr>
        <w:t>”</w:t>
      </w:r>
      <w:r w:rsidRPr="00C24A08">
        <w:rPr>
          <w:rFonts w:ascii="Century Gothic" w:eastAsia="Calibri" w:hAnsi="Century Gothic" w:cs="Arial"/>
          <w:color w:val="000000" w:themeColor="text1"/>
          <w:vertAlign w:val="superscript"/>
        </w:rPr>
        <w:footnoteReference w:id="5"/>
      </w:r>
      <w:r w:rsidRPr="00C24A08">
        <w:rPr>
          <w:rFonts w:ascii="Century Gothic" w:eastAsia="Calibri" w:hAnsi="Century Gothic" w:cs="Arial"/>
          <w:color w:val="000000" w:themeColor="text1"/>
          <w:lang w:val="es-ES"/>
        </w:rPr>
        <w:t>.</w:t>
      </w:r>
    </w:p>
    <w:p w14:paraId="113730A5" w14:textId="77777777" w:rsidR="009B7745" w:rsidRPr="00C24A08" w:rsidRDefault="009B7745" w:rsidP="009B7745">
      <w:pPr>
        <w:shd w:val="clear" w:color="auto" w:fill="FFFFFF" w:themeFill="background1"/>
        <w:spacing w:after="120" w:line="276" w:lineRule="auto"/>
        <w:ind w:firstLine="708"/>
        <w:jc w:val="both"/>
        <w:rPr>
          <w:rFonts w:ascii="Century Gothic" w:eastAsia="Calibri" w:hAnsi="Century Gothic" w:cs="Arial"/>
          <w:color w:val="000000" w:themeColor="text1"/>
          <w:lang w:val="es-ES"/>
        </w:rPr>
      </w:pPr>
      <w:proofErr w:type="spellStart"/>
      <w:r w:rsidRPr="00C24A08">
        <w:rPr>
          <w:rFonts w:ascii="Century Gothic" w:eastAsia="Calibri" w:hAnsi="Century Gothic" w:cs="Arial"/>
          <w:color w:val="000000" w:themeColor="text1"/>
          <w:lang w:val="es-ES"/>
        </w:rPr>
        <w:t>ii</w:t>
      </w:r>
      <w:proofErr w:type="spellEnd"/>
      <w:r w:rsidRPr="00C24A08">
        <w:rPr>
          <w:rFonts w:ascii="Century Gothic" w:eastAsia="Calibri" w:hAnsi="Century Gothic" w:cs="Arial"/>
          <w:color w:val="000000" w:themeColor="text1"/>
          <w:lang w:val="es-ES"/>
        </w:rPr>
        <w:t xml:space="preserve">) En segundo lugar, existe la opción, establecida en el parágrafo cuarto de la norma en cita, consistente en que las entidades territoriales del orden departamental y municipal podrán celebrar directamente convenios solidarios con juntas de acción comunal para la ejecución de obras hasta por la mínima cuantía. </w:t>
      </w:r>
    </w:p>
    <w:p w14:paraId="0D51F33A" w14:textId="77777777" w:rsidR="009B7745" w:rsidRPr="00C24A08" w:rsidRDefault="009B7745" w:rsidP="009B7745">
      <w:pPr>
        <w:shd w:val="clear" w:color="auto" w:fill="FFFFFF" w:themeFill="background1"/>
        <w:spacing w:after="120" w:line="276" w:lineRule="auto"/>
        <w:ind w:firstLine="709"/>
        <w:jc w:val="both"/>
        <w:rPr>
          <w:rFonts w:ascii="Century Gothic" w:eastAsia="Calibri" w:hAnsi="Century Gothic" w:cs="Arial"/>
          <w:color w:val="000000" w:themeColor="text1"/>
          <w:lang w:val="es-ES"/>
        </w:rPr>
      </w:pPr>
      <w:proofErr w:type="spellStart"/>
      <w:r w:rsidRPr="00C24A08">
        <w:rPr>
          <w:rFonts w:ascii="Century Gothic" w:eastAsia="Calibri" w:hAnsi="Century Gothic" w:cs="Arial"/>
          <w:color w:val="000000" w:themeColor="text1"/>
          <w:lang w:val="es-ES"/>
        </w:rPr>
        <w:t>iii</w:t>
      </w:r>
      <w:proofErr w:type="spellEnd"/>
      <w:r w:rsidRPr="00C24A08">
        <w:rPr>
          <w:rFonts w:ascii="Century Gothic" w:eastAsia="Calibri" w:hAnsi="Century Gothic" w:cs="Arial"/>
          <w:color w:val="000000" w:themeColor="text1"/>
          <w:lang w:val="es-ES"/>
        </w:rPr>
        <w:t xml:space="preserve">) En tercer lugar, la Ley 1955 de 2019 introdujo un quinto parágrafo al artículo tercero, mediante el cual se permite la celebración de convenios solidarios entre entidades del orden nacional y los Organismos de Acción Comunal, en aras de ejecutar proyectos previstos en el Plan Nacional de Desarrollo. </w:t>
      </w:r>
    </w:p>
    <w:p w14:paraId="1BEC9DE9" w14:textId="77777777" w:rsidR="009B7745" w:rsidRPr="00C24A08" w:rsidRDefault="009B7745" w:rsidP="009B7745">
      <w:pPr>
        <w:shd w:val="clear" w:color="auto" w:fill="FFFFFF" w:themeFill="background1"/>
        <w:spacing w:after="120" w:line="276" w:lineRule="auto"/>
        <w:ind w:firstLine="709"/>
        <w:jc w:val="both"/>
        <w:rPr>
          <w:rFonts w:ascii="Century Gothic" w:eastAsia="Calibri" w:hAnsi="Century Gothic" w:cs="Arial"/>
          <w:color w:val="000000" w:themeColor="text1"/>
          <w:lang w:val="es-ES"/>
        </w:rPr>
      </w:pPr>
      <w:r w:rsidRPr="00C24A08">
        <w:rPr>
          <w:rFonts w:ascii="Century Gothic" w:eastAsia="Calibri" w:hAnsi="Century Gothic" w:cs="Arial"/>
          <w:color w:val="000000" w:themeColor="text1"/>
          <w:lang w:val="es-ES"/>
        </w:rPr>
        <w:t xml:space="preserve">Existen características </w:t>
      </w:r>
      <w:r w:rsidRPr="00C24A08">
        <w:rPr>
          <w:rFonts w:ascii="Century Gothic" w:hAnsi="Century Gothic" w:cs="Arial"/>
          <w:color w:val="000000" w:themeColor="text1"/>
          <w:lang w:val="es-ES"/>
        </w:rPr>
        <w:t>generales aplicables a la celebración de cualquier convenio solidario</w:t>
      </w:r>
      <w:r w:rsidRPr="00C24A08">
        <w:rPr>
          <w:rFonts w:ascii="Century Gothic" w:eastAsia="Calibri" w:hAnsi="Century Gothic" w:cs="Arial"/>
          <w:color w:val="000000" w:themeColor="text1"/>
          <w:lang w:val="es-ES"/>
        </w:rPr>
        <w:t xml:space="preserve"> que se encuentran presentes en los tres (3) regímenes de contratación expuestos y que están contenidas en el parágrafo tercero del artículo 3 de la Ley 136 de 1994, en consonancia con el artículo 355 de la Constitución Política. En ese sentido, debe tenerse en cuenta que todos los convenios solidarios celebrados entre entidades del orden nacional, departamental, distrital o municipal y los Organismos de Acción Comunal deben, en primer lugar, satisfacer las necesidades y aspiraciones de las comunidades, en segundo lugar, deben estar encaminados a la satisfacción del interés público, y finalmente, ser concordantes con el Plan Nacional o los planes seccionales de desarrollo, según el caso. </w:t>
      </w:r>
    </w:p>
    <w:p w14:paraId="5F72C311"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 xml:space="preserve">De esta manera, habiendo abordado dichas características generales de cualquier convenio solidario, debe destacarse que, anterior a la expedición de la Ley 2166 de 2021, se presentan los siguientes regímenes jurídicos para la celebración de convenios solidarios, los cuales se mantienen en la actualidad, pero con algunas modificaciones que se abordarán más adelante. </w:t>
      </w:r>
    </w:p>
    <w:p w14:paraId="50B251B2"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 xml:space="preserve">El </w:t>
      </w:r>
      <w:bookmarkStart w:id="4" w:name="_Hlk69293147"/>
      <w:r w:rsidRPr="00C24A08">
        <w:rPr>
          <w:rFonts w:ascii="Century Gothic" w:hAnsi="Century Gothic" w:cs="Arial"/>
          <w:i/>
          <w:iCs/>
          <w:color w:val="000000" w:themeColor="text1"/>
          <w:lang w:val="es-ES"/>
        </w:rPr>
        <w:t>primer régimen jurídico</w:t>
      </w:r>
      <w:r w:rsidRPr="00C24A08">
        <w:rPr>
          <w:rFonts w:ascii="Century Gothic" w:hAnsi="Century Gothic" w:cs="Arial"/>
          <w:color w:val="000000" w:themeColor="text1"/>
          <w:lang w:val="es-ES"/>
        </w:rPr>
        <w:t xml:space="preserve"> encuentra su fundamento en el parágrafo cuarto del artículo 3 de la Ley 136 de 1994. Como se indicó, este determina una </w:t>
      </w:r>
      <w:proofErr w:type="spellStart"/>
      <w:r w:rsidRPr="00C24A08">
        <w:rPr>
          <w:rFonts w:ascii="Century Gothic" w:hAnsi="Century Gothic" w:cs="Arial"/>
          <w:color w:val="000000" w:themeColor="text1"/>
          <w:lang w:val="es-ES"/>
        </w:rPr>
        <w:t>sub-regla</w:t>
      </w:r>
      <w:proofErr w:type="spellEnd"/>
      <w:r w:rsidRPr="00C24A08">
        <w:rPr>
          <w:rFonts w:ascii="Century Gothic" w:hAnsi="Century Gothic" w:cs="Arial"/>
          <w:color w:val="000000" w:themeColor="text1"/>
          <w:lang w:val="es-ES"/>
        </w:rPr>
        <w:t xml:space="preserve"> de contratación prevalente por su especificidad. Para la aplicabilidad de este régimen es necesario que concurran los siguientes requisitos: i) que las partes intervinientes sean, por un lado, entes territoriales del orden departamental o municipal y, por otro, Juntas de Acción Comunal; </w:t>
      </w:r>
      <w:proofErr w:type="spellStart"/>
      <w:r w:rsidRPr="00C24A08">
        <w:rPr>
          <w:rFonts w:ascii="Century Gothic" w:hAnsi="Century Gothic" w:cs="Arial"/>
          <w:color w:val="000000" w:themeColor="text1"/>
          <w:lang w:val="es-ES"/>
        </w:rPr>
        <w:t>ii</w:t>
      </w:r>
      <w:proofErr w:type="spellEnd"/>
      <w:r w:rsidRPr="00C24A08">
        <w:rPr>
          <w:rFonts w:ascii="Century Gothic" w:hAnsi="Century Gothic" w:cs="Arial"/>
          <w:color w:val="000000" w:themeColor="text1"/>
          <w:lang w:val="es-ES"/>
        </w:rPr>
        <w:t xml:space="preserve">) que el objeto contractual </w:t>
      </w:r>
      <w:r w:rsidRPr="00C24A08">
        <w:rPr>
          <w:rFonts w:ascii="Century Gothic" w:hAnsi="Century Gothic" w:cs="Arial"/>
          <w:color w:val="000000" w:themeColor="text1"/>
          <w:lang w:val="es-ES"/>
        </w:rPr>
        <w:lastRenderedPageBreak/>
        <w:t xml:space="preserve">consista en la ejecución de obras; y, </w:t>
      </w:r>
      <w:proofErr w:type="spellStart"/>
      <w:r w:rsidRPr="00C24A08">
        <w:rPr>
          <w:rFonts w:ascii="Century Gothic" w:hAnsi="Century Gothic" w:cs="Arial"/>
          <w:color w:val="000000" w:themeColor="text1"/>
          <w:lang w:val="es-ES"/>
        </w:rPr>
        <w:t>iii</w:t>
      </w:r>
      <w:proofErr w:type="spellEnd"/>
      <w:r w:rsidRPr="00C24A08">
        <w:rPr>
          <w:rFonts w:ascii="Century Gothic" w:hAnsi="Century Gothic" w:cs="Arial"/>
          <w:color w:val="000000" w:themeColor="text1"/>
          <w:lang w:val="es-ES"/>
        </w:rPr>
        <w:t>) que el contrato no supere la mínima cuantía. De concurrir las anteriores circunstancias, la norma autoriza la contratación directa entre la entidad territorial y la respectiva Junta de Acción Comunal previamente legalizada y reconocida ante los organismos competentes, procedimiento contractual que se encuentra desarrollado en la Ley 80 de 1993 y sus normas complementarias. En todo caso, esta contratación debe tomar como personal para la ejecución de la obra a los habitantes de la comunidad, en virtud de lo consagrado en el artículo 141 de la Ley 136 de 1994.</w:t>
      </w:r>
      <w:bookmarkEnd w:id="4"/>
      <w:r w:rsidRPr="00C24A08">
        <w:rPr>
          <w:rFonts w:ascii="Century Gothic" w:hAnsi="Century Gothic" w:cs="Arial"/>
          <w:color w:val="000000" w:themeColor="text1"/>
          <w:lang w:val="es-ES"/>
        </w:rPr>
        <w:t xml:space="preserve"> Sin embargo, como se expondrá más adelante, el artículo 95 de la Ley 2166 de 2021 y el Decreto 142 de 2023 modificó estas subreglas en cuanto a los sujetos aplicables, condiciones y la cuantía del contrato. </w:t>
      </w:r>
    </w:p>
    <w:p w14:paraId="63F4F06E"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 xml:space="preserve">Un </w:t>
      </w:r>
      <w:r w:rsidRPr="00C24A08">
        <w:rPr>
          <w:rFonts w:ascii="Century Gothic" w:hAnsi="Century Gothic" w:cs="Arial"/>
          <w:i/>
          <w:iCs/>
          <w:color w:val="000000" w:themeColor="text1"/>
          <w:lang w:val="es-ES"/>
        </w:rPr>
        <w:t>segundo</w:t>
      </w:r>
      <w:r w:rsidRPr="00C24A08">
        <w:rPr>
          <w:rFonts w:ascii="Century Gothic" w:hAnsi="Century Gothic" w:cs="Arial"/>
          <w:color w:val="000000" w:themeColor="text1"/>
          <w:lang w:val="es-ES"/>
        </w:rPr>
        <w:t xml:space="preserve"> </w:t>
      </w:r>
      <w:r w:rsidRPr="00C24A08">
        <w:rPr>
          <w:rFonts w:ascii="Century Gothic" w:hAnsi="Century Gothic" w:cs="Arial"/>
          <w:i/>
          <w:iCs/>
          <w:color w:val="000000" w:themeColor="text1"/>
          <w:lang w:val="es-ES"/>
        </w:rPr>
        <w:t>régimen</w:t>
      </w:r>
      <w:r w:rsidRPr="00C24A08">
        <w:rPr>
          <w:rFonts w:ascii="Century Gothic" w:hAnsi="Century Gothic" w:cs="Arial"/>
          <w:color w:val="000000" w:themeColor="text1"/>
          <w:lang w:val="es-ES"/>
        </w:rPr>
        <w:t xml:space="preserve"> o modalidad de contratación se encuentra prevista en el Decreto 092 de 2017, exceptuando lo consignado en su artículo quinto, pues versa sobre convenios de asociación. Este decreto desarrolló, en términos generales, la contratación autorizada por el artículo 355 de la Constitución Política, la cual, en concordancia con el numeral 16 y el parágrafo tercero del artículo 3 de la Ley 136 de 1994, puede manifestarse a través de convenios solidarios.  </w:t>
      </w:r>
    </w:p>
    <w:p w14:paraId="46B892D6"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 xml:space="preserve">En este sentido, el régimen especial y preferente previsto en el Decreto 092 de 2017 para la celebración de convenios solidarios será aplicable cuando se reúnan los siguientes requisitos: i) que las partes intervinientes sean, de un lado, entidades territoriales del orden nacional, departamental, distrital o municipal y, de otro, entidades sin ánimo de lucro de reconocida idoneidad (entre los que se encuentra los Organismos de Acción Comunal); </w:t>
      </w:r>
      <w:proofErr w:type="spellStart"/>
      <w:r w:rsidRPr="00C24A08">
        <w:rPr>
          <w:rFonts w:ascii="Century Gothic" w:hAnsi="Century Gothic" w:cs="Arial"/>
          <w:color w:val="000000" w:themeColor="text1"/>
          <w:lang w:val="es-ES"/>
        </w:rPr>
        <w:t>ii</w:t>
      </w:r>
      <w:proofErr w:type="spellEnd"/>
      <w:r w:rsidRPr="00C24A08">
        <w:rPr>
          <w:rFonts w:ascii="Century Gothic" w:hAnsi="Century Gothic" w:cs="Arial"/>
          <w:color w:val="000000" w:themeColor="text1"/>
          <w:lang w:val="es-ES"/>
        </w:rPr>
        <w:t xml:space="preserve">) que el objeto del contrato esté dirigido al impulso de programas y actividades de interés público acordes con el plan de desarrollo aplicable (territorial o nacional); </w:t>
      </w:r>
      <w:proofErr w:type="spellStart"/>
      <w:r w:rsidRPr="00C24A08">
        <w:rPr>
          <w:rFonts w:ascii="Century Gothic" w:hAnsi="Century Gothic" w:cs="Arial"/>
          <w:color w:val="000000" w:themeColor="text1"/>
          <w:lang w:val="es-ES"/>
        </w:rPr>
        <w:t>iii</w:t>
      </w:r>
      <w:proofErr w:type="spellEnd"/>
      <w:r w:rsidRPr="00C24A08">
        <w:rPr>
          <w:rFonts w:ascii="Century Gothic" w:hAnsi="Century Gothic" w:cs="Arial"/>
          <w:color w:val="000000" w:themeColor="text1"/>
          <w:lang w:val="es-ES"/>
        </w:rPr>
        <w:t xml:space="preserve">) que el contrato, independientemente de su cuantía, no refleje relaciones conmutativas que impliquen contraprestaciones para la entidad del Estado; y </w:t>
      </w:r>
      <w:proofErr w:type="spellStart"/>
      <w:r w:rsidRPr="00C24A08">
        <w:rPr>
          <w:rFonts w:ascii="Century Gothic" w:hAnsi="Century Gothic" w:cs="Arial"/>
          <w:color w:val="000000" w:themeColor="text1"/>
          <w:lang w:val="es-ES"/>
        </w:rPr>
        <w:t>iv</w:t>
      </w:r>
      <w:proofErr w:type="spellEnd"/>
      <w:r w:rsidRPr="00C24A08">
        <w:rPr>
          <w:rFonts w:ascii="Century Gothic" w:hAnsi="Century Gothic" w:cs="Arial"/>
          <w:color w:val="000000" w:themeColor="text1"/>
          <w:lang w:val="es-ES"/>
        </w:rPr>
        <w:t xml:space="preserve">) que la entidad del Estado no imparta instrucciones precisas para la ejecución del objeto convenido. </w:t>
      </w:r>
    </w:p>
    <w:p w14:paraId="31E604A5"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 xml:space="preserve">Así las cosas, en caso de que concurran los requisitos antes enunciados, se aplicará al proceso de planeación, selección y contratación el procedimiento previsto en el Decreto 092 de 2017 y, en lo no previsto en este, se complementará con las normas previstas en el EGCAP, con base en las remisiones efectuadas en los artículos séptimo y octavo del citado Decreto. Sin embargo, como se expondrá más adelante, el artículo 63 de la Ley 2166 de 2021 y el Decreto 142 de 2023 estableció unas subreglas especiales a observar cuando los sujetos sean </w:t>
      </w:r>
      <w:r w:rsidRPr="00C24A08">
        <w:rPr>
          <w:rFonts w:ascii="Century Gothic" w:hAnsi="Century Gothic" w:cs="Arial"/>
          <w:color w:val="000000" w:themeColor="text1"/>
          <w:lang w:val="es-ES"/>
        </w:rPr>
        <w:lastRenderedPageBreak/>
        <w:t xml:space="preserve">Organismos de Acción Comunal, respecto de la cuantía del convenio y su consagración expresa en los planes de desarrollo respectivos. </w:t>
      </w:r>
    </w:p>
    <w:p w14:paraId="604CECCE"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i/>
          <w:color w:val="000000" w:themeColor="text1"/>
          <w:lang w:val="es-ES"/>
        </w:rPr>
        <w:t>Por último</w:t>
      </w:r>
      <w:r w:rsidRPr="00C24A08">
        <w:rPr>
          <w:rFonts w:ascii="Century Gothic" w:hAnsi="Century Gothic" w:cs="Arial"/>
          <w:color w:val="000000" w:themeColor="text1"/>
          <w:lang w:val="es-ES"/>
        </w:rPr>
        <w:t xml:space="preserve">, en armonía con la modificación realizada por la Ley 1955 de 2019, se presenta un </w:t>
      </w:r>
      <w:r w:rsidRPr="00C24A08">
        <w:rPr>
          <w:rFonts w:ascii="Century Gothic" w:hAnsi="Century Gothic" w:cs="Arial"/>
          <w:i/>
          <w:color w:val="000000" w:themeColor="text1"/>
          <w:lang w:val="es-ES"/>
        </w:rPr>
        <w:t>tercer régimen</w:t>
      </w:r>
      <w:r w:rsidRPr="00C24A08">
        <w:rPr>
          <w:rFonts w:ascii="Century Gothic" w:hAnsi="Century Gothic" w:cs="Arial"/>
          <w:color w:val="000000" w:themeColor="text1"/>
          <w:lang w:val="es-ES"/>
        </w:rPr>
        <w:t xml:space="preserve">, </w:t>
      </w:r>
      <w:bookmarkStart w:id="5" w:name="_Hlk98594490"/>
      <w:r w:rsidRPr="00C24A08">
        <w:rPr>
          <w:rFonts w:ascii="Century Gothic" w:hAnsi="Century Gothic" w:cs="Arial"/>
          <w:color w:val="000000" w:themeColor="text1"/>
          <w:lang w:val="es-ES"/>
        </w:rPr>
        <w:t>que encuentra su fundamento en los parágrafos tercero y quinto del artículo tercero de la Ley 136 de 1994</w:t>
      </w:r>
      <w:bookmarkEnd w:id="5"/>
      <w:r w:rsidRPr="00C24A08">
        <w:rPr>
          <w:rFonts w:ascii="Century Gothic" w:hAnsi="Century Gothic" w:cs="Arial"/>
          <w:color w:val="000000" w:themeColor="text1"/>
          <w:lang w:val="es-ES"/>
        </w:rPr>
        <w:t>. Retomando los Conceptos de esta Agencia</w:t>
      </w:r>
      <w:r w:rsidRPr="00C24A08">
        <w:rPr>
          <w:rStyle w:val="Refdenotaalpie"/>
          <w:rFonts w:ascii="Century Gothic" w:hAnsi="Century Gothic" w:cs="Arial"/>
          <w:color w:val="000000" w:themeColor="text1"/>
          <w:lang w:val="es-ES"/>
        </w:rPr>
        <w:footnoteReference w:id="6"/>
      </w:r>
      <w:r w:rsidRPr="00C24A08">
        <w:rPr>
          <w:rFonts w:ascii="Century Gothic" w:hAnsi="Century Gothic" w:cs="Arial"/>
          <w:color w:val="000000" w:themeColor="text1"/>
          <w:lang w:val="es-ES"/>
        </w:rPr>
        <w:t>, dicho régimen se debía interpretar armónicamente con lo dispuesto en el artículo 141 de la precitada Ley</w:t>
      </w:r>
      <w:r w:rsidRPr="00C24A08">
        <w:rPr>
          <w:rStyle w:val="Refdenotaalpie"/>
          <w:rFonts w:ascii="Century Gothic" w:hAnsi="Century Gothic" w:cs="Arial"/>
          <w:color w:val="000000" w:themeColor="text1"/>
          <w:lang w:val="es-ES"/>
        </w:rPr>
        <w:footnoteReference w:id="7"/>
      </w:r>
      <w:r w:rsidRPr="00C24A08">
        <w:rPr>
          <w:rFonts w:ascii="Century Gothic" w:hAnsi="Century Gothic" w:cs="Arial"/>
          <w:color w:val="000000" w:themeColor="text1"/>
          <w:lang w:val="es-ES"/>
        </w:rPr>
        <w:t xml:space="preserve"> y el artículo 55 de la Ley 743 de 2002</w:t>
      </w:r>
      <w:r w:rsidRPr="00C24A08">
        <w:rPr>
          <w:rStyle w:val="Refdenotaalpie"/>
          <w:rFonts w:ascii="Century Gothic" w:hAnsi="Century Gothic" w:cs="Arial"/>
          <w:color w:val="000000" w:themeColor="text1"/>
          <w:lang w:val="es-ES"/>
        </w:rPr>
        <w:footnoteReference w:id="8"/>
      </w:r>
      <w:r w:rsidRPr="00C24A08">
        <w:rPr>
          <w:rFonts w:ascii="Century Gothic" w:hAnsi="Century Gothic" w:cs="Arial"/>
          <w:color w:val="000000" w:themeColor="text1"/>
          <w:lang w:val="es-ES"/>
        </w:rPr>
        <w:t xml:space="preserve"> –norma vigente hasta la expedición de la Ley 2166 de 2021– remplazado por el artículo 63. En virtud de tales disposiciones normativas, las organizaciones comunitarias cuentan con la posibilidad de </w:t>
      </w:r>
      <w:r w:rsidRPr="00C24A08">
        <w:rPr>
          <w:rFonts w:ascii="Century Gothic" w:hAnsi="Century Gothic" w:cs="Arial"/>
          <w:i/>
          <w:color w:val="000000" w:themeColor="text1"/>
          <w:lang w:val="es-ES"/>
        </w:rPr>
        <w:t>“vincularse al desarrollo y mejoramiento municipal mediante la participación en el ejercicio de las funciones, la prestación de servicios o la ejecución de obras públicas a cargo de la administración central o descentralizada”</w:t>
      </w:r>
      <w:r w:rsidRPr="00C24A08">
        <w:rPr>
          <w:rFonts w:ascii="Century Gothic" w:hAnsi="Century Gothic" w:cs="Arial"/>
          <w:color w:val="000000" w:themeColor="text1"/>
          <w:lang w:val="es-ES"/>
        </w:rPr>
        <w:t>. Para la vinculación en el desarrollo municipal, las normas previamente citadas disponen que se aplicarán los artículos 375 a 378 del Decreto 1333 de 1986 así como el EGCAP. Frente a este régimen de contratación la Agencia</w:t>
      </w:r>
      <w:r>
        <w:rPr>
          <w:rFonts w:ascii="Century Gothic" w:hAnsi="Century Gothic" w:cs="Arial"/>
          <w:color w:val="000000" w:themeColor="text1"/>
          <w:lang w:val="es-ES"/>
        </w:rPr>
        <w:t xml:space="preserve"> </w:t>
      </w:r>
      <w:r w:rsidRPr="00C24A08">
        <w:rPr>
          <w:rFonts w:ascii="Century Gothic" w:hAnsi="Century Gothic" w:cs="Arial"/>
          <w:color w:val="000000" w:themeColor="text1"/>
          <w:lang w:val="es-ES"/>
        </w:rPr>
        <w:t xml:space="preserve">indicó que aquel resulta aplicable a todos los casos no reglamentados a través de normas específicas en los que: i) se vinculen entidades del orden municipal o distrital y organizaciones comunales; </w:t>
      </w:r>
      <w:proofErr w:type="spellStart"/>
      <w:r w:rsidRPr="00C24A08">
        <w:rPr>
          <w:rFonts w:ascii="Century Gothic" w:hAnsi="Century Gothic" w:cs="Arial"/>
          <w:color w:val="000000" w:themeColor="text1"/>
          <w:lang w:val="es-ES"/>
        </w:rPr>
        <w:t>ii</w:t>
      </w:r>
      <w:proofErr w:type="spellEnd"/>
      <w:r w:rsidRPr="00C24A08">
        <w:rPr>
          <w:rFonts w:ascii="Century Gothic" w:hAnsi="Century Gothic" w:cs="Arial"/>
          <w:color w:val="000000" w:themeColor="text1"/>
          <w:lang w:val="es-ES"/>
        </w:rPr>
        <w:t xml:space="preserve">) se cumpla con el objetivo planteado en el parágrafo tercero del artículo tercero de la Ley 136 de 1994, en consonancia con el artículo 355 constitucional; y </w:t>
      </w:r>
      <w:proofErr w:type="spellStart"/>
      <w:r w:rsidRPr="00C24A08">
        <w:rPr>
          <w:rFonts w:ascii="Century Gothic" w:hAnsi="Century Gothic" w:cs="Arial"/>
          <w:color w:val="000000" w:themeColor="text1"/>
          <w:lang w:val="es-ES"/>
        </w:rPr>
        <w:t>iii</w:t>
      </w:r>
      <w:proofErr w:type="spellEnd"/>
      <w:r w:rsidRPr="00C24A08">
        <w:rPr>
          <w:rFonts w:ascii="Century Gothic" w:hAnsi="Century Gothic" w:cs="Arial"/>
          <w:color w:val="000000" w:themeColor="text1"/>
          <w:lang w:val="es-ES"/>
        </w:rPr>
        <w:t>) no exista otra forma especial de contratación. Sin embargo, hay que tener en cuenta que para que estos Organismos de Acción Comunal puedan intervenir en la prestación de servicios públicos requiere de autorización expresa de los Concejos Municipales y Asambleas Departamentales en virtud de lo consagrado en el artículo 22 de la Ley 19 de 1958.</w:t>
      </w:r>
    </w:p>
    <w:p w14:paraId="022583E4" w14:textId="77777777" w:rsidR="009B7745" w:rsidRPr="00C24A08" w:rsidRDefault="009B7745" w:rsidP="009B7745">
      <w:pPr>
        <w:shd w:val="clear" w:color="auto" w:fill="FFFFFF" w:themeFill="background1"/>
        <w:spacing w:after="120" w:line="276" w:lineRule="auto"/>
        <w:ind w:firstLine="709"/>
        <w:jc w:val="both"/>
        <w:rPr>
          <w:rFonts w:ascii="Century Gothic" w:hAnsi="Century Gothic" w:cs="Arial"/>
          <w:color w:val="000000" w:themeColor="text1"/>
        </w:rPr>
      </w:pPr>
      <w:r w:rsidRPr="00C24A08">
        <w:rPr>
          <w:rFonts w:ascii="Century Gothic" w:hAnsi="Century Gothic" w:cs="Arial"/>
          <w:color w:val="000000" w:themeColor="text1"/>
          <w:lang w:val="es-ES"/>
        </w:rPr>
        <w:t xml:space="preserve">Las anteriores subreglas también serían aplicables para la celebración de convenios para la vinculación al desarrollo departamental de Organismos de Acción Comunal en virtud de lo consagrado en el artículo 139 de la Ley 2200 de 2022, en virtud del cual, los departamentos podrán vincular a estor organismos para el cumplimiento o la ejecución de determinadas funciones u obras, siempre y cuando estas últimas aporten el trabajo de sus integrantes y/o afiliados, así como </w:t>
      </w:r>
      <w:r w:rsidRPr="00C24A08">
        <w:rPr>
          <w:rFonts w:ascii="Century Gothic" w:hAnsi="Century Gothic" w:cs="Arial"/>
          <w:color w:val="000000" w:themeColor="text1"/>
          <w:lang w:val="es-ES"/>
        </w:rPr>
        <w:lastRenderedPageBreak/>
        <w:t>otros bienes o recursos para cumplimiento de funciones o ejecución de obras en el territorio para lo cual deberá tener en cuenta los artículos 63 y 95 de Ley 2166 de 2021, respectivamente. Asimismo, la norma dispuso que los convenios que se celebren en desarrollo de este artículo estarán sujetos a las formalidades o requisitos previstos en la Ley para las entidades públicas.</w:t>
      </w:r>
    </w:p>
    <w:p w14:paraId="74416843" w14:textId="77777777" w:rsidR="009B7745"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C24A08">
        <w:rPr>
          <w:rFonts w:ascii="Century Gothic" w:hAnsi="Century Gothic" w:cs="Arial"/>
          <w:color w:val="000000" w:themeColor="text1"/>
          <w:lang w:val="es-ES"/>
        </w:rPr>
        <w:t>Como se observa, cada alternativa contempla su propio régimen jurídico para efectos de la gestión contractual. En este contexto, como exigencia acorde a los principios de la función administrativa, la planeación impone el deber de realizar estudios previos y análisis del sector económico, pues son los insumos para determinar desde el punto de vista técnico tanto las necesidades prioritarias como los presupuestos estimados de cada proyecto. Por otra parte, además de lo que explicará en el próximo acápite sobre la contratación de los parágrafos tercero y quinto del artículo tercero de la Ley 136 de 1994, cada una de ellas precisa el procedimiento de selección aplicable, aclarando que este se rige por las normas de la contratación directa en el primer régimen y que, para efectos del segundo, el procedimiento será competitivo o no competitivo de acuerdo con lo previsto en el artículo 4 del Decreto 092 de 2017</w:t>
      </w:r>
      <w:r w:rsidRPr="00C24A08">
        <w:rPr>
          <w:rStyle w:val="Refdenotaalpie"/>
          <w:rFonts w:ascii="Century Gothic" w:hAnsi="Century Gothic" w:cs="Arial"/>
          <w:color w:val="000000" w:themeColor="text1"/>
          <w:lang w:val="es-ES"/>
        </w:rPr>
        <w:footnoteReference w:id="9"/>
      </w:r>
      <w:r w:rsidRPr="00C24A08">
        <w:rPr>
          <w:rFonts w:ascii="Century Gothic" w:hAnsi="Century Gothic" w:cs="Arial"/>
          <w:color w:val="000000" w:themeColor="text1"/>
          <w:lang w:val="es-ES"/>
        </w:rPr>
        <w:t>. Por otro lado, sin perjuicio de las particularidades del supuesto previsto en el precitado artículo 141 del Ley 136 de 1994, el régimen de garantías se incorpora bien sea directamente a través del EGCAP o a través de remisiones como las previstas en el artículo 8 del Decreto 092 de 2012</w:t>
      </w:r>
      <w:r w:rsidRPr="00C24A08">
        <w:rPr>
          <w:rStyle w:val="Refdenotaalpie"/>
          <w:rFonts w:ascii="Century Gothic" w:hAnsi="Century Gothic" w:cs="Arial"/>
          <w:color w:val="000000" w:themeColor="text1"/>
          <w:lang w:val="es-ES"/>
        </w:rPr>
        <w:footnoteReference w:id="10"/>
      </w:r>
      <w:r w:rsidRPr="00C24A08">
        <w:rPr>
          <w:rFonts w:ascii="Century Gothic" w:hAnsi="Century Gothic" w:cs="Arial"/>
          <w:color w:val="000000" w:themeColor="text1"/>
          <w:lang w:val="es-ES"/>
        </w:rPr>
        <w:t xml:space="preserve">, aspecto que también se extiende al régimen sancionatorio contractual en caso de responsabilidad por incumplimiento. </w:t>
      </w:r>
    </w:p>
    <w:p w14:paraId="0C49D984" w14:textId="77777777" w:rsidR="009B7745" w:rsidRPr="0013067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_tradnl"/>
        </w:rPr>
      </w:pPr>
      <w:bookmarkStart w:id="7" w:name="_Hlk126313407"/>
      <w:r w:rsidRPr="00130678">
        <w:rPr>
          <w:rFonts w:ascii="Century Gothic" w:hAnsi="Century Gothic" w:cs="Arial"/>
          <w:color w:val="000000" w:themeColor="text1"/>
          <w:lang w:val="es-ES_tradnl"/>
        </w:rPr>
        <w:t>Ahora bien, en consideración a la inquietud planteada en relación con el régimen de inhabilidades e incompatibilidades aplicable, se tiene que</w:t>
      </w:r>
      <w:r w:rsidRPr="00130678">
        <w:rPr>
          <w:rFonts w:ascii="Century Gothic" w:hAnsi="Century Gothic" w:cs="Arial"/>
          <w:color w:val="000000" w:themeColor="text1"/>
        </w:rPr>
        <w:t xml:space="preserve"> </w:t>
      </w:r>
      <w:r w:rsidRPr="00130678">
        <w:rPr>
          <w:rFonts w:ascii="Century Gothic" w:hAnsi="Century Gothic" w:cs="Arial"/>
          <w:color w:val="000000" w:themeColor="text1"/>
          <w:lang w:val="es-ES_tradnl"/>
        </w:rPr>
        <w:t>al ostentar los convenios solidarios la calidad de contratos estatales sujetos al Estatuto General de Contratación de la Administración Pública, a los miembros y dignatarios que representen los intereses de los Organismos de Acción Comunal en el marco del convenio, les será aplicable el régimen de inhabilidades e incompatibilidades dispuesto en la Constitución Política y en el artículo 8 de la Ley 80 de 1993</w:t>
      </w:r>
      <w:r w:rsidRPr="00130678">
        <w:rPr>
          <w:rFonts w:ascii="Century Gothic" w:hAnsi="Century Gothic" w:cs="Arial"/>
          <w:color w:val="000000" w:themeColor="text1"/>
          <w:vertAlign w:val="superscript"/>
          <w:lang w:val="es-ES_tradnl"/>
        </w:rPr>
        <w:footnoteReference w:id="11"/>
      </w:r>
      <w:r w:rsidRPr="00130678">
        <w:rPr>
          <w:rFonts w:ascii="Century Gothic" w:hAnsi="Century Gothic" w:cs="Arial"/>
          <w:color w:val="000000" w:themeColor="text1"/>
          <w:lang w:val="es-ES_tradnl"/>
        </w:rPr>
        <w:t xml:space="preserve">. </w:t>
      </w:r>
    </w:p>
    <w:p w14:paraId="082A5B39" w14:textId="77777777" w:rsidR="009B7745" w:rsidRPr="00130678" w:rsidRDefault="009B7745" w:rsidP="009B7745">
      <w:pPr>
        <w:shd w:val="clear" w:color="auto" w:fill="FFFFFF" w:themeFill="background1"/>
        <w:spacing w:after="120" w:line="276" w:lineRule="auto"/>
        <w:ind w:firstLine="709"/>
        <w:jc w:val="both"/>
        <w:rPr>
          <w:rFonts w:ascii="Century Gothic" w:hAnsi="Century Gothic" w:cs="Arial"/>
          <w:color w:val="000000" w:themeColor="text1"/>
        </w:rPr>
      </w:pPr>
      <w:r w:rsidRPr="00130678">
        <w:rPr>
          <w:rFonts w:ascii="Century Gothic" w:hAnsi="Century Gothic" w:cs="Arial"/>
          <w:color w:val="000000" w:themeColor="text1"/>
          <w:lang w:val="es-ES_tradnl"/>
        </w:rPr>
        <w:lastRenderedPageBreak/>
        <w:t>Por lo tanto, corresponde de una parte, a los Organismos de Acción Comunal, en principio, determinar si uno o algunos de sus integrantes incurre o no en causal de inhabilidad o incompatibilidad para ser partícipes de los procesos de contratación pública y, en consecuencia, suscribir contratos estatales. Y, de otra parte, acorde con las disposiciones que rigen su actividad contractual, les atañe a las entidades estatales evaluar en cada caso, si uno o algunos de los integrantes del Organismo de Acción Comunal se encuentra o no inmerso en los límites especiales a la capacidad jurídica para la celebración del contrato estatal.</w:t>
      </w:r>
      <w:bookmarkEnd w:id="7"/>
    </w:p>
    <w:p w14:paraId="5BFA4B02" w14:textId="77777777" w:rsidR="009B7745" w:rsidRPr="00130678"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
        </w:rPr>
      </w:pPr>
      <w:r w:rsidRPr="00130678">
        <w:rPr>
          <w:rFonts w:ascii="Century Gothic" w:hAnsi="Century Gothic" w:cs="Arial"/>
          <w:color w:val="000000" w:themeColor="text1"/>
          <w:lang w:val="es-ES"/>
        </w:rPr>
        <w:t xml:space="preserve">Finalmente, respecto a la supervisión, inciso segundo del artículo 83 de la Ley 1474 de 2011 es una norma de aplicación transversal al sistema de compras públicas, pues dispone </w:t>
      </w:r>
      <w:r w:rsidRPr="00130678">
        <w:rPr>
          <w:rFonts w:ascii="Century Gothic" w:hAnsi="Century Gothic" w:cs="Arial"/>
          <w:i/>
          <w:color w:val="000000" w:themeColor="text1"/>
          <w:lang w:val="es-ES"/>
        </w:rPr>
        <w:t>“[…] la Entidad estatal podrá contratar personal de apoyo, a través de los contratos de prestación de servicios que sean requeridos</w:t>
      </w:r>
      <w:r w:rsidRPr="00130678">
        <w:rPr>
          <w:rFonts w:ascii="Century Gothic" w:hAnsi="Century Gothic" w:cs="Arial"/>
          <w:color w:val="000000" w:themeColor="text1"/>
          <w:lang w:val="es-ES"/>
        </w:rPr>
        <w:t>”; razón por la cual, de acuerdo con la línea consolidada de esta Agencia, los convenios solidarios no están exentos de supervisión, de lo cual se hablará en el acápite 2.3 del presente concepto</w:t>
      </w:r>
      <w:r w:rsidRPr="00130678">
        <w:rPr>
          <w:rStyle w:val="Refdenotaalpie"/>
          <w:rFonts w:ascii="Century Gothic" w:hAnsi="Century Gothic" w:cs="Arial"/>
          <w:color w:val="000000" w:themeColor="text1"/>
          <w:lang w:val="es-ES"/>
        </w:rPr>
        <w:footnoteReference w:id="12"/>
      </w:r>
      <w:r w:rsidRPr="00130678">
        <w:rPr>
          <w:rFonts w:ascii="Century Gothic" w:hAnsi="Century Gothic" w:cs="Arial"/>
          <w:color w:val="000000" w:themeColor="text1"/>
          <w:lang w:val="es-ES"/>
        </w:rPr>
        <w:t xml:space="preserve">.    </w:t>
      </w:r>
    </w:p>
    <w:p w14:paraId="2C1C7980"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color w:val="000000" w:themeColor="text1"/>
          <w:lang w:val="es-ES"/>
        </w:rPr>
      </w:pPr>
      <w:r w:rsidRPr="00130678">
        <w:rPr>
          <w:rFonts w:ascii="Century Gothic" w:hAnsi="Century Gothic" w:cs="Arial"/>
          <w:color w:val="000000" w:themeColor="text1"/>
          <w:lang w:val="es-ES"/>
        </w:rPr>
        <w:t>Las anteriores precisiones son importantes para el objeto de la consulta puesto que, como se analizará a continuación, los tres (3) regímenes de contratación aplicables en los convenios solidarios celebrados con Organismos de Acción Comunal se mantienen actualmente. Sin embargo, de acuerdo con las previsiones de la Ley 2166 de 2021, se presentan algunas variaciones en relación con el contenido de estos convenios.</w:t>
      </w:r>
      <w:r w:rsidRPr="00C24A08">
        <w:rPr>
          <w:rFonts w:ascii="Century Gothic" w:hAnsi="Century Gothic" w:cs="Arial"/>
          <w:color w:val="000000" w:themeColor="text1"/>
          <w:lang w:val="es-ES"/>
        </w:rPr>
        <w:t xml:space="preserve"> </w:t>
      </w:r>
    </w:p>
    <w:p w14:paraId="5B6DDAF2"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color w:val="000000" w:themeColor="text1"/>
          <w:lang w:val="es-ES"/>
        </w:rPr>
      </w:pPr>
    </w:p>
    <w:p w14:paraId="20755FA4" w14:textId="77777777" w:rsidR="009B7745" w:rsidRPr="00C24A08" w:rsidRDefault="009B7745" w:rsidP="009B7745">
      <w:pPr>
        <w:shd w:val="clear" w:color="auto" w:fill="FFFFFF" w:themeFill="background1"/>
        <w:spacing w:after="0" w:line="276" w:lineRule="auto"/>
        <w:jc w:val="both"/>
        <w:rPr>
          <w:rFonts w:ascii="Century Gothic" w:eastAsia="Calibri" w:hAnsi="Century Gothic" w:cs="Arial"/>
          <w:b/>
          <w:color w:val="000000" w:themeColor="text1"/>
        </w:rPr>
      </w:pPr>
      <w:r w:rsidRPr="00C24A08">
        <w:rPr>
          <w:rFonts w:ascii="Century Gothic" w:eastAsia="Calibri" w:hAnsi="Century Gothic" w:cs="Arial"/>
          <w:b/>
          <w:color w:val="000000" w:themeColor="text1"/>
        </w:rPr>
        <w:lastRenderedPageBreak/>
        <w:t xml:space="preserve">2.2. Convenios solidarios con Organismos de Acción Comunal </w:t>
      </w:r>
      <w:r>
        <w:rPr>
          <w:rFonts w:ascii="Century Gothic" w:eastAsia="Calibri" w:hAnsi="Century Gothic" w:cs="Arial"/>
          <w:b/>
          <w:color w:val="000000" w:themeColor="text1"/>
        </w:rPr>
        <w:t>en observancia de</w:t>
      </w:r>
      <w:r w:rsidRPr="00C24A08">
        <w:rPr>
          <w:rFonts w:ascii="Century Gothic" w:eastAsia="Calibri" w:hAnsi="Century Gothic" w:cs="Arial"/>
          <w:b/>
          <w:color w:val="000000" w:themeColor="text1"/>
        </w:rPr>
        <w:t xml:space="preserve"> la </w:t>
      </w:r>
      <w:bookmarkStart w:id="8" w:name="_Hlk131059883"/>
      <w:r w:rsidRPr="00C24A08">
        <w:rPr>
          <w:rFonts w:ascii="Century Gothic" w:eastAsia="Calibri" w:hAnsi="Century Gothic" w:cs="Arial"/>
          <w:b/>
          <w:color w:val="000000" w:themeColor="text1"/>
        </w:rPr>
        <w:t>Ley 2166 de 2021 y el Decreto 142 de 2023</w:t>
      </w:r>
      <w:bookmarkEnd w:id="8"/>
      <w:r w:rsidRPr="00C24A08">
        <w:rPr>
          <w:rFonts w:ascii="Century Gothic" w:eastAsia="Calibri" w:hAnsi="Century Gothic" w:cs="Arial"/>
          <w:b/>
          <w:color w:val="000000" w:themeColor="text1"/>
        </w:rPr>
        <w:t>. Especial referencia a la acreditación de la capacidad jurídica y técnica</w:t>
      </w:r>
      <w:r>
        <w:rPr>
          <w:rFonts w:ascii="Century Gothic" w:eastAsia="Calibri" w:hAnsi="Century Gothic" w:cs="Arial"/>
          <w:b/>
          <w:color w:val="000000" w:themeColor="text1"/>
        </w:rPr>
        <w:t>.</w:t>
      </w:r>
      <w:r w:rsidRPr="00C24A08">
        <w:rPr>
          <w:rFonts w:ascii="Century Gothic" w:eastAsia="Calibri" w:hAnsi="Century Gothic" w:cs="Arial"/>
          <w:b/>
          <w:color w:val="000000" w:themeColor="text1"/>
        </w:rPr>
        <w:t xml:space="preserve"> </w:t>
      </w:r>
    </w:p>
    <w:p w14:paraId="51E2D55E" w14:textId="77777777" w:rsidR="009B7745" w:rsidRPr="00C24A08" w:rsidRDefault="009B7745" w:rsidP="009B7745">
      <w:pPr>
        <w:shd w:val="clear" w:color="auto" w:fill="FFFFFF" w:themeFill="background1"/>
        <w:spacing w:after="0" w:line="276" w:lineRule="auto"/>
        <w:jc w:val="both"/>
        <w:rPr>
          <w:rFonts w:ascii="Century Gothic" w:eastAsia="Calibri" w:hAnsi="Century Gothic" w:cs="Arial"/>
          <w:b/>
          <w:color w:val="000000" w:themeColor="text1"/>
          <w:lang w:val="es-ES_tradnl"/>
        </w:rPr>
      </w:pPr>
    </w:p>
    <w:p w14:paraId="0620593C" w14:textId="77777777" w:rsidR="009B7745" w:rsidRPr="00C24A08" w:rsidRDefault="009B7745" w:rsidP="009B7745">
      <w:pPr>
        <w:shd w:val="clear" w:color="auto" w:fill="FFFFFF" w:themeFill="background1"/>
        <w:spacing w:line="276" w:lineRule="auto"/>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Con la expedición de la Ley 2166 de 2021 se deroga la Ley 743 de 2002, se desarrolla el artículo 38 de la Constitución Política de Colombia en lo referente a los Organismos de Acción Comunal y se establecen lineamientos para la formulación e implementación de la política pública de los Organismos de Acción Comunal y de sus afiliados. De acuerdo con el artículo 1 de dicho cuerpo normativo esta ley tiene por objeto </w:t>
      </w:r>
      <w:r w:rsidRPr="00C24A08">
        <w:rPr>
          <w:rFonts w:ascii="Century Gothic" w:eastAsia="Calibri" w:hAnsi="Century Gothic" w:cs="Arial"/>
          <w:color w:val="000000" w:themeColor="text1"/>
          <w:lang w:val="es-ES_tradnl"/>
        </w:rPr>
        <w:t>“</w:t>
      </w:r>
      <w:r w:rsidRPr="00C24A08">
        <w:rPr>
          <w:rFonts w:ascii="Century Gothic" w:hAnsi="Century Gothic" w:cs="Arial"/>
          <w:bCs/>
          <w:color w:val="000000" w:themeColor="text1"/>
          <w:lang w:eastAsia="es-MX"/>
        </w:rPr>
        <w:t>promover, facilitar, estructurar y fortalecer la organización democrática, moderna, participativa y representativa de la acción comunal en sus respectivos grados asociativos y, a la vez, pretende establecer un marco jurídico para sus relaciones con el Estado y con los particulares, así como para el cabal ejercicio de derechos y deberes</w:t>
      </w:r>
      <w:r w:rsidRPr="00C24A08">
        <w:rPr>
          <w:rFonts w:ascii="Century Gothic" w:eastAsia="Calibri" w:hAnsi="Century Gothic" w:cs="Arial"/>
          <w:color w:val="000000" w:themeColor="text1"/>
          <w:lang w:val="es-ES_tradnl"/>
        </w:rPr>
        <w:t>”</w:t>
      </w:r>
      <w:r w:rsidRPr="00C24A08">
        <w:rPr>
          <w:rFonts w:ascii="Century Gothic" w:hAnsi="Century Gothic" w:cs="Arial"/>
          <w:bCs/>
          <w:color w:val="000000" w:themeColor="text1"/>
          <w:lang w:eastAsia="es-MX"/>
        </w:rPr>
        <w:t xml:space="preserve">. </w:t>
      </w:r>
    </w:p>
    <w:p w14:paraId="220BFD5C" w14:textId="77777777" w:rsidR="009B7745" w:rsidRPr="00C24A08" w:rsidRDefault="009B7745" w:rsidP="009B7745">
      <w:pPr>
        <w:shd w:val="clear" w:color="auto" w:fill="FFFFFF" w:themeFill="background1"/>
        <w:spacing w:before="120" w:after="0" w:line="276" w:lineRule="auto"/>
        <w:ind w:firstLine="709"/>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En desarrollo de lo anterior, el artículo 95 de dicha ley contempla la celebración de convenios solidarios entre Organismos de Acción Comunal y “los entes territoriales del orden Nacional, Departamental, Distrital y municipal” prescribiendo lo siguiente: </w:t>
      </w:r>
    </w:p>
    <w:p w14:paraId="41036C7E"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bCs/>
          <w:color w:val="000000" w:themeColor="text1"/>
          <w:lang w:eastAsia="es-MX"/>
        </w:rPr>
      </w:pPr>
    </w:p>
    <w:p w14:paraId="3B65EED9"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color w:val="000000" w:themeColor="text1"/>
          <w:sz w:val="21"/>
          <w:szCs w:val="21"/>
        </w:rPr>
      </w:pPr>
      <w:r w:rsidRPr="00C24A08">
        <w:rPr>
          <w:rFonts w:ascii="Century Gothic" w:hAnsi="Century Gothic" w:cs="Arial"/>
          <w:color w:val="000000" w:themeColor="text1"/>
          <w:sz w:val="21"/>
          <w:szCs w:val="21"/>
        </w:rPr>
        <w:t>“Artículo 95. Convenios Solidarios. Se autoriza a los entes territoriales del orden Nacional, Departamental, Distrital y municipal para celebrar directamente convenios solidarios con los Organismos de Acción Comunal con el fin de ejecutar obras hasta por la menor cuantía. Para la ejecución de estas deberán contratar con los habitantes de la comunidad.</w:t>
      </w:r>
    </w:p>
    <w:p w14:paraId="5088C2D6"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color w:val="000000" w:themeColor="text1"/>
          <w:sz w:val="21"/>
          <w:szCs w:val="21"/>
        </w:rPr>
      </w:pPr>
      <w:r w:rsidRPr="00C24A08">
        <w:rPr>
          <w:rFonts w:ascii="Century Gothic" w:hAnsi="Century Gothic" w:cs="Arial"/>
          <w:color w:val="000000" w:themeColor="text1"/>
          <w:sz w:val="21"/>
          <w:szCs w:val="21"/>
        </w:rPr>
        <w:t xml:space="preserve">Parágrafo 1. Los entes territoriales podrán incluir en el monto total de los Convenios Solidarios los costos directos, los costos administrativos y el Subsidio al dignatario representante legal para transportes de que trata la (SIC) el literal c) del artículo 38 de la presente ley. </w:t>
      </w:r>
    </w:p>
    <w:p w14:paraId="29A77AF0" w14:textId="77777777" w:rsidR="009B7745" w:rsidRPr="00C24A08" w:rsidRDefault="009B7745" w:rsidP="009B7745">
      <w:pPr>
        <w:shd w:val="clear" w:color="auto" w:fill="FFFFFF" w:themeFill="background1"/>
        <w:spacing w:after="0" w:line="240" w:lineRule="auto"/>
        <w:ind w:left="709" w:right="709"/>
        <w:jc w:val="both"/>
        <w:rPr>
          <w:rFonts w:ascii="Century Gothic" w:hAnsi="Century Gothic" w:cs="Arial"/>
          <w:color w:val="000000" w:themeColor="text1"/>
          <w:sz w:val="21"/>
          <w:szCs w:val="21"/>
        </w:rPr>
      </w:pPr>
      <w:r w:rsidRPr="00C24A08">
        <w:rPr>
          <w:rFonts w:ascii="Century Gothic" w:hAnsi="Century Gothic" w:cs="Arial"/>
          <w:color w:val="000000" w:themeColor="text1"/>
          <w:sz w:val="21"/>
          <w:szCs w:val="21"/>
        </w:rPr>
        <w:t>Parágrafo 2. Adicional del monto del Convenio Solidario, los entes territoriales deberán contar o disponer de personal técnico y administrativo-contable, para supervisar y apoyar a los Organismos de Acción Comunal en la ejecución de las obras”</w:t>
      </w:r>
      <w:r w:rsidRPr="00C24A08">
        <w:rPr>
          <w:rStyle w:val="Refdenotaalpie"/>
          <w:rFonts w:ascii="Century Gothic" w:hAnsi="Century Gothic" w:cs="Arial"/>
          <w:color w:val="000000" w:themeColor="text1"/>
          <w:sz w:val="21"/>
          <w:szCs w:val="21"/>
        </w:rPr>
        <w:footnoteReference w:id="13"/>
      </w:r>
      <w:r w:rsidRPr="00C24A08">
        <w:rPr>
          <w:rFonts w:ascii="Century Gothic" w:hAnsi="Century Gothic" w:cs="Arial"/>
          <w:color w:val="000000" w:themeColor="text1"/>
          <w:sz w:val="21"/>
          <w:szCs w:val="21"/>
        </w:rPr>
        <w:t>.</w:t>
      </w:r>
    </w:p>
    <w:p w14:paraId="192411F2" w14:textId="77777777" w:rsidR="009B7745" w:rsidRPr="00C24A08" w:rsidRDefault="009B7745" w:rsidP="009B7745">
      <w:pPr>
        <w:shd w:val="clear" w:color="auto" w:fill="FFFFFF" w:themeFill="background1"/>
        <w:spacing w:after="0"/>
        <w:ind w:firstLine="709"/>
        <w:jc w:val="both"/>
        <w:rPr>
          <w:rFonts w:ascii="Century Gothic" w:hAnsi="Century Gothic" w:cs="Arial"/>
          <w:bCs/>
          <w:color w:val="000000" w:themeColor="text1"/>
          <w:lang w:eastAsia="es-MX"/>
        </w:rPr>
      </w:pPr>
    </w:p>
    <w:p w14:paraId="17D132B4" w14:textId="77777777" w:rsidR="009B7745" w:rsidRDefault="009B7745" w:rsidP="009B7745">
      <w:pPr>
        <w:shd w:val="clear" w:color="auto" w:fill="FFFFFF" w:themeFill="background1"/>
        <w:spacing w:line="276" w:lineRule="auto"/>
        <w:ind w:firstLine="709"/>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Según se evidencia, esta norma desarrolla las siguientes reglas: </w:t>
      </w:r>
    </w:p>
    <w:p w14:paraId="4F92E94C" w14:textId="77777777" w:rsidR="009B7745" w:rsidRPr="00C24A08" w:rsidRDefault="009B7745" w:rsidP="009B7745">
      <w:pPr>
        <w:shd w:val="clear" w:color="auto" w:fill="FFFFFF" w:themeFill="background1"/>
        <w:spacing w:line="276" w:lineRule="auto"/>
        <w:ind w:firstLine="709"/>
        <w:jc w:val="both"/>
        <w:rPr>
          <w:rFonts w:ascii="Century Gothic" w:eastAsia="Calibri" w:hAnsi="Century Gothic" w:cs="Arial"/>
          <w:color w:val="000000" w:themeColor="text1"/>
          <w:lang w:val="es-ES_tradnl"/>
        </w:rPr>
      </w:pPr>
      <w:r w:rsidRPr="00C24A08">
        <w:rPr>
          <w:rFonts w:ascii="Century Gothic" w:hAnsi="Century Gothic" w:cs="Arial"/>
          <w:bCs/>
          <w:color w:val="000000" w:themeColor="text1"/>
          <w:lang w:eastAsia="es-MX"/>
        </w:rPr>
        <w:lastRenderedPageBreak/>
        <w:t xml:space="preserve">i) Las </w:t>
      </w:r>
      <w:r w:rsidRPr="00C24A08">
        <w:rPr>
          <w:rFonts w:ascii="Century Gothic" w:eastAsia="Calibri" w:hAnsi="Century Gothic" w:cs="Arial"/>
          <w:i/>
          <w:iCs/>
          <w:color w:val="000000" w:themeColor="text1"/>
          <w:lang w:val="es-ES_tradnl"/>
        </w:rPr>
        <w:t>“</w:t>
      </w:r>
      <w:r w:rsidRPr="00C24A08">
        <w:rPr>
          <w:rFonts w:ascii="Century Gothic" w:hAnsi="Century Gothic" w:cs="Arial"/>
          <w:bCs/>
          <w:i/>
          <w:iCs/>
          <w:color w:val="000000" w:themeColor="text1"/>
          <w:lang w:eastAsia="es-MX"/>
        </w:rPr>
        <w:t>entidades territoriales del</w:t>
      </w:r>
      <w:r w:rsidRPr="00C24A08">
        <w:rPr>
          <w:rFonts w:ascii="Century Gothic" w:eastAsia="Calibri" w:hAnsi="Century Gothic" w:cs="Arial"/>
          <w:i/>
          <w:iCs/>
          <w:color w:val="000000" w:themeColor="text1"/>
          <w:lang w:val="es-ES_tradnl"/>
        </w:rPr>
        <w:t xml:space="preserve"> </w:t>
      </w:r>
      <w:r w:rsidRPr="00C24A08">
        <w:rPr>
          <w:rFonts w:ascii="Century Gothic" w:hAnsi="Century Gothic" w:cs="Arial"/>
          <w:i/>
          <w:iCs/>
          <w:color w:val="000000" w:themeColor="text1"/>
        </w:rPr>
        <w:t>orden Nacional, Departamental, Distrital y municipal</w:t>
      </w:r>
      <w:r w:rsidRPr="00C24A08">
        <w:rPr>
          <w:rFonts w:ascii="Century Gothic" w:eastAsia="Calibri" w:hAnsi="Century Gothic" w:cs="Arial"/>
          <w:i/>
          <w:iCs/>
          <w:color w:val="000000" w:themeColor="text1"/>
          <w:lang w:val="es-ES_tradnl"/>
        </w:rPr>
        <w:t>”</w:t>
      </w:r>
      <w:r w:rsidRPr="00C24A08">
        <w:rPr>
          <w:rFonts w:ascii="Century Gothic" w:eastAsia="Calibri" w:hAnsi="Century Gothic" w:cs="Arial"/>
          <w:color w:val="000000" w:themeColor="text1"/>
          <w:lang w:val="es-ES_tradnl"/>
        </w:rPr>
        <w:t xml:space="preserve"> y los Organismos de Acción Comunal podrán celebrar directamente convenios solidarios</w:t>
      </w:r>
      <w:r>
        <w:rPr>
          <w:rFonts w:ascii="Century Gothic" w:eastAsia="Calibri" w:hAnsi="Century Gothic" w:cs="Arial"/>
          <w:color w:val="000000" w:themeColor="text1"/>
          <w:lang w:val="es-ES_tradnl"/>
        </w:rPr>
        <w:t xml:space="preserve">. </w:t>
      </w:r>
      <w:r w:rsidRPr="00C24A08">
        <w:rPr>
          <w:rFonts w:ascii="Century Gothic" w:eastAsia="Calibri" w:hAnsi="Century Gothic" w:cs="Arial"/>
          <w:color w:val="000000" w:themeColor="text1"/>
          <w:lang w:val="es-ES_tradnl"/>
        </w:rPr>
        <w:t xml:space="preserve">Para el efecto, debe tenerse en cuenta la clasificación que realiza el artículo 7 de la Ley 2166 de 2021 de los Organismos de Acción Comunal, de manera que la celebración de estos convenios puede realizarse con cualquiera de los Organismos de Acción Comunal allí contemplados, pues la norma se refiere de forma general a los </w:t>
      </w:r>
      <w:r w:rsidRPr="00C24A08">
        <w:rPr>
          <w:rFonts w:ascii="Century Gothic" w:eastAsia="Calibri" w:hAnsi="Century Gothic" w:cs="Arial"/>
          <w:i/>
          <w:iCs/>
          <w:color w:val="000000" w:themeColor="text1"/>
          <w:lang w:val="es-ES_tradnl"/>
        </w:rPr>
        <w:t>Organismos de Acción Comunal</w:t>
      </w:r>
      <w:r w:rsidRPr="00C24A08">
        <w:rPr>
          <w:rStyle w:val="Refdenotaalpie"/>
          <w:rFonts w:ascii="Century Gothic" w:eastAsia="Calibri" w:hAnsi="Century Gothic" w:cs="Arial"/>
          <w:color w:val="000000" w:themeColor="text1"/>
          <w:lang w:val="es-ES_tradnl"/>
        </w:rPr>
        <w:footnoteReference w:id="14"/>
      </w:r>
      <w:r w:rsidRPr="00C24A08">
        <w:rPr>
          <w:rFonts w:ascii="Century Gothic" w:eastAsia="Calibri" w:hAnsi="Century Gothic" w:cs="Arial"/>
          <w:color w:val="000000" w:themeColor="text1"/>
          <w:lang w:val="es-ES_tradnl"/>
        </w:rPr>
        <w:t xml:space="preserve">.  </w:t>
      </w:r>
    </w:p>
    <w:p w14:paraId="520CF481" w14:textId="77777777" w:rsidR="009B7745" w:rsidRPr="00C24A08" w:rsidRDefault="009B7745" w:rsidP="009B7745">
      <w:pPr>
        <w:shd w:val="clear" w:color="auto" w:fill="FFFFFF" w:themeFill="background1"/>
        <w:spacing w:before="120" w:line="276" w:lineRule="auto"/>
        <w:ind w:firstLine="709"/>
        <w:jc w:val="both"/>
        <w:rPr>
          <w:rFonts w:ascii="Century Gothic" w:eastAsia="Calibri" w:hAnsi="Century Gothic" w:cs="Arial"/>
          <w:color w:val="000000" w:themeColor="text1"/>
          <w:lang w:val="es-ES_tradnl"/>
        </w:rPr>
      </w:pPr>
      <w:proofErr w:type="spellStart"/>
      <w:r w:rsidRPr="00C24A08">
        <w:rPr>
          <w:rFonts w:ascii="Century Gothic" w:eastAsia="Calibri" w:hAnsi="Century Gothic" w:cs="Arial"/>
          <w:color w:val="000000" w:themeColor="text1"/>
          <w:lang w:val="es-ES_tradnl"/>
        </w:rPr>
        <w:t>ii</w:t>
      </w:r>
      <w:proofErr w:type="spellEnd"/>
      <w:r w:rsidRPr="00C24A08">
        <w:rPr>
          <w:rFonts w:ascii="Century Gothic" w:eastAsia="Calibri" w:hAnsi="Century Gothic" w:cs="Arial"/>
          <w:color w:val="000000" w:themeColor="text1"/>
          <w:lang w:val="es-ES_tradnl"/>
        </w:rPr>
        <w:t xml:space="preserve">) Estos convenios solidarios deben tener por objeto únicamente la ejecución de obras. Esto significa que no pueden desarrollarse otros objetos distintos a la obra con fundamento en este artículo. </w:t>
      </w:r>
    </w:p>
    <w:p w14:paraId="560CE848" w14:textId="77777777" w:rsidR="009B7745" w:rsidRPr="00C24A08" w:rsidRDefault="009B7745" w:rsidP="009B7745">
      <w:pPr>
        <w:shd w:val="clear" w:color="auto" w:fill="FFFFFF" w:themeFill="background1"/>
        <w:spacing w:before="120" w:line="276" w:lineRule="auto"/>
        <w:ind w:firstLine="709"/>
        <w:jc w:val="both"/>
        <w:rPr>
          <w:rFonts w:ascii="Century Gothic" w:eastAsia="Calibri" w:hAnsi="Century Gothic" w:cs="Arial"/>
          <w:color w:val="000000" w:themeColor="text1"/>
          <w:lang w:val="es-ES_tradnl"/>
        </w:rPr>
      </w:pPr>
      <w:proofErr w:type="spellStart"/>
      <w:r w:rsidRPr="00C24A08">
        <w:rPr>
          <w:rFonts w:ascii="Century Gothic" w:eastAsia="Calibri" w:hAnsi="Century Gothic" w:cs="Arial"/>
          <w:color w:val="000000" w:themeColor="text1"/>
          <w:lang w:val="es-ES_tradnl"/>
        </w:rPr>
        <w:t>iii</w:t>
      </w:r>
      <w:proofErr w:type="spellEnd"/>
      <w:r w:rsidRPr="00C24A08">
        <w:rPr>
          <w:rFonts w:ascii="Century Gothic" w:eastAsia="Calibri" w:hAnsi="Century Gothic" w:cs="Arial"/>
          <w:color w:val="000000" w:themeColor="text1"/>
          <w:lang w:val="es-ES_tradnl"/>
        </w:rPr>
        <w:t xml:space="preserve">) El convenio solidario tiene un límite consistente en que no podrá exceder la menor cuantía de la entidad. Por tanto, los sujetos señalados en la norma están facultados para celebrar estos convenios por la mínima o </w:t>
      </w:r>
      <w:r>
        <w:rPr>
          <w:rFonts w:ascii="Century Gothic" w:eastAsia="Calibri" w:hAnsi="Century Gothic" w:cs="Arial"/>
          <w:color w:val="000000" w:themeColor="text1"/>
          <w:lang w:val="es-ES_tradnl"/>
        </w:rPr>
        <w:t>hasta la</w:t>
      </w:r>
      <w:r w:rsidRPr="00C24A08">
        <w:rPr>
          <w:rFonts w:ascii="Century Gothic" w:eastAsia="Calibri" w:hAnsi="Century Gothic" w:cs="Arial"/>
          <w:color w:val="000000" w:themeColor="text1"/>
          <w:lang w:val="es-ES_tradnl"/>
        </w:rPr>
        <w:t xml:space="preserve"> menor cuantía de la entidad, para lo cual se atenderá lo previsto en el literal b) del artículo 2 de la Ley 1150 de 2007 para determinar el tope de la menor cuantía de la Entidad Estatal. </w:t>
      </w:r>
    </w:p>
    <w:p w14:paraId="4837EFD1" w14:textId="77777777" w:rsidR="009B7745" w:rsidRPr="00C24A08" w:rsidRDefault="009B7745" w:rsidP="009B7745">
      <w:pPr>
        <w:shd w:val="clear" w:color="auto" w:fill="FFFFFF" w:themeFill="background1"/>
        <w:spacing w:before="120" w:line="276" w:lineRule="auto"/>
        <w:ind w:firstLine="709"/>
        <w:jc w:val="both"/>
        <w:rPr>
          <w:rFonts w:ascii="Century Gothic" w:eastAsia="Calibri" w:hAnsi="Century Gothic" w:cs="Arial"/>
          <w:color w:val="000000" w:themeColor="text1"/>
          <w:lang w:val="es-ES_tradnl"/>
        </w:rPr>
      </w:pPr>
      <w:proofErr w:type="spellStart"/>
      <w:r w:rsidRPr="00C24A08">
        <w:rPr>
          <w:rFonts w:ascii="Century Gothic" w:eastAsia="Calibri" w:hAnsi="Century Gothic" w:cs="Arial"/>
          <w:color w:val="000000" w:themeColor="text1"/>
          <w:lang w:val="es-ES_tradnl"/>
        </w:rPr>
        <w:t>iv</w:t>
      </w:r>
      <w:proofErr w:type="spellEnd"/>
      <w:r w:rsidRPr="00C24A08">
        <w:rPr>
          <w:rFonts w:ascii="Century Gothic" w:eastAsia="Calibri" w:hAnsi="Century Gothic" w:cs="Arial"/>
          <w:color w:val="000000" w:themeColor="text1"/>
          <w:lang w:val="es-ES_tradnl"/>
        </w:rPr>
        <w:t>) Para la ejecución de las obras se establece el deber de contratar con los habitantes de la comunidad.</w:t>
      </w:r>
    </w:p>
    <w:p w14:paraId="24F800B7" w14:textId="77777777" w:rsidR="009B7745" w:rsidRPr="00C24A08" w:rsidRDefault="009B7745" w:rsidP="009B7745">
      <w:pPr>
        <w:shd w:val="clear" w:color="auto" w:fill="FFFFFF" w:themeFill="background1"/>
        <w:spacing w:before="120" w:line="276" w:lineRule="auto"/>
        <w:ind w:firstLine="709"/>
        <w:jc w:val="both"/>
        <w:rPr>
          <w:rFonts w:ascii="Century Gothic" w:eastAsia="Calibri" w:hAnsi="Century Gothic" w:cs="Arial"/>
          <w:color w:val="000000" w:themeColor="text1"/>
        </w:rPr>
      </w:pPr>
      <w:r w:rsidRPr="00C24A08">
        <w:rPr>
          <w:rFonts w:ascii="Century Gothic" w:eastAsia="Calibri" w:hAnsi="Century Gothic" w:cs="Arial"/>
          <w:color w:val="000000" w:themeColor="text1"/>
          <w:lang w:val="es-ES_tradnl"/>
        </w:rPr>
        <w:t>v) En el valor total del convenio</w:t>
      </w:r>
      <w:r>
        <w:rPr>
          <w:rFonts w:ascii="Century Gothic" w:eastAsia="Calibri" w:hAnsi="Century Gothic" w:cs="Arial"/>
          <w:color w:val="000000" w:themeColor="text1"/>
          <w:lang w:val="es-ES_tradnl"/>
        </w:rPr>
        <w:t>,</w:t>
      </w:r>
      <w:r w:rsidRPr="00C24A08">
        <w:rPr>
          <w:rFonts w:ascii="Century Gothic" w:eastAsia="Calibri" w:hAnsi="Century Gothic" w:cs="Arial"/>
          <w:color w:val="000000" w:themeColor="text1"/>
          <w:lang w:val="es-ES_tradnl"/>
        </w:rPr>
        <w:t xml:space="preserve"> la entidad podrá incluir los costos directos, los costos administrativos y el subsidio </w:t>
      </w:r>
      <w:r w:rsidRPr="00C24A08">
        <w:rPr>
          <w:rFonts w:ascii="Century Gothic" w:eastAsia="Calibri" w:hAnsi="Century Gothic" w:cs="Arial"/>
          <w:color w:val="000000" w:themeColor="text1"/>
        </w:rPr>
        <w:t xml:space="preserve">al dignatario representante legal para transportes de que trata el literal c) del artículo 38 de la Ley 2166 de 2022. Estos costos deberán incluirse en el ejercicio de planeación que realice la entidad y estar debidamente justificados. </w:t>
      </w:r>
    </w:p>
    <w:p w14:paraId="59403383" w14:textId="77777777" w:rsidR="009B7745" w:rsidRPr="00C24A08" w:rsidRDefault="009B7745" w:rsidP="009B7745">
      <w:pPr>
        <w:shd w:val="clear" w:color="auto" w:fill="FFFFFF" w:themeFill="background1"/>
        <w:spacing w:before="120" w:line="276" w:lineRule="auto"/>
        <w:ind w:firstLine="709"/>
        <w:jc w:val="both"/>
        <w:rPr>
          <w:rFonts w:ascii="Century Gothic" w:eastAsia="Calibri" w:hAnsi="Century Gothic" w:cs="Arial"/>
          <w:color w:val="000000" w:themeColor="text1"/>
          <w:lang w:val="es-ES_tradnl"/>
        </w:rPr>
      </w:pPr>
      <w:r w:rsidRPr="00C24A08">
        <w:rPr>
          <w:rFonts w:ascii="Century Gothic" w:eastAsia="Calibri" w:hAnsi="Century Gothic" w:cs="Arial"/>
          <w:color w:val="000000" w:themeColor="text1"/>
        </w:rPr>
        <w:t xml:space="preserve">vi) Las entidades deberán contar con personal técnico y administrativo-contable para apoyar y supervisar a los Organismos de Acción Comunal durante la ejecución de las obras. De acuerdo con el parágrafo 2 del artículo 95 de la Ley 2166 de 2021, para garantizar este personal de apoyo las Entidades Estatales </w:t>
      </w:r>
      <w:r w:rsidRPr="00C24A08">
        <w:rPr>
          <w:rFonts w:ascii="Century Gothic" w:eastAsia="Calibri" w:hAnsi="Century Gothic" w:cs="Arial"/>
          <w:color w:val="000000" w:themeColor="text1"/>
        </w:rPr>
        <w:lastRenderedPageBreak/>
        <w:t>deben contar con unos recursos adicionales a los comprendidos dentro del valor del Convenio Solidario.</w:t>
      </w:r>
    </w:p>
    <w:p w14:paraId="0F0509ED"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Como se observa, el artículo 95 de la Ley 2166 de 2021 determina la celebración de convenios solidarios. </w:t>
      </w:r>
      <w:r>
        <w:rPr>
          <w:rFonts w:ascii="Century Gothic" w:hAnsi="Century Gothic" w:cs="Arial"/>
          <w:bCs/>
          <w:color w:val="000000" w:themeColor="text1"/>
          <w:lang w:eastAsia="es-MX"/>
        </w:rPr>
        <w:t>El régimen aplicable</w:t>
      </w:r>
      <w:r w:rsidRPr="00C24A08">
        <w:rPr>
          <w:rFonts w:ascii="Century Gothic" w:hAnsi="Century Gothic" w:cs="Arial"/>
          <w:bCs/>
          <w:color w:val="000000" w:themeColor="text1"/>
          <w:lang w:eastAsia="es-MX"/>
        </w:rPr>
        <w:t xml:space="preserve"> ya se había contemplado inicialmente en el parágrafo 4 del artículo 3 de la Ley 136 de 1994. Sin embargo, el contenido del artículo 95 es más amplio en relación con los sujetos, la cuantía y la ejecución de dichos convenios. En efecto, el artículo 95 incluye a los </w:t>
      </w:r>
      <w:r w:rsidRPr="00C24A08">
        <w:rPr>
          <w:rFonts w:ascii="Century Gothic" w:eastAsia="Calibri" w:hAnsi="Century Gothic" w:cs="Arial"/>
          <w:color w:val="000000" w:themeColor="text1"/>
          <w:lang w:val="es-ES_tradnl"/>
        </w:rPr>
        <w:t>“</w:t>
      </w:r>
      <w:r w:rsidRPr="00C24A08">
        <w:rPr>
          <w:rFonts w:ascii="Century Gothic" w:hAnsi="Century Gothic" w:cs="Arial"/>
          <w:bCs/>
          <w:i/>
          <w:iCs/>
          <w:color w:val="000000" w:themeColor="text1"/>
          <w:lang w:eastAsia="es-MX"/>
        </w:rPr>
        <w:t>entes territoriales del</w:t>
      </w:r>
      <w:r w:rsidRPr="00C24A08">
        <w:rPr>
          <w:rFonts w:ascii="Century Gothic" w:eastAsia="Calibri" w:hAnsi="Century Gothic" w:cs="Arial"/>
          <w:i/>
          <w:iCs/>
          <w:color w:val="000000" w:themeColor="text1"/>
          <w:lang w:val="es-ES_tradnl"/>
        </w:rPr>
        <w:t xml:space="preserve"> </w:t>
      </w:r>
      <w:r w:rsidRPr="00C24A08">
        <w:rPr>
          <w:rFonts w:ascii="Century Gothic" w:hAnsi="Century Gothic" w:cs="Arial"/>
          <w:i/>
          <w:iCs/>
          <w:color w:val="000000" w:themeColor="text1"/>
        </w:rPr>
        <w:t>orden Nacional, Departamental, Distrital y municipal</w:t>
      </w:r>
      <w:r w:rsidRPr="00C24A08">
        <w:rPr>
          <w:rFonts w:ascii="Century Gothic" w:eastAsia="Calibri" w:hAnsi="Century Gothic" w:cs="Arial"/>
          <w:i/>
          <w:iCs/>
          <w:color w:val="000000" w:themeColor="text1"/>
          <w:lang w:val="es-ES_tradnl"/>
        </w:rPr>
        <w:t>”</w:t>
      </w:r>
      <w:r w:rsidRPr="00C24A08">
        <w:rPr>
          <w:rFonts w:ascii="Century Gothic" w:eastAsia="Calibri" w:hAnsi="Century Gothic" w:cs="Arial"/>
          <w:color w:val="000000" w:themeColor="text1"/>
          <w:lang w:val="es-ES_tradnl"/>
        </w:rPr>
        <w:t xml:space="preserve"> y a los “Organismos de Acción Comunal”. Es decir, </w:t>
      </w:r>
      <w:r w:rsidRPr="00C24A08">
        <w:rPr>
          <w:rFonts w:ascii="Century Gothic" w:hAnsi="Century Gothic" w:cs="Arial"/>
          <w:bCs/>
          <w:color w:val="000000" w:themeColor="text1"/>
          <w:lang w:eastAsia="es-MX"/>
        </w:rPr>
        <w:t>conforme a esta Ley podrán celebrar convenios solidarios directamente no solo los entes territoriales del orden departamental, municipal y distrital sino también las entidades del orden nacional y se podrán celebrar con todos los Organismos de Acción Comunal y no únicamente con las juntas de acción comunal. Además, se amplía la cuantía de los convenios permitiendo que se contraten hasta por la menor cuantía y no solo por la mínima cuantía. En cuanto al objeto, las normas son claras en señalar que se trata de la ejecución de obras. Por lo demás, dichos aspectos se sintetizan en el desarrollo reglamentario del Decreto 142 de 2013, el cual adiciona el artículo 2.2.15.1.2 del Decreto 1082 de 2015 en los siguientes términos:</w:t>
      </w:r>
    </w:p>
    <w:p w14:paraId="4F5A7AB3" w14:textId="77777777" w:rsidR="009B7745" w:rsidRPr="00C24A08" w:rsidRDefault="009B7745" w:rsidP="009B7745">
      <w:pPr>
        <w:shd w:val="clear" w:color="auto" w:fill="FFFFFF" w:themeFill="background1"/>
        <w:spacing w:after="0" w:line="276" w:lineRule="auto"/>
        <w:ind w:left="709" w:right="709"/>
        <w:jc w:val="both"/>
        <w:rPr>
          <w:rFonts w:ascii="Century Gothic" w:hAnsi="Century Gothic" w:cs="Arial"/>
          <w:bCs/>
          <w:color w:val="000000" w:themeColor="text1"/>
          <w:lang w:eastAsia="es-MX"/>
        </w:rPr>
      </w:pPr>
    </w:p>
    <w:p w14:paraId="5D22084E" w14:textId="77777777" w:rsidR="009B7745" w:rsidRPr="00C24A08" w:rsidRDefault="009B7745" w:rsidP="009B7745">
      <w:pPr>
        <w:shd w:val="clear" w:color="auto" w:fill="FFFFFF" w:themeFill="background1"/>
        <w:spacing w:after="0" w:line="240" w:lineRule="auto"/>
        <w:ind w:left="709" w:right="709"/>
        <w:jc w:val="both"/>
        <w:rPr>
          <w:rFonts w:ascii="Century Gothic" w:hAnsi="Century Gothic" w:cs="Arial"/>
          <w:bCs/>
          <w:color w:val="000000" w:themeColor="text1"/>
          <w:sz w:val="21"/>
          <w:szCs w:val="21"/>
          <w:lang w:eastAsia="es-MX"/>
        </w:rPr>
      </w:pPr>
      <w:r w:rsidRPr="00C24A08">
        <w:rPr>
          <w:rFonts w:ascii="Century Gothic" w:hAnsi="Century Gothic" w:cs="Arial"/>
          <w:bCs/>
          <w:color w:val="000000" w:themeColor="text1"/>
          <w:sz w:val="21"/>
          <w:szCs w:val="21"/>
          <w:lang w:eastAsia="es-MX"/>
        </w:rPr>
        <w:t>“Artículo 2.2.15.1.2. Convenios solidarios para la ejecución de obras. De conformidad con lo dispuesto en el artículo 95 de la Ley 2166 de 2021, solo podrán celebrar de manera directa convenios solidarios para la ejecución de obras los entes territoriales del orden nacional, departamental, distrital y municipal con los organismos de acción comunal. El valor de tales convenios no podrá exceder la menor cuantía de la entidad estatal involucrada.</w:t>
      </w:r>
    </w:p>
    <w:p w14:paraId="7DA58C06" w14:textId="77777777" w:rsidR="009B7745" w:rsidRPr="00C24A08" w:rsidRDefault="009B7745" w:rsidP="009B7745">
      <w:pPr>
        <w:shd w:val="clear" w:color="auto" w:fill="FFFFFF" w:themeFill="background1"/>
        <w:spacing w:before="120" w:after="0" w:line="240" w:lineRule="auto"/>
        <w:ind w:left="709" w:right="709"/>
        <w:jc w:val="both"/>
        <w:rPr>
          <w:rFonts w:ascii="Century Gothic" w:hAnsi="Century Gothic" w:cs="Arial"/>
          <w:bCs/>
          <w:color w:val="000000" w:themeColor="text1"/>
          <w:sz w:val="21"/>
          <w:szCs w:val="21"/>
          <w:lang w:eastAsia="es-MX"/>
        </w:rPr>
      </w:pPr>
      <w:r w:rsidRPr="00C24A08">
        <w:rPr>
          <w:rFonts w:ascii="Century Gothic" w:hAnsi="Century Gothic" w:cs="Arial"/>
          <w:bCs/>
          <w:color w:val="000000" w:themeColor="text1"/>
          <w:sz w:val="21"/>
          <w:szCs w:val="21"/>
          <w:lang w:eastAsia="es-MX"/>
        </w:rPr>
        <w:t>Estos convenios solidarios solo podrán tener por objeto la ejecución de obras. Para la ejecución de estas obras los Organismos de Acción Comunal deberán procurar vincular a los habitantes de la comunidad”.</w:t>
      </w:r>
    </w:p>
    <w:p w14:paraId="52F9AD67" w14:textId="77777777" w:rsidR="009B7745" w:rsidRPr="00C24A08" w:rsidRDefault="009B7745" w:rsidP="009B7745">
      <w:pPr>
        <w:shd w:val="clear" w:color="auto" w:fill="FFFFFF" w:themeFill="background1"/>
        <w:spacing w:after="0" w:line="276" w:lineRule="auto"/>
        <w:ind w:left="709" w:right="709"/>
        <w:jc w:val="both"/>
        <w:rPr>
          <w:rFonts w:ascii="Century Gothic" w:hAnsi="Century Gothic" w:cs="Arial"/>
          <w:bCs/>
          <w:color w:val="000000" w:themeColor="text1"/>
          <w:lang w:eastAsia="es-MX"/>
        </w:rPr>
      </w:pPr>
    </w:p>
    <w:p w14:paraId="4F7E1F8F" w14:textId="77777777" w:rsidR="009B7745" w:rsidRPr="00C24A08" w:rsidRDefault="009B7745" w:rsidP="009B7745">
      <w:pPr>
        <w:shd w:val="clear" w:color="auto" w:fill="FFFFFF" w:themeFill="background1"/>
        <w:spacing w:line="276" w:lineRule="auto"/>
        <w:ind w:firstLine="709"/>
        <w:jc w:val="both"/>
        <w:rPr>
          <w:rFonts w:ascii="Century Gothic" w:eastAsia="Calibri" w:hAnsi="Century Gothic" w:cs="Arial"/>
          <w:color w:val="000000" w:themeColor="text1"/>
          <w:lang w:val="es-ES_tradnl"/>
        </w:rPr>
      </w:pPr>
      <w:r w:rsidRPr="00C24A08">
        <w:rPr>
          <w:rFonts w:ascii="Century Gothic" w:hAnsi="Century Gothic" w:cs="Arial"/>
          <w:bCs/>
          <w:color w:val="000000" w:themeColor="text1"/>
          <w:lang w:eastAsia="es-MX"/>
        </w:rPr>
        <w:t>En relación con los sujetos, es importante señalar que,</w:t>
      </w:r>
      <w:r w:rsidRPr="00C24A08">
        <w:rPr>
          <w:rFonts w:ascii="Century Gothic" w:eastAsia="Calibri" w:hAnsi="Century Gothic" w:cs="Arial"/>
          <w:color w:val="000000" w:themeColor="text1"/>
          <w:lang w:val="es-ES_tradnl"/>
        </w:rPr>
        <w:t xml:space="preserve"> aunque la norma de forma imprecisa incluye como parte de los “entes territoriales” a las entidades del orden nacional</w:t>
      </w:r>
      <w:r w:rsidRPr="00C24A08">
        <w:rPr>
          <w:rStyle w:val="Refdenotaalpie"/>
          <w:rFonts w:ascii="Century Gothic" w:eastAsia="Calibri" w:hAnsi="Century Gothic" w:cs="Arial"/>
          <w:color w:val="000000" w:themeColor="text1"/>
          <w:lang w:val="es-ES_tradnl"/>
        </w:rPr>
        <w:footnoteReference w:id="15"/>
      </w:r>
      <w:r w:rsidRPr="00C24A08">
        <w:rPr>
          <w:rFonts w:ascii="Century Gothic" w:eastAsia="Calibri" w:hAnsi="Century Gothic" w:cs="Arial"/>
          <w:color w:val="000000" w:themeColor="text1"/>
          <w:lang w:val="es-ES_tradnl"/>
        </w:rPr>
        <w:t xml:space="preserve">, a nuestro juicio su intención no es otra que incluir a las entidades del orden nacional dentro de los sujetos que pueden celebrar estos convenios solidarios con los Organismos de Acción Comunal. Esta interpretación resulta coherente </w:t>
      </w:r>
      <w:r w:rsidRPr="00C24A08">
        <w:rPr>
          <w:rFonts w:ascii="Century Gothic" w:hAnsi="Century Gothic" w:cs="Arial"/>
          <w:bCs/>
          <w:color w:val="000000" w:themeColor="text1"/>
          <w:lang w:eastAsia="es-MX"/>
        </w:rPr>
        <w:t xml:space="preserve">con lo señalado en el trámite legislativo en el Congreso de la República de la Ley 2166 de 2021, conforme al cual esta iniciativa legislativa pretende </w:t>
      </w:r>
      <w:r w:rsidRPr="00C24A08">
        <w:rPr>
          <w:rFonts w:ascii="Century Gothic" w:hAnsi="Century Gothic" w:cs="Arial"/>
          <w:bCs/>
          <w:color w:val="000000" w:themeColor="text1"/>
          <w:lang w:eastAsia="es-MX"/>
        </w:rPr>
        <w:lastRenderedPageBreak/>
        <w:t xml:space="preserve">fortalecer las organizaciones comunales </w:t>
      </w:r>
      <w:r w:rsidRPr="00C24A08">
        <w:rPr>
          <w:rFonts w:ascii="Century Gothic" w:eastAsia="Calibri" w:hAnsi="Century Gothic" w:cs="Arial"/>
          <w:color w:val="000000" w:themeColor="text1"/>
          <w:lang w:val="es-ES_tradnl"/>
        </w:rPr>
        <w:t>“</w:t>
      </w:r>
      <w:r w:rsidRPr="00C24A08">
        <w:rPr>
          <w:rFonts w:ascii="Century Gothic" w:hAnsi="Century Gothic" w:cs="Arial"/>
          <w:bCs/>
          <w:color w:val="000000" w:themeColor="text1"/>
          <w:lang w:eastAsia="es-MX"/>
        </w:rPr>
        <w:t xml:space="preserve">incentivando la formulación y ejecución de los Planes de Desarrollo Estratégicos Comunales y </w:t>
      </w:r>
      <w:r w:rsidRPr="00C24A08">
        <w:rPr>
          <w:rFonts w:ascii="Century Gothic" w:hAnsi="Century Gothic" w:cs="Arial"/>
          <w:bCs/>
          <w:i/>
          <w:iCs/>
          <w:color w:val="000000" w:themeColor="text1"/>
          <w:lang w:eastAsia="es-MX"/>
        </w:rPr>
        <w:t>su capacidad de contratación social con el Estado</w:t>
      </w:r>
      <w:r w:rsidRPr="00C24A08">
        <w:rPr>
          <w:rFonts w:ascii="Century Gothic" w:hAnsi="Century Gothic" w:cs="Arial"/>
          <w:bCs/>
          <w:color w:val="000000" w:themeColor="text1"/>
          <w:lang w:eastAsia="es-MX"/>
        </w:rPr>
        <w:t xml:space="preserve"> a través de herramientas que beneficien el desarrollo de los territorios y sus comunidades</w:t>
      </w:r>
      <w:r w:rsidRPr="00C24A08">
        <w:rPr>
          <w:rFonts w:ascii="Century Gothic" w:eastAsia="Calibri" w:hAnsi="Century Gothic" w:cs="Arial"/>
          <w:color w:val="000000" w:themeColor="text1"/>
          <w:lang w:val="es-ES_tradnl"/>
        </w:rPr>
        <w:t>”</w:t>
      </w:r>
      <w:r w:rsidRPr="00C24A08">
        <w:rPr>
          <w:rStyle w:val="Refdenotaalpie"/>
          <w:rFonts w:ascii="Century Gothic" w:eastAsia="Calibri" w:hAnsi="Century Gothic" w:cs="Arial"/>
          <w:color w:val="000000" w:themeColor="text1"/>
          <w:lang w:val="es-ES_tradnl"/>
        </w:rPr>
        <w:footnoteReference w:id="16"/>
      </w:r>
      <w:r w:rsidRPr="00C24A08">
        <w:rPr>
          <w:rFonts w:ascii="Century Gothic" w:eastAsia="Calibri" w:hAnsi="Century Gothic" w:cs="Arial"/>
          <w:color w:val="000000" w:themeColor="text1"/>
          <w:lang w:val="es-ES_tradnl"/>
        </w:rPr>
        <w:t xml:space="preserve"> (Énfasis por fuera de texto)</w:t>
      </w:r>
      <w:r w:rsidRPr="00C24A08">
        <w:rPr>
          <w:rFonts w:ascii="Century Gothic" w:hAnsi="Century Gothic" w:cs="Arial"/>
          <w:bCs/>
          <w:color w:val="000000" w:themeColor="text1"/>
          <w:lang w:eastAsia="es-MX"/>
        </w:rPr>
        <w:t xml:space="preserve">. Asimismo, el artículo 1 de la Ley 2166 de 2021 señala como objetivo de esta </w:t>
      </w:r>
      <w:r w:rsidRPr="00C24A08">
        <w:rPr>
          <w:rFonts w:ascii="Century Gothic" w:eastAsia="Calibri" w:hAnsi="Century Gothic" w:cs="Arial"/>
          <w:color w:val="000000" w:themeColor="text1"/>
          <w:lang w:val="es-ES_tradnl"/>
        </w:rPr>
        <w:t>“</w:t>
      </w:r>
      <w:r w:rsidRPr="00C24A08">
        <w:rPr>
          <w:rFonts w:ascii="Century Gothic" w:eastAsia="Calibri" w:hAnsi="Century Gothic" w:cs="Arial"/>
          <w:color w:val="000000" w:themeColor="text1"/>
        </w:rPr>
        <w:t>establecer un marco jurídico para sus relaciones con el Estado y con los particulares, así como para el cabal ejercicio de derechos y deberes</w:t>
      </w:r>
      <w:r w:rsidRPr="00C24A08">
        <w:rPr>
          <w:rFonts w:ascii="Century Gothic" w:eastAsia="Calibri" w:hAnsi="Century Gothic" w:cs="Arial"/>
          <w:color w:val="000000" w:themeColor="text1"/>
          <w:lang w:val="es-ES_tradnl"/>
        </w:rPr>
        <w:t>”</w:t>
      </w:r>
      <w:r w:rsidRPr="00C24A08">
        <w:rPr>
          <w:rFonts w:ascii="Century Gothic" w:hAnsi="Century Gothic" w:cs="Arial"/>
          <w:bCs/>
          <w:color w:val="000000" w:themeColor="text1"/>
          <w:lang w:eastAsia="es-MX"/>
        </w:rPr>
        <w:t xml:space="preserve">. De esta manera, el artículo 95 </w:t>
      </w:r>
      <w:r w:rsidRPr="00C24A08">
        <w:rPr>
          <w:rFonts w:ascii="Century Gothic" w:hAnsi="Century Gothic" w:cs="Arial"/>
          <w:bCs/>
          <w:i/>
          <w:iCs/>
          <w:color w:val="000000" w:themeColor="text1"/>
          <w:lang w:eastAsia="es-MX"/>
        </w:rPr>
        <w:t xml:space="preserve">ibidem </w:t>
      </w:r>
      <w:r w:rsidRPr="00C24A08">
        <w:rPr>
          <w:rFonts w:ascii="Century Gothic" w:hAnsi="Century Gothic" w:cs="Arial"/>
          <w:bCs/>
          <w:color w:val="000000" w:themeColor="text1"/>
          <w:lang w:eastAsia="es-MX"/>
        </w:rPr>
        <w:t>desarrolla estos objetivos</w:t>
      </w:r>
      <w:r w:rsidRPr="00C24A08">
        <w:rPr>
          <w:rFonts w:ascii="Century Gothic" w:hAnsi="Century Gothic" w:cs="Arial"/>
          <w:bCs/>
          <w:i/>
          <w:iCs/>
          <w:color w:val="000000" w:themeColor="text1"/>
          <w:lang w:eastAsia="es-MX"/>
        </w:rPr>
        <w:t xml:space="preserve"> y </w:t>
      </w:r>
      <w:r w:rsidRPr="00C24A08">
        <w:rPr>
          <w:rFonts w:ascii="Century Gothic" w:hAnsi="Century Gothic" w:cs="Arial"/>
          <w:bCs/>
          <w:color w:val="000000" w:themeColor="text1"/>
          <w:lang w:eastAsia="es-MX"/>
        </w:rPr>
        <w:t xml:space="preserve">permite la celebración de convenios solidarios con entidades territoriales del orden departamental, municipal y distrital, así como con las entidades del orden nacional.  </w:t>
      </w:r>
    </w:p>
    <w:p w14:paraId="348D944E"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En este sentido, el régimen de contratación directa de los convenios solidarios señalado en el artículo 95 de la Ley 2166 de 2021 únicamente puede realizarse conforme a lo dispuesto en dicha norma, de manera que no podrá extenderse a otros objetos distintos al de obra, siempre que se cumplan con los demás presupuestos indicados. </w:t>
      </w:r>
    </w:p>
    <w:p w14:paraId="367F48A2"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bCs/>
          <w:color w:val="000000" w:themeColor="text1"/>
          <w:lang w:eastAsia="es-MX"/>
        </w:rPr>
      </w:pPr>
      <w:r w:rsidRPr="00C24A08">
        <w:rPr>
          <w:rFonts w:ascii="Century Gothic" w:hAnsi="Century Gothic" w:cs="Arial"/>
          <w:bCs/>
          <w:color w:val="000000" w:themeColor="text1"/>
          <w:lang w:eastAsia="es-MX"/>
        </w:rPr>
        <w:t xml:space="preserve">Lo anterior, sin perjuicio de la celebración de convenios solidarios con los Organismos de Acción Comunal mediante los otros dos (2) regímenes señalados en el numeral 2.2 de este concepto, esto es, el previsto en el Decreto 092 de 2017; y el que </w:t>
      </w:r>
      <w:r w:rsidRPr="00C24A08">
        <w:rPr>
          <w:rFonts w:ascii="Century Gothic" w:hAnsi="Century Gothic" w:cs="Arial"/>
          <w:color w:val="000000" w:themeColor="text1"/>
          <w:lang w:val="es-ES" w:eastAsia="es-MX"/>
        </w:rPr>
        <w:t>se fundamenta en los parágrafos tercero y quinto del artículo 3 de la Ley 136 de 1994, los cuales deben interpretarse armónicamente con lo dispuesto en el artículo 141 de la precitada Ley y, actualmente, con el artículo 63 de la Ley 2166 de 2021</w:t>
      </w:r>
      <w:r w:rsidRPr="00C24A08">
        <w:rPr>
          <w:rStyle w:val="Refdenotaalpie"/>
          <w:rFonts w:ascii="Century Gothic" w:hAnsi="Century Gothic" w:cs="Arial"/>
          <w:color w:val="000000" w:themeColor="text1"/>
          <w:lang w:val="es-ES" w:eastAsia="es-MX"/>
        </w:rPr>
        <w:footnoteReference w:id="17"/>
      </w:r>
      <w:r w:rsidRPr="00C24A08">
        <w:rPr>
          <w:rFonts w:ascii="Century Gothic" w:hAnsi="Century Gothic" w:cs="Arial"/>
          <w:color w:val="000000" w:themeColor="text1"/>
          <w:lang w:val="es-ES" w:eastAsia="es-MX"/>
        </w:rPr>
        <w:t xml:space="preserve">. </w:t>
      </w:r>
    </w:p>
    <w:p w14:paraId="4C122F97" w14:textId="77777777" w:rsidR="009B7745" w:rsidRPr="00C24A08" w:rsidRDefault="009B7745" w:rsidP="009B7745">
      <w:pPr>
        <w:shd w:val="clear" w:color="auto" w:fill="FFFFFF" w:themeFill="background1"/>
        <w:spacing w:before="120" w:after="0" w:line="276" w:lineRule="auto"/>
        <w:ind w:firstLine="709"/>
        <w:jc w:val="both"/>
        <w:rPr>
          <w:rFonts w:ascii="Century Gothic" w:hAnsi="Century Gothic" w:cs="Arial"/>
          <w:color w:val="000000" w:themeColor="text1"/>
          <w:lang w:val="es-ES" w:eastAsia="es-MX"/>
        </w:rPr>
      </w:pPr>
      <w:r w:rsidRPr="00C24A08">
        <w:rPr>
          <w:rFonts w:ascii="Century Gothic" w:hAnsi="Century Gothic" w:cs="Arial"/>
          <w:bCs/>
          <w:color w:val="000000" w:themeColor="text1"/>
          <w:lang w:eastAsia="es-MX"/>
        </w:rPr>
        <w:t xml:space="preserve">Al respecto, es preciso señalar que conforme con el artículo 63 de la </w:t>
      </w:r>
      <w:r w:rsidRPr="00C24A08">
        <w:rPr>
          <w:rFonts w:ascii="Century Gothic" w:hAnsi="Century Gothic" w:cs="Arial"/>
          <w:color w:val="000000" w:themeColor="text1"/>
          <w:lang w:val="es-ES" w:eastAsia="es-MX"/>
        </w:rPr>
        <w:t xml:space="preserve">Ley 2166 de 2021, las organizaciones comunales cuentan con la posibilidad de vincularse al desarrollo y mejoramiento municipal mediante la participación en el ejercicio de las funciones, la prestación de servicios o la ejecución de obras públicas a cargo de la administración central o descentralizada. El tenor literal de este artículo es el siguiente: </w:t>
      </w:r>
    </w:p>
    <w:p w14:paraId="70B88B4B"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color w:val="000000" w:themeColor="text1"/>
          <w:lang w:val="es-ES" w:eastAsia="es-MX"/>
        </w:rPr>
      </w:pPr>
    </w:p>
    <w:p w14:paraId="72C4BB79"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color w:val="000000" w:themeColor="text1"/>
          <w:sz w:val="21"/>
          <w:szCs w:val="21"/>
        </w:rPr>
      </w:pPr>
      <w:bookmarkStart w:id="10" w:name="63"/>
      <w:r w:rsidRPr="00C24A08">
        <w:rPr>
          <w:rFonts w:ascii="Century Gothic" w:hAnsi="Century Gothic" w:cs="Arial"/>
          <w:color w:val="000000" w:themeColor="text1"/>
          <w:sz w:val="21"/>
          <w:szCs w:val="21"/>
        </w:rPr>
        <w:t>“Artículo 63.</w:t>
      </w:r>
      <w:bookmarkEnd w:id="10"/>
      <w:r w:rsidRPr="00C24A08">
        <w:rPr>
          <w:rFonts w:ascii="Century Gothic" w:hAnsi="Century Gothic" w:cs="Arial"/>
          <w:color w:val="000000" w:themeColor="text1"/>
          <w:sz w:val="21"/>
          <w:szCs w:val="21"/>
        </w:rPr>
        <w:t> Conforme con el artículo </w:t>
      </w:r>
      <w:hyperlink r:id="rId10" w:anchor="141" w:history="1">
        <w:r w:rsidRPr="00C24A08">
          <w:rPr>
            <w:rFonts w:ascii="Century Gothic" w:hAnsi="Century Gothic" w:cs="Arial"/>
            <w:color w:val="000000" w:themeColor="text1"/>
            <w:sz w:val="21"/>
            <w:szCs w:val="21"/>
          </w:rPr>
          <w:t>141</w:t>
        </w:r>
      </w:hyperlink>
      <w:r w:rsidRPr="00C24A08">
        <w:rPr>
          <w:rFonts w:ascii="Century Gothic" w:hAnsi="Century Gothic" w:cs="Arial"/>
          <w:color w:val="000000" w:themeColor="text1"/>
          <w:sz w:val="21"/>
          <w:szCs w:val="21"/>
        </w:rPr>
        <w:t xml:space="preserve"> de la Ley 136 de 1994, los organismos comunales podrán vincularse al desarrollo y mejoramiento </w:t>
      </w:r>
      <w:r w:rsidRPr="00C24A08">
        <w:rPr>
          <w:rFonts w:ascii="Century Gothic" w:hAnsi="Century Gothic" w:cs="Arial"/>
          <w:color w:val="000000" w:themeColor="text1"/>
          <w:sz w:val="21"/>
          <w:szCs w:val="21"/>
        </w:rPr>
        <w:lastRenderedPageBreak/>
        <w:t>municipal, mediante su participación en el ejercicio de sus funciones, la prestación de bienes y servicios o la ejecución de obras públicas a cargo de la administración central o descentralizada. Los contratos o convenios que celebren con los organismos comunales se realizarán de acuerdo con la ley y sus objetivos se regularán por el régimen vigente de contratación para organizaciones solidarias.</w:t>
      </w:r>
    </w:p>
    <w:p w14:paraId="0058FB49"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color w:val="000000" w:themeColor="text1"/>
          <w:sz w:val="21"/>
          <w:szCs w:val="21"/>
        </w:rPr>
      </w:pPr>
      <w:r w:rsidRPr="00C24A08">
        <w:rPr>
          <w:rFonts w:ascii="Century Gothic" w:hAnsi="Century Gothic" w:cs="Arial"/>
          <w:color w:val="000000" w:themeColor="text1"/>
          <w:sz w:val="21"/>
          <w:szCs w:val="21"/>
        </w:rPr>
        <w:t>PARÁGRAFO 1o. Los organismos de Acción Comunal podrán contratar con las entidades territoriales hasta por la menor cuantía de dicha entidad de conformidad con la ley.</w:t>
      </w:r>
    </w:p>
    <w:p w14:paraId="70ACC967" w14:textId="77777777" w:rsidR="009B7745" w:rsidRPr="00C24A08" w:rsidRDefault="009B7745" w:rsidP="009B7745">
      <w:pPr>
        <w:shd w:val="clear" w:color="auto" w:fill="FFFFFF" w:themeFill="background1"/>
        <w:spacing w:after="0" w:line="240" w:lineRule="auto"/>
        <w:ind w:left="709" w:right="709"/>
        <w:jc w:val="both"/>
        <w:rPr>
          <w:rFonts w:ascii="Century Gothic" w:hAnsi="Century Gothic" w:cs="Arial"/>
          <w:color w:val="000000" w:themeColor="text1"/>
          <w:sz w:val="21"/>
          <w:szCs w:val="21"/>
        </w:rPr>
      </w:pPr>
      <w:r w:rsidRPr="00C24A08">
        <w:rPr>
          <w:rFonts w:ascii="Century Gothic" w:hAnsi="Century Gothic" w:cs="Arial"/>
          <w:color w:val="000000" w:themeColor="text1"/>
          <w:sz w:val="21"/>
          <w:szCs w:val="21"/>
        </w:rPr>
        <w:t xml:space="preserve">PARÁGRAFO 2o. Los denominados convenios solidarios y contratos interadministrativos de mínima, que trata el presente artículo también podrán ser celebrados </w:t>
      </w:r>
      <w:bookmarkStart w:id="11" w:name="_Hlk98592569"/>
      <w:r w:rsidRPr="00C24A08">
        <w:rPr>
          <w:rFonts w:ascii="Century Gothic" w:hAnsi="Century Gothic" w:cs="Arial"/>
          <w:color w:val="000000" w:themeColor="text1"/>
          <w:sz w:val="21"/>
          <w:szCs w:val="21"/>
        </w:rPr>
        <w:t xml:space="preserve">entre las entidades del orden nacional, departamental, distrital, local y municipal y los organismos de acción comunal </w:t>
      </w:r>
      <w:bookmarkEnd w:id="11"/>
      <w:r w:rsidRPr="00C24A08">
        <w:rPr>
          <w:rFonts w:ascii="Century Gothic" w:hAnsi="Century Gothic" w:cs="Arial"/>
          <w:color w:val="000000" w:themeColor="text1"/>
          <w:sz w:val="21"/>
          <w:szCs w:val="21"/>
        </w:rPr>
        <w:t>para la ejecución de proyectos incluidos en el respectivo Plan Nacional de Desarrollo o para la ejecución de los proyectos derivados del Acuerdo Final de Paz, como lo son, los Programas de Desarrollo con Enfoque territorial o los Planes de Acción para la Transformación Regional (PATR) o la Hoja de Ruta Única de que trata el artículo </w:t>
      </w:r>
      <w:hyperlink r:id="rId11" w:anchor="281" w:history="1">
        <w:r w:rsidRPr="00C24A08">
          <w:rPr>
            <w:rFonts w:ascii="Century Gothic" w:hAnsi="Century Gothic" w:cs="Arial"/>
            <w:color w:val="000000" w:themeColor="text1"/>
            <w:sz w:val="21"/>
            <w:szCs w:val="21"/>
          </w:rPr>
          <w:t>281</w:t>
        </w:r>
      </w:hyperlink>
      <w:r w:rsidRPr="00C24A08">
        <w:rPr>
          <w:rFonts w:ascii="Century Gothic" w:hAnsi="Century Gothic" w:cs="Arial"/>
          <w:color w:val="000000" w:themeColor="text1"/>
          <w:sz w:val="21"/>
          <w:szCs w:val="21"/>
        </w:rPr>
        <w:t> de la Ley 1955 de 2019”.</w:t>
      </w:r>
    </w:p>
    <w:p w14:paraId="2FB762DD" w14:textId="77777777" w:rsidR="009B7745" w:rsidRPr="00C24A08" w:rsidRDefault="009B7745" w:rsidP="009B7745">
      <w:pPr>
        <w:shd w:val="clear" w:color="auto" w:fill="FFFFFF" w:themeFill="background1"/>
        <w:spacing w:after="0"/>
        <w:ind w:left="709" w:right="709"/>
        <w:jc w:val="both"/>
        <w:rPr>
          <w:rFonts w:ascii="Century Gothic" w:hAnsi="Century Gothic" w:cs="Arial"/>
          <w:color w:val="000000" w:themeColor="text1"/>
        </w:rPr>
      </w:pPr>
    </w:p>
    <w:p w14:paraId="29589679"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bCs/>
          <w:color w:val="000000" w:themeColor="text1"/>
          <w:lang w:eastAsia="es-MX"/>
        </w:rPr>
      </w:pPr>
      <w:r w:rsidRPr="00C24A08">
        <w:rPr>
          <w:rFonts w:ascii="Century Gothic" w:hAnsi="Century Gothic" w:cs="Arial"/>
          <w:color w:val="000000" w:themeColor="text1"/>
          <w:lang w:val="es-ES" w:eastAsia="es-MX"/>
        </w:rPr>
        <w:t xml:space="preserve">Es necesario tener en cuenta que </w:t>
      </w:r>
      <w:r w:rsidRPr="00C24A08">
        <w:rPr>
          <w:rFonts w:ascii="Century Gothic" w:hAnsi="Century Gothic" w:cs="Arial"/>
          <w:color w:val="000000" w:themeColor="text1"/>
          <w:lang w:eastAsia="es-MX"/>
        </w:rPr>
        <w:t xml:space="preserve">esta </w:t>
      </w:r>
      <w:r w:rsidRPr="00C24A08">
        <w:rPr>
          <w:rFonts w:ascii="Century Gothic" w:hAnsi="Century Gothic" w:cs="Arial"/>
          <w:color w:val="000000" w:themeColor="text1"/>
          <w:lang w:val="es-ES" w:eastAsia="es-MX"/>
        </w:rPr>
        <w:t xml:space="preserve">disposición contempla supuestos distintos al establecido en el artículo 95 de la Ley 2166 de 2021. En efecto, el parágrafo 2 del artículo 63 </w:t>
      </w:r>
      <w:r w:rsidRPr="00C24A08">
        <w:rPr>
          <w:rFonts w:ascii="Century Gothic" w:hAnsi="Century Gothic" w:cs="Arial"/>
          <w:i/>
          <w:iCs/>
          <w:color w:val="000000" w:themeColor="text1"/>
          <w:lang w:val="es-ES" w:eastAsia="es-MX"/>
        </w:rPr>
        <w:t xml:space="preserve">ibidem </w:t>
      </w:r>
      <w:r w:rsidRPr="00C24A08">
        <w:rPr>
          <w:rFonts w:ascii="Century Gothic" w:hAnsi="Century Gothic" w:cs="Arial"/>
          <w:color w:val="000000" w:themeColor="text1"/>
          <w:lang w:val="es-ES" w:eastAsia="es-MX"/>
        </w:rPr>
        <w:t xml:space="preserve">permite la celebración de convenios solidarios con </w:t>
      </w:r>
      <w:r w:rsidRPr="00C24A08">
        <w:rPr>
          <w:rFonts w:ascii="Century Gothic" w:hAnsi="Century Gothic" w:cs="Arial"/>
          <w:color w:val="000000" w:themeColor="text1"/>
          <w:lang w:eastAsia="es-MX"/>
        </w:rPr>
        <w:t xml:space="preserve">Organismos de Acción Comunal con la finalidad de que estos se vinculen al desarrollo y mejoramiento municipal mediante: i) su participación en el ejercicio de sus funciones, </w:t>
      </w:r>
      <w:proofErr w:type="spellStart"/>
      <w:r w:rsidRPr="00C24A08">
        <w:rPr>
          <w:rFonts w:ascii="Century Gothic" w:hAnsi="Century Gothic" w:cs="Arial"/>
          <w:color w:val="000000" w:themeColor="text1"/>
          <w:lang w:eastAsia="es-MX"/>
        </w:rPr>
        <w:t>ii</w:t>
      </w:r>
      <w:proofErr w:type="spellEnd"/>
      <w:r w:rsidRPr="00C24A08">
        <w:rPr>
          <w:rFonts w:ascii="Century Gothic" w:hAnsi="Century Gothic" w:cs="Arial"/>
          <w:color w:val="000000" w:themeColor="text1"/>
          <w:lang w:eastAsia="es-MX"/>
        </w:rPr>
        <w:t xml:space="preserve">) la prestación de bienes y servicios o </w:t>
      </w:r>
      <w:proofErr w:type="spellStart"/>
      <w:r w:rsidRPr="00C24A08">
        <w:rPr>
          <w:rFonts w:ascii="Century Gothic" w:hAnsi="Century Gothic" w:cs="Arial"/>
          <w:color w:val="000000" w:themeColor="text1"/>
          <w:lang w:eastAsia="es-MX"/>
        </w:rPr>
        <w:t>iii</w:t>
      </w:r>
      <w:proofErr w:type="spellEnd"/>
      <w:r w:rsidRPr="00C24A08">
        <w:rPr>
          <w:rFonts w:ascii="Century Gothic" w:hAnsi="Century Gothic" w:cs="Arial"/>
          <w:color w:val="000000" w:themeColor="text1"/>
          <w:lang w:eastAsia="es-MX"/>
        </w:rPr>
        <w:t>) la ejecución de obras públicas</w:t>
      </w:r>
      <w:r w:rsidRPr="00C24A08">
        <w:rPr>
          <w:rFonts w:ascii="Century Gothic" w:hAnsi="Century Gothic" w:cs="Arial"/>
          <w:color w:val="000000" w:themeColor="text1"/>
          <w:sz w:val="21"/>
          <w:szCs w:val="21"/>
        </w:rPr>
        <w:t xml:space="preserve"> </w:t>
      </w:r>
      <w:r w:rsidRPr="00C24A08">
        <w:rPr>
          <w:rFonts w:ascii="Century Gothic" w:hAnsi="Century Gothic" w:cs="Arial"/>
          <w:color w:val="000000" w:themeColor="text1"/>
          <w:lang w:eastAsia="es-MX"/>
        </w:rPr>
        <w:t xml:space="preserve">cargo de la administración central o descentralizada, todos estos objetos contractuales </w:t>
      </w:r>
      <w:r w:rsidRPr="00C24A08">
        <w:rPr>
          <w:rFonts w:ascii="Century Gothic" w:hAnsi="Century Gothic" w:cs="Arial"/>
          <w:color w:val="000000" w:themeColor="text1"/>
          <w:sz w:val="21"/>
          <w:szCs w:val="21"/>
        </w:rPr>
        <w:t>hasta por la menor cuantía de la Entidad</w:t>
      </w:r>
      <w:r w:rsidRPr="00C24A08">
        <w:rPr>
          <w:rFonts w:ascii="Century Gothic" w:hAnsi="Century Gothic" w:cs="Arial"/>
          <w:color w:val="000000" w:themeColor="text1"/>
          <w:lang w:eastAsia="es-MX"/>
        </w:rPr>
        <w:t xml:space="preserve">. Además, con fundamento en este artículo, las entidades del orden nacional, departamental, distrital, local y municipal y los Organismos de Acción Comunal podrán ejecutar los proyectos incluidos en el respectivo Plan Nacional de Desarrollo o para la ejecución de los proyectos derivados del Acuerdo Final de Paz, como lo son, los Programas de Desarrollo con Enfoque territorial o los Planes de Acción para la Transformación Regional (PATR) o la Hoja de Ruta Única de que trata el artículo </w:t>
      </w:r>
      <w:hyperlink r:id="rId12" w:anchor="281" w:history="1">
        <w:r w:rsidRPr="00C24A08">
          <w:rPr>
            <w:rStyle w:val="Hipervnculo"/>
            <w:rFonts w:ascii="Century Gothic" w:hAnsi="Century Gothic" w:cs="Arial"/>
            <w:color w:val="000000" w:themeColor="text1"/>
            <w:lang w:eastAsia="es-MX"/>
          </w:rPr>
          <w:t>281</w:t>
        </w:r>
      </w:hyperlink>
      <w:r w:rsidRPr="00C24A08">
        <w:rPr>
          <w:rFonts w:ascii="Century Gothic" w:hAnsi="Century Gothic" w:cs="Arial"/>
          <w:color w:val="000000" w:themeColor="text1"/>
          <w:lang w:eastAsia="es-MX"/>
        </w:rPr>
        <w:t xml:space="preserve"> de la Ley 1955 de 2019. Como se observa, la norma señalada contempla diversos objetos para la celebración de convenios solidarios, mientras que en contraste el artículo 95 </w:t>
      </w:r>
      <w:r w:rsidRPr="00C24A08">
        <w:rPr>
          <w:rFonts w:ascii="Century Gothic" w:hAnsi="Century Gothic" w:cs="Arial"/>
          <w:color w:val="000000" w:themeColor="text1"/>
          <w:lang w:val="es-ES" w:eastAsia="es-MX"/>
        </w:rPr>
        <w:t xml:space="preserve">de la Ley 2166 de 2021 permite la ejecución de obras. De hecho, este aspecto también fue reglamentado por el Decreto 142 de 2023, el cual </w:t>
      </w:r>
      <w:r w:rsidRPr="00C24A08">
        <w:rPr>
          <w:rFonts w:ascii="Century Gothic" w:hAnsi="Century Gothic" w:cs="Arial"/>
          <w:bCs/>
          <w:color w:val="000000" w:themeColor="text1"/>
          <w:lang w:eastAsia="es-MX"/>
        </w:rPr>
        <w:t>adiciona el artículo 2.2.15.1.2 del Decreto 1082 de 2015 prescribiendo lo siguiente:</w:t>
      </w:r>
    </w:p>
    <w:p w14:paraId="46915FCC"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bCs/>
          <w:color w:val="000000" w:themeColor="text1"/>
          <w:lang w:eastAsia="es-MX"/>
        </w:rPr>
      </w:pPr>
    </w:p>
    <w:p w14:paraId="5214E5A8"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bCs/>
          <w:color w:val="000000" w:themeColor="text1"/>
          <w:sz w:val="21"/>
          <w:szCs w:val="21"/>
          <w:lang w:val="es-MX" w:eastAsia="es-MX"/>
        </w:rPr>
      </w:pPr>
      <w:r w:rsidRPr="00C24A08">
        <w:rPr>
          <w:rFonts w:ascii="Century Gothic" w:hAnsi="Century Gothic" w:cs="Arial"/>
          <w:bCs/>
          <w:color w:val="000000" w:themeColor="text1"/>
          <w:sz w:val="21"/>
          <w:szCs w:val="21"/>
          <w:lang w:val="es-MX" w:eastAsia="es-MX"/>
        </w:rPr>
        <w:lastRenderedPageBreak/>
        <w:t>“Artículo 2.2.15.1.3. Convenios solidarios para el desarrollo de programas. En el marco de lo dispuesto en el numeral 16 del artículo 3° de la Ley 136 de 1994, modificado por el artículo 6° de la Ley 1551 de 2012, y el parágrafo 2° del artículo 63 de la Ley 2166 de 2021 entidades del orden nacional, departamental, distrital, local y municipal podrán celebrar convenios solidarios con los cabildos, las autoridades y organizaciones indígenas, los organismos de acción comunal y demás organizaciones civiles y asociaciones residentes en el territorio, para el desarrollo conjunto de programas. </w:t>
      </w:r>
    </w:p>
    <w:p w14:paraId="06BB41FD" w14:textId="77777777" w:rsidR="009B7745" w:rsidRPr="00C24A08" w:rsidRDefault="009B7745" w:rsidP="009B7745">
      <w:pPr>
        <w:shd w:val="clear" w:color="auto" w:fill="FFFFFF" w:themeFill="background1"/>
        <w:spacing w:after="0" w:line="240" w:lineRule="auto"/>
        <w:ind w:left="709" w:right="709"/>
        <w:jc w:val="both"/>
        <w:rPr>
          <w:rFonts w:ascii="Century Gothic" w:hAnsi="Century Gothic" w:cs="Arial"/>
          <w:bCs/>
          <w:color w:val="000000" w:themeColor="text1"/>
          <w:sz w:val="21"/>
          <w:szCs w:val="21"/>
          <w:lang w:val="es-MX" w:eastAsia="es-MX"/>
        </w:rPr>
      </w:pPr>
      <w:r w:rsidRPr="00C24A08">
        <w:rPr>
          <w:rFonts w:ascii="Century Gothic" w:hAnsi="Century Gothic" w:cs="Arial"/>
          <w:bCs/>
          <w:color w:val="000000" w:themeColor="text1"/>
          <w:sz w:val="21"/>
          <w:szCs w:val="21"/>
          <w:lang w:val="es-MX" w:eastAsia="es-MX"/>
        </w:rPr>
        <w:t>El objeto de estos convenios solidarios debe estar dirigido al impulso de programas y actividades de interés público acordes con los planes de desarrollo territoriales o el plan nacional de desarrollo. En consideración a este alcance es necesario que previo al proceso de planeación, selección y contratación, se verifique que el objeto derive de una consagración expresa en el instrumento de planificación de la escala respectiva”. </w:t>
      </w:r>
    </w:p>
    <w:p w14:paraId="58DF4639"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bCs/>
          <w:color w:val="000000" w:themeColor="text1"/>
          <w:lang w:eastAsia="es-MX"/>
        </w:rPr>
      </w:pPr>
    </w:p>
    <w:p w14:paraId="0895E535"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color w:val="000000" w:themeColor="text1"/>
          <w:lang w:val="es-ES" w:eastAsia="es-MX"/>
        </w:rPr>
      </w:pPr>
      <w:r w:rsidRPr="00C24A08">
        <w:rPr>
          <w:rFonts w:ascii="Century Gothic" w:hAnsi="Century Gothic" w:cs="Arial"/>
          <w:color w:val="000000" w:themeColor="text1"/>
          <w:lang w:eastAsia="es-MX"/>
        </w:rPr>
        <w:t xml:space="preserve">Aunado a lo anterior, para la celebración de dichos convenios el inciso primero del citado artículo 63 remite al artículo 141 de la Ley 136 de 1994, en virtud del cual </w:t>
      </w:r>
      <w:r w:rsidRPr="00C24A08">
        <w:rPr>
          <w:rFonts w:ascii="Century Gothic" w:eastAsia="Calibri" w:hAnsi="Century Gothic" w:cs="Arial"/>
          <w:color w:val="000000" w:themeColor="text1"/>
          <w:lang w:val="es-ES_tradnl"/>
        </w:rPr>
        <w:t>“</w:t>
      </w:r>
      <w:r w:rsidRPr="0097705A">
        <w:rPr>
          <w:rFonts w:ascii="Century Gothic" w:hAnsi="Century Gothic" w:cs="Arial"/>
          <w:b/>
          <w:bCs/>
          <w:i/>
          <w:iCs/>
          <w:lang w:eastAsia="es-MX"/>
        </w:rPr>
        <w:t xml:space="preserve">Los contratos o convenios que se celebren en desarrollo del artículo anterior, se sujetarán a lo dispuesto por los artículos </w:t>
      </w:r>
      <w:hyperlink r:id="rId13" w:anchor="375" w:history="1">
        <w:r w:rsidRPr="0097705A">
          <w:rPr>
            <w:rStyle w:val="Hipervnculo"/>
            <w:rFonts w:ascii="Century Gothic" w:hAnsi="Century Gothic" w:cs="Arial"/>
            <w:b/>
            <w:bCs/>
            <w:i/>
            <w:iCs/>
            <w:lang w:eastAsia="es-MX"/>
          </w:rPr>
          <w:t>375</w:t>
        </w:r>
      </w:hyperlink>
      <w:r w:rsidRPr="0097705A">
        <w:rPr>
          <w:rFonts w:ascii="Century Gothic" w:hAnsi="Century Gothic" w:cs="Arial"/>
          <w:b/>
          <w:bCs/>
          <w:i/>
          <w:iCs/>
          <w:lang w:eastAsia="es-MX"/>
        </w:rPr>
        <w:t xml:space="preserve"> a </w:t>
      </w:r>
      <w:hyperlink r:id="rId14" w:anchor="378" w:history="1">
        <w:r w:rsidRPr="0097705A">
          <w:rPr>
            <w:rStyle w:val="Hipervnculo"/>
            <w:rFonts w:ascii="Century Gothic" w:hAnsi="Century Gothic" w:cs="Arial"/>
            <w:b/>
            <w:bCs/>
            <w:i/>
            <w:iCs/>
            <w:lang w:eastAsia="es-MX"/>
          </w:rPr>
          <w:t>378</w:t>
        </w:r>
      </w:hyperlink>
      <w:r w:rsidRPr="0097705A">
        <w:rPr>
          <w:rFonts w:ascii="Century Gothic" w:hAnsi="Century Gothic" w:cs="Arial"/>
          <w:b/>
          <w:bCs/>
          <w:i/>
          <w:iCs/>
          <w:lang w:eastAsia="es-MX"/>
        </w:rPr>
        <w:t xml:space="preserve"> del Decreto 1333 de 1986 y la Ley </w:t>
      </w:r>
      <w:hyperlink r:id="rId15" w:anchor="inicio" w:history="1">
        <w:r w:rsidRPr="0097705A">
          <w:rPr>
            <w:rStyle w:val="Hipervnculo"/>
            <w:rFonts w:ascii="Century Gothic" w:hAnsi="Century Gothic" w:cs="Arial"/>
            <w:b/>
            <w:bCs/>
            <w:i/>
            <w:iCs/>
            <w:lang w:eastAsia="es-MX"/>
          </w:rPr>
          <w:t>80</w:t>
        </w:r>
      </w:hyperlink>
      <w:r w:rsidRPr="0097705A">
        <w:rPr>
          <w:rFonts w:ascii="Century Gothic" w:hAnsi="Century Gothic" w:cs="Arial"/>
          <w:b/>
          <w:bCs/>
          <w:i/>
          <w:iCs/>
          <w:lang w:eastAsia="es-MX"/>
        </w:rPr>
        <w:t xml:space="preserve"> de 1993</w:t>
      </w:r>
      <w:r w:rsidRPr="0097705A">
        <w:rPr>
          <w:rFonts w:ascii="Century Gothic" w:eastAsia="Calibri" w:hAnsi="Century Gothic" w:cs="Arial"/>
          <w:b/>
          <w:bCs/>
          <w:i/>
          <w:iCs/>
          <w:color w:val="000000" w:themeColor="text1"/>
          <w:lang w:val="es-ES_tradnl"/>
        </w:rPr>
        <w:t>”</w:t>
      </w:r>
      <w:r>
        <w:rPr>
          <w:rFonts w:ascii="Century Gothic" w:eastAsia="Calibri" w:hAnsi="Century Gothic" w:cs="Arial"/>
          <w:b/>
          <w:bCs/>
          <w:i/>
          <w:iCs/>
          <w:color w:val="000000" w:themeColor="text1"/>
          <w:lang w:val="es-ES_tradnl"/>
        </w:rPr>
        <w:t>(negrita nuestra)</w:t>
      </w:r>
      <w:r w:rsidRPr="0097705A">
        <w:rPr>
          <w:rFonts w:ascii="Century Gothic" w:hAnsi="Century Gothic" w:cs="Arial"/>
          <w:b/>
          <w:bCs/>
          <w:i/>
          <w:iCs/>
          <w:color w:val="000000" w:themeColor="text1"/>
          <w:lang w:eastAsia="es-MX"/>
        </w:rPr>
        <w:t>.</w:t>
      </w:r>
      <w:r w:rsidRPr="00C24A08">
        <w:rPr>
          <w:rFonts w:ascii="Century Gothic" w:hAnsi="Century Gothic" w:cs="Arial"/>
          <w:color w:val="000000" w:themeColor="text1"/>
          <w:lang w:eastAsia="es-MX"/>
        </w:rPr>
        <w:t xml:space="preserve"> En este sentido, retomando las consideraciones de los conceptos de esta Agencia, en este caso resulta aplicable el tercer régimen expuesto en el numeral 2.2. Esto implica que los convenios solidarios que se celebren con fundamento el artículo 63 de la Ley </w:t>
      </w:r>
      <w:r w:rsidRPr="00C24A08">
        <w:rPr>
          <w:rFonts w:ascii="Century Gothic" w:hAnsi="Century Gothic" w:cs="Arial"/>
          <w:color w:val="000000" w:themeColor="text1"/>
          <w:lang w:val="es-ES" w:eastAsia="es-MX"/>
        </w:rPr>
        <w:t>2166 de 2021</w:t>
      </w:r>
      <w:r w:rsidRPr="00C24A08">
        <w:rPr>
          <w:rFonts w:ascii="Century Gothic" w:hAnsi="Century Gothic" w:cs="Arial"/>
          <w:color w:val="000000" w:themeColor="text1"/>
          <w:lang w:val="es-ES"/>
        </w:rPr>
        <w:t xml:space="preserve"> deben interpretarse armónicamente con </w:t>
      </w:r>
      <w:r w:rsidRPr="00C24A08">
        <w:rPr>
          <w:rFonts w:ascii="Century Gothic" w:hAnsi="Century Gothic" w:cs="Arial"/>
          <w:color w:val="000000" w:themeColor="text1"/>
          <w:lang w:eastAsia="es-MX"/>
        </w:rPr>
        <w:t xml:space="preserve">el artículo 141 de la Ley 136 de 1994 y </w:t>
      </w:r>
      <w:r w:rsidRPr="00C24A08">
        <w:rPr>
          <w:rFonts w:ascii="Century Gothic" w:hAnsi="Century Gothic" w:cs="Arial"/>
          <w:color w:val="000000" w:themeColor="text1"/>
          <w:lang w:val="es-ES"/>
        </w:rPr>
        <w:t>los parágrafos tercero y quinto del artículo tercero de la Ley 136 de 1994</w:t>
      </w:r>
      <w:r w:rsidRPr="00C24A08">
        <w:rPr>
          <w:rFonts w:ascii="Century Gothic" w:hAnsi="Century Gothic" w:cs="Arial"/>
          <w:color w:val="000000" w:themeColor="text1"/>
          <w:lang w:val="es-ES" w:eastAsia="es-MX"/>
        </w:rPr>
        <w:t xml:space="preserve">, por lo que podrá aplicarse lo dispuesto en los artículos 375 a 378 del Decreto 1333 de 1986 y el </w:t>
      </w:r>
      <w:r w:rsidRPr="00C24A08">
        <w:rPr>
          <w:rFonts w:ascii="Century Gothic" w:hAnsi="Century Gothic" w:cs="Arial"/>
          <w:color w:val="000000" w:themeColor="text1"/>
          <w:lang w:val="es-ES"/>
        </w:rPr>
        <w:t>EGCAP, salvo no exista otra forma especial de contratación como puede ser la consagrada en el Decreto 092 de 2017 para la ejecución de programas</w:t>
      </w:r>
      <w:r w:rsidRPr="00C24A08">
        <w:rPr>
          <w:rFonts w:ascii="Century Gothic" w:hAnsi="Century Gothic" w:cs="Arial"/>
          <w:color w:val="000000" w:themeColor="text1"/>
          <w:lang w:val="es-ES" w:eastAsia="es-MX"/>
        </w:rPr>
        <w:t xml:space="preserve">. No obstante, se considera que en el caso en que el objeto del convenio involucre únicamente la ejecución una obra por parte de la organización comunal, sin superar el monto de la menor cuantía, la entidad podrá aplicar el régimen previsto en el artículo 95 de la Ley 2166 de 2021 y cumplir con los presupuestos allí contemplados. </w:t>
      </w:r>
    </w:p>
    <w:p w14:paraId="7986D653"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color w:val="000000" w:themeColor="text1"/>
          <w:lang w:eastAsia="es-MX"/>
        </w:rPr>
      </w:pPr>
      <w:r w:rsidRPr="00C24A08">
        <w:rPr>
          <w:rFonts w:ascii="Century Gothic" w:hAnsi="Century Gothic" w:cs="Arial"/>
          <w:color w:val="000000" w:themeColor="text1"/>
          <w:lang w:eastAsia="es-MX"/>
        </w:rPr>
        <w:t xml:space="preserve">Así las cosas, </w:t>
      </w:r>
      <w:r>
        <w:rPr>
          <w:rFonts w:ascii="Century Gothic" w:hAnsi="Century Gothic" w:cs="Arial"/>
          <w:color w:val="000000" w:themeColor="text1"/>
          <w:lang w:eastAsia="es-MX"/>
        </w:rPr>
        <w:t>el</w:t>
      </w:r>
      <w:r w:rsidRPr="00C24A08">
        <w:rPr>
          <w:rFonts w:ascii="Century Gothic" w:hAnsi="Century Gothic" w:cs="Arial"/>
          <w:color w:val="000000" w:themeColor="text1"/>
          <w:lang w:eastAsia="es-MX"/>
        </w:rPr>
        <w:t xml:space="preserve"> inciso primero del artículo 63 de la Ley 2166 de 2021 establece que </w:t>
      </w:r>
      <w:r w:rsidRPr="00C24A08">
        <w:rPr>
          <w:rFonts w:ascii="Century Gothic" w:eastAsia="Calibri" w:hAnsi="Century Gothic" w:cs="Arial"/>
          <w:i/>
          <w:iCs/>
          <w:color w:val="000000" w:themeColor="text1"/>
          <w:lang w:val="es-ES_tradnl"/>
        </w:rPr>
        <w:t>“</w:t>
      </w:r>
      <w:r w:rsidRPr="00C24A08">
        <w:rPr>
          <w:rFonts w:ascii="Century Gothic" w:hAnsi="Century Gothic" w:cs="Arial"/>
          <w:i/>
          <w:iCs/>
          <w:color w:val="000000" w:themeColor="text1"/>
          <w:lang w:eastAsia="es-MX"/>
        </w:rPr>
        <w:t>Los contratos o convenios que celebren con los organismos comunales se realizarán de acuerdo con la ley y sus objetivos, se regularán por el régimen vigente de contratación para organizaciones solidarias</w:t>
      </w:r>
      <w:r w:rsidRPr="00C24A08">
        <w:rPr>
          <w:rFonts w:ascii="Century Gothic" w:eastAsia="Calibri" w:hAnsi="Century Gothic" w:cs="Arial"/>
          <w:i/>
          <w:iCs/>
          <w:color w:val="000000" w:themeColor="text1"/>
          <w:lang w:val="es-ES_tradnl"/>
        </w:rPr>
        <w:t>”</w:t>
      </w:r>
      <w:r w:rsidRPr="00C24A08">
        <w:rPr>
          <w:rFonts w:ascii="Century Gothic" w:hAnsi="Century Gothic" w:cs="Arial"/>
          <w:color w:val="000000" w:themeColor="text1"/>
          <w:lang w:eastAsia="es-MX"/>
        </w:rPr>
        <w:t xml:space="preserve"> </w:t>
      </w:r>
      <w:r>
        <w:rPr>
          <w:rFonts w:ascii="Century Gothic" w:hAnsi="Century Gothic" w:cs="Arial"/>
          <w:color w:val="000000" w:themeColor="text1"/>
          <w:lang w:eastAsia="es-MX"/>
        </w:rPr>
        <w:t xml:space="preserve">por lo que </w:t>
      </w:r>
      <w:r w:rsidRPr="00C24A08">
        <w:rPr>
          <w:rFonts w:ascii="Century Gothic" w:hAnsi="Century Gothic" w:cs="Arial"/>
          <w:color w:val="000000" w:themeColor="text1"/>
          <w:lang w:eastAsia="es-MX"/>
        </w:rPr>
        <w:t xml:space="preserve">debe </w:t>
      </w:r>
      <w:r w:rsidRPr="00C24A08">
        <w:rPr>
          <w:rFonts w:ascii="Century Gothic" w:hAnsi="Century Gothic" w:cs="Arial"/>
          <w:color w:val="000000" w:themeColor="text1"/>
          <w:lang w:eastAsia="es-MX"/>
        </w:rPr>
        <w:lastRenderedPageBreak/>
        <w:t xml:space="preserve">interpretarse armónicamente con lo dispuesto por el artículo 141 de la Ley 136 de 1994 –al que hace referencia el mismo artículo 63–, de manera que su contratación debe sujetarse a los </w:t>
      </w:r>
      <w:r w:rsidRPr="00C24A08">
        <w:rPr>
          <w:rFonts w:ascii="Century Gothic" w:hAnsi="Century Gothic" w:cs="Arial"/>
          <w:color w:val="000000" w:themeColor="text1"/>
          <w:lang w:val="es-ES" w:eastAsia="es-MX"/>
        </w:rPr>
        <w:t xml:space="preserve">artículos 375 a 378 del Decreto 1333 de 1986 y al </w:t>
      </w:r>
      <w:r w:rsidRPr="00C24A08">
        <w:rPr>
          <w:rFonts w:ascii="Century Gothic" w:hAnsi="Century Gothic" w:cs="Arial"/>
          <w:color w:val="000000" w:themeColor="text1"/>
          <w:lang w:val="es-ES"/>
        </w:rPr>
        <w:t>EGCAP</w:t>
      </w:r>
      <w:r w:rsidRPr="00C24A08">
        <w:rPr>
          <w:rFonts w:ascii="Century Gothic" w:hAnsi="Century Gothic" w:cs="Arial"/>
          <w:color w:val="000000" w:themeColor="text1"/>
          <w:lang w:val="es-ES" w:eastAsia="es-MX"/>
        </w:rPr>
        <w:t xml:space="preserve">. En este contexto, según el artículo 376 del Decreto 1333 de 1986, </w:t>
      </w:r>
      <w:r w:rsidRPr="00C24A08">
        <w:rPr>
          <w:rFonts w:ascii="Century Gothic" w:eastAsia="Calibri" w:hAnsi="Century Gothic" w:cs="Arial"/>
          <w:color w:val="000000" w:themeColor="text1"/>
          <w:lang w:val="es-ES_tradnl"/>
        </w:rPr>
        <w:t>“L</w:t>
      </w:r>
      <w:r w:rsidRPr="00C24A08">
        <w:rPr>
          <w:rFonts w:ascii="Century Gothic" w:hAnsi="Century Gothic" w:cs="Arial"/>
          <w:color w:val="000000" w:themeColor="text1"/>
          <w:lang w:eastAsia="es-MX"/>
        </w:rPr>
        <w:t>os contratos que celebren los Municipios en desarrollo del artículo 375 no estarán sujetos a formalidades o requisitos distintos de los que la ley exige para la contratación entre particulares, ni requerirán de la revisión que ordena el Código Contencioso Administrativo. Sin embargo, contendrán las cláusulas que la ley prevé sobre interpretación, modificación y terminación unilaterales, multas, garantías, sujeción de los pagos a las apropiaciones presupuestales y caducidad. La verificación de su cumplimiento estará a cargo del interventor que designe el alcalde o representante legal de la entidad descentralizada, según el caso</w:t>
      </w:r>
      <w:r w:rsidRPr="00C24A08">
        <w:rPr>
          <w:rFonts w:ascii="Century Gothic" w:eastAsia="Calibri" w:hAnsi="Century Gothic" w:cs="Arial"/>
          <w:color w:val="000000" w:themeColor="text1"/>
          <w:lang w:val="es-ES_tradnl"/>
        </w:rPr>
        <w:t>”</w:t>
      </w:r>
      <w:r w:rsidRPr="00C24A08">
        <w:rPr>
          <w:rStyle w:val="Refdenotaalpie"/>
          <w:rFonts w:ascii="Century Gothic" w:eastAsia="Calibri" w:hAnsi="Century Gothic" w:cs="Arial"/>
          <w:color w:val="000000" w:themeColor="text1"/>
          <w:lang w:val="es-ES_tradnl"/>
        </w:rPr>
        <w:footnoteReference w:id="18"/>
      </w:r>
      <w:r w:rsidRPr="00C24A08">
        <w:rPr>
          <w:rFonts w:ascii="Century Gothic" w:hAnsi="Century Gothic" w:cs="Arial"/>
          <w:color w:val="000000" w:themeColor="text1"/>
          <w:lang w:eastAsia="es-MX"/>
        </w:rPr>
        <w:t xml:space="preserve">. </w:t>
      </w:r>
    </w:p>
    <w:p w14:paraId="44D93792"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color w:val="000000" w:themeColor="text1"/>
          <w:lang w:val="es-ES" w:eastAsia="es-MX"/>
        </w:rPr>
      </w:pPr>
      <w:r w:rsidRPr="00C24A08">
        <w:rPr>
          <w:rFonts w:ascii="Century Gothic" w:hAnsi="Century Gothic" w:cs="Arial"/>
          <w:color w:val="000000" w:themeColor="text1"/>
          <w:lang w:val="es-ES" w:eastAsia="es-MX"/>
        </w:rPr>
        <w:t xml:space="preserve">Ahora bien, el parágrafo primero del artículo 63 de la Ley 2166 de 2021 dispone que </w:t>
      </w:r>
      <w:r w:rsidRPr="00C24A08">
        <w:rPr>
          <w:rFonts w:ascii="Century Gothic" w:hAnsi="Century Gothic" w:cs="Arial"/>
          <w:color w:val="000000" w:themeColor="text1"/>
          <w:lang w:eastAsia="es-MX"/>
        </w:rPr>
        <w:t xml:space="preserve">los Organismos de Acción Comunal podrán contratar con las entidades territoriales hasta por la menor cuantía de dicha entidad de conformidad con la ley. Por su parte, el parágrafo segundo se refiere a la facultad que tienen las entidades del orden nacional, departamental, distrital, local y municipal y los Organismos de Acción Comunal para celebrar convenios solidarios con el fin de ejecutar los proyectos allí señalados. </w:t>
      </w:r>
      <w:r w:rsidRPr="00C24A08">
        <w:rPr>
          <w:rFonts w:ascii="Century Gothic" w:hAnsi="Century Gothic" w:cs="Arial"/>
          <w:color w:val="000000" w:themeColor="text1"/>
          <w:lang w:val="es-ES" w:eastAsia="es-MX"/>
        </w:rPr>
        <w:t xml:space="preserve">De lo anterior se desprende que los parágrafos primero y segundo dan alcance a lo señalado en el inciso primero del artículo 63 de la Ley 2166 de 2021. De esta manera, esta Agencia considera que cuando el parágrafo segundo extrañamente se refriere a los </w:t>
      </w:r>
      <w:r w:rsidRPr="00C24A08">
        <w:rPr>
          <w:rFonts w:ascii="Century Gothic" w:eastAsia="Calibri" w:hAnsi="Century Gothic" w:cs="Arial"/>
          <w:color w:val="000000" w:themeColor="text1"/>
          <w:lang w:val="es-ES_tradnl"/>
        </w:rPr>
        <w:t>“</w:t>
      </w:r>
      <w:r w:rsidRPr="00C24A08">
        <w:rPr>
          <w:rFonts w:ascii="Century Gothic" w:hAnsi="Century Gothic" w:cs="Arial"/>
          <w:color w:val="000000" w:themeColor="text1"/>
          <w:lang w:val="es-ES" w:eastAsia="es-MX"/>
        </w:rPr>
        <w:t>contratos interadministrativos de mínima</w:t>
      </w:r>
      <w:r w:rsidRPr="00C24A08">
        <w:rPr>
          <w:rFonts w:ascii="Century Gothic" w:eastAsia="Calibri" w:hAnsi="Century Gothic" w:cs="Arial"/>
          <w:color w:val="000000" w:themeColor="text1"/>
          <w:lang w:val="es-ES_tradnl"/>
        </w:rPr>
        <w:t>”</w:t>
      </w:r>
      <w:r w:rsidRPr="00C24A08">
        <w:rPr>
          <w:rFonts w:ascii="Century Gothic" w:hAnsi="Century Gothic" w:cs="Arial"/>
          <w:color w:val="000000" w:themeColor="text1"/>
          <w:lang w:val="es-ES" w:eastAsia="es-MX"/>
        </w:rPr>
        <w:t xml:space="preserve"> es posible colegir que se hace referencia a los convenios solidarios precisamente para destacar que estos pueden celebrarse con las entidades estatales señaladas en dicho parágrafo. Sin embargo, se aclara que, a juicio de esta Agencia, lo señalado en el parágrafo segundo no se trata de una tipología adicional a las existentes en el ordenamiento jurídico y no se advierte que el legislador hubiese querido crear una tipología o modalidad adicional, máxime cuando el parágrafo se integra al contenido del artículo 63. </w:t>
      </w:r>
    </w:p>
    <w:p w14:paraId="5C35BAF9" w14:textId="77777777" w:rsidR="009B7745" w:rsidRPr="00C24A08" w:rsidRDefault="009B7745" w:rsidP="009B7745">
      <w:pPr>
        <w:shd w:val="clear" w:color="auto" w:fill="FFFFFF" w:themeFill="background1"/>
        <w:spacing w:before="120" w:line="276" w:lineRule="auto"/>
        <w:ind w:firstLine="703"/>
        <w:jc w:val="both"/>
        <w:textAlignment w:val="baseline"/>
        <w:rPr>
          <w:rFonts w:ascii="Century Gothic" w:hAnsi="Century Gothic" w:cs="Arial"/>
          <w:color w:val="000000" w:themeColor="text1"/>
          <w:lang w:val="es-ES" w:eastAsia="es-CO"/>
        </w:rPr>
      </w:pPr>
      <w:r w:rsidRPr="00C24A08">
        <w:rPr>
          <w:rFonts w:ascii="Century Gothic" w:hAnsi="Century Gothic" w:cs="Arial"/>
          <w:color w:val="000000" w:themeColor="text1"/>
          <w:lang w:eastAsia="es-CO"/>
        </w:rPr>
        <w:t xml:space="preserve">Por ello, considerando la naturaleza jurídica de las partes, los convenios solidarios entre las entidades estatales y los Organismos de Acción Comunal no se calificarían como contratos o convenios interadministrativos. </w:t>
      </w:r>
      <w:r w:rsidRPr="00C24A08">
        <w:rPr>
          <w:rFonts w:ascii="Century Gothic" w:hAnsi="Century Gothic" w:cs="Arial"/>
          <w:color w:val="000000" w:themeColor="text1"/>
          <w:lang w:val="es-ES" w:eastAsia="es-CO"/>
        </w:rPr>
        <w:t xml:space="preserve">Al respecto, esta última tipología contractual fue creada en la Ley 80 de 1993 y, aunque no la definió ni desarrolló, el Decreto 1082 de 2015 califica a los convenios o contratos interadministrativos como aquella contratación entre entidades estatales. De </w:t>
      </w:r>
      <w:r w:rsidRPr="00C24A08">
        <w:rPr>
          <w:rFonts w:ascii="Century Gothic" w:hAnsi="Century Gothic" w:cs="Arial"/>
          <w:color w:val="000000" w:themeColor="text1"/>
          <w:lang w:val="es-ES" w:eastAsia="es-CO"/>
        </w:rPr>
        <w:lastRenderedPageBreak/>
        <w:t>acuerdo con esto, el contrato o el convenio interadministrativo es el acuerdo donde concurre la voluntad de dos o más personas jurídicas de derecho público con la finalidad de cumplir, en el marco de sus objetivos misionales y sus competencias, con los fines del Estado. Es decir, los contratos o convenios interadministrativos nominados en la Ley 80 de 1993 están determinados por un criterio orgánico, pues es necesario que los extremos de la relación contractual sean entidades estatales.</w:t>
      </w:r>
    </w:p>
    <w:p w14:paraId="1452C19E" w14:textId="77777777" w:rsidR="009B7745" w:rsidRPr="00C24A08" w:rsidRDefault="009B7745" w:rsidP="009B7745">
      <w:pPr>
        <w:shd w:val="clear" w:color="auto" w:fill="FFFFFF" w:themeFill="background1"/>
        <w:spacing w:before="120" w:line="276" w:lineRule="auto"/>
        <w:ind w:firstLine="703"/>
        <w:jc w:val="both"/>
        <w:textAlignment w:val="baseline"/>
        <w:rPr>
          <w:rFonts w:ascii="Century Gothic" w:hAnsi="Century Gothic" w:cs="Arial"/>
          <w:color w:val="000000" w:themeColor="text1"/>
          <w:lang w:val="es-ES" w:eastAsia="es-MX"/>
        </w:rPr>
      </w:pPr>
      <w:r w:rsidRPr="00C24A08">
        <w:rPr>
          <w:rFonts w:ascii="Century Gothic" w:hAnsi="Century Gothic" w:cs="Arial"/>
          <w:color w:val="000000" w:themeColor="text1"/>
          <w:lang w:val="es-ES" w:eastAsia="es-CO"/>
        </w:rPr>
        <w:t xml:space="preserve">En este sentido, aunque los convenios solidarios tienen el propósito de cooperación explicado en el acápite 2.2, no corresponden a la categoría </w:t>
      </w:r>
      <w:r w:rsidRPr="00C24A08">
        <w:rPr>
          <w:rFonts w:ascii="Century Gothic" w:hAnsi="Century Gothic" w:cs="Arial"/>
          <w:color w:val="000000" w:themeColor="text1"/>
          <w:lang w:eastAsia="es-CO"/>
        </w:rPr>
        <w:t>definida en el 2.2.1.2.1.4.4 del Decreto 1082 de 2015</w:t>
      </w:r>
      <w:r w:rsidRPr="00C24A08">
        <w:rPr>
          <w:rFonts w:ascii="Century Gothic" w:hAnsi="Century Gothic" w:cs="Arial"/>
          <w:color w:val="000000" w:themeColor="text1"/>
          <w:lang w:val="es-ES" w:eastAsia="es-CO"/>
        </w:rPr>
        <w:t>, pues –tomando en consideración</w:t>
      </w:r>
      <w:r w:rsidRPr="00C24A08">
        <w:rPr>
          <w:rFonts w:ascii="Century Gothic" w:hAnsi="Century Gothic" w:cs="Arial"/>
          <w:color w:val="000000" w:themeColor="text1"/>
          <w:lang w:eastAsia="es-CO"/>
        </w:rPr>
        <w:t xml:space="preserve"> lo señalado en el artículo 7 de la Ley 2166 de 2021–</w:t>
      </w:r>
      <w:r w:rsidRPr="00C24A08">
        <w:rPr>
          <w:rFonts w:ascii="Century Gothic" w:hAnsi="Century Gothic" w:cs="Arial"/>
          <w:color w:val="000000" w:themeColor="text1"/>
          <w:lang w:val="es-ES" w:eastAsia="es-CO"/>
        </w:rPr>
        <w:t xml:space="preserve"> no implica una contratación entre autoridades del Estado, sino un negocio jurídico entre una Entidad Estatal y una persona jurídica de derecho privado sin ánimo de lucro.</w:t>
      </w:r>
      <w:r w:rsidRPr="00C24A08">
        <w:rPr>
          <w:rFonts w:ascii="Century Gothic" w:hAnsi="Century Gothic" w:cs="Arial"/>
          <w:color w:val="000000" w:themeColor="text1"/>
          <w:lang w:eastAsia="es-CO"/>
        </w:rPr>
        <w:t xml:space="preserve"> </w:t>
      </w:r>
      <w:r w:rsidRPr="00C24A08">
        <w:rPr>
          <w:rFonts w:ascii="Century Gothic" w:hAnsi="Century Gothic" w:cs="Arial"/>
          <w:color w:val="000000" w:themeColor="text1"/>
          <w:lang w:val="es-ES" w:eastAsia="es-MX"/>
        </w:rPr>
        <w:t>Bajo estas consideraciones, es viable concluir que la intención del legislador en relación con los parágrafos del artículo 63 de la Ley 2166 de 2021 consiste en precisar las facultades que tienen las entidades estatales allí señaladas para la celebración de convenios solidarios con los Organismos de Acción Comunal, sin que ello signifique la creación de una tipología contractual distinta.</w:t>
      </w:r>
    </w:p>
    <w:p w14:paraId="45DA9819" w14:textId="77777777" w:rsidR="009B7745" w:rsidRPr="00C24A08" w:rsidRDefault="009B7745" w:rsidP="009B7745">
      <w:pPr>
        <w:shd w:val="clear" w:color="auto" w:fill="FFFFFF" w:themeFill="background1"/>
        <w:spacing w:before="120" w:after="0" w:line="276" w:lineRule="auto"/>
        <w:ind w:firstLine="708"/>
        <w:jc w:val="both"/>
        <w:rPr>
          <w:rFonts w:ascii="Century Gothic" w:hAnsi="Century Gothic" w:cs="Arial"/>
          <w:bCs/>
          <w:color w:val="000000" w:themeColor="text1"/>
          <w:lang w:val="es-MX" w:eastAsia="es-MX"/>
        </w:rPr>
      </w:pPr>
      <w:r w:rsidRPr="00C24A08">
        <w:rPr>
          <w:rFonts w:ascii="Century Gothic" w:hAnsi="Century Gothic" w:cs="Arial"/>
          <w:lang w:eastAsia="es-MX"/>
        </w:rPr>
        <w:t>Adicionalmente, además de que cada organismo debe acreditar su existencia y representación legal en los términos del artículo 78 de la Ley 2166 de 2021</w:t>
      </w:r>
      <w:r w:rsidRPr="00C24A08">
        <w:rPr>
          <w:rStyle w:val="Refdenotaalpie"/>
          <w:rFonts w:ascii="Century Gothic" w:hAnsi="Century Gothic" w:cs="Arial"/>
          <w:lang w:eastAsia="es-MX"/>
        </w:rPr>
        <w:footnoteReference w:id="19"/>
      </w:r>
      <w:r w:rsidRPr="00C24A08">
        <w:rPr>
          <w:rFonts w:ascii="Century Gothic" w:hAnsi="Century Gothic" w:cs="Arial"/>
          <w:lang w:eastAsia="es-MX"/>
        </w:rPr>
        <w:t xml:space="preserve">, </w:t>
      </w:r>
      <w:r w:rsidRPr="00C24A08">
        <w:rPr>
          <w:rFonts w:ascii="Century Gothic" w:hAnsi="Century Gothic" w:cs="Arial"/>
          <w:bCs/>
          <w:color w:val="000000" w:themeColor="text1"/>
          <w:lang w:val="es-MX" w:eastAsia="es-MX"/>
        </w:rPr>
        <w:t xml:space="preserve">teniendo en cuenta la naturaleza de las Juntas de Acción Comunal y la incidencia que en ellas tiene el principio de participación, es importante realzar que la territorialidad </w:t>
      </w:r>
      <w:r w:rsidRPr="00C24A08">
        <w:rPr>
          <w:rFonts w:ascii="Century Gothic" w:hAnsi="Century Gothic" w:cs="Arial"/>
          <w:color w:val="000000" w:themeColor="text1"/>
          <w:lang w:val="es-MX" w:eastAsia="es-MX"/>
        </w:rPr>
        <w:t>de</w:t>
      </w:r>
      <w:r w:rsidRPr="00C24A08">
        <w:rPr>
          <w:rFonts w:ascii="Century Gothic" w:hAnsi="Century Gothic" w:cs="Arial"/>
          <w:bCs/>
          <w:color w:val="000000" w:themeColor="text1"/>
          <w:lang w:val="es-MX" w:eastAsia="es-MX"/>
        </w:rPr>
        <w:t xml:space="preserve"> la cual hace parte es el único lugar en el cual puede desarrollar sus actividades, pues sólo así se garantizaría una verdadera participación de la comunidad en la formulación, ejecución y administración de planes, programas y proyectos en su territorio, por lo que resultaría contrario al principio de participación que las Juntas de Acción Comunal pudieran ejecutar contratos en sitios donde no tienen representación participativa. </w:t>
      </w:r>
      <w:r w:rsidRPr="00C24A08">
        <w:rPr>
          <w:rFonts w:ascii="Century Gothic" w:hAnsi="Century Gothic" w:cs="Arial"/>
          <w:lang w:eastAsia="es-MX"/>
        </w:rPr>
        <w:t xml:space="preserve">De esta forma, el desarrollo normativo que trajo consigo la Ley 2166 de 2021 con el objetivo de promover, facilitar, estructurar y fortalecer la organización democrática, moderna, participativa y representativa de la acción comunal en sus respectivos grados </w:t>
      </w:r>
      <w:r w:rsidRPr="00C24A08">
        <w:rPr>
          <w:rFonts w:ascii="Century Gothic" w:hAnsi="Century Gothic" w:cs="Arial"/>
          <w:lang w:eastAsia="es-MX"/>
        </w:rPr>
        <w:lastRenderedPageBreak/>
        <w:t>asociativos, dispuso en su artículo 7 una nueva definición de Junta de Acción Comunal:</w:t>
      </w:r>
    </w:p>
    <w:p w14:paraId="6E09DEC8" w14:textId="77777777" w:rsidR="009B7745" w:rsidRPr="00C24A08" w:rsidRDefault="009B7745" w:rsidP="009B7745">
      <w:pPr>
        <w:shd w:val="clear" w:color="auto" w:fill="FFFFFF" w:themeFill="background1"/>
        <w:spacing w:after="0" w:line="276" w:lineRule="auto"/>
        <w:ind w:firstLine="709"/>
        <w:jc w:val="both"/>
        <w:rPr>
          <w:rFonts w:ascii="Century Gothic" w:hAnsi="Century Gothic" w:cs="Arial"/>
          <w:lang w:eastAsia="es-MX"/>
        </w:rPr>
      </w:pPr>
    </w:p>
    <w:p w14:paraId="0BB4877C" w14:textId="77777777" w:rsidR="009B7745" w:rsidRPr="00C24A08" w:rsidRDefault="009B7745" w:rsidP="009B7745">
      <w:pPr>
        <w:shd w:val="clear" w:color="auto" w:fill="FFFFFF" w:themeFill="background1"/>
        <w:spacing w:after="120" w:line="240" w:lineRule="auto"/>
        <w:ind w:left="709" w:right="709"/>
        <w:jc w:val="both"/>
        <w:rPr>
          <w:rFonts w:ascii="Century Gothic" w:hAnsi="Century Gothic" w:cs="Arial"/>
          <w:sz w:val="21"/>
          <w:szCs w:val="21"/>
          <w:lang w:eastAsia="es-MX"/>
        </w:rPr>
      </w:pPr>
      <w:r w:rsidRPr="00C24A08">
        <w:rPr>
          <w:rFonts w:ascii="Century Gothic" w:hAnsi="Century Gothic" w:cs="Arial"/>
          <w:sz w:val="21"/>
          <w:szCs w:val="21"/>
          <w:lang w:eastAsia="es-MX"/>
        </w:rPr>
        <w:t>“ARTÍCULO 7. Organismos de la acción comunal.</w:t>
      </w:r>
    </w:p>
    <w:p w14:paraId="27BE5805" w14:textId="77777777" w:rsidR="009B7745" w:rsidRPr="00C24A08" w:rsidRDefault="009B7745" w:rsidP="009B7745">
      <w:pPr>
        <w:shd w:val="clear" w:color="auto" w:fill="FFFFFF" w:themeFill="background1"/>
        <w:spacing w:after="0" w:line="240" w:lineRule="auto"/>
        <w:ind w:left="709" w:right="709"/>
        <w:jc w:val="both"/>
        <w:rPr>
          <w:rFonts w:ascii="Century Gothic" w:eastAsia="Calibri" w:hAnsi="Century Gothic" w:cs="Arial"/>
          <w:color w:val="000000" w:themeColor="text1"/>
          <w:sz w:val="21"/>
          <w:szCs w:val="21"/>
          <w:lang w:val="es-ES_tradnl"/>
        </w:rPr>
      </w:pPr>
      <w:r w:rsidRPr="00C24A08">
        <w:rPr>
          <w:rFonts w:ascii="Century Gothic" w:hAnsi="Century Gothic" w:cs="Arial"/>
          <w:sz w:val="21"/>
          <w:szCs w:val="21"/>
          <w:lang w:eastAsia="es-MX"/>
        </w:rPr>
        <w:t>a) Son organismos de acción comunal de primer grado las juntas de acción comunal y las juntas de vivienda comunal. La junta de acción comunal es una organización cívica, social y comunitaria de gestión social, sin ánimo de lucro, de naturaleza solidaria, con personería jurídica y patrimonio propio, integrada voluntariamente por los residentes de un lugar que aúnan esfuerzos y recursos para procurar un desarrollo integral, sostenible y sustentable con fundamento en el ejercicio de la democracia participativa</w:t>
      </w:r>
      <w:r w:rsidRPr="00C24A08">
        <w:rPr>
          <w:rFonts w:ascii="Century Gothic" w:eastAsia="Calibri" w:hAnsi="Century Gothic" w:cs="Arial"/>
          <w:color w:val="000000" w:themeColor="text1"/>
          <w:sz w:val="21"/>
          <w:szCs w:val="21"/>
          <w:lang w:val="es-ES_tradnl"/>
        </w:rPr>
        <w:t>”.</w:t>
      </w:r>
    </w:p>
    <w:p w14:paraId="4C438597" w14:textId="77777777" w:rsidR="009B7745" w:rsidRPr="00C24A08" w:rsidRDefault="009B7745" w:rsidP="009B7745">
      <w:pPr>
        <w:shd w:val="clear" w:color="auto" w:fill="FFFFFF" w:themeFill="background1"/>
        <w:spacing w:after="0" w:line="276" w:lineRule="auto"/>
        <w:ind w:left="709" w:right="709"/>
        <w:jc w:val="both"/>
        <w:rPr>
          <w:rFonts w:ascii="Century Gothic" w:hAnsi="Century Gothic" w:cs="Arial"/>
          <w:sz w:val="20"/>
          <w:szCs w:val="20"/>
          <w:lang w:eastAsia="es-MX"/>
        </w:rPr>
      </w:pPr>
    </w:p>
    <w:p w14:paraId="5568E086" w14:textId="77777777" w:rsidR="009B7745" w:rsidRPr="00C24A08" w:rsidRDefault="009B7745" w:rsidP="009B7745">
      <w:pPr>
        <w:shd w:val="clear" w:color="auto" w:fill="FFFFFF" w:themeFill="background1"/>
        <w:spacing w:line="276" w:lineRule="auto"/>
        <w:ind w:firstLine="708"/>
        <w:jc w:val="both"/>
        <w:rPr>
          <w:rFonts w:ascii="Century Gothic" w:hAnsi="Century Gothic" w:cs="Arial"/>
          <w:bCs/>
          <w:color w:val="000000" w:themeColor="text1"/>
          <w:lang w:val="es-MX" w:eastAsia="es-MX"/>
        </w:rPr>
      </w:pPr>
      <w:r w:rsidRPr="00C24A08">
        <w:rPr>
          <w:rFonts w:ascii="Century Gothic" w:hAnsi="Century Gothic" w:cs="Arial"/>
          <w:bCs/>
          <w:color w:val="000000" w:themeColor="text1"/>
          <w:lang w:val="es-MX" w:eastAsia="es-MX"/>
        </w:rPr>
        <w:t xml:space="preserve">Asimismo, el artículo 9 </w:t>
      </w:r>
      <w:r w:rsidRPr="00C24A08">
        <w:rPr>
          <w:rFonts w:ascii="Century Gothic" w:hAnsi="Century Gothic" w:cs="Arial"/>
          <w:bCs/>
          <w:i/>
          <w:iCs/>
          <w:color w:val="000000" w:themeColor="text1"/>
          <w:lang w:val="es-MX" w:eastAsia="es-MX"/>
        </w:rPr>
        <w:t>ibidem</w:t>
      </w:r>
      <w:r w:rsidRPr="00C24A08">
        <w:rPr>
          <w:rFonts w:ascii="Century Gothic" w:hAnsi="Century Gothic" w:cs="Arial"/>
          <w:bCs/>
          <w:color w:val="000000" w:themeColor="text1"/>
          <w:lang w:val="es-MX" w:eastAsia="es-MX"/>
        </w:rPr>
        <w:t xml:space="preserve"> dispuso que </w:t>
      </w:r>
      <w:r w:rsidRPr="00C24A08">
        <w:rPr>
          <w:rFonts w:ascii="Century Gothic" w:hAnsi="Century Gothic" w:cs="Arial"/>
          <w:i/>
          <w:iCs/>
          <w:color w:val="000000" w:themeColor="text1"/>
        </w:rPr>
        <w:t>“</w:t>
      </w:r>
      <w:r w:rsidRPr="00C24A08">
        <w:rPr>
          <w:rFonts w:ascii="Century Gothic" w:hAnsi="Century Gothic" w:cs="Arial"/>
          <w:bCs/>
          <w:i/>
          <w:iCs/>
          <w:color w:val="000000" w:themeColor="text1"/>
          <w:lang w:val="es-MX" w:eastAsia="es-MX"/>
        </w:rPr>
        <w:t>cada organismo de acción comunal desarrollará sus actividades dentro de un territorio delimitado</w:t>
      </w:r>
      <w:r w:rsidRPr="00C24A08">
        <w:rPr>
          <w:rFonts w:ascii="Century Gothic" w:eastAsia="Calibri" w:hAnsi="Century Gothic" w:cs="Arial"/>
          <w:i/>
          <w:iCs/>
          <w:color w:val="000000" w:themeColor="text1"/>
          <w:lang w:val="es-ES_tradnl"/>
        </w:rPr>
        <w:t>”,</w:t>
      </w:r>
      <w:r w:rsidRPr="00C24A08">
        <w:rPr>
          <w:rFonts w:ascii="Century Gothic" w:eastAsia="Calibri" w:hAnsi="Century Gothic" w:cs="Arial"/>
          <w:color w:val="000000" w:themeColor="text1"/>
          <w:lang w:val="es-ES_tradnl"/>
        </w:rPr>
        <w:t xml:space="preserve"> indicando las orientaciones para dicha limitación. Es así como en las capitales</w:t>
      </w:r>
      <w:r w:rsidRPr="00C24A08">
        <w:rPr>
          <w:rFonts w:ascii="Century Gothic" w:hAnsi="Century Gothic" w:cs="Arial"/>
          <w:bCs/>
          <w:color w:val="000000" w:themeColor="text1"/>
          <w:lang w:val="es-MX" w:eastAsia="es-MX"/>
        </w:rPr>
        <w:t xml:space="preserve"> de departamentos y en la ciudad de Bogotá, D. C., se podrá constituir una junta por cada barrio, conjunto residencial, sector o etapa de este, según la división establecida por la correspondiente autoridad municipal o distrital. Por su parte, en las demás cabeceras de municipio y en las de corregimientos o inspecciones de policía podrá reconocerse más de una junta si existen las divisiones urbanas a que se refiere el literal anterior, por lo que en las poblaciones donde no exista delimitación por barrios la junta podrá abarcar toda el área urbana.</w:t>
      </w:r>
    </w:p>
    <w:p w14:paraId="337A5962" w14:textId="77777777" w:rsidR="009B7745" w:rsidRPr="00C24A08" w:rsidRDefault="009B7745" w:rsidP="009B7745">
      <w:pPr>
        <w:shd w:val="clear" w:color="auto" w:fill="FFFFFF" w:themeFill="background1"/>
        <w:spacing w:before="120" w:line="276" w:lineRule="auto"/>
        <w:ind w:firstLine="708"/>
        <w:jc w:val="both"/>
        <w:rPr>
          <w:rFonts w:ascii="Century Gothic" w:hAnsi="Century Gothic" w:cs="Arial"/>
          <w:bCs/>
          <w:color w:val="000000" w:themeColor="text1"/>
          <w:lang w:val="es-MX" w:eastAsia="es-MX"/>
        </w:rPr>
      </w:pPr>
      <w:r w:rsidRPr="00C24A08">
        <w:rPr>
          <w:rFonts w:ascii="Century Gothic" w:hAnsi="Century Gothic" w:cs="Arial"/>
          <w:bCs/>
          <w:color w:val="000000" w:themeColor="text1"/>
          <w:lang w:val="es-MX" w:eastAsia="es-MX"/>
        </w:rPr>
        <w:t xml:space="preserve">Dicha norma indica que en cada caserío o vereda sólo podrá constituirse una junta de acción comunal, pero la autoridad competente podrá autorizar, mediante resolución motivada, la constitución de más de una junta si la respectiva extensión territorial lo aconsejare. </w:t>
      </w:r>
      <w:r w:rsidRPr="00C24A08">
        <w:rPr>
          <w:rFonts w:ascii="Century Gothic" w:hAnsi="Century Gothic" w:cs="Arial"/>
          <w:bCs/>
          <w:color w:val="000000" w:themeColor="text1"/>
          <w:lang w:eastAsia="es-MX"/>
        </w:rPr>
        <w:t xml:space="preserve">De otra parte, la Ley 2166 de 2021 trajo consigo también una regla para denominación social de estos Organismos de Acción Comunal, señalando en su artículo 8 que </w:t>
      </w:r>
      <w:r w:rsidRPr="00C24A08">
        <w:rPr>
          <w:rFonts w:ascii="Century Gothic" w:hAnsi="Century Gothic" w:cs="Arial"/>
          <w:bCs/>
          <w:color w:val="000000" w:themeColor="text1"/>
          <w:lang w:val="es-MX" w:eastAsia="es-MX"/>
        </w:rPr>
        <w:t>dichas organizaciones conformaran su nombre legal con el de su territorio seguido del nombre de la entidad territorial a la que pertenezca y en la cual desarrolle sus actividades.</w:t>
      </w:r>
    </w:p>
    <w:p w14:paraId="77C3E33C"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C24A08">
        <w:rPr>
          <w:rFonts w:ascii="Century Gothic" w:hAnsi="Century Gothic" w:cs="Arial"/>
          <w:lang w:eastAsia="es-MX"/>
        </w:rPr>
        <w:t xml:space="preserve">De lo anterior se concluye, que con base en el principio de participación, el objeto social de las Juntas de Acción Comunal está definido y limitado a la territorialidad a la cual pertenece y tiene jurisdicción, por lo tanto no podrá ejecutar actividades por fuera de esta, pues sólo así se garantizaría que el desarrollo de la comunidad se dé a través de un proceso territorial que integren los esfuerzos de su población, organismos y el Estado, para mejorar la calidad de vida de las comunidades, fortaleciendo así la construcción de las mismas, a partir de los </w:t>
      </w:r>
      <w:r w:rsidRPr="00C24A08">
        <w:rPr>
          <w:rFonts w:ascii="Century Gothic" w:hAnsi="Century Gothic" w:cs="Arial"/>
          <w:lang w:eastAsia="es-MX"/>
        </w:rPr>
        <w:lastRenderedPageBreak/>
        <w:t>planes de desarrollo comunales y comunitarios construidos y concertados por los afiliados a los organismos comunales, en articulación con las autoridades de cada uno de sus territorios.</w:t>
      </w:r>
    </w:p>
    <w:p w14:paraId="30F15E72"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C24A08">
        <w:rPr>
          <w:rFonts w:ascii="Century Gothic" w:hAnsi="Century Gothic" w:cs="Arial"/>
          <w:lang w:eastAsia="es-MX"/>
        </w:rPr>
        <w:t xml:space="preserve">Por lo demás, en lo que respecta a la capacidad técnica del organismo de acción comunal, es necesario tener en cuenta que –de acuerdo en lo explicado en el apartado 2.1– el convenio solidario se suscribe en ámbito de colaboración institucional. De adoptar una forma contractual, como ocurre en los procedimientos adelantados a través del artículo 2 de la Ley 1150 de 2007, la sujeción del contratista a la entidad justifica requisitos estrictos para la validación de </w:t>
      </w:r>
      <w:r>
        <w:rPr>
          <w:rFonts w:ascii="Century Gothic" w:hAnsi="Century Gothic" w:cs="Arial"/>
          <w:lang w:eastAsia="es-MX"/>
        </w:rPr>
        <w:t>idoneidad</w:t>
      </w:r>
      <w:r w:rsidRPr="00C24A08">
        <w:rPr>
          <w:rFonts w:ascii="Century Gothic" w:hAnsi="Century Gothic" w:cs="Arial"/>
          <w:lang w:eastAsia="es-MX"/>
        </w:rPr>
        <w:t xml:space="preserve">, pues es este último quien se encargará de la ejecución de las obligaciones. No obstante, en los convenios autorizados por la Ley 136 de 1994 y sus normas complementarias, las partes actúan en un ámbito de colaboración, por lo cual –de acuerdo con las capacidades de cada extremo de la relación– ambas deben aunar sus esfuerzos para satisfacer la necesidad conjunta. </w:t>
      </w:r>
    </w:p>
    <w:p w14:paraId="36C119C0"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C24A08">
        <w:rPr>
          <w:rFonts w:ascii="Century Gothic" w:hAnsi="Century Gothic" w:cs="Arial"/>
          <w:lang w:eastAsia="es-MX"/>
        </w:rPr>
        <w:t xml:space="preserve">Esto se observa, por ejemplo, para efectos del artículo 95 de la Ley 2166 de 2021, pues dispone que “Los entes territoriales podrán incluir en el monto total de los Convenios Solidarios los costos directos, los costos administrativos y el Subsidio al dignatario representante legal para transportes de que trata el literal c) del artículo 38 de la presente ley” y que “Adicional del monto del Convenio Solidario, los entes territoriales deberán contar o disponer de personal técnico y administrativo-contable, para supervisar y apoyar a los Organismos de Acción Comunal en la ejecución de las obras”. Estos constituyen algunos de los puntos con la entidad contribuye a la ejecución del convenio, por lo que el avance no queda totalmente en cabeza del organismo de acción comunal, pues a la entidad corresponde disponer de un personal multidisciplinario para apoyar las obras, sin perjuicio de la supervisión del convenio. </w:t>
      </w:r>
    </w:p>
    <w:p w14:paraId="2905A887"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C24A08">
        <w:rPr>
          <w:rFonts w:ascii="Century Gothic" w:hAnsi="Century Gothic" w:cs="Arial"/>
          <w:lang w:eastAsia="es-MX"/>
        </w:rPr>
        <w:t xml:space="preserve">En estricto sentido, desde un punto de vista jurídico, podría ser razonable afirmar que , la validación de la idoneidad a los Organismos de Acción Comunal podría realizarse a través de criterios dirigidos a medir las capacidades propias de los mismos o de quienes los conforman, en aspectos como, por ejemplo, la ejecución exitosa de convenios solidarios anteriores, la acreditación de personal profesional con experiencia en el desarrollo de obras civiles,  el cumplimiento de obligaciones como mano de obra calificada o no calificada. Sin embargo, dichos criterios se deben determinar por la Entidad Estatal luego de haber adelantado el respectivo análisis para conocer el sector relativo al objeto del convenio que se pretenda celebrar. Esto último también sería congruente con lo dispuesto en el </w:t>
      </w:r>
      <w:r w:rsidRPr="00C24A08">
        <w:rPr>
          <w:rFonts w:ascii="Century Gothic" w:hAnsi="Century Gothic" w:cs="Arial"/>
          <w:lang w:eastAsia="es-MX"/>
        </w:rPr>
        <w:lastRenderedPageBreak/>
        <w:t xml:space="preserve">inciso primero del artículo precitado cuando dispone que “Se autoriza a los entes territoriales del orden nacional, departamental, distrital y municipal para celebrar directamente convenios solidarios con los Organismos de Acción Comunal con el fin de ejecutar obras hasta por la menor cuantía. Para la ejecución de estas deberán contratar con los habitantes de la comunidad” (Énfasis fuera de texto). </w:t>
      </w:r>
    </w:p>
    <w:p w14:paraId="591F0B59" w14:textId="77777777" w:rsidR="009B7745" w:rsidRPr="00C24A0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C24A08">
        <w:rPr>
          <w:rFonts w:ascii="Century Gothic" w:hAnsi="Century Gothic" w:cs="Arial"/>
          <w:lang w:eastAsia="es-MX"/>
        </w:rPr>
        <w:t>De acuerdo con esto, las obligaciones de hacer que se atribuyan a los Organismos de Acción Comunal en el marco de convenios solidarios necesariamente deben ir en sintonía con la idoneidad que puedan demostrar para asumir las mismas, de tal manera que no asuman compromisos que exceden su capacidad. En consideración a lo anterior, por ejemplo, podría no ser adecuado, atribuir la obligación de dirigir la ejecución de los trabajos materiales de obra a un Organismo de Acción Comunal que nunca haya ejecutado antes una obra</w:t>
      </w:r>
      <w:r>
        <w:rPr>
          <w:rFonts w:ascii="Century Gothic" w:hAnsi="Century Gothic" w:cs="Arial"/>
          <w:lang w:eastAsia="es-MX"/>
        </w:rPr>
        <w:t>.</w:t>
      </w:r>
      <w:r w:rsidRPr="00C24A08">
        <w:rPr>
          <w:rFonts w:ascii="Century Gothic" w:hAnsi="Century Gothic" w:cs="Arial"/>
          <w:i/>
          <w:iCs/>
          <w:lang w:eastAsia="es-MX"/>
        </w:rPr>
        <w:t xml:space="preserve">”. </w:t>
      </w:r>
      <w:r w:rsidRPr="00C24A08">
        <w:rPr>
          <w:rFonts w:ascii="Century Gothic" w:hAnsi="Century Gothic" w:cs="Arial"/>
          <w:lang w:eastAsia="es-MX"/>
        </w:rPr>
        <w:t xml:space="preserve">En ese sentido, en situaciones como esta, la capacidad técnica que se requiere para garantizar el desarrollo a satisfacción de la obra civil y el legal ejercicio de la ingeniería en el marco de la misma, bien podrían ser garantizados a través de las obligaciones que asuma la Entidad Estatal como cooperante del Organismo de Acción Comunal, asumiendo obligaciones asociadas a los aspectos técnicos y especializados como la dirección de la obra, el suministro de la maquinaria, la contratación de mano de obra calificada y demás componentes del convenio respecto de los cuales el organismo no logre demostrar idoneidad o que no puedan ser provistos a través de la participación de los habitantes de la comunidad en la ejecución de la obra. </w:t>
      </w:r>
    </w:p>
    <w:p w14:paraId="17033A0A" w14:textId="77777777" w:rsidR="009B7745" w:rsidRPr="00130678" w:rsidRDefault="009B7745" w:rsidP="009B7745">
      <w:pPr>
        <w:shd w:val="clear" w:color="auto" w:fill="FFFFFF" w:themeFill="background1"/>
        <w:spacing w:before="120" w:line="276" w:lineRule="auto"/>
        <w:ind w:firstLine="709"/>
        <w:jc w:val="both"/>
        <w:rPr>
          <w:rFonts w:ascii="Century Gothic" w:hAnsi="Century Gothic" w:cs="Arial"/>
          <w:lang w:eastAsia="es-MX"/>
        </w:rPr>
      </w:pPr>
      <w:bookmarkStart w:id="12" w:name="_Hlk131062005"/>
      <w:r w:rsidRPr="00130678">
        <w:rPr>
          <w:rFonts w:ascii="Century Gothic" w:hAnsi="Century Gothic" w:cs="Arial"/>
          <w:lang w:eastAsia="es-MX"/>
        </w:rPr>
        <w:t>Con fundamento en la competencia prevista en el artículo 1 de la Ley 2022 de 2020</w:t>
      </w:r>
      <w:r w:rsidRPr="00130678">
        <w:rPr>
          <w:rFonts w:ascii="Century Gothic" w:hAnsi="Century Gothic" w:cs="Arial"/>
          <w:vertAlign w:val="superscript"/>
          <w:lang w:eastAsia="es-MX"/>
        </w:rPr>
        <w:footnoteReference w:id="20"/>
      </w:r>
      <w:r w:rsidRPr="00130678">
        <w:rPr>
          <w:rFonts w:ascii="Century Gothic" w:hAnsi="Century Gothic" w:cs="Arial"/>
          <w:lang w:eastAsia="es-MX"/>
        </w:rPr>
        <w:t xml:space="preserve">, el pasado 30 de junio de 2023 la Agencia Nacional de Contratación Pública </w:t>
      </w:r>
      <w:r w:rsidRPr="00130678">
        <w:rPr>
          <w:rFonts w:ascii="Century Gothic" w:hAnsi="Century Gothic" w:cs="Arial"/>
          <w:lang w:val="es-ES" w:eastAsia="es-MX"/>
        </w:rPr>
        <w:t>– Colombia Compra Eficiente -</w:t>
      </w:r>
      <w:r w:rsidRPr="00130678">
        <w:rPr>
          <w:rFonts w:ascii="Century Gothic" w:hAnsi="Century Gothic" w:cs="Arial"/>
          <w:lang w:eastAsia="es-MX"/>
        </w:rPr>
        <w:t xml:space="preserve"> expidió la Resolución 358 de 2023 “</w:t>
      </w:r>
      <w:hyperlink r:id="rId16" w:history="1">
        <w:r w:rsidRPr="00130678">
          <w:rPr>
            <w:rStyle w:val="Hipervnculo"/>
            <w:rFonts w:ascii="Century Gothic" w:hAnsi="Century Gothic" w:cs="Arial"/>
            <w:lang w:eastAsia="es-MX"/>
          </w:rPr>
          <w:t>Por la cual se adopta el documento tipo para la contratación directa de convenios solidarios para la ejecución de obras hasta la menor cuantía con organismos de acción comunal”</w:t>
        </w:r>
        <w:r w:rsidRPr="00130678">
          <w:rPr>
            <w:rStyle w:val="Hipervnculo"/>
            <w:rFonts w:ascii="Century Gothic" w:hAnsi="Century Gothic" w:cs="Arial"/>
            <w:vertAlign w:val="superscript"/>
            <w:lang w:eastAsia="es-MX"/>
          </w:rPr>
          <w:footnoteReference w:id="21"/>
        </w:r>
        <w:r w:rsidRPr="00130678">
          <w:rPr>
            <w:rStyle w:val="Hipervnculo"/>
            <w:rFonts w:ascii="Century Gothic" w:hAnsi="Century Gothic" w:cs="Arial"/>
            <w:lang w:eastAsia="es-MX"/>
          </w:rPr>
          <w:t>. </w:t>
        </w:r>
      </w:hyperlink>
      <w:r w:rsidRPr="00130678">
        <w:rPr>
          <w:rFonts w:ascii="Century Gothic" w:hAnsi="Century Gothic" w:cs="Arial"/>
          <w:lang w:eastAsia="es-MX"/>
        </w:rPr>
        <w:t xml:space="preserve">La Resolución señalada, consta de cuatro artículos: el primero dispone que esta adopta los documentos tipo para la contratación directa de convenios solidarios para la ejecución de obras hasta la menor cuantía con Organismos de Acción Comunal. </w:t>
      </w:r>
    </w:p>
    <w:p w14:paraId="71D649E7" w14:textId="77777777" w:rsidR="009B7745" w:rsidRPr="00130678" w:rsidRDefault="009B7745" w:rsidP="009B7745">
      <w:pPr>
        <w:shd w:val="clear" w:color="auto" w:fill="FFFFFF" w:themeFill="background1"/>
        <w:spacing w:before="120" w:line="276" w:lineRule="auto"/>
        <w:ind w:firstLine="709"/>
        <w:jc w:val="both"/>
        <w:rPr>
          <w:rFonts w:ascii="Century Gothic" w:hAnsi="Century Gothic" w:cs="Arial"/>
          <w:lang w:eastAsia="es-MX"/>
        </w:rPr>
      </w:pPr>
      <w:r w:rsidRPr="00130678">
        <w:rPr>
          <w:rFonts w:ascii="Century Gothic" w:hAnsi="Century Gothic" w:cs="Arial"/>
          <w:lang w:eastAsia="es-MX"/>
        </w:rPr>
        <w:lastRenderedPageBreak/>
        <w:t>Por su parte, el artículo 2 consagra que los documentos que se adoptan por medio de la Resolución contienen parámetros obligatorios para las entidades sometidas al Estatuto General de Contratación de la Administración Pública que adelanten procesos de selección bajo la modalidad de contratación directa para la celebración de convenios solidarios con organismos de acción comunal para la ejecución de obras hasta el monto de la menor cuantía</w:t>
      </w:r>
      <w:r w:rsidRPr="00130678">
        <w:rPr>
          <w:rFonts w:ascii="Century Gothic" w:hAnsi="Century Gothic" w:cs="Arial"/>
          <w:vertAlign w:val="superscript"/>
          <w:lang w:eastAsia="es-MX"/>
        </w:rPr>
        <w:footnoteReference w:id="22"/>
      </w:r>
      <w:r w:rsidRPr="00130678">
        <w:rPr>
          <w:rFonts w:ascii="Century Gothic" w:hAnsi="Century Gothic" w:cs="Arial"/>
          <w:lang w:eastAsia="es-MX"/>
        </w:rPr>
        <w:t xml:space="preserve">. Además, en este artículo se señala que componen ese documento tipo: i) Minuta tipo, </w:t>
      </w:r>
      <w:proofErr w:type="spellStart"/>
      <w:r w:rsidRPr="00130678">
        <w:rPr>
          <w:rFonts w:ascii="Century Gothic" w:hAnsi="Century Gothic" w:cs="Arial"/>
          <w:lang w:eastAsia="es-MX"/>
        </w:rPr>
        <w:t>ii</w:t>
      </w:r>
      <w:proofErr w:type="spellEnd"/>
      <w:r w:rsidRPr="00130678">
        <w:rPr>
          <w:rFonts w:ascii="Century Gothic" w:hAnsi="Century Gothic" w:cs="Arial"/>
          <w:lang w:eastAsia="es-MX"/>
        </w:rPr>
        <w:t xml:space="preserve">) Anexo1 – Especificaciones técnicas, </w:t>
      </w:r>
      <w:proofErr w:type="spellStart"/>
      <w:r w:rsidRPr="00130678">
        <w:rPr>
          <w:rFonts w:ascii="Century Gothic" w:hAnsi="Century Gothic" w:cs="Arial"/>
          <w:lang w:eastAsia="es-MX"/>
        </w:rPr>
        <w:t>iii</w:t>
      </w:r>
      <w:proofErr w:type="spellEnd"/>
      <w:r w:rsidRPr="00130678">
        <w:rPr>
          <w:rFonts w:ascii="Century Gothic" w:hAnsi="Century Gothic" w:cs="Arial"/>
          <w:lang w:eastAsia="es-MX"/>
        </w:rPr>
        <w:t xml:space="preserve">) Anexo 2 – Análisis del Sector y </w:t>
      </w:r>
      <w:proofErr w:type="spellStart"/>
      <w:r w:rsidRPr="00130678">
        <w:rPr>
          <w:rFonts w:ascii="Century Gothic" w:hAnsi="Century Gothic" w:cs="Arial"/>
          <w:lang w:eastAsia="es-MX"/>
        </w:rPr>
        <w:t>iv</w:t>
      </w:r>
      <w:proofErr w:type="spellEnd"/>
      <w:r w:rsidRPr="00130678">
        <w:rPr>
          <w:rFonts w:ascii="Century Gothic" w:hAnsi="Century Gothic" w:cs="Arial"/>
          <w:lang w:eastAsia="es-MX"/>
        </w:rPr>
        <w:t xml:space="preserve">) Matriz de Riesgos. </w:t>
      </w:r>
    </w:p>
    <w:p w14:paraId="44DE0C91" w14:textId="77777777" w:rsidR="009B7745" w:rsidRPr="00130678" w:rsidRDefault="009B7745" w:rsidP="009B7745">
      <w:pPr>
        <w:shd w:val="clear" w:color="auto" w:fill="FFFFFF" w:themeFill="background1"/>
        <w:spacing w:before="120" w:line="276" w:lineRule="auto"/>
        <w:ind w:firstLine="709"/>
        <w:jc w:val="both"/>
        <w:rPr>
          <w:rFonts w:ascii="Century Gothic" w:hAnsi="Century Gothic" w:cs="Arial"/>
          <w:bCs/>
          <w:lang w:val="es-ES_tradnl" w:eastAsia="es-MX"/>
        </w:rPr>
      </w:pPr>
      <w:r w:rsidRPr="00130678">
        <w:rPr>
          <w:rFonts w:ascii="Century Gothic" w:hAnsi="Century Gothic" w:cs="Arial"/>
          <w:lang w:eastAsia="es-MX"/>
        </w:rPr>
        <w:t xml:space="preserve">Seguidamente, el artículo 3 dispone </w:t>
      </w:r>
      <w:r w:rsidRPr="00130678">
        <w:rPr>
          <w:rFonts w:ascii="Century Gothic" w:hAnsi="Century Gothic" w:cs="Arial"/>
          <w:bCs/>
          <w:lang w:val="es-ES_tradnl" w:eastAsia="es-MX"/>
        </w:rPr>
        <w:t xml:space="preserve">dispone la inalterabilidad de los documentos tipo </w:t>
      </w:r>
      <w:r w:rsidRPr="00130678">
        <w:rPr>
          <w:rFonts w:ascii="Century Gothic" w:hAnsi="Century Gothic" w:cs="Arial"/>
          <w:lang w:val="es-ES" w:eastAsia="es-MX"/>
        </w:rPr>
        <w:t>para la contratación directa de convenios solidarios para la ejecución de obras hasta la menor cuantía con organismos de acción comunal</w:t>
      </w:r>
      <w:r w:rsidRPr="00130678">
        <w:rPr>
          <w:rFonts w:ascii="Century Gothic" w:hAnsi="Century Gothic" w:cs="Arial"/>
          <w:bCs/>
          <w:lang w:val="es-ES_tradnl" w:eastAsia="es-MX"/>
        </w:rPr>
        <w:t>. En consecuencia</w:t>
      </w:r>
      <w:bookmarkStart w:id="13" w:name="_Hlk64290904"/>
      <w:r w:rsidRPr="00130678">
        <w:rPr>
          <w:rFonts w:ascii="Century Gothic" w:hAnsi="Century Gothic" w:cs="Arial"/>
          <w:bCs/>
          <w:lang w:val="es-ES_tradnl" w:eastAsia="es-MX"/>
        </w:rPr>
        <w:t>, las condiciones establecidas en los documentos que adopte la Agencia, en ejercicio del mandato establecido en el artículo 1 de la Ley 2022 de 2020, son de obligatorio cumplimiento para las entidades sometidas al Estatuto General de Contratación de la Administración Pública que adelanten procesos que deban regirse por su contenido y, salvo que se permita expresamente, podrán variarse algunos de los requisitos fijados en ellos.</w:t>
      </w:r>
      <w:bookmarkEnd w:id="13"/>
      <w:r w:rsidRPr="00130678">
        <w:rPr>
          <w:rFonts w:ascii="Century Gothic" w:hAnsi="Century Gothic" w:cs="Arial"/>
          <w:bCs/>
          <w:lang w:val="es-ES_tradnl" w:eastAsia="es-MX"/>
        </w:rPr>
        <w:t xml:space="preserve"> </w:t>
      </w:r>
    </w:p>
    <w:p w14:paraId="1594F503" w14:textId="77777777" w:rsidR="009B7745" w:rsidRPr="00130678" w:rsidRDefault="009B7745" w:rsidP="009B7745">
      <w:pPr>
        <w:shd w:val="clear" w:color="auto" w:fill="FFFFFF" w:themeFill="background1"/>
        <w:spacing w:before="120" w:line="276" w:lineRule="auto"/>
        <w:ind w:firstLine="709"/>
        <w:jc w:val="both"/>
        <w:rPr>
          <w:rFonts w:ascii="Century Gothic" w:hAnsi="Century Gothic" w:cs="Arial"/>
          <w:bCs/>
          <w:lang w:val="es-ES_tradnl" w:eastAsia="es-MX"/>
        </w:rPr>
      </w:pPr>
      <w:r w:rsidRPr="00130678">
        <w:rPr>
          <w:rFonts w:ascii="Century Gothic" w:hAnsi="Century Gothic" w:cs="Arial"/>
          <w:bCs/>
          <w:lang w:val="es-ES_tradnl" w:eastAsia="es-MX"/>
        </w:rPr>
        <w:t xml:space="preserve">Finalmente, el artículo 4 consagra que la Resolución 358 del 30 de junio de 2023, rige a partir de su publicación y aplicará a la contratación directa de convenios solidarios para la ejecución de obras hasta la menor cuantía con Organismos de Acción Comunal. </w:t>
      </w:r>
    </w:p>
    <w:p w14:paraId="0E8841DE" w14:textId="77777777" w:rsidR="009B7745" w:rsidRDefault="009B7745" w:rsidP="009B7745">
      <w:pPr>
        <w:shd w:val="clear" w:color="auto" w:fill="FFFFFF" w:themeFill="background1"/>
        <w:spacing w:before="120" w:after="0" w:line="276" w:lineRule="auto"/>
        <w:ind w:firstLine="709"/>
        <w:jc w:val="both"/>
        <w:rPr>
          <w:rFonts w:ascii="Century Gothic" w:hAnsi="Century Gothic" w:cs="Arial"/>
          <w:color w:val="000000" w:themeColor="text1"/>
          <w:lang w:eastAsia="es-MX"/>
        </w:rPr>
      </w:pPr>
      <w:r w:rsidRPr="00130678">
        <w:rPr>
          <w:rFonts w:ascii="Century Gothic" w:hAnsi="Century Gothic" w:cs="Arial"/>
          <w:bCs/>
          <w:lang w:val="es-ES_tradnl" w:eastAsia="es-MX"/>
        </w:rPr>
        <w:t xml:space="preserve">Conforme al contenido de la Resolución 358 del 30 de junio de 2023, conviene precisar que los documentos tipo que se adoptan, son aquellos </w:t>
      </w:r>
      <w:r w:rsidRPr="00130678">
        <w:rPr>
          <w:rFonts w:ascii="Century Gothic" w:hAnsi="Century Gothic" w:cs="Arial"/>
          <w:lang w:eastAsia="es-MX"/>
        </w:rPr>
        <w:t>para la contratación directa de convenios solidarios para la ejecución de obras hasta la menor cuantía con Organismos de Acción Comunal explicado en el presente acápite 2</w:t>
      </w:r>
      <w:r w:rsidRPr="00130678">
        <w:rPr>
          <w:rFonts w:ascii="Century Gothic" w:hAnsi="Century Gothic" w:cs="Arial"/>
          <w:color w:val="000000" w:themeColor="text1"/>
          <w:lang w:eastAsia="es-MX"/>
        </w:rPr>
        <w:t>.</w:t>
      </w:r>
    </w:p>
    <w:p w14:paraId="1C53A9F5" w14:textId="77777777" w:rsidR="009B7745" w:rsidRPr="00C24A08" w:rsidRDefault="009B7745" w:rsidP="009B7745">
      <w:pPr>
        <w:shd w:val="clear" w:color="auto" w:fill="FFFFFF" w:themeFill="background1"/>
        <w:spacing w:before="120" w:after="0" w:line="276" w:lineRule="auto"/>
        <w:ind w:firstLine="709"/>
        <w:jc w:val="both"/>
        <w:rPr>
          <w:rFonts w:ascii="Century Gothic" w:hAnsi="Century Gothic" w:cs="Arial"/>
          <w:color w:val="000000" w:themeColor="text1"/>
          <w:lang w:eastAsia="es-MX"/>
        </w:rPr>
      </w:pPr>
    </w:p>
    <w:p w14:paraId="50ABDA58" w14:textId="77777777" w:rsidR="009B7745" w:rsidRDefault="009B7745" w:rsidP="009B7745">
      <w:pPr>
        <w:shd w:val="clear" w:color="auto" w:fill="FFFFFF" w:themeFill="background1"/>
        <w:spacing w:after="0" w:line="276" w:lineRule="auto"/>
        <w:jc w:val="both"/>
        <w:textAlignment w:val="baseline"/>
        <w:rPr>
          <w:rFonts w:ascii="Century Gothic" w:eastAsia="Calibri" w:hAnsi="Century Gothic" w:cs="Arial"/>
          <w:b/>
          <w:bCs/>
          <w:color w:val="000000" w:themeColor="text1"/>
        </w:rPr>
      </w:pPr>
      <w:r w:rsidRPr="00C24A08">
        <w:rPr>
          <w:rFonts w:ascii="Century Gothic" w:hAnsi="Century Gothic" w:cs="Arial"/>
          <w:b/>
          <w:bCs/>
          <w:lang w:eastAsia="es-MX"/>
        </w:rPr>
        <w:t>2.3. S</w:t>
      </w:r>
      <w:r w:rsidRPr="00C24A08">
        <w:rPr>
          <w:rFonts w:ascii="Century Gothic" w:eastAsia="Calibri" w:hAnsi="Century Gothic" w:cs="Arial"/>
          <w:b/>
          <w:bCs/>
          <w:color w:val="000000" w:themeColor="text1"/>
        </w:rPr>
        <w:t>upervisión o vigilancia de los contratos o convenios que celebren entidades estatales</w:t>
      </w:r>
      <w:r>
        <w:rPr>
          <w:rFonts w:ascii="Century Gothic" w:eastAsia="Calibri" w:hAnsi="Century Gothic" w:cs="Arial"/>
          <w:b/>
          <w:bCs/>
          <w:color w:val="000000" w:themeColor="text1"/>
        </w:rPr>
        <w:t>.</w:t>
      </w:r>
    </w:p>
    <w:p w14:paraId="6BE4409A" w14:textId="77777777" w:rsidR="009B7745" w:rsidRPr="00C24A08" w:rsidRDefault="009B7745" w:rsidP="009B7745">
      <w:pPr>
        <w:shd w:val="clear" w:color="auto" w:fill="FFFFFF" w:themeFill="background1"/>
        <w:spacing w:after="0" w:line="276" w:lineRule="auto"/>
        <w:jc w:val="both"/>
        <w:textAlignment w:val="baseline"/>
        <w:rPr>
          <w:rFonts w:ascii="Century Gothic" w:eastAsia="Calibri" w:hAnsi="Century Gothic" w:cs="Arial"/>
          <w:b/>
          <w:bCs/>
          <w:color w:val="000000" w:themeColor="text1"/>
        </w:rPr>
      </w:pPr>
    </w:p>
    <w:p w14:paraId="2E8F3D98" w14:textId="77777777" w:rsidR="009B7745" w:rsidRPr="00C24A08" w:rsidRDefault="009B7745" w:rsidP="009B7745">
      <w:pPr>
        <w:spacing w:after="0"/>
        <w:jc w:val="both"/>
        <w:rPr>
          <w:rFonts w:ascii="Century Gothic" w:hAnsi="Century Gothic" w:cs="Arial"/>
          <w:lang w:val="es-ES"/>
        </w:rPr>
      </w:pPr>
      <w:r w:rsidRPr="00C24A08">
        <w:rPr>
          <w:rFonts w:ascii="Century Gothic" w:hAnsi="Century Gothic" w:cs="Arial"/>
          <w:lang w:val="es-ES"/>
        </w:rPr>
        <w:t xml:space="preserve">De acuerdo con el principio de responsabilidad que rige la contratación estatal, las entidades públicas están obligadas a vigilar la correcta ejecución del objeto </w:t>
      </w:r>
      <w:r w:rsidRPr="00C24A08">
        <w:rPr>
          <w:rFonts w:ascii="Century Gothic" w:hAnsi="Century Gothic" w:cs="Arial"/>
          <w:lang w:val="es-ES"/>
        </w:rPr>
        <w:lastRenderedPageBreak/>
        <w:t>contratado y a proteger tanto los derechos de la propia entidad como los del contratista y terceros que puedan verse afectados por la ejecución del contrato</w:t>
      </w:r>
      <w:r w:rsidRPr="00C24A08">
        <w:rPr>
          <w:rFonts w:ascii="Century Gothic" w:hAnsi="Century Gothic" w:cs="Arial"/>
          <w:vertAlign w:val="superscript"/>
          <w:lang w:val="es-ES"/>
        </w:rPr>
        <w:footnoteReference w:id="23"/>
      </w:r>
      <w:r w:rsidRPr="00C24A08">
        <w:rPr>
          <w:rFonts w:ascii="Century Gothic" w:hAnsi="Century Gothic" w:cs="Arial"/>
          <w:lang w:val="es-ES"/>
        </w:rPr>
        <w:t>.</w:t>
      </w:r>
    </w:p>
    <w:p w14:paraId="483ACE8E" w14:textId="77777777" w:rsidR="009B7745" w:rsidRPr="00C24A08" w:rsidRDefault="009B7745" w:rsidP="009B7745">
      <w:pPr>
        <w:ind w:firstLine="708"/>
        <w:jc w:val="both"/>
        <w:rPr>
          <w:rFonts w:ascii="Century Gothic" w:hAnsi="Century Gothic" w:cs="Arial"/>
          <w:lang w:val="es-ES"/>
        </w:rPr>
      </w:pPr>
      <w:r w:rsidRPr="00C24A08">
        <w:rPr>
          <w:rFonts w:ascii="Century Gothic" w:hAnsi="Century Gothic" w:cs="Arial"/>
          <w:lang w:val="es-ES"/>
        </w:rPr>
        <w:t>La Ley 1474 de 2011</w:t>
      </w:r>
      <w:r w:rsidRPr="00C24A08">
        <w:rPr>
          <w:rFonts w:ascii="Century Gothic" w:hAnsi="Century Gothic" w:cs="Arial"/>
          <w:i/>
          <w:iCs/>
          <w:lang w:val="es-ES"/>
        </w:rPr>
        <w:t>, “por la cual se dictan normas orientadas a fortalecer los mecanismos de prevención, investigación y sanción de actos de corrupción y la efectividad del control de la gestión pública”,</w:t>
      </w:r>
      <w:r w:rsidRPr="00C24A08">
        <w:rPr>
          <w:rFonts w:ascii="Century Gothic" w:hAnsi="Century Gothic" w:cs="Arial"/>
          <w:lang w:val="es-ES"/>
        </w:rPr>
        <w:t xml:space="preserve"> obliga a las entidades públicas a vigilar la correcta ejecución del objeto contratado a través de las figuras de “supervisión” o de “interventoría”, con la finalidad de lograr la correcta ejecución del contrato y prevenir actos de corrupción que afecten la moralidad administrativa.</w:t>
      </w:r>
    </w:p>
    <w:p w14:paraId="1312EB5D" w14:textId="77777777" w:rsidR="009B7745" w:rsidRPr="00C24A08" w:rsidRDefault="009B7745" w:rsidP="009B7745">
      <w:pPr>
        <w:spacing w:line="276" w:lineRule="auto"/>
        <w:ind w:firstLine="708"/>
        <w:jc w:val="both"/>
        <w:rPr>
          <w:rFonts w:ascii="Century Gothic" w:hAnsi="Century Gothic" w:cs="Arial"/>
          <w:lang w:val="es-ES"/>
        </w:rPr>
      </w:pPr>
      <w:r w:rsidRPr="00C24A08">
        <w:rPr>
          <w:rFonts w:ascii="Century Gothic" w:hAnsi="Century Gothic" w:cs="Arial"/>
          <w:lang w:val="es-ES"/>
        </w:rPr>
        <w:t>En este sentido, el artículo 83 de la citada norma define la supervisión como el seguimiento técnico, administrativo, financiero, contable, y jurídico que debe ejercer la entidad contratante sobre el cumplimiento del objeto del contrato, cuando no se requiera un conocimiento especializado</w:t>
      </w:r>
      <w:r w:rsidRPr="00C24A08">
        <w:rPr>
          <w:rFonts w:ascii="Century Gothic" w:hAnsi="Century Gothic" w:cs="Arial"/>
          <w:vertAlign w:val="superscript"/>
          <w:lang w:val="es-ES"/>
        </w:rPr>
        <w:footnoteReference w:id="24"/>
      </w:r>
      <w:r w:rsidRPr="00C24A08">
        <w:rPr>
          <w:rFonts w:ascii="Century Gothic" w:hAnsi="Century Gothic" w:cs="Arial"/>
          <w:lang w:val="es-ES"/>
        </w:rPr>
        <w:t>.</w:t>
      </w:r>
    </w:p>
    <w:p w14:paraId="57DC1717" w14:textId="77777777" w:rsidR="009B7745" w:rsidRPr="00C24A08" w:rsidRDefault="009B7745" w:rsidP="009B7745">
      <w:pPr>
        <w:pStyle w:val="Sinespaciado"/>
        <w:spacing w:before="120" w:line="276" w:lineRule="auto"/>
        <w:ind w:firstLine="708"/>
        <w:jc w:val="both"/>
        <w:rPr>
          <w:rFonts w:ascii="Century Gothic" w:hAnsi="Century Gothic" w:cs="Arial"/>
          <w:bCs/>
          <w:color w:val="000000" w:themeColor="text1"/>
          <w:sz w:val="22"/>
        </w:rPr>
      </w:pPr>
      <w:r w:rsidRPr="00C24A08">
        <w:rPr>
          <w:rFonts w:ascii="Century Gothic" w:hAnsi="Century Gothic" w:cs="Arial"/>
          <w:bCs/>
          <w:color w:val="000000" w:themeColor="text1"/>
          <w:sz w:val="22"/>
        </w:rPr>
        <w:t>La obligación mencionada guarda relación con el principio de responsabilidad que rige la celebración y ejecución de los contratos estatales. Así, por ejemplo, los artículos 4, 5, 12, 14,26 y 32 de la Ley 80 de 1993 consagran normas relacionadas con el control y vigilancia de la ejecución de los contratos estatales. Estas disposiciones establecen, entre otros aspectos, la obligación de las entidades estatales de velar por el correcto y oportuno cumplimiento de las prestaciones del contrato o convenio, las especificaciones de los bienes, obras y servicios objeto de este, las condiciones de calidad ofrecidas, etc. Esta obligación se predica, en principio, del jefe o representante legal de la entidad, por tener la responsabilidad de la dirección y manejo de la actividad contractual, pero también de los servidores públicos que intervienen en ella. En ese sentido, las entidades estatales deben ejercer el control de la ejecución del contrato o convenio y, de ser el caso, tomar medidas para exigir el adecuado cumplimiento.</w:t>
      </w:r>
    </w:p>
    <w:p w14:paraId="316EB20F" w14:textId="77777777" w:rsidR="009B7745" w:rsidRPr="00C24A08" w:rsidRDefault="009B7745" w:rsidP="009B7745">
      <w:pPr>
        <w:pStyle w:val="Sinespaciado"/>
        <w:spacing w:before="120" w:line="276" w:lineRule="auto"/>
        <w:ind w:firstLine="708"/>
        <w:jc w:val="both"/>
        <w:rPr>
          <w:rFonts w:ascii="Century Gothic" w:hAnsi="Century Gothic" w:cs="Arial"/>
          <w:bCs/>
          <w:color w:val="000000" w:themeColor="text1"/>
          <w:sz w:val="22"/>
        </w:rPr>
      </w:pPr>
      <w:r w:rsidRPr="00C24A08">
        <w:rPr>
          <w:rFonts w:ascii="Century Gothic" w:hAnsi="Century Gothic" w:cs="Arial"/>
          <w:bCs/>
          <w:color w:val="000000" w:themeColor="text1"/>
          <w:sz w:val="22"/>
        </w:rPr>
        <w:t xml:space="preserve">Las Leyes 1150 de 2007 y 1474 de 2011 complementan el régimen jurídico de la obligación de vigilar la correcta ejecución de los contratos estatales. Allí se impone el debido proceso como principio rector en materia sancionatoria contractual, entre otros, para la imposición de multas y la decisión de hacer efectiva la cláusula penal; principio que se debe respetar en el ejercicio del control </w:t>
      </w:r>
      <w:r w:rsidRPr="00C24A08">
        <w:rPr>
          <w:rFonts w:ascii="Century Gothic" w:hAnsi="Century Gothic" w:cs="Arial"/>
          <w:bCs/>
          <w:color w:val="000000" w:themeColor="text1"/>
          <w:sz w:val="22"/>
        </w:rPr>
        <w:lastRenderedPageBreak/>
        <w:t>y vigilancia de la ejecución contractual</w:t>
      </w:r>
      <w:r w:rsidRPr="00C24A08">
        <w:rPr>
          <w:rStyle w:val="Refdenotaalpie"/>
          <w:rFonts w:ascii="Century Gothic" w:hAnsi="Century Gothic"/>
          <w:color w:val="000000" w:themeColor="text1"/>
          <w:sz w:val="22"/>
        </w:rPr>
        <w:footnoteReference w:id="25"/>
      </w:r>
      <w:r w:rsidRPr="00C24A08">
        <w:rPr>
          <w:rFonts w:ascii="Century Gothic" w:hAnsi="Century Gothic" w:cs="Arial"/>
          <w:bCs/>
          <w:color w:val="000000" w:themeColor="text1"/>
          <w:sz w:val="22"/>
        </w:rPr>
        <w:t>. También se establecen los límites de la responsabilidad del representante legal ante la delegación de sus funciones en materia contractual</w:t>
      </w:r>
      <w:r w:rsidRPr="00C24A08">
        <w:rPr>
          <w:rStyle w:val="Refdenotaalpie"/>
          <w:rFonts w:ascii="Century Gothic" w:hAnsi="Century Gothic"/>
          <w:color w:val="000000" w:themeColor="text1"/>
          <w:sz w:val="22"/>
        </w:rPr>
        <w:footnoteReference w:id="26"/>
      </w:r>
      <w:r w:rsidRPr="00C24A08">
        <w:rPr>
          <w:rFonts w:ascii="Century Gothic" w:hAnsi="Century Gothic" w:cs="Arial"/>
          <w:bCs/>
          <w:color w:val="000000" w:themeColor="text1"/>
          <w:sz w:val="22"/>
        </w:rPr>
        <w:t xml:space="preserve"> y se regula la supervisión y la interventoría de los contratos estatales</w:t>
      </w:r>
      <w:r w:rsidRPr="00C24A08">
        <w:rPr>
          <w:rStyle w:val="Refdenotaalpie"/>
          <w:rFonts w:ascii="Century Gothic" w:hAnsi="Century Gothic"/>
          <w:color w:val="000000" w:themeColor="text1"/>
          <w:sz w:val="22"/>
        </w:rPr>
        <w:footnoteReference w:id="27"/>
      </w:r>
      <w:r w:rsidRPr="00C24A08">
        <w:rPr>
          <w:rFonts w:ascii="Century Gothic" w:hAnsi="Century Gothic" w:cs="Arial"/>
          <w:bCs/>
          <w:color w:val="000000" w:themeColor="text1"/>
          <w:sz w:val="22"/>
        </w:rPr>
        <w:t xml:space="preserve">. </w:t>
      </w:r>
    </w:p>
    <w:p w14:paraId="7EB1C815" w14:textId="77777777" w:rsidR="009B7745" w:rsidRPr="00C24A08" w:rsidRDefault="009B7745" w:rsidP="009B7745">
      <w:pPr>
        <w:pStyle w:val="Sinespaciado"/>
        <w:spacing w:before="120" w:line="276" w:lineRule="auto"/>
        <w:ind w:firstLine="708"/>
        <w:jc w:val="both"/>
        <w:rPr>
          <w:rFonts w:ascii="Century Gothic" w:hAnsi="Century Gothic" w:cs="Arial"/>
          <w:bCs/>
          <w:color w:val="000000" w:themeColor="text1"/>
          <w:sz w:val="22"/>
        </w:rPr>
      </w:pPr>
      <w:r w:rsidRPr="00C24A08">
        <w:rPr>
          <w:rFonts w:ascii="Century Gothic" w:hAnsi="Century Gothic" w:cs="Arial"/>
          <w:sz w:val="22"/>
          <w:lang w:val="es-ES"/>
        </w:rPr>
        <w:t xml:space="preserve">De conformidad con lo anterior, en la sentencia del Consejo de Estado, Sala de lo Contencioso Administrativo, Sección Tercera, Subsección B, radicado No. 25-000-23-26- 000-1996-13019-01(27.426), del 12 de diciembre de 2014, consejero </w:t>
      </w:r>
      <w:r>
        <w:rPr>
          <w:rFonts w:ascii="Century Gothic" w:hAnsi="Century Gothic" w:cs="Arial"/>
          <w:sz w:val="22"/>
          <w:lang w:val="es-ES"/>
        </w:rPr>
        <w:t>p</w:t>
      </w:r>
      <w:r w:rsidRPr="00C24A08">
        <w:rPr>
          <w:rFonts w:ascii="Century Gothic" w:hAnsi="Century Gothic" w:cs="Arial"/>
          <w:sz w:val="22"/>
          <w:lang w:val="es-ES"/>
        </w:rPr>
        <w:t>onente</w:t>
      </w:r>
      <w:r>
        <w:rPr>
          <w:rFonts w:ascii="Century Gothic" w:hAnsi="Century Gothic" w:cs="Arial"/>
          <w:sz w:val="22"/>
          <w:lang w:val="es-ES"/>
        </w:rPr>
        <w:t>:</w:t>
      </w:r>
      <w:r w:rsidRPr="00C24A08">
        <w:rPr>
          <w:rFonts w:ascii="Century Gothic" w:hAnsi="Century Gothic" w:cs="Arial"/>
          <w:sz w:val="22"/>
          <w:lang w:val="es-ES"/>
        </w:rPr>
        <w:t xml:space="preserve"> Ramiro de Jesús Pazos Guerrero, expresó que la supervisión está dirigida a controlar y vigilar la correcta ejecución de las obligaciones contractuales.</w:t>
      </w:r>
    </w:p>
    <w:p w14:paraId="0555B748" w14:textId="77777777" w:rsidR="009B7745" w:rsidRPr="00C24A08" w:rsidRDefault="009B7745" w:rsidP="009B7745">
      <w:pPr>
        <w:pStyle w:val="Sinespaciado"/>
        <w:spacing w:before="120" w:line="276" w:lineRule="auto"/>
        <w:ind w:firstLine="709"/>
        <w:jc w:val="both"/>
        <w:rPr>
          <w:rFonts w:ascii="Century Gothic" w:hAnsi="Century Gothic" w:cs="Arial"/>
          <w:color w:val="000000" w:themeColor="text1"/>
          <w:sz w:val="22"/>
        </w:rPr>
      </w:pPr>
      <w:r w:rsidRPr="00C24A08">
        <w:rPr>
          <w:rFonts w:ascii="Century Gothic" w:hAnsi="Century Gothic" w:cs="Arial"/>
          <w:color w:val="000000" w:themeColor="text1"/>
          <w:sz w:val="22"/>
        </w:rPr>
        <w:t>Según lo expresado por esta Agencia</w:t>
      </w:r>
      <w:r w:rsidRPr="00C24A08">
        <w:rPr>
          <w:rStyle w:val="Refdenotaalpie"/>
          <w:rFonts w:ascii="Century Gothic" w:hAnsi="Century Gothic"/>
          <w:color w:val="000000" w:themeColor="text1"/>
          <w:sz w:val="22"/>
        </w:rPr>
        <w:footnoteReference w:id="28"/>
      </w:r>
      <w:r w:rsidRPr="00C24A08">
        <w:rPr>
          <w:rFonts w:ascii="Century Gothic" w:hAnsi="Century Gothic" w:cs="Arial"/>
          <w:color w:val="000000" w:themeColor="text1"/>
          <w:sz w:val="22"/>
        </w:rPr>
        <w:t>, de las disposiciones contenidas en la Ley 1474 de 2011 se infieren las siguientes características, en relación con la supervisión: i) siempre existirá en relación con cualquier contrato estatal (lo que incluye a los convenios)―a diferencia de la interventoría que depende del análisis de su necesidad y extensión</w:t>
      </w:r>
      <w:r w:rsidRPr="00C24A08">
        <w:rPr>
          <w:rFonts w:ascii="Century Gothic" w:hAnsi="Century Gothic"/>
          <w:color w:val="000000" w:themeColor="text1"/>
          <w:sz w:val="22"/>
          <w:vertAlign w:val="superscript"/>
        </w:rPr>
        <w:footnoteReference w:id="29"/>
      </w:r>
      <w:r w:rsidRPr="00C24A08">
        <w:rPr>
          <w:rFonts w:ascii="Century Gothic" w:hAnsi="Century Gothic" w:cs="Arial"/>
          <w:color w:val="000000" w:themeColor="text1"/>
          <w:sz w:val="22"/>
        </w:rPr>
        <w:t xml:space="preserve">―; </w:t>
      </w:r>
      <w:proofErr w:type="spellStart"/>
      <w:r w:rsidRPr="00C24A08">
        <w:rPr>
          <w:rFonts w:ascii="Century Gothic" w:hAnsi="Century Gothic" w:cs="Arial"/>
          <w:color w:val="000000" w:themeColor="text1"/>
          <w:sz w:val="22"/>
        </w:rPr>
        <w:t>ii</w:t>
      </w:r>
      <w:proofErr w:type="spellEnd"/>
      <w:r w:rsidRPr="00C24A08">
        <w:rPr>
          <w:rFonts w:ascii="Century Gothic" w:hAnsi="Century Gothic" w:cs="Arial"/>
          <w:color w:val="000000" w:themeColor="text1"/>
          <w:sz w:val="22"/>
        </w:rPr>
        <w:t xml:space="preserve">) no requiere conocimientos tan especializados como la interventoría; </w:t>
      </w:r>
      <w:proofErr w:type="spellStart"/>
      <w:r w:rsidRPr="00C24A08">
        <w:rPr>
          <w:rFonts w:ascii="Century Gothic" w:hAnsi="Century Gothic" w:cs="Arial"/>
          <w:color w:val="000000" w:themeColor="text1"/>
          <w:sz w:val="22"/>
        </w:rPr>
        <w:t>iii</w:t>
      </w:r>
      <w:proofErr w:type="spellEnd"/>
      <w:r w:rsidRPr="00C24A08">
        <w:rPr>
          <w:rFonts w:ascii="Century Gothic" w:hAnsi="Century Gothic" w:cs="Arial"/>
          <w:color w:val="000000" w:themeColor="text1"/>
          <w:sz w:val="22"/>
        </w:rPr>
        <w:t xml:space="preserve">) se ejerce por la Entidad Estatal por conducto de la designación de servidores públicos idóneos para cumplir la función; </w:t>
      </w:r>
      <w:proofErr w:type="spellStart"/>
      <w:r w:rsidRPr="00C24A08">
        <w:rPr>
          <w:rFonts w:ascii="Century Gothic" w:hAnsi="Century Gothic" w:cs="Arial"/>
          <w:color w:val="000000" w:themeColor="text1"/>
          <w:sz w:val="22"/>
        </w:rPr>
        <w:t>iv</w:t>
      </w:r>
      <w:proofErr w:type="spellEnd"/>
      <w:r w:rsidRPr="00C24A08">
        <w:rPr>
          <w:rFonts w:ascii="Century Gothic" w:hAnsi="Century Gothic" w:cs="Arial"/>
          <w:color w:val="000000" w:themeColor="text1"/>
          <w:sz w:val="22"/>
        </w:rPr>
        <w:t>) puede recibir apoyo de personal contratado mediante contratos de prestación de servicios; v) le es inherente el seguimiento técnico, administrativo, financiero, contable y jurídico del contrato vigilado.</w:t>
      </w:r>
    </w:p>
    <w:p w14:paraId="4464FD21" w14:textId="77777777" w:rsidR="009B7745" w:rsidRPr="00C24A08" w:rsidRDefault="009B7745" w:rsidP="009B7745">
      <w:pPr>
        <w:pStyle w:val="Sinespaciado"/>
        <w:spacing w:before="120" w:line="276" w:lineRule="auto"/>
        <w:ind w:firstLine="709"/>
        <w:jc w:val="both"/>
        <w:rPr>
          <w:rFonts w:ascii="Century Gothic" w:eastAsia="Calibri" w:hAnsi="Century Gothic" w:cs="Arial"/>
          <w:sz w:val="22"/>
        </w:rPr>
      </w:pPr>
      <w:r w:rsidRPr="00C24A08">
        <w:rPr>
          <w:rFonts w:ascii="Century Gothic" w:eastAsia="Calibri" w:hAnsi="Century Gothic" w:cs="Arial"/>
          <w:sz w:val="22"/>
        </w:rPr>
        <w:t xml:space="preserve">Asimismo, esta Agencia ha indicado que la labor de supervisar debe ir dirigida a verificar el cumplimiento de las condiciones pactadas en los contratos o convenios, por lo que las entidades estatales están facultadas para solicitar informes, aclaraciones y explicaciones sobre el desarrollo de la ejecución contractual, impartir instrucciones y hacer recomendaciones encaminadas a lograr la correcta ejecución del objeto contractual. De hecho, conforme a lo manifestado por esta Agencia en la </w:t>
      </w:r>
      <w:r w:rsidRPr="00C24A08">
        <w:rPr>
          <w:rFonts w:ascii="Century Gothic" w:eastAsia="Calibri" w:hAnsi="Century Gothic" w:cs="Arial"/>
        </w:rPr>
        <w:t>“</w:t>
      </w:r>
      <w:r w:rsidRPr="00C24A08">
        <w:rPr>
          <w:rFonts w:ascii="Century Gothic" w:eastAsia="Calibri" w:hAnsi="Century Gothic" w:cs="Arial"/>
          <w:sz w:val="22"/>
        </w:rPr>
        <w:t>Guía para el ejercicio de las funciones de supervisión e interventoría de los contratos del Estado</w:t>
      </w:r>
      <w:r w:rsidRPr="00C24A08">
        <w:rPr>
          <w:rFonts w:ascii="Century Gothic" w:eastAsia="Calibri" w:hAnsi="Century Gothic" w:cs="Arial"/>
        </w:rPr>
        <w:t>”</w:t>
      </w:r>
      <w:r w:rsidRPr="00C24A08">
        <w:rPr>
          <w:rFonts w:ascii="Century Gothic" w:eastAsia="Calibri" w:hAnsi="Century Gothic" w:cs="Arial"/>
          <w:sz w:val="22"/>
        </w:rPr>
        <w:t xml:space="preserve">, los supervisores e interventores tienen funciones generales como: </w:t>
      </w:r>
    </w:p>
    <w:p w14:paraId="714FA8C3" w14:textId="77777777" w:rsidR="009B7745" w:rsidRPr="00C24A08" w:rsidRDefault="009B7745" w:rsidP="009B7745">
      <w:pPr>
        <w:pStyle w:val="Sinespaciado"/>
        <w:spacing w:before="120" w:line="276" w:lineRule="auto"/>
        <w:ind w:firstLine="709"/>
        <w:jc w:val="both"/>
        <w:rPr>
          <w:rFonts w:ascii="Century Gothic" w:eastAsia="Calibri" w:hAnsi="Century Gothic" w:cs="Arial"/>
          <w:sz w:val="22"/>
        </w:rPr>
      </w:pPr>
    </w:p>
    <w:p w14:paraId="180A2F83"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Apoyar el logro de los objetivos contractuales. </w:t>
      </w:r>
    </w:p>
    <w:p w14:paraId="59CD7301"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lastRenderedPageBreak/>
        <w:t xml:space="preserve">• </w:t>
      </w:r>
      <w:r w:rsidRPr="00C24A08">
        <w:rPr>
          <w:rFonts w:ascii="Century Gothic" w:hAnsi="Century Gothic" w:cs="Arial"/>
          <w:i/>
          <w:iCs/>
          <w:sz w:val="21"/>
          <w:szCs w:val="21"/>
        </w:rPr>
        <w:t>Velar por el cumplimiento del contrato en términos de plazos, calidades, cantidades y adecuada ejecución de los recursos del contrato.</w:t>
      </w:r>
      <w:r w:rsidRPr="00C24A08">
        <w:rPr>
          <w:rFonts w:ascii="Century Gothic" w:hAnsi="Century Gothic" w:cs="Arial"/>
          <w:sz w:val="21"/>
          <w:szCs w:val="21"/>
        </w:rPr>
        <w:t xml:space="preserve"> </w:t>
      </w:r>
    </w:p>
    <w:p w14:paraId="39C1D2F7"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w:t>
      </w:r>
      <w:r w:rsidRPr="00C24A08">
        <w:rPr>
          <w:rFonts w:ascii="Century Gothic" w:hAnsi="Century Gothic" w:cs="Arial"/>
          <w:i/>
          <w:iCs/>
          <w:sz w:val="21"/>
          <w:szCs w:val="21"/>
        </w:rPr>
        <w:t>Mantener en contacto a las partes del contrato.</w:t>
      </w:r>
      <w:r w:rsidRPr="00C24A08">
        <w:rPr>
          <w:rFonts w:ascii="Century Gothic" w:hAnsi="Century Gothic" w:cs="Arial"/>
          <w:sz w:val="21"/>
          <w:szCs w:val="21"/>
        </w:rPr>
        <w:t xml:space="preserve"> </w:t>
      </w:r>
    </w:p>
    <w:p w14:paraId="5BC73342"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Evitar la generación de controversias y propender por su rápida solución. </w:t>
      </w:r>
    </w:p>
    <w:p w14:paraId="0406498A" w14:textId="77777777" w:rsidR="009B7745" w:rsidRPr="00C24A08" w:rsidRDefault="009B7745" w:rsidP="009B7745">
      <w:pPr>
        <w:spacing w:line="240" w:lineRule="auto"/>
        <w:ind w:left="709" w:right="709"/>
        <w:jc w:val="both"/>
        <w:rPr>
          <w:rFonts w:ascii="Century Gothic" w:eastAsia="Calibri" w:hAnsi="Century Gothic" w:cs="Arial"/>
          <w:sz w:val="21"/>
          <w:szCs w:val="21"/>
        </w:rPr>
      </w:pPr>
      <w:r w:rsidRPr="00C24A08">
        <w:rPr>
          <w:rFonts w:ascii="Century Gothic" w:hAnsi="Century Gothic" w:cs="Arial"/>
          <w:sz w:val="21"/>
          <w:szCs w:val="21"/>
        </w:rPr>
        <w:t>• Solicitar informes, llevar a cabo reuniones, integrar comités y desarrollar otras herramientas encaminadas a verificar la adecuada ejecución del contrato.</w:t>
      </w:r>
    </w:p>
    <w:p w14:paraId="003FEF74"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Llevar a cabo las labores de monitoreo y control de riesgos que se le asignen, en coordinación con el área responsable de cada riesgo incluido en el mapa correspondiente, así como la identificación y tratamiento de los riesgos que puedan surgir durante las diversas etapas del contrato. </w:t>
      </w:r>
    </w:p>
    <w:p w14:paraId="2FD1F116"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w:t>
      </w:r>
      <w:r w:rsidRPr="00C24A08">
        <w:rPr>
          <w:rFonts w:ascii="Century Gothic" w:hAnsi="Century Gothic" w:cs="Arial"/>
          <w:i/>
          <w:iCs/>
          <w:sz w:val="21"/>
          <w:szCs w:val="21"/>
        </w:rPr>
        <w:t>Aprobar o rechazar por escrito, de forma oportuna y motivada la entrega de los bienes o servicios, cuando éstos no se ajustan a lo requerido en el contrato, especificaciones técnicas, condiciones y/o calidades acordadas.</w:t>
      </w:r>
      <w:r w:rsidRPr="00C24A08">
        <w:rPr>
          <w:rFonts w:ascii="Century Gothic" w:hAnsi="Century Gothic" w:cs="Arial"/>
          <w:sz w:val="21"/>
          <w:szCs w:val="21"/>
        </w:rPr>
        <w:t xml:space="preserve"> </w:t>
      </w:r>
    </w:p>
    <w:p w14:paraId="241A9876"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i/>
          <w:iCs/>
          <w:sz w:val="21"/>
          <w:szCs w:val="21"/>
        </w:rPr>
        <w:t>• Suscribir las actas que se generen durante la ejecución del contrato para dejar documentadas diversas situaciones y entre las que se encuentran: actas de actas parciales de avance, actas parciales de recibo y actas de recibo final</w:t>
      </w:r>
      <w:r w:rsidRPr="00C24A08">
        <w:rPr>
          <w:rFonts w:ascii="Century Gothic" w:hAnsi="Century Gothic" w:cs="Arial"/>
          <w:sz w:val="21"/>
          <w:szCs w:val="21"/>
        </w:rPr>
        <w:t xml:space="preserve">. </w:t>
      </w:r>
    </w:p>
    <w:p w14:paraId="2B57A2F6" w14:textId="77777777" w:rsidR="009B7745" w:rsidRPr="00C24A08" w:rsidRDefault="009B7745" w:rsidP="009B7745">
      <w:pPr>
        <w:spacing w:line="240" w:lineRule="auto"/>
        <w:ind w:left="709" w:right="709"/>
        <w:jc w:val="both"/>
        <w:rPr>
          <w:rFonts w:ascii="Century Gothic" w:hAnsi="Century Gothic" w:cs="Arial"/>
          <w:sz w:val="21"/>
          <w:szCs w:val="21"/>
        </w:rPr>
      </w:pPr>
      <w:r w:rsidRPr="00C24A08">
        <w:rPr>
          <w:rFonts w:ascii="Century Gothic" w:hAnsi="Century Gothic" w:cs="Arial"/>
          <w:sz w:val="21"/>
          <w:szCs w:val="21"/>
        </w:rPr>
        <w:t xml:space="preserve">• Informar a la Entidad Estatal de hechos o circunstancias que puedan constituir actos de corrupción tipificados como conductas punibles, o que pongan en riesgo el cumplimiento del contrato; así como entregar los soportes necesarios para que la Entidad Estatal desarrolle las actividades correspondientes. </w:t>
      </w:r>
    </w:p>
    <w:p w14:paraId="5C1384C4" w14:textId="77777777" w:rsidR="009B7745" w:rsidRPr="00C24A08" w:rsidRDefault="009B7745" w:rsidP="009B7745">
      <w:pPr>
        <w:spacing w:line="240" w:lineRule="auto"/>
        <w:ind w:left="709" w:right="709"/>
        <w:jc w:val="both"/>
        <w:rPr>
          <w:rFonts w:ascii="Century Gothic" w:eastAsia="Calibri" w:hAnsi="Century Gothic" w:cs="Arial"/>
          <w:sz w:val="21"/>
          <w:szCs w:val="21"/>
        </w:rPr>
      </w:pPr>
      <w:r w:rsidRPr="00C24A08">
        <w:rPr>
          <w:rFonts w:ascii="Century Gothic" w:hAnsi="Century Gothic" w:cs="Arial"/>
          <w:sz w:val="21"/>
          <w:szCs w:val="21"/>
        </w:rPr>
        <w:t xml:space="preserve">• Informar a la Entidad Estatal cuando se presente incumplimiento contractual; así como entregar los soportes necesarios para que la Entidad Estatal desarrolle las actividades correspondientes.” (Énfasis fuera de texto). </w:t>
      </w:r>
    </w:p>
    <w:p w14:paraId="73D94564" w14:textId="77777777" w:rsidR="009B7745" w:rsidRPr="00C24A08" w:rsidRDefault="009B7745" w:rsidP="009B7745">
      <w:pPr>
        <w:ind w:firstLine="708"/>
        <w:jc w:val="both"/>
        <w:rPr>
          <w:rFonts w:ascii="Century Gothic" w:hAnsi="Century Gothic" w:cs="Arial"/>
          <w:bCs/>
          <w:lang w:val="es-ES_tradnl"/>
        </w:rPr>
      </w:pPr>
      <w:r w:rsidRPr="00C24A08">
        <w:rPr>
          <w:rFonts w:ascii="Century Gothic" w:eastAsia="Calibri" w:hAnsi="Century Gothic" w:cs="Arial"/>
        </w:rPr>
        <w:t>Según se desprende del apartado en cita, el ejercicio de la vigilancia de la ejecución del contrato estatal conlleva la tarea de velar por el cumplimiento de los plazos, calidades, cantidades y adecuada ejecución de los recursos del contrato.</w:t>
      </w:r>
      <w:r w:rsidRPr="00C24A08">
        <w:rPr>
          <w:rFonts w:ascii="Century Gothic" w:hAnsi="Century Gothic" w:cs="Arial"/>
          <w:bCs/>
          <w:lang w:val="es-ES_tradnl"/>
        </w:rPr>
        <w:t xml:space="preserve"> En ese sentido, conforme el numeral 6 del artículo 54 de la Ley 1952 de 2019, el supervisor del contrato será responsable por omisión de sus funciones legales.</w:t>
      </w:r>
    </w:p>
    <w:p w14:paraId="714806A2" w14:textId="77777777" w:rsidR="009B7745" w:rsidRPr="00C24A08" w:rsidRDefault="009B7745" w:rsidP="009B7745">
      <w:pPr>
        <w:spacing w:before="120" w:line="276" w:lineRule="auto"/>
        <w:ind w:firstLine="709"/>
        <w:jc w:val="both"/>
        <w:rPr>
          <w:rFonts w:ascii="Century Gothic" w:hAnsi="Century Gothic" w:cs="Arial"/>
        </w:rPr>
      </w:pPr>
      <w:r w:rsidRPr="00C24A08">
        <w:rPr>
          <w:rFonts w:ascii="Century Gothic" w:hAnsi="Century Gothic" w:cs="Arial"/>
          <w:lang w:val="es-ES_tradnl"/>
        </w:rPr>
        <w:lastRenderedPageBreak/>
        <w:t xml:space="preserve">Ahora bien, frente a los convenios solidarios suscrito con Organismos de Acción Comunal,  no cabe duda que las Entidades Estatales que lo suscriban les asiste el deber de </w:t>
      </w:r>
      <w:r w:rsidRPr="00C24A08">
        <w:rPr>
          <w:rFonts w:ascii="Century Gothic" w:hAnsi="Century Gothic" w:cs="Arial"/>
          <w:lang w:val="es-ES"/>
        </w:rPr>
        <w:t xml:space="preserve">vigilar la correcta ejecución del objeto acordado y a proteger tanto los derechos de la propia entidad como los del Organismo y terceros que puedan verse afectados por la ejecución del dicho convenio, sin importar el régimen jurídico que les aplique, para lo cual deberá contar o disponer de servidores públicos o contratistas que cuenten con la idoneidad técnica, administrativa y contable para de vigilar el cumplimiento de las obligaciones pactadas por las partes y apoyar al Organismo de Acción Comunal, en la ejecución de las obras. </w:t>
      </w:r>
    </w:p>
    <w:p w14:paraId="7333780C" w14:textId="77777777" w:rsidR="009B7745" w:rsidRDefault="009B7745" w:rsidP="009B7745">
      <w:pPr>
        <w:spacing w:after="0" w:line="276" w:lineRule="auto"/>
        <w:ind w:firstLine="708"/>
        <w:jc w:val="both"/>
        <w:rPr>
          <w:rFonts w:ascii="Century Gothic" w:hAnsi="Century Gothic" w:cs="Arial"/>
          <w:bCs/>
          <w:lang w:val="es-ES_tradnl"/>
        </w:rPr>
      </w:pPr>
      <w:r w:rsidRPr="00C24A08">
        <w:rPr>
          <w:rFonts w:ascii="Century Gothic" w:hAnsi="Century Gothic" w:cs="Arial"/>
          <w:lang w:val="es-ES_tradnl"/>
        </w:rPr>
        <w:t>Igualmente, resulta importante aclarar, sin perjuicio de la supervisión ejercida directamente por la Entidad Estatal, frente a los convenios solidarios cuyo objeto sea exclusivamente la ejecución de obras hasta por la menor cuantía, no le asiste a la Entidad Estatal la obligación de contratar un tercero interventor de conformidad con el numeral 1 del artículo 32 de la Ley 80 de 1993 y el parágrafo 1 del artículo 83 de la Ley 1474 de 2011, pues este sólo es obligatorio en obras cuya contratación se origine de procesos de selección por licitación pública, sin embargo, en caso de considerarlo necesario</w:t>
      </w:r>
      <w:r>
        <w:rPr>
          <w:rFonts w:ascii="Century Gothic" w:hAnsi="Century Gothic" w:cs="Arial"/>
          <w:lang w:val="es-ES_tradnl"/>
        </w:rPr>
        <w:t xml:space="preserve"> o que no cuenten con el profesional idóneo para realizar la supervisión del convenio</w:t>
      </w:r>
      <w:r w:rsidRPr="00C24A08">
        <w:rPr>
          <w:rFonts w:ascii="Century Gothic" w:hAnsi="Century Gothic" w:cs="Arial"/>
          <w:lang w:val="es-ES_tradnl"/>
        </w:rPr>
        <w:t>, las entidades estatales se encuentran facultadas para contratarlos</w:t>
      </w:r>
      <w:r w:rsidRPr="00C24A08">
        <w:rPr>
          <w:rFonts w:ascii="Century Gothic" w:hAnsi="Century Gothic" w:cs="Arial"/>
          <w:bCs/>
          <w:lang w:val="es-ES_tradnl"/>
        </w:rPr>
        <w:t xml:space="preserve"> debida justificación en los documentos precontractuales.</w:t>
      </w:r>
    </w:p>
    <w:p w14:paraId="189166AA" w14:textId="77777777" w:rsidR="009B7745" w:rsidRPr="00C24A08" w:rsidRDefault="009B7745" w:rsidP="009B7745">
      <w:pPr>
        <w:spacing w:after="0" w:line="276" w:lineRule="auto"/>
        <w:ind w:firstLine="708"/>
        <w:jc w:val="both"/>
        <w:rPr>
          <w:rFonts w:ascii="Century Gothic" w:hAnsi="Century Gothic" w:cs="Arial"/>
          <w:bCs/>
          <w:lang w:val="es-ES_tradnl"/>
        </w:rPr>
      </w:pPr>
    </w:p>
    <w:p w14:paraId="1D1C3671" w14:textId="77777777" w:rsidR="009B7745" w:rsidRDefault="009B7745" w:rsidP="009B7745">
      <w:pPr>
        <w:spacing w:before="120" w:after="0" w:line="276" w:lineRule="auto"/>
        <w:jc w:val="both"/>
        <w:rPr>
          <w:rFonts w:ascii="Century Gothic" w:eastAsia="Calibri" w:hAnsi="Century Gothic" w:cs="Arial"/>
          <w:b/>
          <w:color w:val="000000"/>
          <w:lang w:val="es-ES_tradnl"/>
        </w:rPr>
      </w:pPr>
      <w:r w:rsidRPr="00C24A08">
        <w:rPr>
          <w:rFonts w:ascii="Century Gothic" w:eastAsia="Calibri" w:hAnsi="Century Gothic" w:cs="Arial"/>
          <w:b/>
          <w:lang w:val="es-MX"/>
        </w:rPr>
        <w:t xml:space="preserve">2.4. </w:t>
      </w:r>
      <w:bookmarkStart w:id="14" w:name="_Hlk136333989"/>
      <w:r w:rsidRPr="00C24A08">
        <w:rPr>
          <w:rFonts w:ascii="Century Gothic" w:eastAsia="Calibri" w:hAnsi="Century Gothic" w:cs="Arial"/>
          <w:b/>
          <w:color w:val="000000"/>
          <w:lang w:val="es-ES_tradnl"/>
        </w:rPr>
        <w:t>Sujetos obligados a publicar sus actuaciones contractuales en el Sistema Electrónico de la Contratación Pública – SECOP</w:t>
      </w:r>
      <w:bookmarkEnd w:id="14"/>
      <w:r>
        <w:rPr>
          <w:rFonts w:ascii="Century Gothic" w:eastAsia="Calibri" w:hAnsi="Century Gothic" w:cs="Arial"/>
          <w:b/>
          <w:color w:val="000000"/>
          <w:lang w:val="es-ES_tradnl"/>
        </w:rPr>
        <w:t>.</w:t>
      </w:r>
    </w:p>
    <w:p w14:paraId="5E6146BE" w14:textId="77777777" w:rsidR="009B7745" w:rsidRPr="00C24A08" w:rsidRDefault="009B7745" w:rsidP="009B7745">
      <w:pPr>
        <w:spacing w:before="120" w:after="0" w:line="276" w:lineRule="auto"/>
        <w:jc w:val="both"/>
        <w:rPr>
          <w:rFonts w:ascii="Century Gothic" w:eastAsia="Calibri" w:hAnsi="Century Gothic" w:cs="Arial"/>
          <w:b/>
          <w:color w:val="000000"/>
          <w:lang w:val="es-ES_tradnl"/>
        </w:rPr>
      </w:pPr>
    </w:p>
    <w:p w14:paraId="54E3E1FB" w14:textId="77777777" w:rsidR="009B7745" w:rsidRPr="00C24A08" w:rsidRDefault="009B7745" w:rsidP="009B7745">
      <w:pPr>
        <w:spacing w:before="120" w:after="0" w:line="276" w:lineRule="auto"/>
        <w:jc w:val="both"/>
        <w:rPr>
          <w:rFonts w:ascii="Century Gothic" w:eastAsia="Calibri" w:hAnsi="Century Gothic" w:cs="Arial"/>
          <w:b/>
          <w:color w:val="000000"/>
          <w:lang w:val="es-ES_tradnl"/>
        </w:rPr>
      </w:pPr>
      <w:r w:rsidRPr="00C24A08">
        <w:rPr>
          <w:rFonts w:ascii="Century Gothic" w:eastAsia="Calibri" w:hAnsi="Century Gothic" w:cs="Arial"/>
          <w:color w:val="000000"/>
          <w:kern w:val="2"/>
          <w14:ligatures w14:val="standardContextual"/>
        </w:rPr>
        <w:t xml:space="preserve">Uno de los postulados más importantes del Estado Social y Democrático de Derecho es el principio de </w:t>
      </w:r>
      <w:r w:rsidRPr="00C24A08">
        <w:rPr>
          <w:rFonts w:ascii="Century Gothic" w:eastAsia="Calibri" w:hAnsi="Century Gothic" w:cs="Arial"/>
          <w:i/>
          <w:iCs/>
          <w:color w:val="000000"/>
          <w:kern w:val="2"/>
          <w14:ligatures w14:val="standardContextual"/>
        </w:rPr>
        <w:t xml:space="preserve">publicidad, </w:t>
      </w:r>
      <w:r w:rsidRPr="00C24A08">
        <w:rPr>
          <w:rFonts w:ascii="Century Gothic" w:eastAsia="Calibri" w:hAnsi="Century Gothic" w:cs="Arial"/>
          <w:color w:val="000000"/>
          <w:kern w:val="2"/>
          <w14:ligatures w14:val="standardContextual"/>
        </w:rPr>
        <w:t>pues este permite que las actuaciones de las autoridades gocen de visibilidad. En tal sentido, la filosofía política explica que la democracia “[…] es idealmente el gobierno de un poder visible, es decir, el gobierno cuyos actos se realizan ante el público y bajo la supervisión de la opinión pública</w:t>
      </w:r>
      <w:r w:rsidRPr="00C24A08">
        <w:rPr>
          <w:rFonts w:ascii="Century Gothic" w:eastAsia="Calibri" w:hAnsi="Century Gothic" w:cs="Arial"/>
          <w:color w:val="000000"/>
          <w:kern w:val="2"/>
          <w:vertAlign w:val="superscript"/>
          <w:lang w:val="es-ES_tradnl"/>
          <w14:ligatures w14:val="standardContextual"/>
        </w:rPr>
        <w:footnoteReference w:id="30"/>
      </w:r>
      <w:r w:rsidRPr="00C24A08">
        <w:rPr>
          <w:rFonts w:ascii="Century Gothic" w:eastAsia="Calibri" w:hAnsi="Century Gothic" w:cs="Arial"/>
          <w:color w:val="000000"/>
          <w:kern w:val="2"/>
          <w14:ligatures w14:val="standardContextual"/>
        </w:rPr>
        <w:t>”</w:t>
      </w:r>
      <w:r w:rsidRPr="00C24A08">
        <w:rPr>
          <w:rFonts w:ascii="Century Gothic" w:eastAsia="Calibri" w:hAnsi="Century Gothic" w:cs="Arial"/>
          <w:color w:val="000000"/>
          <w:kern w:val="2"/>
          <w:lang w:val="es-ES_tradnl"/>
          <w14:ligatures w14:val="standardContextual"/>
        </w:rPr>
        <w:t>. El secreto generalizado en el ejercicio del poder político constituye, por el contrario, una negación de la democracia, porque dificulta la supervisión de las autoridades por parte de la sociedad civil y establece una barrera para la participación ciudadana.</w:t>
      </w:r>
    </w:p>
    <w:p w14:paraId="456136CC" w14:textId="77777777" w:rsidR="009B7745" w:rsidRPr="00C24A08" w:rsidRDefault="009B7745" w:rsidP="009B7745">
      <w:pPr>
        <w:spacing w:before="120"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lastRenderedPageBreak/>
        <w:tab/>
        <w:t>Inspirada en esta concepción axiológica, la Constitución Política de 1991 consagra en varios artículos la publicidad como un principio rector del Estado Colombiano. Entre los más destacados, puede mencionarse el artículo 209, que afirma que la publicidad es uno de los principios que fundamentan el ejercicio de la función administrativa y el artículo 74, que consagra la garantía de acceso a los documentos públicos que no gocen de reserva –y esta, además, es excepcional, pues solo procede si existe causal constitucional o legal expresa–. En tal perspectiva, la Corte Constitucional ha señalado que el principio de publicidad es la garantía que tienen las personas de conocer las actuaciones judiciales y administrativas. De este modo, explica:</w:t>
      </w:r>
    </w:p>
    <w:p w14:paraId="3D7FF711" w14:textId="77777777" w:rsidR="009B7745" w:rsidRPr="00C24A08" w:rsidRDefault="009B7745" w:rsidP="009B7745">
      <w:pPr>
        <w:spacing w:after="0" w:line="276" w:lineRule="auto"/>
        <w:jc w:val="both"/>
        <w:rPr>
          <w:rFonts w:ascii="Century Gothic" w:eastAsia="Calibri" w:hAnsi="Century Gothic" w:cs="Arial"/>
          <w:color w:val="000000"/>
          <w:kern w:val="2"/>
          <w14:ligatures w14:val="standardContextual"/>
        </w:rPr>
      </w:pPr>
    </w:p>
    <w:p w14:paraId="71362189" w14:textId="77777777" w:rsidR="009B7745" w:rsidRPr="00C24A08" w:rsidRDefault="009B7745" w:rsidP="009B7745">
      <w:pPr>
        <w:spacing w:after="0" w:line="240" w:lineRule="auto"/>
        <w:ind w:left="709" w:right="709"/>
        <w:jc w:val="both"/>
        <w:rPr>
          <w:rFonts w:ascii="Century Gothic" w:eastAsia="Calibri" w:hAnsi="Century Gothic" w:cs="Arial"/>
          <w:color w:val="000000"/>
          <w:kern w:val="2"/>
          <w:sz w:val="21"/>
          <w:szCs w:val="21"/>
          <w14:ligatures w14:val="standardContextual"/>
        </w:rPr>
      </w:pPr>
      <w:r w:rsidRPr="00C24A08">
        <w:rPr>
          <w:rFonts w:ascii="Century Gothic" w:eastAsia="Calibri" w:hAnsi="Century Gothic" w:cs="Arial"/>
          <w:color w:val="000000"/>
          <w:kern w:val="2"/>
          <w:sz w:val="21"/>
          <w:szCs w:val="21"/>
          <w14:ligatures w14:val="standardContextual"/>
        </w:rPr>
        <w:t>“El principio de publicidad se encuentra consagrado en el artículo 209 de la Constitución Política, que señala que la función administrativa está al servicio de los intereses generales y se desarrolla con fundamento entre otros, en el “principio de publicidad”, el cual se evidencia en dos dimensiones.</w:t>
      </w:r>
    </w:p>
    <w:p w14:paraId="44B18738" w14:textId="77777777" w:rsidR="009B7745" w:rsidRPr="00C24A08" w:rsidRDefault="009B7745" w:rsidP="009B7745">
      <w:pPr>
        <w:spacing w:before="120" w:after="0" w:line="240" w:lineRule="auto"/>
        <w:ind w:left="709" w:right="709"/>
        <w:jc w:val="both"/>
        <w:rPr>
          <w:rFonts w:ascii="Century Gothic" w:eastAsia="Calibri" w:hAnsi="Century Gothic" w:cs="Arial"/>
          <w:color w:val="000000"/>
          <w:kern w:val="2"/>
          <w:sz w:val="21"/>
          <w:szCs w:val="21"/>
          <w14:ligatures w14:val="standardContextual"/>
        </w:rPr>
      </w:pPr>
      <w:r w:rsidRPr="00C24A08">
        <w:rPr>
          <w:rFonts w:ascii="Century Gothic" w:eastAsia="Calibri" w:hAnsi="Century Gothic" w:cs="Arial"/>
          <w:color w:val="000000"/>
          <w:kern w:val="2"/>
          <w:sz w:val="21"/>
          <w:szCs w:val="21"/>
          <w14:ligatures w14:val="standardContextual"/>
        </w:rPr>
        <w:t xml:space="preserve">La primera de ellas, como el derecho que tienen las personas directamente involucradas, al conocimiento de las actuaciones judiciales y administrativas, la cual se concreta a través de los mecanismos de comunicación y la segunda, como el reconocimiento del derecho que tiene la comunidad de conocer las actuaciones de las </w:t>
      </w:r>
      <w:proofErr w:type="gramStart"/>
      <w:r w:rsidRPr="00C24A08">
        <w:rPr>
          <w:rFonts w:ascii="Century Gothic" w:eastAsia="Calibri" w:hAnsi="Century Gothic" w:cs="Arial"/>
          <w:color w:val="000000"/>
          <w:kern w:val="2"/>
          <w:sz w:val="21"/>
          <w:szCs w:val="21"/>
          <w14:ligatures w14:val="standardContextual"/>
        </w:rPr>
        <w:t>autoridades públicas</w:t>
      </w:r>
      <w:proofErr w:type="gramEnd"/>
      <w:r w:rsidRPr="00C24A08">
        <w:rPr>
          <w:rFonts w:ascii="Century Gothic" w:eastAsia="Calibri" w:hAnsi="Century Gothic" w:cs="Arial"/>
          <w:color w:val="000000"/>
          <w:kern w:val="2"/>
          <w:sz w:val="21"/>
          <w:szCs w:val="21"/>
          <w14:ligatures w14:val="standardContextual"/>
        </w:rPr>
        <w:t xml:space="preserve"> y, a través de ese conocimiento, a exigir que ellas se surtan conforme a la ley</w:t>
      </w:r>
      <w:r w:rsidRPr="00C24A08">
        <w:rPr>
          <w:rFonts w:ascii="Century Gothic" w:eastAsia="Calibri" w:hAnsi="Century Gothic" w:cs="Arial"/>
          <w:color w:val="000000"/>
          <w:kern w:val="2"/>
          <w:sz w:val="21"/>
          <w:szCs w:val="21"/>
          <w:vertAlign w:val="superscript"/>
          <w:lang w:val="es-ES_tradnl"/>
          <w14:ligatures w14:val="standardContextual"/>
        </w:rPr>
        <w:footnoteReference w:id="31"/>
      </w:r>
      <w:r w:rsidRPr="00C24A08">
        <w:rPr>
          <w:rFonts w:ascii="Century Gothic" w:eastAsia="Calibri" w:hAnsi="Century Gothic" w:cs="Arial"/>
          <w:color w:val="000000"/>
          <w:kern w:val="2"/>
          <w:sz w:val="21"/>
          <w:szCs w:val="21"/>
          <w14:ligatures w14:val="standardContextual"/>
        </w:rPr>
        <w:t>”</w:t>
      </w:r>
      <w:r w:rsidRPr="00C24A08">
        <w:rPr>
          <w:rFonts w:ascii="Century Gothic" w:eastAsia="Calibri" w:hAnsi="Century Gothic" w:cs="Arial"/>
          <w:color w:val="000000"/>
          <w:kern w:val="2"/>
          <w:sz w:val="21"/>
          <w:szCs w:val="21"/>
          <w:lang w:val="es-ES_tradnl"/>
          <w14:ligatures w14:val="standardContextual"/>
        </w:rPr>
        <w:t>.</w:t>
      </w:r>
    </w:p>
    <w:p w14:paraId="699D5252" w14:textId="77777777" w:rsidR="009B7745" w:rsidRPr="00C24A08" w:rsidRDefault="009B7745" w:rsidP="009B7745">
      <w:pPr>
        <w:spacing w:after="0" w:line="276" w:lineRule="auto"/>
        <w:jc w:val="both"/>
        <w:rPr>
          <w:rFonts w:ascii="Century Gothic" w:eastAsia="Calibri" w:hAnsi="Century Gothic" w:cs="Arial"/>
          <w:color w:val="000000"/>
          <w:kern w:val="2"/>
          <w14:ligatures w14:val="standardContextual"/>
        </w:rPr>
      </w:pPr>
    </w:p>
    <w:p w14:paraId="536C11F8" w14:textId="77777777" w:rsidR="009B7745" w:rsidRPr="00C24A08" w:rsidRDefault="009B7745" w:rsidP="009B7745">
      <w:pPr>
        <w:spacing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tab/>
        <w:t>El principio de publicidad impone a las autoridades el deber de dar a conocer sus actos, contratos y decisiones, para que se divulguen y eventualmente se controlen dichas actuaciones. Por lo tanto, en la contratación estatal, el literal c), del artículo 3, de la Ley 1150 de 2007 establece el Sistema Electrónico para la Contratación Pública –SECOP– como un mecanismo que “contará con la información oficial de la contratación realizada con dineros públicos, para lo cual establecerá los patrones a que haya lugar y se encargará de su difusión a través de canales electrónicos</w:t>
      </w:r>
      <w:r w:rsidRPr="00C24A08">
        <w:rPr>
          <w:rFonts w:ascii="Century Gothic" w:eastAsia="Calibri" w:hAnsi="Century Gothic" w:cs="Arial"/>
          <w:color w:val="000000"/>
          <w:lang w:val="es-ES_tradnl"/>
        </w:rPr>
        <w:t>”</w:t>
      </w:r>
      <w:r w:rsidRPr="00C24A08">
        <w:rPr>
          <w:rFonts w:ascii="Century Gothic" w:eastAsia="Calibri" w:hAnsi="Century Gothic" w:cs="Arial"/>
          <w:color w:val="000000"/>
          <w:vertAlign w:val="superscript"/>
          <w:lang w:val="es-ES_tradnl"/>
        </w:rPr>
        <w:footnoteReference w:id="32"/>
      </w:r>
      <w:r w:rsidRPr="00C24A08">
        <w:rPr>
          <w:rFonts w:ascii="Century Gothic" w:eastAsia="Calibri" w:hAnsi="Century Gothic" w:cs="Arial"/>
          <w:color w:val="000000"/>
          <w:lang w:val="es-ES_tradnl"/>
        </w:rPr>
        <w:t>.</w:t>
      </w:r>
    </w:p>
    <w:p w14:paraId="73FA2C6F" w14:textId="77777777" w:rsidR="009B7745" w:rsidRPr="00C24A08" w:rsidRDefault="009B7745" w:rsidP="009B7745">
      <w:pPr>
        <w:spacing w:before="120"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lastRenderedPageBreak/>
        <w:tab/>
        <w:t>De otra parte, la Ley 1712 de 2014 –Ley estatutaria que regula la transparencia y el derecho de acceso a la información y a los documentos públicos–, identifica como principios que orientan el derecho de acceso a la información pública, el de máxima publicidad, transparencia en la información y buena fe. El principio de máxima publicidad establece que “toda información en posesión, bajo control o custodia de un sujeto obligado es pública y no podrá ser reservada o limitada sino por disposición constitucional o legal”</w:t>
      </w:r>
      <w:r w:rsidRPr="00C24A08">
        <w:rPr>
          <w:rFonts w:ascii="Century Gothic" w:eastAsia="Calibri" w:hAnsi="Century Gothic" w:cs="Arial"/>
          <w:color w:val="000000"/>
          <w:vertAlign w:val="superscript"/>
          <w:lang w:val="es-ES_tradnl"/>
        </w:rPr>
        <w:footnoteReference w:id="33"/>
      </w:r>
      <w:r w:rsidRPr="00C24A08">
        <w:rPr>
          <w:rFonts w:ascii="Century Gothic" w:eastAsia="Calibri" w:hAnsi="Century Gothic" w:cs="Arial"/>
          <w:color w:val="000000"/>
          <w:lang w:val="es-ES_tradnl"/>
        </w:rPr>
        <w:t xml:space="preserve">. El principio de transparencia en la información alude al deber de los sujetos de proporcionar y facilitar el acceso a la misma en los términos más amplios posibles, y a través de los medios y procedimientos legales. En el artículo 5 de dicha ley, se incluye como se mencionó en el considerando 2.1 de este concepto, dentro de la lista de sujetos obligados a todas las entidades públicas y, además, en el literal c) a las personas naturales y jurídicas, públicas o privadas, que presten </w:t>
      </w:r>
      <w:r w:rsidRPr="00C24A08">
        <w:rPr>
          <w:rFonts w:ascii="Century Gothic" w:eastAsia="Calibri" w:hAnsi="Century Gothic" w:cs="Arial"/>
          <w:i/>
          <w:iCs/>
          <w:lang w:val="es-ES_tradnl"/>
        </w:rPr>
        <w:t>función pública y servicios públicos</w:t>
      </w:r>
      <w:r w:rsidRPr="00C24A08">
        <w:rPr>
          <w:rFonts w:ascii="Century Gothic" w:eastAsia="Calibri" w:hAnsi="Century Gothic" w:cs="Arial"/>
          <w:lang w:val="es-ES_tradnl"/>
        </w:rPr>
        <w:t xml:space="preserve"> </w:t>
      </w:r>
      <w:r w:rsidRPr="00C24A08">
        <w:rPr>
          <w:rFonts w:ascii="Century Gothic" w:eastAsia="Calibri" w:hAnsi="Century Gothic" w:cs="Arial"/>
          <w:color w:val="000000"/>
          <w:lang w:val="es-ES_tradnl"/>
        </w:rPr>
        <w:t>respecto de la información directamente relacionada con la prestación del servicio público, adicionalmente, en el literal g) incluyó a las entidades que administren recursos de naturaleza u origen público</w:t>
      </w:r>
      <w:r w:rsidRPr="00C24A08">
        <w:rPr>
          <w:rFonts w:ascii="Century Gothic" w:eastAsia="Calibri" w:hAnsi="Century Gothic" w:cs="Arial"/>
          <w:color w:val="000000"/>
          <w:kern w:val="2"/>
          <w:vertAlign w:val="superscript"/>
          <w:lang w:val="es-ES_tradnl"/>
          <w14:ligatures w14:val="standardContextual"/>
        </w:rPr>
        <w:footnoteReference w:id="34"/>
      </w:r>
      <w:r w:rsidRPr="00C24A08">
        <w:rPr>
          <w:rFonts w:ascii="Century Gothic" w:eastAsia="Calibri" w:hAnsi="Century Gothic" w:cs="Arial"/>
          <w:color w:val="000000"/>
          <w:kern w:val="2"/>
          <w14:ligatures w14:val="standardContextual"/>
        </w:rPr>
        <w:t>.</w:t>
      </w:r>
    </w:p>
    <w:p w14:paraId="5F879A41" w14:textId="77777777" w:rsidR="009B7745" w:rsidRDefault="009B7745" w:rsidP="009B7745">
      <w:pPr>
        <w:spacing w:before="120"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tab/>
        <w:t>Uno de los deberes definidos en la Ley 1712 de 2014, que deben acatar los sujetos obligados, es publicar la información contractual en el SECOP. En efecto, el literal e) del artículo 9 señala que los sujetos obligados deben publicar la información relativo a su contratación. Así mismo, de acuerdo con el literal g) del artículo 11 de la misma Ley, todos los destinatarios de la ley de transparencia deben garantizar la publicidad de “sus procedimientos, lineamientos, políticas en materia de adquisiciones y compras, así como todos los datos de adjudicación y ejecución de contratos, incluidos concursos y licitaciones”, información esta, que también debe estar en el SECOP, adicionalmente el  Decreto 1081 de 2015</w:t>
      </w:r>
      <w:r w:rsidRPr="00C24A08">
        <w:rPr>
          <w:rFonts w:ascii="Century Gothic" w:eastAsia="Calibri" w:hAnsi="Century Gothic" w:cs="Arial"/>
          <w:color w:val="000000"/>
          <w:kern w:val="2"/>
          <w:vertAlign w:val="superscript"/>
          <w:lang w:val="es-ES_tradnl"/>
          <w14:ligatures w14:val="standardContextual"/>
        </w:rPr>
        <w:footnoteReference w:id="35"/>
      </w:r>
      <w:r w:rsidRPr="00C24A08">
        <w:rPr>
          <w:rFonts w:ascii="Century Gothic" w:eastAsia="Calibri" w:hAnsi="Century Gothic" w:cs="Arial"/>
          <w:color w:val="000000"/>
          <w:kern w:val="2"/>
          <w14:ligatures w14:val="standardContextual"/>
        </w:rPr>
        <w:t xml:space="preserve"> reglamentó la materia estableciendo que la información contractual de los sujetos </w:t>
      </w:r>
      <w:r w:rsidRPr="00C24A08">
        <w:rPr>
          <w:rFonts w:ascii="Century Gothic" w:eastAsia="Calibri" w:hAnsi="Century Gothic" w:cs="Arial"/>
          <w:color w:val="000000"/>
          <w:kern w:val="2"/>
          <w14:ligatures w14:val="standardContextual"/>
        </w:rPr>
        <w:lastRenderedPageBreak/>
        <w:t xml:space="preserve">obligados que </w:t>
      </w:r>
      <w:r w:rsidRPr="00C24A08">
        <w:rPr>
          <w:rFonts w:ascii="Century Gothic" w:eastAsia="Calibri" w:hAnsi="Century Gothic" w:cs="Arial"/>
          <w:i/>
          <w:iCs/>
          <w:color w:val="000000"/>
          <w:kern w:val="2"/>
          <w14:ligatures w14:val="standardContextual"/>
        </w:rPr>
        <w:t xml:space="preserve">“contratan con cargo a recursos públicos”, </w:t>
      </w:r>
      <w:r w:rsidRPr="00C24A08">
        <w:rPr>
          <w:rFonts w:ascii="Century Gothic" w:eastAsia="Calibri" w:hAnsi="Century Gothic" w:cs="Arial"/>
          <w:color w:val="000000"/>
          <w:kern w:val="2"/>
          <w14:ligatures w14:val="standardContextual"/>
        </w:rPr>
        <w:t xml:space="preserve">debe hacerse en el Sistema Electrónico para la Contratación Pública – SECOP–. </w:t>
      </w:r>
      <w:r w:rsidRPr="00C24A08">
        <w:rPr>
          <w:rFonts w:ascii="Century Gothic" w:eastAsia="Calibri" w:hAnsi="Century Gothic" w:cs="Arial"/>
          <w:color w:val="000000"/>
          <w:kern w:val="2"/>
          <w14:ligatures w14:val="standardContextual"/>
        </w:rPr>
        <w:tab/>
      </w:r>
      <w:r>
        <w:rPr>
          <w:rFonts w:ascii="Century Gothic" w:eastAsia="Calibri" w:hAnsi="Century Gothic" w:cs="Arial"/>
          <w:color w:val="000000"/>
          <w:kern w:val="2"/>
          <w14:ligatures w14:val="standardContextual"/>
        </w:rPr>
        <w:t xml:space="preserve"> </w:t>
      </w:r>
    </w:p>
    <w:p w14:paraId="70359A3C" w14:textId="77777777" w:rsidR="009B7745" w:rsidRDefault="009B7745" w:rsidP="009B7745">
      <w:pPr>
        <w:spacing w:before="120" w:after="0" w:line="276" w:lineRule="auto"/>
        <w:jc w:val="both"/>
        <w:rPr>
          <w:rFonts w:ascii="Century Gothic" w:eastAsia="Calibri" w:hAnsi="Century Gothic" w:cs="Arial"/>
          <w:color w:val="000000"/>
          <w:kern w:val="2"/>
          <w14:ligatures w14:val="standardContextual"/>
        </w:rPr>
      </w:pPr>
      <w:r>
        <w:rPr>
          <w:rFonts w:ascii="Century Gothic" w:eastAsia="Calibri" w:hAnsi="Century Gothic" w:cs="Arial"/>
          <w:color w:val="000000"/>
          <w:kern w:val="2"/>
          <w14:ligatures w14:val="standardContextual"/>
        </w:rPr>
        <w:tab/>
        <w:t xml:space="preserve">Así mismo, la necesidad de registro por parte del Organismo de Acción Comunal como usuario en el SECOP solo será necesaria en el evento en que la Entidad Estatal tenga la exigencia de adelantar sus procesos a través de la plataforma SECOP II, dado que se trata de </w:t>
      </w:r>
      <w:r w:rsidRPr="001B2AFA">
        <w:rPr>
          <w:rFonts w:ascii="Century Gothic" w:eastAsia="Calibri" w:hAnsi="Century Gothic" w:cs="Arial"/>
          <w:color w:val="000000"/>
          <w:kern w:val="2"/>
          <w14:ligatures w14:val="standardContextual"/>
        </w:rPr>
        <w:t xml:space="preserve">una plataforma esencialmente transaccional, de contratación en línea, con cuentas para las entidades estatales y los </w:t>
      </w:r>
      <w:r>
        <w:rPr>
          <w:rFonts w:ascii="Century Gothic" w:eastAsia="Calibri" w:hAnsi="Century Gothic" w:cs="Arial"/>
          <w:color w:val="000000"/>
          <w:kern w:val="2"/>
          <w14:ligatures w14:val="standardContextual"/>
        </w:rPr>
        <w:t>contratistas</w:t>
      </w:r>
      <w:r w:rsidRPr="001B2AFA">
        <w:rPr>
          <w:rFonts w:ascii="Century Gothic" w:eastAsia="Calibri" w:hAnsi="Century Gothic" w:cs="Arial"/>
          <w:color w:val="000000"/>
          <w:kern w:val="2"/>
          <w14:ligatures w14:val="standardContextual"/>
        </w:rPr>
        <w:t xml:space="preserve">. </w:t>
      </w:r>
    </w:p>
    <w:p w14:paraId="536ADBD8" w14:textId="77777777" w:rsidR="009B7745" w:rsidRPr="00C24A08" w:rsidRDefault="009B7745" w:rsidP="009B7745">
      <w:pPr>
        <w:widowControl w:val="0"/>
        <w:shd w:val="clear" w:color="auto" w:fill="FFFFFF" w:themeFill="background1"/>
        <w:autoSpaceDE w:val="0"/>
        <w:autoSpaceDN w:val="0"/>
        <w:spacing w:line="276" w:lineRule="auto"/>
        <w:ind w:firstLine="705"/>
        <w:jc w:val="both"/>
        <w:rPr>
          <w:rFonts w:ascii="Century Gothic" w:eastAsia="Times New Roman" w:hAnsi="Century Gothic" w:cs="Arial"/>
          <w:szCs w:val="24"/>
          <w:lang w:val="es-ES_tradnl" w:eastAsia="es-ES_tradnl"/>
        </w:rPr>
      </w:pPr>
    </w:p>
    <w:bookmarkEnd w:id="12"/>
    <w:p w14:paraId="4580C49C" w14:textId="77777777" w:rsidR="009B7745" w:rsidRPr="00C24A08" w:rsidRDefault="009B7745" w:rsidP="009B7745">
      <w:pPr>
        <w:shd w:val="clear" w:color="auto" w:fill="FFFFFF" w:themeFill="background1"/>
        <w:tabs>
          <w:tab w:val="left" w:pos="0"/>
        </w:tabs>
        <w:spacing w:after="0"/>
        <w:jc w:val="both"/>
        <w:rPr>
          <w:rFonts w:ascii="Century Gothic" w:eastAsia="Calibri" w:hAnsi="Century Gothic" w:cs="Arial"/>
          <w:b/>
          <w:color w:val="000000" w:themeColor="text1"/>
          <w:lang w:val="es-ES_tradnl"/>
        </w:rPr>
      </w:pPr>
      <w:r w:rsidRPr="00C24A08">
        <w:rPr>
          <w:rFonts w:ascii="Century Gothic" w:eastAsia="Calibri" w:hAnsi="Century Gothic" w:cs="Arial"/>
          <w:b/>
          <w:color w:val="000000" w:themeColor="text1"/>
          <w:lang w:val="es-ES_tradnl"/>
        </w:rPr>
        <w:t>3. Respuesta</w:t>
      </w:r>
    </w:p>
    <w:p w14:paraId="78037806" w14:textId="77777777" w:rsidR="009B7745" w:rsidRPr="00C24A08" w:rsidRDefault="009B7745" w:rsidP="009B7745">
      <w:pPr>
        <w:shd w:val="clear" w:color="auto" w:fill="FFFFFF" w:themeFill="background1"/>
        <w:spacing w:after="0" w:line="276" w:lineRule="auto"/>
        <w:jc w:val="both"/>
        <w:rPr>
          <w:rFonts w:ascii="Century Gothic" w:hAnsi="Century Gothic" w:cs="Arial"/>
          <w:color w:val="000000" w:themeColor="text1"/>
        </w:rPr>
      </w:pPr>
    </w:p>
    <w:p w14:paraId="382078D7" w14:textId="77777777" w:rsidR="009B7745" w:rsidRPr="00D95449" w:rsidRDefault="009B7745" w:rsidP="009B7745">
      <w:pPr>
        <w:pStyle w:val="Prrafodelista"/>
        <w:numPr>
          <w:ilvl w:val="0"/>
          <w:numId w:val="3"/>
        </w:numPr>
        <w:spacing w:after="0" w:line="240" w:lineRule="auto"/>
        <w:jc w:val="both"/>
        <w:rPr>
          <w:rFonts w:ascii="Century Gothic" w:hAnsi="Century Gothic" w:cs="Arial"/>
          <w:color w:val="000000" w:themeColor="text1"/>
          <w:sz w:val="21"/>
          <w:szCs w:val="21"/>
          <w:lang w:val="es-ES_tradnl"/>
        </w:rPr>
      </w:pPr>
      <w:r w:rsidRPr="00D95449">
        <w:rPr>
          <w:rFonts w:ascii="Century Gothic" w:hAnsi="Century Gothic" w:cs="Arial"/>
          <w:color w:val="000000" w:themeColor="text1"/>
          <w:sz w:val="21"/>
          <w:szCs w:val="21"/>
          <w:lang w:val="es-ES_tradnl"/>
        </w:rPr>
        <w:t>¿Las Entidades Estatales se encuentran obligadas a publicar en el SECOP los convenios solidarios descritos en artículo 95 de la Ley 2166 de 2021?</w:t>
      </w:r>
    </w:p>
    <w:p w14:paraId="50C890EB" w14:textId="77777777" w:rsidR="009B7745" w:rsidRPr="004C6EC2" w:rsidRDefault="009B7745" w:rsidP="009B7745">
      <w:pPr>
        <w:pStyle w:val="Prrafodelista"/>
        <w:jc w:val="both"/>
        <w:rPr>
          <w:rFonts w:ascii="Franklin Gothic Book" w:hAnsi="Franklin Gothic Book"/>
          <w:bCs/>
        </w:rPr>
      </w:pPr>
    </w:p>
    <w:p w14:paraId="396C65C8" w14:textId="77777777" w:rsidR="009B7745" w:rsidRDefault="009B7745" w:rsidP="009B7745">
      <w:pPr>
        <w:pStyle w:val="Prrafodelista"/>
        <w:numPr>
          <w:ilvl w:val="0"/>
          <w:numId w:val="3"/>
        </w:numPr>
        <w:spacing w:after="0" w:line="240" w:lineRule="auto"/>
        <w:jc w:val="both"/>
        <w:rPr>
          <w:rFonts w:ascii="Century Gothic" w:hAnsi="Century Gothic" w:cs="Arial"/>
          <w:color w:val="000000" w:themeColor="text1"/>
          <w:sz w:val="21"/>
          <w:szCs w:val="21"/>
          <w:lang w:val="es-ES_tradnl"/>
        </w:rPr>
      </w:pPr>
      <w:r w:rsidRPr="00E33F26">
        <w:rPr>
          <w:rFonts w:ascii="Century Gothic" w:hAnsi="Century Gothic" w:cs="Arial"/>
          <w:color w:val="000000" w:themeColor="text1"/>
          <w:sz w:val="21"/>
          <w:szCs w:val="21"/>
          <w:lang w:val="es-ES_tradnl"/>
        </w:rPr>
        <w:t>¿Los Organismos de Acción Comunal Para la suscripción de convenios solidarios deben contar con usuario en el SECOP, entendiendo que sobre los mismos hay recursos públicos involucrados?</w:t>
      </w:r>
    </w:p>
    <w:p w14:paraId="0E897E67" w14:textId="77777777" w:rsidR="009B7745" w:rsidRPr="00D95449" w:rsidRDefault="009B7745" w:rsidP="009B7745">
      <w:pPr>
        <w:pStyle w:val="Prrafodelista"/>
        <w:rPr>
          <w:rFonts w:ascii="Century Gothic" w:hAnsi="Century Gothic" w:cs="Arial"/>
          <w:color w:val="000000" w:themeColor="text1"/>
          <w:sz w:val="21"/>
          <w:szCs w:val="21"/>
          <w:lang w:val="es-ES_tradnl"/>
        </w:rPr>
      </w:pPr>
    </w:p>
    <w:p w14:paraId="4BC2F99A" w14:textId="77777777" w:rsidR="009B7745" w:rsidRPr="00C24A08" w:rsidRDefault="009B7745" w:rsidP="009B7745">
      <w:pPr>
        <w:spacing w:before="120"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t>Uno de los deberes definidos en la Ley 1712 de 2014, que deben acatar los sujetos obligados, es publicar la información contractual en el SECOP. En efecto, el literal e) del artículo 9 señala que los sujetos obligados deben publicar la información relativo a su contratación. Así mismo, de acuerdo con el literal g) del artículo 11 de la misma Ley, todos los destinatarios de la ley de transparencia deben garantizar la publicidad de “sus procedimientos, lineamientos, políticas en materia de adquisiciones y compras, así como todos los datos de adjudicación y ejecución de contratos, incluidos concursos y licitaciones”, información esta, que también debe estar en el SECOP, adicionalmente el  Decreto 1081 de 2015</w:t>
      </w:r>
      <w:r w:rsidRPr="00C24A08">
        <w:rPr>
          <w:rFonts w:ascii="Century Gothic" w:eastAsia="Calibri" w:hAnsi="Century Gothic" w:cs="Arial"/>
          <w:color w:val="000000"/>
          <w:kern w:val="2"/>
          <w:vertAlign w:val="superscript"/>
          <w:lang w:val="es-ES_tradnl"/>
          <w14:ligatures w14:val="standardContextual"/>
        </w:rPr>
        <w:footnoteReference w:id="36"/>
      </w:r>
      <w:r w:rsidRPr="00C24A08">
        <w:rPr>
          <w:rFonts w:ascii="Century Gothic" w:eastAsia="Calibri" w:hAnsi="Century Gothic" w:cs="Arial"/>
          <w:color w:val="000000"/>
          <w:kern w:val="2"/>
          <w14:ligatures w14:val="standardContextual"/>
        </w:rPr>
        <w:t xml:space="preserve"> reglamentó la materia estableciendo que la información contractual de los sujetos obligados que </w:t>
      </w:r>
      <w:r w:rsidRPr="00C24A08">
        <w:rPr>
          <w:rFonts w:ascii="Century Gothic" w:eastAsia="Calibri" w:hAnsi="Century Gothic" w:cs="Arial"/>
          <w:i/>
          <w:color w:val="000000"/>
          <w:kern w:val="2"/>
          <w14:ligatures w14:val="standardContextual"/>
        </w:rPr>
        <w:t xml:space="preserve">“contratan con cargo a recursos públicos”, </w:t>
      </w:r>
      <w:r w:rsidRPr="00C24A08">
        <w:rPr>
          <w:rFonts w:ascii="Century Gothic" w:eastAsia="Calibri" w:hAnsi="Century Gothic" w:cs="Arial"/>
          <w:color w:val="000000"/>
          <w:kern w:val="2"/>
          <w14:ligatures w14:val="standardContextual"/>
        </w:rPr>
        <w:t xml:space="preserve">debe hacerse en el Sistema Electrónico para la Contratación Pública – SECOP–. </w:t>
      </w:r>
    </w:p>
    <w:p w14:paraId="11EE6E07" w14:textId="77777777" w:rsidR="009B7745" w:rsidRDefault="009B7745" w:rsidP="009B7745">
      <w:pPr>
        <w:spacing w:before="120" w:after="0" w:line="276" w:lineRule="auto"/>
        <w:jc w:val="both"/>
        <w:rPr>
          <w:rFonts w:ascii="Century Gothic" w:eastAsia="Calibri" w:hAnsi="Century Gothic" w:cs="Arial"/>
          <w:color w:val="000000"/>
          <w:kern w:val="2"/>
          <w14:ligatures w14:val="standardContextual"/>
        </w:rPr>
      </w:pPr>
      <w:r w:rsidRPr="00C24A08">
        <w:rPr>
          <w:rFonts w:ascii="Century Gothic" w:eastAsia="Calibri" w:hAnsi="Century Gothic" w:cs="Arial"/>
          <w:color w:val="000000"/>
          <w:kern w:val="2"/>
          <w14:ligatures w14:val="standardContextual"/>
        </w:rPr>
        <w:tab/>
        <w:t xml:space="preserve">Por lo tanto, se advierte que, en la celebración y ejecución de convenios solidarios, la entidad estatal es </w:t>
      </w:r>
      <w:r>
        <w:rPr>
          <w:rFonts w:ascii="Century Gothic" w:eastAsia="Calibri" w:hAnsi="Century Gothic" w:cs="Arial"/>
          <w:color w:val="000000"/>
          <w:kern w:val="2"/>
          <w14:ligatures w14:val="standardContextual"/>
        </w:rPr>
        <w:t>quien</w:t>
      </w:r>
      <w:r w:rsidRPr="00C24A08">
        <w:rPr>
          <w:rFonts w:ascii="Century Gothic" w:eastAsia="Calibri" w:hAnsi="Century Gothic" w:cs="Arial"/>
          <w:color w:val="000000"/>
          <w:kern w:val="2"/>
          <w14:ligatures w14:val="standardContextual"/>
        </w:rPr>
        <w:t xml:space="preserve"> tiene la obligación de publicar en el Sistema Electrónico de la Contratación Pública – SECOP </w:t>
      </w:r>
      <w:r>
        <w:rPr>
          <w:rFonts w:ascii="Century Gothic" w:eastAsia="Calibri" w:hAnsi="Century Gothic" w:cs="Arial"/>
          <w:color w:val="000000"/>
          <w:kern w:val="2"/>
          <w14:ligatures w14:val="standardContextual"/>
        </w:rPr>
        <w:t xml:space="preserve">y documentos de todas </w:t>
      </w:r>
      <w:r w:rsidRPr="00C24A08">
        <w:rPr>
          <w:rFonts w:ascii="Century Gothic" w:eastAsia="Calibri" w:hAnsi="Century Gothic" w:cs="Arial"/>
          <w:color w:val="000000"/>
          <w:kern w:val="2"/>
          <w14:ligatures w14:val="standardContextual"/>
        </w:rPr>
        <w:t>sus actuaciones contractuales en el marco del convenio solidario</w:t>
      </w:r>
      <w:r>
        <w:rPr>
          <w:rFonts w:ascii="Century Gothic" w:eastAsia="Calibri" w:hAnsi="Century Gothic" w:cs="Arial"/>
          <w:color w:val="000000"/>
          <w:kern w:val="2"/>
          <w14:ligatures w14:val="standardContextual"/>
        </w:rPr>
        <w:t>. Así mismo,</w:t>
      </w:r>
      <w:r w:rsidRPr="00C24A08">
        <w:rPr>
          <w:rFonts w:ascii="Century Gothic" w:eastAsia="Calibri" w:hAnsi="Century Gothic" w:cs="Arial"/>
          <w:color w:val="000000"/>
          <w:kern w:val="2"/>
          <w14:ligatures w14:val="standardContextual"/>
        </w:rPr>
        <w:t xml:space="preserve"> el Organismo de Acción Comunal deberá </w:t>
      </w:r>
      <w:r>
        <w:rPr>
          <w:rFonts w:ascii="Century Gothic" w:eastAsia="Calibri" w:hAnsi="Century Gothic" w:cs="Arial"/>
          <w:color w:val="000000"/>
          <w:kern w:val="2"/>
          <w14:ligatures w14:val="standardContextual"/>
        </w:rPr>
        <w:t xml:space="preserve">facilitar todos los documentos que puedan </w:t>
      </w:r>
      <w:r>
        <w:rPr>
          <w:rFonts w:ascii="Century Gothic" w:eastAsia="Calibri" w:hAnsi="Century Gothic" w:cs="Arial"/>
          <w:color w:val="000000"/>
          <w:kern w:val="2"/>
          <w14:ligatures w14:val="standardContextual"/>
        </w:rPr>
        <w:lastRenderedPageBreak/>
        <w:t>generarse durante la etapa previa de verificación de idoneidad y hasta la celebración, ejecución y liquidación del convenio solidario</w:t>
      </w:r>
      <w:r w:rsidRPr="00C24A08">
        <w:rPr>
          <w:rFonts w:ascii="Century Gothic" w:eastAsia="Calibri" w:hAnsi="Century Gothic" w:cs="Arial"/>
          <w:color w:val="000000"/>
          <w:kern w:val="2"/>
          <w14:ligatures w14:val="standardContextual"/>
        </w:rPr>
        <w:t>, de conformidad a lo expuesto en este acápite 2.4. del presente concepto.</w:t>
      </w:r>
    </w:p>
    <w:p w14:paraId="02FFB74C" w14:textId="77777777" w:rsidR="009B7745" w:rsidRDefault="009B7745" w:rsidP="009B7745">
      <w:pPr>
        <w:spacing w:before="120" w:after="0" w:line="276" w:lineRule="auto"/>
        <w:ind w:firstLine="708"/>
        <w:jc w:val="both"/>
        <w:rPr>
          <w:rFonts w:ascii="Century Gothic" w:eastAsia="Calibri" w:hAnsi="Century Gothic" w:cs="Arial"/>
          <w:color w:val="000000"/>
          <w:kern w:val="2"/>
          <w14:ligatures w14:val="standardContextual"/>
        </w:rPr>
      </w:pPr>
      <w:r>
        <w:rPr>
          <w:rFonts w:ascii="Century Gothic" w:eastAsia="Calibri" w:hAnsi="Century Gothic" w:cs="Arial"/>
          <w:color w:val="000000"/>
          <w:kern w:val="2"/>
          <w14:ligatures w14:val="standardContextual"/>
        </w:rPr>
        <w:t>En concordancia con lo anterior, la Cláusula 26 de la Minuta Tipo</w:t>
      </w:r>
      <w:r w:rsidRPr="00ED5FCF">
        <w:rPr>
          <w:rFonts w:ascii="Century Gothic" w:eastAsia="Calibri" w:hAnsi="Century Gothic" w:cs="Arial"/>
          <w:color w:val="000000"/>
          <w:kern w:val="2"/>
          <w14:ligatures w14:val="standardContextual"/>
        </w:rPr>
        <w:t xml:space="preserve"> para la </w:t>
      </w:r>
      <w:r>
        <w:rPr>
          <w:rFonts w:ascii="Century Gothic" w:eastAsia="Calibri" w:hAnsi="Century Gothic" w:cs="Arial"/>
          <w:color w:val="000000"/>
          <w:kern w:val="2"/>
          <w14:ligatures w14:val="standardContextual"/>
        </w:rPr>
        <w:t>celebración de</w:t>
      </w:r>
      <w:r w:rsidRPr="00ED5FCF">
        <w:rPr>
          <w:rFonts w:ascii="Century Gothic" w:eastAsia="Calibri" w:hAnsi="Century Gothic" w:cs="Arial"/>
          <w:color w:val="000000"/>
          <w:kern w:val="2"/>
          <w14:ligatures w14:val="standardContextual"/>
        </w:rPr>
        <w:t xml:space="preserve"> convenios solidarios para la ejecución de obras hasta la menor cuantía con </w:t>
      </w:r>
      <w:r>
        <w:rPr>
          <w:rFonts w:ascii="Century Gothic" w:eastAsia="Calibri" w:hAnsi="Century Gothic" w:cs="Arial"/>
          <w:color w:val="000000"/>
          <w:kern w:val="2"/>
          <w14:ligatures w14:val="standardContextual"/>
        </w:rPr>
        <w:t>O</w:t>
      </w:r>
      <w:r w:rsidRPr="00ED5FCF">
        <w:rPr>
          <w:rFonts w:ascii="Century Gothic" w:eastAsia="Calibri" w:hAnsi="Century Gothic" w:cs="Arial"/>
          <w:color w:val="000000"/>
          <w:kern w:val="2"/>
          <w14:ligatures w14:val="standardContextual"/>
        </w:rPr>
        <w:t xml:space="preserve">rganismos de </w:t>
      </w:r>
      <w:r>
        <w:rPr>
          <w:rFonts w:ascii="Century Gothic" w:eastAsia="Calibri" w:hAnsi="Century Gothic" w:cs="Arial"/>
          <w:color w:val="000000"/>
          <w:kern w:val="2"/>
          <w14:ligatures w14:val="standardContextual"/>
        </w:rPr>
        <w:t>A</w:t>
      </w:r>
      <w:r w:rsidRPr="00ED5FCF">
        <w:rPr>
          <w:rFonts w:ascii="Century Gothic" w:eastAsia="Calibri" w:hAnsi="Century Gothic" w:cs="Arial"/>
          <w:color w:val="000000"/>
          <w:kern w:val="2"/>
          <w14:ligatures w14:val="standardContextual"/>
        </w:rPr>
        <w:t xml:space="preserve">cción </w:t>
      </w:r>
      <w:r>
        <w:rPr>
          <w:rFonts w:ascii="Century Gothic" w:eastAsia="Calibri" w:hAnsi="Century Gothic" w:cs="Arial"/>
          <w:color w:val="000000"/>
          <w:kern w:val="2"/>
          <w14:ligatures w14:val="standardContextual"/>
        </w:rPr>
        <w:t>C</w:t>
      </w:r>
      <w:r w:rsidRPr="00ED5FCF">
        <w:rPr>
          <w:rFonts w:ascii="Century Gothic" w:eastAsia="Calibri" w:hAnsi="Century Gothic" w:cs="Arial"/>
          <w:color w:val="000000"/>
          <w:kern w:val="2"/>
          <w14:ligatures w14:val="standardContextual"/>
        </w:rPr>
        <w:t>omunal</w:t>
      </w:r>
      <w:r>
        <w:rPr>
          <w:rFonts w:ascii="Century Gothic" w:eastAsia="Calibri" w:hAnsi="Century Gothic" w:cs="Arial"/>
          <w:color w:val="000000"/>
          <w:kern w:val="2"/>
          <w14:ligatures w14:val="standardContextual"/>
        </w:rPr>
        <w:t xml:space="preserve"> adoptada mediante la Resolución No. 358 del 30 de junio de 2023, se establece </w:t>
      </w:r>
    </w:p>
    <w:p w14:paraId="27278D4B" w14:textId="77777777" w:rsidR="009B7745" w:rsidRDefault="009B7745" w:rsidP="009B7745">
      <w:pPr>
        <w:spacing w:before="120" w:after="0" w:line="276" w:lineRule="auto"/>
        <w:ind w:firstLine="708"/>
        <w:jc w:val="both"/>
        <w:rPr>
          <w:rFonts w:ascii="Century Gothic" w:eastAsia="Calibri" w:hAnsi="Century Gothic" w:cs="Arial"/>
          <w:color w:val="000000"/>
          <w:kern w:val="2"/>
          <w14:ligatures w14:val="standardContextual"/>
        </w:rPr>
      </w:pPr>
    </w:p>
    <w:p w14:paraId="33642FF2" w14:textId="77777777" w:rsidR="009B7745" w:rsidRPr="00130678" w:rsidRDefault="009B7745" w:rsidP="009B7745">
      <w:pPr>
        <w:shd w:val="clear" w:color="auto" w:fill="FFFFFF" w:themeFill="background1"/>
        <w:tabs>
          <w:tab w:val="left" w:pos="1560"/>
          <w:tab w:val="left" w:pos="1701"/>
        </w:tabs>
        <w:ind w:left="709" w:right="474"/>
        <w:jc w:val="both"/>
        <w:textAlignment w:val="baseline"/>
        <w:rPr>
          <w:rFonts w:ascii="Century Gothic" w:hAnsi="Century Gothic" w:cs="Arial"/>
        </w:rPr>
      </w:pPr>
      <w:r w:rsidRPr="00130678">
        <w:rPr>
          <w:rFonts w:ascii="Century Gothic" w:eastAsia="Times New Roman" w:hAnsi="Century Gothic" w:cs="Arial"/>
          <w:b/>
          <w:bCs/>
          <w:lang w:val="es-ES" w:eastAsia="es-CO"/>
        </w:rPr>
        <w:t xml:space="preserve">“CLÁUSULA 26. </w:t>
      </w:r>
      <w:r w:rsidRPr="00130678">
        <w:rPr>
          <w:rFonts w:ascii="Century Gothic" w:hAnsi="Century Gothic" w:cs="Arial"/>
          <w:b/>
          <w:spacing w:val="-3"/>
        </w:rPr>
        <w:t>PUBLICACIÓN</w:t>
      </w:r>
      <w:r w:rsidRPr="00130678">
        <w:rPr>
          <w:rFonts w:ascii="Century Gothic" w:hAnsi="Century Gothic" w:cs="Arial"/>
        </w:rPr>
        <w:t xml:space="preserve"> </w:t>
      </w:r>
    </w:p>
    <w:p w14:paraId="25901C26" w14:textId="77777777" w:rsidR="009B7745" w:rsidRPr="00130678" w:rsidRDefault="009B7745" w:rsidP="009B7745">
      <w:pPr>
        <w:shd w:val="clear" w:color="auto" w:fill="FFFFFF" w:themeFill="background1"/>
        <w:tabs>
          <w:tab w:val="left" w:pos="1560"/>
          <w:tab w:val="left" w:pos="1701"/>
        </w:tabs>
        <w:ind w:left="709" w:right="474"/>
        <w:jc w:val="both"/>
        <w:textAlignment w:val="baseline"/>
        <w:rPr>
          <w:rFonts w:ascii="Century Gothic" w:hAnsi="Century Gothic" w:cs="Arial"/>
        </w:rPr>
      </w:pPr>
      <w:r w:rsidRPr="00130678">
        <w:rPr>
          <w:rFonts w:ascii="Century Gothic" w:hAnsi="Century Gothic" w:cs="Arial"/>
        </w:rPr>
        <w:t>Este Convenio se publicará en el SECOP en los términos del Decreto 1082 de 2015.</w:t>
      </w:r>
    </w:p>
    <w:p w14:paraId="2494B15A" w14:textId="77777777" w:rsidR="009B7745" w:rsidRDefault="009B7745" w:rsidP="009B7745">
      <w:pPr>
        <w:shd w:val="clear" w:color="auto" w:fill="FFFFFF" w:themeFill="background1"/>
        <w:tabs>
          <w:tab w:val="left" w:pos="1560"/>
          <w:tab w:val="left" w:pos="1701"/>
        </w:tabs>
        <w:ind w:left="709" w:right="474"/>
        <w:jc w:val="both"/>
        <w:textAlignment w:val="baseline"/>
        <w:rPr>
          <w:rFonts w:ascii="Century Gothic" w:eastAsia="Calibri" w:hAnsi="Century Gothic" w:cs="Arial"/>
          <w:color w:val="000000"/>
          <w:kern w:val="2"/>
          <w14:ligatures w14:val="standardContextual"/>
        </w:rPr>
      </w:pPr>
      <w:r w:rsidRPr="00130678">
        <w:rPr>
          <w:rFonts w:ascii="Century Gothic" w:hAnsi="Century Gothic" w:cs="Arial"/>
        </w:rPr>
        <w:t>Parágrafo 1: De acuerdo con lo estipulado en el</w:t>
      </w:r>
      <w:r w:rsidRPr="00130678">
        <w:rPr>
          <w:rFonts w:ascii="Century Gothic" w:eastAsiaTheme="minorEastAsia" w:hAnsi="Century Gothic" w:cs="Arial"/>
        </w:rPr>
        <w:t xml:space="preserve"> parágrafo 2 del artículo 95 de la Ley 2166 de 2021, la Entidad Estatal deberá brindar todo el apoyo necesario a los OAC con el fin de que se dé la suscripción del convenio a través del SECOP.” </w:t>
      </w:r>
    </w:p>
    <w:p w14:paraId="77649179" w14:textId="77777777" w:rsidR="009B7745" w:rsidRPr="00D95449" w:rsidRDefault="009B7745" w:rsidP="009B7745">
      <w:pPr>
        <w:spacing w:before="120" w:after="0" w:line="276" w:lineRule="auto"/>
        <w:ind w:firstLine="360"/>
        <w:jc w:val="both"/>
        <w:rPr>
          <w:rFonts w:ascii="Century Gothic" w:hAnsi="Century Gothic" w:cs="Arial"/>
          <w:color w:val="000000" w:themeColor="text1"/>
          <w:sz w:val="21"/>
          <w:szCs w:val="21"/>
          <w:lang w:val="es-ES_tradnl"/>
        </w:rPr>
      </w:pPr>
      <w:r>
        <w:rPr>
          <w:rFonts w:ascii="Century Gothic" w:eastAsia="Calibri" w:hAnsi="Century Gothic" w:cs="Arial"/>
          <w:color w:val="000000"/>
          <w:kern w:val="2"/>
          <w14:ligatures w14:val="standardContextual"/>
        </w:rPr>
        <w:tab/>
      </w:r>
    </w:p>
    <w:p w14:paraId="682DCF9B" w14:textId="77777777" w:rsidR="009B7745" w:rsidRDefault="009B7745" w:rsidP="009B7745">
      <w:pPr>
        <w:pStyle w:val="Prrafodelista"/>
        <w:numPr>
          <w:ilvl w:val="0"/>
          <w:numId w:val="3"/>
        </w:numPr>
        <w:spacing w:after="0" w:line="240" w:lineRule="auto"/>
        <w:jc w:val="both"/>
        <w:rPr>
          <w:rFonts w:ascii="Century Gothic" w:hAnsi="Century Gothic" w:cs="Arial"/>
          <w:color w:val="000000" w:themeColor="text1"/>
          <w:sz w:val="21"/>
          <w:szCs w:val="21"/>
          <w:lang w:val="es-ES_tradnl"/>
        </w:rPr>
      </w:pPr>
      <w:r w:rsidRPr="006F5358">
        <w:rPr>
          <w:rFonts w:ascii="Century Gothic" w:hAnsi="Century Gothic" w:cs="Arial"/>
          <w:color w:val="000000" w:themeColor="text1"/>
          <w:sz w:val="21"/>
          <w:szCs w:val="21"/>
          <w:lang w:val="es-ES_tradnl"/>
        </w:rPr>
        <w:t>¿Para la eventual celebración de convenios solidarios, aplica el régimen de inhabilidades e incompatibilidades?</w:t>
      </w:r>
    </w:p>
    <w:p w14:paraId="408268DE"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65FDD447" w14:textId="77777777" w:rsidR="009B7745" w:rsidRPr="00D664F8" w:rsidRDefault="009B7745" w:rsidP="009B7745">
      <w:pPr>
        <w:shd w:val="clear" w:color="auto" w:fill="FFFFFF" w:themeFill="background1"/>
        <w:spacing w:after="120" w:line="276" w:lineRule="auto"/>
        <w:jc w:val="both"/>
        <w:rPr>
          <w:rFonts w:ascii="Century Gothic" w:hAnsi="Century Gothic" w:cs="Arial"/>
          <w:color w:val="000000" w:themeColor="text1"/>
          <w:lang w:val="es-ES_tradnl"/>
        </w:rPr>
      </w:pPr>
      <w:r>
        <w:rPr>
          <w:rFonts w:ascii="Century Gothic" w:hAnsi="Century Gothic" w:cs="Arial"/>
          <w:color w:val="000000" w:themeColor="text1"/>
          <w:lang w:val="es-ES_tradnl"/>
        </w:rPr>
        <w:t>A los miembros y dignatarios que representen los intereses de los Organismos de Acción Comunal en el marco del convenio solidario</w:t>
      </w:r>
      <w:r w:rsidRPr="00D664F8">
        <w:rPr>
          <w:rFonts w:ascii="Century Gothic" w:hAnsi="Century Gothic" w:cs="Arial"/>
          <w:color w:val="000000" w:themeColor="text1"/>
          <w:lang w:val="es-ES_tradnl"/>
        </w:rPr>
        <w:t>, les será aplicable el régimen de inhabilidades e incompatibilidades dispuesto en la Constitución Política y en el artículo 8 de la Ley 80 de 1993</w:t>
      </w:r>
      <w:r w:rsidRPr="00D664F8">
        <w:rPr>
          <w:rFonts w:ascii="Century Gothic" w:hAnsi="Century Gothic" w:cs="Arial"/>
          <w:color w:val="000000" w:themeColor="text1"/>
          <w:vertAlign w:val="superscript"/>
          <w:lang w:val="es-ES_tradnl"/>
        </w:rPr>
        <w:footnoteReference w:id="37"/>
      </w:r>
      <w:r w:rsidRPr="00D664F8">
        <w:rPr>
          <w:rFonts w:ascii="Century Gothic" w:hAnsi="Century Gothic" w:cs="Arial"/>
          <w:color w:val="000000" w:themeColor="text1"/>
          <w:lang w:val="es-ES_tradnl"/>
        </w:rPr>
        <w:t xml:space="preserve">. </w:t>
      </w:r>
    </w:p>
    <w:p w14:paraId="55C59A82" w14:textId="77777777" w:rsidR="009B7745" w:rsidRDefault="009B7745" w:rsidP="009B7745">
      <w:pPr>
        <w:shd w:val="clear" w:color="auto" w:fill="FFFFFF" w:themeFill="background1"/>
        <w:spacing w:after="120" w:line="276" w:lineRule="auto"/>
        <w:ind w:firstLine="709"/>
        <w:jc w:val="both"/>
        <w:rPr>
          <w:rFonts w:ascii="Century Gothic" w:hAnsi="Century Gothic" w:cs="Arial"/>
          <w:color w:val="000000" w:themeColor="text1"/>
          <w:lang w:val="es-ES_tradnl"/>
        </w:rPr>
      </w:pPr>
      <w:r w:rsidRPr="00D664F8">
        <w:rPr>
          <w:rFonts w:ascii="Century Gothic" w:hAnsi="Century Gothic" w:cs="Arial"/>
          <w:color w:val="000000" w:themeColor="text1"/>
          <w:lang w:val="es-ES_tradnl"/>
        </w:rPr>
        <w:lastRenderedPageBreak/>
        <w:t xml:space="preserve">Por lo tanto, corresponde de una parte, a </w:t>
      </w:r>
      <w:r>
        <w:rPr>
          <w:rFonts w:ascii="Century Gothic" w:hAnsi="Century Gothic" w:cs="Arial"/>
          <w:color w:val="000000" w:themeColor="text1"/>
          <w:lang w:val="es-ES_tradnl"/>
        </w:rPr>
        <w:t>los Organismos de Acción Comunal,</w:t>
      </w:r>
      <w:r w:rsidRPr="00D664F8">
        <w:rPr>
          <w:rFonts w:ascii="Century Gothic" w:hAnsi="Century Gothic" w:cs="Arial"/>
          <w:color w:val="000000" w:themeColor="text1"/>
          <w:lang w:val="es-ES_tradnl"/>
        </w:rPr>
        <w:t xml:space="preserve"> en principio, determinar si uno o algunos de sus integrantes incurre o no en causal de inhabilidad o incompatibilidad para ser partícipes de los procesos de contratación pública y, en consecuencia, suscribir </w:t>
      </w:r>
      <w:r>
        <w:rPr>
          <w:rFonts w:ascii="Century Gothic" w:hAnsi="Century Gothic" w:cs="Arial"/>
          <w:color w:val="000000" w:themeColor="text1"/>
          <w:lang w:val="es-ES_tradnl"/>
        </w:rPr>
        <w:t>este tipo de convenios</w:t>
      </w:r>
      <w:r w:rsidRPr="00D664F8">
        <w:rPr>
          <w:rFonts w:ascii="Century Gothic" w:hAnsi="Century Gothic" w:cs="Arial"/>
          <w:color w:val="000000" w:themeColor="text1"/>
          <w:lang w:val="es-ES_tradnl"/>
        </w:rPr>
        <w:t>. Y, de otra parte, acorde con las disposiciones que rigen su actividad contractual, les atañe a las entidades estatales evaluar en cada caso, si uno o algunos de los integrantes d</w:t>
      </w:r>
      <w:r>
        <w:rPr>
          <w:rFonts w:ascii="Century Gothic" w:hAnsi="Century Gothic" w:cs="Arial"/>
          <w:color w:val="000000" w:themeColor="text1"/>
          <w:lang w:val="es-ES_tradnl"/>
        </w:rPr>
        <w:t>el Organismo de Acción Comunal</w:t>
      </w:r>
      <w:r w:rsidRPr="00D664F8">
        <w:rPr>
          <w:rFonts w:ascii="Century Gothic" w:hAnsi="Century Gothic" w:cs="Arial"/>
          <w:color w:val="000000" w:themeColor="text1"/>
          <w:lang w:val="es-ES_tradnl"/>
        </w:rPr>
        <w:t xml:space="preserve"> se encuentra o no inmerso en los límites especiales a la capacidad </w:t>
      </w:r>
      <w:r>
        <w:rPr>
          <w:rFonts w:ascii="Century Gothic" w:hAnsi="Century Gothic" w:cs="Arial"/>
          <w:color w:val="000000" w:themeColor="text1"/>
          <w:lang w:val="es-ES_tradnl"/>
        </w:rPr>
        <w:t xml:space="preserve">jurídica </w:t>
      </w:r>
      <w:r w:rsidRPr="00D664F8">
        <w:rPr>
          <w:rFonts w:ascii="Century Gothic" w:hAnsi="Century Gothic" w:cs="Arial"/>
          <w:color w:val="000000" w:themeColor="text1"/>
          <w:lang w:val="es-ES_tradnl"/>
        </w:rPr>
        <w:t xml:space="preserve">para </w:t>
      </w:r>
      <w:r>
        <w:rPr>
          <w:rFonts w:ascii="Century Gothic" w:hAnsi="Century Gothic" w:cs="Arial"/>
          <w:color w:val="000000" w:themeColor="text1"/>
          <w:lang w:val="es-ES_tradnl"/>
        </w:rPr>
        <w:t>la celebración del</w:t>
      </w:r>
      <w:r w:rsidRPr="00D664F8">
        <w:rPr>
          <w:rFonts w:ascii="Century Gothic" w:hAnsi="Century Gothic" w:cs="Arial"/>
          <w:color w:val="000000" w:themeColor="text1"/>
          <w:lang w:val="es-ES_tradnl"/>
        </w:rPr>
        <w:t xml:space="preserve"> </w:t>
      </w:r>
      <w:r>
        <w:rPr>
          <w:rFonts w:ascii="Century Gothic" w:hAnsi="Century Gothic" w:cs="Arial"/>
          <w:color w:val="000000" w:themeColor="text1"/>
          <w:lang w:val="es-ES_tradnl"/>
        </w:rPr>
        <w:t>convenio</w:t>
      </w:r>
      <w:r w:rsidRPr="00D664F8">
        <w:rPr>
          <w:rFonts w:ascii="Century Gothic" w:hAnsi="Century Gothic" w:cs="Arial"/>
          <w:color w:val="000000" w:themeColor="text1"/>
          <w:lang w:val="es-ES_tradnl"/>
        </w:rPr>
        <w:t>.</w:t>
      </w:r>
    </w:p>
    <w:p w14:paraId="18C54A97" w14:textId="77777777" w:rsidR="009B7745" w:rsidRPr="002B0918" w:rsidRDefault="009B7745" w:rsidP="009B7745">
      <w:pPr>
        <w:shd w:val="clear" w:color="auto" w:fill="FFFFFF" w:themeFill="background1"/>
        <w:spacing w:after="120" w:line="276" w:lineRule="auto"/>
        <w:ind w:firstLine="709"/>
        <w:jc w:val="both"/>
        <w:rPr>
          <w:rFonts w:ascii="Century Gothic" w:hAnsi="Century Gothic" w:cs="Arial"/>
          <w:color w:val="000000" w:themeColor="text1"/>
          <w:sz w:val="21"/>
          <w:szCs w:val="21"/>
        </w:rPr>
      </w:pPr>
      <w:r>
        <w:rPr>
          <w:rFonts w:ascii="Century Gothic" w:hAnsi="Century Gothic" w:cs="Arial"/>
          <w:color w:val="000000" w:themeColor="text1"/>
          <w:lang w:val="es-ES_tradnl"/>
        </w:rPr>
        <w:t xml:space="preserve">Así lo estipula el numeral 23 de la Minuta Tipo que a la letra dice </w:t>
      </w:r>
      <w:r>
        <w:rPr>
          <w:rFonts w:ascii="Century Gothic" w:eastAsia="Calibri" w:hAnsi="Century Gothic" w:cs="Arial"/>
          <w:color w:val="000000"/>
          <w:kern w:val="2"/>
          <w14:ligatures w14:val="standardContextual"/>
        </w:rPr>
        <w:t xml:space="preserve">“(…) </w:t>
      </w:r>
      <w:r w:rsidRPr="00053789">
        <w:rPr>
          <w:rFonts w:ascii="Century Gothic" w:eastAsia="Calibri" w:hAnsi="Century Gothic" w:cs="Arial"/>
          <w:i/>
          <w:iCs/>
          <w:color w:val="000000"/>
          <w:kern w:val="2"/>
          <w14:ligatures w14:val="standardContextual"/>
        </w:rPr>
        <w:t>las partes manifestamos no encontrarse incursos en las causales de inhabilidad, incompatibilidad o prohibición previstas en la Constitución Política y en la ley</w:t>
      </w:r>
      <w:r>
        <w:rPr>
          <w:rFonts w:ascii="Century Gothic" w:eastAsia="Calibri" w:hAnsi="Century Gothic" w:cs="Arial"/>
          <w:i/>
          <w:iCs/>
          <w:color w:val="000000"/>
          <w:kern w:val="2"/>
          <w14:ligatures w14:val="standardContextual"/>
        </w:rPr>
        <w:t>”</w:t>
      </w:r>
      <w:r w:rsidRPr="00053789">
        <w:rPr>
          <w:rFonts w:ascii="Century Gothic" w:eastAsia="Calibri" w:hAnsi="Century Gothic" w:cs="Arial"/>
          <w:color w:val="000000"/>
          <w:kern w:val="2"/>
          <w14:ligatures w14:val="standardContextual"/>
        </w:rPr>
        <w:t>.</w:t>
      </w:r>
    </w:p>
    <w:p w14:paraId="63CB42C4" w14:textId="77777777" w:rsidR="009B7745" w:rsidRPr="00E33F26"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07CD5716" w14:textId="77777777" w:rsidR="009B7745" w:rsidRDefault="009B7745" w:rsidP="009B7745">
      <w:pPr>
        <w:pStyle w:val="Prrafodelista"/>
        <w:numPr>
          <w:ilvl w:val="0"/>
          <w:numId w:val="3"/>
        </w:numPr>
        <w:spacing w:after="0" w:line="240" w:lineRule="auto"/>
        <w:jc w:val="both"/>
        <w:rPr>
          <w:rFonts w:ascii="Century Gothic" w:hAnsi="Century Gothic" w:cs="Arial"/>
          <w:color w:val="000000" w:themeColor="text1"/>
          <w:sz w:val="21"/>
          <w:szCs w:val="21"/>
          <w:lang w:val="es-ES_tradnl"/>
        </w:rPr>
      </w:pPr>
      <w:r w:rsidRPr="00E33F26">
        <w:rPr>
          <w:rFonts w:ascii="Century Gothic" w:hAnsi="Century Gothic" w:cs="Arial"/>
          <w:color w:val="000000" w:themeColor="text1"/>
          <w:sz w:val="21"/>
          <w:szCs w:val="21"/>
          <w:lang w:val="es-ES_tradnl"/>
        </w:rPr>
        <w:t>¿Los Organismos de Acción Comunal deben acreditar idoneidad para la ejecución del convenio a ser celebrado? ¿En caso afirmativo, como debe acreditarla? ¿En caso negativo, no sería posible celebrar el convenio con dicha organización?</w:t>
      </w:r>
    </w:p>
    <w:p w14:paraId="6B92A076"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7322B4EB" w14:textId="77777777" w:rsidR="009B7745" w:rsidRPr="00C24A08" w:rsidRDefault="009B7745" w:rsidP="009B7745">
      <w:pPr>
        <w:shd w:val="clear" w:color="auto" w:fill="FFFFFF" w:themeFill="background1"/>
        <w:spacing w:after="120" w:line="276" w:lineRule="auto"/>
        <w:jc w:val="both"/>
        <w:textAlignment w:val="baseline"/>
        <w:rPr>
          <w:rFonts w:ascii="Century Gothic" w:eastAsia="Calibri" w:hAnsi="Century Gothic" w:cs="Arial"/>
          <w:color w:val="000000" w:themeColor="text1"/>
          <w:sz w:val="21"/>
          <w:szCs w:val="21"/>
          <w:lang w:val="es-ES_tradnl"/>
        </w:rPr>
      </w:pPr>
      <w:r w:rsidRPr="00C24A08">
        <w:rPr>
          <w:rFonts w:ascii="Century Gothic" w:hAnsi="Century Gothic" w:cs="Arial"/>
          <w:color w:val="000000" w:themeColor="text1"/>
          <w:lang w:val="es-ES" w:eastAsia="es-MX"/>
        </w:rPr>
        <w:t xml:space="preserve">Para la suscripción de convenios solidarios </w:t>
      </w:r>
      <w:r w:rsidRPr="00C24A08">
        <w:rPr>
          <w:rFonts w:ascii="Century Gothic" w:hAnsi="Century Gothic" w:cs="Arial"/>
          <w:lang w:eastAsia="es-MX"/>
        </w:rPr>
        <w:t xml:space="preserve">cada Organismo de Acción Comunal debe acreditar su existencia y representación legal en los términos del artículo 78 de la Ley 2166 de 2021, quienes serán los habilitados para suscribir convenios solidarios con las entidades estatales. Por su parte, </w:t>
      </w:r>
      <w:r w:rsidRPr="00C24A08">
        <w:rPr>
          <w:rFonts w:ascii="Century Gothic" w:hAnsi="Century Gothic" w:cs="Arial"/>
          <w:color w:val="000000" w:themeColor="text1"/>
          <w:lang w:val="es-MX" w:eastAsia="es-MX"/>
        </w:rPr>
        <w:t xml:space="preserve">teniendo en cuenta la naturaleza de las Juntas de Acción Comunal y la incidencia que en ellas tiene el principio de participación, es importante realzar que la territorialidad de la cual hace parte es el único lugar en el cual puede desarrollar sus actividades, pues sólo así se garantizaría una verdadera participación de la comunidad en la formulación, ejecución y administración de planes, programas y proyectos en su territorio, por lo que resultaría contrario al principio de participación que los Organismos de Acción Comunal pudieran ejecutar contratos en sitios donde no tienen representación participativa. </w:t>
      </w:r>
    </w:p>
    <w:p w14:paraId="15838480" w14:textId="77777777" w:rsidR="009B7745" w:rsidRPr="00C24A08" w:rsidRDefault="009B7745" w:rsidP="009B7745">
      <w:pPr>
        <w:shd w:val="clear" w:color="auto" w:fill="FFFFFF" w:themeFill="background1"/>
        <w:spacing w:line="276" w:lineRule="auto"/>
        <w:ind w:firstLine="708"/>
        <w:jc w:val="both"/>
        <w:rPr>
          <w:rFonts w:ascii="Century Gothic" w:hAnsi="Century Gothic" w:cs="Arial"/>
          <w:lang w:eastAsia="es-MX"/>
        </w:rPr>
      </w:pPr>
      <w:r w:rsidRPr="00C24A08">
        <w:rPr>
          <w:rFonts w:ascii="Century Gothic" w:hAnsi="Century Gothic" w:cs="Arial"/>
          <w:color w:val="000000" w:themeColor="text1"/>
          <w:lang w:val="es-MX" w:eastAsia="es-MX"/>
        </w:rPr>
        <w:t>Asimismo</w:t>
      </w:r>
      <w:r>
        <w:rPr>
          <w:rFonts w:ascii="Century Gothic" w:hAnsi="Century Gothic" w:cs="Arial"/>
          <w:color w:val="000000" w:themeColor="text1"/>
          <w:lang w:val="es-MX" w:eastAsia="es-MX"/>
        </w:rPr>
        <w:t xml:space="preserve">, de acuerdo con lo expuesto en la parte considerativa del presente concepto </w:t>
      </w:r>
      <w:r w:rsidRPr="00C24A08">
        <w:rPr>
          <w:rFonts w:ascii="Century Gothic" w:hAnsi="Century Gothic" w:cs="Arial"/>
          <w:lang w:eastAsia="es-MX"/>
        </w:rPr>
        <w:t xml:space="preserve"> </w:t>
      </w:r>
      <w:r>
        <w:rPr>
          <w:rFonts w:ascii="Century Gothic" w:hAnsi="Century Gothic" w:cs="Arial"/>
          <w:lang w:eastAsia="es-MX"/>
        </w:rPr>
        <w:t xml:space="preserve">y </w:t>
      </w:r>
      <w:r w:rsidRPr="00C24A08">
        <w:rPr>
          <w:rFonts w:ascii="Century Gothic" w:hAnsi="Century Gothic" w:cs="Arial"/>
          <w:lang w:eastAsia="es-MX"/>
        </w:rPr>
        <w:t xml:space="preserve">con base en el principio de participación, el objeto social de las Juntas de Acción Comunal está definido y limitado a la territorialidad a la cual pertenece y tiene jurisdicción, por lo tanto no podrá ejecutar actividades por fuera de esta, pues sólo así se garantizaría que el desarrollo de la comunidad, se dé a través de un proceso territorial que integren los esfuerzos de su población, </w:t>
      </w:r>
      <w:r w:rsidRPr="00C24A08">
        <w:rPr>
          <w:rFonts w:ascii="Century Gothic" w:hAnsi="Century Gothic" w:cs="Arial"/>
          <w:lang w:eastAsia="es-MX"/>
        </w:rPr>
        <w:lastRenderedPageBreak/>
        <w:t>organismos y el Estado, para mejorar la calidad de vida de las comunidades, fortaleciendo así la construcción de las mismas, a partir de los planes de desarrollo comunales y comunitarios construidos y concertados por los afiliados a los organismos comunales, en articulación con las autoridades de cada uno de sus territorios.</w:t>
      </w:r>
    </w:p>
    <w:p w14:paraId="717ECFFB" w14:textId="77777777" w:rsidR="009B7745" w:rsidRPr="008F12C3" w:rsidRDefault="009B7745" w:rsidP="009B7745">
      <w:pPr>
        <w:shd w:val="clear" w:color="auto" w:fill="FFFFFF" w:themeFill="background1"/>
        <w:spacing w:before="120" w:line="276" w:lineRule="auto"/>
        <w:ind w:firstLine="709"/>
        <w:jc w:val="both"/>
        <w:rPr>
          <w:rFonts w:ascii="Century Gothic" w:hAnsi="Century Gothic" w:cs="Arial"/>
          <w:color w:val="000000" w:themeColor="text1"/>
          <w:sz w:val="21"/>
          <w:szCs w:val="21"/>
        </w:rPr>
      </w:pPr>
      <w:r>
        <w:rPr>
          <w:rFonts w:ascii="Century Gothic" w:hAnsi="Century Gothic" w:cs="Arial"/>
          <w:lang w:eastAsia="es-MX"/>
        </w:rPr>
        <w:t>Aunado a lo anterior</w:t>
      </w:r>
      <w:r w:rsidRPr="00C24A08">
        <w:rPr>
          <w:rFonts w:ascii="Century Gothic" w:hAnsi="Century Gothic" w:cs="Arial"/>
          <w:lang w:eastAsia="es-MX"/>
        </w:rPr>
        <w:t xml:space="preserve">, en lo </w:t>
      </w:r>
      <w:r>
        <w:rPr>
          <w:rFonts w:ascii="Century Gothic" w:hAnsi="Century Gothic" w:cs="Arial"/>
          <w:lang w:eastAsia="es-MX"/>
        </w:rPr>
        <w:t>relacionado con los</w:t>
      </w:r>
      <w:r w:rsidRPr="00C24A08">
        <w:rPr>
          <w:rFonts w:ascii="Century Gothic" w:hAnsi="Century Gothic" w:cs="Arial"/>
          <w:lang w:eastAsia="es-MX"/>
        </w:rPr>
        <w:t xml:space="preserve"> requisitos que deba acreditar el Organismos de Acción Comunal para la celebración de convenios solidarios, deberá tenerse en cuenta la acreditación </w:t>
      </w:r>
      <w:r>
        <w:rPr>
          <w:rFonts w:ascii="Century Gothic" w:hAnsi="Century Gothic" w:cs="Arial"/>
          <w:lang w:eastAsia="es-MX"/>
        </w:rPr>
        <w:t xml:space="preserve">de idoneidad </w:t>
      </w:r>
      <w:r w:rsidRPr="00C24A08">
        <w:rPr>
          <w:rFonts w:ascii="Century Gothic" w:hAnsi="Century Gothic" w:cs="Arial"/>
          <w:lang w:eastAsia="es-MX"/>
        </w:rPr>
        <w:t>respecto a las capacidades propias de los Organismos de Acción Comunal o de quienes los conforman, en aspectos como, por ejemplo, la ejecución exitosa de convenios solidarios anteriores o las acreditaciones del personal que los integran el cumplimiento de obligaciones como mano de obra calificada o no calificada, entre otros.  Sin embargo, dichos criterios de idoneidad los debe definir la Entidad Estatal teniendo en cuenta el resultado del análisis del sector y demás documentos previos.</w:t>
      </w:r>
    </w:p>
    <w:p w14:paraId="28FDB3D7" w14:textId="77777777" w:rsidR="009B7745" w:rsidRPr="00E33F26"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27E90910" w14:textId="77777777" w:rsidR="009B7745" w:rsidRDefault="009B7745" w:rsidP="009B7745">
      <w:pPr>
        <w:pStyle w:val="Prrafodelista"/>
        <w:numPr>
          <w:ilvl w:val="0"/>
          <w:numId w:val="3"/>
        </w:numPr>
        <w:spacing w:after="0" w:line="240" w:lineRule="auto"/>
        <w:jc w:val="both"/>
        <w:rPr>
          <w:rFonts w:ascii="Century Gothic" w:hAnsi="Century Gothic" w:cs="Arial"/>
          <w:color w:val="000000" w:themeColor="text1"/>
          <w:sz w:val="21"/>
          <w:szCs w:val="21"/>
          <w:lang w:val="es-ES_tradnl"/>
        </w:rPr>
      </w:pPr>
      <w:r w:rsidRPr="00E33F26">
        <w:rPr>
          <w:rFonts w:ascii="Century Gothic" w:hAnsi="Century Gothic" w:cs="Arial"/>
          <w:color w:val="000000" w:themeColor="text1"/>
          <w:sz w:val="21"/>
          <w:szCs w:val="21"/>
          <w:lang w:val="es-ES_tradnl"/>
        </w:rPr>
        <w:t>¿Deben exigirse pólizas que garanticen la calidad de las obras a ser ejecutadas, así como el cumplimiento de los convenios a ser celebrados con las organizaciones de acción comunal? aún cuanto entre ellas no se pacten obligaciones conmutativas?</w:t>
      </w:r>
    </w:p>
    <w:p w14:paraId="320D6901" w14:textId="77777777" w:rsidR="009B7745"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47821C10" w14:textId="77777777" w:rsidR="009B7745" w:rsidRDefault="009B7745" w:rsidP="009B7745">
      <w:pPr>
        <w:pStyle w:val="Prrafodelista"/>
        <w:numPr>
          <w:ilvl w:val="0"/>
          <w:numId w:val="4"/>
        </w:numPr>
        <w:spacing w:after="0" w:line="240" w:lineRule="auto"/>
        <w:jc w:val="both"/>
        <w:rPr>
          <w:rFonts w:ascii="Century Gothic" w:hAnsi="Century Gothic" w:cs="Arial"/>
          <w:color w:val="000000" w:themeColor="text1"/>
          <w:sz w:val="21"/>
          <w:szCs w:val="21"/>
          <w:lang w:val="es-ES_tradnl"/>
        </w:rPr>
      </w:pPr>
      <w:r w:rsidRPr="00C4556C">
        <w:rPr>
          <w:rFonts w:ascii="Century Gothic" w:hAnsi="Century Gothic" w:cs="Arial"/>
          <w:color w:val="000000" w:themeColor="text1"/>
          <w:sz w:val="21"/>
          <w:szCs w:val="21"/>
          <w:lang w:val="es-ES_tradnl"/>
        </w:rPr>
        <w:t>¿Dado que el artículo 2.2.15.1.2 del Decreto 1082 de 2015, contempla los convenios solidarios en el marco de las disposiciones en materia de contratación pública, debe entenderse entonces que a este tipo de convenios le son aplicables las disposiciones y principios de la contratación estatal?</w:t>
      </w:r>
    </w:p>
    <w:p w14:paraId="657B5D57" w14:textId="77777777" w:rsidR="009B7745"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48B8B00A" w14:textId="77777777" w:rsidR="009B7745" w:rsidRPr="004E75CB" w:rsidRDefault="009B7745" w:rsidP="009B7745">
      <w:pPr>
        <w:pStyle w:val="Prrafodelista"/>
        <w:numPr>
          <w:ilvl w:val="0"/>
          <w:numId w:val="4"/>
        </w:numPr>
        <w:tabs>
          <w:tab w:val="left" w:pos="1180"/>
        </w:tabs>
        <w:spacing w:after="0" w:line="240" w:lineRule="auto"/>
        <w:jc w:val="both"/>
        <w:rPr>
          <w:rFonts w:ascii="Century Gothic" w:hAnsi="Century Gothic" w:cs="Arial"/>
          <w:color w:val="000000" w:themeColor="text1"/>
          <w:sz w:val="21"/>
          <w:szCs w:val="21"/>
          <w:lang w:val="es-ES_tradnl"/>
        </w:rPr>
      </w:pPr>
      <w:r w:rsidRPr="004E75CB">
        <w:rPr>
          <w:rFonts w:ascii="Century Gothic" w:hAnsi="Century Gothic" w:cs="Arial"/>
          <w:color w:val="000000" w:themeColor="text1"/>
          <w:sz w:val="21"/>
          <w:szCs w:val="21"/>
          <w:lang w:val="es-ES_tradnl"/>
        </w:rPr>
        <w:t>¿En caso de un eventual incumplimiento por parte del Organismo de Acción Comunal del convenio solidario, es posible iniciar el procedimiento de incumplimiento? ¿O por tratarse de un convenio en el marco de la participación comunitaria sin que se derive del mismo la ejecución de obligaciones conmutativas, no sería dable? ¿Qué otras medidas se tienen para garantizar el cumplimiento del objeto del convenio a ser celebrado?</w:t>
      </w:r>
    </w:p>
    <w:p w14:paraId="70465CE0"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5665F722" w14:textId="77777777" w:rsidR="009B7745" w:rsidRPr="0097705A" w:rsidRDefault="009B7745" w:rsidP="009B7745">
      <w:pPr>
        <w:spacing w:before="120" w:after="0" w:line="276" w:lineRule="auto"/>
        <w:jc w:val="both"/>
        <w:rPr>
          <w:rFonts w:ascii="Century Gothic" w:hAnsi="Century Gothic" w:cs="Arial"/>
          <w:lang w:eastAsia="es-MX"/>
        </w:rPr>
      </w:pPr>
      <w:bookmarkStart w:id="15" w:name="_Hlk131064197"/>
      <w:r w:rsidRPr="00912CC7">
        <w:rPr>
          <w:rFonts w:ascii="Century Gothic" w:hAnsi="Century Gothic" w:cs="Arial"/>
          <w:lang w:eastAsia="es-MX"/>
        </w:rPr>
        <w:t xml:space="preserve">Como se </w:t>
      </w:r>
      <w:r>
        <w:rPr>
          <w:rFonts w:ascii="Century Gothic" w:hAnsi="Century Gothic" w:cs="Arial"/>
          <w:lang w:eastAsia="es-MX"/>
        </w:rPr>
        <w:t xml:space="preserve">explicó en las consideraciones de este concepto, la Entidad Estatal es quien debe determinar la exigencia de garantías, es por ello </w:t>
      </w:r>
      <w:proofErr w:type="gramStart"/>
      <w:r>
        <w:rPr>
          <w:rFonts w:ascii="Century Gothic" w:hAnsi="Century Gothic" w:cs="Arial"/>
          <w:lang w:eastAsia="es-MX"/>
        </w:rPr>
        <w:t>que</w:t>
      </w:r>
      <w:proofErr w:type="gramEnd"/>
      <w:r>
        <w:rPr>
          <w:rFonts w:ascii="Century Gothic" w:hAnsi="Century Gothic" w:cs="Arial"/>
          <w:lang w:eastAsia="es-MX"/>
        </w:rPr>
        <w:t>, en la Minuta Tipo</w:t>
      </w:r>
      <w:r w:rsidRPr="00ED5FCF">
        <w:rPr>
          <w:rFonts w:ascii="Century Gothic" w:eastAsia="Calibri" w:hAnsi="Century Gothic" w:cs="Arial"/>
          <w:color w:val="000000"/>
          <w:kern w:val="2"/>
          <w14:ligatures w14:val="standardContextual"/>
        </w:rPr>
        <w:t xml:space="preserve"> para </w:t>
      </w:r>
      <w:r>
        <w:rPr>
          <w:rFonts w:ascii="Century Gothic" w:eastAsia="Calibri" w:hAnsi="Century Gothic" w:cs="Arial"/>
          <w:color w:val="000000"/>
          <w:kern w:val="2"/>
          <w14:ligatures w14:val="standardContextual"/>
        </w:rPr>
        <w:t>la celebración</w:t>
      </w:r>
      <w:r w:rsidRPr="00ED5FCF">
        <w:rPr>
          <w:rFonts w:ascii="Century Gothic" w:eastAsia="Calibri" w:hAnsi="Century Gothic" w:cs="Arial"/>
          <w:color w:val="000000"/>
          <w:kern w:val="2"/>
          <w14:ligatures w14:val="standardContextual"/>
        </w:rPr>
        <w:t xml:space="preserve"> de convenios solidarios</w:t>
      </w:r>
      <w:r>
        <w:rPr>
          <w:rFonts w:ascii="Century Gothic" w:eastAsia="Calibri" w:hAnsi="Century Gothic" w:cs="Arial"/>
          <w:color w:val="000000"/>
          <w:kern w:val="2"/>
          <w14:ligatures w14:val="standardContextual"/>
        </w:rPr>
        <w:t>,</w:t>
      </w:r>
      <w:r w:rsidRPr="00ED5FCF">
        <w:rPr>
          <w:rFonts w:ascii="Century Gothic" w:eastAsia="Calibri" w:hAnsi="Century Gothic" w:cs="Arial"/>
          <w:color w:val="000000"/>
          <w:kern w:val="2"/>
          <w14:ligatures w14:val="standardContextual"/>
        </w:rPr>
        <w:t xml:space="preserve"> </w:t>
      </w:r>
      <w:r>
        <w:rPr>
          <w:rFonts w:ascii="Century Gothic" w:eastAsia="Calibri" w:hAnsi="Century Gothic" w:cs="Arial"/>
          <w:color w:val="000000"/>
          <w:kern w:val="2"/>
          <w14:ligatures w14:val="standardContextual"/>
        </w:rPr>
        <w:t xml:space="preserve">se establece la </w:t>
      </w:r>
      <w:r w:rsidRPr="005E7FD0">
        <w:rPr>
          <w:rFonts w:ascii="Century Gothic" w:eastAsia="Calibri" w:hAnsi="Century Gothic" w:cs="Arial"/>
          <w:color w:val="000000"/>
          <w:kern w:val="2"/>
          <w14:ligatures w14:val="standardContextual"/>
        </w:rPr>
        <w:t xml:space="preserve">Cláusula 17 </w:t>
      </w:r>
      <w:r w:rsidRPr="0097705A">
        <w:rPr>
          <w:rFonts w:ascii="Century Gothic" w:eastAsia="Calibri" w:hAnsi="Century Gothic" w:cs="Arial"/>
          <w:color w:val="000000"/>
          <w:kern w:val="2"/>
          <w14:ligatures w14:val="standardContextual"/>
        </w:rPr>
        <w:t>Garantías, la cual agrega:</w:t>
      </w:r>
    </w:p>
    <w:p w14:paraId="20C6B3A3" w14:textId="77777777" w:rsidR="009B7745" w:rsidRDefault="009B7745" w:rsidP="009B7745">
      <w:pPr>
        <w:spacing w:before="120" w:after="0" w:line="276" w:lineRule="auto"/>
        <w:ind w:left="851" w:right="567"/>
        <w:jc w:val="both"/>
        <w:rPr>
          <w:rFonts w:ascii="Century Gothic" w:eastAsia="Calibri" w:hAnsi="Century Gothic" w:cs="Arial"/>
          <w:color w:val="000000"/>
          <w:kern w:val="2"/>
          <w14:ligatures w14:val="standardContextual"/>
        </w:rPr>
      </w:pPr>
    </w:p>
    <w:p w14:paraId="01E6375B" w14:textId="77777777" w:rsidR="009B7745" w:rsidRPr="0097705A" w:rsidRDefault="009B7745" w:rsidP="009B7745">
      <w:pPr>
        <w:ind w:left="851" w:right="567"/>
        <w:jc w:val="both"/>
        <w:rPr>
          <w:rFonts w:ascii="Century Gothic" w:eastAsia="Calibri" w:hAnsi="Century Gothic" w:cs="Arial"/>
          <w:color w:val="000000"/>
          <w:kern w:val="2"/>
          <w:sz w:val="20"/>
          <w:szCs w:val="20"/>
          <w14:ligatures w14:val="standardContextual"/>
        </w:rPr>
      </w:pPr>
      <w:r>
        <w:rPr>
          <w:rFonts w:ascii="Arial" w:eastAsia="Arial" w:hAnsi="Arial" w:cs="Arial"/>
          <w:color w:val="000000"/>
          <w:highlight w:val="lightGray"/>
        </w:rPr>
        <w:lastRenderedPageBreak/>
        <w:t>“</w:t>
      </w:r>
      <w:r w:rsidRPr="4413A6AB">
        <w:rPr>
          <w:rFonts w:ascii="Arial" w:eastAsia="Arial" w:hAnsi="Arial" w:cs="Arial"/>
          <w:color w:val="000000"/>
          <w:highlight w:val="lightGray"/>
        </w:rPr>
        <w:t>[</w:t>
      </w:r>
      <w:r w:rsidRPr="0097705A">
        <w:rPr>
          <w:rFonts w:ascii="Century Gothic" w:eastAsia="Calibri" w:hAnsi="Century Gothic" w:cs="Arial"/>
          <w:color w:val="000000"/>
          <w:kern w:val="2"/>
          <w:sz w:val="20"/>
          <w:szCs w:val="20"/>
          <w14:ligatures w14:val="standardContextual"/>
        </w:rPr>
        <w:t>Incluir el siguiente texto cuando la Entidad Estatal no considere necesario exigir garantías, de conformidad con la justificación incluida en los estudios previos: De conformidad con lo dispuesto en el artículo 7 de la Ley 1150 de 2007 y artículo 2.2.1.2.1.4.5 del Decreto 1082 de 2015, las garantías no serán obligatorias en la contratación directa, razón por la cual para el presente contrato no se exigirán garantías.]</w:t>
      </w:r>
    </w:p>
    <w:p w14:paraId="77E647F1" w14:textId="77777777" w:rsidR="009B7745" w:rsidRPr="0097705A" w:rsidRDefault="009B7745" w:rsidP="009B7745">
      <w:pPr>
        <w:ind w:left="851" w:right="567"/>
        <w:jc w:val="both"/>
        <w:rPr>
          <w:rFonts w:ascii="Century Gothic" w:eastAsia="Calibri" w:hAnsi="Century Gothic" w:cs="Arial"/>
          <w:color w:val="000000"/>
          <w:kern w:val="2"/>
          <w:sz w:val="20"/>
          <w:szCs w:val="20"/>
          <w14:ligatures w14:val="standardContextual"/>
        </w:rPr>
      </w:pPr>
      <w:r w:rsidRPr="0097705A">
        <w:rPr>
          <w:rFonts w:ascii="Century Gothic" w:eastAsia="Calibri" w:hAnsi="Century Gothic" w:cs="Arial"/>
          <w:color w:val="000000"/>
          <w:kern w:val="2"/>
          <w:sz w:val="20"/>
          <w:szCs w:val="20"/>
          <w14:ligatures w14:val="standardContextual"/>
        </w:rPr>
        <w:t>[En caso de que se considere procedente exigir garantías, en este lugar se establecerán las garantías exigibles, incluyendo sus amparos, montos y vigencias].</w:t>
      </w:r>
      <w:r>
        <w:rPr>
          <w:rFonts w:ascii="Century Gothic" w:eastAsia="Calibri" w:hAnsi="Century Gothic" w:cs="Arial"/>
          <w:color w:val="000000"/>
          <w:kern w:val="2"/>
          <w:sz w:val="20"/>
          <w:szCs w:val="20"/>
          <w14:ligatures w14:val="standardContextual"/>
        </w:rPr>
        <w:t>”</w:t>
      </w:r>
    </w:p>
    <w:p w14:paraId="5862D6FF" w14:textId="77777777" w:rsidR="009B7745" w:rsidRPr="0097705A" w:rsidRDefault="009B7745" w:rsidP="009B7745">
      <w:pPr>
        <w:spacing w:before="120" w:after="0" w:line="276" w:lineRule="auto"/>
        <w:jc w:val="both"/>
        <w:rPr>
          <w:rFonts w:ascii="Century Gothic" w:eastAsia="Calibri" w:hAnsi="Century Gothic" w:cs="Arial"/>
          <w:i/>
          <w:iCs/>
          <w:color w:val="000000"/>
          <w:kern w:val="2"/>
          <w14:ligatures w14:val="standardContextual"/>
        </w:rPr>
      </w:pPr>
      <w:r w:rsidRPr="0097705A">
        <w:rPr>
          <w:rFonts w:ascii="Century Gothic" w:eastAsia="Calibri" w:hAnsi="Century Gothic" w:cs="Arial"/>
          <w:color w:val="000000"/>
          <w:kern w:val="2"/>
          <w14:ligatures w14:val="standardContextual"/>
        </w:rPr>
        <w:t>En este sentido, a través de la Minuta Tipo la Agencia Nacional de Contratación Pública – Colombia Compra Eficiente-</w:t>
      </w:r>
      <w:r>
        <w:rPr>
          <w:rFonts w:ascii="Century Gothic" w:eastAsia="Calibri" w:hAnsi="Century Gothic" w:cs="Arial"/>
          <w:color w:val="000000"/>
          <w:kern w:val="2"/>
          <w14:ligatures w14:val="standardContextual"/>
        </w:rPr>
        <w:t xml:space="preserve"> da</w:t>
      </w:r>
      <w:r w:rsidRPr="0097705A">
        <w:rPr>
          <w:rFonts w:ascii="Century Gothic" w:eastAsia="Calibri" w:hAnsi="Century Gothic" w:cs="Arial"/>
          <w:color w:val="000000"/>
          <w:kern w:val="2"/>
          <w14:ligatures w14:val="standardContextual"/>
        </w:rPr>
        <w:t xml:space="preserve"> la posibilidad</w:t>
      </w:r>
      <w:r>
        <w:rPr>
          <w:rFonts w:ascii="Century Gothic" w:eastAsia="Calibri" w:hAnsi="Century Gothic" w:cs="Arial"/>
          <w:color w:val="000000"/>
          <w:kern w:val="2"/>
          <w14:ligatures w14:val="standardContextual"/>
        </w:rPr>
        <w:t xml:space="preserve"> a las Entidades Estatales</w:t>
      </w:r>
      <w:r w:rsidRPr="0097705A">
        <w:rPr>
          <w:rFonts w:ascii="Century Gothic" w:eastAsia="Calibri" w:hAnsi="Century Gothic" w:cs="Arial"/>
          <w:color w:val="000000"/>
          <w:kern w:val="2"/>
          <w14:ligatures w14:val="standardContextual"/>
        </w:rPr>
        <w:t xml:space="preserve"> de incluir o no amparos para la ejecución del convenio, de acuerdo con lo establecido </w:t>
      </w:r>
      <w:r w:rsidRPr="00A32418">
        <w:rPr>
          <w:rFonts w:ascii="Century Gothic" w:eastAsia="Calibri" w:hAnsi="Century Gothic" w:cs="Arial"/>
          <w:color w:val="000000"/>
          <w:kern w:val="2"/>
          <w:lang w:val="es-MX"/>
          <w14:ligatures w14:val="standardContextual"/>
        </w:rPr>
        <w:t>en el artículo 7 de la Ley 1150 de 2007 y artículo 2.2.1.2.1.4.5 del Decreto 1082 de 2015</w:t>
      </w:r>
      <w:r>
        <w:rPr>
          <w:rFonts w:ascii="Century Gothic" w:eastAsia="Calibri" w:hAnsi="Century Gothic" w:cs="Arial"/>
          <w:color w:val="000000"/>
          <w:kern w:val="2"/>
          <w:lang w:val="es-MX"/>
          <w14:ligatures w14:val="standardContextual"/>
        </w:rPr>
        <w:t>.</w:t>
      </w:r>
    </w:p>
    <w:p w14:paraId="62DEDB83" w14:textId="77777777" w:rsidR="009B7745" w:rsidRPr="00912CC7" w:rsidRDefault="009B7745" w:rsidP="009B7745">
      <w:pPr>
        <w:spacing w:before="120" w:after="0" w:line="276" w:lineRule="auto"/>
        <w:ind w:firstLine="708"/>
        <w:jc w:val="both"/>
        <w:rPr>
          <w:rFonts w:ascii="Century Gothic" w:hAnsi="Century Gothic" w:cs="Arial"/>
          <w:color w:val="000000" w:themeColor="text1"/>
          <w:sz w:val="21"/>
          <w:szCs w:val="21"/>
          <w:lang w:val="es-ES"/>
        </w:rPr>
      </w:pPr>
      <w:r>
        <w:rPr>
          <w:rFonts w:ascii="Century Gothic" w:eastAsia="Calibri" w:hAnsi="Century Gothic" w:cs="Arial"/>
          <w:color w:val="000000"/>
          <w:kern w:val="2"/>
          <w:lang w:val="es-MX"/>
          <w14:ligatures w14:val="standardContextual"/>
        </w:rPr>
        <w:t xml:space="preserve">Es por ello por lo que, si como resultado de la etapa precontractual la Entidad encuentra la necesidad y pertinencia de establecer garantías podrá realizarlo incluyendo la respetiva justificación. </w:t>
      </w:r>
      <w:bookmarkEnd w:id="15"/>
    </w:p>
    <w:p w14:paraId="1A98197E" w14:textId="77777777" w:rsidR="009B7745" w:rsidRPr="00E33F26"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5816B5A3" w14:textId="77777777" w:rsidR="009B7745" w:rsidRDefault="009B7745" w:rsidP="009B7745">
      <w:pPr>
        <w:pStyle w:val="Prrafodelista"/>
        <w:numPr>
          <w:ilvl w:val="0"/>
          <w:numId w:val="5"/>
        </w:numPr>
        <w:spacing w:after="0" w:line="240" w:lineRule="auto"/>
        <w:jc w:val="both"/>
        <w:rPr>
          <w:rFonts w:ascii="Century Gothic" w:hAnsi="Century Gothic" w:cs="Arial"/>
          <w:color w:val="000000" w:themeColor="text1"/>
          <w:sz w:val="21"/>
          <w:szCs w:val="21"/>
          <w:lang w:val="es-ES_tradnl"/>
        </w:rPr>
      </w:pPr>
      <w:r w:rsidRPr="00326176">
        <w:rPr>
          <w:rFonts w:ascii="Century Gothic" w:hAnsi="Century Gothic" w:cs="Arial"/>
          <w:color w:val="000000" w:themeColor="text1"/>
          <w:sz w:val="21"/>
          <w:szCs w:val="21"/>
          <w:lang w:val="es-ES_tradnl"/>
        </w:rPr>
        <w:t>¿Puede manejarse las figuras de anticipo y de pago anticipado? ¿En caso afirmativo, debe exigirse pólizas de buen manejo de anticipo?</w:t>
      </w:r>
    </w:p>
    <w:p w14:paraId="7A431743"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7AE05880" w14:textId="77777777" w:rsidR="009B7745" w:rsidRDefault="009B7745" w:rsidP="009B7745">
      <w:pPr>
        <w:spacing w:before="120" w:after="0" w:line="276" w:lineRule="auto"/>
        <w:jc w:val="both"/>
        <w:rPr>
          <w:rFonts w:ascii="Century Gothic" w:eastAsia="Calibri" w:hAnsi="Century Gothic" w:cs="Arial"/>
          <w:color w:val="000000"/>
          <w:kern w:val="2"/>
          <w:lang w:val="es-MX"/>
          <w14:ligatures w14:val="standardContextual"/>
        </w:rPr>
      </w:pPr>
      <w:r>
        <w:rPr>
          <w:rFonts w:ascii="Century Gothic" w:eastAsia="Calibri" w:hAnsi="Century Gothic" w:cs="Arial"/>
          <w:color w:val="000000"/>
          <w:kern w:val="2"/>
          <w:lang w:val="es-ES_tradnl"/>
          <w14:ligatures w14:val="standardContextual"/>
        </w:rPr>
        <w:t>N</w:t>
      </w:r>
      <w:r w:rsidRPr="007538D0">
        <w:rPr>
          <w:rFonts w:ascii="Century Gothic" w:eastAsia="Calibri" w:hAnsi="Century Gothic" w:cs="Arial"/>
          <w:color w:val="000000"/>
          <w:kern w:val="2"/>
          <w:lang w:val="es-MX"/>
          <w14:ligatures w14:val="standardContextual"/>
        </w:rPr>
        <w:t>o es posible establecer un anticipo o un pago anticipado, dado que no se trata de un contrato conmutativo, donde se establece un valor del contrato, pactado como contraprestación que la entidad pública le entrega al contratista para que sea invertida específicamente en la ejecución del contrato; sino de aunar esfuerzos institucionales, comunales y sociales para llevar a cabo obras que satisfagan necesidades del territorio.</w:t>
      </w:r>
    </w:p>
    <w:p w14:paraId="0BB02DC0" w14:textId="77777777" w:rsidR="009B7745" w:rsidRDefault="009B7745" w:rsidP="009B7745">
      <w:pPr>
        <w:spacing w:before="120" w:after="0" w:line="276" w:lineRule="auto"/>
        <w:ind w:firstLine="708"/>
        <w:jc w:val="both"/>
        <w:rPr>
          <w:rFonts w:ascii="Century Gothic" w:eastAsia="Calibri" w:hAnsi="Century Gothic" w:cs="Arial"/>
          <w:color w:val="000000"/>
          <w:kern w:val="2"/>
          <w:lang w:val="es-MX"/>
          <w14:ligatures w14:val="standardContextual"/>
        </w:rPr>
      </w:pPr>
      <w:r>
        <w:rPr>
          <w:rFonts w:ascii="Century Gothic" w:eastAsia="Calibri" w:hAnsi="Century Gothic" w:cs="Arial"/>
          <w:color w:val="000000"/>
          <w:kern w:val="2"/>
          <w:lang w:val="es-MX"/>
          <w14:ligatures w14:val="standardContextual"/>
        </w:rPr>
        <w:t xml:space="preserve">En el caso del documento tipo para convenios solidarios a los que se ha hecho referencia, se incluyó la Cláusula 7 </w:t>
      </w:r>
      <w:r w:rsidRPr="00D63CAD">
        <w:rPr>
          <w:rFonts w:ascii="Century Gothic" w:eastAsia="Calibri" w:hAnsi="Century Gothic" w:cs="Arial"/>
          <w:i/>
          <w:iCs/>
          <w:color w:val="000000"/>
          <w:kern w:val="2"/>
          <w:lang w:val="es-MX"/>
          <w14:ligatures w14:val="standardContextual"/>
        </w:rPr>
        <w:t>Giro de los recursos</w:t>
      </w:r>
      <w:r>
        <w:rPr>
          <w:rFonts w:ascii="Century Gothic" w:eastAsia="Calibri" w:hAnsi="Century Gothic" w:cs="Arial"/>
          <w:i/>
          <w:iCs/>
          <w:color w:val="000000"/>
          <w:kern w:val="2"/>
          <w:lang w:val="es-MX"/>
          <w14:ligatures w14:val="standardContextual"/>
        </w:rPr>
        <w:t xml:space="preserve"> </w:t>
      </w:r>
      <w:r>
        <w:rPr>
          <w:rFonts w:ascii="Century Gothic" w:eastAsia="Calibri" w:hAnsi="Century Gothic" w:cs="Arial"/>
          <w:color w:val="000000"/>
          <w:kern w:val="2"/>
          <w:lang w:val="es-MX"/>
          <w14:ligatures w14:val="standardContextual"/>
        </w:rPr>
        <w:t>que establece tres (3) opciones para que la Entidad Estatal decida el mecanismo que más se adecúe a la necesidad y características propias de cada convenio solidario que pretenda adelantar.</w:t>
      </w:r>
    </w:p>
    <w:p w14:paraId="00D7CCFC" w14:textId="77777777" w:rsidR="009B7745" w:rsidRPr="007538D0" w:rsidRDefault="009B7745" w:rsidP="009B7745">
      <w:pPr>
        <w:spacing w:before="120" w:after="0" w:line="276" w:lineRule="auto"/>
        <w:ind w:firstLine="708"/>
        <w:jc w:val="both"/>
        <w:rPr>
          <w:rFonts w:ascii="Century Gothic" w:hAnsi="Century Gothic" w:cs="Arial"/>
          <w:color w:val="000000" w:themeColor="text1"/>
          <w:sz w:val="21"/>
          <w:szCs w:val="21"/>
        </w:rPr>
      </w:pPr>
      <w:r>
        <w:rPr>
          <w:rFonts w:ascii="Century Gothic" w:eastAsia="Calibri" w:hAnsi="Century Gothic" w:cs="Arial"/>
          <w:color w:val="000000"/>
          <w:kern w:val="2"/>
          <w:lang w:val="es-MX"/>
          <w14:ligatures w14:val="standardContextual"/>
        </w:rPr>
        <w:t xml:space="preserve">De igual forma, es importante resaltar que por tratarse de un convenio no se habla de pagos sino de aportes de las partes y de giros de los recursos para la correcta ejecución del convenio. Por lo que, no procede bajo ninguna figura la aplicación de anticipo o pago anticipado. </w:t>
      </w:r>
    </w:p>
    <w:p w14:paraId="71DF95CB" w14:textId="77777777" w:rsidR="009B7745" w:rsidRPr="00E33F26"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29827A12" w14:textId="77777777" w:rsidR="009B7745" w:rsidRDefault="009B7745" w:rsidP="009B7745">
      <w:pPr>
        <w:pStyle w:val="Prrafodelista"/>
        <w:numPr>
          <w:ilvl w:val="0"/>
          <w:numId w:val="5"/>
        </w:numPr>
        <w:spacing w:after="0" w:line="240" w:lineRule="auto"/>
        <w:jc w:val="both"/>
        <w:rPr>
          <w:rFonts w:ascii="Century Gothic" w:hAnsi="Century Gothic" w:cs="Arial"/>
          <w:color w:val="000000" w:themeColor="text1"/>
          <w:sz w:val="21"/>
          <w:szCs w:val="21"/>
          <w:lang w:val="es-ES_tradnl"/>
        </w:rPr>
      </w:pPr>
      <w:r w:rsidRPr="00E33F26">
        <w:rPr>
          <w:rFonts w:ascii="Century Gothic" w:hAnsi="Century Gothic" w:cs="Arial"/>
          <w:color w:val="000000" w:themeColor="text1"/>
          <w:sz w:val="21"/>
          <w:szCs w:val="21"/>
          <w:lang w:val="es-ES_tradnl"/>
        </w:rPr>
        <w:lastRenderedPageBreak/>
        <w:t>¿Si bien el artículo el parágrafo 2° del artículo 95 de la Ley 2166 de 2021, contempla la obligatoriedad de contar con personal técnico y administrativo-contable, para supervisar y apoyar a los Organismos de Acción Comunal en la ejecución de las obras, se debe entender que solo aplica la figura de supervisión para este tipo de convenios y no la interventoría?</w:t>
      </w:r>
    </w:p>
    <w:p w14:paraId="0D91C428"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2C1EEE2D" w14:textId="77777777" w:rsidR="009B7745" w:rsidRDefault="009B7745" w:rsidP="009B7745">
      <w:pPr>
        <w:shd w:val="clear" w:color="auto" w:fill="FFFFFF" w:themeFill="background1"/>
        <w:spacing w:after="120" w:line="276" w:lineRule="auto"/>
        <w:jc w:val="both"/>
        <w:rPr>
          <w:rFonts w:ascii="Century Gothic" w:hAnsi="Century Gothic" w:cs="Arial"/>
          <w:i/>
          <w:lang w:eastAsia="es-MX"/>
        </w:rPr>
      </w:pPr>
      <w:r w:rsidRPr="00C24A08">
        <w:rPr>
          <w:rFonts w:ascii="Century Gothic" w:hAnsi="Century Gothic" w:cs="Arial"/>
          <w:lang w:val="es-ES_tradnl"/>
        </w:rPr>
        <w:t xml:space="preserve">Las entidades públicas que suscriban convenios solidarios les asiste el deber de </w:t>
      </w:r>
      <w:r w:rsidRPr="00C24A08">
        <w:rPr>
          <w:rFonts w:ascii="Century Gothic" w:hAnsi="Century Gothic" w:cs="Arial"/>
          <w:lang w:val="es-ES"/>
        </w:rPr>
        <w:t xml:space="preserve">vigilar la correcta ejecución del objeto acordado y a proteger tanto los derechos de la propia entidad como los del Organismo de Acción Comunal y terceros que puedan verse afectados por la ejecución del dicho convenio, sin importar el régimen jurídico aplicable para su celebración, para lo cual deberá contar o disponer de servidores públicos que cuenten con la idoneidad técnica, administrativa y contable para de vigilar el cumplimiento de las obligaciones pactadas por las partes (artículo 84 Ley 1474 de 2011) y apoyar, especialmente, al Organismo de Acción Comunal, en la ejecución de las obras, en virtud de lo consagrado en </w:t>
      </w:r>
      <w:r w:rsidRPr="00C24A08">
        <w:rPr>
          <w:rFonts w:ascii="Century Gothic" w:hAnsi="Century Gothic" w:cs="Arial"/>
          <w:lang w:eastAsia="es-MX"/>
        </w:rPr>
        <w:t xml:space="preserve">artículo 95 de la Ley 2166 de 2021, pues dispone que </w:t>
      </w:r>
      <w:r w:rsidRPr="00C24A08">
        <w:rPr>
          <w:rFonts w:ascii="Century Gothic" w:hAnsi="Century Gothic" w:cs="Arial"/>
          <w:i/>
          <w:lang w:eastAsia="es-MX"/>
        </w:rPr>
        <w:t xml:space="preserve">“Adicional del monto del Convenio Solidario, los entes territoriales deberán contar o disponer de personal técnico y administrativo-contable, para supervisar y apoyar a los Organismos de Acción Comunal en la ejecución de las obras”. </w:t>
      </w:r>
    </w:p>
    <w:p w14:paraId="39A3FE4D" w14:textId="77777777" w:rsidR="009B7745" w:rsidRPr="00C24A08" w:rsidRDefault="009B7745" w:rsidP="009B7745">
      <w:pPr>
        <w:shd w:val="clear" w:color="auto" w:fill="FFFFFF" w:themeFill="background1"/>
        <w:spacing w:after="120" w:line="276" w:lineRule="auto"/>
        <w:ind w:firstLine="708"/>
        <w:jc w:val="both"/>
        <w:rPr>
          <w:rFonts w:ascii="Century Gothic" w:hAnsi="Century Gothic" w:cs="Arial"/>
          <w:color w:val="000000" w:themeColor="text1"/>
          <w:sz w:val="21"/>
          <w:szCs w:val="21"/>
          <w:lang w:val="es-ES_tradnl"/>
        </w:rPr>
      </w:pPr>
      <w:r w:rsidRPr="00C24A08">
        <w:rPr>
          <w:rFonts w:ascii="Century Gothic" w:hAnsi="Century Gothic" w:cs="Arial"/>
          <w:lang w:eastAsia="es-MX"/>
        </w:rPr>
        <w:t>Esta supervisión por parte de la entidad implica un deber de seguimiento y acciones más allá de las establecidas en el artículo 83 y 84 de la Ley 1474 de 2011, sino que contempla apoyo y recomendaciones al Organismo de Acción Comunal requeridos para la ejecución del convenio solidario cuyo objeto exclusivamente sea la ejecución de obras, por lo que, el avance de la obra no queda totalmente en cabeza del Organismo de Acción Comunal, pues a la entidad corresponde disponer de un personal multidisciplinario para apoyar las obras, sin perjuicio de la supervisión del convenio.</w:t>
      </w:r>
    </w:p>
    <w:p w14:paraId="635FB486" w14:textId="77777777" w:rsidR="009B7745" w:rsidRPr="00857AD3" w:rsidRDefault="009B7745" w:rsidP="009B7745">
      <w:pPr>
        <w:spacing w:after="0" w:line="276" w:lineRule="auto"/>
        <w:ind w:firstLine="708"/>
        <w:jc w:val="both"/>
        <w:rPr>
          <w:rFonts w:ascii="Century Gothic" w:hAnsi="Century Gothic" w:cs="Arial"/>
          <w:color w:val="000000" w:themeColor="text1"/>
          <w:sz w:val="21"/>
          <w:szCs w:val="21"/>
          <w:lang w:val="es-ES_tradnl"/>
        </w:rPr>
      </w:pPr>
      <w:r w:rsidRPr="00C24A08">
        <w:rPr>
          <w:rFonts w:ascii="Century Gothic" w:hAnsi="Century Gothic" w:cs="Arial"/>
          <w:lang w:val="es-ES_tradnl"/>
        </w:rPr>
        <w:t xml:space="preserve"> Igualmente, resulta importante aclarar, que sin perjuicio de la supervisión ejercida directamente por la Entidad Estatal, frente a los convenios solidarios, no le asiste a la Entidad Estatal la obligación de contratar un tercero interventor de conformidad con el numeral 1 del artículo 32 de la Ley 80 de 1993 y el parágrafo 1 del artículo 83 de la Ley 1474 de 2011, pues este sólo es obligatorio en obras cuya contratación se origine de procesos de selección por licitación pública, sin embargo, en caso de considerarlo necesario,</w:t>
      </w:r>
      <w:r>
        <w:rPr>
          <w:rFonts w:ascii="Century Gothic" w:hAnsi="Century Gothic" w:cs="Arial"/>
          <w:lang w:val="es-ES_tradnl"/>
        </w:rPr>
        <w:t xml:space="preserve"> o no contar con profesionales idóneos</w:t>
      </w:r>
      <w:r w:rsidRPr="00C24A08">
        <w:rPr>
          <w:rFonts w:ascii="Century Gothic" w:hAnsi="Century Gothic" w:cs="Arial"/>
          <w:lang w:val="es-ES_tradnl"/>
        </w:rPr>
        <w:t xml:space="preserve"> las entidades estatales </w:t>
      </w:r>
      <w:r>
        <w:rPr>
          <w:rFonts w:ascii="Century Gothic" w:hAnsi="Century Gothic" w:cs="Arial"/>
          <w:lang w:val="es-ES_tradnl"/>
        </w:rPr>
        <w:t xml:space="preserve">podrán </w:t>
      </w:r>
      <w:r w:rsidRPr="00C24A08">
        <w:rPr>
          <w:rFonts w:ascii="Century Gothic" w:hAnsi="Century Gothic" w:cs="Arial"/>
          <w:lang w:val="es-ES_tradnl"/>
        </w:rPr>
        <w:t xml:space="preserve">  contratar dicha interventoría previa a la debida justificación en los documentos precontractuales.</w:t>
      </w:r>
    </w:p>
    <w:p w14:paraId="699D6FBD" w14:textId="77777777" w:rsidR="009B7745" w:rsidRPr="00E33F26" w:rsidRDefault="009B7745" w:rsidP="009B7745">
      <w:pPr>
        <w:pStyle w:val="Prrafodelista"/>
        <w:spacing w:after="0" w:line="240" w:lineRule="auto"/>
        <w:jc w:val="both"/>
        <w:rPr>
          <w:rFonts w:ascii="Century Gothic" w:hAnsi="Century Gothic" w:cs="Arial"/>
          <w:color w:val="000000" w:themeColor="text1"/>
          <w:sz w:val="21"/>
          <w:szCs w:val="21"/>
          <w:lang w:val="es-ES_tradnl"/>
        </w:rPr>
      </w:pPr>
    </w:p>
    <w:p w14:paraId="57D4978D" w14:textId="77777777" w:rsidR="009B7745" w:rsidRDefault="009B7745" w:rsidP="009B7745">
      <w:pPr>
        <w:pStyle w:val="Prrafodelista"/>
        <w:numPr>
          <w:ilvl w:val="0"/>
          <w:numId w:val="5"/>
        </w:numPr>
        <w:spacing w:after="0" w:line="240" w:lineRule="auto"/>
        <w:jc w:val="both"/>
        <w:rPr>
          <w:rFonts w:ascii="Century Gothic" w:hAnsi="Century Gothic" w:cs="Arial"/>
          <w:color w:val="000000" w:themeColor="text1"/>
          <w:sz w:val="21"/>
          <w:szCs w:val="21"/>
          <w:lang w:val="es-ES_tradnl"/>
        </w:rPr>
      </w:pPr>
      <w:r w:rsidRPr="00E33F26">
        <w:rPr>
          <w:rFonts w:ascii="Century Gothic" w:hAnsi="Century Gothic" w:cs="Arial"/>
          <w:color w:val="000000" w:themeColor="text1"/>
          <w:sz w:val="21"/>
          <w:szCs w:val="21"/>
          <w:lang w:val="es-ES_tradnl"/>
        </w:rPr>
        <w:lastRenderedPageBreak/>
        <w:t>¿El parágrafo único del artículo 141 de la ley 136 de 1994, establece que los contratos o convenios que se celebren en desarrollo del precitado artículo 141 anterior, se sujetarán a la Ley </w:t>
      </w:r>
      <w:hyperlink r:id="rId17" w:anchor="80" w:history="1">
        <w:r w:rsidRPr="00E33F26">
          <w:rPr>
            <w:rFonts w:ascii="Century Gothic" w:hAnsi="Century Gothic" w:cs="Arial"/>
            <w:color w:val="000000" w:themeColor="text1"/>
            <w:sz w:val="21"/>
            <w:szCs w:val="21"/>
            <w:lang w:val="es-ES_tradnl"/>
          </w:rPr>
          <w:t>80</w:t>
        </w:r>
      </w:hyperlink>
      <w:r w:rsidRPr="00E33F26">
        <w:rPr>
          <w:rFonts w:ascii="Century Gothic" w:hAnsi="Century Gothic" w:cs="Arial"/>
          <w:color w:val="000000" w:themeColor="text1"/>
          <w:sz w:val="21"/>
          <w:szCs w:val="21"/>
          <w:lang w:val="es-ES_tradnl"/>
        </w:rPr>
        <w:t> de 1993, debe entenderse entonces que dicha disposición aplica para todos los convenios solidarios a celebrarse con los Organismos de Acción Comunal?</w:t>
      </w:r>
    </w:p>
    <w:p w14:paraId="11C6D9A9" w14:textId="77777777" w:rsidR="009B7745" w:rsidRDefault="009B7745" w:rsidP="009B7745">
      <w:pPr>
        <w:spacing w:after="0" w:line="240" w:lineRule="auto"/>
        <w:jc w:val="both"/>
        <w:rPr>
          <w:rFonts w:ascii="Century Gothic" w:hAnsi="Century Gothic" w:cs="Arial"/>
          <w:color w:val="000000" w:themeColor="text1"/>
          <w:sz w:val="21"/>
          <w:szCs w:val="21"/>
          <w:lang w:val="es-ES_tradnl"/>
        </w:rPr>
      </w:pPr>
    </w:p>
    <w:p w14:paraId="1498EF48" w14:textId="77777777" w:rsidR="009B7745" w:rsidRPr="0097705A" w:rsidRDefault="009B7745" w:rsidP="009B7745">
      <w:pPr>
        <w:spacing w:line="276" w:lineRule="auto"/>
        <w:jc w:val="both"/>
        <w:rPr>
          <w:rFonts w:ascii="Century Gothic" w:hAnsi="Century Gothic" w:cs="Arial"/>
          <w:lang w:val="es-ES_tradnl"/>
        </w:rPr>
      </w:pPr>
      <w:r w:rsidRPr="0097705A">
        <w:rPr>
          <w:rFonts w:ascii="Century Gothic" w:hAnsi="Century Gothic" w:cs="Arial"/>
          <w:lang w:val="es-ES_tradnl"/>
        </w:rPr>
        <w:t>El parágrafo 3 del artículo 3 de Ley 136 de 1994 se introdujo un tipo especial de contratación cuyo objetivo consiste en la celebración de convenios solidarios definidos estos como “la complementación de esfuerzos institucionales, comunitarios, económicos y sociales para la construcción de obras y la satisfacción de necesidades y aspiraciones de las comunidades”.</w:t>
      </w:r>
    </w:p>
    <w:p w14:paraId="4A204A30" w14:textId="77777777" w:rsidR="009B7745" w:rsidRPr="0097705A" w:rsidRDefault="009B7745" w:rsidP="009B7745">
      <w:pPr>
        <w:spacing w:line="276" w:lineRule="auto"/>
        <w:ind w:firstLine="708"/>
        <w:jc w:val="both"/>
        <w:rPr>
          <w:rFonts w:ascii="Century Gothic" w:hAnsi="Century Gothic" w:cs="Arial"/>
          <w:lang w:val="es-ES_tradnl"/>
        </w:rPr>
      </w:pPr>
      <w:r w:rsidRPr="0097705A">
        <w:rPr>
          <w:rFonts w:ascii="Century Gothic" w:hAnsi="Century Gothic" w:cs="Arial"/>
          <w:lang w:val="es-ES_tradnl"/>
        </w:rPr>
        <w:t>De igual manera, el artículo 3º de la Ley 489 de 1998 señala que la Función Administrativa se desarrollará conforme a los principios constitucionales, en particular los atinentes a la buena fe, igualdad, moralidad, celeridad, economía, imparcialidad, eficacia, eficiencia, participación, publicidad, responsabilidad y transparencia. Y, el artículo 4º de la precitada ley, establece que la finalidad de la Función Administrativa es buscar la satisfacción de las necesidades generales de todos los habitantes, de conformidad con los principios consagrados en la Constitución Política, por lo cual los organismos, Entidades Estatales y personas encargadas del ejercicio de funciones administrativas, deben ejercerlas consultado el interés general. </w:t>
      </w:r>
    </w:p>
    <w:p w14:paraId="53CAF3A5" w14:textId="77777777" w:rsidR="009B7745" w:rsidRPr="0097705A" w:rsidRDefault="009B7745" w:rsidP="009B7745">
      <w:pPr>
        <w:spacing w:before="240" w:after="0" w:line="276" w:lineRule="auto"/>
        <w:ind w:firstLine="708"/>
        <w:jc w:val="both"/>
        <w:rPr>
          <w:rFonts w:ascii="Century Gothic" w:hAnsi="Century Gothic" w:cs="Arial"/>
          <w:lang w:val="es-ES_tradnl"/>
        </w:rPr>
      </w:pPr>
      <w:r w:rsidRPr="0097705A">
        <w:rPr>
          <w:rFonts w:ascii="Century Gothic" w:hAnsi="Century Gothic" w:cs="Arial"/>
          <w:lang w:val="es-ES_tradnl"/>
        </w:rPr>
        <w:t xml:space="preserve">En la misma línea el artículo 7 de la Ley 2166 de 2021 definió a las Juntas de Acción Comunal y a las Juntas de Vivienda Comunal como OAC de primer grado, además indicó que las primeras debían entenderse como  «[...] una organización cívica, social y comunitaria de gestión social, sin ánimo de lucro, de naturaleza solidaria, con personería jurídica y patrimonio propio, integrada voluntariamente por los residentes de un lugar que aúnan esfuerzos y recursos para procurar un desarrollo integral, sostenible y sustentable con fundamento en el ejercicio de la democracia participativa» y las segundas como «una organización cívica sin ánimo de lucro, integrada por familias que se reúnen con el propósito de adelantar programas de mejoramiento o de autoconstrucción de vivienda[...]» que pueden ser asimiladas como Juntas de Acción Comunal siempre y cuando hayan culminado el programa y cumplan con los requisitos dispuestos en la Ley 2126 de 2021 para tales efectos. Por su parte, en el segundo grado de OAC la Ley en cita clasificó a las asociaciones de juntas de acción comunal; en el tercer grado a la Federación de la acción comunal, constituida por los organismos de segundo </w:t>
      </w:r>
      <w:r w:rsidRPr="0097705A">
        <w:rPr>
          <w:rFonts w:ascii="Century Gothic" w:hAnsi="Century Gothic" w:cs="Arial"/>
          <w:lang w:val="es-ES_tradnl"/>
        </w:rPr>
        <w:lastRenderedPageBreak/>
        <w:t>grado; y, en cuarto grado al Confederación nacional de Acción comunal, constituido por los organismos de tercer grado y que posteriormente se afilien.</w:t>
      </w:r>
    </w:p>
    <w:p w14:paraId="2BF1E379" w14:textId="77777777" w:rsidR="009B7745" w:rsidRPr="0097705A" w:rsidRDefault="009B7745" w:rsidP="009B7745">
      <w:pPr>
        <w:spacing w:before="240" w:after="0" w:line="276" w:lineRule="auto"/>
        <w:ind w:firstLine="708"/>
        <w:jc w:val="both"/>
        <w:rPr>
          <w:rFonts w:ascii="Century Gothic" w:hAnsi="Century Gothic" w:cs="Arial"/>
          <w:lang w:val="es-ES_tradnl"/>
        </w:rPr>
      </w:pPr>
      <w:r w:rsidRPr="0097705A">
        <w:rPr>
          <w:rFonts w:ascii="Century Gothic" w:hAnsi="Century Gothic" w:cs="Arial"/>
          <w:lang w:val="es-ES_tradnl"/>
        </w:rPr>
        <w:t>Ahora bien, con la expedición de la Ley 2166 de 2021 se deroga la Ley 743 de 2002 y se desarrolla el artículo 38 de la Constitución Política de Colombia en lo referente a los OAC y se establecen lineamientos para la formulación e implementación de la política pública de los organismos de acción comunal y de sus afiliados, se definió el nuevo marco normativo para la figura de los Convenios Solidarios y unificó las condiciones aplicables a los mismos</w:t>
      </w:r>
      <w:r>
        <w:rPr>
          <w:rFonts w:ascii="Century Gothic" w:hAnsi="Century Gothic" w:cs="Arial"/>
          <w:lang w:val="es-ES_tradnl"/>
        </w:rPr>
        <w:t>.</w:t>
      </w:r>
    </w:p>
    <w:p w14:paraId="79B06D53" w14:textId="77777777" w:rsidR="009B7745" w:rsidRPr="0097705A" w:rsidRDefault="009B7745" w:rsidP="009B7745">
      <w:pPr>
        <w:spacing w:before="240" w:after="0" w:line="276" w:lineRule="auto"/>
        <w:ind w:firstLine="708"/>
        <w:jc w:val="both"/>
        <w:rPr>
          <w:rFonts w:ascii="Century Gothic" w:hAnsi="Century Gothic" w:cs="Arial"/>
          <w:lang w:val="es-ES_tradnl"/>
        </w:rPr>
      </w:pPr>
      <w:r w:rsidRPr="0097705A">
        <w:rPr>
          <w:rFonts w:ascii="Century Gothic" w:hAnsi="Century Gothic" w:cs="Arial"/>
          <w:lang w:val="es-ES_tradnl"/>
        </w:rPr>
        <w:t xml:space="preserve">Posteriormente, el artículo 95 de la Ley 2166 de 2021 autorizó a los entes del orden Nacional, Departamental, Distrital y municipal para celebrar directamente convenios solidarios con los OAC con el fin de ejecutar obras hasta por la menor cuantía y contratar a los habitantes de la comunidad.  </w:t>
      </w:r>
    </w:p>
    <w:p w14:paraId="005EF73A" w14:textId="77777777" w:rsidR="009B7745" w:rsidRPr="0097705A" w:rsidRDefault="009B7745" w:rsidP="009B7745">
      <w:pPr>
        <w:spacing w:before="240" w:after="0" w:line="276" w:lineRule="auto"/>
        <w:ind w:firstLine="708"/>
        <w:jc w:val="both"/>
        <w:rPr>
          <w:rFonts w:ascii="Century Gothic" w:hAnsi="Century Gothic" w:cs="Arial"/>
          <w:lang w:val="es-ES_tradnl"/>
        </w:rPr>
      </w:pPr>
      <w:r w:rsidRPr="0097705A">
        <w:rPr>
          <w:rFonts w:ascii="Century Gothic" w:hAnsi="Century Gothic" w:cs="Arial"/>
          <w:lang w:val="es-ES_tradnl"/>
        </w:rPr>
        <w:t>De la norma citada hace referencia a un procedimiento y a un objeto contractual regulado dentro del Estatuto General de Contratación de la Administración Pública - EGCAP. Por un lado, alude a la contratación directa de que trata el artículo 2.4 de la Ley 1150 de 2007, nueva causal que se incorpora limitada por la cuantía en los términos del literal b) del artículo 2.2 ibidem. Por otra parte, se refiere al contrato de obra previsto en el artículo 32.1 de la Ley 80 de 1993 como aquellos que “[…] las entidades estatales para la construcción, mantenimiento, instalación y, en general, para la realización de cualquier otro trabajo material sobre bienes inmuebles, cualquiera que sea la modalidad de ejecución y pago”.</w:t>
      </w:r>
    </w:p>
    <w:p w14:paraId="563F191A" w14:textId="77777777" w:rsidR="009B7745" w:rsidRPr="0097705A" w:rsidRDefault="009B7745" w:rsidP="009B7745">
      <w:pPr>
        <w:spacing w:before="240" w:after="0" w:line="276" w:lineRule="auto"/>
        <w:ind w:firstLine="708"/>
        <w:jc w:val="both"/>
        <w:rPr>
          <w:rFonts w:ascii="Century Gothic" w:hAnsi="Century Gothic" w:cs="Arial"/>
          <w:lang w:val="es-ES_tradnl"/>
        </w:rPr>
      </w:pPr>
      <w:r w:rsidRPr="0097705A">
        <w:rPr>
          <w:rFonts w:ascii="Century Gothic" w:hAnsi="Century Gothic" w:cs="Arial"/>
          <w:lang w:val="es-ES_tradnl"/>
        </w:rPr>
        <w:t>De acuerdo con lo establecido en el artículo 2.1 de la Ley 80 de 1993, en concordancia con la definición prevista en el artículo 2.2.1.1.1.3.1 del Decreto 1082 de 2015, la nación, departamentos, distritos y municipios son Entidades Estatales; razón por la cual el régimen jurídico del presente convenio corresponde al previsto en el EGCAP y sus decretos reglamentarios.</w:t>
      </w:r>
    </w:p>
    <w:p w14:paraId="4DB2DAA7" w14:textId="77777777" w:rsidR="009B7745" w:rsidRPr="0097705A" w:rsidRDefault="009B7745" w:rsidP="009B7745">
      <w:pPr>
        <w:spacing w:before="240" w:after="0" w:line="276" w:lineRule="auto"/>
        <w:ind w:firstLine="708"/>
        <w:jc w:val="both"/>
        <w:rPr>
          <w:rFonts w:ascii="Century Gothic" w:hAnsi="Century Gothic" w:cs="Arial"/>
          <w:lang w:val="es-ES_tradnl"/>
        </w:rPr>
      </w:pPr>
    </w:p>
    <w:p w14:paraId="617B2995" w14:textId="77777777" w:rsidR="009B7745" w:rsidRPr="00C24A08" w:rsidRDefault="009B7745" w:rsidP="009B7745">
      <w:pPr>
        <w:shd w:val="clear" w:color="auto" w:fill="FFFFFF" w:themeFill="background1"/>
        <w:spacing w:after="0" w:line="276" w:lineRule="auto"/>
        <w:jc w:val="both"/>
        <w:textAlignment w:val="baseline"/>
        <w:rPr>
          <w:rFonts w:ascii="Century Gothic" w:hAnsi="Century Gothic" w:cs="Arial"/>
          <w:color w:val="000000" w:themeColor="text1"/>
          <w:lang w:eastAsia="es-MX"/>
        </w:rPr>
      </w:pPr>
      <w:r w:rsidRPr="00C24A08">
        <w:rPr>
          <w:rFonts w:ascii="Century Gothic" w:hAnsi="Century Gothic" w:cs="Arial"/>
          <w:color w:val="000000" w:themeColor="text1"/>
          <w:lang w:eastAsia="es-MX"/>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4CF72F11" w14:textId="77777777" w:rsidR="009B7745" w:rsidRPr="00C24A08" w:rsidRDefault="009B7745" w:rsidP="009B7745">
      <w:pPr>
        <w:widowControl w:val="0"/>
        <w:shd w:val="clear" w:color="auto" w:fill="FFFFFF" w:themeFill="background1"/>
        <w:autoSpaceDE w:val="0"/>
        <w:autoSpaceDN w:val="0"/>
        <w:spacing w:after="0" w:line="276" w:lineRule="auto"/>
        <w:jc w:val="both"/>
        <w:rPr>
          <w:rFonts w:ascii="Century Gothic" w:hAnsi="Century Gothic" w:cs="Arial"/>
          <w:color w:val="000000" w:themeColor="text1"/>
          <w:lang w:val="es-ES_tradnl" w:bidi="es-ES"/>
        </w:rPr>
      </w:pPr>
    </w:p>
    <w:p w14:paraId="41D57545" w14:textId="77777777" w:rsidR="009B7745" w:rsidRPr="00C24A08" w:rsidRDefault="009B7745" w:rsidP="009B7745">
      <w:pPr>
        <w:shd w:val="clear" w:color="auto" w:fill="FFFFFF" w:themeFill="background1"/>
        <w:tabs>
          <w:tab w:val="left" w:pos="426"/>
        </w:tabs>
        <w:spacing w:line="276" w:lineRule="auto"/>
        <w:jc w:val="both"/>
        <w:rPr>
          <w:rFonts w:ascii="Century Gothic" w:eastAsia="Times New Roman" w:hAnsi="Century Gothic" w:cs="Arial"/>
          <w:color w:val="000000" w:themeColor="text1"/>
        </w:rPr>
      </w:pPr>
      <w:r w:rsidRPr="07B24358">
        <w:rPr>
          <w:rFonts w:ascii="Century Gothic" w:eastAsia="Times New Roman" w:hAnsi="Century Gothic" w:cs="Arial"/>
          <w:color w:val="000000" w:themeColor="text1"/>
        </w:rPr>
        <w:t>Atentamente,</w:t>
      </w:r>
    </w:p>
    <w:p w14:paraId="3500A698" w14:textId="315097E2" w:rsidR="009B7745" w:rsidRPr="00C24A08" w:rsidRDefault="00CB0714" w:rsidP="009B7745">
      <w:pPr>
        <w:jc w:val="center"/>
      </w:pPr>
      <w:r>
        <w:rPr>
          <w:rStyle w:val="wacimagecontainer"/>
          <w:rFonts w:ascii="Segoe UI" w:hAnsi="Segoe UI" w:cs="Segoe UI"/>
          <w:noProof/>
          <w:color w:val="000000"/>
          <w:sz w:val="18"/>
          <w:szCs w:val="18"/>
          <w:shd w:val="clear" w:color="auto" w:fill="FFFFFF"/>
        </w:rPr>
        <w:lastRenderedPageBreak/>
        <w:drawing>
          <wp:inline distT="0" distB="0" distL="0" distR="0" wp14:anchorId="01C0C7C1" wp14:editId="39B35F02">
            <wp:extent cx="3155315" cy="1210310"/>
            <wp:effectExtent l="0" t="0" r="6985" b="8890"/>
            <wp:docPr id="52324480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315" cy="1210310"/>
                    </a:xfrm>
                    <a:prstGeom prst="rect">
                      <a:avLst/>
                    </a:prstGeom>
                    <a:noFill/>
                    <a:ln>
                      <a:noFill/>
                    </a:ln>
                  </pic:spPr>
                </pic:pic>
              </a:graphicData>
            </a:graphic>
          </wp:inline>
        </w:drawing>
      </w:r>
      <w:r>
        <w:rPr>
          <w:color w:val="000000"/>
          <w:shd w:val="clear" w:color="auto" w:fill="FFFFFF"/>
        </w:rPr>
        <w:br/>
      </w:r>
    </w:p>
    <w:tbl>
      <w:tblPr>
        <w:tblW w:w="57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
        <w:gridCol w:w="4937"/>
      </w:tblGrid>
      <w:tr w:rsidR="009B7745" w:rsidRPr="00C24A08" w14:paraId="35A09C21" w14:textId="77777777" w:rsidTr="00147633">
        <w:trPr>
          <w:trHeight w:val="409"/>
        </w:trPr>
        <w:tc>
          <w:tcPr>
            <w:tcW w:w="817" w:type="dxa"/>
            <w:tcBorders>
              <w:top w:val="nil"/>
              <w:left w:val="nil"/>
              <w:bottom w:val="nil"/>
              <w:right w:val="nil"/>
            </w:tcBorders>
            <w:vAlign w:val="center"/>
            <w:hideMark/>
          </w:tcPr>
          <w:p w14:paraId="7503D67A"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sidRPr="00C24A08">
              <w:rPr>
                <w:rFonts w:ascii="Century Gothic" w:hAnsi="Century Gothic" w:cs="Arial"/>
                <w:sz w:val="16"/>
                <w:szCs w:val="16"/>
              </w:rPr>
              <w:t>Elaboró: </w:t>
            </w:r>
          </w:p>
        </w:tc>
        <w:tc>
          <w:tcPr>
            <w:tcW w:w="4937" w:type="dxa"/>
            <w:tcBorders>
              <w:top w:val="nil"/>
              <w:left w:val="nil"/>
              <w:bottom w:val="dotted" w:sz="6" w:space="0" w:color="7F7F7F" w:themeColor="text1" w:themeTint="80"/>
              <w:right w:val="nil"/>
            </w:tcBorders>
            <w:vAlign w:val="center"/>
            <w:hideMark/>
          </w:tcPr>
          <w:p w14:paraId="2F480E8B"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Pr>
                <w:rFonts w:ascii="Century Gothic" w:hAnsi="Century Gothic" w:cs="Arial"/>
                <w:sz w:val="16"/>
                <w:szCs w:val="16"/>
              </w:rPr>
              <w:t>Sergio Enrique Caballero Lesmes</w:t>
            </w:r>
          </w:p>
          <w:p w14:paraId="7A62A6A9"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Pr>
                <w:rFonts w:ascii="Century Gothic" w:hAnsi="Century Gothic" w:cs="Arial"/>
                <w:sz w:val="16"/>
                <w:szCs w:val="16"/>
              </w:rPr>
              <w:t xml:space="preserve">Analista </w:t>
            </w:r>
            <w:r w:rsidRPr="00C24A08">
              <w:rPr>
                <w:rFonts w:ascii="Century Gothic" w:hAnsi="Century Gothic" w:cs="Arial"/>
                <w:sz w:val="16"/>
                <w:szCs w:val="16"/>
              </w:rPr>
              <w:t>T</w:t>
            </w:r>
            <w:r>
              <w:rPr>
                <w:rFonts w:ascii="Century Gothic" w:hAnsi="Century Gothic" w:cs="Arial"/>
                <w:sz w:val="16"/>
                <w:szCs w:val="16"/>
              </w:rPr>
              <w:t>2</w:t>
            </w:r>
            <w:r w:rsidRPr="00C24A08">
              <w:rPr>
                <w:rFonts w:ascii="Century Gothic" w:hAnsi="Century Gothic" w:cs="Arial"/>
                <w:sz w:val="16"/>
                <w:szCs w:val="16"/>
              </w:rPr>
              <w:t xml:space="preserve"> </w:t>
            </w:r>
            <w:r w:rsidRPr="00C24A08">
              <w:rPr>
                <w:rFonts w:ascii="Arial" w:hAnsi="Arial" w:cs="Arial"/>
                <w:sz w:val="16"/>
                <w:szCs w:val="16"/>
              </w:rPr>
              <w:t>‒</w:t>
            </w:r>
            <w:r w:rsidRPr="00C24A08">
              <w:rPr>
                <w:rFonts w:ascii="Century Gothic" w:hAnsi="Century Gothic" w:cs="Arial"/>
                <w:sz w:val="16"/>
                <w:szCs w:val="16"/>
              </w:rPr>
              <w:t xml:space="preserve"> </w:t>
            </w:r>
            <w:r>
              <w:rPr>
                <w:rFonts w:ascii="Century Gothic" w:hAnsi="Century Gothic" w:cs="Arial"/>
                <w:sz w:val="16"/>
                <w:szCs w:val="16"/>
              </w:rPr>
              <w:t>01</w:t>
            </w:r>
            <w:r w:rsidRPr="00C24A08">
              <w:rPr>
                <w:rFonts w:ascii="Century Gothic" w:hAnsi="Century Gothic" w:cs="Arial"/>
                <w:sz w:val="16"/>
                <w:szCs w:val="16"/>
              </w:rPr>
              <w:t xml:space="preserve"> de la Subdirecci</w:t>
            </w:r>
            <w:r w:rsidRPr="00C24A08">
              <w:rPr>
                <w:rFonts w:ascii="Century Gothic" w:hAnsi="Century Gothic" w:cs="Century Gothic"/>
                <w:sz w:val="16"/>
                <w:szCs w:val="16"/>
              </w:rPr>
              <w:t>ó</w:t>
            </w:r>
            <w:r w:rsidRPr="00C24A08">
              <w:rPr>
                <w:rFonts w:ascii="Century Gothic" w:hAnsi="Century Gothic" w:cs="Arial"/>
                <w:sz w:val="16"/>
                <w:szCs w:val="16"/>
              </w:rPr>
              <w:t>n de Gesti</w:t>
            </w:r>
            <w:r w:rsidRPr="00C24A08">
              <w:rPr>
                <w:rFonts w:ascii="Century Gothic" w:hAnsi="Century Gothic" w:cs="Century Gothic"/>
                <w:sz w:val="16"/>
                <w:szCs w:val="16"/>
              </w:rPr>
              <w:t>ó</w:t>
            </w:r>
            <w:r w:rsidRPr="00C24A08">
              <w:rPr>
                <w:rFonts w:ascii="Century Gothic" w:hAnsi="Century Gothic" w:cs="Arial"/>
                <w:sz w:val="16"/>
                <w:szCs w:val="16"/>
              </w:rPr>
              <w:t>n Contractual</w:t>
            </w:r>
          </w:p>
        </w:tc>
      </w:tr>
      <w:tr w:rsidR="009B7745" w:rsidRPr="00C24A08" w14:paraId="03DDC1D2" w14:textId="77777777" w:rsidTr="00147633">
        <w:trPr>
          <w:trHeight w:val="409"/>
        </w:trPr>
        <w:tc>
          <w:tcPr>
            <w:tcW w:w="817" w:type="dxa"/>
            <w:tcBorders>
              <w:top w:val="nil"/>
              <w:left w:val="nil"/>
              <w:right w:val="nil"/>
            </w:tcBorders>
            <w:vAlign w:val="center"/>
          </w:tcPr>
          <w:p w14:paraId="6D9265D8" w14:textId="77777777" w:rsidR="009B7745" w:rsidRPr="00C24A08" w:rsidRDefault="009B7745" w:rsidP="00147633">
            <w:pPr>
              <w:shd w:val="clear" w:color="auto" w:fill="FFFFFF" w:themeFill="background1"/>
              <w:jc w:val="both"/>
              <w:rPr>
                <w:rFonts w:ascii="Century Gothic" w:hAnsi="Century Gothic" w:cs="Arial"/>
                <w:sz w:val="16"/>
                <w:szCs w:val="16"/>
              </w:rPr>
            </w:pPr>
            <w:r w:rsidRPr="00C24A08">
              <w:rPr>
                <w:rFonts w:ascii="Century Gothic" w:hAnsi="Century Gothic" w:cs="Arial"/>
                <w:sz w:val="16"/>
                <w:szCs w:val="16"/>
              </w:rPr>
              <w:t>Revisó</w:t>
            </w:r>
          </w:p>
        </w:tc>
        <w:tc>
          <w:tcPr>
            <w:tcW w:w="4937" w:type="dxa"/>
            <w:tcBorders>
              <w:top w:val="dotted" w:sz="6" w:space="0" w:color="7F7F7F" w:themeColor="text1" w:themeTint="80"/>
              <w:left w:val="nil"/>
              <w:bottom w:val="dotted" w:sz="6" w:space="0" w:color="7F7F7F" w:themeColor="text1" w:themeTint="80"/>
              <w:right w:val="nil"/>
            </w:tcBorders>
            <w:vAlign w:val="center"/>
          </w:tcPr>
          <w:p w14:paraId="2459F0BA"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Pr>
                <w:rFonts w:ascii="Century Gothic" w:hAnsi="Century Gothic" w:cs="Arial"/>
                <w:sz w:val="16"/>
                <w:szCs w:val="16"/>
              </w:rPr>
              <w:t>Martha Alicia Romero Vargas</w:t>
            </w:r>
          </w:p>
          <w:p w14:paraId="2974E0B8"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sidRPr="00C24A08">
              <w:rPr>
                <w:rFonts w:ascii="Century Gothic" w:hAnsi="Century Gothic" w:cs="Arial"/>
                <w:sz w:val="16"/>
                <w:szCs w:val="16"/>
              </w:rPr>
              <w:t xml:space="preserve">Gestor T1 </w:t>
            </w:r>
            <w:r w:rsidRPr="00C24A08">
              <w:rPr>
                <w:rFonts w:ascii="Arial" w:hAnsi="Arial" w:cs="Arial"/>
                <w:sz w:val="16"/>
                <w:szCs w:val="16"/>
              </w:rPr>
              <w:t>‒</w:t>
            </w:r>
            <w:r w:rsidRPr="00C24A08">
              <w:rPr>
                <w:rFonts w:ascii="Century Gothic" w:hAnsi="Century Gothic" w:cs="Arial"/>
                <w:sz w:val="16"/>
                <w:szCs w:val="16"/>
              </w:rPr>
              <w:t xml:space="preserve"> 15 de la Subdirecci</w:t>
            </w:r>
            <w:r w:rsidRPr="00C24A08">
              <w:rPr>
                <w:rFonts w:ascii="Century Gothic" w:hAnsi="Century Gothic" w:cs="Century Gothic"/>
                <w:sz w:val="16"/>
                <w:szCs w:val="16"/>
              </w:rPr>
              <w:t>ó</w:t>
            </w:r>
            <w:r w:rsidRPr="00C24A08">
              <w:rPr>
                <w:rFonts w:ascii="Century Gothic" w:hAnsi="Century Gothic" w:cs="Arial"/>
                <w:sz w:val="16"/>
                <w:szCs w:val="16"/>
              </w:rPr>
              <w:t>n de Gesti</w:t>
            </w:r>
            <w:r w:rsidRPr="00C24A08">
              <w:rPr>
                <w:rFonts w:ascii="Century Gothic" w:hAnsi="Century Gothic" w:cs="Century Gothic"/>
                <w:sz w:val="16"/>
                <w:szCs w:val="16"/>
              </w:rPr>
              <w:t>ó</w:t>
            </w:r>
            <w:r w:rsidRPr="00C24A08">
              <w:rPr>
                <w:rFonts w:ascii="Century Gothic" w:hAnsi="Century Gothic" w:cs="Arial"/>
                <w:sz w:val="16"/>
                <w:szCs w:val="16"/>
              </w:rPr>
              <w:t>n Contractual</w:t>
            </w:r>
          </w:p>
        </w:tc>
      </w:tr>
      <w:tr w:rsidR="009B7745" w:rsidRPr="00C24A08" w14:paraId="1A08D611" w14:textId="77777777" w:rsidTr="00147633">
        <w:trPr>
          <w:trHeight w:val="389"/>
        </w:trPr>
        <w:tc>
          <w:tcPr>
            <w:tcW w:w="817" w:type="dxa"/>
            <w:tcBorders>
              <w:top w:val="nil"/>
              <w:left w:val="nil"/>
              <w:bottom w:val="nil"/>
              <w:right w:val="nil"/>
            </w:tcBorders>
            <w:vAlign w:val="center"/>
            <w:hideMark/>
          </w:tcPr>
          <w:p w14:paraId="6D6159FF"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sidRPr="00C24A08">
              <w:rPr>
                <w:rFonts w:ascii="Century Gothic" w:hAnsi="Century Gothic" w:cs="Arial"/>
                <w:sz w:val="16"/>
                <w:szCs w:val="16"/>
              </w:rPr>
              <w:t>Aprobó: </w:t>
            </w:r>
          </w:p>
        </w:tc>
        <w:tc>
          <w:tcPr>
            <w:tcW w:w="4937" w:type="dxa"/>
            <w:tcBorders>
              <w:top w:val="dotted" w:sz="6" w:space="0" w:color="7F7F7F" w:themeColor="text1" w:themeTint="80"/>
              <w:left w:val="nil"/>
              <w:bottom w:val="dotted" w:sz="6" w:space="0" w:color="7F7F7F" w:themeColor="text1" w:themeTint="80"/>
              <w:right w:val="nil"/>
            </w:tcBorders>
            <w:vAlign w:val="center"/>
            <w:hideMark/>
          </w:tcPr>
          <w:p w14:paraId="4AC67B21"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sidRPr="00C24A08">
              <w:rPr>
                <w:rFonts w:ascii="Century Gothic" w:hAnsi="Century Gothic" w:cs="Arial"/>
                <w:sz w:val="16"/>
                <w:szCs w:val="16"/>
              </w:rPr>
              <w:t>Nohelia del Carmen Zawady Palacio</w:t>
            </w:r>
          </w:p>
          <w:p w14:paraId="3B6E859E" w14:textId="77777777" w:rsidR="009B7745" w:rsidRPr="00C24A08" w:rsidRDefault="009B7745" w:rsidP="00147633">
            <w:pPr>
              <w:shd w:val="clear" w:color="auto" w:fill="FFFFFF" w:themeFill="background1"/>
              <w:spacing w:after="0" w:line="240" w:lineRule="auto"/>
              <w:jc w:val="both"/>
              <w:rPr>
                <w:rFonts w:ascii="Century Gothic" w:hAnsi="Century Gothic" w:cs="Arial"/>
                <w:sz w:val="16"/>
                <w:szCs w:val="16"/>
              </w:rPr>
            </w:pPr>
            <w:r w:rsidRPr="00C24A08">
              <w:rPr>
                <w:rFonts w:ascii="Century Gothic" w:hAnsi="Century Gothic" w:cs="Arial"/>
                <w:sz w:val="16"/>
                <w:szCs w:val="16"/>
              </w:rPr>
              <w:t>Subdirectora de Gestión Contractual ANCP - CCE</w:t>
            </w:r>
          </w:p>
        </w:tc>
      </w:tr>
      <w:bookmarkEnd w:id="2"/>
    </w:tbl>
    <w:p w14:paraId="60091195" w14:textId="77777777" w:rsidR="009B7745" w:rsidRPr="00C24A08" w:rsidRDefault="009B7745" w:rsidP="009B7745">
      <w:pPr>
        <w:shd w:val="clear" w:color="auto" w:fill="FFFFFF" w:themeFill="background1"/>
        <w:tabs>
          <w:tab w:val="left" w:pos="0"/>
        </w:tabs>
        <w:spacing w:line="276" w:lineRule="auto"/>
        <w:contextualSpacing/>
        <w:jc w:val="both"/>
        <w:rPr>
          <w:rFonts w:ascii="Century Gothic" w:hAnsi="Century Gothic"/>
          <w:lang w:val="es-MX"/>
        </w:rPr>
      </w:pPr>
    </w:p>
    <w:p w14:paraId="56F45EF0" w14:textId="77777777" w:rsidR="009B7745" w:rsidRPr="00C24A08" w:rsidRDefault="009B7745" w:rsidP="009B7745">
      <w:pPr>
        <w:shd w:val="clear" w:color="auto" w:fill="FFFFFF" w:themeFill="background1"/>
        <w:rPr>
          <w:rFonts w:ascii="Century Gothic" w:hAnsi="Century Gothic"/>
        </w:rPr>
      </w:pPr>
    </w:p>
    <w:p w14:paraId="77EB06E9" w14:textId="77777777" w:rsidR="009B7745" w:rsidRPr="00C24A08" w:rsidRDefault="009B7745" w:rsidP="009B7745">
      <w:pPr>
        <w:spacing w:after="0"/>
        <w:rPr>
          <w:rFonts w:ascii="Century Gothic" w:hAnsi="Century Gothic"/>
          <w:b/>
          <w:color w:val="002060"/>
        </w:rPr>
      </w:pPr>
    </w:p>
    <w:p w14:paraId="0E74FDCD" w14:textId="77777777" w:rsidR="009B7745" w:rsidRPr="008E1A7A" w:rsidRDefault="009B7745" w:rsidP="009B7745"/>
    <w:p w14:paraId="782214BF" w14:textId="77777777" w:rsidR="00C24FFE" w:rsidRDefault="00C24FFE"/>
    <w:sectPr w:rsidR="00C24FFE" w:rsidSect="009B7745">
      <w:headerReference w:type="default" r:id="rId19"/>
      <w:footerReference w:type="default" r:id="rId20"/>
      <w:pgSz w:w="12240" w:h="15840" w:code="1"/>
      <w:pgMar w:top="1418" w:right="1750" w:bottom="1418"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D981D" w14:textId="77777777" w:rsidR="009B7745" w:rsidRDefault="009B7745" w:rsidP="009B7745">
      <w:pPr>
        <w:spacing w:after="0" w:line="240" w:lineRule="auto"/>
      </w:pPr>
      <w:r>
        <w:separator/>
      </w:r>
    </w:p>
  </w:endnote>
  <w:endnote w:type="continuationSeparator" w:id="0">
    <w:p w14:paraId="22F33F42" w14:textId="77777777" w:rsidR="009B7745" w:rsidRDefault="009B7745" w:rsidP="009B7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manist Bold">
    <w:altName w:val="Corbel"/>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6C7F" w14:textId="77777777" w:rsidR="009B7745" w:rsidRDefault="009B7745">
    <w:pPr>
      <w:pStyle w:val="Piedepgina"/>
    </w:pPr>
    <w:r>
      <w:rPr>
        <w:noProof/>
      </w:rPr>
      <w:drawing>
        <wp:inline distT="0" distB="0" distL="0" distR="0" wp14:anchorId="5E289C93" wp14:editId="570BAD29">
          <wp:extent cx="5612130" cy="650240"/>
          <wp:effectExtent l="0" t="0" r="7620" b="0"/>
          <wp:docPr id="6130330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1023"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5612130" cy="650240"/>
                  </a:xfrm>
                  <a:prstGeom prst="rect">
                    <a:avLst/>
                  </a:prstGeom>
                </pic:spPr>
              </pic:pic>
            </a:graphicData>
          </a:graphic>
        </wp:inline>
      </w:drawing>
    </w:r>
    <w:r>
      <w:rPr>
        <w:rFonts w:ascii="Geomanist Bold" w:hAnsi="Geomanist Bold"/>
        <w:b/>
        <w:bCs/>
        <w:noProof/>
        <w:color w:val="002060"/>
        <w:sz w:val="24"/>
        <w:szCs w:val="24"/>
      </w:rPr>
      <w:drawing>
        <wp:anchor distT="0" distB="0" distL="114300" distR="114300" simplePos="0" relativeHeight="251662336" behindDoc="0" locked="0" layoutInCell="1" allowOverlap="1" wp14:anchorId="75FEDE19" wp14:editId="4D9B6DFA">
          <wp:simplePos x="0" y="0"/>
          <wp:positionH relativeFrom="leftMargin">
            <wp:posOffset>-186690</wp:posOffset>
          </wp:positionH>
          <wp:positionV relativeFrom="margin">
            <wp:posOffset>6526530</wp:posOffset>
          </wp:positionV>
          <wp:extent cx="665480" cy="3098800"/>
          <wp:effectExtent l="0" t="0" r="1270" b="6350"/>
          <wp:wrapThrough wrapText="bothSides">
            <wp:wrapPolygon edited="0">
              <wp:start x="4947" y="0"/>
              <wp:lineTo x="0" y="132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792527294" name="Imagen 15670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693"/>
      <w:gridCol w:w="2699"/>
      <w:gridCol w:w="2268"/>
    </w:tblGrid>
    <w:tr w:rsidR="00FC2B5D" w:rsidRPr="00080DA3" w14:paraId="6CA913DB" w14:textId="77777777" w:rsidTr="00B72CD3">
      <w:trPr>
        <w:trHeight w:val="229"/>
        <w:jc w:val="center"/>
      </w:trPr>
      <w:tc>
        <w:tcPr>
          <w:tcW w:w="1271"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68EBF4C3" w14:textId="77777777" w:rsidR="009B7745" w:rsidRPr="003F3941" w:rsidRDefault="009B7745" w:rsidP="00322A85">
          <w:pPr>
            <w:pStyle w:val="Piedepgina"/>
            <w:jc w:val="center"/>
            <w:rPr>
              <w:rFonts w:ascii="Century Gothic" w:hAnsi="Century Gothic"/>
              <w:sz w:val="16"/>
              <w:szCs w:val="16"/>
            </w:rPr>
          </w:pPr>
          <w:r w:rsidRPr="003F3941">
            <w:rPr>
              <w:rFonts w:ascii="Century Gothic" w:hAnsi="Century Gothic"/>
              <w:sz w:val="16"/>
              <w:szCs w:val="16"/>
            </w:rPr>
            <w:t>VERSIÓN: 0</w:t>
          </w:r>
          <w:r>
            <w:rPr>
              <w:rFonts w:ascii="Century Gothic" w:hAnsi="Century Gothic"/>
              <w:sz w:val="16"/>
              <w:szCs w:val="16"/>
            </w:rPr>
            <w:t>2</w:t>
          </w:r>
        </w:p>
      </w:tc>
      <w:tc>
        <w:tcPr>
          <w:tcW w:w="2693"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3F19D8A0" w14:textId="77777777" w:rsidR="009B7745" w:rsidRPr="003F3941" w:rsidRDefault="009B7745" w:rsidP="006219F8">
          <w:pPr>
            <w:pStyle w:val="Piedepgina"/>
            <w:jc w:val="center"/>
            <w:rPr>
              <w:rFonts w:ascii="Century Gothic" w:hAnsi="Century Gothic"/>
              <w:sz w:val="16"/>
              <w:szCs w:val="16"/>
            </w:rPr>
          </w:pPr>
          <w:r w:rsidRPr="003F3941">
            <w:rPr>
              <w:rFonts w:ascii="Century Gothic" w:hAnsi="Century Gothic"/>
              <w:sz w:val="16"/>
              <w:szCs w:val="16"/>
            </w:rPr>
            <w:t xml:space="preserve">CÓDIGO: </w:t>
          </w:r>
          <w:r w:rsidRPr="003F3941">
            <w:rPr>
              <w:rFonts w:ascii="Century Gothic" w:eastAsia="Geo" w:hAnsi="Century Gothic" w:cs="Geo"/>
              <w:b/>
              <w:color w:val="000000"/>
              <w:sz w:val="16"/>
              <w:szCs w:val="16"/>
              <w:lang w:eastAsia="es-CO"/>
            </w:rPr>
            <w:t>CCE-</w:t>
          </w:r>
          <w:r>
            <w:rPr>
              <w:rFonts w:ascii="Century Gothic" w:eastAsia="Geo" w:hAnsi="Century Gothic" w:cs="Geo"/>
              <w:b/>
              <w:color w:val="000000"/>
              <w:sz w:val="16"/>
              <w:szCs w:val="16"/>
              <w:lang w:eastAsia="es-CO"/>
            </w:rPr>
            <w:t>REC</w:t>
          </w:r>
          <w:r w:rsidRPr="003F3941">
            <w:rPr>
              <w:rFonts w:ascii="Century Gothic" w:eastAsia="Geo" w:hAnsi="Century Gothic" w:cs="Geo"/>
              <w:b/>
              <w:color w:val="000000"/>
              <w:sz w:val="16"/>
              <w:szCs w:val="16"/>
              <w:lang w:eastAsia="es-CO"/>
            </w:rPr>
            <w:t>-FM-</w:t>
          </w:r>
          <w:r>
            <w:rPr>
              <w:rFonts w:ascii="Century Gothic" w:eastAsia="Geo" w:hAnsi="Century Gothic" w:cs="Geo"/>
              <w:b/>
              <w:color w:val="000000"/>
              <w:sz w:val="16"/>
              <w:szCs w:val="16"/>
              <w:lang w:eastAsia="es-CO"/>
            </w:rPr>
            <w:t>17</w:t>
          </w:r>
        </w:p>
      </w:tc>
      <w:tc>
        <w:tcPr>
          <w:tcW w:w="2699"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5D9836AF" w14:textId="77777777" w:rsidR="009B7745" w:rsidRPr="003F3941" w:rsidRDefault="009B7745" w:rsidP="00FC2B5D">
          <w:pPr>
            <w:pStyle w:val="Piedepgina"/>
            <w:rPr>
              <w:rFonts w:ascii="Century Gothic" w:hAnsi="Century Gothic"/>
              <w:sz w:val="16"/>
              <w:szCs w:val="16"/>
            </w:rPr>
          </w:pPr>
          <w:r w:rsidRPr="003F3941">
            <w:rPr>
              <w:rFonts w:ascii="Century Gothic" w:hAnsi="Century Gothic"/>
              <w:sz w:val="16"/>
              <w:szCs w:val="16"/>
            </w:rPr>
            <w:t xml:space="preserve">FECHA: </w:t>
          </w:r>
          <w:r>
            <w:rPr>
              <w:rFonts w:ascii="Century Gothic" w:hAnsi="Century Gothic"/>
              <w:sz w:val="16"/>
              <w:szCs w:val="16"/>
            </w:rPr>
            <w:t>31</w:t>
          </w:r>
          <w:r w:rsidRPr="003F3941">
            <w:rPr>
              <w:rFonts w:ascii="Century Gothic" w:hAnsi="Century Gothic"/>
              <w:sz w:val="16"/>
              <w:szCs w:val="16"/>
            </w:rPr>
            <w:t xml:space="preserve"> DE </w:t>
          </w:r>
          <w:r>
            <w:rPr>
              <w:rFonts w:ascii="Century Gothic" w:hAnsi="Century Gothic"/>
              <w:sz w:val="16"/>
              <w:szCs w:val="16"/>
            </w:rPr>
            <w:t>AGOSTO</w:t>
          </w:r>
          <w:r w:rsidRPr="003F3941">
            <w:rPr>
              <w:rFonts w:ascii="Century Gothic" w:hAnsi="Century Gothic"/>
              <w:sz w:val="16"/>
              <w:szCs w:val="16"/>
            </w:rPr>
            <w:t xml:space="preserve">  2023 </w:t>
          </w:r>
        </w:p>
      </w:tc>
      <w:tc>
        <w:tcPr>
          <w:tcW w:w="226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14:paraId="3376B922" w14:textId="77777777" w:rsidR="009B7745" w:rsidRPr="003F3941" w:rsidRDefault="009B7745" w:rsidP="00820278">
          <w:pPr>
            <w:pStyle w:val="Piedepgina"/>
            <w:rPr>
              <w:rFonts w:ascii="Century Gothic" w:hAnsi="Century Gothic"/>
              <w:sz w:val="16"/>
              <w:szCs w:val="16"/>
            </w:rPr>
          </w:pPr>
          <w:r w:rsidRPr="003F3941">
            <w:rPr>
              <w:rFonts w:ascii="Century Gothic" w:hAnsi="Century Gothic"/>
              <w:sz w:val="16"/>
              <w:szCs w:val="16"/>
            </w:rPr>
            <w:t xml:space="preserve">  PÁGINA </w:t>
          </w:r>
          <w:r w:rsidRPr="003F3941">
            <w:rPr>
              <w:rFonts w:ascii="Century Gothic" w:hAnsi="Century Gothic"/>
              <w:b/>
              <w:bCs/>
              <w:sz w:val="16"/>
              <w:szCs w:val="16"/>
            </w:rPr>
            <w:fldChar w:fldCharType="begin"/>
          </w:r>
          <w:r w:rsidRPr="003F3941">
            <w:rPr>
              <w:rFonts w:ascii="Century Gothic" w:hAnsi="Century Gothic"/>
              <w:b/>
              <w:bCs/>
              <w:sz w:val="16"/>
              <w:szCs w:val="16"/>
            </w:rPr>
            <w:instrText>PAGE  \* Arabic  \* MERGEFORMAT</w:instrText>
          </w:r>
          <w:r w:rsidRPr="003F3941">
            <w:rPr>
              <w:rFonts w:ascii="Century Gothic" w:hAnsi="Century Gothic"/>
              <w:b/>
              <w:bCs/>
              <w:sz w:val="16"/>
              <w:szCs w:val="16"/>
            </w:rPr>
            <w:fldChar w:fldCharType="separate"/>
          </w:r>
          <w:r w:rsidRPr="003F3941">
            <w:rPr>
              <w:rFonts w:ascii="Century Gothic" w:hAnsi="Century Gothic"/>
              <w:b/>
              <w:bCs/>
              <w:sz w:val="16"/>
              <w:szCs w:val="16"/>
            </w:rPr>
            <w:t>1</w:t>
          </w:r>
          <w:r w:rsidRPr="003F3941">
            <w:rPr>
              <w:rFonts w:ascii="Century Gothic" w:hAnsi="Century Gothic"/>
              <w:b/>
              <w:bCs/>
              <w:sz w:val="16"/>
              <w:szCs w:val="16"/>
            </w:rPr>
            <w:fldChar w:fldCharType="end"/>
          </w:r>
          <w:r w:rsidRPr="003F3941">
            <w:rPr>
              <w:rFonts w:ascii="Century Gothic" w:hAnsi="Century Gothic"/>
              <w:sz w:val="16"/>
              <w:szCs w:val="16"/>
            </w:rPr>
            <w:t xml:space="preserve"> DE </w:t>
          </w:r>
          <w:r w:rsidRPr="003F3941">
            <w:rPr>
              <w:rFonts w:ascii="Century Gothic" w:hAnsi="Century Gothic"/>
              <w:b/>
              <w:bCs/>
              <w:sz w:val="16"/>
              <w:szCs w:val="16"/>
            </w:rPr>
            <w:fldChar w:fldCharType="begin"/>
          </w:r>
          <w:r w:rsidRPr="003F3941">
            <w:rPr>
              <w:rFonts w:ascii="Century Gothic" w:hAnsi="Century Gothic"/>
              <w:b/>
              <w:bCs/>
              <w:sz w:val="16"/>
              <w:szCs w:val="16"/>
            </w:rPr>
            <w:instrText>NUMPAGES  \* Arabic  \* MERGEFORMAT</w:instrText>
          </w:r>
          <w:r w:rsidRPr="003F3941">
            <w:rPr>
              <w:rFonts w:ascii="Century Gothic" w:hAnsi="Century Gothic"/>
              <w:b/>
              <w:bCs/>
              <w:sz w:val="16"/>
              <w:szCs w:val="16"/>
            </w:rPr>
            <w:fldChar w:fldCharType="separate"/>
          </w:r>
          <w:r w:rsidRPr="003F3941">
            <w:rPr>
              <w:rFonts w:ascii="Century Gothic" w:hAnsi="Century Gothic"/>
              <w:b/>
              <w:bCs/>
              <w:sz w:val="16"/>
              <w:szCs w:val="16"/>
            </w:rPr>
            <w:t>2</w:t>
          </w:r>
          <w:r w:rsidRPr="003F3941">
            <w:rPr>
              <w:rFonts w:ascii="Century Gothic" w:hAnsi="Century Gothic"/>
              <w:b/>
              <w:bCs/>
              <w:sz w:val="16"/>
              <w:szCs w:val="16"/>
            </w:rPr>
            <w:fldChar w:fldCharType="end"/>
          </w:r>
        </w:p>
      </w:tc>
    </w:tr>
  </w:tbl>
  <w:p w14:paraId="2D6BB5D7" w14:textId="77777777" w:rsidR="009B7745" w:rsidRDefault="009B7745" w:rsidP="003E04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7F951" w14:textId="77777777" w:rsidR="009B7745" w:rsidRDefault="009B7745" w:rsidP="009B7745">
      <w:pPr>
        <w:spacing w:after="0" w:line="240" w:lineRule="auto"/>
      </w:pPr>
      <w:r>
        <w:separator/>
      </w:r>
    </w:p>
  </w:footnote>
  <w:footnote w:type="continuationSeparator" w:id="0">
    <w:p w14:paraId="5AC4B954" w14:textId="77777777" w:rsidR="009B7745" w:rsidRDefault="009B7745" w:rsidP="009B7745">
      <w:pPr>
        <w:spacing w:after="0" w:line="240" w:lineRule="auto"/>
      </w:pPr>
      <w:r>
        <w:continuationSeparator/>
      </w:r>
    </w:p>
  </w:footnote>
  <w:footnote w:id="1">
    <w:p w14:paraId="76AAFA6B"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Los conceptos referenciados, así como otros expedidos por la Subdirección se encuentran disponibles para consulta pública en el portal de relatoría de la Agencia, al cual se puede acceder a través del siguiente enlace: </w:t>
      </w:r>
      <w:hyperlink r:id="rId1" w:history="1">
        <w:r w:rsidRPr="005B3F2C">
          <w:rPr>
            <w:rStyle w:val="Hipervnculo"/>
            <w:rFonts w:ascii="Century Gothic" w:hAnsi="Century Gothic" w:cs="Arial"/>
            <w:sz w:val="10"/>
            <w:szCs w:val="10"/>
          </w:rPr>
          <w:t>https://relatoria.colombiacompra.gov.co/busqueda/conceptos</w:t>
        </w:r>
      </w:hyperlink>
      <w:r w:rsidRPr="005B3F2C">
        <w:rPr>
          <w:rStyle w:val="Hipervnculo"/>
          <w:rFonts w:ascii="Century Gothic" w:hAnsi="Century Gothic" w:cs="Arial"/>
          <w:sz w:val="10"/>
          <w:szCs w:val="10"/>
        </w:rPr>
        <w:t xml:space="preserve">. </w:t>
      </w:r>
      <w:r w:rsidRPr="005B3F2C">
        <w:rPr>
          <w:rFonts w:ascii="Century Gothic" w:hAnsi="Century Gothic" w:cs="Arial"/>
          <w:sz w:val="10"/>
          <w:szCs w:val="10"/>
          <w:shd w:val="clear" w:color="auto" w:fill="E6E6E6"/>
        </w:rPr>
        <w:t xml:space="preserve"> </w:t>
      </w:r>
    </w:p>
  </w:footnote>
  <w:footnote w:id="2">
    <w:p w14:paraId="1855D30F" w14:textId="77777777" w:rsidR="009B7745" w:rsidRPr="005B3F2C" w:rsidRDefault="009B7745" w:rsidP="009B7745">
      <w:pPr>
        <w:pStyle w:val="Textonotapie"/>
        <w:ind w:firstLine="708"/>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CO"/>
        </w:rPr>
        <w:t>Corte Constitucional, M.P. Clara Inés Vargas Hernández, en sentencia C 580 del 6 de junio de 2001, Exp O.P.047.</w:t>
      </w:r>
    </w:p>
    <w:p w14:paraId="2F8EA76A" w14:textId="77777777" w:rsidR="009B7745" w:rsidRPr="005B3F2C" w:rsidRDefault="009B7745" w:rsidP="009B7745">
      <w:pPr>
        <w:pStyle w:val="Textonotapie"/>
        <w:ind w:firstLine="708"/>
        <w:jc w:val="both"/>
        <w:rPr>
          <w:rFonts w:ascii="Century Gothic" w:hAnsi="Century Gothic" w:cs="Arial"/>
          <w:sz w:val="10"/>
          <w:szCs w:val="10"/>
          <w:lang w:val="es-CO"/>
        </w:rPr>
      </w:pPr>
    </w:p>
  </w:footnote>
  <w:footnote w:id="3">
    <w:p w14:paraId="0EB9537F" w14:textId="77777777" w:rsidR="009B7745" w:rsidRPr="005B3F2C" w:rsidRDefault="009B7745" w:rsidP="009B7745">
      <w:pPr>
        <w:pStyle w:val="Textonotapie"/>
        <w:ind w:firstLine="708"/>
        <w:jc w:val="both"/>
        <w:rPr>
          <w:rFonts w:ascii="Century Gothic" w:hAnsi="Century Gothic"/>
          <w:sz w:val="10"/>
          <w:szCs w:val="10"/>
          <w:lang w:val="es-CO"/>
        </w:rPr>
      </w:pPr>
      <w:r w:rsidRPr="005B3F2C">
        <w:rPr>
          <w:rStyle w:val="Refdenotaalpie"/>
          <w:rFonts w:ascii="Century Gothic" w:hAnsi="Century Gothic"/>
          <w:sz w:val="10"/>
          <w:szCs w:val="10"/>
        </w:rPr>
        <w:footnoteRef/>
      </w:r>
      <w:r w:rsidRPr="005B3F2C">
        <w:rPr>
          <w:rFonts w:ascii="Century Gothic" w:hAnsi="Century Gothic"/>
          <w:sz w:val="10"/>
          <w:szCs w:val="10"/>
        </w:rPr>
        <w:t xml:space="preserve"> En el segundo grado por su parte, se clasificaron las asociaciones de juntas de acción comunal; en el tercer grado a la Federación de la acción comunal, constituida por los organismos de segundo grado y en cuarto grado al Confederación nacional de Acción comunal, constituido por los organismos de tercer grado y que posteriormente se afilien.</w:t>
      </w:r>
    </w:p>
  </w:footnote>
  <w:footnote w:id="4">
    <w:p w14:paraId="76C4D546" w14:textId="77777777" w:rsidR="009B7745" w:rsidRPr="005B3F2C" w:rsidRDefault="009B7745" w:rsidP="009B7745">
      <w:pPr>
        <w:pStyle w:val="Textonotapie"/>
        <w:spacing w:before="120" w:after="120"/>
        <w:ind w:firstLine="708"/>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CO"/>
        </w:rPr>
        <w:t>Corte Constitucional, M.P. Jorge Ignacio Pretelt Chaljub, en sentencia C 106 del 9 de marzo de 2016, Exp D-10894</w:t>
      </w:r>
    </w:p>
  </w:footnote>
  <w:footnote w:id="5">
    <w:p w14:paraId="7836C9B9" w14:textId="77777777" w:rsidR="009B7745" w:rsidRPr="005B3F2C" w:rsidRDefault="009B7745" w:rsidP="009B7745">
      <w:pPr>
        <w:pStyle w:val="Textonotapie"/>
        <w:ind w:firstLine="709"/>
        <w:jc w:val="both"/>
        <w:rPr>
          <w:rFonts w:ascii="Century Gothic" w:hAnsi="Century Gothic" w:cs="Arial"/>
          <w:sz w:val="10"/>
          <w:szCs w:val="10"/>
          <w:lang w:val="es-ES"/>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ES"/>
        </w:rPr>
        <w:t>El numeral 16 del artículo tercero de la Ley 136 de 1994 dispone lo siguiente:</w:t>
      </w:r>
      <w:r w:rsidRPr="005B3F2C">
        <w:rPr>
          <w:rFonts w:ascii="Century Gothic" w:hAnsi="Century Gothic" w:cs="Arial"/>
          <w:color w:val="000000" w:themeColor="text1"/>
          <w:sz w:val="10"/>
          <w:szCs w:val="10"/>
          <w:lang w:val="es-CO"/>
        </w:rPr>
        <w:t xml:space="preserve"> “[…] </w:t>
      </w:r>
      <w:r w:rsidRPr="005B3F2C">
        <w:rPr>
          <w:rFonts w:ascii="Century Gothic" w:hAnsi="Century Gothic" w:cs="Arial"/>
          <w:sz w:val="10"/>
          <w:szCs w:val="10"/>
          <w:lang w:val="es-ES"/>
        </w:rPr>
        <w:t>16. En concordancia con lo establecido en el artículo 355 de la Constitución Política, los municipios y distritos podrán celebrar convenios solidarios con: los cabildos, las autoridades y organizaciones indígenas, los organismos de acción comunal y demás organizaciones civiles y asociaciones residentes en el territorio, para el desarrollo conjunto de programas y actividades establecidas por la Ley a los municipios y distritos, acorde con sus planes de desarrollo</w:t>
      </w:r>
      <w:r w:rsidRPr="005B3F2C">
        <w:rPr>
          <w:rFonts w:ascii="Century Gothic" w:hAnsi="Century Gothic" w:cs="Arial"/>
          <w:color w:val="000000" w:themeColor="text1"/>
          <w:sz w:val="10"/>
          <w:szCs w:val="10"/>
          <w:lang w:val="es-CO"/>
        </w:rPr>
        <w:t xml:space="preserve"> […]”.</w:t>
      </w:r>
    </w:p>
  </w:footnote>
  <w:footnote w:id="6">
    <w:p w14:paraId="68E5C29A" w14:textId="77777777" w:rsidR="009B7745" w:rsidRPr="005B3F2C" w:rsidRDefault="009B7745" w:rsidP="009B7745">
      <w:pPr>
        <w:pStyle w:val="Textonotapie"/>
        <w:ind w:firstLine="709"/>
        <w:jc w:val="both"/>
        <w:rPr>
          <w:rFonts w:ascii="Century Gothic" w:hAnsi="Century Gothic" w:cs="Arial"/>
          <w:sz w:val="10"/>
          <w:szCs w:val="10"/>
          <w:lang w:val="es-ES"/>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Al respecto puede consultarse, entre otros, los conceptos </w:t>
      </w:r>
      <w:r w:rsidRPr="005B3F2C">
        <w:rPr>
          <w:rFonts w:ascii="Century Gothic" w:hAnsi="Century Gothic" w:cs="Arial"/>
          <w:sz w:val="10"/>
          <w:szCs w:val="10"/>
          <w:lang w:val="es-ES"/>
        </w:rPr>
        <w:t xml:space="preserve">C-155 del 14 de abril de 2021, C-364 del 28 de julio de 2021, C-394 del 17 de septiembre de 2021 y C-627 del 25 de octubre de 2021. </w:t>
      </w:r>
    </w:p>
    <w:p w14:paraId="51678CA6" w14:textId="77777777" w:rsidR="009B7745" w:rsidRPr="005B3F2C" w:rsidRDefault="009B7745" w:rsidP="009B7745">
      <w:pPr>
        <w:pStyle w:val="Textonotapie"/>
        <w:ind w:firstLine="709"/>
        <w:jc w:val="both"/>
        <w:rPr>
          <w:rFonts w:ascii="Century Gothic" w:hAnsi="Century Gothic" w:cs="Arial"/>
          <w:sz w:val="10"/>
          <w:szCs w:val="10"/>
          <w:lang w:val="es-ES"/>
        </w:rPr>
      </w:pPr>
    </w:p>
  </w:footnote>
  <w:footnote w:id="7">
    <w:p w14:paraId="0C8B9C11" w14:textId="77777777" w:rsidR="009B7745" w:rsidRPr="005B3F2C" w:rsidRDefault="009B7745" w:rsidP="009B7745">
      <w:pPr>
        <w:pStyle w:val="Textonotapie"/>
        <w:ind w:firstLine="709"/>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Ley 136 de 1994, “Artículo 141. Vinculación al desarrollo municipal: Las organizaciones comunitarias, cívicas, profesionales, juveniles, sindicales, benéficas o de utilidad común no gubernamentales, sin ánimo de lucro y constituidas con arreglo a la ley, podrán vincularse al desarrollo y mejoramiento municipal mediante su participación en el ejercicio de las funciones, la prestación de servicios o la ejecución de obras públicas a cargo de la administración central o descentralizada.</w:t>
      </w:r>
    </w:p>
    <w:p w14:paraId="62EEF0E5" w14:textId="77777777" w:rsidR="009B7745" w:rsidRPr="005B3F2C" w:rsidRDefault="009B7745" w:rsidP="009B7745">
      <w:pPr>
        <w:pStyle w:val="Textonotapie"/>
        <w:ind w:firstLine="709"/>
        <w:jc w:val="both"/>
        <w:rPr>
          <w:rFonts w:ascii="Century Gothic" w:hAnsi="Century Gothic" w:cs="Arial"/>
          <w:sz w:val="10"/>
          <w:szCs w:val="10"/>
        </w:rPr>
      </w:pPr>
      <w:r w:rsidRPr="005B3F2C">
        <w:rPr>
          <w:rFonts w:ascii="Century Gothic" w:hAnsi="Century Gothic" w:cs="Arial"/>
          <w:sz w:val="10"/>
          <w:szCs w:val="10"/>
        </w:rPr>
        <w:t>Parágrafo: Los contratos o convenios que se celebren en desarrollo del artículo anterior, se sujetarán a lo dispuesto por los artículos 375 a 378 del Decreto 1333 de 1986 y la Ley 80 de 1993”.</w:t>
      </w:r>
    </w:p>
    <w:p w14:paraId="039C6E4A" w14:textId="77777777" w:rsidR="009B7745" w:rsidRPr="005B3F2C" w:rsidRDefault="009B7745" w:rsidP="009B7745">
      <w:pPr>
        <w:pStyle w:val="Textonotapie"/>
        <w:ind w:firstLine="709"/>
        <w:jc w:val="both"/>
        <w:rPr>
          <w:rFonts w:ascii="Century Gothic" w:hAnsi="Century Gothic" w:cs="Arial"/>
          <w:sz w:val="10"/>
          <w:szCs w:val="10"/>
        </w:rPr>
      </w:pPr>
    </w:p>
  </w:footnote>
  <w:footnote w:id="8">
    <w:p w14:paraId="233FD258"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Ley 743 del 2002, “Artículo 55. </w:t>
      </w:r>
      <w:bookmarkStart w:id="6" w:name="_Hlk98586808"/>
      <w:r w:rsidRPr="005B3F2C">
        <w:rPr>
          <w:rFonts w:ascii="Century Gothic" w:hAnsi="Century Gothic" w:cs="Arial"/>
          <w:sz w:val="10"/>
          <w:szCs w:val="10"/>
        </w:rPr>
        <w:t xml:space="preserve">Conforme al artículo 141 de la Ley 136 de 1994, las organizaciones comunales podrán vincularse al desarrollo y mejoramiento municipal, mediante su participación en el ejercicio de sus funciones, la prestación de servicios, o la ejecución de obras públicas a cargo de la administración central o descentralizada. </w:t>
      </w:r>
    </w:p>
    <w:p w14:paraId="62753C0E" w14:textId="77777777" w:rsidR="009B7745" w:rsidRPr="005B3F2C" w:rsidRDefault="009B7745" w:rsidP="009B7745">
      <w:pPr>
        <w:pStyle w:val="Textonotapie"/>
        <w:ind w:firstLine="708"/>
        <w:jc w:val="both"/>
        <w:rPr>
          <w:rFonts w:ascii="Century Gothic" w:hAnsi="Century Gothic" w:cs="Arial"/>
          <w:sz w:val="10"/>
          <w:szCs w:val="10"/>
          <w:lang w:val="es-CO"/>
        </w:rPr>
      </w:pPr>
      <w:r w:rsidRPr="005B3F2C">
        <w:rPr>
          <w:rFonts w:ascii="Century Gothic" w:hAnsi="Century Gothic" w:cs="Arial"/>
          <w:sz w:val="10"/>
          <w:szCs w:val="10"/>
        </w:rPr>
        <w:t xml:space="preserve">Los contratos o convenios que celebren los organismos comunales se regularán por el régimen vigente de contratación para organizaciones solidarias”.  </w:t>
      </w:r>
      <w:bookmarkEnd w:id="6"/>
    </w:p>
  </w:footnote>
  <w:footnote w:id="9">
    <w:p w14:paraId="468DC6DE"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La norma dispone que “</w:t>
      </w:r>
      <w:r w:rsidRPr="005B3F2C">
        <w:rPr>
          <w:rFonts w:ascii="Century Gothic" w:hAnsi="Century Gothic" w:cs="Arial"/>
          <w:sz w:val="10"/>
          <w:szCs w:val="10"/>
          <w:lang w:val="es-CO"/>
        </w:rPr>
        <w:t>La Entidad Estatal del Gobierno nacional, departamental, distrital y municipal deberá adelantar un proceso competitivo para seleccionar la entidad sin ánimo de lucro contratista, cuando en la etapa de planeación identifique que el programa o actividad de interés público que requiere desarrollar es ofrecido por más de una Entidad sin ánimo de lucro.</w:t>
      </w:r>
    </w:p>
    <w:p w14:paraId="48130E10" w14:textId="77777777" w:rsidR="009B7745" w:rsidRPr="005B3F2C" w:rsidRDefault="009B7745" w:rsidP="009B7745">
      <w:pPr>
        <w:pStyle w:val="Textonotapie"/>
        <w:ind w:firstLine="709"/>
        <w:jc w:val="both"/>
        <w:rPr>
          <w:rFonts w:ascii="Century Gothic" w:hAnsi="Century Gothic" w:cs="Arial"/>
          <w:sz w:val="10"/>
          <w:szCs w:val="10"/>
        </w:rPr>
      </w:pPr>
      <w:r w:rsidRPr="005B3F2C">
        <w:rPr>
          <w:rFonts w:ascii="Century Gothic" w:hAnsi="Century Gothic" w:cs="Arial"/>
          <w:sz w:val="10"/>
          <w:szCs w:val="10"/>
        </w:rPr>
        <w:t>En el proceso competitivo la Entidad Estatal deberá cumplir las siguientes fases: (i) definición y publicación de los indicadores de idoneidad, experiencia, eficacia, eficiencia, economía y de manejo del Riesgo y los criterios de ponderación para comparar las ofertas; (ii) definición de un plazo razonable para que las entidades privadas sin ánimo de lucro de reconocida idoneidad presenten a la Entidad Estatal sus ofertas y los documentos que acrediten su idoneidad, y (iii) evaluación de las ofertas por parte de la Entidad Estatal teniendo en cuenta los criterios definidos para el efecto”.</w:t>
      </w:r>
    </w:p>
    <w:p w14:paraId="1E0F465E" w14:textId="77777777" w:rsidR="009B7745" w:rsidRPr="005B3F2C" w:rsidRDefault="009B7745" w:rsidP="009B7745">
      <w:pPr>
        <w:pStyle w:val="Textonotapie"/>
        <w:ind w:firstLine="709"/>
        <w:jc w:val="both"/>
        <w:rPr>
          <w:rFonts w:ascii="Century Gothic" w:hAnsi="Century Gothic" w:cs="Arial"/>
          <w:sz w:val="10"/>
          <w:szCs w:val="10"/>
        </w:rPr>
      </w:pPr>
    </w:p>
  </w:footnote>
  <w:footnote w:id="10">
    <w:p w14:paraId="4B0B53B9"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El artículo 8 dispone del Decreto 092 de 2017 dispone que “La contratación a la que hace referencia el presente decreto está sujeta a las normas generales aplicables a la contratación pública excepto en lo reglamentado en el presente decreto”.</w:t>
      </w:r>
    </w:p>
    <w:p w14:paraId="0C97B64E" w14:textId="77777777" w:rsidR="009B7745" w:rsidRPr="005B3F2C" w:rsidRDefault="009B7745" w:rsidP="009B7745">
      <w:pPr>
        <w:pStyle w:val="Textonotapie"/>
        <w:ind w:firstLine="708"/>
        <w:jc w:val="both"/>
        <w:rPr>
          <w:rFonts w:ascii="Century Gothic" w:hAnsi="Century Gothic" w:cs="Arial"/>
          <w:sz w:val="10"/>
          <w:szCs w:val="10"/>
        </w:rPr>
      </w:pPr>
    </w:p>
  </w:footnote>
  <w:footnote w:id="11">
    <w:p w14:paraId="33397680"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«ARTICULO 8°. DE LAS INHABILIDADES E INCOMPATIBILIDADES PARA CONTRATAR.</w:t>
      </w:r>
    </w:p>
    <w:p w14:paraId="3E83CDC3" w14:textId="77777777" w:rsidR="009B7745" w:rsidRPr="005B3F2C" w:rsidRDefault="009B7745" w:rsidP="009B7745">
      <w:pPr>
        <w:pStyle w:val="Textonotapie"/>
        <w:spacing w:before="120"/>
        <w:ind w:firstLine="709"/>
        <w:jc w:val="both"/>
        <w:rPr>
          <w:rFonts w:ascii="Century Gothic" w:hAnsi="Century Gothic" w:cs="Arial"/>
          <w:sz w:val="10"/>
          <w:szCs w:val="10"/>
        </w:rPr>
      </w:pPr>
      <w:r w:rsidRPr="005B3F2C">
        <w:rPr>
          <w:rFonts w:ascii="Century Gothic" w:hAnsi="Century Gothic" w:cs="Arial"/>
          <w:sz w:val="10"/>
          <w:szCs w:val="10"/>
        </w:rPr>
        <w:t>1°. Son inhábiles para participar en licitaciones o concursos y para celebrar contratos con las entidades estatales:</w:t>
      </w:r>
    </w:p>
    <w:p w14:paraId="617993B2"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a) Las personas que se hallen inhabilitadas para contratar por la Constitución y las leyes.</w:t>
      </w:r>
    </w:p>
    <w:p w14:paraId="1023F60C"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b) Quienes participaron en las licitaciones o concursos o celebraron los contratos de que trata el literal anterior estando inhabilitados.</w:t>
      </w:r>
    </w:p>
    <w:p w14:paraId="4EA2F0CB"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c) Quienes dieron lugar a la declaratoria de caducidad.</w:t>
      </w:r>
    </w:p>
    <w:p w14:paraId="5BFC6BB1"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 xml:space="preserve">d) Quienes en sentencia judicial hayan sido condenados a la pena accesoria de interdicción de derechos y funciones públicas y quienes hayan sido sancionados disciplinariamente con destitución. </w:t>
      </w:r>
    </w:p>
    <w:p w14:paraId="7DBC5E3B"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e) Quienes sin justa causa se abstengan de suscribir el contrato estatal adjudicado.</w:t>
      </w:r>
    </w:p>
    <w:p w14:paraId="3E780415"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f) Los servidores públicos.</w:t>
      </w:r>
    </w:p>
    <w:p w14:paraId="1D415CD8"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g) Quienes sean cónyuges o compañeros permanentes y quienes se encuentren dentro del segundo grado de consanguinidad o segundo de afinidad con cualquier otra persona que formalmente haya presentado propuesta para una misma licitación.</w:t>
      </w:r>
    </w:p>
    <w:p w14:paraId="6F937B52"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h) Las sociedades distintas de las anónimas abiertas, en las cuales el representante legal o cualquiera de sus socios tenga parentesco en segundo grado de consanguinidad o segundo de afinidad con el representante legal o con cualquiera de los socios de una sociedad que formalmente haya presentado propuesta, para una misma licitación.</w:t>
      </w:r>
    </w:p>
    <w:p w14:paraId="07EEE31E"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i) Los socios de sociedades de personas a las cuales se haya declarado la caducidad, así como las sociedades de personas de las que aquellos formen parte con posterioridad a dicha declaratoria.</w:t>
      </w:r>
    </w:p>
    <w:p w14:paraId="728B9FC8"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717DAA19"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j) Literal reglamentado por el Decreto 1358 de 2020. Literal modificado por la Ley 2014 de 2019, artículo 2º. Las personas naturales que hayan sido declaradas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así como las personas jurídicas que hayan sido declaradas responsables administrativamente por la conducta de soborno transnacional.</w:t>
      </w:r>
    </w:p>
    <w:p w14:paraId="7CF37764"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23383057"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k) Literal adicionado por la Ley 1474 de 2011, artículo 2º. Éste modificado por la Ley 1778 de 2016, artículo 33. Inhabilidad para contratar de quienes financien campañas políticas. Las personas naturales o jurídicas que hayan financiado campañas políticas a la Presidencia de la República, a las gobernaciones, a las alcaldías o al Congreso de la República, con aportes superiores al dos por ciento (2.0%) de las sumas máximas a invertir por los candidatos en las campañas electorales en cada circunscripción electoral, quienes no podrán celebrar contratos con las entidades públicas, incluso descentralizadas, del respectivo nivel administrativo para el cual fue elegido el candidato.</w:t>
      </w:r>
    </w:p>
    <w:p w14:paraId="3DA33A92"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3A0AB906"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l) Literal adicionado por la Ley 1474 de 2011, artículo 84, parágrafo 2º. (éste declarado exequible condicionalmente por los cargos analizados por la Corte Constitucional en la Sentencia C-434 de 2013.). El interventor que incumpla el deber de entregar información a la entidad contratante relacionada con el incumplimiento del contrato, con hechos o circunstancias que puedan constituir actos de corrupción tipificados como conductas punibles, o que puedan poner o pongan en riesgo el cumplimiento del contrato.</w:t>
      </w:r>
    </w:p>
    <w:p w14:paraId="4868E7AE" w14:textId="77777777" w:rsidR="009B7745" w:rsidRPr="005B3F2C" w:rsidRDefault="009B7745" w:rsidP="009B7745">
      <w:pPr>
        <w:pStyle w:val="Textonotapie"/>
        <w:ind w:firstLine="708"/>
        <w:rPr>
          <w:rFonts w:ascii="Century Gothic" w:hAnsi="Century Gothic" w:cs="Arial"/>
          <w:sz w:val="10"/>
          <w:szCs w:val="10"/>
        </w:rPr>
      </w:pPr>
      <w:r w:rsidRPr="005B3F2C">
        <w:rPr>
          <w:rFonts w:ascii="Century Gothic" w:hAnsi="Century Gothic" w:cs="Arial"/>
          <w:sz w:val="10"/>
          <w:szCs w:val="10"/>
        </w:rPr>
        <w:t>[...]»</w:t>
      </w:r>
    </w:p>
  </w:footnote>
  <w:footnote w:id="12">
    <w:p w14:paraId="7B8CE981"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Esta Agencia se pronunció sobre la obligación de controlar y vigilar la ejecución de los contratos estatales, en los conceptos con radicado 4201913000004799, emitido el 30 de agosto de 2019, y 4201913000008240 del 20 de diciembre de 2019; y en los conceptos C-064 del 28 de febrero de 2020, C–077 del 18 de marzo de 2020, C–150 del 18 de marzo de 2020, C–134 del 30 de marzo de 2020, C–180 del 13 de abril de 2020, C-344 de 26 de mayo de 2020, C-765 de 1 de enero de 2021, C-603 de 02 de noviembre de 2021, C-745 de 3 de febrero de 2022, C-506 del 3 de agosto de 2022, C-577 del 15 de septiembre de 2022, C-620 de 27 de septiembre de 2022 y C-830 del 28 de septiembre de 2022.</w:t>
      </w:r>
    </w:p>
  </w:footnote>
  <w:footnote w:id="13">
    <w:p w14:paraId="67E6FE42" w14:textId="77777777" w:rsidR="009B7745" w:rsidRPr="005B3F2C" w:rsidRDefault="009B7745" w:rsidP="009B7745">
      <w:pPr>
        <w:pStyle w:val="Textonotapie"/>
        <w:ind w:firstLine="708"/>
        <w:jc w:val="both"/>
        <w:rPr>
          <w:rFonts w:ascii="Century Gothic" w:hAnsi="Century Gothic" w:cs="Arial"/>
          <w:color w:val="000000" w:themeColor="text1"/>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Texto tomado de la ley sancionada y publicada en la página web </w:t>
      </w:r>
      <w:hyperlink r:id="rId2" w:history="1">
        <w:r w:rsidRPr="005B3F2C">
          <w:rPr>
            <w:rStyle w:val="Hipervnculo"/>
            <w:rFonts w:ascii="Century Gothic" w:hAnsi="Century Gothic" w:cs="Arial"/>
            <w:sz w:val="10"/>
            <w:szCs w:val="10"/>
          </w:rPr>
          <w:t>https://www.suin-juriscol.gov.co/viewDocument.asp?ruta=Leyes/30043742</w:t>
        </w:r>
      </w:hyperlink>
      <w:r w:rsidRPr="005B3F2C">
        <w:rPr>
          <w:rFonts w:ascii="Century Gothic" w:hAnsi="Century Gothic" w:cs="Arial"/>
          <w:sz w:val="10"/>
          <w:szCs w:val="10"/>
        </w:rPr>
        <w:t xml:space="preserve"> </w:t>
      </w:r>
    </w:p>
    <w:p w14:paraId="23B528AF" w14:textId="77777777" w:rsidR="009B7745" w:rsidRPr="005B3F2C" w:rsidRDefault="009B7745" w:rsidP="009B7745">
      <w:pPr>
        <w:pStyle w:val="Textonotapie"/>
        <w:ind w:firstLine="708"/>
        <w:jc w:val="both"/>
        <w:rPr>
          <w:rFonts w:ascii="Century Gothic" w:hAnsi="Century Gothic" w:cs="Arial"/>
          <w:color w:val="000000" w:themeColor="text1"/>
          <w:sz w:val="10"/>
          <w:szCs w:val="10"/>
          <w:lang w:val="es-CO"/>
        </w:rPr>
      </w:pPr>
    </w:p>
  </w:footnote>
  <w:footnote w:id="14">
    <w:p w14:paraId="77E67AF7"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bookmarkStart w:id="9" w:name="7"/>
      <w:r w:rsidRPr="005B3F2C">
        <w:rPr>
          <w:rFonts w:ascii="Century Gothic" w:eastAsia="Calibri" w:hAnsi="Century Gothic" w:cs="Arial"/>
          <w:color w:val="000000" w:themeColor="text1"/>
          <w:sz w:val="10"/>
          <w:szCs w:val="10"/>
          <w:lang w:val="es-ES_tradnl"/>
        </w:rPr>
        <w:t>“</w:t>
      </w:r>
      <w:r w:rsidRPr="005B3F2C">
        <w:rPr>
          <w:rFonts w:ascii="Century Gothic" w:hAnsi="Century Gothic" w:cs="Arial"/>
          <w:sz w:val="10"/>
          <w:szCs w:val="10"/>
          <w:lang w:val="es-CO"/>
        </w:rPr>
        <w:t>Artículo 7. Organismos de la Acción Comunal.</w:t>
      </w:r>
      <w:bookmarkEnd w:id="9"/>
    </w:p>
    <w:p w14:paraId="60085B2D"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a) Son organismos de acción comunal de primer grado las juntas de acción comunal y las juntas de vivienda comunal. La junta de acción comunal es una organización cívica, social y comunitaria de gestión social, sin ánimo de lucro, de naturaleza solidaria, con personería jurídica y patrimonio propio, integrada voluntariamente por los residentes de un lugar que aúnan esfuerzos y recursos para procurar un desarrollo integral, sostenible y sustentable con fundamento en el ejercicio de la democracia participativa;</w:t>
      </w:r>
    </w:p>
    <w:p w14:paraId="3B9EBA85"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b) La junta de vivienda comunal es una organización cívica sin ánimo de lucro, integrada por familias que se reúnen con el propósito de adelantar programas de mejoramiento o de autoconstrucción de vivienda. Una vez concluido el programa, la junta de vivienda comunal se podrá asimilar a la Junta de Acción Comunal definida en el presente artículo, siempre y cuando cumpla los requisitos dispuestos en la ley;</w:t>
      </w:r>
    </w:p>
    <w:p w14:paraId="53664CBE"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c) Es organismo de acción comunal de segundo grado la asociación de juntas de acción comunal. Tienen la misma naturaleza jurídica de las juntas de acción comunal y se constituye con los organismos de primer grado fundadores y los que posteriormente se afilien;</w:t>
      </w:r>
    </w:p>
    <w:p w14:paraId="169AF95B"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d) Es organismo de acción comunal de tercer grado la federación de acción comunal, tiene la misma naturaleza jurídica de las juntas de acción comunal y se constituye con los organismos de acción comunal de segundo grado fundadores y que posteriormente se afilien;</w:t>
      </w:r>
    </w:p>
    <w:p w14:paraId="525CD3DA"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e) Es organismo de acción comunal de cuarto grado, la confederación nacional de acción comunal, tiene la misma naturaleza jurídica de las juntas de acción comunal y se constituye con los organismos de acción comunal de tercer grado fundadores y que posteriormente se afilien.</w:t>
      </w:r>
    </w:p>
    <w:p w14:paraId="4E382A16"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PARÁGRAFO 1o. Cada organismo de acción comunal, se dará su propio reglamento conforme al marco brindado por esta ley enunciado en el artículo 1 y las normas que le sucedan.</w:t>
      </w:r>
    </w:p>
    <w:p w14:paraId="5BB36A4D"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Fonts w:ascii="Century Gothic" w:hAnsi="Century Gothic" w:cs="Arial"/>
          <w:sz w:val="10"/>
          <w:szCs w:val="10"/>
          <w:lang w:val="es-CO"/>
        </w:rPr>
        <w:t>PARÁGRAFO 2o. Dentro del año siguiente a la expedición de la presente Ley en concertación con la organización social de la Acción Comunal, el Gobierno nacional expedirá una reglamentación para las Juntas de Vivienda Comunal</w:t>
      </w:r>
      <w:r w:rsidRPr="005B3F2C">
        <w:rPr>
          <w:rFonts w:ascii="Century Gothic" w:eastAsia="Calibri" w:hAnsi="Century Gothic" w:cs="Arial"/>
          <w:color w:val="000000" w:themeColor="text1"/>
          <w:sz w:val="10"/>
          <w:szCs w:val="10"/>
          <w:lang w:val="es-ES_tradnl"/>
        </w:rPr>
        <w:t>”.</w:t>
      </w:r>
    </w:p>
    <w:p w14:paraId="0D0203C9" w14:textId="77777777" w:rsidR="009B7745" w:rsidRPr="005B3F2C" w:rsidRDefault="009B7745" w:rsidP="009B7745">
      <w:pPr>
        <w:pStyle w:val="Textonotapie"/>
        <w:jc w:val="both"/>
        <w:rPr>
          <w:rFonts w:ascii="Century Gothic" w:hAnsi="Century Gothic" w:cs="Arial"/>
          <w:sz w:val="10"/>
          <w:szCs w:val="10"/>
          <w:lang w:val="es-CO"/>
        </w:rPr>
      </w:pPr>
    </w:p>
  </w:footnote>
  <w:footnote w:id="15">
    <w:p w14:paraId="2157FA82"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CO"/>
        </w:rPr>
        <w:t xml:space="preserve">El artículo 286 de la Constitución política de Colombia señala que </w:t>
      </w:r>
      <w:r w:rsidRPr="005B3F2C">
        <w:rPr>
          <w:rFonts w:ascii="Century Gothic" w:eastAsia="Calibri" w:hAnsi="Century Gothic" w:cs="Arial"/>
          <w:color w:val="000000" w:themeColor="text1"/>
          <w:sz w:val="10"/>
          <w:szCs w:val="10"/>
          <w:lang w:val="es-ES_tradnl"/>
        </w:rPr>
        <w:t>“</w:t>
      </w:r>
      <w:r w:rsidRPr="005B3F2C">
        <w:rPr>
          <w:rFonts w:ascii="Century Gothic" w:hAnsi="Century Gothic" w:cs="Arial"/>
          <w:sz w:val="10"/>
          <w:szCs w:val="10"/>
          <w:lang w:val="es-CO"/>
        </w:rPr>
        <w:t>Son entidades territoriales los departamentos, los distritos, los municipios y los territorios indígenas”.</w:t>
      </w:r>
    </w:p>
  </w:footnote>
  <w:footnote w:id="16">
    <w:p w14:paraId="47320174" w14:textId="77777777" w:rsidR="009B7745" w:rsidRPr="005B3F2C" w:rsidRDefault="009B7745" w:rsidP="009B7745">
      <w:pPr>
        <w:pStyle w:val="Textonotapie"/>
        <w:ind w:firstLine="709"/>
        <w:jc w:val="both"/>
        <w:rPr>
          <w:rFonts w:ascii="Century Gothic" w:hAnsi="Century Gothic" w:cs="Arial"/>
          <w:color w:val="4472C4" w:themeColor="accent1"/>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CO"/>
        </w:rPr>
        <w:t>Informe de ponencia para primer debate del proyecto de Ley</w:t>
      </w:r>
      <w:r w:rsidRPr="005B3F2C">
        <w:rPr>
          <w:rFonts w:ascii="Century Gothic" w:eastAsia="Times New Roman" w:hAnsi="Century Gothic" w:cs="Arial"/>
          <w:sz w:val="10"/>
          <w:szCs w:val="10"/>
          <w:lang w:val="es-CO" w:eastAsia="es-ES_tradnl"/>
        </w:rPr>
        <w:t xml:space="preserve"> </w:t>
      </w:r>
      <w:r w:rsidRPr="005B3F2C">
        <w:rPr>
          <w:rFonts w:ascii="Century Gothic" w:hAnsi="Century Gothic" w:cs="Arial"/>
          <w:sz w:val="10"/>
          <w:szCs w:val="10"/>
          <w:lang w:val="es-CO"/>
        </w:rPr>
        <w:t xml:space="preserve">115 de 2020 Cámara, acumulado con los proyectos de ley 269 de 2020 Cámara, 341 de 2020 Cámara, y 474 de 2020 Cámara “por medio de la cual se deroga la Ley 743 de 2002 y se desarrolla el artículo 38 Constitución Política de Colombia en lo referente a los organismos de acción comunal”. </w:t>
      </w:r>
      <w:r w:rsidRPr="005B3F2C">
        <w:rPr>
          <w:rFonts w:ascii="Century Gothic" w:hAnsi="Century Gothic" w:cs="Arial"/>
          <w:sz w:val="10"/>
          <w:szCs w:val="10"/>
        </w:rPr>
        <w:t xml:space="preserve">Gaceta del Congreso de la República No. </w:t>
      </w:r>
      <w:r w:rsidRPr="005B3F2C">
        <w:rPr>
          <w:rFonts w:ascii="Century Gothic" w:hAnsi="Century Gothic" w:cs="Arial"/>
          <w:sz w:val="10"/>
          <w:szCs w:val="10"/>
          <w:lang w:val="es-CO"/>
        </w:rPr>
        <w:t xml:space="preserve">578 del 4 de junio de 2021. Disponible en: </w:t>
      </w:r>
      <w:hyperlink r:id="rId3" w:history="1">
        <w:r w:rsidRPr="005B3F2C">
          <w:rPr>
            <w:rStyle w:val="Hipervnculo"/>
            <w:rFonts w:ascii="Century Gothic" w:hAnsi="Century Gothic" w:cs="Arial"/>
            <w:color w:val="4472C4" w:themeColor="accent1"/>
            <w:sz w:val="10"/>
            <w:szCs w:val="10"/>
            <w:lang w:val="es-CO"/>
          </w:rPr>
          <w:t>https://www.camara.gov.co/juntas-de-accion-comunal</w:t>
        </w:r>
      </w:hyperlink>
      <w:r w:rsidRPr="005B3F2C">
        <w:rPr>
          <w:rFonts w:ascii="Century Gothic" w:hAnsi="Century Gothic" w:cs="Arial"/>
          <w:color w:val="4472C4" w:themeColor="accent1"/>
          <w:sz w:val="10"/>
          <w:szCs w:val="10"/>
          <w:lang w:val="es-CO"/>
        </w:rPr>
        <w:t xml:space="preserve">  </w:t>
      </w:r>
    </w:p>
    <w:p w14:paraId="646E89C4" w14:textId="77777777" w:rsidR="009B7745" w:rsidRPr="005B3F2C" w:rsidRDefault="009B7745" w:rsidP="009B7745">
      <w:pPr>
        <w:pStyle w:val="Textonotapie"/>
        <w:ind w:firstLine="709"/>
        <w:jc w:val="both"/>
        <w:rPr>
          <w:rFonts w:ascii="Century Gothic" w:hAnsi="Century Gothic" w:cs="Arial"/>
          <w:color w:val="4472C4" w:themeColor="accent1"/>
          <w:sz w:val="10"/>
          <w:szCs w:val="10"/>
          <w:lang w:val="es-CO"/>
        </w:rPr>
      </w:pPr>
    </w:p>
  </w:footnote>
  <w:footnote w:id="17">
    <w:p w14:paraId="7FA8211B" w14:textId="77777777" w:rsidR="009B7745" w:rsidRPr="005B3F2C" w:rsidRDefault="009B7745" w:rsidP="009B7745">
      <w:pPr>
        <w:pStyle w:val="Textonotapie"/>
        <w:ind w:firstLine="709"/>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CO"/>
        </w:rPr>
        <w:t xml:space="preserve">El inciso primero de este artículo se encontraba regulado de manera similar en el artículo 55 de la Ley 742 de 2003, norma que para efectos de la celebración de convenios solidarios con los organismos de acción comunal se interpretaba armónicamente con </w:t>
      </w:r>
      <w:r w:rsidRPr="005B3F2C">
        <w:rPr>
          <w:rFonts w:ascii="Century Gothic" w:hAnsi="Century Gothic" w:cs="Arial"/>
          <w:sz w:val="10"/>
          <w:szCs w:val="10"/>
          <w:lang w:val="es-ES"/>
        </w:rPr>
        <w:t>los parágrafos tercero y quinto del artículo 3 de la Ley 136 de 1994 y lo dispuesto en el artículo 141 de la precitada Ley</w:t>
      </w:r>
      <w:r w:rsidRPr="005B3F2C">
        <w:rPr>
          <w:rFonts w:ascii="Century Gothic" w:hAnsi="Century Gothic" w:cs="Arial"/>
          <w:sz w:val="10"/>
          <w:szCs w:val="10"/>
          <w:lang w:val="es-CO"/>
        </w:rPr>
        <w:t xml:space="preserve">. Este artículo disponía lo siguiente: </w:t>
      </w:r>
      <w:r w:rsidRPr="005B3F2C">
        <w:rPr>
          <w:rFonts w:ascii="Century Gothic" w:eastAsia="Calibri" w:hAnsi="Century Gothic" w:cs="Arial"/>
          <w:color w:val="000000" w:themeColor="text1"/>
          <w:sz w:val="10"/>
          <w:szCs w:val="10"/>
          <w:lang w:val="es-ES_tradnl"/>
        </w:rPr>
        <w:t>“</w:t>
      </w:r>
      <w:r w:rsidRPr="005B3F2C">
        <w:rPr>
          <w:rFonts w:ascii="Century Gothic" w:hAnsi="Century Gothic" w:cs="Arial"/>
          <w:sz w:val="10"/>
          <w:szCs w:val="10"/>
        </w:rPr>
        <w:t xml:space="preserve">Conforme al artículo 141 de la Ley 136 de 1994, las organizaciones comunales podrán vincularse al desarrollo y mejoramiento municipal, mediante su participación en el ejercicio de sus funciones, la prestación de servicios, o la ejecución de obras públicas a cargo de la administración central o descentralizada. Los contratos o convenios que celebren los organismos comunales se regularán por el régimen vigente de contratación para organizaciones solidarias”.  </w:t>
      </w:r>
    </w:p>
    <w:p w14:paraId="700B0124" w14:textId="77777777" w:rsidR="009B7745" w:rsidRPr="005B3F2C" w:rsidRDefault="009B7745" w:rsidP="009B7745">
      <w:pPr>
        <w:pStyle w:val="Textonotapie"/>
        <w:jc w:val="both"/>
        <w:rPr>
          <w:rFonts w:ascii="Century Gothic" w:hAnsi="Century Gothic" w:cs="Arial"/>
          <w:sz w:val="10"/>
          <w:szCs w:val="10"/>
          <w:lang w:val="es-CO"/>
        </w:rPr>
      </w:pPr>
    </w:p>
  </w:footnote>
  <w:footnote w:id="18">
    <w:p w14:paraId="7137B77D"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De acuerdo con lo explicado en el acápite 2.1 del presente concepto, esta norma representa una excepción a la imposibilidad de ejercer potestades exorbitantes en los convenios administrativos.</w:t>
      </w:r>
    </w:p>
  </w:footnote>
  <w:footnote w:id="19">
    <w:p w14:paraId="01872888" w14:textId="77777777" w:rsidR="009B7745" w:rsidRPr="005B3F2C" w:rsidRDefault="009B7745" w:rsidP="009B7745">
      <w:pPr>
        <w:pStyle w:val="Textonotapie"/>
        <w:ind w:firstLine="708"/>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El artículo citado dispone que “</w:t>
      </w:r>
      <w:r w:rsidRPr="005B3F2C">
        <w:rPr>
          <w:rFonts w:ascii="Century Gothic" w:hAnsi="Century Gothic" w:cs="Arial"/>
          <w:sz w:val="10"/>
          <w:szCs w:val="10"/>
          <w:lang w:val="es-CO"/>
        </w:rPr>
        <w:t>Los organismos de acción comunal a que se refiere esta ley, formarán una persona distinta de sus miembros individualmente considerados, a partir de su registro ante la entidad que ejerce su inspección, vigilancia y control.</w:t>
      </w:r>
    </w:p>
    <w:p w14:paraId="392A8F19"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Sus estatutos y sus reformas, los nombramientos y elección de dignatarios, los libros y la disolución y liquidación de las personas jurídicas de que trata esta ley, se inscribirán ante las entidades que ejercen su inspección, vigilancia y control.</w:t>
      </w:r>
    </w:p>
    <w:p w14:paraId="30C07392"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La existencia y representación legal de las personas jurídicas a que se refiere esta ley se aprobarán con la certificación expedida por la entidad competente para la realización del registro”.</w:t>
      </w:r>
    </w:p>
    <w:p w14:paraId="621E83E6" w14:textId="77777777" w:rsidR="009B7745" w:rsidRPr="005B3F2C" w:rsidRDefault="009B7745" w:rsidP="009B7745">
      <w:pPr>
        <w:pStyle w:val="Textonotapie"/>
        <w:ind w:firstLine="708"/>
        <w:jc w:val="both"/>
        <w:rPr>
          <w:rFonts w:ascii="Century Gothic" w:hAnsi="Century Gothic" w:cs="Arial"/>
          <w:sz w:val="10"/>
          <w:szCs w:val="10"/>
          <w:lang w:val="es-CO"/>
        </w:rPr>
      </w:pPr>
      <w:r w:rsidRPr="005B3F2C">
        <w:rPr>
          <w:rFonts w:ascii="Century Gothic" w:hAnsi="Century Gothic" w:cs="Arial"/>
          <w:sz w:val="10"/>
          <w:szCs w:val="10"/>
        </w:rPr>
        <w:t>Dicha norma debe entenderse en concordancia con el artículo 74 de la Ley 2166 de 2021, pues también prescribe lo siguiente: “</w:t>
      </w:r>
      <w:r w:rsidRPr="005B3F2C">
        <w:rPr>
          <w:rFonts w:ascii="Century Gothic" w:hAnsi="Century Gothic" w:cs="Arial"/>
          <w:sz w:val="10"/>
          <w:szCs w:val="10"/>
          <w:lang w:val="es-CO"/>
        </w:rPr>
        <w:t>Existen dos niveles de autoridades que ejercen vigilancia, inspección y control sobre los organismos comunales, de acuerdo al grado al que pertenezcan:</w:t>
      </w:r>
    </w:p>
    <w:p w14:paraId="47B702EB"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a) Primer nivel: lo ejerce Ministerio del Interior, sobre los organismos comunales de tercer y cuarto grado.</w:t>
      </w:r>
    </w:p>
    <w:p w14:paraId="52F7CE95"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b) Segundo nivel: lo ejercen los Departamentos, Distritos y Municipios, a través de las dependencias a las que se le asignen dichas funciones sobre los organismos comunales de primer y segundo grado”.</w:t>
      </w:r>
    </w:p>
  </w:footnote>
  <w:footnote w:id="20">
    <w:p w14:paraId="07BD0279" w14:textId="77777777" w:rsidR="009B7745" w:rsidRPr="005B3F2C" w:rsidRDefault="009B7745" w:rsidP="009B7745">
      <w:pPr>
        <w:pStyle w:val="Textonotapie"/>
        <w:ind w:firstLine="709"/>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Es importante señalar que los documentos tipo adoptados son obligatorios para las entidades estatales regidas por el Estatuto General de Contratación de la Administración Pública –EGCAP– que adelanten procesos de contratación mediante las modalidades de selección y objetos contractuales cobijados por alguno de los documentos tipo vigentes en los diferentes sectores. La obligatoriedad del contenido de los documentos tipo implica que las entidades estatales tengan que adelantar los procesos de contratación ciñéndose a las condiciones establecidas en los documentos tipo, sin que puedan variarse los requisitos fijados en ellos.</w:t>
      </w:r>
    </w:p>
  </w:footnote>
  <w:footnote w:id="21">
    <w:p w14:paraId="79149559" w14:textId="77777777" w:rsidR="009B7745" w:rsidRPr="005B3F2C" w:rsidRDefault="009B7745" w:rsidP="009B7745">
      <w:pPr>
        <w:pStyle w:val="Textonotapie"/>
        <w:ind w:firstLine="709"/>
        <w:jc w:val="both"/>
        <w:rPr>
          <w:rFonts w:ascii="Century Gothic" w:hAnsi="Century Gothic"/>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Esta resolución puede consultarse en la página web de la Agencia Nacional de Contratación Pública </w:t>
      </w:r>
      <w:r w:rsidRPr="005B3F2C">
        <w:rPr>
          <w:rFonts w:ascii="Century Gothic" w:eastAsia="Calibri" w:hAnsi="Century Gothic" w:cs="Arial"/>
          <w:sz w:val="10"/>
          <w:szCs w:val="10"/>
          <w:lang w:val="es-ES" w:eastAsia="es-ES"/>
        </w:rPr>
        <w:t xml:space="preserve">– Colombia Compra Eficiente en el siguiente enlace: </w:t>
      </w:r>
      <w:hyperlink r:id="rId4" w:history="1">
        <w:r w:rsidRPr="005B3F2C">
          <w:rPr>
            <w:rStyle w:val="Hipervnculo"/>
            <w:rFonts w:ascii="Century Gothic" w:hAnsi="Century Gothic"/>
            <w:sz w:val="10"/>
            <w:szCs w:val="10"/>
          </w:rPr>
          <w:t>https://www.colombiacompra.gov.co/content/documento-tipo-para-la-contratacion-directa-de-convenios-solidarios-para-la-ejecucion-de</w:t>
        </w:r>
      </w:hyperlink>
      <w:r w:rsidRPr="005B3F2C">
        <w:rPr>
          <w:rFonts w:ascii="Century Gothic" w:hAnsi="Century Gothic"/>
          <w:sz w:val="10"/>
          <w:szCs w:val="10"/>
        </w:rPr>
        <w:t xml:space="preserve"> </w:t>
      </w:r>
    </w:p>
    <w:p w14:paraId="25B27CC8"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Style w:val="Hipervnculo"/>
          <w:rFonts w:ascii="Century Gothic" w:eastAsia="Calibri" w:hAnsi="Century Gothic" w:cs="Arial"/>
          <w:sz w:val="10"/>
          <w:szCs w:val="10"/>
          <w:lang w:val="es-ES" w:eastAsia="es-ES"/>
        </w:rPr>
        <w:t xml:space="preserve"> </w:t>
      </w:r>
      <w:r w:rsidRPr="005B3F2C">
        <w:rPr>
          <w:rFonts w:ascii="Century Gothic" w:eastAsia="Calibri" w:hAnsi="Century Gothic" w:cs="Arial"/>
          <w:sz w:val="10"/>
          <w:szCs w:val="10"/>
          <w:lang w:val="es-ES" w:eastAsia="es-ES"/>
        </w:rPr>
        <w:t xml:space="preserve"> </w:t>
      </w:r>
    </w:p>
  </w:footnote>
  <w:footnote w:id="22">
    <w:p w14:paraId="4B69CB77" w14:textId="77777777" w:rsidR="009B7745" w:rsidRPr="005B3F2C" w:rsidRDefault="009B7745" w:rsidP="009B7745">
      <w:pPr>
        <w:pStyle w:val="Textonotapie"/>
        <w:ind w:firstLine="709"/>
        <w:jc w:val="both"/>
        <w:rPr>
          <w:rFonts w:ascii="Century Gothic" w:hAnsi="Century Gothic" w:cs="Arial"/>
          <w:sz w:val="10"/>
          <w:szCs w:val="10"/>
          <w:lang w:val="es-CO"/>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En relación con el artículo 2. “Desarrollo e implementación de los documentos tipo” contenido en la Resolución 358 del 30 de junio de 2023, debe aclararse que respecto a la palabra subrayada “[…] la ejecución de obras hasta el </w:t>
      </w:r>
      <w:r w:rsidRPr="005B3F2C">
        <w:rPr>
          <w:rFonts w:ascii="Century Gothic" w:hAnsi="Century Gothic" w:cs="Arial"/>
          <w:i/>
          <w:iCs/>
          <w:sz w:val="10"/>
          <w:szCs w:val="10"/>
          <w:u w:val="single"/>
        </w:rPr>
        <w:t>momento</w:t>
      </w:r>
      <w:r w:rsidRPr="005B3F2C">
        <w:rPr>
          <w:rFonts w:ascii="Century Gothic" w:hAnsi="Century Gothic" w:cs="Arial"/>
          <w:sz w:val="10"/>
          <w:szCs w:val="10"/>
        </w:rPr>
        <w:t xml:space="preserve"> de la menor cuantía”, el texto presenta una inconsistencia de digitación, y esta palabra debe entenderse como </w:t>
      </w:r>
      <w:r w:rsidRPr="005B3F2C">
        <w:rPr>
          <w:rFonts w:ascii="Century Gothic" w:hAnsi="Century Gothic" w:cs="Arial"/>
          <w:i/>
          <w:iCs/>
          <w:sz w:val="10"/>
          <w:szCs w:val="10"/>
          <w:u w:val="single"/>
        </w:rPr>
        <w:t>monto</w:t>
      </w:r>
      <w:r w:rsidRPr="005B3F2C">
        <w:rPr>
          <w:rFonts w:ascii="Century Gothic" w:hAnsi="Century Gothic" w:cs="Arial"/>
          <w:sz w:val="10"/>
          <w:szCs w:val="10"/>
        </w:rPr>
        <w:t xml:space="preserve">. </w:t>
      </w:r>
    </w:p>
  </w:footnote>
  <w:footnote w:id="23">
    <w:p w14:paraId="34AF60A9" w14:textId="77777777" w:rsidR="009B7745" w:rsidRPr="005B3F2C" w:rsidRDefault="009B7745" w:rsidP="009B7745">
      <w:pPr>
        <w:ind w:left="300" w:right="306"/>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Ley 80 de 1993: “Artículo 26. Del principio de responsabilidad. En virtud de este principio:</w:t>
      </w:r>
    </w:p>
    <w:p w14:paraId="471BF15C" w14:textId="77777777" w:rsidR="009B7745" w:rsidRPr="005B3F2C" w:rsidRDefault="009B7745" w:rsidP="009B7745">
      <w:pPr>
        <w:ind w:left="300" w:right="306"/>
        <w:jc w:val="both"/>
        <w:rPr>
          <w:rFonts w:ascii="Century Gothic" w:hAnsi="Century Gothic" w:cs="Arial"/>
          <w:sz w:val="10"/>
          <w:szCs w:val="10"/>
        </w:rPr>
      </w:pPr>
      <w:r w:rsidRPr="005B3F2C">
        <w:rPr>
          <w:rFonts w:ascii="Century Gothic" w:hAnsi="Century Gothic" w:cs="Arial"/>
          <w:sz w:val="10"/>
          <w:szCs w:val="10"/>
        </w:rPr>
        <w:t>“1. Los servidores públicos están obligados a buscar el cumplimiento de los fines de la contratación, a vigilar la correcta ejecución del objeto contratado y a proteger los derechos de la entidad, del contratista y de los terceros que puedan verse afectados por la ejecución del</w:t>
      </w:r>
      <w:r w:rsidRPr="005B3F2C">
        <w:rPr>
          <w:rFonts w:ascii="Century Gothic" w:hAnsi="Century Gothic" w:cs="Arial"/>
          <w:spacing w:val="-8"/>
          <w:sz w:val="10"/>
          <w:szCs w:val="10"/>
        </w:rPr>
        <w:t xml:space="preserve"> </w:t>
      </w:r>
      <w:r w:rsidRPr="005B3F2C">
        <w:rPr>
          <w:rFonts w:ascii="Century Gothic" w:hAnsi="Century Gothic" w:cs="Arial"/>
          <w:sz w:val="10"/>
          <w:szCs w:val="10"/>
        </w:rPr>
        <w:t>contrato”.</w:t>
      </w:r>
    </w:p>
  </w:footnote>
  <w:footnote w:id="24">
    <w:p w14:paraId="16073895" w14:textId="77777777" w:rsidR="009B7745" w:rsidRPr="005B3F2C" w:rsidRDefault="009B7745" w:rsidP="009B7745">
      <w:pPr>
        <w:ind w:left="300" w:right="306"/>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Ley 1474 de 2011, artículo 83: “La supervisión consistirá en el seguimiento técnico, administrativo, financiero, contable, y jurídico que sobre el cumplimiento del objeto del contrato, es ejercida por la misma entidad estatal cuando no requieren conocimientos especializados. Para la supervisión, la Entidad estatal podrá contratar personal de apoyo, a través de los contratos de prestación de servicios que sean requeridos”.</w:t>
      </w:r>
    </w:p>
  </w:footnote>
  <w:footnote w:id="25">
    <w:p w14:paraId="2E125DA8"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r w:rsidRPr="005B3F2C">
        <w:rPr>
          <w:rStyle w:val="Refdenotaalpie"/>
          <w:rFonts w:ascii="Century Gothic" w:hAnsi="Century Gothic"/>
          <w:color w:val="000000" w:themeColor="text1"/>
          <w:sz w:val="10"/>
          <w:szCs w:val="10"/>
        </w:rPr>
        <w:footnoteRef/>
      </w:r>
      <w:r w:rsidRPr="005B3F2C">
        <w:rPr>
          <w:rFonts w:ascii="Century Gothic" w:hAnsi="Century Gothic"/>
          <w:color w:val="000000" w:themeColor="text1"/>
          <w:sz w:val="10"/>
          <w:szCs w:val="10"/>
        </w:rPr>
        <w:t xml:space="preserve"> </w:t>
      </w:r>
      <w:r w:rsidRPr="005B3F2C">
        <w:rPr>
          <w:rFonts w:ascii="Century Gothic" w:hAnsi="Century Gothic"/>
          <w:iCs/>
          <w:color w:val="000000" w:themeColor="text1"/>
          <w:sz w:val="10"/>
          <w:szCs w:val="10"/>
        </w:rPr>
        <w:t>Artículo 17 de la Ley 1150 de 2007.</w:t>
      </w:r>
    </w:p>
    <w:p w14:paraId="119FD259"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p>
  </w:footnote>
  <w:footnote w:id="26">
    <w:p w14:paraId="3B554B6B"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r w:rsidRPr="005B3F2C">
        <w:rPr>
          <w:rStyle w:val="Refdenotaalpie"/>
          <w:rFonts w:ascii="Century Gothic" w:hAnsi="Century Gothic"/>
          <w:color w:val="000000" w:themeColor="text1"/>
          <w:sz w:val="10"/>
          <w:szCs w:val="10"/>
        </w:rPr>
        <w:footnoteRef/>
      </w:r>
      <w:r w:rsidRPr="005B3F2C">
        <w:rPr>
          <w:rFonts w:ascii="Century Gothic" w:hAnsi="Century Gothic"/>
          <w:color w:val="000000" w:themeColor="text1"/>
          <w:sz w:val="10"/>
          <w:szCs w:val="10"/>
        </w:rPr>
        <w:t xml:space="preserve"> </w:t>
      </w:r>
      <w:r w:rsidRPr="005B3F2C">
        <w:rPr>
          <w:rFonts w:ascii="Century Gothic" w:hAnsi="Century Gothic"/>
          <w:iCs/>
          <w:color w:val="000000" w:themeColor="text1"/>
          <w:sz w:val="10"/>
          <w:szCs w:val="10"/>
        </w:rPr>
        <w:t>Artículo 21 de la Ley 1150 de 2007.</w:t>
      </w:r>
    </w:p>
    <w:p w14:paraId="523B0C5B"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p>
  </w:footnote>
  <w:footnote w:id="27">
    <w:p w14:paraId="3E55D9A6"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r w:rsidRPr="005B3F2C">
        <w:rPr>
          <w:rStyle w:val="Refdenotaalpie"/>
          <w:rFonts w:ascii="Century Gothic" w:hAnsi="Century Gothic"/>
          <w:color w:val="000000" w:themeColor="text1"/>
          <w:sz w:val="10"/>
          <w:szCs w:val="10"/>
        </w:rPr>
        <w:footnoteRef/>
      </w:r>
      <w:r w:rsidRPr="005B3F2C">
        <w:rPr>
          <w:rFonts w:ascii="Century Gothic" w:hAnsi="Century Gothic"/>
          <w:color w:val="000000" w:themeColor="text1"/>
          <w:sz w:val="10"/>
          <w:szCs w:val="10"/>
        </w:rPr>
        <w:t xml:space="preserve"> </w:t>
      </w:r>
      <w:r w:rsidRPr="005B3F2C">
        <w:rPr>
          <w:rFonts w:ascii="Century Gothic" w:hAnsi="Century Gothic"/>
          <w:iCs/>
          <w:color w:val="000000" w:themeColor="text1"/>
          <w:sz w:val="10"/>
          <w:szCs w:val="10"/>
        </w:rPr>
        <w:t>Artículos 83 a 86 de la Ley 1474 de 2011.</w:t>
      </w:r>
    </w:p>
    <w:p w14:paraId="7E8B7FEE"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p>
  </w:footnote>
  <w:footnote w:id="28">
    <w:p w14:paraId="48B7CA5E" w14:textId="77777777" w:rsidR="009B7745" w:rsidRPr="005B3F2C" w:rsidRDefault="009B7745" w:rsidP="009B7745">
      <w:pPr>
        <w:pStyle w:val="Textonotapie"/>
        <w:ind w:firstLine="708"/>
        <w:jc w:val="both"/>
        <w:rPr>
          <w:rFonts w:ascii="Century Gothic" w:hAnsi="Century Gothic"/>
          <w:color w:val="000000" w:themeColor="text1"/>
          <w:sz w:val="10"/>
          <w:szCs w:val="10"/>
        </w:rPr>
      </w:pPr>
      <w:r w:rsidRPr="005B3F2C">
        <w:rPr>
          <w:rStyle w:val="Refdenotaalpie"/>
          <w:rFonts w:ascii="Century Gothic" w:hAnsi="Century Gothic"/>
          <w:color w:val="000000" w:themeColor="text1"/>
          <w:sz w:val="10"/>
          <w:szCs w:val="10"/>
        </w:rPr>
        <w:footnoteRef/>
      </w:r>
      <w:r w:rsidRPr="005B3F2C">
        <w:rPr>
          <w:rFonts w:ascii="Century Gothic" w:hAnsi="Century Gothic"/>
          <w:color w:val="000000" w:themeColor="text1"/>
          <w:sz w:val="10"/>
          <w:szCs w:val="10"/>
        </w:rPr>
        <w:t xml:space="preserve"> Radicado No. 4201913000008240 del 20 de diciembre de 2019.</w:t>
      </w:r>
    </w:p>
    <w:p w14:paraId="4DDB4A32" w14:textId="77777777" w:rsidR="009B7745" w:rsidRPr="005B3F2C" w:rsidRDefault="009B7745" w:rsidP="009B7745">
      <w:pPr>
        <w:pStyle w:val="Textonotapie"/>
        <w:ind w:firstLine="708"/>
        <w:jc w:val="both"/>
        <w:rPr>
          <w:rFonts w:ascii="Century Gothic" w:hAnsi="Century Gothic"/>
          <w:color w:val="000000" w:themeColor="text1"/>
          <w:sz w:val="10"/>
          <w:szCs w:val="10"/>
        </w:rPr>
      </w:pPr>
    </w:p>
  </w:footnote>
  <w:footnote w:id="29">
    <w:p w14:paraId="70BA3607" w14:textId="77777777" w:rsidR="009B7745" w:rsidRPr="005B3F2C" w:rsidRDefault="009B7745" w:rsidP="009B7745">
      <w:pPr>
        <w:pStyle w:val="Textonotapie"/>
        <w:ind w:firstLine="708"/>
        <w:jc w:val="both"/>
        <w:rPr>
          <w:rFonts w:ascii="Century Gothic" w:hAnsi="Century Gothic"/>
          <w:iCs/>
          <w:color w:val="000000" w:themeColor="text1"/>
          <w:sz w:val="10"/>
          <w:szCs w:val="10"/>
        </w:rPr>
      </w:pPr>
      <w:r w:rsidRPr="005B3F2C">
        <w:rPr>
          <w:rStyle w:val="Refdenotaalpie"/>
          <w:rFonts w:ascii="Century Gothic" w:hAnsi="Century Gothic"/>
          <w:color w:val="000000" w:themeColor="text1"/>
          <w:sz w:val="10"/>
          <w:szCs w:val="10"/>
        </w:rPr>
        <w:footnoteRef/>
      </w:r>
      <w:r w:rsidRPr="005B3F2C">
        <w:rPr>
          <w:rFonts w:ascii="Century Gothic" w:hAnsi="Century Gothic"/>
          <w:color w:val="000000" w:themeColor="text1"/>
          <w:sz w:val="10"/>
          <w:szCs w:val="10"/>
        </w:rPr>
        <w:t xml:space="preserve"> </w:t>
      </w:r>
      <w:r w:rsidRPr="005B3F2C">
        <w:rPr>
          <w:rFonts w:ascii="Century Gothic" w:hAnsi="Century Gothic"/>
          <w:iCs/>
          <w:color w:val="000000" w:themeColor="text1"/>
          <w:sz w:val="10"/>
          <w:szCs w:val="10"/>
        </w:rPr>
        <w:t>A excepción de la interventoría del contrato de obra adjudicado por licitación pública que es obligatoria según el numeral 1° del artículo 32 de la Ley 80 de 1993.</w:t>
      </w:r>
    </w:p>
    <w:p w14:paraId="32B7B0E4" w14:textId="77777777" w:rsidR="009B7745" w:rsidRPr="005B3F2C" w:rsidRDefault="009B7745" w:rsidP="009B7745">
      <w:pPr>
        <w:pStyle w:val="Textonotapie"/>
        <w:jc w:val="both"/>
        <w:rPr>
          <w:rFonts w:ascii="Century Gothic" w:hAnsi="Century Gothic"/>
          <w:iCs/>
          <w:color w:val="000000" w:themeColor="text1"/>
          <w:sz w:val="10"/>
          <w:szCs w:val="10"/>
        </w:rPr>
      </w:pPr>
    </w:p>
  </w:footnote>
  <w:footnote w:id="30">
    <w:p w14:paraId="4C09E887" w14:textId="77777777" w:rsidR="009B7745" w:rsidRPr="005B3F2C" w:rsidRDefault="009B7745" w:rsidP="009B7745">
      <w:pPr>
        <w:pStyle w:val="Textonotapie"/>
        <w:ind w:firstLine="709"/>
        <w:jc w:val="both"/>
        <w:rPr>
          <w:rFonts w:ascii="Century Gothic" w:hAnsi="Century Gothic" w:cs="Arial"/>
          <w:sz w:val="10"/>
          <w:szCs w:val="10"/>
          <w:lang w:val="es-ES"/>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w:t>
      </w:r>
      <w:r w:rsidRPr="005B3F2C">
        <w:rPr>
          <w:rFonts w:ascii="Century Gothic" w:hAnsi="Century Gothic" w:cs="Arial"/>
          <w:sz w:val="10"/>
          <w:szCs w:val="10"/>
          <w:lang w:val="es-ES"/>
        </w:rPr>
        <w:t>BOBBIO, Norberto. Democracia y secreto. México: Fondo de Cultura Económica, 2013. p. 27.</w:t>
      </w:r>
    </w:p>
    <w:p w14:paraId="332A6ABF" w14:textId="77777777" w:rsidR="009B7745" w:rsidRPr="005B3F2C" w:rsidRDefault="009B7745" w:rsidP="009B7745">
      <w:pPr>
        <w:pStyle w:val="Textonotapie"/>
        <w:ind w:firstLine="709"/>
        <w:jc w:val="both"/>
        <w:rPr>
          <w:rFonts w:ascii="Century Gothic" w:hAnsi="Century Gothic" w:cs="Arial"/>
          <w:sz w:val="10"/>
          <w:szCs w:val="10"/>
          <w:lang w:val="es-ES"/>
        </w:rPr>
      </w:pPr>
    </w:p>
  </w:footnote>
  <w:footnote w:id="31">
    <w:p w14:paraId="7D4DE3D8"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Style w:val="Refdenotaalpie"/>
          <w:rFonts w:ascii="Century Gothic" w:hAnsi="Century Gothic" w:cs="Arial"/>
          <w:color w:val="000000"/>
          <w:sz w:val="10"/>
          <w:szCs w:val="10"/>
        </w:rPr>
        <w:footnoteRef/>
      </w:r>
      <w:r w:rsidRPr="005B3F2C">
        <w:rPr>
          <w:rFonts w:ascii="Century Gothic" w:hAnsi="Century Gothic" w:cs="Arial"/>
          <w:color w:val="000000"/>
          <w:sz w:val="10"/>
          <w:szCs w:val="10"/>
        </w:rPr>
        <w:t xml:space="preserve"> Corte Constitucional. Sentencia C- 341 del 4 de junio de 2014. M. P. Mauricio González Cuervo.</w:t>
      </w:r>
    </w:p>
  </w:footnote>
  <w:footnote w:id="32">
    <w:p w14:paraId="302ADA18"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Style w:val="Refdenotaalpie"/>
          <w:rFonts w:ascii="Century Gothic" w:hAnsi="Century Gothic" w:cs="Arial"/>
          <w:color w:val="000000"/>
          <w:sz w:val="10"/>
          <w:szCs w:val="10"/>
        </w:rPr>
        <w:footnoteRef/>
      </w:r>
      <w:r w:rsidRPr="005B3F2C">
        <w:rPr>
          <w:rFonts w:ascii="Century Gothic" w:hAnsi="Century Gothic" w:cs="Arial"/>
          <w:color w:val="000000"/>
          <w:sz w:val="10"/>
          <w:szCs w:val="10"/>
        </w:rPr>
        <w:t xml:space="preserve"> Ley 1150 de 2007: “Artículo 3.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Para el trámite, notificación y publicación de tales actos, podrán utilizarse soportes, medios y aplicaciones electrónicas. Los mecanismos e instrumentos por medio de los cuales las entidades cumplirán con las obligaciones de publicidad del proceso contractual serán señalados por el Gobierno Nacional.</w:t>
      </w:r>
    </w:p>
    <w:p w14:paraId="76FD91AC"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Lo anterior, sin perjuicio de las publicaciones previstas en el numeral 3 del artículo 30 de la Ley 80 de 1993.</w:t>
      </w:r>
    </w:p>
    <w:p w14:paraId="78CA7435"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 xml:space="preserve">Con el fin de materializar los objetivos a que se refiere el inciso anterior, el Gobierno Nacional desarrollará el Sistema Electrónico para la Contratación Pública, Secop, el cual: </w:t>
      </w:r>
    </w:p>
    <w:p w14:paraId="09D917DC"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w:t>
      </w:r>
    </w:p>
    <w:p w14:paraId="6874F71C"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 xml:space="preserve">c) Contará con la información oficial de la contratación realizada con dineros públicos, para lo cual establecerá los patrones a que haya lugar y se encargará de su difusión a través de canales electrónico”. </w:t>
      </w:r>
    </w:p>
    <w:p w14:paraId="6A38E31B" w14:textId="77777777" w:rsidR="009B7745" w:rsidRPr="005B3F2C" w:rsidRDefault="009B7745" w:rsidP="009B7745">
      <w:pPr>
        <w:pStyle w:val="Textonotapie"/>
        <w:ind w:firstLine="709"/>
        <w:jc w:val="both"/>
        <w:rPr>
          <w:rFonts w:ascii="Century Gothic" w:hAnsi="Century Gothic" w:cs="Arial"/>
          <w:color w:val="000000"/>
          <w:sz w:val="10"/>
          <w:szCs w:val="10"/>
          <w:lang w:val="es-CO"/>
        </w:rPr>
      </w:pPr>
    </w:p>
  </w:footnote>
  <w:footnote w:id="33">
    <w:p w14:paraId="236D7F44" w14:textId="77777777" w:rsidR="009B7745" w:rsidRPr="005B3F2C" w:rsidRDefault="009B7745" w:rsidP="009B7745">
      <w:pPr>
        <w:pStyle w:val="Textonotapie"/>
        <w:ind w:firstLine="709"/>
        <w:jc w:val="both"/>
        <w:rPr>
          <w:rFonts w:ascii="Century Gothic" w:hAnsi="Century Gothic" w:cs="Arial"/>
          <w:color w:val="000000"/>
          <w:sz w:val="10"/>
          <w:szCs w:val="10"/>
          <w:lang w:val="es-CO"/>
        </w:rPr>
      </w:pPr>
      <w:r w:rsidRPr="005B3F2C">
        <w:rPr>
          <w:rStyle w:val="Refdenotaalpie"/>
          <w:rFonts w:ascii="Century Gothic" w:hAnsi="Century Gothic" w:cs="Arial"/>
          <w:color w:val="000000"/>
          <w:sz w:val="10"/>
          <w:szCs w:val="10"/>
        </w:rPr>
        <w:footnoteRef/>
      </w:r>
      <w:r w:rsidRPr="005B3F2C">
        <w:rPr>
          <w:rFonts w:ascii="Century Gothic" w:hAnsi="Century Gothic" w:cs="Arial"/>
          <w:color w:val="000000"/>
          <w:sz w:val="10"/>
          <w:szCs w:val="10"/>
        </w:rPr>
        <w:t xml:space="preserve"> Ley 1712 de 2014: “Artículo 2. Toda información en posesión, bajo control o custodia de un sujeto obligado es pública y no podrá ser reservada o limitada sino por disposición constitucional o legal, de conformidad con la presente ley”.</w:t>
      </w:r>
    </w:p>
  </w:footnote>
  <w:footnote w:id="34">
    <w:p w14:paraId="3AB8223B" w14:textId="77777777" w:rsidR="009B7745" w:rsidRPr="005B3F2C" w:rsidRDefault="009B7745" w:rsidP="009B7745">
      <w:pPr>
        <w:pStyle w:val="Textonotapie"/>
        <w:ind w:firstLine="709"/>
        <w:jc w:val="both"/>
        <w:rPr>
          <w:rFonts w:ascii="Century Gothic" w:hAnsi="Century Gothic" w:cs="Arial"/>
          <w:color w:val="000000"/>
          <w:sz w:val="10"/>
          <w:szCs w:val="10"/>
        </w:rPr>
      </w:pPr>
    </w:p>
    <w:p w14:paraId="4505F2B2"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Style w:val="Refdenotaalpie"/>
          <w:rFonts w:ascii="Century Gothic" w:hAnsi="Century Gothic" w:cs="Arial"/>
          <w:color w:val="000000"/>
          <w:sz w:val="10"/>
          <w:szCs w:val="10"/>
        </w:rPr>
        <w:footnoteRef/>
      </w:r>
      <w:r w:rsidRPr="005B3F2C">
        <w:rPr>
          <w:rFonts w:ascii="Century Gothic" w:hAnsi="Century Gothic" w:cs="Arial"/>
          <w:color w:val="000000"/>
          <w:sz w:val="10"/>
          <w:szCs w:val="10"/>
        </w:rPr>
        <w:t xml:space="preserve"> Ley 1712 de 2014: “Artículo 5. Ámbito de aplicación. Las disposiciones de esta ley serán aplicables a las siguientes personas en calidad de sujetos obligados: </w:t>
      </w:r>
    </w:p>
    <w:p w14:paraId="103C7886"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a) Toda entidad pública, incluyendo las pertenecientes a todas las Ramas del Poder Público, en todos los niveles de la estructura estatal, central o descentralizada por servicios o territorialmente, en los órdenes nacional, departamental, municipal y distrital.</w:t>
      </w:r>
    </w:p>
    <w:p w14:paraId="7AE868B2"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b) Los órganos, organismos y entidades estatales independientes o autónomos y de control.</w:t>
      </w:r>
    </w:p>
    <w:p w14:paraId="41056176"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c) Las personas naturales y jurídicas, públicas o privadas, que presten función pública, que presten servicios públicos respecto de la información directamente relacionada con la prestación del servicio público.</w:t>
      </w:r>
    </w:p>
    <w:p w14:paraId="0678BBD2"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d) Cualquier persona natural, jurídica o dependencia de persona jurídica que desempeñe función pública o de autoridad pública, respecto de la información directamente relacionada con el desempeño de su función.</w:t>
      </w:r>
    </w:p>
    <w:p w14:paraId="60CA137F"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e) &lt;Literal CONDICIONALMENTE exequible&gt; Las empresas públicas creadas por ley, las empresas del Estado y sociedades en que este tenga participación.</w:t>
      </w:r>
    </w:p>
    <w:p w14:paraId="435ACF6B"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f) Los partidos o movimientos políticos y los grupos significativos de ciudadanos.</w:t>
      </w:r>
    </w:p>
    <w:p w14:paraId="0DD42560"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g) Las entidades que administren instituciones parafiscales, fondos o recursos de naturaleza u origen público.</w:t>
      </w:r>
    </w:p>
    <w:p w14:paraId="1EAA7DC3"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Las personas naturales o jurídicas que reciban o intermedien fondos o beneficios públicos territoriales y nacionales y no cumplan ninguno de los otros requisitos para ser considerados sujetos obligados, solo deberán cumplir con la presente ley respecto de aquella información que se produzca en relación con fondos públicos que reciban o intermedien.</w:t>
      </w:r>
    </w:p>
    <w:p w14:paraId="0DA769ED" w14:textId="77777777" w:rsidR="009B7745" w:rsidRPr="005B3F2C" w:rsidRDefault="009B7745" w:rsidP="009B7745">
      <w:pPr>
        <w:pStyle w:val="Textonotapie"/>
        <w:ind w:firstLine="709"/>
        <w:jc w:val="both"/>
        <w:rPr>
          <w:rFonts w:ascii="Century Gothic" w:hAnsi="Century Gothic" w:cs="Arial"/>
          <w:color w:val="000000"/>
          <w:sz w:val="10"/>
          <w:szCs w:val="10"/>
        </w:rPr>
      </w:pPr>
      <w:r w:rsidRPr="005B3F2C">
        <w:rPr>
          <w:rFonts w:ascii="Century Gothic" w:hAnsi="Century Gothic" w:cs="Arial"/>
          <w:color w:val="000000"/>
          <w:sz w:val="10"/>
          <w:szCs w:val="10"/>
        </w:rPr>
        <w:t>PARÁGRAFO 1o. No serán sujetos obligados aquellas personas naturales o jurídicas de carácter privado que sean usuarios de información pública”.</w:t>
      </w:r>
    </w:p>
    <w:p w14:paraId="6A975288" w14:textId="77777777" w:rsidR="009B7745" w:rsidRPr="005B3F2C" w:rsidRDefault="009B7745" w:rsidP="009B7745">
      <w:pPr>
        <w:pStyle w:val="Textonotapie"/>
        <w:ind w:firstLine="709"/>
        <w:jc w:val="both"/>
        <w:rPr>
          <w:rFonts w:ascii="Century Gothic" w:hAnsi="Century Gothic" w:cs="Arial"/>
          <w:color w:val="000000"/>
          <w:sz w:val="10"/>
          <w:szCs w:val="10"/>
          <w:lang w:val="es-CO"/>
        </w:rPr>
      </w:pPr>
    </w:p>
  </w:footnote>
  <w:footnote w:id="35">
    <w:p w14:paraId="4A461667" w14:textId="77777777" w:rsidR="009B7745" w:rsidRPr="005B3F2C" w:rsidRDefault="009B7745" w:rsidP="009B7745">
      <w:pPr>
        <w:pStyle w:val="Textonotapie"/>
        <w:ind w:firstLine="709"/>
        <w:jc w:val="both"/>
        <w:rPr>
          <w:rFonts w:ascii="Century Gothic" w:eastAsia="Times New Roman" w:hAnsi="Century Gothic" w:cs="Arial"/>
          <w:color w:val="000000"/>
          <w:sz w:val="10"/>
          <w:szCs w:val="10"/>
          <w:lang w:val="es-ES" w:eastAsia="es-ES"/>
        </w:rPr>
      </w:pPr>
      <w:r w:rsidRPr="005B3F2C">
        <w:rPr>
          <w:rFonts w:ascii="Century Gothic" w:eastAsia="Times New Roman" w:hAnsi="Century Gothic" w:cs="Arial"/>
          <w:color w:val="000000"/>
          <w:sz w:val="10"/>
          <w:szCs w:val="10"/>
          <w:vertAlign w:val="superscript"/>
          <w:lang w:val="es-ES" w:eastAsia="es-ES"/>
        </w:rPr>
        <w:footnoteRef/>
      </w:r>
      <w:r w:rsidRPr="005B3F2C">
        <w:rPr>
          <w:rFonts w:ascii="Century Gothic" w:eastAsia="Times New Roman" w:hAnsi="Century Gothic" w:cs="Arial"/>
          <w:color w:val="000000"/>
          <w:sz w:val="10"/>
          <w:szCs w:val="10"/>
          <w:vertAlign w:val="superscript"/>
          <w:lang w:val="es-ES" w:eastAsia="es-ES"/>
        </w:rPr>
        <w:t xml:space="preserve"> </w:t>
      </w:r>
      <w:r w:rsidRPr="005B3F2C">
        <w:rPr>
          <w:rFonts w:ascii="Century Gothic" w:eastAsia="Times New Roman" w:hAnsi="Century Gothic" w:cs="Arial"/>
          <w:color w:val="000000"/>
          <w:sz w:val="10"/>
          <w:szCs w:val="10"/>
          <w:lang w:val="es-ES" w:eastAsia="es-ES"/>
        </w:rPr>
        <w:t>“</w:t>
      </w:r>
      <w:r w:rsidRPr="005B3F2C">
        <w:rPr>
          <w:rFonts w:ascii="Century Gothic" w:hAnsi="Century Gothic" w:cs="Arial"/>
          <w:color w:val="000000"/>
          <w:sz w:val="10"/>
          <w:szCs w:val="10"/>
        </w:rPr>
        <w:t>Artículo 2.1.1.2.1.7. 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r w:rsidRPr="005B3F2C">
        <w:rPr>
          <w:rFonts w:ascii="Century Gothic" w:eastAsia="Times New Roman" w:hAnsi="Century Gothic" w:cs="Arial"/>
          <w:color w:val="000000"/>
          <w:sz w:val="10"/>
          <w:szCs w:val="10"/>
          <w:lang w:val="es-ES" w:eastAsia="es-ES"/>
        </w:rPr>
        <w:t>”.</w:t>
      </w:r>
    </w:p>
  </w:footnote>
  <w:footnote w:id="36">
    <w:p w14:paraId="7DD655F1" w14:textId="77777777" w:rsidR="009B7745" w:rsidRPr="005B3F2C" w:rsidRDefault="009B7745" w:rsidP="009B7745">
      <w:pPr>
        <w:pStyle w:val="Textonotapie"/>
        <w:ind w:firstLine="709"/>
        <w:jc w:val="both"/>
        <w:rPr>
          <w:rFonts w:ascii="Century Gothic" w:eastAsia="Times New Roman" w:hAnsi="Century Gothic" w:cs="Arial"/>
          <w:color w:val="000000"/>
          <w:sz w:val="10"/>
          <w:szCs w:val="10"/>
          <w:lang w:val="es-ES" w:eastAsia="es-ES"/>
        </w:rPr>
      </w:pPr>
      <w:r w:rsidRPr="005B3F2C">
        <w:rPr>
          <w:rFonts w:ascii="Century Gothic" w:eastAsia="Times New Roman" w:hAnsi="Century Gothic" w:cs="Arial"/>
          <w:color w:val="000000"/>
          <w:sz w:val="10"/>
          <w:szCs w:val="10"/>
          <w:vertAlign w:val="superscript"/>
          <w:lang w:val="es-ES" w:eastAsia="es-ES"/>
        </w:rPr>
        <w:footnoteRef/>
      </w:r>
      <w:r w:rsidRPr="005B3F2C">
        <w:rPr>
          <w:rFonts w:ascii="Century Gothic" w:eastAsia="Times New Roman" w:hAnsi="Century Gothic" w:cs="Arial"/>
          <w:color w:val="000000"/>
          <w:sz w:val="10"/>
          <w:szCs w:val="10"/>
          <w:vertAlign w:val="superscript"/>
          <w:lang w:val="es-ES" w:eastAsia="es-ES"/>
        </w:rPr>
        <w:t xml:space="preserve"> </w:t>
      </w:r>
      <w:r w:rsidRPr="005B3F2C">
        <w:rPr>
          <w:rFonts w:ascii="Century Gothic" w:eastAsia="Times New Roman" w:hAnsi="Century Gothic" w:cs="Arial"/>
          <w:color w:val="000000"/>
          <w:sz w:val="10"/>
          <w:szCs w:val="10"/>
          <w:lang w:val="es-ES" w:eastAsia="es-ES"/>
        </w:rPr>
        <w:t>“</w:t>
      </w:r>
      <w:r w:rsidRPr="005B3F2C">
        <w:rPr>
          <w:rFonts w:ascii="Century Gothic" w:hAnsi="Century Gothic" w:cs="Arial"/>
          <w:color w:val="000000"/>
          <w:sz w:val="10"/>
          <w:szCs w:val="10"/>
        </w:rPr>
        <w:t>Artículo 2.1.1.2.1.7. 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r w:rsidRPr="005B3F2C">
        <w:rPr>
          <w:rFonts w:ascii="Century Gothic" w:eastAsia="Times New Roman" w:hAnsi="Century Gothic" w:cs="Arial"/>
          <w:color w:val="000000"/>
          <w:sz w:val="10"/>
          <w:szCs w:val="10"/>
          <w:lang w:val="es-ES" w:eastAsia="es-ES"/>
        </w:rPr>
        <w:t>”.</w:t>
      </w:r>
    </w:p>
  </w:footnote>
  <w:footnote w:id="37">
    <w:p w14:paraId="22ABE74D" w14:textId="77777777" w:rsidR="009B7745" w:rsidRPr="005B3F2C" w:rsidRDefault="009B7745" w:rsidP="009B7745">
      <w:pPr>
        <w:pStyle w:val="Textonotapie"/>
        <w:ind w:firstLine="708"/>
        <w:jc w:val="both"/>
        <w:rPr>
          <w:rFonts w:ascii="Century Gothic" w:hAnsi="Century Gothic" w:cs="Arial"/>
          <w:sz w:val="10"/>
          <w:szCs w:val="10"/>
        </w:rPr>
      </w:pPr>
      <w:r w:rsidRPr="005B3F2C">
        <w:rPr>
          <w:rStyle w:val="Refdenotaalpie"/>
          <w:rFonts w:ascii="Century Gothic" w:hAnsi="Century Gothic" w:cs="Arial"/>
          <w:sz w:val="10"/>
          <w:szCs w:val="10"/>
        </w:rPr>
        <w:footnoteRef/>
      </w:r>
      <w:r w:rsidRPr="005B3F2C">
        <w:rPr>
          <w:rFonts w:ascii="Century Gothic" w:hAnsi="Century Gothic" w:cs="Arial"/>
          <w:sz w:val="10"/>
          <w:szCs w:val="10"/>
        </w:rPr>
        <w:t xml:space="preserve"> «ARTICULO 8°. DE LAS INHABILIDADES E INCOMPATIBILIDADES PARA CONTRATAR.</w:t>
      </w:r>
    </w:p>
    <w:p w14:paraId="37D54C6A" w14:textId="77777777" w:rsidR="009B7745" w:rsidRPr="005B3F2C" w:rsidRDefault="009B7745" w:rsidP="009B7745">
      <w:pPr>
        <w:pStyle w:val="Textonotapie"/>
        <w:spacing w:before="120"/>
        <w:ind w:firstLine="709"/>
        <w:jc w:val="both"/>
        <w:rPr>
          <w:rFonts w:ascii="Century Gothic" w:hAnsi="Century Gothic" w:cs="Arial"/>
          <w:sz w:val="10"/>
          <w:szCs w:val="10"/>
        </w:rPr>
      </w:pPr>
      <w:r w:rsidRPr="005B3F2C">
        <w:rPr>
          <w:rFonts w:ascii="Century Gothic" w:hAnsi="Century Gothic" w:cs="Arial"/>
          <w:sz w:val="10"/>
          <w:szCs w:val="10"/>
        </w:rPr>
        <w:t>1°. Son inhábiles para participar en licitaciones o concursos y para celebrar contratos con las entidades estatales:</w:t>
      </w:r>
    </w:p>
    <w:p w14:paraId="0CE15760"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a) Las personas que se hallen inhabilitadas para contratar por la Constitución y las leyes.</w:t>
      </w:r>
    </w:p>
    <w:p w14:paraId="3BE1C1B0"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b) Quienes participaron en las licitaciones o concursos o celebraron los contratos de que trata el literal anterior estando inhabilitados.</w:t>
      </w:r>
    </w:p>
    <w:p w14:paraId="5ED03F2C"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c) Quienes dieron lugar a la declaratoria de caducidad.</w:t>
      </w:r>
    </w:p>
    <w:p w14:paraId="76146AB3"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 xml:space="preserve">d) Quienes en sentencia judicial hayan sido condenados a la pena accesoria de interdicción de derechos y funciones públicas y quienes hayan sido sancionados disciplinariamente con destitución. </w:t>
      </w:r>
    </w:p>
    <w:p w14:paraId="084E4E91"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e) Quienes sin justa causa se abstengan de suscribir el contrato estatal adjudicado.</w:t>
      </w:r>
    </w:p>
    <w:p w14:paraId="3F28B5C4"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f) Los servidores públicos.</w:t>
      </w:r>
    </w:p>
    <w:p w14:paraId="17D1F6AC"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g) Quienes sean cónyuges o compañeros permanentes y quienes se encuentren dentro del segundo grado de consanguinidad o segundo de afinidad con cualquier otra persona que formalmente haya presentado propuesta para una misma licitación.</w:t>
      </w:r>
    </w:p>
    <w:p w14:paraId="6CF0EF7C"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h) Las sociedades distintas de las anónimas abiertas, en las cuales el representante legal o cualquiera de sus socios tenga parentesco en segundo grado de consanguinidad o segundo de afinidad con el representante legal o con cualquiera de los socios de una sociedad que formalmente haya presentado propuesta, para una misma licitación.</w:t>
      </w:r>
    </w:p>
    <w:p w14:paraId="7220616E"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i) Los socios de sociedades de personas a las cuales se haya declarado la caducidad, así como las sociedades de personas de las que aquellos formen parte con posterioridad a dicha declaratoria.</w:t>
      </w:r>
    </w:p>
    <w:p w14:paraId="5F469CB0"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32F60326"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j) Literal reglamentado por el Decreto 1358 de 2020. Literal modificado por la Ley 2014 de 2019, artículo 2º. Las personas naturales que hayan sido declaradas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así como las personas jurídicas que hayan sido declaradas responsables administrativamente por la conducta de soborno transnacional.</w:t>
      </w:r>
    </w:p>
    <w:p w14:paraId="22E3A245"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11D50643"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k) Literal adicionado por la Ley 1474 de 2011, artículo 2º. Éste modificado por la Ley 1778 de 2016, artículo 33. Inhabilidad para contratar de quienes financien campañas políticas. Las personas naturales o jurídicas que hayan financiado campañas políticas a la Presidencia de la República, a las gobernaciones, a las alcaldías o al Congreso de la República, con aportes superiores al dos por ciento (2.0%) de las sumas máximas a invertir por los candidatos en las campañas electorales en cada circunscripción electoral, quienes no podrán celebrar contratos con las entidades públicas, incluso descentralizadas, del respectivo nivel administrativo para el cual fue elegido el candidato.</w:t>
      </w:r>
    </w:p>
    <w:p w14:paraId="345DFFF9"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w:t>
      </w:r>
    </w:p>
    <w:p w14:paraId="1531BFD0" w14:textId="77777777" w:rsidR="009B7745" w:rsidRPr="005B3F2C" w:rsidRDefault="009B7745" w:rsidP="009B7745">
      <w:pPr>
        <w:pStyle w:val="Textonotapie"/>
        <w:ind w:firstLine="708"/>
        <w:jc w:val="both"/>
        <w:rPr>
          <w:rFonts w:ascii="Century Gothic" w:hAnsi="Century Gothic" w:cs="Arial"/>
          <w:sz w:val="10"/>
          <w:szCs w:val="10"/>
        </w:rPr>
      </w:pPr>
      <w:r w:rsidRPr="005B3F2C">
        <w:rPr>
          <w:rFonts w:ascii="Century Gothic" w:hAnsi="Century Gothic" w:cs="Arial"/>
          <w:sz w:val="10"/>
          <w:szCs w:val="10"/>
        </w:rPr>
        <w:t>l) Literal adicionado por la Ley 1474 de 2011, artículo 84, parágrafo 2º. (éste declarado exequible condicionalmente por los cargos analizados por la Corte Constitucional en la Sentencia C-434 de 2013.). El interventor que incumpla el deber de entregar información a la entidad contratante relacionada con el incumplimiento del contrato, con hechos o circunstancias que puedan constituir actos de corrupción tipificados como conductas punibles, o que puedan poner o pongan en riesgo el cumplimiento del contrato.</w:t>
      </w:r>
    </w:p>
    <w:p w14:paraId="30984590" w14:textId="77777777" w:rsidR="009B7745" w:rsidRPr="005B3F2C" w:rsidRDefault="009B7745" w:rsidP="009B7745">
      <w:pPr>
        <w:pStyle w:val="Textonotapie"/>
        <w:ind w:firstLine="708"/>
        <w:rPr>
          <w:rFonts w:ascii="Century Gothic" w:hAnsi="Century Gothic" w:cs="Arial"/>
          <w:sz w:val="10"/>
          <w:szCs w:val="10"/>
        </w:rPr>
      </w:pPr>
      <w:r w:rsidRPr="005B3F2C">
        <w:rPr>
          <w:rFonts w:ascii="Century Gothic" w:hAnsi="Century Gothic" w:cs="Arial"/>
          <w:sz w:val="10"/>
          <w:szCs w:val="1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653A" w14:textId="77777777" w:rsidR="009B7745" w:rsidRDefault="009B7745">
    <w:pPr>
      <w:pStyle w:val="Encabezado"/>
    </w:pPr>
    <w:r>
      <w:rPr>
        <w:noProof/>
      </w:rPr>
      <w:drawing>
        <wp:anchor distT="0" distB="0" distL="114300" distR="114300" simplePos="0" relativeHeight="251659264" behindDoc="1" locked="0" layoutInCell="1" allowOverlap="1" wp14:anchorId="6293733E" wp14:editId="4DB8F780">
          <wp:simplePos x="0" y="0"/>
          <wp:positionH relativeFrom="margin">
            <wp:align>right</wp:align>
          </wp:positionH>
          <wp:positionV relativeFrom="margin">
            <wp:posOffset>-1135380</wp:posOffset>
          </wp:positionV>
          <wp:extent cx="1757045" cy="628650"/>
          <wp:effectExtent l="0" t="0" r="0" b="0"/>
          <wp:wrapNone/>
          <wp:docPr id="176445781"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5913" name="Imagen 7"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57045" cy="628650"/>
                  </a:xfrm>
                  <a:prstGeom prst="rect">
                    <a:avLst/>
                  </a:prstGeom>
                </pic:spPr>
              </pic:pic>
            </a:graphicData>
          </a:graphic>
          <wp14:sizeRelH relativeFrom="margin">
            <wp14:pctWidth>0</wp14:pctWidth>
          </wp14:sizeRelH>
          <wp14:sizeRelV relativeFrom="margin">
            <wp14:pctHeight>0</wp14:pctHeight>
          </wp14:sizeRelV>
        </wp:anchor>
      </w:drawing>
    </w:r>
    <w:r w:rsidRPr="00852E0B">
      <w:rPr>
        <w:rFonts w:ascii="Geomanist Bold" w:hAnsi="Geomanist Bold"/>
        <w:b/>
        <w:bCs/>
        <w:noProof/>
        <w:color w:val="46589C"/>
        <w:sz w:val="24"/>
        <w:szCs w:val="24"/>
      </w:rPr>
      <w:drawing>
        <wp:anchor distT="0" distB="0" distL="114300" distR="114300" simplePos="0" relativeHeight="251663360" behindDoc="0" locked="0" layoutInCell="1" allowOverlap="1" wp14:anchorId="4BFBCB81" wp14:editId="15BB042F">
          <wp:simplePos x="0" y="0"/>
          <wp:positionH relativeFrom="page">
            <wp:posOffset>7338060</wp:posOffset>
          </wp:positionH>
          <wp:positionV relativeFrom="margin">
            <wp:posOffset>-1644650</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832115025" name="Imagen 164435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61312" behindDoc="0" locked="0" layoutInCell="1" allowOverlap="1" wp14:anchorId="429C3D44" wp14:editId="7EE72A66">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368245986"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5527CF3" wp14:editId="48902D59">
          <wp:simplePos x="0" y="0"/>
          <wp:positionH relativeFrom="margin">
            <wp:align>left</wp:align>
          </wp:positionH>
          <wp:positionV relativeFrom="paragraph">
            <wp:posOffset>-77470</wp:posOffset>
          </wp:positionV>
          <wp:extent cx="1399540" cy="485775"/>
          <wp:effectExtent l="0" t="0" r="0" b="0"/>
          <wp:wrapThrough wrapText="bothSides">
            <wp:wrapPolygon edited="0">
              <wp:start x="0" y="0"/>
              <wp:lineTo x="0" y="20329"/>
              <wp:lineTo x="21169" y="20329"/>
              <wp:lineTo x="21169" y="0"/>
              <wp:lineTo x="0" y="0"/>
            </wp:wrapPolygon>
          </wp:wrapThrough>
          <wp:docPr id="1733314716" name="Imagen 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3655" name="Imagen 6"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405747" cy="487770"/>
                  </a:xfrm>
                  <a:prstGeom prst="rect">
                    <a:avLst/>
                  </a:prstGeom>
                </pic:spPr>
              </pic:pic>
            </a:graphicData>
          </a:graphic>
          <wp14:sizeRelH relativeFrom="page">
            <wp14:pctWidth>0</wp14:pctWidth>
          </wp14:sizeRelH>
          <wp14:sizeRelV relativeFrom="page">
            <wp14:pctHeight>0</wp14:pctHeight>
          </wp14:sizeRelV>
        </wp:anchor>
      </w:drawing>
    </w:r>
  </w:p>
  <w:p w14:paraId="1C853997" w14:textId="77777777" w:rsidR="009B7745" w:rsidRDefault="009B7745">
    <w:pPr>
      <w:pStyle w:val="Encabezado"/>
    </w:pPr>
  </w:p>
  <w:p w14:paraId="3DFF0F53" w14:textId="77777777" w:rsidR="009B7745" w:rsidRDefault="009B7745">
    <w:pPr>
      <w:pStyle w:val="Encabezado"/>
    </w:pPr>
  </w:p>
  <w:p w14:paraId="7CFBC934" w14:textId="77777777" w:rsidR="009B7745" w:rsidRPr="008E1A7A" w:rsidRDefault="009B7745" w:rsidP="004A305D">
    <w:pPr>
      <w:spacing w:after="0"/>
      <w:rPr>
        <w:rFonts w:ascii="Century Gothic" w:hAnsi="Century Gothic"/>
        <w:color w:val="002060"/>
        <w:sz w:val="16"/>
        <w:szCs w:val="16"/>
        <w:lang w:val="pt-BR"/>
      </w:rPr>
    </w:pPr>
    <w:r w:rsidRPr="008E1A7A">
      <w:rPr>
        <w:rFonts w:ascii="Century Gothic" w:hAnsi="Century Gothic"/>
        <w:color w:val="002060"/>
        <w:sz w:val="16"/>
        <w:szCs w:val="16"/>
        <w:lang w:val="pt-BR"/>
      </w:rPr>
      <w:t>FORMATO PQRSD</w:t>
    </w:r>
  </w:p>
  <w:p w14:paraId="6262B8DD" w14:textId="77777777" w:rsidR="009B7745" w:rsidRPr="008E1A7A" w:rsidRDefault="009B7745" w:rsidP="004A305D">
    <w:pPr>
      <w:pBdr>
        <w:top w:val="nil"/>
        <w:left w:val="nil"/>
        <w:bottom w:val="nil"/>
        <w:right w:val="nil"/>
        <w:between w:val="nil"/>
      </w:pBdr>
      <w:tabs>
        <w:tab w:val="center" w:pos="4419"/>
        <w:tab w:val="right" w:pos="8838"/>
        <w:tab w:val="center" w:pos="5400"/>
      </w:tabs>
      <w:spacing w:after="0"/>
      <w:rPr>
        <w:rFonts w:ascii="Century Gothic" w:eastAsia="Geo" w:hAnsi="Century Gothic" w:cs="Geo"/>
        <w:b/>
        <w:color w:val="002060"/>
        <w:sz w:val="16"/>
        <w:szCs w:val="16"/>
        <w:lang w:val="pt-BR" w:eastAsia="es-CO"/>
      </w:rPr>
    </w:pPr>
    <w:r w:rsidRPr="008E1A7A">
      <w:rPr>
        <w:rFonts w:ascii="Century Gothic" w:eastAsia="Geo" w:hAnsi="Century Gothic" w:cs="Geo"/>
        <w:b/>
        <w:color w:val="000000"/>
        <w:sz w:val="16"/>
        <w:szCs w:val="16"/>
        <w:lang w:val="pt-BR" w:eastAsia="es-CO"/>
      </w:rPr>
      <w:t xml:space="preserve">Código: </w:t>
    </w:r>
    <w:r w:rsidRPr="008E1A7A">
      <w:rPr>
        <w:rFonts w:ascii="Century Gothic" w:eastAsia="Geo" w:hAnsi="Century Gothic" w:cs="Geo"/>
        <w:bCs/>
        <w:color w:val="000000"/>
        <w:sz w:val="16"/>
        <w:szCs w:val="16"/>
        <w:lang w:val="pt-BR" w:eastAsia="es-CO"/>
      </w:rPr>
      <w:t>CCE-REC-FM-17</w:t>
    </w:r>
  </w:p>
  <w:p w14:paraId="005AE290" w14:textId="77777777" w:rsidR="009B7745" w:rsidRPr="004A305D" w:rsidRDefault="009B7745" w:rsidP="004A305D">
    <w:pPr>
      <w:spacing w:after="0"/>
      <w:rPr>
        <w:rFonts w:ascii="Century Gothic" w:eastAsia="Geo" w:hAnsi="Century Gothic" w:cs="Geo"/>
        <w:sz w:val="16"/>
        <w:szCs w:val="16"/>
        <w:lang w:eastAsia="es-CO"/>
      </w:rPr>
    </w:pP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DEL </w:t>
    </w:r>
    <w:r>
      <w:rPr>
        <w:rFonts w:ascii="Century Gothic" w:eastAsia="Geo" w:hAnsi="Century Gothic" w:cs="Geo"/>
        <w:sz w:val="16"/>
        <w:szCs w:val="16"/>
        <w:lang w:eastAsia="es-CO"/>
      </w:rPr>
      <w:t xml:space="preserve">31 </w:t>
    </w:r>
    <w:r w:rsidRPr="004A305D">
      <w:rPr>
        <w:rFonts w:ascii="Century Gothic" w:eastAsia="Geo" w:hAnsi="Century Gothic" w:cs="Geo"/>
        <w:sz w:val="16"/>
        <w:szCs w:val="16"/>
        <w:lang w:eastAsia="es-CO"/>
      </w:rPr>
      <w:t xml:space="preserve">DE </w:t>
    </w:r>
    <w:r>
      <w:rPr>
        <w:rFonts w:ascii="Century Gothic" w:eastAsia="Geo" w:hAnsi="Century Gothic" w:cs="Geo"/>
        <w:sz w:val="16"/>
        <w:szCs w:val="16"/>
        <w:lang w:eastAsia="es-CO"/>
      </w:rPr>
      <w:t>AGOSTO</w:t>
    </w:r>
    <w:r w:rsidRPr="004A305D">
      <w:rPr>
        <w:rFonts w:ascii="Century Gothic" w:eastAsia="Geo" w:hAnsi="Century Gothic" w:cs="Geo"/>
        <w:sz w:val="16"/>
        <w:szCs w:val="16"/>
        <w:lang w:eastAsia="es-CO"/>
      </w:rPr>
      <w:t xml:space="preserve"> DE 202</w:t>
    </w:r>
    <w:r>
      <w:rPr>
        <w:rFonts w:ascii="Century Gothic" w:eastAsia="Geo" w:hAnsi="Century Gothic" w:cs="Geo"/>
        <w:sz w:val="16"/>
        <w:szCs w:val="16"/>
        <w:lang w:eastAsia="es-CO"/>
      </w:rPr>
      <w:t>3</w:t>
    </w:r>
  </w:p>
  <w:p w14:paraId="39B24D7C" w14:textId="77777777" w:rsidR="009B7745" w:rsidRDefault="009B7745"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064B2667"/>
    <w:multiLevelType w:val="hybridMultilevel"/>
    <w:tmpl w:val="FC5017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E12E8D"/>
    <w:multiLevelType w:val="hybridMultilevel"/>
    <w:tmpl w:val="179C44C4"/>
    <w:lvl w:ilvl="0" w:tplc="1640D384">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F0477B9"/>
    <w:multiLevelType w:val="hybridMultilevel"/>
    <w:tmpl w:val="9C4A3F9A"/>
    <w:lvl w:ilvl="0" w:tplc="D1FEB09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D4B1C76"/>
    <w:multiLevelType w:val="hybridMultilevel"/>
    <w:tmpl w:val="FC5017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9387717">
    <w:abstractNumId w:val="0"/>
  </w:num>
  <w:num w:numId="2" w16cid:durableId="991760878">
    <w:abstractNumId w:val="1"/>
  </w:num>
  <w:num w:numId="3" w16cid:durableId="2138526700">
    <w:abstractNumId w:val="4"/>
  </w:num>
  <w:num w:numId="4" w16cid:durableId="1066758835">
    <w:abstractNumId w:val="2"/>
  </w:num>
  <w:num w:numId="5" w16cid:durableId="1349524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745"/>
    <w:rsid w:val="00474DF4"/>
    <w:rsid w:val="004F471F"/>
    <w:rsid w:val="009B7745"/>
    <w:rsid w:val="009D18DB"/>
    <w:rsid w:val="00C24FFE"/>
    <w:rsid w:val="00CB0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2CE1A"/>
  <w15:chartTrackingRefBased/>
  <w15:docId w15:val="{2CEA0D56-3164-4BE4-A000-167AA71F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745"/>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77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7745"/>
    <w:rPr>
      <w:kern w:val="0"/>
      <w14:ligatures w14:val="none"/>
    </w:rPr>
  </w:style>
  <w:style w:type="paragraph" w:styleId="Piedepgina">
    <w:name w:val="footer"/>
    <w:basedOn w:val="Normal"/>
    <w:link w:val="PiedepginaCar"/>
    <w:uiPriority w:val="99"/>
    <w:unhideWhenUsed/>
    <w:rsid w:val="009B77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7745"/>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9B7745"/>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9B7745"/>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9B7745"/>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symbol,Footnote,Ref. de nota al pie2,F"/>
    <w:basedOn w:val="Fuentedeprrafopredeter"/>
    <w:link w:val="Appelnotedebasde"/>
    <w:uiPriority w:val="99"/>
    <w:unhideWhenUsed/>
    <w:qFormat/>
    <w:rsid w:val="009B7745"/>
    <w:rPr>
      <w:vertAlign w:val="superscript"/>
    </w:rPr>
  </w:style>
  <w:style w:type="table" w:styleId="Tablaconcuadrcula">
    <w:name w:val="Table Grid"/>
    <w:basedOn w:val="Tablanormal"/>
    <w:uiPriority w:val="59"/>
    <w:rsid w:val="009B77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List Paragraph1,Foot"/>
    <w:basedOn w:val="Normal"/>
    <w:link w:val="PrrafodelistaCar"/>
    <w:uiPriority w:val="34"/>
    <w:qFormat/>
    <w:rsid w:val="009B7745"/>
    <w:pPr>
      <w:ind w:left="720"/>
      <w:contextualSpacing/>
    </w:pPr>
    <w:rPr>
      <w:rFonts w:ascii="Geomanist Light" w:hAnsi="Geomanist Light"/>
      <w:lang w:val="es-ES"/>
    </w:rPr>
  </w:style>
  <w:style w:type="character" w:styleId="Hipervnculo">
    <w:name w:val="Hyperlink"/>
    <w:basedOn w:val="Fuentedeprrafopredeter"/>
    <w:uiPriority w:val="99"/>
    <w:unhideWhenUsed/>
    <w:rsid w:val="009B7745"/>
    <w:rPr>
      <w:color w:val="0000FF"/>
      <w:u w:val="single"/>
    </w:rPr>
  </w:style>
  <w:style w:type="paragraph" w:customStyle="1" w:styleId="Appelnotedebasde">
    <w:name w:val="Appel note de bas de..."/>
    <w:basedOn w:val="Normal"/>
    <w:link w:val="Refdenotaalpie"/>
    <w:uiPriority w:val="99"/>
    <w:rsid w:val="009B7745"/>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9B7745"/>
    <w:rPr>
      <w:rFonts w:ascii="Geomanist Light" w:hAnsi="Geomanist Light"/>
      <w:kern w:val="0"/>
      <w:lang w:val="es-ES"/>
      <w14:ligatures w14:val="none"/>
    </w:rPr>
  </w:style>
  <w:style w:type="paragraph" w:styleId="Sinespaciado">
    <w:name w:val="No Spacing"/>
    <w:aliases w:val="No Indent"/>
    <w:link w:val="SinespaciadoCar"/>
    <w:uiPriority w:val="3"/>
    <w:qFormat/>
    <w:rsid w:val="009B7745"/>
    <w:pPr>
      <w:spacing w:after="0" w:line="240" w:lineRule="auto"/>
    </w:pPr>
    <w:rPr>
      <w:kern w:val="0"/>
      <w:sz w:val="24"/>
      <w:lang w:val="es-MX"/>
      <w14:ligatures w14:val="none"/>
    </w:rPr>
  </w:style>
  <w:style w:type="character" w:customStyle="1" w:styleId="SinespaciadoCar">
    <w:name w:val="Sin espaciado Car"/>
    <w:aliases w:val="No Indent Car"/>
    <w:link w:val="Sinespaciado"/>
    <w:uiPriority w:val="3"/>
    <w:rsid w:val="009B7745"/>
    <w:rPr>
      <w:kern w:val="0"/>
      <w:sz w:val="24"/>
      <w:lang w:val="es-MX"/>
      <w14:ligatures w14:val="none"/>
    </w:rPr>
  </w:style>
  <w:style w:type="character" w:customStyle="1" w:styleId="wacimagecontainer">
    <w:name w:val="wacimagecontainer"/>
    <w:basedOn w:val="Fuentedeprrafopredeter"/>
    <w:rsid w:val="00CB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jandro.ramirez@mininterior.gov.co" TargetMode="External"/><Relationship Id="rId13" Type="http://schemas.openxmlformats.org/officeDocument/2006/relationships/hyperlink" Target="http://www.secretariasenado.gov.co/senado/basedoc/decreto_1333_1986_pr008.html"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secretariasenado.gov.co/senado/basedoc/ley_1955_2019_pr005.html" TargetMode="External"/><Relationship Id="rId17" Type="http://schemas.openxmlformats.org/officeDocument/2006/relationships/hyperlink" Target="https://www.funcionpublica.gov.co/eva/gestornormativo/norma.php?i=304"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colombiacompra.gov.co/sites/cce_public/files/files_2020/02._resolucion_358_de_2023_dt_-_convenios_solidarios.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cretariasenado.gov.co/senado/basedoc/ley_1955_2019_pr005.html"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secretariasenado.gov.co/senado/basedoc/ley_0080_1993.html" TargetMode="External"/><Relationship Id="rId23" Type="http://schemas.openxmlformats.org/officeDocument/2006/relationships/customXml" Target="../customXml/item1.xml"/><Relationship Id="rId10" Type="http://schemas.openxmlformats.org/officeDocument/2006/relationships/hyperlink" Target="http://www.secretariasenado.gov.co/senado/basedoc/ley_0136_1994_pr002.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uncionpublica.gov.co/eva/gestornormativo/norma.php?i=304" TargetMode="External"/><Relationship Id="rId14" Type="http://schemas.openxmlformats.org/officeDocument/2006/relationships/hyperlink" Target="http://www.secretariasenado.gov.co/senado/basedoc/decreto_1333_1986_pr008.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camara.gov.co/juntas-de-accion-comunal" TargetMode="External"/><Relationship Id="rId2" Type="http://schemas.openxmlformats.org/officeDocument/2006/relationships/hyperlink" Target="https://www.suin-juriscol.gov.co/viewDocument.asp?ruta=Leyes/30043742" TargetMode="External"/><Relationship Id="rId1" Type="http://schemas.openxmlformats.org/officeDocument/2006/relationships/hyperlink" Target="https://relatoria.colombiacompra.gov.co/busqueda/conceptos" TargetMode="External"/><Relationship Id="rId4" Type="http://schemas.openxmlformats.org/officeDocument/2006/relationships/hyperlink" Target="https://www.colombiacompra.gov.co/content/documento-tipo-para-la-contratacion-directa-de-convenios-solidarios-para-la-ejecucio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23C260-19EB-4805-901C-1A6F58395F66}"/>
</file>

<file path=customXml/itemProps2.xml><?xml version="1.0" encoding="utf-8"?>
<ds:datastoreItem xmlns:ds="http://schemas.openxmlformats.org/officeDocument/2006/customXml" ds:itemID="{7C264984-A5EF-44DC-8768-A20DB7CE0E47}"/>
</file>

<file path=customXml/itemProps3.xml><?xml version="1.0" encoding="utf-8"?>
<ds:datastoreItem xmlns:ds="http://schemas.openxmlformats.org/officeDocument/2006/customXml" ds:itemID="{A73E2F95-0EA2-4CA8-9C90-039D7D2867A9}"/>
</file>

<file path=docProps/app.xml><?xml version="1.0" encoding="utf-8"?>
<Properties xmlns="http://schemas.openxmlformats.org/officeDocument/2006/extended-properties" xmlns:vt="http://schemas.openxmlformats.org/officeDocument/2006/docPropsVTypes">
  <Template>Normal</Template>
  <TotalTime>1</TotalTime>
  <Pages>43</Pages>
  <Words>15559</Words>
  <Characters>85578</Characters>
  <Application>Microsoft Office Word</Application>
  <DocSecurity>0</DocSecurity>
  <Lines>713</Lines>
  <Paragraphs>201</Paragraphs>
  <ScaleCrop>false</ScaleCrop>
  <Company/>
  <LinksUpToDate>false</LinksUpToDate>
  <CharactersWithSpaces>100936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2024-03-08T13:00:00Z</dcterms:created>
  <dcterms:modified xsi:type="dcterms:W3CDTF">2024-03-08T13:00:00Z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