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E2C0" w14:textId="77777777" w:rsidR="00C27830" w:rsidRPr="00343B0F" w:rsidRDefault="00C27830" w:rsidP="00C27830">
      <w:pPr>
        <w:spacing w:after="0" w:line="240" w:lineRule="auto"/>
        <w:jc w:val="both"/>
        <w:rPr>
          <w:rFonts w:ascii="Century Gothic" w:hAnsi="Century Gothic" w:cs="Arial"/>
          <w:b/>
          <w:lang w:val="es-MX" w:eastAsia="es-ES_tradnl"/>
        </w:rPr>
      </w:pPr>
      <w:r w:rsidRPr="00343B0F">
        <w:rPr>
          <w:rFonts w:ascii="Century Gothic" w:hAnsi="Century Gothic" w:cs="Arial"/>
          <w:b/>
          <w:lang w:val="es-MX" w:eastAsia="es-ES_tradnl"/>
        </w:rPr>
        <w:t>CONTRATO</w:t>
      </w:r>
      <w:r>
        <w:rPr>
          <w:rFonts w:ascii="Century Gothic" w:hAnsi="Century Gothic" w:cs="Arial"/>
          <w:b/>
          <w:lang w:val="es-MX" w:eastAsia="es-ES_tradnl"/>
        </w:rPr>
        <w:t xml:space="preserve"> Y CONVENIO</w:t>
      </w:r>
      <w:r w:rsidRPr="00343B0F">
        <w:rPr>
          <w:rFonts w:ascii="Century Gothic" w:hAnsi="Century Gothic" w:cs="Arial"/>
          <w:b/>
          <w:lang w:val="es-MX" w:eastAsia="es-ES_tradnl"/>
        </w:rPr>
        <w:t xml:space="preserve"> INTERADMINISTRATIVO – Concepto – Régimen jurídico aplicable </w:t>
      </w:r>
    </w:p>
    <w:p w14:paraId="27DFBA6A" w14:textId="77777777" w:rsidR="00C27830" w:rsidRPr="00343B0F" w:rsidRDefault="00C27830" w:rsidP="00C27830">
      <w:pPr>
        <w:spacing w:after="0" w:line="240" w:lineRule="auto"/>
        <w:jc w:val="both"/>
        <w:rPr>
          <w:rFonts w:ascii="Century Gothic" w:hAnsi="Century Gothic" w:cs="Arial"/>
          <w:b/>
          <w:lang w:val="es-MX" w:eastAsia="es-ES_tradnl"/>
        </w:rPr>
      </w:pPr>
    </w:p>
    <w:p w14:paraId="4CFF461B" w14:textId="77777777" w:rsidR="00C27830" w:rsidRDefault="00C27830" w:rsidP="00C27830">
      <w:pPr>
        <w:spacing w:after="0" w:line="240" w:lineRule="auto"/>
        <w:jc w:val="both"/>
        <w:rPr>
          <w:rFonts w:ascii="Century Gothic" w:hAnsi="Century Gothic" w:cs="Arial"/>
          <w:bCs/>
          <w:lang w:val="es-ES_tradnl" w:eastAsia="es-ES_tradnl"/>
        </w:rPr>
      </w:pPr>
      <w:r w:rsidRPr="00343B0F">
        <w:rPr>
          <w:rFonts w:ascii="Century Gothic" w:hAnsi="Century Gothic" w:cs="Arial"/>
          <w:bCs/>
          <w:lang w:val="es-ES_tradnl" w:eastAsia="es-ES_tradnl"/>
        </w:rPr>
        <w:t xml:space="preserve">[…]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w:t>
      </w:r>
    </w:p>
    <w:p w14:paraId="78314C3A" w14:textId="77777777" w:rsidR="00C27830" w:rsidRDefault="00C27830" w:rsidP="00C27830">
      <w:pPr>
        <w:spacing w:after="0" w:line="240" w:lineRule="auto"/>
        <w:jc w:val="both"/>
        <w:rPr>
          <w:rFonts w:ascii="Century Gothic" w:hAnsi="Century Gothic" w:cs="Arial"/>
          <w:bCs/>
          <w:lang w:val="es-ES_tradnl" w:eastAsia="es-ES_tradnl"/>
        </w:rPr>
      </w:pPr>
    </w:p>
    <w:p w14:paraId="164645C8" w14:textId="77777777" w:rsidR="00C27830" w:rsidRPr="00343B0F" w:rsidRDefault="00C27830" w:rsidP="00C27830">
      <w:pPr>
        <w:spacing w:after="0" w:line="240" w:lineRule="auto"/>
        <w:jc w:val="both"/>
        <w:rPr>
          <w:rFonts w:ascii="Century Gothic" w:hAnsi="Century Gothic" w:cs="Arial"/>
          <w:b/>
          <w:lang w:val="es-MX" w:eastAsia="es-ES_tradnl"/>
        </w:rPr>
      </w:pPr>
      <w:r>
        <w:rPr>
          <w:rFonts w:ascii="Century Gothic" w:hAnsi="Century Gothic" w:cs="Arial"/>
          <w:b/>
          <w:lang w:val="es-MX" w:eastAsia="es-ES_tradnl"/>
        </w:rPr>
        <w:t xml:space="preserve">MODALIDAD DE CONTRATACIÓN DIRECTA – Convenios o contratos interadministrativos – Excepciones </w:t>
      </w:r>
    </w:p>
    <w:p w14:paraId="20EFD51C" w14:textId="77777777" w:rsidR="00C27830" w:rsidRDefault="00C27830" w:rsidP="00C27830">
      <w:pPr>
        <w:spacing w:after="0" w:line="240" w:lineRule="auto"/>
        <w:jc w:val="both"/>
        <w:rPr>
          <w:rFonts w:ascii="Century Gothic" w:hAnsi="Century Gothic" w:cs="Arial"/>
          <w:bCs/>
          <w:lang w:val="es-ES_tradnl" w:eastAsia="es-ES_tradnl"/>
        </w:rPr>
      </w:pPr>
    </w:p>
    <w:p w14:paraId="2BCF69A4" w14:textId="77777777" w:rsidR="00C27830" w:rsidRDefault="00C27830" w:rsidP="00C27830">
      <w:pPr>
        <w:spacing w:after="0" w:line="240" w:lineRule="auto"/>
        <w:jc w:val="both"/>
        <w:rPr>
          <w:rFonts w:ascii="Century Gothic" w:hAnsi="Century Gothic" w:cs="Arial"/>
          <w:bCs/>
          <w:sz w:val="21"/>
          <w:szCs w:val="21"/>
          <w:lang w:val="es-ES_tradnl" w:eastAsia="es-ES_tradnl"/>
        </w:rPr>
      </w:pPr>
      <w:r w:rsidRPr="00091055">
        <w:rPr>
          <w:rFonts w:ascii="Century Gothic" w:hAnsi="Century Gothic" w:cs="Arial"/>
          <w:bCs/>
          <w:sz w:val="21"/>
          <w:szCs w:val="21"/>
          <w:lang w:val="es-ES_tradnl" w:eastAsia="es-ES_tradnl"/>
        </w:rPr>
        <w:t>En relación con la modalidad de selección aplicable a la celebración de contratos y/o convenios interadministrativos,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w:t>
      </w:r>
      <w:r>
        <w:rPr>
          <w:rFonts w:ascii="Century Gothic" w:hAnsi="Century Gothic" w:cs="Arial"/>
          <w:bCs/>
          <w:sz w:val="21"/>
          <w:szCs w:val="21"/>
          <w:lang w:val="es-ES_tradnl" w:eastAsia="es-ES_tradnl"/>
        </w:rPr>
        <w:t xml:space="preserve"> […]</w:t>
      </w:r>
    </w:p>
    <w:p w14:paraId="4F148395" w14:textId="77777777" w:rsidR="00C27830" w:rsidRDefault="00C27830" w:rsidP="00C27830">
      <w:pPr>
        <w:spacing w:after="0" w:line="240" w:lineRule="auto"/>
        <w:jc w:val="both"/>
        <w:rPr>
          <w:rFonts w:ascii="Century Gothic" w:hAnsi="Century Gothic" w:cs="Arial"/>
          <w:bCs/>
          <w:sz w:val="21"/>
          <w:szCs w:val="21"/>
          <w:lang w:val="es-ES_tradnl" w:eastAsia="es-ES_tradnl"/>
        </w:rPr>
      </w:pPr>
      <w:r>
        <w:rPr>
          <w:rFonts w:ascii="Century Gothic" w:hAnsi="Century Gothic" w:cs="Arial"/>
          <w:bCs/>
          <w:sz w:val="21"/>
          <w:szCs w:val="21"/>
          <w:lang w:val="es-ES_tradnl" w:eastAsia="es-ES_tradnl"/>
        </w:rPr>
        <w:t>[…]</w:t>
      </w:r>
    </w:p>
    <w:p w14:paraId="6108BE26" w14:textId="77777777" w:rsidR="00C27830" w:rsidRDefault="00C27830" w:rsidP="00C27830">
      <w:pPr>
        <w:spacing w:after="0" w:line="240" w:lineRule="auto"/>
        <w:jc w:val="both"/>
        <w:rPr>
          <w:rFonts w:ascii="Century Gothic" w:hAnsi="Century Gothic" w:cs="Arial"/>
          <w:bCs/>
          <w:sz w:val="21"/>
          <w:szCs w:val="21"/>
          <w:lang w:val="es-ES_tradnl" w:eastAsia="es-ES_tradnl"/>
        </w:rPr>
      </w:pPr>
      <w:r w:rsidRPr="00E72870">
        <w:rPr>
          <w:rFonts w:ascii="Century Gothic" w:hAnsi="Century Gothic" w:cs="Arial"/>
          <w:bCs/>
          <w:sz w:val="21"/>
          <w:szCs w:val="21"/>
          <w:lang w:val="es-ES_tradnl" w:eastAsia="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14:paraId="27739B89" w14:textId="77777777" w:rsidR="00C27830" w:rsidRPr="00E72870" w:rsidRDefault="00C27830" w:rsidP="00C27830">
      <w:pPr>
        <w:spacing w:after="0" w:line="240" w:lineRule="auto"/>
        <w:jc w:val="both"/>
        <w:rPr>
          <w:rFonts w:ascii="Century Gothic" w:hAnsi="Century Gothic" w:cs="Arial"/>
          <w:bCs/>
          <w:sz w:val="21"/>
          <w:szCs w:val="21"/>
          <w:lang w:val="es-ES_tradnl" w:eastAsia="es-ES_tradnl"/>
        </w:rPr>
      </w:pPr>
    </w:p>
    <w:p w14:paraId="1922A78C" w14:textId="77777777" w:rsidR="00C27830" w:rsidRPr="00091055" w:rsidRDefault="00C27830" w:rsidP="00C27830">
      <w:pPr>
        <w:spacing w:after="0" w:line="240" w:lineRule="auto"/>
        <w:jc w:val="both"/>
        <w:rPr>
          <w:rFonts w:ascii="Century Gothic" w:hAnsi="Century Gothic" w:cs="Arial"/>
          <w:bCs/>
          <w:sz w:val="21"/>
          <w:szCs w:val="21"/>
          <w:lang w:val="es-ES_tradnl" w:eastAsia="es-ES_tradnl"/>
        </w:rPr>
      </w:pPr>
      <w:r w:rsidRPr="00E72870">
        <w:rPr>
          <w:rFonts w:ascii="Century Gothic" w:hAnsi="Century Gothic" w:cs="Arial"/>
          <w:bCs/>
          <w:sz w:val="21"/>
          <w:szCs w:val="21"/>
          <w:lang w:val="es-ES_tradnl" w:eastAsia="es-ES_tradnl"/>
        </w:rPr>
        <w:t xml:space="preserve">De otro lado, se encuentra que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w:t>
      </w:r>
      <w:r w:rsidRPr="00E72870">
        <w:rPr>
          <w:rFonts w:ascii="Century Gothic" w:hAnsi="Century Gothic" w:cs="Arial"/>
          <w:bCs/>
          <w:sz w:val="21"/>
          <w:szCs w:val="21"/>
          <w:lang w:val="es-ES_tradnl" w:eastAsia="es-ES_tradnl"/>
        </w:rPr>
        <w:lastRenderedPageBreak/>
        <w:t>interadministrativos de manera directa, utilizando la causal del literal c), tratándose de “contratos de obra, suministro, prestación de servicios de evaluación de conformidad respecto de las normas o reglamentos técnicos, encargos fiduciarios y fiducia pública”. En esos supuestos específicos deberán adelantarse procesos competitivos, de acuerdo con las demás modalidades de selección establecidas en el Estatuto General de Contratación de la Administración Pública, en adelante EGCAP, en los cuales dichas entidades podrían participar en igualdad de condiciones e, incluso, resultar adjudicatarias.</w:t>
      </w:r>
    </w:p>
    <w:p w14:paraId="618251FE" w14:textId="77777777" w:rsidR="00C27830" w:rsidRPr="00343B0F" w:rsidRDefault="00C27830" w:rsidP="00C27830">
      <w:pPr>
        <w:spacing w:after="0" w:line="240" w:lineRule="auto"/>
        <w:jc w:val="both"/>
        <w:rPr>
          <w:rFonts w:ascii="Century Gothic" w:hAnsi="Century Gothic" w:cs="Arial"/>
          <w:bCs/>
          <w:lang w:val="es-ES_tradnl" w:eastAsia="es-ES_tradnl"/>
        </w:rPr>
      </w:pPr>
    </w:p>
    <w:p w14:paraId="5F905696" w14:textId="77777777" w:rsidR="00C27830" w:rsidRPr="00343B0F" w:rsidRDefault="00C27830" w:rsidP="00C27830">
      <w:pPr>
        <w:spacing w:after="0" w:line="240" w:lineRule="auto"/>
        <w:jc w:val="both"/>
        <w:rPr>
          <w:rFonts w:ascii="Century Gothic" w:hAnsi="Century Gothic" w:cs="Arial"/>
          <w:bCs/>
          <w:lang w:val="es-ES_tradnl" w:eastAsia="es-ES_tradnl"/>
        </w:rPr>
      </w:pPr>
    </w:p>
    <w:p w14:paraId="3F56A61D" w14:textId="77777777" w:rsidR="00C27830" w:rsidRPr="00343B0F" w:rsidRDefault="00C27830" w:rsidP="00C27830">
      <w:pPr>
        <w:pStyle w:val="paragraph"/>
        <w:spacing w:before="0" w:beforeAutospacing="0" w:after="0" w:afterAutospacing="0"/>
        <w:jc w:val="both"/>
        <w:textAlignment w:val="baseline"/>
        <w:rPr>
          <w:rFonts w:ascii="Century Gothic" w:hAnsi="Century Gothic" w:cs="Segoe UI"/>
          <w:sz w:val="22"/>
          <w:szCs w:val="22"/>
        </w:rPr>
      </w:pPr>
      <w:r w:rsidRPr="00343B0F">
        <w:rPr>
          <w:rStyle w:val="normaltextrun"/>
          <w:rFonts w:ascii="Century Gothic" w:hAnsi="Century Gothic" w:cs="Arial"/>
          <w:b/>
          <w:bCs/>
          <w:sz w:val="22"/>
          <w:szCs w:val="22"/>
        </w:rPr>
        <w:t>SOCIEDAD DE ECONOMÍA MIXTA – Naturaleza jurídica</w:t>
      </w:r>
    </w:p>
    <w:p w14:paraId="7A2F7668" w14:textId="77777777" w:rsidR="00C27830" w:rsidRPr="00343B0F" w:rsidRDefault="00C27830" w:rsidP="00C27830">
      <w:pPr>
        <w:pStyle w:val="paragraph"/>
        <w:spacing w:before="0" w:beforeAutospacing="0" w:after="0" w:afterAutospacing="0"/>
        <w:jc w:val="both"/>
        <w:textAlignment w:val="baseline"/>
        <w:rPr>
          <w:rFonts w:ascii="Century Gothic" w:hAnsi="Century Gothic" w:cs="Segoe UI"/>
          <w:sz w:val="22"/>
          <w:szCs w:val="22"/>
        </w:rPr>
      </w:pPr>
      <w:r w:rsidRPr="00343B0F">
        <w:rPr>
          <w:rStyle w:val="eop"/>
          <w:rFonts w:ascii="Century Gothic" w:hAnsi="Century Gothic" w:cs="Arial"/>
          <w:sz w:val="22"/>
          <w:szCs w:val="22"/>
        </w:rPr>
        <w:t> </w:t>
      </w:r>
    </w:p>
    <w:p w14:paraId="09DE65C0" w14:textId="77777777" w:rsidR="00C27830" w:rsidRPr="007777D9" w:rsidRDefault="00C27830" w:rsidP="00C27830">
      <w:pPr>
        <w:pStyle w:val="paragraph"/>
        <w:spacing w:before="0" w:beforeAutospacing="0" w:after="0" w:afterAutospacing="0"/>
        <w:jc w:val="both"/>
        <w:textAlignment w:val="baseline"/>
        <w:rPr>
          <w:rFonts w:ascii="Century Gothic" w:hAnsi="Century Gothic"/>
        </w:rPr>
      </w:pPr>
      <w:r w:rsidRPr="00343B0F">
        <w:rPr>
          <w:rStyle w:val="normaltextrun"/>
          <w:rFonts w:ascii="Century Gothic" w:hAnsi="Century Gothic" w:cs="Arial"/>
          <w:sz w:val="22"/>
          <w:szCs w:val="22"/>
          <w:lang w:val="es-ES"/>
        </w:rPr>
        <w:t>[…] 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r w:rsidRPr="007777D9">
        <w:rPr>
          <w:rStyle w:val="eop"/>
          <w:rFonts w:ascii="Century Gothic" w:hAnsi="Century Gothic" w:cs="Arial"/>
          <w:sz w:val="22"/>
          <w:szCs w:val="22"/>
        </w:rPr>
        <w:t> </w:t>
      </w:r>
    </w:p>
    <w:p w14:paraId="33F234DE" w14:textId="77777777" w:rsidR="00C27830" w:rsidRPr="007777D9" w:rsidRDefault="00C27830" w:rsidP="00C27830">
      <w:pPr>
        <w:spacing w:after="0"/>
        <w:rPr>
          <w:rFonts w:ascii="Century Gothic" w:hAnsi="Century Gothic"/>
        </w:rPr>
      </w:pPr>
    </w:p>
    <w:p w14:paraId="6DE2F260" w14:textId="77777777" w:rsidR="00C27830" w:rsidRPr="007777D9" w:rsidRDefault="00C27830" w:rsidP="00C27830">
      <w:pPr>
        <w:spacing w:after="0"/>
        <w:rPr>
          <w:rFonts w:ascii="Century Gothic" w:hAnsi="Century Gothic"/>
        </w:rPr>
      </w:pPr>
    </w:p>
    <w:p w14:paraId="367942E3" w14:textId="77777777" w:rsidR="00C27830" w:rsidRPr="007777D9" w:rsidRDefault="00C27830" w:rsidP="00C27830">
      <w:pPr>
        <w:spacing w:after="0"/>
        <w:rPr>
          <w:rFonts w:ascii="Century Gothic" w:hAnsi="Century Gothic"/>
        </w:rPr>
      </w:pPr>
    </w:p>
    <w:p w14:paraId="6507DB99" w14:textId="77777777" w:rsidR="00C27830" w:rsidRPr="007777D9" w:rsidRDefault="00C27830" w:rsidP="00C27830">
      <w:pPr>
        <w:rPr>
          <w:rFonts w:ascii="Century Gothic" w:hAnsi="Century Gothic"/>
        </w:rPr>
      </w:pPr>
      <w:r w:rsidRPr="007777D9">
        <w:rPr>
          <w:rFonts w:ascii="Century Gothic" w:hAnsi="Century Gothic"/>
        </w:rPr>
        <w:br w:type="page"/>
      </w:r>
    </w:p>
    <w:p w14:paraId="79807450" w14:textId="77777777" w:rsidR="00C27830" w:rsidRPr="007777D9" w:rsidRDefault="00C27830" w:rsidP="00C27830">
      <w:pPr>
        <w:spacing w:after="0"/>
        <w:rPr>
          <w:rStyle w:val="eop"/>
          <w:rFonts w:ascii="Century Gothic" w:hAnsi="Century Gothic"/>
          <w:sz w:val="23"/>
          <w:szCs w:val="23"/>
          <w:shd w:val="clear" w:color="auto" w:fill="FFFFFF"/>
        </w:rPr>
      </w:pPr>
      <w:bookmarkStart w:id="0" w:name="_Hlk34951122"/>
      <w:r w:rsidRPr="007777D9">
        <w:rPr>
          <w:rStyle w:val="normaltextrun"/>
          <w:rFonts w:ascii="Century Gothic" w:hAnsi="Century Gothic"/>
          <w:sz w:val="23"/>
          <w:szCs w:val="23"/>
          <w:shd w:val="clear" w:color="auto" w:fill="FFFFFF"/>
          <w:lang w:val="es-MX"/>
        </w:rPr>
        <w:lastRenderedPageBreak/>
        <w:t>Bogotá D.C.,</w:t>
      </w:r>
      <w:r w:rsidRPr="007777D9">
        <w:rPr>
          <w:rStyle w:val="normaltextrun"/>
          <w:rFonts w:ascii="Arial" w:hAnsi="Arial" w:cs="Arial"/>
          <w:sz w:val="23"/>
          <w:szCs w:val="23"/>
          <w:shd w:val="clear" w:color="auto" w:fill="FFFFFF"/>
          <w:lang w:val="es-MX"/>
        </w:rPr>
        <w:t> </w:t>
      </w:r>
      <w:r w:rsidRPr="007777D9">
        <w:rPr>
          <w:rStyle w:val="normaltextrun"/>
          <w:rFonts w:ascii="Century Gothic" w:hAnsi="Century Gothic"/>
          <w:sz w:val="23"/>
          <w:szCs w:val="23"/>
          <w:shd w:val="clear" w:color="auto" w:fill="FFFFFF"/>
          <w:lang w:val="es-MX"/>
        </w:rPr>
        <w:t>[Día] de [</w:t>
      </w:r>
      <w:proofErr w:type="spellStart"/>
      <w:r w:rsidRPr="007777D9">
        <w:rPr>
          <w:rStyle w:val="normaltextrun"/>
          <w:rFonts w:ascii="Century Gothic" w:hAnsi="Century Gothic"/>
          <w:sz w:val="23"/>
          <w:szCs w:val="23"/>
          <w:shd w:val="clear" w:color="auto" w:fill="FFFFFF"/>
          <w:lang w:val="es-MX"/>
        </w:rPr>
        <w:t>Mes.NombreCapitalizado</w:t>
      </w:r>
      <w:proofErr w:type="spellEnd"/>
      <w:r w:rsidRPr="007777D9">
        <w:rPr>
          <w:rStyle w:val="normaltextrun"/>
          <w:rFonts w:ascii="Century Gothic" w:hAnsi="Century Gothic"/>
          <w:sz w:val="23"/>
          <w:szCs w:val="23"/>
          <w:shd w:val="clear" w:color="auto" w:fill="FFFFFF"/>
          <w:lang w:val="es-MX"/>
        </w:rPr>
        <w:t>] de [Año]</w:t>
      </w:r>
      <w:r w:rsidRPr="007777D9">
        <w:rPr>
          <w:rStyle w:val="eop"/>
          <w:rFonts w:ascii="Century Gothic" w:hAnsi="Century Gothic"/>
          <w:sz w:val="23"/>
          <w:szCs w:val="23"/>
          <w:shd w:val="clear" w:color="auto" w:fill="FFFFFF"/>
        </w:rPr>
        <w:t> </w:t>
      </w:r>
    </w:p>
    <w:p w14:paraId="4FFB2B4E" w14:textId="77777777" w:rsidR="00C27830" w:rsidRDefault="00C27830" w:rsidP="00C27830">
      <w:pPr>
        <w:spacing w:after="0"/>
        <w:rPr>
          <w:rStyle w:val="eop"/>
          <w:rFonts w:ascii="Century Gothic" w:hAnsi="Century Gothic"/>
          <w:sz w:val="23"/>
          <w:szCs w:val="23"/>
          <w:shd w:val="clear" w:color="auto" w:fill="FFFFFF"/>
        </w:rPr>
      </w:pPr>
    </w:p>
    <w:p w14:paraId="10000837" w14:textId="58A4FC8E" w:rsidR="00C27830" w:rsidRDefault="00C27830" w:rsidP="00C27830">
      <w:pPr>
        <w:spacing w:after="0"/>
        <w:jc w:val="right"/>
        <w:rPr>
          <w:rStyle w:val="eop"/>
          <w:rFonts w:ascii="Century Gothic" w:hAnsi="Century Gothic"/>
          <w:sz w:val="23"/>
          <w:szCs w:val="23"/>
          <w:shd w:val="clear" w:color="auto" w:fill="FFFFFF"/>
        </w:rPr>
      </w:pPr>
      <w:r>
        <w:rPr>
          <w:noProof/>
          <w14:ligatures w14:val="standardContextual"/>
        </w:rPr>
        <w:drawing>
          <wp:inline distT="0" distB="0" distL="0" distR="0" wp14:anchorId="4C79B3B8" wp14:editId="73F07567">
            <wp:extent cx="3352800" cy="1000125"/>
            <wp:effectExtent l="0" t="0" r="0" b="9525"/>
            <wp:docPr id="11975585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58595" name="Imagen 1" descr="Texto&#10;&#10;Descripción generada automáticamente"/>
                    <pic:cNvPicPr/>
                  </pic:nvPicPr>
                  <pic:blipFill>
                    <a:blip r:embed="rId10"/>
                    <a:stretch>
                      <a:fillRect/>
                    </a:stretch>
                  </pic:blipFill>
                  <pic:spPr>
                    <a:xfrm>
                      <a:off x="0" y="0"/>
                      <a:ext cx="3352800" cy="1000125"/>
                    </a:xfrm>
                    <a:prstGeom prst="rect">
                      <a:avLst/>
                    </a:prstGeom>
                  </pic:spPr>
                </pic:pic>
              </a:graphicData>
            </a:graphic>
          </wp:inline>
        </w:drawing>
      </w:r>
    </w:p>
    <w:p w14:paraId="1E3FAEB8" w14:textId="77777777" w:rsidR="00C27830" w:rsidRPr="007777D9" w:rsidRDefault="00C27830" w:rsidP="00C27830">
      <w:pPr>
        <w:spacing w:after="0"/>
        <w:rPr>
          <w:rStyle w:val="eop"/>
          <w:rFonts w:ascii="Century Gothic" w:hAnsi="Century Gothic"/>
          <w:sz w:val="23"/>
          <w:szCs w:val="23"/>
          <w:shd w:val="clear" w:color="auto" w:fill="FFFFFF"/>
        </w:rPr>
      </w:pPr>
    </w:p>
    <w:p w14:paraId="71B92E1E" w14:textId="77777777" w:rsidR="00C27830" w:rsidRPr="007777D9" w:rsidRDefault="00C27830" w:rsidP="00C27830">
      <w:pPr>
        <w:spacing w:after="0"/>
        <w:rPr>
          <w:rFonts w:ascii="Century Gothic" w:eastAsia="Geomanist Light" w:hAnsi="Century Gothic" w:cs="Arial"/>
          <w:lang w:val="es-MX"/>
        </w:rPr>
      </w:pPr>
      <w:r w:rsidRPr="007777D9">
        <w:rPr>
          <w:rFonts w:ascii="Century Gothic" w:hAnsi="Century Gothic" w:cs="Arial"/>
          <w:lang w:val="es-MX"/>
        </w:rPr>
        <w:t>Señor</w:t>
      </w:r>
    </w:p>
    <w:p w14:paraId="682B2C7B" w14:textId="77777777" w:rsidR="00C27830" w:rsidRPr="007777D9" w:rsidRDefault="00C27830" w:rsidP="00C27830">
      <w:pPr>
        <w:spacing w:after="0" w:line="276" w:lineRule="auto"/>
        <w:rPr>
          <w:rFonts w:ascii="Century Gothic" w:hAnsi="Century Gothic" w:cs="Arial"/>
          <w:b/>
          <w:bCs/>
          <w:lang w:val="es-MX"/>
        </w:rPr>
      </w:pPr>
      <w:bookmarkStart w:id="1" w:name="_Hlk137493281"/>
      <w:r w:rsidRPr="007777D9">
        <w:rPr>
          <w:rFonts w:ascii="Century Gothic" w:hAnsi="Century Gothic" w:cs="Arial"/>
          <w:b/>
          <w:bCs/>
          <w:lang w:val="es-MX"/>
        </w:rPr>
        <w:t>Julián Andrés Zorrilla Prieto</w:t>
      </w:r>
    </w:p>
    <w:bookmarkEnd w:id="1"/>
    <w:p w14:paraId="5B5666FD" w14:textId="77777777" w:rsidR="00C27830" w:rsidRPr="007777D9" w:rsidRDefault="00C27830" w:rsidP="00C27830">
      <w:pPr>
        <w:spacing w:after="0" w:line="276" w:lineRule="auto"/>
        <w:rPr>
          <w:rFonts w:ascii="Century Gothic" w:hAnsi="Century Gothic" w:cs="Arial"/>
          <w:lang w:val="es-MX"/>
        </w:rPr>
      </w:pPr>
      <w:r w:rsidRPr="007777D9">
        <w:rPr>
          <w:rFonts w:ascii="Century Gothic" w:hAnsi="Century Gothic" w:cs="Arial"/>
          <w:lang w:val="es-MX"/>
        </w:rPr>
        <w:t>Cali, Valle del Cauca</w:t>
      </w:r>
    </w:p>
    <w:p w14:paraId="1CB9DEDD" w14:textId="77777777" w:rsidR="00C27830" w:rsidRPr="007777D9" w:rsidRDefault="00C27830" w:rsidP="00C27830">
      <w:pPr>
        <w:spacing w:after="0" w:line="276" w:lineRule="auto"/>
        <w:rPr>
          <w:rFonts w:ascii="Century Gothic" w:hAnsi="Century Gothic" w:cs="Arial"/>
          <w:lang w:val="es-MX"/>
        </w:rPr>
      </w:pPr>
    </w:p>
    <w:p w14:paraId="21A78DCB" w14:textId="77777777" w:rsidR="00C27830" w:rsidRPr="007777D9" w:rsidRDefault="00C27830" w:rsidP="00C27830">
      <w:pPr>
        <w:spacing w:after="0" w:line="276" w:lineRule="auto"/>
        <w:rPr>
          <w:rFonts w:ascii="Century Gothic" w:hAnsi="Century Gothic" w:cs="Arial"/>
          <w:lang w:val="es-MX"/>
        </w:rPr>
      </w:pPr>
    </w:p>
    <w:p w14:paraId="33F75F7E" w14:textId="77777777" w:rsidR="00C27830" w:rsidRPr="007777D9" w:rsidRDefault="00C27830" w:rsidP="00C27830">
      <w:pPr>
        <w:spacing w:after="0" w:line="276" w:lineRule="auto"/>
        <w:rPr>
          <w:rFonts w:ascii="Century Gothic" w:hAnsi="Century Gothic" w:cs="Arial"/>
          <w:lang w:val="es-MX"/>
        </w:rPr>
      </w:pPr>
    </w:p>
    <w:p w14:paraId="341727D6" w14:textId="77777777" w:rsidR="00C27830" w:rsidRPr="007777D9" w:rsidRDefault="00C27830" w:rsidP="00C27830">
      <w:pPr>
        <w:spacing w:after="0" w:line="276" w:lineRule="auto"/>
        <w:ind w:left="2832"/>
        <w:rPr>
          <w:rFonts w:ascii="Century Gothic" w:eastAsia="Calibri" w:hAnsi="Century Gothic" w:cs="Arial"/>
          <w:b/>
          <w:bCs/>
          <w:lang w:val="es-ES"/>
        </w:rPr>
      </w:pPr>
      <w:r w:rsidRPr="007777D9">
        <w:rPr>
          <w:rFonts w:ascii="Century Gothic" w:eastAsia="Calibri" w:hAnsi="Century Gothic" w:cs="Arial"/>
          <w:b/>
          <w:bCs/>
          <w:lang w:val="es-ES"/>
        </w:rPr>
        <w:t>Concepto C-016 de 2024</w:t>
      </w:r>
    </w:p>
    <w:p w14:paraId="77600605" w14:textId="77777777" w:rsidR="00C27830" w:rsidRPr="007777D9" w:rsidRDefault="00C27830" w:rsidP="00C27830">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C27830" w:rsidRPr="007777D9" w14:paraId="09692EB0" w14:textId="77777777" w:rsidTr="00611071">
        <w:trPr>
          <w:jc w:val="right"/>
        </w:trPr>
        <w:tc>
          <w:tcPr>
            <w:tcW w:w="1838" w:type="dxa"/>
          </w:tcPr>
          <w:p w14:paraId="39D3E062" w14:textId="77777777" w:rsidR="00C27830" w:rsidRPr="00E72870" w:rsidRDefault="00C27830" w:rsidP="00611071">
            <w:pPr>
              <w:spacing w:line="276" w:lineRule="auto"/>
              <w:jc w:val="center"/>
              <w:rPr>
                <w:rFonts w:ascii="Century Gothic" w:eastAsia="Calibri" w:hAnsi="Century Gothic" w:cs="Arial"/>
                <w:lang w:val="es-ES_tradnl"/>
              </w:rPr>
            </w:pPr>
            <w:r w:rsidRPr="00E72870">
              <w:rPr>
                <w:rFonts w:ascii="Century Gothic" w:eastAsia="Calibri" w:hAnsi="Century Gothic" w:cs="Arial"/>
                <w:b/>
                <w:lang w:val="es-ES_tradnl"/>
              </w:rPr>
              <w:t>Temas:</w:t>
            </w:r>
          </w:p>
        </w:tc>
        <w:tc>
          <w:tcPr>
            <w:tcW w:w="6237" w:type="dxa"/>
          </w:tcPr>
          <w:p w14:paraId="1053DF1B" w14:textId="77777777" w:rsidR="00C27830" w:rsidRPr="00E72870" w:rsidRDefault="00C27830" w:rsidP="00611071">
            <w:pPr>
              <w:jc w:val="both"/>
              <w:rPr>
                <w:rStyle w:val="normaltextrun"/>
                <w:rFonts w:ascii="Century Gothic" w:hAnsi="Century Gothic" w:cs="Arial"/>
                <w:bCs/>
                <w:lang w:val="es-MX"/>
              </w:rPr>
            </w:pPr>
            <w:r w:rsidRPr="00E72870">
              <w:rPr>
                <w:rFonts w:ascii="Century Gothic" w:hAnsi="Century Gothic" w:cs="Arial"/>
                <w:lang w:val="es-MX" w:eastAsia="es-ES_tradnl"/>
              </w:rPr>
              <w:t xml:space="preserve">CONTRATO INTERADMINISTRATIVO – Concepto – Régimen jurídico aplicable </w:t>
            </w:r>
            <w:r w:rsidRPr="00E72870">
              <w:rPr>
                <w:rFonts w:ascii="Century Gothic" w:eastAsia="Times New Roman" w:hAnsi="Century Gothic" w:cs="Arial"/>
                <w:lang w:val="es-ES_tradnl" w:eastAsia="es-ES_tradnl"/>
              </w:rPr>
              <w:t xml:space="preserve">/ </w:t>
            </w:r>
            <w:r w:rsidRPr="00E72870">
              <w:rPr>
                <w:rStyle w:val="normaltextrun"/>
                <w:rFonts w:ascii="Century Gothic" w:hAnsi="Century Gothic" w:cs="Arial"/>
                <w:bCs/>
                <w:lang w:val="es-MX"/>
              </w:rPr>
              <w:t>MODALIDAD DE CONTRATACIÓN DIRECTA – Convenios o contratos interadministrativos – Excepciones</w:t>
            </w:r>
            <w:r w:rsidRPr="00E72870">
              <w:rPr>
                <w:rStyle w:val="normaltextrun"/>
                <w:rFonts w:ascii="Century Gothic" w:hAnsi="Century Gothic"/>
                <w:bCs/>
                <w:lang w:val="es-MX"/>
              </w:rPr>
              <w:t> /</w:t>
            </w:r>
            <w:r w:rsidRPr="00E72870">
              <w:rPr>
                <w:rStyle w:val="normaltextrun"/>
                <w:rFonts w:ascii="Century Gothic" w:eastAsia="Times New Roman" w:hAnsi="Century Gothic"/>
                <w:bCs/>
                <w:lang w:val="es-MX" w:eastAsia="es-CO"/>
              </w:rPr>
              <w:t xml:space="preserve"> </w:t>
            </w:r>
            <w:r w:rsidRPr="00E72870">
              <w:rPr>
                <w:rStyle w:val="normaltextrun"/>
                <w:rFonts w:ascii="Century Gothic" w:hAnsi="Century Gothic" w:cs="Arial"/>
                <w:bCs/>
                <w:lang w:val="es-MX"/>
              </w:rPr>
              <w:t xml:space="preserve">SOCIEDAD DE ECONOMÍA MIXTA – Naturaleza jurídica </w:t>
            </w:r>
          </w:p>
          <w:p w14:paraId="7CA2B791" w14:textId="77777777" w:rsidR="00C27830" w:rsidRPr="00E72870" w:rsidRDefault="00C27830" w:rsidP="00611071">
            <w:pPr>
              <w:jc w:val="both"/>
              <w:rPr>
                <w:rFonts w:ascii="Century Gothic" w:hAnsi="Century Gothic" w:cs="Segoe UI"/>
                <w:lang w:eastAsia="es-CO"/>
              </w:rPr>
            </w:pPr>
          </w:p>
        </w:tc>
      </w:tr>
      <w:tr w:rsidR="00C27830" w:rsidRPr="007777D9" w14:paraId="5D6E676B" w14:textId="77777777" w:rsidTr="00611071">
        <w:trPr>
          <w:jc w:val="right"/>
        </w:trPr>
        <w:tc>
          <w:tcPr>
            <w:tcW w:w="1838" w:type="dxa"/>
          </w:tcPr>
          <w:p w14:paraId="2330D6E7" w14:textId="77777777" w:rsidR="00C27830" w:rsidRPr="007777D9" w:rsidRDefault="00C27830" w:rsidP="00611071">
            <w:pPr>
              <w:spacing w:line="276" w:lineRule="auto"/>
              <w:jc w:val="center"/>
              <w:rPr>
                <w:rFonts w:ascii="Century Gothic" w:eastAsia="Calibri" w:hAnsi="Century Gothic" w:cs="Arial"/>
                <w:b/>
                <w:lang w:val="es-ES"/>
              </w:rPr>
            </w:pPr>
            <w:r w:rsidRPr="007777D9">
              <w:rPr>
                <w:rFonts w:ascii="Century Gothic" w:eastAsia="Calibri" w:hAnsi="Century Gothic" w:cs="Arial"/>
                <w:b/>
                <w:lang w:val="es-ES"/>
              </w:rPr>
              <w:t>Radicación:</w:t>
            </w:r>
          </w:p>
        </w:tc>
        <w:tc>
          <w:tcPr>
            <w:tcW w:w="6237" w:type="dxa"/>
          </w:tcPr>
          <w:p w14:paraId="23B121E7" w14:textId="77777777" w:rsidR="00C27830" w:rsidRPr="007777D9" w:rsidRDefault="00C27830" w:rsidP="00611071">
            <w:pPr>
              <w:spacing w:line="276" w:lineRule="auto"/>
              <w:jc w:val="both"/>
              <w:rPr>
                <w:rFonts w:ascii="Century Gothic" w:eastAsia="Calibri" w:hAnsi="Century Gothic" w:cs="Arial"/>
                <w:lang w:val="es-ES"/>
              </w:rPr>
            </w:pPr>
            <w:r w:rsidRPr="007777D9">
              <w:rPr>
                <w:rFonts w:ascii="Century Gothic" w:eastAsia="Calibri" w:hAnsi="Century Gothic" w:cs="Arial"/>
                <w:lang w:val="es-ES"/>
              </w:rPr>
              <w:t>Respuesta a consultas acumuladas Nos.  P20240207001189 y P20240207001190</w:t>
            </w:r>
          </w:p>
        </w:tc>
      </w:tr>
    </w:tbl>
    <w:p w14:paraId="6F825F2A" w14:textId="77777777" w:rsidR="00C27830" w:rsidRPr="007777D9" w:rsidRDefault="00C27830" w:rsidP="00C27830">
      <w:pPr>
        <w:spacing w:line="276" w:lineRule="auto"/>
        <w:jc w:val="both"/>
        <w:rPr>
          <w:rFonts w:ascii="Century Gothic" w:eastAsia="Calibri" w:hAnsi="Century Gothic" w:cs="Arial"/>
          <w:lang w:val="es-ES_tradnl"/>
        </w:rPr>
      </w:pPr>
    </w:p>
    <w:p w14:paraId="7789D2A7" w14:textId="77777777" w:rsidR="00C27830" w:rsidRPr="007777D9" w:rsidRDefault="00C27830" w:rsidP="00C27830">
      <w:pPr>
        <w:spacing w:line="276" w:lineRule="auto"/>
        <w:jc w:val="both"/>
        <w:rPr>
          <w:rFonts w:ascii="Century Gothic" w:eastAsia="Calibri" w:hAnsi="Century Gothic" w:cs="Arial"/>
          <w:bCs/>
          <w:lang w:val="es-ES_tradnl"/>
        </w:rPr>
      </w:pPr>
      <w:r w:rsidRPr="007777D9">
        <w:rPr>
          <w:rFonts w:ascii="Century Gothic" w:eastAsia="Calibri" w:hAnsi="Century Gothic" w:cs="Arial"/>
          <w:lang w:val="es-ES_tradnl"/>
        </w:rPr>
        <w:t>Estimado señor Zorrilla:</w:t>
      </w:r>
    </w:p>
    <w:p w14:paraId="7D634F5E" w14:textId="77777777" w:rsidR="00C27830" w:rsidRPr="007777D9" w:rsidRDefault="00C27830" w:rsidP="00C27830">
      <w:pPr>
        <w:spacing w:after="0" w:line="276" w:lineRule="auto"/>
        <w:jc w:val="both"/>
        <w:rPr>
          <w:rFonts w:ascii="Century Gothic" w:eastAsia="Calibri" w:hAnsi="Century Gothic" w:cs="Arial"/>
          <w:lang w:val="es-ES"/>
        </w:rPr>
      </w:pPr>
      <w:r w:rsidRPr="007777D9">
        <w:rPr>
          <w:rFonts w:ascii="Century Gothic" w:eastAsia="Calibri" w:hAnsi="Century Gothic" w:cs="Arial"/>
          <w:lang w:val="es-ES"/>
        </w:rPr>
        <w:t>En ejercicio de la competencia otorgada por el numeral 8° del artículo 11 y el numeral 5° del artículo 3 del Decreto Ley 4170 de 2011, la Agencia Nacional de Contratación Pública ― Colombia Compra Eficiente responde sus consultas acumuladas del 06 de febrero de 2024.</w:t>
      </w:r>
    </w:p>
    <w:p w14:paraId="65E8CF58" w14:textId="77777777" w:rsidR="00C27830" w:rsidRPr="007777D9" w:rsidRDefault="00C27830" w:rsidP="00C27830">
      <w:pPr>
        <w:spacing w:after="0" w:line="276" w:lineRule="auto"/>
        <w:jc w:val="both"/>
        <w:rPr>
          <w:rFonts w:ascii="Century Gothic" w:eastAsia="Calibri" w:hAnsi="Century Gothic" w:cs="Arial"/>
          <w:lang w:val="es-ES"/>
        </w:rPr>
      </w:pPr>
    </w:p>
    <w:p w14:paraId="2F674919" w14:textId="77777777" w:rsidR="00C27830" w:rsidRPr="007777D9" w:rsidRDefault="00C27830" w:rsidP="00C27830">
      <w:pPr>
        <w:pStyle w:val="Prrafodelista"/>
        <w:numPr>
          <w:ilvl w:val="0"/>
          <w:numId w:val="1"/>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7777D9">
        <w:rPr>
          <w:rFonts w:ascii="Century Gothic" w:eastAsia="Calibri" w:hAnsi="Century Gothic" w:cs="Arial"/>
          <w:b/>
          <w:lang w:val="es-ES_tradnl"/>
        </w:rPr>
        <w:t xml:space="preserve">Problema planteado </w:t>
      </w:r>
    </w:p>
    <w:p w14:paraId="286C0DAA" w14:textId="77777777" w:rsidR="00C27830" w:rsidRPr="007777D9" w:rsidRDefault="00C27830" w:rsidP="00C27830">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5454F478" w14:textId="77777777" w:rsidR="00C27830" w:rsidRPr="007777D9" w:rsidRDefault="00C27830" w:rsidP="00C27830">
      <w:pPr>
        <w:spacing w:after="0" w:line="276" w:lineRule="auto"/>
        <w:jc w:val="both"/>
        <w:rPr>
          <w:rFonts w:ascii="Century Gothic" w:hAnsi="Century Gothic" w:cs="Arial"/>
          <w:lang w:val="es-ES_tradnl"/>
        </w:rPr>
      </w:pPr>
      <w:r w:rsidRPr="007777D9">
        <w:rPr>
          <w:rFonts w:ascii="Century Gothic" w:hAnsi="Century Gothic" w:cs="Arial"/>
          <w:lang w:val="es-ES_tradnl"/>
        </w:rPr>
        <w:t xml:space="preserve">Usted realiza la siguiente consulta: </w:t>
      </w:r>
    </w:p>
    <w:p w14:paraId="5A3384E5" w14:textId="77777777" w:rsidR="00C27830" w:rsidRPr="007777D9" w:rsidRDefault="00C27830" w:rsidP="00C27830">
      <w:pPr>
        <w:spacing w:after="0" w:line="276" w:lineRule="auto"/>
        <w:jc w:val="both"/>
        <w:rPr>
          <w:rFonts w:ascii="Century Gothic" w:hAnsi="Century Gothic" w:cs="Arial"/>
          <w:i/>
          <w:iCs/>
          <w:lang w:val="es-ES_tradnl"/>
        </w:rPr>
      </w:pPr>
    </w:p>
    <w:p w14:paraId="057E3537" w14:textId="77777777" w:rsidR="00C27830" w:rsidRPr="007777D9" w:rsidRDefault="00C27830" w:rsidP="00C27830">
      <w:pPr>
        <w:spacing w:after="0" w:line="240" w:lineRule="auto"/>
        <w:ind w:left="709" w:right="709"/>
        <w:jc w:val="both"/>
        <w:rPr>
          <w:rFonts w:ascii="Century Gothic" w:hAnsi="Century Gothic" w:cs="Arial"/>
          <w:sz w:val="21"/>
          <w:szCs w:val="21"/>
        </w:rPr>
      </w:pPr>
      <w:r w:rsidRPr="007777D9">
        <w:rPr>
          <w:rFonts w:ascii="Century Gothic" w:hAnsi="Century Gothic" w:cs="Arial"/>
          <w:i/>
          <w:iCs/>
          <w:sz w:val="21"/>
          <w:szCs w:val="21"/>
          <w:lang w:val="es-ES_tradnl"/>
        </w:rPr>
        <w:lastRenderedPageBreak/>
        <w:t>“</w:t>
      </w:r>
      <w:r w:rsidRPr="007777D9">
        <w:rPr>
          <w:rFonts w:ascii="Century Gothic" w:hAnsi="Century Gothic" w:cs="Arial"/>
          <w:sz w:val="21"/>
          <w:szCs w:val="21"/>
        </w:rPr>
        <w:t xml:space="preserve">1. ¿Las entidades territoriales pueden realizar un nombramiento libre o contratar directamente de manera directa a empresas, organizaciones sin ánimo de lucro o de economía mixta para realizar funciones de asesoría directa de la entidad territorial (alcaldías, gobernaciones, </w:t>
      </w:r>
      <w:proofErr w:type="spellStart"/>
      <w:r w:rsidRPr="007777D9">
        <w:rPr>
          <w:rFonts w:ascii="Century Gothic" w:hAnsi="Century Gothic" w:cs="Arial"/>
          <w:sz w:val="21"/>
          <w:szCs w:val="21"/>
        </w:rPr>
        <w:t>etc</w:t>
      </w:r>
      <w:proofErr w:type="spellEnd"/>
      <w:r w:rsidRPr="007777D9">
        <w:rPr>
          <w:rFonts w:ascii="Century Gothic" w:hAnsi="Century Gothic" w:cs="Arial"/>
          <w:sz w:val="21"/>
          <w:szCs w:val="21"/>
        </w:rPr>
        <w:t>) debe ser persona natural?</w:t>
      </w:r>
    </w:p>
    <w:p w14:paraId="55CC214C" w14:textId="77777777" w:rsidR="00C27830" w:rsidRPr="007777D9" w:rsidRDefault="00C27830" w:rsidP="00C27830">
      <w:pPr>
        <w:spacing w:before="120" w:after="0" w:line="240" w:lineRule="auto"/>
        <w:ind w:left="709" w:right="709"/>
        <w:jc w:val="both"/>
        <w:rPr>
          <w:rFonts w:ascii="Century Gothic" w:hAnsi="Century Gothic" w:cs="Arial"/>
          <w:sz w:val="21"/>
          <w:szCs w:val="21"/>
          <w:lang w:val="es-ES_tradnl"/>
        </w:rPr>
      </w:pPr>
      <w:r w:rsidRPr="007777D9">
        <w:rPr>
          <w:rFonts w:ascii="Century Gothic" w:hAnsi="Century Gothic" w:cs="Arial"/>
          <w:sz w:val="21"/>
          <w:szCs w:val="21"/>
          <w:lang w:val="es-ES_tradnl"/>
        </w:rPr>
        <w:t>2. Art. 2 de la Ley 1150 de 2007, Art. 92 de la Ley 1474 de 2011 y Ley 2195 de 2022, refieren que la contratación directa en modalidad de convenio interadministrativo podrá realizarse siempre y cuando la entidad de economía mixta o demás, y la entidad estatal sean afines en sus objetos y funciones […].</w:t>
      </w:r>
    </w:p>
    <w:p w14:paraId="132641CB" w14:textId="77777777" w:rsidR="00C27830" w:rsidRPr="007777D9" w:rsidRDefault="00C27830" w:rsidP="00C27830">
      <w:pPr>
        <w:spacing w:before="120" w:after="0" w:line="240" w:lineRule="auto"/>
        <w:ind w:left="709" w:right="709"/>
        <w:jc w:val="both"/>
        <w:rPr>
          <w:rFonts w:ascii="Century Gothic" w:hAnsi="Century Gothic" w:cs="Arial"/>
          <w:sz w:val="21"/>
          <w:szCs w:val="21"/>
          <w:lang w:val="es-ES_tradnl"/>
        </w:rPr>
      </w:pPr>
      <w:r w:rsidRPr="007777D9">
        <w:rPr>
          <w:rFonts w:ascii="Century Gothic" w:hAnsi="Century Gothic" w:cs="Arial"/>
          <w:sz w:val="21"/>
          <w:szCs w:val="21"/>
          <w:lang w:val="es-ES_tradnl"/>
        </w:rPr>
        <w:t>A) Quisiera que se explicara y se ampliara más sobre este punto, en especial, lo referente a la contratación directa bajo la modalidad de convenio interadministrativo entre dos o más entidades públicas (pública-publica) o entidad pública y de economías mixtas (pública-mixta)</w:t>
      </w:r>
    </w:p>
    <w:p w14:paraId="3DB6D2C7" w14:textId="77777777" w:rsidR="00C27830" w:rsidRPr="007777D9" w:rsidRDefault="00C27830" w:rsidP="00C27830">
      <w:pPr>
        <w:spacing w:before="120" w:after="0" w:line="240" w:lineRule="auto"/>
        <w:ind w:left="709" w:right="709"/>
        <w:jc w:val="both"/>
        <w:rPr>
          <w:rFonts w:ascii="Century Gothic" w:hAnsi="Century Gothic" w:cs="Arial"/>
          <w:sz w:val="21"/>
          <w:szCs w:val="21"/>
          <w:lang w:val="es-ES_tradnl"/>
        </w:rPr>
      </w:pPr>
      <w:r w:rsidRPr="007777D9">
        <w:rPr>
          <w:rFonts w:ascii="Century Gothic" w:hAnsi="Century Gothic" w:cs="Arial"/>
          <w:sz w:val="21"/>
          <w:szCs w:val="21"/>
          <w:lang w:val="es-ES_tradnl"/>
        </w:rPr>
        <w:t>B) Además, quisiera por favor, que se ampliara y explicara más sobre las excepciones para contratos de obra civil, suministro y demás excepciones que indica la normatividad frente a la modalidad de selección directa por convenio interadministrativo ¿es posible realizar una contratación directa de convenio interadministrativo entre entidad pública – otra(s) publica(s); entidad pública y de economía mixta y, entidad pública – entidad sin ánimo de lucro con asociados públicos? ¿Bajo qué condiciones se tiene permitido hacer? (Ejemplo: la participación de los fondos de la entidad mixta, entre otros)”. [sic]</w:t>
      </w:r>
    </w:p>
    <w:p w14:paraId="29C0E174" w14:textId="77777777" w:rsidR="00C27830" w:rsidRPr="007777D9" w:rsidRDefault="00C27830" w:rsidP="00C27830">
      <w:pPr>
        <w:spacing w:after="0" w:line="240" w:lineRule="auto"/>
        <w:ind w:left="708" w:right="709"/>
        <w:jc w:val="both"/>
        <w:rPr>
          <w:rFonts w:ascii="Century Gothic" w:hAnsi="Century Gothic" w:cs="Arial"/>
          <w:sz w:val="21"/>
          <w:szCs w:val="21"/>
          <w:lang w:val="es-ES_tradnl"/>
        </w:rPr>
      </w:pPr>
    </w:p>
    <w:p w14:paraId="6795EBB7" w14:textId="77777777" w:rsidR="00C27830" w:rsidRPr="007777D9" w:rsidRDefault="00C27830" w:rsidP="00C27830">
      <w:pPr>
        <w:pStyle w:val="Prrafodelista"/>
        <w:numPr>
          <w:ilvl w:val="0"/>
          <w:numId w:val="1"/>
        </w:numPr>
        <w:tabs>
          <w:tab w:val="left" w:pos="0"/>
          <w:tab w:val="left" w:pos="284"/>
        </w:tabs>
        <w:spacing w:after="0" w:line="276" w:lineRule="auto"/>
        <w:ind w:left="0" w:firstLine="0"/>
        <w:contextualSpacing w:val="0"/>
        <w:jc w:val="both"/>
        <w:rPr>
          <w:rFonts w:ascii="Century Gothic" w:eastAsia="Calibri" w:hAnsi="Century Gothic" w:cs="Arial"/>
          <w:b/>
          <w:lang w:val="es-ES_tradnl"/>
        </w:rPr>
      </w:pPr>
      <w:r w:rsidRPr="007777D9">
        <w:rPr>
          <w:rFonts w:ascii="Century Gothic" w:eastAsia="Calibri" w:hAnsi="Century Gothic" w:cs="Arial"/>
          <w:b/>
          <w:lang w:val="es-ES_tradnl"/>
        </w:rPr>
        <w:t>Consideraciones</w:t>
      </w:r>
    </w:p>
    <w:p w14:paraId="7D80BDBE" w14:textId="77777777" w:rsidR="00C27830" w:rsidRPr="007777D9" w:rsidRDefault="00C27830" w:rsidP="00C27830">
      <w:pPr>
        <w:pStyle w:val="Prrafodelista"/>
        <w:tabs>
          <w:tab w:val="left" w:pos="0"/>
          <w:tab w:val="left" w:pos="284"/>
        </w:tabs>
        <w:spacing w:after="0" w:line="276" w:lineRule="auto"/>
        <w:ind w:left="0"/>
        <w:contextualSpacing w:val="0"/>
        <w:jc w:val="both"/>
        <w:rPr>
          <w:rFonts w:ascii="Century Gothic" w:eastAsia="Calibri" w:hAnsi="Century Gothic" w:cs="Arial"/>
          <w:b/>
          <w:lang w:val="es-ES_tradnl"/>
        </w:rPr>
      </w:pPr>
    </w:p>
    <w:p w14:paraId="4EFC224D" w14:textId="77777777" w:rsidR="00C27830" w:rsidRPr="007777D9" w:rsidRDefault="00C27830" w:rsidP="00C27830">
      <w:pPr>
        <w:spacing w:after="120" w:line="276" w:lineRule="auto"/>
        <w:jc w:val="both"/>
        <w:rPr>
          <w:rFonts w:ascii="Century Gothic" w:hAnsi="Century Gothic" w:cs="Arial"/>
          <w:lang w:val="es-ES"/>
        </w:rPr>
      </w:pPr>
      <w:r w:rsidRPr="007777D9">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7777D9">
        <w:rPr>
          <w:rFonts w:ascii="Century Gothic" w:hAnsi="Century Gothic" w:cs="Arial"/>
        </w:rPr>
        <w:t xml:space="preserve">. </w:t>
      </w:r>
      <w:r w:rsidRPr="007777D9">
        <w:rPr>
          <w:rFonts w:ascii="Century Gothic" w:hAnsi="Century Gothic" w:cs="Arial"/>
          <w:lang w:val="es-ES"/>
        </w:rPr>
        <w:t xml:space="preserve">Es necesario tener en cuenta que </w:t>
      </w:r>
      <w:bookmarkStart w:id="4" w:name="_Hlk61026958"/>
      <w:r w:rsidRPr="007777D9">
        <w:rPr>
          <w:rFonts w:ascii="Century Gothic" w:hAnsi="Century Gothic" w:cs="Arial"/>
          <w:lang w:val="es-ES"/>
        </w:rPr>
        <w:t xml:space="preserve">esta Entidad </w:t>
      </w:r>
      <w:bookmarkStart w:id="5" w:name="_Hlk160033005"/>
      <w:r w:rsidRPr="007777D9">
        <w:rPr>
          <w:rFonts w:ascii="Century Gothic" w:hAnsi="Century Gothic" w:cs="Arial"/>
          <w:lang w:val="es-ES"/>
        </w:rPr>
        <w:t>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777D9">
        <w:rPr>
          <w:rFonts w:ascii="Century Gothic" w:hAnsi="Century Gothic" w:cs="Arial"/>
        </w:rPr>
        <w:t xml:space="preserve"> de todos los partícipes de la contratación estatal.</w:t>
      </w:r>
      <w:r w:rsidRPr="007777D9">
        <w:rPr>
          <w:rFonts w:ascii="Century Gothic" w:hAnsi="Century Gothic" w:cs="Arial"/>
          <w:lang w:val="es-ES"/>
        </w:rPr>
        <w:t xml:space="preserve"> </w:t>
      </w:r>
      <w:bookmarkEnd w:id="2"/>
      <w:bookmarkEnd w:id="3"/>
      <w:bookmarkEnd w:id="4"/>
      <w:bookmarkEnd w:id="5"/>
    </w:p>
    <w:p w14:paraId="39BCBC9D" w14:textId="77777777" w:rsidR="00C27830" w:rsidRPr="007777D9" w:rsidRDefault="00C27830" w:rsidP="00C27830">
      <w:pPr>
        <w:spacing w:after="120" w:line="276" w:lineRule="auto"/>
        <w:ind w:firstLine="708"/>
        <w:jc w:val="both"/>
        <w:rPr>
          <w:rFonts w:ascii="Century Gothic" w:hAnsi="Century Gothic" w:cs="Arial"/>
          <w:lang w:val="es-ES"/>
        </w:rPr>
      </w:pPr>
      <w:r w:rsidRPr="007777D9">
        <w:rPr>
          <w:rFonts w:ascii="Century Gothic" w:eastAsia="Calibri" w:hAnsi="Century Gothic" w:cs="Arial"/>
          <w:lang w:val="es-ES"/>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777D9">
        <w:rPr>
          <w:rFonts w:ascii="Century Gothic" w:eastAsia="Calibri" w:hAnsi="Century Gothic" w:cs="Arial"/>
          <w:vertAlign w:val="superscript"/>
          <w:lang w:val="es-ES"/>
        </w:rPr>
        <w:footnoteReference w:id="1"/>
      </w:r>
      <w:r w:rsidRPr="007777D9">
        <w:rPr>
          <w:rFonts w:ascii="Century Gothic" w:eastAsia="Calibri" w:hAnsi="Century Gothic"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189CA84E" w14:textId="77777777" w:rsidR="00C27830" w:rsidRPr="007777D9" w:rsidRDefault="00C27830" w:rsidP="00C27830">
      <w:pPr>
        <w:spacing w:line="276" w:lineRule="auto"/>
        <w:ind w:firstLine="708"/>
        <w:jc w:val="both"/>
        <w:rPr>
          <w:rFonts w:ascii="Century Gothic" w:eastAsia="Calibri" w:hAnsi="Century Gothic" w:cs="Arial"/>
          <w:lang w:val="es-ES"/>
        </w:rPr>
      </w:pPr>
      <w:r w:rsidRPr="007777D9">
        <w:rPr>
          <w:rFonts w:ascii="Century Gothic" w:eastAsia="Calibri" w:hAnsi="Century Gothic" w:cs="Arial"/>
          <w:lang w:val="es-MX"/>
        </w:rPr>
        <w:t xml:space="preserve">Sin perjuicio de lo anterior, </w:t>
      </w:r>
      <w:r w:rsidRPr="007777D9">
        <w:rPr>
          <w:rFonts w:ascii="Century Gothic" w:eastAsia="Calibri" w:hAnsi="Century Gothic" w:cs="Arial"/>
          <w:lang w:val="es-ES"/>
        </w:rPr>
        <w:t xml:space="preserve">la Subdirección de Gestión Contractual de esta Agencia, dentro de los límites de sus atribuciones –esto es, </w:t>
      </w:r>
      <w:bookmarkStart w:id="6" w:name="_Hlk61025408"/>
      <w:r w:rsidRPr="007777D9">
        <w:rPr>
          <w:rFonts w:ascii="Century Gothic" w:eastAsia="Calibri" w:hAnsi="Century Gothic" w:cs="Arial"/>
          <w:lang w:val="es-ES"/>
        </w:rPr>
        <w:t>haciendo abstracción del caso particular expuesto por el peticionari</w:t>
      </w:r>
      <w:bookmarkEnd w:id="6"/>
      <w:r w:rsidRPr="007777D9">
        <w:rPr>
          <w:rFonts w:ascii="Century Gothic" w:eastAsia="Calibri" w:hAnsi="Century Gothic" w:cs="Arial"/>
          <w:lang w:val="es-ES"/>
        </w:rPr>
        <w:t>o– resolverá la consulta conforme a las normas generales en materia de contratación estatal</w:t>
      </w:r>
      <w:r w:rsidRPr="007777D9">
        <w:rPr>
          <w:rFonts w:ascii="Century Gothic" w:eastAsia="Calibri" w:hAnsi="Century Gothic" w:cs="Arial"/>
          <w:lang w:val="es-ES_tradnl" w:eastAsia="es-MX"/>
        </w:rPr>
        <w:t xml:space="preserve">. Con este objetivo se analizarán los </w:t>
      </w:r>
      <w:r w:rsidRPr="007777D9">
        <w:rPr>
          <w:rFonts w:ascii="Century Gothic" w:eastAsia="Calibri" w:hAnsi="Century Gothic" w:cs="Arial"/>
          <w:lang w:val="es-ES"/>
        </w:rPr>
        <w:t xml:space="preserve">siguientes temas: i) naturaleza jurídica de las Sociedades de Economía Mixta, y </w:t>
      </w:r>
      <w:proofErr w:type="spellStart"/>
      <w:r w:rsidRPr="007777D9">
        <w:rPr>
          <w:rFonts w:ascii="Century Gothic" w:eastAsia="Calibri" w:hAnsi="Century Gothic" w:cs="Arial"/>
          <w:lang w:val="es-ES"/>
        </w:rPr>
        <w:t>ii</w:t>
      </w:r>
      <w:proofErr w:type="spellEnd"/>
      <w:r w:rsidRPr="007777D9">
        <w:rPr>
          <w:rFonts w:ascii="Century Gothic" w:eastAsia="Calibri" w:hAnsi="Century Gothic" w:cs="Arial"/>
          <w:lang w:val="es-ES"/>
        </w:rPr>
        <w:t>) contratos interadministrativos: concepto y régimen jurídico aplicable.</w:t>
      </w:r>
    </w:p>
    <w:p w14:paraId="4CF186EF" w14:textId="77777777" w:rsidR="00C27830" w:rsidRPr="007777D9" w:rsidRDefault="00C27830" w:rsidP="00C27830">
      <w:pPr>
        <w:spacing w:before="120" w:after="120" w:line="276" w:lineRule="auto"/>
        <w:ind w:firstLine="709"/>
        <w:jc w:val="both"/>
        <w:rPr>
          <w:rFonts w:ascii="Century Gothic" w:eastAsia="Calibri" w:hAnsi="Century Gothic" w:cs="Arial"/>
          <w:lang w:val="es-ES_tradnl" w:eastAsia="es-ES_tradnl"/>
        </w:rPr>
      </w:pPr>
      <w:r w:rsidRPr="007777D9">
        <w:rPr>
          <w:rFonts w:ascii="Century Gothic" w:eastAsia="Calibri" w:hAnsi="Century Gothic" w:cs="Arial"/>
        </w:rPr>
        <w:t xml:space="preserve">La Agencia Nacional de Contratación Pública – Colombia Compra Eficiente, </w:t>
      </w:r>
      <w:r w:rsidRPr="007777D9">
        <w:rPr>
          <w:rFonts w:ascii="Century Gothic" w:eastAsia="Arial" w:hAnsi="Century Gothic" w:cs="Arial"/>
          <w:lang w:val="es-MX" w:eastAsia="es-ES_tradnl"/>
        </w:rPr>
        <w:t xml:space="preserve">ha analizado </w:t>
      </w:r>
      <w:r w:rsidRPr="007777D9">
        <w:rPr>
          <w:rStyle w:val="normaltextrun"/>
          <w:rFonts w:ascii="Century Gothic" w:hAnsi="Century Gothic" w:cs="Arial"/>
          <w:shd w:val="clear" w:color="auto" w:fill="FFFFFF"/>
          <w:lang w:val="es-ES"/>
        </w:rPr>
        <w:t xml:space="preserve">el régimen de las sociedades de economía mixta, entre otros, en los conceptos C- 762 del 6 de enero de 2020 y C-089 del 22 de marzo de 2022, C-147 del 25 de julio de 2023. Adicionalmente, se pronunció </w:t>
      </w:r>
      <w:r w:rsidRPr="007777D9">
        <w:rPr>
          <w:rFonts w:ascii="Century Gothic" w:hAnsi="Century Gothic" w:cs="Arial"/>
          <w:bCs/>
          <w:lang w:val="es-MX"/>
        </w:rPr>
        <w:t>sobre el concepto y régimen jurídico aplicable a los contratos interadministrativos, en los Conceptos:</w:t>
      </w:r>
      <w:r w:rsidRPr="007777D9">
        <w:rPr>
          <w:rFonts w:ascii="Century Gothic" w:hAnsi="Century Gothic" w:cs="Arial"/>
          <w:bCs/>
        </w:rPr>
        <w:t xml:space="preserve"> 4201913000004536 del 27 de julio de 2019, C−023 del 3 de febrero de 2020, C−702 del 11 de diciembre de 2020, C-097 de 23 de marzo de 202, C-350 del 16 de julio de </w:t>
      </w:r>
      <w:r w:rsidRPr="007777D9">
        <w:rPr>
          <w:rFonts w:ascii="Century Gothic" w:hAnsi="Century Gothic" w:cs="Arial"/>
          <w:bCs/>
        </w:rPr>
        <w:lastRenderedPageBreak/>
        <w:t xml:space="preserve">2021, C-352 del 27 de julio de 2021, C-508 del 20 de septiembre de 2021, C-662 del 1 de diciembre de 2021, </w:t>
      </w:r>
      <w:r w:rsidRPr="007777D9">
        <w:rPr>
          <w:rStyle w:val="normaltextrun"/>
          <w:rFonts w:ascii="Century Gothic" w:hAnsi="Century Gothic"/>
          <w:shd w:val="clear" w:color="auto" w:fill="FFFFFF"/>
        </w:rPr>
        <w:t xml:space="preserve">C-168 del 14 de abril de 2021, </w:t>
      </w:r>
      <w:r w:rsidRPr="007777D9">
        <w:rPr>
          <w:rStyle w:val="normaltextrun"/>
          <w:rFonts w:ascii="Century Gothic" w:hAnsi="Century Gothic"/>
          <w:shd w:val="clear" w:color="auto" w:fill="FFFFFF"/>
          <w:lang w:val="es-ES"/>
        </w:rPr>
        <w:t xml:space="preserve">C-585 de 15 de octubre de 2021, C-639 del 14 de marzo de 2021, </w:t>
      </w:r>
      <w:r w:rsidRPr="007777D9">
        <w:rPr>
          <w:rStyle w:val="normaltextrun"/>
          <w:rFonts w:ascii="Century Gothic" w:hAnsi="Century Gothic"/>
          <w:shd w:val="clear" w:color="auto" w:fill="FFFFFF"/>
        </w:rPr>
        <w:t xml:space="preserve">C-664 del 1 de septiembre de 2022, </w:t>
      </w:r>
      <w:r w:rsidRPr="007777D9">
        <w:rPr>
          <w:rStyle w:val="normaltextrun"/>
          <w:rFonts w:ascii="Century Gothic" w:hAnsi="Century Gothic"/>
          <w:shd w:val="clear" w:color="auto" w:fill="FFFFFF"/>
          <w:lang w:val="es-ES"/>
        </w:rPr>
        <w:t>C-771 del 29 de diciembre de 2022, C-056 del 26 de abril de 2023, C-147 del 25 de julio de 2023, C-360 del 12 de septiembre de 2023, C-379 del 19 de octubre de 2023,</w:t>
      </w:r>
      <w:r w:rsidRPr="007777D9">
        <w:rPr>
          <w:rFonts w:ascii="Century Gothic" w:hAnsi="Century Gothic" w:cs="Arial"/>
          <w:bCs/>
        </w:rPr>
        <w:t xml:space="preserve"> entre otros</w:t>
      </w:r>
      <w:r w:rsidRPr="007777D9">
        <w:rPr>
          <w:rFonts w:ascii="Century Gothic" w:hAnsi="Century Gothic" w:cs="Arial"/>
          <w:bCs/>
          <w:vertAlign w:val="superscript"/>
        </w:rPr>
        <w:footnoteReference w:id="2"/>
      </w:r>
      <w:r w:rsidRPr="007777D9">
        <w:rPr>
          <w:rStyle w:val="normaltextrun"/>
          <w:rFonts w:ascii="Century Gothic" w:hAnsi="Century Gothic" w:cs="Arial"/>
          <w:shd w:val="clear" w:color="auto" w:fill="FFFFFF"/>
          <w:lang w:val="es-ES"/>
        </w:rPr>
        <w:t xml:space="preserve">. </w:t>
      </w:r>
      <w:r w:rsidRPr="007777D9">
        <w:rPr>
          <w:rFonts w:ascii="Century Gothic" w:eastAsia="Calibri" w:hAnsi="Century Gothic" w:cs="Arial"/>
          <w:lang w:val="es-ES_tradnl" w:eastAsia="es-ES_tradnl"/>
        </w:rPr>
        <w:t>Algunas de las consideraciones de estos conceptos se reiteran y se complementan en lo pertinente, teniendo en cuenta lo consultado.</w:t>
      </w:r>
    </w:p>
    <w:p w14:paraId="68D26D6B" w14:textId="77777777" w:rsidR="00C27830" w:rsidRPr="007777D9" w:rsidRDefault="00C27830" w:rsidP="00C27830">
      <w:pPr>
        <w:spacing w:after="0" w:line="276" w:lineRule="auto"/>
        <w:ind w:firstLine="709"/>
        <w:jc w:val="both"/>
        <w:rPr>
          <w:rFonts w:ascii="Century Gothic" w:eastAsia="Calibri" w:hAnsi="Century Gothic" w:cs="Arial"/>
          <w:lang w:val="es-ES_tradnl" w:eastAsia="es-ES_tradnl"/>
        </w:rPr>
      </w:pPr>
    </w:p>
    <w:p w14:paraId="6BBC7F9B" w14:textId="77777777" w:rsidR="00C27830" w:rsidRPr="007777D9" w:rsidRDefault="00C27830" w:rsidP="00C27830">
      <w:pPr>
        <w:spacing w:after="0" w:line="276" w:lineRule="auto"/>
        <w:jc w:val="both"/>
        <w:rPr>
          <w:rFonts w:ascii="Century Gothic" w:eastAsia="Calibri" w:hAnsi="Century Gothic" w:cs="Arial"/>
          <w:b/>
          <w:bCs/>
          <w:lang w:val="es-ES_tradnl"/>
        </w:rPr>
      </w:pPr>
      <w:r w:rsidRPr="007777D9">
        <w:rPr>
          <w:rFonts w:ascii="Century Gothic" w:hAnsi="Century Gothic" w:cs="Arial"/>
          <w:b/>
        </w:rPr>
        <w:t xml:space="preserve">2.1. </w:t>
      </w:r>
      <w:r w:rsidRPr="007777D9">
        <w:rPr>
          <w:rFonts w:ascii="Century Gothic" w:eastAsia="Calibri" w:hAnsi="Century Gothic" w:cs="Arial"/>
          <w:b/>
          <w:bCs/>
          <w:lang w:val="es-ES_tradnl"/>
        </w:rPr>
        <w:t>Naturaleza jurídica de las Sociedades de Economía Mixta. Reiteración de línea</w:t>
      </w:r>
    </w:p>
    <w:p w14:paraId="39784011" w14:textId="77777777" w:rsidR="00C27830" w:rsidRPr="007777D9" w:rsidRDefault="00C27830" w:rsidP="00C27830">
      <w:pPr>
        <w:autoSpaceDE w:val="0"/>
        <w:autoSpaceDN w:val="0"/>
        <w:adjustRightInd w:val="0"/>
        <w:spacing w:after="0" w:line="276" w:lineRule="auto"/>
        <w:jc w:val="both"/>
        <w:rPr>
          <w:rFonts w:ascii="Century Gothic" w:hAnsi="Century Gothic" w:cs="Arial"/>
          <w:lang w:val="es-ES_tradnl"/>
        </w:rPr>
      </w:pPr>
    </w:p>
    <w:p w14:paraId="553E8F3C" w14:textId="77777777" w:rsidR="00C27830" w:rsidRPr="007777D9" w:rsidRDefault="00C27830" w:rsidP="00C27830">
      <w:pPr>
        <w:autoSpaceDE w:val="0"/>
        <w:autoSpaceDN w:val="0"/>
        <w:adjustRightInd w:val="0"/>
        <w:spacing w:after="0" w:line="276" w:lineRule="auto"/>
        <w:jc w:val="both"/>
        <w:rPr>
          <w:rFonts w:ascii="Century Gothic" w:hAnsi="Century Gothic" w:cs="Arial"/>
          <w:lang w:val="es-ES_tradnl"/>
        </w:rPr>
      </w:pPr>
      <w:r w:rsidRPr="007777D9">
        <w:rPr>
          <w:rFonts w:ascii="Century Gothic" w:hAnsi="Century Gothic" w:cs="Arial"/>
          <w:lang w:val="es-ES_tradnl"/>
        </w:rPr>
        <w:t>En nuestro ordenamiento jurídico, el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14:paraId="5C09E070" w14:textId="77777777" w:rsidR="00C27830" w:rsidRPr="007777D9" w:rsidRDefault="00C27830" w:rsidP="00C27830">
      <w:pPr>
        <w:spacing w:before="120" w:after="120" w:line="276" w:lineRule="auto"/>
        <w:ind w:firstLine="709"/>
        <w:jc w:val="both"/>
        <w:textAlignment w:val="baseline"/>
        <w:rPr>
          <w:rFonts w:ascii="Century Gothic" w:hAnsi="Century Gothic" w:cs="Arial"/>
          <w:lang w:val="es-ES_tradnl" w:eastAsia="es-MX"/>
        </w:rPr>
      </w:pPr>
      <w:r w:rsidRPr="007777D9">
        <w:rPr>
          <w:rFonts w:ascii="Century Gothic" w:hAnsi="Century Gothic" w:cs="Arial"/>
          <w:lang w:val="es-ES_tradnl" w:eastAsia="es-MX"/>
        </w:rPr>
        <w:t>En este sentido, la misma ley, en los artículos 38 y 68, clasifica a las Sociedades de Economía Mixta como entidades descentralizadas por servicios, con personería jurídica, autonomía administrativa y patrimonio propio</w:t>
      </w:r>
      <w:r w:rsidRPr="007777D9">
        <w:rPr>
          <w:rStyle w:val="Refdenotaalpie"/>
          <w:rFonts w:ascii="Century Gothic" w:hAnsi="Century Gothic" w:cs="Arial"/>
          <w:lang w:val="es-ES_tradnl" w:eastAsia="es-MX"/>
        </w:rPr>
        <w:footnoteReference w:id="3"/>
      </w:r>
      <w:r w:rsidRPr="007777D9">
        <w:rPr>
          <w:rFonts w:ascii="Century Gothic" w:hAnsi="Century Gothic" w:cs="Arial"/>
          <w:lang w:val="es-ES_tradnl" w:eastAsia="es-MX"/>
        </w:rPr>
        <w:t>, que pueden ser del orden nacional, departamental o municipal, según su órgano de creación</w:t>
      </w:r>
      <w:r w:rsidRPr="007777D9">
        <w:rPr>
          <w:rStyle w:val="Refdenotaalpie"/>
          <w:rFonts w:ascii="Century Gothic" w:hAnsi="Century Gothic" w:cs="Arial"/>
          <w:lang w:val="es-ES_tradnl" w:eastAsia="es-MX"/>
        </w:rPr>
        <w:footnoteReference w:id="4"/>
      </w:r>
      <w:r w:rsidRPr="007777D9">
        <w:rPr>
          <w:rFonts w:ascii="Century Gothic" w:hAnsi="Century Gothic" w:cs="Arial"/>
          <w:lang w:val="es-ES_tradnl" w:eastAsia="es-MX"/>
        </w:rPr>
        <w:t xml:space="preserve">. Al respecto, la Corte Constitucional, en sentencias C-736 del 19 de septiembre de 2007, C-118 del 14 de noviembre de 2018 y C-306 del 10 de julio de 2019, ha considerado que las sociedades estudiadas, desde una perspectiva constitucional, se caracterizan por los siguientes rasgos: </w:t>
      </w:r>
    </w:p>
    <w:p w14:paraId="01F41B42" w14:textId="77777777" w:rsidR="00C27830" w:rsidRPr="007777D9" w:rsidRDefault="00C27830" w:rsidP="00C27830">
      <w:pPr>
        <w:spacing w:before="120" w:after="120" w:line="276" w:lineRule="auto"/>
        <w:ind w:firstLine="709"/>
        <w:jc w:val="both"/>
        <w:textAlignment w:val="baseline"/>
        <w:rPr>
          <w:rFonts w:ascii="Century Gothic" w:hAnsi="Century Gothic" w:cs="Arial"/>
          <w:lang w:val="es-ES_tradnl" w:eastAsia="es-MX"/>
        </w:rPr>
      </w:pPr>
      <w:r w:rsidRPr="007777D9">
        <w:rPr>
          <w:rFonts w:ascii="Century Gothic" w:hAnsi="Century Gothic" w:cs="Arial"/>
          <w:lang w:val="es-ES_tradnl" w:eastAsia="es-MX"/>
        </w:rPr>
        <w:lastRenderedPageBreak/>
        <w:t xml:space="preserve">i) pertenecen a la rama ejecutiva del poder público, como manifestación de la descentralización por servicios. Así mismo, </w:t>
      </w:r>
      <w:proofErr w:type="spellStart"/>
      <w:r w:rsidRPr="007777D9">
        <w:rPr>
          <w:rFonts w:ascii="Century Gothic" w:hAnsi="Century Gothic" w:cs="Arial"/>
          <w:lang w:val="es-ES_tradnl" w:eastAsia="es-MX"/>
        </w:rPr>
        <w:t>ii</w:t>
      </w:r>
      <w:proofErr w:type="spellEnd"/>
      <w:r w:rsidRPr="007777D9">
        <w:rPr>
          <w:rFonts w:ascii="Century Gothic" w:hAnsi="Century Gothic" w:cs="Arial"/>
          <w:lang w:val="es-ES_tradnl" w:eastAsia="es-MX"/>
        </w:rPr>
        <w:t xml:space="preserve">) están sujetas al control fiscal, financiero, de gestión y de resultados en cabeza de la Contraloría General de la República. Por otra parte, </w:t>
      </w:r>
      <w:proofErr w:type="spellStart"/>
      <w:r w:rsidRPr="007777D9">
        <w:rPr>
          <w:rFonts w:ascii="Century Gothic" w:hAnsi="Century Gothic" w:cs="Arial"/>
          <w:lang w:val="es-ES_tradnl" w:eastAsia="es-MX"/>
        </w:rPr>
        <w:t>iii</w:t>
      </w:r>
      <w:proofErr w:type="spellEnd"/>
      <w:r w:rsidRPr="007777D9">
        <w:rPr>
          <w:rFonts w:ascii="Century Gothic" w:hAnsi="Century Gothic" w:cs="Arial"/>
          <w:lang w:val="es-ES_tradnl" w:eastAsia="es-MX"/>
        </w:rPr>
        <w:t xml:space="preserve">) se someten al control político, que ejerce directamente el Congreso de la República. Además, </w:t>
      </w:r>
      <w:proofErr w:type="spellStart"/>
      <w:r w:rsidRPr="007777D9">
        <w:rPr>
          <w:rFonts w:ascii="Century Gothic" w:hAnsi="Century Gothic" w:cs="Arial"/>
          <w:lang w:val="es-ES_tradnl" w:eastAsia="es-MX"/>
        </w:rPr>
        <w:t>iv</w:t>
      </w:r>
      <w:proofErr w:type="spellEnd"/>
      <w:r w:rsidRPr="007777D9">
        <w:rPr>
          <w:rFonts w:ascii="Century Gothic" w:hAnsi="Century Gothic" w:cs="Arial"/>
          <w:lang w:val="es-ES_tradnl" w:eastAsia="es-MX"/>
        </w:rPr>
        <w:t xml:space="preserve">) en el caso de las Sociedades de Economía Mixta del orden nacional, le corresponde al Congreso de la República su creación o autorización mediante ley. En cambio, v) en el caso de las de órdenes departamental y municipal, esta misma facultad se les reconoce a las asambleas y concejos. Adicionalmente, vi) a todas las Sociedades de Economía Mixta les son aplicables las inhabilidades para la integración de órganos directivos a que aluden los artículos 180- 3, 292 y 323 de la Constitución Política. A lo anterior debe agregarse que, </w:t>
      </w:r>
      <w:proofErr w:type="spellStart"/>
      <w:r w:rsidRPr="007777D9">
        <w:rPr>
          <w:rFonts w:ascii="Century Gothic" w:hAnsi="Century Gothic" w:cs="Arial"/>
          <w:lang w:val="es-ES_tradnl" w:eastAsia="es-MX"/>
        </w:rPr>
        <w:t>vii</w:t>
      </w:r>
      <w:proofErr w:type="spellEnd"/>
      <w:r w:rsidRPr="007777D9">
        <w:rPr>
          <w:rFonts w:ascii="Century Gothic" w:hAnsi="Century Gothic" w:cs="Arial"/>
          <w:lang w:val="es-ES_tradnl" w:eastAsia="es-MX"/>
        </w:rPr>
        <w:t xml:space="preserve">) en materia presupuestal, las Sociedades de Economía Mixta quedan sujetas a las reglas de la ley orgánica del presupuesto. De otro lado, </w:t>
      </w:r>
      <w:proofErr w:type="spellStart"/>
      <w:r w:rsidRPr="007777D9">
        <w:rPr>
          <w:rFonts w:ascii="Century Gothic" w:hAnsi="Century Gothic" w:cs="Arial"/>
          <w:lang w:val="es-ES_tradnl" w:eastAsia="es-MX"/>
        </w:rPr>
        <w:t>viii</w:t>
      </w:r>
      <w:proofErr w:type="spellEnd"/>
      <w:r w:rsidRPr="007777D9">
        <w:rPr>
          <w:rFonts w:ascii="Century Gothic" w:hAnsi="Century Gothic" w:cs="Arial"/>
          <w:lang w:val="es-ES_tradnl" w:eastAsia="es-MX"/>
        </w:rPr>
        <w:t xml:space="preserve">) en materia contable, quedan vinculadas a las reglas de contabilidad oficial. Además, </w:t>
      </w:r>
      <w:proofErr w:type="spellStart"/>
      <w:r w:rsidRPr="007777D9">
        <w:rPr>
          <w:rFonts w:ascii="Century Gothic" w:hAnsi="Century Gothic" w:cs="Arial"/>
          <w:lang w:val="es-ES_tradnl" w:eastAsia="es-MX"/>
        </w:rPr>
        <w:t>ix</w:t>
      </w:r>
      <w:proofErr w:type="spellEnd"/>
      <w:r w:rsidRPr="007777D9">
        <w:rPr>
          <w:rFonts w:ascii="Century Gothic" w:hAnsi="Century Gothic" w:cs="Arial"/>
          <w:lang w:val="es-ES_tradnl" w:eastAsia="es-MX"/>
        </w:rPr>
        <w:t>) se rigen por el derecho privado, en virtud de la naturaleza de las actividades que desarrollan.  </w:t>
      </w:r>
    </w:p>
    <w:p w14:paraId="0CC65C0A" w14:textId="77777777" w:rsidR="00C27830" w:rsidRPr="007777D9" w:rsidRDefault="00C27830" w:rsidP="00C27830">
      <w:pPr>
        <w:spacing w:after="120" w:line="276" w:lineRule="auto"/>
        <w:ind w:firstLine="709"/>
        <w:jc w:val="both"/>
        <w:textAlignment w:val="baseline"/>
        <w:rPr>
          <w:rFonts w:ascii="Century Gothic" w:hAnsi="Century Gothic" w:cs="Arial"/>
          <w:lang w:val="es-ES_tradnl" w:eastAsia="es-MX"/>
        </w:rPr>
      </w:pPr>
      <w:r w:rsidRPr="007777D9">
        <w:rPr>
          <w:rFonts w:ascii="Century Gothic" w:hAnsi="Century Gothic" w:cs="Arial"/>
          <w:lang w:val="es-ES_tradnl" w:eastAsia="es-MX"/>
        </w:rPr>
        <w:t>Sin embargo, esta Corporación, en sentencia C-529 del 12 de julio de 2006, hizo énfasis en que, a pesar del sometimiento al régimen jurídico de derecho privado para el desarrollo de sus actividades, las Sociedades de Economía Mixta no pierden su carácter de expresión organizacional de la actividad estatal</w:t>
      </w:r>
      <w:r w:rsidRPr="007777D9">
        <w:rPr>
          <w:rStyle w:val="Refdenotaalpie"/>
          <w:rFonts w:ascii="Century Gothic" w:hAnsi="Century Gothic" w:cs="Arial"/>
          <w:lang w:val="es-ES_tradnl" w:eastAsia="es-MX"/>
        </w:rPr>
        <w:footnoteReference w:id="5"/>
      </w:r>
      <w:r w:rsidRPr="007777D9">
        <w:rPr>
          <w:rFonts w:ascii="Century Gothic" w:hAnsi="Century Gothic" w:cs="Arial"/>
          <w:lang w:val="es-ES_tradnl" w:eastAsia="es-MX"/>
        </w:rPr>
        <w:t>, más precisamente de la función administrativa</w:t>
      </w:r>
      <w:r w:rsidRPr="007777D9">
        <w:rPr>
          <w:rStyle w:val="Refdenotaalpie"/>
          <w:rFonts w:ascii="Century Gothic" w:hAnsi="Century Gothic" w:cs="Arial"/>
          <w:lang w:val="es-ES_tradnl" w:eastAsia="es-MX"/>
        </w:rPr>
        <w:footnoteReference w:id="6"/>
      </w:r>
      <w:r w:rsidRPr="007777D9">
        <w:rPr>
          <w:rFonts w:ascii="Century Gothic" w:hAnsi="Century Gothic" w:cs="Arial"/>
          <w:lang w:val="es-ES_tradnl" w:eastAsia="es-MX"/>
        </w:rPr>
        <w:t xml:space="preserve">, en virtud del aporte público en la </w:t>
      </w:r>
      <w:r w:rsidRPr="007777D9">
        <w:rPr>
          <w:rFonts w:ascii="Century Gothic" w:hAnsi="Century Gothic" w:cs="Arial"/>
          <w:lang w:val="es-ES_tradnl" w:eastAsia="es-MX"/>
        </w:rPr>
        <w:lastRenderedPageBreak/>
        <w:t>constitución del capital social y la consiguiente pertenencia a la administración pública, en la condición de entidades descentralizadas.</w:t>
      </w:r>
    </w:p>
    <w:p w14:paraId="30C5B3CB" w14:textId="77777777" w:rsidR="00C27830" w:rsidRPr="007777D9" w:rsidRDefault="00C27830" w:rsidP="00C27830">
      <w:pPr>
        <w:spacing w:line="276" w:lineRule="auto"/>
        <w:ind w:firstLine="709"/>
        <w:jc w:val="both"/>
        <w:textAlignment w:val="baseline"/>
        <w:rPr>
          <w:rFonts w:ascii="Century Gothic" w:hAnsi="Century Gothic" w:cs="Arial"/>
          <w:lang w:val="es-ES_tradnl" w:eastAsia="es-MX"/>
        </w:rPr>
      </w:pPr>
      <w:r w:rsidRPr="007777D9">
        <w:rPr>
          <w:rFonts w:ascii="Century Gothic" w:hAnsi="Century Gothic" w:cs="Arial"/>
          <w:lang w:val="es-ES_tradnl" w:eastAsia="es-MX"/>
        </w:rPr>
        <w:t>En este orden de ideas,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 Y el segundo destinado a regir el desarrollo de la actividad económica de cada sociedad.</w:t>
      </w:r>
    </w:p>
    <w:p w14:paraId="2B8F3A25" w14:textId="77777777" w:rsidR="00C27830" w:rsidRPr="007777D9" w:rsidRDefault="00C27830" w:rsidP="00C27830">
      <w:pPr>
        <w:spacing w:before="120" w:after="120" w:line="276" w:lineRule="auto"/>
        <w:ind w:firstLine="709"/>
        <w:jc w:val="both"/>
        <w:textAlignment w:val="baseline"/>
        <w:rPr>
          <w:rFonts w:ascii="Century Gothic" w:hAnsi="Century Gothic" w:cs="Arial"/>
          <w:lang w:val="es-ES_tradnl" w:eastAsia="es-MX"/>
        </w:rPr>
      </w:pPr>
      <w:r w:rsidRPr="007777D9">
        <w:rPr>
          <w:rFonts w:ascii="Century Gothic" w:hAnsi="Century Gothic" w:cs="Arial"/>
          <w:lang w:val="es-ES_tradnl" w:eastAsia="es-MX"/>
        </w:rPr>
        <w:t>Ahora bien, conviene analizar el régimen aplicable para los actos y contratos que celebran estas entidades. Al respecto, el literal a), del artículo 2 de la Ley 80 de 1993, señala que son Entidades Estatales las Sociedades de Economía mixta en las que el Estado tenga participación superior al cincuenta por ciento (50%)</w:t>
      </w:r>
      <w:r w:rsidRPr="007777D9">
        <w:rPr>
          <w:rStyle w:val="Refdenotaalpie"/>
          <w:rFonts w:ascii="Century Gothic" w:hAnsi="Century Gothic" w:cs="Arial"/>
          <w:lang w:val="es-ES_tradnl" w:eastAsia="es-MX"/>
        </w:rPr>
        <w:footnoteReference w:id="7"/>
      </w:r>
      <w:r w:rsidRPr="007777D9">
        <w:rPr>
          <w:rFonts w:ascii="Century Gothic" w:hAnsi="Century Gothic" w:cs="Arial"/>
          <w:lang w:val="es-ES_tradnl" w:eastAsia="es-MX"/>
        </w:rPr>
        <w:t>. Esto significa que el legislador, en el año 1993, estableció que las Sociedades de Economía Mixta donde el Estado tenga participación superior al cincuenta por ciento (50%) están sujetos al EGCAP.</w:t>
      </w:r>
    </w:p>
    <w:p w14:paraId="30B66C01" w14:textId="77777777" w:rsidR="00C27830" w:rsidRPr="007777D9" w:rsidRDefault="00C27830" w:rsidP="00C27830">
      <w:pPr>
        <w:spacing w:before="120" w:after="120" w:line="276" w:lineRule="auto"/>
        <w:ind w:firstLine="709"/>
        <w:jc w:val="both"/>
        <w:textAlignment w:val="baseline"/>
        <w:rPr>
          <w:rFonts w:ascii="Century Gothic" w:hAnsi="Century Gothic" w:cs="Arial"/>
          <w:lang w:val="es-ES_tradnl" w:eastAsia="es-MX"/>
        </w:rPr>
      </w:pPr>
      <w:r w:rsidRPr="007777D9">
        <w:rPr>
          <w:rFonts w:ascii="Century Gothic" w:hAnsi="Century Gothic" w:cs="Arial"/>
          <w:lang w:val="es-ES_tradnl" w:eastAsia="es-MX"/>
        </w:rPr>
        <w:t>Frente al particular, el Consejo de Estado, en el concepto 1127 del 10 de diciembre de 2004, estableció que del análisis de esta norma se concluye que: “si la participación estatal en una sociedad de economía mixta es superior al cincuenta por ciento (50%) de su capital, ya no le aplica el derecho privado, como es la regla general, sino el Estatuto General de Contratación de la Administración Pública”</w:t>
      </w:r>
      <w:r w:rsidRPr="007777D9">
        <w:rPr>
          <w:rStyle w:val="Refdenotaalpie"/>
          <w:rFonts w:ascii="Century Gothic" w:hAnsi="Century Gothic" w:cs="Arial"/>
          <w:lang w:val="es-ES_tradnl" w:eastAsia="es-MX"/>
        </w:rPr>
        <w:footnoteReference w:id="8"/>
      </w:r>
      <w:r w:rsidRPr="007777D9">
        <w:rPr>
          <w:rFonts w:ascii="Century Gothic" w:hAnsi="Century Gothic" w:cs="Arial"/>
          <w:lang w:val="es-ES_tradnl" w:eastAsia="es-MX"/>
        </w:rPr>
        <w:t xml:space="preserve">. Es claro, entonces, que las Sociedades de Economía Mixta con participación estatal superior al cincuenta por ciento (50%) se rigen en materia </w:t>
      </w:r>
      <w:r w:rsidRPr="007777D9">
        <w:rPr>
          <w:rFonts w:ascii="Century Gothic" w:hAnsi="Century Gothic" w:cs="Arial"/>
          <w:lang w:val="es-ES_tradnl" w:eastAsia="es-MX"/>
        </w:rPr>
        <w:lastRenderedPageBreak/>
        <w:t xml:space="preserve">contractual por la Ley 80 de 1993, de acuerdo con la libertad de configuración del legislador en la materia. </w:t>
      </w:r>
    </w:p>
    <w:p w14:paraId="615A3A4A" w14:textId="77777777" w:rsidR="00C27830" w:rsidRPr="007777D9" w:rsidRDefault="00C27830" w:rsidP="00C27830">
      <w:pPr>
        <w:spacing w:before="120" w:after="120" w:line="276" w:lineRule="auto"/>
        <w:ind w:firstLine="709"/>
        <w:jc w:val="both"/>
        <w:textAlignment w:val="baseline"/>
        <w:rPr>
          <w:rFonts w:ascii="Century Gothic" w:hAnsi="Century Gothic" w:cs="Arial"/>
          <w:lang w:val="es-ES_tradnl" w:eastAsia="es-MX"/>
        </w:rPr>
      </w:pPr>
      <w:r w:rsidRPr="007777D9">
        <w:rPr>
          <w:rFonts w:ascii="Century Gothic" w:hAnsi="Century Gothic" w:cs="Arial"/>
          <w:lang w:val="es-ES_tradnl" w:eastAsia="es-MX"/>
        </w:rPr>
        <w:t>Sin embargo, actualmente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Pr="007777D9">
        <w:rPr>
          <w:rStyle w:val="Refdenotaalpie"/>
          <w:rFonts w:ascii="Century Gothic" w:hAnsi="Century Gothic" w:cs="Arial"/>
          <w:lang w:val="es-ES_tradnl" w:eastAsia="es-MX"/>
        </w:rPr>
        <w:footnoteReference w:id="9"/>
      </w:r>
      <w:r w:rsidRPr="007777D9">
        <w:rPr>
          <w:rFonts w:ascii="Century Gothic" w:hAnsi="Century Gothic" w:cs="Arial"/>
          <w:lang w:val="es-ES_tradnl" w:eastAsia="es-MX"/>
        </w:rPr>
        <w:t>. En otras palabras, el legislador estableció que las Sociedades de Economía Mixta en las que el Estado tenga participación superior al cincuenta por ciento (50%), cuando se encuentran en competencia con el sector privado o público, nacional o internacional o desarrollan su actividad en mercados regulados estarán sometidos al derecho privado.</w:t>
      </w:r>
    </w:p>
    <w:p w14:paraId="5D7B1BDC" w14:textId="77777777" w:rsidR="00C27830" w:rsidRPr="007777D9" w:rsidRDefault="00C27830" w:rsidP="00C27830">
      <w:pPr>
        <w:spacing w:before="120" w:after="0" w:line="276" w:lineRule="auto"/>
        <w:ind w:firstLine="709"/>
        <w:jc w:val="both"/>
        <w:textAlignment w:val="baseline"/>
        <w:rPr>
          <w:rFonts w:ascii="Century Gothic" w:hAnsi="Century Gothic" w:cs="Arial"/>
          <w:lang w:val="es-ES_tradnl" w:eastAsia="es-MX"/>
        </w:rPr>
      </w:pPr>
      <w:r w:rsidRPr="007777D9">
        <w:rPr>
          <w:rFonts w:ascii="Century Gothic" w:hAnsi="Century Gothic" w:cs="Arial"/>
          <w:lang w:val="es-ES_tradnl" w:eastAsia="es-MX"/>
        </w:rPr>
        <w:t>Así las cosas, 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p>
    <w:p w14:paraId="56E8A987" w14:textId="77777777" w:rsidR="00C27830" w:rsidRPr="007777D9" w:rsidRDefault="00C27830" w:rsidP="00C27830">
      <w:pPr>
        <w:spacing w:after="0" w:line="240" w:lineRule="auto"/>
        <w:rPr>
          <w:rFonts w:ascii="Century Gothic" w:hAnsi="Century Gothic" w:cs="Arial"/>
          <w:b/>
        </w:rPr>
      </w:pPr>
    </w:p>
    <w:p w14:paraId="36BC7B62" w14:textId="77777777" w:rsidR="00C27830" w:rsidRPr="007777D9" w:rsidRDefault="00C27830" w:rsidP="00C27830">
      <w:pPr>
        <w:spacing w:after="0" w:line="276" w:lineRule="auto"/>
        <w:jc w:val="both"/>
        <w:rPr>
          <w:rFonts w:ascii="Century Gothic" w:hAnsi="Century Gothic" w:cs="Arial"/>
          <w:b/>
          <w:lang w:val="es-ES_tradnl"/>
        </w:rPr>
      </w:pPr>
      <w:r w:rsidRPr="007777D9">
        <w:rPr>
          <w:rFonts w:ascii="Century Gothic" w:hAnsi="Century Gothic" w:cs="Arial"/>
          <w:b/>
          <w:bCs/>
        </w:rPr>
        <w:t>2.</w:t>
      </w:r>
      <w:r>
        <w:rPr>
          <w:rFonts w:ascii="Century Gothic" w:hAnsi="Century Gothic" w:cs="Arial"/>
          <w:b/>
          <w:bCs/>
        </w:rPr>
        <w:t>2</w:t>
      </w:r>
      <w:r w:rsidRPr="007777D9">
        <w:rPr>
          <w:rFonts w:ascii="Century Gothic" w:hAnsi="Century Gothic" w:cs="Arial"/>
          <w:b/>
          <w:bCs/>
        </w:rPr>
        <w:t xml:space="preserve">. </w:t>
      </w:r>
      <w:r w:rsidRPr="007777D9">
        <w:rPr>
          <w:rFonts w:ascii="Century Gothic" w:hAnsi="Century Gothic" w:cs="Arial"/>
          <w:b/>
          <w:lang w:val="es-ES_tradnl"/>
        </w:rPr>
        <w:t>Contratos interadministrativos: concepto y régimen jurídico aplicable. Reiteración de línea</w:t>
      </w:r>
    </w:p>
    <w:p w14:paraId="77D6222F" w14:textId="77777777" w:rsidR="00C27830" w:rsidRPr="007777D9" w:rsidRDefault="00C27830" w:rsidP="00C27830">
      <w:pPr>
        <w:spacing w:after="0" w:line="276" w:lineRule="auto"/>
        <w:jc w:val="both"/>
        <w:rPr>
          <w:rFonts w:ascii="Century Gothic" w:hAnsi="Century Gothic" w:cs="Arial"/>
          <w:b/>
          <w:lang w:val="es-ES_tradnl"/>
        </w:rPr>
      </w:pPr>
    </w:p>
    <w:p w14:paraId="6CEA5F21" w14:textId="77777777" w:rsidR="00C27830" w:rsidRPr="007777D9" w:rsidRDefault="00C27830" w:rsidP="00C27830">
      <w:pPr>
        <w:spacing w:after="0" w:line="276" w:lineRule="auto"/>
        <w:jc w:val="both"/>
        <w:rPr>
          <w:rFonts w:ascii="Century Gothic" w:hAnsi="Century Gothic" w:cs="Arial"/>
          <w:lang w:val="es-ES_tradnl"/>
        </w:rPr>
      </w:pPr>
      <w:r w:rsidRPr="007777D9">
        <w:rPr>
          <w:rFonts w:ascii="Century Gothic" w:hAnsi="Century Gothic" w:cs="Arial"/>
          <w:lang w:val="es-ES_tradnl"/>
        </w:rPr>
        <w:t>La contratación estatal constituye un instrumento a través del cual las entidades públicas realizan el aprovisionamiento de sus bienes, obras y servicios, con el propósito de satisfacer las necesidades e intereses colectivos</w:t>
      </w:r>
      <w:r w:rsidRPr="007777D9">
        <w:rPr>
          <w:rFonts w:ascii="Century Gothic" w:hAnsi="Century Gothic" w:cs="Arial"/>
          <w:vertAlign w:val="superscript"/>
        </w:rPr>
        <w:footnoteReference w:id="10"/>
      </w:r>
      <w:r w:rsidRPr="007777D9">
        <w:rPr>
          <w:rFonts w:ascii="Century Gothic" w:hAnsi="Century Gothic" w:cs="Arial"/>
          <w:lang w:val="es-ES_tradnl"/>
        </w:rPr>
        <w:t>. Para este propósito se sirve de la colaboración de los particulares o de otras entidades que integran la administración pública.</w:t>
      </w:r>
    </w:p>
    <w:p w14:paraId="76507124" w14:textId="77777777" w:rsidR="00C27830" w:rsidRPr="007777D9" w:rsidRDefault="00C27830" w:rsidP="00C27830">
      <w:pPr>
        <w:spacing w:before="120" w:after="0" w:line="276" w:lineRule="auto"/>
        <w:ind w:firstLine="708"/>
        <w:jc w:val="both"/>
        <w:rPr>
          <w:rFonts w:ascii="Century Gothic" w:hAnsi="Century Gothic" w:cs="Arial"/>
          <w:lang w:val="es-ES_tradnl"/>
        </w:rPr>
      </w:pPr>
      <w:r w:rsidRPr="007777D9">
        <w:rPr>
          <w:rFonts w:ascii="Century Gothic" w:hAnsi="Century Gothic" w:cs="Arial"/>
        </w:rPr>
        <w:t>Cuando se trata de contratos celebrados por dos Entidades Estatales, tales negocios jurídicos se han denominado como interadministrativos, en el entendido de que son celebrados entre entidades públicas. En efecto, la doctrina ha señalado que “se denominan contratos interadministrativos los contratos bilaterales celebrados entre dos entidades estatales”</w:t>
      </w:r>
      <w:r w:rsidRPr="007777D9">
        <w:rPr>
          <w:rFonts w:ascii="Century Gothic" w:hAnsi="Century Gothic" w:cs="Arial"/>
          <w:vertAlign w:val="superscript"/>
        </w:rPr>
        <w:footnoteReference w:id="11"/>
      </w:r>
      <w:r w:rsidRPr="007777D9">
        <w:rPr>
          <w:rFonts w:ascii="Century Gothic" w:hAnsi="Century Gothic" w:cs="Arial"/>
        </w:rPr>
        <w:t xml:space="preserve">. </w:t>
      </w:r>
      <w:r w:rsidRPr="007777D9">
        <w:rPr>
          <w:rFonts w:ascii="Century Gothic" w:hAnsi="Century Gothic" w:cs="Arial"/>
          <w:lang w:val="es-ES_tradnl"/>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7777D9">
        <w:rPr>
          <w:rFonts w:ascii="Century Gothic" w:hAnsi="Century Gothic" w:cs="Arial"/>
          <w:vertAlign w:val="superscript"/>
          <w:lang w:val="es-ES_tradnl"/>
        </w:rPr>
        <w:footnoteReference w:id="12"/>
      </w:r>
      <w:r w:rsidRPr="007777D9">
        <w:rPr>
          <w:rFonts w:ascii="Century Gothic" w:hAnsi="Century Gothic" w:cs="Arial"/>
          <w:lang w:val="es-ES_tradn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07117189" w14:textId="77777777" w:rsidR="00C27830" w:rsidRPr="007777D9" w:rsidRDefault="00C27830" w:rsidP="00C27830">
      <w:pPr>
        <w:spacing w:before="120" w:after="0" w:line="276" w:lineRule="auto"/>
        <w:ind w:firstLine="708"/>
        <w:jc w:val="both"/>
        <w:rPr>
          <w:rFonts w:ascii="Century Gothic" w:hAnsi="Century Gothic" w:cs="Arial"/>
          <w:lang w:val="es-ES_tradnl"/>
        </w:rPr>
      </w:pPr>
      <w:r w:rsidRPr="007777D9">
        <w:rPr>
          <w:rFonts w:ascii="Century Gothic" w:hAnsi="Century Gothic" w:cs="Arial"/>
          <w:lang w:val="es-ES_tradnl"/>
        </w:rPr>
        <w:t xml:space="preserve">Si bien los contratos o convenios interadministrativos están previstos en la Ley 80 de 1993, en la Ley 1150 de 2007 y en el Decreto en el 1082 de 2015, no quiere decir que solo puedan celebrarse entre Entidades Estatales que apliquen el </w:t>
      </w:r>
      <w:r w:rsidRPr="007777D9">
        <w:rPr>
          <w:rFonts w:ascii="Century Gothic" w:hAnsi="Century Gothic" w:cs="Arial"/>
          <w:lang w:val="es-ES_tradnl"/>
        </w:rPr>
        <w:lastRenderedPageBreak/>
        <w:t>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p>
    <w:p w14:paraId="433D4732" w14:textId="77777777" w:rsidR="00C27830" w:rsidRPr="007777D9" w:rsidRDefault="00C27830" w:rsidP="00C27830">
      <w:pPr>
        <w:spacing w:before="120" w:after="0" w:line="276" w:lineRule="auto"/>
        <w:ind w:firstLine="708"/>
        <w:jc w:val="both"/>
        <w:rPr>
          <w:rFonts w:ascii="Century Gothic" w:hAnsi="Century Gothic" w:cs="Arial"/>
          <w:lang w:val="es-ES_tradnl"/>
        </w:rPr>
      </w:pPr>
      <w:r w:rsidRPr="007777D9">
        <w:rPr>
          <w:rFonts w:ascii="Century Gothic" w:hAnsi="Century Gothic" w:cs="Arial"/>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7777D9">
        <w:rPr>
          <w:rFonts w:ascii="Century Gothic" w:hAnsi="Century Gothic" w:cs="Arial"/>
          <w:vertAlign w:val="superscript"/>
          <w:lang w:val="es-ES_tradnl"/>
        </w:rPr>
        <w:footnoteReference w:id="13"/>
      </w:r>
      <w:r w:rsidRPr="007777D9">
        <w:rPr>
          <w:rFonts w:ascii="Century Gothic" w:hAnsi="Century Gothic" w:cs="Arial"/>
          <w:lang w:val="es-ES_tradnl"/>
        </w:rPr>
        <w:t>. Nótese que, en este caso, lo que cambia es la modalidad de selección y no la naturaleza de contrato interadministrativo.</w:t>
      </w:r>
    </w:p>
    <w:p w14:paraId="20E12C5F" w14:textId="77777777" w:rsidR="00C27830" w:rsidRPr="007777D9" w:rsidRDefault="00C27830" w:rsidP="00C27830">
      <w:pPr>
        <w:spacing w:before="120" w:after="0" w:line="276" w:lineRule="auto"/>
        <w:ind w:firstLine="708"/>
        <w:jc w:val="both"/>
        <w:rPr>
          <w:rFonts w:ascii="Century Gothic" w:hAnsi="Century Gothic" w:cs="Arial"/>
          <w:lang w:val="es-ES_tradnl"/>
        </w:rPr>
      </w:pPr>
      <w:r w:rsidRPr="007777D9">
        <w:rPr>
          <w:rFonts w:ascii="Century Gothic" w:hAnsi="Century Gothic" w:cs="Arial"/>
          <w:lang w:val="es-ES_tradnl"/>
        </w:rPr>
        <w:t>Además, es necesario tener en cuenta que para que un contrato o convenio interadministrativo exista debe cumplir con los siguientes elementos: acuerdo sobre el objeto y la contraprestación y que conste por escrito</w:t>
      </w:r>
      <w:r w:rsidRPr="007777D9">
        <w:rPr>
          <w:rFonts w:ascii="Century Gothic" w:hAnsi="Century Gothic" w:cs="Arial"/>
          <w:vertAlign w:val="superscript"/>
          <w:lang w:val="es-ES_tradnl"/>
        </w:rPr>
        <w:footnoteReference w:id="14"/>
      </w:r>
      <w:r w:rsidRPr="007777D9">
        <w:rPr>
          <w:rFonts w:ascii="Century Gothic" w:hAnsi="Century Gothic" w:cs="Arial"/>
          <w:lang w:val="es-ES_tradnl"/>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796FFEDE" w14:textId="77777777" w:rsidR="00C27830" w:rsidRPr="007777D9" w:rsidRDefault="00C27830" w:rsidP="00C27830">
      <w:pPr>
        <w:spacing w:before="120" w:after="0" w:line="276" w:lineRule="auto"/>
        <w:ind w:firstLine="708"/>
        <w:jc w:val="both"/>
        <w:rPr>
          <w:rFonts w:ascii="Century Gothic" w:hAnsi="Century Gothic" w:cs="Arial"/>
          <w:lang w:val="es-ES_tradnl"/>
        </w:rPr>
      </w:pPr>
      <w:r w:rsidRPr="007777D9">
        <w:rPr>
          <w:rFonts w:ascii="Century Gothic" w:hAnsi="Century Gothic" w:cs="Arial"/>
          <w:lang w:val="es-ES_tradnl"/>
        </w:rPr>
        <w:t xml:space="preserve">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atendiendo a la literalidad de las normas enunciadas, no </w:t>
      </w:r>
      <w:r w:rsidRPr="007777D9">
        <w:rPr>
          <w:rFonts w:ascii="Century Gothic" w:hAnsi="Century Gothic" w:cs="Arial"/>
          <w:lang w:val="es-ES_tradnl"/>
        </w:rPr>
        <w:lastRenderedPageBreak/>
        <w:t>cabe una interpretación diferente</w:t>
      </w:r>
      <w:r w:rsidRPr="007777D9">
        <w:rPr>
          <w:rFonts w:ascii="Century Gothic" w:hAnsi="Century Gothic" w:cs="Arial"/>
          <w:vertAlign w:val="superscript"/>
          <w:lang w:val="es-ES_tradnl"/>
        </w:rPr>
        <w:footnoteReference w:id="15"/>
      </w:r>
      <w:r w:rsidRPr="007777D9">
        <w:rPr>
          <w:rFonts w:ascii="Century Gothic" w:hAnsi="Century Gothic" w:cs="Arial"/>
          <w:lang w:val="es-ES_tradnl"/>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589179FE" w14:textId="77777777" w:rsidR="00C27830" w:rsidRPr="007777D9" w:rsidRDefault="00C27830" w:rsidP="00C27830">
      <w:pPr>
        <w:spacing w:after="0" w:line="276" w:lineRule="auto"/>
        <w:ind w:firstLine="709"/>
        <w:jc w:val="both"/>
        <w:rPr>
          <w:rFonts w:ascii="Century Gothic" w:hAnsi="Century Gothic" w:cs="Arial"/>
          <w:lang w:val="es-ES_tradnl"/>
        </w:rPr>
      </w:pPr>
    </w:p>
    <w:p w14:paraId="6001DC1D" w14:textId="77777777" w:rsidR="00C27830" w:rsidRPr="007777D9" w:rsidRDefault="00C27830" w:rsidP="00C27830">
      <w:pPr>
        <w:spacing w:after="0" w:line="240" w:lineRule="auto"/>
        <w:ind w:left="709" w:right="709"/>
        <w:jc w:val="both"/>
        <w:rPr>
          <w:rFonts w:ascii="Century Gothic" w:hAnsi="Century Gothic" w:cs="Arial"/>
          <w:sz w:val="21"/>
          <w:szCs w:val="21"/>
          <w:lang w:val="es-ES_tradnl"/>
        </w:rPr>
      </w:pPr>
      <w:r w:rsidRPr="007777D9">
        <w:rPr>
          <w:rFonts w:ascii="Century Gothic" w:hAnsi="Century Gothic" w:cs="Arial"/>
          <w:sz w:val="21"/>
          <w:szCs w:val="21"/>
          <w:lang w:val="es-ES_tradnl"/>
        </w:rPr>
        <w:t>“[…] se puede señalar que los convenios o contratos interadministrativos tienen como características principales las siguientes:</w:t>
      </w:r>
    </w:p>
    <w:p w14:paraId="42663261" w14:textId="77777777" w:rsidR="00C27830" w:rsidRPr="007777D9" w:rsidRDefault="00C27830" w:rsidP="00C27830">
      <w:pPr>
        <w:spacing w:before="120" w:after="0" w:line="240" w:lineRule="auto"/>
        <w:ind w:left="709" w:right="709"/>
        <w:jc w:val="both"/>
        <w:rPr>
          <w:rFonts w:ascii="Century Gothic" w:hAnsi="Century Gothic" w:cs="Arial"/>
          <w:sz w:val="21"/>
          <w:szCs w:val="21"/>
          <w:lang w:val="es-ES_tradnl"/>
        </w:rPr>
      </w:pPr>
      <w:r w:rsidRPr="007777D9">
        <w:rPr>
          <w:rFonts w:ascii="Century Gothic" w:hAnsi="Century Gothic" w:cs="Arial"/>
          <w:sz w:val="21"/>
          <w:szCs w:val="21"/>
          <w:lang w:val="es-ES_tradnl"/>
        </w:rPr>
        <w:t>(i) constituyen verdaderos contratos en los términos del Código de Comercio cuando su objeto lo constituyen obligaciones patrimoniales; (</w:t>
      </w:r>
      <w:proofErr w:type="spellStart"/>
      <w:r w:rsidRPr="007777D9">
        <w:rPr>
          <w:rFonts w:ascii="Century Gothic" w:hAnsi="Century Gothic" w:cs="Arial"/>
          <w:sz w:val="21"/>
          <w:szCs w:val="21"/>
          <w:lang w:val="es-ES_tradnl"/>
        </w:rPr>
        <w:t>ii</w:t>
      </w:r>
      <w:proofErr w:type="spellEnd"/>
      <w:r w:rsidRPr="007777D9">
        <w:rPr>
          <w:rFonts w:ascii="Century Gothic" w:hAnsi="Century Gothic" w:cs="Arial"/>
          <w:sz w:val="21"/>
          <w:szCs w:val="21"/>
          <w:lang w:val="es-ES_tradnl"/>
        </w:rPr>
        <w:t>) tienen como fuente la autonomía contractual; (</w:t>
      </w:r>
      <w:proofErr w:type="spellStart"/>
      <w:r w:rsidRPr="007777D9">
        <w:rPr>
          <w:rFonts w:ascii="Century Gothic" w:hAnsi="Century Gothic" w:cs="Arial"/>
          <w:sz w:val="21"/>
          <w:szCs w:val="21"/>
          <w:lang w:val="es-ES_tradnl"/>
        </w:rPr>
        <w:t>iii</w:t>
      </w:r>
      <w:proofErr w:type="spellEnd"/>
      <w:r w:rsidRPr="007777D9">
        <w:rPr>
          <w:rFonts w:ascii="Century Gothic" w:hAnsi="Century Gothic" w:cs="Arial"/>
          <w:sz w:val="21"/>
          <w:szCs w:val="21"/>
          <w:lang w:val="es-ES_tradnl"/>
        </w:rPr>
        <w:t>) son contratos nominados puesto que están mencionados en la ley; (</w:t>
      </w:r>
      <w:proofErr w:type="spellStart"/>
      <w:r w:rsidRPr="007777D9">
        <w:rPr>
          <w:rFonts w:ascii="Century Gothic" w:hAnsi="Century Gothic" w:cs="Arial"/>
          <w:sz w:val="21"/>
          <w:szCs w:val="21"/>
          <w:lang w:val="es-ES_tradnl"/>
        </w:rPr>
        <w:t>iv</w:t>
      </w:r>
      <w:proofErr w:type="spellEnd"/>
      <w:r w:rsidRPr="007777D9">
        <w:rPr>
          <w:rFonts w:ascii="Century Gothic" w:hAnsi="Century Gothic" w:cs="Arial"/>
          <w:sz w:val="21"/>
          <w:szCs w:val="21"/>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7777D9">
        <w:rPr>
          <w:rFonts w:ascii="Century Gothic" w:hAnsi="Century Gothic" w:cs="Arial"/>
          <w:sz w:val="21"/>
          <w:szCs w:val="21"/>
          <w:lang w:val="es-ES_tradnl"/>
        </w:rPr>
        <w:t>vii</w:t>
      </w:r>
      <w:proofErr w:type="spellEnd"/>
      <w:r w:rsidRPr="007777D9">
        <w:rPr>
          <w:rFonts w:ascii="Century Gothic" w:hAnsi="Century Gothic" w:cs="Arial"/>
          <w:sz w:val="21"/>
          <w:szCs w:val="21"/>
          <w:lang w:val="es-ES_tradnl"/>
        </w:rPr>
        <w:t>) persiguen una finalidad común a través de la realización de intereses compartidos entre las entidades vinculadas; (</w:t>
      </w:r>
      <w:proofErr w:type="spellStart"/>
      <w:r w:rsidRPr="007777D9">
        <w:rPr>
          <w:rFonts w:ascii="Century Gothic" w:hAnsi="Century Gothic" w:cs="Arial"/>
          <w:sz w:val="21"/>
          <w:szCs w:val="21"/>
          <w:lang w:val="es-ES_tradnl"/>
        </w:rPr>
        <w:t>viii</w:t>
      </w:r>
      <w:proofErr w:type="spellEnd"/>
      <w:r w:rsidRPr="007777D9">
        <w:rPr>
          <w:rFonts w:ascii="Century Gothic" w:hAnsi="Century Gothic" w:cs="Arial"/>
          <w:sz w:val="21"/>
          <w:szCs w:val="21"/>
          <w:lang w:val="es-ES_tradnl"/>
        </w:rPr>
        <w:t>) la acción mediante la cual se deben ventilar las diferencias que sobre el particular surjan es la de controversias contractuales”</w:t>
      </w:r>
      <w:r w:rsidRPr="007777D9">
        <w:rPr>
          <w:rFonts w:ascii="Century Gothic" w:hAnsi="Century Gothic" w:cs="Arial"/>
          <w:sz w:val="21"/>
          <w:szCs w:val="21"/>
          <w:vertAlign w:val="superscript"/>
          <w:lang w:val="es-ES_tradnl"/>
        </w:rPr>
        <w:footnoteReference w:id="16"/>
      </w:r>
      <w:r w:rsidRPr="007777D9">
        <w:rPr>
          <w:rFonts w:ascii="Century Gothic" w:hAnsi="Century Gothic" w:cs="Arial"/>
          <w:sz w:val="21"/>
          <w:szCs w:val="21"/>
          <w:lang w:val="es-ES_tradnl"/>
        </w:rPr>
        <w:t>.</w:t>
      </w:r>
    </w:p>
    <w:p w14:paraId="65A79804" w14:textId="77777777" w:rsidR="00C27830" w:rsidRPr="007777D9" w:rsidRDefault="00C27830" w:rsidP="00C27830">
      <w:pPr>
        <w:spacing w:after="0" w:line="276" w:lineRule="auto"/>
        <w:ind w:firstLine="709"/>
        <w:jc w:val="both"/>
        <w:rPr>
          <w:rFonts w:ascii="Century Gothic" w:hAnsi="Century Gothic" w:cs="Arial"/>
          <w:lang w:val="es-ES_tradnl"/>
        </w:rPr>
      </w:pPr>
    </w:p>
    <w:p w14:paraId="697FB70E" w14:textId="77777777" w:rsidR="00C27830" w:rsidRPr="007777D9" w:rsidRDefault="00C27830" w:rsidP="00C27830">
      <w:pPr>
        <w:spacing w:after="0" w:line="276" w:lineRule="auto"/>
        <w:ind w:firstLine="709"/>
        <w:jc w:val="both"/>
        <w:rPr>
          <w:rFonts w:ascii="Century Gothic" w:hAnsi="Century Gothic" w:cs="Arial"/>
          <w:lang w:val="es-ES_tradnl"/>
        </w:rPr>
      </w:pPr>
      <w:bookmarkStart w:id="8" w:name="_Hlk160035331"/>
      <w:r w:rsidRPr="007777D9">
        <w:rPr>
          <w:rFonts w:ascii="Century Gothic" w:hAnsi="Century Gothic" w:cs="Arial"/>
          <w:lang w:val="es-ES_tradnl"/>
        </w:rPr>
        <w:t xml:space="preserve">En relación con la modalidad de selección aplicable a la celebración de contratos y/o convenios interadministrativos,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w:t>
      </w:r>
      <w:bookmarkEnd w:id="8"/>
      <w:r w:rsidRPr="007777D9">
        <w:rPr>
          <w:rFonts w:ascii="Century Gothic" w:hAnsi="Century Gothic" w:cs="Arial"/>
          <w:lang w:val="es-ES_tradnl"/>
        </w:rPr>
        <w:t xml:space="preserve">De esta manera, el artículo 2, numeral 4, literal c), de la mencionada ley –modificado por el artículo 92 de la Ley 1474 de 2011–, estableció lo siguiente: </w:t>
      </w:r>
    </w:p>
    <w:p w14:paraId="639E799D" w14:textId="77777777" w:rsidR="00C27830" w:rsidRPr="007777D9" w:rsidRDefault="00C27830" w:rsidP="00C27830">
      <w:pPr>
        <w:spacing w:after="0" w:line="276" w:lineRule="auto"/>
        <w:ind w:firstLine="709"/>
        <w:jc w:val="both"/>
        <w:rPr>
          <w:rFonts w:ascii="Century Gothic" w:hAnsi="Century Gothic" w:cs="Arial"/>
          <w:lang w:val="es-ES_tradnl"/>
        </w:rPr>
      </w:pPr>
    </w:p>
    <w:p w14:paraId="51AC5A98" w14:textId="77777777" w:rsidR="00C27830" w:rsidRPr="007777D9" w:rsidRDefault="00C27830" w:rsidP="00C27830">
      <w:pPr>
        <w:spacing w:before="120" w:after="0" w:line="240" w:lineRule="auto"/>
        <w:ind w:left="709" w:right="709"/>
        <w:jc w:val="both"/>
        <w:rPr>
          <w:rFonts w:ascii="Century Gothic" w:hAnsi="Century Gothic" w:cs="Arial"/>
          <w:sz w:val="20"/>
          <w:szCs w:val="20"/>
        </w:rPr>
      </w:pPr>
      <w:r w:rsidRPr="007777D9">
        <w:rPr>
          <w:rFonts w:ascii="Century Gothic" w:hAnsi="Century Gothic" w:cs="Arial"/>
          <w:sz w:val="20"/>
          <w:szCs w:val="20"/>
          <w:lang w:val="es-ES_tradnl"/>
        </w:rPr>
        <w:t xml:space="preserve">“[…] </w:t>
      </w:r>
      <w:r w:rsidRPr="007777D9">
        <w:rPr>
          <w:rFonts w:ascii="Century Gothic" w:hAnsi="Century Gothic" w:cs="Arial"/>
          <w:sz w:val="20"/>
          <w:szCs w:val="20"/>
        </w:rPr>
        <w:t xml:space="preserve">c) Contratos interadministrativos, siempre que las obligaciones derivadas del mismo tengan relación directa con el objeto de la entidad ejecutora señalado en la ley o en sus reglamentos. </w:t>
      </w:r>
    </w:p>
    <w:p w14:paraId="5C1C5BE6" w14:textId="77777777" w:rsidR="00C27830" w:rsidRPr="007777D9" w:rsidRDefault="00C27830" w:rsidP="00C27830">
      <w:pPr>
        <w:spacing w:before="120" w:after="0" w:line="240" w:lineRule="auto"/>
        <w:ind w:left="709" w:right="709"/>
        <w:jc w:val="both"/>
        <w:rPr>
          <w:rFonts w:ascii="Century Gothic" w:hAnsi="Century Gothic" w:cs="Arial"/>
          <w:sz w:val="20"/>
          <w:szCs w:val="20"/>
        </w:rPr>
      </w:pPr>
      <w:r w:rsidRPr="007777D9">
        <w:rPr>
          <w:rFonts w:ascii="Century Gothic" w:hAnsi="Century Gothic" w:cs="Arial"/>
          <w:sz w:val="20"/>
          <w:szCs w:val="20"/>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46FE68DC" w14:textId="77777777" w:rsidR="00C27830" w:rsidRPr="007777D9" w:rsidRDefault="00C27830" w:rsidP="00C27830">
      <w:pPr>
        <w:spacing w:before="120" w:after="0" w:line="240" w:lineRule="auto"/>
        <w:ind w:left="709" w:right="709"/>
        <w:jc w:val="both"/>
        <w:rPr>
          <w:rFonts w:ascii="Century Gothic" w:hAnsi="Century Gothic" w:cs="Arial"/>
          <w:sz w:val="20"/>
          <w:szCs w:val="20"/>
        </w:rPr>
      </w:pPr>
      <w:r w:rsidRPr="007777D9">
        <w:rPr>
          <w:rFonts w:ascii="Century Gothic" w:hAnsi="Century Gothic" w:cs="Arial"/>
          <w:sz w:val="20"/>
          <w:szCs w:val="20"/>
        </w:rPr>
        <w:t>En aquellos eventos en que el régimen aplicable a la contratación de la entidad ejecutora no sea el de la Ley </w:t>
      </w:r>
      <w:hyperlink r:id="rId11" w:anchor="1" w:history="1">
        <w:r w:rsidRPr="007777D9">
          <w:rPr>
            <w:rStyle w:val="Hipervnculo"/>
            <w:rFonts w:ascii="Century Gothic" w:hAnsi="Century Gothic" w:cs="Arial"/>
            <w:sz w:val="20"/>
            <w:szCs w:val="20"/>
          </w:rPr>
          <w:t>80</w:t>
        </w:r>
      </w:hyperlink>
      <w:r w:rsidRPr="007777D9">
        <w:rPr>
          <w:rFonts w:ascii="Century Gothic" w:hAnsi="Century Gothic" w:cs="Arial"/>
          <w:sz w:val="20"/>
          <w:szCs w:val="20"/>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2909A5C0" w14:textId="77777777" w:rsidR="00C27830" w:rsidRPr="007777D9" w:rsidRDefault="00C27830" w:rsidP="00C27830">
      <w:pPr>
        <w:spacing w:before="120" w:after="0" w:line="240" w:lineRule="auto"/>
        <w:ind w:left="709" w:right="709"/>
        <w:jc w:val="both"/>
        <w:rPr>
          <w:rFonts w:ascii="Century Gothic" w:hAnsi="Century Gothic" w:cs="Arial"/>
          <w:iCs/>
          <w:sz w:val="20"/>
          <w:szCs w:val="20"/>
        </w:rPr>
      </w:pPr>
      <w:r w:rsidRPr="007777D9">
        <w:rPr>
          <w:rFonts w:ascii="Century Gothic" w:hAnsi="Century Gothic" w:cs="Arial"/>
          <w:iCs/>
          <w:sz w:val="20"/>
          <w:szCs w:val="20"/>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72288AD1" w14:textId="77777777" w:rsidR="00C27830" w:rsidRPr="007777D9" w:rsidRDefault="00C27830" w:rsidP="00C27830">
      <w:pPr>
        <w:spacing w:before="120" w:after="0" w:line="240" w:lineRule="auto"/>
        <w:ind w:left="709" w:right="709"/>
        <w:jc w:val="both"/>
        <w:rPr>
          <w:rFonts w:ascii="Century Gothic" w:hAnsi="Century Gothic" w:cs="Arial"/>
          <w:sz w:val="20"/>
          <w:szCs w:val="20"/>
        </w:rPr>
      </w:pPr>
      <w:r w:rsidRPr="007777D9">
        <w:rPr>
          <w:rFonts w:ascii="Century Gothic" w:hAnsi="Century Gothic" w:cs="Arial"/>
          <w:sz w:val="20"/>
          <w:szCs w:val="20"/>
        </w:rPr>
        <w:t>Estarán exceptuados de la figura del contrato interadministrativo, los contratos de seguro de las entidades estatales”.</w:t>
      </w:r>
    </w:p>
    <w:p w14:paraId="18626C7D" w14:textId="77777777" w:rsidR="00C27830" w:rsidRPr="007777D9" w:rsidRDefault="00C27830" w:rsidP="00C27830">
      <w:pPr>
        <w:spacing w:after="0" w:line="276" w:lineRule="auto"/>
        <w:ind w:firstLine="709"/>
        <w:jc w:val="both"/>
        <w:rPr>
          <w:rFonts w:ascii="Century Gothic" w:hAnsi="Century Gothic" w:cs="Arial"/>
          <w:lang w:val="es-ES_tradnl"/>
        </w:rPr>
      </w:pPr>
    </w:p>
    <w:p w14:paraId="12E8B4EE" w14:textId="77777777" w:rsidR="00C27830" w:rsidRPr="007777D9" w:rsidRDefault="00C27830" w:rsidP="00C27830">
      <w:pPr>
        <w:spacing w:after="0" w:line="276" w:lineRule="auto"/>
        <w:ind w:firstLine="709"/>
        <w:jc w:val="both"/>
        <w:rPr>
          <w:rFonts w:ascii="Century Gothic" w:hAnsi="Century Gothic" w:cs="Arial"/>
          <w:lang w:val="es-ES_tradnl"/>
        </w:rPr>
      </w:pPr>
      <w:bookmarkStart w:id="9" w:name="_Hlk160035428"/>
      <w:r w:rsidRPr="007777D9">
        <w:rPr>
          <w:rFonts w:ascii="Century Gothic" w:hAnsi="Century Gothic" w:cs="Arial"/>
          <w:lang w:val="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14:paraId="0471C6D0" w14:textId="77777777" w:rsidR="00C27830" w:rsidRPr="007777D9" w:rsidRDefault="00C27830" w:rsidP="00C27830">
      <w:pPr>
        <w:spacing w:before="120" w:after="0" w:line="276" w:lineRule="auto"/>
        <w:ind w:firstLine="708"/>
        <w:jc w:val="both"/>
        <w:rPr>
          <w:rFonts w:ascii="Century Gothic" w:hAnsi="Century Gothic" w:cs="Arial"/>
          <w:lang w:val="es-ES_tradnl"/>
        </w:rPr>
      </w:pPr>
      <w:r w:rsidRPr="007777D9">
        <w:rPr>
          <w:rFonts w:ascii="Century Gothic" w:hAnsi="Century Gothic" w:cs="Arial"/>
          <w:lang w:val="es-ES_tradnl"/>
        </w:rPr>
        <w:t xml:space="preserve">De otro lado, se encuentra que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w:t>
      </w:r>
      <w:r w:rsidRPr="007777D9">
        <w:rPr>
          <w:rFonts w:ascii="Century Gothic" w:hAnsi="Century Gothic" w:cs="Arial"/>
          <w:lang w:val="es-ES_tradnl"/>
        </w:rPr>
        <w:lastRenderedPageBreak/>
        <w:t>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tratándose de “contratos de obra, suministro, prestación de servicios de evaluación de conformidad respecto de las normas o reglamentos técnicos, encargos fiduciarios y fiducia pública”. En esos supuestos específicos deberán adelantarse procesos competitivos, de acuerdo con las demás modalidades de selección establecidas en el Estatuto General de Contratación de la Administración Pública, en adelante EGCAP, en los cuales dichas entidades podrían participar en igualdad de condiciones e, incluso, resultar adjudicatarias.</w:t>
      </w:r>
    </w:p>
    <w:bookmarkEnd w:id="9"/>
    <w:p w14:paraId="1BE4BD75" w14:textId="77777777" w:rsidR="00C27830" w:rsidRPr="007777D9" w:rsidRDefault="00C27830" w:rsidP="00C27830">
      <w:pPr>
        <w:spacing w:before="120" w:after="0" w:line="276" w:lineRule="auto"/>
        <w:ind w:firstLine="708"/>
        <w:jc w:val="both"/>
        <w:rPr>
          <w:rFonts w:ascii="Century Gothic" w:hAnsi="Century Gothic" w:cs="Arial"/>
        </w:rPr>
      </w:pPr>
      <w:r w:rsidRPr="007777D9">
        <w:rPr>
          <w:rFonts w:ascii="Century Gothic" w:hAnsi="Century Gothic" w:cs="Arial"/>
          <w:lang w:val="es-ES_tradnl"/>
        </w:rPr>
        <w:t xml:space="preserve">Finalmente, cabe destacar que de conformidad con lo dispuesto en el inciso tercero de la norma objeto de análisis, </w:t>
      </w:r>
      <w:r w:rsidRPr="007777D9">
        <w:rPr>
          <w:rFonts w:ascii="Century Gothic" w:hAnsi="Century Gothic" w:cs="Arial"/>
          <w:bCs/>
        </w:rPr>
        <w:t>la ejecución</w:t>
      </w:r>
      <w:r w:rsidRPr="007777D9">
        <w:rPr>
          <w:rFonts w:ascii="Century Gothic" w:hAnsi="Century Gothic" w:cs="Arial"/>
        </w:rPr>
        <w:t xml:space="preserve"> de los contratos interadministrativos quedó sometida por regla general al EGCAP, salvo los casos en que la entidad ejecutora actúa en régimen de competencia con el sector privado o cuando el contrato tenga relación directa con su actividad. En otras palabras, la ejecución del respectivo contrato interadministrativo podrá hacerse bajo unas normas distintas a las dispuestas en el EGCAP si existe una relación inmediata entre el objeto del contrato y la actividad propia de la entidad ejecutora.</w:t>
      </w:r>
    </w:p>
    <w:p w14:paraId="3144E535" w14:textId="77777777" w:rsidR="00C27830" w:rsidRPr="007777D9" w:rsidRDefault="00C27830" w:rsidP="00C27830">
      <w:pPr>
        <w:spacing w:before="120" w:after="0" w:line="276" w:lineRule="auto"/>
        <w:ind w:firstLine="708"/>
        <w:jc w:val="both"/>
        <w:rPr>
          <w:rFonts w:ascii="Century Gothic" w:hAnsi="Century Gothic" w:cs="Arial"/>
        </w:rPr>
      </w:pPr>
      <w:r w:rsidRPr="007777D9">
        <w:rPr>
          <w:rFonts w:ascii="Century Gothic" w:hAnsi="Century Gothic" w:cs="Arial"/>
        </w:rPr>
        <w:t>Aunado a la verificación de las condiciones anteriormente descritas, las entidades públicas también deben garantizar el cumplimiento de los principios de transparencia y selección objetiva</w:t>
      </w:r>
      <w:r w:rsidRPr="007777D9">
        <w:rPr>
          <w:rFonts w:ascii="Century Gothic" w:hAnsi="Century Gothic" w:cs="Arial"/>
          <w:vertAlign w:val="superscript"/>
        </w:rPr>
        <w:footnoteReference w:id="17"/>
      </w:r>
      <w:r w:rsidRPr="007777D9">
        <w:rPr>
          <w:rFonts w:ascii="Century Gothic" w:hAnsi="Century Gothic" w:cs="Arial"/>
        </w:rPr>
        <w:t xml:space="preserve">. Así lo ha señalado de manera unánime la jurisprudencia de la Sección Tercera del Consejo de Estado, en el sentido de que independiente de modalidad de selección, esto es mediante la contratación directa o un mecanismo competitivo, </w:t>
      </w:r>
      <w:proofErr w:type="gramStart"/>
      <w:r w:rsidRPr="007777D9">
        <w:rPr>
          <w:rFonts w:ascii="Century Gothic" w:hAnsi="Century Gothic" w:cs="Arial"/>
        </w:rPr>
        <w:t>la celebración de los contratos del Estado deben</w:t>
      </w:r>
      <w:proofErr w:type="gramEnd"/>
      <w:r w:rsidRPr="007777D9">
        <w:rPr>
          <w:rFonts w:ascii="Century Gothic" w:hAnsi="Century Gothic" w:cs="Arial"/>
        </w:rPr>
        <w:t xml:space="preserve"> estar orientados por los principios de la contratación estatal, siendo uno de ellos el de transparencia y selección objetiva</w:t>
      </w:r>
      <w:r w:rsidRPr="007777D9">
        <w:rPr>
          <w:rFonts w:ascii="Century Gothic" w:hAnsi="Century Gothic" w:cs="Arial"/>
          <w:vertAlign w:val="superscript"/>
        </w:rPr>
        <w:footnoteReference w:id="18"/>
      </w:r>
      <w:r w:rsidRPr="007777D9">
        <w:rPr>
          <w:rFonts w:ascii="Century Gothic" w:hAnsi="Century Gothic" w:cs="Arial"/>
        </w:rPr>
        <w:t xml:space="preserve">. </w:t>
      </w:r>
    </w:p>
    <w:p w14:paraId="3B19E278" w14:textId="77777777" w:rsidR="00C27830" w:rsidRPr="007777D9" w:rsidRDefault="00C27830" w:rsidP="00C27830">
      <w:pPr>
        <w:spacing w:after="0" w:line="276" w:lineRule="auto"/>
        <w:ind w:firstLine="708"/>
        <w:jc w:val="both"/>
        <w:rPr>
          <w:rFonts w:ascii="Century Gothic" w:hAnsi="Century Gothic" w:cs="Arial"/>
        </w:rPr>
      </w:pPr>
    </w:p>
    <w:p w14:paraId="6B11E29E" w14:textId="77777777" w:rsidR="00C27830" w:rsidRPr="007777D9" w:rsidRDefault="00C27830" w:rsidP="00C27830">
      <w:pPr>
        <w:widowControl w:val="0"/>
        <w:autoSpaceDE w:val="0"/>
        <w:autoSpaceDN w:val="0"/>
        <w:spacing w:after="0" w:line="276" w:lineRule="auto"/>
        <w:jc w:val="both"/>
        <w:rPr>
          <w:rFonts w:ascii="Century Gothic" w:eastAsia="Arial" w:hAnsi="Century Gothic" w:cs="Arial"/>
          <w:b/>
          <w:lang w:val="es-ES_tradnl"/>
        </w:rPr>
      </w:pPr>
      <w:r w:rsidRPr="007777D9">
        <w:rPr>
          <w:rFonts w:ascii="Century Gothic" w:eastAsia="Arial" w:hAnsi="Century Gothic" w:cs="Arial"/>
          <w:b/>
          <w:lang w:val="es-ES_tradnl"/>
        </w:rPr>
        <w:t>3. Respuestas</w:t>
      </w:r>
    </w:p>
    <w:p w14:paraId="282FBD1D" w14:textId="77777777" w:rsidR="00C27830" w:rsidRPr="007777D9" w:rsidRDefault="00C27830" w:rsidP="00C27830">
      <w:pPr>
        <w:widowControl w:val="0"/>
        <w:autoSpaceDE w:val="0"/>
        <w:autoSpaceDN w:val="0"/>
        <w:spacing w:after="0" w:line="276" w:lineRule="auto"/>
        <w:jc w:val="both"/>
        <w:rPr>
          <w:rFonts w:ascii="Century Gothic" w:eastAsia="Arial" w:hAnsi="Century Gothic" w:cs="Arial"/>
          <w:b/>
          <w:lang w:val="es-ES_tradnl"/>
        </w:rPr>
      </w:pPr>
    </w:p>
    <w:p w14:paraId="4A76C2CC" w14:textId="77777777" w:rsidR="00C27830" w:rsidRPr="007777D9" w:rsidRDefault="00C27830" w:rsidP="00C27830">
      <w:pPr>
        <w:spacing w:after="0" w:line="240" w:lineRule="auto"/>
        <w:ind w:left="709" w:right="709"/>
        <w:jc w:val="both"/>
        <w:rPr>
          <w:rFonts w:ascii="Century Gothic" w:hAnsi="Century Gothic" w:cs="Arial"/>
          <w:sz w:val="21"/>
          <w:szCs w:val="21"/>
        </w:rPr>
      </w:pPr>
      <w:r w:rsidRPr="007777D9">
        <w:rPr>
          <w:rFonts w:ascii="Century Gothic" w:hAnsi="Century Gothic" w:cs="Arial"/>
          <w:i/>
          <w:iCs/>
          <w:sz w:val="21"/>
          <w:szCs w:val="21"/>
          <w:lang w:val="es-ES_tradnl"/>
        </w:rPr>
        <w:lastRenderedPageBreak/>
        <w:t>“</w:t>
      </w:r>
      <w:r w:rsidRPr="007777D9">
        <w:rPr>
          <w:rFonts w:ascii="Century Gothic" w:hAnsi="Century Gothic" w:cs="Arial"/>
          <w:sz w:val="21"/>
          <w:szCs w:val="21"/>
        </w:rPr>
        <w:t xml:space="preserve">1. ¿Las entidades territoriales pueden realizar un nombramiento libre o contratar directamente de manera directa a empresas, organizaciones sin ánimo de lucro o de economía mixta para realizar funciones de asesoría directa de la entidad territorial (alcaldías, gobernaciones, </w:t>
      </w:r>
      <w:proofErr w:type="spellStart"/>
      <w:r w:rsidRPr="007777D9">
        <w:rPr>
          <w:rFonts w:ascii="Century Gothic" w:hAnsi="Century Gothic" w:cs="Arial"/>
          <w:sz w:val="21"/>
          <w:szCs w:val="21"/>
        </w:rPr>
        <w:t>etc</w:t>
      </w:r>
      <w:proofErr w:type="spellEnd"/>
      <w:r w:rsidRPr="007777D9">
        <w:rPr>
          <w:rFonts w:ascii="Century Gothic" w:hAnsi="Century Gothic" w:cs="Arial"/>
          <w:sz w:val="21"/>
          <w:szCs w:val="21"/>
        </w:rPr>
        <w:t>) debe ser persona natural?” [sic]</w:t>
      </w:r>
    </w:p>
    <w:p w14:paraId="491BEDF7" w14:textId="77777777" w:rsidR="00C27830" w:rsidRPr="007777D9" w:rsidRDefault="00C27830" w:rsidP="00C27830">
      <w:pPr>
        <w:spacing w:after="0" w:line="240" w:lineRule="auto"/>
        <w:ind w:right="709"/>
        <w:jc w:val="both"/>
        <w:rPr>
          <w:rFonts w:ascii="Century Gothic" w:hAnsi="Century Gothic" w:cs="Arial"/>
          <w:sz w:val="21"/>
          <w:szCs w:val="21"/>
        </w:rPr>
      </w:pPr>
    </w:p>
    <w:p w14:paraId="4F84FF1C" w14:textId="77777777" w:rsidR="00C27830" w:rsidRPr="007777D9" w:rsidRDefault="00C27830" w:rsidP="00C27830">
      <w:pPr>
        <w:spacing w:after="0" w:line="276" w:lineRule="auto"/>
        <w:jc w:val="both"/>
        <w:rPr>
          <w:rFonts w:ascii="Century Gothic" w:hAnsi="Century Gothic" w:cs="Arial"/>
        </w:rPr>
      </w:pPr>
      <w:r w:rsidRPr="007777D9">
        <w:rPr>
          <w:rFonts w:ascii="Century Gothic" w:hAnsi="Century Gothic" w:cs="Arial"/>
        </w:rPr>
        <w:t xml:space="preserve">De conformidad con lo expuesto en este concepto, se itera que la Agencia Nacional de Contratación Pública – Colombia Compra Eficiente,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p>
    <w:p w14:paraId="3C3BC1F8" w14:textId="77777777" w:rsidR="00C27830" w:rsidRPr="007777D9" w:rsidRDefault="00C27830" w:rsidP="00C27830">
      <w:pPr>
        <w:spacing w:before="120" w:after="0" w:line="276" w:lineRule="auto"/>
        <w:ind w:firstLine="709"/>
        <w:jc w:val="both"/>
        <w:rPr>
          <w:rFonts w:ascii="Century Gothic" w:hAnsi="Century Gothic" w:cs="Arial"/>
        </w:rPr>
      </w:pPr>
      <w:r w:rsidRPr="007777D9">
        <w:rPr>
          <w:rFonts w:ascii="Century Gothic" w:hAnsi="Century Gothic" w:cs="Arial"/>
        </w:rPr>
        <w:t>En ese contexto, es pertinente indicar que Colombia Compra Eficiente,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7777D9">
        <w:rPr>
          <w:rFonts w:ascii="Arial" w:hAnsi="Arial" w:cs="Arial"/>
        </w:rPr>
        <w:t> </w:t>
      </w:r>
      <w:r w:rsidRPr="007777D9">
        <w:rPr>
          <w:rFonts w:ascii="Century Gothic" w:hAnsi="Century Gothic" w:cs="Arial"/>
        </w:rPr>
        <w:t>Por ello, serán las entidades públicas, de conformidad con disposiciones jurídicas que les sean aplicables, las competentes para determinar en cada caso particular y concreto, la forma en la que adelantarán la contratación de los servicios que requieran.</w:t>
      </w:r>
    </w:p>
    <w:p w14:paraId="5B8D170A" w14:textId="77777777" w:rsidR="00C27830" w:rsidRPr="007777D9" w:rsidRDefault="00C27830" w:rsidP="00C27830">
      <w:pPr>
        <w:spacing w:after="0" w:line="240" w:lineRule="auto"/>
        <w:ind w:left="709" w:right="709"/>
        <w:jc w:val="both"/>
        <w:rPr>
          <w:rFonts w:ascii="Century Gothic" w:hAnsi="Century Gothic" w:cs="Arial"/>
          <w:sz w:val="21"/>
          <w:szCs w:val="21"/>
          <w:lang w:val="es-ES_tradnl"/>
        </w:rPr>
      </w:pPr>
    </w:p>
    <w:p w14:paraId="4EB9D391" w14:textId="77777777" w:rsidR="00C27830" w:rsidRPr="007777D9" w:rsidRDefault="00C27830" w:rsidP="00C27830">
      <w:pPr>
        <w:spacing w:after="0" w:line="240" w:lineRule="auto"/>
        <w:ind w:left="709" w:right="709"/>
        <w:jc w:val="both"/>
        <w:rPr>
          <w:rFonts w:ascii="Century Gothic" w:hAnsi="Century Gothic" w:cs="Arial"/>
          <w:sz w:val="21"/>
          <w:szCs w:val="21"/>
          <w:lang w:val="es-ES_tradnl"/>
        </w:rPr>
      </w:pPr>
      <w:r w:rsidRPr="007777D9">
        <w:rPr>
          <w:rFonts w:ascii="Century Gothic" w:hAnsi="Century Gothic" w:cs="Arial"/>
          <w:sz w:val="21"/>
          <w:szCs w:val="21"/>
          <w:lang w:val="es-ES_tradnl"/>
        </w:rPr>
        <w:t>“2. Art. 2 de la Ley 1150 de 2007, Art. 92 de la Ley 1474 de 2011 y Ley 2195 de 2022, refieren que la contratación directa en modalidad de convenio interadministrativo podrá realizarse siempre y cuando la entidad de economía mixta o demás, y la entidad estatal sean afines en sus objetos y funciones […].</w:t>
      </w:r>
    </w:p>
    <w:p w14:paraId="49F641F5" w14:textId="77777777" w:rsidR="00C27830" w:rsidRPr="007777D9" w:rsidRDefault="00C27830" w:rsidP="00C27830">
      <w:pPr>
        <w:spacing w:before="120" w:after="0" w:line="240" w:lineRule="auto"/>
        <w:ind w:left="709" w:right="709"/>
        <w:jc w:val="both"/>
        <w:rPr>
          <w:rFonts w:ascii="Century Gothic" w:hAnsi="Century Gothic" w:cs="Arial"/>
          <w:sz w:val="21"/>
          <w:szCs w:val="21"/>
          <w:lang w:val="es-ES_tradnl"/>
        </w:rPr>
      </w:pPr>
      <w:r w:rsidRPr="007777D9">
        <w:rPr>
          <w:rFonts w:ascii="Century Gothic" w:hAnsi="Century Gothic" w:cs="Arial"/>
          <w:sz w:val="21"/>
          <w:szCs w:val="21"/>
          <w:lang w:val="es-ES_tradnl"/>
        </w:rPr>
        <w:t>A) Quisiera que se explicara y se ampliara más sobre este punto, en especial, lo referente a la contratación directa bajo la modalidad de convenio interadministrativo entre dos o más entidades públicas (pública-publica) o entidad pública y de economías mixtas (pública-mixta)</w:t>
      </w:r>
    </w:p>
    <w:p w14:paraId="074D3D82" w14:textId="77777777" w:rsidR="00C27830" w:rsidRPr="007777D9" w:rsidRDefault="00C27830" w:rsidP="00C27830">
      <w:pPr>
        <w:spacing w:before="120" w:after="0" w:line="240" w:lineRule="auto"/>
        <w:ind w:left="709" w:right="709"/>
        <w:jc w:val="both"/>
        <w:rPr>
          <w:rFonts w:ascii="Century Gothic" w:hAnsi="Century Gothic" w:cs="Arial"/>
          <w:sz w:val="21"/>
          <w:szCs w:val="21"/>
          <w:lang w:val="es-ES_tradnl"/>
        </w:rPr>
      </w:pPr>
      <w:r w:rsidRPr="007777D9">
        <w:rPr>
          <w:rFonts w:ascii="Century Gothic" w:hAnsi="Century Gothic" w:cs="Arial"/>
          <w:sz w:val="21"/>
          <w:szCs w:val="21"/>
          <w:lang w:val="es-ES_tradnl"/>
        </w:rPr>
        <w:t xml:space="preserve">B) Además, quisiera por favor, que se ampliara y explicara más sobre las excepciones para contratos de obra civil, suministro y demás excepciones que indica la normatividad frente a la modalidad de selección directa por convenio interadministrativo ¿es posible realizar una contratación directa de convenio interadministrativo entre entidad pública – otra(s) publica(s); entidad pública y de economía mixta y, </w:t>
      </w:r>
      <w:r w:rsidRPr="007777D9">
        <w:rPr>
          <w:rFonts w:ascii="Century Gothic" w:hAnsi="Century Gothic" w:cs="Arial"/>
          <w:sz w:val="21"/>
          <w:szCs w:val="21"/>
          <w:lang w:val="es-ES_tradnl"/>
        </w:rPr>
        <w:lastRenderedPageBreak/>
        <w:t>entidad pública – entidad sin ánimo de lucro con asociados públicos? ¿Bajo qué condiciones se tiene permitido hacer? (Ejemplo: la participación de los fondos de la entidad mixta, entre otros)”. [sic]</w:t>
      </w:r>
    </w:p>
    <w:p w14:paraId="393D4E1D" w14:textId="77777777" w:rsidR="00C27830" w:rsidRPr="007777D9" w:rsidRDefault="00C27830" w:rsidP="00C27830">
      <w:pPr>
        <w:spacing w:after="0" w:line="240" w:lineRule="auto"/>
        <w:ind w:left="709" w:right="709"/>
        <w:jc w:val="both"/>
        <w:rPr>
          <w:rFonts w:ascii="Century Gothic" w:hAnsi="Century Gothic" w:cs="Arial"/>
          <w:sz w:val="21"/>
          <w:szCs w:val="21"/>
          <w:lang w:val="es-ES_tradnl"/>
        </w:rPr>
      </w:pPr>
    </w:p>
    <w:p w14:paraId="7FEA769D" w14:textId="77777777" w:rsidR="00C27830" w:rsidRPr="007777D9" w:rsidRDefault="00C27830" w:rsidP="00C27830">
      <w:pPr>
        <w:spacing w:after="0" w:line="276" w:lineRule="auto"/>
        <w:ind w:firstLine="709"/>
        <w:jc w:val="both"/>
        <w:rPr>
          <w:rFonts w:ascii="Century Gothic" w:hAnsi="Century Gothic" w:cs="Arial"/>
          <w:lang w:val="es-ES_tradnl"/>
        </w:rPr>
      </w:pPr>
      <w:r w:rsidRPr="007777D9">
        <w:rPr>
          <w:rFonts w:ascii="Century Gothic" w:hAnsi="Century Gothic" w:cs="Arial"/>
          <w:lang w:val="es-ES_tradnl"/>
        </w:rPr>
        <w:t>Como se indicó en este concepto, pese a que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p>
    <w:p w14:paraId="60D55B32" w14:textId="77777777" w:rsidR="00C27830" w:rsidRPr="007777D9" w:rsidRDefault="00C27830" w:rsidP="00C27830">
      <w:pPr>
        <w:spacing w:before="120" w:after="0" w:line="276" w:lineRule="auto"/>
        <w:ind w:firstLine="709"/>
        <w:jc w:val="both"/>
        <w:rPr>
          <w:rFonts w:ascii="Century Gothic" w:hAnsi="Century Gothic" w:cs="Arial"/>
          <w:lang w:val="es-ES_tradnl"/>
        </w:rPr>
      </w:pPr>
      <w:r w:rsidRPr="007777D9">
        <w:rPr>
          <w:rFonts w:ascii="Century Gothic" w:hAnsi="Century Gothic" w:cs="Arial"/>
          <w:lang w:val="es-ES_tradnl"/>
        </w:rPr>
        <w:t>Ahora bien, en lo que respecta a la modalidad de selección aplicable a la celebración de contratos o convenios interadministrativos,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w:t>
      </w:r>
    </w:p>
    <w:p w14:paraId="7418783C" w14:textId="77777777" w:rsidR="00C27830" w:rsidRPr="007777D9" w:rsidRDefault="00C27830" w:rsidP="00C27830">
      <w:pPr>
        <w:spacing w:before="120" w:after="0" w:line="276" w:lineRule="auto"/>
        <w:ind w:firstLine="709"/>
        <w:jc w:val="both"/>
        <w:rPr>
          <w:rFonts w:ascii="Century Gothic" w:hAnsi="Century Gothic" w:cs="Arial"/>
          <w:lang w:val="es-ES_tradnl"/>
        </w:rPr>
      </w:pPr>
      <w:r w:rsidRPr="007777D9">
        <w:rPr>
          <w:rFonts w:ascii="Century Gothic" w:hAnsi="Century Gothic" w:cs="Arial"/>
          <w:lang w:val="es-ES_tradnl"/>
        </w:rPr>
        <w:t xml:space="preserve">Particularmente, el inciso segundo del literal c, del numeral 4, del artículo 2 de la Ley 1150 de 2007, establece una limitación a la contratación directa dirigida a los supuestos en que las </w:t>
      </w:r>
      <w:r w:rsidRPr="00A0482C">
        <w:rPr>
          <w:rFonts w:ascii="Century Gothic" w:hAnsi="Century Gothic" w:cs="Arial"/>
          <w:i/>
          <w:iCs/>
          <w:lang w:val="es-ES_tradnl"/>
        </w:rPr>
        <w:t>“instituciones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Pr="007777D9">
        <w:rPr>
          <w:rFonts w:ascii="Century Gothic" w:hAnsi="Century Gothic" w:cs="Arial"/>
          <w:lang w:val="es-ES_tradnl"/>
        </w:rPr>
        <w:t xml:space="preserve"> De manera que cuando ellas sean las ejecutoras, no se pueden celebrar contratos interadministrativos de manera directa, utilizando la causal del literal c) </w:t>
      </w:r>
      <w:r w:rsidRPr="007777D9">
        <w:rPr>
          <w:rFonts w:ascii="Century Gothic" w:hAnsi="Century Gothic" w:cs="Arial"/>
          <w:i/>
          <w:iCs/>
          <w:lang w:val="es-ES_tradnl"/>
        </w:rPr>
        <w:t>ibídem</w:t>
      </w:r>
      <w:r w:rsidRPr="007777D9">
        <w:rPr>
          <w:rFonts w:ascii="Century Gothic" w:hAnsi="Century Gothic" w:cs="Arial"/>
          <w:lang w:val="es-ES_tradnl"/>
        </w:rPr>
        <w:t>, tratándose de “contratos de obra, suministro, prestación de servicios de evaluación de conformidad respecto de las normas o reglamentos técnicos, encargos fiduciarios y fiducia pública”. En esos supuestos específicos deberán adelantarse procesos competitivos, de acuerdo con las demás modalidades de selección establecidas en el Estatuto General de Contratación de la Administración Pública, en adelante EGCAP, en los cuales dichas entidades podrían participar en igualdad de condiciones e, incluso, resultar adjudicatarias.</w:t>
      </w:r>
    </w:p>
    <w:p w14:paraId="69C9854A" w14:textId="77777777" w:rsidR="00C27830" w:rsidRPr="007777D9" w:rsidRDefault="00C27830" w:rsidP="00C27830">
      <w:pPr>
        <w:spacing w:after="0" w:line="276" w:lineRule="auto"/>
        <w:jc w:val="both"/>
        <w:rPr>
          <w:rFonts w:ascii="Century Gothic" w:hAnsi="Century Gothic" w:cs="Arial"/>
          <w:lang w:val="es-ES_tradnl"/>
        </w:rPr>
      </w:pPr>
    </w:p>
    <w:p w14:paraId="730B4C82" w14:textId="77777777" w:rsidR="00C27830" w:rsidRPr="007777D9" w:rsidRDefault="00C27830" w:rsidP="00C27830">
      <w:pPr>
        <w:spacing w:after="0" w:line="276" w:lineRule="auto"/>
        <w:jc w:val="both"/>
        <w:rPr>
          <w:rFonts w:ascii="Century Gothic" w:hAnsi="Century Gothic" w:cs="Arial"/>
          <w:shd w:val="clear" w:color="auto" w:fill="FFFFFF"/>
          <w:lang w:val="es-MX"/>
        </w:rPr>
      </w:pPr>
      <w:r w:rsidRPr="007777D9">
        <w:rPr>
          <w:rFonts w:ascii="Century Gothic" w:hAnsi="Century Gothic" w:cs="Arial"/>
          <w:lang w:val="es-ES_tradnl"/>
        </w:rPr>
        <w:lastRenderedPageBreak/>
        <w:t>Este concepto tiene el alcance previsto en el artículo 28 del Código de Procedimiento Administrativo y de lo Contencioso Administrativo.</w:t>
      </w:r>
    </w:p>
    <w:bookmarkEnd w:id="0"/>
    <w:p w14:paraId="13831542" w14:textId="77777777" w:rsidR="00C27830" w:rsidRPr="007777D9" w:rsidRDefault="00C27830" w:rsidP="00C27830">
      <w:pPr>
        <w:spacing w:before="120" w:after="0" w:line="276" w:lineRule="auto"/>
        <w:jc w:val="both"/>
        <w:rPr>
          <w:rFonts w:ascii="Century Gothic" w:hAnsi="Century Gothic" w:cs="Arial"/>
          <w:lang w:val="es-ES_tradnl"/>
        </w:rPr>
      </w:pPr>
      <w:r w:rsidRPr="007777D9">
        <w:rPr>
          <w:rFonts w:ascii="Century Gothic" w:hAnsi="Century Gothic" w:cs="Arial"/>
          <w:lang w:val="es-ES_tradnl"/>
        </w:rPr>
        <w:t>Atentamente,</w:t>
      </w:r>
    </w:p>
    <w:p w14:paraId="26D34C89" w14:textId="77777777" w:rsidR="00C27830" w:rsidRPr="007777D9" w:rsidRDefault="00C27830" w:rsidP="00C27830">
      <w:pPr>
        <w:spacing w:after="0"/>
        <w:jc w:val="both"/>
        <w:rPr>
          <w:rFonts w:ascii="Century Gothic" w:hAnsi="Century Gothic"/>
          <w:lang w:val="es-MX"/>
        </w:rPr>
      </w:pPr>
    </w:p>
    <w:p w14:paraId="132BE928" w14:textId="3B1227B0" w:rsidR="00C27830" w:rsidRPr="007777D9" w:rsidRDefault="00C27830" w:rsidP="00C27830">
      <w:pPr>
        <w:spacing w:after="0"/>
        <w:jc w:val="center"/>
        <w:rPr>
          <w:rFonts w:ascii="Century Gothic" w:hAnsi="Century Gothic"/>
          <w:b/>
          <w:bCs/>
          <w:lang w:val="es-MX"/>
        </w:rPr>
      </w:pPr>
      <w:r>
        <w:rPr>
          <w:rStyle w:val="wacimagecontainer"/>
          <w:rFonts w:ascii="Segoe UI" w:hAnsi="Segoe UI" w:cs="Segoe UI"/>
          <w:noProof/>
          <w:color w:val="000000"/>
          <w:sz w:val="18"/>
          <w:szCs w:val="18"/>
          <w:shd w:val="clear" w:color="auto" w:fill="FFFFFF"/>
        </w:rPr>
        <w:drawing>
          <wp:inline distT="0" distB="0" distL="0" distR="0" wp14:anchorId="69CE7DB0" wp14:editId="270A9B41">
            <wp:extent cx="3152775" cy="1207770"/>
            <wp:effectExtent l="0" t="0" r="9525" b="0"/>
            <wp:docPr id="5066961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7770"/>
                    </a:xfrm>
                    <a:prstGeom prst="rect">
                      <a:avLst/>
                    </a:prstGeom>
                    <a:noFill/>
                    <a:ln>
                      <a:noFill/>
                    </a:ln>
                  </pic:spPr>
                </pic:pic>
              </a:graphicData>
            </a:graphic>
          </wp:inline>
        </w:drawing>
      </w:r>
      <w:r>
        <w:rPr>
          <w:rFonts w:ascii="Aptos" w:hAnsi="Aptos"/>
          <w:color w:val="000000"/>
          <w:shd w:val="clear" w:color="auto" w:fill="FFFFFF"/>
        </w:rPr>
        <w:br/>
      </w:r>
    </w:p>
    <w:p w14:paraId="169C5EA7" w14:textId="77777777" w:rsidR="00C27830" w:rsidRPr="007777D9" w:rsidRDefault="00C27830" w:rsidP="00C27830">
      <w:pPr>
        <w:spacing w:after="0"/>
        <w:jc w:val="both"/>
        <w:rPr>
          <w:rFonts w:ascii="Century Gothic" w:hAnsi="Century Gothic"/>
          <w:b/>
          <w:bCs/>
          <w:lang w:val="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935"/>
      </w:tblGrid>
      <w:tr w:rsidR="00C27830" w:rsidRPr="00B00630" w14:paraId="324EF4F8" w14:textId="77777777" w:rsidTr="00611071">
        <w:trPr>
          <w:trHeight w:val="405"/>
        </w:trPr>
        <w:tc>
          <w:tcPr>
            <w:tcW w:w="810" w:type="dxa"/>
            <w:tcBorders>
              <w:top w:val="nil"/>
              <w:left w:val="nil"/>
              <w:bottom w:val="nil"/>
              <w:right w:val="nil"/>
            </w:tcBorders>
            <w:shd w:val="clear" w:color="auto" w:fill="auto"/>
            <w:vAlign w:val="center"/>
            <w:hideMark/>
          </w:tcPr>
          <w:p w14:paraId="07E7EC36"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Elaboró:</w:t>
            </w:r>
            <w:r w:rsidRPr="00B00630">
              <w:rPr>
                <w:rFonts w:ascii="Arial" w:eastAsia="Times New Roman" w:hAnsi="Arial" w:cs="Arial"/>
                <w:sz w:val="16"/>
                <w:szCs w:val="16"/>
                <w:lang w:eastAsia="es-CO"/>
              </w:rPr>
              <w:t> </w:t>
            </w:r>
            <w:r w:rsidRPr="00B00630">
              <w:rPr>
                <w:rFonts w:ascii="Century Gothic" w:eastAsia="Times New Roman" w:hAnsi="Century Gothic" w:cs="Segoe UI"/>
                <w:sz w:val="16"/>
                <w:szCs w:val="16"/>
                <w:lang w:eastAsia="es-CO"/>
              </w:rPr>
              <w:t> </w:t>
            </w:r>
          </w:p>
        </w:tc>
        <w:tc>
          <w:tcPr>
            <w:tcW w:w="4935" w:type="dxa"/>
            <w:tcBorders>
              <w:top w:val="nil"/>
              <w:left w:val="nil"/>
              <w:bottom w:val="dotted" w:sz="6" w:space="0" w:color="7F7F7F"/>
              <w:right w:val="nil"/>
            </w:tcBorders>
            <w:shd w:val="clear" w:color="auto" w:fill="auto"/>
            <w:vAlign w:val="center"/>
            <w:hideMark/>
          </w:tcPr>
          <w:p w14:paraId="675D884A"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Nasly Yeana Mosquera Rivas </w:t>
            </w:r>
          </w:p>
          <w:p w14:paraId="0A427353"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Analista T2 – 06 de la Subdirección de Gestión Contractual </w:t>
            </w:r>
          </w:p>
        </w:tc>
      </w:tr>
      <w:tr w:rsidR="00C27830" w:rsidRPr="00B00630" w14:paraId="427CBC10" w14:textId="77777777" w:rsidTr="00611071">
        <w:trPr>
          <w:trHeight w:val="405"/>
        </w:trPr>
        <w:tc>
          <w:tcPr>
            <w:tcW w:w="810" w:type="dxa"/>
            <w:tcBorders>
              <w:top w:val="nil"/>
              <w:left w:val="nil"/>
              <w:bottom w:val="nil"/>
              <w:right w:val="nil"/>
            </w:tcBorders>
            <w:shd w:val="clear" w:color="auto" w:fill="auto"/>
            <w:vAlign w:val="center"/>
            <w:hideMark/>
          </w:tcPr>
          <w:p w14:paraId="1A18A251"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Revisó </w:t>
            </w:r>
          </w:p>
        </w:tc>
        <w:tc>
          <w:tcPr>
            <w:tcW w:w="4935" w:type="dxa"/>
            <w:tcBorders>
              <w:top w:val="dotted" w:sz="6" w:space="0" w:color="7F7F7F"/>
              <w:left w:val="nil"/>
              <w:bottom w:val="dotted" w:sz="6" w:space="0" w:color="7F7F7F"/>
              <w:right w:val="nil"/>
            </w:tcBorders>
            <w:shd w:val="clear" w:color="auto" w:fill="auto"/>
            <w:vAlign w:val="center"/>
            <w:hideMark/>
          </w:tcPr>
          <w:p w14:paraId="3E17B732"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Alejandro Sarmiento Cantillo  </w:t>
            </w:r>
          </w:p>
          <w:p w14:paraId="2EDBD4BA"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Gestor T1 – 15 de la Subdirección de Gestión Contractual </w:t>
            </w:r>
          </w:p>
        </w:tc>
      </w:tr>
      <w:tr w:rsidR="00C27830" w:rsidRPr="00B00630" w14:paraId="5AB10BC7" w14:textId="77777777" w:rsidTr="00611071">
        <w:trPr>
          <w:trHeight w:val="375"/>
        </w:trPr>
        <w:tc>
          <w:tcPr>
            <w:tcW w:w="810" w:type="dxa"/>
            <w:tcBorders>
              <w:top w:val="nil"/>
              <w:left w:val="nil"/>
              <w:bottom w:val="nil"/>
              <w:right w:val="nil"/>
            </w:tcBorders>
            <w:shd w:val="clear" w:color="auto" w:fill="auto"/>
            <w:vAlign w:val="center"/>
            <w:hideMark/>
          </w:tcPr>
          <w:p w14:paraId="46477925"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Aprobó:</w:t>
            </w:r>
            <w:r w:rsidRPr="00B00630">
              <w:rPr>
                <w:rFonts w:ascii="Arial" w:eastAsia="Times New Roman" w:hAnsi="Arial" w:cs="Arial"/>
                <w:sz w:val="16"/>
                <w:szCs w:val="16"/>
                <w:lang w:eastAsia="es-CO"/>
              </w:rPr>
              <w:t> </w:t>
            </w:r>
            <w:r w:rsidRPr="00B00630">
              <w:rPr>
                <w:rFonts w:ascii="Century Gothic" w:eastAsia="Times New Roman" w:hAnsi="Century Gothic" w:cs="Segoe UI"/>
                <w:sz w:val="16"/>
                <w:szCs w:val="16"/>
                <w:lang w:eastAsia="es-CO"/>
              </w:rPr>
              <w:t> </w:t>
            </w:r>
          </w:p>
        </w:tc>
        <w:tc>
          <w:tcPr>
            <w:tcW w:w="4935" w:type="dxa"/>
            <w:tcBorders>
              <w:top w:val="dotted" w:sz="6" w:space="0" w:color="7F7F7F"/>
              <w:left w:val="nil"/>
              <w:bottom w:val="dotted" w:sz="6" w:space="0" w:color="7F7F7F"/>
              <w:right w:val="nil"/>
            </w:tcBorders>
            <w:shd w:val="clear" w:color="auto" w:fill="auto"/>
            <w:vAlign w:val="center"/>
            <w:hideMark/>
          </w:tcPr>
          <w:p w14:paraId="3EFF5749"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 xml:space="preserve">Nohelia del Carmen </w:t>
            </w:r>
            <w:proofErr w:type="spellStart"/>
            <w:r w:rsidRPr="00B00630">
              <w:rPr>
                <w:rFonts w:ascii="Century Gothic" w:eastAsia="Times New Roman" w:hAnsi="Century Gothic" w:cs="Segoe UI"/>
                <w:sz w:val="16"/>
                <w:szCs w:val="16"/>
                <w:lang w:eastAsia="es-CO"/>
              </w:rPr>
              <w:t>Zawady</w:t>
            </w:r>
            <w:proofErr w:type="spellEnd"/>
            <w:r w:rsidRPr="00B00630">
              <w:rPr>
                <w:rFonts w:ascii="Century Gothic" w:eastAsia="Times New Roman" w:hAnsi="Century Gothic" w:cs="Segoe UI"/>
                <w:sz w:val="16"/>
                <w:szCs w:val="16"/>
                <w:lang w:eastAsia="es-CO"/>
              </w:rPr>
              <w:t xml:space="preserve"> Palacio </w:t>
            </w:r>
          </w:p>
          <w:p w14:paraId="64C45300" w14:textId="77777777" w:rsidR="00C27830" w:rsidRPr="00B00630" w:rsidRDefault="00C27830" w:rsidP="00611071">
            <w:pPr>
              <w:spacing w:after="0" w:line="240" w:lineRule="auto"/>
              <w:jc w:val="both"/>
              <w:textAlignment w:val="baseline"/>
              <w:rPr>
                <w:rFonts w:ascii="Segoe UI" w:eastAsia="Times New Roman" w:hAnsi="Segoe UI" w:cs="Segoe UI"/>
                <w:sz w:val="18"/>
                <w:szCs w:val="18"/>
                <w:lang w:eastAsia="es-CO"/>
              </w:rPr>
            </w:pPr>
            <w:r w:rsidRPr="00B00630">
              <w:rPr>
                <w:rFonts w:ascii="Century Gothic" w:eastAsia="Times New Roman" w:hAnsi="Century Gothic" w:cs="Segoe UI"/>
                <w:sz w:val="16"/>
                <w:szCs w:val="16"/>
                <w:lang w:eastAsia="es-CO"/>
              </w:rPr>
              <w:t>Subdirectora de Gestión Contractual ANCP - CCE </w:t>
            </w:r>
          </w:p>
        </w:tc>
      </w:tr>
    </w:tbl>
    <w:p w14:paraId="551DB6E5" w14:textId="77777777" w:rsidR="00C27830" w:rsidRPr="007777D9" w:rsidRDefault="00C27830" w:rsidP="00C27830">
      <w:pPr>
        <w:spacing w:after="0"/>
        <w:jc w:val="both"/>
        <w:rPr>
          <w:rFonts w:ascii="Century Gothic" w:hAnsi="Century Gothic"/>
        </w:rPr>
      </w:pPr>
      <w:r w:rsidRPr="007777D9">
        <w:rPr>
          <w:rFonts w:ascii="Century Gothic" w:hAnsi="Century Gothic"/>
        </w:rPr>
        <w:t xml:space="preserve"> </w:t>
      </w:r>
    </w:p>
    <w:p w14:paraId="6FFE54B7" w14:textId="77777777" w:rsidR="00C27830" w:rsidRPr="0088654F" w:rsidRDefault="00C27830" w:rsidP="00C27830"/>
    <w:p w14:paraId="74CA8D8A" w14:textId="77777777" w:rsidR="00C27830" w:rsidRDefault="00C27830"/>
    <w:sectPr w:rsidR="00C27830" w:rsidSect="00C27830">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C33D" w14:textId="77777777" w:rsidR="00C27830" w:rsidRDefault="00C27830" w:rsidP="00C27830">
      <w:pPr>
        <w:spacing w:after="0" w:line="240" w:lineRule="auto"/>
      </w:pPr>
      <w:r>
        <w:separator/>
      </w:r>
    </w:p>
  </w:endnote>
  <w:endnote w:type="continuationSeparator" w:id="0">
    <w:p w14:paraId="6664D18B" w14:textId="77777777" w:rsidR="00C27830" w:rsidRDefault="00C27830" w:rsidP="00C2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DB97" w14:textId="77777777" w:rsidR="006D7518" w:rsidRDefault="006D7518">
    <w:pPr>
      <w:pStyle w:val="Piedepgina"/>
    </w:pPr>
    <w:r>
      <w:rPr>
        <w:noProof/>
        <w:lang w:eastAsia="es-CO"/>
      </w:rPr>
      <w:drawing>
        <wp:inline distT="0" distB="0" distL="0" distR="0" wp14:anchorId="009F5B84" wp14:editId="7C868DA6">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50F50A12" wp14:editId="6390482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6A90E874"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4502054" w14:textId="77777777" w:rsidR="006D7518" w:rsidRPr="003F3941" w:rsidRDefault="006D7518"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F4DC48" w14:textId="77777777" w:rsidR="006D7518" w:rsidRPr="003F3941" w:rsidRDefault="006D7518"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w:t>
          </w:r>
          <w:r>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CB37E9D" w14:textId="77777777" w:rsidR="006D7518" w:rsidRPr="003F3941" w:rsidRDefault="006D7518"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0D1950" w14:textId="77777777" w:rsidR="006D7518" w:rsidRPr="003F3941" w:rsidRDefault="006D7518"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5432948A" w14:textId="77777777" w:rsidR="006D7518" w:rsidRDefault="006D751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9470" w14:textId="77777777" w:rsidR="00C27830" w:rsidRDefault="00C27830" w:rsidP="00C27830">
      <w:pPr>
        <w:spacing w:after="0" w:line="240" w:lineRule="auto"/>
      </w:pPr>
      <w:r>
        <w:separator/>
      </w:r>
    </w:p>
  </w:footnote>
  <w:footnote w:type="continuationSeparator" w:id="0">
    <w:p w14:paraId="0F6B5B0F" w14:textId="77777777" w:rsidR="00C27830" w:rsidRDefault="00C27830" w:rsidP="00C27830">
      <w:pPr>
        <w:spacing w:after="0" w:line="240" w:lineRule="auto"/>
      </w:pPr>
      <w:r>
        <w:continuationSeparator/>
      </w:r>
    </w:p>
  </w:footnote>
  <w:footnote w:id="1">
    <w:p w14:paraId="43518821" w14:textId="77777777" w:rsidR="00C27830" w:rsidRPr="00A0482C" w:rsidRDefault="00C27830" w:rsidP="00C27830">
      <w:pPr>
        <w:pStyle w:val="Textonotapie"/>
        <w:ind w:firstLine="708"/>
        <w:jc w:val="both"/>
        <w:rPr>
          <w:rFonts w:ascii="Century Gothic" w:hAnsi="Century Gothic" w:cs="Arial"/>
          <w:sz w:val="18"/>
          <w:szCs w:val="18"/>
        </w:rPr>
      </w:pPr>
      <w:r w:rsidRPr="00A0482C">
        <w:rPr>
          <w:rStyle w:val="Refdenotaalpie"/>
          <w:rFonts w:ascii="Century Gothic" w:hAnsi="Century Gothic" w:cs="Arial"/>
          <w:sz w:val="18"/>
          <w:szCs w:val="18"/>
        </w:rPr>
        <w:footnoteRef/>
      </w:r>
      <w:r w:rsidRPr="00A0482C">
        <w:rPr>
          <w:rFonts w:ascii="Century Gothic" w:hAnsi="Century Gothic" w:cs="Arial"/>
          <w:sz w:val="18"/>
          <w:szCs w:val="18"/>
        </w:rPr>
        <w:t xml:space="preserve"> La Agencia Nacional de Contratación Pública </w:t>
      </w:r>
      <w:r w:rsidRPr="008771D1">
        <w:rPr>
          <w:rFonts w:ascii="Arial" w:hAnsi="Arial" w:cs="Arial"/>
          <w:sz w:val="18"/>
          <w:szCs w:val="18"/>
        </w:rPr>
        <w:t>‒</w:t>
      </w:r>
      <w:r w:rsidRPr="00A0482C">
        <w:rPr>
          <w:rFonts w:ascii="Century Gothic" w:hAnsi="Century Gothic" w:cs="Arial"/>
          <w:sz w:val="18"/>
          <w:szCs w:val="18"/>
        </w:rPr>
        <w:t xml:space="preserve"> Colombia Compra Eficiente fue creada por el Decreto Ley 4170 de 2011. Su objetivo es servir como ente rector de la pol</w:t>
      </w:r>
      <w:r w:rsidRPr="00A0482C">
        <w:rPr>
          <w:rFonts w:ascii="Century Gothic" w:hAnsi="Century Gothic" w:cs="Century Gothic"/>
          <w:sz w:val="18"/>
          <w:szCs w:val="18"/>
        </w:rPr>
        <w:t>í</w:t>
      </w:r>
      <w:r w:rsidRPr="00A0482C">
        <w:rPr>
          <w:rFonts w:ascii="Century Gothic" w:hAnsi="Century Gothic" w:cs="Arial"/>
          <w:sz w:val="18"/>
          <w:szCs w:val="18"/>
        </w:rPr>
        <w:t>tica de compras y contrataci</w:t>
      </w:r>
      <w:r w:rsidRPr="00A0482C">
        <w:rPr>
          <w:rFonts w:ascii="Century Gothic" w:hAnsi="Century Gothic" w:cs="Century Gothic"/>
          <w:sz w:val="18"/>
          <w:szCs w:val="18"/>
        </w:rPr>
        <w:t>ó</w:t>
      </w:r>
      <w:r w:rsidRPr="00A0482C">
        <w:rPr>
          <w:rFonts w:ascii="Century Gothic" w:hAnsi="Century Gothic" w:cs="Arial"/>
          <w:sz w:val="18"/>
          <w:szCs w:val="18"/>
        </w:rPr>
        <w:t xml:space="preserve">n del Estado. Para tales fines, como </w:t>
      </w:r>
      <w:r w:rsidRPr="00A0482C">
        <w:rPr>
          <w:rFonts w:ascii="Century Gothic" w:hAnsi="Century Gothic" w:cs="Century Gothic"/>
          <w:sz w:val="18"/>
          <w:szCs w:val="18"/>
        </w:rPr>
        <w:t>ó</w:t>
      </w:r>
      <w:r w:rsidRPr="00A0482C">
        <w:rPr>
          <w:rFonts w:ascii="Century Gothic" w:hAnsi="Century Gothic" w:cs="Arial"/>
          <w:sz w:val="18"/>
          <w:szCs w:val="18"/>
        </w:rPr>
        <w:t>rgano t</w:t>
      </w:r>
      <w:r w:rsidRPr="00A0482C">
        <w:rPr>
          <w:rFonts w:ascii="Century Gothic" w:hAnsi="Century Gothic" w:cs="Century Gothic"/>
          <w:sz w:val="18"/>
          <w:szCs w:val="18"/>
        </w:rPr>
        <w:t>é</w:t>
      </w:r>
      <w:r w:rsidRPr="00A0482C">
        <w:rPr>
          <w:rFonts w:ascii="Century Gothic" w:hAnsi="Century Gothic" w:cs="Arial"/>
          <w:sz w:val="18"/>
          <w:szCs w:val="18"/>
        </w:rPr>
        <w:t>cnico especializado, le corresponde formular pol</w:t>
      </w:r>
      <w:r w:rsidRPr="00A0482C">
        <w:rPr>
          <w:rFonts w:ascii="Century Gothic" w:hAnsi="Century Gothic" w:cs="Century Gothic"/>
          <w:sz w:val="18"/>
          <w:szCs w:val="18"/>
        </w:rPr>
        <w:t>í</w:t>
      </w:r>
      <w:r w:rsidRPr="00A0482C">
        <w:rPr>
          <w:rFonts w:ascii="Century Gothic" w:hAnsi="Century Gothic" w:cs="Arial"/>
          <w:sz w:val="18"/>
          <w:szCs w:val="18"/>
        </w:rPr>
        <w:t>ticas p</w:t>
      </w:r>
      <w:r w:rsidRPr="00A0482C">
        <w:rPr>
          <w:rFonts w:ascii="Century Gothic" w:hAnsi="Century Gothic" w:cs="Century Gothic"/>
          <w:sz w:val="18"/>
          <w:szCs w:val="18"/>
        </w:rPr>
        <w:t>ú</w:t>
      </w:r>
      <w:r w:rsidRPr="00A0482C">
        <w:rPr>
          <w:rFonts w:ascii="Century Gothic" w:hAnsi="Century Gothic" w:cs="Arial"/>
          <w:sz w:val="18"/>
          <w:szCs w:val="18"/>
        </w:rPr>
        <w:t>blicas y normas y unificar los procesos de contrataci</w:t>
      </w:r>
      <w:r w:rsidRPr="00A0482C">
        <w:rPr>
          <w:rFonts w:ascii="Century Gothic" w:hAnsi="Century Gothic" w:cs="Century Gothic"/>
          <w:sz w:val="18"/>
          <w:szCs w:val="18"/>
        </w:rPr>
        <w:t>ó</w:t>
      </w:r>
      <w:r w:rsidRPr="00A0482C">
        <w:rPr>
          <w:rFonts w:ascii="Century Gothic" w:hAnsi="Century Gothic" w:cs="Arial"/>
          <w:sz w:val="18"/>
          <w:szCs w:val="18"/>
        </w:rPr>
        <w:t>n estatal, con el fin de lograr una mayor eficiencia, transparencia y optimizaci</w:t>
      </w:r>
      <w:r w:rsidRPr="00A0482C">
        <w:rPr>
          <w:rFonts w:ascii="Century Gothic" w:hAnsi="Century Gothic" w:cs="Century Gothic"/>
          <w:sz w:val="18"/>
          <w:szCs w:val="18"/>
        </w:rPr>
        <w:t>ó</w:t>
      </w:r>
      <w:r w:rsidRPr="00A0482C">
        <w:rPr>
          <w:rFonts w:ascii="Century Gothic" w:hAnsi="Century Gothic" w:cs="Arial"/>
          <w:sz w:val="18"/>
          <w:szCs w:val="18"/>
        </w:rPr>
        <w:t>n de los recursos del Estado. El art</w:t>
      </w:r>
      <w:r w:rsidRPr="00A0482C">
        <w:rPr>
          <w:rFonts w:ascii="Century Gothic" w:hAnsi="Century Gothic" w:cs="Century Gothic"/>
          <w:sz w:val="18"/>
          <w:szCs w:val="18"/>
        </w:rPr>
        <w:t>í</w:t>
      </w:r>
      <w:r w:rsidRPr="00A0482C">
        <w:rPr>
          <w:rFonts w:ascii="Century Gothic" w:hAnsi="Century Gothic" w:cs="Arial"/>
          <w:sz w:val="18"/>
          <w:szCs w:val="18"/>
        </w:rPr>
        <w:t xml:space="preserve">culo 3 </w:t>
      </w:r>
      <w:r w:rsidRPr="00A0482C">
        <w:rPr>
          <w:rFonts w:ascii="Century Gothic" w:hAnsi="Century Gothic" w:cs="Arial"/>
          <w:i/>
          <w:iCs/>
          <w:sz w:val="18"/>
          <w:szCs w:val="18"/>
        </w:rPr>
        <w:t xml:space="preserve">ibidem </w:t>
      </w:r>
      <w:r w:rsidRPr="00A0482C">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9E03793" w14:textId="77777777" w:rsidR="00C27830" w:rsidRPr="00A0482C" w:rsidRDefault="00C27830" w:rsidP="00C27830">
      <w:pPr>
        <w:pStyle w:val="Textonotapie"/>
        <w:ind w:firstLine="708"/>
        <w:jc w:val="both"/>
        <w:rPr>
          <w:rFonts w:ascii="Century Gothic" w:hAnsi="Century Gothic" w:cs="Arial"/>
          <w:sz w:val="18"/>
          <w:szCs w:val="18"/>
          <w:lang w:val="es-ES"/>
        </w:rPr>
      </w:pPr>
    </w:p>
  </w:footnote>
  <w:footnote w:id="2">
    <w:p w14:paraId="19C0D739" w14:textId="77777777" w:rsidR="00C27830" w:rsidRPr="00A0482C" w:rsidRDefault="00C27830" w:rsidP="00C27830">
      <w:pPr>
        <w:pStyle w:val="Textonotapie"/>
        <w:ind w:firstLine="709"/>
        <w:jc w:val="both"/>
        <w:rPr>
          <w:rFonts w:ascii="Century Gothic" w:hAnsi="Century Gothic" w:cs="Arial"/>
          <w:sz w:val="18"/>
          <w:szCs w:val="18"/>
          <w:lang w:val="es-CO"/>
        </w:rPr>
      </w:pPr>
      <w:r w:rsidRPr="00A0482C">
        <w:rPr>
          <w:rStyle w:val="Refdenotaalpie"/>
          <w:rFonts w:ascii="Century Gothic" w:hAnsi="Century Gothic" w:cs="Arial"/>
          <w:sz w:val="18"/>
          <w:szCs w:val="18"/>
        </w:rPr>
        <w:footnoteRef/>
      </w:r>
      <w:r w:rsidRPr="00A0482C">
        <w:rPr>
          <w:rFonts w:ascii="Century Gothic" w:hAnsi="Century Gothic" w:cs="Arial"/>
          <w:sz w:val="18"/>
          <w:szCs w:val="18"/>
        </w:rPr>
        <w:t xml:space="preserve"> Estos conceptos pueden ser consultados en el siguiente enlace: </w:t>
      </w:r>
      <w:hyperlink r:id="rId1" w:history="1">
        <w:r w:rsidRPr="00A0482C">
          <w:rPr>
            <w:rStyle w:val="Hipervnculo"/>
            <w:rFonts w:ascii="Century Gothic" w:hAnsi="Century Gothic" w:cs="Arial"/>
            <w:sz w:val="18"/>
            <w:szCs w:val="18"/>
          </w:rPr>
          <w:t>https://relatoria.colombiacompra.gov.co/busqueda/conceptos</w:t>
        </w:r>
      </w:hyperlink>
    </w:p>
  </w:footnote>
  <w:footnote w:id="3">
    <w:p w14:paraId="160D70DD" w14:textId="77777777" w:rsidR="00C27830" w:rsidRPr="00A0482C" w:rsidRDefault="00C27830" w:rsidP="00C27830">
      <w:pPr>
        <w:pStyle w:val="paragraph"/>
        <w:spacing w:before="0" w:beforeAutospacing="0" w:after="0" w:afterAutospacing="0"/>
        <w:ind w:firstLine="709"/>
        <w:jc w:val="both"/>
        <w:textAlignment w:val="baseline"/>
        <w:rPr>
          <w:rFonts w:ascii="Century Gothic" w:hAnsi="Century Gothic" w:cs="Arial"/>
          <w:color w:val="000000" w:themeColor="text1"/>
          <w:sz w:val="18"/>
          <w:szCs w:val="18"/>
        </w:rPr>
      </w:pPr>
      <w:r w:rsidRPr="00A0482C">
        <w:rPr>
          <w:rStyle w:val="Refdenotaalpie"/>
          <w:rFonts w:ascii="Century Gothic" w:eastAsiaTheme="majorEastAsia" w:hAnsi="Century Gothic" w:cs="Arial"/>
          <w:color w:val="000000" w:themeColor="text1"/>
          <w:sz w:val="18"/>
          <w:szCs w:val="18"/>
        </w:rPr>
        <w:footnoteRef/>
      </w:r>
      <w:r w:rsidRPr="00A0482C">
        <w:rPr>
          <w:rFonts w:ascii="Century Gothic" w:hAnsi="Century Gothic" w:cs="Arial"/>
          <w:color w:val="000000" w:themeColor="text1"/>
          <w:sz w:val="18"/>
          <w:szCs w:val="18"/>
        </w:rPr>
        <w:t xml:space="preserve"> </w:t>
      </w:r>
      <w:r w:rsidRPr="00A0482C">
        <w:rPr>
          <w:rFonts w:ascii="Century Gothic" w:hAnsi="Century Gothic" w:cs="Arial"/>
          <w:color w:val="000000" w:themeColor="text1"/>
          <w:sz w:val="18"/>
          <w:szCs w:val="18"/>
          <w:lang w:val="es-ES"/>
        </w:rPr>
        <w:t>Ley 489 de 1998, artículo 38, numeral 2, literal f, y artículo 68, numeral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A0482C">
        <w:rPr>
          <w:rFonts w:ascii="Century Gothic" w:hAnsi="Century Gothic" w:cs="Arial"/>
          <w:color w:val="000000" w:themeColor="text1"/>
          <w:sz w:val="18"/>
          <w:szCs w:val="18"/>
        </w:rPr>
        <w:t>  </w:t>
      </w:r>
    </w:p>
  </w:footnote>
  <w:footnote w:id="4">
    <w:p w14:paraId="1CAF88E2" w14:textId="77777777" w:rsidR="00C27830" w:rsidRPr="00A0482C" w:rsidRDefault="00C27830" w:rsidP="00C27830">
      <w:pPr>
        <w:spacing w:after="0"/>
        <w:ind w:firstLine="709"/>
        <w:jc w:val="both"/>
        <w:rPr>
          <w:rFonts w:ascii="Century Gothic" w:hAnsi="Century Gothic" w:cs="Arial"/>
          <w:sz w:val="18"/>
          <w:szCs w:val="18"/>
          <w:lang w:val="es-ES"/>
        </w:rPr>
      </w:pPr>
      <w:r w:rsidRPr="00A0482C">
        <w:rPr>
          <w:rFonts w:ascii="Century Gothic" w:hAnsi="Century Gothic" w:cs="Arial"/>
          <w:color w:val="000000" w:themeColor="text1"/>
          <w:sz w:val="18"/>
          <w:szCs w:val="18"/>
          <w:lang w:val="es-ES" w:eastAsia="es-MX"/>
        </w:rPr>
        <w:t xml:space="preserve"> </w:t>
      </w:r>
      <w:r w:rsidRPr="00A0482C">
        <w:rPr>
          <w:rStyle w:val="Refdenotaalpie"/>
          <w:rFonts w:ascii="Century Gothic" w:hAnsi="Century Gothic" w:cs="Arial"/>
          <w:color w:val="000000" w:themeColor="text1"/>
          <w:sz w:val="18"/>
          <w:szCs w:val="18"/>
        </w:rPr>
        <w:footnoteRef/>
      </w:r>
      <w:r w:rsidRPr="00A0482C">
        <w:rPr>
          <w:rFonts w:ascii="Century Gothic" w:hAnsi="Century Gothic" w:cs="Arial"/>
          <w:color w:val="000000" w:themeColor="text1"/>
          <w:sz w:val="18"/>
          <w:szCs w:val="18"/>
          <w:lang w:val="es-ES" w:eastAsia="es-MX"/>
        </w:rPr>
        <w:t xml:space="preserve"> Así lo establece la Constitución Política, en el artículo 150, numeral 7, así como en el artículo 300, numeral 7 y en el artículo 313, numeral 6.</w:t>
      </w:r>
    </w:p>
  </w:footnote>
  <w:footnote w:id="5">
    <w:p w14:paraId="1522FB3B" w14:textId="77777777" w:rsidR="00C27830" w:rsidRPr="00A0482C" w:rsidRDefault="00C27830" w:rsidP="00C27830">
      <w:pPr>
        <w:pStyle w:val="Textonotapie"/>
        <w:ind w:firstLine="709"/>
        <w:jc w:val="both"/>
        <w:rPr>
          <w:rFonts w:ascii="Century Gothic" w:hAnsi="Century Gothic" w:cs="Arial"/>
          <w:sz w:val="18"/>
          <w:szCs w:val="18"/>
        </w:rPr>
      </w:pPr>
      <w:r w:rsidRPr="00A0482C">
        <w:rPr>
          <w:rStyle w:val="Refdenotaalpie"/>
          <w:rFonts w:ascii="Century Gothic" w:hAnsi="Century Gothic" w:cs="Arial"/>
          <w:sz w:val="18"/>
          <w:szCs w:val="18"/>
        </w:rPr>
        <w:footnoteRef/>
      </w:r>
      <w:r w:rsidRPr="00A0482C">
        <w:rPr>
          <w:rFonts w:ascii="Century Gothic" w:hAnsi="Century Gothic" w:cs="Arial"/>
          <w:sz w:val="18"/>
          <w:szCs w:val="18"/>
        </w:rPr>
        <w:t xml:space="preserve"> Las sociedades de economía mixta son una clara manifestación organizacional de la función administrativa. Al respecto, la doctrina colombiana ha considerado que “la organización debe ocupar un lugar central en el estudio del derecho administrativo, sobre todo si se tiene en cuenta que lo estructural es consustancial a la actividad administrativa. De hecho, podemos afirmar que se trata de una verdadera dialéctica en la que se presenta una relación de medio a fin, ya que su objeto es precisamente el diseño y puesta en funcionamiento de las maneras o formas de gestión de potestades, atribuciones y competencias administrativas” (RINCÓN CÓRDOBA, Jorge Iván. Teoría de la organización administrativa en Colombia, Bogotá: Universidad Externado de Colombia, 2019, pp. 31-32). </w:t>
      </w:r>
    </w:p>
    <w:p w14:paraId="7A0CB197" w14:textId="77777777" w:rsidR="00C27830" w:rsidRPr="00A0482C" w:rsidRDefault="00C27830" w:rsidP="00C27830">
      <w:pPr>
        <w:pStyle w:val="Textonotapie"/>
        <w:ind w:firstLine="709"/>
        <w:jc w:val="both"/>
        <w:rPr>
          <w:rFonts w:ascii="Century Gothic" w:hAnsi="Century Gothic" w:cs="Arial"/>
          <w:sz w:val="18"/>
          <w:szCs w:val="18"/>
        </w:rPr>
      </w:pPr>
    </w:p>
  </w:footnote>
  <w:footnote w:id="6">
    <w:p w14:paraId="5405DFAC" w14:textId="77777777" w:rsidR="00C27830" w:rsidRPr="00A0482C" w:rsidRDefault="00C27830" w:rsidP="00C27830">
      <w:pPr>
        <w:pStyle w:val="Textonotapie"/>
        <w:ind w:firstLine="709"/>
        <w:jc w:val="both"/>
        <w:rPr>
          <w:rFonts w:ascii="Century Gothic" w:hAnsi="Century Gothic" w:cs="Arial"/>
          <w:sz w:val="18"/>
          <w:szCs w:val="18"/>
        </w:rPr>
      </w:pPr>
      <w:r w:rsidRPr="00A0482C">
        <w:rPr>
          <w:rStyle w:val="Refdenotaalpie"/>
          <w:rFonts w:ascii="Century Gothic" w:hAnsi="Century Gothic" w:cs="Arial"/>
          <w:sz w:val="18"/>
          <w:szCs w:val="18"/>
        </w:rPr>
        <w:footnoteRef/>
      </w:r>
      <w:r w:rsidRPr="00A0482C">
        <w:rPr>
          <w:rFonts w:ascii="Century Gothic" w:hAnsi="Century Gothic" w:cs="Arial"/>
          <w:sz w:val="18"/>
          <w:szCs w:val="18"/>
        </w:rPr>
        <w:t xml:space="preserve"> “Una función administrativa entendida entonces, como un conjunto de actividades particulares, disimiles entre sí, pero diversas de aquellas generales de Estado y particulares propias de la función judicial y legislativa, que dan desarrollo directo a las finalidades del estado, consagradas de manera positiva en la Constitución Política, que pueden ser desarrolladas por distintos sujetos de derecho, habilitados para ello, con el respeto y cumplimiento del ordenamiento jurídico superior” (MONTAÑA PLATA, Alberto. Fundamentos de derecho administrativo. Bogotá: Universidad Externado de Colombia, 2010, p. 124).</w:t>
      </w:r>
    </w:p>
    <w:p w14:paraId="0062A008" w14:textId="77777777" w:rsidR="00C27830" w:rsidRPr="00A0482C" w:rsidRDefault="00C27830" w:rsidP="00C27830">
      <w:pPr>
        <w:pStyle w:val="Textonotapie"/>
        <w:ind w:firstLine="709"/>
        <w:jc w:val="both"/>
        <w:rPr>
          <w:rFonts w:ascii="Century Gothic" w:hAnsi="Century Gothic" w:cs="Arial"/>
          <w:sz w:val="18"/>
          <w:szCs w:val="18"/>
          <w:lang w:val="es-CO"/>
        </w:rPr>
      </w:pPr>
    </w:p>
  </w:footnote>
  <w:footnote w:id="7">
    <w:p w14:paraId="62A1FE83" w14:textId="77777777" w:rsidR="00C27830" w:rsidRPr="00A0482C" w:rsidRDefault="00C27830" w:rsidP="00C27830">
      <w:pPr>
        <w:pStyle w:val="Textonotapie"/>
        <w:ind w:firstLine="708"/>
        <w:jc w:val="both"/>
        <w:rPr>
          <w:rFonts w:ascii="Century Gothic" w:hAnsi="Century Gothic" w:cs="Arial"/>
          <w:sz w:val="18"/>
          <w:szCs w:val="18"/>
        </w:rPr>
      </w:pPr>
      <w:r w:rsidRPr="00A0482C">
        <w:rPr>
          <w:rStyle w:val="Refdenotaalpie"/>
          <w:rFonts w:ascii="Century Gothic" w:hAnsi="Century Gothic" w:cs="Arial"/>
          <w:sz w:val="18"/>
          <w:szCs w:val="18"/>
        </w:rPr>
        <w:footnoteRef/>
      </w:r>
      <w:r w:rsidRPr="00A0482C">
        <w:rPr>
          <w:rFonts w:ascii="Century Gothic" w:hAnsi="Century Gothic" w:cs="Arial"/>
          <w:sz w:val="18"/>
          <w:szCs w:val="18"/>
        </w:rPr>
        <w:t xml:space="preserve"> Ley 80 de 1993, artículo 2, literal a):</w:t>
      </w:r>
      <w:bookmarkStart w:id="7" w:name="2"/>
      <w:r w:rsidRPr="00A0482C">
        <w:rPr>
          <w:rFonts w:ascii="Century Gothic" w:hAnsi="Century Gothic" w:cs="Arial"/>
          <w:sz w:val="18"/>
          <w:szCs w:val="18"/>
        </w:rPr>
        <w:t xml:space="preserve"> “Artículo 2o. de la definición de entidades, servidores y servicios públicos. </w:t>
      </w:r>
      <w:bookmarkEnd w:id="7"/>
      <w:r w:rsidRPr="00A0482C">
        <w:rPr>
          <w:rFonts w:ascii="Century Gothic" w:hAnsi="Century Gothic" w:cs="Arial"/>
          <w:sz w:val="18"/>
          <w:szCs w:val="18"/>
        </w:rPr>
        <w:t>Para los solos efectos de esta ley:</w:t>
      </w:r>
    </w:p>
    <w:p w14:paraId="7BADDCDA"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rPr>
        <w:t>“1o. Se denominan entidades estatales:</w:t>
      </w:r>
    </w:p>
    <w:p w14:paraId="57FE89AF"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AF4ED64"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rPr>
        <w:t>[…]”.</w:t>
      </w:r>
    </w:p>
  </w:footnote>
  <w:footnote w:id="8">
    <w:p w14:paraId="014407F9" w14:textId="77777777" w:rsidR="00C27830" w:rsidRPr="00A0482C" w:rsidRDefault="00C27830" w:rsidP="00C27830">
      <w:pPr>
        <w:pStyle w:val="Textonotapie"/>
        <w:ind w:firstLine="708"/>
        <w:jc w:val="both"/>
        <w:rPr>
          <w:rFonts w:ascii="Century Gothic" w:hAnsi="Century Gothic" w:cs="Arial"/>
          <w:sz w:val="18"/>
          <w:szCs w:val="18"/>
        </w:rPr>
      </w:pPr>
      <w:r w:rsidRPr="00A0482C">
        <w:rPr>
          <w:rStyle w:val="Refdenotaalpie"/>
          <w:rFonts w:ascii="Century Gothic" w:hAnsi="Century Gothic" w:cs="Arial"/>
          <w:sz w:val="18"/>
          <w:szCs w:val="18"/>
        </w:rPr>
        <w:footnoteRef/>
      </w:r>
      <w:r w:rsidRPr="00A0482C">
        <w:rPr>
          <w:rFonts w:ascii="Century Gothic" w:hAnsi="Century Gothic" w:cs="Arial"/>
          <w:sz w:val="18"/>
          <w:szCs w:val="18"/>
        </w:rPr>
        <w:t xml:space="preserve"> Consejo de Estado, Sala de Consulta y Servicio Civil, Concepto 1127 del 10 de diciembre de 2004. M.P. Enrique José Arboleda Perdomo </w:t>
      </w:r>
    </w:p>
  </w:footnote>
  <w:footnote w:id="9">
    <w:p w14:paraId="29F28B7D" w14:textId="77777777" w:rsidR="00C27830" w:rsidRPr="00A0482C" w:rsidRDefault="00C27830" w:rsidP="00C27830">
      <w:pPr>
        <w:pStyle w:val="Textonotapie"/>
        <w:ind w:firstLine="708"/>
        <w:jc w:val="both"/>
        <w:rPr>
          <w:rFonts w:ascii="Century Gothic" w:hAnsi="Century Gothic" w:cs="Arial"/>
          <w:sz w:val="18"/>
          <w:szCs w:val="18"/>
        </w:rPr>
      </w:pPr>
      <w:r w:rsidRPr="00A0482C">
        <w:rPr>
          <w:rStyle w:val="Refdenotaalpie"/>
          <w:rFonts w:ascii="Century Gothic" w:hAnsi="Century Gothic" w:cs="Arial"/>
          <w:sz w:val="18"/>
          <w:szCs w:val="18"/>
        </w:rPr>
        <w:footnoteRef/>
      </w:r>
      <w:r w:rsidRPr="00A0482C">
        <w:rPr>
          <w:rFonts w:ascii="Century Gothic" w:hAnsi="Century Gothic" w:cs="Arial"/>
          <w:sz w:val="18"/>
          <w:szCs w:val="18"/>
        </w:rPr>
        <w:t xml:space="preserve"> Ley 1150 de 2007, artículo 14: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footnote>
  <w:footnote w:id="10">
    <w:p w14:paraId="58DDFE72"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vertAlign w:val="superscript"/>
        </w:rPr>
        <w:footnoteRef/>
      </w:r>
      <w:r w:rsidRPr="00A0482C">
        <w:rPr>
          <w:rFonts w:ascii="Century Gothic" w:hAnsi="Century Gothic" w:cs="Arial"/>
          <w:sz w:val="18"/>
          <w:szCs w:val="18"/>
        </w:rPr>
        <w:t xml:space="preserve"> Corte Constitucional, Sentencia C-449 de 1992, y Consejo de Estado, Sala de lo Contencioso Administrativo, Sección Tercera, Sentencia del 3 de diciembre de 2007, expedientes acumulados: (25206, 25409, 24524, 27834, 25410, 26105, 28244, 31447).</w:t>
      </w:r>
    </w:p>
    <w:p w14:paraId="57773E0E" w14:textId="77777777" w:rsidR="00C27830" w:rsidRPr="00A0482C" w:rsidRDefault="00C27830" w:rsidP="00C27830">
      <w:pPr>
        <w:pStyle w:val="Textonotapie"/>
        <w:jc w:val="both"/>
        <w:rPr>
          <w:rFonts w:ascii="Century Gothic" w:hAnsi="Century Gothic" w:cs="Arial"/>
          <w:sz w:val="18"/>
          <w:szCs w:val="18"/>
        </w:rPr>
      </w:pPr>
    </w:p>
  </w:footnote>
  <w:footnote w:id="11">
    <w:p w14:paraId="14949121"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vertAlign w:val="superscript"/>
        </w:rPr>
        <w:footnoteRef/>
      </w:r>
      <w:r w:rsidRPr="00A0482C">
        <w:rPr>
          <w:rFonts w:ascii="Century Gothic" w:hAnsi="Century Gothic" w:cs="Arial"/>
          <w:sz w:val="18"/>
          <w:szCs w:val="18"/>
          <w:vertAlign w:val="superscript"/>
        </w:rPr>
        <w:t xml:space="preserve"> </w:t>
      </w:r>
      <w:r w:rsidRPr="00A0482C">
        <w:rPr>
          <w:rFonts w:ascii="Century Gothic" w:hAnsi="Century Gothic" w:cs="Arial"/>
          <w:sz w:val="18"/>
          <w:szCs w:val="18"/>
        </w:rPr>
        <w:t>DÁVILA VINUEZA. Luis Guillermo. Régimen jurídico de la contratación estatal. 3ª ed. Bogotá: Temis, 2016. p. 494.</w:t>
      </w:r>
    </w:p>
    <w:p w14:paraId="22906400" w14:textId="77777777" w:rsidR="00C27830" w:rsidRPr="00A0482C" w:rsidRDefault="00C27830" w:rsidP="00C27830">
      <w:pPr>
        <w:pStyle w:val="Textonotapie"/>
        <w:ind w:firstLine="708"/>
        <w:jc w:val="both"/>
        <w:rPr>
          <w:rFonts w:ascii="Century Gothic" w:hAnsi="Century Gothic" w:cs="Arial"/>
          <w:sz w:val="18"/>
          <w:szCs w:val="18"/>
        </w:rPr>
      </w:pPr>
    </w:p>
  </w:footnote>
  <w:footnote w:id="12">
    <w:p w14:paraId="185912A5"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vertAlign w:val="superscript"/>
        </w:rPr>
        <w:footnoteRef/>
      </w:r>
      <w:r w:rsidRPr="00A0482C">
        <w:rPr>
          <w:rFonts w:ascii="Century Gothic" w:hAnsi="Century Gothic" w:cs="Arial"/>
          <w:sz w:val="18"/>
          <w:szCs w:val="18"/>
          <w:vertAlign w:val="superscript"/>
        </w:rPr>
        <w:t xml:space="preserve"> </w:t>
      </w:r>
      <w:r w:rsidRPr="00A0482C">
        <w:rPr>
          <w:rFonts w:ascii="Century Gothic" w:hAnsi="Century Gothic" w:cs="Arial"/>
          <w:sz w:val="18"/>
          <w:szCs w:val="18"/>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2C2CF1B9"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13">
    <w:p w14:paraId="53421F5F"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vertAlign w:val="superscript"/>
        </w:rPr>
        <w:footnoteRef/>
      </w:r>
      <w:r w:rsidRPr="00A0482C">
        <w:rPr>
          <w:rFonts w:ascii="Century Gothic" w:hAnsi="Century Gothic" w:cs="Arial"/>
          <w:sz w:val="18"/>
          <w:szCs w:val="18"/>
          <w:vertAlign w:val="superscript"/>
        </w:rPr>
        <w:t xml:space="preserve"> </w:t>
      </w:r>
      <w:r w:rsidRPr="00A0482C">
        <w:rPr>
          <w:rFonts w:ascii="Century Gothic" w:hAnsi="Century Gothic" w:cs="Arial"/>
          <w:sz w:val="18"/>
          <w:szCs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2ABA5F32" w14:textId="77777777" w:rsidR="00C27830" w:rsidRPr="00A0482C" w:rsidRDefault="00C27830" w:rsidP="00C27830">
      <w:pPr>
        <w:pStyle w:val="Textonotapie"/>
        <w:ind w:firstLine="708"/>
        <w:jc w:val="both"/>
        <w:rPr>
          <w:rFonts w:ascii="Century Gothic" w:hAnsi="Century Gothic" w:cs="Arial"/>
          <w:sz w:val="18"/>
          <w:szCs w:val="18"/>
        </w:rPr>
      </w:pPr>
    </w:p>
  </w:footnote>
  <w:footnote w:id="14">
    <w:p w14:paraId="4AE2D948"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vertAlign w:val="superscript"/>
        </w:rPr>
        <w:footnoteRef/>
      </w:r>
      <w:r w:rsidRPr="00A0482C">
        <w:rPr>
          <w:rFonts w:ascii="Century Gothic" w:hAnsi="Century Gothic" w:cs="Arial"/>
          <w:sz w:val="18"/>
          <w:szCs w:val="18"/>
          <w:vertAlign w:val="superscript"/>
        </w:rPr>
        <w:t xml:space="preserve"> </w:t>
      </w:r>
      <w:r w:rsidRPr="00A0482C">
        <w:rPr>
          <w:rFonts w:ascii="Century Gothic" w:hAnsi="Century Gothic" w:cs="Arial"/>
          <w:sz w:val="18"/>
          <w:szCs w:val="18"/>
        </w:rPr>
        <w:t>Ley 80 de 1993: “Artículo 41. Del perfeccionamiento del contrato. Los contratos del Estado se perfeccionan cuando se logre acuerdo sobre el objeto y la contraprestación y éste se eleve a escrito.</w:t>
      </w:r>
    </w:p>
    <w:p w14:paraId="7BB66A02"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rPr>
        <w:t>[…]”.</w:t>
      </w:r>
    </w:p>
    <w:p w14:paraId="200DBA2D" w14:textId="77777777" w:rsidR="00C27830" w:rsidRPr="00A0482C" w:rsidRDefault="00C27830" w:rsidP="00C27830">
      <w:pPr>
        <w:pStyle w:val="Textonotapie"/>
        <w:ind w:firstLine="708"/>
        <w:jc w:val="both"/>
        <w:rPr>
          <w:rFonts w:ascii="Century Gothic" w:hAnsi="Century Gothic" w:cs="Arial"/>
          <w:sz w:val="18"/>
          <w:szCs w:val="18"/>
        </w:rPr>
      </w:pPr>
    </w:p>
  </w:footnote>
  <w:footnote w:id="15">
    <w:p w14:paraId="49AC161B"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vertAlign w:val="superscript"/>
        </w:rPr>
        <w:footnoteRef/>
      </w:r>
      <w:r w:rsidRPr="00A0482C">
        <w:rPr>
          <w:rFonts w:ascii="Century Gothic" w:hAnsi="Century Gothic" w:cs="Arial"/>
          <w:sz w:val="18"/>
          <w:szCs w:val="18"/>
          <w:vertAlign w:val="superscript"/>
        </w:rPr>
        <w:t xml:space="preserve"> </w:t>
      </w:r>
      <w:r w:rsidRPr="00A0482C">
        <w:rPr>
          <w:rFonts w:ascii="Century Gothic" w:hAnsi="Century Gothic" w:cs="Arial"/>
          <w:sz w:val="18"/>
          <w:szCs w:val="18"/>
        </w:rPr>
        <w:t>Código Civil: “Artículo 27. Cuando el sentido de la ley sea claro, no se desatenderá su tenor a pretexto de consultar su espíritu”.</w:t>
      </w:r>
    </w:p>
  </w:footnote>
  <w:footnote w:id="16">
    <w:p w14:paraId="69D8E7C4"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vertAlign w:val="superscript"/>
        </w:rPr>
        <w:footnoteRef/>
      </w:r>
      <w:r w:rsidRPr="00A0482C">
        <w:rPr>
          <w:rFonts w:ascii="Century Gothic" w:hAnsi="Century Gothic" w:cs="Arial"/>
          <w:sz w:val="18"/>
          <w:szCs w:val="18"/>
          <w:vertAlign w:val="superscript"/>
        </w:rPr>
        <w:t xml:space="preserve"> </w:t>
      </w:r>
      <w:r w:rsidRPr="00A0482C">
        <w:rPr>
          <w:rFonts w:ascii="Century Gothic" w:hAnsi="Century Gothic" w:cs="Arial"/>
          <w:sz w:val="18"/>
          <w:szCs w:val="18"/>
        </w:rPr>
        <w:t>Consejo de Estado. Sección Tercera. Sentencia del 23 de junio de 2010. Radicación No. 66001-23-31-000-1998-00261-01(17.860). Consejero Ponente: Mauricio Fajardo Gómez.</w:t>
      </w:r>
    </w:p>
  </w:footnote>
  <w:footnote w:id="17">
    <w:p w14:paraId="414041DD"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rPr>
        <w:footnoteRef/>
      </w:r>
      <w:r w:rsidRPr="00A0482C">
        <w:rPr>
          <w:rFonts w:ascii="Century Gothic" w:hAnsi="Century Gothic" w:cs="Arial"/>
          <w:sz w:val="18"/>
          <w:szCs w:val="18"/>
        </w:rPr>
        <w:t xml:space="preserve"> Consejo de Estado, Sala de lo Contencioso Administrativo, Sección Tercera, Subsección A, sentencia del 21 de mayo de 2021, radicado: 250002336000 201501315 01 (57822).</w:t>
      </w:r>
    </w:p>
  </w:footnote>
  <w:footnote w:id="18">
    <w:p w14:paraId="592B9832" w14:textId="77777777" w:rsidR="00C27830" w:rsidRPr="00A0482C" w:rsidRDefault="00C27830" w:rsidP="00C27830">
      <w:pPr>
        <w:pStyle w:val="Textonotapie"/>
        <w:ind w:firstLine="708"/>
        <w:jc w:val="both"/>
        <w:rPr>
          <w:rFonts w:ascii="Century Gothic" w:hAnsi="Century Gothic" w:cs="Arial"/>
          <w:sz w:val="18"/>
          <w:szCs w:val="18"/>
        </w:rPr>
      </w:pPr>
      <w:r w:rsidRPr="00A0482C">
        <w:rPr>
          <w:rFonts w:ascii="Century Gothic" w:hAnsi="Century Gothic" w:cs="Arial"/>
          <w:sz w:val="18"/>
          <w:szCs w:val="18"/>
          <w:vertAlign w:val="superscript"/>
        </w:rPr>
        <w:footnoteRef/>
      </w:r>
      <w:r w:rsidRPr="00A0482C">
        <w:rPr>
          <w:rFonts w:ascii="Century Gothic" w:hAnsi="Century Gothic" w:cs="Arial"/>
          <w:sz w:val="18"/>
          <w:szCs w:val="18"/>
          <w:vertAlign w:val="superscript"/>
        </w:rPr>
        <w:t xml:space="preserve"> </w:t>
      </w:r>
      <w:r w:rsidRPr="00A0482C">
        <w:rPr>
          <w:rFonts w:ascii="Century Gothic" w:hAnsi="Century Gothic" w:cs="Arial"/>
          <w:sz w:val="18"/>
          <w:szCs w:val="18"/>
        </w:rPr>
        <w:t>Sentencia del 14 de abril de 2005 radicación número: 19001-23-31-000-2002-01577-01 (AP); Sentencia del 28 de mayo de 2012 radicación número: 07001-23-31-000-1999-00546-01 (21489).</w:t>
      </w:r>
    </w:p>
    <w:p w14:paraId="787A98FE" w14:textId="77777777" w:rsidR="00C27830" w:rsidRPr="00A0482C" w:rsidRDefault="00C27830" w:rsidP="00C27830">
      <w:pPr>
        <w:pStyle w:val="Textonotapie"/>
        <w:ind w:firstLine="708"/>
        <w:jc w:val="both"/>
        <w:rPr>
          <w:rFonts w:ascii="Century Gothic" w:hAnsi="Century Gothic"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3885" w14:textId="77777777" w:rsidR="006D7518" w:rsidRDefault="006D7518">
    <w:pPr>
      <w:pStyle w:val="Encabezado"/>
    </w:pPr>
    <w:r>
      <w:rPr>
        <w:noProof/>
        <w:lang w:eastAsia="es-CO"/>
      </w:rPr>
      <w:drawing>
        <wp:anchor distT="0" distB="0" distL="114300" distR="114300" simplePos="0" relativeHeight="251659264" behindDoc="1" locked="0" layoutInCell="1" allowOverlap="1" wp14:anchorId="4EFCE5C9" wp14:editId="57082450">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6E65F829" wp14:editId="58EE3AB3">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464EBDF8" wp14:editId="55DA9DD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0288" behindDoc="0" locked="0" layoutInCell="1" allowOverlap="1" wp14:anchorId="3EE7587E" wp14:editId="4C3AA381">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1120FDB1" w14:textId="77777777" w:rsidR="006D7518" w:rsidRDefault="006D7518">
    <w:pPr>
      <w:pStyle w:val="Encabezado"/>
    </w:pPr>
  </w:p>
  <w:p w14:paraId="39B12BB2" w14:textId="77777777" w:rsidR="006D7518" w:rsidRDefault="006D7518">
    <w:pPr>
      <w:pStyle w:val="Encabezado"/>
    </w:pPr>
  </w:p>
  <w:p w14:paraId="5CE60E93" w14:textId="77777777" w:rsidR="006D7518" w:rsidRPr="004A305D" w:rsidRDefault="006D7518"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00C9FF1D" w14:textId="77777777" w:rsidR="006D7518" w:rsidRPr="004A305D" w:rsidRDefault="006D7518"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w:t>
    </w:r>
    <w:r>
      <w:rPr>
        <w:rFonts w:ascii="Century Gothic" w:eastAsia="Geo" w:hAnsi="Century Gothic" w:cs="Geo"/>
        <w:bCs/>
        <w:color w:val="000000"/>
        <w:sz w:val="16"/>
        <w:szCs w:val="16"/>
        <w:lang w:eastAsia="es-CO"/>
      </w:rPr>
      <w:t>7</w:t>
    </w:r>
  </w:p>
  <w:p w14:paraId="604CA99D" w14:textId="77777777" w:rsidR="006D7518" w:rsidRDefault="006D7518"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7813E112" w14:textId="77777777" w:rsidR="006D7518" w:rsidRDefault="006D7518" w:rsidP="005B5D8B">
    <w:pPr>
      <w:spacing w:after="0"/>
      <w:rPr>
        <w:rFonts w:ascii="Century Gothic" w:eastAsia="Geo" w:hAnsi="Century Gothic" w:cs="Geo"/>
        <w:sz w:val="16"/>
        <w:szCs w:val="16"/>
        <w:lang w:eastAsia="es-CO"/>
      </w:rPr>
    </w:pPr>
  </w:p>
  <w:p w14:paraId="2DAE7091" w14:textId="77777777" w:rsidR="006D7518" w:rsidRPr="005B5D8B" w:rsidRDefault="006D7518"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97112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30"/>
    <w:rsid w:val="00C278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6F0C"/>
  <w15:chartTrackingRefBased/>
  <w15:docId w15:val="{3DEEB285-DFCC-4120-8B70-3CE87E60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30"/>
    <w:pPr>
      <w:spacing w:line="259" w:lineRule="auto"/>
    </w:pPr>
    <w:rPr>
      <w:kern w:val="0"/>
      <w:sz w:val="22"/>
      <w:szCs w:val="22"/>
      <w14:ligatures w14:val="none"/>
    </w:rPr>
  </w:style>
  <w:style w:type="paragraph" w:styleId="Ttulo1">
    <w:name w:val="heading 1"/>
    <w:basedOn w:val="Normal"/>
    <w:next w:val="Normal"/>
    <w:link w:val="Ttulo1Car"/>
    <w:uiPriority w:val="9"/>
    <w:qFormat/>
    <w:rsid w:val="00C27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7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783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783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783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78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78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78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78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783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783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783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783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783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783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783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783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7830"/>
    <w:rPr>
      <w:rFonts w:eastAsiaTheme="majorEastAsia" w:cstheme="majorBidi"/>
      <w:color w:val="272727" w:themeColor="text1" w:themeTint="D8"/>
    </w:rPr>
  </w:style>
  <w:style w:type="paragraph" w:styleId="Ttulo">
    <w:name w:val="Title"/>
    <w:basedOn w:val="Normal"/>
    <w:next w:val="Normal"/>
    <w:link w:val="TtuloCar"/>
    <w:uiPriority w:val="10"/>
    <w:qFormat/>
    <w:rsid w:val="00C27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783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78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783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7830"/>
    <w:pPr>
      <w:spacing w:before="160"/>
      <w:jc w:val="center"/>
    </w:pPr>
    <w:rPr>
      <w:i/>
      <w:iCs/>
      <w:color w:val="404040" w:themeColor="text1" w:themeTint="BF"/>
    </w:rPr>
  </w:style>
  <w:style w:type="character" w:customStyle="1" w:styleId="CitaCar">
    <w:name w:val="Cita Car"/>
    <w:basedOn w:val="Fuentedeprrafopredeter"/>
    <w:link w:val="Cita"/>
    <w:uiPriority w:val="29"/>
    <w:rsid w:val="00C27830"/>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C27830"/>
    <w:pPr>
      <w:ind w:left="720"/>
      <w:contextualSpacing/>
    </w:pPr>
  </w:style>
  <w:style w:type="character" w:styleId="nfasisintenso">
    <w:name w:val="Intense Emphasis"/>
    <w:basedOn w:val="Fuentedeprrafopredeter"/>
    <w:uiPriority w:val="21"/>
    <w:qFormat/>
    <w:rsid w:val="00C27830"/>
    <w:rPr>
      <w:i/>
      <w:iCs/>
      <w:color w:val="0F4761" w:themeColor="accent1" w:themeShade="BF"/>
    </w:rPr>
  </w:style>
  <w:style w:type="paragraph" w:styleId="Citadestacada">
    <w:name w:val="Intense Quote"/>
    <w:basedOn w:val="Normal"/>
    <w:next w:val="Normal"/>
    <w:link w:val="CitadestacadaCar"/>
    <w:uiPriority w:val="30"/>
    <w:qFormat/>
    <w:rsid w:val="00C27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7830"/>
    <w:rPr>
      <w:i/>
      <w:iCs/>
      <w:color w:val="0F4761" w:themeColor="accent1" w:themeShade="BF"/>
    </w:rPr>
  </w:style>
  <w:style w:type="character" w:styleId="Referenciaintensa">
    <w:name w:val="Intense Reference"/>
    <w:basedOn w:val="Fuentedeprrafopredeter"/>
    <w:uiPriority w:val="32"/>
    <w:qFormat/>
    <w:rsid w:val="00C27830"/>
    <w:rPr>
      <w:b/>
      <w:bCs/>
      <w:smallCaps/>
      <w:color w:val="0F4761" w:themeColor="accent1" w:themeShade="BF"/>
      <w:spacing w:val="5"/>
    </w:rPr>
  </w:style>
  <w:style w:type="paragraph" w:styleId="Encabezado">
    <w:name w:val="header"/>
    <w:basedOn w:val="Normal"/>
    <w:link w:val="EncabezadoCar"/>
    <w:uiPriority w:val="99"/>
    <w:unhideWhenUsed/>
    <w:rsid w:val="00C27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7830"/>
    <w:rPr>
      <w:kern w:val="0"/>
      <w:sz w:val="22"/>
      <w:szCs w:val="22"/>
      <w14:ligatures w14:val="none"/>
    </w:rPr>
  </w:style>
  <w:style w:type="paragraph" w:styleId="Piedepgina">
    <w:name w:val="footer"/>
    <w:basedOn w:val="Normal"/>
    <w:link w:val="PiedepginaCar"/>
    <w:uiPriority w:val="99"/>
    <w:unhideWhenUsed/>
    <w:rsid w:val="00C27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7830"/>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2783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27830"/>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27830"/>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27830"/>
    <w:rPr>
      <w:vertAlign w:val="superscript"/>
    </w:rPr>
  </w:style>
  <w:style w:type="character" w:customStyle="1" w:styleId="normaltextrun">
    <w:name w:val="normaltextrun"/>
    <w:basedOn w:val="Fuentedeprrafopredeter"/>
    <w:rsid w:val="00C27830"/>
  </w:style>
  <w:style w:type="table" w:styleId="Tablaconcuadrcula">
    <w:name w:val="Table Grid"/>
    <w:basedOn w:val="Tablanormal"/>
    <w:uiPriority w:val="39"/>
    <w:rsid w:val="00C2783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27830"/>
    <w:rPr>
      <w:color w:val="0000FF"/>
      <w:u w:val="single"/>
    </w:rPr>
  </w:style>
  <w:style w:type="paragraph" w:customStyle="1" w:styleId="paragraph">
    <w:name w:val="paragraph"/>
    <w:basedOn w:val="Normal"/>
    <w:rsid w:val="00C278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C27830"/>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27830"/>
  </w:style>
  <w:style w:type="paragraph" w:customStyle="1" w:styleId="Appelnotedebasde">
    <w:name w:val="Appel note de bas de..."/>
    <w:basedOn w:val="Normal"/>
    <w:link w:val="Refdenotaalpie"/>
    <w:uiPriority w:val="99"/>
    <w:rsid w:val="00C27830"/>
    <w:pPr>
      <w:spacing w:line="240" w:lineRule="exact"/>
    </w:pPr>
    <w:rPr>
      <w:kern w:val="2"/>
      <w:sz w:val="24"/>
      <w:szCs w:val="24"/>
      <w:vertAlign w:val="superscript"/>
      <w14:ligatures w14:val="standardContextual"/>
    </w:rPr>
  </w:style>
  <w:style w:type="character" w:customStyle="1" w:styleId="wacimagecontainer">
    <w:name w:val="wacimagecontainer"/>
    <w:basedOn w:val="Fuentedeprrafopredeter"/>
    <w:rsid w:val="00C2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080_1993.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6087F-1F03-41A3-8943-31E94C50E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72E22-A723-453E-9897-DCDDF0CD971C}">
  <ds:schemaRefs>
    <ds:schemaRef ds:uri="http://schemas.microsoft.com/sharepoint/v3/contenttype/forms"/>
  </ds:schemaRefs>
</ds:datastoreItem>
</file>

<file path=customXml/itemProps3.xml><?xml version="1.0" encoding="utf-8"?>
<ds:datastoreItem xmlns:ds="http://schemas.openxmlformats.org/officeDocument/2006/customXml" ds:itemID="{FF944687-4411-4A75-8CD0-BB226B0C2ABF}">
  <ds:schemaRefs>
    <ds:schemaRef ds:uri="http://schemas.microsoft.com/office/2006/metadata/properties"/>
    <ds:schemaRef ds:uri="9d85dbaf-23eb-4e57-a637-93dcacc8b1a1"/>
    <ds:schemaRef ds:uri="http://schemas.openxmlformats.org/package/2006/metadata/core-properties"/>
    <ds:schemaRef ds:uri="http://schemas.microsoft.com/office/2006/documentManagement/types"/>
    <ds:schemaRef ds:uri="a6cb9e4b-f1d1-4245-83ec-6cad768d538a"/>
    <ds:schemaRef ds:uri="http://purl.org/dc/terms/"/>
    <ds:schemaRef ds:uri="http://schemas.microsoft.com/office/infopath/2007/PartnerControls"/>
    <ds:schemaRef ds:uri="http://purl.org/dc/elements/1.1/"/>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5007</Words>
  <Characters>27540</Characters>
  <Application>Microsoft Office Word</Application>
  <DocSecurity>0</DocSecurity>
  <Lines>229</Lines>
  <Paragraphs>64</Paragraphs>
  <ScaleCrop>false</ScaleCrop>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2024-03-14T19:46:00Z</dcterms:created>
  <dcterms:modified xsi:type="dcterms:W3CDTF">2024-03-14T19:46:00Z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