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70551974" w:rsidP="00F304EA">
      <w:pPr>
        <w:jc w:val="right"/>
        <w:rPr>
          <w:rFonts w:ascii="Arial" w:eastAsia="Calibri" w:hAnsi="Arial" w:cs="Arial"/>
          <w:b/>
          <w:bCs/>
          <w:sz w:val="20"/>
          <w:szCs w:val="20"/>
          <w:lang w:val="es-ES"/>
        </w:rPr>
      </w:pPr>
      <w:bookmarkStart w:id="0" w:name="_Hlk28946138"/>
      <w:bookmarkStart w:id="1" w:name="_Hlk29548183"/>
      <w:r w:rsidRPr="00781AC2">
        <w:rPr>
          <w:rFonts w:ascii="Arial" w:hAnsi="Arial" w:cs="Arial"/>
          <w:sz w:val="16"/>
          <w:szCs w:val="16"/>
          <w:lang w:val="es-ES" w:eastAsia="es-ES"/>
        </w:rPr>
        <w:t>CCE-DES-FM-17</w:t>
      </w:r>
      <w:bookmarkEnd w:id="0"/>
      <w:bookmarkEnd w:id="1"/>
    </w:p>
    <w:p w14:paraId="71E56F95" w14:textId="77777777" w:rsidR="00950DF7" w:rsidRPr="00781AC2" w:rsidRDefault="00950DF7" w:rsidP="00F304EA">
      <w:pPr>
        <w:jc w:val="both"/>
        <w:rPr>
          <w:rFonts w:ascii="Arial" w:eastAsia="Calibri" w:hAnsi="Arial" w:cs="Arial"/>
          <w:b/>
          <w:bCs/>
          <w:sz w:val="22"/>
          <w:szCs w:val="22"/>
          <w:lang w:val="es-ES_tradnl"/>
        </w:rPr>
      </w:pPr>
    </w:p>
    <w:p w14:paraId="38760D7C" w14:textId="2F24AE3E" w:rsidR="009E334F" w:rsidRPr="002D270E" w:rsidRDefault="009E334F" w:rsidP="009E334F">
      <w:pPr>
        <w:jc w:val="both"/>
        <w:rPr>
          <w:rFonts w:ascii="Arial" w:hAnsi="Arial" w:cs="Arial"/>
          <w:color w:val="000000" w:themeColor="text1"/>
          <w:sz w:val="22"/>
        </w:rPr>
      </w:pPr>
      <w:r w:rsidRPr="002D270E">
        <w:rPr>
          <w:rFonts w:ascii="Arial" w:eastAsia="Calibri" w:hAnsi="Arial" w:cs="Arial"/>
          <w:b/>
          <w:color w:val="000000" w:themeColor="text1"/>
          <w:sz w:val="22"/>
        </w:rPr>
        <w:t xml:space="preserve">CONTRATOS DE PRESTACIÓN DE SERVICIOS PROFESIONALES – Noción </w:t>
      </w:r>
    </w:p>
    <w:p w14:paraId="23F031B4" w14:textId="77777777" w:rsidR="009E334F" w:rsidRPr="00F927D0" w:rsidRDefault="009E334F" w:rsidP="009E334F">
      <w:pPr>
        <w:jc w:val="both"/>
        <w:rPr>
          <w:rFonts w:ascii="Arial" w:eastAsia="Calibri" w:hAnsi="Arial" w:cs="Arial"/>
          <w:color w:val="000000" w:themeColor="text1"/>
          <w:sz w:val="20"/>
          <w:szCs w:val="20"/>
        </w:rPr>
      </w:pPr>
    </w:p>
    <w:p w14:paraId="50AF9032" w14:textId="11ABC09B" w:rsidR="009E334F" w:rsidRPr="002D270E" w:rsidRDefault="009E334F" w:rsidP="009E334F">
      <w:pPr>
        <w:jc w:val="both"/>
        <w:rPr>
          <w:rFonts w:ascii="Arial" w:eastAsia="Calibri" w:hAnsi="Arial" w:cs="Arial"/>
          <w:color w:val="000000" w:themeColor="text1"/>
          <w:sz w:val="20"/>
          <w:szCs w:val="20"/>
        </w:rPr>
      </w:pPr>
      <w:r w:rsidRPr="42188172">
        <w:rPr>
          <w:rFonts w:ascii="Arial" w:eastAsia="Calibri" w:hAnsi="Arial" w:cs="Arial"/>
          <w:color w:val="000000" w:themeColor="text1"/>
          <w:sz w:val="20"/>
          <w:szCs w:val="20"/>
        </w:rPr>
        <w:t xml:space="preserve">Son todos </w:t>
      </w:r>
      <w:r w:rsidRPr="42188172">
        <w:rPr>
          <w:rFonts w:ascii="Arial" w:hAnsi="Arial" w:cs="Arial"/>
          <w:color w:val="000000" w:themeColor="text1"/>
          <w:sz w:val="20"/>
          <w:szCs w:val="20"/>
        </w:rPr>
        <w:t>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p>
    <w:p w14:paraId="7A3BA4C7" w14:textId="77777777" w:rsidR="009E334F" w:rsidRPr="00F927D0" w:rsidRDefault="009E334F" w:rsidP="009E334F">
      <w:pPr>
        <w:pStyle w:val="Prrafodelista"/>
        <w:ind w:left="0"/>
        <w:jc w:val="both"/>
        <w:rPr>
          <w:rFonts w:ascii="Arial" w:eastAsia="Calibri" w:hAnsi="Arial" w:cs="Arial"/>
          <w:b/>
          <w:color w:val="000000" w:themeColor="text1"/>
          <w:sz w:val="20"/>
          <w:szCs w:val="20"/>
        </w:rPr>
      </w:pPr>
    </w:p>
    <w:p w14:paraId="5D2D6598" w14:textId="08C410CF" w:rsidR="009E334F" w:rsidRPr="001C2DE2" w:rsidRDefault="009E334F" w:rsidP="009E334F">
      <w:pPr>
        <w:pStyle w:val="Prrafodelista"/>
        <w:ind w:left="0"/>
        <w:jc w:val="both"/>
        <w:rPr>
          <w:rFonts w:ascii="Arial" w:eastAsia="Calibri" w:hAnsi="Arial" w:cs="Arial"/>
          <w:b/>
          <w:color w:val="000000" w:themeColor="text1"/>
          <w:sz w:val="22"/>
        </w:rPr>
      </w:pPr>
      <w:r w:rsidRPr="001C2DE2">
        <w:rPr>
          <w:rFonts w:ascii="Arial" w:eastAsia="Calibri" w:hAnsi="Arial" w:cs="Arial"/>
          <w:b/>
          <w:color w:val="000000" w:themeColor="text1"/>
          <w:sz w:val="22"/>
        </w:rPr>
        <w:t xml:space="preserve">CONTRATOS DE PRESTACIÓN DE SERVICIOS DE APOYO A LA GESTIÓN – Noción </w:t>
      </w:r>
    </w:p>
    <w:p w14:paraId="319F6970" w14:textId="77777777" w:rsidR="009E334F" w:rsidRPr="00F927D0" w:rsidRDefault="009E334F" w:rsidP="009E334F">
      <w:pPr>
        <w:pStyle w:val="Prrafodelista"/>
        <w:ind w:left="0"/>
        <w:jc w:val="both"/>
        <w:rPr>
          <w:rFonts w:ascii="Arial" w:eastAsia="Calibri" w:hAnsi="Arial" w:cs="Arial"/>
          <w:color w:val="000000" w:themeColor="text1"/>
          <w:sz w:val="20"/>
          <w:szCs w:val="20"/>
        </w:rPr>
      </w:pPr>
    </w:p>
    <w:p w14:paraId="4B9CB2C5" w14:textId="14FC50B4" w:rsidR="009E334F" w:rsidRPr="001C2DE2" w:rsidRDefault="00BB645A" w:rsidP="009E334F">
      <w:pPr>
        <w:pStyle w:val="Prrafodelista"/>
        <w:ind w:left="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9E334F" w:rsidRPr="42188172">
        <w:rPr>
          <w:rFonts w:ascii="Arial" w:eastAsia="Calibri" w:hAnsi="Arial" w:cs="Arial"/>
          <w:color w:val="000000" w:themeColor="text1"/>
          <w:sz w:val="20"/>
          <w:szCs w:val="20"/>
        </w:rPr>
        <w:t>Aquellos de naturaleza intelectual diferentes a los de consultoría que se derivan del cumplimiento de las funciones de la Entidad Estatal, así como los relacionados con actividades operativas, logísticas, o asistenciales</w:t>
      </w:r>
      <w:r>
        <w:rPr>
          <w:rFonts w:ascii="Arial" w:eastAsia="Calibri" w:hAnsi="Arial" w:cs="Arial"/>
          <w:color w:val="000000" w:themeColor="text1"/>
          <w:sz w:val="20"/>
          <w:szCs w:val="20"/>
        </w:rPr>
        <w:t>”</w:t>
      </w:r>
      <w:r w:rsidR="009E334F" w:rsidRPr="42188172">
        <w:rPr>
          <w:rFonts w:ascii="Arial" w:eastAsia="Calibri" w:hAnsi="Arial" w:cs="Arial"/>
          <w:color w:val="000000" w:themeColor="text1"/>
          <w:sz w:val="20"/>
          <w:szCs w:val="20"/>
        </w:rPr>
        <w:t xml:space="preserve">. </w:t>
      </w:r>
    </w:p>
    <w:p w14:paraId="55831B89" w14:textId="77777777" w:rsidR="009E334F" w:rsidRPr="00F927D0" w:rsidRDefault="009E334F" w:rsidP="009E334F">
      <w:pPr>
        <w:jc w:val="both"/>
        <w:rPr>
          <w:rFonts w:ascii="Arial" w:eastAsia="Calibri" w:hAnsi="Arial" w:cs="Arial"/>
          <w:b/>
          <w:color w:val="000000" w:themeColor="text1"/>
          <w:sz w:val="20"/>
          <w:szCs w:val="20"/>
        </w:rPr>
      </w:pPr>
    </w:p>
    <w:p w14:paraId="341A1BD6" w14:textId="77777777" w:rsidR="007C7155" w:rsidRDefault="007C7155" w:rsidP="00F304EA">
      <w:pPr>
        <w:jc w:val="both"/>
        <w:rPr>
          <w:rFonts w:ascii="Arial" w:eastAsia="Calibri" w:hAnsi="Arial" w:cs="Arial"/>
          <w:b/>
          <w:bCs/>
          <w:sz w:val="22"/>
          <w:szCs w:val="22"/>
          <w:lang w:val="es-ES_tradnl"/>
        </w:rPr>
      </w:pPr>
    </w:p>
    <w:p w14:paraId="540DED7A" w14:textId="77777777" w:rsidR="009E334F" w:rsidRPr="00B41BD0" w:rsidRDefault="009E334F" w:rsidP="009E334F">
      <w:pPr>
        <w:pStyle w:val="Textoindependiente"/>
        <w:ind w:right="326"/>
        <w:jc w:val="both"/>
        <w:rPr>
          <w:b/>
          <w:bCs/>
        </w:rPr>
      </w:pPr>
      <w:r w:rsidRPr="00B41BD0">
        <w:rPr>
          <w:b/>
          <w:bCs/>
        </w:rPr>
        <w:t xml:space="preserve">OBLIGACIÓN DE PAGO </w:t>
      </w:r>
      <w:r w:rsidRPr="00511971">
        <w:rPr>
          <w:b/>
          <w:color w:val="000000" w:themeColor="text1"/>
        </w:rPr>
        <w:t>–</w:t>
      </w:r>
      <w:r w:rsidRPr="00B41BD0">
        <w:rPr>
          <w:b/>
          <w:bCs/>
        </w:rPr>
        <w:t xml:space="preserve"> Crédito del acreedor </w:t>
      </w:r>
      <w:r w:rsidRPr="00511971">
        <w:rPr>
          <w:b/>
          <w:color w:val="000000" w:themeColor="text1"/>
        </w:rPr>
        <w:t>–</w:t>
      </w:r>
      <w:r w:rsidRPr="00B41BD0">
        <w:rPr>
          <w:b/>
          <w:bCs/>
        </w:rPr>
        <w:t xml:space="preserve"> Derecho personal o de crédito </w:t>
      </w:r>
      <w:r w:rsidRPr="00511971">
        <w:rPr>
          <w:b/>
          <w:color w:val="000000" w:themeColor="text1"/>
        </w:rPr>
        <w:t>–</w:t>
      </w:r>
      <w:r w:rsidRPr="00B41BD0">
        <w:rPr>
          <w:b/>
          <w:bCs/>
        </w:rPr>
        <w:t xml:space="preserve"> Cesión de crédito</w:t>
      </w:r>
    </w:p>
    <w:p w14:paraId="355C5456" w14:textId="77777777" w:rsidR="009E334F" w:rsidRPr="00B41BD0" w:rsidRDefault="009E334F" w:rsidP="009E334F">
      <w:pPr>
        <w:pStyle w:val="Textoindependiente"/>
        <w:ind w:left="284" w:right="326"/>
        <w:jc w:val="both"/>
        <w:rPr>
          <w:sz w:val="20"/>
          <w:szCs w:val="20"/>
        </w:rPr>
      </w:pPr>
    </w:p>
    <w:p w14:paraId="321C3A1D" w14:textId="03AEADED" w:rsidR="009E334F" w:rsidRPr="00B41BD0" w:rsidRDefault="009E334F" w:rsidP="009E334F">
      <w:pPr>
        <w:pStyle w:val="Textoindependiente"/>
        <w:spacing w:after="120"/>
        <w:ind w:right="49"/>
        <w:jc w:val="both"/>
        <w:rPr>
          <w:sz w:val="20"/>
          <w:szCs w:val="20"/>
        </w:rPr>
      </w:pPr>
      <w:r w:rsidRPr="00B41BD0">
        <w:rPr>
          <w:sz w:val="20"/>
          <w:szCs w:val="20"/>
        </w:rPr>
        <w:t>Sin perjuicio de lo anterior, también debe tenerse en cuenta que la obligación de pago comporta un crédito en favor del acreedor beneficiario, que constituye un derecho personal, de contenido económico, cuya definición está prevista en el artículo 666 del Código Civil</w:t>
      </w:r>
      <w:r w:rsidR="00BB645A">
        <w:rPr>
          <w:sz w:val="20"/>
          <w:szCs w:val="20"/>
        </w:rPr>
        <w:t>.</w:t>
      </w:r>
    </w:p>
    <w:p w14:paraId="7FEE4053" w14:textId="0E289272" w:rsidR="009E334F" w:rsidRDefault="009E334F" w:rsidP="009E334F">
      <w:pPr>
        <w:pStyle w:val="Textoindependiente"/>
        <w:ind w:right="49"/>
        <w:jc w:val="both"/>
        <w:rPr>
          <w:sz w:val="20"/>
          <w:szCs w:val="20"/>
        </w:rPr>
      </w:pPr>
      <w:r w:rsidRPr="00B41BD0">
        <w:rPr>
          <w:sz w:val="20"/>
          <w:szCs w:val="20"/>
        </w:rPr>
        <w:t xml:space="preserve">El titular de un crédito, contenido o no en un documento que sirva de título, puede disponer de el por cualquier causa: venta, permuta, donación, aporte en sociedad, etc., es decir, onerosa o gratuitamente, por constituir un activo patrimonial. Otra de las formas de disponer de un crédito es mediante la cesión. </w:t>
      </w:r>
    </w:p>
    <w:p w14:paraId="4586DD3B" w14:textId="77777777" w:rsidR="00D651D4" w:rsidRPr="00B41BD0" w:rsidRDefault="00D651D4" w:rsidP="009E334F">
      <w:pPr>
        <w:pStyle w:val="Textoindependiente"/>
        <w:ind w:right="49"/>
        <w:jc w:val="both"/>
        <w:rPr>
          <w:sz w:val="20"/>
          <w:szCs w:val="20"/>
        </w:rPr>
      </w:pPr>
    </w:p>
    <w:p w14:paraId="5128C627" w14:textId="77777777" w:rsidR="009E334F" w:rsidRPr="00B41BD0" w:rsidRDefault="009E334F" w:rsidP="009E334F">
      <w:pPr>
        <w:pStyle w:val="Textoindependiente"/>
        <w:ind w:right="326"/>
        <w:jc w:val="both"/>
        <w:rPr>
          <w:b/>
          <w:bCs/>
        </w:rPr>
      </w:pPr>
      <w:r w:rsidRPr="35835ABF">
        <w:rPr>
          <w:b/>
          <w:bCs/>
        </w:rPr>
        <w:t xml:space="preserve">CONTRATO DE CESIÓN </w:t>
      </w:r>
      <w:r w:rsidRPr="35835ABF">
        <w:rPr>
          <w:b/>
          <w:bCs/>
          <w:color w:val="000000" w:themeColor="text1"/>
        </w:rPr>
        <w:t>–</w:t>
      </w:r>
      <w:r w:rsidRPr="35835ABF">
        <w:rPr>
          <w:b/>
          <w:bCs/>
        </w:rPr>
        <w:t xml:space="preserve"> Cesión de crédito </w:t>
      </w:r>
      <w:r w:rsidRPr="35835ABF">
        <w:rPr>
          <w:b/>
          <w:bCs/>
          <w:color w:val="000000" w:themeColor="text1"/>
        </w:rPr>
        <w:t>–</w:t>
      </w:r>
      <w:r w:rsidRPr="35835ABF">
        <w:rPr>
          <w:b/>
          <w:bCs/>
        </w:rPr>
        <w:t xml:space="preserve"> Régimen jurídico </w:t>
      </w:r>
      <w:r w:rsidRPr="35835ABF">
        <w:rPr>
          <w:b/>
          <w:bCs/>
          <w:color w:val="000000" w:themeColor="text1"/>
        </w:rPr>
        <w:t>–</w:t>
      </w:r>
      <w:r w:rsidRPr="35835ABF">
        <w:rPr>
          <w:b/>
          <w:bCs/>
        </w:rPr>
        <w:t xml:space="preserve"> Requisitos </w:t>
      </w:r>
    </w:p>
    <w:p w14:paraId="2446A69A" w14:textId="77777777" w:rsidR="009E334F" w:rsidRDefault="009E334F" w:rsidP="009E334F">
      <w:pPr>
        <w:pStyle w:val="Textoindependiente"/>
        <w:ind w:left="284" w:right="326"/>
        <w:jc w:val="both"/>
        <w:rPr>
          <w:b/>
          <w:bCs/>
        </w:rPr>
      </w:pPr>
    </w:p>
    <w:p w14:paraId="534B069B" w14:textId="6677771E" w:rsidR="00BB645A" w:rsidRDefault="00BB645A" w:rsidP="00BB645A">
      <w:pPr>
        <w:jc w:val="both"/>
        <w:rPr>
          <w:rFonts w:ascii="Arial" w:eastAsia="Arial" w:hAnsi="Arial" w:cs="Arial"/>
          <w:sz w:val="20"/>
          <w:szCs w:val="20"/>
          <w:lang w:val="es-ES" w:eastAsia="en-US"/>
        </w:rPr>
      </w:pPr>
      <w:r w:rsidRPr="00BB645A">
        <w:rPr>
          <w:rFonts w:ascii="Arial" w:eastAsia="Arial" w:hAnsi="Arial" w:cs="Arial"/>
          <w:sz w:val="20"/>
          <w:szCs w:val="20"/>
          <w:lang w:val="es-ES" w:eastAsia="en-US"/>
        </w:rPr>
        <w:t>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 efectos para el deudor y terceros luego de que el cesionario la notifica al deudor o es aceptada por éste; iv)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w:t>
      </w:r>
      <w:r>
        <w:rPr>
          <w:rFonts w:ascii="Arial" w:eastAsia="Arial" w:hAnsi="Arial" w:cs="Arial"/>
          <w:sz w:val="20"/>
          <w:szCs w:val="20"/>
          <w:lang w:val="es-ES" w:eastAsia="en-US"/>
        </w:rPr>
        <w:t>isión del Código de Comercio.</w:t>
      </w:r>
    </w:p>
    <w:p w14:paraId="22ACAF1E" w14:textId="77777777" w:rsidR="00BB645A" w:rsidRPr="00BB645A" w:rsidRDefault="00BB645A" w:rsidP="00BB645A">
      <w:pPr>
        <w:jc w:val="both"/>
        <w:rPr>
          <w:rFonts w:ascii="Arial" w:eastAsia="Arial" w:hAnsi="Arial" w:cs="Arial"/>
          <w:sz w:val="20"/>
          <w:szCs w:val="20"/>
          <w:lang w:val="es-ES" w:eastAsia="en-US"/>
        </w:rPr>
      </w:pPr>
    </w:p>
    <w:p w14:paraId="4DA1D755" w14:textId="00495748" w:rsidR="00CE0360" w:rsidRDefault="00BB645A" w:rsidP="00BB645A">
      <w:pPr>
        <w:jc w:val="both"/>
        <w:rPr>
          <w:rFonts w:ascii="Arial" w:hAnsi="Arial" w:cs="Arial"/>
          <w:sz w:val="22"/>
          <w:szCs w:val="22"/>
          <w:shd w:val="clear" w:color="auto" w:fill="E6E6E6"/>
          <w:lang w:val="es-MX" w:eastAsia="es-CO"/>
        </w:rPr>
      </w:pPr>
      <w:r w:rsidRPr="00BB645A">
        <w:rPr>
          <w:rFonts w:ascii="Arial" w:eastAsia="Arial" w:hAnsi="Arial" w:cs="Arial"/>
          <w:sz w:val="20"/>
          <w:szCs w:val="20"/>
          <w:lang w:val="es-ES" w:eastAsia="en-US"/>
        </w:rPr>
        <w:lastRenderedPageBreak/>
        <w:t>En el contexto expuesto, un crédito a favor del contratista de un contrato estatal puede ser cedido, cumpliendo con las previsiones legales que hacen oponible la transmisión del derecho a una tercera persona, caso en el cual la entidad contratante podrá pagar válidamente la contraprestación que debe al cesionario.</w:t>
      </w:r>
    </w:p>
    <w:p w14:paraId="0DF72DD6" w14:textId="77777777" w:rsidR="00CE0360" w:rsidRDefault="00CE0360" w:rsidP="00F304EA">
      <w:pPr>
        <w:rPr>
          <w:rFonts w:ascii="Arial" w:hAnsi="Arial" w:cs="Arial"/>
          <w:sz w:val="22"/>
          <w:szCs w:val="22"/>
          <w:shd w:val="clear" w:color="auto" w:fill="E6E6E6"/>
          <w:lang w:val="es-MX" w:eastAsia="es-CO"/>
        </w:rPr>
      </w:pPr>
    </w:p>
    <w:p w14:paraId="1F33A9FD" w14:textId="77777777" w:rsidR="00CE0360" w:rsidRDefault="00CE0360" w:rsidP="00F304EA">
      <w:pPr>
        <w:rPr>
          <w:rFonts w:ascii="Arial" w:hAnsi="Arial" w:cs="Arial"/>
          <w:sz w:val="22"/>
          <w:szCs w:val="22"/>
          <w:shd w:val="clear" w:color="auto" w:fill="E6E6E6"/>
          <w:lang w:val="es-MX" w:eastAsia="es-CO"/>
        </w:rPr>
      </w:pPr>
    </w:p>
    <w:p w14:paraId="5ED38691" w14:textId="77777777" w:rsidR="00CE0360" w:rsidRDefault="00CE0360" w:rsidP="00F304EA">
      <w:pPr>
        <w:rPr>
          <w:rFonts w:ascii="Arial" w:hAnsi="Arial" w:cs="Arial"/>
          <w:sz w:val="22"/>
          <w:szCs w:val="22"/>
          <w:shd w:val="clear" w:color="auto" w:fill="E6E6E6"/>
          <w:lang w:val="es-MX" w:eastAsia="es-CO"/>
        </w:rPr>
      </w:pPr>
    </w:p>
    <w:p w14:paraId="3AF9D3BA" w14:textId="77777777" w:rsidR="00CE0360" w:rsidRDefault="00CE0360" w:rsidP="00F304EA">
      <w:pPr>
        <w:rPr>
          <w:rFonts w:ascii="Arial" w:hAnsi="Arial" w:cs="Arial"/>
          <w:sz w:val="22"/>
          <w:szCs w:val="22"/>
          <w:shd w:val="clear" w:color="auto" w:fill="E6E6E6"/>
          <w:lang w:val="es-MX" w:eastAsia="es-CO"/>
        </w:rPr>
      </w:pPr>
    </w:p>
    <w:p w14:paraId="5B14D81C" w14:textId="77777777" w:rsidR="00CE0360" w:rsidRDefault="00CE0360" w:rsidP="00F304EA">
      <w:pPr>
        <w:rPr>
          <w:rFonts w:ascii="Arial" w:hAnsi="Arial" w:cs="Arial"/>
          <w:sz w:val="22"/>
          <w:szCs w:val="22"/>
          <w:shd w:val="clear" w:color="auto" w:fill="E6E6E6"/>
          <w:lang w:val="es-MX" w:eastAsia="es-CO"/>
        </w:rPr>
      </w:pPr>
    </w:p>
    <w:p w14:paraId="0B0021D3" w14:textId="77777777" w:rsidR="00CE0360" w:rsidRDefault="00CE0360" w:rsidP="00F304EA">
      <w:pPr>
        <w:rPr>
          <w:rFonts w:ascii="Arial" w:hAnsi="Arial" w:cs="Arial"/>
          <w:sz w:val="22"/>
          <w:szCs w:val="22"/>
          <w:shd w:val="clear" w:color="auto" w:fill="E6E6E6"/>
          <w:lang w:val="es-MX" w:eastAsia="es-CO"/>
        </w:rPr>
      </w:pPr>
    </w:p>
    <w:p w14:paraId="19F2BFBA" w14:textId="77777777" w:rsidR="00CE0360" w:rsidRDefault="00CE0360" w:rsidP="00F304EA">
      <w:pPr>
        <w:rPr>
          <w:rFonts w:ascii="Arial" w:hAnsi="Arial" w:cs="Arial"/>
          <w:sz w:val="22"/>
          <w:szCs w:val="22"/>
          <w:shd w:val="clear" w:color="auto" w:fill="E6E6E6"/>
          <w:lang w:val="es-MX" w:eastAsia="es-CO"/>
        </w:rPr>
      </w:pPr>
    </w:p>
    <w:p w14:paraId="1F631386" w14:textId="77777777" w:rsidR="00CE0360" w:rsidRDefault="00CE0360" w:rsidP="00F304EA">
      <w:pPr>
        <w:rPr>
          <w:rFonts w:ascii="Arial" w:hAnsi="Arial" w:cs="Arial"/>
          <w:sz w:val="22"/>
          <w:szCs w:val="22"/>
          <w:shd w:val="clear" w:color="auto" w:fill="E6E6E6"/>
          <w:lang w:val="es-MX" w:eastAsia="es-CO"/>
        </w:rPr>
      </w:pPr>
    </w:p>
    <w:p w14:paraId="186FA213" w14:textId="77777777" w:rsidR="00CE0360" w:rsidRDefault="00CE0360" w:rsidP="00F304EA">
      <w:pPr>
        <w:rPr>
          <w:rFonts w:ascii="Arial" w:hAnsi="Arial" w:cs="Arial"/>
          <w:sz w:val="22"/>
          <w:szCs w:val="22"/>
          <w:shd w:val="clear" w:color="auto" w:fill="E6E6E6"/>
          <w:lang w:val="es-MX" w:eastAsia="es-CO"/>
        </w:rPr>
      </w:pPr>
    </w:p>
    <w:p w14:paraId="4099C08A" w14:textId="77777777" w:rsidR="00CE0360" w:rsidRDefault="00CE0360" w:rsidP="00F304EA">
      <w:pPr>
        <w:rPr>
          <w:rFonts w:ascii="Arial" w:hAnsi="Arial" w:cs="Arial"/>
          <w:sz w:val="22"/>
          <w:szCs w:val="22"/>
          <w:shd w:val="clear" w:color="auto" w:fill="E6E6E6"/>
          <w:lang w:val="es-MX" w:eastAsia="es-CO"/>
        </w:rPr>
      </w:pPr>
    </w:p>
    <w:p w14:paraId="2E675C3A" w14:textId="77777777" w:rsidR="00CE0360" w:rsidRDefault="00CE0360" w:rsidP="00F304EA">
      <w:pPr>
        <w:rPr>
          <w:rFonts w:ascii="Arial" w:hAnsi="Arial" w:cs="Arial"/>
          <w:sz w:val="22"/>
          <w:szCs w:val="22"/>
          <w:shd w:val="clear" w:color="auto" w:fill="E6E6E6"/>
          <w:lang w:val="es-MX" w:eastAsia="es-CO"/>
        </w:rPr>
      </w:pPr>
    </w:p>
    <w:p w14:paraId="39FCAF2F" w14:textId="77777777" w:rsidR="00CE0360" w:rsidRDefault="00CE0360" w:rsidP="00F304EA">
      <w:pPr>
        <w:rPr>
          <w:rFonts w:ascii="Arial" w:hAnsi="Arial" w:cs="Arial"/>
          <w:sz w:val="22"/>
          <w:szCs w:val="22"/>
          <w:shd w:val="clear" w:color="auto" w:fill="E6E6E6"/>
          <w:lang w:val="es-MX" w:eastAsia="es-CO"/>
        </w:rPr>
      </w:pPr>
    </w:p>
    <w:p w14:paraId="475E59B9" w14:textId="77777777" w:rsidR="00CE0360" w:rsidRDefault="00CE0360" w:rsidP="00F304EA">
      <w:pPr>
        <w:rPr>
          <w:rFonts w:ascii="Arial" w:hAnsi="Arial" w:cs="Arial"/>
          <w:sz w:val="22"/>
          <w:szCs w:val="22"/>
          <w:shd w:val="clear" w:color="auto" w:fill="E6E6E6"/>
          <w:lang w:val="es-MX" w:eastAsia="es-CO"/>
        </w:rPr>
      </w:pPr>
    </w:p>
    <w:p w14:paraId="718A2A7F" w14:textId="77777777" w:rsidR="00CE0360" w:rsidRDefault="00CE0360" w:rsidP="00F304EA">
      <w:pPr>
        <w:rPr>
          <w:rFonts w:ascii="Arial" w:hAnsi="Arial" w:cs="Arial"/>
          <w:sz w:val="22"/>
          <w:szCs w:val="22"/>
          <w:shd w:val="clear" w:color="auto" w:fill="E6E6E6"/>
          <w:lang w:val="es-MX" w:eastAsia="es-CO"/>
        </w:rPr>
      </w:pPr>
    </w:p>
    <w:p w14:paraId="0DAF1BD8" w14:textId="77777777" w:rsidR="00CE0360" w:rsidRDefault="00CE0360" w:rsidP="00F304EA">
      <w:pPr>
        <w:rPr>
          <w:rFonts w:ascii="Arial" w:hAnsi="Arial" w:cs="Arial"/>
          <w:sz w:val="22"/>
          <w:szCs w:val="22"/>
          <w:shd w:val="clear" w:color="auto" w:fill="E6E6E6"/>
          <w:lang w:val="es-MX" w:eastAsia="es-CO"/>
        </w:rPr>
      </w:pPr>
    </w:p>
    <w:p w14:paraId="3E87BD2D" w14:textId="77777777" w:rsidR="00CE0360" w:rsidRDefault="00CE0360" w:rsidP="00F304EA">
      <w:pPr>
        <w:rPr>
          <w:rFonts w:ascii="Arial" w:hAnsi="Arial" w:cs="Arial"/>
          <w:sz w:val="22"/>
          <w:szCs w:val="22"/>
          <w:shd w:val="clear" w:color="auto" w:fill="E6E6E6"/>
          <w:lang w:val="es-MX" w:eastAsia="es-CO"/>
        </w:rPr>
      </w:pPr>
    </w:p>
    <w:p w14:paraId="6254F11F" w14:textId="77777777" w:rsidR="00CE0360" w:rsidRDefault="00CE0360" w:rsidP="00F304EA">
      <w:pPr>
        <w:rPr>
          <w:rFonts w:ascii="Arial" w:hAnsi="Arial" w:cs="Arial"/>
          <w:sz w:val="22"/>
          <w:szCs w:val="22"/>
          <w:shd w:val="clear" w:color="auto" w:fill="E6E6E6"/>
          <w:lang w:val="es-MX" w:eastAsia="es-CO"/>
        </w:rPr>
      </w:pPr>
    </w:p>
    <w:p w14:paraId="582620BE" w14:textId="77777777" w:rsidR="00CE0360" w:rsidRDefault="00CE0360" w:rsidP="00F304EA">
      <w:pPr>
        <w:rPr>
          <w:rFonts w:ascii="Arial" w:hAnsi="Arial" w:cs="Arial"/>
          <w:sz w:val="22"/>
          <w:szCs w:val="22"/>
          <w:shd w:val="clear" w:color="auto" w:fill="E6E6E6"/>
          <w:lang w:val="es-MX" w:eastAsia="es-CO"/>
        </w:rPr>
      </w:pPr>
    </w:p>
    <w:p w14:paraId="2350AFC7" w14:textId="77777777" w:rsidR="00CE0360" w:rsidRDefault="00CE0360" w:rsidP="00F304EA">
      <w:pPr>
        <w:rPr>
          <w:rFonts w:ascii="Arial" w:hAnsi="Arial" w:cs="Arial"/>
          <w:sz w:val="22"/>
          <w:szCs w:val="22"/>
          <w:shd w:val="clear" w:color="auto" w:fill="E6E6E6"/>
          <w:lang w:val="es-MX" w:eastAsia="es-CO"/>
        </w:rPr>
      </w:pPr>
    </w:p>
    <w:p w14:paraId="3EF3AD4B" w14:textId="77777777" w:rsidR="00CE0360" w:rsidRDefault="00CE0360" w:rsidP="00F304EA">
      <w:pPr>
        <w:rPr>
          <w:rFonts w:ascii="Arial" w:hAnsi="Arial" w:cs="Arial"/>
          <w:sz w:val="22"/>
          <w:szCs w:val="22"/>
          <w:shd w:val="clear" w:color="auto" w:fill="E6E6E6"/>
          <w:lang w:val="es-MX" w:eastAsia="es-CO"/>
        </w:rPr>
      </w:pPr>
    </w:p>
    <w:p w14:paraId="71F6EEE4" w14:textId="089EC70D" w:rsidR="00CE0360" w:rsidRDefault="00CE0360" w:rsidP="00F304EA">
      <w:pPr>
        <w:rPr>
          <w:rFonts w:ascii="Arial" w:hAnsi="Arial" w:cs="Arial"/>
          <w:sz w:val="22"/>
          <w:szCs w:val="22"/>
          <w:shd w:val="clear" w:color="auto" w:fill="E6E6E6"/>
          <w:lang w:val="es-MX" w:eastAsia="es-CO"/>
        </w:rPr>
      </w:pPr>
    </w:p>
    <w:p w14:paraId="5F31D65F" w14:textId="77777777" w:rsidR="003473A1" w:rsidRDefault="003473A1" w:rsidP="00F304EA">
      <w:pPr>
        <w:rPr>
          <w:rFonts w:ascii="Arial" w:hAnsi="Arial" w:cs="Arial"/>
          <w:sz w:val="22"/>
          <w:szCs w:val="22"/>
          <w:shd w:val="clear" w:color="auto" w:fill="E6E6E6"/>
          <w:lang w:val="es-MX" w:eastAsia="es-CO"/>
        </w:rPr>
      </w:pPr>
    </w:p>
    <w:p w14:paraId="2FE6693E" w14:textId="77777777" w:rsidR="003473A1" w:rsidRDefault="003473A1" w:rsidP="00F304EA">
      <w:pPr>
        <w:rPr>
          <w:rFonts w:ascii="Arial" w:hAnsi="Arial" w:cs="Arial"/>
          <w:sz w:val="22"/>
          <w:szCs w:val="22"/>
          <w:shd w:val="clear" w:color="auto" w:fill="E6E6E6"/>
          <w:lang w:val="es-MX" w:eastAsia="es-CO"/>
        </w:rPr>
      </w:pPr>
    </w:p>
    <w:p w14:paraId="48EE51D6" w14:textId="77777777" w:rsidR="003473A1" w:rsidRDefault="003473A1" w:rsidP="00F304EA">
      <w:pPr>
        <w:rPr>
          <w:rFonts w:ascii="Arial" w:hAnsi="Arial" w:cs="Arial"/>
          <w:sz w:val="22"/>
          <w:szCs w:val="22"/>
          <w:shd w:val="clear" w:color="auto" w:fill="E6E6E6"/>
          <w:lang w:val="es-MX" w:eastAsia="es-CO"/>
        </w:rPr>
      </w:pPr>
    </w:p>
    <w:p w14:paraId="4BCAC093" w14:textId="77777777" w:rsidR="003473A1" w:rsidRDefault="003473A1" w:rsidP="00F304EA">
      <w:pPr>
        <w:rPr>
          <w:rFonts w:ascii="Arial" w:hAnsi="Arial" w:cs="Arial"/>
          <w:sz w:val="22"/>
          <w:szCs w:val="22"/>
          <w:shd w:val="clear" w:color="auto" w:fill="E6E6E6"/>
          <w:lang w:val="es-MX" w:eastAsia="es-CO"/>
        </w:rPr>
      </w:pPr>
    </w:p>
    <w:p w14:paraId="146F2C57" w14:textId="77777777" w:rsidR="003473A1" w:rsidRDefault="003473A1" w:rsidP="00F304EA">
      <w:pPr>
        <w:rPr>
          <w:rFonts w:ascii="Arial" w:hAnsi="Arial" w:cs="Arial"/>
          <w:sz w:val="22"/>
          <w:szCs w:val="22"/>
          <w:shd w:val="clear" w:color="auto" w:fill="E6E6E6"/>
          <w:lang w:val="es-MX" w:eastAsia="es-CO"/>
        </w:rPr>
      </w:pPr>
    </w:p>
    <w:p w14:paraId="379673CD" w14:textId="77777777" w:rsidR="003473A1" w:rsidRDefault="003473A1" w:rsidP="00F304EA">
      <w:pPr>
        <w:rPr>
          <w:rFonts w:ascii="Arial" w:hAnsi="Arial" w:cs="Arial"/>
          <w:sz w:val="22"/>
          <w:szCs w:val="22"/>
          <w:shd w:val="clear" w:color="auto" w:fill="E6E6E6"/>
          <w:lang w:val="es-MX" w:eastAsia="es-CO"/>
        </w:rPr>
      </w:pPr>
    </w:p>
    <w:p w14:paraId="77E2153F" w14:textId="77777777" w:rsidR="003473A1" w:rsidRDefault="003473A1" w:rsidP="00F304EA">
      <w:pPr>
        <w:rPr>
          <w:rFonts w:ascii="Arial" w:hAnsi="Arial" w:cs="Arial"/>
          <w:sz w:val="22"/>
          <w:szCs w:val="22"/>
          <w:shd w:val="clear" w:color="auto" w:fill="E6E6E6"/>
          <w:lang w:val="es-MX" w:eastAsia="es-CO"/>
        </w:rPr>
      </w:pPr>
    </w:p>
    <w:p w14:paraId="7BC190F2" w14:textId="77777777" w:rsidR="003473A1" w:rsidRDefault="003473A1" w:rsidP="00F304EA">
      <w:pPr>
        <w:rPr>
          <w:rFonts w:ascii="Arial" w:hAnsi="Arial" w:cs="Arial"/>
          <w:sz w:val="22"/>
          <w:szCs w:val="22"/>
          <w:shd w:val="clear" w:color="auto" w:fill="E6E6E6"/>
          <w:lang w:val="es-MX" w:eastAsia="es-CO"/>
        </w:rPr>
      </w:pPr>
    </w:p>
    <w:p w14:paraId="4BAA137B" w14:textId="77777777" w:rsidR="003473A1" w:rsidRDefault="003473A1" w:rsidP="00F304EA">
      <w:pPr>
        <w:rPr>
          <w:rFonts w:ascii="Arial" w:hAnsi="Arial" w:cs="Arial"/>
          <w:sz w:val="22"/>
          <w:szCs w:val="22"/>
          <w:shd w:val="clear" w:color="auto" w:fill="E6E6E6"/>
          <w:lang w:val="es-MX" w:eastAsia="es-CO"/>
        </w:rPr>
      </w:pPr>
    </w:p>
    <w:p w14:paraId="3DCCAFBA" w14:textId="77777777" w:rsidR="003473A1" w:rsidRDefault="003473A1" w:rsidP="00F304EA">
      <w:pPr>
        <w:rPr>
          <w:rFonts w:ascii="Arial" w:hAnsi="Arial" w:cs="Arial"/>
          <w:sz w:val="22"/>
          <w:szCs w:val="22"/>
          <w:shd w:val="clear" w:color="auto" w:fill="E6E6E6"/>
          <w:lang w:val="es-MX" w:eastAsia="es-CO"/>
        </w:rPr>
      </w:pPr>
    </w:p>
    <w:p w14:paraId="35D0A624" w14:textId="77777777" w:rsidR="003473A1" w:rsidRDefault="003473A1" w:rsidP="00F304EA">
      <w:pPr>
        <w:rPr>
          <w:rFonts w:ascii="Arial" w:hAnsi="Arial" w:cs="Arial"/>
          <w:sz w:val="22"/>
          <w:szCs w:val="22"/>
          <w:shd w:val="clear" w:color="auto" w:fill="E6E6E6"/>
          <w:lang w:val="es-MX" w:eastAsia="es-CO"/>
        </w:rPr>
      </w:pPr>
    </w:p>
    <w:p w14:paraId="489C051E" w14:textId="77777777" w:rsidR="003473A1" w:rsidRDefault="003473A1" w:rsidP="00F304EA">
      <w:pPr>
        <w:rPr>
          <w:rFonts w:ascii="Arial" w:hAnsi="Arial" w:cs="Arial"/>
          <w:sz w:val="22"/>
          <w:szCs w:val="22"/>
          <w:shd w:val="clear" w:color="auto" w:fill="E6E6E6"/>
          <w:lang w:val="es-MX" w:eastAsia="es-CO"/>
        </w:rPr>
      </w:pPr>
    </w:p>
    <w:p w14:paraId="6E94E1E7" w14:textId="77777777" w:rsidR="003473A1" w:rsidRDefault="003473A1" w:rsidP="00F304EA">
      <w:pPr>
        <w:rPr>
          <w:rFonts w:ascii="Arial" w:hAnsi="Arial" w:cs="Arial"/>
          <w:sz w:val="22"/>
          <w:szCs w:val="22"/>
          <w:shd w:val="clear" w:color="auto" w:fill="E6E6E6"/>
          <w:lang w:val="es-MX" w:eastAsia="es-CO"/>
        </w:rPr>
      </w:pPr>
    </w:p>
    <w:p w14:paraId="255E2DD8" w14:textId="77777777" w:rsidR="003473A1" w:rsidRDefault="003473A1" w:rsidP="00F304EA">
      <w:pPr>
        <w:rPr>
          <w:rFonts w:ascii="Arial" w:hAnsi="Arial" w:cs="Arial"/>
          <w:sz w:val="22"/>
          <w:szCs w:val="22"/>
          <w:shd w:val="clear" w:color="auto" w:fill="E6E6E6"/>
          <w:lang w:val="es-MX" w:eastAsia="es-CO"/>
        </w:rPr>
      </w:pPr>
    </w:p>
    <w:p w14:paraId="1DB926A6" w14:textId="77777777" w:rsidR="003473A1" w:rsidRDefault="003473A1" w:rsidP="00F304EA">
      <w:pPr>
        <w:rPr>
          <w:rFonts w:ascii="Arial" w:hAnsi="Arial" w:cs="Arial"/>
          <w:sz w:val="22"/>
          <w:szCs w:val="22"/>
          <w:shd w:val="clear" w:color="auto" w:fill="E6E6E6"/>
          <w:lang w:val="es-MX" w:eastAsia="es-CO"/>
        </w:rPr>
      </w:pPr>
    </w:p>
    <w:p w14:paraId="4E46ED27" w14:textId="7C3D9241" w:rsidR="00736599" w:rsidRDefault="00736599" w:rsidP="00F304EA">
      <w:pPr>
        <w:rPr>
          <w:rFonts w:ascii="Arial" w:hAnsi="Arial" w:cs="Arial"/>
          <w:sz w:val="22"/>
          <w:szCs w:val="22"/>
          <w:shd w:val="clear" w:color="auto" w:fill="E6E6E6"/>
          <w:lang w:val="es-MX" w:eastAsia="es-CO"/>
        </w:rPr>
      </w:pPr>
    </w:p>
    <w:p w14:paraId="6120D2FA" w14:textId="18E6626C" w:rsidR="00736599" w:rsidRDefault="00736599" w:rsidP="00F304EA">
      <w:pPr>
        <w:rPr>
          <w:rFonts w:ascii="Arial" w:hAnsi="Arial" w:cs="Arial"/>
          <w:sz w:val="22"/>
          <w:szCs w:val="22"/>
          <w:shd w:val="clear" w:color="auto" w:fill="E6E6E6"/>
          <w:lang w:val="es-MX" w:eastAsia="es-CO"/>
        </w:rPr>
      </w:pPr>
    </w:p>
    <w:p w14:paraId="595A8DB8" w14:textId="2DBB96E3" w:rsidR="00BB645A" w:rsidRDefault="00BB645A" w:rsidP="00F304EA">
      <w:pPr>
        <w:rPr>
          <w:rFonts w:ascii="Arial" w:hAnsi="Arial" w:cs="Arial"/>
          <w:sz w:val="22"/>
          <w:szCs w:val="22"/>
          <w:shd w:val="clear" w:color="auto" w:fill="E6E6E6"/>
          <w:lang w:val="es-MX" w:eastAsia="es-CO"/>
        </w:rPr>
      </w:pPr>
    </w:p>
    <w:p w14:paraId="5184C8FB" w14:textId="0D4117EA" w:rsidR="00736599" w:rsidRDefault="00736599" w:rsidP="00F304EA">
      <w:pPr>
        <w:rPr>
          <w:rFonts w:ascii="Arial" w:hAnsi="Arial" w:cs="Arial"/>
          <w:sz w:val="22"/>
          <w:szCs w:val="22"/>
          <w:shd w:val="clear" w:color="auto" w:fill="E6E6E6"/>
          <w:lang w:val="es-MX" w:eastAsia="es-CO"/>
        </w:rPr>
      </w:pPr>
    </w:p>
    <w:p w14:paraId="2B413208" w14:textId="153F294D" w:rsidR="00950DF7" w:rsidRPr="00781AC2" w:rsidRDefault="00BB202B" w:rsidP="00F304EA">
      <w:pPr>
        <w:spacing w:line="276" w:lineRule="auto"/>
        <w:jc w:val="both"/>
        <w:rPr>
          <w:rFonts w:ascii="Arial" w:hAnsi="Arial" w:cs="Arial"/>
          <w:noProof/>
          <w:sz w:val="22"/>
          <w:lang w:val="es-ES_tradnl"/>
        </w:rPr>
      </w:pPr>
      <w:r w:rsidRPr="00225BD5">
        <w:rPr>
          <w:rFonts w:ascii="Arial" w:hAnsi="Arial" w:cs="Arial"/>
          <w:noProof/>
          <w:sz w:val="22"/>
          <w:szCs w:val="22"/>
          <w:shd w:val="clear" w:color="auto" w:fill="E6E6E6"/>
          <w:lang w:eastAsia="es-CO"/>
        </w:rPr>
        <w:lastRenderedPageBreak/>
        <w:drawing>
          <wp:anchor distT="0" distB="0" distL="114300" distR="114300" simplePos="0" relativeHeight="251658752" behindDoc="0" locked="0" layoutInCell="1" allowOverlap="1" wp14:anchorId="34A1B00F" wp14:editId="44A9B771">
            <wp:simplePos x="0" y="0"/>
            <wp:positionH relativeFrom="column">
              <wp:posOffset>2907773</wp:posOffset>
            </wp:positionH>
            <wp:positionV relativeFrom="paragraph">
              <wp:posOffset>-115841</wp:posOffset>
            </wp:positionV>
            <wp:extent cx="2486025" cy="638175"/>
            <wp:effectExtent l="0" t="0" r="9525" b="9525"/>
            <wp:wrapNone/>
            <wp:docPr id="1856583586" name="Imagen 185658358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83586"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86025" cy="638175"/>
                    </a:xfrm>
                    <a:prstGeom prst="rect">
                      <a:avLst/>
                    </a:prstGeom>
                  </pic:spPr>
                </pic:pic>
              </a:graphicData>
            </a:graphic>
          </wp:anchor>
        </w:drawing>
      </w:r>
      <w:r w:rsidR="00225BD5" w:rsidRPr="00225BD5">
        <w:rPr>
          <w:rFonts w:ascii="Arial" w:hAnsi="Arial" w:cs="Arial"/>
          <w:noProof/>
          <w:sz w:val="22"/>
          <w:lang w:val="es-ES_tradnl"/>
        </w:rPr>
        <w:t>Bogotá D.C., 14 de junio de 2023</w:t>
      </w:r>
    </w:p>
    <w:p w14:paraId="7F292B94" w14:textId="77777777" w:rsidR="00950DF7" w:rsidRPr="00781AC2" w:rsidRDefault="00950DF7" w:rsidP="00F304EA">
      <w:pPr>
        <w:spacing w:line="276" w:lineRule="auto"/>
        <w:jc w:val="both"/>
        <w:rPr>
          <w:rFonts w:ascii="Arial" w:hAnsi="Arial" w:cs="Arial"/>
          <w:noProof/>
          <w:sz w:val="22"/>
          <w:lang w:val="es-ES_tradnl"/>
        </w:rPr>
      </w:pPr>
    </w:p>
    <w:p w14:paraId="2BE6BB57" w14:textId="77777777" w:rsidR="00BB645A" w:rsidRDefault="00950DF7" w:rsidP="00BB645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Señor</w:t>
      </w:r>
      <w:r w:rsidR="00BB645A">
        <w:rPr>
          <w:rFonts w:ascii="Arial" w:eastAsia="Calibri" w:hAnsi="Arial" w:cs="Arial"/>
          <w:sz w:val="22"/>
          <w:szCs w:val="22"/>
          <w:lang w:val="es-ES"/>
        </w:rPr>
        <w:t>a</w:t>
      </w:r>
    </w:p>
    <w:p w14:paraId="4E6B436E" w14:textId="466F0384" w:rsidR="002240E5" w:rsidRPr="00BB645A" w:rsidRDefault="00BB645A" w:rsidP="00BB645A">
      <w:pPr>
        <w:spacing w:line="276" w:lineRule="auto"/>
        <w:jc w:val="both"/>
        <w:rPr>
          <w:rFonts w:ascii="Arial" w:eastAsia="Calibri" w:hAnsi="Arial" w:cs="Arial"/>
          <w:sz w:val="22"/>
          <w:szCs w:val="22"/>
          <w:lang w:val="es-ES"/>
        </w:rPr>
      </w:pPr>
      <w:r>
        <w:rPr>
          <w:rFonts w:ascii="Arial" w:eastAsia="Calibri" w:hAnsi="Arial" w:cs="Arial"/>
          <w:b/>
          <w:bCs/>
          <w:sz w:val="22"/>
          <w:szCs w:val="22"/>
          <w:lang w:val="es-ES"/>
        </w:rPr>
        <w:t>Tatiana Mendez Gil</w:t>
      </w:r>
    </w:p>
    <w:p w14:paraId="08BC0D6C" w14:textId="2A43D02C" w:rsidR="00950DF7" w:rsidRPr="00781AC2" w:rsidRDefault="00BB645A" w:rsidP="00F304EA">
      <w:pPr>
        <w:rPr>
          <w:rFonts w:ascii="Arial" w:eastAsia="Calibri" w:hAnsi="Arial" w:cs="Arial"/>
          <w:sz w:val="22"/>
          <w:lang w:val="es-ES_tradnl"/>
        </w:rPr>
      </w:pPr>
      <w:r>
        <w:rPr>
          <w:rFonts w:ascii="Arial" w:eastAsia="Calibri" w:hAnsi="Arial" w:cs="Arial"/>
          <w:sz w:val="22"/>
          <w:lang w:val="es-ES_tradnl"/>
        </w:rPr>
        <w:t xml:space="preserve">Ciudad </w:t>
      </w:r>
    </w:p>
    <w:p w14:paraId="315B8DED" w14:textId="77777777" w:rsidR="00950DF7" w:rsidRPr="00781AC2" w:rsidRDefault="00950DF7" w:rsidP="00F304EA">
      <w:pPr>
        <w:rPr>
          <w:rFonts w:ascii="Arial" w:eastAsia="Calibri" w:hAnsi="Arial" w:cs="Arial"/>
          <w:sz w:val="22"/>
          <w:lang w:val="es-ES_tradnl"/>
        </w:rPr>
      </w:pPr>
    </w:p>
    <w:p w14:paraId="20607E96" w14:textId="50AD7A8E" w:rsidR="00950DF7" w:rsidRPr="00781AC2" w:rsidRDefault="70551974" w:rsidP="00F304EA">
      <w:pPr>
        <w:ind w:left="2694"/>
        <w:rPr>
          <w:rFonts w:ascii="Arial" w:eastAsia="Calibri" w:hAnsi="Arial" w:cs="Arial"/>
          <w:b/>
          <w:bCs/>
          <w:sz w:val="22"/>
          <w:szCs w:val="22"/>
          <w:lang w:val="es-ES"/>
        </w:rPr>
      </w:pPr>
      <w:r w:rsidRPr="00781AC2">
        <w:rPr>
          <w:rFonts w:ascii="Arial" w:eastAsia="Calibri" w:hAnsi="Arial" w:cs="Arial"/>
          <w:b/>
          <w:bCs/>
          <w:sz w:val="22"/>
          <w:szCs w:val="22"/>
          <w:lang w:val="es-ES"/>
        </w:rPr>
        <w:t xml:space="preserve">Concepto </w:t>
      </w:r>
      <w:r w:rsidRPr="00736599">
        <w:rPr>
          <w:rFonts w:ascii="Arial" w:eastAsia="Calibri" w:hAnsi="Arial" w:cs="Arial"/>
          <w:b/>
          <w:bCs/>
          <w:sz w:val="22"/>
          <w:szCs w:val="22"/>
          <w:lang w:val="es-ES"/>
        </w:rPr>
        <w:t>C</w:t>
      </w:r>
      <w:r w:rsidR="0DE2C546" w:rsidRPr="00993549">
        <w:rPr>
          <w:rFonts w:ascii="Arial" w:eastAsia="Calibri" w:hAnsi="Arial" w:cs="Arial"/>
          <w:b/>
          <w:bCs/>
          <w:sz w:val="22"/>
          <w:szCs w:val="22"/>
          <w:shd w:val="clear" w:color="auto" w:fill="E6E6E6"/>
          <w:lang w:val="es-ES"/>
        </w:rPr>
        <w:t>-</w:t>
      </w:r>
      <w:r w:rsidR="00BB645A" w:rsidRPr="00993549">
        <w:rPr>
          <w:rFonts w:ascii="Arial" w:eastAsia="Calibri" w:hAnsi="Arial" w:cs="Arial"/>
          <w:b/>
          <w:bCs/>
          <w:sz w:val="22"/>
          <w:szCs w:val="22"/>
          <w:shd w:val="clear" w:color="auto" w:fill="E6E6E6"/>
          <w:lang w:val="es-ES"/>
        </w:rPr>
        <w:t>110</w:t>
      </w:r>
      <w:r w:rsidR="00C54739" w:rsidRPr="00781AC2">
        <w:rPr>
          <w:rFonts w:ascii="Arial" w:eastAsia="Calibri" w:hAnsi="Arial" w:cs="Arial"/>
          <w:b/>
          <w:bCs/>
          <w:sz w:val="22"/>
          <w:szCs w:val="22"/>
          <w:lang w:val="es-ES"/>
        </w:rPr>
        <w:t xml:space="preserve"> </w:t>
      </w:r>
      <w:r w:rsidRPr="00781AC2">
        <w:rPr>
          <w:rFonts w:ascii="Arial" w:eastAsia="Calibri" w:hAnsi="Arial" w:cs="Arial"/>
          <w:b/>
          <w:bCs/>
          <w:sz w:val="22"/>
          <w:szCs w:val="22"/>
          <w:lang w:val="es-ES"/>
        </w:rPr>
        <w:t>de 202</w:t>
      </w:r>
      <w:r w:rsidR="301249F9" w:rsidRPr="00781AC2">
        <w:rPr>
          <w:rFonts w:ascii="Arial" w:eastAsia="Calibri" w:hAnsi="Arial" w:cs="Arial"/>
          <w:b/>
          <w:bCs/>
          <w:sz w:val="22"/>
          <w:szCs w:val="22"/>
          <w:lang w:val="es-ES"/>
        </w:rPr>
        <w:t>3</w:t>
      </w:r>
    </w:p>
    <w:p w14:paraId="30E510E4" w14:textId="77777777" w:rsidR="00950DF7" w:rsidRPr="00781AC2" w:rsidRDefault="00950DF7" w:rsidP="00F304EA">
      <w:pPr>
        <w:jc w:val="both"/>
        <w:rPr>
          <w:rFonts w:ascii="Arial" w:eastAsia="Calibri" w:hAnsi="Arial" w:cs="Arial"/>
          <w:sz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781AC2" w14:paraId="57B8ADB6" w14:textId="77777777" w:rsidTr="0036284A">
        <w:trPr>
          <w:jc w:val="right"/>
        </w:trPr>
        <w:tc>
          <w:tcPr>
            <w:tcW w:w="1838" w:type="dxa"/>
          </w:tcPr>
          <w:p w14:paraId="5EC5D0D8" w14:textId="15341976" w:rsidR="00950DF7" w:rsidRPr="00781AC2" w:rsidRDefault="00950DF7" w:rsidP="00F304EA">
            <w:pPr>
              <w:jc w:val="center"/>
              <w:rPr>
                <w:rFonts w:ascii="Arial" w:eastAsia="Calibri" w:hAnsi="Arial" w:cs="Arial"/>
                <w:sz w:val="22"/>
                <w:lang w:val="es-ES_tradnl"/>
              </w:rPr>
            </w:pPr>
            <w:r w:rsidRPr="00781AC2">
              <w:rPr>
                <w:rFonts w:ascii="Arial" w:eastAsia="Calibri" w:hAnsi="Arial" w:cs="Arial"/>
                <w:b/>
                <w:sz w:val="22"/>
                <w:lang w:val="es-ES_tradnl"/>
              </w:rPr>
              <w:t>Temas:</w:t>
            </w:r>
          </w:p>
        </w:tc>
        <w:tc>
          <w:tcPr>
            <w:tcW w:w="6237" w:type="dxa"/>
          </w:tcPr>
          <w:p w14:paraId="65E9DC63" w14:textId="25A385F6" w:rsidR="00950DF7" w:rsidRPr="00457B9C" w:rsidRDefault="00950DF7" w:rsidP="00993549">
            <w:pPr>
              <w:jc w:val="both"/>
              <w:rPr>
                <w:rFonts w:ascii="Arial" w:eastAsia="Calibri" w:hAnsi="Arial" w:cs="Arial"/>
                <w:bCs/>
                <w:sz w:val="22"/>
                <w:lang w:val="es-ES_tradnl"/>
              </w:rPr>
            </w:pPr>
            <w:r w:rsidRPr="00781AC2">
              <w:rPr>
                <w:rFonts w:ascii="Arial" w:eastAsia="Calibri" w:hAnsi="Arial" w:cs="Arial"/>
                <w:sz w:val="22"/>
                <w:szCs w:val="22"/>
              </w:rPr>
              <w:t>COLOMBIA COMPRA EFICIENTE – Competencia Consultiva – Contratación Estatal – Normas Generales</w:t>
            </w:r>
            <w:r w:rsidRPr="00781AC2">
              <w:rPr>
                <w:rFonts w:ascii="Arial" w:eastAsia="Calibri" w:hAnsi="Arial" w:cs="Arial"/>
                <w:sz w:val="22"/>
                <w:lang w:val="es-ES_tradnl"/>
              </w:rPr>
              <w:t xml:space="preserve"> / </w:t>
            </w:r>
            <w:r w:rsidR="00BB645A" w:rsidRPr="00BB645A">
              <w:rPr>
                <w:rFonts w:ascii="Arial" w:eastAsia="Calibri" w:hAnsi="Arial" w:cs="Arial"/>
                <w:bCs/>
                <w:sz w:val="22"/>
                <w:lang w:val="es-ES_tradnl"/>
              </w:rPr>
              <w:t>CONTRATOS DE PRESTACIÓN DE S</w:t>
            </w:r>
            <w:r w:rsidR="00BB645A">
              <w:rPr>
                <w:rFonts w:ascii="Arial" w:eastAsia="Calibri" w:hAnsi="Arial" w:cs="Arial"/>
                <w:bCs/>
                <w:sz w:val="22"/>
                <w:lang w:val="es-ES_tradnl"/>
              </w:rPr>
              <w:t>ERVICIOS PROFESIONALES – Noción</w:t>
            </w:r>
            <w:r w:rsidR="00457B9C">
              <w:rPr>
                <w:rFonts w:ascii="Arial" w:eastAsia="Calibri" w:hAnsi="Arial" w:cs="Arial"/>
                <w:bCs/>
                <w:sz w:val="22"/>
                <w:lang w:val="es-ES_tradnl"/>
              </w:rPr>
              <w:t xml:space="preserve"> </w:t>
            </w:r>
            <w:r w:rsidRPr="00781AC2">
              <w:rPr>
                <w:rFonts w:ascii="Arial" w:eastAsia="Calibri" w:hAnsi="Arial" w:cs="Arial"/>
                <w:bCs/>
                <w:sz w:val="22"/>
                <w:lang w:val="es-ES_tradnl"/>
              </w:rPr>
              <w:t>/</w:t>
            </w:r>
            <w:r w:rsidR="00993549">
              <w:rPr>
                <w:rFonts w:ascii="Arial" w:eastAsia="Calibri" w:hAnsi="Arial" w:cs="Arial"/>
                <w:bCs/>
                <w:sz w:val="22"/>
                <w:lang w:val="es-ES_tradnl"/>
              </w:rPr>
              <w:t xml:space="preserve"> </w:t>
            </w:r>
            <w:r w:rsidR="00993549" w:rsidRPr="00993549">
              <w:rPr>
                <w:rFonts w:ascii="Arial" w:eastAsia="Calibri" w:hAnsi="Arial" w:cs="Arial"/>
                <w:bCs/>
                <w:sz w:val="22"/>
                <w:lang w:val="es-ES_tradnl"/>
              </w:rPr>
              <w:t xml:space="preserve">CONTRATOS DE PRESTACIÓN DE SERVICIOS </w:t>
            </w:r>
            <w:r w:rsidR="00993549">
              <w:rPr>
                <w:rFonts w:ascii="Arial" w:eastAsia="Calibri" w:hAnsi="Arial" w:cs="Arial"/>
                <w:bCs/>
                <w:sz w:val="22"/>
                <w:lang w:val="es-ES_tradnl"/>
              </w:rPr>
              <w:t xml:space="preserve">DE APOYO A LA GESTIÓN – Noción, </w:t>
            </w:r>
            <w:r w:rsidR="00993549" w:rsidRPr="00993549">
              <w:rPr>
                <w:rFonts w:ascii="Arial" w:eastAsia="Calibri" w:hAnsi="Arial" w:cs="Arial"/>
                <w:bCs/>
                <w:sz w:val="22"/>
                <w:lang w:val="es-ES_tradnl"/>
              </w:rPr>
              <w:t>OBLIGACIÓN DE PAGO – Crédito del acreedor – Derecho personal o de crédito – Cesión de crédito</w:t>
            </w:r>
            <w:r w:rsidR="00993549">
              <w:rPr>
                <w:rFonts w:ascii="Arial" w:eastAsia="Calibri" w:hAnsi="Arial" w:cs="Arial"/>
                <w:bCs/>
                <w:sz w:val="22"/>
                <w:lang w:val="es-ES_tradnl"/>
              </w:rPr>
              <w:t xml:space="preserve"> / </w:t>
            </w:r>
            <w:r w:rsidR="00993549" w:rsidRPr="00993549">
              <w:rPr>
                <w:rFonts w:ascii="Arial" w:eastAsia="Calibri" w:hAnsi="Arial" w:cs="Arial"/>
                <w:bCs/>
                <w:sz w:val="22"/>
                <w:lang w:val="es-ES_tradnl"/>
              </w:rPr>
              <w:t>CONTRATO DE CESIÓN – Cesión de crédito – Régimen jurídico – Requisitos</w:t>
            </w:r>
            <w:r w:rsidR="00736599">
              <w:rPr>
                <w:rFonts w:ascii="Arial" w:eastAsia="Calibri" w:hAnsi="Arial" w:cs="Arial"/>
                <w:bCs/>
                <w:sz w:val="22"/>
                <w:lang w:val="es-ES_tradnl"/>
              </w:rPr>
              <w:t>.</w:t>
            </w:r>
          </w:p>
        </w:tc>
      </w:tr>
      <w:tr w:rsidR="00F304EA" w:rsidRPr="00736599" w14:paraId="6D8A1715" w14:textId="77777777" w:rsidTr="0036284A">
        <w:trPr>
          <w:jc w:val="right"/>
        </w:trPr>
        <w:tc>
          <w:tcPr>
            <w:tcW w:w="1838" w:type="dxa"/>
          </w:tcPr>
          <w:p w14:paraId="62ED0099" w14:textId="05F3F284" w:rsidR="00950DF7" w:rsidRPr="00736599" w:rsidRDefault="00950DF7" w:rsidP="00F304EA">
            <w:pPr>
              <w:spacing w:before="120"/>
              <w:jc w:val="center"/>
              <w:rPr>
                <w:rFonts w:ascii="Arial" w:eastAsia="Calibri" w:hAnsi="Arial" w:cs="Arial"/>
                <w:b/>
                <w:sz w:val="22"/>
                <w:szCs w:val="22"/>
                <w:lang w:val="es-ES"/>
              </w:rPr>
            </w:pPr>
            <w:r w:rsidRPr="00736599">
              <w:rPr>
                <w:rFonts w:ascii="Arial" w:eastAsia="Calibri" w:hAnsi="Arial" w:cs="Arial"/>
                <w:b/>
                <w:sz w:val="22"/>
                <w:szCs w:val="22"/>
                <w:lang w:val="es-ES"/>
              </w:rPr>
              <w:t>Radicación:</w:t>
            </w:r>
          </w:p>
        </w:tc>
        <w:tc>
          <w:tcPr>
            <w:tcW w:w="6237" w:type="dxa"/>
          </w:tcPr>
          <w:p w14:paraId="393CD37C" w14:textId="19BF0ABE" w:rsidR="00950DF7" w:rsidRPr="00781AC2" w:rsidRDefault="00950DF7" w:rsidP="00736599">
            <w:pPr>
              <w:spacing w:before="120"/>
              <w:jc w:val="both"/>
              <w:rPr>
                <w:rFonts w:ascii="Arial" w:eastAsia="Calibri" w:hAnsi="Arial" w:cs="Arial"/>
                <w:sz w:val="22"/>
                <w:szCs w:val="22"/>
                <w:lang w:val="es-ES"/>
              </w:rPr>
            </w:pPr>
            <w:r w:rsidRPr="00781AC2">
              <w:rPr>
                <w:rFonts w:ascii="Arial" w:eastAsia="Calibri" w:hAnsi="Arial" w:cs="Arial"/>
                <w:sz w:val="22"/>
                <w:szCs w:val="22"/>
                <w:lang w:val="es-ES"/>
              </w:rPr>
              <w:t xml:space="preserve">Respuesta a consulta </w:t>
            </w:r>
            <w:r w:rsidR="00BB645A" w:rsidRPr="00BB645A">
              <w:rPr>
                <w:rFonts w:ascii="Arial" w:eastAsia="Calibri" w:hAnsi="Arial" w:cs="Arial"/>
                <w:sz w:val="22"/>
                <w:szCs w:val="22"/>
                <w:lang w:val="es-ES"/>
              </w:rPr>
              <w:t>P20230502003827</w:t>
            </w:r>
          </w:p>
        </w:tc>
      </w:tr>
    </w:tbl>
    <w:p w14:paraId="65A47511" w14:textId="77777777" w:rsidR="00950DF7" w:rsidRPr="00736599" w:rsidRDefault="00950DF7" w:rsidP="00F304EA">
      <w:pPr>
        <w:jc w:val="both"/>
        <w:rPr>
          <w:rFonts w:ascii="Arial" w:eastAsia="Calibri" w:hAnsi="Arial" w:cs="Arial"/>
          <w:sz w:val="22"/>
          <w:szCs w:val="22"/>
          <w:lang w:val="es-ES"/>
        </w:rPr>
      </w:pPr>
    </w:p>
    <w:p w14:paraId="712BF181" w14:textId="77777777" w:rsidR="00950DF7" w:rsidRPr="00781AC2" w:rsidRDefault="00950DF7" w:rsidP="00F304EA">
      <w:pPr>
        <w:jc w:val="both"/>
        <w:rPr>
          <w:rFonts w:ascii="Arial" w:eastAsia="Calibri" w:hAnsi="Arial" w:cs="Arial"/>
          <w:sz w:val="22"/>
          <w:lang w:val="es-ES_tradnl"/>
        </w:rPr>
      </w:pPr>
    </w:p>
    <w:p w14:paraId="3DDCC405" w14:textId="64170926" w:rsidR="00950DF7" w:rsidRPr="00781AC2" w:rsidRDefault="00993549" w:rsidP="00F304EA">
      <w:pPr>
        <w:jc w:val="both"/>
        <w:rPr>
          <w:rFonts w:ascii="Arial" w:eastAsia="Calibri" w:hAnsi="Arial" w:cs="Arial"/>
          <w:bCs/>
          <w:sz w:val="22"/>
          <w:lang w:val="es-ES_tradnl"/>
        </w:rPr>
      </w:pPr>
      <w:r>
        <w:rPr>
          <w:rFonts w:ascii="Arial" w:eastAsia="Calibri" w:hAnsi="Arial" w:cs="Arial"/>
          <w:sz w:val="22"/>
          <w:lang w:val="es-ES_tradnl"/>
        </w:rPr>
        <w:t>Estimada</w:t>
      </w:r>
      <w:r w:rsidR="00950DF7" w:rsidRPr="00781AC2">
        <w:rPr>
          <w:rFonts w:ascii="Arial" w:eastAsia="Calibri" w:hAnsi="Arial" w:cs="Arial"/>
          <w:sz w:val="22"/>
          <w:lang w:val="es-ES_tradnl"/>
        </w:rPr>
        <w:t xml:space="preserve"> señor</w:t>
      </w:r>
      <w:r>
        <w:rPr>
          <w:rFonts w:ascii="Arial" w:eastAsia="Calibri" w:hAnsi="Arial" w:cs="Arial"/>
          <w:sz w:val="22"/>
          <w:lang w:val="es-ES_tradnl"/>
        </w:rPr>
        <w:t>a</w:t>
      </w:r>
      <w:r w:rsidR="00950DF7" w:rsidRPr="00781AC2">
        <w:rPr>
          <w:rFonts w:ascii="Arial" w:eastAsia="Calibri" w:hAnsi="Arial" w:cs="Arial"/>
          <w:sz w:val="22"/>
          <w:lang w:val="es-ES_tradnl"/>
        </w:rPr>
        <w:t xml:space="preserve"> </w:t>
      </w:r>
      <w:r>
        <w:rPr>
          <w:rFonts w:ascii="Arial" w:eastAsia="Calibri" w:hAnsi="Arial" w:cs="Arial"/>
          <w:sz w:val="22"/>
          <w:lang w:val="es-ES_tradnl"/>
        </w:rPr>
        <w:t>Tatiana Mendez</w:t>
      </w:r>
      <w:r w:rsidR="00950DF7" w:rsidRPr="00781AC2">
        <w:rPr>
          <w:rFonts w:ascii="Arial" w:eastAsia="Calibri" w:hAnsi="Arial" w:cs="Arial"/>
          <w:bCs/>
          <w:sz w:val="22"/>
          <w:lang w:val="es-ES_tradnl"/>
        </w:rPr>
        <w:t>:</w:t>
      </w:r>
    </w:p>
    <w:p w14:paraId="5958CBDB" w14:textId="77777777" w:rsidR="00950DF7" w:rsidRPr="00781AC2" w:rsidRDefault="00950DF7" w:rsidP="00F304EA">
      <w:pPr>
        <w:jc w:val="both"/>
        <w:rPr>
          <w:rFonts w:ascii="Arial" w:eastAsia="Calibri" w:hAnsi="Arial" w:cs="Arial"/>
          <w:sz w:val="22"/>
          <w:lang w:val="es-ES_tradnl"/>
        </w:rPr>
      </w:pPr>
    </w:p>
    <w:p w14:paraId="3E917ACF" w14:textId="73D00B33"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DC59F9">
        <w:rPr>
          <w:rFonts w:ascii="Arial" w:eastAsia="Calibri" w:hAnsi="Arial" w:cs="Arial"/>
          <w:sz w:val="22"/>
          <w:szCs w:val="22"/>
          <w:lang w:val="es-ES"/>
        </w:rPr>
        <w:t>15 de febrero de 2023</w:t>
      </w:r>
    </w:p>
    <w:p w14:paraId="6E212067" w14:textId="77777777" w:rsidR="00950DF7" w:rsidRPr="00781AC2" w:rsidRDefault="00950DF7" w:rsidP="00F304EA">
      <w:pPr>
        <w:spacing w:line="276" w:lineRule="auto"/>
        <w:jc w:val="both"/>
        <w:rPr>
          <w:rFonts w:ascii="Arial" w:eastAsia="Calibri" w:hAnsi="Arial" w:cs="Arial"/>
          <w:b/>
          <w:sz w:val="22"/>
          <w:lang w:val="es-ES_tradnl"/>
        </w:rPr>
      </w:pPr>
    </w:p>
    <w:p w14:paraId="07E4FB05" w14:textId="77777777" w:rsidR="00950DF7" w:rsidRPr="00781AC2" w:rsidRDefault="00950DF7" w:rsidP="00F304E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81AC2">
        <w:rPr>
          <w:rFonts w:ascii="Arial" w:eastAsia="Calibri" w:hAnsi="Arial" w:cs="Arial"/>
          <w:b/>
          <w:sz w:val="22"/>
          <w:lang w:val="es-ES_tradnl"/>
        </w:rPr>
        <w:t xml:space="preserve">Problema planteado </w:t>
      </w:r>
    </w:p>
    <w:p w14:paraId="767E9BFF" w14:textId="43B61FA8" w:rsidR="00950DF7" w:rsidRPr="00781AC2" w:rsidRDefault="00950DF7" w:rsidP="00F304EA">
      <w:pPr>
        <w:tabs>
          <w:tab w:val="left" w:pos="426"/>
        </w:tabs>
        <w:spacing w:line="276" w:lineRule="auto"/>
        <w:jc w:val="both"/>
        <w:rPr>
          <w:rFonts w:ascii="Arial" w:eastAsia="Calibri" w:hAnsi="Arial" w:cs="Arial"/>
          <w:b/>
          <w:sz w:val="22"/>
          <w:lang w:val="es-ES_tradnl"/>
        </w:rPr>
      </w:pPr>
    </w:p>
    <w:p w14:paraId="413BDD46" w14:textId="6C3C47AB" w:rsidR="007B0D03" w:rsidRPr="00781AC2" w:rsidRDefault="007B0D03" w:rsidP="00F304EA">
      <w:pPr>
        <w:jc w:val="both"/>
        <w:rPr>
          <w:rFonts w:ascii="Arial" w:hAnsi="Arial" w:cs="Arial"/>
          <w:sz w:val="22"/>
          <w:szCs w:val="22"/>
          <w:lang w:val="es-ES_tradnl"/>
        </w:rPr>
      </w:pPr>
      <w:r w:rsidRPr="00FE7205">
        <w:rPr>
          <w:rFonts w:ascii="Arial" w:hAnsi="Arial" w:cs="Arial"/>
          <w:sz w:val="22"/>
          <w:szCs w:val="22"/>
          <w:shd w:val="clear" w:color="auto" w:fill="E6E6E6"/>
          <w:lang w:val="es-ES_tradnl"/>
        </w:rPr>
        <w:t>Usted formula la siguiente consulta:</w:t>
      </w:r>
      <w:r w:rsidRPr="00781AC2">
        <w:rPr>
          <w:rFonts w:ascii="Arial" w:hAnsi="Arial" w:cs="Arial"/>
          <w:sz w:val="22"/>
          <w:szCs w:val="22"/>
          <w:shd w:val="clear" w:color="auto" w:fill="E6E6E6"/>
          <w:lang w:val="es-ES_tradnl"/>
        </w:rPr>
        <w:t xml:space="preserve"> </w:t>
      </w:r>
    </w:p>
    <w:p w14:paraId="5F9660D5" w14:textId="77777777" w:rsidR="00C87954" w:rsidRPr="00781AC2" w:rsidRDefault="00C87954" w:rsidP="00F304EA">
      <w:pPr>
        <w:jc w:val="both"/>
        <w:rPr>
          <w:rFonts w:ascii="Arial" w:hAnsi="Arial" w:cs="Arial"/>
          <w:sz w:val="21"/>
          <w:szCs w:val="21"/>
          <w:lang w:val="es-ES_tradnl"/>
        </w:rPr>
      </w:pPr>
    </w:p>
    <w:p w14:paraId="27CBE4EC" w14:textId="77777777" w:rsidR="00FE7205" w:rsidRDefault="00FE7205" w:rsidP="00FE7205">
      <w:pPr>
        <w:ind w:left="708" w:right="851"/>
        <w:jc w:val="both"/>
        <w:rPr>
          <w:rFonts w:ascii="Arial" w:hAnsi="Arial" w:cs="Arial"/>
          <w:sz w:val="21"/>
          <w:szCs w:val="21"/>
        </w:rPr>
      </w:pPr>
      <w:r>
        <w:rPr>
          <w:rFonts w:ascii="Arial" w:hAnsi="Arial" w:cs="Arial"/>
          <w:sz w:val="21"/>
          <w:szCs w:val="21"/>
        </w:rPr>
        <w:t>“Q</w:t>
      </w:r>
      <w:r w:rsidRPr="00FE7205">
        <w:rPr>
          <w:rFonts w:ascii="Arial" w:hAnsi="Arial" w:cs="Arial"/>
          <w:sz w:val="21"/>
          <w:szCs w:val="21"/>
        </w:rPr>
        <w:t>uisiera indagar sobre la viabilidad jurídica y</w:t>
      </w:r>
      <w:r>
        <w:rPr>
          <w:rFonts w:ascii="Arial" w:hAnsi="Arial" w:cs="Arial"/>
          <w:sz w:val="21"/>
          <w:szCs w:val="21"/>
        </w:rPr>
        <w:t xml:space="preserve"> </w:t>
      </w:r>
      <w:r w:rsidRPr="00FE7205">
        <w:rPr>
          <w:rFonts w:ascii="Arial" w:hAnsi="Arial" w:cs="Arial"/>
          <w:sz w:val="21"/>
          <w:szCs w:val="21"/>
        </w:rPr>
        <w:t>contractual de una cesión de derechos económicos y/o cesión de</w:t>
      </w:r>
      <w:r>
        <w:rPr>
          <w:rFonts w:ascii="Arial" w:hAnsi="Arial" w:cs="Arial"/>
          <w:sz w:val="21"/>
          <w:szCs w:val="21"/>
        </w:rPr>
        <w:t xml:space="preserve"> </w:t>
      </w:r>
      <w:r w:rsidRPr="00FE7205">
        <w:rPr>
          <w:rFonts w:ascii="Arial" w:hAnsi="Arial" w:cs="Arial"/>
          <w:sz w:val="21"/>
          <w:szCs w:val="21"/>
        </w:rPr>
        <w:t>pago en un contrato de prestación de servicios profesionales</w:t>
      </w:r>
      <w:r>
        <w:rPr>
          <w:rFonts w:ascii="Arial" w:hAnsi="Arial" w:cs="Arial"/>
          <w:sz w:val="21"/>
          <w:szCs w:val="21"/>
        </w:rPr>
        <w:t xml:space="preserve"> </w:t>
      </w:r>
      <w:r w:rsidRPr="00FE7205">
        <w:rPr>
          <w:rFonts w:ascii="Arial" w:hAnsi="Arial" w:cs="Arial"/>
          <w:sz w:val="21"/>
          <w:szCs w:val="21"/>
        </w:rPr>
        <w:t>o</w:t>
      </w:r>
      <w:r>
        <w:rPr>
          <w:rFonts w:ascii="Arial" w:hAnsi="Arial" w:cs="Arial"/>
          <w:sz w:val="21"/>
          <w:szCs w:val="21"/>
        </w:rPr>
        <w:t xml:space="preserve"> </w:t>
      </w:r>
      <w:r w:rsidRPr="00FE7205">
        <w:rPr>
          <w:rFonts w:ascii="Arial" w:hAnsi="Arial" w:cs="Arial"/>
          <w:sz w:val="21"/>
          <w:szCs w:val="21"/>
        </w:rPr>
        <w:t xml:space="preserve">apoyo a la gestión, bajo 2 escenarios: </w:t>
      </w:r>
    </w:p>
    <w:p w14:paraId="58BCA99C" w14:textId="77777777" w:rsidR="00FE7205" w:rsidRDefault="00FE7205" w:rsidP="00FE7205">
      <w:pPr>
        <w:ind w:left="708" w:right="851"/>
        <w:jc w:val="both"/>
        <w:rPr>
          <w:rFonts w:ascii="Arial" w:hAnsi="Arial" w:cs="Arial"/>
          <w:sz w:val="21"/>
          <w:szCs w:val="21"/>
        </w:rPr>
      </w:pPr>
      <w:r w:rsidRPr="00FE7205">
        <w:rPr>
          <w:rFonts w:ascii="Arial" w:hAnsi="Arial" w:cs="Arial"/>
          <w:sz w:val="21"/>
          <w:szCs w:val="21"/>
        </w:rPr>
        <w:t>1. de que el contratista</w:t>
      </w:r>
      <w:r>
        <w:rPr>
          <w:rFonts w:ascii="Arial" w:hAnsi="Arial" w:cs="Arial"/>
          <w:sz w:val="21"/>
          <w:szCs w:val="21"/>
        </w:rPr>
        <w:t xml:space="preserve"> </w:t>
      </w:r>
      <w:r w:rsidRPr="00FE7205">
        <w:rPr>
          <w:rFonts w:ascii="Arial" w:hAnsi="Arial" w:cs="Arial"/>
          <w:sz w:val="21"/>
          <w:szCs w:val="21"/>
        </w:rPr>
        <w:t>tiene una deuda con una persona natural respaldada con un</w:t>
      </w:r>
      <w:r>
        <w:rPr>
          <w:rFonts w:ascii="Arial" w:hAnsi="Arial" w:cs="Arial"/>
          <w:sz w:val="21"/>
          <w:szCs w:val="21"/>
        </w:rPr>
        <w:t xml:space="preserve"> </w:t>
      </w:r>
      <w:r w:rsidRPr="00FE7205">
        <w:rPr>
          <w:rFonts w:ascii="Arial" w:hAnsi="Arial" w:cs="Arial"/>
          <w:sz w:val="21"/>
          <w:szCs w:val="21"/>
        </w:rPr>
        <w:t xml:space="preserve">contrato de compraventa o un título valor; </w:t>
      </w:r>
    </w:p>
    <w:p w14:paraId="1061BE62" w14:textId="77777777" w:rsidR="00FE7205" w:rsidRDefault="00FE7205" w:rsidP="00FE7205">
      <w:pPr>
        <w:ind w:left="708" w:right="851"/>
        <w:jc w:val="both"/>
        <w:rPr>
          <w:rFonts w:ascii="Arial" w:hAnsi="Arial" w:cs="Arial"/>
          <w:sz w:val="21"/>
          <w:szCs w:val="21"/>
        </w:rPr>
      </w:pPr>
      <w:r w:rsidRPr="00FE7205">
        <w:rPr>
          <w:rFonts w:ascii="Arial" w:hAnsi="Arial" w:cs="Arial"/>
          <w:sz w:val="21"/>
          <w:szCs w:val="21"/>
        </w:rPr>
        <w:t>2. de que el</w:t>
      </w:r>
      <w:r>
        <w:rPr>
          <w:rFonts w:ascii="Arial" w:hAnsi="Arial" w:cs="Arial"/>
          <w:sz w:val="21"/>
          <w:szCs w:val="21"/>
        </w:rPr>
        <w:t xml:space="preserve"> </w:t>
      </w:r>
      <w:r w:rsidRPr="00FE7205">
        <w:rPr>
          <w:rFonts w:ascii="Arial" w:hAnsi="Arial" w:cs="Arial"/>
          <w:sz w:val="21"/>
          <w:szCs w:val="21"/>
        </w:rPr>
        <w:t>contratista tiene una deuda con una persona jurídica respaldada</w:t>
      </w:r>
      <w:r>
        <w:rPr>
          <w:rFonts w:ascii="Arial" w:hAnsi="Arial" w:cs="Arial"/>
          <w:sz w:val="21"/>
          <w:szCs w:val="21"/>
        </w:rPr>
        <w:t xml:space="preserve"> </w:t>
      </w:r>
      <w:r w:rsidRPr="00FE7205">
        <w:rPr>
          <w:rFonts w:ascii="Arial" w:hAnsi="Arial" w:cs="Arial"/>
          <w:sz w:val="21"/>
          <w:szCs w:val="21"/>
        </w:rPr>
        <w:t xml:space="preserve">con un contrato de compraventa o un título valor. </w:t>
      </w:r>
    </w:p>
    <w:p w14:paraId="3AED9A18" w14:textId="55E3887A" w:rsidR="00950DF7" w:rsidRDefault="00FE7205" w:rsidP="00FE7205">
      <w:pPr>
        <w:ind w:left="708" w:right="851"/>
        <w:jc w:val="both"/>
        <w:rPr>
          <w:rFonts w:ascii="Arial" w:hAnsi="Arial" w:cs="Arial"/>
          <w:sz w:val="21"/>
          <w:szCs w:val="21"/>
        </w:rPr>
      </w:pPr>
      <w:r w:rsidRPr="00FE7205">
        <w:rPr>
          <w:rFonts w:ascii="Arial" w:hAnsi="Arial" w:cs="Arial"/>
          <w:sz w:val="21"/>
          <w:szCs w:val="21"/>
        </w:rPr>
        <w:t>¿puede el</w:t>
      </w:r>
      <w:r>
        <w:rPr>
          <w:rFonts w:ascii="Arial" w:hAnsi="Arial" w:cs="Arial"/>
          <w:sz w:val="21"/>
          <w:szCs w:val="21"/>
        </w:rPr>
        <w:t xml:space="preserve"> </w:t>
      </w:r>
      <w:r w:rsidRPr="00FE7205">
        <w:rPr>
          <w:rFonts w:ascii="Arial" w:hAnsi="Arial" w:cs="Arial"/>
          <w:sz w:val="21"/>
          <w:szCs w:val="21"/>
        </w:rPr>
        <w:t>contratista ceder los derechos económicos? ¿debe solicitar</w:t>
      </w:r>
      <w:r>
        <w:rPr>
          <w:rFonts w:ascii="Arial" w:hAnsi="Arial" w:cs="Arial"/>
          <w:sz w:val="21"/>
          <w:szCs w:val="21"/>
        </w:rPr>
        <w:t xml:space="preserve"> </w:t>
      </w:r>
      <w:r w:rsidRPr="00FE7205">
        <w:rPr>
          <w:rFonts w:ascii="Arial" w:hAnsi="Arial" w:cs="Arial"/>
          <w:sz w:val="21"/>
          <w:szCs w:val="21"/>
        </w:rPr>
        <w:t>autorización ante el contratante para tramitar una modificación</w:t>
      </w:r>
      <w:r>
        <w:rPr>
          <w:rFonts w:ascii="Arial" w:hAnsi="Arial" w:cs="Arial"/>
          <w:sz w:val="21"/>
          <w:szCs w:val="21"/>
        </w:rPr>
        <w:t xml:space="preserve"> </w:t>
      </w:r>
      <w:r w:rsidRPr="00FE7205">
        <w:rPr>
          <w:rFonts w:ascii="Arial" w:hAnsi="Arial" w:cs="Arial"/>
          <w:sz w:val="21"/>
          <w:szCs w:val="21"/>
        </w:rPr>
        <w:t>al contrato? ¿está la entidad obligada a efectuar tal modificación</w:t>
      </w:r>
      <w:r>
        <w:rPr>
          <w:rFonts w:ascii="Arial" w:hAnsi="Arial" w:cs="Arial"/>
          <w:sz w:val="21"/>
          <w:szCs w:val="21"/>
        </w:rPr>
        <w:t xml:space="preserve"> </w:t>
      </w:r>
      <w:r w:rsidRPr="00FE7205">
        <w:rPr>
          <w:rFonts w:ascii="Arial" w:hAnsi="Arial" w:cs="Arial"/>
          <w:sz w:val="21"/>
          <w:szCs w:val="21"/>
        </w:rPr>
        <w:t>si el contratista lo solicita? ¿es viable esta cesión de derechos</w:t>
      </w:r>
      <w:r>
        <w:rPr>
          <w:rFonts w:ascii="Arial" w:hAnsi="Arial" w:cs="Arial"/>
          <w:sz w:val="21"/>
          <w:szCs w:val="21"/>
        </w:rPr>
        <w:t xml:space="preserve"> </w:t>
      </w:r>
      <w:r w:rsidRPr="00FE7205">
        <w:rPr>
          <w:rFonts w:ascii="Arial" w:hAnsi="Arial" w:cs="Arial"/>
          <w:sz w:val="21"/>
          <w:szCs w:val="21"/>
        </w:rPr>
        <w:t>económicos en contratos de prestación de servicios</w:t>
      </w:r>
      <w:r>
        <w:rPr>
          <w:rFonts w:ascii="Arial" w:hAnsi="Arial" w:cs="Arial"/>
          <w:sz w:val="21"/>
          <w:szCs w:val="21"/>
        </w:rPr>
        <w:t xml:space="preserve"> </w:t>
      </w:r>
      <w:r w:rsidRPr="00FE7205">
        <w:rPr>
          <w:rFonts w:ascii="Arial" w:hAnsi="Arial" w:cs="Arial"/>
          <w:sz w:val="21"/>
          <w:szCs w:val="21"/>
        </w:rPr>
        <w:t>prof</w:t>
      </w:r>
      <w:r>
        <w:rPr>
          <w:rFonts w:ascii="Arial" w:hAnsi="Arial" w:cs="Arial"/>
          <w:sz w:val="21"/>
          <w:szCs w:val="21"/>
        </w:rPr>
        <w:t>esionales o apoyo a la gestión?”</w:t>
      </w:r>
      <w:r w:rsidRPr="00FE7205">
        <w:rPr>
          <w:rFonts w:ascii="Arial" w:hAnsi="Arial" w:cs="Arial"/>
          <w:sz w:val="21"/>
          <w:szCs w:val="21"/>
        </w:rPr>
        <w:t>:</w:t>
      </w:r>
    </w:p>
    <w:p w14:paraId="14F7976D" w14:textId="77777777" w:rsidR="00FE7205" w:rsidRPr="00781AC2" w:rsidRDefault="00FE7205" w:rsidP="00FE7205">
      <w:pPr>
        <w:ind w:left="708" w:right="851"/>
        <w:jc w:val="both"/>
        <w:rPr>
          <w:rFonts w:ascii="Arial" w:hAnsi="Arial" w:cs="Arial"/>
          <w:sz w:val="22"/>
          <w:lang w:val="es-ES_tradnl"/>
        </w:rPr>
      </w:pPr>
    </w:p>
    <w:p w14:paraId="68D49234" w14:textId="18B3F76C" w:rsidR="00A6242E" w:rsidRPr="005A15F1" w:rsidRDefault="00950DF7" w:rsidP="001F5F9C">
      <w:pPr>
        <w:pStyle w:val="Prrafodelista"/>
        <w:numPr>
          <w:ilvl w:val="0"/>
          <w:numId w:val="1"/>
        </w:numPr>
        <w:tabs>
          <w:tab w:val="left" w:pos="0"/>
          <w:tab w:val="left" w:pos="284"/>
        </w:tabs>
        <w:spacing w:before="100" w:beforeAutospacing="1" w:after="120"/>
        <w:ind w:left="0" w:firstLine="0"/>
        <w:contextualSpacing w:val="0"/>
        <w:jc w:val="both"/>
        <w:rPr>
          <w:rFonts w:ascii="Arial" w:eastAsia="Calibri" w:hAnsi="Arial" w:cs="Arial"/>
          <w:b/>
          <w:sz w:val="22"/>
          <w:lang w:val="es-ES_tradnl"/>
        </w:rPr>
      </w:pPr>
      <w:r w:rsidRPr="005A15F1">
        <w:rPr>
          <w:rFonts w:ascii="Arial" w:eastAsia="Calibri" w:hAnsi="Arial" w:cs="Arial"/>
          <w:b/>
          <w:sz w:val="22"/>
          <w:lang w:val="es-ES_tradnl"/>
        </w:rPr>
        <w:lastRenderedPageBreak/>
        <w:t>Consideraciones</w:t>
      </w:r>
    </w:p>
    <w:p w14:paraId="51141E92" w14:textId="370E24F0" w:rsidR="00532050" w:rsidRDefault="4A9A233D" w:rsidP="005A15F1">
      <w:pPr>
        <w:spacing w:before="100" w:beforeAutospacing="1" w:after="120" w:line="276" w:lineRule="auto"/>
        <w:jc w:val="both"/>
        <w:rPr>
          <w:rFonts w:ascii="Arial" w:hAnsi="Arial" w:cs="Arial"/>
          <w:sz w:val="22"/>
          <w:szCs w:val="22"/>
        </w:rPr>
      </w:pPr>
      <w:r w:rsidRPr="00781AC2">
        <w:rPr>
          <w:rFonts w:ascii="Arial" w:hAnsi="Arial" w:cs="Arial"/>
          <w:sz w:val="22"/>
          <w:szCs w:val="22"/>
        </w:rPr>
        <w:t>En ejercicio de las competencias establecidas en los artículos 3.5 y 11.8 del Decreto</w:t>
      </w:r>
      <w:r w:rsidR="002C0664" w:rsidRPr="00781AC2">
        <w:rPr>
          <w:rFonts w:ascii="Arial" w:hAnsi="Arial" w:cs="Arial"/>
          <w:sz w:val="22"/>
          <w:szCs w:val="22"/>
        </w:rPr>
        <w:t xml:space="preserve"> Ley</w:t>
      </w:r>
      <w:r w:rsidRPr="00781AC2">
        <w:rPr>
          <w:rFonts w:ascii="Arial" w:hAnsi="Arial" w:cs="Arial"/>
          <w:sz w:val="22"/>
          <w:szCs w:val="22"/>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00993549">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id="4" w:name="_Hlk61026958"/>
      <w:r w:rsidRPr="00781AC2">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sz w:val="22"/>
          <w:szCs w:val="22"/>
        </w:rPr>
        <w:t xml:space="preserve"> de todos los partícipes de la contratación estatal.</w:t>
      </w:r>
    </w:p>
    <w:p w14:paraId="0BE59A96" w14:textId="6EB3162D" w:rsidR="00532050" w:rsidRDefault="4A9A233D" w:rsidP="005A15F1">
      <w:pPr>
        <w:spacing w:before="100" w:beforeAutospacing="1" w:after="120" w:line="276" w:lineRule="auto"/>
        <w:ind w:firstLine="708"/>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532050"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734E03CA" w14:textId="2B46FE34" w:rsidR="006D5D89" w:rsidRDefault="00950DF7" w:rsidP="005A15F1">
      <w:pPr>
        <w:tabs>
          <w:tab w:val="left" w:pos="426"/>
        </w:tabs>
        <w:spacing w:before="100" w:beforeAutospacing="1" w:after="120" w:line="276" w:lineRule="auto"/>
        <w:jc w:val="both"/>
        <w:rPr>
          <w:rFonts w:ascii="Arial" w:hAnsi="Arial" w:cs="Arial"/>
          <w:sz w:val="22"/>
          <w:lang w:val="es-ES"/>
        </w:rPr>
      </w:pPr>
      <w:r w:rsidRPr="00781AC2">
        <w:rPr>
          <w:rFonts w:ascii="Arial" w:hAnsi="Arial" w:cs="Arial"/>
          <w:sz w:val="22"/>
        </w:rPr>
        <w:tab/>
      </w:r>
      <w:r w:rsidRPr="00781AC2">
        <w:rPr>
          <w:rFonts w:ascii="Arial" w:hAnsi="Arial" w:cs="Arial"/>
          <w:sz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781AC2">
        <w:rPr>
          <w:rFonts w:ascii="Arial" w:eastAsia="Calibri" w:hAnsi="Arial" w:cs="Arial"/>
          <w:sz w:val="22"/>
          <w:lang w:val="es-ES"/>
        </w:rPr>
        <w:t>los siguientes temas</w:t>
      </w:r>
      <w:r w:rsidRPr="00781AC2">
        <w:rPr>
          <w:rFonts w:ascii="Arial" w:hAnsi="Arial" w:cs="Arial"/>
          <w:sz w:val="22"/>
          <w:lang w:val="es-ES"/>
        </w:rPr>
        <w:t xml:space="preserve">: </w:t>
      </w:r>
      <w:r w:rsidRPr="00781AC2">
        <w:rPr>
          <w:rFonts w:ascii="Arial" w:hAnsi="Arial" w:cs="Arial"/>
          <w:sz w:val="22"/>
          <w:lang w:val="es-ES_tradnl"/>
        </w:rPr>
        <w:t xml:space="preserve">i) </w:t>
      </w:r>
      <w:r w:rsidR="007A05A8" w:rsidRPr="007A05A8">
        <w:rPr>
          <w:rFonts w:ascii="Arial" w:hAnsi="Arial" w:cs="Arial"/>
          <w:sz w:val="22"/>
          <w:lang w:val="es-ES_tradnl"/>
        </w:rPr>
        <w:t xml:space="preserve">Contratos de prestación de servicios profesionales y de apoyo a la gestión </w:t>
      </w:r>
      <w:r w:rsidR="000E1E95">
        <w:rPr>
          <w:rFonts w:ascii="Arial" w:hAnsi="Arial" w:cs="Arial"/>
          <w:sz w:val="22"/>
          <w:lang w:val="es-ES_tradnl"/>
        </w:rPr>
        <w:t>y</w:t>
      </w:r>
      <w:r w:rsidR="00CE3A6E" w:rsidRPr="00781AC2">
        <w:rPr>
          <w:rFonts w:ascii="Arial" w:hAnsi="Arial" w:cs="Arial"/>
          <w:sz w:val="22"/>
          <w:lang w:val="es-ES_tradnl"/>
        </w:rPr>
        <w:t xml:space="preserve"> </w:t>
      </w:r>
      <w:r w:rsidRPr="00781AC2">
        <w:rPr>
          <w:rFonts w:ascii="Arial" w:hAnsi="Arial" w:cs="Arial"/>
          <w:sz w:val="22"/>
          <w:lang w:val="es-ES"/>
        </w:rPr>
        <w:t xml:space="preserve">ii) </w:t>
      </w:r>
      <w:r w:rsidR="00993549" w:rsidRPr="00993549">
        <w:rPr>
          <w:rFonts w:ascii="Arial" w:hAnsi="Arial" w:cs="Arial"/>
          <w:sz w:val="22"/>
          <w:lang w:val="es-ES"/>
        </w:rPr>
        <w:t>La cesión de créditos</w:t>
      </w:r>
      <w:r w:rsidR="000E1E95">
        <w:rPr>
          <w:rFonts w:ascii="Arial" w:hAnsi="Arial" w:cs="Arial"/>
          <w:sz w:val="22"/>
          <w:lang w:val="es-ES"/>
        </w:rPr>
        <w:t xml:space="preserve"> </w:t>
      </w:r>
    </w:p>
    <w:p w14:paraId="7C0BE3AD" w14:textId="04CCC2A4" w:rsidR="00950DF7" w:rsidRPr="00781AC2" w:rsidRDefault="70551974" w:rsidP="005A15F1">
      <w:pPr>
        <w:spacing w:before="100" w:beforeAutospacing="1" w:after="120" w:line="276" w:lineRule="auto"/>
        <w:ind w:firstLine="709"/>
        <w:jc w:val="both"/>
        <w:rPr>
          <w:rFonts w:ascii="Arial" w:eastAsia="Calibri" w:hAnsi="Arial" w:cs="Arial"/>
          <w:sz w:val="22"/>
          <w:szCs w:val="22"/>
          <w:lang w:val="es-ES"/>
        </w:rPr>
      </w:pPr>
      <w:r w:rsidRPr="00781AC2">
        <w:rPr>
          <w:rFonts w:ascii="Arial" w:eastAsia="Calibri" w:hAnsi="Arial" w:cs="Arial"/>
          <w:sz w:val="22"/>
          <w:szCs w:val="22"/>
          <w:lang w:val="es-ES"/>
        </w:rPr>
        <w:lastRenderedPageBreak/>
        <w:t>La Agencia Nacional de Contratación Pública – Colombia Compra Eficiente, en los conceptos</w:t>
      </w:r>
      <w:r w:rsidR="00BB645A">
        <w:rPr>
          <w:rFonts w:ascii="Arial" w:eastAsia="Calibri" w:hAnsi="Arial" w:cs="Arial"/>
          <w:sz w:val="22"/>
          <w:szCs w:val="22"/>
          <w:lang w:val="es-ES"/>
        </w:rPr>
        <w:t xml:space="preserve"> </w:t>
      </w:r>
      <w:r w:rsidR="00BB645A" w:rsidRPr="00BB645A">
        <w:rPr>
          <w:rFonts w:ascii="Arial" w:eastAsia="Calibri" w:hAnsi="Arial" w:cs="Arial"/>
          <w:sz w:val="22"/>
          <w:szCs w:val="22"/>
          <w:lang w:val="es-ES"/>
        </w:rPr>
        <w:t>N° Radicado: 2201913000009610</w:t>
      </w:r>
      <w:r w:rsidR="00BB645A">
        <w:rPr>
          <w:rFonts w:ascii="Arial" w:eastAsia="Calibri" w:hAnsi="Arial" w:cs="Arial"/>
          <w:sz w:val="22"/>
          <w:szCs w:val="22"/>
          <w:lang w:val="es-ES"/>
        </w:rPr>
        <w:t xml:space="preserve"> del 26 de diciembre de 2019,</w:t>
      </w:r>
      <w:r w:rsidRPr="00781AC2">
        <w:rPr>
          <w:rFonts w:ascii="Arial" w:eastAsia="Calibri" w:hAnsi="Arial" w:cs="Arial"/>
          <w:sz w:val="22"/>
          <w:szCs w:val="22"/>
          <w:lang w:val="es-ES"/>
        </w:rPr>
        <w:t xml:space="preserve"> </w:t>
      </w:r>
      <w:r w:rsidR="00BB645A">
        <w:rPr>
          <w:rFonts w:ascii="Arial" w:eastAsia="Calibri" w:hAnsi="Arial" w:cs="Arial"/>
          <w:color w:val="000000" w:themeColor="text1"/>
          <w:sz w:val="22"/>
        </w:rPr>
        <w:t>C–047 del 18 de febrero de 2020</w:t>
      </w:r>
      <w:r w:rsidR="00BB645A">
        <w:rPr>
          <w:rFonts w:ascii="Arial" w:hAnsi="Arial" w:cs="Arial"/>
          <w:noProof/>
          <w:sz w:val="22"/>
          <w:lang w:val="es-ES_tradnl"/>
        </w:rPr>
        <w:t xml:space="preserve">, </w:t>
      </w:r>
      <w:r w:rsidR="00BB645A" w:rsidRPr="008B070E">
        <w:rPr>
          <w:rFonts w:ascii="Arial" w:eastAsia="Calibri" w:hAnsi="Arial" w:cs="Arial"/>
          <w:color w:val="000000" w:themeColor="text1"/>
          <w:sz w:val="22"/>
        </w:rPr>
        <w:t>C</w:t>
      </w:r>
      <w:r w:rsidR="00BB645A">
        <w:rPr>
          <w:rFonts w:ascii="Arial" w:eastAsia="Calibri" w:hAnsi="Arial" w:cs="Arial"/>
          <w:color w:val="000000" w:themeColor="text1"/>
          <w:sz w:val="22"/>
        </w:rPr>
        <w:t>–</w:t>
      </w:r>
      <w:r w:rsidR="00BB645A" w:rsidRPr="008B070E">
        <w:rPr>
          <w:rFonts w:ascii="Arial" w:eastAsia="Calibri" w:hAnsi="Arial" w:cs="Arial"/>
          <w:color w:val="000000" w:themeColor="text1"/>
          <w:sz w:val="22"/>
        </w:rPr>
        <w:t>071 del 4 de marzo de 2020</w:t>
      </w:r>
      <w:r w:rsidR="00BB645A">
        <w:rPr>
          <w:rFonts w:ascii="Arial" w:eastAsia="Calibri" w:hAnsi="Arial" w:cs="Arial"/>
          <w:color w:val="000000" w:themeColor="text1"/>
          <w:sz w:val="22"/>
        </w:rPr>
        <w:t>,</w:t>
      </w:r>
      <w:r w:rsidR="00BB645A">
        <w:rPr>
          <w:rFonts w:ascii="Arial" w:hAnsi="Arial" w:cs="Arial"/>
          <w:noProof/>
          <w:sz w:val="22"/>
          <w:lang w:val="es-ES_tradnl"/>
        </w:rPr>
        <w:t xml:space="preserve"> </w:t>
      </w:r>
      <w:r w:rsidR="00BB645A">
        <w:rPr>
          <w:rFonts w:ascii="Arial" w:eastAsia="Calibri" w:hAnsi="Arial" w:cs="Arial"/>
          <w:color w:val="000000" w:themeColor="text1"/>
          <w:sz w:val="22"/>
        </w:rPr>
        <w:t xml:space="preserve">C–188 del 13 de abril de 2020, C–005, 006, 018 y 138 del 11 de mayo de 2020, </w:t>
      </w:r>
      <w:r w:rsidR="00BB645A" w:rsidRPr="00373E13">
        <w:rPr>
          <w:rFonts w:ascii="Arial" w:hAnsi="Arial" w:cs="Arial"/>
          <w:noProof/>
          <w:sz w:val="22"/>
          <w:lang w:val="es-ES_tradnl"/>
        </w:rPr>
        <w:t>C</w:t>
      </w:r>
      <w:r w:rsidR="00BB645A">
        <w:rPr>
          <w:rFonts w:ascii="Arial" w:eastAsia="Calibri" w:hAnsi="Arial" w:cs="Arial"/>
          <w:color w:val="000000" w:themeColor="text1"/>
          <w:sz w:val="22"/>
        </w:rPr>
        <w:t>–</w:t>
      </w:r>
      <w:r w:rsidR="00BB645A" w:rsidRPr="00373E13">
        <w:rPr>
          <w:rFonts w:ascii="Arial" w:hAnsi="Arial" w:cs="Arial"/>
          <w:noProof/>
          <w:sz w:val="22"/>
          <w:lang w:val="es-ES_tradnl"/>
        </w:rPr>
        <w:t>053,</w:t>
      </w:r>
      <w:r w:rsidR="00BB645A">
        <w:rPr>
          <w:rFonts w:ascii="Arial" w:hAnsi="Arial" w:cs="Arial"/>
          <w:noProof/>
          <w:sz w:val="22"/>
          <w:lang w:val="es-ES_tradnl"/>
        </w:rPr>
        <w:t xml:space="preserve"> 175, </w:t>
      </w:r>
      <w:r w:rsidR="00BB645A" w:rsidRPr="00373E13">
        <w:rPr>
          <w:rFonts w:ascii="Arial" w:hAnsi="Arial" w:cs="Arial"/>
          <w:noProof/>
          <w:sz w:val="22"/>
          <w:lang w:val="es-ES_tradnl"/>
        </w:rPr>
        <w:t>255, 282</w:t>
      </w:r>
      <w:r w:rsidR="00BB645A">
        <w:rPr>
          <w:rFonts w:ascii="Arial" w:hAnsi="Arial" w:cs="Arial"/>
          <w:noProof/>
          <w:sz w:val="22"/>
          <w:lang w:val="es-ES_tradnl"/>
        </w:rPr>
        <w:t>,</w:t>
      </w:r>
      <w:r w:rsidR="00BB645A" w:rsidRPr="00373E13">
        <w:rPr>
          <w:rFonts w:ascii="Arial" w:hAnsi="Arial" w:cs="Arial"/>
          <w:noProof/>
          <w:sz w:val="22"/>
          <w:lang w:val="es-ES_tradnl"/>
        </w:rPr>
        <w:t xml:space="preserve"> 293</w:t>
      </w:r>
      <w:r w:rsidR="00BB645A">
        <w:rPr>
          <w:rFonts w:ascii="Arial" w:hAnsi="Arial" w:cs="Arial"/>
          <w:noProof/>
          <w:sz w:val="22"/>
          <w:lang w:val="es-ES_tradnl"/>
        </w:rPr>
        <w:t xml:space="preserve"> y 320</w:t>
      </w:r>
      <w:r w:rsidR="00BB645A" w:rsidRPr="00373E13">
        <w:rPr>
          <w:rFonts w:ascii="Arial" w:hAnsi="Arial" w:cs="Arial"/>
          <w:noProof/>
          <w:sz w:val="22"/>
          <w:lang w:val="es-ES_tradnl"/>
        </w:rPr>
        <w:t xml:space="preserve"> del 12 de mayo de 2020</w:t>
      </w:r>
      <w:r w:rsidR="00BB645A">
        <w:rPr>
          <w:rFonts w:ascii="Arial" w:hAnsi="Arial" w:cs="Arial"/>
          <w:noProof/>
          <w:sz w:val="22"/>
          <w:lang w:val="es-ES_tradnl"/>
        </w:rPr>
        <w:t xml:space="preserve">, </w:t>
      </w:r>
      <w:r w:rsidR="00BB645A" w:rsidRPr="00373E13">
        <w:rPr>
          <w:rFonts w:ascii="Arial" w:hAnsi="Arial" w:cs="Arial"/>
          <w:noProof/>
          <w:sz w:val="22"/>
          <w:lang w:val="es-ES_tradnl"/>
        </w:rPr>
        <w:t>C</w:t>
      </w:r>
      <w:r w:rsidR="00BB645A">
        <w:rPr>
          <w:rFonts w:ascii="Arial" w:eastAsia="Calibri" w:hAnsi="Arial" w:cs="Arial"/>
          <w:color w:val="000000" w:themeColor="text1"/>
          <w:sz w:val="22"/>
        </w:rPr>
        <w:t>–</w:t>
      </w:r>
      <w:r w:rsidR="00BB645A" w:rsidRPr="00373E13">
        <w:rPr>
          <w:rFonts w:ascii="Arial" w:hAnsi="Arial" w:cs="Arial"/>
          <w:noProof/>
          <w:sz w:val="22"/>
          <w:lang w:val="es-ES_tradnl"/>
        </w:rPr>
        <w:t>288 del 27 de mayo de 2020</w:t>
      </w:r>
      <w:r w:rsidR="00BB645A">
        <w:rPr>
          <w:rFonts w:ascii="Arial" w:hAnsi="Arial" w:cs="Arial"/>
          <w:noProof/>
          <w:sz w:val="22"/>
          <w:lang w:val="es-ES_tradnl"/>
        </w:rPr>
        <w:t xml:space="preserve">, </w:t>
      </w:r>
      <w:r w:rsidR="00BB645A" w:rsidRPr="00373E13">
        <w:rPr>
          <w:rFonts w:ascii="Arial" w:hAnsi="Arial" w:cs="Arial"/>
          <w:noProof/>
          <w:sz w:val="22"/>
          <w:lang w:val="es-ES_tradnl"/>
        </w:rPr>
        <w:t>C</w:t>
      </w:r>
      <w:r w:rsidR="00BB645A">
        <w:rPr>
          <w:rFonts w:ascii="Arial" w:eastAsia="Calibri" w:hAnsi="Arial" w:cs="Arial"/>
          <w:color w:val="000000" w:themeColor="text1"/>
          <w:sz w:val="22"/>
        </w:rPr>
        <w:t>–</w:t>
      </w:r>
      <w:r w:rsidR="00BB645A" w:rsidRPr="00373E13">
        <w:rPr>
          <w:rFonts w:ascii="Arial" w:hAnsi="Arial" w:cs="Arial"/>
          <w:noProof/>
          <w:sz w:val="22"/>
          <w:lang w:val="es-ES_tradnl"/>
        </w:rPr>
        <w:t xml:space="preserve">345 del </w:t>
      </w:r>
      <w:r w:rsidR="00BB645A">
        <w:rPr>
          <w:rFonts w:ascii="Arial" w:hAnsi="Arial" w:cs="Arial"/>
          <w:noProof/>
          <w:sz w:val="22"/>
          <w:lang w:val="es-ES_tradnl"/>
        </w:rPr>
        <w:t>23 de junio</w:t>
      </w:r>
      <w:r w:rsidR="00BB645A" w:rsidRPr="00373E13">
        <w:rPr>
          <w:rFonts w:ascii="Arial" w:hAnsi="Arial" w:cs="Arial"/>
          <w:noProof/>
          <w:sz w:val="22"/>
          <w:lang w:val="es-ES_tradnl"/>
        </w:rPr>
        <w:t xml:space="preserve"> de 2020</w:t>
      </w:r>
      <w:r w:rsidR="00BB645A">
        <w:rPr>
          <w:rFonts w:ascii="Arial" w:hAnsi="Arial" w:cs="Arial"/>
          <w:noProof/>
          <w:sz w:val="22"/>
          <w:lang w:val="es-ES_tradnl"/>
        </w:rPr>
        <w:t>,</w:t>
      </w:r>
      <w:r w:rsidR="00BB645A" w:rsidRPr="005976DF">
        <w:rPr>
          <w:rFonts w:ascii="Arial" w:hAnsi="Arial" w:cs="Arial"/>
          <w:noProof/>
          <w:sz w:val="22"/>
          <w:lang w:val="es-ES_tradnl"/>
        </w:rPr>
        <w:t xml:space="preserve"> </w:t>
      </w:r>
      <w:r w:rsidR="00BB645A" w:rsidRPr="00373E13">
        <w:rPr>
          <w:rFonts w:ascii="Arial" w:hAnsi="Arial" w:cs="Arial"/>
          <w:noProof/>
          <w:sz w:val="22"/>
          <w:lang w:val="es-ES_tradnl"/>
        </w:rPr>
        <w:t>C</w:t>
      </w:r>
      <w:r w:rsidR="00BB645A">
        <w:rPr>
          <w:rFonts w:ascii="Arial" w:eastAsia="Calibri" w:hAnsi="Arial" w:cs="Arial"/>
          <w:color w:val="000000" w:themeColor="text1"/>
          <w:sz w:val="22"/>
        </w:rPr>
        <w:t>–</w:t>
      </w:r>
      <w:r w:rsidR="00BB645A" w:rsidRPr="00373E13">
        <w:rPr>
          <w:rFonts w:ascii="Arial" w:hAnsi="Arial" w:cs="Arial"/>
          <w:noProof/>
          <w:sz w:val="22"/>
          <w:lang w:val="es-ES_tradnl"/>
        </w:rPr>
        <w:t>484 del 6 de agosto de 2020</w:t>
      </w:r>
      <w:r w:rsidR="00BB645A">
        <w:rPr>
          <w:rFonts w:ascii="Arial" w:hAnsi="Arial" w:cs="Arial"/>
          <w:noProof/>
          <w:sz w:val="22"/>
          <w:lang w:val="es-ES_tradnl"/>
        </w:rPr>
        <w:t xml:space="preserve"> y </w:t>
      </w:r>
      <w:r w:rsidR="00BB645A" w:rsidRPr="00373E13">
        <w:rPr>
          <w:rFonts w:ascii="Arial" w:hAnsi="Arial" w:cs="Arial"/>
          <w:noProof/>
          <w:sz w:val="22"/>
          <w:lang w:val="es-ES_tradnl"/>
        </w:rPr>
        <w:t>C</w:t>
      </w:r>
      <w:r w:rsidR="00BB645A">
        <w:rPr>
          <w:rFonts w:ascii="Arial" w:eastAsia="Calibri" w:hAnsi="Arial" w:cs="Arial"/>
          <w:color w:val="000000" w:themeColor="text1"/>
          <w:sz w:val="22"/>
        </w:rPr>
        <w:t>–</w:t>
      </w:r>
      <w:r w:rsidR="00BB645A" w:rsidRPr="00373E13">
        <w:rPr>
          <w:rFonts w:ascii="Arial" w:hAnsi="Arial" w:cs="Arial"/>
          <w:noProof/>
          <w:sz w:val="22"/>
          <w:lang w:val="es-ES_tradnl"/>
        </w:rPr>
        <w:t>608 del 1 de octubre de 2020</w:t>
      </w:r>
      <w:r w:rsidR="00103754" w:rsidRPr="009F6907">
        <w:rPr>
          <w:rFonts w:ascii="Arial" w:eastAsia="Calibri" w:hAnsi="Arial" w:cs="Arial"/>
          <w:sz w:val="22"/>
          <w:szCs w:val="22"/>
          <w:lang w:val="es-ES"/>
        </w:rPr>
        <w:t>, entre otros</w:t>
      </w:r>
      <w:r w:rsidR="00E844BE">
        <w:rPr>
          <w:rFonts w:ascii="Arial" w:eastAsia="Calibri" w:hAnsi="Arial" w:cs="Arial"/>
          <w:sz w:val="22"/>
          <w:szCs w:val="22"/>
          <w:lang w:val="es-ES"/>
        </w:rPr>
        <w:t>, que a efectos del cuestionario planteado ha desarrollado la temática con precisión</w:t>
      </w:r>
      <w:r w:rsidR="00815DA5" w:rsidRPr="00781AC2">
        <w:rPr>
          <w:rStyle w:val="Refdenotaalpie"/>
          <w:rFonts w:ascii="Arial" w:eastAsia="Calibri" w:hAnsi="Arial" w:cs="Arial"/>
          <w:sz w:val="22"/>
          <w:szCs w:val="22"/>
          <w:lang w:val="es-ES"/>
        </w:rPr>
        <w:footnoteReference w:id="3"/>
      </w:r>
      <w:r w:rsidRPr="00781AC2">
        <w:rPr>
          <w:rFonts w:ascii="Arial" w:eastAsia="Calibri" w:hAnsi="Arial" w:cs="Arial"/>
          <w:sz w:val="22"/>
          <w:szCs w:val="22"/>
          <w:lang w:val="es-ES"/>
        </w:rPr>
        <w:t xml:space="preserve">. Las tesis expuestas en estos conceptos se reiteran a continuación y se complementan en lo pertinente, teniendo en cuenta los interrogantes planteados. </w:t>
      </w:r>
    </w:p>
    <w:p w14:paraId="1D355629" w14:textId="77777777" w:rsidR="009E334F" w:rsidRPr="0049345F" w:rsidRDefault="009E334F" w:rsidP="005A15F1">
      <w:pPr>
        <w:spacing w:before="100" w:beforeAutospacing="1" w:after="120" w:line="276" w:lineRule="auto"/>
        <w:jc w:val="both"/>
        <w:rPr>
          <w:rFonts w:ascii="Arial" w:hAnsi="Arial" w:cs="Arial"/>
          <w:b/>
          <w:bCs/>
          <w:color w:val="000000" w:themeColor="text1"/>
          <w:sz w:val="22"/>
        </w:rPr>
      </w:pPr>
      <w:bookmarkStart w:id="5" w:name="_Hlk117695077"/>
      <w:r w:rsidRPr="0049345F">
        <w:rPr>
          <w:rFonts w:ascii="Arial" w:hAnsi="Arial" w:cs="Arial"/>
          <w:b/>
          <w:bCs/>
          <w:color w:val="000000" w:themeColor="text1"/>
          <w:sz w:val="22"/>
        </w:rPr>
        <w:t>2.1. Contratos de prestación de servicios profesionales y de apoyo a la gestión</w:t>
      </w:r>
    </w:p>
    <w:p w14:paraId="3705E4D0" w14:textId="74B51103" w:rsidR="009E334F" w:rsidRPr="0049345F" w:rsidRDefault="009E334F" w:rsidP="005A15F1">
      <w:pPr>
        <w:spacing w:before="100" w:beforeAutospacing="1" w:after="120" w:line="276" w:lineRule="auto"/>
        <w:jc w:val="both"/>
        <w:rPr>
          <w:rFonts w:ascii="Arial" w:hAnsi="Arial" w:cs="Arial"/>
          <w:color w:val="000000" w:themeColor="text1"/>
          <w:sz w:val="22"/>
        </w:rPr>
      </w:pPr>
      <w:r w:rsidRPr="0049345F">
        <w:rPr>
          <w:rFonts w:ascii="Arial" w:hAnsi="Arial" w:cs="Arial"/>
          <w:color w:val="000000" w:themeColor="text1"/>
          <w:sz w:val="22"/>
        </w:rPr>
        <w:t xml:space="preserve">El artículo 32, numeral 3º, de la Ley 80 de 1993 define a los contratos de prestación de servicios, como aquellos </w:t>
      </w:r>
      <w:r w:rsidR="007A05A8">
        <w:rPr>
          <w:rFonts w:ascii="Arial" w:hAnsi="Arial" w:cs="Arial"/>
          <w:color w:val="000000" w:themeColor="text1"/>
          <w:sz w:val="22"/>
        </w:rPr>
        <w:t>“</w:t>
      </w:r>
      <w:r w:rsidRPr="0049345F">
        <w:rPr>
          <w:rFonts w:ascii="Arial" w:hAnsi="Arial" w:cs="Arial"/>
          <w:color w:val="000000" w:themeColor="text1"/>
          <w:sz w:val="22"/>
        </w:rPr>
        <w:t>que celebr</w:t>
      </w:r>
      <w:r w:rsidR="007A05A8">
        <w:rPr>
          <w:rFonts w:ascii="Arial" w:hAnsi="Arial" w:cs="Arial"/>
          <w:color w:val="000000" w:themeColor="text1"/>
          <w:sz w:val="22"/>
        </w:rPr>
        <w:t>a</w:t>
      </w:r>
      <w:r w:rsidRPr="0049345F">
        <w:rPr>
          <w:rFonts w:ascii="Arial" w:hAnsi="Arial" w:cs="Arial"/>
          <w:color w:val="000000" w:themeColor="text1"/>
          <w:sz w:val="22"/>
        </w:rPr>
        <w:t>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007A05A8">
        <w:rPr>
          <w:rFonts w:ascii="Arial" w:hAnsi="Arial" w:cs="Arial"/>
          <w:color w:val="000000" w:themeColor="text1"/>
          <w:sz w:val="22"/>
        </w:rPr>
        <w:t>”</w:t>
      </w:r>
      <w:r w:rsidRPr="0049345F">
        <w:rPr>
          <w:rFonts w:ascii="Arial" w:hAnsi="Arial" w:cs="Arial"/>
          <w:color w:val="000000" w:themeColor="text1"/>
          <w:sz w:val="22"/>
        </w:rPr>
        <w:t>. Según lo establecido en el artículo 2, numeral 4º, literal h, de la Ley 1150 de 2007, para estos contratos se puede acudir a la modalidad de contratación directa. En efecto, la referida norma establece que:</w:t>
      </w:r>
    </w:p>
    <w:p w14:paraId="2B05BF04" w14:textId="77777777" w:rsidR="009E334F" w:rsidRPr="0049345F" w:rsidRDefault="009E334F" w:rsidP="005A15F1">
      <w:pPr>
        <w:spacing w:before="100" w:beforeAutospacing="1" w:after="120"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167DBF5E" w14:textId="77777777" w:rsidR="009E334F" w:rsidRPr="0049345F" w:rsidRDefault="009E334F" w:rsidP="005A15F1">
      <w:pPr>
        <w:spacing w:before="100" w:beforeAutospacing="1" w:after="120"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7123347D" w14:textId="77777777" w:rsidR="009E334F" w:rsidRPr="0049345F" w:rsidRDefault="009E334F" w:rsidP="005A15F1">
      <w:pPr>
        <w:spacing w:before="100" w:beforeAutospacing="1" w:after="120"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4. Contratación directa. La modalidad de selección de contratación directa, solamente procederá en los siguientes casos:</w:t>
      </w:r>
    </w:p>
    <w:p w14:paraId="6EA19A37" w14:textId="77777777" w:rsidR="009E334F" w:rsidRPr="0049345F" w:rsidRDefault="009E334F" w:rsidP="005A15F1">
      <w:pPr>
        <w:spacing w:before="100" w:beforeAutospacing="1" w:after="120"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w:t>
      </w:r>
    </w:p>
    <w:p w14:paraId="48A62518" w14:textId="77777777" w:rsidR="009E334F" w:rsidRPr="0049345F" w:rsidRDefault="009E334F" w:rsidP="005A15F1">
      <w:pPr>
        <w:spacing w:before="100" w:beforeAutospacing="1" w:after="120" w:line="276" w:lineRule="auto"/>
        <w:ind w:left="709" w:right="758"/>
        <w:jc w:val="both"/>
        <w:rPr>
          <w:rFonts w:ascii="Arial" w:hAnsi="Arial" w:cs="Arial"/>
          <w:color w:val="000000" w:themeColor="text1"/>
          <w:sz w:val="21"/>
          <w:szCs w:val="21"/>
        </w:rPr>
      </w:pPr>
      <w:r w:rsidRPr="0049345F">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2F41BCD4"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lastRenderedPageBreak/>
        <w:t xml:space="preserve">Es de resaltar que la norma transcrita distingue entre los contratos de prestación de servicios profesionales y los contratos de prestación de servicios de apoyo a la gestión, tal y como se explicará. </w:t>
      </w:r>
    </w:p>
    <w:p w14:paraId="07F5F067" w14:textId="55B8D00E"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Los primeros, a la luz de la jurisprudencia unificada de la Sección Tercera del Consejo de Estado</w:t>
      </w:r>
      <w:r w:rsidRPr="0049345F">
        <w:rPr>
          <w:rStyle w:val="Refdenotaalpie"/>
          <w:rFonts w:ascii="Arial" w:hAnsi="Arial" w:cs="Arial"/>
          <w:color w:val="000000" w:themeColor="text1"/>
          <w:sz w:val="22"/>
        </w:rPr>
        <w:footnoteReference w:id="4"/>
      </w:r>
      <w:r w:rsidRPr="0049345F">
        <w:rPr>
          <w:rFonts w:ascii="Arial" w:hAnsi="Arial" w:cs="Arial"/>
          <w:color w:val="000000" w:themeColor="text1"/>
          <w:sz w:val="22"/>
        </w:rPr>
        <w:t xml:space="preserve">, se denominan contratos propiamente dichos de prestación de servicios profesionales, y son </w:t>
      </w:r>
      <w:r w:rsidR="007A05A8">
        <w:rPr>
          <w:rFonts w:ascii="Arial" w:hAnsi="Arial" w:cs="Arial"/>
          <w:color w:val="000000" w:themeColor="text1"/>
          <w:sz w:val="22"/>
        </w:rPr>
        <w:t>“</w:t>
      </w:r>
      <w:r w:rsidRPr="0049345F">
        <w:rPr>
          <w:rFonts w:ascii="Arial" w:hAnsi="Arial" w:cs="Arial"/>
          <w:color w:val="000000" w:themeColor="text1"/>
          <w:sz w:val="22"/>
        </w:rPr>
        <w:t>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r w:rsidR="007A05A8">
        <w:rPr>
          <w:rFonts w:ascii="Arial" w:hAnsi="Arial" w:cs="Arial"/>
          <w:color w:val="000000" w:themeColor="text1"/>
          <w:sz w:val="22"/>
        </w:rPr>
        <w:t>”</w:t>
      </w:r>
      <w:r w:rsidRPr="0049345F">
        <w:rPr>
          <w:rFonts w:ascii="Arial" w:hAnsi="Arial" w:cs="Arial"/>
          <w:color w:val="000000" w:themeColor="text1"/>
          <w:sz w:val="22"/>
        </w:rPr>
        <w:t xml:space="preserve">. Este tipo de contratos, entonces, se caracterizan porque su objeto guarda relación con el desarrollo de actividades que demandan competencias y habilidades profesionales o especializadas de la persona natural o jurídica a contratar, de manera </w:t>
      </w:r>
      <w:r w:rsidR="007A05A8">
        <w:rPr>
          <w:rFonts w:ascii="Arial" w:hAnsi="Arial" w:cs="Arial"/>
          <w:color w:val="000000" w:themeColor="text1"/>
          <w:sz w:val="22"/>
        </w:rPr>
        <w:t>“</w:t>
      </w:r>
      <w:r w:rsidRPr="0049345F">
        <w:rPr>
          <w:rFonts w:ascii="Arial" w:hAnsi="Arial" w:cs="Arial"/>
          <w:color w:val="000000" w:themeColor="text1"/>
          <w:sz w:val="22"/>
        </w:rPr>
        <w:t>que se trata de un saber intelectivo cualificado</w:t>
      </w:r>
      <w:r w:rsidR="007A05A8">
        <w:rPr>
          <w:rFonts w:ascii="Arial" w:hAnsi="Arial" w:cs="Arial"/>
          <w:color w:val="000000" w:themeColor="text1"/>
          <w:sz w:val="22"/>
        </w:rPr>
        <w:t>”</w:t>
      </w:r>
      <w:r w:rsidRPr="0049345F">
        <w:rPr>
          <w:rFonts w:ascii="Arial" w:hAnsi="Arial" w:cs="Arial"/>
          <w:color w:val="000000" w:themeColor="text1"/>
          <w:sz w:val="22"/>
        </w:rPr>
        <w:t>.</w:t>
      </w:r>
    </w:p>
    <w:p w14:paraId="01145BAA"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La misma Sección</w:t>
      </w:r>
      <w:r w:rsidRPr="0049345F">
        <w:rPr>
          <w:rStyle w:val="Refdenotaalpie"/>
          <w:rFonts w:ascii="Arial" w:hAnsi="Arial" w:cs="Arial"/>
          <w:color w:val="000000" w:themeColor="text1"/>
          <w:sz w:val="22"/>
        </w:rPr>
        <w:footnoteReference w:id="5"/>
      </w:r>
      <w:r w:rsidRPr="0049345F">
        <w:rPr>
          <w:rFonts w:ascii="Arial" w:hAnsi="Arial" w:cs="Arial"/>
          <w:color w:val="000000" w:themeColor="text1"/>
          <w:sz w:val="22"/>
        </w:rPr>
        <w:t xml:space="preserve"> ya había resaltado que dichos contratos tienen las siguientes características:</w:t>
      </w:r>
    </w:p>
    <w:p w14:paraId="050D3DBC"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i) Pueden ser celebrados por cualquier entidad estatal que tenga capacidad para contratar, en los términos del artículo 2, numeral 1º, de la Ley 80 de 1993; </w:t>
      </w:r>
    </w:p>
    <w:p w14:paraId="680618E2" w14:textId="0E84741E"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ii) Se pueden celebrar con personas naturales o con personas jurídicas. Con aquellas para desarrollar actividades relacionadas con la administración o el funcionamiento de la entidad, siempre que estas no puedan realizarse con personal de planta o requieran conocimientos especializados. Con las personas jurídicas, por disposición del artículo 24, numeral 1º, literal d de la Ley 80 de 1993, así como del artículo 2, numeral 4º, literal h, de la Ley 1150 de 2007 y del artículo 2.2.1.2.1.4.9. del Decreto 1082 de 2015. Esta última norma </w:t>
      </w:r>
      <w:r w:rsidR="007A05A8">
        <w:rPr>
          <w:rFonts w:ascii="Arial" w:hAnsi="Arial" w:cs="Arial"/>
          <w:color w:val="000000" w:themeColor="text1"/>
          <w:sz w:val="22"/>
        </w:rPr>
        <w:t>establece que “</w:t>
      </w:r>
      <w:r w:rsidRPr="0049345F">
        <w:rPr>
          <w:rFonts w:ascii="Arial" w:hAnsi="Arial" w:cs="Arial"/>
          <w:color w:val="000000" w:themeColor="text1"/>
          <w:sz w:val="22"/>
        </w:rPr>
        <w:t xml:space="preserve">las Entidades Estatales pueden contratar bajo la modalidad de </w:t>
      </w:r>
      <w:r w:rsidRPr="0049345F">
        <w:rPr>
          <w:rFonts w:ascii="Arial" w:hAnsi="Arial" w:cs="Arial"/>
          <w:color w:val="000000" w:themeColor="text1"/>
          <w:sz w:val="22"/>
        </w:rPr>
        <w:lastRenderedPageBreak/>
        <w:t>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007A05A8">
        <w:rPr>
          <w:rFonts w:ascii="Arial" w:hAnsi="Arial" w:cs="Arial"/>
          <w:color w:val="000000" w:themeColor="text1"/>
          <w:sz w:val="22"/>
        </w:rPr>
        <w:t>”</w:t>
      </w:r>
      <w:r w:rsidRPr="0049345F">
        <w:rPr>
          <w:rFonts w:ascii="Arial" w:hAnsi="Arial" w:cs="Arial"/>
          <w:color w:val="000000" w:themeColor="text1"/>
          <w:sz w:val="22"/>
        </w:rPr>
        <w:t xml:space="preserve">. </w:t>
      </w:r>
    </w:p>
    <w:p w14:paraId="4CF5754B" w14:textId="542A7EBE" w:rsidR="009E334F" w:rsidRPr="0049345F" w:rsidRDefault="009E334F" w:rsidP="005A15F1">
      <w:pPr>
        <w:spacing w:before="100" w:beforeAutospacing="1" w:after="120" w:line="276" w:lineRule="auto"/>
        <w:ind w:firstLine="709"/>
        <w:jc w:val="both"/>
        <w:rPr>
          <w:color w:val="000000" w:themeColor="text1"/>
        </w:rPr>
      </w:pPr>
      <w:r w:rsidRPr="0049345F">
        <w:rPr>
          <w:rFonts w:ascii="Arial" w:hAnsi="Arial" w:cs="Arial"/>
          <w:color w:val="000000" w:themeColor="text1"/>
          <w:sz w:val="22"/>
        </w:rPr>
        <w:t>La Sala de Consulta y Servicio Civil del Consejo de Estado, en concepto del 23 de noviembre de 2005</w:t>
      </w:r>
      <w:r w:rsidRPr="0049345F">
        <w:rPr>
          <w:rStyle w:val="Refdenotaalpie"/>
          <w:rFonts w:ascii="Arial" w:hAnsi="Arial" w:cs="Arial"/>
          <w:color w:val="000000" w:themeColor="text1"/>
          <w:sz w:val="22"/>
        </w:rPr>
        <w:footnoteReference w:id="6"/>
      </w:r>
      <w:r w:rsidRPr="0049345F">
        <w:rPr>
          <w:rFonts w:ascii="Arial" w:hAnsi="Arial" w:cs="Arial"/>
          <w:color w:val="000000" w:themeColor="text1"/>
          <w:sz w:val="22"/>
        </w:rPr>
        <w:t>, aseguró que el contr</w:t>
      </w:r>
      <w:r w:rsidR="007A05A8">
        <w:rPr>
          <w:rFonts w:ascii="Arial" w:hAnsi="Arial" w:cs="Arial"/>
          <w:color w:val="000000" w:themeColor="text1"/>
          <w:sz w:val="22"/>
        </w:rPr>
        <w:t>ato de prestación de servicios “</w:t>
      </w:r>
      <w:r w:rsidRPr="0049345F">
        <w:rPr>
          <w:rFonts w:ascii="Arial" w:hAnsi="Arial" w:cs="Arial"/>
          <w:color w:val="000000" w:themeColor="text1"/>
          <w:sz w:val="22"/>
        </w:rPr>
        <w:t>puede celebrarse tanto con personas jurídicas como naturales, en este último caso, siempre y cuando las actividades contratadas no pueden cumplirse con personal de planta o cuando las labores requeridas exigen conocimientos especializados de los que no disponen los servidores de la entidad</w:t>
      </w:r>
      <w:r w:rsidR="007A05A8">
        <w:rPr>
          <w:rFonts w:ascii="Arial" w:hAnsi="Arial" w:cs="Arial"/>
          <w:color w:val="000000" w:themeColor="text1"/>
          <w:sz w:val="22"/>
        </w:rPr>
        <w:t>”</w:t>
      </w:r>
      <w:r w:rsidRPr="0049345F">
        <w:rPr>
          <w:rFonts w:ascii="Arial" w:hAnsi="Arial" w:cs="Arial"/>
          <w:color w:val="000000" w:themeColor="text1"/>
          <w:sz w:val="22"/>
        </w:rPr>
        <w:t xml:space="preserve">. Así también lo consideró la Corte Constitucional en la sentencia C-154 de 1997, en la que, al referirse a las diferencias entre los contratos de trabajo y de prestación de servicios, resaltó que en el caso de estos </w:t>
      </w:r>
      <w:r w:rsidR="007A05A8">
        <w:rPr>
          <w:rFonts w:ascii="Arial" w:hAnsi="Arial" w:cs="Arial"/>
          <w:color w:val="000000" w:themeColor="text1"/>
          <w:sz w:val="22"/>
        </w:rPr>
        <w:t>últimos “</w:t>
      </w:r>
      <w:r w:rsidRPr="0049345F">
        <w:rPr>
          <w:rFonts w:ascii="Arial" w:hAnsi="Arial" w:cs="Arial"/>
          <w:color w:val="000000" w:themeColor="text1"/>
          <w:sz w:val="22"/>
        </w:rPr>
        <w:t>la actividad independiente desarrollada, puede provenir de una persona jurídica con la que no existe el elemento de la subordinación laboral o dependencia consistente en la potestad de impartir órdenes en la ejecución de la labor contratada</w:t>
      </w:r>
      <w:r w:rsidR="007A05A8">
        <w:rPr>
          <w:rFonts w:ascii="Arial" w:hAnsi="Arial" w:cs="Arial"/>
          <w:color w:val="000000" w:themeColor="text1"/>
          <w:sz w:val="22"/>
        </w:rPr>
        <w:t>”</w:t>
      </w:r>
      <w:r w:rsidRPr="0049345F">
        <w:rPr>
          <w:rFonts w:ascii="Arial" w:hAnsi="Arial" w:cs="Arial"/>
          <w:color w:val="000000" w:themeColor="text1"/>
          <w:sz w:val="22"/>
        </w:rPr>
        <w:t xml:space="preserve"> −cursiva propia−. Este fallo, a su vez, fue citado, y sus fundamentos acogidos, por la Sección Segunda, Subsección A, del Consejo de Estado, en decisión del 1 de marzo de 2018</w:t>
      </w:r>
      <w:r w:rsidRPr="0049345F">
        <w:rPr>
          <w:rStyle w:val="Refdenotaalpie"/>
          <w:rFonts w:ascii="Arial" w:hAnsi="Arial" w:cs="Arial"/>
          <w:color w:val="000000" w:themeColor="text1"/>
          <w:sz w:val="22"/>
        </w:rPr>
        <w:footnoteReference w:id="7"/>
      </w:r>
      <w:r w:rsidRPr="0049345F">
        <w:rPr>
          <w:rFonts w:ascii="Arial" w:hAnsi="Arial" w:cs="Arial"/>
          <w:color w:val="000000" w:themeColor="text1"/>
          <w:sz w:val="22"/>
        </w:rPr>
        <w:t>.</w:t>
      </w:r>
    </w:p>
    <w:p w14:paraId="7FA19B01"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iii) Tienen por objeto desarrollar actividades relacionadas con la atención de los negocios o el cumplimiento de las funciones a cargo de la entidad contratante, siempre que tales actividades o funciones no puedan cumplirse con el personal de planta, bien por ser insuficiente o bien porque se requieran conocimientos especializados;</w:t>
      </w:r>
    </w:p>
    <w:p w14:paraId="75C4709E"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iv) La relación entre la entidad contratante y el contratista no es carácter laboral;</w:t>
      </w:r>
    </w:p>
    <w:p w14:paraId="0C2155F6"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lastRenderedPageBreak/>
        <w:t>v) No pueden pactarse por término indefinido, esto es, deben suscribirse por el plazo estrictamente necesario e indispensable, tal y como lo dispone el artículo 32, numeral 3º, inciso 2º, de la Ley 80 de 1993:</w:t>
      </w:r>
    </w:p>
    <w:p w14:paraId="75EB7BE1"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vi) Se rigen por las disposiciones civiles y comerciales que disciplinan el tipo negocial utilizado por la administración y las especiales previstas en dicho estatuto público contractual, según lo que se deriva de los artículos 13, 32 y 40 de la Ley 80 de 1993; y</w:t>
      </w:r>
    </w:p>
    <w:p w14:paraId="65FC6BCF"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vii) En estos contratos es potestativa la inclusión de cláusulas excepcionales al derecho común de terminación, interpretación y modificación unilaterales, de sometimiento a las leyes nacionales y de caducidad. </w:t>
      </w:r>
    </w:p>
    <w:p w14:paraId="1FC0D4D2" w14:textId="77777777"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Con todo, el uso de esta figura contractual está directamente relacionado con las necesidades a satisfacer por parte de la entidad y, en cierta medida, con el principio de planeación, pues los estudios previos deben consignar con suficiencia las razones que justifican celebrar un contrato de prestación de servicios profesionales.</w:t>
      </w:r>
    </w:p>
    <w:p w14:paraId="0D38EDC7" w14:textId="5DC27972" w:rsidR="005A15F1"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Los segundos, son denominados contratos de prestación de servicios de simple apoyo a la gestión</w:t>
      </w:r>
      <w:r w:rsidRPr="0049345F">
        <w:rPr>
          <w:rStyle w:val="Refdenotaalpie"/>
          <w:rFonts w:ascii="Arial" w:hAnsi="Arial" w:cs="Arial"/>
          <w:color w:val="000000" w:themeColor="text1"/>
          <w:sz w:val="22"/>
        </w:rPr>
        <w:footnoteReference w:id="8"/>
      </w:r>
      <w:r w:rsidRPr="0049345F">
        <w:rPr>
          <w:rFonts w:ascii="Arial" w:hAnsi="Arial" w:cs="Arial"/>
          <w:color w:val="000000" w:themeColor="text1"/>
          <w:sz w:val="22"/>
        </w:rPr>
        <w:t xml:space="preserve">. Estos, según lo que establece el artículo 2.2.1.2.1.4.9. del Decreto 1082 de 2015, corresponden a </w:t>
      </w:r>
      <w:r w:rsidR="007A05A8">
        <w:rPr>
          <w:rFonts w:ascii="Arial" w:hAnsi="Arial" w:cs="Arial"/>
          <w:color w:val="000000" w:themeColor="text1"/>
          <w:sz w:val="22"/>
        </w:rPr>
        <w:t>“</w:t>
      </w:r>
      <w:r w:rsidRPr="0049345F">
        <w:rPr>
          <w:rFonts w:ascii="Arial" w:hAnsi="Arial" w:cs="Arial"/>
          <w:color w:val="000000" w:themeColor="text1"/>
          <w:sz w:val="22"/>
        </w:rPr>
        <w:t>aquellos de naturaleza intelectual diferentes a los de consultoría que se derivan del cumplimiento de las funciones de la Entidad Estatal, así como los relacionados con actividades operativas, logísticas, o asistenciales</w:t>
      </w:r>
      <w:r w:rsidR="007A05A8">
        <w:rPr>
          <w:rFonts w:ascii="Arial" w:hAnsi="Arial" w:cs="Arial"/>
          <w:color w:val="000000" w:themeColor="text1"/>
          <w:sz w:val="22"/>
        </w:rPr>
        <w:t>”</w:t>
      </w:r>
      <w:r w:rsidRPr="0049345F">
        <w:rPr>
          <w:rFonts w:ascii="Arial" w:hAnsi="Arial" w:cs="Arial"/>
          <w:color w:val="000000" w:themeColor="text1"/>
          <w:sz w:val="22"/>
        </w:rPr>
        <w:t xml:space="preserve">. Son servicios de apoyo a la gestión todos aquellos servicios que involucren actividades requeridas para la entidad estatal y que impliquen el desempeño de un esfuerzo o actividad de apoyo, acompañamiento o soporte, que puede ser de carácter técnico, operacional, o logístico, y que tiendan a satisfacer las necesidades relacionadas con la gestión administrativa o funcionamiento de entidad. La ejecución de esos contratos, entonces, no implica conocimientos profesionales. </w:t>
      </w:r>
    </w:p>
    <w:p w14:paraId="7F8AE37C" w14:textId="28527CF5" w:rsidR="009E334F" w:rsidRPr="0049345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En criterio del Departamento Nacional de Planeación ─DNP─</w:t>
      </w:r>
      <w:r w:rsidRPr="0049345F">
        <w:rPr>
          <w:rStyle w:val="Refdenotaalpie"/>
          <w:rFonts w:ascii="Arial" w:hAnsi="Arial" w:cs="Arial"/>
          <w:color w:val="000000" w:themeColor="text1"/>
          <w:sz w:val="22"/>
        </w:rPr>
        <w:footnoteReference w:id="9"/>
      </w:r>
      <w:r w:rsidRPr="0049345F">
        <w:rPr>
          <w:rFonts w:ascii="Arial" w:hAnsi="Arial" w:cs="Arial"/>
          <w:color w:val="000000" w:themeColor="text1"/>
          <w:sz w:val="22"/>
        </w:rPr>
        <w:t xml:space="preserve">, los servicios de apoyo implican actividades de naturaleza operativa, logística o asistencial. Las actividades asistenciales, para </w:t>
      </w:r>
      <w:r w:rsidR="007A05A8">
        <w:rPr>
          <w:rFonts w:ascii="Arial" w:hAnsi="Arial" w:cs="Arial"/>
          <w:color w:val="000000" w:themeColor="text1"/>
          <w:sz w:val="22"/>
        </w:rPr>
        <w:t>el DNP, se refieren al apoyo a “</w:t>
      </w:r>
      <w:r w:rsidRPr="0049345F">
        <w:rPr>
          <w:rFonts w:ascii="Arial" w:hAnsi="Arial" w:cs="Arial"/>
          <w:color w:val="000000" w:themeColor="text1"/>
          <w:sz w:val="22"/>
        </w:rPr>
        <w:t>las tareas propias de la entidad o a las labores que se caracterizan por el predominio de actividades manuales o tareas de simple ejecución realizadas por personas no profesionales ni comerciantes</w:t>
      </w:r>
      <w:r w:rsidR="007A05A8">
        <w:rPr>
          <w:rFonts w:ascii="Arial" w:hAnsi="Arial" w:cs="Arial"/>
          <w:color w:val="000000" w:themeColor="text1"/>
          <w:sz w:val="22"/>
        </w:rPr>
        <w:t>”</w:t>
      </w:r>
      <w:r w:rsidRPr="0049345F">
        <w:rPr>
          <w:rFonts w:ascii="Arial" w:hAnsi="Arial" w:cs="Arial"/>
          <w:color w:val="000000" w:themeColor="text1"/>
          <w:sz w:val="22"/>
        </w:rPr>
        <w:t xml:space="preserve">. Las actividades </w:t>
      </w:r>
      <w:r w:rsidRPr="0049345F">
        <w:rPr>
          <w:rFonts w:ascii="Arial" w:hAnsi="Arial" w:cs="Arial"/>
          <w:color w:val="000000" w:themeColor="text1"/>
          <w:sz w:val="22"/>
        </w:rPr>
        <w:lastRenderedPageBreak/>
        <w:t xml:space="preserve">operativas son </w:t>
      </w:r>
      <w:r w:rsidR="007A05A8">
        <w:rPr>
          <w:rFonts w:ascii="Arial" w:hAnsi="Arial" w:cs="Arial"/>
          <w:color w:val="000000" w:themeColor="text1"/>
          <w:sz w:val="22"/>
        </w:rPr>
        <w:t>“</w:t>
      </w:r>
      <w:r w:rsidRPr="0049345F">
        <w:rPr>
          <w:rFonts w:ascii="Arial" w:hAnsi="Arial" w:cs="Arial"/>
          <w:color w:val="000000" w:themeColor="text1"/>
          <w:sz w:val="22"/>
        </w:rPr>
        <w:t xml:space="preserve">las </w:t>
      </w:r>
      <w:r w:rsidR="007A05A8" w:rsidRPr="0049345F">
        <w:rPr>
          <w:rFonts w:ascii="Arial" w:hAnsi="Arial" w:cs="Arial"/>
          <w:color w:val="000000" w:themeColor="text1"/>
          <w:sz w:val="22"/>
        </w:rPr>
        <w:t>que,</w:t>
      </w:r>
      <w:r w:rsidRPr="0049345F">
        <w:rPr>
          <w:rFonts w:ascii="Arial" w:hAnsi="Arial" w:cs="Arial"/>
          <w:color w:val="000000" w:themeColor="text1"/>
          <w:sz w:val="22"/>
        </w:rPr>
        <w:t xml:space="preserve"> con carácter ocasional, deban contratarse para el desarrollo de actividades propias de la entidad por personal no profesional</w:t>
      </w:r>
      <w:r w:rsidR="007A05A8">
        <w:rPr>
          <w:rFonts w:ascii="Arial" w:hAnsi="Arial" w:cs="Arial"/>
          <w:color w:val="000000" w:themeColor="text1"/>
          <w:sz w:val="22"/>
        </w:rPr>
        <w:t>”</w:t>
      </w:r>
      <w:r w:rsidR="005A15F1">
        <w:rPr>
          <w:rFonts w:ascii="Arial" w:hAnsi="Arial" w:cs="Arial"/>
          <w:color w:val="000000" w:themeColor="text1"/>
          <w:sz w:val="22"/>
        </w:rPr>
        <w:t>. Y las actividades logísticas “</w:t>
      </w:r>
      <w:r w:rsidRPr="0049345F">
        <w:rPr>
          <w:rFonts w:ascii="Arial" w:hAnsi="Arial" w:cs="Arial"/>
          <w:color w:val="000000" w:themeColor="text1"/>
          <w:sz w:val="22"/>
        </w:rPr>
        <w:t xml:space="preserve">son aquellas que emplean un conjunto de medios y métodos necesarios para llevar a cabo la organización de </w:t>
      </w:r>
      <w:r w:rsidR="005A15F1">
        <w:rPr>
          <w:rFonts w:ascii="Arial" w:hAnsi="Arial" w:cs="Arial"/>
          <w:color w:val="000000" w:themeColor="text1"/>
          <w:sz w:val="22"/>
        </w:rPr>
        <w:t>un servicio o evento específico”</w:t>
      </w:r>
      <w:r w:rsidRPr="0049345F">
        <w:rPr>
          <w:rFonts w:ascii="Arial" w:hAnsi="Arial" w:cs="Arial"/>
          <w:color w:val="000000" w:themeColor="text1"/>
          <w:sz w:val="22"/>
        </w:rPr>
        <w:t>.</w:t>
      </w:r>
    </w:p>
    <w:p w14:paraId="0E45FF71" w14:textId="4FEC672C" w:rsidR="009E334F" w:rsidRDefault="009E334F" w:rsidP="005A15F1">
      <w:pPr>
        <w:spacing w:before="100" w:beforeAutospacing="1" w:after="120" w:line="276" w:lineRule="auto"/>
        <w:ind w:firstLine="709"/>
        <w:jc w:val="both"/>
        <w:rPr>
          <w:rFonts w:ascii="Arial" w:hAnsi="Arial" w:cs="Arial"/>
          <w:color w:val="000000" w:themeColor="text1"/>
          <w:sz w:val="22"/>
        </w:rPr>
      </w:pPr>
      <w:r w:rsidRPr="0049345F">
        <w:rPr>
          <w:rFonts w:ascii="Arial" w:hAnsi="Arial" w:cs="Arial"/>
          <w:color w:val="000000" w:themeColor="text1"/>
          <w:sz w:val="22"/>
        </w:rPr>
        <w:t xml:space="preserve">Se trata, entonces, de una noción genérica que abarca a todos </w:t>
      </w:r>
      <w:r w:rsidR="007A05A8">
        <w:rPr>
          <w:rFonts w:ascii="Arial" w:hAnsi="Arial" w:cs="Arial"/>
          <w:color w:val="000000" w:themeColor="text1"/>
          <w:sz w:val="22"/>
        </w:rPr>
        <w:t>los “</w:t>
      </w:r>
      <w:r w:rsidRPr="0049345F">
        <w:rPr>
          <w:rFonts w:ascii="Arial" w:hAnsi="Arial" w:cs="Arial"/>
          <w:color w:val="000000" w:themeColor="text1"/>
          <w:sz w:val="22"/>
        </w:rPr>
        <w:t>demás contratos de prestación de servicios</w:t>
      </w:r>
      <w:r w:rsidR="007A05A8">
        <w:rPr>
          <w:rFonts w:ascii="Arial" w:hAnsi="Arial" w:cs="Arial"/>
          <w:color w:val="000000" w:themeColor="text1"/>
          <w:sz w:val="22"/>
        </w:rPr>
        <w:t>”</w:t>
      </w:r>
      <w:r w:rsidRPr="0049345F">
        <w:rPr>
          <w:rStyle w:val="Refdenotaalpie"/>
          <w:rFonts w:ascii="Arial" w:hAnsi="Arial" w:cs="Arial"/>
          <w:color w:val="000000" w:themeColor="text1"/>
          <w:sz w:val="22"/>
        </w:rPr>
        <w:footnoteReference w:id="10"/>
      </w:r>
      <w:r w:rsidRPr="0049345F">
        <w:rPr>
          <w:rFonts w:ascii="Arial" w:hAnsi="Arial" w:cs="Arial"/>
          <w:color w:val="000000" w:themeColor="text1"/>
          <w:sz w:val="22"/>
        </w:rPr>
        <w:t>. Sus características principales son: i) su objeto no es el desarrollo de actividades profesionales o especializadas, sino cualquier otra actividad identificable, requerida por la entidad estatal, que implica el desempeño de un esfuerzo o actividad de apoyo, acompañamiento o soporte; y es de carácter técnico, operacional o logístico, en los términos señalados en el párrafo precedente, según el caso. Y ii) está destinado a satisfacer necesidades de las entidades estatales en relación con su funcionamiento o gestión administrativa, sin que sean necesarios, en todo caso, los conocimientos profesionales o especializados para su ejecución. Estos últimos, como se señaló previamente, se reservan únicamente para el contrato propiamente dicho de prestación de servicios profesionales, pero no para los contratos de prestación de servicios de simple apoyo a la gestión.</w:t>
      </w:r>
    </w:p>
    <w:p w14:paraId="68ADC0A5" w14:textId="77777777" w:rsidR="009D5532" w:rsidRPr="00ED4E9B" w:rsidRDefault="009D5532" w:rsidP="005A15F1">
      <w:pPr>
        <w:pStyle w:val="Ttulo1"/>
        <w:spacing w:before="100" w:beforeAutospacing="1" w:after="120"/>
      </w:pPr>
      <w:r w:rsidRPr="00ED4E9B">
        <w:t>2.2. La cesión de créditos</w:t>
      </w:r>
    </w:p>
    <w:p w14:paraId="450257FB" w14:textId="11204C27" w:rsidR="009D5532" w:rsidRPr="00ED4E9B" w:rsidRDefault="009D5532" w:rsidP="005A15F1">
      <w:pPr>
        <w:pStyle w:val="Textoindependiente"/>
        <w:spacing w:before="100" w:beforeAutospacing="1" w:after="120" w:line="278" w:lineRule="auto"/>
        <w:ind w:right="306"/>
        <w:jc w:val="both"/>
      </w:pPr>
      <w:r w:rsidRPr="00ED4E9B">
        <w:t xml:space="preserve">El contrato estatal, como contrato bilateral y oneroso que es, genera obligaciones correlativas tanto para la entidad estatal contratante como para el contratista, que resultan equivalentes y comportan la ecuación financiera del contrato. Cuando el contratista cumple con las obligaciones de dar, hacer o no hacer, esto es, ejecuta las prestaciones a su cargo, surge para la entidad estatal la correlativa obligación de pagar la </w:t>
      </w:r>
      <w:r w:rsidR="007A05A8" w:rsidRPr="00ED4E9B">
        <w:t>contraprestación, remuneración</w:t>
      </w:r>
      <w:r w:rsidRPr="00ED4E9B">
        <w:t xml:space="preserve"> o precio pactado en favor del contratista. En derecho, pago es la ejecución de la prestación debida por el deudor, cualquiera que sea el objeto de ella</w:t>
      </w:r>
      <w:r w:rsidRPr="00ED4E9B">
        <w:rPr>
          <w:rStyle w:val="Refdenotaalpie"/>
        </w:rPr>
        <w:footnoteReference w:id="11"/>
      </w:r>
      <w:r w:rsidRPr="00ED4E9B">
        <w:t>.</w:t>
      </w:r>
    </w:p>
    <w:p w14:paraId="4BC245FD" w14:textId="77777777" w:rsidR="009D5532" w:rsidRPr="00ED4E9B" w:rsidRDefault="009D5532" w:rsidP="005A15F1">
      <w:pPr>
        <w:pStyle w:val="Textoindependiente"/>
        <w:spacing w:before="100" w:beforeAutospacing="1" w:after="120" w:line="276" w:lineRule="auto"/>
        <w:ind w:right="306" w:firstLine="708"/>
        <w:jc w:val="both"/>
      </w:pPr>
      <w:r w:rsidRPr="00ED4E9B">
        <w:t xml:space="preserve">El pago de la contraprestación a cargo de la entidad estatal, de conformidad con lo dispuesto por los artículos 1626 y siguientes del Código Civil, debe cumplirse, por regla general, en los términos de la obligación pactada, y debe hacerse al acreedor </w:t>
      </w:r>
      <w:r w:rsidRPr="00ED4E9B">
        <w:lastRenderedPageBreak/>
        <w:t>mismo o la persona que la ley o el juez autoricen a recibir por él, o a la persona diputada por el acreedor para recibir el cobro. Solo de esa manera el pago se reputa válido, y libera al deudor del cumplimiento de su obligación</w:t>
      </w:r>
      <w:r w:rsidRPr="00ED4E9B">
        <w:rPr>
          <w:rStyle w:val="Refdenotaalpie"/>
        </w:rPr>
        <w:footnoteReference w:id="12"/>
      </w:r>
      <w:r w:rsidRPr="00ED4E9B">
        <w:t>. Sin perjuicio de lo anterior, la ley también tiene por pago válido el que se hace a persona distinta del acreedor, cuando éste lo ratifica de modo expreso o tácito o cuando se paga a un representante o un mandatario del acreedor, siempre que lo anterior sea de conocimiento del deudor</w:t>
      </w:r>
      <w:r w:rsidRPr="00ED4E9B">
        <w:rPr>
          <w:rStyle w:val="Refdenotaalpie"/>
        </w:rPr>
        <w:footnoteReference w:id="13"/>
      </w:r>
      <w:r w:rsidRPr="00ED4E9B">
        <w:t>.</w:t>
      </w:r>
    </w:p>
    <w:p w14:paraId="6B783F3A" w14:textId="77777777" w:rsidR="009D5532" w:rsidRPr="00ED4E9B" w:rsidRDefault="009D5532" w:rsidP="005A15F1">
      <w:pPr>
        <w:pStyle w:val="Textoindependiente"/>
        <w:spacing w:before="100" w:beforeAutospacing="1" w:after="120" w:line="276" w:lineRule="auto"/>
        <w:ind w:right="308" w:firstLine="708"/>
        <w:jc w:val="both"/>
      </w:pPr>
      <w:r w:rsidRPr="00ED4E9B">
        <w:t>Lo anterior permite afirmar que, tratándose de un contrato celebrado entre una entidad estatal y un consorcio o unión temporal, en principio la contraprestación a cargo de la entidad debe pagarse válidamente al representante designado, siempre y cuando la facultad de recibir sea conocida por la entidad contratante, ya sea porque así se dispuso en el contrato consorcial o porque el poder o mandato medie en otro instrumento de forma expresa o</w:t>
      </w:r>
      <w:r w:rsidRPr="00ED4E9B">
        <w:rPr>
          <w:spacing w:val="-4"/>
        </w:rPr>
        <w:t xml:space="preserve"> </w:t>
      </w:r>
      <w:r w:rsidRPr="00ED4E9B">
        <w:t>tácita.</w:t>
      </w:r>
    </w:p>
    <w:p w14:paraId="50B2AFA1" w14:textId="77777777" w:rsidR="009D5532" w:rsidRPr="00ED4E9B" w:rsidRDefault="009D5532" w:rsidP="005A15F1">
      <w:pPr>
        <w:pStyle w:val="Textoindependiente"/>
        <w:spacing w:before="100" w:beforeAutospacing="1" w:after="120" w:line="276" w:lineRule="auto"/>
        <w:ind w:right="310" w:firstLine="708"/>
        <w:jc w:val="both"/>
      </w:pPr>
      <w:r w:rsidRPr="00ED4E9B">
        <w:t xml:space="preserve">Sin perjuicio de lo anterior, también debe tenerse en cuenta que la obligación de pago comporta un crédito en favor del acreedor beneficiario, que constituye un derecho </w:t>
      </w:r>
      <w:r w:rsidRPr="00ED4E9B">
        <w:lastRenderedPageBreak/>
        <w:t>personal, de contenido económico, cuya definición está prevista en el artículo 666 del Código Civil de la siguiente</w:t>
      </w:r>
      <w:r w:rsidRPr="00ED4E9B">
        <w:rPr>
          <w:spacing w:val="-6"/>
        </w:rPr>
        <w:t xml:space="preserve"> </w:t>
      </w:r>
      <w:r w:rsidRPr="00ED4E9B">
        <w:t>manera:</w:t>
      </w:r>
    </w:p>
    <w:p w14:paraId="310D2AE9" w14:textId="367CF6C6" w:rsidR="009D5532" w:rsidRPr="0002542D" w:rsidRDefault="009D5532" w:rsidP="005A15F1">
      <w:pPr>
        <w:pStyle w:val="Textoindependiente"/>
        <w:spacing w:before="100" w:beforeAutospacing="1" w:after="120" w:line="276" w:lineRule="auto"/>
        <w:ind w:left="708" w:right="333"/>
        <w:jc w:val="both"/>
        <w:rPr>
          <w:sz w:val="21"/>
          <w:szCs w:val="21"/>
        </w:rPr>
      </w:pPr>
      <w:r w:rsidRPr="0002542D">
        <w:rPr>
          <w:sz w:val="21"/>
          <w:szCs w:val="21"/>
        </w:rPr>
        <w:t>“Artículo 666. &lt;Derechos personales o créditos &gt;.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14:paraId="613409B4" w14:textId="77777777" w:rsidR="009D5532" w:rsidRPr="00ED4E9B" w:rsidRDefault="009D5532" w:rsidP="005A15F1">
      <w:pPr>
        <w:pStyle w:val="Textoindependiente"/>
        <w:spacing w:before="100" w:beforeAutospacing="1" w:after="120" w:line="276" w:lineRule="auto"/>
        <w:ind w:right="304" w:firstLine="708"/>
        <w:jc w:val="both"/>
      </w:pPr>
      <w:r w:rsidRPr="00ED4E9B">
        <w:t>El titular de un crédito, contenido o no en un documento que sirva de título, puede disponer de el por cualquier causa: venta, permuta, donación, aporte en sociedad, etc., es decir, onerosa o gratuitamente, por constituir un activo patrimonial</w:t>
      </w:r>
      <w:r w:rsidRPr="00ED4E9B">
        <w:rPr>
          <w:rStyle w:val="Refdenotaalpie"/>
        </w:rPr>
        <w:footnoteReference w:id="14"/>
      </w:r>
      <w:r w:rsidRPr="00ED4E9B">
        <w:t>. Otra de las formas de disponer de un crédito es mediante la cesión. Sobre el particular la doctrina</w:t>
      </w:r>
      <w:r w:rsidRPr="00ED4E9B">
        <w:rPr>
          <w:rStyle w:val="Refdenotaalpie"/>
        </w:rPr>
        <w:footnoteReference w:id="15"/>
      </w:r>
      <w:r w:rsidRPr="00ED4E9B">
        <w:t xml:space="preserve"> considera lo siguiente:</w:t>
      </w:r>
    </w:p>
    <w:p w14:paraId="58CEF988" w14:textId="77777777" w:rsidR="009D5532" w:rsidRPr="00ED4E9B" w:rsidRDefault="009D5532" w:rsidP="005A15F1">
      <w:pPr>
        <w:pStyle w:val="Textoindependiente"/>
        <w:spacing w:before="100" w:beforeAutospacing="1" w:after="120" w:line="276" w:lineRule="auto"/>
        <w:ind w:left="1010" w:right="731"/>
        <w:jc w:val="both"/>
      </w:pPr>
      <w:r w:rsidRPr="00ED4E9B">
        <w:t>“</w:t>
      </w:r>
      <w:r w:rsidRPr="007A05A8">
        <w:rPr>
          <w:sz w:val="21"/>
          <w:szCs w:val="21"/>
        </w:rPr>
        <w:t>Consideramos que la cesión de créditos, tal como está regulada en el Código Civil, encierra un negocio jurídico participante de la causa o del título que se haga. Es decir: que si se hace a título de venta intervendrá la noción de este contrato, si se cambia; el de permuta y así sucesivamente. Mas, por imposición expresa del artículo 33 de la Ley 57 de 1887, la cesión no tendrá efecto alguno entre el que transmite el derecho, cedente, y el que se encarga de este crédito, cesionario, sino en virtud de la entrega del título contentivo del derecho personal traspasado o mediante el otorgamiento de un documento del cedente al cesionario en el evento en que no conste, en un título, ese crédito. Con la entrega se hace la</w:t>
      </w:r>
      <w:r w:rsidRPr="007A05A8">
        <w:rPr>
          <w:spacing w:val="-4"/>
          <w:sz w:val="21"/>
          <w:szCs w:val="21"/>
        </w:rPr>
        <w:t xml:space="preserve"> </w:t>
      </w:r>
      <w:r w:rsidRPr="007A05A8">
        <w:rPr>
          <w:sz w:val="21"/>
          <w:szCs w:val="21"/>
        </w:rPr>
        <w:t>tradición</w:t>
      </w:r>
      <w:r w:rsidRPr="00ED4E9B">
        <w:t>”.</w:t>
      </w:r>
    </w:p>
    <w:p w14:paraId="1CBE42C8" w14:textId="04572D09" w:rsidR="009D5532" w:rsidRPr="00ED4E9B" w:rsidRDefault="009D5532" w:rsidP="005A15F1">
      <w:pPr>
        <w:pStyle w:val="Textoindependiente"/>
        <w:spacing w:before="100" w:beforeAutospacing="1" w:after="120" w:line="276" w:lineRule="auto"/>
        <w:ind w:right="305" w:firstLine="708"/>
        <w:jc w:val="both"/>
      </w:pPr>
      <w:r w:rsidRPr="00ED4E9B">
        <w:t xml:space="preserve">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  efectos para el deudor y terceros luego de que el cesionario la notifica al deudor o es aceptada por éste; iv) la notificación se hace con exhibición del título o documento creado para el efecto, para lo cual, el título o documento deberá llevar anotado el </w:t>
      </w:r>
      <w:r w:rsidRPr="00ED4E9B">
        <w:lastRenderedPageBreak/>
        <w:t>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transmisión del Código de Comercio;</w:t>
      </w:r>
    </w:p>
    <w:p w14:paraId="4A14B0FF" w14:textId="5120EA6A" w:rsidR="009D5532" w:rsidRPr="00ED4E9B" w:rsidRDefault="009D5532" w:rsidP="005A15F1">
      <w:pPr>
        <w:pStyle w:val="Textoindependiente"/>
        <w:spacing w:before="100" w:beforeAutospacing="1" w:after="120" w:line="276" w:lineRule="auto"/>
        <w:ind w:right="305" w:firstLine="708"/>
        <w:jc w:val="both"/>
      </w:pPr>
      <w:r w:rsidRPr="00ED4E9B">
        <w:t xml:space="preserve">En el contexto expuesto, un crédito a favor del contratista de un contrato estatal puede ser cedido, cumpliendo con las previsiones legales que hacen oponible la transmisión del derecho a una tercera persona, caso en el cual la entidad contratante podrá pagar válidamente la contraprestación que debe al cesionario. </w:t>
      </w:r>
    </w:p>
    <w:p w14:paraId="11F8880F" w14:textId="77777777" w:rsidR="004E27DD" w:rsidRPr="004F326F" w:rsidRDefault="004E27DD" w:rsidP="005A15F1">
      <w:pPr>
        <w:shd w:val="clear" w:color="auto" w:fill="FFFFFF"/>
        <w:spacing w:before="100" w:beforeAutospacing="1" w:after="120" w:line="276" w:lineRule="auto"/>
        <w:jc w:val="both"/>
        <w:rPr>
          <w:rFonts w:ascii="Arial" w:hAnsi="Arial" w:cs="Arial"/>
          <w:sz w:val="22"/>
          <w:szCs w:val="22"/>
        </w:rPr>
      </w:pPr>
    </w:p>
    <w:p w14:paraId="0DD06BCF" w14:textId="77777777" w:rsidR="00936986" w:rsidRPr="00781AC2" w:rsidRDefault="00936986" w:rsidP="005A15F1">
      <w:pPr>
        <w:tabs>
          <w:tab w:val="left" w:pos="0"/>
        </w:tabs>
        <w:spacing w:before="100" w:beforeAutospacing="1" w:after="120"/>
        <w:jc w:val="both"/>
        <w:rPr>
          <w:rFonts w:ascii="Arial" w:eastAsia="Calibri" w:hAnsi="Arial" w:cs="Arial"/>
          <w:b/>
          <w:sz w:val="22"/>
          <w:lang w:val="es-ES_tradnl"/>
        </w:rPr>
      </w:pPr>
    </w:p>
    <w:p w14:paraId="4F173B6D" w14:textId="77777777" w:rsidR="0005405C" w:rsidRPr="00781AC2" w:rsidRDefault="0005405C" w:rsidP="005A15F1">
      <w:pPr>
        <w:tabs>
          <w:tab w:val="left" w:pos="0"/>
        </w:tabs>
        <w:spacing w:before="100" w:beforeAutospacing="1" w:after="120"/>
        <w:jc w:val="both"/>
        <w:rPr>
          <w:rFonts w:ascii="Arial" w:eastAsia="Calibri" w:hAnsi="Arial" w:cs="Arial"/>
          <w:b/>
          <w:sz w:val="22"/>
          <w:lang w:val="es-ES_tradnl"/>
        </w:rPr>
      </w:pPr>
      <w:r w:rsidRPr="00781AC2">
        <w:rPr>
          <w:rFonts w:ascii="Arial" w:eastAsia="Calibri" w:hAnsi="Arial" w:cs="Arial"/>
          <w:b/>
          <w:sz w:val="22"/>
          <w:lang w:val="es-ES_tradnl"/>
        </w:rPr>
        <w:t>3. Respuesta</w:t>
      </w:r>
    </w:p>
    <w:p w14:paraId="0298B3AE" w14:textId="4561DDF1" w:rsidR="007A05A8" w:rsidRPr="007A05A8" w:rsidRDefault="007A05A8" w:rsidP="005A15F1">
      <w:pPr>
        <w:spacing w:before="100" w:beforeAutospacing="1" w:after="120"/>
        <w:ind w:left="567" w:right="851"/>
        <w:jc w:val="both"/>
        <w:rPr>
          <w:rFonts w:ascii="Arial" w:hAnsi="Arial" w:cs="Arial"/>
          <w:sz w:val="21"/>
          <w:szCs w:val="21"/>
        </w:rPr>
      </w:pPr>
      <w:r>
        <w:rPr>
          <w:rFonts w:ascii="Arial" w:hAnsi="Arial" w:cs="Arial"/>
          <w:sz w:val="21"/>
          <w:szCs w:val="21"/>
        </w:rPr>
        <w:t>“</w:t>
      </w:r>
      <w:r w:rsidRPr="007A05A8">
        <w:rPr>
          <w:rFonts w:ascii="Arial" w:hAnsi="Arial" w:cs="Arial"/>
          <w:sz w:val="21"/>
          <w:szCs w:val="21"/>
        </w:rPr>
        <w:t xml:space="preserve">Quisiera indagar sobre la viabilidad jurídica y contractual de una cesión de derechos económicos y/o cesión de pago en un contrato de prestación de servicios profesionales o apoyo a la gestión, bajo 2 escenarios: </w:t>
      </w:r>
    </w:p>
    <w:p w14:paraId="3731C200" w14:textId="77777777" w:rsidR="007A05A8" w:rsidRPr="007A05A8" w:rsidRDefault="007A05A8" w:rsidP="005A15F1">
      <w:pPr>
        <w:spacing w:before="100" w:beforeAutospacing="1" w:after="120"/>
        <w:ind w:left="567" w:right="851"/>
        <w:jc w:val="both"/>
        <w:rPr>
          <w:rFonts w:ascii="Arial" w:hAnsi="Arial" w:cs="Arial"/>
          <w:sz w:val="21"/>
          <w:szCs w:val="21"/>
        </w:rPr>
      </w:pPr>
      <w:r w:rsidRPr="007A05A8">
        <w:rPr>
          <w:rFonts w:ascii="Arial" w:hAnsi="Arial" w:cs="Arial"/>
          <w:sz w:val="21"/>
          <w:szCs w:val="21"/>
        </w:rPr>
        <w:t xml:space="preserve">1. de que el contratista tiene una deuda con una persona natural respaldada con un contrato de compraventa o un título valor; </w:t>
      </w:r>
    </w:p>
    <w:p w14:paraId="0AEC3ECA" w14:textId="77777777" w:rsidR="007A05A8" w:rsidRPr="007A05A8" w:rsidRDefault="007A05A8" w:rsidP="005A15F1">
      <w:pPr>
        <w:spacing w:before="100" w:beforeAutospacing="1" w:after="120"/>
        <w:ind w:left="567" w:right="851"/>
        <w:jc w:val="both"/>
        <w:rPr>
          <w:rFonts w:ascii="Arial" w:hAnsi="Arial" w:cs="Arial"/>
          <w:sz w:val="21"/>
          <w:szCs w:val="21"/>
        </w:rPr>
      </w:pPr>
      <w:r w:rsidRPr="007A05A8">
        <w:rPr>
          <w:rFonts w:ascii="Arial" w:hAnsi="Arial" w:cs="Arial"/>
          <w:sz w:val="21"/>
          <w:szCs w:val="21"/>
        </w:rPr>
        <w:t xml:space="preserve">2. de que el contratista tiene una deuda con una persona jurídica respaldada con un contrato de compraventa o un título valor. </w:t>
      </w:r>
    </w:p>
    <w:p w14:paraId="196A0099" w14:textId="07C56D9B" w:rsidR="00CD0379" w:rsidRDefault="007A05A8" w:rsidP="005A15F1">
      <w:pPr>
        <w:spacing w:before="100" w:beforeAutospacing="1" w:after="120"/>
        <w:ind w:left="567" w:right="851"/>
        <w:jc w:val="both"/>
        <w:rPr>
          <w:rFonts w:ascii="Arial" w:hAnsi="Arial" w:cs="Arial"/>
          <w:sz w:val="21"/>
          <w:szCs w:val="21"/>
        </w:rPr>
      </w:pPr>
      <w:r w:rsidRPr="007A05A8">
        <w:rPr>
          <w:rFonts w:ascii="Arial" w:hAnsi="Arial" w:cs="Arial"/>
          <w:sz w:val="21"/>
          <w:szCs w:val="21"/>
        </w:rPr>
        <w:t>¿puede el contratista ceder los derechos económicos? ¿debe solicitar autorización ante el contratante para tramitar una modificación al contrato? ¿está la entidad obligada a efectuar tal modificación si el contratista lo solicita? ¿es viable esta cesión de derechos económicos en contratos de prestación de servicios profesionales o apoyo a la gestión?</w:t>
      </w:r>
      <w:r>
        <w:rPr>
          <w:rFonts w:ascii="Arial" w:hAnsi="Arial" w:cs="Arial"/>
          <w:sz w:val="21"/>
          <w:szCs w:val="21"/>
        </w:rPr>
        <w:t>”</w:t>
      </w:r>
      <w:r w:rsidRPr="007A05A8">
        <w:rPr>
          <w:rFonts w:ascii="Arial" w:hAnsi="Arial" w:cs="Arial"/>
          <w:sz w:val="21"/>
          <w:szCs w:val="21"/>
          <w:shd w:val="clear" w:color="auto" w:fill="E6E6E6"/>
          <w:lang w:val="es-ES"/>
        </w:rPr>
        <w:t xml:space="preserve"> </w:t>
      </w:r>
      <w:r w:rsidR="00CD0379" w:rsidRPr="00781AC2">
        <w:rPr>
          <w:rFonts w:ascii="Arial" w:hAnsi="Arial" w:cs="Arial"/>
          <w:sz w:val="21"/>
          <w:szCs w:val="21"/>
          <w:shd w:val="clear" w:color="auto" w:fill="E6E6E6"/>
          <w:lang w:val="es-ES"/>
        </w:rPr>
        <w:t>(SIC)</w:t>
      </w:r>
      <w:r w:rsidR="00CD0379" w:rsidRPr="00781AC2">
        <w:rPr>
          <w:rFonts w:ascii="Arial" w:hAnsi="Arial" w:cs="Arial"/>
          <w:sz w:val="21"/>
          <w:szCs w:val="21"/>
          <w:lang w:val="es-ES"/>
        </w:rPr>
        <w:t>.</w:t>
      </w:r>
    </w:p>
    <w:p w14:paraId="4202BAC2" w14:textId="0A5FDB17" w:rsidR="00CD0379" w:rsidRDefault="00CD0379" w:rsidP="005A15F1">
      <w:pPr>
        <w:spacing w:before="100" w:beforeAutospacing="1" w:after="120" w:line="276" w:lineRule="auto"/>
        <w:ind w:firstLine="708"/>
        <w:jc w:val="both"/>
        <w:rPr>
          <w:rFonts w:ascii="Arial" w:hAnsi="Arial" w:cs="Arial"/>
          <w:bCs/>
          <w:sz w:val="22"/>
          <w:szCs w:val="22"/>
          <w:lang w:eastAsia="es-MX"/>
        </w:rPr>
      </w:pPr>
    </w:p>
    <w:p w14:paraId="602F2521" w14:textId="17AD48D1" w:rsidR="006B3D07" w:rsidRDefault="0002542D" w:rsidP="005A15F1">
      <w:pPr>
        <w:spacing w:before="100" w:beforeAutospacing="1" w:after="120" w:line="276" w:lineRule="auto"/>
        <w:ind w:firstLine="567"/>
        <w:jc w:val="both"/>
        <w:rPr>
          <w:rFonts w:ascii="Arial" w:hAnsi="Arial" w:cs="Arial"/>
          <w:sz w:val="22"/>
          <w:szCs w:val="22"/>
        </w:rPr>
      </w:pPr>
      <w:r>
        <w:rPr>
          <w:rFonts w:ascii="Arial" w:hAnsi="Arial" w:cs="Arial"/>
          <w:sz w:val="22"/>
          <w:szCs w:val="22"/>
          <w:lang w:val="es-ES"/>
        </w:rPr>
        <w:t>T</w:t>
      </w:r>
      <w:r w:rsidR="001C624F">
        <w:rPr>
          <w:rFonts w:ascii="Arial" w:hAnsi="Arial" w:cs="Arial"/>
          <w:sz w:val="22"/>
          <w:szCs w:val="22"/>
          <w:lang w:val="es-ES"/>
        </w:rPr>
        <w:t>eniendo en cuenta lo expresado en la parte considerativa del presente documento, se encuentra pertinente inferir que</w:t>
      </w:r>
      <w:r>
        <w:rPr>
          <w:rFonts w:ascii="Arial" w:hAnsi="Arial" w:cs="Arial"/>
          <w:sz w:val="22"/>
          <w:szCs w:val="22"/>
          <w:lang w:val="es-ES"/>
        </w:rPr>
        <w:t xml:space="preserve"> frente a los interrogantes planteados, se cuenta con un precepto legal que ampara la cesión de los derechos económicos de un contrato suscrito por un particular con una entidad estatal, bajo el precepto de que la misma doctrina </w:t>
      </w:r>
      <w:r>
        <w:rPr>
          <w:rFonts w:ascii="Arial" w:hAnsi="Arial" w:cs="Arial"/>
          <w:sz w:val="22"/>
          <w:szCs w:val="22"/>
          <w:lang w:val="es-ES"/>
        </w:rPr>
        <w:lastRenderedPageBreak/>
        <w:t xml:space="preserve">considera para lo cual dicha figura se constituye </w:t>
      </w:r>
      <w:r w:rsidRPr="0002542D">
        <w:rPr>
          <w:rFonts w:ascii="Arial" w:hAnsi="Arial" w:cs="Arial"/>
          <w:sz w:val="22"/>
          <w:szCs w:val="22"/>
          <w:lang w:val="es-ES"/>
        </w:rPr>
        <w:t xml:space="preserve">tal como está regulada en el Código Civil, </w:t>
      </w:r>
      <w:r>
        <w:rPr>
          <w:rFonts w:ascii="Arial" w:hAnsi="Arial" w:cs="Arial"/>
          <w:sz w:val="22"/>
          <w:szCs w:val="22"/>
          <w:lang w:val="es-ES"/>
        </w:rPr>
        <w:t>“</w:t>
      </w:r>
      <w:r w:rsidRPr="0002542D">
        <w:rPr>
          <w:rFonts w:ascii="Arial" w:hAnsi="Arial" w:cs="Arial"/>
          <w:sz w:val="22"/>
          <w:szCs w:val="22"/>
          <w:lang w:val="es-ES"/>
        </w:rPr>
        <w:t>encierra un negocio jurídico participante de la causa o del título que se haga. Es decir: que si se hace a título de venta intervendrá la noción de este contrato, si se cambia; el de permuta y así sucesivamente. Mas, por imposición expresa del artículo 33 de la Ley 57 de 1887, la cesión no tendrá efecto alguno entre el que transmite el derecho, cedente, y el que se encarga de este crédito, cesionario, sino en virtud de la entrega del título contentivo del derecho personal traspasado o mediante el otorgamiento de un documento del cedente al cesionario en el evento en que no conste, en un título, ese crédito. Con la entrega se hace la tradición”</w:t>
      </w:r>
    </w:p>
    <w:p w14:paraId="4823ED4E" w14:textId="40387AD0" w:rsidR="0002542D" w:rsidRPr="0002542D" w:rsidRDefault="0002542D" w:rsidP="005A15F1">
      <w:pPr>
        <w:spacing w:before="100" w:beforeAutospacing="1" w:after="120" w:line="276" w:lineRule="auto"/>
        <w:ind w:firstLine="708"/>
        <w:jc w:val="both"/>
        <w:rPr>
          <w:rFonts w:ascii="Arial" w:hAnsi="Arial" w:cs="Arial"/>
          <w:sz w:val="22"/>
          <w:szCs w:val="22"/>
        </w:rPr>
      </w:pPr>
      <w:r>
        <w:rPr>
          <w:rFonts w:ascii="Arial" w:hAnsi="Arial" w:cs="Arial"/>
          <w:sz w:val="22"/>
          <w:szCs w:val="22"/>
        </w:rPr>
        <w:t xml:space="preserve">Así pues, se entiende entonces que no suscita una modificación al contrato, sin embargo, para hacerse efectiva debe contar con el cumplimiento de los requisitos legales previstos en el articulo 1959 a 1966 del código civil, como fueron definidos en el contenido del presente documento. Finalmente, por ser el contrato de prestación de servicios, bien sea el de profesionales o el de apoyo a la gestión, una tipología legal de las modalidades de contratación contenidas en el estatuto contractual, se entiende, por defecto, que </w:t>
      </w:r>
      <w:r w:rsidR="006B3D07">
        <w:rPr>
          <w:rFonts w:ascii="Arial" w:hAnsi="Arial" w:cs="Arial"/>
          <w:sz w:val="22"/>
          <w:szCs w:val="22"/>
        </w:rPr>
        <w:t xml:space="preserve"> </w:t>
      </w:r>
      <w:r>
        <w:rPr>
          <w:rFonts w:ascii="Arial" w:hAnsi="Arial" w:cs="Arial"/>
          <w:sz w:val="22"/>
          <w:szCs w:val="22"/>
        </w:rPr>
        <w:t xml:space="preserve">la misma se encuentra cobijada bajo el precepto normativo de aplicación de la cesion de crédito expuesta previamente. </w:t>
      </w:r>
    </w:p>
    <w:p w14:paraId="547B8A7A" w14:textId="7AE24A00" w:rsidR="0005405C" w:rsidRPr="00781AC2" w:rsidRDefault="0005405C" w:rsidP="005A15F1">
      <w:pPr>
        <w:spacing w:before="100" w:beforeAutospacing="1" w:after="120" w:line="276" w:lineRule="auto"/>
        <w:ind w:firstLine="708"/>
        <w:jc w:val="both"/>
        <w:rPr>
          <w:rFonts w:ascii="Arial" w:hAnsi="Arial" w:cs="Arial"/>
          <w:sz w:val="22"/>
          <w:szCs w:val="22"/>
          <w:lang w:val="es-ES_tradnl"/>
        </w:rPr>
      </w:pPr>
      <w:r w:rsidRPr="00781AC2">
        <w:rPr>
          <w:rFonts w:ascii="Arial" w:hAnsi="Arial" w:cs="Arial"/>
          <w:sz w:val="22"/>
          <w:szCs w:val="22"/>
          <w:lang w:val="es-ES_tradnl"/>
        </w:rPr>
        <w:t>Este concepto tiene el alcance previsto en el artículo 28 del Código de Procedimiento Administrativo y de lo Contencioso Administrativo</w:t>
      </w:r>
      <w:r w:rsidR="00B2709C" w:rsidRPr="00781AC2">
        <w:rPr>
          <w:rFonts w:ascii="Arial" w:hAnsi="Arial" w:cs="Arial"/>
          <w:sz w:val="22"/>
          <w:szCs w:val="22"/>
          <w:lang w:val="es-ES_tradnl"/>
        </w:rPr>
        <w:t xml:space="preserve"> y las expresiones aquí utilizadas con mayúscula inicial deben ser entendidas con el significado que les otorga el artículo 2.2.1.1.1.3.1. del Decreto 1082 de 2015</w:t>
      </w:r>
      <w:r w:rsidRPr="00781AC2">
        <w:rPr>
          <w:rFonts w:ascii="Arial" w:hAnsi="Arial" w:cs="Arial"/>
          <w:sz w:val="22"/>
          <w:szCs w:val="22"/>
          <w:lang w:val="es-ES_tradnl"/>
        </w:rPr>
        <w:t>.</w:t>
      </w:r>
    </w:p>
    <w:p w14:paraId="227C46A2" w14:textId="1931CED9" w:rsidR="0005405C" w:rsidRDefault="0005405C" w:rsidP="005A15F1">
      <w:pPr>
        <w:pStyle w:val="NormalWeb"/>
        <w:spacing w:after="120" w:afterAutospacing="0" w:line="276" w:lineRule="auto"/>
        <w:jc w:val="both"/>
        <w:rPr>
          <w:rFonts w:ascii="Arial" w:hAnsi="Arial" w:cs="Arial"/>
          <w:sz w:val="22"/>
          <w:szCs w:val="22"/>
          <w:lang w:val="es-ES_tradnl"/>
        </w:rPr>
      </w:pPr>
    </w:p>
    <w:p w14:paraId="26D92204" w14:textId="5E706C5D" w:rsidR="00936986" w:rsidRDefault="00936986" w:rsidP="005A15F1">
      <w:pPr>
        <w:pStyle w:val="NormalWeb"/>
        <w:spacing w:after="120" w:afterAutospacing="0" w:line="276" w:lineRule="auto"/>
        <w:jc w:val="both"/>
        <w:rPr>
          <w:rFonts w:ascii="Arial" w:hAnsi="Arial" w:cs="Arial"/>
          <w:sz w:val="22"/>
          <w:szCs w:val="22"/>
          <w:lang w:val="es-ES_tradnl"/>
        </w:rPr>
      </w:pPr>
    </w:p>
    <w:p w14:paraId="14AE864D" w14:textId="77777777" w:rsidR="0005405C" w:rsidRPr="00781AC2" w:rsidRDefault="0005405C" w:rsidP="005A15F1">
      <w:pPr>
        <w:pStyle w:val="NormalWeb"/>
        <w:spacing w:after="120" w:afterAutospacing="0" w:line="276" w:lineRule="auto"/>
        <w:jc w:val="both"/>
        <w:rPr>
          <w:rFonts w:ascii="Arial" w:hAnsi="Arial" w:cs="Arial"/>
          <w:sz w:val="22"/>
          <w:szCs w:val="22"/>
          <w:lang w:val="es-ES_tradnl"/>
        </w:rPr>
      </w:pPr>
      <w:r w:rsidRPr="00781AC2">
        <w:rPr>
          <w:rFonts w:ascii="Arial" w:hAnsi="Arial" w:cs="Arial"/>
          <w:sz w:val="22"/>
          <w:szCs w:val="22"/>
          <w:lang w:val="es-ES_tradnl"/>
        </w:rPr>
        <w:t>Atentamente,</w:t>
      </w:r>
    </w:p>
    <w:p w14:paraId="0662FC76" w14:textId="37535438" w:rsidR="0005405C" w:rsidRDefault="0005405C" w:rsidP="00F304EA">
      <w:pPr>
        <w:spacing w:before="240" w:after="120" w:line="276" w:lineRule="auto"/>
        <w:jc w:val="center"/>
        <w:rPr>
          <w:rFonts w:ascii="Arial" w:eastAsia="Calibri" w:hAnsi="Arial" w:cs="Arial"/>
        </w:rPr>
      </w:pPr>
    </w:p>
    <w:p w14:paraId="12D2A88F" w14:textId="416A7FF5" w:rsidR="006B3D07" w:rsidRDefault="003B157F" w:rsidP="00F304EA">
      <w:pPr>
        <w:spacing w:before="240" w:after="120" w:line="276" w:lineRule="auto"/>
        <w:jc w:val="center"/>
        <w:rPr>
          <w:rFonts w:ascii="Arial" w:eastAsia="Calibri" w:hAnsi="Arial" w:cs="Arial"/>
        </w:rPr>
      </w:pPr>
      <w:r>
        <w:rPr>
          <w:noProof/>
        </w:rPr>
        <w:drawing>
          <wp:inline distT="0" distB="0" distL="0" distR="0" wp14:anchorId="2DBB9F50" wp14:editId="11DB9A94">
            <wp:extent cx="3161905" cy="1209524"/>
            <wp:effectExtent l="0" t="0" r="635" b="0"/>
            <wp:docPr id="3934165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16531" name="Imagen 1" descr="Texto&#10;&#10;Descripción generada automáticamente"/>
                    <pic:cNvPicPr/>
                  </pic:nvPicPr>
                  <pic:blipFill>
                    <a:blip r:embed="rId12"/>
                    <a:stretch>
                      <a:fillRect/>
                    </a:stretch>
                  </pic:blipFill>
                  <pic:spPr>
                    <a:xfrm>
                      <a:off x="0" y="0"/>
                      <a:ext cx="3161905" cy="1209524"/>
                    </a:xfrm>
                    <a:prstGeom prst="rect">
                      <a:avLst/>
                    </a:prstGeom>
                  </pic:spPr>
                </pic:pic>
              </a:graphicData>
            </a:graphic>
          </wp:inline>
        </w:drawing>
      </w:r>
    </w:p>
    <w:p w14:paraId="0A436B17" w14:textId="77777777" w:rsidR="006B3D07" w:rsidRPr="00781AC2" w:rsidRDefault="006B3D07" w:rsidP="00F304EA">
      <w:pPr>
        <w:spacing w:before="240" w:after="120" w:line="276" w:lineRule="auto"/>
        <w:jc w:val="center"/>
        <w:rPr>
          <w:rFonts w:ascii="Arial" w:eastAsia="Calibri" w:hAnsi="Arial"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304EA" w:rsidRPr="006B3D07" w14:paraId="59AFB63B" w14:textId="77777777" w:rsidTr="00457B9C">
        <w:trPr>
          <w:trHeight w:val="286"/>
        </w:trPr>
        <w:tc>
          <w:tcPr>
            <w:tcW w:w="817" w:type="dxa"/>
            <w:vAlign w:val="center"/>
          </w:tcPr>
          <w:p w14:paraId="1E7BEF18" w14:textId="77777777" w:rsidR="0005405C" w:rsidRPr="006B3D07" w:rsidRDefault="0005405C" w:rsidP="00F304EA">
            <w:pPr>
              <w:rPr>
                <w:rFonts w:ascii="Arial" w:hAnsi="Arial" w:cs="Arial"/>
                <w:sz w:val="15"/>
                <w:szCs w:val="15"/>
              </w:rPr>
            </w:pPr>
            <w:r w:rsidRPr="006B3D07">
              <w:rPr>
                <w:rFonts w:ascii="Arial" w:hAnsi="Arial" w:cs="Arial"/>
                <w:sz w:val="15"/>
                <w:szCs w:val="15"/>
              </w:rPr>
              <w:t>Elaboró:</w:t>
            </w:r>
          </w:p>
        </w:tc>
        <w:tc>
          <w:tcPr>
            <w:tcW w:w="4445" w:type="dxa"/>
            <w:tcBorders>
              <w:bottom w:val="dotted" w:sz="4" w:space="0" w:color="7F7F7F"/>
            </w:tcBorders>
            <w:vAlign w:val="center"/>
          </w:tcPr>
          <w:p w14:paraId="1390365A" w14:textId="77777777" w:rsidR="0005405C" w:rsidRPr="006B3D07" w:rsidRDefault="0005405C" w:rsidP="00F304EA">
            <w:pPr>
              <w:rPr>
                <w:rFonts w:ascii="Arial" w:hAnsi="Arial" w:cs="Arial"/>
                <w:sz w:val="15"/>
                <w:szCs w:val="15"/>
              </w:rPr>
            </w:pPr>
          </w:p>
          <w:p w14:paraId="1E81CAE0" w14:textId="18173F42"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Sergio Luis Mondragón Duarte</w:t>
            </w:r>
          </w:p>
          <w:p w14:paraId="7450C558" w14:textId="189D0543" w:rsidR="0005405C" w:rsidRPr="006B3D07" w:rsidRDefault="00C86297" w:rsidP="00F304EA">
            <w:pPr>
              <w:rPr>
                <w:rFonts w:ascii="Arial" w:hAnsi="Arial" w:cs="Arial"/>
                <w:sz w:val="15"/>
                <w:szCs w:val="15"/>
              </w:rPr>
            </w:pPr>
            <w:r w:rsidRPr="006B3D07">
              <w:rPr>
                <w:rFonts w:ascii="Arial" w:hAnsi="Arial" w:cs="Arial"/>
                <w:sz w:val="15"/>
                <w:szCs w:val="15"/>
                <w:shd w:val="clear" w:color="auto" w:fill="E6E6E6"/>
              </w:rPr>
              <w:t>contratista</w:t>
            </w:r>
            <w:r w:rsidR="0005405C" w:rsidRPr="006B3D07">
              <w:rPr>
                <w:rFonts w:ascii="Arial" w:hAnsi="Arial" w:cs="Arial"/>
                <w:sz w:val="15"/>
                <w:szCs w:val="15"/>
                <w:shd w:val="clear" w:color="auto" w:fill="E6E6E6"/>
              </w:rPr>
              <w:t xml:space="preserve"> </w:t>
            </w:r>
            <w:r w:rsidR="0005405C" w:rsidRPr="006B3D07">
              <w:rPr>
                <w:rFonts w:ascii="Arial" w:hAnsi="Arial" w:cs="Arial"/>
                <w:sz w:val="15"/>
                <w:szCs w:val="15"/>
              </w:rPr>
              <w:t>de la Subdirección de Gestión Contractual</w:t>
            </w:r>
          </w:p>
        </w:tc>
      </w:tr>
      <w:tr w:rsidR="001C624F" w:rsidRPr="006B3D07" w14:paraId="269B33F3" w14:textId="77777777" w:rsidTr="00457B9C">
        <w:trPr>
          <w:trHeight w:val="286"/>
        </w:trPr>
        <w:tc>
          <w:tcPr>
            <w:tcW w:w="817" w:type="dxa"/>
            <w:vAlign w:val="center"/>
          </w:tcPr>
          <w:p w14:paraId="44EED99D" w14:textId="77777777" w:rsidR="001C624F" w:rsidRPr="006B3D07" w:rsidRDefault="001C624F" w:rsidP="001C624F">
            <w:pPr>
              <w:rPr>
                <w:rFonts w:ascii="Arial" w:hAnsi="Arial" w:cs="Arial"/>
                <w:sz w:val="15"/>
                <w:szCs w:val="15"/>
              </w:rPr>
            </w:pPr>
            <w:r w:rsidRPr="006B3D07">
              <w:rPr>
                <w:rFonts w:ascii="Arial" w:hAnsi="Arial" w:cs="Arial"/>
                <w:sz w:val="15"/>
                <w:szCs w:val="15"/>
              </w:rPr>
              <w:t>Revisó:</w:t>
            </w:r>
          </w:p>
        </w:tc>
        <w:tc>
          <w:tcPr>
            <w:tcW w:w="4445" w:type="dxa"/>
            <w:tcBorders>
              <w:bottom w:val="dotted" w:sz="4" w:space="0" w:color="7F7F7F"/>
            </w:tcBorders>
            <w:vAlign w:val="center"/>
          </w:tcPr>
          <w:p w14:paraId="133C0ED0" w14:textId="77777777" w:rsidR="001C624F" w:rsidRPr="006B3D07" w:rsidRDefault="001C624F" w:rsidP="001C624F">
            <w:pPr>
              <w:spacing w:line="276" w:lineRule="auto"/>
              <w:textAlignment w:val="baseline"/>
              <w:rPr>
                <w:rFonts w:ascii="Arial" w:hAnsi="Arial" w:cs="Arial"/>
                <w:sz w:val="15"/>
                <w:szCs w:val="15"/>
                <w:lang w:eastAsia="es-CO"/>
              </w:rPr>
            </w:pPr>
            <w:r w:rsidRPr="006B3D07">
              <w:rPr>
                <w:rFonts w:ascii="Arial" w:hAnsi="Arial" w:cs="Arial"/>
                <w:sz w:val="15"/>
                <w:szCs w:val="15"/>
                <w:lang w:eastAsia="es-CO"/>
              </w:rPr>
              <w:t>Alejadro Sarmiento</w:t>
            </w:r>
          </w:p>
          <w:p w14:paraId="398B0DBF" w14:textId="02110C6C" w:rsidR="001C624F" w:rsidRPr="006B3D07" w:rsidRDefault="001C624F" w:rsidP="001C624F">
            <w:pPr>
              <w:rPr>
                <w:rFonts w:ascii="Arial" w:hAnsi="Arial" w:cs="Arial"/>
                <w:sz w:val="15"/>
                <w:szCs w:val="15"/>
              </w:rPr>
            </w:pPr>
            <w:r w:rsidRPr="006B3D07">
              <w:rPr>
                <w:rFonts w:ascii="Arial" w:hAnsi="Arial" w:cs="Arial"/>
                <w:sz w:val="15"/>
                <w:szCs w:val="15"/>
                <w:lang w:eastAsia="es-CO"/>
              </w:rPr>
              <w:t>Gestor T1 grado15 de la Subdirección de Gestión Contractual</w:t>
            </w:r>
          </w:p>
        </w:tc>
      </w:tr>
      <w:tr w:rsidR="00F304EA" w:rsidRPr="006B3D07" w14:paraId="02F0FF8A" w14:textId="77777777" w:rsidTr="00457B9C">
        <w:trPr>
          <w:trHeight w:val="299"/>
        </w:trPr>
        <w:tc>
          <w:tcPr>
            <w:tcW w:w="817" w:type="dxa"/>
            <w:vAlign w:val="center"/>
          </w:tcPr>
          <w:p w14:paraId="2B24C9C5" w14:textId="77777777" w:rsidR="0005405C" w:rsidRPr="006B3D07" w:rsidRDefault="0005405C" w:rsidP="00F304EA">
            <w:pPr>
              <w:rPr>
                <w:rFonts w:ascii="Arial" w:hAnsi="Arial" w:cs="Arial"/>
                <w:sz w:val="15"/>
                <w:szCs w:val="15"/>
              </w:rPr>
            </w:pPr>
            <w:r w:rsidRPr="006B3D07">
              <w:rPr>
                <w:rFonts w:ascii="Arial" w:hAnsi="Arial" w:cs="Arial"/>
                <w:sz w:val="15"/>
                <w:szCs w:val="15"/>
              </w:rPr>
              <w:t>Aprobó:</w:t>
            </w:r>
          </w:p>
        </w:tc>
        <w:tc>
          <w:tcPr>
            <w:tcW w:w="4445" w:type="dxa"/>
            <w:tcBorders>
              <w:top w:val="dotted" w:sz="4" w:space="0" w:color="7F7F7F"/>
              <w:bottom w:val="dotted" w:sz="4" w:space="0" w:color="7F7F7F"/>
            </w:tcBorders>
            <w:vAlign w:val="center"/>
          </w:tcPr>
          <w:p w14:paraId="3D5D51E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Nohelia Del Carmen Zawady Palacio</w:t>
            </w:r>
          </w:p>
          <w:p w14:paraId="401BBB66" w14:textId="77777777" w:rsidR="0005405C" w:rsidRPr="006B3D07" w:rsidRDefault="0005405C" w:rsidP="00F304EA">
            <w:pPr>
              <w:rPr>
                <w:rFonts w:ascii="Arial" w:hAnsi="Arial" w:cs="Arial"/>
                <w:sz w:val="15"/>
                <w:szCs w:val="15"/>
              </w:rPr>
            </w:pPr>
            <w:r w:rsidRPr="006B3D07">
              <w:rPr>
                <w:rFonts w:ascii="Arial" w:hAnsi="Arial" w:cs="Arial"/>
                <w:sz w:val="15"/>
                <w:szCs w:val="15"/>
                <w:shd w:val="clear" w:color="auto" w:fill="E6E6E6"/>
              </w:rPr>
              <w:t xml:space="preserve">Subdirectora de Gestión Contractual ANCP – CCE </w:t>
            </w:r>
          </w:p>
        </w:tc>
      </w:tr>
    </w:tbl>
    <w:p w14:paraId="72880F8C" w14:textId="77777777" w:rsidR="0005405C" w:rsidRPr="00F304EA" w:rsidRDefault="0005405C" w:rsidP="00F304EA">
      <w:pPr>
        <w:tabs>
          <w:tab w:val="left" w:pos="3795"/>
        </w:tabs>
        <w:rPr>
          <w:rFonts w:ascii="Arial" w:hAnsi="Arial" w:cs="Arial"/>
          <w:lang w:val="es-ES_tradnl"/>
        </w:rPr>
      </w:pPr>
    </w:p>
    <w:p w14:paraId="68C95376" w14:textId="77777777" w:rsidR="0005405C" w:rsidRPr="00F304EA" w:rsidRDefault="0005405C" w:rsidP="00F304EA">
      <w:pPr>
        <w:rPr>
          <w:rFonts w:ascii="Arial" w:hAnsi="Arial" w:cs="Arial"/>
        </w:rPr>
      </w:pPr>
    </w:p>
    <w:bookmarkEnd w:id="5"/>
    <w:p w14:paraId="605AEBAD" w14:textId="77777777" w:rsidR="00FB347B" w:rsidRPr="00F304EA" w:rsidRDefault="00FB347B" w:rsidP="00F304EA">
      <w:pPr>
        <w:rPr>
          <w:rFonts w:ascii="Arial" w:hAnsi="Arial" w:cs="Arial"/>
        </w:rPr>
      </w:pPr>
    </w:p>
    <w:sectPr w:rsidR="00FB347B" w:rsidRPr="00F304EA"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F0F4" w14:textId="77777777" w:rsidR="009E204A" w:rsidRDefault="009E204A" w:rsidP="00950DF7">
      <w:r>
        <w:separator/>
      </w:r>
    </w:p>
  </w:endnote>
  <w:endnote w:type="continuationSeparator" w:id="0">
    <w:p w14:paraId="117145E7" w14:textId="77777777" w:rsidR="009E204A" w:rsidRDefault="009E204A" w:rsidP="00950DF7">
      <w:r>
        <w:continuationSeparator/>
      </w:r>
    </w:p>
  </w:endnote>
  <w:endnote w:type="continuationNotice" w:id="1">
    <w:p w14:paraId="5065F504" w14:textId="77777777" w:rsidR="009E204A" w:rsidRDefault="009E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orbel"/>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02542D" w:rsidRDefault="0002542D">
    <w:pPr>
      <w:pStyle w:val="Sinespaciado"/>
      <w:jc w:val="right"/>
      <w:rPr>
        <w:rFonts w:ascii="Arial" w:hAnsi="Arial" w:cs="Arial"/>
        <w:sz w:val="18"/>
        <w:szCs w:val="18"/>
      </w:rPr>
    </w:pPr>
  </w:p>
  <w:p w14:paraId="3929C3BD" w14:textId="77777777" w:rsidR="0002542D" w:rsidRDefault="0002542D"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02542D"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02542D" w:rsidRPr="00080DA3" w:rsidRDefault="0002542D"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02542D" w:rsidRPr="00080DA3" w:rsidRDefault="0002542D"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02542D" w:rsidRPr="00080DA3" w:rsidRDefault="0002542D"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02542D" w:rsidRPr="004B6B0E" w:rsidRDefault="0002542D"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02542D" w:rsidRPr="00080DA3" w:rsidRDefault="0002542D"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02542D" w:rsidRPr="00080DA3" w:rsidRDefault="0002542D"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380DF99E" w:rsidR="0002542D" w:rsidRPr="00080DA3" w:rsidRDefault="0002542D"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B62D48">
            <w:rPr>
              <w:rFonts w:ascii="Geomanist Light" w:hAnsi="Geomanist Light"/>
              <w:b/>
              <w:bCs/>
              <w:noProof/>
              <w:sz w:val="18"/>
              <w:szCs w:val="18"/>
            </w:rPr>
            <w:t>13</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B62D48">
            <w:rPr>
              <w:rFonts w:ascii="Geomanist Light" w:hAnsi="Geomanist Light"/>
              <w:b/>
              <w:bCs/>
              <w:noProof/>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02542D" w:rsidRPr="00214878" w:rsidRDefault="0002542D"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D594" w14:textId="77777777" w:rsidR="009E204A" w:rsidRDefault="009E204A" w:rsidP="00950DF7">
      <w:r>
        <w:separator/>
      </w:r>
    </w:p>
  </w:footnote>
  <w:footnote w:type="continuationSeparator" w:id="0">
    <w:p w14:paraId="134A22D7" w14:textId="77777777" w:rsidR="009E204A" w:rsidRDefault="009E204A" w:rsidP="00950DF7">
      <w:r>
        <w:continuationSeparator/>
      </w:r>
    </w:p>
  </w:footnote>
  <w:footnote w:type="continuationNotice" w:id="1">
    <w:p w14:paraId="649C6BAD" w14:textId="77777777" w:rsidR="009E204A" w:rsidRDefault="009E204A"/>
  </w:footnote>
  <w:footnote w:id="2">
    <w:p w14:paraId="02683447" w14:textId="77777777" w:rsidR="0002542D" w:rsidRPr="00781AC2" w:rsidRDefault="0002542D" w:rsidP="004845C5">
      <w:pPr>
        <w:pStyle w:val="Textonotapie"/>
        <w:ind w:firstLine="708"/>
        <w:jc w:val="both"/>
        <w:rPr>
          <w:rFonts w:ascii="Arial" w:hAnsi="Arial" w:cs="Arial"/>
          <w:sz w:val="18"/>
          <w:szCs w:val="18"/>
          <w:lang w:val="es-ES"/>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AC2">
        <w:rPr>
          <w:rFonts w:ascii="Arial" w:hAnsi="Arial" w:cs="Arial"/>
          <w:i/>
          <w:iCs/>
          <w:sz w:val="18"/>
          <w:szCs w:val="18"/>
          <w:shd w:val="clear" w:color="auto" w:fill="E6E6E6"/>
        </w:rPr>
        <w:t xml:space="preserve">ibidem </w:t>
      </w:r>
      <w:r w:rsidRPr="00781AC2">
        <w:rPr>
          <w:rFonts w:ascii="Arial" w:hAnsi="Arial" w:cs="Arial"/>
          <w:sz w:val="18"/>
          <w:szCs w:val="18"/>
          <w:shd w:val="clear" w:color="auto" w:fill="E6E6E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0977EC0" w14:textId="759E1B83" w:rsidR="0002542D" w:rsidRPr="00B70074" w:rsidRDefault="0002542D" w:rsidP="00B70074">
      <w:pPr>
        <w:pStyle w:val="Textonotapie"/>
        <w:ind w:firstLine="708"/>
        <w:jc w:val="both"/>
        <w:rPr>
          <w:rFonts w:ascii="Arial" w:hAnsi="Arial" w:cs="Arial"/>
          <w:sz w:val="14"/>
          <w:szCs w:val="14"/>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w:t>
      </w:r>
      <w:r w:rsidRPr="00B70074">
        <w:rPr>
          <w:rFonts w:ascii="Arial" w:hAnsi="Arial" w:cs="Arial"/>
          <w:sz w:val="14"/>
          <w:szCs w:val="14"/>
          <w:shd w:val="clear" w:color="auto" w:fill="E6E6E6"/>
        </w:rPr>
        <w:t xml:space="preserve">Los conceptos </w:t>
      </w:r>
      <w:r w:rsidRPr="00B70074">
        <w:rPr>
          <w:rFonts w:ascii="Arial" w:hAnsi="Arial" w:cs="Arial"/>
          <w:sz w:val="14"/>
          <w:szCs w:val="14"/>
        </w:rPr>
        <w:t>referenciados,</w:t>
      </w:r>
      <w:r w:rsidRPr="00B70074">
        <w:rPr>
          <w:rFonts w:ascii="Arial" w:hAnsi="Arial" w:cs="Arial"/>
          <w:sz w:val="14"/>
          <w:szCs w:val="14"/>
          <w:shd w:val="clear" w:color="auto" w:fill="E6E6E6"/>
        </w:rPr>
        <w:t xml:space="preserve"> así como otros expedidos por la Subdirección se encuentran disponibles para consulta</w:t>
      </w:r>
      <w:r w:rsidRPr="00B70074">
        <w:rPr>
          <w:rFonts w:ascii="Arial" w:hAnsi="Arial" w:cs="Arial"/>
          <w:sz w:val="14"/>
          <w:szCs w:val="14"/>
        </w:rPr>
        <w:t xml:space="preserve"> pública</w:t>
      </w:r>
      <w:r w:rsidRPr="00B70074">
        <w:rPr>
          <w:rFonts w:ascii="Arial" w:hAnsi="Arial" w:cs="Arial"/>
          <w:sz w:val="14"/>
          <w:szCs w:val="14"/>
          <w:shd w:val="clear" w:color="auto" w:fill="E6E6E6"/>
        </w:rPr>
        <w:t xml:space="preserve"> en el portal de relatoría de la Agencia, al cual se puede acceder a través del siguiente enlace: </w:t>
      </w:r>
      <w:hyperlink r:id="rId1" w:history="1">
        <w:r w:rsidRPr="00B70074">
          <w:rPr>
            <w:rStyle w:val="Hipervnculo"/>
            <w:rFonts w:ascii="Arial" w:hAnsi="Arial" w:cs="Arial"/>
            <w:color w:val="auto"/>
            <w:sz w:val="14"/>
            <w:szCs w:val="14"/>
          </w:rPr>
          <w:t>https://relatoria.colombiacompra.gov.co/busqueda/conceptos</w:t>
        </w:r>
      </w:hyperlink>
      <w:r w:rsidRPr="00B70074">
        <w:rPr>
          <w:rFonts w:ascii="Arial" w:hAnsi="Arial" w:cs="Arial"/>
          <w:sz w:val="14"/>
          <w:szCs w:val="14"/>
          <w:shd w:val="clear" w:color="auto" w:fill="E6E6E6"/>
        </w:rPr>
        <w:t xml:space="preserve"> </w:t>
      </w:r>
    </w:p>
  </w:footnote>
  <w:footnote w:id="4">
    <w:p w14:paraId="2E653B0A" w14:textId="77777777" w:rsidR="0002542D" w:rsidRPr="0049345F" w:rsidRDefault="0002542D" w:rsidP="009E334F">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p w14:paraId="7C96AFD1"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p>
  </w:footnote>
  <w:footnote w:id="5">
    <w:p w14:paraId="3BE3E62D" w14:textId="77777777" w:rsidR="0002542D" w:rsidRPr="0049345F" w:rsidRDefault="0002542D" w:rsidP="009E334F">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Cfr. Fallo de diciembre 3 de 2007, expediente No. 11001-03-26-000-2003-00014-01(24715), M.P. Dra. Ruth Stella Correa Palacio ─acción de nulidad en contra del Decreto 2170 de 2002─.</w:t>
      </w:r>
    </w:p>
    <w:p w14:paraId="310232ED"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p>
  </w:footnote>
  <w:footnote w:id="6">
    <w:p w14:paraId="3C687B20" w14:textId="77777777" w:rsidR="0002542D" w:rsidRPr="0049345F" w:rsidRDefault="0002542D" w:rsidP="009E334F">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Allí se preguntó: si es viable jurídicamente celebrar un contrato de prestación de servicios para la organización de eventos de capacitación y el procedimiento de escogencia del contratista y en particular: «i) ¿Cuál es el procedimiento legal y contractual para iniciar los trámites de contratación respectivos?; ii) ¿Pueden considerarse los servicios de apoyo para la organización logística de los eventos de capacitación antes descritos, como prestación de Servicio de Apoyo a la Gestión?; y iii) ¿Para su contratación se puede aplicar el procedimiento dispuesto en el inciso segundo del artículo 13 del Decreto 2170 de 2002, reglamentario de la Ley 80 de 1993?». Consejo de Estado, Sala de Consulta y Servicio Civil. Concepto del 23 de noviembre de 2005. Expediente 11001-03-06-000-2005-01693-00. Radicado interno 1693. C.P. Flavio Augusto Rodríguez Arce.</w:t>
      </w:r>
    </w:p>
    <w:p w14:paraId="0F4849FA"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p>
  </w:footnote>
  <w:footnote w:id="7">
    <w:p w14:paraId="634ABD02" w14:textId="77777777" w:rsidR="0002542D" w:rsidRPr="0049345F" w:rsidRDefault="0002542D" w:rsidP="009E334F">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Expediente No. 23001-23-33-000-2013-00117-01 (3730-2014). M.P. Dr. Carmelo Perdomo.</w:t>
      </w:r>
    </w:p>
    <w:p w14:paraId="4541D09D"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p>
  </w:footnote>
  <w:footnote w:id="8">
    <w:p w14:paraId="08ECFD8A"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footnote>
  <w:footnote w:id="9">
    <w:p w14:paraId="06C75D32" w14:textId="5F0E17F3" w:rsidR="0002542D" w:rsidRPr="0049345F" w:rsidRDefault="0002542D" w:rsidP="009E334F">
      <w:pPr>
        <w:pStyle w:val="Textonotapie"/>
        <w:ind w:firstLine="708"/>
        <w:jc w:val="both"/>
        <w:rPr>
          <w:rFonts w:ascii="Arial" w:hAnsi="Arial" w:cs="Arial"/>
          <w:color w:val="000000" w:themeColor="text1"/>
          <w:sz w:val="19"/>
          <w:szCs w:val="19"/>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Concepto del 10 de marzo de 2011 </w:t>
      </w:r>
      <w:r>
        <w:rPr>
          <w:rFonts w:ascii="Arial" w:hAnsi="Arial" w:cs="Arial"/>
          <w:color w:val="000000" w:themeColor="text1"/>
          <w:sz w:val="19"/>
          <w:szCs w:val="19"/>
        </w:rPr>
        <w:t>“</w:t>
      </w:r>
      <w:r w:rsidRPr="0049345F">
        <w:rPr>
          <w:rFonts w:ascii="Arial" w:hAnsi="Arial" w:cs="Arial"/>
          <w:color w:val="000000" w:themeColor="text1"/>
          <w:sz w:val="19"/>
          <w:szCs w:val="19"/>
        </w:rPr>
        <w:t>PRAP-CP – 20118010153521</w:t>
      </w:r>
      <w:r>
        <w:rPr>
          <w:rFonts w:ascii="Arial" w:hAnsi="Arial" w:cs="Arial"/>
          <w:color w:val="000000" w:themeColor="text1"/>
          <w:sz w:val="19"/>
          <w:szCs w:val="19"/>
        </w:rPr>
        <w:t>”</w:t>
      </w:r>
      <w:r w:rsidRPr="0049345F">
        <w:rPr>
          <w:rFonts w:ascii="Arial" w:hAnsi="Arial" w:cs="Arial"/>
          <w:color w:val="000000" w:themeColor="text1"/>
          <w:sz w:val="19"/>
          <w:szCs w:val="19"/>
        </w:rPr>
        <w:t>.</w:t>
      </w:r>
    </w:p>
    <w:p w14:paraId="294EF446"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p>
  </w:footnote>
  <w:footnote w:id="10">
    <w:p w14:paraId="54FDE23E" w14:textId="77777777" w:rsidR="0002542D" w:rsidRPr="0049345F" w:rsidRDefault="0002542D" w:rsidP="009E334F">
      <w:pPr>
        <w:pStyle w:val="Textonotapie"/>
        <w:ind w:firstLine="708"/>
        <w:jc w:val="both"/>
        <w:rPr>
          <w:rFonts w:ascii="Arial" w:hAnsi="Arial" w:cs="Arial"/>
          <w:color w:val="000000" w:themeColor="text1"/>
          <w:sz w:val="19"/>
          <w:szCs w:val="19"/>
          <w:lang w:val="es-ES"/>
        </w:rPr>
      </w:pPr>
      <w:r w:rsidRPr="0049345F">
        <w:rPr>
          <w:rStyle w:val="Refdenotaalpie"/>
          <w:rFonts w:ascii="Arial" w:hAnsi="Arial" w:cs="Arial"/>
          <w:color w:val="000000" w:themeColor="text1"/>
          <w:sz w:val="19"/>
          <w:szCs w:val="19"/>
        </w:rPr>
        <w:footnoteRef/>
      </w:r>
      <w:r w:rsidRPr="0049345F">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footnote>
  <w:footnote w:id="11">
    <w:p w14:paraId="16D70546" w14:textId="77777777" w:rsidR="0002542D" w:rsidRPr="007B0B7F" w:rsidRDefault="0002542D" w:rsidP="009D5532">
      <w:pPr>
        <w:spacing w:before="87" w:line="254" w:lineRule="auto"/>
        <w:ind w:left="300" w:right="336"/>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ALESSANDRI R. Arturo, SOMARRIVA U. Manuel y VODANOVIC H. Antonio. Tratado de las obligaciones, VII, Editorial Jurídica de Chile. 2Ed., 2004, Chile, p. 11.</w:t>
      </w:r>
    </w:p>
    <w:p w14:paraId="51F211B7" w14:textId="77777777" w:rsidR="0002542D" w:rsidRPr="007B0B7F" w:rsidRDefault="0002542D" w:rsidP="009D5532">
      <w:pPr>
        <w:pStyle w:val="Textonotapie"/>
        <w:jc w:val="both"/>
        <w:rPr>
          <w:color w:val="000000" w:themeColor="text1"/>
          <w:sz w:val="19"/>
          <w:szCs w:val="19"/>
          <w:lang w:val="es-CO"/>
        </w:rPr>
      </w:pPr>
    </w:p>
  </w:footnote>
  <w:footnote w:id="12">
    <w:p w14:paraId="4E9E77AA" w14:textId="77777777" w:rsidR="0002542D" w:rsidRPr="007A05A8" w:rsidRDefault="0002542D" w:rsidP="009D5532">
      <w:pPr>
        <w:ind w:left="300" w:right="313"/>
        <w:jc w:val="both"/>
        <w:rPr>
          <w:rFonts w:ascii="Arial" w:hAnsi="Arial" w:cs="Arial"/>
          <w:color w:val="000000" w:themeColor="text1"/>
          <w:sz w:val="19"/>
          <w:szCs w:val="19"/>
        </w:rPr>
      </w:pPr>
      <w:r w:rsidRPr="007A05A8">
        <w:rPr>
          <w:rStyle w:val="Refdenotaalpie"/>
          <w:rFonts w:ascii="Arial" w:hAnsi="Arial" w:cs="Arial"/>
          <w:color w:val="000000" w:themeColor="text1"/>
          <w:sz w:val="19"/>
          <w:szCs w:val="19"/>
        </w:rPr>
        <w:footnoteRef/>
      </w:r>
      <w:r w:rsidRPr="007A05A8">
        <w:rPr>
          <w:rFonts w:ascii="Arial" w:hAnsi="Arial" w:cs="Arial"/>
          <w:color w:val="000000" w:themeColor="text1"/>
          <w:sz w:val="19"/>
          <w:szCs w:val="19"/>
        </w:rPr>
        <w:t xml:space="preserve"> “Artículo 1634 del Código Civil. Para que el pago sea válido, debe hacerse o al acreedor mismo (bajo cuyo nombre se entienden todos los que le hayan sucedido en el crédito aún a título singular), o a la persona que la ley o el juez autoricen a recibir por él, o a la persona diputada por el acreedor para el cobro.</w:t>
      </w:r>
    </w:p>
    <w:p w14:paraId="30619AF6" w14:textId="77777777" w:rsidR="0002542D" w:rsidRPr="007A05A8" w:rsidRDefault="0002542D" w:rsidP="009D5532">
      <w:pPr>
        <w:pStyle w:val="Textoindependiente"/>
        <w:spacing w:before="8"/>
        <w:jc w:val="both"/>
        <w:rPr>
          <w:color w:val="000000" w:themeColor="text1"/>
          <w:sz w:val="19"/>
          <w:szCs w:val="19"/>
        </w:rPr>
      </w:pPr>
    </w:p>
    <w:p w14:paraId="2B829FEB" w14:textId="77777777" w:rsidR="0002542D" w:rsidRPr="007A05A8" w:rsidRDefault="0002542D" w:rsidP="009D5532">
      <w:pPr>
        <w:ind w:left="300" w:right="313"/>
        <w:jc w:val="both"/>
        <w:rPr>
          <w:rFonts w:ascii="Arial" w:hAnsi="Arial" w:cs="Arial"/>
          <w:color w:val="000000" w:themeColor="text1"/>
          <w:sz w:val="19"/>
          <w:szCs w:val="19"/>
        </w:rPr>
      </w:pPr>
      <w:r w:rsidRPr="007A05A8">
        <w:rPr>
          <w:rFonts w:ascii="Arial" w:hAnsi="Arial" w:cs="Arial"/>
          <w:color w:val="000000" w:themeColor="text1"/>
          <w:sz w:val="19"/>
          <w:szCs w:val="19"/>
        </w:rPr>
        <w:t>El pago hecho de buena fe a la persona que estaba entonces en posesión del crédito, es válido, aunque después aparezca que el crédito no le pertenecía”.</w:t>
      </w:r>
    </w:p>
    <w:p w14:paraId="4D3DB7F6" w14:textId="77777777" w:rsidR="0002542D" w:rsidRPr="007A05A8" w:rsidRDefault="0002542D" w:rsidP="009D5532">
      <w:pPr>
        <w:pStyle w:val="Textonotapie"/>
        <w:jc w:val="both"/>
        <w:rPr>
          <w:rFonts w:ascii="Arial" w:hAnsi="Arial" w:cs="Arial"/>
          <w:color w:val="000000" w:themeColor="text1"/>
          <w:sz w:val="19"/>
          <w:szCs w:val="19"/>
          <w:lang w:val="es-CO"/>
        </w:rPr>
      </w:pPr>
    </w:p>
  </w:footnote>
  <w:footnote w:id="13">
    <w:p w14:paraId="53C73E0B" w14:textId="77777777" w:rsidR="0002542D" w:rsidRPr="007A05A8" w:rsidRDefault="0002542D" w:rsidP="009D5532">
      <w:pPr>
        <w:spacing w:line="237" w:lineRule="auto"/>
        <w:ind w:left="300" w:right="310"/>
        <w:jc w:val="both"/>
        <w:rPr>
          <w:rFonts w:ascii="Arial" w:hAnsi="Arial" w:cs="Arial"/>
          <w:color w:val="000000" w:themeColor="text1"/>
          <w:sz w:val="19"/>
          <w:szCs w:val="19"/>
        </w:rPr>
      </w:pPr>
      <w:r w:rsidRPr="007A05A8">
        <w:rPr>
          <w:rStyle w:val="Refdenotaalpie"/>
          <w:rFonts w:ascii="Arial" w:hAnsi="Arial" w:cs="Arial"/>
          <w:color w:val="000000" w:themeColor="text1"/>
          <w:sz w:val="19"/>
          <w:szCs w:val="19"/>
        </w:rPr>
        <w:footnoteRef/>
      </w:r>
      <w:r w:rsidRPr="007A05A8">
        <w:rPr>
          <w:rFonts w:ascii="Arial" w:hAnsi="Arial" w:cs="Arial"/>
          <w:color w:val="000000" w:themeColor="text1"/>
          <w:sz w:val="19"/>
          <w:szCs w:val="19"/>
        </w:rPr>
        <w:t xml:space="preserve"> “Código Civil, Artículo 1635: 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14:paraId="1DA4187F" w14:textId="77777777" w:rsidR="0002542D" w:rsidRPr="007A05A8" w:rsidRDefault="0002542D" w:rsidP="009D5532">
      <w:pPr>
        <w:ind w:left="300" w:right="311"/>
        <w:jc w:val="both"/>
        <w:rPr>
          <w:rFonts w:ascii="Arial" w:hAnsi="Arial" w:cs="Arial"/>
          <w:color w:val="000000" w:themeColor="text1"/>
          <w:sz w:val="19"/>
          <w:szCs w:val="19"/>
        </w:rPr>
      </w:pPr>
      <w:r w:rsidRPr="007A05A8">
        <w:rPr>
          <w:rFonts w:ascii="Arial" w:hAnsi="Arial" w:cs="Arial"/>
          <w:color w:val="000000" w:themeColor="text1"/>
          <w:sz w:val="19"/>
          <w:szCs w:val="19"/>
        </w:rPr>
        <w:t>Cuando el pago hecho a persona incompetente es ratificado por el acreedor, se mirará como válido desde el principio.</w:t>
      </w:r>
    </w:p>
    <w:p w14:paraId="3B4C7436" w14:textId="77777777" w:rsidR="0002542D" w:rsidRPr="007A05A8" w:rsidRDefault="0002542D" w:rsidP="009D5532">
      <w:pPr>
        <w:spacing w:line="206" w:lineRule="exact"/>
        <w:ind w:left="300"/>
        <w:jc w:val="both"/>
        <w:rPr>
          <w:rFonts w:ascii="Arial" w:hAnsi="Arial" w:cs="Arial"/>
          <w:color w:val="000000" w:themeColor="text1"/>
          <w:sz w:val="19"/>
          <w:szCs w:val="19"/>
        </w:rPr>
      </w:pPr>
      <w:r w:rsidRPr="007A05A8">
        <w:rPr>
          <w:rFonts w:ascii="Arial" w:hAnsi="Arial" w:cs="Arial"/>
          <w:color w:val="000000" w:themeColor="text1"/>
          <w:sz w:val="19"/>
          <w:szCs w:val="19"/>
        </w:rPr>
        <w:t>(…)</w:t>
      </w:r>
    </w:p>
    <w:p w14:paraId="7F131EAB" w14:textId="77777777" w:rsidR="0002542D" w:rsidRPr="007A05A8" w:rsidRDefault="0002542D" w:rsidP="009D5532">
      <w:pPr>
        <w:pStyle w:val="Textoindependiente"/>
        <w:spacing w:before="1"/>
        <w:jc w:val="both"/>
        <w:rPr>
          <w:color w:val="000000" w:themeColor="text1"/>
          <w:sz w:val="19"/>
          <w:szCs w:val="19"/>
        </w:rPr>
      </w:pPr>
    </w:p>
    <w:p w14:paraId="1B8C8B45" w14:textId="77777777" w:rsidR="0002542D" w:rsidRPr="007A05A8" w:rsidRDefault="0002542D" w:rsidP="009D5532">
      <w:pPr>
        <w:spacing w:before="1"/>
        <w:ind w:left="300" w:right="306"/>
        <w:jc w:val="both"/>
        <w:rPr>
          <w:rFonts w:ascii="Arial" w:hAnsi="Arial" w:cs="Arial"/>
          <w:color w:val="000000" w:themeColor="text1"/>
          <w:sz w:val="19"/>
          <w:szCs w:val="19"/>
        </w:rPr>
      </w:pPr>
      <w:r w:rsidRPr="007A05A8">
        <w:rPr>
          <w:rFonts w:ascii="Arial" w:hAnsi="Arial" w:cs="Arial"/>
          <w:color w:val="000000" w:themeColor="text1"/>
          <w:sz w:val="19"/>
          <w:szCs w:val="19"/>
        </w:rPr>
        <w:t>“Código Civil, Artículo 1637: Reciben legítimamente los tutores y curadores por sus respectivos representados; los albaceas que tuvieron este encargo especial o la tenencia de los bienes del difunto; los padres de familia por sus hijos, en iguales términos; los recaudadores fiscales o de comunidades o establecimientos públicos, por el fisco o las respectivas comunidades o establecimientos; y las demás personas que por ley especial o decreto judicial estén autorizadas para</w:t>
      </w:r>
      <w:r w:rsidRPr="007A05A8">
        <w:rPr>
          <w:rFonts w:ascii="Arial" w:hAnsi="Arial" w:cs="Arial"/>
          <w:color w:val="000000" w:themeColor="text1"/>
          <w:spacing w:val="-7"/>
          <w:sz w:val="19"/>
          <w:szCs w:val="19"/>
        </w:rPr>
        <w:t xml:space="preserve"> </w:t>
      </w:r>
      <w:r w:rsidRPr="007A05A8">
        <w:rPr>
          <w:rFonts w:ascii="Arial" w:hAnsi="Arial" w:cs="Arial"/>
          <w:color w:val="000000" w:themeColor="text1"/>
          <w:sz w:val="19"/>
          <w:szCs w:val="19"/>
        </w:rPr>
        <w:t>ello.</w:t>
      </w:r>
    </w:p>
    <w:p w14:paraId="79C7A75C" w14:textId="77777777" w:rsidR="0002542D" w:rsidRPr="007A05A8" w:rsidRDefault="0002542D" w:rsidP="009D5532">
      <w:pPr>
        <w:pStyle w:val="Textoindependiente"/>
        <w:jc w:val="both"/>
        <w:rPr>
          <w:color w:val="000000" w:themeColor="text1"/>
          <w:sz w:val="19"/>
          <w:szCs w:val="19"/>
        </w:rPr>
      </w:pPr>
    </w:p>
    <w:p w14:paraId="7B6C77B1" w14:textId="77777777" w:rsidR="0002542D" w:rsidRPr="007A05A8" w:rsidRDefault="0002542D" w:rsidP="009D5532">
      <w:pPr>
        <w:spacing w:line="237" w:lineRule="auto"/>
        <w:ind w:left="300" w:right="310"/>
        <w:jc w:val="both"/>
        <w:rPr>
          <w:rFonts w:ascii="Arial" w:hAnsi="Arial" w:cs="Arial"/>
          <w:color w:val="000000" w:themeColor="text1"/>
          <w:sz w:val="19"/>
          <w:szCs w:val="19"/>
        </w:rPr>
      </w:pPr>
      <w:r w:rsidRPr="007A05A8">
        <w:rPr>
          <w:rFonts w:ascii="Arial" w:hAnsi="Arial" w:cs="Arial"/>
          <w:color w:val="000000" w:themeColor="text1"/>
          <w:sz w:val="19"/>
          <w:szCs w:val="19"/>
        </w:rPr>
        <w:t>“Código Civil, Artículo 1638: La diputación para recibir el pago puede conferirse por poder general para la libre administración de todos los negocios del acreedor, o por poder especial para la libre administración del negocio o negocios en que está comprendido el pago, o por un simple mandato comunicado al deudor.”</w:t>
      </w:r>
    </w:p>
    <w:p w14:paraId="0B38CA7F" w14:textId="77777777" w:rsidR="0002542D" w:rsidRPr="007A05A8" w:rsidRDefault="0002542D" w:rsidP="009D5532">
      <w:pPr>
        <w:pStyle w:val="Textonotapie"/>
        <w:jc w:val="both"/>
        <w:rPr>
          <w:rFonts w:ascii="Arial" w:hAnsi="Arial" w:cs="Arial"/>
          <w:color w:val="000000" w:themeColor="text1"/>
          <w:sz w:val="19"/>
          <w:szCs w:val="19"/>
          <w:lang w:val="es-CO"/>
        </w:rPr>
      </w:pPr>
    </w:p>
  </w:footnote>
  <w:footnote w:id="14">
    <w:p w14:paraId="1CBD3418" w14:textId="77777777" w:rsidR="0002542D" w:rsidRPr="007B0B7F" w:rsidRDefault="0002542D" w:rsidP="009D5532">
      <w:pPr>
        <w:spacing w:before="87" w:line="254" w:lineRule="auto"/>
        <w:ind w:left="300" w:right="986"/>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BONIVENTO FERNANDEZ, José. Los principales contratos civiles y su paralelo con los comerciales, Ediciones Librería del Profesional, 15 Ed., 2002, p. 350.</w:t>
      </w:r>
    </w:p>
    <w:p w14:paraId="21843AE9" w14:textId="77777777" w:rsidR="0002542D" w:rsidRPr="007B0B7F" w:rsidRDefault="0002542D" w:rsidP="009D5532">
      <w:pPr>
        <w:pStyle w:val="Textonotapie"/>
        <w:jc w:val="both"/>
        <w:rPr>
          <w:color w:val="000000" w:themeColor="text1"/>
          <w:sz w:val="19"/>
          <w:szCs w:val="19"/>
          <w:lang w:val="es-CO"/>
        </w:rPr>
      </w:pPr>
    </w:p>
  </w:footnote>
  <w:footnote w:id="15">
    <w:p w14:paraId="68D4CD57" w14:textId="77777777" w:rsidR="0002542D" w:rsidRPr="007B0B7F" w:rsidRDefault="0002542D" w:rsidP="009D5532">
      <w:pPr>
        <w:ind w:left="300"/>
        <w:jc w:val="both"/>
        <w:rPr>
          <w:color w:val="000000" w:themeColor="text1"/>
          <w:sz w:val="19"/>
          <w:szCs w:val="19"/>
        </w:rPr>
      </w:pPr>
      <w:r w:rsidRPr="007B0B7F">
        <w:rPr>
          <w:rStyle w:val="Refdenotaalpie"/>
          <w:color w:val="000000" w:themeColor="text1"/>
          <w:sz w:val="19"/>
          <w:szCs w:val="19"/>
        </w:rPr>
        <w:footnoteRef/>
      </w:r>
      <w:r w:rsidRPr="007B0B7F">
        <w:rPr>
          <w:color w:val="000000" w:themeColor="text1"/>
          <w:sz w:val="19"/>
          <w:szCs w:val="19"/>
        </w:rPr>
        <w:t xml:space="preserve"> Ibidem, p. 350.</w:t>
      </w:r>
    </w:p>
    <w:p w14:paraId="46D6747F" w14:textId="77777777" w:rsidR="0002542D" w:rsidRPr="007B0B7F" w:rsidRDefault="0002542D" w:rsidP="009D5532">
      <w:pPr>
        <w:pStyle w:val="Textonotapie"/>
        <w:jc w:val="both"/>
        <w:rPr>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02542D" w:rsidRDefault="0002542D" w:rsidP="00950DF7">
    <w:pPr>
      <w:rPr>
        <w:rFonts w:ascii="Geomanist Bold" w:hAnsi="Geomanist Bold"/>
        <w:color w:val="002060"/>
      </w:rPr>
    </w:pPr>
  </w:p>
  <w:p w14:paraId="513BE203" w14:textId="2EB2CA6E" w:rsidR="0002542D" w:rsidRPr="003F58A1" w:rsidRDefault="0002542D"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58240"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02542D" w:rsidRPr="00367110" w14:paraId="704CA18C" w14:textId="77777777">
      <w:tc>
        <w:tcPr>
          <w:tcW w:w="6756" w:type="dxa"/>
        </w:tcPr>
        <w:p w14:paraId="015A7026" w14:textId="77777777" w:rsidR="0002542D" w:rsidRPr="006478E3" w:rsidRDefault="0002542D"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02542D" w:rsidRPr="0057618A" w:rsidRDefault="0002542D"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02542D" w:rsidRPr="00367110" w:rsidRDefault="0002542D" w:rsidP="00950DF7">
          <w:pPr>
            <w:jc w:val="right"/>
            <w:rPr>
              <w:rFonts w:eastAsia="Arial Nova" w:cs="Arial Nova"/>
              <w:lang w:eastAsia="es-CO"/>
            </w:rPr>
          </w:pPr>
        </w:p>
      </w:tc>
      <w:tc>
        <w:tcPr>
          <w:tcW w:w="1324" w:type="dxa"/>
        </w:tcPr>
        <w:p w14:paraId="112FC2B0" w14:textId="77777777" w:rsidR="0002542D" w:rsidRPr="00367110" w:rsidRDefault="0002542D" w:rsidP="00950DF7">
          <w:pPr>
            <w:jc w:val="right"/>
            <w:rPr>
              <w:rFonts w:eastAsia="Arial Nova" w:cs="Arial Nova"/>
              <w:lang w:eastAsia="es-CO"/>
            </w:rPr>
          </w:pPr>
        </w:p>
      </w:tc>
    </w:tr>
  </w:tbl>
  <w:p w14:paraId="46DE726C" w14:textId="77777777" w:rsidR="0002542D" w:rsidRPr="00906B3C" w:rsidRDefault="0002542D"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58241"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02542D" w:rsidRDefault="0002542D" w:rsidP="00950DF7">
    <w:pPr>
      <w:pStyle w:val="Encabezado"/>
    </w:pPr>
  </w:p>
  <w:p w14:paraId="55E5DA52" w14:textId="45BF26AF" w:rsidR="0002542D" w:rsidRDefault="000254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4592630"/>
    <w:multiLevelType w:val="hybridMultilevel"/>
    <w:tmpl w:val="3CE80168"/>
    <w:lvl w:ilvl="0" w:tplc="6C68446A">
      <w:start w:val="1"/>
      <w:numFmt w:val="lowerLetter"/>
      <w:lvlText w:val="%1)"/>
      <w:lvlJc w:val="left"/>
      <w:pPr>
        <w:ind w:left="1008" w:hanging="330"/>
      </w:pPr>
      <w:rPr>
        <w:rFonts w:ascii="Arial" w:eastAsia="Arial" w:hAnsi="Arial" w:cs="Arial" w:hint="default"/>
        <w:color w:val="auto"/>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2" w15:restartNumberingAfterBreak="0">
    <w:nsid w:val="352A4AB3"/>
    <w:multiLevelType w:val="hybridMultilevel"/>
    <w:tmpl w:val="0F08E3A2"/>
    <w:lvl w:ilvl="0" w:tplc="3D16C97C">
      <w:start w:val="1"/>
      <w:numFmt w:val="lowerLetter"/>
      <w:lvlText w:val="%1."/>
      <w:lvlJc w:val="left"/>
      <w:pPr>
        <w:ind w:left="502" w:hanging="360"/>
      </w:pPr>
      <w:rPr>
        <w:rFonts w:ascii="Arial" w:eastAsiaTheme="minorHAnsi" w:hAnsi="Arial"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16cid:durableId="1567032598">
    <w:abstractNumId w:val="0"/>
  </w:num>
  <w:num w:numId="2" w16cid:durableId="1143429848">
    <w:abstractNumId w:val="1"/>
  </w:num>
  <w:num w:numId="3" w16cid:durableId="971861181">
    <w:abstractNumId w:val="3"/>
  </w:num>
  <w:num w:numId="4" w16cid:durableId="62141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2542D"/>
    <w:rsid w:val="00026F0A"/>
    <w:rsid w:val="00033CA7"/>
    <w:rsid w:val="00035D9D"/>
    <w:rsid w:val="00040E76"/>
    <w:rsid w:val="000457D4"/>
    <w:rsid w:val="000460CE"/>
    <w:rsid w:val="0004698F"/>
    <w:rsid w:val="0005405C"/>
    <w:rsid w:val="00055C32"/>
    <w:rsid w:val="000636D4"/>
    <w:rsid w:val="00073D58"/>
    <w:rsid w:val="000868A6"/>
    <w:rsid w:val="00092218"/>
    <w:rsid w:val="00094407"/>
    <w:rsid w:val="000977C9"/>
    <w:rsid w:val="000A0743"/>
    <w:rsid w:val="000A5435"/>
    <w:rsid w:val="000B46EA"/>
    <w:rsid w:val="000B5520"/>
    <w:rsid w:val="000B7248"/>
    <w:rsid w:val="000C3009"/>
    <w:rsid w:val="000C5926"/>
    <w:rsid w:val="000D68A1"/>
    <w:rsid w:val="000E1E95"/>
    <w:rsid w:val="000E40F0"/>
    <w:rsid w:val="000F2799"/>
    <w:rsid w:val="000F2C2E"/>
    <w:rsid w:val="000F6D56"/>
    <w:rsid w:val="00101285"/>
    <w:rsid w:val="00103754"/>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C624F"/>
    <w:rsid w:val="001F0E5D"/>
    <w:rsid w:val="00211FD1"/>
    <w:rsid w:val="00212893"/>
    <w:rsid w:val="002240E5"/>
    <w:rsid w:val="00225BD5"/>
    <w:rsid w:val="00241891"/>
    <w:rsid w:val="0024319D"/>
    <w:rsid w:val="00246C39"/>
    <w:rsid w:val="0025058A"/>
    <w:rsid w:val="00255DF7"/>
    <w:rsid w:val="00256066"/>
    <w:rsid w:val="00264399"/>
    <w:rsid w:val="002709EC"/>
    <w:rsid w:val="00293329"/>
    <w:rsid w:val="002A20A5"/>
    <w:rsid w:val="002B3621"/>
    <w:rsid w:val="002C0664"/>
    <w:rsid w:val="002C0B8B"/>
    <w:rsid w:val="002C1CE3"/>
    <w:rsid w:val="002D5C6B"/>
    <w:rsid w:val="002F7C3F"/>
    <w:rsid w:val="003168A5"/>
    <w:rsid w:val="0031762F"/>
    <w:rsid w:val="00334AF9"/>
    <w:rsid w:val="0034655E"/>
    <w:rsid w:val="0034723B"/>
    <w:rsid w:val="003473A1"/>
    <w:rsid w:val="00350F02"/>
    <w:rsid w:val="00351231"/>
    <w:rsid w:val="003532FE"/>
    <w:rsid w:val="00353F6F"/>
    <w:rsid w:val="0036284A"/>
    <w:rsid w:val="00370A7F"/>
    <w:rsid w:val="0037323E"/>
    <w:rsid w:val="00373C31"/>
    <w:rsid w:val="00376C51"/>
    <w:rsid w:val="003776A6"/>
    <w:rsid w:val="00397A6A"/>
    <w:rsid w:val="003A0666"/>
    <w:rsid w:val="003A0BAA"/>
    <w:rsid w:val="003A2031"/>
    <w:rsid w:val="003A5D7C"/>
    <w:rsid w:val="003A625B"/>
    <w:rsid w:val="003B145A"/>
    <w:rsid w:val="003B157F"/>
    <w:rsid w:val="003B1856"/>
    <w:rsid w:val="003B1E39"/>
    <w:rsid w:val="003B697C"/>
    <w:rsid w:val="003C068D"/>
    <w:rsid w:val="003C139B"/>
    <w:rsid w:val="003C2315"/>
    <w:rsid w:val="003D3123"/>
    <w:rsid w:val="003F4C90"/>
    <w:rsid w:val="004054C5"/>
    <w:rsid w:val="00414B63"/>
    <w:rsid w:val="00416A9E"/>
    <w:rsid w:val="00420AA2"/>
    <w:rsid w:val="00427B2C"/>
    <w:rsid w:val="004363EF"/>
    <w:rsid w:val="00437115"/>
    <w:rsid w:val="00442C55"/>
    <w:rsid w:val="00445994"/>
    <w:rsid w:val="00445B9A"/>
    <w:rsid w:val="00445F15"/>
    <w:rsid w:val="00457B9C"/>
    <w:rsid w:val="00461E1C"/>
    <w:rsid w:val="00471153"/>
    <w:rsid w:val="004730E2"/>
    <w:rsid w:val="004845C5"/>
    <w:rsid w:val="004B2C2B"/>
    <w:rsid w:val="004D05A7"/>
    <w:rsid w:val="004E27DD"/>
    <w:rsid w:val="004F326F"/>
    <w:rsid w:val="004F59CA"/>
    <w:rsid w:val="004F5B4B"/>
    <w:rsid w:val="00526B09"/>
    <w:rsid w:val="00532050"/>
    <w:rsid w:val="00534DAE"/>
    <w:rsid w:val="00535949"/>
    <w:rsid w:val="005478FB"/>
    <w:rsid w:val="005505E3"/>
    <w:rsid w:val="00552C20"/>
    <w:rsid w:val="00565681"/>
    <w:rsid w:val="005709F1"/>
    <w:rsid w:val="00574B03"/>
    <w:rsid w:val="00591CF3"/>
    <w:rsid w:val="00592023"/>
    <w:rsid w:val="005A0019"/>
    <w:rsid w:val="005A0728"/>
    <w:rsid w:val="005A15F1"/>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B3D07"/>
    <w:rsid w:val="006D319F"/>
    <w:rsid w:val="006D5D89"/>
    <w:rsid w:val="006E7609"/>
    <w:rsid w:val="006E77C5"/>
    <w:rsid w:val="006E7B77"/>
    <w:rsid w:val="00701046"/>
    <w:rsid w:val="00716AB2"/>
    <w:rsid w:val="007307A6"/>
    <w:rsid w:val="00736599"/>
    <w:rsid w:val="00744227"/>
    <w:rsid w:val="00747FBC"/>
    <w:rsid w:val="00754E16"/>
    <w:rsid w:val="00762584"/>
    <w:rsid w:val="00763E43"/>
    <w:rsid w:val="00773849"/>
    <w:rsid w:val="00781AC2"/>
    <w:rsid w:val="0079188E"/>
    <w:rsid w:val="007969EF"/>
    <w:rsid w:val="00797A18"/>
    <w:rsid w:val="007A05A8"/>
    <w:rsid w:val="007A2F39"/>
    <w:rsid w:val="007A617C"/>
    <w:rsid w:val="007B0D03"/>
    <w:rsid w:val="007B79FF"/>
    <w:rsid w:val="007C7155"/>
    <w:rsid w:val="007C753D"/>
    <w:rsid w:val="007D2258"/>
    <w:rsid w:val="007D4B63"/>
    <w:rsid w:val="007D76AC"/>
    <w:rsid w:val="007F7197"/>
    <w:rsid w:val="00804297"/>
    <w:rsid w:val="00805FE9"/>
    <w:rsid w:val="008074E3"/>
    <w:rsid w:val="00815DA5"/>
    <w:rsid w:val="00825C30"/>
    <w:rsid w:val="00825DA8"/>
    <w:rsid w:val="0083520B"/>
    <w:rsid w:val="00837844"/>
    <w:rsid w:val="00840E20"/>
    <w:rsid w:val="00860608"/>
    <w:rsid w:val="00867946"/>
    <w:rsid w:val="00890DA4"/>
    <w:rsid w:val="00891F59"/>
    <w:rsid w:val="008A7F2B"/>
    <w:rsid w:val="0090423F"/>
    <w:rsid w:val="00912B2C"/>
    <w:rsid w:val="00936986"/>
    <w:rsid w:val="00941D0A"/>
    <w:rsid w:val="00947206"/>
    <w:rsid w:val="00950DF7"/>
    <w:rsid w:val="009545C2"/>
    <w:rsid w:val="009564CC"/>
    <w:rsid w:val="00963831"/>
    <w:rsid w:val="00973329"/>
    <w:rsid w:val="00983F0D"/>
    <w:rsid w:val="009919FC"/>
    <w:rsid w:val="00993549"/>
    <w:rsid w:val="009A0390"/>
    <w:rsid w:val="009A24F7"/>
    <w:rsid w:val="009A7DAD"/>
    <w:rsid w:val="009B34D3"/>
    <w:rsid w:val="009B6FA0"/>
    <w:rsid w:val="009C4859"/>
    <w:rsid w:val="009D3914"/>
    <w:rsid w:val="009D5532"/>
    <w:rsid w:val="009D6C30"/>
    <w:rsid w:val="009D7A03"/>
    <w:rsid w:val="009E204A"/>
    <w:rsid w:val="009E334F"/>
    <w:rsid w:val="009E45F6"/>
    <w:rsid w:val="009E696A"/>
    <w:rsid w:val="009F0C6B"/>
    <w:rsid w:val="009F6907"/>
    <w:rsid w:val="00A0582E"/>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405B"/>
    <w:rsid w:val="00AE6492"/>
    <w:rsid w:val="00B01E4F"/>
    <w:rsid w:val="00B06457"/>
    <w:rsid w:val="00B13910"/>
    <w:rsid w:val="00B17550"/>
    <w:rsid w:val="00B2709C"/>
    <w:rsid w:val="00B36201"/>
    <w:rsid w:val="00B43CF0"/>
    <w:rsid w:val="00B43FFA"/>
    <w:rsid w:val="00B5194C"/>
    <w:rsid w:val="00B62D48"/>
    <w:rsid w:val="00B70074"/>
    <w:rsid w:val="00B715F0"/>
    <w:rsid w:val="00B742E2"/>
    <w:rsid w:val="00B8410B"/>
    <w:rsid w:val="00BB202B"/>
    <w:rsid w:val="00BB3FBA"/>
    <w:rsid w:val="00BB645A"/>
    <w:rsid w:val="00BC55DC"/>
    <w:rsid w:val="00BD15AC"/>
    <w:rsid w:val="00BE0F40"/>
    <w:rsid w:val="00C074A7"/>
    <w:rsid w:val="00C11EE9"/>
    <w:rsid w:val="00C25A81"/>
    <w:rsid w:val="00C420A8"/>
    <w:rsid w:val="00C439CA"/>
    <w:rsid w:val="00C44D80"/>
    <w:rsid w:val="00C54739"/>
    <w:rsid w:val="00C60F43"/>
    <w:rsid w:val="00C741D4"/>
    <w:rsid w:val="00C84A8D"/>
    <w:rsid w:val="00C85A5E"/>
    <w:rsid w:val="00C86297"/>
    <w:rsid w:val="00C87954"/>
    <w:rsid w:val="00CA6A03"/>
    <w:rsid w:val="00CB307A"/>
    <w:rsid w:val="00CB70FF"/>
    <w:rsid w:val="00CC0496"/>
    <w:rsid w:val="00CD0379"/>
    <w:rsid w:val="00CD3735"/>
    <w:rsid w:val="00CD722F"/>
    <w:rsid w:val="00CE0360"/>
    <w:rsid w:val="00CE15DC"/>
    <w:rsid w:val="00CE3A6E"/>
    <w:rsid w:val="00CF537D"/>
    <w:rsid w:val="00D04574"/>
    <w:rsid w:val="00D11C34"/>
    <w:rsid w:val="00D26202"/>
    <w:rsid w:val="00D33F26"/>
    <w:rsid w:val="00D42ECD"/>
    <w:rsid w:val="00D47C17"/>
    <w:rsid w:val="00D51C98"/>
    <w:rsid w:val="00D556C3"/>
    <w:rsid w:val="00D56015"/>
    <w:rsid w:val="00D651D4"/>
    <w:rsid w:val="00D706E2"/>
    <w:rsid w:val="00D74DA1"/>
    <w:rsid w:val="00D905F1"/>
    <w:rsid w:val="00D94E36"/>
    <w:rsid w:val="00DA0FBF"/>
    <w:rsid w:val="00DB3131"/>
    <w:rsid w:val="00DB4A50"/>
    <w:rsid w:val="00DC4C54"/>
    <w:rsid w:val="00DC59F9"/>
    <w:rsid w:val="00DD6108"/>
    <w:rsid w:val="00DE0C6B"/>
    <w:rsid w:val="00DE6E19"/>
    <w:rsid w:val="00DE7E5B"/>
    <w:rsid w:val="00DF0BBC"/>
    <w:rsid w:val="00DF15CC"/>
    <w:rsid w:val="00DF41C8"/>
    <w:rsid w:val="00E02EDC"/>
    <w:rsid w:val="00E06284"/>
    <w:rsid w:val="00E1427A"/>
    <w:rsid w:val="00E213CE"/>
    <w:rsid w:val="00E22F18"/>
    <w:rsid w:val="00E37348"/>
    <w:rsid w:val="00E42D0E"/>
    <w:rsid w:val="00E64259"/>
    <w:rsid w:val="00E73D76"/>
    <w:rsid w:val="00E844BE"/>
    <w:rsid w:val="00E8794F"/>
    <w:rsid w:val="00E92452"/>
    <w:rsid w:val="00E96512"/>
    <w:rsid w:val="00EB2EFA"/>
    <w:rsid w:val="00EB489D"/>
    <w:rsid w:val="00EC1D3B"/>
    <w:rsid w:val="00EC48F7"/>
    <w:rsid w:val="00ED0108"/>
    <w:rsid w:val="00ED1561"/>
    <w:rsid w:val="00EE0CF7"/>
    <w:rsid w:val="00EE601D"/>
    <w:rsid w:val="00EF7E7B"/>
    <w:rsid w:val="00F02D1A"/>
    <w:rsid w:val="00F0413A"/>
    <w:rsid w:val="00F25A79"/>
    <w:rsid w:val="00F304EA"/>
    <w:rsid w:val="00F32DE5"/>
    <w:rsid w:val="00F33DC1"/>
    <w:rsid w:val="00F3626D"/>
    <w:rsid w:val="00F43B1B"/>
    <w:rsid w:val="00F51B7C"/>
    <w:rsid w:val="00F564C0"/>
    <w:rsid w:val="00F60E2B"/>
    <w:rsid w:val="00F61653"/>
    <w:rsid w:val="00F941DB"/>
    <w:rsid w:val="00F95148"/>
    <w:rsid w:val="00F96587"/>
    <w:rsid w:val="00FB347B"/>
    <w:rsid w:val="00FC3BED"/>
    <w:rsid w:val="00FC6857"/>
    <w:rsid w:val="00FD0FFC"/>
    <w:rsid w:val="00FE4C7B"/>
    <w:rsid w:val="00FE7205"/>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2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9F6907"/>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4845C5"/>
    <w:rPr>
      <w:color w:val="605E5C"/>
      <w:shd w:val="clear" w:color="auto" w:fill="E1DFDD"/>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9A7D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DAD"/>
    <w:rPr>
      <w:rFonts w:ascii="Segoe UI" w:eastAsia="Times New Roman" w:hAnsi="Segoe UI" w:cs="Segoe UI"/>
      <w:sz w:val="18"/>
      <w:szCs w:val="18"/>
      <w:lang w:eastAsia="es-ES_tradnl"/>
    </w:rPr>
  </w:style>
  <w:style w:type="character" w:styleId="Hipervnculovisitado">
    <w:name w:val="FollowedHyperlink"/>
    <w:basedOn w:val="Fuentedeprrafopredeter"/>
    <w:uiPriority w:val="99"/>
    <w:semiHidden/>
    <w:unhideWhenUsed/>
    <w:rsid w:val="00073D58"/>
    <w:rPr>
      <w:color w:val="954F72" w:themeColor="followedHyperlink"/>
      <w:u w:val="single"/>
    </w:rPr>
  </w:style>
  <w:style w:type="paragraph" w:styleId="Textoindependiente">
    <w:name w:val="Body Text"/>
    <w:basedOn w:val="Normal"/>
    <w:link w:val="TextoindependienteCar"/>
    <w:uiPriority w:val="1"/>
    <w:qFormat/>
    <w:rsid w:val="00055C3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055C32"/>
    <w:rPr>
      <w:rFonts w:ascii="Arial" w:eastAsia="Arial" w:hAnsi="Arial" w:cs="Arial"/>
      <w:lang w:val="es-ES"/>
    </w:rPr>
  </w:style>
  <w:style w:type="character" w:customStyle="1" w:styleId="Ttulo1Car">
    <w:name w:val="Título 1 Car"/>
    <w:basedOn w:val="Fuentedeprrafopredeter"/>
    <w:link w:val="Ttulo1"/>
    <w:uiPriority w:val="9"/>
    <w:rsid w:val="009F6907"/>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692">
      <w:bodyDiv w:val="1"/>
      <w:marLeft w:val="0"/>
      <w:marRight w:val="0"/>
      <w:marTop w:val="0"/>
      <w:marBottom w:val="0"/>
      <w:divBdr>
        <w:top w:val="none" w:sz="0" w:space="0" w:color="auto"/>
        <w:left w:val="none" w:sz="0" w:space="0" w:color="auto"/>
        <w:bottom w:val="none" w:sz="0" w:space="0" w:color="auto"/>
        <w:right w:val="none" w:sz="0" w:space="0" w:color="auto"/>
      </w:divBdr>
    </w:div>
    <w:div w:id="48960182">
      <w:bodyDiv w:val="1"/>
      <w:marLeft w:val="0"/>
      <w:marRight w:val="0"/>
      <w:marTop w:val="0"/>
      <w:marBottom w:val="0"/>
      <w:divBdr>
        <w:top w:val="none" w:sz="0" w:space="0" w:color="auto"/>
        <w:left w:val="none" w:sz="0" w:space="0" w:color="auto"/>
        <w:bottom w:val="none" w:sz="0" w:space="0" w:color="auto"/>
        <w:right w:val="none" w:sz="0" w:space="0" w:color="auto"/>
      </w:divBdr>
    </w:div>
    <w:div w:id="138421490">
      <w:bodyDiv w:val="1"/>
      <w:marLeft w:val="0"/>
      <w:marRight w:val="0"/>
      <w:marTop w:val="0"/>
      <w:marBottom w:val="0"/>
      <w:divBdr>
        <w:top w:val="none" w:sz="0" w:space="0" w:color="auto"/>
        <w:left w:val="none" w:sz="0" w:space="0" w:color="auto"/>
        <w:bottom w:val="none" w:sz="0" w:space="0" w:color="auto"/>
        <w:right w:val="none" w:sz="0" w:space="0" w:color="auto"/>
      </w:divBdr>
    </w:div>
    <w:div w:id="413598154">
      <w:bodyDiv w:val="1"/>
      <w:marLeft w:val="0"/>
      <w:marRight w:val="0"/>
      <w:marTop w:val="0"/>
      <w:marBottom w:val="0"/>
      <w:divBdr>
        <w:top w:val="none" w:sz="0" w:space="0" w:color="auto"/>
        <w:left w:val="none" w:sz="0" w:space="0" w:color="auto"/>
        <w:bottom w:val="none" w:sz="0" w:space="0" w:color="auto"/>
        <w:right w:val="none" w:sz="0" w:space="0" w:color="auto"/>
      </w:divBdr>
    </w:div>
    <w:div w:id="437677387">
      <w:bodyDiv w:val="1"/>
      <w:marLeft w:val="0"/>
      <w:marRight w:val="0"/>
      <w:marTop w:val="0"/>
      <w:marBottom w:val="0"/>
      <w:divBdr>
        <w:top w:val="none" w:sz="0" w:space="0" w:color="auto"/>
        <w:left w:val="none" w:sz="0" w:space="0" w:color="auto"/>
        <w:bottom w:val="none" w:sz="0" w:space="0" w:color="auto"/>
        <w:right w:val="none" w:sz="0" w:space="0" w:color="auto"/>
      </w:divBdr>
    </w:div>
    <w:div w:id="487751427">
      <w:bodyDiv w:val="1"/>
      <w:marLeft w:val="0"/>
      <w:marRight w:val="0"/>
      <w:marTop w:val="0"/>
      <w:marBottom w:val="0"/>
      <w:divBdr>
        <w:top w:val="none" w:sz="0" w:space="0" w:color="auto"/>
        <w:left w:val="none" w:sz="0" w:space="0" w:color="auto"/>
        <w:bottom w:val="none" w:sz="0" w:space="0" w:color="auto"/>
        <w:right w:val="none" w:sz="0" w:space="0" w:color="auto"/>
      </w:divBdr>
    </w:div>
    <w:div w:id="519441143">
      <w:bodyDiv w:val="1"/>
      <w:marLeft w:val="0"/>
      <w:marRight w:val="0"/>
      <w:marTop w:val="0"/>
      <w:marBottom w:val="0"/>
      <w:divBdr>
        <w:top w:val="none" w:sz="0" w:space="0" w:color="auto"/>
        <w:left w:val="none" w:sz="0" w:space="0" w:color="auto"/>
        <w:bottom w:val="none" w:sz="0" w:space="0" w:color="auto"/>
        <w:right w:val="none" w:sz="0" w:space="0" w:color="auto"/>
      </w:divBdr>
    </w:div>
    <w:div w:id="588662380">
      <w:bodyDiv w:val="1"/>
      <w:marLeft w:val="0"/>
      <w:marRight w:val="0"/>
      <w:marTop w:val="0"/>
      <w:marBottom w:val="0"/>
      <w:divBdr>
        <w:top w:val="none" w:sz="0" w:space="0" w:color="auto"/>
        <w:left w:val="none" w:sz="0" w:space="0" w:color="auto"/>
        <w:bottom w:val="none" w:sz="0" w:space="0" w:color="auto"/>
        <w:right w:val="none" w:sz="0" w:space="0" w:color="auto"/>
      </w:divBdr>
    </w:div>
    <w:div w:id="630130865">
      <w:bodyDiv w:val="1"/>
      <w:marLeft w:val="0"/>
      <w:marRight w:val="0"/>
      <w:marTop w:val="0"/>
      <w:marBottom w:val="0"/>
      <w:divBdr>
        <w:top w:val="none" w:sz="0" w:space="0" w:color="auto"/>
        <w:left w:val="none" w:sz="0" w:space="0" w:color="auto"/>
        <w:bottom w:val="none" w:sz="0" w:space="0" w:color="auto"/>
        <w:right w:val="none" w:sz="0" w:space="0" w:color="auto"/>
      </w:divBdr>
    </w:div>
    <w:div w:id="668168506">
      <w:bodyDiv w:val="1"/>
      <w:marLeft w:val="0"/>
      <w:marRight w:val="0"/>
      <w:marTop w:val="0"/>
      <w:marBottom w:val="0"/>
      <w:divBdr>
        <w:top w:val="none" w:sz="0" w:space="0" w:color="auto"/>
        <w:left w:val="none" w:sz="0" w:space="0" w:color="auto"/>
        <w:bottom w:val="none" w:sz="0" w:space="0" w:color="auto"/>
        <w:right w:val="none" w:sz="0" w:space="0" w:color="auto"/>
      </w:divBdr>
    </w:div>
    <w:div w:id="684287730">
      <w:bodyDiv w:val="1"/>
      <w:marLeft w:val="0"/>
      <w:marRight w:val="0"/>
      <w:marTop w:val="0"/>
      <w:marBottom w:val="0"/>
      <w:divBdr>
        <w:top w:val="none" w:sz="0" w:space="0" w:color="auto"/>
        <w:left w:val="none" w:sz="0" w:space="0" w:color="auto"/>
        <w:bottom w:val="none" w:sz="0" w:space="0" w:color="auto"/>
        <w:right w:val="none" w:sz="0" w:space="0" w:color="auto"/>
      </w:divBdr>
    </w:div>
    <w:div w:id="795177541">
      <w:bodyDiv w:val="1"/>
      <w:marLeft w:val="0"/>
      <w:marRight w:val="0"/>
      <w:marTop w:val="0"/>
      <w:marBottom w:val="0"/>
      <w:divBdr>
        <w:top w:val="none" w:sz="0" w:space="0" w:color="auto"/>
        <w:left w:val="none" w:sz="0" w:space="0" w:color="auto"/>
        <w:bottom w:val="none" w:sz="0" w:space="0" w:color="auto"/>
        <w:right w:val="none" w:sz="0" w:space="0" w:color="auto"/>
      </w:divBdr>
    </w:div>
    <w:div w:id="849225595">
      <w:bodyDiv w:val="1"/>
      <w:marLeft w:val="0"/>
      <w:marRight w:val="0"/>
      <w:marTop w:val="0"/>
      <w:marBottom w:val="0"/>
      <w:divBdr>
        <w:top w:val="none" w:sz="0" w:space="0" w:color="auto"/>
        <w:left w:val="none" w:sz="0" w:space="0" w:color="auto"/>
        <w:bottom w:val="none" w:sz="0" w:space="0" w:color="auto"/>
        <w:right w:val="none" w:sz="0" w:space="0" w:color="auto"/>
      </w:divBdr>
    </w:div>
    <w:div w:id="927082470">
      <w:bodyDiv w:val="1"/>
      <w:marLeft w:val="0"/>
      <w:marRight w:val="0"/>
      <w:marTop w:val="0"/>
      <w:marBottom w:val="0"/>
      <w:divBdr>
        <w:top w:val="none" w:sz="0" w:space="0" w:color="auto"/>
        <w:left w:val="none" w:sz="0" w:space="0" w:color="auto"/>
        <w:bottom w:val="none" w:sz="0" w:space="0" w:color="auto"/>
        <w:right w:val="none" w:sz="0" w:space="0" w:color="auto"/>
      </w:divBdr>
    </w:div>
    <w:div w:id="928389448">
      <w:bodyDiv w:val="1"/>
      <w:marLeft w:val="0"/>
      <w:marRight w:val="0"/>
      <w:marTop w:val="0"/>
      <w:marBottom w:val="0"/>
      <w:divBdr>
        <w:top w:val="none" w:sz="0" w:space="0" w:color="auto"/>
        <w:left w:val="none" w:sz="0" w:space="0" w:color="auto"/>
        <w:bottom w:val="none" w:sz="0" w:space="0" w:color="auto"/>
        <w:right w:val="none" w:sz="0" w:space="0" w:color="auto"/>
      </w:divBdr>
    </w:div>
    <w:div w:id="1006592590">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532454077">
      <w:bodyDiv w:val="1"/>
      <w:marLeft w:val="0"/>
      <w:marRight w:val="0"/>
      <w:marTop w:val="0"/>
      <w:marBottom w:val="0"/>
      <w:divBdr>
        <w:top w:val="none" w:sz="0" w:space="0" w:color="auto"/>
        <w:left w:val="none" w:sz="0" w:space="0" w:color="auto"/>
        <w:bottom w:val="none" w:sz="0" w:space="0" w:color="auto"/>
        <w:right w:val="none" w:sz="0" w:space="0" w:color="auto"/>
      </w:divBdr>
    </w:div>
    <w:div w:id="1654721268">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1910532756">
      <w:bodyDiv w:val="1"/>
      <w:marLeft w:val="0"/>
      <w:marRight w:val="0"/>
      <w:marTop w:val="0"/>
      <w:marBottom w:val="0"/>
      <w:divBdr>
        <w:top w:val="none" w:sz="0" w:space="0" w:color="auto"/>
        <w:left w:val="none" w:sz="0" w:space="0" w:color="auto"/>
        <w:bottom w:val="none" w:sz="0" w:space="0" w:color="auto"/>
        <w:right w:val="none" w:sz="0" w:space="0" w:color="auto"/>
      </w:divBdr>
    </w:div>
    <w:div w:id="2039428866">
      <w:bodyDiv w:val="1"/>
      <w:marLeft w:val="0"/>
      <w:marRight w:val="0"/>
      <w:marTop w:val="0"/>
      <w:marBottom w:val="0"/>
      <w:divBdr>
        <w:top w:val="none" w:sz="0" w:space="0" w:color="auto"/>
        <w:left w:val="none" w:sz="0" w:space="0" w:color="auto"/>
        <w:bottom w:val="none" w:sz="0" w:space="0" w:color="auto"/>
        <w:right w:val="none" w:sz="0" w:space="0" w:color="auto"/>
      </w:divBdr>
    </w:div>
    <w:div w:id="2072534623">
      <w:bodyDiv w:val="1"/>
      <w:marLeft w:val="0"/>
      <w:marRight w:val="0"/>
      <w:marTop w:val="0"/>
      <w:marBottom w:val="0"/>
      <w:divBdr>
        <w:top w:val="none" w:sz="0" w:space="0" w:color="auto"/>
        <w:left w:val="none" w:sz="0" w:space="0" w:color="auto"/>
        <w:bottom w:val="none" w:sz="0" w:space="0" w:color="auto"/>
        <w:right w:val="none" w:sz="0" w:space="0" w:color="auto"/>
      </w:divBdr>
    </w:div>
    <w:div w:id="2095545390">
      <w:bodyDiv w:val="1"/>
      <w:marLeft w:val="0"/>
      <w:marRight w:val="0"/>
      <w:marTop w:val="0"/>
      <w:marBottom w:val="0"/>
      <w:divBdr>
        <w:top w:val="none" w:sz="0" w:space="0" w:color="auto"/>
        <w:left w:val="none" w:sz="0" w:space="0" w:color="auto"/>
        <w:bottom w:val="none" w:sz="0" w:space="0" w:color="auto"/>
        <w:right w:val="none" w:sz="0" w:space="0" w:color="auto"/>
      </w:divBdr>
    </w:div>
    <w:div w:id="2110272985">
      <w:bodyDiv w:val="1"/>
      <w:marLeft w:val="0"/>
      <w:marRight w:val="0"/>
      <w:marTop w:val="0"/>
      <w:marBottom w:val="0"/>
      <w:divBdr>
        <w:top w:val="none" w:sz="0" w:space="0" w:color="auto"/>
        <w:left w:val="none" w:sz="0" w:space="0" w:color="auto"/>
        <w:bottom w:val="none" w:sz="0" w:space="0" w:color="auto"/>
        <w:right w:val="none" w:sz="0" w:space="0" w:color="auto"/>
      </w:divBdr>
    </w:div>
    <w:div w:id="212876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6A34D-86C6-4FEF-9F21-278C40FAB50C}">
  <ds:schemaRefs>
    <ds:schemaRef ds:uri="a6cb9e4b-f1d1-4245-83ec-6cad768d538a"/>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9d85dbaf-23eb-4e57-a637-93dcacc8b1a1"/>
    <ds:schemaRef ds:uri="http://purl.org/dc/elements/1.1/"/>
  </ds:schemaRefs>
</ds:datastoreItem>
</file>

<file path=customXml/itemProps2.xml><?xml version="1.0" encoding="utf-8"?>
<ds:datastoreItem xmlns:ds="http://schemas.openxmlformats.org/officeDocument/2006/customXml" ds:itemID="{115CB166-5C3A-44CE-A6BF-9D8AC6706AF8}">
  <ds:schemaRefs>
    <ds:schemaRef ds:uri="http://schemas.openxmlformats.org/officeDocument/2006/bibliography"/>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BD429BA4-7771-4F9F-A6B7-E65963236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3936</Words>
  <Characters>21653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25538</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3</cp:revision>
  <dcterms:created xsi:type="dcterms:W3CDTF">2023-08-30T20:49:00Z</dcterms:created>
  <dcterms:modified xsi:type="dcterms:W3CDTF">2024-03-15T16:54:00Z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