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ADC3E" w14:textId="77777777" w:rsidR="00807CBD" w:rsidRDefault="00807CBD" w:rsidP="00807CBD">
      <w:pPr>
        <w:pStyle w:val="Textoindependiente"/>
        <w:spacing w:line="276" w:lineRule="auto"/>
        <w:jc w:val="both"/>
        <w:rPr>
          <w:b/>
          <w:bCs/>
        </w:rPr>
      </w:pPr>
      <w:bookmarkStart w:id="0" w:name="_Hlk132200155"/>
    </w:p>
    <w:p w14:paraId="6E37EB00" w14:textId="77777777" w:rsidR="005E024F" w:rsidRDefault="005E024F" w:rsidP="005E024F">
      <w:pPr>
        <w:jc w:val="both"/>
        <w:textAlignment w:val="baseline"/>
        <w:rPr>
          <w:rFonts w:ascii="Segoe UI" w:eastAsia="Times New Roman" w:hAnsi="Segoe UI" w:cs="Segoe UI"/>
          <w:sz w:val="18"/>
          <w:szCs w:val="18"/>
          <w:lang w:val="es-ES_tradnl" w:eastAsia="es-ES_tradnl"/>
        </w:rPr>
      </w:pPr>
      <w:r>
        <w:rPr>
          <w:rFonts w:ascii="Arial" w:hAnsi="Arial" w:cs="Arial"/>
          <w:b/>
          <w:bCs/>
          <w:sz w:val="22"/>
          <w:lang w:val="es-ES_tradnl" w:eastAsia="es-ES_tradnl"/>
        </w:rPr>
        <w:t>DECRETO 092 DE 2017 – Artículo 355 – Constitución Política – Convenios de asociación – Artículo 96 – Ley 489 de 1998</w:t>
      </w:r>
      <w:r>
        <w:rPr>
          <w:rFonts w:ascii="Arial" w:hAnsi="Arial" w:cs="Arial"/>
          <w:sz w:val="22"/>
          <w:lang w:val="es-ES_tradnl" w:eastAsia="es-ES_tradnl"/>
        </w:rPr>
        <w:t> </w:t>
      </w:r>
    </w:p>
    <w:p w14:paraId="723F5682" w14:textId="77777777" w:rsidR="005E024F" w:rsidRDefault="005E024F" w:rsidP="005E024F">
      <w:pPr>
        <w:textAlignment w:val="baseline"/>
        <w:rPr>
          <w:rFonts w:ascii="Segoe UI" w:hAnsi="Segoe UI" w:cs="Segoe UI"/>
          <w:sz w:val="18"/>
          <w:szCs w:val="18"/>
          <w:lang w:val="es-ES_tradnl" w:eastAsia="es-ES_tradnl"/>
        </w:rPr>
      </w:pPr>
      <w:r>
        <w:rPr>
          <w:rFonts w:ascii="Arial" w:hAnsi="Arial" w:cs="Arial"/>
          <w:sz w:val="20"/>
          <w:szCs w:val="20"/>
          <w:lang w:val="es-ES_tradnl" w:eastAsia="es-ES_tradnl"/>
        </w:rPr>
        <w:t> </w:t>
      </w:r>
    </w:p>
    <w:p w14:paraId="02E6AEA5" w14:textId="77777777" w:rsidR="005E024F" w:rsidRDefault="005E024F" w:rsidP="005E024F">
      <w:pPr>
        <w:jc w:val="both"/>
        <w:textAlignment w:val="baseline"/>
        <w:rPr>
          <w:rFonts w:ascii="Segoe UI" w:hAnsi="Segoe UI" w:cs="Segoe UI"/>
          <w:sz w:val="18"/>
          <w:szCs w:val="18"/>
          <w:lang w:val="es-ES_tradnl" w:eastAsia="es-ES_tradnl"/>
        </w:rPr>
      </w:pPr>
      <w:r>
        <w:rPr>
          <w:rFonts w:ascii="Arial" w:hAnsi="Arial" w:cs="Arial"/>
          <w:sz w:val="20"/>
          <w:szCs w:val="20"/>
          <w:lang w:val="es-ES_tradnl" w:eastAsia="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 </w:t>
      </w:r>
    </w:p>
    <w:p w14:paraId="66C69554" w14:textId="77777777" w:rsidR="005E024F" w:rsidRDefault="005E024F" w:rsidP="005E024F">
      <w:pPr>
        <w:jc w:val="both"/>
        <w:textAlignment w:val="baseline"/>
        <w:rPr>
          <w:rFonts w:ascii="Segoe UI" w:hAnsi="Segoe UI" w:cs="Segoe UI"/>
          <w:sz w:val="18"/>
          <w:szCs w:val="18"/>
          <w:lang w:val="es-ES_tradnl" w:eastAsia="es-ES_tradnl"/>
        </w:rPr>
      </w:pPr>
      <w:r>
        <w:rPr>
          <w:rFonts w:ascii="Arial" w:hAnsi="Arial" w:cs="Arial"/>
          <w:sz w:val="22"/>
          <w:lang w:val="es-ES_tradnl" w:eastAsia="es-ES_tradnl"/>
        </w:rPr>
        <w:t> </w:t>
      </w:r>
    </w:p>
    <w:p w14:paraId="6B5BA9DB" w14:textId="698544E2" w:rsidR="005E024F" w:rsidRDefault="005E024F" w:rsidP="005E024F">
      <w:pPr>
        <w:jc w:val="both"/>
        <w:textAlignment w:val="baseline"/>
        <w:rPr>
          <w:rFonts w:ascii="Segoe UI" w:hAnsi="Segoe UI" w:cs="Segoe UI"/>
          <w:sz w:val="18"/>
          <w:szCs w:val="18"/>
          <w:lang w:val="es-ES_tradnl" w:eastAsia="es-ES_tradnl"/>
        </w:rPr>
      </w:pPr>
      <w:r>
        <w:rPr>
          <w:rFonts w:ascii="Arial" w:hAnsi="Arial" w:cs="Arial"/>
          <w:b/>
          <w:bCs/>
          <w:sz w:val="22"/>
          <w:lang w:val="es-ES_tradnl" w:eastAsia="es-ES_tradnl"/>
        </w:rPr>
        <w:t>CONVENIOS DE ASOCIACIÓN – Concepto – Artículo 5 – Decreto 092 de 2017 </w:t>
      </w:r>
      <w:r>
        <w:rPr>
          <w:rFonts w:ascii="Arial" w:hAnsi="Arial" w:cs="Arial"/>
          <w:sz w:val="22"/>
          <w:lang w:val="es-ES_tradnl" w:eastAsia="es-ES_tradnl"/>
        </w:rPr>
        <w:t> </w:t>
      </w:r>
    </w:p>
    <w:p w14:paraId="36902E72" w14:textId="77777777" w:rsidR="005E024F" w:rsidRDefault="005E024F" w:rsidP="005E024F">
      <w:pPr>
        <w:textAlignment w:val="baseline"/>
        <w:rPr>
          <w:rFonts w:ascii="Segoe UI" w:hAnsi="Segoe UI" w:cs="Segoe UI"/>
          <w:sz w:val="18"/>
          <w:szCs w:val="18"/>
          <w:lang w:val="es-ES_tradnl" w:eastAsia="es-ES_tradnl"/>
        </w:rPr>
      </w:pPr>
      <w:r>
        <w:rPr>
          <w:rFonts w:ascii="Arial" w:hAnsi="Arial" w:cs="Arial"/>
          <w:sz w:val="20"/>
          <w:szCs w:val="20"/>
          <w:lang w:val="es-ES_tradnl" w:eastAsia="es-ES_tradnl"/>
        </w:rPr>
        <w:t> </w:t>
      </w:r>
    </w:p>
    <w:p w14:paraId="545296DE" w14:textId="77777777" w:rsidR="005E024F" w:rsidRDefault="005E024F" w:rsidP="005E024F">
      <w:pPr>
        <w:spacing w:after="120"/>
        <w:jc w:val="both"/>
        <w:textAlignment w:val="baseline"/>
        <w:rPr>
          <w:rFonts w:ascii="Arial" w:hAnsi="Arial" w:cs="Arial"/>
          <w:sz w:val="20"/>
          <w:szCs w:val="20"/>
          <w:lang w:val="es-ES_tradnl" w:eastAsia="es-ES_tradnl"/>
        </w:rPr>
      </w:pPr>
      <w:r>
        <w:rPr>
          <w:rFonts w:ascii="Arial" w:hAnsi="Arial" w:cs="Arial"/>
          <w:sz w:val="20"/>
          <w:szCs w:val="20"/>
          <w:lang w:val="es-ES_tradnl" w:eastAsia="es-ES_tradnl"/>
        </w:rPr>
        <w:t xml:space="preserve">Tales convenios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w:t>
      </w:r>
    </w:p>
    <w:p w14:paraId="7F72991D" w14:textId="77777777" w:rsidR="005E024F" w:rsidRDefault="005E024F" w:rsidP="005E024F">
      <w:pPr>
        <w:jc w:val="both"/>
        <w:textAlignment w:val="baseline"/>
        <w:rPr>
          <w:rFonts w:ascii="Segoe UI" w:hAnsi="Segoe UI" w:cs="Segoe UI"/>
          <w:sz w:val="18"/>
          <w:szCs w:val="18"/>
          <w:lang w:val="es-ES_tradnl" w:eastAsia="es-ES_tradnl"/>
        </w:rPr>
      </w:pPr>
      <w:r>
        <w:rPr>
          <w:rFonts w:ascii="Arial" w:hAnsi="Arial" w:cs="Arial"/>
          <w:sz w:val="20"/>
          <w:szCs w:val="20"/>
          <w:lang w:val="es-ES_tradnl" w:eastAsia="es-ES_tradnl"/>
        </w:rPr>
        <w:t>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w:t>
      </w:r>
      <w:r>
        <w:rPr>
          <w:lang w:val="es-ES_tradnl"/>
        </w:rPr>
        <w:t xml:space="preserve"> </w:t>
      </w:r>
      <w:r>
        <w:rPr>
          <w:rFonts w:ascii="Arial" w:hAnsi="Arial" w:cs="Arial"/>
          <w:sz w:val="20"/>
          <w:szCs w:val="20"/>
          <w:lang w:val="es-ES_tradnl" w:eastAsia="es-ES_tradnl"/>
        </w:rPr>
        <w:t>Además, es importante resaltar que el convenio de asociación no es conmutativo y, por tanto, la entidad estatal no instruye al contratista para desarrollar los programas o actividades previstas, sino que se asocia con él para el cumplimiento de objetivos comunes. </w:t>
      </w:r>
    </w:p>
    <w:p w14:paraId="6A68DEE6" w14:textId="77777777" w:rsidR="005E024F" w:rsidRDefault="005E024F" w:rsidP="005E024F">
      <w:pPr>
        <w:jc w:val="both"/>
        <w:rPr>
          <w:rFonts w:ascii="Arial" w:hAnsi="Arial" w:cs="Arial"/>
          <w:sz w:val="20"/>
          <w:szCs w:val="20"/>
          <w:lang w:val="es-ES_tradnl" w:eastAsia="en-GB"/>
        </w:rPr>
      </w:pPr>
    </w:p>
    <w:p w14:paraId="2537DB19" w14:textId="77777777" w:rsidR="005A2963" w:rsidRPr="009868CC" w:rsidRDefault="005A2963" w:rsidP="005A2963">
      <w:pPr>
        <w:rPr>
          <w:rFonts w:ascii="Arial" w:eastAsia="Calibri" w:hAnsi="Arial" w:cs="Arial"/>
          <w:b/>
          <w:bCs/>
          <w:sz w:val="22"/>
        </w:rPr>
      </w:pPr>
      <w:r w:rsidRPr="009868CC">
        <w:rPr>
          <w:rFonts w:ascii="Arial" w:eastAsia="Calibri" w:hAnsi="Arial" w:cs="Arial"/>
          <w:b/>
          <w:bCs/>
          <w:sz w:val="22"/>
        </w:rPr>
        <w:t xml:space="preserve">CONVENIOS DE ASOCIACIÓN – Noción – Proceso competitivo </w:t>
      </w:r>
    </w:p>
    <w:p w14:paraId="6ADD01C8" w14:textId="77777777" w:rsidR="005A2963" w:rsidRPr="009868CC" w:rsidRDefault="005A2963" w:rsidP="005A2963">
      <w:pPr>
        <w:rPr>
          <w:rFonts w:ascii="Arial" w:eastAsia="Calibri" w:hAnsi="Arial" w:cs="Arial"/>
          <w:sz w:val="20"/>
          <w:szCs w:val="20"/>
        </w:rPr>
      </w:pPr>
    </w:p>
    <w:p w14:paraId="3B9A3C3C" w14:textId="77777777" w:rsidR="005A2963" w:rsidRDefault="005A2963" w:rsidP="005A2963">
      <w:pPr>
        <w:jc w:val="both"/>
        <w:rPr>
          <w:rFonts w:ascii="Arial" w:hAnsi="Arial" w:cs="Arial"/>
          <w:sz w:val="20"/>
          <w:szCs w:val="20"/>
        </w:rPr>
      </w:pPr>
      <w:r w:rsidRPr="00294A34">
        <w:rPr>
          <w:rFonts w:ascii="Arial" w:eastAsia="Calibri" w:hAnsi="Arial" w:cs="Arial"/>
          <w:sz w:val="20"/>
          <w:szCs w:val="20"/>
        </w:rPr>
        <w:t xml:space="preserve">[…] </w:t>
      </w:r>
      <w:r w:rsidRPr="00EA4FC6">
        <w:rPr>
          <w:rFonts w:ascii="Arial" w:eastAsia="Calibri" w:hAnsi="Arial" w:cs="Arial"/>
          <w:sz w:val="20"/>
          <w:szCs w:val="20"/>
        </w:rPr>
        <w:t xml:space="preserve">los </w:t>
      </w:r>
      <w:r w:rsidRPr="00EA4FC6">
        <w:rPr>
          <w:rFonts w:ascii="Arial" w:eastAsia="Calibri" w:hAnsi="Arial" w:cs="Arial"/>
          <w:i/>
          <w:iCs/>
          <w:sz w:val="20"/>
          <w:szCs w:val="20"/>
        </w:rPr>
        <w:t>convenios de asociación</w:t>
      </w:r>
      <w:r w:rsidRPr="00EA4FC6">
        <w:rPr>
          <w:rFonts w:ascii="Arial" w:eastAsia="Calibri" w:hAnsi="Arial" w:cs="Arial"/>
          <w:sz w:val="20"/>
          <w:szCs w:val="20"/>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no existe contraprestación o pago, sino aportes, los cuales están dirigidos, exclusivamente, a lograr la ejecución del convenio y no a remunerar la actividad o las actuaciones del asociado. De todos modos, la entidad debe adelantar un proceso competitivo, salvo cuando la ESAL comprometa recursos en dinero para la ejecución de estas actividades, en una proporción no inferior al 30% del valor total del convenio.</w:t>
      </w:r>
    </w:p>
    <w:p w14:paraId="270596E6" w14:textId="77777777" w:rsidR="005A2963" w:rsidRDefault="005A2963" w:rsidP="005A2963">
      <w:pPr>
        <w:jc w:val="both"/>
        <w:rPr>
          <w:rFonts w:ascii="Arial" w:hAnsi="Arial" w:cs="Arial"/>
          <w:sz w:val="20"/>
          <w:szCs w:val="20"/>
        </w:rPr>
      </w:pPr>
      <w:r>
        <w:rPr>
          <w:rFonts w:ascii="Arial" w:hAnsi="Arial" w:cs="Arial"/>
          <w:sz w:val="20"/>
          <w:szCs w:val="20"/>
        </w:rPr>
        <w:t>[…]</w:t>
      </w:r>
    </w:p>
    <w:p w14:paraId="1C7ACBE0" w14:textId="77777777" w:rsidR="005A2963" w:rsidRDefault="005A2963" w:rsidP="005A2963">
      <w:pPr>
        <w:jc w:val="both"/>
        <w:rPr>
          <w:rFonts w:ascii="Arial" w:eastAsia="Calibri" w:hAnsi="Arial" w:cs="Arial"/>
          <w:sz w:val="20"/>
          <w:szCs w:val="20"/>
        </w:rPr>
      </w:pPr>
      <w:r w:rsidRPr="00EA4FC6">
        <w:rPr>
          <w:rFonts w:ascii="Arial" w:eastAsia="Calibri" w:hAnsi="Arial" w:cs="Arial"/>
          <w:sz w:val="20"/>
          <w:szCs w:val="20"/>
        </w:rPr>
        <w:t>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ya que de lo contrario deberá celebrarse un proceso competitivo.</w:t>
      </w:r>
    </w:p>
    <w:p w14:paraId="3C3BD8E8" w14:textId="77777777" w:rsidR="005A2963" w:rsidRDefault="005A2963">
      <w:pPr>
        <w:spacing w:after="160" w:line="259" w:lineRule="auto"/>
        <w:rPr>
          <w:rFonts w:ascii="Arial" w:hAnsi="Arial" w:cs="Arial"/>
          <w:color w:val="4472C4" w:themeColor="accent1"/>
          <w:sz w:val="22"/>
        </w:rPr>
      </w:pPr>
    </w:p>
    <w:p w14:paraId="0E890E56" w14:textId="77777777" w:rsidR="005A2963" w:rsidRDefault="005A2963">
      <w:pPr>
        <w:spacing w:after="160" w:line="259" w:lineRule="auto"/>
        <w:rPr>
          <w:rFonts w:ascii="Arial" w:hAnsi="Arial" w:cs="Arial"/>
          <w:color w:val="4472C4" w:themeColor="accent1"/>
          <w:sz w:val="22"/>
        </w:rPr>
      </w:pPr>
    </w:p>
    <w:p w14:paraId="2D580BA5" w14:textId="77777777" w:rsidR="005A2963" w:rsidRPr="00FA37C6" w:rsidRDefault="005A2963" w:rsidP="005A2963">
      <w:pPr>
        <w:jc w:val="both"/>
        <w:rPr>
          <w:rFonts w:ascii="Arial" w:eastAsia="Calibri" w:hAnsi="Arial" w:cs="Arial"/>
          <w:b/>
          <w:sz w:val="22"/>
        </w:rPr>
      </w:pPr>
      <w:bookmarkStart w:id="1" w:name="_Hlk48116542"/>
      <w:r w:rsidRPr="00FA37C6">
        <w:rPr>
          <w:rFonts w:ascii="Arial" w:eastAsia="Calibri" w:hAnsi="Arial" w:cs="Arial"/>
          <w:b/>
          <w:sz w:val="22"/>
        </w:rPr>
        <w:lastRenderedPageBreak/>
        <w:t>CONVENIOS DE ASOCIACIÓN – Sujetos – Límites legales</w:t>
      </w:r>
    </w:p>
    <w:bookmarkEnd w:id="1"/>
    <w:p w14:paraId="25C389F1" w14:textId="77777777" w:rsidR="005A2963" w:rsidRPr="00FA37C6" w:rsidRDefault="005A2963" w:rsidP="005A2963">
      <w:pPr>
        <w:jc w:val="both"/>
        <w:rPr>
          <w:rFonts w:ascii="Arial" w:hAnsi="Arial" w:cs="Arial"/>
          <w:sz w:val="20"/>
          <w:szCs w:val="20"/>
        </w:rPr>
      </w:pPr>
    </w:p>
    <w:p w14:paraId="598FA396" w14:textId="77777777" w:rsidR="005A2963" w:rsidRPr="00FA37C6" w:rsidRDefault="005A2963" w:rsidP="005A2963">
      <w:pPr>
        <w:pStyle w:val="Sinespaciado"/>
        <w:jc w:val="both"/>
        <w:rPr>
          <w:rFonts w:ascii="Arial" w:hAnsi="Arial" w:cs="Arial"/>
          <w:sz w:val="20"/>
          <w:szCs w:val="20"/>
        </w:rPr>
      </w:pPr>
      <w:r w:rsidRPr="00FA37C6">
        <w:rPr>
          <w:rFonts w:ascii="Arial" w:hAnsi="Arial" w:cs="Arial"/>
          <w:sz w:val="20"/>
          <w:szCs w:val="20"/>
        </w:rPr>
        <w:t xml:space="preserve">La normativa vigente no impide que varias entidades suscriban conjuntamente el convenio de asociación y tampoco que dos o más ESAL pueden hacerlo, a través de las figuras asociativas autorizadas por la ley, por ejemplo, la unión temporal o el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w:t>
      </w:r>
      <w:r>
        <w:rPr>
          <w:rFonts w:ascii="Arial" w:hAnsi="Arial" w:cs="Arial"/>
          <w:sz w:val="20"/>
          <w:szCs w:val="20"/>
        </w:rPr>
        <w:t>0</w:t>
      </w:r>
      <w:r w:rsidRPr="00FA37C6">
        <w:rPr>
          <w:rFonts w:ascii="Arial" w:hAnsi="Arial" w:cs="Arial"/>
          <w:sz w:val="20"/>
          <w:szCs w:val="20"/>
        </w:rPr>
        <w:t>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4A7902B7" w14:textId="77777777" w:rsidR="005A2963" w:rsidRDefault="005A2963">
      <w:pPr>
        <w:spacing w:after="160" w:line="259" w:lineRule="auto"/>
        <w:rPr>
          <w:rFonts w:ascii="Arial" w:hAnsi="Arial" w:cs="Arial"/>
          <w:color w:val="4472C4" w:themeColor="accent1"/>
          <w:sz w:val="22"/>
        </w:rPr>
      </w:pPr>
    </w:p>
    <w:p w14:paraId="5EFD11D9" w14:textId="77777777" w:rsidR="005A2963" w:rsidRDefault="005A2963" w:rsidP="005A2963">
      <w:pPr>
        <w:jc w:val="both"/>
        <w:rPr>
          <w:rFonts w:ascii="Arial" w:hAnsi="Arial" w:cs="Arial"/>
          <w:b/>
          <w:bCs/>
          <w:sz w:val="22"/>
          <w:szCs w:val="24"/>
          <w:lang w:val="es-ES_tradnl"/>
        </w:rPr>
      </w:pPr>
      <w:r>
        <w:rPr>
          <w:rFonts w:ascii="Arial" w:hAnsi="Arial" w:cs="Arial"/>
          <w:b/>
          <w:bCs/>
          <w:sz w:val="22"/>
          <w:lang w:val="es-ES_tradnl"/>
        </w:rPr>
        <w:t xml:space="preserve">ESAL – Decreto 092 de 2017 – Criterios – Aplicación </w:t>
      </w:r>
    </w:p>
    <w:p w14:paraId="2DA29C4E" w14:textId="77777777" w:rsidR="005A2963" w:rsidRDefault="005A2963" w:rsidP="005A2963">
      <w:pPr>
        <w:jc w:val="both"/>
        <w:rPr>
          <w:rFonts w:ascii="Arial" w:eastAsia="Times New Roman" w:hAnsi="Arial" w:cs="Arial"/>
          <w:sz w:val="20"/>
          <w:szCs w:val="20"/>
          <w:lang w:val="es-ES_tradnl"/>
        </w:rPr>
      </w:pPr>
    </w:p>
    <w:p w14:paraId="52533A72" w14:textId="77777777" w:rsidR="005A2963" w:rsidRDefault="005A2963" w:rsidP="005A2963">
      <w:pPr>
        <w:pStyle w:val="Textoindependiente"/>
        <w:jc w:val="both"/>
      </w:pPr>
      <w:r>
        <w:rPr>
          <w:sz w:val="20"/>
          <w:szCs w:val="20"/>
          <w:lang w:val="es-ES_tradnl"/>
        </w:rPr>
        <w:t>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3EE8C6E3" w14:textId="29A1B8D0" w:rsidR="005A2EAB" w:rsidRPr="00557D46" w:rsidRDefault="005A2EAB">
      <w:pPr>
        <w:spacing w:after="160" w:line="259" w:lineRule="auto"/>
        <w:rPr>
          <w:rFonts w:ascii="Arial" w:hAnsi="Arial" w:cs="Arial"/>
          <w:color w:val="4472C4" w:themeColor="accent1"/>
          <w:sz w:val="22"/>
        </w:rPr>
      </w:pPr>
      <w:r w:rsidRPr="00557D46">
        <w:rPr>
          <w:rFonts w:ascii="Arial" w:hAnsi="Arial" w:cs="Arial"/>
          <w:color w:val="4472C4" w:themeColor="accent1"/>
          <w:sz w:val="22"/>
        </w:rPr>
        <w:br w:type="page"/>
      </w:r>
    </w:p>
    <w:p w14:paraId="0582036C" w14:textId="6381B705" w:rsidR="00B761F2" w:rsidRPr="00B761F2" w:rsidRDefault="00B761F2" w:rsidP="00B761F2">
      <w:pPr>
        <w:jc w:val="right"/>
        <w:rPr>
          <w:rFonts w:ascii="Arial" w:hAnsi="Arial" w:cs="Arial"/>
          <w:color w:val="FF0000"/>
          <w:sz w:val="22"/>
        </w:rPr>
      </w:pPr>
    </w:p>
    <w:p w14:paraId="0322CBDC" w14:textId="77777777" w:rsidR="00B761F2" w:rsidRPr="00B761F2" w:rsidRDefault="00B761F2" w:rsidP="00B761F2">
      <w:pPr>
        <w:jc w:val="right"/>
        <w:rPr>
          <w:rFonts w:ascii="Arial" w:hAnsi="Arial" w:cs="Arial"/>
          <w:color w:val="FF0000"/>
          <w:sz w:val="22"/>
        </w:rPr>
      </w:pPr>
    </w:p>
    <w:p w14:paraId="68F35EC8" w14:textId="7BE9E847" w:rsidR="00B761F2" w:rsidRDefault="00B761F2" w:rsidP="00F41CF0">
      <w:pPr>
        <w:jc w:val="right"/>
        <w:rPr>
          <w:rFonts w:ascii="Arial" w:eastAsia="ArialMT" w:hAnsi="Arial" w:cs="Arial"/>
          <w:color w:val="FF0000"/>
          <w:sz w:val="22"/>
          <w:lang w:val="es-CO"/>
        </w:rPr>
      </w:pPr>
    </w:p>
    <w:p w14:paraId="3877C8D2" w14:textId="66390A05" w:rsidR="00E92F45" w:rsidRDefault="00BA7180" w:rsidP="00995B32">
      <w:pPr>
        <w:contextualSpacing/>
        <w:rPr>
          <w:rFonts w:ascii="Arial" w:eastAsia="Calibri" w:hAnsi="Arial" w:cs="Arial"/>
          <w:sz w:val="22"/>
        </w:rPr>
      </w:pPr>
      <w:r>
        <w:rPr>
          <w:noProof/>
        </w:rPr>
        <w:drawing>
          <wp:anchor distT="0" distB="0" distL="0" distR="0" simplePos="0" relativeHeight="251659264" behindDoc="0" locked="0" layoutInCell="1" allowOverlap="1" wp14:anchorId="6D407EAA" wp14:editId="4D52BB86">
            <wp:simplePos x="0" y="0"/>
            <wp:positionH relativeFrom="page">
              <wp:posOffset>4299854</wp:posOffset>
            </wp:positionH>
            <wp:positionV relativeFrom="paragraph">
              <wp:posOffset>121053</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p>
    <w:p w14:paraId="5B8810C6" w14:textId="783CD83A" w:rsidR="00B761F2" w:rsidRPr="00995B32" w:rsidRDefault="00B761F2" w:rsidP="00995B32">
      <w:pPr>
        <w:contextualSpacing/>
        <w:rPr>
          <w:rFonts w:ascii="Arial" w:eastAsia="Calibri" w:hAnsi="Arial" w:cs="Arial"/>
          <w:sz w:val="22"/>
        </w:rPr>
      </w:pPr>
      <w:r w:rsidRPr="00995B32">
        <w:rPr>
          <w:rFonts w:ascii="Arial" w:eastAsia="Calibri" w:hAnsi="Arial" w:cs="Arial"/>
          <w:sz w:val="22"/>
        </w:rPr>
        <w:t>Señor</w:t>
      </w:r>
    </w:p>
    <w:p w14:paraId="1F927D80" w14:textId="1DBC91FB" w:rsidR="00A15D92" w:rsidRPr="00A15D92" w:rsidRDefault="00060F6C" w:rsidP="00995B32">
      <w:pPr>
        <w:contextualSpacing/>
        <w:rPr>
          <w:rFonts w:ascii="Arial" w:eastAsia="Calibri" w:hAnsi="Arial" w:cs="Arial"/>
          <w:b/>
          <w:bCs/>
          <w:sz w:val="22"/>
        </w:rPr>
      </w:pPr>
      <w:r>
        <w:rPr>
          <w:rFonts w:ascii="Arial" w:eastAsia="Calibri" w:hAnsi="Arial" w:cs="Arial"/>
          <w:b/>
          <w:bCs/>
          <w:sz w:val="22"/>
        </w:rPr>
        <w:t>Camila Pava Daza</w:t>
      </w:r>
    </w:p>
    <w:p w14:paraId="09ABCC37" w14:textId="3B9BA957" w:rsidR="00B761F2" w:rsidRDefault="00D857EA" w:rsidP="00995B32">
      <w:pPr>
        <w:contextualSpacing/>
        <w:rPr>
          <w:rFonts w:ascii="Arial" w:eastAsia="Calibri" w:hAnsi="Arial" w:cs="Arial"/>
          <w:sz w:val="22"/>
        </w:rPr>
      </w:pPr>
      <w:hyperlink r:id="rId12" w:history="1">
        <w:r w:rsidR="00BA7180" w:rsidRPr="0058701B">
          <w:rPr>
            <w:rStyle w:val="Hipervnculo"/>
            <w:rFonts w:ascii="Arial" w:eastAsia="Calibri" w:hAnsi="Arial" w:cs="Arial"/>
            <w:sz w:val="22"/>
          </w:rPr>
          <w:t>dazacamila04@gmail.com</w:t>
        </w:r>
      </w:hyperlink>
    </w:p>
    <w:p w14:paraId="5931677A" w14:textId="77777777" w:rsidR="00BA7180" w:rsidRDefault="00BA7180" w:rsidP="00995B32">
      <w:pPr>
        <w:contextualSpacing/>
        <w:rPr>
          <w:rFonts w:ascii="Arial" w:eastAsia="Calibri" w:hAnsi="Arial" w:cs="Arial"/>
          <w:sz w:val="22"/>
        </w:rPr>
      </w:pPr>
    </w:p>
    <w:p w14:paraId="782BE2FF" w14:textId="77777777" w:rsidR="00BA7180" w:rsidRPr="00995B32" w:rsidRDefault="00BA7180" w:rsidP="00995B32">
      <w:pPr>
        <w:contextualSpacing/>
        <w:rPr>
          <w:rFonts w:ascii="Arial" w:eastAsia="Calibri" w:hAnsi="Arial" w:cs="Arial"/>
          <w:sz w:val="22"/>
        </w:rPr>
      </w:pPr>
    </w:p>
    <w:p w14:paraId="1EC60930" w14:textId="77777777" w:rsidR="00B761F2" w:rsidRPr="00995B32" w:rsidRDefault="00B761F2" w:rsidP="00995B32">
      <w:pPr>
        <w:contextualSpacing/>
        <w:rPr>
          <w:rFonts w:ascii="Arial" w:eastAsia="Calibri" w:hAnsi="Arial" w:cs="Arial"/>
          <w:sz w:val="22"/>
        </w:rPr>
      </w:pPr>
    </w:p>
    <w:p w14:paraId="2E5B3A8C" w14:textId="452DBCB1" w:rsidR="00B761F2" w:rsidRPr="00995B32" w:rsidRDefault="00B761F2" w:rsidP="00995B32">
      <w:pPr>
        <w:tabs>
          <w:tab w:val="center" w:pos="4419"/>
          <w:tab w:val="left" w:pos="6345"/>
        </w:tabs>
        <w:contextualSpacing/>
        <w:rPr>
          <w:rFonts w:ascii="Arial" w:eastAsia="Calibri" w:hAnsi="Arial" w:cs="Arial"/>
          <w:b/>
          <w:sz w:val="22"/>
        </w:rPr>
      </w:pPr>
      <w:r w:rsidRPr="00995B32">
        <w:rPr>
          <w:rFonts w:ascii="Arial" w:eastAsia="Calibri" w:hAnsi="Arial" w:cs="Arial"/>
          <w:b/>
          <w:sz w:val="22"/>
        </w:rPr>
        <w:t xml:space="preserve">                                            </w:t>
      </w:r>
      <w:r w:rsidRPr="002C1AB5">
        <w:rPr>
          <w:rFonts w:ascii="Arial" w:eastAsia="Calibri" w:hAnsi="Arial" w:cs="Arial"/>
          <w:b/>
          <w:sz w:val="22"/>
        </w:rPr>
        <w:t xml:space="preserve">Concepto </w:t>
      </w:r>
      <w:r w:rsidRPr="006E6826">
        <w:rPr>
          <w:rFonts w:ascii="Arial" w:eastAsia="Calibri" w:hAnsi="Arial" w:cs="Arial"/>
          <w:b/>
          <w:sz w:val="22"/>
        </w:rPr>
        <w:t>C–</w:t>
      </w:r>
      <w:r w:rsidR="00851134" w:rsidRPr="006E6826">
        <w:rPr>
          <w:rFonts w:ascii="Arial" w:eastAsia="Calibri" w:hAnsi="Arial" w:cs="Arial"/>
          <w:b/>
          <w:sz w:val="22"/>
        </w:rPr>
        <w:t>132</w:t>
      </w:r>
      <w:r w:rsidRPr="006E6826">
        <w:rPr>
          <w:rFonts w:ascii="Arial" w:eastAsia="Calibri" w:hAnsi="Arial" w:cs="Arial"/>
          <w:b/>
          <w:sz w:val="22"/>
        </w:rPr>
        <w:t xml:space="preserve"> de 202</w:t>
      </w:r>
      <w:r w:rsidR="00E92F45" w:rsidRPr="006E6826">
        <w:rPr>
          <w:rFonts w:ascii="Arial" w:eastAsia="Calibri" w:hAnsi="Arial" w:cs="Arial"/>
          <w:b/>
          <w:sz w:val="22"/>
        </w:rPr>
        <w:t>3</w:t>
      </w:r>
      <w:r w:rsidRPr="00995B32">
        <w:rPr>
          <w:rFonts w:ascii="Arial" w:eastAsia="Calibri" w:hAnsi="Arial" w:cs="Arial"/>
          <w:b/>
          <w:sz w:val="22"/>
        </w:rPr>
        <w:t xml:space="preserve"> </w:t>
      </w:r>
      <w:r w:rsidRPr="00995B32">
        <w:rPr>
          <w:rFonts w:ascii="Arial" w:eastAsia="Calibri" w:hAnsi="Arial" w:cs="Arial"/>
          <w:b/>
          <w:sz w:val="22"/>
        </w:rPr>
        <w:tab/>
      </w:r>
    </w:p>
    <w:p w14:paraId="7CE1EAF7" w14:textId="77777777" w:rsidR="00B761F2" w:rsidRPr="00995B32" w:rsidRDefault="00B761F2" w:rsidP="00995B32">
      <w:pPr>
        <w:tabs>
          <w:tab w:val="center" w:pos="4419"/>
          <w:tab w:val="left" w:pos="6345"/>
        </w:tabs>
        <w:contextualSpacing/>
        <w:rPr>
          <w:rFonts w:ascii="Arial" w:eastAsia="Calibri" w:hAnsi="Arial" w:cs="Arial"/>
          <w:b/>
          <w:color w:val="FF0000"/>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761F2" w:rsidRPr="00B761F2" w14:paraId="085C5088" w14:textId="77777777" w:rsidTr="00237AF9">
        <w:tc>
          <w:tcPr>
            <w:tcW w:w="2689" w:type="dxa"/>
            <w:hideMark/>
          </w:tcPr>
          <w:p w14:paraId="02000B55" w14:textId="77777777" w:rsidR="00B761F2" w:rsidRPr="00995B32" w:rsidRDefault="00B761F2" w:rsidP="00995B32">
            <w:pPr>
              <w:contextualSpacing/>
              <w:jc w:val="both"/>
              <w:rPr>
                <w:rFonts w:ascii="Arial" w:eastAsia="Calibri" w:hAnsi="Arial" w:cs="Arial"/>
                <w:b/>
                <w:color w:val="FF0000"/>
                <w:sz w:val="22"/>
                <w:lang w:val="es-ES_tradnl" w:eastAsia="es-ES_tradnl"/>
              </w:rPr>
            </w:pPr>
            <w:r w:rsidRPr="00995B32">
              <w:rPr>
                <w:rFonts w:ascii="Arial" w:eastAsia="Calibri" w:hAnsi="Arial" w:cs="Arial"/>
                <w:b/>
                <w:sz w:val="22"/>
                <w:lang w:val="es-ES_tradnl" w:eastAsia="es-ES_tradnl"/>
              </w:rPr>
              <w:t xml:space="preserve">Temas: </w:t>
            </w:r>
          </w:p>
        </w:tc>
        <w:tc>
          <w:tcPr>
            <w:tcW w:w="6237" w:type="dxa"/>
            <w:hideMark/>
          </w:tcPr>
          <w:p w14:paraId="33EBA131" w14:textId="0A610DFF" w:rsidR="00792132" w:rsidRDefault="005E024F" w:rsidP="00995B32">
            <w:pPr>
              <w:widowControl w:val="0"/>
              <w:autoSpaceDE w:val="0"/>
              <w:autoSpaceDN w:val="0"/>
              <w:adjustRightInd w:val="0"/>
              <w:contextualSpacing/>
              <w:jc w:val="both"/>
              <w:rPr>
                <w:rFonts w:ascii="Arial" w:eastAsia="Calibri" w:hAnsi="Arial" w:cs="Arial"/>
                <w:bCs/>
                <w:noProof/>
                <w:sz w:val="22"/>
                <w:lang w:val="es-ES_tradnl"/>
              </w:rPr>
            </w:pPr>
            <w:r>
              <w:rPr>
                <w:rFonts w:ascii="Arial" w:eastAsia="Calibri" w:hAnsi="Arial" w:cs="Arial"/>
                <w:bCs/>
                <w:noProof/>
                <w:sz w:val="22"/>
                <w:lang w:val="es-ES_tradnl"/>
              </w:rPr>
              <w:t xml:space="preserve">DECRETO 092 DE 2017– Artículo 355 – Constitución Política – Convenios de Asociación – Artículo 96 – Ley 489 de 1998 / CONVENIOS DE ASOCIACIÓN  – Concepto – artículo </w:t>
            </w:r>
            <w:r w:rsidR="00060F6C">
              <w:rPr>
                <w:rFonts w:ascii="Arial" w:eastAsia="Calibri" w:hAnsi="Arial" w:cs="Arial"/>
                <w:bCs/>
                <w:noProof/>
                <w:sz w:val="22"/>
                <w:lang w:val="es-ES_tradnl"/>
              </w:rPr>
              <w:t xml:space="preserve">4 y </w:t>
            </w:r>
            <w:r>
              <w:rPr>
                <w:rFonts w:ascii="Arial" w:eastAsia="Calibri" w:hAnsi="Arial" w:cs="Arial"/>
                <w:bCs/>
                <w:noProof/>
                <w:sz w:val="22"/>
                <w:lang w:val="es-ES_tradnl"/>
              </w:rPr>
              <w:t>5  – Decreto 092 de 2017 / E</w:t>
            </w:r>
            <w:r w:rsidR="005C1619">
              <w:rPr>
                <w:rFonts w:ascii="Arial" w:eastAsia="Calibri" w:hAnsi="Arial" w:cs="Arial"/>
                <w:bCs/>
                <w:noProof/>
                <w:sz w:val="22"/>
                <w:lang w:val="es-ES_tradnl"/>
              </w:rPr>
              <w:t>ntidades sin animo de Lucro E</w:t>
            </w:r>
            <w:r>
              <w:rPr>
                <w:rFonts w:ascii="Arial" w:eastAsia="Calibri" w:hAnsi="Arial" w:cs="Arial"/>
                <w:bCs/>
                <w:noProof/>
                <w:sz w:val="22"/>
                <w:lang w:val="es-ES_tradnl"/>
              </w:rPr>
              <w:t xml:space="preserve">SAL  –– Criterios  – Aplicación </w:t>
            </w:r>
          </w:p>
          <w:p w14:paraId="2C82BB2F" w14:textId="77777777" w:rsidR="005E024F" w:rsidRDefault="005E024F" w:rsidP="00995B32">
            <w:pPr>
              <w:widowControl w:val="0"/>
              <w:autoSpaceDE w:val="0"/>
              <w:autoSpaceDN w:val="0"/>
              <w:adjustRightInd w:val="0"/>
              <w:contextualSpacing/>
              <w:jc w:val="both"/>
              <w:rPr>
                <w:rFonts w:ascii="Arial" w:hAnsi="Arial" w:cs="Arial"/>
                <w:color w:val="FF0000"/>
                <w:sz w:val="22"/>
                <w:lang w:val="es-ES_tradnl"/>
              </w:rPr>
            </w:pPr>
          </w:p>
          <w:p w14:paraId="56BF6A42" w14:textId="4E074AB1" w:rsidR="00995B32" w:rsidRPr="00995B32" w:rsidRDefault="00995B32" w:rsidP="00995B32">
            <w:pPr>
              <w:widowControl w:val="0"/>
              <w:autoSpaceDE w:val="0"/>
              <w:autoSpaceDN w:val="0"/>
              <w:adjustRightInd w:val="0"/>
              <w:contextualSpacing/>
              <w:jc w:val="both"/>
              <w:rPr>
                <w:rFonts w:ascii="Arial" w:hAnsi="Arial" w:cs="Arial"/>
                <w:color w:val="FF0000"/>
                <w:sz w:val="22"/>
                <w:lang w:val="es-ES_tradnl"/>
              </w:rPr>
            </w:pPr>
          </w:p>
        </w:tc>
      </w:tr>
      <w:tr w:rsidR="00B761F2" w:rsidRPr="00B761F2" w14:paraId="15039C56" w14:textId="77777777" w:rsidTr="00237AF9">
        <w:tc>
          <w:tcPr>
            <w:tcW w:w="2689" w:type="dxa"/>
          </w:tcPr>
          <w:p w14:paraId="588A20C2" w14:textId="77777777" w:rsidR="00B761F2" w:rsidRPr="00995B32" w:rsidRDefault="00B761F2" w:rsidP="00995B32">
            <w:pPr>
              <w:contextualSpacing/>
              <w:jc w:val="both"/>
              <w:rPr>
                <w:rFonts w:ascii="Arial" w:eastAsia="Calibri" w:hAnsi="Arial" w:cs="Arial"/>
                <w:b/>
                <w:sz w:val="22"/>
                <w:lang w:val="es-ES_tradnl" w:eastAsia="es-ES_tradnl"/>
              </w:rPr>
            </w:pPr>
            <w:r w:rsidRPr="00995B32">
              <w:rPr>
                <w:rFonts w:ascii="Arial" w:eastAsia="Calibri" w:hAnsi="Arial" w:cs="Arial"/>
                <w:b/>
                <w:sz w:val="22"/>
                <w:lang w:val="es-ES_tradnl" w:eastAsia="es-ES_tradnl"/>
              </w:rPr>
              <w:t>Radicación:</w:t>
            </w:r>
          </w:p>
        </w:tc>
        <w:tc>
          <w:tcPr>
            <w:tcW w:w="6237" w:type="dxa"/>
          </w:tcPr>
          <w:p w14:paraId="4617AAE3" w14:textId="3566EC50" w:rsidR="00B761F2" w:rsidRPr="00995B32" w:rsidRDefault="00B761F2" w:rsidP="00995B32">
            <w:pPr>
              <w:widowControl w:val="0"/>
              <w:autoSpaceDE w:val="0"/>
              <w:autoSpaceDN w:val="0"/>
              <w:adjustRightInd w:val="0"/>
              <w:contextualSpacing/>
              <w:jc w:val="both"/>
              <w:rPr>
                <w:rFonts w:ascii="Arial" w:hAnsi="Arial" w:cs="Arial"/>
                <w:sz w:val="22"/>
                <w:lang w:val="es-ES_tradnl"/>
              </w:rPr>
            </w:pPr>
            <w:r w:rsidRPr="00995B32">
              <w:rPr>
                <w:rFonts w:ascii="Arial" w:hAnsi="Arial" w:cs="Arial"/>
                <w:sz w:val="22"/>
                <w:lang w:val="es-ES_tradnl"/>
              </w:rPr>
              <w:t xml:space="preserve">Respuesta a la consulta </w:t>
            </w:r>
            <w:r w:rsidR="00F71DE1" w:rsidRPr="00F71DE1">
              <w:rPr>
                <w:rFonts w:ascii="Arial" w:hAnsi="Arial" w:cs="Arial"/>
                <w:sz w:val="22"/>
                <w:shd w:val="clear" w:color="auto" w:fill="FFFFFF"/>
              </w:rPr>
              <w:t>P202302240017</w:t>
            </w:r>
            <w:r w:rsidR="00060F6C">
              <w:rPr>
                <w:rFonts w:ascii="Arial" w:hAnsi="Arial" w:cs="Arial"/>
                <w:sz w:val="22"/>
                <w:shd w:val="clear" w:color="auto" w:fill="FFFFFF"/>
              </w:rPr>
              <w:t>20</w:t>
            </w:r>
          </w:p>
        </w:tc>
      </w:tr>
    </w:tbl>
    <w:p w14:paraId="469148DD" w14:textId="77777777" w:rsidR="00B761F2" w:rsidRPr="00556E31" w:rsidRDefault="00B761F2" w:rsidP="006D2D29">
      <w:pPr>
        <w:tabs>
          <w:tab w:val="center" w:pos="4419"/>
          <w:tab w:val="left" w:pos="6345"/>
        </w:tabs>
        <w:spacing w:line="276" w:lineRule="auto"/>
        <w:contextualSpacing/>
        <w:rPr>
          <w:rFonts w:ascii="Arial" w:eastAsia="Calibri" w:hAnsi="Arial" w:cs="Arial"/>
          <w:b/>
          <w:sz w:val="22"/>
        </w:rPr>
      </w:pPr>
    </w:p>
    <w:p w14:paraId="4EA513E9" w14:textId="77777777" w:rsidR="00B761F2" w:rsidRPr="00556E31" w:rsidRDefault="00B761F2" w:rsidP="006D2D29">
      <w:pPr>
        <w:spacing w:line="276" w:lineRule="auto"/>
        <w:contextualSpacing/>
        <w:rPr>
          <w:rFonts w:ascii="Arial" w:eastAsia="Calibri" w:hAnsi="Arial" w:cs="Arial"/>
          <w:sz w:val="22"/>
        </w:rPr>
      </w:pPr>
    </w:p>
    <w:p w14:paraId="2DF9B261" w14:textId="2CA6EDEF" w:rsidR="00B761F2" w:rsidRPr="00556E31" w:rsidRDefault="00B761F2" w:rsidP="006D2D29">
      <w:pPr>
        <w:spacing w:line="276" w:lineRule="auto"/>
        <w:contextualSpacing/>
        <w:rPr>
          <w:rFonts w:ascii="Arial" w:eastAsia="Calibri" w:hAnsi="Arial" w:cs="Arial"/>
          <w:sz w:val="22"/>
        </w:rPr>
      </w:pPr>
      <w:r w:rsidRPr="00556E31">
        <w:rPr>
          <w:rFonts w:ascii="Arial" w:eastAsia="Calibri" w:hAnsi="Arial" w:cs="Arial"/>
          <w:sz w:val="22"/>
        </w:rPr>
        <w:t>Estimad</w:t>
      </w:r>
      <w:r w:rsidR="001B1A76">
        <w:rPr>
          <w:rFonts w:ascii="Arial" w:eastAsia="Calibri" w:hAnsi="Arial" w:cs="Arial"/>
          <w:sz w:val="22"/>
        </w:rPr>
        <w:t>o</w:t>
      </w:r>
      <w:r w:rsidRPr="00556E31">
        <w:rPr>
          <w:rFonts w:ascii="Arial" w:eastAsia="Calibri" w:hAnsi="Arial" w:cs="Arial"/>
          <w:sz w:val="22"/>
        </w:rPr>
        <w:t xml:space="preserve"> señor </w:t>
      </w:r>
      <w:r w:rsidR="001B1A76">
        <w:rPr>
          <w:rFonts w:ascii="Arial" w:eastAsia="Calibri" w:hAnsi="Arial" w:cs="Arial"/>
          <w:sz w:val="22"/>
        </w:rPr>
        <w:t>Ariza</w:t>
      </w:r>
      <w:r w:rsidR="00BF4F69">
        <w:rPr>
          <w:rFonts w:ascii="Arial" w:eastAsia="Calibri" w:hAnsi="Arial" w:cs="Arial"/>
          <w:sz w:val="22"/>
        </w:rPr>
        <w:t>:</w:t>
      </w:r>
    </w:p>
    <w:p w14:paraId="5F3CF9D2" w14:textId="77777777" w:rsidR="00B761F2" w:rsidRPr="00556E31" w:rsidRDefault="00B761F2" w:rsidP="006D2D29">
      <w:pPr>
        <w:spacing w:line="276" w:lineRule="auto"/>
        <w:contextualSpacing/>
        <w:rPr>
          <w:rFonts w:ascii="Arial" w:eastAsia="Calibri" w:hAnsi="Arial" w:cs="Arial"/>
          <w:sz w:val="22"/>
        </w:rPr>
      </w:pPr>
    </w:p>
    <w:p w14:paraId="4148CB2D" w14:textId="6D727FB0" w:rsidR="00B761F2" w:rsidRPr="00556E31" w:rsidRDefault="00B761F2" w:rsidP="006D2D29">
      <w:pPr>
        <w:spacing w:line="276" w:lineRule="auto"/>
        <w:ind w:right="51"/>
        <w:contextualSpacing/>
        <w:jc w:val="both"/>
        <w:rPr>
          <w:rFonts w:ascii="Arial" w:eastAsia="Calibri" w:hAnsi="Arial" w:cs="Arial"/>
          <w:sz w:val="22"/>
          <w:lang w:val="es-ES_tradnl"/>
        </w:rPr>
      </w:pPr>
      <w:r w:rsidRPr="00556E31">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 Colombia Compra Eficiente responde las consultas realizadas el </w:t>
      </w:r>
      <w:r w:rsidR="002A4AB1" w:rsidRPr="00556E31">
        <w:rPr>
          <w:rFonts w:ascii="Arial" w:eastAsia="Calibri" w:hAnsi="Arial" w:cs="Arial"/>
          <w:sz w:val="22"/>
          <w:lang w:val="es-ES_tradnl"/>
        </w:rPr>
        <w:t xml:space="preserve">9 de </w:t>
      </w:r>
      <w:r w:rsidR="009A4F94">
        <w:rPr>
          <w:rFonts w:ascii="Arial" w:eastAsia="Calibri" w:hAnsi="Arial" w:cs="Arial"/>
          <w:sz w:val="22"/>
          <w:lang w:val="es-ES_tradnl"/>
        </w:rPr>
        <w:t xml:space="preserve">agosto </w:t>
      </w:r>
      <w:r w:rsidRPr="00556E31">
        <w:rPr>
          <w:rFonts w:ascii="Arial" w:eastAsia="Calibri" w:hAnsi="Arial" w:cs="Arial"/>
          <w:sz w:val="22"/>
          <w:lang w:val="es-ES_tradnl"/>
        </w:rPr>
        <w:t>de 2022.</w:t>
      </w:r>
    </w:p>
    <w:p w14:paraId="20A747AE" w14:textId="77777777" w:rsidR="00B761F2" w:rsidRPr="00556E31" w:rsidRDefault="00B761F2" w:rsidP="006D2D29">
      <w:pPr>
        <w:pStyle w:val="Prrafodelista"/>
        <w:tabs>
          <w:tab w:val="left" w:pos="284"/>
        </w:tabs>
        <w:spacing w:line="276" w:lineRule="auto"/>
        <w:ind w:left="0"/>
        <w:rPr>
          <w:rFonts w:ascii="Arial" w:eastAsia="Calibri" w:hAnsi="Arial" w:cs="Arial"/>
          <w:b/>
          <w:sz w:val="22"/>
        </w:rPr>
      </w:pPr>
    </w:p>
    <w:p w14:paraId="4C7598E1" w14:textId="77777777" w:rsidR="00B761F2" w:rsidRPr="00556E31" w:rsidRDefault="00B761F2" w:rsidP="006D2D29">
      <w:pPr>
        <w:pStyle w:val="Prrafodelista"/>
        <w:tabs>
          <w:tab w:val="left" w:pos="284"/>
        </w:tabs>
        <w:spacing w:line="276" w:lineRule="auto"/>
        <w:ind w:left="0"/>
        <w:rPr>
          <w:rFonts w:ascii="Arial" w:eastAsia="Calibri" w:hAnsi="Arial" w:cs="Arial"/>
          <w:b/>
          <w:sz w:val="22"/>
        </w:rPr>
      </w:pPr>
      <w:r w:rsidRPr="00556E31">
        <w:rPr>
          <w:rFonts w:ascii="Arial" w:eastAsia="Calibri" w:hAnsi="Arial" w:cs="Arial"/>
          <w:b/>
          <w:sz w:val="22"/>
        </w:rPr>
        <w:t xml:space="preserve">1. Problemas planteados </w:t>
      </w:r>
    </w:p>
    <w:p w14:paraId="5676D231" w14:textId="77777777" w:rsidR="00B761F2" w:rsidRPr="00556E31" w:rsidRDefault="00B761F2" w:rsidP="006D2D29">
      <w:pPr>
        <w:pStyle w:val="Prrafodelista"/>
        <w:tabs>
          <w:tab w:val="left" w:pos="284"/>
        </w:tabs>
        <w:spacing w:line="276" w:lineRule="auto"/>
        <w:ind w:left="0"/>
        <w:rPr>
          <w:rFonts w:ascii="Arial" w:eastAsia="Calibri" w:hAnsi="Arial" w:cs="Arial"/>
          <w:b/>
          <w:sz w:val="22"/>
        </w:rPr>
      </w:pPr>
    </w:p>
    <w:p w14:paraId="31AFAF26" w14:textId="73366638" w:rsidR="002C1AB5" w:rsidRDefault="00B761F2" w:rsidP="002C1AB5">
      <w:pPr>
        <w:spacing w:line="276" w:lineRule="auto"/>
        <w:contextualSpacing/>
        <w:jc w:val="both"/>
        <w:rPr>
          <w:rFonts w:ascii="Arial" w:hAnsi="Arial" w:cs="Arial"/>
          <w:sz w:val="22"/>
          <w:lang w:val="es-ES_tradnl"/>
        </w:rPr>
      </w:pPr>
      <w:r w:rsidRPr="00556E31">
        <w:rPr>
          <w:rFonts w:ascii="Arial" w:hAnsi="Arial" w:cs="Arial"/>
          <w:sz w:val="22"/>
          <w:lang w:val="es-ES_tradnl"/>
        </w:rPr>
        <w:t xml:space="preserve">Usted formula </w:t>
      </w:r>
      <w:r w:rsidR="000F0B38">
        <w:rPr>
          <w:rFonts w:ascii="Arial" w:hAnsi="Arial" w:cs="Arial"/>
          <w:sz w:val="22"/>
          <w:lang w:val="es-ES_tradnl"/>
        </w:rPr>
        <w:t>una serie de interrogantes relacionados con</w:t>
      </w:r>
      <w:r w:rsidR="002C1AB5" w:rsidRPr="002C1AB5">
        <w:rPr>
          <w:rFonts w:ascii="Arial" w:hAnsi="Arial" w:cs="Arial"/>
          <w:sz w:val="22"/>
          <w:lang w:val="es-ES_tradnl"/>
        </w:rPr>
        <w:t xml:space="preserve"> </w:t>
      </w:r>
      <w:r w:rsidR="001B1A76">
        <w:rPr>
          <w:rFonts w:ascii="Arial" w:hAnsi="Arial" w:cs="Arial"/>
          <w:sz w:val="22"/>
          <w:lang w:val="es-ES_tradnl"/>
        </w:rPr>
        <w:t>los convenios de asociación</w:t>
      </w:r>
      <w:r w:rsidR="002C1AB5" w:rsidRPr="002C1AB5">
        <w:rPr>
          <w:rFonts w:ascii="Arial" w:hAnsi="Arial" w:cs="Arial"/>
          <w:sz w:val="22"/>
          <w:lang w:val="es-ES_tradnl"/>
        </w:rPr>
        <w:t xml:space="preserve">, en concordancia con </w:t>
      </w:r>
      <w:r w:rsidR="00F71DE1">
        <w:rPr>
          <w:rFonts w:ascii="Arial" w:hAnsi="Arial" w:cs="Arial"/>
          <w:sz w:val="22"/>
          <w:lang w:val="es-ES_tradnl"/>
        </w:rPr>
        <w:t>el articulo 355 de la Constitución Política y el Decreto 092 de 2017.</w:t>
      </w:r>
    </w:p>
    <w:p w14:paraId="1FDF2C2C" w14:textId="4FAE4E94" w:rsidR="000F0B38" w:rsidRDefault="000F0B38" w:rsidP="002C1AB5">
      <w:pPr>
        <w:spacing w:line="276" w:lineRule="auto"/>
        <w:contextualSpacing/>
        <w:jc w:val="both"/>
        <w:rPr>
          <w:rFonts w:ascii="Arial" w:hAnsi="Arial" w:cs="Arial"/>
          <w:sz w:val="22"/>
          <w:lang w:val="es-ES_tradnl"/>
        </w:rPr>
      </w:pPr>
    </w:p>
    <w:p w14:paraId="6D095F40" w14:textId="7F7AE4D8" w:rsidR="000F0B38" w:rsidRDefault="000F0B38" w:rsidP="002C1AB5">
      <w:pPr>
        <w:spacing w:line="276" w:lineRule="auto"/>
        <w:contextualSpacing/>
        <w:jc w:val="both"/>
        <w:rPr>
          <w:rFonts w:ascii="Arial" w:hAnsi="Arial" w:cs="Arial"/>
          <w:sz w:val="22"/>
          <w:lang w:val="es-ES_tradnl"/>
        </w:rPr>
      </w:pPr>
      <w:r>
        <w:rPr>
          <w:rFonts w:ascii="Arial" w:hAnsi="Arial" w:cs="Arial"/>
          <w:sz w:val="22"/>
          <w:lang w:val="es-ES_tradnl"/>
        </w:rPr>
        <w:t xml:space="preserve">Asi las cosas, </w:t>
      </w:r>
      <w:r w:rsidR="000C2202">
        <w:rPr>
          <w:rFonts w:ascii="Arial" w:hAnsi="Arial" w:cs="Arial"/>
          <w:sz w:val="22"/>
          <w:lang w:val="es-ES_tradnl"/>
        </w:rPr>
        <w:t>las preguntas formuladas</w:t>
      </w:r>
      <w:r>
        <w:rPr>
          <w:rFonts w:ascii="Arial" w:hAnsi="Arial" w:cs="Arial"/>
          <w:sz w:val="22"/>
          <w:lang w:val="es-ES_tradnl"/>
        </w:rPr>
        <w:t xml:space="preserve"> en su solicitud se transcriben a </w:t>
      </w:r>
      <w:r w:rsidR="000C2202">
        <w:rPr>
          <w:rFonts w:ascii="Arial" w:hAnsi="Arial" w:cs="Arial"/>
          <w:sz w:val="22"/>
          <w:lang w:val="es-ES_tradnl"/>
        </w:rPr>
        <w:t>continuación:</w:t>
      </w:r>
    </w:p>
    <w:p w14:paraId="792057B0" w14:textId="68D0FC90" w:rsidR="002C1AB5" w:rsidRDefault="002C1AB5" w:rsidP="002C1AB5">
      <w:pPr>
        <w:spacing w:line="276" w:lineRule="auto"/>
        <w:contextualSpacing/>
        <w:jc w:val="both"/>
        <w:rPr>
          <w:rFonts w:ascii="Arial" w:hAnsi="Arial" w:cs="Arial"/>
          <w:sz w:val="22"/>
          <w:lang w:val="es-ES_tradnl"/>
        </w:rPr>
      </w:pPr>
    </w:p>
    <w:p w14:paraId="58B782BB" w14:textId="06ACAB8B" w:rsidR="00624F02" w:rsidRPr="00624F02" w:rsidRDefault="00624F02" w:rsidP="00F71DE1">
      <w:pPr>
        <w:ind w:left="709" w:right="709"/>
        <w:contextualSpacing/>
        <w:jc w:val="both"/>
        <w:rPr>
          <w:rFonts w:ascii="Arial" w:hAnsi="Arial" w:cs="Arial"/>
          <w:i/>
          <w:iCs/>
          <w:sz w:val="22"/>
          <w:szCs w:val="20"/>
        </w:rPr>
      </w:pPr>
      <w:r>
        <w:rPr>
          <w:rFonts w:ascii="Arial" w:hAnsi="Arial" w:cs="Arial"/>
          <w:i/>
          <w:iCs/>
          <w:sz w:val="22"/>
          <w:szCs w:val="20"/>
        </w:rPr>
        <w:t>“</w:t>
      </w:r>
      <w:r w:rsidRPr="00624F02">
        <w:rPr>
          <w:rFonts w:ascii="Arial" w:hAnsi="Arial" w:cs="Arial"/>
          <w:i/>
          <w:iCs/>
          <w:sz w:val="22"/>
          <w:szCs w:val="20"/>
        </w:rPr>
        <w:t xml:space="preserve">2.1. ¿Para celebrar los convenios de asociación es necesario adelantar un proceso de selección público de contratistas previsto en el Estatuto General de Contratación de la Administración Pública para cumplir lo dispuesto en el Artículo 7° del Decreto 092 de 2017 o cuál es el proceso idóneo para la suscripción de ese tipo de convenios? </w:t>
      </w:r>
    </w:p>
    <w:p w14:paraId="2CF59E0A" w14:textId="77777777" w:rsidR="00624F02" w:rsidRDefault="00624F02" w:rsidP="00F71DE1">
      <w:pPr>
        <w:ind w:left="709" w:right="709"/>
        <w:contextualSpacing/>
        <w:jc w:val="both"/>
        <w:rPr>
          <w:rFonts w:ascii="Arial" w:hAnsi="Arial" w:cs="Arial"/>
          <w:sz w:val="22"/>
          <w:szCs w:val="20"/>
        </w:rPr>
      </w:pPr>
    </w:p>
    <w:p w14:paraId="14833CB6" w14:textId="77777777" w:rsidR="00624F02" w:rsidRPr="00624F02" w:rsidRDefault="00624F02" w:rsidP="00F71DE1">
      <w:pPr>
        <w:ind w:left="709" w:right="709"/>
        <w:contextualSpacing/>
        <w:jc w:val="both"/>
        <w:rPr>
          <w:rFonts w:ascii="Arial" w:hAnsi="Arial" w:cs="Arial"/>
          <w:i/>
          <w:iCs/>
          <w:sz w:val="22"/>
          <w:szCs w:val="20"/>
        </w:rPr>
      </w:pPr>
      <w:r w:rsidRPr="00624F02">
        <w:rPr>
          <w:rFonts w:ascii="Arial" w:hAnsi="Arial" w:cs="Arial"/>
          <w:i/>
          <w:iCs/>
          <w:sz w:val="22"/>
          <w:szCs w:val="20"/>
        </w:rPr>
        <w:t xml:space="preserve">2.2. De acuerdo con el Artículo 4° del Decreto 092 de 2017, indíquenme: 2.2.1. ¿Cuál es el fin del proceso competitivo? </w:t>
      </w:r>
    </w:p>
    <w:p w14:paraId="2A2BC76F" w14:textId="77777777" w:rsidR="00624F02" w:rsidRPr="00624F02" w:rsidRDefault="00624F02" w:rsidP="00F71DE1">
      <w:pPr>
        <w:ind w:left="709" w:right="709"/>
        <w:contextualSpacing/>
        <w:jc w:val="both"/>
        <w:rPr>
          <w:rFonts w:ascii="Arial" w:hAnsi="Arial" w:cs="Arial"/>
          <w:i/>
          <w:iCs/>
          <w:sz w:val="22"/>
          <w:szCs w:val="20"/>
        </w:rPr>
      </w:pPr>
      <w:r w:rsidRPr="00624F02">
        <w:rPr>
          <w:rFonts w:ascii="Arial" w:hAnsi="Arial" w:cs="Arial"/>
          <w:i/>
          <w:iCs/>
          <w:sz w:val="22"/>
          <w:szCs w:val="20"/>
        </w:rPr>
        <w:t xml:space="preserve">2.2.2. ¿Cuáles son sus características? </w:t>
      </w:r>
    </w:p>
    <w:p w14:paraId="3C2DCB6C" w14:textId="77777777" w:rsidR="00624F02" w:rsidRPr="00624F02" w:rsidRDefault="00624F02" w:rsidP="00F71DE1">
      <w:pPr>
        <w:ind w:left="709" w:right="709"/>
        <w:contextualSpacing/>
        <w:jc w:val="both"/>
        <w:rPr>
          <w:rFonts w:ascii="Arial" w:hAnsi="Arial" w:cs="Arial"/>
          <w:i/>
          <w:iCs/>
          <w:sz w:val="22"/>
          <w:szCs w:val="20"/>
        </w:rPr>
      </w:pPr>
      <w:r w:rsidRPr="00624F02">
        <w:rPr>
          <w:rFonts w:ascii="Arial" w:hAnsi="Arial" w:cs="Arial"/>
          <w:i/>
          <w:iCs/>
          <w:sz w:val="22"/>
          <w:szCs w:val="20"/>
        </w:rPr>
        <w:lastRenderedPageBreak/>
        <w:t xml:space="preserve">2.2.3. ¿Qué etapas tiene ese proceso? </w:t>
      </w:r>
    </w:p>
    <w:p w14:paraId="472459D1" w14:textId="77777777" w:rsidR="00624F02" w:rsidRPr="00624F02" w:rsidRDefault="00624F02" w:rsidP="00F71DE1">
      <w:pPr>
        <w:ind w:left="709" w:right="709"/>
        <w:contextualSpacing/>
        <w:jc w:val="both"/>
        <w:rPr>
          <w:rFonts w:ascii="Arial" w:hAnsi="Arial" w:cs="Arial"/>
          <w:i/>
          <w:iCs/>
          <w:sz w:val="22"/>
          <w:szCs w:val="20"/>
        </w:rPr>
      </w:pPr>
      <w:r w:rsidRPr="00624F02">
        <w:rPr>
          <w:rFonts w:ascii="Arial" w:hAnsi="Arial" w:cs="Arial"/>
          <w:i/>
          <w:iCs/>
          <w:sz w:val="22"/>
          <w:szCs w:val="20"/>
        </w:rPr>
        <w:t xml:space="preserve">2.2.4. ¿Existe alguna disposición legal que describa bajo que términos deberán llevar a cabo cada una de sus etapas? </w:t>
      </w:r>
    </w:p>
    <w:p w14:paraId="20DC709E" w14:textId="77777777" w:rsidR="00624F02" w:rsidRPr="00624F02" w:rsidRDefault="00624F02" w:rsidP="00F71DE1">
      <w:pPr>
        <w:ind w:left="709" w:right="709"/>
        <w:contextualSpacing/>
        <w:jc w:val="both"/>
        <w:rPr>
          <w:rFonts w:ascii="Arial" w:hAnsi="Arial" w:cs="Arial"/>
          <w:i/>
          <w:iCs/>
          <w:sz w:val="22"/>
          <w:szCs w:val="20"/>
        </w:rPr>
      </w:pPr>
    </w:p>
    <w:p w14:paraId="7DDB7FD5" w14:textId="77777777" w:rsidR="00624F02" w:rsidRPr="00624F02" w:rsidRDefault="00624F02" w:rsidP="00F71DE1">
      <w:pPr>
        <w:ind w:left="709" w:right="709"/>
        <w:contextualSpacing/>
        <w:jc w:val="both"/>
        <w:rPr>
          <w:rFonts w:ascii="Arial" w:hAnsi="Arial" w:cs="Arial"/>
          <w:i/>
          <w:iCs/>
          <w:sz w:val="22"/>
          <w:szCs w:val="20"/>
        </w:rPr>
      </w:pPr>
      <w:r w:rsidRPr="00624F02">
        <w:rPr>
          <w:rFonts w:ascii="Arial" w:hAnsi="Arial" w:cs="Arial"/>
          <w:i/>
          <w:iCs/>
          <w:sz w:val="22"/>
          <w:szCs w:val="20"/>
        </w:rPr>
        <w:t xml:space="preserve">2.3. ¿El término razonable al que se refiere el inciso 2° del Artículo 4° del Decreto 092 de 2017 ha sido definido por alguna disposición legal o las entidades públicas, en el ejercicio de su autonomía, son quienes lo determinan? </w:t>
      </w:r>
    </w:p>
    <w:p w14:paraId="4145A059" w14:textId="77777777" w:rsidR="00624F02" w:rsidRPr="00624F02" w:rsidRDefault="00624F02" w:rsidP="00F71DE1">
      <w:pPr>
        <w:ind w:left="709" w:right="709"/>
        <w:contextualSpacing/>
        <w:jc w:val="both"/>
        <w:rPr>
          <w:rFonts w:ascii="Arial" w:hAnsi="Arial" w:cs="Arial"/>
          <w:i/>
          <w:iCs/>
          <w:sz w:val="22"/>
          <w:szCs w:val="20"/>
        </w:rPr>
      </w:pPr>
    </w:p>
    <w:p w14:paraId="5A6AFD38" w14:textId="77777777" w:rsidR="00624F02" w:rsidRPr="00624F02" w:rsidRDefault="00624F02" w:rsidP="00F71DE1">
      <w:pPr>
        <w:ind w:left="709" w:right="709"/>
        <w:contextualSpacing/>
        <w:jc w:val="both"/>
        <w:rPr>
          <w:rFonts w:ascii="Arial" w:hAnsi="Arial" w:cs="Arial"/>
          <w:i/>
          <w:iCs/>
          <w:sz w:val="22"/>
          <w:szCs w:val="20"/>
        </w:rPr>
      </w:pPr>
      <w:r w:rsidRPr="00624F02">
        <w:rPr>
          <w:rFonts w:ascii="Arial" w:hAnsi="Arial" w:cs="Arial"/>
          <w:i/>
          <w:iCs/>
          <w:sz w:val="22"/>
          <w:szCs w:val="20"/>
        </w:rPr>
        <w:t>2.4. ¿Puede entenderse que un término de 2 días para la presentación de ofertas, en el desarrollo de un proceso competitivo, es razonable?</w:t>
      </w:r>
    </w:p>
    <w:p w14:paraId="59D404B3" w14:textId="77777777" w:rsidR="00624F02" w:rsidRPr="00624F02" w:rsidRDefault="00624F02" w:rsidP="00F71DE1">
      <w:pPr>
        <w:ind w:left="709" w:right="709"/>
        <w:contextualSpacing/>
        <w:jc w:val="both"/>
        <w:rPr>
          <w:rFonts w:ascii="Arial" w:hAnsi="Arial" w:cs="Arial"/>
          <w:i/>
          <w:iCs/>
          <w:sz w:val="22"/>
          <w:szCs w:val="20"/>
        </w:rPr>
      </w:pPr>
    </w:p>
    <w:p w14:paraId="2552BE04" w14:textId="4CB7F36C" w:rsidR="00624F02" w:rsidRPr="00624F02" w:rsidRDefault="00624F02" w:rsidP="00F71DE1">
      <w:pPr>
        <w:ind w:left="709" w:right="709"/>
        <w:contextualSpacing/>
        <w:jc w:val="both"/>
        <w:rPr>
          <w:rFonts w:ascii="Arial" w:hAnsi="Arial" w:cs="Arial"/>
          <w:i/>
          <w:iCs/>
          <w:sz w:val="20"/>
          <w:szCs w:val="20"/>
        </w:rPr>
      </w:pPr>
      <w:r w:rsidRPr="00624F02">
        <w:rPr>
          <w:rFonts w:ascii="Arial" w:hAnsi="Arial" w:cs="Arial"/>
          <w:i/>
          <w:iCs/>
          <w:sz w:val="22"/>
          <w:szCs w:val="20"/>
        </w:rPr>
        <w:t xml:space="preserve"> 2.5. ¿Las entidades públicas, en el desarrollo de un proceso competitivo, de acuerdo con el Artículo 4° del Decreto 092 de 2017, deben establecer un término para que las entidades sin ánimo de lucro presenten observaciones?</w:t>
      </w:r>
      <w:r>
        <w:rPr>
          <w:rFonts w:ascii="Arial" w:hAnsi="Arial" w:cs="Arial"/>
          <w:i/>
          <w:iCs/>
          <w:sz w:val="22"/>
          <w:szCs w:val="20"/>
        </w:rPr>
        <w:t>”</w:t>
      </w:r>
    </w:p>
    <w:p w14:paraId="0EF4A15A" w14:textId="77777777" w:rsidR="00624F02" w:rsidRDefault="00624F02" w:rsidP="00F71DE1">
      <w:pPr>
        <w:ind w:left="709" w:right="709"/>
        <w:contextualSpacing/>
        <w:jc w:val="both"/>
        <w:rPr>
          <w:rFonts w:ascii="Arial" w:hAnsi="Arial" w:cs="Arial"/>
          <w:i/>
          <w:iCs/>
          <w:sz w:val="22"/>
        </w:rPr>
      </w:pPr>
    </w:p>
    <w:p w14:paraId="2C86A072" w14:textId="77777777" w:rsidR="00851134" w:rsidRPr="00851134" w:rsidRDefault="00851134" w:rsidP="00851134">
      <w:pPr>
        <w:pStyle w:val="Default"/>
        <w:spacing w:line="276" w:lineRule="auto"/>
        <w:contextualSpacing/>
        <w:jc w:val="both"/>
        <w:rPr>
          <w:rFonts w:eastAsia="Calibri"/>
          <w:b/>
          <w:color w:val="auto"/>
          <w:sz w:val="22"/>
          <w:szCs w:val="22"/>
        </w:rPr>
      </w:pPr>
      <w:r w:rsidRPr="00851134">
        <w:rPr>
          <w:rFonts w:eastAsia="Calibri"/>
          <w:b/>
          <w:color w:val="auto"/>
          <w:sz w:val="22"/>
          <w:szCs w:val="22"/>
        </w:rPr>
        <w:t>2. Consideraciones</w:t>
      </w:r>
    </w:p>
    <w:p w14:paraId="43C5F601" w14:textId="77777777" w:rsidR="00851134" w:rsidRPr="00851134" w:rsidRDefault="00851134" w:rsidP="00851134">
      <w:pPr>
        <w:tabs>
          <w:tab w:val="left" w:pos="426"/>
        </w:tabs>
        <w:spacing w:line="276" w:lineRule="auto"/>
        <w:contextualSpacing/>
        <w:jc w:val="both"/>
        <w:rPr>
          <w:rFonts w:ascii="Arial" w:eastAsia="Calibri" w:hAnsi="Arial" w:cs="Arial"/>
          <w:b/>
          <w:sz w:val="22"/>
        </w:rPr>
      </w:pPr>
    </w:p>
    <w:p w14:paraId="1C7B4DDF" w14:textId="77777777" w:rsidR="00851134" w:rsidRPr="00851134" w:rsidRDefault="00851134" w:rsidP="00851134">
      <w:pPr>
        <w:spacing w:after="120" w:line="276" w:lineRule="auto"/>
        <w:jc w:val="both"/>
        <w:rPr>
          <w:rFonts w:ascii="Arial" w:hAnsi="Arial" w:cs="Arial"/>
          <w:sz w:val="22"/>
          <w:lang w:val="es-ES"/>
        </w:rPr>
      </w:pPr>
      <w:r w:rsidRPr="00851134">
        <w:rPr>
          <w:rFonts w:ascii="Arial" w:hAnsi="Arial" w:cs="Arial"/>
          <w:sz w:val="22"/>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Pr="00851134">
        <w:rPr>
          <w:rFonts w:ascii="Arial" w:hAnsi="Arial" w:cs="Arial"/>
          <w:sz w:val="22"/>
        </w:rPr>
        <w:t xml:space="preserve">. </w:t>
      </w:r>
      <w:r w:rsidRPr="00851134">
        <w:rPr>
          <w:rFonts w:ascii="Arial" w:hAnsi="Arial" w:cs="Arial"/>
          <w:sz w:val="22"/>
          <w:lang w:val="es-ES"/>
        </w:rPr>
        <w:t xml:space="preserve">Es necesario tener en cuenta que </w:t>
      </w:r>
      <w:bookmarkStart w:id="4" w:name="_Hlk61026958"/>
      <w:r w:rsidRPr="00851134">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851134">
        <w:rPr>
          <w:rFonts w:ascii="Arial" w:hAnsi="Arial" w:cs="Arial"/>
          <w:sz w:val="22"/>
        </w:rPr>
        <w:t xml:space="preserve"> de todos los partícipes de la contratación estatal.</w:t>
      </w:r>
      <w:r w:rsidRPr="00851134">
        <w:rPr>
          <w:rFonts w:ascii="Arial" w:hAnsi="Arial" w:cs="Arial"/>
          <w:sz w:val="22"/>
          <w:lang w:val="es-ES"/>
        </w:rPr>
        <w:t xml:space="preserve">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851134">
        <w:rPr>
          <w:rStyle w:val="Refdenotaalpie"/>
          <w:rFonts w:ascii="Arial" w:hAnsi="Arial" w:cs="Arial"/>
          <w:sz w:val="22"/>
          <w:lang w:val="es-ES"/>
        </w:rPr>
        <w:footnoteReference w:id="1"/>
      </w:r>
      <w:r w:rsidRPr="00851134">
        <w:rPr>
          <w:rFonts w:ascii="Arial" w:hAnsi="Arial" w:cs="Arial"/>
          <w:sz w:val="22"/>
          <w:lang w:val="es-ES"/>
        </w:rPr>
        <w:t xml:space="preserve">. Esta competencia de interpretación de normas generales, por definición, no puede extenderse a la resolución de controversias, ni a brindar asesorías sobre casos puntuales. </w:t>
      </w:r>
      <w:bookmarkEnd w:id="4"/>
      <w:r w:rsidRPr="00851134">
        <w:rPr>
          <w:rFonts w:ascii="Arial" w:hAnsi="Arial" w:cs="Arial"/>
          <w:sz w:val="22"/>
          <w:lang w:val="es-ES"/>
        </w:rPr>
        <w:t xml:space="preserve"> </w:t>
      </w:r>
      <w:bookmarkEnd w:id="2"/>
    </w:p>
    <w:bookmarkEnd w:id="3"/>
    <w:p w14:paraId="41671EC1" w14:textId="77777777" w:rsidR="00851134" w:rsidRPr="00851134" w:rsidRDefault="00851134" w:rsidP="00851134">
      <w:pPr>
        <w:tabs>
          <w:tab w:val="left" w:pos="426"/>
        </w:tabs>
        <w:spacing w:line="276" w:lineRule="auto"/>
        <w:contextualSpacing/>
        <w:jc w:val="both"/>
        <w:rPr>
          <w:rFonts w:ascii="Arial" w:eastAsia="Calibri" w:hAnsi="Arial" w:cs="Arial"/>
          <w:b/>
          <w:sz w:val="22"/>
        </w:rPr>
      </w:pPr>
    </w:p>
    <w:p w14:paraId="2C13BB8A" w14:textId="5EC87BDB" w:rsidR="00851134" w:rsidRPr="00851134" w:rsidRDefault="00851134" w:rsidP="00851134">
      <w:pPr>
        <w:tabs>
          <w:tab w:val="left" w:pos="426"/>
        </w:tabs>
        <w:spacing w:after="120" w:line="276" w:lineRule="auto"/>
        <w:jc w:val="both"/>
        <w:rPr>
          <w:rFonts w:ascii="Arial" w:eastAsia="Calibri" w:hAnsi="Arial" w:cs="Arial"/>
          <w:bCs/>
          <w:sz w:val="22"/>
        </w:rPr>
      </w:pPr>
      <w:r w:rsidRPr="00851134">
        <w:rPr>
          <w:rFonts w:ascii="Arial" w:eastAsia="Calibri" w:hAnsi="Arial" w:cs="Arial"/>
          <w:color w:val="000000" w:themeColor="text1"/>
          <w:sz w:val="22"/>
        </w:rPr>
        <w:lastRenderedPageBreak/>
        <w:tab/>
      </w:r>
      <w:r w:rsidRPr="00851134">
        <w:rPr>
          <w:rFonts w:ascii="Arial" w:eastAsia="Calibri" w:hAnsi="Arial" w:cs="Arial"/>
          <w:color w:val="000000" w:themeColor="text1"/>
          <w:sz w:val="22"/>
        </w:rPr>
        <w:tab/>
        <w:t xml:space="preserve">Sin perjuicio de lo anterior, </w:t>
      </w:r>
      <w:r w:rsidRPr="00851134">
        <w:rPr>
          <w:rFonts w:ascii="Arial" w:eastAsia="Calibri" w:hAnsi="Arial" w:cs="Arial"/>
          <w:color w:val="000000" w:themeColor="text1"/>
          <w:sz w:val="22"/>
          <w:lang w:val="es-ES"/>
        </w:rPr>
        <w:t xml:space="preserve">la Subdirección –dentro de los límites de sus atribuciones, esto es, </w:t>
      </w:r>
      <w:bookmarkStart w:id="5" w:name="_Hlk61025408"/>
      <w:r w:rsidRPr="00851134">
        <w:rPr>
          <w:rFonts w:ascii="Arial" w:eastAsia="Calibri" w:hAnsi="Arial" w:cs="Arial"/>
          <w:color w:val="000000" w:themeColor="text1"/>
          <w:sz w:val="22"/>
          <w:lang w:val="es-ES"/>
        </w:rPr>
        <w:t>haciendo abstracción del caso particular expuesto por el peticionario</w:t>
      </w:r>
      <w:bookmarkEnd w:id="5"/>
      <w:r w:rsidRPr="00851134">
        <w:rPr>
          <w:rFonts w:ascii="Arial" w:eastAsia="Calibri" w:hAnsi="Arial" w:cs="Arial"/>
          <w:color w:val="000000" w:themeColor="text1"/>
          <w:sz w:val="22"/>
          <w:lang w:val="es-ES"/>
        </w:rPr>
        <w:t xml:space="preserve">– resolverá la consulta conforme a las normas generales en materia de contratación estatal. Con este objetivo se analizarán los siguientes temas: </w:t>
      </w:r>
      <w:bookmarkStart w:id="6" w:name="_Hlk129849185"/>
      <w:r w:rsidR="00817C38">
        <w:rPr>
          <w:rFonts w:ascii="Arial" w:eastAsia="Calibri" w:hAnsi="Arial" w:cs="Arial"/>
          <w:bCs/>
          <w:color w:val="4472C4" w:themeColor="accent1"/>
          <w:sz w:val="22"/>
        </w:rPr>
        <w:t xml:space="preserve"> </w:t>
      </w:r>
      <w:r w:rsidRPr="00851134">
        <w:rPr>
          <w:rFonts w:ascii="Arial" w:hAnsi="Arial" w:cs="Arial"/>
          <w:noProof/>
          <w:sz w:val="22"/>
          <w:lang w:val="es-ES_tradnl"/>
        </w:rPr>
        <w:t xml:space="preserve">i) </w:t>
      </w:r>
      <w:r w:rsidR="00775D13" w:rsidRPr="00775D13">
        <w:rPr>
          <w:rFonts w:ascii="Arial" w:hAnsi="Arial" w:cs="Arial"/>
          <w:noProof/>
          <w:sz w:val="22"/>
          <w:lang w:val="es-ES_tradnl"/>
        </w:rPr>
        <w:t>Contratos del artículo 355 de la Constitución Política y convenios de asociación del artículo 96 de la Ley 489 de 1998</w:t>
      </w:r>
      <w:r w:rsidRPr="00851134">
        <w:rPr>
          <w:rFonts w:ascii="Arial" w:hAnsi="Arial" w:cs="Arial"/>
          <w:noProof/>
          <w:sz w:val="22"/>
          <w:lang w:val="es-ES_tradnl"/>
        </w:rPr>
        <w:t>, ii) la naturaleza de los convenios de asociación, desarrollados por el artículo 5 del Decreto 092 de 2017</w:t>
      </w:r>
      <w:r w:rsidR="00BB622E">
        <w:rPr>
          <w:rFonts w:ascii="Arial" w:hAnsi="Arial" w:cs="Arial"/>
          <w:noProof/>
          <w:sz w:val="22"/>
          <w:lang w:val="es-ES_tradnl"/>
        </w:rPr>
        <w:t>.</w:t>
      </w:r>
    </w:p>
    <w:p w14:paraId="1F7BBCB6" w14:textId="77777777" w:rsidR="00851134" w:rsidRPr="00851134" w:rsidRDefault="00851134" w:rsidP="00851134">
      <w:pPr>
        <w:pStyle w:val="Textoindependiente"/>
        <w:spacing w:after="120" w:line="276" w:lineRule="auto"/>
        <w:ind w:firstLine="709"/>
        <w:jc w:val="both"/>
        <w:rPr>
          <w:shd w:val="clear" w:color="auto" w:fill="FFFFFF"/>
        </w:rPr>
      </w:pPr>
      <w:r w:rsidRPr="00851134">
        <w:rPr>
          <w:shd w:val="clear" w:color="auto" w:fill="FFFFFF"/>
        </w:rPr>
        <w:t>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C-227 de 2021 del 5 de mayo de 2021, C-296 del 22 de junio de 2021, C-381 del 2 de agosto de 2021, C-499 del 15 de septiembre de 2021, C-550 de 05 de octubre de 2021 y C-543 de 9 de noviembre de 2021.</w:t>
      </w:r>
    </w:p>
    <w:p w14:paraId="6903618A" w14:textId="77777777" w:rsidR="00851134" w:rsidRPr="00851134" w:rsidRDefault="00851134" w:rsidP="00851134">
      <w:pPr>
        <w:pStyle w:val="Textoindependiente"/>
        <w:spacing w:line="276" w:lineRule="auto"/>
        <w:ind w:firstLine="708"/>
        <w:jc w:val="both"/>
        <w:rPr>
          <w:shd w:val="clear" w:color="auto" w:fill="FFFFFF"/>
        </w:rPr>
      </w:pPr>
      <w:r w:rsidRPr="00851134">
        <w:rPr>
          <w:shd w:val="clear" w:color="auto" w:fill="FFFFFF"/>
        </w:rPr>
        <w:t>Adicionalmente, la Agencia Nacional de Contratación Pública – Colombia Compra Eficiente se ha pronunciado en diferentes conceptos sobre la contratación con Entidades privadas sin ánimo de lucro y de reconocida idoneidad –desde ahora ESAL–, con fundamento en el Decreto autónomo 092 de 2017, en particular en los Conceptos 4201912000008310 del 26 de diciembre de 2019, 4201912000007899 del 27 de diciembre de 2019, 4201912000007901 del 27 de diciembre de 2019, C-594 del 7 de septiembre de 2020, C-670 del 22 de noviembre de 2020, C-689 del 1 de diciembre de 2020, C-724 de 14 de diciembre de 2020, C-749 del 23 de diciembre de 2020, C-758 del 04 de enero de 2021, C-806 de 8 de febrero de 2021, C-364 de 26 de julio de 2021, C-379 de 20 de julio de 2021, C-537 del 27 de septiembre de 2021, C-021 del 22 de febrero de 2022, C-447 del 26 de julio del 2022 y C-550 del 30 de agosto del 2022 . La tesis propuesta en los conceptos relacionados se expone a continuación y se complementa en lo pertinente</w:t>
      </w:r>
    </w:p>
    <w:p w14:paraId="41C1D9A7" w14:textId="77777777" w:rsidR="00851134" w:rsidRPr="00851134" w:rsidRDefault="00851134" w:rsidP="00851134">
      <w:pPr>
        <w:pStyle w:val="Textoindependiente"/>
        <w:spacing w:line="276" w:lineRule="auto"/>
        <w:ind w:firstLine="708"/>
        <w:jc w:val="both"/>
        <w:rPr>
          <w:shd w:val="clear" w:color="auto" w:fill="FFFFFF"/>
        </w:rPr>
      </w:pPr>
    </w:p>
    <w:p w14:paraId="44C7B26F" w14:textId="2657CC19" w:rsidR="00851134" w:rsidRDefault="00851134" w:rsidP="00BB622E">
      <w:pPr>
        <w:jc w:val="both"/>
        <w:rPr>
          <w:rFonts w:ascii="Arial" w:hAnsi="Arial" w:cs="Arial"/>
          <w:b/>
          <w:sz w:val="22"/>
          <w:lang w:val="es-ES_tradnl"/>
        </w:rPr>
      </w:pPr>
      <w:r w:rsidRPr="00851134">
        <w:rPr>
          <w:rFonts w:ascii="Arial" w:hAnsi="Arial" w:cs="Arial"/>
          <w:b/>
          <w:sz w:val="22"/>
          <w:lang w:val="es-ES_tradnl"/>
        </w:rPr>
        <w:t xml:space="preserve">2.1. </w:t>
      </w:r>
      <w:r w:rsidR="00775D13" w:rsidRPr="00775D13">
        <w:rPr>
          <w:rFonts w:ascii="Arial" w:hAnsi="Arial" w:cs="Arial"/>
          <w:b/>
          <w:sz w:val="22"/>
          <w:lang w:val="es-ES_tradnl"/>
        </w:rPr>
        <w:t>Contratos del artículo 355 de la Constitución Política y convenios de asociación del artículo 96 de la Ley 489 de 1998</w:t>
      </w:r>
      <w:r w:rsidR="00BB622E">
        <w:rPr>
          <w:rFonts w:ascii="Arial" w:hAnsi="Arial" w:cs="Arial"/>
          <w:b/>
          <w:sz w:val="22"/>
          <w:lang w:val="es-ES_tradnl"/>
        </w:rPr>
        <w:t>.</w:t>
      </w:r>
    </w:p>
    <w:p w14:paraId="4EF1E439" w14:textId="77777777" w:rsidR="00817C38" w:rsidRPr="00851134" w:rsidRDefault="00817C38" w:rsidP="00851134">
      <w:pPr>
        <w:rPr>
          <w:rFonts w:ascii="Arial" w:eastAsia="Times New Roman" w:hAnsi="Arial" w:cs="Arial"/>
          <w:b/>
          <w:sz w:val="22"/>
          <w:lang w:val="es-ES_tradnl"/>
        </w:rPr>
      </w:pPr>
    </w:p>
    <w:p w14:paraId="3C153334" w14:textId="77777777" w:rsidR="00851134" w:rsidRPr="00851134" w:rsidRDefault="00851134" w:rsidP="00851134">
      <w:pPr>
        <w:spacing w:line="276" w:lineRule="auto"/>
        <w:jc w:val="both"/>
        <w:textAlignment w:val="baseline"/>
        <w:rPr>
          <w:rFonts w:ascii="Arial" w:hAnsi="Arial" w:cs="Arial"/>
          <w:sz w:val="22"/>
          <w:lang w:val="es-ES_tradnl" w:eastAsia="es-ES_tradnl"/>
        </w:rPr>
      </w:pPr>
      <w:r w:rsidRPr="00851134">
        <w:rPr>
          <w:rFonts w:ascii="Arial" w:hAnsi="Arial" w:cs="Arial"/>
          <w:sz w:val="22"/>
          <w:lang w:val="es-ES_tradnl" w:eastAsia="es-ES_tradnl"/>
        </w:rPr>
        <w:t xml:space="preserve">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w:t>
      </w:r>
      <w:r w:rsidRPr="00851134">
        <w:rPr>
          <w:rFonts w:ascii="Arial" w:hAnsi="Arial" w:cs="Arial"/>
          <w:sz w:val="22"/>
          <w:lang w:val="es-ES_tradnl" w:eastAsia="es-ES_tradnl"/>
        </w:rPr>
        <w:lastRenderedPageBreak/>
        <w:t>actividades de interés público acordes con el plan nacional y los planes seccionales de desarrollo</w:t>
      </w:r>
      <w:r w:rsidRPr="00851134">
        <w:rPr>
          <w:rStyle w:val="Refdenotaalpie"/>
          <w:rFonts w:ascii="Arial" w:hAnsi="Arial" w:cs="Arial"/>
          <w:sz w:val="22"/>
          <w:lang w:val="es-ES_tradnl" w:eastAsia="es-ES_tradnl"/>
        </w:rPr>
        <w:footnoteReference w:id="2"/>
      </w:r>
      <w:r w:rsidRPr="00851134">
        <w:rPr>
          <w:rFonts w:ascii="Arial" w:hAnsi="Arial" w:cs="Arial"/>
          <w:sz w:val="22"/>
          <w:lang w:val="es-ES_tradnl" w:eastAsia="es-ES_tradnl"/>
        </w:rPr>
        <w:t>. </w:t>
      </w:r>
    </w:p>
    <w:p w14:paraId="145A146E" w14:textId="77777777" w:rsidR="00851134" w:rsidRPr="00851134" w:rsidRDefault="00851134" w:rsidP="00851134">
      <w:pPr>
        <w:spacing w:before="120" w:line="276" w:lineRule="auto"/>
        <w:ind w:firstLine="709"/>
        <w:jc w:val="both"/>
        <w:textAlignment w:val="baseline"/>
        <w:rPr>
          <w:rFonts w:ascii="Arial" w:hAnsi="Arial" w:cs="Arial"/>
          <w:sz w:val="22"/>
          <w:lang w:val="es-ES_tradnl" w:eastAsia="es-ES_tradnl"/>
        </w:rPr>
      </w:pPr>
      <w:r w:rsidRPr="00851134">
        <w:rPr>
          <w:rFonts w:ascii="Arial" w:hAnsi="Arial" w:cs="Arial"/>
          <w:sz w:val="22"/>
          <w:lang w:val="es-ES_tradnl" w:eastAsia="es-ES_tradnl"/>
        </w:rPr>
        <w:t>Por otra parte, el artículo 96 de la Ley 489 de 1998</w:t>
      </w:r>
      <w:r w:rsidRPr="00851134">
        <w:rPr>
          <w:rStyle w:val="Refdenotaalpie"/>
          <w:rFonts w:ascii="Arial" w:hAnsi="Arial" w:cs="Arial"/>
          <w:sz w:val="22"/>
          <w:lang w:val="es-ES_tradnl" w:eastAsia="es-ES_tradnl"/>
        </w:rPr>
        <w:footnoteReference w:id="3"/>
      </w:r>
      <w:r w:rsidRPr="00851134">
        <w:rPr>
          <w:rFonts w:ascii="Arial" w:hAnsi="Arial" w:cs="Arial"/>
          <w:sz w:val="22"/>
          <w:lang w:val="es-ES_tradnl" w:eastAsia="es-ES_tradnl"/>
        </w:rPr>
        <w:t xml:space="preserve"> permite a las entidades públicas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 </w:t>
      </w:r>
    </w:p>
    <w:p w14:paraId="5ECE7ED3" w14:textId="77777777" w:rsidR="00851134" w:rsidRPr="00851134" w:rsidRDefault="00851134" w:rsidP="00851134">
      <w:pPr>
        <w:spacing w:before="120" w:after="120" w:line="276" w:lineRule="auto"/>
        <w:ind w:firstLine="709"/>
        <w:jc w:val="both"/>
        <w:textAlignment w:val="baseline"/>
        <w:rPr>
          <w:rFonts w:ascii="Arial" w:hAnsi="Arial" w:cs="Arial"/>
          <w:sz w:val="22"/>
          <w:lang w:val="es-ES_tradnl" w:eastAsia="es-ES_tradnl"/>
        </w:rPr>
      </w:pPr>
      <w:r w:rsidRPr="00851134">
        <w:rPr>
          <w:rFonts w:ascii="Arial" w:hAnsi="Arial" w:cs="Arial"/>
          <w:sz w:val="22"/>
          <w:lang w:eastAsia="es-ES_tradnl"/>
        </w:rPr>
        <w:t>El Gobierno nacional, en desarrollo del artículo 355 de la Constitución, expidió el Decreto 092 de 2017</w:t>
      </w:r>
      <w:r w:rsidRPr="00851134">
        <w:rPr>
          <w:rFonts w:ascii="Arial" w:hAnsi="Arial" w:cs="Arial"/>
          <w:sz w:val="22"/>
          <w:lang w:val="es-ES_tradnl" w:eastAsia="es-ES_tradnl"/>
        </w:rPr>
        <w:t>, el cual tiene como objeto establecer la forma en que las entidades del orden nacional, departamental, distrital y municipal deben contratar con ESAL, con la finalidad de impulsar programas y actividades de interés público acordes con el Plan Nacional o los planes seccionales de Desarrollo. Así las cosas, es importante resaltar que el factor que determina la aplicación del Decreto 092 de 2017 no es única y exclusivamente el carácter de las ESAL, sino también el objeto del convenio que la entidad estatal pretende adelantar. Por tanto, el hecho de que se trate de una ESAL no implica que, necesariamente, deba celebrarse un contrato de colaboración o un convenio de asociación, en los términos del referido decreto.</w:t>
      </w:r>
    </w:p>
    <w:p w14:paraId="32E44DB4" w14:textId="77777777" w:rsidR="00851134" w:rsidRPr="00851134" w:rsidRDefault="00851134" w:rsidP="00851134">
      <w:pPr>
        <w:spacing w:before="120" w:after="120" w:line="276" w:lineRule="auto"/>
        <w:ind w:firstLine="709"/>
        <w:jc w:val="both"/>
        <w:textAlignment w:val="baseline"/>
        <w:rPr>
          <w:rFonts w:ascii="Arial" w:hAnsi="Arial" w:cs="Arial"/>
          <w:sz w:val="22"/>
          <w:lang w:val="es-ES_tradnl" w:eastAsia="es-ES_tradnl"/>
        </w:rPr>
      </w:pPr>
      <w:r w:rsidRPr="00851134">
        <w:rPr>
          <w:rFonts w:ascii="Arial" w:hAnsi="Arial" w:cs="Arial"/>
          <w:sz w:val="22"/>
          <w:lang w:val="es-ES_tradnl" w:eastAsia="es-ES_tradnl"/>
        </w:rPr>
        <w:t>El Decreto 092 de 2017 prevé las reglas para las contrataciones que realicen las entidades estatales con las ESAL. Este regula dos eventos: i) los contratos de colaboración o de interés público con el fin de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sidRPr="00851134">
        <w:rPr>
          <w:rFonts w:ascii="Arial" w:hAnsi="Arial" w:cs="Arial"/>
          <w:i/>
          <w:iCs/>
          <w:sz w:val="22"/>
          <w:lang w:val="es-ES_tradnl" w:eastAsia="es-ES_tradnl"/>
        </w:rPr>
        <w:t>ibidem</w:t>
      </w:r>
      <w:r w:rsidRPr="00851134">
        <w:rPr>
          <w:rFonts w:ascii="Arial" w:hAnsi="Arial" w:cs="Arial"/>
          <w:sz w:val="22"/>
          <w:lang w:val="es-ES_tradnl" w:eastAsia="es-ES_tradnl"/>
        </w:rPr>
        <w:t xml:space="preserve">. </w:t>
      </w:r>
      <w:r w:rsidRPr="00851134">
        <w:rPr>
          <w:rFonts w:ascii="Arial" w:hAnsi="Arial" w:cs="Arial"/>
          <w:sz w:val="22"/>
          <w:lang w:val="es-ES_tradnl" w:eastAsia="es-ES_tradnl"/>
        </w:rPr>
        <w:lastRenderedPageBreak/>
        <w:t>Es posible diferenciar los </w:t>
      </w:r>
      <w:r w:rsidRPr="00851134">
        <w:rPr>
          <w:rFonts w:ascii="Arial" w:hAnsi="Arial" w:cs="Arial"/>
          <w:i/>
          <w:iCs/>
          <w:sz w:val="22"/>
          <w:lang w:val="es-ES_tradnl" w:eastAsia="es-ES_tradnl"/>
        </w:rPr>
        <w:t>convenios de asociación</w:t>
      </w:r>
      <w:r w:rsidRPr="00851134">
        <w:rPr>
          <w:rFonts w:ascii="Arial" w:hAnsi="Arial" w:cs="Arial"/>
          <w:sz w:val="22"/>
          <w:lang w:val="es-ES_tradnl" w:eastAsia="es-ES_tradnl"/>
        </w:rPr>
        <w:t>, regulados en el artículo 5, de los </w:t>
      </w:r>
      <w:r w:rsidRPr="00851134">
        <w:rPr>
          <w:rFonts w:ascii="Arial" w:hAnsi="Arial" w:cs="Arial"/>
          <w:i/>
          <w:iCs/>
          <w:sz w:val="22"/>
          <w:lang w:val="es-ES_tradnl" w:eastAsia="es-ES_tradnl"/>
        </w:rPr>
        <w:t>contratos de colaboración</w:t>
      </w:r>
      <w:r w:rsidRPr="00851134">
        <w:rPr>
          <w:rFonts w:ascii="Arial" w:hAnsi="Arial" w:cs="Arial"/>
          <w:sz w:val="22"/>
          <w:lang w:val="es-ES_tradnl" w:eastAsia="es-ES_tradnl"/>
        </w:rPr>
        <w:t>, establecidos en el artículo 2 del Decreto 092 de 2017</w:t>
      </w:r>
      <w:r w:rsidRPr="00851134">
        <w:rPr>
          <w:rStyle w:val="Refdenotaalpie"/>
          <w:rFonts w:ascii="Arial" w:hAnsi="Arial" w:cs="Arial"/>
          <w:sz w:val="22"/>
          <w:lang w:val="es-ES_tradnl" w:eastAsia="es-ES_tradnl"/>
        </w:rPr>
        <w:footnoteReference w:id="4"/>
      </w:r>
      <w:r w:rsidRPr="00851134">
        <w:rPr>
          <w:rFonts w:ascii="Arial" w:hAnsi="Arial" w:cs="Arial"/>
          <w:sz w:val="22"/>
          <w:lang w:val="es-ES_tradnl" w:eastAsia="es-ES_tradnl"/>
        </w:rPr>
        <w:t>.  </w:t>
      </w:r>
    </w:p>
    <w:p w14:paraId="7B85BF30" w14:textId="77777777" w:rsidR="00851134" w:rsidRPr="00851134" w:rsidRDefault="00851134" w:rsidP="00851134">
      <w:pPr>
        <w:spacing w:before="120" w:line="276" w:lineRule="auto"/>
        <w:ind w:firstLine="709"/>
        <w:jc w:val="both"/>
        <w:textAlignment w:val="baseline"/>
        <w:rPr>
          <w:rFonts w:ascii="Arial" w:hAnsi="Arial" w:cs="Arial"/>
          <w:sz w:val="22"/>
          <w:lang w:val="es-ES_tradnl" w:eastAsia="es-ES_tradnl"/>
        </w:rPr>
      </w:pPr>
      <w:r w:rsidRPr="00851134">
        <w:rPr>
          <w:rFonts w:ascii="Arial" w:hAnsi="Arial" w:cs="Arial"/>
          <w:sz w:val="22"/>
          <w:lang w:val="es-ES_tradnl" w:eastAsia="es-ES_tradnl"/>
        </w:rPr>
        <w:t>De conformidad con el artículo 96 de la Ley 489 de 1998, los </w:t>
      </w:r>
      <w:r w:rsidRPr="00851134">
        <w:rPr>
          <w:rFonts w:ascii="Arial" w:hAnsi="Arial" w:cs="Arial"/>
          <w:i/>
          <w:iCs/>
          <w:sz w:val="22"/>
          <w:lang w:val="es-ES_tradnl" w:eastAsia="es-ES_tradnl"/>
        </w:rPr>
        <w:t>convenios de asociación</w:t>
      </w:r>
      <w:r w:rsidRPr="00851134">
        <w:rPr>
          <w:rFonts w:ascii="Arial" w:hAnsi="Arial" w:cs="Arial"/>
          <w:sz w:val="22"/>
          <w:lang w:val="es-ES_tradnl" w:eastAsia="es-ES_tradnl"/>
        </w:rPr>
        <w:t xml:space="preserve"> pueden ser celebrados por cualquier entidad estatal “cualquiera sea su naturaleza y orden administrativo”. Tales convenios</w:t>
      </w:r>
      <w:r w:rsidRPr="00851134">
        <w:rPr>
          <w:rFonts w:ascii="Arial" w:hAnsi="Arial" w:cs="Arial"/>
          <w:i/>
          <w:iCs/>
          <w:sz w:val="22"/>
          <w:lang w:val="es-ES_tradnl" w:eastAsia="es-ES_tradnl"/>
        </w:rPr>
        <w:t xml:space="preserve"> </w:t>
      </w:r>
      <w:r w:rsidRPr="00851134">
        <w:rPr>
          <w:rFonts w:ascii="Arial" w:hAnsi="Arial" w:cs="Arial"/>
          <w:sz w:val="22"/>
          <w:lang w:val="es-ES_tradnl" w:eastAsia="es-ES_tradnl"/>
        </w:rPr>
        <w:t>“[t]</w:t>
      </w:r>
      <w:proofErr w:type="spellStart"/>
      <w:r w:rsidRPr="00851134">
        <w:rPr>
          <w:rFonts w:ascii="Arial" w:hAnsi="Arial" w:cs="Arial"/>
          <w:sz w:val="22"/>
          <w:lang w:val="es-ES_tradnl" w:eastAsia="es-ES_tradnl"/>
        </w:rPr>
        <w:t>ienen</w:t>
      </w:r>
      <w:proofErr w:type="spellEnd"/>
      <w:r w:rsidRPr="00851134">
        <w:rPr>
          <w:rFonts w:ascii="Arial" w:hAnsi="Arial" w:cs="Arial"/>
          <w:sz w:val="22"/>
          <w:lang w:val="es-ES_tradnl" w:eastAsia="es-ES_tradnl"/>
        </w:rPr>
        <w:t>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851134">
        <w:rPr>
          <w:rStyle w:val="Refdenotaalpie"/>
          <w:rFonts w:ascii="Arial" w:hAnsi="Arial" w:cs="Arial"/>
          <w:sz w:val="22"/>
          <w:lang w:val="es-ES_tradnl" w:eastAsia="es-ES_tradnl"/>
        </w:rPr>
        <w:footnoteReference w:id="5"/>
      </w:r>
      <w:r w:rsidRPr="00851134">
        <w:rPr>
          <w:rFonts w:ascii="Arial" w:hAnsi="Arial" w:cs="Arial"/>
          <w:sz w:val="22"/>
          <w:lang w:val="es-ES_tradnl" w:eastAsia="es-ES_tradnl"/>
        </w:rPr>
        <w:t>. </w:t>
      </w:r>
    </w:p>
    <w:p w14:paraId="55049B9B" w14:textId="77777777" w:rsidR="00851134" w:rsidRPr="00851134" w:rsidRDefault="00851134" w:rsidP="00851134">
      <w:pPr>
        <w:spacing w:before="120" w:line="276" w:lineRule="auto"/>
        <w:ind w:firstLine="709"/>
        <w:jc w:val="both"/>
        <w:textAlignment w:val="baseline"/>
        <w:rPr>
          <w:rFonts w:ascii="Arial" w:hAnsi="Arial" w:cs="Arial"/>
          <w:sz w:val="22"/>
          <w:lang w:val="es-ES_tradnl" w:eastAsia="es-ES_tradnl"/>
        </w:rPr>
      </w:pPr>
      <w:r w:rsidRPr="00851134">
        <w:rPr>
          <w:rFonts w:ascii="Arial" w:hAnsi="Arial" w:cs="Arial"/>
          <w:sz w:val="22"/>
          <w:lang w:val="es-ES_tradnl" w:eastAsia="es-ES_tradnl"/>
        </w:rPr>
        <w:t xml:space="preserve">La contratación con entidades privadas sin ánimo de lucro se sigue rigiendo por el Decreto 092 de 2017, salvo lo que fue objeto de suspensión provisional por parte del Consejo de Estado en el </w:t>
      </w:r>
      <w:r w:rsidRPr="00851134">
        <w:rPr>
          <w:rFonts w:ascii="Arial" w:hAnsi="Arial" w:cs="Arial"/>
          <w:sz w:val="22"/>
        </w:rPr>
        <w:t>auto del 6 de agosto de 2019, que suspendió provisionalmente varios apartes del decreto indicado</w:t>
      </w:r>
      <w:r w:rsidRPr="00851134">
        <w:rPr>
          <w:rStyle w:val="Refdenotaalpie"/>
          <w:rFonts w:ascii="Arial" w:hAnsi="Arial" w:cs="Arial"/>
          <w:sz w:val="22"/>
        </w:rPr>
        <w:footnoteReference w:id="6"/>
      </w:r>
      <w:r w:rsidRPr="00851134">
        <w:rPr>
          <w:rFonts w:ascii="Arial" w:hAnsi="Arial" w:cs="Arial"/>
          <w:sz w:val="22"/>
          <w:lang w:val="es-ES_tradnl" w:eastAsia="es-ES_tradnl"/>
        </w:rPr>
        <w:t>. En este sentido, esta Agencia en varios conceptos anteriores se pronunció sobre los efectos de dicho auto frente al régimen del Decreto 092 de 2019</w:t>
      </w:r>
      <w:r w:rsidRPr="00851134">
        <w:rPr>
          <w:rStyle w:val="Refdenotaalpie"/>
          <w:rFonts w:ascii="Arial" w:hAnsi="Arial" w:cs="Arial"/>
          <w:sz w:val="22"/>
          <w:lang w:val="es-ES_tradnl" w:eastAsia="es-ES_tradnl"/>
        </w:rPr>
        <w:footnoteReference w:id="7"/>
      </w:r>
      <w:r w:rsidRPr="00851134">
        <w:rPr>
          <w:rFonts w:ascii="Arial" w:hAnsi="Arial" w:cs="Arial"/>
          <w:sz w:val="22"/>
          <w:lang w:val="es-ES_tradnl" w:eastAsia="es-ES_tradnl"/>
        </w:rPr>
        <w:t>. En armonía con lo anterior, las siguientes son las conclusiones que dedujo esta Agencia a partir del pronunciamiento del Consejo de Estado, tal como se expresa, por ejemplo, en el concepto C-529 del 11 de agosto de 2020:</w:t>
      </w:r>
    </w:p>
    <w:p w14:paraId="2CD27D39" w14:textId="77777777" w:rsidR="00851134" w:rsidRPr="00851134" w:rsidRDefault="00851134" w:rsidP="00851134">
      <w:pPr>
        <w:spacing w:line="276" w:lineRule="auto"/>
        <w:ind w:firstLine="709"/>
        <w:jc w:val="both"/>
        <w:textAlignment w:val="baseline"/>
        <w:rPr>
          <w:rFonts w:ascii="Arial" w:hAnsi="Arial" w:cs="Arial"/>
          <w:sz w:val="22"/>
          <w:lang w:val="es-ES_tradnl" w:eastAsia="es-ES_tradnl"/>
        </w:rPr>
      </w:pPr>
    </w:p>
    <w:p w14:paraId="221ACD79" w14:textId="77777777" w:rsidR="00851134" w:rsidRPr="00851134" w:rsidRDefault="00851134" w:rsidP="00851134">
      <w:pPr>
        <w:tabs>
          <w:tab w:val="left" w:pos="3885"/>
        </w:tabs>
        <w:ind w:left="709" w:right="709"/>
        <w:jc w:val="both"/>
        <w:rPr>
          <w:rFonts w:ascii="Arial" w:hAnsi="Arial" w:cs="Arial"/>
          <w:color w:val="000000" w:themeColor="text1"/>
          <w:sz w:val="22"/>
        </w:rPr>
      </w:pPr>
      <w:r w:rsidRPr="00851134">
        <w:rPr>
          <w:rFonts w:ascii="Arial" w:hAnsi="Arial" w:cs="Arial"/>
          <w:color w:val="000000" w:themeColor="text1"/>
          <w:sz w:val="22"/>
        </w:rPr>
        <w:t xml:space="preserve">En este orden de ideas,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deben contratar con ESAL de reconocida idoneidad, como ya se dijo, realizando un proceso competitivo, y teniendo en cuenta, se insiste, las siguientes características: i) no se debe condicionar el proceso de contratación a la inexistencia de oferta en el mercado de bienes y servicios; ii) tampoco se debe condicionar a que la contratación con las ESAL garantice la optimización de los recursos públicos en términos de eficiencia, eficacia, economía y manejo del riesgo; iii) el objeto del contrato debe estar acorde con el plan nacional o seccional de desarrollo; </w:t>
      </w:r>
      <w:proofErr w:type="spellStart"/>
      <w:r w:rsidRPr="00851134">
        <w:rPr>
          <w:rFonts w:ascii="Arial" w:hAnsi="Arial" w:cs="Arial"/>
          <w:color w:val="000000" w:themeColor="text1"/>
          <w:sz w:val="22"/>
        </w:rPr>
        <w:t>iv</w:t>
      </w:r>
      <w:proofErr w:type="spellEnd"/>
      <w:r w:rsidRPr="00851134">
        <w:rPr>
          <w:rFonts w:ascii="Arial" w:hAnsi="Arial" w:cs="Arial"/>
          <w:color w:val="000000" w:themeColor="text1"/>
          <w:sz w:val="22"/>
        </w:rPr>
        <w:t xml:space="preserve">) no se puede condicionar únicamente que las actividades o programas correspondan exclusivamente </w:t>
      </w:r>
      <w:r w:rsidRPr="00851134">
        <w:rPr>
          <w:rFonts w:ascii="Arial" w:hAnsi="Arial" w:cs="Arial"/>
          <w:color w:val="000000" w:themeColor="text1"/>
          <w:sz w:val="22"/>
        </w:rPr>
        <w:lastRenderedPageBreak/>
        <w:t>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establezca una relación conmutativa en el cual haya una contraprestación directa a favor de la entidad, ni instrucciones precisas dadas por esta al contratista para cumplir con el objeto del contrato.</w:t>
      </w:r>
    </w:p>
    <w:p w14:paraId="794965A8" w14:textId="77777777" w:rsidR="00851134" w:rsidRPr="00851134" w:rsidRDefault="00851134" w:rsidP="00851134">
      <w:pPr>
        <w:tabs>
          <w:tab w:val="left" w:pos="3885"/>
        </w:tabs>
        <w:ind w:right="709"/>
        <w:jc w:val="both"/>
        <w:rPr>
          <w:rFonts w:ascii="Arial" w:hAnsi="Arial" w:cs="Arial"/>
          <w:color w:val="000000" w:themeColor="text1"/>
          <w:sz w:val="22"/>
        </w:rPr>
      </w:pPr>
    </w:p>
    <w:p w14:paraId="0FCDE1E9" w14:textId="77777777" w:rsidR="00851134" w:rsidRPr="00851134" w:rsidRDefault="00851134" w:rsidP="00851134">
      <w:pPr>
        <w:tabs>
          <w:tab w:val="left" w:pos="3885"/>
        </w:tabs>
        <w:ind w:right="49"/>
        <w:jc w:val="both"/>
        <w:rPr>
          <w:rFonts w:ascii="Arial" w:hAnsi="Arial" w:cs="Arial"/>
          <w:color w:val="000000" w:themeColor="text1"/>
          <w:sz w:val="22"/>
        </w:rPr>
      </w:pPr>
      <w:r w:rsidRPr="00851134">
        <w:rPr>
          <w:rFonts w:ascii="Arial" w:hAnsi="Arial" w:cs="Arial"/>
          <w:sz w:val="22"/>
          <w:lang w:val="es-ES_tradnl" w:eastAsia="es-ES_tradnl"/>
        </w:rPr>
        <w:t xml:space="preserve">De acuerdo con lo anterior es indispensable entender que la principal característica de esta tipología es la ausencia de conmutatividad, por tanto, la entidad estatal no instruye al contratista para desarrollar los programas o actividades previstas, sino que se asocia con él para el cumplimiento de objetivos comunes. La finalidad de los aportes en estos convenios está en dirección, especialmente, a lograr la ejecución del convenio. De todos modos, la entidad deberá adelantar un proceso competitivo, salvo cuando la ESAL comprometa recursos en dinero para la ejecución de estas actividades, en una proporción no inferior al 30% del valor total del convenio. </w:t>
      </w:r>
    </w:p>
    <w:p w14:paraId="68604F21" w14:textId="77777777" w:rsidR="00851134" w:rsidRPr="00851134" w:rsidRDefault="00851134" w:rsidP="00851134">
      <w:pPr>
        <w:spacing w:line="276" w:lineRule="auto"/>
        <w:ind w:firstLine="709"/>
        <w:jc w:val="both"/>
        <w:textAlignment w:val="baseline"/>
        <w:rPr>
          <w:rFonts w:ascii="Arial" w:hAnsi="Arial" w:cs="Arial"/>
          <w:sz w:val="22"/>
          <w:lang w:val="es-ES_tradnl" w:eastAsia="es-ES_tradnl"/>
        </w:rPr>
      </w:pPr>
    </w:p>
    <w:p w14:paraId="51C89AA0" w14:textId="77777777" w:rsidR="00851134" w:rsidRPr="00851134" w:rsidRDefault="00851134" w:rsidP="00851134">
      <w:pPr>
        <w:spacing w:line="276" w:lineRule="auto"/>
        <w:jc w:val="both"/>
        <w:textAlignment w:val="baseline"/>
        <w:rPr>
          <w:rFonts w:ascii="Arial" w:hAnsi="Arial" w:cs="Arial"/>
          <w:sz w:val="22"/>
          <w:lang w:val="es-ES_tradnl" w:eastAsia="es-ES_tradnl"/>
        </w:rPr>
      </w:pPr>
      <w:r w:rsidRPr="00851134">
        <w:rPr>
          <w:rFonts w:ascii="Arial" w:hAnsi="Arial" w:cs="Arial"/>
          <w:b/>
          <w:bCs/>
          <w:sz w:val="22"/>
          <w:lang w:val="es-ES_tradnl" w:eastAsia="es-ES_tradnl"/>
        </w:rPr>
        <w:t>2.2. Naturaleza de los convenios de asociación desarrollados por el artículo 5 del Decreto 092 de 2017</w:t>
      </w:r>
    </w:p>
    <w:p w14:paraId="17E0CCB6" w14:textId="77777777" w:rsidR="00851134" w:rsidRPr="00851134" w:rsidRDefault="00851134" w:rsidP="00851134">
      <w:pPr>
        <w:jc w:val="both"/>
        <w:textAlignment w:val="baseline"/>
        <w:rPr>
          <w:rFonts w:ascii="Arial" w:hAnsi="Arial" w:cs="Arial"/>
          <w:sz w:val="22"/>
          <w:lang w:val="es-ES_tradnl" w:eastAsia="es-ES_tradnl"/>
        </w:rPr>
      </w:pPr>
    </w:p>
    <w:p w14:paraId="261A1AC4" w14:textId="77777777" w:rsidR="00851134" w:rsidRPr="00851134" w:rsidRDefault="00851134" w:rsidP="00851134">
      <w:pPr>
        <w:spacing w:after="120" w:line="276" w:lineRule="auto"/>
        <w:jc w:val="both"/>
        <w:textAlignment w:val="baseline"/>
        <w:rPr>
          <w:rFonts w:ascii="Arial" w:hAnsi="Arial" w:cs="Arial"/>
          <w:sz w:val="22"/>
          <w:lang w:val="es-ES_tradnl" w:eastAsia="es-ES_tradnl"/>
        </w:rPr>
      </w:pPr>
      <w:r w:rsidRPr="00851134">
        <w:rPr>
          <w:rFonts w:ascii="Arial" w:hAnsi="Arial" w:cs="Arial"/>
          <w:sz w:val="22"/>
          <w:lang w:val="es-ES_tradnl" w:eastAsia="es-ES_tradnl"/>
        </w:rPr>
        <w:t>El artículo 5 del Decreto 092 de 2017 establece que los convenios de asociación que celebren las ESAL y las entidades estatales, para el desarrollo conjunto de actividades relacionadas con los cometidos y funciones que a estas les asigna la ley, según lo contemplado en el artículo 96 de la Ley 489 de 1998, no estarán sujetos a competencia cuando la ESAL comprometa recursos en dinero para la ejecución de esas actividades en una proporción no inferior al 30% del valor total del convenio. Es decir, según la normativa aplicable, tal como lo indicó esta Agencia en la ”Guía para la contratación con entidades privadas sin ánimo de lucro y de reconocida idoneidad”, el artículo 5 del Decreto 092 de 2017 ”[…] busca reconocer el esfuerzo de la ESAL para conseguir recursos propios o de cooperación para el desarrollo conjunto de actividades de las Entidades Estatales en el marco del artículo 96 de la Ley 489 de 1998 y eximirla de competencia cuando aporta 30% o más de los recursos requeridos».</w:t>
      </w:r>
    </w:p>
    <w:p w14:paraId="528190F7" w14:textId="77777777" w:rsidR="00851134" w:rsidRPr="00851134" w:rsidRDefault="00851134" w:rsidP="00851134">
      <w:pPr>
        <w:spacing w:after="120" w:line="276" w:lineRule="auto"/>
        <w:ind w:firstLine="709"/>
        <w:jc w:val="both"/>
        <w:textAlignment w:val="baseline"/>
        <w:rPr>
          <w:rFonts w:ascii="Arial" w:hAnsi="Arial" w:cs="Arial"/>
          <w:sz w:val="22"/>
          <w:lang w:val="es-ES_tradnl" w:eastAsia="es-ES_tradnl"/>
        </w:rPr>
      </w:pPr>
      <w:r w:rsidRPr="00851134">
        <w:rPr>
          <w:rFonts w:ascii="Arial" w:hAnsi="Arial" w:cs="Arial"/>
          <w:sz w:val="22"/>
          <w:lang w:val="es-ES_tradnl" w:eastAsia="es-ES_tradnl"/>
        </w:rPr>
        <w:t xml:space="preserve">Sin embargo, según el mismo artículo 5, si hay más de una ESAL que ofrezca su compromiso de recursos en dinero para el desarrollo conjunto de actividades relacionadas con los cometidos y funciones asignadas por ley a una entidad estatal, en una proporción no inferior al 30% del valor total del convenio, esta última debe seleccionar de forma objetiva a tal entidad y justificar los criterios para tal selección. En este evento, la entidad estatal debe diseñar herramientas que permitan una comparación objetiva de las entidades sin ánimo de lucro para seleccionar objetivamente a aquella que tenga las mejores condiciones para alcanzar el resultado esperado con el proyecto de cooperación. </w:t>
      </w:r>
    </w:p>
    <w:p w14:paraId="4FA343AC" w14:textId="77777777" w:rsidR="00851134" w:rsidRPr="00851134" w:rsidRDefault="00851134" w:rsidP="00851134">
      <w:pPr>
        <w:spacing w:line="276" w:lineRule="auto"/>
        <w:ind w:firstLine="708"/>
        <w:jc w:val="both"/>
        <w:textAlignment w:val="baseline"/>
        <w:rPr>
          <w:rFonts w:ascii="Arial" w:hAnsi="Arial" w:cs="Arial"/>
          <w:sz w:val="22"/>
          <w:lang w:val="es-ES_tradnl" w:eastAsia="es-ES_tradnl"/>
        </w:rPr>
      </w:pPr>
      <w:r w:rsidRPr="00851134">
        <w:rPr>
          <w:rFonts w:ascii="Arial" w:hAnsi="Arial" w:cs="Arial"/>
          <w:sz w:val="22"/>
          <w:lang w:val="es-ES_tradnl" w:eastAsia="es-ES_tradnl"/>
        </w:rPr>
        <w:lastRenderedPageBreak/>
        <w:t>Ahora bien, en estos convenios de asociación no existe contraprestación o pago, sino aportes, los cuales están dirigidos, exclusivamente, a lograr la ejecución del convenio y no a remunerar la actividad o actuaciones del asociado. De todos modos, como se indicó, la entidad debe adelantar un proceso competitivo, salvo cuando la ESAL comprometa recursos en dinero para la ejecución de estas actividades, en una proporción no inferior al 30% del valor total del convenio y no exista otra ESAL que realice el mismo compromiso.</w:t>
      </w:r>
    </w:p>
    <w:p w14:paraId="4568058F" w14:textId="77777777" w:rsidR="00851134" w:rsidRPr="00851134" w:rsidRDefault="00851134" w:rsidP="00851134">
      <w:pPr>
        <w:spacing w:before="120" w:line="276" w:lineRule="auto"/>
        <w:ind w:firstLine="709"/>
        <w:jc w:val="both"/>
        <w:textAlignment w:val="baseline"/>
        <w:rPr>
          <w:rFonts w:ascii="Arial" w:hAnsi="Arial" w:cs="Arial"/>
          <w:sz w:val="22"/>
          <w:lang w:val="es-ES_tradnl" w:eastAsia="es-ES_tradnl"/>
        </w:rPr>
      </w:pPr>
      <w:r w:rsidRPr="00851134">
        <w:rPr>
          <w:rFonts w:ascii="Arial" w:hAnsi="Arial" w:cs="Arial"/>
          <w:sz w:val="22"/>
          <w:lang w:val="es-ES_tradnl" w:eastAsia="es-ES_tradnl"/>
        </w:rPr>
        <w:t xml:space="preserve">El artículo 96 de la Ley 489 de 1998 determina que el convenio busca el desarrollo conjunto de actividades en relación con los cometidos y funciones que la ley les asigna a las entidades estatales. En otras palabras,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en tal caso las entidades estatales deben asegurarse de que su contratista, es decir, la ESAL, aporte al menos el treinta por ciento del valor del convenio para celebrarlo directamente. </w:t>
      </w:r>
    </w:p>
    <w:p w14:paraId="42AA2441" w14:textId="77777777" w:rsidR="00851134" w:rsidRPr="00851134" w:rsidRDefault="00851134" w:rsidP="00851134">
      <w:pPr>
        <w:spacing w:before="120" w:line="276" w:lineRule="auto"/>
        <w:ind w:firstLine="709"/>
        <w:jc w:val="both"/>
        <w:textAlignment w:val="baseline"/>
        <w:rPr>
          <w:rFonts w:ascii="Arial" w:hAnsi="Arial" w:cs="Arial"/>
          <w:sz w:val="22"/>
          <w:lang w:val="es-ES_tradnl" w:eastAsia="es-ES_tradnl"/>
        </w:rPr>
      </w:pPr>
      <w:r w:rsidRPr="00851134">
        <w:rPr>
          <w:rFonts w:ascii="Arial" w:hAnsi="Arial" w:cs="Arial"/>
          <w:sz w:val="22"/>
          <w:lang w:val="es-ES_tradnl" w:eastAsia="es-ES_tradnl"/>
        </w:rPr>
        <w:t>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851134">
        <w:rPr>
          <w:rStyle w:val="Refdenotaalpie"/>
          <w:rFonts w:ascii="Arial" w:hAnsi="Arial" w:cs="Arial"/>
          <w:sz w:val="22"/>
          <w:lang w:val="es-ES_tradnl" w:eastAsia="es-ES_tradnl"/>
        </w:rPr>
        <w:footnoteReference w:id="8"/>
      </w:r>
      <w:r w:rsidRPr="00851134">
        <w:rPr>
          <w:rFonts w:ascii="Arial" w:hAnsi="Arial" w:cs="Arial"/>
          <w:sz w:val="22"/>
          <w:lang w:val="es-ES_tradnl" w:eastAsia="es-ES_tradnl"/>
        </w:rPr>
        <w:t>. </w:t>
      </w:r>
    </w:p>
    <w:p w14:paraId="143D9B45" w14:textId="77777777" w:rsidR="00851134" w:rsidRPr="00851134" w:rsidRDefault="00851134" w:rsidP="00851134">
      <w:pPr>
        <w:spacing w:before="120" w:after="120" w:line="276" w:lineRule="auto"/>
        <w:ind w:firstLine="709"/>
        <w:jc w:val="both"/>
        <w:textAlignment w:val="baseline"/>
        <w:rPr>
          <w:rFonts w:ascii="Arial" w:hAnsi="Arial" w:cs="Arial"/>
          <w:sz w:val="22"/>
          <w:lang w:val="es-ES_tradnl" w:eastAsia="es-ES_tradnl"/>
        </w:rPr>
      </w:pPr>
      <w:r w:rsidRPr="00851134">
        <w:rPr>
          <w:rFonts w:ascii="Arial" w:hAnsi="Arial" w:cs="Arial"/>
          <w:sz w:val="22"/>
          <w:lang w:val="es-ES_tradnl" w:eastAsia="es-ES_tradnl"/>
        </w:rPr>
        <w:t>La noción “seleccionar de forma objetiva”, contenida en la disposición </w:t>
      </w:r>
      <w:r w:rsidRPr="00851134">
        <w:rPr>
          <w:rFonts w:ascii="Arial" w:hAnsi="Arial" w:cs="Arial"/>
          <w:i/>
          <w:iCs/>
          <w:sz w:val="22"/>
          <w:lang w:val="es-ES_tradnl" w:eastAsia="es-ES_tradnl"/>
        </w:rPr>
        <w:t>sub examine </w:t>
      </w:r>
      <w:r w:rsidRPr="00851134">
        <w:rPr>
          <w:rFonts w:ascii="Arial" w:hAnsi="Arial" w:cs="Arial"/>
          <w:sz w:val="22"/>
          <w:lang w:val="es-ES_tradnl" w:eastAsia="es-ES_tradnl"/>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092 de 2017. </w:t>
      </w:r>
    </w:p>
    <w:p w14:paraId="1A7A6EC0" w14:textId="77777777" w:rsidR="00851134" w:rsidRPr="00851134" w:rsidRDefault="00851134" w:rsidP="00851134">
      <w:pPr>
        <w:spacing w:before="120" w:after="120" w:line="276" w:lineRule="auto"/>
        <w:ind w:firstLine="709"/>
        <w:jc w:val="both"/>
        <w:textAlignment w:val="baseline"/>
        <w:rPr>
          <w:rFonts w:ascii="Arial" w:hAnsi="Arial" w:cs="Arial"/>
          <w:sz w:val="22"/>
          <w:lang w:val="es-ES_tradnl" w:eastAsia="es-ES_tradnl"/>
        </w:rPr>
      </w:pPr>
      <w:r w:rsidRPr="00851134">
        <w:rPr>
          <w:rFonts w:ascii="Arial" w:hAnsi="Arial" w:cs="Arial"/>
          <w:sz w:val="22"/>
          <w:lang w:val="es-ES_tradnl" w:eastAsia="es-ES_tradnl"/>
        </w:rPr>
        <w:t xml:space="preserve">Debe aclararse que no todas las actividades que las entidades estatales deben desarrollar para alcanzar sus objetivos misionales deben ejecutarse mediante la celebración de contratos de colaboración o convenios de asociación. Debe tenerse en cuenta que lo que determina la aplicación del Decreto 902 de 2017 no es únicamente el carácter de las ESAL sino el objeto del contrato o convenio que la entidad pretende adelantar. Por tanto, el hecho de que se trate de una entidad sin ánimo de lucro no implica </w:t>
      </w:r>
      <w:r w:rsidRPr="00851134">
        <w:rPr>
          <w:rFonts w:ascii="Arial" w:hAnsi="Arial" w:cs="Arial"/>
          <w:sz w:val="22"/>
          <w:lang w:val="es-ES_tradnl" w:eastAsia="es-ES_tradnl"/>
        </w:rPr>
        <w:lastRenderedPageBreak/>
        <w:t>que necesariamente deba celebrarse un contrato de colaboración o un convenio de asociación.</w:t>
      </w:r>
    </w:p>
    <w:p w14:paraId="65F77691" w14:textId="77777777" w:rsidR="00851134" w:rsidRPr="00851134" w:rsidRDefault="00851134" w:rsidP="00851134">
      <w:pPr>
        <w:tabs>
          <w:tab w:val="left" w:pos="426"/>
        </w:tabs>
        <w:spacing w:after="120" w:line="276" w:lineRule="auto"/>
        <w:jc w:val="both"/>
        <w:rPr>
          <w:rFonts w:ascii="Arial" w:eastAsia="Calibri" w:hAnsi="Arial" w:cs="Arial"/>
          <w:bCs/>
          <w:sz w:val="22"/>
        </w:rPr>
      </w:pPr>
      <w:r w:rsidRPr="00851134">
        <w:rPr>
          <w:rFonts w:ascii="Arial" w:hAnsi="Arial" w:cs="Arial"/>
          <w:sz w:val="22"/>
          <w:lang w:val="es-ES_tradnl" w:eastAsia="es-ES_tradnl"/>
        </w:rPr>
        <w:t xml:space="preserve">En suma, para la celebración de </w:t>
      </w:r>
      <w:r w:rsidRPr="00851134">
        <w:rPr>
          <w:rFonts w:ascii="Arial" w:hAnsi="Arial" w:cs="Arial"/>
          <w:i/>
          <w:iCs/>
          <w:sz w:val="22"/>
          <w:lang w:val="es-ES_tradnl" w:eastAsia="es-ES_tradnl"/>
        </w:rPr>
        <w:t>convenios de asociación</w:t>
      </w:r>
      <w:r w:rsidRPr="00851134">
        <w:rPr>
          <w:rFonts w:ascii="Arial" w:hAnsi="Arial" w:cs="Arial"/>
          <w:sz w:val="22"/>
          <w:lang w:val="es-ES_tradnl" w:eastAsia="es-ES_tradnl"/>
        </w:rPr>
        <w:t xml:space="preserve">, las entidades estatales son autónomas en la configuración del proceso competitivo en desarrollo del artículo 5 del Decreto 092 de 2017. Además, tienen una autonomía similar para definir el mecanismo de recolección de los recursos en dinero que la ESAL aportará para la ejecución de las actividades del convenio de asociación, en los supuestos en que la celebración del convenio no esté sujeto a competencia, esto es, cuando la entidad sin ánimo de lucro comprometa recursos en dinero para la ejecución de las actividades en una proporción no inferior al 30% del valor total del convenio. En este sentido, Colombia Compra Eficiente elaboró una guía a título ilustrativo, denominada </w:t>
      </w:r>
      <w:r w:rsidRPr="00851134">
        <w:rPr>
          <w:rFonts w:ascii="Arial" w:hAnsi="Arial" w:cs="Arial"/>
          <w:sz w:val="22"/>
          <w:lang w:val="es-ES_tradnl"/>
        </w:rPr>
        <w:t>“Guía para la contratación con entidades privadas sin ánimo de lucro y de reconocida idoneidad”</w:t>
      </w:r>
      <w:r w:rsidRPr="00851134">
        <w:rPr>
          <w:rStyle w:val="Refdenotaalpie"/>
          <w:rFonts w:ascii="Arial" w:hAnsi="Arial" w:cs="Arial"/>
          <w:sz w:val="22"/>
          <w:lang w:val="es-ES_tradnl"/>
        </w:rPr>
        <w:footnoteReference w:id="9"/>
      </w:r>
      <w:r w:rsidRPr="00851134">
        <w:rPr>
          <w:rFonts w:ascii="Arial" w:hAnsi="Arial" w:cs="Arial"/>
          <w:sz w:val="22"/>
          <w:lang w:val="es-ES_tradnl"/>
        </w:rPr>
        <w:t>, en la que se establece: “[…] la exigencia de recursos en dinero se puede cumplir con instrumentos financieros, jurídicos y contables que sean transables y que tengan liquidez suficiente para ser equivalentes al dinero”. Sin embargo, debe insistirse en que la entidad será autónoma en definir el mecanismo que le parezca más conveniente para el recaudo de los recursos económicos.</w:t>
      </w:r>
    </w:p>
    <w:bookmarkEnd w:id="6"/>
    <w:p w14:paraId="618C8911" w14:textId="77777777" w:rsidR="00851134" w:rsidRPr="00851134" w:rsidRDefault="00851134" w:rsidP="00851134">
      <w:pPr>
        <w:spacing w:line="276" w:lineRule="atLeast"/>
        <w:jc w:val="both"/>
        <w:rPr>
          <w:rFonts w:ascii="Arial" w:hAnsi="Arial" w:cs="Arial"/>
          <w:b/>
          <w:bCs/>
          <w:sz w:val="22"/>
          <w:lang w:val="es-ES" w:eastAsia="es-ES_tradnl"/>
        </w:rPr>
      </w:pPr>
      <w:r w:rsidRPr="00851134">
        <w:rPr>
          <w:rFonts w:ascii="Arial" w:hAnsi="Arial" w:cs="Arial"/>
          <w:b/>
          <w:bCs/>
          <w:sz w:val="22"/>
          <w:lang w:val="es-ES" w:eastAsia="es-ES_tradnl"/>
        </w:rPr>
        <w:t>3. Respuesta:</w:t>
      </w:r>
    </w:p>
    <w:p w14:paraId="67733CB2" w14:textId="77777777" w:rsidR="00851134" w:rsidRPr="00851134" w:rsidRDefault="00851134" w:rsidP="00851134">
      <w:pPr>
        <w:spacing w:line="276" w:lineRule="atLeast"/>
        <w:jc w:val="both"/>
        <w:rPr>
          <w:rFonts w:ascii="Arial" w:hAnsi="Arial" w:cs="Arial"/>
          <w:b/>
          <w:bCs/>
          <w:sz w:val="22"/>
          <w:lang w:val="es-ES" w:eastAsia="es-ES_tradnl"/>
        </w:rPr>
      </w:pPr>
    </w:p>
    <w:p w14:paraId="4AEC6B9B" w14:textId="77777777" w:rsidR="00851134" w:rsidRPr="00851134" w:rsidRDefault="00851134" w:rsidP="00851134">
      <w:pPr>
        <w:spacing w:line="276" w:lineRule="atLeast"/>
        <w:jc w:val="both"/>
        <w:rPr>
          <w:rFonts w:ascii="Arial" w:hAnsi="Arial" w:cs="Arial"/>
          <w:sz w:val="22"/>
          <w:lang w:val="es-ES" w:eastAsia="es-ES_tradnl"/>
        </w:rPr>
      </w:pPr>
      <w:r w:rsidRPr="00851134">
        <w:rPr>
          <w:rFonts w:ascii="Arial" w:hAnsi="Arial" w:cs="Arial"/>
          <w:sz w:val="22"/>
          <w:lang w:val="es-ES" w:eastAsia="es-ES_tradnl"/>
        </w:rPr>
        <w:t>A continuación, se procede a dar respuesta a las preguntas formuladas:</w:t>
      </w:r>
    </w:p>
    <w:p w14:paraId="34066678" w14:textId="77777777" w:rsidR="00335AA9" w:rsidRDefault="00335AA9" w:rsidP="00851134">
      <w:pPr>
        <w:ind w:right="49"/>
        <w:contextualSpacing/>
        <w:jc w:val="both"/>
        <w:rPr>
          <w:rFonts w:ascii="Arial" w:hAnsi="Arial" w:cs="Arial"/>
          <w:b/>
          <w:bCs/>
          <w:i/>
          <w:iCs/>
          <w:sz w:val="22"/>
        </w:rPr>
      </w:pPr>
    </w:p>
    <w:p w14:paraId="55D243F7" w14:textId="77777777" w:rsidR="00335AA9" w:rsidRPr="00335AA9" w:rsidRDefault="00335AA9" w:rsidP="00335AA9">
      <w:pPr>
        <w:ind w:right="49"/>
        <w:contextualSpacing/>
        <w:jc w:val="both"/>
        <w:rPr>
          <w:rFonts w:ascii="Arial" w:hAnsi="Arial" w:cs="Arial"/>
          <w:b/>
          <w:bCs/>
          <w:i/>
          <w:iCs/>
          <w:sz w:val="22"/>
          <w:szCs w:val="20"/>
        </w:rPr>
      </w:pPr>
      <w:r w:rsidRPr="00335AA9">
        <w:rPr>
          <w:rFonts w:ascii="Arial" w:hAnsi="Arial" w:cs="Arial"/>
          <w:b/>
          <w:bCs/>
          <w:i/>
          <w:iCs/>
          <w:sz w:val="22"/>
          <w:szCs w:val="20"/>
        </w:rPr>
        <w:t xml:space="preserve">“2.1. ¿Para celebrar los convenios de asociación es necesario adelantar un proceso de selección público de contratistas previsto en el Estatuto General de Contratación de la Administración Pública para cumplir lo dispuesto en el Artículo 7° del Decreto 092 de 2017 o cuál es el proceso idóneo para la suscripción de ese tipo de convenios? </w:t>
      </w:r>
    </w:p>
    <w:p w14:paraId="7E862DF9" w14:textId="77777777" w:rsidR="00335AA9" w:rsidRDefault="00335AA9" w:rsidP="00335AA9">
      <w:pPr>
        <w:ind w:left="709" w:right="709"/>
        <w:contextualSpacing/>
        <w:jc w:val="both"/>
        <w:rPr>
          <w:rFonts w:ascii="Arial" w:hAnsi="Arial" w:cs="Arial"/>
          <w:sz w:val="22"/>
          <w:szCs w:val="20"/>
        </w:rPr>
      </w:pPr>
    </w:p>
    <w:p w14:paraId="5B83A5EC" w14:textId="4561C855" w:rsidR="00335AA9" w:rsidRPr="00335AA9" w:rsidRDefault="00335AA9" w:rsidP="00335AA9">
      <w:pPr>
        <w:ind w:right="709"/>
        <w:contextualSpacing/>
        <w:jc w:val="both"/>
        <w:rPr>
          <w:rFonts w:ascii="Arial" w:hAnsi="Arial" w:cs="Arial"/>
          <w:b/>
          <w:bCs/>
          <w:sz w:val="22"/>
          <w:szCs w:val="20"/>
        </w:rPr>
      </w:pPr>
      <w:r w:rsidRPr="00335AA9">
        <w:rPr>
          <w:rFonts w:ascii="Arial" w:hAnsi="Arial" w:cs="Arial"/>
          <w:b/>
          <w:bCs/>
          <w:sz w:val="22"/>
          <w:szCs w:val="20"/>
        </w:rPr>
        <w:t>Respuesta:</w:t>
      </w:r>
    </w:p>
    <w:p w14:paraId="215F9371" w14:textId="77777777" w:rsidR="00335AA9" w:rsidRDefault="00335AA9" w:rsidP="00335AA9">
      <w:pPr>
        <w:ind w:right="709"/>
        <w:contextualSpacing/>
        <w:jc w:val="both"/>
        <w:rPr>
          <w:rFonts w:ascii="Arial" w:hAnsi="Arial" w:cs="Arial"/>
          <w:sz w:val="22"/>
          <w:szCs w:val="20"/>
        </w:rPr>
      </w:pPr>
    </w:p>
    <w:p w14:paraId="27097BC2" w14:textId="77777777" w:rsidR="00F0165E" w:rsidRPr="00F0165E" w:rsidRDefault="00F0165E" w:rsidP="00F0165E">
      <w:pPr>
        <w:ind w:right="49"/>
        <w:contextualSpacing/>
        <w:jc w:val="both"/>
        <w:rPr>
          <w:rFonts w:ascii="Arial" w:hAnsi="Arial" w:cs="Arial"/>
          <w:sz w:val="22"/>
          <w:szCs w:val="20"/>
        </w:rPr>
      </w:pPr>
      <w:r w:rsidRPr="00F0165E">
        <w:rPr>
          <w:rFonts w:ascii="Arial" w:hAnsi="Arial" w:cs="Arial"/>
          <w:sz w:val="22"/>
          <w:szCs w:val="20"/>
        </w:rPr>
        <w:t xml:space="preserve">El proceso idóneo para la suscripción de convenios entre entidades públicas y entidades sin ánimo de lucro puede variar dependiendo del tipo de entidad y del objeto del convenio en cuestión. </w:t>
      </w:r>
    </w:p>
    <w:p w14:paraId="31DD787A" w14:textId="77777777" w:rsidR="00F0165E" w:rsidRPr="00F0165E" w:rsidRDefault="00F0165E" w:rsidP="00F0165E">
      <w:pPr>
        <w:ind w:right="49"/>
        <w:contextualSpacing/>
        <w:jc w:val="both"/>
        <w:rPr>
          <w:rFonts w:ascii="Arial" w:hAnsi="Arial" w:cs="Arial"/>
          <w:sz w:val="22"/>
          <w:szCs w:val="20"/>
        </w:rPr>
      </w:pPr>
    </w:p>
    <w:p w14:paraId="7491F4E2" w14:textId="1863A03D" w:rsidR="00F0165E" w:rsidRPr="00F0165E" w:rsidRDefault="00F0165E" w:rsidP="00F0165E">
      <w:pPr>
        <w:ind w:right="49"/>
        <w:contextualSpacing/>
        <w:jc w:val="both"/>
        <w:rPr>
          <w:rFonts w:ascii="Arial" w:hAnsi="Arial" w:cs="Arial"/>
          <w:sz w:val="22"/>
          <w:szCs w:val="20"/>
        </w:rPr>
      </w:pPr>
      <w:r w:rsidRPr="00F0165E">
        <w:rPr>
          <w:rFonts w:ascii="Arial" w:hAnsi="Arial" w:cs="Arial"/>
          <w:sz w:val="22"/>
          <w:szCs w:val="20"/>
        </w:rPr>
        <w:t>Ahora bien, de acuerdo con lo establecido en la Ley 489 de 1998, para celebrar convenios entre entidades públicas y privadas sin ánimo de lucro se requiere adelantar un proceso de selección objetiva, el cual debe estar fundamentado en criterios técnicos, de experiencia y capacidad de la entidad sin ánimo de lucro para desarrollar el objeto del convenio</w:t>
      </w:r>
    </w:p>
    <w:p w14:paraId="48FC6B0F" w14:textId="77777777" w:rsidR="00F0165E" w:rsidRPr="00F0165E" w:rsidRDefault="00F0165E" w:rsidP="00335AA9">
      <w:pPr>
        <w:ind w:right="49"/>
        <w:contextualSpacing/>
        <w:jc w:val="both"/>
        <w:rPr>
          <w:rFonts w:ascii="Arial" w:hAnsi="Arial" w:cs="Arial"/>
          <w:sz w:val="22"/>
          <w:szCs w:val="20"/>
        </w:rPr>
      </w:pPr>
    </w:p>
    <w:p w14:paraId="52E16260" w14:textId="77777777" w:rsidR="00F0165E" w:rsidRPr="00F0165E" w:rsidRDefault="00F0165E" w:rsidP="00F0165E">
      <w:pPr>
        <w:ind w:right="49"/>
        <w:contextualSpacing/>
        <w:jc w:val="both"/>
        <w:rPr>
          <w:rFonts w:ascii="Arial" w:hAnsi="Arial" w:cs="Arial"/>
          <w:sz w:val="22"/>
          <w:szCs w:val="20"/>
        </w:rPr>
      </w:pPr>
      <w:r w:rsidRPr="00F0165E">
        <w:rPr>
          <w:rFonts w:ascii="Arial" w:hAnsi="Arial" w:cs="Arial"/>
          <w:sz w:val="22"/>
          <w:szCs w:val="20"/>
        </w:rPr>
        <w:t xml:space="preserve">El artículo 7° del Decreto 092 de 2017 establece que los convenios de asociación que celebren las entidades estatales deben ser adelantados mediante un proceso de selección </w:t>
      </w:r>
      <w:r w:rsidRPr="00F0165E">
        <w:rPr>
          <w:rFonts w:ascii="Arial" w:hAnsi="Arial" w:cs="Arial"/>
          <w:sz w:val="22"/>
          <w:szCs w:val="20"/>
        </w:rPr>
        <w:lastRenderedPageBreak/>
        <w:t>pública de contratistas, en el que se deben garantizar los principios de transparencia, igualdad, economía, eficacia, eficiencia y publicidad.</w:t>
      </w:r>
    </w:p>
    <w:p w14:paraId="2B87DA2A" w14:textId="77777777" w:rsidR="00F0165E" w:rsidRPr="00F0165E" w:rsidRDefault="00F0165E" w:rsidP="00F0165E">
      <w:pPr>
        <w:ind w:right="49"/>
        <w:contextualSpacing/>
        <w:jc w:val="both"/>
        <w:rPr>
          <w:rFonts w:ascii="Arial" w:hAnsi="Arial" w:cs="Arial"/>
          <w:sz w:val="22"/>
          <w:szCs w:val="20"/>
        </w:rPr>
      </w:pPr>
    </w:p>
    <w:p w14:paraId="15C93635" w14:textId="77777777" w:rsidR="00F0165E" w:rsidRPr="00F0165E" w:rsidRDefault="00F0165E" w:rsidP="00F0165E">
      <w:pPr>
        <w:ind w:right="49"/>
        <w:contextualSpacing/>
        <w:jc w:val="both"/>
        <w:rPr>
          <w:rFonts w:ascii="Arial" w:hAnsi="Arial" w:cs="Arial"/>
          <w:sz w:val="22"/>
          <w:szCs w:val="20"/>
        </w:rPr>
      </w:pPr>
      <w:r w:rsidRPr="00F0165E">
        <w:rPr>
          <w:rFonts w:ascii="Arial" w:hAnsi="Arial" w:cs="Arial"/>
          <w:sz w:val="22"/>
          <w:szCs w:val="20"/>
        </w:rPr>
        <w:t>Esto significa que antes de celebrar un convenio de asociación, la entidad pública debe realizar un proceso de selección para escoger al contratista que va a participar en el convenio. Este proceso debe ser objetivo y transparente, y debe garantizar la participación de todos los interesados que cumplan con los requisitos establecidos en los términos de referencia o pliegos de condiciones.</w:t>
      </w:r>
    </w:p>
    <w:p w14:paraId="1E12D0CF" w14:textId="77777777" w:rsidR="00F0165E" w:rsidRDefault="00F0165E" w:rsidP="00335AA9">
      <w:pPr>
        <w:ind w:right="49"/>
        <w:contextualSpacing/>
        <w:jc w:val="both"/>
        <w:rPr>
          <w:rFonts w:ascii="Arial" w:hAnsi="Arial" w:cs="Arial"/>
          <w:color w:val="4472C4" w:themeColor="accent1"/>
          <w:sz w:val="22"/>
          <w:szCs w:val="20"/>
        </w:rPr>
      </w:pPr>
    </w:p>
    <w:p w14:paraId="7DBCB1E1" w14:textId="6755C2C5" w:rsidR="002F7CB0" w:rsidRPr="00CD1E56" w:rsidRDefault="002F7CB0" w:rsidP="002F7CB0">
      <w:pPr>
        <w:spacing w:line="276" w:lineRule="auto"/>
        <w:jc w:val="both"/>
        <w:rPr>
          <w:rFonts w:ascii="Arial" w:eastAsia="Calibri" w:hAnsi="Arial" w:cs="Arial"/>
          <w:sz w:val="22"/>
        </w:rPr>
      </w:pPr>
      <w:r w:rsidRPr="00CD1E56">
        <w:rPr>
          <w:rFonts w:ascii="Arial" w:eastAsia="Calibri" w:hAnsi="Arial" w:cs="Arial"/>
          <w:sz w:val="22"/>
        </w:rPr>
        <w:t>Por su parte</w:t>
      </w:r>
      <w:r w:rsidR="00CD1E56">
        <w:rPr>
          <w:rFonts w:ascii="Arial" w:eastAsia="Calibri" w:hAnsi="Arial" w:cs="Arial"/>
          <w:sz w:val="22"/>
        </w:rPr>
        <w:t xml:space="preserve">, </w:t>
      </w:r>
      <w:r w:rsidRPr="00CD1E56">
        <w:rPr>
          <w:rFonts w:ascii="Arial" w:eastAsia="Calibri" w:hAnsi="Arial" w:cs="Arial"/>
          <w:sz w:val="22"/>
        </w:rPr>
        <w:t xml:space="preserve">el artículo 5 del Decreto 092 de 2017 establece que el proceso para la selección de la ESAL, por regla general, debe estar sujeto a competencia; salvo en aquellos casos en que una entidad sin ánimo de lucro comprometa recursos en dinero por un valor igual o superior al 30% del valor total del convenio, y siempre que la entidad estatal verifique previamente que no existe ninguna otra entidad sin ánimo de lucro que ofrezca aportes iguales o superiores al 30%. </w:t>
      </w:r>
    </w:p>
    <w:p w14:paraId="4F3AB18F" w14:textId="77777777" w:rsidR="002F7CB0" w:rsidRDefault="002F7CB0" w:rsidP="00335AA9">
      <w:pPr>
        <w:ind w:right="49"/>
        <w:contextualSpacing/>
        <w:jc w:val="both"/>
        <w:rPr>
          <w:rFonts w:ascii="Arial" w:hAnsi="Arial" w:cs="Arial"/>
          <w:color w:val="4472C4" w:themeColor="accent1"/>
          <w:sz w:val="22"/>
          <w:szCs w:val="20"/>
        </w:rPr>
      </w:pPr>
    </w:p>
    <w:p w14:paraId="25C29CDE" w14:textId="77777777" w:rsidR="002F7CB0" w:rsidRDefault="002F7CB0" w:rsidP="00335AA9">
      <w:pPr>
        <w:ind w:right="49"/>
        <w:contextualSpacing/>
        <w:jc w:val="both"/>
        <w:rPr>
          <w:rFonts w:ascii="Arial" w:hAnsi="Arial" w:cs="Arial"/>
          <w:color w:val="4472C4" w:themeColor="accent1"/>
          <w:sz w:val="22"/>
          <w:szCs w:val="20"/>
        </w:rPr>
      </w:pPr>
    </w:p>
    <w:p w14:paraId="7C9EA217" w14:textId="693ECF14" w:rsidR="00335AA9" w:rsidRPr="00CD6330" w:rsidRDefault="002443B9" w:rsidP="00CD6330">
      <w:pPr>
        <w:ind w:right="49"/>
        <w:contextualSpacing/>
        <w:jc w:val="both"/>
        <w:rPr>
          <w:rFonts w:ascii="Arial" w:hAnsi="Arial" w:cs="Arial"/>
          <w:b/>
          <w:bCs/>
          <w:i/>
          <w:iCs/>
          <w:sz w:val="22"/>
          <w:szCs w:val="20"/>
        </w:rPr>
      </w:pPr>
      <w:r>
        <w:rPr>
          <w:rFonts w:ascii="Arial" w:hAnsi="Arial" w:cs="Arial"/>
          <w:b/>
          <w:bCs/>
          <w:i/>
          <w:iCs/>
          <w:sz w:val="22"/>
          <w:szCs w:val="20"/>
        </w:rPr>
        <w:t>“</w:t>
      </w:r>
      <w:r w:rsidR="00335AA9" w:rsidRPr="00CD6330">
        <w:rPr>
          <w:rFonts w:ascii="Arial" w:hAnsi="Arial" w:cs="Arial"/>
          <w:b/>
          <w:bCs/>
          <w:i/>
          <w:iCs/>
          <w:sz w:val="22"/>
          <w:szCs w:val="20"/>
        </w:rPr>
        <w:t>2.2. De acuerdo con el Artículo 4° del Decreto 092 de 2017, indíquenme:</w:t>
      </w:r>
      <w:r w:rsidR="00CD6330">
        <w:rPr>
          <w:rFonts w:ascii="Arial" w:hAnsi="Arial" w:cs="Arial"/>
          <w:b/>
          <w:bCs/>
          <w:i/>
          <w:iCs/>
          <w:sz w:val="22"/>
          <w:szCs w:val="20"/>
        </w:rPr>
        <w:t xml:space="preserve">                                      </w:t>
      </w:r>
      <w:r w:rsidR="00335AA9" w:rsidRPr="00CD6330">
        <w:rPr>
          <w:rFonts w:ascii="Arial" w:hAnsi="Arial" w:cs="Arial"/>
          <w:b/>
          <w:bCs/>
          <w:i/>
          <w:iCs/>
          <w:sz w:val="22"/>
          <w:szCs w:val="20"/>
        </w:rPr>
        <w:t xml:space="preserve"> 2.2.1. ¿Cuál es el fin del proceso competitivo? </w:t>
      </w:r>
    </w:p>
    <w:p w14:paraId="6CBD3747" w14:textId="77777777" w:rsidR="00335AA9" w:rsidRPr="00CD6330" w:rsidRDefault="00335AA9" w:rsidP="00CD6330">
      <w:pPr>
        <w:ind w:right="49"/>
        <w:contextualSpacing/>
        <w:jc w:val="both"/>
        <w:rPr>
          <w:rFonts w:ascii="Arial" w:hAnsi="Arial" w:cs="Arial"/>
          <w:b/>
          <w:bCs/>
          <w:i/>
          <w:iCs/>
          <w:sz w:val="22"/>
          <w:szCs w:val="20"/>
        </w:rPr>
      </w:pPr>
      <w:r w:rsidRPr="00CD6330">
        <w:rPr>
          <w:rFonts w:ascii="Arial" w:hAnsi="Arial" w:cs="Arial"/>
          <w:b/>
          <w:bCs/>
          <w:i/>
          <w:iCs/>
          <w:sz w:val="22"/>
          <w:szCs w:val="20"/>
        </w:rPr>
        <w:t xml:space="preserve">2.2.2. ¿Cuáles son sus características? </w:t>
      </w:r>
    </w:p>
    <w:p w14:paraId="31FE806D" w14:textId="77777777" w:rsidR="00335AA9" w:rsidRPr="00CD6330" w:rsidRDefault="00335AA9" w:rsidP="00CD6330">
      <w:pPr>
        <w:ind w:right="49"/>
        <w:contextualSpacing/>
        <w:jc w:val="both"/>
        <w:rPr>
          <w:rFonts w:ascii="Arial" w:hAnsi="Arial" w:cs="Arial"/>
          <w:b/>
          <w:bCs/>
          <w:i/>
          <w:iCs/>
          <w:sz w:val="22"/>
          <w:szCs w:val="20"/>
        </w:rPr>
      </w:pPr>
      <w:r w:rsidRPr="00CD6330">
        <w:rPr>
          <w:rFonts w:ascii="Arial" w:hAnsi="Arial" w:cs="Arial"/>
          <w:b/>
          <w:bCs/>
          <w:i/>
          <w:iCs/>
          <w:sz w:val="22"/>
          <w:szCs w:val="20"/>
        </w:rPr>
        <w:t xml:space="preserve">2.2.3. ¿Qué etapas tiene ese proceso? </w:t>
      </w:r>
    </w:p>
    <w:p w14:paraId="0B91A327" w14:textId="77D34B06" w:rsidR="00335AA9" w:rsidRPr="00CD6330" w:rsidRDefault="00335AA9" w:rsidP="00CD6330">
      <w:pPr>
        <w:ind w:right="49"/>
        <w:contextualSpacing/>
        <w:jc w:val="both"/>
        <w:rPr>
          <w:rFonts w:ascii="Arial" w:hAnsi="Arial" w:cs="Arial"/>
          <w:b/>
          <w:bCs/>
          <w:i/>
          <w:iCs/>
          <w:sz w:val="22"/>
          <w:szCs w:val="20"/>
        </w:rPr>
      </w:pPr>
      <w:r w:rsidRPr="00CD6330">
        <w:rPr>
          <w:rFonts w:ascii="Arial" w:hAnsi="Arial" w:cs="Arial"/>
          <w:b/>
          <w:bCs/>
          <w:i/>
          <w:iCs/>
          <w:sz w:val="22"/>
          <w:szCs w:val="20"/>
        </w:rPr>
        <w:t>2.2.4. ¿Existe alguna disposición legal que describa bajo que términos deberán llevar a cabo cada una de sus etapas?</w:t>
      </w:r>
      <w:r w:rsidR="002443B9">
        <w:rPr>
          <w:rFonts w:ascii="Arial" w:hAnsi="Arial" w:cs="Arial"/>
          <w:b/>
          <w:bCs/>
          <w:i/>
          <w:iCs/>
          <w:sz w:val="22"/>
          <w:szCs w:val="20"/>
        </w:rPr>
        <w:t>”</w:t>
      </w:r>
      <w:r w:rsidRPr="00CD6330">
        <w:rPr>
          <w:rFonts w:ascii="Arial" w:hAnsi="Arial" w:cs="Arial"/>
          <w:b/>
          <w:bCs/>
          <w:i/>
          <w:iCs/>
          <w:sz w:val="22"/>
          <w:szCs w:val="20"/>
        </w:rPr>
        <w:t xml:space="preserve"> </w:t>
      </w:r>
    </w:p>
    <w:p w14:paraId="6D2CC291" w14:textId="77777777" w:rsidR="00335AA9" w:rsidRDefault="00335AA9" w:rsidP="00335AA9">
      <w:pPr>
        <w:ind w:left="709" w:right="709"/>
        <w:contextualSpacing/>
        <w:jc w:val="both"/>
        <w:rPr>
          <w:rFonts w:ascii="Arial" w:hAnsi="Arial" w:cs="Arial"/>
          <w:i/>
          <w:iCs/>
          <w:sz w:val="22"/>
          <w:szCs w:val="20"/>
        </w:rPr>
      </w:pPr>
    </w:p>
    <w:p w14:paraId="60FC7508" w14:textId="5C190BFE" w:rsidR="00CD6330" w:rsidRPr="00CD6330" w:rsidRDefault="00CD6330" w:rsidP="00CD6330">
      <w:pPr>
        <w:ind w:right="49"/>
        <w:contextualSpacing/>
        <w:jc w:val="both"/>
        <w:rPr>
          <w:rFonts w:ascii="Arial" w:hAnsi="Arial" w:cs="Arial"/>
          <w:b/>
          <w:bCs/>
          <w:sz w:val="22"/>
          <w:szCs w:val="20"/>
        </w:rPr>
      </w:pPr>
      <w:r w:rsidRPr="00CD6330">
        <w:rPr>
          <w:rFonts w:ascii="Arial" w:hAnsi="Arial" w:cs="Arial"/>
          <w:b/>
          <w:bCs/>
          <w:sz w:val="22"/>
          <w:szCs w:val="20"/>
        </w:rPr>
        <w:t>Respuesta:</w:t>
      </w:r>
    </w:p>
    <w:p w14:paraId="5A22F8DB" w14:textId="77777777" w:rsidR="00CD6330" w:rsidRDefault="00CD6330" w:rsidP="00CD6330">
      <w:pPr>
        <w:ind w:right="49"/>
        <w:contextualSpacing/>
        <w:jc w:val="both"/>
        <w:rPr>
          <w:rFonts w:ascii="Arial" w:hAnsi="Arial" w:cs="Arial"/>
          <w:sz w:val="22"/>
          <w:szCs w:val="20"/>
        </w:rPr>
      </w:pPr>
    </w:p>
    <w:p w14:paraId="5D465C1A" w14:textId="502297B6" w:rsidR="00CD6330" w:rsidRPr="00CD6330" w:rsidRDefault="00CD6330" w:rsidP="00CD6330">
      <w:pPr>
        <w:ind w:right="49"/>
        <w:contextualSpacing/>
        <w:jc w:val="both"/>
        <w:rPr>
          <w:rFonts w:ascii="Arial" w:hAnsi="Arial" w:cs="Arial"/>
          <w:sz w:val="22"/>
          <w:szCs w:val="20"/>
        </w:rPr>
      </w:pPr>
      <w:r w:rsidRPr="00CD6330">
        <w:rPr>
          <w:rFonts w:ascii="Arial" w:hAnsi="Arial" w:cs="Arial"/>
          <w:sz w:val="22"/>
          <w:szCs w:val="20"/>
        </w:rPr>
        <w:t>El artículo 4° del Decreto 092 de 2017 establece que los convenios de asociación que celebren las entidades estatales con entidades sin ánimo de lucro deben tener como objeto la realización de actividades de interés público, cuyo desarrollo pueda ser realizado de manera conjunta entre ambas partes, y que se encuentren dentro del marco de sus competencias y funciones.</w:t>
      </w:r>
    </w:p>
    <w:p w14:paraId="6F483E2A" w14:textId="77777777" w:rsidR="00CD6330" w:rsidRPr="00CD6330" w:rsidRDefault="00CD6330" w:rsidP="00CD6330">
      <w:pPr>
        <w:ind w:right="49"/>
        <w:contextualSpacing/>
        <w:jc w:val="both"/>
        <w:rPr>
          <w:rFonts w:ascii="Arial" w:hAnsi="Arial" w:cs="Arial"/>
          <w:sz w:val="22"/>
          <w:szCs w:val="20"/>
        </w:rPr>
      </w:pPr>
    </w:p>
    <w:p w14:paraId="4185C09A" w14:textId="77777777" w:rsidR="00CD6330" w:rsidRPr="00CD6330" w:rsidRDefault="00CD6330" w:rsidP="00CD6330">
      <w:pPr>
        <w:ind w:right="49"/>
        <w:contextualSpacing/>
        <w:jc w:val="both"/>
        <w:rPr>
          <w:rFonts w:ascii="Arial" w:hAnsi="Arial" w:cs="Arial"/>
          <w:sz w:val="22"/>
          <w:szCs w:val="20"/>
        </w:rPr>
      </w:pPr>
      <w:r w:rsidRPr="00CD6330">
        <w:rPr>
          <w:rFonts w:ascii="Arial" w:hAnsi="Arial" w:cs="Arial"/>
          <w:sz w:val="22"/>
          <w:szCs w:val="20"/>
        </w:rPr>
        <w:t>En otras palabras, este artículo establece que los convenios de asociación deben tener un objeto claro y específico, que tenga como finalidad la realización de actividades que sean de interés público y que puedan ser desarrolladas de manera colaborativa entre la entidad estatal y la entidad sin ánimo de lucro.</w:t>
      </w:r>
    </w:p>
    <w:p w14:paraId="433AAACA" w14:textId="77777777" w:rsidR="00CD6330" w:rsidRPr="00CD6330" w:rsidRDefault="00CD6330" w:rsidP="00CD6330">
      <w:pPr>
        <w:ind w:right="49"/>
        <w:contextualSpacing/>
        <w:jc w:val="both"/>
        <w:rPr>
          <w:rFonts w:ascii="Arial" w:hAnsi="Arial" w:cs="Arial"/>
          <w:sz w:val="22"/>
          <w:szCs w:val="20"/>
        </w:rPr>
      </w:pPr>
    </w:p>
    <w:p w14:paraId="6853AD33" w14:textId="4278D99D" w:rsidR="007E0D52" w:rsidRPr="007E0D52" w:rsidRDefault="007E0D52" w:rsidP="007E0D52">
      <w:pPr>
        <w:ind w:right="49"/>
        <w:contextualSpacing/>
        <w:jc w:val="both"/>
        <w:rPr>
          <w:rFonts w:ascii="Arial" w:hAnsi="Arial" w:cs="Arial"/>
          <w:sz w:val="22"/>
          <w:szCs w:val="20"/>
        </w:rPr>
      </w:pPr>
      <w:r>
        <w:rPr>
          <w:rFonts w:ascii="Arial" w:hAnsi="Arial" w:cs="Arial"/>
          <w:sz w:val="22"/>
          <w:szCs w:val="20"/>
        </w:rPr>
        <w:t>Ahora bien, l</w:t>
      </w:r>
      <w:r w:rsidRPr="007E0D52">
        <w:rPr>
          <w:rFonts w:ascii="Arial" w:hAnsi="Arial" w:cs="Arial"/>
          <w:sz w:val="22"/>
          <w:szCs w:val="20"/>
        </w:rPr>
        <w:t xml:space="preserve">a finalidad del proceso competitivo establecido en el </w:t>
      </w:r>
      <w:r>
        <w:rPr>
          <w:rFonts w:ascii="Arial" w:hAnsi="Arial" w:cs="Arial"/>
          <w:sz w:val="22"/>
          <w:szCs w:val="20"/>
        </w:rPr>
        <w:t xml:space="preserve">mencionado </w:t>
      </w:r>
      <w:r w:rsidRPr="007E0D52">
        <w:rPr>
          <w:rFonts w:ascii="Arial" w:hAnsi="Arial" w:cs="Arial"/>
          <w:sz w:val="22"/>
          <w:szCs w:val="20"/>
        </w:rPr>
        <w:t>artículo 4° es garantizar la transparencia y la selección objetiva del contratista que celebrará el convenio de asociación con la entidad estatal.</w:t>
      </w:r>
    </w:p>
    <w:p w14:paraId="6D286573" w14:textId="77777777" w:rsidR="007E0D52" w:rsidRPr="007E0D52" w:rsidRDefault="007E0D52" w:rsidP="007E0D52">
      <w:pPr>
        <w:ind w:right="49"/>
        <w:contextualSpacing/>
        <w:jc w:val="both"/>
        <w:rPr>
          <w:rFonts w:ascii="Arial" w:hAnsi="Arial" w:cs="Arial"/>
          <w:sz w:val="22"/>
          <w:szCs w:val="20"/>
        </w:rPr>
      </w:pPr>
    </w:p>
    <w:p w14:paraId="41C8EA82" w14:textId="2F63310A" w:rsidR="007E0D52" w:rsidRPr="007E0D52" w:rsidRDefault="007E0D52" w:rsidP="007E0D52">
      <w:pPr>
        <w:ind w:right="49"/>
        <w:contextualSpacing/>
        <w:jc w:val="both"/>
        <w:rPr>
          <w:rFonts w:ascii="Arial" w:hAnsi="Arial" w:cs="Arial"/>
          <w:sz w:val="22"/>
          <w:szCs w:val="20"/>
        </w:rPr>
      </w:pPr>
      <w:r w:rsidRPr="007E0D52">
        <w:rPr>
          <w:rFonts w:ascii="Arial" w:hAnsi="Arial" w:cs="Arial"/>
          <w:sz w:val="22"/>
          <w:szCs w:val="20"/>
        </w:rPr>
        <w:t xml:space="preserve">Este proceso competitivo debe ser realizado en igualdad de condiciones y debe permitir la participación de todas las entidades sin ánimo de lucro interesadas y que cumplan con los requisitos establecidos en los términos de referencia o pliegos de condiciones. De esta manera, se busca promover la participación de las entidades sin ánimo de lucro y asegurar </w:t>
      </w:r>
      <w:r w:rsidRPr="007E0D52">
        <w:rPr>
          <w:rFonts w:ascii="Arial" w:hAnsi="Arial" w:cs="Arial"/>
          <w:sz w:val="22"/>
          <w:szCs w:val="20"/>
        </w:rPr>
        <w:lastRenderedPageBreak/>
        <w:t>la selección del contratista que ofrezca la mejor calidad, eficiencia y eficacia en la realización de las actividades contempladas en el convenio de asociación.</w:t>
      </w:r>
    </w:p>
    <w:p w14:paraId="53D94F46" w14:textId="77777777" w:rsidR="007E0D52" w:rsidRPr="007E0D52" w:rsidRDefault="007E0D52" w:rsidP="007E0D52">
      <w:pPr>
        <w:ind w:right="49"/>
        <w:contextualSpacing/>
        <w:jc w:val="both"/>
        <w:rPr>
          <w:rFonts w:ascii="Arial" w:hAnsi="Arial" w:cs="Arial"/>
          <w:sz w:val="22"/>
          <w:szCs w:val="20"/>
        </w:rPr>
      </w:pPr>
    </w:p>
    <w:p w14:paraId="52C3064C" w14:textId="77777777" w:rsidR="007E0D52" w:rsidRPr="007E0D52" w:rsidRDefault="007E0D52" w:rsidP="007E0D52">
      <w:pPr>
        <w:ind w:right="49"/>
        <w:contextualSpacing/>
        <w:jc w:val="both"/>
        <w:rPr>
          <w:rFonts w:ascii="Arial" w:hAnsi="Arial" w:cs="Arial"/>
          <w:sz w:val="22"/>
          <w:szCs w:val="20"/>
        </w:rPr>
      </w:pPr>
      <w:r w:rsidRPr="007E0D52">
        <w:rPr>
          <w:rFonts w:ascii="Arial" w:hAnsi="Arial" w:cs="Arial"/>
          <w:sz w:val="22"/>
          <w:szCs w:val="20"/>
        </w:rPr>
        <w:t>Además, el proceso competitivo tiene como objetivo garantizar el cumplimiento de los principios de transparencia, igualdad, publicidad y selección objetiva que rigen la contratación pública en Colombia. De esta manera, se evita la posibilidad de favoritismos o de que se seleccionen contratistas sin los méritos necesarios para la ejecución de los proyectos y actividades.</w:t>
      </w:r>
    </w:p>
    <w:p w14:paraId="1ED57198" w14:textId="77777777" w:rsidR="007E0D52" w:rsidRPr="007E0D52" w:rsidRDefault="007E0D52" w:rsidP="007E0D52">
      <w:pPr>
        <w:ind w:right="49"/>
        <w:contextualSpacing/>
        <w:jc w:val="both"/>
        <w:rPr>
          <w:rFonts w:ascii="Arial" w:hAnsi="Arial" w:cs="Arial"/>
          <w:sz w:val="22"/>
          <w:szCs w:val="20"/>
        </w:rPr>
      </w:pPr>
    </w:p>
    <w:p w14:paraId="693125BE" w14:textId="77777777" w:rsidR="00335AA9" w:rsidRPr="007E0D52" w:rsidRDefault="00335AA9" w:rsidP="007E0D52">
      <w:pPr>
        <w:ind w:right="49"/>
        <w:contextualSpacing/>
        <w:jc w:val="both"/>
        <w:rPr>
          <w:rFonts w:ascii="Arial" w:hAnsi="Arial" w:cs="Arial"/>
          <w:b/>
          <w:bCs/>
          <w:i/>
          <w:iCs/>
          <w:sz w:val="22"/>
          <w:szCs w:val="20"/>
        </w:rPr>
      </w:pPr>
      <w:r w:rsidRPr="007E0D52">
        <w:rPr>
          <w:rFonts w:ascii="Arial" w:hAnsi="Arial" w:cs="Arial"/>
          <w:b/>
          <w:bCs/>
          <w:i/>
          <w:iCs/>
          <w:sz w:val="22"/>
          <w:szCs w:val="20"/>
        </w:rPr>
        <w:t xml:space="preserve">2.3. ¿El término razonable al que se refiere el inciso 2° del Artículo 4° del Decreto 092 de 2017 ha sido definido por alguna disposición legal o las entidades públicas, en el ejercicio de su autonomía, son quienes lo determinan? </w:t>
      </w:r>
    </w:p>
    <w:p w14:paraId="1D81C79C" w14:textId="77777777" w:rsidR="00335AA9" w:rsidRPr="007E0D52" w:rsidRDefault="00335AA9" w:rsidP="00335AA9">
      <w:pPr>
        <w:ind w:left="709" w:right="709"/>
        <w:contextualSpacing/>
        <w:jc w:val="both"/>
        <w:rPr>
          <w:rFonts w:ascii="Arial" w:hAnsi="Arial" w:cs="Arial"/>
          <w:i/>
          <w:iCs/>
          <w:sz w:val="22"/>
          <w:szCs w:val="20"/>
        </w:rPr>
      </w:pPr>
    </w:p>
    <w:p w14:paraId="07BD3BB8" w14:textId="397C2731" w:rsidR="007E0D52" w:rsidRPr="007E0D52" w:rsidRDefault="007E0D52" w:rsidP="007E0D52">
      <w:pPr>
        <w:ind w:right="709"/>
        <w:contextualSpacing/>
        <w:jc w:val="both"/>
        <w:rPr>
          <w:rFonts w:ascii="Arial" w:hAnsi="Arial" w:cs="Arial"/>
          <w:b/>
          <w:bCs/>
          <w:i/>
          <w:iCs/>
          <w:sz w:val="22"/>
          <w:szCs w:val="20"/>
        </w:rPr>
      </w:pPr>
      <w:r w:rsidRPr="007E0D52">
        <w:rPr>
          <w:rFonts w:ascii="Arial" w:hAnsi="Arial" w:cs="Arial"/>
          <w:b/>
          <w:bCs/>
          <w:i/>
          <w:iCs/>
          <w:sz w:val="22"/>
          <w:szCs w:val="20"/>
        </w:rPr>
        <w:t>2.4. ¿Puede entenderse que un término de 2 días para la presentación de ofertas, en el desarrollo de un proceso competitivo, es razonable?</w:t>
      </w:r>
    </w:p>
    <w:p w14:paraId="3F5AE6CF" w14:textId="77777777" w:rsidR="007E0D52" w:rsidRDefault="007E0D52" w:rsidP="007E0D52">
      <w:pPr>
        <w:ind w:right="709"/>
        <w:contextualSpacing/>
        <w:jc w:val="both"/>
        <w:rPr>
          <w:rFonts w:ascii="Arial" w:hAnsi="Arial" w:cs="Arial"/>
          <w:b/>
          <w:bCs/>
          <w:sz w:val="22"/>
          <w:szCs w:val="20"/>
        </w:rPr>
      </w:pPr>
    </w:p>
    <w:p w14:paraId="1381C77D" w14:textId="77777777" w:rsidR="007E0D52" w:rsidRDefault="007E0D52" w:rsidP="007E0D52">
      <w:pPr>
        <w:ind w:right="709"/>
        <w:contextualSpacing/>
        <w:jc w:val="both"/>
        <w:rPr>
          <w:rFonts w:ascii="Arial" w:hAnsi="Arial" w:cs="Arial"/>
          <w:b/>
          <w:bCs/>
          <w:sz w:val="22"/>
          <w:szCs w:val="20"/>
        </w:rPr>
      </w:pPr>
    </w:p>
    <w:p w14:paraId="11E5EA22" w14:textId="4EB8D356" w:rsidR="007E0D52" w:rsidRDefault="007E0D52" w:rsidP="007E0D52">
      <w:pPr>
        <w:ind w:right="709"/>
        <w:contextualSpacing/>
        <w:jc w:val="both"/>
        <w:rPr>
          <w:rFonts w:ascii="Arial" w:hAnsi="Arial" w:cs="Arial"/>
          <w:b/>
          <w:bCs/>
          <w:sz w:val="22"/>
          <w:szCs w:val="20"/>
        </w:rPr>
      </w:pPr>
      <w:r w:rsidRPr="007E0D52">
        <w:rPr>
          <w:rFonts w:ascii="Arial" w:hAnsi="Arial" w:cs="Arial"/>
          <w:b/>
          <w:bCs/>
          <w:sz w:val="22"/>
          <w:szCs w:val="20"/>
        </w:rPr>
        <w:t xml:space="preserve">Respuesta: </w:t>
      </w:r>
    </w:p>
    <w:p w14:paraId="3A45D6F9" w14:textId="77777777" w:rsidR="007E0D52" w:rsidRDefault="007E0D52" w:rsidP="007E0D52">
      <w:pPr>
        <w:ind w:right="709"/>
        <w:contextualSpacing/>
        <w:jc w:val="both"/>
        <w:rPr>
          <w:rFonts w:ascii="Arial" w:hAnsi="Arial" w:cs="Arial"/>
          <w:b/>
          <w:bCs/>
          <w:sz w:val="22"/>
          <w:szCs w:val="20"/>
        </w:rPr>
      </w:pPr>
    </w:p>
    <w:p w14:paraId="6C613EF6" w14:textId="77777777" w:rsidR="007E0D52" w:rsidRPr="007E0D52" w:rsidRDefault="007E0D52" w:rsidP="007E0D52">
      <w:pPr>
        <w:ind w:right="49"/>
        <w:contextualSpacing/>
        <w:jc w:val="both"/>
        <w:rPr>
          <w:rFonts w:ascii="Arial" w:hAnsi="Arial" w:cs="Arial"/>
          <w:sz w:val="22"/>
          <w:szCs w:val="20"/>
        </w:rPr>
      </w:pPr>
      <w:r w:rsidRPr="007E0D52">
        <w:rPr>
          <w:rFonts w:ascii="Arial" w:hAnsi="Arial" w:cs="Arial"/>
          <w:sz w:val="22"/>
          <w:szCs w:val="20"/>
        </w:rPr>
        <w:t>El término "razonable" al que se refiere el inciso 2° del artículo 4° del Decreto 092 de 2017 no ha sido definido de manera específica por alguna disposición legal. Por lo tanto, las entidades públicas tienen cierta autonomía para determinar lo que se considera un plazo razonable para la realización del proceso de selección pública de contratistas para la celebración de un convenio de asociación con una entidad sin ánimo de lucro.</w:t>
      </w:r>
    </w:p>
    <w:p w14:paraId="69B94ED0" w14:textId="77777777" w:rsidR="007E0D52" w:rsidRPr="007E0D52" w:rsidRDefault="007E0D52" w:rsidP="007E0D52">
      <w:pPr>
        <w:ind w:right="49"/>
        <w:contextualSpacing/>
        <w:jc w:val="both"/>
        <w:rPr>
          <w:rFonts w:ascii="Arial" w:hAnsi="Arial" w:cs="Arial"/>
          <w:sz w:val="22"/>
          <w:szCs w:val="20"/>
        </w:rPr>
      </w:pPr>
    </w:p>
    <w:p w14:paraId="05116DB0" w14:textId="77777777" w:rsidR="007E0D52" w:rsidRPr="007E0D52" w:rsidRDefault="007E0D52" w:rsidP="007E0D52">
      <w:pPr>
        <w:ind w:right="49"/>
        <w:contextualSpacing/>
        <w:jc w:val="both"/>
        <w:rPr>
          <w:rFonts w:ascii="Arial" w:hAnsi="Arial" w:cs="Arial"/>
          <w:sz w:val="22"/>
          <w:szCs w:val="20"/>
        </w:rPr>
      </w:pPr>
      <w:r w:rsidRPr="007E0D52">
        <w:rPr>
          <w:rFonts w:ascii="Arial" w:hAnsi="Arial" w:cs="Arial"/>
          <w:sz w:val="22"/>
          <w:szCs w:val="20"/>
        </w:rPr>
        <w:t>Sin embargo, es importante tener en cuenta que el término "razonable" debe ser interpretado de manera objetiva, teniendo en cuenta los principios de eficiencia, economía y celeridad en la contratación pública, así como la necesidad de asegurar que el proceso de selección pública de contratistas sea lo suficientemente amplio y competitivo como para garantizar la selección del contratista que ofrezca las mejores condiciones y la mayor calidad en la ejecución de las actividades contempladas en el convenio de asociación.</w:t>
      </w:r>
    </w:p>
    <w:p w14:paraId="08A9B08A" w14:textId="77777777" w:rsidR="007E0D52" w:rsidRPr="007E0D52" w:rsidRDefault="007E0D52" w:rsidP="007E0D52">
      <w:pPr>
        <w:ind w:right="49"/>
        <w:contextualSpacing/>
        <w:jc w:val="both"/>
        <w:rPr>
          <w:rFonts w:ascii="Arial" w:hAnsi="Arial" w:cs="Arial"/>
          <w:sz w:val="22"/>
          <w:szCs w:val="20"/>
        </w:rPr>
      </w:pPr>
    </w:p>
    <w:p w14:paraId="69ED426F" w14:textId="70E64910" w:rsidR="007E0D52" w:rsidRPr="007E0D52" w:rsidRDefault="007E0D52" w:rsidP="007E0D52">
      <w:pPr>
        <w:ind w:right="49"/>
        <w:contextualSpacing/>
        <w:jc w:val="both"/>
        <w:rPr>
          <w:rFonts w:ascii="Arial" w:hAnsi="Arial" w:cs="Arial"/>
          <w:sz w:val="22"/>
          <w:szCs w:val="20"/>
        </w:rPr>
      </w:pPr>
      <w:r w:rsidRPr="007E0D52">
        <w:rPr>
          <w:rFonts w:ascii="Arial" w:hAnsi="Arial" w:cs="Arial"/>
          <w:sz w:val="22"/>
          <w:szCs w:val="20"/>
        </w:rPr>
        <w:t>Por lo tanto, se espera que las entidades públicas establezcan un plazo razonable para la realización del proceso de selección pública de contratistas para la celebración de un convenio de asociación, teniendo en cuenta las circunstancias específicas del caso y procurando que el plazo no sea excesivamente largo, lo que podría generar demoras innecesarias en la ejecución del convenio, ni demasiado corto, lo que podría limitar la participación de las entidades sin ánimo de lucro interesadas en el proceso.</w:t>
      </w:r>
    </w:p>
    <w:p w14:paraId="4AF52CED" w14:textId="77777777" w:rsidR="00335AA9" w:rsidRPr="007E0D52" w:rsidRDefault="00335AA9" w:rsidP="007E0D52">
      <w:pPr>
        <w:ind w:right="49"/>
        <w:contextualSpacing/>
        <w:jc w:val="both"/>
        <w:rPr>
          <w:rFonts w:ascii="Arial" w:hAnsi="Arial" w:cs="Arial"/>
          <w:b/>
          <w:bCs/>
          <w:i/>
          <w:iCs/>
          <w:sz w:val="22"/>
          <w:szCs w:val="20"/>
        </w:rPr>
      </w:pPr>
    </w:p>
    <w:p w14:paraId="754D8113" w14:textId="77777777" w:rsidR="002443B9" w:rsidRPr="007E0D52" w:rsidRDefault="002443B9" w:rsidP="002443B9">
      <w:pPr>
        <w:ind w:right="49"/>
        <w:contextualSpacing/>
        <w:jc w:val="both"/>
        <w:rPr>
          <w:rFonts w:ascii="Arial" w:hAnsi="Arial" w:cs="Arial"/>
          <w:b/>
          <w:bCs/>
          <w:i/>
          <w:iCs/>
          <w:sz w:val="20"/>
          <w:szCs w:val="20"/>
        </w:rPr>
      </w:pPr>
      <w:r w:rsidRPr="007E0D52">
        <w:rPr>
          <w:rFonts w:ascii="Arial" w:hAnsi="Arial" w:cs="Arial"/>
          <w:b/>
          <w:bCs/>
          <w:i/>
          <w:iCs/>
          <w:sz w:val="22"/>
          <w:szCs w:val="20"/>
        </w:rPr>
        <w:t>2.5. ¿Las entidades públicas, en el desarrollo de un proceso competitivo, de acuerdo con el Artículo 4° del Decreto 092 de 2017, deben establecer un término para que las entidades sin ánimo de lucro presenten observaciones?”</w:t>
      </w:r>
    </w:p>
    <w:p w14:paraId="3426634D" w14:textId="77777777" w:rsidR="00335AA9" w:rsidRDefault="00335AA9" w:rsidP="00851134">
      <w:pPr>
        <w:ind w:right="49"/>
        <w:contextualSpacing/>
        <w:jc w:val="both"/>
        <w:rPr>
          <w:rFonts w:ascii="Arial" w:hAnsi="Arial" w:cs="Arial"/>
          <w:b/>
          <w:bCs/>
          <w:i/>
          <w:iCs/>
          <w:sz w:val="22"/>
        </w:rPr>
      </w:pPr>
    </w:p>
    <w:p w14:paraId="73C960EC" w14:textId="77777777" w:rsidR="002443B9" w:rsidRPr="002443B9" w:rsidRDefault="002443B9" w:rsidP="002443B9">
      <w:pPr>
        <w:ind w:right="49"/>
        <w:contextualSpacing/>
        <w:jc w:val="both"/>
        <w:rPr>
          <w:rFonts w:ascii="Arial" w:hAnsi="Arial" w:cs="Arial"/>
          <w:sz w:val="22"/>
        </w:rPr>
      </w:pPr>
      <w:r w:rsidRPr="002443B9">
        <w:rPr>
          <w:rFonts w:ascii="Arial" w:hAnsi="Arial" w:cs="Arial"/>
          <w:sz w:val="22"/>
        </w:rPr>
        <w:t xml:space="preserve">El artículo 4° del Decreto 092 de 2017 establece que las entidades públicas deben garantizar el derecho de las entidades sin ánimo de lucro a presentar observaciones y </w:t>
      </w:r>
      <w:r w:rsidRPr="002443B9">
        <w:rPr>
          <w:rFonts w:ascii="Arial" w:hAnsi="Arial" w:cs="Arial"/>
          <w:sz w:val="22"/>
        </w:rPr>
        <w:lastRenderedPageBreak/>
        <w:t>comentarios a los términos de referencia o pliegos de condiciones del proceso de selección pública de contratistas para la celebración de convenios de asociación.</w:t>
      </w:r>
    </w:p>
    <w:p w14:paraId="0F983FE3" w14:textId="77777777" w:rsidR="002443B9" w:rsidRPr="002443B9" w:rsidRDefault="002443B9" w:rsidP="002443B9">
      <w:pPr>
        <w:ind w:right="49"/>
        <w:contextualSpacing/>
        <w:jc w:val="both"/>
        <w:rPr>
          <w:rFonts w:ascii="Arial" w:hAnsi="Arial" w:cs="Arial"/>
          <w:sz w:val="22"/>
        </w:rPr>
      </w:pPr>
    </w:p>
    <w:p w14:paraId="5ED7AE92" w14:textId="77777777" w:rsidR="002443B9" w:rsidRPr="002443B9" w:rsidRDefault="002443B9" w:rsidP="002443B9">
      <w:pPr>
        <w:ind w:right="49"/>
        <w:contextualSpacing/>
        <w:jc w:val="both"/>
        <w:rPr>
          <w:rFonts w:ascii="Arial" w:hAnsi="Arial" w:cs="Arial"/>
          <w:sz w:val="22"/>
        </w:rPr>
      </w:pPr>
      <w:r w:rsidRPr="002443B9">
        <w:rPr>
          <w:rFonts w:ascii="Arial" w:hAnsi="Arial" w:cs="Arial"/>
          <w:sz w:val="22"/>
        </w:rPr>
        <w:t>Sin embargo, dicho artículo no establece un término específico para que las entidades sin ánimo de lucro presenten estas observaciones y comentarios. En este sentido, las entidades públicas tienen cierta autonomía para establecer un plazo razonable para la presentación de las observaciones y comentarios.</w:t>
      </w:r>
    </w:p>
    <w:p w14:paraId="1350FF58" w14:textId="77777777" w:rsidR="002443B9" w:rsidRPr="002443B9" w:rsidRDefault="002443B9" w:rsidP="002443B9">
      <w:pPr>
        <w:ind w:right="49"/>
        <w:contextualSpacing/>
        <w:jc w:val="both"/>
        <w:rPr>
          <w:rFonts w:ascii="Arial" w:hAnsi="Arial" w:cs="Arial"/>
          <w:sz w:val="22"/>
        </w:rPr>
      </w:pPr>
    </w:p>
    <w:p w14:paraId="25608074" w14:textId="77777777" w:rsidR="002443B9" w:rsidRPr="002443B9" w:rsidRDefault="002443B9" w:rsidP="002443B9">
      <w:pPr>
        <w:ind w:right="49"/>
        <w:contextualSpacing/>
        <w:jc w:val="both"/>
        <w:rPr>
          <w:rFonts w:ascii="Arial" w:hAnsi="Arial" w:cs="Arial"/>
          <w:sz w:val="22"/>
        </w:rPr>
      </w:pPr>
      <w:r w:rsidRPr="002443B9">
        <w:rPr>
          <w:rFonts w:ascii="Arial" w:hAnsi="Arial" w:cs="Arial"/>
          <w:sz w:val="22"/>
        </w:rPr>
        <w:t>Es importante que este plazo sea lo suficientemente amplio para permitir que las entidades sin ánimo de lucro puedan realizar un análisis detallado de los términos de referencia o pliegos de condiciones y presentar sus observaciones y comentarios de manera oportuna. Además, las entidades públicas deben garantizar que las observaciones y comentarios presentados sean tenidos en cuenta en la elaboración de los términos de referencia o pliegos de condiciones definitivos.</w:t>
      </w:r>
    </w:p>
    <w:p w14:paraId="022C9F70" w14:textId="77777777" w:rsidR="002443B9" w:rsidRPr="002443B9" w:rsidRDefault="002443B9" w:rsidP="002443B9">
      <w:pPr>
        <w:ind w:right="49"/>
        <w:contextualSpacing/>
        <w:jc w:val="both"/>
        <w:rPr>
          <w:rFonts w:ascii="Arial" w:hAnsi="Arial" w:cs="Arial"/>
          <w:sz w:val="22"/>
        </w:rPr>
      </w:pPr>
    </w:p>
    <w:p w14:paraId="58207E02" w14:textId="67FA2F98" w:rsidR="002443B9" w:rsidRPr="002443B9" w:rsidRDefault="002443B9" w:rsidP="002443B9">
      <w:pPr>
        <w:ind w:right="49"/>
        <w:contextualSpacing/>
        <w:jc w:val="both"/>
        <w:rPr>
          <w:rFonts w:ascii="Arial" w:hAnsi="Arial" w:cs="Arial"/>
          <w:sz w:val="22"/>
        </w:rPr>
      </w:pPr>
      <w:r w:rsidRPr="002443B9">
        <w:rPr>
          <w:rFonts w:ascii="Arial" w:hAnsi="Arial" w:cs="Arial"/>
          <w:sz w:val="22"/>
        </w:rPr>
        <w:t xml:space="preserve">En resumen, aunque el Decreto 092 de 2017 no establece un plazo específico para la presentación de observaciones y comentarios por parte de las entidades sin ánimo de lucro, las entidades públicas deben garantizar el derecho de estas entidades a presentarlos y establecer un plazo razonable para ello, garantizando así la transparencia y la </w:t>
      </w:r>
      <w:r w:rsidR="00CD1E56" w:rsidRPr="002443B9">
        <w:rPr>
          <w:rFonts w:ascii="Arial" w:hAnsi="Arial" w:cs="Arial"/>
          <w:sz w:val="22"/>
        </w:rPr>
        <w:t>participación</w:t>
      </w:r>
      <w:r w:rsidRPr="002443B9">
        <w:rPr>
          <w:rFonts w:ascii="Arial" w:hAnsi="Arial" w:cs="Arial"/>
          <w:sz w:val="22"/>
        </w:rPr>
        <w:t xml:space="preserve"> de las entidades sin ánimo de lucro en el proceso de selección pública de contratistas.</w:t>
      </w:r>
    </w:p>
    <w:p w14:paraId="38002EB8" w14:textId="77777777" w:rsidR="00335AA9" w:rsidRDefault="00335AA9" w:rsidP="00851134">
      <w:pPr>
        <w:ind w:right="49"/>
        <w:contextualSpacing/>
        <w:jc w:val="both"/>
        <w:rPr>
          <w:rFonts w:ascii="Arial" w:hAnsi="Arial" w:cs="Arial"/>
          <w:b/>
          <w:bCs/>
          <w:i/>
          <w:iCs/>
          <w:sz w:val="22"/>
        </w:rPr>
      </w:pPr>
    </w:p>
    <w:p w14:paraId="00432BD4" w14:textId="77777777" w:rsidR="00851134" w:rsidRPr="00851134" w:rsidRDefault="00851134" w:rsidP="00851134">
      <w:pPr>
        <w:spacing w:line="276" w:lineRule="auto"/>
        <w:contextualSpacing/>
        <w:jc w:val="both"/>
        <w:rPr>
          <w:rFonts w:ascii="Arial" w:hAnsi="Arial" w:cs="Arial"/>
          <w:sz w:val="22"/>
        </w:rPr>
      </w:pPr>
      <w:r w:rsidRPr="00851134">
        <w:rPr>
          <w:rFonts w:ascii="Arial" w:hAnsi="Arial" w:cs="Arial"/>
          <w:sz w:val="22"/>
        </w:rPr>
        <w:t>Este concepto tiene el alcance previsto en el artículo 28 del Código de Procedimiento Administrativo y de lo Contencioso Administrativo.</w:t>
      </w:r>
    </w:p>
    <w:p w14:paraId="2BF51253" w14:textId="77777777" w:rsidR="00851134" w:rsidRPr="00851134" w:rsidRDefault="00851134" w:rsidP="00851134">
      <w:pPr>
        <w:spacing w:line="276" w:lineRule="auto"/>
        <w:contextualSpacing/>
        <w:rPr>
          <w:rFonts w:ascii="Arial" w:eastAsia="Times New Roman" w:hAnsi="Arial" w:cs="Arial"/>
          <w:sz w:val="22"/>
          <w:lang w:eastAsia="es-CO"/>
        </w:rPr>
      </w:pPr>
    </w:p>
    <w:p w14:paraId="73CCCE5D" w14:textId="77777777" w:rsidR="00851134" w:rsidRPr="00851134" w:rsidRDefault="00851134" w:rsidP="00851134">
      <w:pPr>
        <w:spacing w:line="276" w:lineRule="auto"/>
        <w:contextualSpacing/>
        <w:rPr>
          <w:rFonts w:ascii="Arial" w:eastAsia="Times New Roman" w:hAnsi="Arial" w:cs="Arial"/>
          <w:sz w:val="22"/>
          <w:lang w:eastAsia="es-CO"/>
        </w:rPr>
      </w:pPr>
      <w:r w:rsidRPr="00851134">
        <w:rPr>
          <w:rFonts w:ascii="Arial" w:eastAsia="Times New Roman" w:hAnsi="Arial" w:cs="Arial"/>
          <w:sz w:val="22"/>
          <w:lang w:eastAsia="es-CO"/>
        </w:rPr>
        <w:t>Atentamente,</w:t>
      </w:r>
    </w:p>
    <w:p w14:paraId="1315BC06" w14:textId="77777777" w:rsidR="00851134" w:rsidRPr="00851134" w:rsidRDefault="00851134" w:rsidP="00851134">
      <w:pPr>
        <w:spacing w:line="276" w:lineRule="auto"/>
        <w:contextualSpacing/>
        <w:rPr>
          <w:rFonts w:ascii="Arial" w:eastAsia="Times New Roman" w:hAnsi="Arial" w:cs="Arial"/>
          <w:sz w:val="22"/>
          <w:lang w:eastAsia="es-CO"/>
        </w:rPr>
      </w:pPr>
    </w:p>
    <w:p w14:paraId="43DAFDEF" w14:textId="77777777" w:rsidR="00851134" w:rsidRPr="00851134" w:rsidRDefault="00851134" w:rsidP="00851134">
      <w:pPr>
        <w:spacing w:line="276" w:lineRule="auto"/>
        <w:ind w:right="47"/>
        <w:jc w:val="both"/>
        <w:rPr>
          <w:rFonts w:ascii="Arial" w:eastAsia="Times New Roman" w:hAnsi="Arial" w:cs="Arial"/>
          <w:sz w:val="22"/>
          <w:lang w:eastAsia="es-ES"/>
        </w:rPr>
      </w:pPr>
    </w:p>
    <w:p w14:paraId="434C85CD" w14:textId="531CF5C3" w:rsidR="00851134" w:rsidRPr="00851134" w:rsidRDefault="000A424F" w:rsidP="00851134">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61A9D7D5" wp14:editId="4BC9E0F8">
            <wp:extent cx="3161905" cy="1209524"/>
            <wp:effectExtent l="0" t="0" r="635" b="0"/>
            <wp:docPr id="13139194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919493" name=""/>
                    <pic:cNvPicPr/>
                  </pic:nvPicPr>
                  <pic:blipFill>
                    <a:blip r:embed="rId13"/>
                    <a:stretch>
                      <a:fillRect/>
                    </a:stretch>
                  </pic:blipFill>
                  <pic:spPr>
                    <a:xfrm>
                      <a:off x="0" y="0"/>
                      <a:ext cx="3161905" cy="1209524"/>
                    </a:xfrm>
                    <a:prstGeom prst="rect">
                      <a:avLst/>
                    </a:prstGeom>
                  </pic:spPr>
                </pic:pic>
              </a:graphicData>
            </a:graphic>
          </wp:inline>
        </w:drawing>
      </w:r>
    </w:p>
    <w:p w14:paraId="69B5EA5A" w14:textId="77777777" w:rsidR="00851134" w:rsidRPr="00851134" w:rsidRDefault="00851134" w:rsidP="00851134">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5085"/>
      </w:tblGrid>
      <w:tr w:rsidR="00851134" w:rsidRPr="00851134" w14:paraId="1D573EB4" w14:textId="77777777" w:rsidTr="009E1E36">
        <w:trPr>
          <w:trHeight w:val="139"/>
        </w:trPr>
        <w:tc>
          <w:tcPr>
            <w:tcW w:w="1022" w:type="dxa"/>
            <w:vAlign w:val="center"/>
            <w:hideMark/>
          </w:tcPr>
          <w:p w14:paraId="02EC7995" w14:textId="77777777" w:rsidR="00851134" w:rsidRPr="00851134" w:rsidRDefault="00851134" w:rsidP="009E1E36">
            <w:pPr>
              <w:spacing w:line="276" w:lineRule="auto"/>
              <w:jc w:val="both"/>
              <w:rPr>
                <w:rFonts w:ascii="Arial" w:hAnsi="Arial" w:cs="Arial"/>
                <w:color w:val="000000" w:themeColor="text1"/>
                <w:sz w:val="16"/>
                <w:szCs w:val="16"/>
                <w:lang w:val="es-ES_tradnl" w:eastAsia="es-ES"/>
              </w:rPr>
            </w:pPr>
            <w:r w:rsidRPr="00851134">
              <w:rPr>
                <w:rFonts w:ascii="Arial" w:hAnsi="Arial" w:cs="Arial"/>
                <w:color w:val="000000" w:themeColor="text1"/>
                <w:sz w:val="16"/>
                <w:szCs w:val="16"/>
                <w:lang w:val="es-ES_tradnl" w:eastAsia="es-ES"/>
              </w:rPr>
              <w:t>Elaboró:</w:t>
            </w:r>
          </w:p>
        </w:tc>
        <w:tc>
          <w:tcPr>
            <w:tcW w:w="5085" w:type="dxa"/>
            <w:tcBorders>
              <w:top w:val="nil"/>
              <w:left w:val="nil"/>
              <w:bottom w:val="dotted" w:sz="4" w:space="0" w:color="7F7F7F" w:themeColor="text1" w:themeTint="80"/>
              <w:right w:val="nil"/>
            </w:tcBorders>
            <w:vAlign w:val="center"/>
            <w:hideMark/>
          </w:tcPr>
          <w:p w14:paraId="4500F869" w14:textId="77777777" w:rsidR="00851134" w:rsidRPr="00851134" w:rsidRDefault="00851134" w:rsidP="009E1E36">
            <w:pPr>
              <w:spacing w:line="276" w:lineRule="auto"/>
              <w:jc w:val="both"/>
              <w:rPr>
                <w:rFonts w:ascii="Arial" w:hAnsi="Arial" w:cs="Arial"/>
                <w:color w:val="000000" w:themeColor="text1"/>
                <w:sz w:val="16"/>
                <w:szCs w:val="16"/>
                <w:lang w:val="es-ES_tradnl" w:eastAsia="es-ES"/>
              </w:rPr>
            </w:pPr>
            <w:r w:rsidRPr="00851134">
              <w:rPr>
                <w:rFonts w:ascii="Arial" w:hAnsi="Arial" w:cs="Arial"/>
                <w:color w:val="000000" w:themeColor="text1"/>
                <w:sz w:val="16"/>
                <w:szCs w:val="16"/>
                <w:lang w:val="es-ES_tradnl" w:eastAsia="es-ES"/>
              </w:rPr>
              <w:t>Christian Camilo Orjuela Galeano</w:t>
            </w:r>
          </w:p>
          <w:p w14:paraId="51469F39" w14:textId="77777777" w:rsidR="00851134" w:rsidRPr="00851134" w:rsidRDefault="00851134" w:rsidP="009E1E36">
            <w:pPr>
              <w:spacing w:line="276" w:lineRule="auto"/>
              <w:jc w:val="both"/>
              <w:rPr>
                <w:rFonts w:ascii="Arial" w:hAnsi="Arial" w:cs="Arial"/>
                <w:color w:val="000000" w:themeColor="text1"/>
                <w:sz w:val="16"/>
                <w:szCs w:val="16"/>
                <w:lang w:val="es-ES_tradnl" w:eastAsia="es-ES"/>
              </w:rPr>
            </w:pPr>
            <w:r w:rsidRPr="00851134">
              <w:rPr>
                <w:rFonts w:ascii="Arial" w:hAnsi="Arial" w:cs="Arial"/>
                <w:color w:val="000000" w:themeColor="text1"/>
                <w:sz w:val="16"/>
                <w:szCs w:val="16"/>
                <w:lang w:val="es-ES_tradnl" w:eastAsia="es-ES"/>
              </w:rPr>
              <w:t>Contratista la Subdirección de Gestión Contractual</w:t>
            </w:r>
          </w:p>
        </w:tc>
      </w:tr>
      <w:tr w:rsidR="00851134" w:rsidRPr="00851134" w14:paraId="7D08E103" w14:textId="77777777" w:rsidTr="009E1E36">
        <w:trPr>
          <w:trHeight w:val="287"/>
        </w:trPr>
        <w:tc>
          <w:tcPr>
            <w:tcW w:w="1022" w:type="dxa"/>
            <w:vAlign w:val="center"/>
            <w:hideMark/>
          </w:tcPr>
          <w:p w14:paraId="370D2F92" w14:textId="77777777" w:rsidR="00851134" w:rsidRPr="00851134" w:rsidRDefault="00851134" w:rsidP="009E1E36">
            <w:pPr>
              <w:spacing w:line="276" w:lineRule="auto"/>
              <w:jc w:val="both"/>
              <w:rPr>
                <w:rFonts w:ascii="Arial" w:hAnsi="Arial" w:cs="Arial"/>
                <w:color w:val="000000" w:themeColor="text1"/>
                <w:sz w:val="16"/>
                <w:szCs w:val="16"/>
                <w:lang w:val="es-ES_tradnl" w:eastAsia="es-ES"/>
              </w:rPr>
            </w:pPr>
            <w:r w:rsidRPr="00851134">
              <w:rPr>
                <w:rFonts w:ascii="Arial" w:hAnsi="Arial" w:cs="Arial"/>
                <w:color w:val="000000" w:themeColor="text1"/>
                <w:sz w:val="16"/>
                <w:szCs w:val="16"/>
                <w:lang w:val="es-ES_tradnl" w:eastAsia="es-ES"/>
              </w:rPr>
              <w:t>Revisó:</w:t>
            </w:r>
          </w:p>
        </w:tc>
        <w:tc>
          <w:tcPr>
            <w:tcW w:w="5085" w:type="dxa"/>
            <w:tcBorders>
              <w:top w:val="dotted" w:sz="4" w:space="0" w:color="7F7F7F" w:themeColor="text1" w:themeTint="80"/>
              <w:left w:val="nil"/>
              <w:bottom w:val="dotted" w:sz="4" w:space="0" w:color="7F7F7F" w:themeColor="text1" w:themeTint="80"/>
              <w:right w:val="nil"/>
            </w:tcBorders>
            <w:vAlign w:val="center"/>
            <w:hideMark/>
          </w:tcPr>
          <w:p w14:paraId="0FE6C604" w14:textId="77777777" w:rsidR="00851134" w:rsidRPr="00851134" w:rsidRDefault="00851134" w:rsidP="009E1E36">
            <w:pPr>
              <w:spacing w:line="276" w:lineRule="auto"/>
              <w:jc w:val="both"/>
              <w:rPr>
                <w:rFonts w:ascii="Arial" w:hAnsi="Arial" w:cs="Arial"/>
                <w:color w:val="000000" w:themeColor="text1"/>
                <w:sz w:val="16"/>
                <w:szCs w:val="16"/>
                <w:lang w:eastAsia="es-ES"/>
              </w:rPr>
            </w:pPr>
            <w:r w:rsidRPr="00851134">
              <w:rPr>
                <w:rFonts w:ascii="Arial" w:hAnsi="Arial" w:cs="Arial"/>
                <w:color w:val="000000" w:themeColor="text1"/>
                <w:sz w:val="16"/>
                <w:szCs w:val="16"/>
                <w:lang w:eastAsia="es-ES"/>
              </w:rPr>
              <w:t xml:space="preserve">Diana Carolina Armenta </w:t>
            </w:r>
          </w:p>
          <w:p w14:paraId="23472FFE" w14:textId="77777777" w:rsidR="00851134" w:rsidRPr="00851134" w:rsidRDefault="00851134" w:rsidP="009E1E36">
            <w:pPr>
              <w:spacing w:line="276" w:lineRule="auto"/>
              <w:jc w:val="both"/>
              <w:rPr>
                <w:rFonts w:ascii="Arial" w:hAnsi="Arial" w:cs="Arial"/>
                <w:color w:val="000000" w:themeColor="text1"/>
                <w:sz w:val="16"/>
                <w:szCs w:val="16"/>
                <w:lang w:eastAsia="es-ES"/>
              </w:rPr>
            </w:pPr>
            <w:r w:rsidRPr="00851134">
              <w:rPr>
                <w:rFonts w:ascii="Arial" w:hAnsi="Arial" w:cs="Arial"/>
                <w:color w:val="000000" w:themeColor="text1"/>
                <w:sz w:val="16"/>
                <w:szCs w:val="16"/>
                <w:lang w:val="es-ES_tradnl" w:eastAsia="es-ES"/>
              </w:rPr>
              <w:t>Contratista</w:t>
            </w:r>
            <w:r w:rsidRPr="00851134">
              <w:rPr>
                <w:rFonts w:ascii="Arial" w:hAnsi="Arial" w:cs="Arial"/>
                <w:color w:val="000000" w:themeColor="text1"/>
                <w:sz w:val="16"/>
                <w:szCs w:val="16"/>
                <w:lang w:eastAsia="es-ES"/>
              </w:rPr>
              <w:t xml:space="preserve"> de la Subdirección de Gestión Contractual</w:t>
            </w:r>
          </w:p>
        </w:tc>
      </w:tr>
      <w:tr w:rsidR="00851134" w:rsidRPr="00851134" w14:paraId="754C8CE3" w14:textId="77777777" w:rsidTr="009E1E36">
        <w:trPr>
          <w:trHeight w:val="261"/>
        </w:trPr>
        <w:tc>
          <w:tcPr>
            <w:tcW w:w="1022" w:type="dxa"/>
            <w:vAlign w:val="center"/>
            <w:hideMark/>
          </w:tcPr>
          <w:p w14:paraId="58AD23B4" w14:textId="77777777" w:rsidR="00851134" w:rsidRPr="00851134" w:rsidRDefault="00851134" w:rsidP="009E1E36">
            <w:pPr>
              <w:spacing w:line="276" w:lineRule="auto"/>
              <w:jc w:val="both"/>
              <w:rPr>
                <w:rFonts w:ascii="Arial" w:hAnsi="Arial" w:cs="Arial"/>
                <w:color w:val="000000" w:themeColor="text1"/>
                <w:sz w:val="16"/>
                <w:szCs w:val="16"/>
                <w:lang w:val="es-ES_tradnl" w:eastAsia="es-ES"/>
              </w:rPr>
            </w:pPr>
            <w:r w:rsidRPr="00851134">
              <w:rPr>
                <w:rFonts w:ascii="Arial" w:hAnsi="Arial" w:cs="Arial"/>
                <w:color w:val="000000" w:themeColor="text1"/>
                <w:sz w:val="16"/>
                <w:szCs w:val="16"/>
                <w:lang w:val="es-ES_tradnl" w:eastAsia="es-ES"/>
              </w:rPr>
              <w:t>Aprobó:</w:t>
            </w:r>
          </w:p>
        </w:tc>
        <w:tc>
          <w:tcPr>
            <w:tcW w:w="5085" w:type="dxa"/>
            <w:tcBorders>
              <w:top w:val="dotted" w:sz="4" w:space="0" w:color="7F7F7F" w:themeColor="text1" w:themeTint="80"/>
              <w:left w:val="nil"/>
              <w:bottom w:val="dotted" w:sz="4" w:space="0" w:color="7F7F7F" w:themeColor="text1" w:themeTint="80"/>
              <w:right w:val="nil"/>
            </w:tcBorders>
            <w:vAlign w:val="center"/>
            <w:hideMark/>
          </w:tcPr>
          <w:p w14:paraId="053F94B9" w14:textId="77777777" w:rsidR="00851134" w:rsidRPr="00851134" w:rsidRDefault="00851134" w:rsidP="009E1E36">
            <w:pPr>
              <w:spacing w:line="276" w:lineRule="auto"/>
              <w:rPr>
                <w:rFonts w:ascii="Arial" w:hAnsi="Arial" w:cs="Arial"/>
                <w:sz w:val="16"/>
                <w:szCs w:val="16"/>
              </w:rPr>
            </w:pPr>
            <w:r w:rsidRPr="00851134">
              <w:rPr>
                <w:rFonts w:ascii="Arial" w:eastAsia="Arial" w:hAnsi="Arial" w:cs="Arial"/>
                <w:color w:val="000000"/>
                <w:sz w:val="16"/>
                <w:szCs w:val="16"/>
              </w:rPr>
              <w:t>Nohelia del Carmen Zawady Palacio</w:t>
            </w:r>
          </w:p>
          <w:p w14:paraId="733938FF" w14:textId="77777777" w:rsidR="00851134" w:rsidRPr="00851134" w:rsidRDefault="00851134" w:rsidP="009E1E36">
            <w:pPr>
              <w:spacing w:line="276" w:lineRule="auto"/>
              <w:jc w:val="both"/>
              <w:rPr>
                <w:rFonts w:ascii="Arial" w:eastAsia="Arial" w:hAnsi="Arial" w:cs="Arial"/>
                <w:color w:val="000000"/>
                <w:sz w:val="16"/>
                <w:szCs w:val="16"/>
              </w:rPr>
            </w:pPr>
            <w:r w:rsidRPr="00851134">
              <w:rPr>
                <w:rFonts w:ascii="Arial" w:eastAsia="Arial" w:hAnsi="Arial" w:cs="Arial"/>
                <w:color w:val="000000"/>
                <w:sz w:val="16"/>
                <w:szCs w:val="16"/>
              </w:rPr>
              <w:t xml:space="preserve">Subdirectora de Gestión Contractual </w:t>
            </w:r>
          </w:p>
        </w:tc>
      </w:tr>
      <w:tr w:rsidR="00851134" w:rsidRPr="00851134" w14:paraId="5802224A" w14:textId="77777777" w:rsidTr="009E1E36">
        <w:trPr>
          <w:trHeight w:val="261"/>
        </w:trPr>
        <w:tc>
          <w:tcPr>
            <w:tcW w:w="1022" w:type="dxa"/>
            <w:vAlign w:val="center"/>
          </w:tcPr>
          <w:p w14:paraId="14C5E338" w14:textId="77777777" w:rsidR="00851134" w:rsidRPr="00851134" w:rsidRDefault="00851134" w:rsidP="009E1E36">
            <w:pPr>
              <w:spacing w:line="276" w:lineRule="auto"/>
              <w:jc w:val="both"/>
              <w:rPr>
                <w:rFonts w:ascii="Arial" w:hAnsi="Arial" w:cs="Arial"/>
                <w:color w:val="000000" w:themeColor="text1"/>
                <w:sz w:val="16"/>
                <w:szCs w:val="16"/>
                <w:lang w:val="es-ES_tradnl" w:eastAsia="es-ES"/>
              </w:rPr>
            </w:pPr>
          </w:p>
        </w:tc>
        <w:tc>
          <w:tcPr>
            <w:tcW w:w="5085" w:type="dxa"/>
            <w:tcBorders>
              <w:top w:val="dotted" w:sz="4" w:space="0" w:color="7F7F7F" w:themeColor="text1" w:themeTint="80"/>
              <w:left w:val="nil"/>
              <w:bottom w:val="dotted" w:sz="4" w:space="0" w:color="7F7F7F" w:themeColor="text1" w:themeTint="80"/>
              <w:right w:val="nil"/>
            </w:tcBorders>
            <w:vAlign w:val="center"/>
          </w:tcPr>
          <w:p w14:paraId="06AA8D79" w14:textId="77777777" w:rsidR="00851134" w:rsidRPr="00851134" w:rsidRDefault="00851134" w:rsidP="009E1E36">
            <w:pPr>
              <w:spacing w:line="276" w:lineRule="auto"/>
              <w:rPr>
                <w:rFonts w:ascii="Arial" w:eastAsia="Arial" w:hAnsi="Arial" w:cs="Arial"/>
                <w:color w:val="000000"/>
                <w:sz w:val="16"/>
                <w:szCs w:val="16"/>
              </w:rPr>
            </w:pPr>
          </w:p>
        </w:tc>
      </w:tr>
    </w:tbl>
    <w:p w14:paraId="64EA47B9" w14:textId="77777777" w:rsidR="00851134" w:rsidRPr="00851134" w:rsidRDefault="00851134" w:rsidP="00851134">
      <w:pPr>
        <w:rPr>
          <w:rFonts w:ascii="Arial" w:hAnsi="Arial" w:cs="Arial"/>
          <w:sz w:val="22"/>
        </w:rPr>
      </w:pPr>
    </w:p>
    <w:p w14:paraId="0ACE720E" w14:textId="77777777" w:rsidR="00851134" w:rsidRPr="00851134" w:rsidRDefault="00851134" w:rsidP="00851134">
      <w:pPr>
        <w:spacing w:line="276" w:lineRule="auto"/>
        <w:contextualSpacing/>
        <w:rPr>
          <w:rFonts w:ascii="Arial" w:eastAsia="Times New Roman" w:hAnsi="Arial" w:cs="Arial"/>
          <w:sz w:val="22"/>
          <w:lang w:eastAsia="es-CO"/>
        </w:rPr>
      </w:pPr>
    </w:p>
    <w:bookmarkEnd w:id="0"/>
    <w:p w14:paraId="4EBD419F" w14:textId="77777777" w:rsidR="00624F02" w:rsidRPr="00851134" w:rsidRDefault="00624F02" w:rsidP="00F71DE1">
      <w:pPr>
        <w:ind w:left="709" w:right="709"/>
        <w:contextualSpacing/>
        <w:jc w:val="both"/>
        <w:rPr>
          <w:rFonts w:ascii="Arial" w:hAnsi="Arial" w:cs="Arial"/>
          <w:i/>
          <w:iCs/>
          <w:sz w:val="22"/>
        </w:rPr>
      </w:pPr>
    </w:p>
    <w:sectPr w:rsidR="00624F02" w:rsidRPr="00851134">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FD47" w14:textId="77777777" w:rsidR="00012360" w:rsidRDefault="00012360" w:rsidP="00B761F2">
      <w:r>
        <w:separator/>
      </w:r>
    </w:p>
  </w:endnote>
  <w:endnote w:type="continuationSeparator" w:id="0">
    <w:p w14:paraId="3471722A" w14:textId="77777777" w:rsidR="00012360" w:rsidRDefault="00012360" w:rsidP="00B7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Geomanist Light">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8BE5" w14:textId="77777777" w:rsidR="00D857EA" w:rsidRDefault="00D857EA" w:rsidP="004026EC">
    <w:pPr>
      <w:pStyle w:val="Sinespaciado"/>
      <w:jc w:val="right"/>
      <w:rPr>
        <w:rFonts w:ascii="Arial" w:hAnsi="Arial" w:cs="Arial"/>
        <w:sz w:val="18"/>
        <w:szCs w:val="18"/>
      </w:rPr>
    </w:pPr>
  </w:p>
  <w:p w14:paraId="5CE97667" w14:textId="77777777" w:rsidR="00D857EA" w:rsidRDefault="00A71DFC" w:rsidP="00F71DC5">
    <w:pPr>
      <w:pStyle w:val="Piedepgina"/>
    </w:pPr>
    <w:r>
      <w:rPr>
        <w:noProof/>
        <w:lang w:eastAsia="es-CO"/>
      </w:rPr>
      <w:drawing>
        <wp:inline distT="0" distB="0" distL="0" distR="0" wp14:anchorId="64591FDB" wp14:editId="4A28106A">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
      <w:gridCol w:w="420"/>
      <w:gridCol w:w="844"/>
      <w:gridCol w:w="1842"/>
      <w:gridCol w:w="846"/>
      <w:gridCol w:w="2273"/>
      <w:gridCol w:w="1603"/>
    </w:tblGrid>
    <w:tr w:rsidR="00F71DC5" w:rsidRPr="00080DA3" w14:paraId="0736F8C1" w14:textId="77777777" w:rsidTr="00B761F2">
      <w:trPr>
        <w:trHeight w:val="229"/>
        <w:jc w:val="center"/>
      </w:trPr>
      <w:tc>
        <w:tcPr>
          <w:tcW w:w="100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3703FB0" w14:textId="77777777" w:rsidR="00D857EA" w:rsidRPr="00080DA3" w:rsidRDefault="00A71DFC" w:rsidP="00F71DC5">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0"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447F67E" w14:textId="77777777" w:rsidR="00D857EA" w:rsidRPr="00080DA3" w:rsidRDefault="00A71DFC" w:rsidP="00F71DC5">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7C7F20D" w14:textId="77777777" w:rsidR="00D857EA" w:rsidRPr="00080DA3" w:rsidRDefault="00A71DFC" w:rsidP="00F71DC5">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842"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2C9DB1FE" w14:textId="77777777" w:rsidR="00D857EA" w:rsidRPr="00080DA3" w:rsidRDefault="00A71DFC" w:rsidP="00F71DC5">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846"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8C22BE0" w14:textId="77777777" w:rsidR="00D857EA" w:rsidRPr="00080DA3" w:rsidRDefault="00A71DFC" w:rsidP="00F71DC5">
          <w:pPr>
            <w:pStyle w:val="Piedepgina"/>
            <w:jc w:val="center"/>
            <w:rPr>
              <w:rFonts w:ascii="Geomanist Light" w:hAnsi="Geomanist Light"/>
              <w:sz w:val="18"/>
              <w:szCs w:val="18"/>
            </w:rPr>
          </w:pPr>
          <w:r w:rsidRPr="00080DA3">
            <w:rPr>
              <w:rFonts w:ascii="Geomanist Light" w:hAnsi="Geomanist Light"/>
              <w:sz w:val="18"/>
              <w:szCs w:val="18"/>
            </w:rPr>
            <w:t>Fecha:</w:t>
          </w:r>
        </w:p>
      </w:tc>
      <w:tc>
        <w:tcPr>
          <w:tcW w:w="22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C19F89C" w14:textId="77777777" w:rsidR="00D857EA" w:rsidRPr="00080DA3" w:rsidRDefault="00A71DFC" w:rsidP="00F71DC5">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60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B63300B" w14:textId="77777777" w:rsidR="00D857EA" w:rsidRPr="00080DA3" w:rsidRDefault="00A71DFC" w:rsidP="00B761F2">
          <w:pPr>
            <w:pStyle w:val="Piedepgina"/>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16</w:t>
          </w:r>
          <w:r w:rsidRPr="00080DA3">
            <w:rPr>
              <w:rFonts w:ascii="Geomanist Light" w:hAnsi="Geomanist Light"/>
              <w:b/>
              <w:bCs/>
              <w:sz w:val="18"/>
              <w:szCs w:val="18"/>
            </w:rPr>
            <w:fldChar w:fldCharType="end"/>
          </w:r>
        </w:p>
      </w:tc>
    </w:tr>
  </w:tbl>
  <w:p w14:paraId="62F1C706" w14:textId="77777777" w:rsidR="00D857EA" w:rsidRPr="00BE3D8E" w:rsidRDefault="00D857EA" w:rsidP="004026EC">
    <w:pPr>
      <w:pStyle w:val="Piedepgina"/>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545C" w14:textId="77777777" w:rsidR="00012360" w:rsidRDefault="00012360" w:rsidP="00B761F2">
      <w:r>
        <w:separator/>
      </w:r>
    </w:p>
  </w:footnote>
  <w:footnote w:type="continuationSeparator" w:id="0">
    <w:p w14:paraId="43B5FFB4" w14:textId="77777777" w:rsidR="00012360" w:rsidRDefault="00012360" w:rsidP="00B761F2">
      <w:r>
        <w:continuationSeparator/>
      </w:r>
    </w:p>
  </w:footnote>
  <w:footnote w:id="1">
    <w:p w14:paraId="4A2A17F9" w14:textId="77777777" w:rsidR="00851134" w:rsidRPr="00316089" w:rsidRDefault="00851134" w:rsidP="00851134">
      <w:pPr>
        <w:ind w:firstLine="720"/>
        <w:jc w:val="both"/>
        <w:rPr>
          <w:rFonts w:ascii="Arial" w:hAnsi="Arial" w:cs="Arial"/>
          <w:sz w:val="16"/>
          <w:szCs w:val="16"/>
          <w:lang w:val="es-ES"/>
        </w:rPr>
      </w:pPr>
      <w:r w:rsidRPr="00316089">
        <w:rPr>
          <w:rStyle w:val="Refdenotaalpie"/>
          <w:rFonts w:ascii="Arial" w:hAnsi="Arial" w:cs="Arial"/>
          <w:sz w:val="16"/>
          <w:szCs w:val="16"/>
        </w:rPr>
        <w:footnoteRef/>
      </w:r>
      <w:r w:rsidRPr="00316089">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BE68A04" w14:textId="77777777" w:rsidR="00851134" w:rsidRPr="00EC49FE" w:rsidRDefault="00851134" w:rsidP="00851134">
      <w:pPr>
        <w:ind w:firstLine="709"/>
        <w:jc w:val="both"/>
        <w:rPr>
          <w:rFonts w:ascii="Arial" w:eastAsia="Times New Roman" w:hAnsi="Arial" w:cs="Arial"/>
          <w:color w:val="000000"/>
          <w:sz w:val="19"/>
          <w:szCs w:val="19"/>
          <w:lang w:eastAsia="es-ES_tradnl"/>
        </w:rPr>
      </w:pPr>
      <w:r w:rsidRPr="00037DAF">
        <w:rPr>
          <w:rStyle w:val="Refdenotaalpie"/>
          <w:rFonts w:ascii="Arial" w:hAnsi="Arial" w:cs="Arial"/>
          <w:sz w:val="19"/>
          <w:szCs w:val="19"/>
        </w:rPr>
        <w:footnoteRef/>
      </w:r>
      <w:r w:rsidRPr="00037DAF">
        <w:rPr>
          <w:rFonts w:ascii="Arial" w:hAnsi="Arial" w:cs="Arial"/>
          <w:sz w:val="19"/>
          <w:szCs w:val="19"/>
        </w:rPr>
        <w:t xml:space="preserve"> </w:t>
      </w:r>
      <w:r w:rsidRPr="00EC49FE">
        <w:rPr>
          <w:rFonts w:ascii="Arial" w:hAnsi="Arial" w:cs="Arial"/>
          <w:color w:val="000000"/>
          <w:sz w:val="19"/>
          <w:szCs w:val="19"/>
          <w:lang w:eastAsia="es-ES_tradnl"/>
        </w:rPr>
        <w:t xml:space="preserve">Sobre esta norma, </w:t>
      </w:r>
      <w:r w:rsidRPr="005F149C">
        <w:rPr>
          <w:rFonts w:ascii="Arial" w:hAnsi="Arial" w:cs="Arial"/>
          <w:color w:val="000000"/>
          <w:sz w:val="19"/>
          <w:szCs w:val="19"/>
          <w:lang w:eastAsia="es-ES_tradnl"/>
        </w:rPr>
        <w:t>consultar los conceptos del 8 de octubre de 2019, con radicado 2201913000007532, y del 20 de diciembre de 2019, cuyo radicado es el No. 4201913000008240.</w:t>
      </w:r>
      <w:r w:rsidRPr="00EC49FE">
        <w:rPr>
          <w:rFonts w:ascii="Arial" w:hAnsi="Arial" w:cs="Arial"/>
          <w:color w:val="000000"/>
          <w:sz w:val="19"/>
          <w:szCs w:val="19"/>
          <w:lang w:eastAsia="es-ES_tradnl"/>
        </w:rPr>
        <w:t> </w:t>
      </w:r>
    </w:p>
    <w:p w14:paraId="66499E22" w14:textId="77777777" w:rsidR="00851134" w:rsidRPr="00EC49FE" w:rsidRDefault="00851134" w:rsidP="00851134">
      <w:pPr>
        <w:ind w:firstLine="709"/>
        <w:jc w:val="both"/>
        <w:rPr>
          <w:rFonts w:ascii="Arial" w:hAnsi="Arial" w:cs="Arial"/>
          <w:color w:val="000000"/>
          <w:sz w:val="19"/>
          <w:szCs w:val="19"/>
          <w:lang w:eastAsia="es-ES_tradnl"/>
        </w:rPr>
      </w:pPr>
    </w:p>
  </w:footnote>
  <w:footnote w:id="3">
    <w:p w14:paraId="314460A9" w14:textId="77777777" w:rsidR="00851134" w:rsidRPr="00EC49FE" w:rsidRDefault="00851134" w:rsidP="00851134">
      <w:pPr>
        <w:pStyle w:val="paragraph"/>
        <w:spacing w:before="0" w:beforeAutospacing="0" w:after="0" w:afterAutospacing="0"/>
        <w:ind w:firstLine="709"/>
        <w:jc w:val="both"/>
        <w:textAlignment w:val="baseline"/>
        <w:rPr>
          <w:rFonts w:ascii="Arial" w:hAnsi="Arial" w:cs="Arial"/>
          <w:sz w:val="19"/>
          <w:szCs w:val="19"/>
          <w:lang w:eastAsia="es-ES_tradnl"/>
        </w:rPr>
      </w:pPr>
      <w:r w:rsidRPr="00EC49FE">
        <w:rPr>
          <w:rStyle w:val="Refdenotaalpie"/>
          <w:rFonts w:ascii="Arial" w:hAnsi="Arial" w:cs="Arial"/>
          <w:sz w:val="19"/>
          <w:szCs w:val="19"/>
        </w:rPr>
        <w:footnoteRef/>
      </w:r>
      <w:r w:rsidRPr="00EC49FE">
        <w:rPr>
          <w:rFonts w:ascii="Arial" w:hAnsi="Arial" w:cs="Arial"/>
          <w:sz w:val="19"/>
          <w:szCs w:val="19"/>
        </w:rPr>
        <w:t xml:space="preserve"> </w:t>
      </w:r>
      <w:r w:rsidRPr="005F149C">
        <w:rPr>
          <w:rFonts w:ascii="Arial" w:hAnsi="Arial" w:cs="Arial"/>
          <w:color w:val="000000"/>
          <w:sz w:val="19"/>
          <w:szCs w:val="19"/>
          <w:lang w:val="es-MX"/>
        </w:rPr>
        <w:t>«Articulo 96. Constitución de asociaciones y fundaciones para el cumplimiento de las actividades p</w:t>
      </w:r>
      <w:r w:rsidRPr="00EC49FE">
        <w:rPr>
          <w:rFonts w:ascii="Arial" w:hAnsi="Arial" w:cs="Arial"/>
          <w:color w:val="000000"/>
          <w:sz w:val="19"/>
          <w:szCs w:val="19"/>
          <w:lang w:val="es-MX"/>
        </w:rPr>
        <w:t>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r w:rsidRPr="00EC49FE">
        <w:rPr>
          <w:rFonts w:ascii="Arial" w:hAnsi="Arial" w:cs="Arial"/>
          <w:color w:val="000000"/>
          <w:sz w:val="19"/>
          <w:szCs w:val="19"/>
        </w:rPr>
        <w:t> </w:t>
      </w:r>
    </w:p>
    <w:p w14:paraId="273CF2DC" w14:textId="77777777" w:rsidR="00851134" w:rsidRPr="00EC49FE" w:rsidRDefault="00851134" w:rsidP="00851134">
      <w:pPr>
        <w:ind w:firstLine="709"/>
        <w:jc w:val="both"/>
        <w:textAlignment w:val="baseline"/>
        <w:rPr>
          <w:rFonts w:ascii="Arial" w:hAnsi="Arial" w:cs="Arial"/>
          <w:color w:val="000000"/>
          <w:sz w:val="19"/>
          <w:szCs w:val="19"/>
          <w:lang w:eastAsia="es-ES_tradnl"/>
        </w:rPr>
      </w:pPr>
      <w:r w:rsidRPr="00EC49FE">
        <w:rPr>
          <w:rFonts w:ascii="Arial" w:hAnsi="Arial" w:cs="Arial"/>
          <w:color w:val="000000"/>
          <w:sz w:val="19"/>
          <w:szCs w:val="19"/>
          <w:lang w:eastAsia="es-ES_tradnl"/>
        </w:rPr>
        <w:t xml:space="preserve"> </w:t>
      </w:r>
      <w:r w:rsidRPr="00EC49FE">
        <w:rPr>
          <w:rFonts w:ascii="Arial" w:hAnsi="Arial" w:cs="Arial"/>
          <w:color w:val="000000"/>
          <w:sz w:val="19"/>
          <w:szCs w:val="19"/>
        </w:rPr>
        <w:t>«</w:t>
      </w:r>
      <w:r w:rsidRPr="00EC49FE">
        <w:rPr>
          <w:rFonts w:ascii="Arial" w:hAnsi="Arial" w:cs="Arial"/>
          <w:color w:val="000000"/>
          <w:sz w:val="19"/>
          <w:szCs w:val="19"/>
          <w:lang w:eastAsia="es-ES_tradnl"/>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683DB5FD" w14:textId="77777777" w:rsidR="00851134" w:rsidRPr="00EC49FE" w:rsidRDefault="00851134" w:rsidP="00851134">
      <w:pPr>
        <w:ind w:firstLine="709"/>
        <w:jc w:val="both"/>
        <w:textAlignment w:val="baseline"/>
        <w:rPr>
          <w:rFonts w:ascii="Arial" w:hAnsi="Arial" w:cs="Arial"/>
          <w:sz w:val="19"/>
          <w:szCs w:val="19"/>
          <w:lang w:eastAsia="es-ES_tradnl"/>
        </w:rPr>
      </w:pPr>
    </w:p>
  </w:footnote>
  <w:footnote w:id="4">
    <w:p w14:paraId="227BA379" w14:textId="77777777" w:rsidR="00851134" w:rsidRPr="00EC49FE" w:rsidRDefault="00851134" w:rsidP="00851134">
      <w:pPr>
        <w:ind w:firstLine="709"/>
        <w:jc w:val="both"/>
        <w:rPr>
          <w:rFonts w:ascii="Arial" w:hAnsi="Arial" w:cs="Arial"/>
          <w:color w:val="000000"/>
          <w:sz w:val="19"/>
          <w:szCs w:val="19"/>
          <w:shd w:val="clear" w:color="auto" w:fill="FFFFFF"/>
          <w:lang w:eastAsia="es-ES_tradnl"/>
        </w:rPr>
      </w:pPr>
      <w:r w:rsidRPr="00EC49FE">
        <w:rPr>
          <w:rStyle w:val="Refdenotaalpie"/>
          <w:rFonts w:ascii="Arial" w:hAnsi="Arial" w:cs="Arial"/>
          <w:sz w:val="19"/>
          <w:szCs w:val="19"/>
        </w:rPr>
        <w:footnoteRef/>
      </w:r>
      <w:r w:rsidRPr="00EC49FE">
        <w:rPr>
          <w:rFonts w:ascii="Arial" w:hAnsi="Arial" w:cs="Arial"/>
          <w:sz w:val="19"/>
          <w:szCs w:val="19"/>
        </w:rPr>
        <w:t xml:space="preserve"> </w:t>
      </w:r>
      <w:r w:rsidRPr="005F149C">
        <w:rPr>
          <w:rFonts w:ascii="Arial" w:hAnsi="Arial" w:cs="Arial"/>
          <w:color w:val="000000"/>
          <w:sz w:val="19"/>
          <w:szCs w:val="19"/>
          <w:shd w:val="clear" w:color="auto" w:fill="FFFFFF"/>
          <w:lang w:eastAsia="es-ES_tradnl"/>
        </w:rPr>
        <w:t xml:space="preserve">En el concepto emitido el 5 de febrero de 2019, dentro del radicado No. 2201913000000663, se dijo: «[l]os convenios de asociación del artículo 5 son distintos a los contratos de </w:t>
      </w:r>
      <w:r w:rsidRPr="00EC49FE">
        <w:rPr>
          <w:rFonts w:ascii="Arial" w:hAnsi="Arial" w:cs="Arial"/>
          <w:color w:val="000000"/>
          <w:sz w:val="19"/>
          <w:szCs w:val="19"/>
          <w:shd w:val="clear" w:color="auto" w:fill="FFFFFF"/>
          <w:lang w:eastAsia="es-ES_tradnl"/>
        </w:rPr>
        <w:t>colaboración del artículo 2 del Decreto 092 de 2017».</w:t>
      </w:r>
    </w:p>
    <w:p w14:paraId="7C3B1665" w14:textId="77777777" w:rsidR="00851134" w:rsidRPr="00EC49FE" w:rsidRDefault="00851134" w:rsidP="00851134">
      <w:pPr>
        <w:ind w:firstLine="709"/>
        <w:jc w:val="both"/>
        <w:rPr>
          <w:rFonts w:ascii="Arial" w:hAnsi="Arial" w:cs="Arial"/>
          <w:sz w:val="19"/>
          <w:szCs w:val="19"/>
          <w:lang w:eastAsia="es-ES_tradnl"/>
        </w:rPr>
      </w:pPr>
    </w:p>
  </w:footnote>
  <w:footnote w:id="5">
    <w:p w14:paraId="01D71ECD" w14:textId="77777777" w:rsidR="00851134" w:rsidRPr="005F149C" w:rsidRDefault="00851134" w:rsidP="00851134">
      <w:pPr>
        <w:ind w:firstLine="709"/>
        <w:jc w:val="both"/>
        <w:rPr>
          <w:rFonts w:ascii="Arial" w:hAnsi="Arial" w:cs="Arial"/>
          <w:color w:val="000000"/>
          <w:sz w:val="19"/>
          <w:szCs w:val="19"/>
          <w:shd w:val="clear" w:color="auto" w:fill="FFFFFF"/>
          <w:lang w:eastAsia="es-ES_tradnl"/>
        </w:rPr>
      </w:pPr>
      <w:r w:rsidRPr="00EC49FE">
        <w:rPr>
          <w:rStyle w:val="Refdenotaalpie"/>
          <w:rFonts w:ascii="Arial" w:hAnsi="Arial" w:cs="Arial"/>
          <w:sz w:val="19"/>
          <w:szCs w:val="19"/>
        </w:rPr>
        <w:footnoteRef/>
      </w:r>
      <w:r w:rsidRPr="00EC49FE">
        <w:rPr>
          <w:rFonts w:ascii="Arial" w:hAnsi="Arial" w:cs="Arial"/>
          <w:sz w:val="19"/>
          <w:szCs w:val="19"/>
        </w:rPr>
        <w:t xml:space="preserve"> </w:t>
      </w:r>
      <w:r w:rsidRPr="005F149C">
        <w:rPr>
          <w:rFonts w:ascii="Arial" w:hAnsi="Arial" w:cs="Arial"/>
          <w:color w:val="000000"/>
          <w:sz w:val="19"/>
          <w:szCs w:val="19"/>
          <w:shd w:val="clear" w:color="auto" w:fill="FFFFFF"/>
          <w:lang w:eastAsia="es-ES_tradnl"/>
        </w:rPr>
        <w:t>Concepto del 3 de septiembre de 2019, emitido en el radicado No. 2201913000006512.</w:t>
      </w:r>
    </w:p>
    <w:p w14:paraId="34C5468F" w14:textId="77777777" w:rsidR="00851134" w:rsidRPr="001B3D0F" w:rsidRDefault="00851134" w:rsidP="00851134">
      <w:pPr>
        <w:ind w:firstLine="709"/>
        <w:jc w:val="both"/>
        <w:rPr>
          <w:rFonts w:ascii="Arial" w:hAnsi="Arial" w:cs="Arial"/>
          <w:sz w:val="19"/>
          <w:szCs w:val="19"/>
          <w:lang w:eastAsia="es-ES_tradnl"/>
        </w:rPr>
      </w:pPr>
    </w:p>
  </w:footnote>
  <w:footnote w:id="6">
    <w:p w14:paraId="0F30BC9D" w14:textId="77777777" w:rsidR="00851134" w:rsidRPr="00037DAF" w:rsidRDefault="00851134" w:rsidP="00851134">
      <w:pPr>
        <w:pStyle w:val="Textonotapie"/>
        <w:ind w:firstLine="708"/>
        <w:jc w:val="both"/>
        <w:rPr>
          <w:rFonts w:ascii="Arial" w:hAnsi="Arial" w:cs="Arial"/>
          <w:sz w:val="19"/>
          <w:szCs w:val="19"/>
          <w:lang w:val="es-CO"/>
        </w:rPr>
      </w:pPr>
      <w:r w:rsidRPr="00037DAF">
        <w:rPr>
          <w:rStyle w:val="Refdenotaalpie"/>
          <w:rFonts w:ascii="Arial" w:hAnsi="Arial" w:cs="Arial"/>
          <w:sz w:val="19"/>
          <w:szCs w:val="19"/>
        </w:rPr>
        <w:footnoteRef/>
      </w:r>
      <w:r w:rsidRPr="00037DAF">
        <w:rPr>
          <w:rFonts w:ascii="Arial" w:hAnsi="Arial" w:cs="Arial"/>
          <w:sz w:val="19"/>
          <w:szCs w:val="19"/>
        </w:rPr>
        <w:t xml:space="preserve"> </w:t>
      </w:r>
      <w:r w:rsidRPr="001B3D0F">
        <w:rPr>
          <w:rFonts w:ascii="Arial" w:eastAsia="Calibri" w:hAnsi="Arial" w:cs="Arial"/>
          <w:color w:val="000000"/>
          <w:sz w:val="19"/>
          <w:szCs w:val="19"/>
          <w:shd w:val="clear" w:color="auto" w:fill="FFFFFF"/>
          <w:lang w:val="es-CO" w:eastAsia="es-ES_tradnl"/>
        </w:rPr>
        <w:t>CONSEJO DE ESTADO</w:t>
      </w:r>
      <w:r w:rsidRPr="00EC49FE">
        <w:rPr>
          <w:rFonts w:ascii="Arial" w:eastAsia="Calibri" w:hAnsi="Arial" w:cs="Arial"/>
          <w:color w:val="000000"/>
          <w:sz w:val="19"/>
          <w:szCs w:val="19"/>
          <w:shd w:val="clear" w:color="auto" w:fill="FFFFFF"/>
          <w:lang w:val="es-CO" w:eastAsia="es-ES_tradnl"/>
        </w:rPr>
        <w:t>.</w:t>
      </w:r>
      <w:r w:rsidRPr="00037DAF">
        <w:rPr>
          <w:rFonts w:ascii="Arial" w:eastAsia="Calibri" w:hAnsi="Arial" w:cs="Arial"/>
          <w:color w:val="000000"/>
          <w:sz w:val="19"/>
          <w:szCs w:val="19"/>
          <w:shd w:val="clear" w:color="auto" w:fill="FFFFFF"/>
          <w:lang w:val="es-CO" w:eastAsia="es-ES_tradnl"/>
        </w:rPr>
        <w:t xml:space="preserve"> </w:t>
      </w:r>
      <w:r w:rsidRPr="006E64F0">
        <w:rPr>
          <w:rFonts w:ascii="Arial" w:eastAsia="Calibri" w:hAnsi="Arial" w:cs="Arial"/>
          <w:color w:val="000000"/>
          <w:sz w:val="19"/>
          <w:szCs w:val="19"/>
          <w:shd w:val="clear" w:color="auto" w:fill="FFFFFF"/>
          <w:lang w:val="es-CO" w:eastAsia="es-ES_tradnl"/>
        </w:rPr>
        <w:t>Sección Tercera</w:t>
      </w:r>
      <w:r w:rsidRPr="00EC49FE">
        <w:rPr>
          <w:rFonts w:ascii="Arial" w:eastAsia="Calibri" w:hAnsi="Arial" w:cs="Arial"/>
          <w:color w:val="000000"/>
          <w:sz w:val="19"/>
          <w:szCs w:val="19"/>
          <w:shd w:val="clear" w:color="auto" w:fill="FFFFFF"/>
          <w:lang w:val="es-CO" w:eastAsia="es-ES_tradnl"/>
        </w:rPr>
        <w:t>.</w:t>
      </w:r>
      <w:r w:rsidRPr="006E64F0">
        <w:rPr>
          <w:rFonts w:ascii="Arial" w:eastAsia="Calibri" w:hAnsi="Arial" w:cs="Arial"/>
          <w:color w:val="000000"/>
          <w:sz w:val="19"/>
          <w:szCs w:val="19"/>
          <w:shd w:val="clear" w:color="auto" w:fill="FFFFFF"/>
          <w:lang w:val="es-CO" w:eastAsia="es-ES_tradnl"/>
        </w:rPr>
        <w:t xml:space="preserve"> Subsección A</w:t>
      </w:r>
      <w:r w:rsidRPr="00EC49FE">
        <w:rPr>
          <w:rFonts w:ascii="Arial" w:eastAsia="Calibri" w:hAnsi="Arial" w:cs="Arial"/>
          <w:color w:val="000000"/>
          <w:sz w:val="19"/>
          <w:szCs w:val="19"/>
          <w:shd w:val="clear" w:color="auto" w:fill="FFFFFF"/>
          <w:lang w:val="es-CO" w:eastAsia="es-ES_tradnl"/>
        </w:rPr>
        <w:t>.</w:t>
      </w:r>
      <w:r>
        <w:rPr>
          <w:rFonts w:ascii="Arial" w:eastAsia="Calibri" w:hAnsi="Arial" w:cs="Arial"/>
          <w:color w:val="000000"/>
          <w:sz w:val="19"/>
          <w:szCs w:val="19"/>
          <w:shd w:val="clear" w:color="auto" w:fill="FFFFFF"/>
          <w:lang w:val="es-CO" w:eastAsia="es-ES_tradnl"/>
        </w:rPr>
        <w:t xml:space="preserve"> </w:t>
      </w:r>
      <w:r w:rsidRPr="00037DAF">
        <w:rPr>
          <w:rFonts w:ascii="Arial" w:eastAsia="Calibri" w:hAnsi="Arial" w:cs="Arial"/>
          <w:color w:val="000000"/>
          <w:sz w:val="19"/>
          <w:szCs w:val="19"/>
          <w:shd w:val="clear" w:color="auto" w:fill="FFFFFF"/>
          <w:lang w:val="es-CO" w:eastAsia="es-ES_tradnl"/>
        </w:rPr>
        <w:t>Auto del 6 de agosto de 2019</w:t>
      </w:r>
      <w:r>
        <w:rPr>
          <w:rFonts w:ascii="Arial" w:eastAsia="Calibri" w:hAnsi="Arial" w:cs="Arial"/>
          <w:color w:val="000000"/>
          <w:sz w:val="19"/>
          <w:szCs w:val="19"/>
          <w:shd w:val="clear" w:color="auto" w:fill="FFFFFF"/>
          <w:lang w:val="es-CO" w:eastAsia="es-ES_tradnl"/>
        </w:rPr>
        <w:t>.</w:t>
      </w:r>
      <w:r w:rsidRPr="00037DAF">
        <w:rPr>
          <w:rFonts w:ascii="Arial" w:eastAsia="Calibri" w:hAnsi="Arial" w:cs="Arial"/>
          <w:color w:val="000000"/>
          <w:sz w:val="19"/>
          <w:szCs w:val="19"/>
          <w:shd w:val="clear" w:color="auto" w:fill="FFFFFF"/>
          <w:lang w:val="es-CO" w:eastAsia="es-ES_tradnl"/>
        </w:rPr>
        <w:t xml:space="preserve"> </w:t>
      </w:r>
      <w:r w:rsidRPr="005F149C">
        <w:rPr>
          <w:rFonts w:ascii="Arial" w:eastAsia="Calibri" w:hAnsi="Arial" w:cs="Arial"/>
          <w:color w:val="000000"/>
          <w:sz w:val="19"/>
          <w:szCs w:val="19"/>
          <w:shd w:val="clear" w:color="auto" w:fill="FFFFFF"/>
          <w:lang w:val="es-CO" w:eastAsia="es-ES_tradnl"/>
        </w:rPr>
        <w:t>Exp. 62.003</w:t>
      </w:r>
      <w:r w:rsidRPr="001B3D0F">
        <w:rPr>
          <w:rFonts w:ascii="Arial" w:eastAsia="Calibri" w:hAnsi="Arial" w:cs="Arial"/>
          <w:color w:val="000000"/>
          <w:sz w:val="19"/>
          <w:szCs w:val="19"/>
          <w:shd w:val="clear" w:color="auto" w:fill="FFFFFF"/>
          <w:lang w:val="es-CO" w:eastAsia="es-ES_tradnl"/>
        </w:rPr>
        <w:t>.</w:t>
      </w:r>
      <w:r w:rsidRPr="00037DAF">
        <w:rPr>
          <w:rFonts w:ascii="Arial" w:eastAsia="Calibri" w:hAnsi="Arial" w:cs="Arial"/>
          <w:color w:val="000000"/>
          <w:sz w:val="19"/>
          <w:szCs w:val="19"/>
          <w:shd w:val="clear" w:color="auto" w:fill="FFFFFF"/>
          <w:lang w:val="es-CO" w:eastAsia="es-ES_tradnl"/>
        </w:rPr>
        <w:t xml:space="preserve"> C</w:t>
      </w:r>
      <w:r>
        <w:rPr>
          <w:rFonts w:ascii="Arial" w:eastAsia="Calibri" w:hAnsi="Arial" w:cs="Arial"/>
          <w:color w:val="000000"/>
          <w:sz w:val="19"/>
          <w:szCs w:val="19"/>
          <w:shd w:val="clear" w:color="auto" w:fill="FFFFFF"/>
          <w:lang w:val="es-CO" w:eastAsia="es-ES_tradnl"/>
        </w:rPr>
        <w:t>.P.</w:t>
      </w:r>
      <w:r w:rsidRPr="00037DAF">
        <w:rPr>
          <w:rFonts w:ascii="Arial" w:eastAsia="Calibri" w:hAnsi="Arial" w:cs="Arial"/>
          <w:color w:val="000000"/>
          <w:sz w:val="19"/>
          <w:szCs w:val="19"/>
          <w:shd w:val="clear" w:color="auto" w:fill="FFFFFF"/>
          <w:lang w:val="es-CO" w:eastAsia="es-ES_tradnl"/>
        </w:rPr>
        <w:t xml:space="preserve"> Carlos Alberto Zambrano Barrera</w:t>
      </w:r>
      <w:r w:rsidRPr="00EC49FE">
        <w:rPr>
          <w:rFonts w:ascii="Arial" w:eastAsia="Calibri" w:hAnsi="Arial" w:cs="Arial"/>
          <w:color w:val="000000"/>
          <w:sz w:val="19"/>
          <w:szCs w:val="19"/>
          <w:shd w:val="clear" w:color="auto" w:fill="FFFFFF"/>
          <w:lang w:val="es-CO" w:eastAsia="es-ES_tradnl"/>
        </w:rPr>
        <w:t>.</w:t>
      </w:r>
    </w:p>
  </w:footnote>
  <w:footnote w:id="7">
    <w:p w14:paraId="5BC0834A" w14:textId="77777777" w:rsidR="00851134" w:rsidRPr="00037DAF" w:rsidRDefault="00851134" w:rsidP="00851134">
      <w:pPr>
        <w:pStyle w:val="Textonotapie"/>
        <w:ind w:firstLine="708"/>
        <w:jc w:val="both"/>
        <w:rPr>
          <w:rFonts w:ascii="Arial" w:hAnsi="Arial" w:cs="Arial"/>
          <w:sz w:val="19"/>
          <w:szCs w:val="19"/>
        </w:rPr>
      </w:pPr>
      <w:r w:rsidRPr="00037DAF">
        <w:rPr>
          <w:rStyle w:val="Refdenotaalpie"/>
          <w:rFonts w:ascii="Arial" w:hAnsi="Arial" w:cs="Arial"/>
          <w:sz w:val="19"/>
          <w:szCs w:val="19"/>
        </w:rPr>
        <w:footnoteRef/>
      </w:r>
      <w:r w:rsidRPr="00037DAF">
        <w:rPr>
          <w:rFonts w:ascii="Arial" w:hAnsi="Arial" w:cs="Arial"/>
          <w:sz w:val="19"/>
          <w:szCs w:val="19"/>
        </w:rPr>
        <w:t xml:space="preserve"> Entre otros en el concepto C-529 del 11 de agosto de 2020. Los conceptos de la Agencia se pueden consultar en el siguiente link: </w:t>
      </w:r>
      <w:hyperlink r:id="rId1" w:history="1">
        <w:r w:rsidRPr="00037DAF">
          <w:rPr>
            <w:rFonts w:ascii="Arial" w:hAnsi="Arial" w:cs="Arial"/>
            <w:sz w:val="19"/>
            <w:szCs w:val="19"/>
          </w:rPr>
          <w:t>http://relatoria.colombiacompra.gov.co/busqueda/conceptos#</w:t>
        </w:r>
      </w:hyperlink>
      <w:r w:rsidRPr="00037DAF">
        <w:rPr>
          <w:rFonts w:ascii="Arial" w:hAnsi="Arial" w:cs="Arial"/>
          <w:sz w:val="19"/>
          <w:szCs w:val="19"/>
        </w:rPr>
        <w:t>. En particular el concepto indiciado se puede descargar en el siguiente enlace: http://relatoria.colombiacompra.gov.co/ficha/C-529%20de%202020</w:t>
      </w:r>
      <w:r>
        <w:rPr>
          <w:rFonts w:ascii="Arial" w:hAnsi="Arial" w:cs="Arial"/>
          <w:sz w:val="19"/>
          <w:szCs w:val="19"/>
        </w:rPr>
        <w:t xml:space="preserve">. </w:t>
      </w:r>
    </w:p>
  </w:footnote>
  <w:footnote w:id="8">
    <w:p w14:paraId="037986D4" w14:textId="77777777" w:rsidR="00851134" w:rsidRPr="00037DAF" w:rsidRDefault="00851134" w:rsidP="00851134">
      <w:pPr>
        <w:ind w:firstLine="709"/>
        <w:jc w:val="both"/>
        <w:rPr>
          <w:rFonts w:ascii="Arial" w:hAnsi="Arial" w:cs="Arial"/>
          <w:sz w:val="19"/>
          <w:szCs w:val="19"/>
          <w:lang w:val="es-ES" w:eastAsia="en-GB"/>
        </w:rPr>
      </w:pPr>
      <w:r w:rsidRPr="00EC49FE">
        <w:rPr>
          <w:rStyle w:val="Refdenotaalpie"/>
          <w:rFonts w:ascii="Arial" w:hAnsi="Arial" w:cs="Arial"/>
          <w:sz w:val="19"/>
          <w:szCs w:val="19"/>
        </w:rPr>
        <w:footnoteRef/>
      </w:r>
      <w:r w:rsidRPr="00EC49FE">
        <w:rPr>
          <w:rFonts w:ascii="Arial" w:hAnsi="Arial" w:cs="Arial"/>
          <w:sz w:val="19"/>
          <w:szCs w:val="19"/>
        </w:rPr>
        <w:t xml:space="preserve"> </w:t>
      </w:r>
      <w:r w:rsidRPr="005F149C">
        <w:rPr>
          <w:rFonts w:ascii="Arial" w:hAnsi="Arial" w:cs="Arial"/>
          <w:color w:val="000000"/>
          <w:sz w:val="19"/>
          <w:szCs w:val="19"/>
          <w:shd w:val="clear" w:color="auto" w:fill="FFFFFF"/>
          <w:lang w:eastAsia="es-ES_tradnl"/>
        </w:rPr>
        <w:t>Concepto del 19 de noviembre de 2019, emitido en el radicado No. 2201913000008611.</w:t>
      </w:r>
    </w:p>
  </w:footnote>
  <w:footnote w:id="9">
    <w:p w14:paraId="6836176E" w14:textId="3BFC242C" w:rsidR="00851134" w:rsidRPr="00AE0DE3" w:rsidRDefault="00851134" w:rsidP="00411CAD">
      <w:pPr>
        <w:pStyle w:val="Textonotapie"/>
        <w:jc w:val="both"/>
        <w:rPr>
          <w:lang w:val="es-CO"/>
        </w:rPr>
      </w:pPr>
      <w:r>
        <w:rPr>
          <w:rStyle w:val="Refdenotaalpie"/>
        </w:rPr>
        <w:footnoteRef/>
      </w:r>
      <w:r>
        <w:t xml:space="preserve"> </w:t>
      </w:r>
      <w:r w:rsidRPr="00B91332">
        <w:rPr>
          <w:rFonts w:ascii="Arial" w:hAnsi="Arial" w:cs="Arial"/>
          <w:lang w:val="es-CO"/>
        </w:rPr>
        <w:t>Disponible en https://www.colombiacompra.gov.co/sites/cce_public/files/cce_documents/cce_</w:t>
      </w:r>
      <w:r>
        <w:rPr>
          <w:rFonts w:ascii="Arial" w:hAnsi="Arial" w:cs="Arial"/>
          <w:lang w:val="es-CO"/>
        </w:rPr>
        <w:t xml:space="preserve"> </w:t>
      </w:r>
      <w:r w:rsidR="00411CAD" w:rsidRPr="00B91332">
        <w:rPr>
          <w:rFonts w:ascii="Arial" w:hAnsi="Arial" w:cs="Arial"/>
          <w:lang w:val="es-CO"/>
        </w:rPr>
        <w:t>guía</w:t>
      </w:r>
      <w:r w:rsidRPr="00B91332">
        <w:rPr>
          <w:rFonts w:ascii="Arial" w:hAnsi="Arial" w:cs="Arial"/>
          <w:lang w:val="es-CO"/>
        </w:rPr>
        <w:t>_</w:t>
      </w:r>
      <w:r>
        <w:rPr>
          <w:rFonts w:ascii="Arial" w:hAnsi="Arial" w:cs="Arial"/>
          <w:lang w:val="es-CO"/>
        </w:rPr>
        <w:t xml:space="preserve"> </w:t>
      </w:r>
      <w:r w:rsidRPr="00B91332">
        <w:rPr>
          <w:rFonts w:ascii="Arial" w:hAnsi="Arial" w:cs="Arial"/>
          <w:lang w:val="es-CO"/>
        </w:rPr>
        <w:t>esal.pdf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10BA" w14:textId="77777777" w:rsidR="00D857EA" w:rsidRDefault="00A71DFC" w:rsidP="004026EC">
    <w:pPr>
      <w:pStyle w:val="Encabezado"/>
      <w:jc w:val="right"/>
    </w:pPr>
    <w:r>
      <w:rPr>
        <w:noProof/>
        <w:lang w:eastAsia="es-CO"/>
      </w:rPr>
      <w:drawing>
        <wp:anchor distT="0" distB="0" distL="114300" distR="114300" simplePos="0" relativeHeight="251659264" behindDoc="0" locked="0" layoutInCell="1" allowOverlap="1" wp14:anchorId="237A62E9" wp14:editId="29315365">
          <wp:simplePos x="0" y="0"/>
          <wp:positionH relativeFrom="margin">
            <wp:posOffset>4499463</wp:posOffset>
          </wp:positionH>
          <wp:positionV relativeFrom="paragraph">
            <wp:posOffset>-142044</wp:posOffset>
          </wp:positionV>
          <wp:extent cx="1420507" cy="589741"/>
          <wp:effectExtent l="0" t="0" r="8255" b="1270"/>
          <wp:wrapNone/>
          <wp:docPr id="1" name="Imagen 1"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20507" cy="5897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66BC4"/>
    <w:multiLevelType w:val="hybridMultilevel"/>
    <w:tmpl w:val="389E96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32C3DDB"/>
    <w:multiLevelType w:val="multilevel"/>
    <w:tmpl w:val="51C8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8033642">
    <w:abstractNumId w:val="1"/>
  </w:num>
  <w:num w:numId="2" w16cid:durableId="1753577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F2"/>
    <w:rsid w:val="00003579"/>
    <w:rsid w:val="00012360"/>
    <w:rsid w:val="00035808"/>
    <w:rsid w:val="00060F6C"/>
    <w:rsid w:val="000670A1"/>
    <w:rsid w:val="00072908"/>
    <w:rsid w:val="00073C3A"/>
    <w:rsid w:val="0009032A"/>
    <w:rsid w:val="000938AC"/>
    <w:rsid w:val="000A424F"/>
    <w:rsid w:val="000B2DB6"/>
    <w:rsid w:val="000C0EC7"/>
    <w:rsid w:val="000C2202"/>
    <w:rsid w:val="000E1412"/>
    <w:rsid w:val="000F0B38"/>
    <w:rsid w:val="00103052"/>
    <w:rsid w:val="00103F42"/>
    <w:rsid w:val="001259AF"/>
    <w:rsid w:val="00135EF8"/>
    <w:rsid w:val="00136A6D"/>
    <w:rsid w:val="00140125"/>
    <w:rsid w:val="001572E1"/>
    <w:rsid w:val="0016727E"/>
    <w:rsid w:val="001810E5"/>
    <w:rsid w:val="00195079"/>
    <w:rsid w:val="001A051A"/>
    <w:rsid w:val="001A2F39"/>
    <w:rsid w:val="001B1A76"/>
    <w:rsid w:val="001C69F3"/>
    <w:rsid w:val="001D0BF1"/>
    <w:rsid w:val="001D74AB"/>
    <w:rsid w:val="001E749F"/>
    <w:rsid w:val="00203BD9"/>
    <w:rsid w:val="00207C72"/>
    <w:rsid w:val="00225DC4"/>
    <w:rsid w:val="002443B9"/>
    <w:rsid w:val="002566EE"/>
    <w:rsid w:val="002673FA"/>
    <w:rsid w:val="00281D6B"/>
    <w:rsid w:val="002955AB"/>
    <w:rsid w:val="002A4AB1"/>
    <w:rsid w:val="002A6B45"/>
    <w:rsid w:val="002B3D36"/>
    <w:rsid w:val="002C1AB5"/>
    <w:rsid w:val="002E0503"/>
    <w:rsid w:val="002E4B95"/>
    <w:rsid w:val="002F56C9"/>
    <w:rsid w:val="002F7CB0"/>
    <w:rsid w:val="00326682"/>
    <w:rsid w:val="00335AA9"/>
    <w:rsid w:val="003510B3"/>
    <w:rsid w:val="00363280"/>
    <w:rsid w:val="00374DE6"/>
    <w:rsid w:val="00390814"/>
    <w:rsid w:val="003C146E"/>
    <w:rsid w:val="003C7515"/>
    <w:rsid w:val="003D244F"/>
    <w:rsid w:val="003D4E7A"/>
    <w:rsid w:val="003E0C0E"/>
    <w:rsid w:val="003E1768"/>
    <w:rsid w:val="003E3AA6"/>
    <w:rsid w:val="00404697"/>
    <w:rsid w:val="00411CAD"/>
    <w:rsid w:val="00412119"/>
    <w:rsid w:val="00450F99"/>
    <w:rsid w:val="004520DD"/>
    <w:rsid w:val="00457642"/>
    <w:rsid w:val="004661C2"/>
    <w:rsid w:val="0048638E"/>
    <w:rsid w:val="004C7256"/>
    <w:rsid w:val="004E25EE"/>
    <w:rsid w:val="00553216"/>
    <w:rsid w:val="00556E31"/>
    <w:rsid w:val="0055701C"/>
    <w:rsid w:val="00557D46"/>
    <w:rsid w:val="005767E7"/>
    <w:rsid w:val="005778D6"/>
    <w:rsid w:val="005A2963"/>
    <w:rsid w:val="005A2EAB"/>
    <w:rsid w:val="005B3703"/>
    <w:rsid w:val="005B59DB"/>
    <w:rsid w:val="005C1619"/>
    <w:rsid w:val="005E024F"/>
    <w:rsid w:val="005E0333"/>
    <w:rsid w:val="00624F02"/>
    <w:rsid w:val="0065772C"/>
    <w:rsid w:val="00662556"/>
    <w:rsid w:val="00667EAB"/>
    <w:rsid w:val="006707E8"/>
    <w:rsid w:val="0067602C"/>
    <w:rsid w:val="00681702"/>
    <w:rsid w:val="00695D25"/>
    <w:rsid w:val="006A14F5"/>
    <w:rsid w:val="006A2EF6"/>
    <w:rsid w:val="006B0F97"/>
    <w:rsid w:val="006B583A"/>
    <w:rsid w:val="006D2D29"/>
    <w:rsid w:val="006D4700"/>
    <w:rsid w:val="006E6496"/>
    <w:rsid w:val="006E6826"/>
    <w:rsid w:val="006F1581"/>
    <w:rsid w:val="006F602D"/>
    <w:rsid w:val="0070580C"/>
    <w:rsid w:val="00727351"/>
    <w:rsid w:val="00731201"/>
    <w:rsid w:val="007312AC"/>
    <w:rsid w:val="0073193A"/>
    <w:rsid w:val="00734A21"/>
    <w:rsid w:val="00737C94"/>
    <w:rsid w:val="00740AA7"/>
    <w:rsid w:val="00761EE1"/>
    <w:rsid w:val="007625EF"/>
    <w:rsid w:val="00775D13"/>
    <w:rsid w:val="00792132"/>
    <w:rsid w:val="00793A07"/>
    <w:rsid w:val="007B3CCF"/>
    <w:rsid w:val="007B7247"/>
    <w:rsid w:val="007E0D52"/>
    <w:rsid w:val="007F0594"/>
    <w:rsid w:val="007F0F35"/>
    <w:rsid w:val="00803A30"/>
    <w:rsid w:val="00807CBD"/>
    <w:rsid w:val="00817C38"/>
    <w:rsid w:val="00851134"/>
    <w:rsid w:val="00865E59"/>
    <w:rsid w:val="00873B66"/>
    <w:rsid w:val="00876656"/>
    <w:rsid w:val="008A1FA9"/>
    <w:rsid w:val="008C3183"/>
    <w:rsid w:val="008D4DC6"/>
    <w:rsid w:val="00904059"/>
    <w:rsid w:val="00921D05"/>
    <w:rsid w:val="00931373"/>
    <w:rsid w:val="0095247F"/>
    <w:rsid w:val="00953250"/>
    <w:rsid w:val="0096566D"/>
    <w:rsid w:val="00984D37"/>
    <w:rsid w:val="00995B32"/>
    <w:rsid w:val="009A4F94"/>
    <w:rsid w:val="009B5B62"/>
    <w:rsid w:val="009E3EC2"/>
    <w:rsid w:val="009F682D"/>
    <w:rsid w:val="009F75C3"/>
    <w:rsid w:val="00A15D92"/>
    <w:rsid w:val="00A2315A"/>
    <w:rsid w:val="00A40AA8"/>
    <w:rsid w:val="00A5475F"/>
    <w:rsid w:val="00A71DFC"/>
    <w:rsid w:val="00A778FE"/>
    <w:rsid w:val="00AA3969"/>
    <w:rsid w:val="00AE0DE3"/>
    <w:rsid w:val="00AF46FC"/>
    <w:rsid w:val="00B046BE"/>
    <w:rsid w:val="00B14521"/>
    <w:rsid w:val="00B20BFA"/>
    <w:rsid w:val="00B2214D"/>
    <w:rsid w:val="00B46168"/>
    <w:rsid w:val="00B761F2"/>
    <w:rsid w:val="00BA5614"/>
    <w:rsid w:val="00BA7180"/>
    <w:rsid w:val="00BB622E"/>
    <w:rsid w:val="00BF003A"/>
    <w:rsid w:val="00BF4F69"/>
    <w:rsid w:val="00C02F5E"/>
    <w:rsid w:val="00C40A22"/>
    <w:rsid w:val="00C70CAF"/>
    <w:rsid w:val="00C7578A"/>
    <w:rsid w:val="00CB6829"/>
    <w:rsid w:val="00CB7136"/>
    <w:rsid w:val="00CD1E56"/>
    <w:rsid w:val="00CD4113"/>
    <w:rsid w:val="00CD6330"/>
    <w:rsid w:val="00CE5929"/>
    <w:rsid w:val="00CF00EA"/>
    <w:rsid w:val="00CF3D95"/>
    <w:rsid w:val="00D01FD1"/>
    <w:rsid w:val="00D13610"/>
    <w:rsid w:val="00D255D5"/>
    <w:rsid w:val="00D6063A"/>
    <w:rsid w:val="00D729C1"/>
    <w:rsid w:val="00D80309"/>
    <w:rsid w:val="00DA2BEC"/>
    <w:rsid w:val="00DB2951"/>
    <w:rsid w:val="00DB2986"/>
    <w:rsid w:val="00E04139"/>
    <w:rsid w:val="00E31A0A"/>
    <w:rsid w:val="00E463BC"/>
    <w:rsid w:val="00E76E31"/>
    <w:rsid w:val="00E84B4D"/>
    <w:rsid w:val="00E92F45"/>
    <w:rsid w:val="00E940D5"/>
    <w:rsid w:val="00E96402"/>
    <w:rsid w:val="00E97A96"/>
    <w:rsid w:val="00EA1F61"/>
    <w:rsid w:val="00EC6465"/>
    <w:rsid w:val="00EC7CF8"/>
    <w:rsid w:val="00ED6973"/>
    <w:rsid w:val="00EF2108"/>
    <w:rsid w:val="00F0165E"/>
    <w:rsid w:val="00F06769"/>
    <w:rsid w:val="00F170A4"/>
    <w:rsid w:val="00F41CF0"/>
    <w:rsid w:val="00F472A0"/>
    <w:rsid w:val="00F71DE1"/>
    <w:rsid w:val="00F806C2"/>
    <w:rsid w:val="00F85AB5"/>
    <w:rsid w:val="00F962CB"/>
    <w:rsid w:val="00FA5727"/>
    <w:rsid w:val="00FE42A6"/>
    <w:rsid w:val="00FF3FD5"/>
    <w:rsid w:val="00FF7F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87A0"/>
  <w15:chartTrackingRefBased/>
  <w15:docId w15:val="{2C0DD6A9-46F0-4145-875C-1D52B13D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A07"/>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f"/>
    <w:basedOn w:val="Normal"/>
    <w:link w:val="TextonotapieCar"/>
    <w:uiPriority w:val="99"/>
    <w:unhideWhenUsed/>
    <w:qFormat/>
    <w:rsid w:val="00B761F2"/>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B761F2"/>
    <w:rPr>
      <w:sz w:val="20"/>
      <w:szCs w:val="20"/>
      <w:lang w:val="es-MX"/>
    </w:rPr>
  </w:style>
  <w:style w:type="character" w:styleId="Refdenotaalpie">
    <w:name w:val="footnote reference"/>
    <w:aliases w:val="Ref. de nota al pie 2,Texto de nota al pie,Footnotes refss,Appel note de bas de page,referencia nota al pie,Footnote number,BVI fnr,f,4_G,16 Point,Superscript 6 Point,Texto nota al pie,Pie de Página,FC,Texto de nota al pi,Nota de pie"/>
    <w:basedOn w:val="Fuentedeprrafopredeter"/>
    <w:link w:val="Appelnotedebasde"/>
    <w:uiPriority w:val="99"/>
    <w:unhideWhenUsed/>
    <w:qFormat/>
    <w:rsid w:val="00B761F2"/>
    <w:rPr>
      <w:vertAlign w:val="superscript"/>
    </w:rPr>
  </w:style>
  <w:style w:type="paragraph" w:styleId="NormalWeb">
    <w:name w:val="Normal (Web)"/>
    <w:basedOn w:val="Normal"/>
    <w:link w:val="NormalWebCar"/>
    <w:uiPriority w:val="99"/>
    <w:unhideWhenUsed/>
    <w:rsid w:val="00B761F2"/>
    <w:pPr>
      <w:spacing w:before="100" w:beforeAutospacing="1" w:after="100" w:afterAutospacing="1"/>
    </w:pPr>
    <w:rPr>
      <w:rFonts w:ascii="Times New Roman" w:eastAsia="Times New Roman" w:hAnsi="Times New Roman" w:cs="Times New Roman"/>
      <w:szCs w:val="24"/>
      <w:lang w:val="es-CO" w:eastAsia="es-CO"/>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B761F2"/>
    <w:pPr>
      <w:ind w:left="720"/>
      <w:contextualSpacing/>
      <w:jc w:val="both"/>
    </w:pPr>
  </w:style>
  <w:style w:type="character" w:customStyle="1" w:styleId="NormalWebCar">
    <w:name w:val="Normal (Web) Car"/>
    <w:link w:val="NormalWeb"/>
    <w:uiPriority w:val="99"/>
    <w:rsid w:val="00B761F2"/>
    <w:rPr>
      <w:rFonts w:ascii="Times New Roman" w:eastAsia="Times New Roman" w:hAnsi="Times New Roman" w:cs="Times New Roman"/>
      <w:sz w:val="24"/>
      <w:szCs w:val="24"/>
      <w:lang w:eastAsia="es-CO"/>
    </w:rPr>
  </w:style>
  <w:style w:type="table" w:styleId="Tablaconcuadrcula">
    <w:name w:val="Table Grid"/>
    <w:basedOn w:val="Tablanormal"/>
    <w:uiPriority w:val="39"/>
    <w:qFormat/>
    <w:rsid w:val="00B76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761F2"/>
    <w:rPr>
      <w:sz w:val="24"/>
      <w:lang w:val="es-MX"/>
    </w:rPr>
  </w:style>
  <w:style w:type="paragraph" w:styleId="Encabezado">
    <w:name w:val="header"/>
    <w:basedOn w:val="Normal"/>
    <w:link w:val="EncabezadoCar"/>
    <w:uiPriority w:val="99"/>
    <w:unhideWhenUsed/>
    <w:rsid w:val="00B761F2"/>
    <w:pPr>
      <w:tabs>
        <w:tab w:val="center" w:pos="4419"/>
        <w:tab w:val="right" w:pos="8838"/>
      </w:tabs>
    </w:pPr>
  </w:style>
  <w:style w:type="character" w:customStyle="1" w:styleId="EncabezadoCar">
    <w:name w:val="Encabezado Car"/>
    <w:basedOn w:val="Fuentedeprrafopredeter"/>
    <w:link w:val="Encabezado"/>
    <w:uiPriority w:val="99"/>
    <w:rsid w:val="00B761F2"/>
    <w:rPr>
      <w:sz w:val="24"/>
      <w:lang w:val="es-MX"/>
    </w:rPr>
  </w:style>
  <w:style w:type="paragraph" w:styleId="Piedepgina">
    <w:name w:val="footer"/>
    <w:basedOn w:val="Normal"/>
    <w:link w:val="PiedepginaCar"/>
    <w:uiPriority w:val="99"/>
    <w:unhideWhenUsed/>
    <w:rsid w:val="00B761F2"/>
    <w:pPr>
      <w:tabs>
        <w:tab w:val="center" w:pos="4419"/>
        <w:tab w:val="right" w:pos="8838"/>
      </w:tabs>
    </w:pPr>
  </w:style>
  <w:style w:type="character" w:customStyle="1" w:styleId="PiedepginaCar">
    <w:name w:val="Pie de página Car"/>
    <w:basedOn w:val="Fuentedeprrafopredeter"/>
    <w:link w:val="Piedepgina"/>
    <w:uiPriority w:val="99"/>
    <w:rsid w:val="00B761F2"/>
    <w:rPr>
      <w:sz w:val="24"/>
      <w:lang w:val="es-MX"/>
    </w:rPr>
  </w:style>
  <w:style w:type="paragraph" w:styleId="Sinespaciado">
    <w:name w:val="No Spacing"/>
    <w:aliases w:val="No Indent"/>
    <w:uiPriority w:val="3"/>
    <w:qFormat/>
    <w:rsid w:val="00B761F2"/>
    <w:pPr>
      <w:spacing w:after="0" w:line="240" w:lineRule="auto"/>
    </w:pPr>
    <w:rPr>
      <w:sz w:val="24"/>
      <w:lang w:val="es-MX"/>
    </w:rPr>
  </w:style>
  <w:style w:type="paragraph" w:customStyle="1" w:styleId="InviasNormal">
    <w:name w:val="Invias Normal"/>
    <w:basedOn w:val="Normal"/>
    <w:link w:val="InviasNormalCar"/>
    <w:qFormat/>
    <w:rsid w:val="00B761F2"/>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761F2"/>
    <w:rPr>
      <w:rFonts w:ascii="Arial Narrow" w:eastAsia="Times New Roman" w:hAnsi="Arial Narrow" w:cs="Times New Roman"/>
      <w:color w:val="3B3838" w:themeColor="background2" w:themeShade="40"/>
      <w:sz w:val="24"/>
      <w:szCs w:val="24"/>
      <w:lang w:val="x-none" w:eastAsia="es-ES"/>
    </w:rPr>
  </w:style>
  <w:style w:type="paragraph" w:customStyle="1" w:styleId="Default">
    <w:name w:val="Default"/>
    <w:rsid w:val="00B761F2"/>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B761F2"/>
    <w:rPr>
      <w:color w:val="0000FF"/>
      <w:u w:val="single"/>
    </w:rPr>
  </w:style>
  <w:style w:type="character" w:styleId="Refdecomentario">
    <w:name w:val="annotation reference"/>
    <w:basedOn w:val="Fuentedeprrafopredeter"/>
    <w:uiPriority w:val="99"/>
    <w:semiHidden/>
    <w:unhideWhenUsed/>
    <w:rsid w:val="00B761F2"/>
    <w:rPr>
      <w:sz w:val="16"/>
      <w:szCs w:val="16"/>
    </w:rPr>
  </w:style>
  <w:style w:type="paragraph" w:styleId="Textocomentario">
    <w:name w:val="annotation text"/>
    <w:basedOn w:val="Normal"/>
    <w:link w:val="TextocomentarioCar"/>
    <w:uiPriority w:val="99"/>
    <w:unhideWhenUsed/>
    <w:rsid w:val="00B761F2"/>
    <w:rPr>
      <w:sz w:val="20"/>
      <w:szCs w:val="20"/>
    </w:rPr>
  </w:style>
  <w:style w:type="character" w:customStyle="1" w:styleId="TextocomentarioCar">
    <w:name w:val="Texto comentario Car"/>
    <w:basedOn w:val="Fuentedeprrafopredeter"/>
    <w:link w:val="Textocomentario"/>
    <w:uiPriority w:val="99"/>
    <w:rsid w:val="00B761F2"/>
    <w:rPr>
      <w:sz w:val="20"/>
      <w:szCs w:val="20"/>
      <w:lang w:val="es-MX"/>
    </w:rPr>
  </w:style>
  <w:style w:type="paragraph" w:customStyle="1" w:styleId="Appelnotedebasde">
    <w:name w:val="Appel note de bas de..."/>
    <w:basedOn w:val="Normal"/>
    <w:link w:val="Refdenotaalpie"/>
    <w:uiPriority w:val="99"/>
    <w:rsid w:val="00B761F2"/>
    <w:pPr>
      <w:spacing w:after="160" w:line="240" w:lineRule="exact"/>
    </w:pPr>
    <w:rPr>
      <w:sz w:val="22"/>
      <w:vertAlign w:val="superscript"/>
      <w:lang w:val="es-CO"/>
    </w:rPr>
  </w:style>
  <w:style w:type="character" w:customStyle="1" w:styleId="baj">
    <w:name w:val="b_aj"/>
    <w:basedOn w:val="Fuentedeprrafopredeter"/>
    <w:rsid w:val="00035808"/>
  </w:style>
  <w:style w:type="paragraph" w:styleId="Revisin">
    <w:name w:val="Revision"/>
    <w:hidden/>
    <w:uiPriority w:val="99"/>
    <w:semiHidden/>
    <w:rsid w:val="002E4B95"/>
    <w:pPr>
      <w:spacing w:after="0" w:line="240" w:lineRule="auto"/>
    </w:pPr>
    <w:rPr>
      <w:sz w:val="24"/>
      <w:lang w:val="es-MX"/>
    </w:rPr>
  </w:style>
  <w:style w:type="paragraph" w:styleId="Asuntodelcomentario">
    <w:name w:val="annotation subject"/>
    <w:basedOn w:val="Textocomentario"/>
    <w:next w:val="Textocomentario"/>
    <w:link w:val="AsuntodelcomentarioCar"/>
    <w:uiPriority w:val="99"/>
    <w:semiHidden/>
    <w:unhideWhenUsed/>
    <w:rsid w:val="003510B3"/>
    <w:rPr>
      <w:b/>
      <w:bCs/>
    </w:rPr>
  </w:style>
  <w:style w:type="character" w:customStyle="1" w:styleId="AsuntodelcomentarioCar">
    <w:name w:val="Asunto del comentario Car"/>
    <w:basedOn w:val="TextocomentarioCar"/>
    <w:link w:val="Asuntodelcomentario"/>
    <w:uiPriority w:val="99"/>
    <w:semiHidden/>
    <w:rsid w:val="003510B3"/>
    <w:rPr>
      <w:b/>
      <w:bCs/>
      <w:sz w:val="20"/>
      <w:szCs w:val="20"/>
      <w:lang w:val="es-MX"/>
    </w:rPr>
  </w:style>
  <w:style w:type="character" w:styleId="Textoennegrita">
    <w:name w:val="Strong"/>
    <w:basedOn w:val="Fuentedeprrafopredeter"/>
    <w:uiPriority w:val="22"/>
    <w:qFormat/>
    <w:rsid w:val="00A40AA8"/>
    <w:rPr>
      <w:b/>
      <w:bCs/>
    </w:rPr>
  </w:style>
  <w:style w:type="character" w:styleId="nfasis">
    <w:name w:val="Emphasis"/>
    <w:basedOn w:val="Fuentedeprrafopredeter"/>
    <w:uiPriority w:val="20"/>
    <w:qFormat/>
    <w:rsid w:val="00A40AA8"/>
    <w:rPr>
      <w:i/>
      <w:iCs/>
    </w:rPr>
  </w:style>
  <w:style w:type="paragraph" w:styleId="Textoindependiente">
    <w:name w:val="Body Text"/>
    <w:basedOn w:val="Normal"/>
    <w:link w:val="TextoindependienteCar"/>
    <w:uiPriority w:val="1"/>
    <w:qFormat/>
    <w:rsid w:val="00807CBD"/>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07CBD"/>
    <w:rPr>
      <w:rFonts w:ascii="Arial" w:eastAsia="Arial" w:hAnsi="Arial" w:cs="Arial"/>
      <w:lang w:val="es-ES" w:eastAsia="es-ES" w:bidi="es-ES"/>
    </w:rPr>
  </w:style>
  <w:style w:type="paragraph" w:customStyle="1" w:styleId="paragraph">
    <w:name w:val="paragraph"/>
    <w:basedOn w:val="Normal"/>
    <w:rsid w:val="0093137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2F7CB0"/>
  </w:style>
  <w:style w:type="character" w:customStyle="1" w:styleId="eop">
    <w:name w:val="eop"/>
    <w:basedOn w:val="Fuentedeprrafopredeter"/>
    <w:rsid w:val="002F7CB0"/>
  </w:style>
  <w:style w:type="character" w:styleId="Mencinsinresolver">
    <w:name w:val="Unresolved Mention"/>
    <w:basedOn w:val="Fuentedeprrafopredeter"/>
    <w:uiPriority w:val="99"/>
    <w:semiHidden/>
    <w:unhideWhenUsed/>
    <w:rsid w:val="00BA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917">
      <w:bodyDiv w:val="1"/>
      <w:marLeft w:val="0"/>
      <w:marRight w:val="0"/>
      <w:marTop w:val="0"/>
      <w:marBottom w:val="0"/>
      <w:divBdr>
        <w:top w:val="none" w:sz="0" w:space="0" w:color="auto"/>
        <w:left w:val="none" w:sz="0" w:space="0" w:color="auto"/>
        <w:bottom w:val="none" w:sz="0" w:space="0" w:color="auto"/>
        <w:right w:val="none" w:sz="0" w:space="0" w:color="auto"/>
      </w:divBdr>
    </w:div>
    <w:div w:id="423258510">
      <w:bodyDiv w:val="1"/>
      <w:marLeft w:val="0"/>
      <w:marRight w:val="0"/>
      <w:marTop w:val="0"/>
      <w:marBottom w:val="0"/>
      <w:divBdr>
        <w:top w:val="none" w:sz="0" w:space="0" w:color="auto"/>
        <w:left w:val="none" w:sz="0" w:space="0" w:color="auto"/>
        <w:bottom w:val="none" w:sz="0" w:space="0" w:color="auto"/>
        <w:right w:val="none" w:sz="0" w:space="0" w:color="auto"/>
      </w:divBdr>
    </w:div>
    <w:div w:id="553472007">
      <w:bodyDiv w:val="1"/>
      <w:marLeft w:val="0"/>
      <w:marRight w:val="0"/>
      <w:marTop w:val="0"/>
      <w:marBottom w:val="0"/>
      <w:divBdr>
        <w:top w:val="none" w:sz="0" w:space="0" w:color="auto"/>
        <w:left w:val="none" w:sz="0" w:space="0" w:color="auto"/>
        <w:bottom w:val="none" w:sz="0" w:space="0" w:color="auto"/>
        <w:right w:val="none" w:sz="0" w:space="0" w:color="auto"/>
      </w:divBdr>
    </w:div>
    <w:div w:id="654795281">
      <w:bodyDiv w:val="1"/>
      <w:marLeft w:val="0"/>
      <w:marRight w:val="0"/>
      <w:marTop w:val="0"/>
      <w:marBottom w:val="0"/>
      <w:divBdr>
        <w:top w:val="none" w:sz="0" w:space="0" w:color="auto"/>
        <w:left w:val="none" w:sz="0" w:space="0" w:color="auto"/>
        <w:bottom w:val="none" w:sz="0" w:space="0" w:color="auto"/>
        <w:right w:val="none" w:sz="0" w:space="0" w:color="auto"/>
      </w:divBdr>
    </w:div>
    <w:div w:id="775488232">
      <w:bodyDiv w:val="1"/>
      <w:marLeft w:val="0"/>
      <w:marRight w:val="0"/>
      <w:marTop w:val="0"/>
      <w:marBottom w:val="0"/>
      <w:divBdr>
        <w:top w:val="none" w:sz="0" w:space="0" w:color="auto"/>
        <w:left w:val="none" w:sz="0" w:space="0" w:color="auto"/>
        <w:bottom w:val="none" w:sz="0" w:space="0" w:color="auto"/>
        <w:right w:val="none" w:sz="0" w:space="0" w:color="auto"/>
      </w:divBdr>
    </w:div>
    <w:div w:id="981151842">
      <w:bodyDiv w:val="1"/>
      <w:marLeft w:val="0"/>
      <w:marRight w:val="0"/>
      <w:marTop w:val="0"/>
      <w:marBottom w:val="0"/>
      <w:divBdr>
        <w:top w:val="none" w:sz="0" w:space="0" w:color="auto"/>
        <w:left w:val="none" w:sz="0" w:space="0" w:color="auto"/>
        <w:bottom w:val="none" w:sz="0" w:space="0" w:color="auto"/>
        <w:right w:val="none" w:sz="0" w:space="0" w:color="auto"/>
      </w:divBdr>
    </w:div>
    <w:div w:id="1117674345">
      <w:bodyDiv w:val="1"/>
      <w:marLeft w:val="0"/>
      <w:marRight w:val="0"/>
      <w:marTop w:val="0"/>
      <w:marBottom w:val="0"/>
      <w:divBdr>
        <w:top w:val="none" w:sz="0" w:space="0" w:color="auto"/>
        <w:left w:val="none" w:sz="0" w:space="0" w:color="auto"/>
        <w:bottom w:val="none" w:sz="0" w:space="0" w:color="auto"/>
        <w:right w:val="none" w:sz="0" w:space="0" w:color="auto"/>
      </w:divBdr>
    </w:div>
    <w:div w:id="1425414120">
      <w:bodyDiv w:val="1"/>
      <w:marLeft w:val="0"/>
      <w:marRight w:val="0"/>
      <w:marTop w:val="0"/>
      <w:marBottom w:val="0"/>
      <w:divBdr>
        <w:top w:val="none" w:sz="0" w:space="0" w:color="auto"/>
        <w:left w:val="none" w:sz="0" w:space="0" w:color="auto"/>
        <w:bottom w:val="none" w:sz="0" w:space="0" w:color="auto"/>
        <w:right w:val="none" w:sz="0" w:space="0" w:color="auto"/>
      </w:divBdr>
    </w:div>
    <w:div w:id="1438018874">
      <w:bodyDiv w:val="1"/>
      <w:marLeft w:val="0"/>
      <w:marRight w:val="0"/>
      <w:marTop w:val="0"/>
      <w:marBottom w:val="0"/>
      <w:divBdr>
        <w:top w:val="none" w:sz="0" w:space="0" w:color="auto"/>
        <w:left w:val="none" w:sz="0" w:space="0" w:color="auto"/>
        <w:bottom w:val="none" w:sz="0" w:space="0" w:color="auto"/>
        <w:right w:val="none" w:sz="0" w:space="0" w:color="auto"/>
      </w:divBdr>
    </w:div>
    <w:div w:id="1626039092">
      <w:bodyDiv w:val="1"/>
      <w:marLeft w:val="0"/>
      <w:marRight w:val="0"/>
      <w:marTop w:val="0"/>
      <w:marBottom w:val="0"/>
      <w:divBdr>
        <w:top w:val="none" w:sz="0" w:space="0" w:color="auto"/>
        <w:left w:val="none" w:sz="0" w:space="0" w:color="auto"/>
        <w:bottom w:val="none" w:sz="0" w:space="0" w:color="auto"/>
        <w:right w:val="none" w:sz="0" w:space="0" w:color="auto"/>
      </w:divBdr>
    </w:div>
    <w:div w:id="1693726517">
      <w:bodyDiv w:val="1"/>
      <w:marLeft w:val="0"/>
      <w:marRight w:val="0"/>
      <w:marTop w:val="0"/>
      <w:marBottom w:val="0"/>
      <w:divBdr>
        <w:top w:val="none" w:sz="0" w:space="0" w:color="auto"/>
        <w:left w:val="none" w:sz="0" w:space="0" w:color="auto"/>
        <w:bottom w:val="none" w:sz="0" w:space="0" w:color="auto"/>
        <w:right w:val="none" w:sz="0" w:space="0" w:color="auto"/>
      </w:divBdr>
    </w:div>
    <w:div w:id="189257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zacamila04@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55A9-22DB-497F-9418-381353F4412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12493718-53A8-4A3D-809C-399D0C4CA076}">
  <ds:schemaRefs>
    <ds:schemaRef ds:uri="http://schemas.microsoft.com/sharepoint/v3/contenttype/forms"/>
  </ds:schemaRefs>
</ds:datastoreItem>
</file>

<file path=customXml/itemProps3.xml><?xml version="1.0" encoding="utf-8"?>
<ds:datastoreItem xmlns:ds="http://schemas.openxmlformats.org/officeDocument/2006/customXml" ds:itemID="{188FD2FC-3BCF-4718-BF6C-D30EB1E99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20C06-D2AC-4A44-83C9-D9024EDA1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14</Pages>
  <Words>4938</Words>
  <Characters>27159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Santiago Alberto Herrera Morillo</cp:lastModifiedBy>
  <cp:revision>40</cp:revision>
  <dcterms:created xsi:type="dcterms:W3CDTF">2023-03-15T18:35:00Z</dcterms:created>
  <dcterms:modified xsi:type="dcterms:W3CDTF">2024-03-15T16:59:00Z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