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E731" w14:textId="60E801E6" w:rsidR="00B5038F" w:rsidRPr="00374831" w:rsidRDefault="00B5038F" w:rsidP="00374831">
      <w:pPr>
        <w:spacing w:after="0" w:line="240" w:lineRule="auto"/>
        <w:rPr>
          <w:rFonts w:ascii="Arial" w:eastAsia="Calibri" w:hAnsi="Arial" w:cs="Arial"/>
          <w:b/>
          <w:lang w:val="es-MX" w:eastAsia="es-ES_tradnl"/>
        </w:rPr>
      </w:pPr>
      <w:bookmarkStart w:id="0" w:name="_Hlk94281581"/>
      <w:bookmarkStart w:id="1" w:name="_Hlk102489058"/>
      <w:bookmarkStart w:id="2" w:name="_Hlk34951122"/>
      <w:r w:rsidRPr="00374831">
        <w:rPr>
          <w:rFonts w:ascii="Arial" w:eastAsia="Calibri" w:hAnsi="Arial" w:cs="Arial"/>
          <w:b/>
          <w:lang w:val="es-MX" w:eastAsia="es-ES_tradnl"/>
        </w:rPr>
        <w:t xml:space="preserve">INHABILIDADES – </w:t>
      </w:r>
      <w:r w:rsidRPr="00997AEB">
        <w:rPr>
          <w:rFonts w:ascii="Arial" w:eastAsia="Calibri" w:hAnsi="Arial" w:cs="Arial"/>
          <w:b/>
          <w:lang w:val="es-MX" w:eastAsia="es-ES_tradnl"/>
        </w:rPr>
        <w:t>Definición</w:t>
      </w:r>
      <w:r w:rsidRPr="00374831">
        <w:rPr>
          <w:rFonts w:ascii="Arial" w:eastAsia="Calibri" w:hAnsi="Arial" w:cs="Arial"/>
          <w:b/>
          <w:lang w:val="es-MX" w:eastAsia="es-ES_tradnl"/>
        </w:rPr>
        <w:t xml:space="preserve"> – Finalidad – Limitación capacidad contractual</w:t>
      </w:r>
    </w:p>
    <w:p w14:paraId="1F60688E" w14:textId="77777777" w:rsidR="00B5038F" w:rsidRPr="00374831" w:rsidRDefault="00B5038F" w:rsidP="00374831">
      <w:pPr>
        <w:spacing w:after="0" w:line="240" w:lineRule="auto"/>
        <w:rPr>
          <w:rFonts w:ascii="Arial" w:eastAsia="Calibri" w:hAnsi="Arial" w:cs="Arial"/>
          <w:bCs/>
          <w:sz w:val="20"/>
          <w:szCs w:val="20"/>
          <w:lang w:val="es-MX" w:eastAsia="es-ES_tradnl"/>
        </w:rPr>
      </w:pPr>
    </w:p>
    <w:p w14:paraId="6BEBEE69" w14:textId="6C66154F" w:rsidR="00B5038F" w:rsidRPr="00374831" w:rsidRDefault="00B5038F" w:rsidP="00374831">
      <w:pPr>
        <w:spacing w:after="0" w:line="240" w:lineRule="auto"/>
        <w:jc w:val="both"/>
        <w:rPr>
          <w:rFonts w:ascii="Arial" w:eastAsia="Geomanist Light" w:hAnsi="Arial" w:cs="Arial"/>
          <w:color w:val="000000" w:themeColor="text1"/>
          <w:sz w:val="20"/>
          <w:szCs w:val="20"/>
          <w:lang w:val="es-MX"/>
        </w:rPr>
      </w:pPr>
      <w:r w:rsidRPr="00374831">
        <w:rPr>
          <w:rFonts w:ascii="Arial" w:eastAsia="Geomanist Light" w:hAnsi="Arial"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5FA75C43" w14:textId="77777777" w:rsidR="00374831" w:rsidRPr="00374831" w:rsidRDefault="00374831" w:rsidP="00374831">
      <w:pPr>
        <w:spacing w:after="0" w:line="240" w:lineRule="auto"/>
        <w:jc w:val="both"/>
        <w:rPr>
          <w:rFonts w:ascii="Arial" w:eastAsia="Geomanist Light" w:hAnsi="Arial" w:cs="Arial"/>
          <w:color w:val="000000" w:themeColor="text1"/>
          <w:sz w:val="20"/>
          <w:szCs w:val="20"/>
          <w:lang w:val="es-MX"/>
        </w:rPr>
      </w:pPr>
    </w:p>
    <w:p w14:paraId="2550893B" w14:textId="1DAD5D66" w:rsidR="00374831" w:rsidRPr="00374831" w:rsidRDefault="00374831" w:rsidP="00374831">
      <w:pPr>
        <w:spacing w:after="0" w:line="240" w:lineRule="auto"/>
        <w:jc w:val="both"/>
        <w:rPr>
          <w:rFonts w:ascii="Arial" w:eastAsia="Calibri" w:hAnsi="Arial" w:cs="Arial"/>
          <w:b/>
          <w:lang w:val="es-MX" w:eastAsia="es-ES_tradnl"/>
        </w:rPr>
      </w:pPr>
      <w:r w:rsidRPr="00374831">
        <w:rPr>
          <w:rFonts w:ascii="Arial" w:eastAsia="Calibri" w:hAnsi="Arial" w:cs="Arial"/>
          <w:b/>
          <w:lang w:val="es-MX" w:eastAsia="es-ES_tradnl"/>
        </w:rPr>
        <w:t>CONTRATACIÓN ESTATAL – Capacidad – Validez contratos – Régimen de contratación – Inscripción – Limitación de la capacidad</w:t>
      </w:r>
    </w:p>
    <w:p w14:paraId="4C40C422" w14:textId="77777777" w:rsidR="00374831" w:rsidRPr="00374831" w:rsidRDefault="00374831" w:rsidP="00374831">
      <w:pPr>
        <w:spacing w:after="0" w:line="240" w:lineRule="auto"/>
        <w:jc w:val="both"/>
        <w:rPr>
          <w:rFonts w:ascii="Arial" w:eastAsia="Calibri" w:hAnsi="Arial" w:cs="Arial"/>
          <w:bCs/>
          <w:sz w:val="20"/>
          <w:szCs w:val="20"/>
          <w:lang w:val="es-MX" w:eastAsia="es-ES_tradnl"/>
        </w:rPr>
      </w:pPr>
    </w:p>
    <w:p w14:paraId="2D07829D" w14:textId="510F061E" w:rsidR="00374831" w:rsidRPr="00374831" w:rsidRDefault="00374831" w:rsidP="00374831">
      <w:pPr>
        <w:spacing w:after="0" w:line="240" w:lineRule="auto"/>
        <w:jc w:val="both"/>
        <w:rPr>
          <w:rFonts w:ascii="Arial" w:eastAsia="Calibri" w:hAnsi="Arial" w:cs="Arial"/>
          <w:bCs/>
          <w:sz w:val="20"/>
          <w:szCs w:val="20"/>
          <w:lang w:val="es-MX" w:eastAsia="es-ES_tradnl"/>
        </w:rPr>
      </w:pPr>
      <w:r w:rsidRPr="00374831">
        <w:rPr>
          <w:rFonts w:ascii="Arial" w:eastAsia="Calibri" w:hAnsi="Arial" w:cs="Arial"/>
          <w:bCs/>
          <w:sz w:val="20"/>
          <w:szCs w:val="20"/>
          <w:lang w:val="es-MX" w:eastAsia="es-ES_tradnl"/>
        </w:rPr>
        <w:t>[…]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43300106" w14:textId="77777777" w:rsidR="00374831" w:rsidRPr="00374831" w:rsidRDefault="00374831" w:rsidP="00374831">
      <w:pPr>
        <w:spacing w:after="0" w:line="240" w:lineRule="auto"/>
        <w:jc w:val="both"/>
        <w:rPr>
          <w:rFonts w:ascii="Arial" w:eastAsia="Calibri" w:hAnsi="Arial" w:cs="Arial"/>
          <w:bCs/>
          <w:sz w:val="20"/>
          <w:szCs w:val="20"/>
          <w:lang w:val="es-MX" w:eastAsia="es-ES_tradnl"/>
        </w:rPr>
      </w:pPr>
    </w:p>
    <w:p w14:paraId="37D44042" w14:textId="7DAC6F4F" w:rsidR="00374831" w:rsidRPr="00374831" w:rsidRDefault="00374831" w:rsidP="00374831">
      <w:pPr>
        <w:spacing w:after="0" w:line="240" w:lineRule="auto"/>
        <w:jc w:val="both"/>
        <w:rPr>
          <w:rFonts w:ascii="Arial" w:eastAsia="Calibri" w:hAnsi="Arial" w:cs="Arial"/>
          <w:bCs/>
          <w:sz w:val="20"/>
          <w:szCs w:val="20"/>
          <w:lang w:val="es-MX" w:eastAsia="es-ES_tradnl"/>
        </w:rPr>
      </w:pPr>
      <w:r w:rsidRPr="00374831">
        <w:rPr>
          <w:rFonts w:ascii="Arial" w:eastAsia="Calibri" w:hAnsi="Arial" w:cs="Arial"/>
          <w:bCs/>
          <w:sz w:val="20"/>
          <w:szCs w:val="20"/>
          <w:lang w:val="es-MX" w:eastAsia="es-ES_tradnl"/>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08B0B958" w14:textId="77777777" w:rsidR="00374831" w:rsidRPr="00374831" w:rsidRDefault="00374831" w:rsidP="00374831">
      <w:pPr>
        <w:spacing w:after="0" w:line="240" w:lineRule="auto"/>
        <w:jc w:val="both"/>
        <w:rPr>
          <w:rFonts w:ascii="Arial" w:eastAsia="Geomanist Light" w:hAnsi="Arial" w:cs="Arial"/>
          <w:color w:val="000000" w:themeColor="text1"/>
          <w:sz w:val="20"/>
          <w:szCs w:val="20"/>
          <w:lang w:val="es-MX"/>
        </w:rPr>
      </w:pPr>
    </w:p>
    <w:p w14:paraId="5C4D1B14" w14:textId="3D12AC0D" w:rsidR="00B5038F" w:rsidRPr="00374831" w:rsidRDefault="00374831" w:rsidP="00374831">
      <w:pPr>
        <w:spacing w:after="0" w:line="240" w:lineRule="auto"/>
        <w:rPr>
          <w:rFonts w:ascii="Arial" w:eastAsia="Calibri" w:hAnsi="Arial" w:cs="Arial"/>
          <w:b/>
          <w:lang w:val="es-MX" w:eastAsia="es-ES_tradnl"/>
        </w:rPr>
      </w:pPr>
      <w:r w:rsidRPr="00374831">
        <w:rPr>
          <w:rFonts w:ascii="Arial" w:eastAsia="Calibri" w:hAnsi="Arial" w:cs="Arial"/>
          <w:b/>
          <w:lang w:val="es-MX" w:eastAsia="es-ES_tradnl"/>
        </w:rPr>
        <w:t>INHABILIDADES – Taxatividad – Principio de legalidad – Interpretación restrictiva</w:t>
      </w:r>
    </w:p>
    <w:p w14:paraId="6A680B0F" w14:textId="77777777" w:rsidR="00374831" w:rsidRPr="00374831" w:rsidRDefault="00374831" w:rsidP="00374831">
      <w:pPr>
        <w:spacing w:after="0" w:line="240" w:lineRule="auto"/>
        <w:rPr>
          <w:rFonts w:ascii="Arial" w:eastAsia="Calibri" w:hAnsi="Arial" w:cs="Arial"/>
          <w:bCs/>
          <w:sz w:val="20"/>
          <w:szCs w:val="20"/>
          <w:lang w:val="es-MX" w:eastAsia="es-ES_tradnl"/>
        </w:rPr>
      </w:pPr>
    </w:p>
    <w:p w14:paraId="41249D82" w14:textId="10BD23EC" w:rsidR="00374831" w:rsidRPr="00374831" w:rsidRDefault="00374831" w:rsidP="00374831">
      <w:pPr>
        <w:spacing w:after="0" w:line="240" w:lineRule="auto"/>
        <w:jc w:val="both"/>
        <w:rPr>
          <w:rFonts w:ascii="Arial" w:eastAsia="Calibri" w:hAnsi="Arial" w:cs="Arial"/>
          <w:bCs/>
          <w:sz w:val="20"/>
          <w:szCs w:val="20"/>
          <w:lang w:val="es-MX" w:eastAsia="es-ES_tradnl"/>
        </w:rPr>
      </w:pPr>
      <w:r w:rsidRPr="00374831">
        <w:rPr>
          <w:rFonts w:ascii="Arial" w:eastAsia="Calibri" w:hAnsi="Arial" w:cs="Arial"/>
          <w:bCs/>
          <w:sz w:val="20"/>
          <w:szCs w:val="20"/>
          <w:lang w:val="es-MX" w:eastAsia="es-ES_tradnl"/>
        </w:rPr>
        <w:t xml:space="preserve">[…]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 En similar sentido, la Sala de Consulta y Servicio Civil del Consejo de Estado expresó que “[…] las causales de inhabilidad e incompatibilidad deben estar expresa y taxativamente establecidas en la Constitución o en la ley y son de aplicación e interpretación </w:t>
      </w:r>
      <w:r w:rsidRPr="00374831">
        <w:rPr>
          <w:rFonts w:ascii="Arial" w:eastAsia="Calibri" w:hAnsi="Arial" w:cs="Arial"/>
          <w:bCs/>
          <w:sz w:val="20"/>
          <w:szCs w:val="20"/>
          <w:lang w:val="es-MX" w:eastAsia="es-ES_tradnl"/>
        </w:rPr>
        <w:lastRenderedPageBreak/>
        <w:t>restrictivas […]”. En este sentido, como se observa, existe consenso, incluso como lo ha expresado esta Agencia en ocasiones anteriores, que la creación de inhabilidades o incompatibilidades está reservada al constituyente o al legislador.</w:t>
      </w:r>
    </w:p>
    <w:p w14:paraId="33894150" w14:textId="77777777" w:rsidR="00374831" w:rsidRDefault="00374831" w:rsidP="00C87232">
      <w:pPr>
        <w:spacing w:after="0"/>
        <w:rPr>
          <w:rFonts w:ascii="Arial" w:eastAsia="Calibri" w:hAnsi="Arial" w:cs="Arial"/>
          <w:bCs/>
          <w:lang w:val="es-MX" w:eastAsia="es-ES_tradnl"/>
        </w:rPr>
      </w:pPr>
    </w:p>
    <w:p w14:paraId="6AA0DA48" w14:textId="77777777" w:rsidR="00374831" w:rsidRDefault="00374831" w:rsidP="00C87232">
      <w:pPr>
        <w:spacing w:after="0"/>
        <w:rPr>
          <w:rFonts w:ascii="Arial" w:eastAsia="Geomanist Light" w:hAnsi="Arial" w:cs="Arial"/>
          <w:color w:val="000000" w:themeColor="text1"/>
          <w:lang w:val="es-MX"/>
        </w:rPr>
      </w:pPr>
    </w:p>
    <w:p w14:paraId="55621B64" w14:textId="77777777" w:rsidR="00B5038F" w:rsidRDefault="00B5038F" w:rsidP="00C87232">
      <w:pPr>
        <w:spacing w:after="0"/>
        <w:rPr>
          <w:rFonts w:ascii="Arial" w:eastAsia="Geomanist Light" w:hAnsi="Arial" w:cs="Arial"/>
          <w:color w:val="000000" w:themeColor="text1"/>
          <w:lang w:val="es-MX"/>
        </w:rPr>
      </w:pPr>
    </w:p>
    <w:p w14:paraId="366B0BF2" w14:textId="77777777" w:rsidR="00B5038F" w:rsidRDefault="00B5038F" w:rsidP="00C87232">
      <w:pPr>
        <w:spacing w:after="0"/>
        <w:rPr>
          <w:rFonts w:ascii="Arial" w:eastAsia="Geomanist Light" w:hAnsi="Arial" w:cs="Arial"/>
          <w:color w:val="000000" w:themeColor="text1"/>
          <w:lang w:val="es-MX"/>
        </w:rPr>
      </w:pPr>
    </w:p>
    <w:p w14:paraId="3971CCB4" w14:textId="77777777" w:rsidR="00B5038F" w:rsidRDefault="00B5038F" w:rsidP="00C87232">
      <w:pPr>
        <w:spacing w:after="0"/>
        <w:rPr>
          <w:rFonts w:ascii="Arial" w:eastAsia="Geomanist Light" w:hAnsi="Arial" w:cs="Arial"/>
          <w:color w:val="000000" w:themeColor="text1"/>
          <w:lang w:val="es-MX"/>
        </w:rPr>
      </w:pPr>
    </w:p>
    <w:p w14:paraId="33C8FCA0" w14:textId="77777777" w:rsidR="00B5038F" w:rsidRDefault="00B5038F" w:rsidP="00C87232">
      <w:pPr>
        <w:spacing w:after="0"/>
        <w:rPr>
          <w:rFonts w:ascii="Arial" w:eastAsia="Geomanist Light" w:hAnsi="Arial" w:cs="Arial"/>
          <w:color w:val="000000" w:themeColor="text1"/>
          <w:lang w:val="es-MX"/>
        </w:rPr>
      </w:pPr>
    </w:p>
    <w:p w14:paraId="7A65BEF0" w14:textId="77777777" w:rsidR="00B5038F" w:rsidRDefault="00B5038F" w:rsidP="00C87232">
      <w:pPr>
        <w:spacing w:after="0"/>
        <w:rPr>
          <w:rFonts w:ascii="Arial" w:eastAsia="Geomanist Light" w:hAnsi="Arial" w:cs="Arial"/>
          <w:color w:val="000000" w:themeColor="text1"/>
          <w:lang w:val="es-MX"/>
        </w:rPr>
      </w:pPr>
    </w:p>
    <w:p w14:paraId="39B7B713" w14:textId="77777777" w:rsidR="00B5038F" w:rsidRDefault="00B5038F" w:rsidP="00C87232">
      <w:pPr>
        <w:spacing w:after="0"/>
        <w:rPr>
          <w:rFonts w:ascii="Arial" w:eastAsia="Geomanist Light" w:hAnsi="Arial" w:cs="Arial"/>
          <w:color w:val="000000" w:themeColor="text1"/>
          <w:lang w:val="es-MX"/>
        </w:rPr>
      </w:pPr>
    </w:p>
    <w:p w14:paraId="419CB872" w14:textId="77777777" w:rsidR="00B5038F" w:rsidRDefault="00B5038F" w:rsidP="00C87232">
      <w:pPr>
        <w:spacing w:after="0"/>
        <w:rPr>
          <w:rFonts w:ascii="Arial" w:eastAsia="Geomanist Light" w:hAnsi="Arial" w:cs="Arial"/>
          <w:color w:val="000000" w:themeColor="text1"/>
          <w:lang w:val="es-MX"/>
        </w:rPr>
      </w:pPr>
    </w:p>
    <w:p w14:paraId="6446D1F3" w14:textId="77777777" w:rsidR="00B5038F" w:rsidRDefault="00B5038F" w:rsidP="00C87232">
      <w:pPr>
        <w:spacing w:after="0"/>
        <w:rPr>
          <w:rFonts w:ascii="Arial" w:eastAsia="Geomanist Light" w:hAnsi="Arial" w:cs="Arial"/>
          <w:color w:val="000000" w:themeColor="text1"/>
          <w:lang w:val="es-MX"/>
        </w:rPr>
      </w:pPr>
    </w:p>
    <w:p w14:paraId="42AD92C3" w14:textId="77777777" w:rsidR="00B5038F" w:rsidRDefault="00B5038F" w:rsidP="00C87232">
      <w:pPr>
        <w:spacing w:after="0"/>
        <w:rPr>
          <w:rFonts w:ascii="Arial" w:eastAsia="Geomanist Light" w:hAnsi="Arial" w:cs="Arial"/>
          <w:color w:val="000000" w:themeColor="text1"/>
          <w:lang w:val="es-MX"/>
        </w:rPr>
      </w:pPr>
    </w:p>
    <w:p w14:paraId="27A8544E" w14:textId="77777777" w:rsidR="00B5038F" w:rsidRDefault="00B5038F" w:rsidP="00C87232">
      <w:pPr>
        <w:spacing w:after="0"/>
        <w:rPr>
          <w:rFonts w:ascii="Arial" w:eastAsia="Geomanist Light" w:hAnsi="Arial" w:cs="Arial"/>
          <w:color w:val="000000" w:themeColor="text1"/>
          <w:lang w:val="es-MX"/>
        </w:rPr>
      </w:pPr>
    </w:p>
    <w:p w14:paraId="05C5703E" w14:textId="77777777" w:rsidR="00374831" w:rsidRDefault="00374831" w:rsidP="00C87232">
      <w:pPr>
        <w:spacing w:after="0"/>
        <w:rPr>
          <w:rFonts w:ascii="Arial" w:eastAsia="Geomanist Light" w:hAnsi="Arial" w:cs="Arial"/>
          <w:color w:val="000000" w:themeColor="text1"/>
          <w:lang w:val="es-MX"/>
        </w:rPr>
      </w:pPr>
    </w:p>
    <w:p w14:paraId="136A110B" w14:textId="77777777" w:rsidR="00374831" w:rsidRDefault="00374831" w:rsidP="00C87232">
      <w:pPr>
        <w:spacing w:after="0"/>
        <w:rPr>
          <w:rFonts w:ascii="Arial" w:eastAsia="Geomanist Light" w:hAnsi="Arial" w:cs="Arial"/>
          <w:color w:val="000000" w:themeColor="text1"/>
          <w:lang w:val="es-MX"/>
        </w:rPr>
      </w:pPr>
    </w:p>
    <w:p w14:paraId="4D768C16" w14:textId="77777777" w:rsidR="00374831" w:rsidRDefault="00374831" w:rsidP="00C87232">
      <w:pPr>
        <w:spacing w:after="0"/>
        <w:rPr>
          <w:rFonts w:ascii="Arial" w:eastAsia="Geomanist Light" w:hAnsi="Arial" w:cs="Arial"/>
          <w:color w:val="000000" w:themeColor="text1"/>
          <w:lang w:val="es-MX"/>
        </w:rPr>
      </w:pPr>
    </w:p>
    <w:p w14:paraId="22E0C411" w14:textId="77777777" w:rsidR="00374831" w:rsidRDefault="00374831" w:rsidP="00C87232">
      <w:pPr>
        <w:spacing w:after="0"/>
        <w:rPr>
          <w:rFonts w:ascii="Arial" w:eastAsia="Geomanist Light" w:hAnsi="Arial" w:cs="Arial"/>
          <w:color w:val="000000" w:themeColor="text1"/>
          <w:lang w:val="es-MX"/>
        </w:rPr>
      </w:pPr>
    </w:p>
    <w:p w14:paraId="4664EF3B" w14:textId="77777777" w:rsidR="00374831" w:rsidRDefault="00374831" w:rsidP="00C87232">
      <w:pPr>
        <w:spacing w:after="0"/>
        <w:rPr>
          <w:rFonts w:ascii="Arial" w:eastAsia="Geomanist Light" w:hAnsi="Arial" w:cs="Arial"/>
          <w:color w:val="000000" w:themeColor="text1"/>
          <w:lang w:val="es-MX"/>
        </w:rPr>
      </w:pPr>
    </w:p>
    <w:p w14:paraId="4519814A" w14:textId="77777777" w:rsidR="00374831" w:rsidRDefault="00374831" w:rsidP="00C87232">
      <w:pPr>
        <w:spacing w:after="0"/>
        <w:rPr>
          <w:rFonts w:ascii="Arial" w:eastAsia="Geomanist Light" w:hAnsi="Arial" w:cs="Arial"/>
          <w:color w:val="000000" w:themeColor="text1"/>
          <w:lang w:val="es-MX"/>
        </w:rPr>
      </w:pPr>
    </w:p>
    <w:p w14:paraId="5786E3CE" w14:textId="77777777" w:rsidR="00374831" w:rsidRDefault="00374831" w:rsidP="00C87232">
      <w:pPr>
        <w:spacing w:after="0"/>
        <w:rPr>
          <w:rFonts w:ascii="Arial" w:eastAsia="Geomanist Light" w:hAnsi="Arial" w:cs="Arial"/>
          <w:color w:val="000000" w:themeColor="text1"/>
          <w:lang w:val="es-MX"/>
        </w:rPr>
      </w:pPr>
    </w:p>
    <w:p w14:paraId="24DD3A3E" w14:textId="77777777" w:rsidR="00374831" w:rsidRDefault="00374831" w:rsidP="00C87232">
      <w:pPr>
        <w:spacing w:after="0"/>
        <w:rPr>
          <w:rFonts w:ascii="Arial" w:eastAsia="Geomanist Light" w:hAnsi="Arial" w:cs="Arial"/>
          <w:color w:val="000000" w:themeColor="text1"/>
          <w:lang w:val="es-MX"/>
        </w:rPr>
      </w:pPr>
    </w:p>
    <w:p w14:paraId="45087638" w14:textId="77777777" w:rsidR="00374831" w:rsidRDefault="00374831" w:rsidP="00C87232">
      <w:pPr>
        <w:spacing w:after="0"/>
        <w:rPr>
          <w:rFonts w:ascii="Arial" w:eastAsia="Geomanist Light" w:hAnsi="Arial" w:cs="Arial"/>
          <w:color w:val="000000" w:themeColor="text1"/>
          <w:lang w:val="es-MX"/>
        </w:rPr>
      </w:pPr>
    </w:p>
    <w:p w14:paraId="1526CFBC" w14:textId="77777777" w:rsidR="00374831" w:rsidRDefault="00374831" w:rsidP="00C87232">
      <w:pPr>
        <w:spacing w:after="0"/>
        <w:rPr>
          <w:rFonts w:ascii="Arial" w:eastAsia="Geomanist Light" w:hAnsi="Arial" w:cs="Arial"/>
          <w:color w:val="000000" w:themeColor="text1"/>
          <w:lang w:val="es-MX"/>
        </w:rPr>
      </w:pPr>
    </w:p>
    <w:p w14:paraId="3C329592" w14:textId="77777777" w:rsidR="00374831" w:rsidRDefault="00374831" w:rsidP="00C87232">
      <w:pPr>
        <w:spacing w:after="0"/>
        <w:rPr>
          <w:rFonts w:ascii="Arial" w:eastAsia="Geomanist Light" w:hAnsi="Arial" w:cs="Arial"/>
          <w:color w:val="000000" w:themeColor="text1"/>
          <w:lang w:val="es-MX"/>
        </w:rPr>
      </w:pPr>
    </w:p>
    <w:p w14:paraId="62C47391" w14:textId="77777777" w:rsidR="00374831" w:rsidRDefault="00374831" w:rsidP="00C87232">
      <w:pPr>
        <w:spacing w:after="0"/>
        <w:rPr>
          <w:rFonts w:ascii="Arial" w:eastAsia="Geomanist Light" w:hAnsi="Arial" w:cs="Arial"/>
          <w:color w:val="000000" w:themeColor="text1"/>
          <w:lang w:val="es-MX"/>
        </w:rPr>
      </w:pPr>
    </w:p>
    <w:p w14:paraId="7DF28469" w14:textId="77777777" w:rsidR="00374831" w:rsidRDefault="00374831" w:rsidP="00C87232">
      <w:pPr>
        <w:spacing w:after="0"/>
        <w:rPr>
          <w:rFonts w:ascii="Arial" w:eastAsia="Geomanist Light" w:hAnsi="Arial" w:cs="Arial"/>
          <w:color w:val="000000" w:themeColor="text1"/>
          <w:lang w:val="es-MX"/>
        </w:rPr>
      </w:pPr>
    </w:p>
    <w:p w14:paraId="22CBDE08" w14:textId="77777777" w:rsidR="00374831" w:rsidRDefault="00374831" w:rsidP="00C87232">
      <w:pPr>
        <w:spacing w:after="0"/>
        <w:rPr>
          <w:rFonts w:ascii="Arial" w:eastAsia="Geomanist Light" w:hAnsi="Arial" w:cs="Arial"/>
          <w:color w:val="000000" w:themeColor="text1"/>
          <w:lang w:val="es-MX"/>
        </w:rPr>
      </w:pPr>
    </w:p>
    <w:p w14:paraId="76E735E6" w14:textId="77777777" w:rsidR="00374831" w:rsidRDefault="00374831" w:rsidP="00C87232">
      <w:pPr>
        <w:spacing w:after="0"/>
        <w:rPr>
          <w:rFonts w:ascii="Arial" w:eastAsia="Geomanist Light" w:hAnsi="Arial" w:cs="Arial"/>
          <w:color w:val="000000" w:themeColor="text1"/>
          <w:lang w:val="es-MX"/>
        </w:rPr>
      </w:pPr>
    </w:p>
    <w:p w14:paraId="1EF57C27" w14:textId="77777777" w:rsidR="00374831" w:rsidRDefault="00374831" w:rsidP="00C87232">
      <w:pPr>
        <w:spacing w:after="0"/>
        <w:rPr>
          <w:rFonts w:ascii="Arial" w:eastAsia="Geomanist Light" w:hAnsi="Arial" w:cs="Arial"/>
          <w:color w:val="000000" w:themeColor="text1"/>
          <w:lang w:val="es-MX"/>
        </w:rPr>
      </w:pPr>
    </w:p>
    <w:p w14:paraId="42CB2FB9" w14:textId="77777777" w:rsidR="00374831" w:rsidRDefault="00374831" w:rsidP="00C87232">
      <w:pPr>
        <w:spacing w:after="0"/>
        <w:rPr>
          <w:rFonts w:ascii="Arial" w:eastAsia="Geomanist Light" w:hAnsi="Arial" w:cs="Arial"/>
          <w:color w:val="000000" w:themeColor="text1"/>
          <w:lang w:val="es-MX"/>
        </w:rPr>
      </w:pPr>
    </w:p>
    <w:p w14:paraId="02B38DB7" w14:textId="77777777" w:rsidR="00374831" w:rsidRDefault="00374831" w:rsidP="00C87232">
      <w:pPr>
        <w:spacing w:after="0"/>
        <w:rPr>
          <w:rFonts w:ascii="Arial" w:eastAsia="Geomanist Light" w:hAnsi="Arial" w:cs="Arial"/>
          <w:color w:val="000000" w:themeColor="text1"/>
          <w:lang w:val="es-MX"/>
        </w:rPr>
      </w:pPr>
    </w:p>
    <w:p w14:paraId="50A7C733" w14:textId="77777777" w:rsidR="00374831" w:rsidRDefault="00374831" w:rsidP="00C87232">
      <w:pPr>
        <w:spacing w:after="0"/>
        <w:rPr>
          <w:rFonts w:ascii="Arial" w:eastAsia="Geomanist Light" w:hAnsi="Arial" w:cs="Arial"/>
          <w:color w:val="000000" w:themeColor="text1"/>
          <w:lang w:val="es-MX"/>
        </w:rPr>
      </w:pPr>
    </w:p>
    <w:p w14:paraId="295990A1" w14:textId="77777777" w:rsidR="00374831" w:rsidRDefault="00374831" w:rsidP="00C87232">
      <w:pPr>
        <w:spacing w:after="0"/>
        <w:rPr>
          <w:rFonts w:ascii="Arial" w:eastAsia="Geomanist Light" w:hAnsi="Arial" w:cs="Arial"/>
          <w:color w:val="000000" w:themeColor="text1"/>
          <w:lang w:val="es-MX"/>
        </w:rPr>
      </w:pPr>
    </w:p>
    <w:p w14:paraId="78CDE6A3" w14:textId="77777777" w:rsidR="00374831" w:rsidRDefault="00374831" w:rsidP="00C87232">
      <w:pPr>
        <w:spacing w:after="0"/>
        <w:rPr>
          <w:rFonts w:ascii="Arial" w:eastAsia="Geomanist Light" w:hAnsi="Arial" w:cs="Arial"/>
          <w:color w:val="000000" w:themeColor="text1"/>
          <w:lang w:val="es-MX"/>
        </w:rPr>
      </w:pPr>
    </w:p>
    <w:p w14:paraId="7A332272" w14:textId="77777777" w:rsidR="00374831" w:rsidRDefault="00374831" w:rsidP="00C87232">
      <w:pPr>
        <w:spacing w:after="0"/>
        <w:rPr>
          <w:rFonts w:ascii="Arial" w:eastAsia="Geomanist Light" w:hAnsi="Arial" w:cs="Arial"/>
          <w:color w:val="000000" w:themeColor="text1"/>
          <w:lang w:val="es-MX"/>
        </w:rPr>
      </w:pPr>
    </w:p>
    <w:p w14:paraId="7B41FFCC" w14:textId="77777777" w:rsidR="00374831" w:rsidRDefault="00374831" w:rsidP="00C87232">
      <w:pPr>
        <w:spacing w:after="0"/>
        <w:rPr>
          <w:rFonts w:ascii="Arial" w:eastAsia="Geomanist Light" w:hAnsi="Arial" w:cs="Arial"/>
          <w:color w:val="000000" w:themeColor="text1"/>
          <w:lang w:val="es-MX"/>
        </w:rPr>
      </w:pPr>
    </w:p>
    <w:p w14:paraId="308DC854" w14:textId="77777777" w:rsidR="00374831" w:rsidRDefault="00374831" w:rsidP="00C87232">
      <w:pPr>
        <w:spacing w:after="0"/>
        <w:rPr>
          <w:rFonts w:ascii="Arial" w:eastAsia="Geomanist Light" w:hAnsi="Arial" w:cs="Arial"/>
          <w:color w:val="000000" w:themeColor="text1"/>
          <w:lang w:val="es-MX"/>
        </w:rPr>
      </w:pPr>
    </w:p>
    <w:p w14:paraId="3BF5639F" w14:textId="77777777" w:rsidR="00374831" w:rsidRDefault="00374831" w:rsidP="00C87232">
      <w:pPr>
        <w:spacing w:after="0"/>
        <w:rPr>
          <w:rFonts w:ascii="Arial" w:eastAsia="Geomanist Light" w:hAnsi="Arial" w:cs="Arial"/>
          <w:color w:val="000000" w:themeColor="text1"/>
          <w:lang w:val="es-MX"/>
        </w:rPr>
      </w:pPr>
    </w:p>
    <w:p w14:paraId="03E9597E" w14:textId="77777777" w:rsidR="00374831" w:rsidRDefault="00374831" w:rsidP="00C87232">
      <w:pPr>
        <w:spacing w:after="0"/>
        <w:rPr>
          <w:rFonts w:ascii="Arial" w:eastAsia="Geomanist Light" w:hAnsi="Arial" w:cs="Arial"/>
          <w:color w:val="000000" w:themeColor="text1"/>
          <w:lang w:val="es-MX"/>
        </w:rPr>
      </w:pPr>
    </w:p>
    <w:p w14:paraId="64EA12CF" w14:textId="77777777" w:rsidR="00374831" w:rsidRDefault="00374831" w:rsidP="00C87232">
      <w:pPr>
        <w:spacing w:after="0"/>
        <w:rPr>
          <w:rFonts w:ascii="Arial" w:eastAsia="Geomanist Light" w:hAnsi="Arial" w:cs="Arial"/>
          <w:color w:val="000000" w:themeColor="text1"/>
          <w:lang w:val="es-MX"/>
        </w:rPr>
      </w:pPr>
    </w:p>
    <w:p w14:paraId="536FF80A" w14:textId="77777777" w:rsidR="00374831" w:rsidRDefault="00374831" w:rsidP="00C87232">
      <w:pPr>
        <w:spacing w:after="0"/>
        <w:rPr>
          <w:rFonts w:ascii="Arial" w:eastAsia="Geomanist Light" w:hAnsi="Arial" w:cs="Arial"/>
          <w:color w:val="000000" w:themeColor="text1"/>
          <w:lang w:val="es-MX"/>
        </w:rPr>
      </w:pPr>
    </w:p>
    <w:p w14:paraId="5E8A2EB9" w14:textId="17E42D3E" w:rsidR="00C87232" w:rsidRDefault="00C87232" w:rsidP="00C87232">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723412" w:rsidRPr="00723412">
        <w:rPr>
          <w:rFonts w:ascii="Arial" w:eastAsia="Geomanist Light" w:hAnsi="Arial" w:cs="Arial"/>
          <w:color w:val="201F1E"/>
          <w:lang w:val="es-MX"/>
        </w:rPr>
        <w:t>04 de Mayo de 2023</w:t>
      </w:r>
    </w:p>
    <w:p w14:paraId="73B2F1EC" w14:textId="77777777" w:rsidR="00723412" w:rsidRPr="00044F0D" w:rsidRDefault="00723412" w:rsidP="00C87232">
      <w:pPr>
        <w:spacing w:after="0"/>
        <w:rPr>
          <w:rFonts w:ascii="Arial" w:eastAsia="Geomanist Light" w:hAnsi="Arial" w:cs="Arial"/>
          <w:color w:val="201F1E"/>
          <w:lang w:val="es-MX"/>
        </w:rPr>
      </w:pPr>
    </w:p>
    <w:p w14:paraId="762F4778" w14:textId="57AA9294" w:rsidR="00C87232" w:rsidRPr="00044F0D" w:rsidRDefault="00723412" w:rsidP="00723412">
      <w:pPr>
        <w:spacing w:after="0"/>
        <w:jc w:val="right"/>
        <w:rPr>
          <w:rFonts w:ascii="Arial" w:eastAsia="Times New Roman" w:hAnsi="Arial" w:cs="Arial"/>
          <w:bCs/>
          <w:lang w:val="es-MX" w:eastAsia="es-ES"/>
        </w:rPr>
      </w:pPr>
      <w:r>
        <w:rPr>
          <w:rFonts w:ascii="Arial" w:eastAsia="Times New Roman" w:hAnsi="Arial" w:cs="Arial"/>
          <w:bCs/>
          <w:noProof/>
          <w:lang w:eastAsia="es-CO"/>
        </w:rPr>
        <w:drawing>
          <wp:inline distT="0" distB="0" distL="0" distR="0" wp14:anchorId="4ABCC116" wp14:editId="71CFC710">
            <wp:extent cx="2857500" cy="675968"/>
            <wp:effectExtent l="0" t="0" r="0" b="0"/>
            <wp:docPr id="2068907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219" cy="682998"/>
                    </a:xfrm>
                    <a:prstGeom prst="rect">
                      <a:avLst/>
                    </a:prstGeom>
                    <a:noFill/>
                    <a:ln>
                      <a:noFill/>
                    </a:ln>
                  </pic:spPr>
                </pic:pic>
              </a:graphicData>
            </a:graphic>
          </wp:inline>
        </w:drawing>
      </w:r>
    </w:p>
    <w:p w14:paraId="0ED5C5C0" w14:textId="77777777" w:rsidR="00C87232" w:rsidRPr="00C046D8" w:rsidRDefault="00C87232" w:rsidP="00C87232">
      <w:pPr>
        <w:spacing w:after="0"/>
        <w:contextualSpacing/>
        <w:jc w:val="both"/>
        <w:rPr>
          <w:rFonts w:ascii="Arial" w:eastAsia="Calibri" w:hAnsi="Arial" w:cs="Arial"/>
          <w:lang w:val="es-ES_tradnl" w:eastAsia="es-ES_tradnl"/>
        </w:rPr>
      </w:pPr>
    </w:p>
    <w:p w14:paraId="3A1013AB" w14:textId="77777777" w:rsidR="00C87232" w:rsidRPr="0006291B" w:rsidRDefault="00C87232" w:rsidP="00C87232">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15CF5473" w14:textId="77777777" w:rsidR="00C87232" w:rsidRDefault="00C87232" w:rsidP="00C87232">
      <w:pPr>
        <w:contextualSpacing/>
        <w:jc w:val="both"/>
        <w:rPr>
          <w:rFonts w:ascii="Arial" w:eastAsia="Calibri" w:hAnsi="Arial" w:cs="Arial"/>
          <w:b/>
          <w:lang w:eastAsia="es-ES_tradnl"/>
        </w:rPr>
      </w:pPr>
      <w:r w:rsidRPr="00A002C9">
        <w:rPr>
          <w:rFonts w:ascii="Arial" w:eastAsia="Calibri" w:hAnsi="Arial" w:cs="Arial"/>
          <w:b/>
          <w:lang w:eastAsia="es-ES_tradnl"/>
        </w:rPr>
        <w:t xml:space="preserve">Steven Armando López </w:t>
      </w:r>
    </w:p>
    <w:p w14:paraId="4DE784A3" w14:textId="77777777" w:rsidR="00C87232" w:rsidRPr="0006291B" w:rsidRDefault="00C87232" w:rsidP="00C87232">
      <w:pPr>
        <w:contextualSpacing/>
        <w:jc w:val="both"/>
        <w:rPr>
          <w:rFonts w:ascii="Arial" w:eastAsia="Calibri" w:hAnsi="Arial" w:cs="Arial"/>
          <w:bCs/>
          <w:lang w:eastAsia="es-ES_tradnl"/>
        </w:rPr>
      </w:pPr>
      <w:r w:rsidRPr="00044F0D">
        <w:rPr>
          <w:rFonts w:ascii="Arial" w:eastAsia="Geomanist Light" w:hAnsi="Arial" w:cs="Arial"/>
          <w:color w:val="000000" w:themeColor="text1"/>
          <w:lang w:val="es-MX"/>
        </w:rPr>
        <w:t>Bogotá D.C.</w:t>
      </w:r>
    </w:p>
    <w:p w14:paraId="6308388F" w14:textId="77777777" w:rsidR="00CD0306" w:rsidRDefault="00CD0306" w:rsidP="00CD0306">
      <w:pPr>
        <w:contextualSpacing/>
        <w:rPr>
          <w:rFonts w:ascii="Arial" w:eastAsia="Calibri" w:hAnsi="Arial" w:cs="Arial"/>
          <w:lang w:val="es-ES_tradnl" w:eastAsia="es-ES_tradnl"/>
        </w:rPr>
      </w:pPr>
    </w:p>
    <w:p w14:paraId="056093F9" w14:textId="77777777" w:rsidR="00CD0306" w:rsidRPr="00C046D8" w:rsidRDefault="00CD0306" w:rsidP="00660381">
      <w:pPr>
        <w:contextualSpacing/>
        <w:rPr>
          <w:rFonts w:ascii="Arial" w:eastAsia="Calibri" w:hAnsi="Arial" w:cs="Arial"/>
          <w:lang w:val="es-ES_tradnl" w:eastAsia="es-ES_tradnl"/>
        </w:rPr>
      </w:pPr>
    </w:p>
    <w:p w14:paraId="12F3FE8C" w14:textId="48E78C3D" w:rsidR="00C87232" w:rsidRDefault="00CD0306" w:rsidP="00660381">
      <w:pPr>
        <w:ind w:left="2124"/>
        <w:contextualSpacing/>
        <w:rPr>
          <w:rFonts w:ascii="Arial" w:eastAsia="Calibri" w:hAnsi="Arial" w:cs="Arial"/>
          <w:b/>
          <w:bCs/>
          <w:lang w:val="es-ES_tradnl" w:eastAsia="es-ES_tradnl"/>
        </w:rPr>
      </w:pPr>
      <w:r>
        <w:rPr>
          <w:rFonts w:ascii="Arial" w:eastAsia="Arial" w:hAnsi="Arial" w:cs="Arial"/>
          <w:b/>
          <w:bCs/>
          <w:lang w:val="es-ES"/>
        </w:rPr>
        <w:t xml:space="preserve">         </w:t>
      </w:r>
      <w:r w:rsidR="00A07935" w:rsidRPr="00002BAF">
        <w:rPr>
          <w:rFonts w:ascii="Arial" w:eastAsia="Arial" w:hAnsi="Arial" w:cs="Arial"/>
          <w:b/>
          <w:bCs/>
          <w:lang w:val="es-ES"/>
        </w:rPr>
        <w:t>Concepto</w:t>
      </w:r>
      <w:r w:rsidR="00A07935" w:rsidRPr="00002BAF">
        <w:rPr>
          <w:rFonts w:ascii="Arial" w:eastAsia="Arial" w:hAnsi="Arial" w:cs="Arial"/>
          <w:b/>
          <w:bCs/>
          <w:spacing w:val="-4"/>
          <w:lang w:val="es-ES"/>
        </w:rPr>
        <w:t xml:space="preserve"> </w:t>
      </w:r>
      <w:r w:rsidR="00A07935" w:rsidRPr="00002BAF">
        <w:rPr>
          <w:rFonts w:ascii="Arial" w:eastAsia="Arial" w:hAnsi="Arial" w:cs="Arial"/>
          <w:b/>
          <w:bCs/>
          <w:lang w:val="es-ES"/>
        </w:rPr>
        <w:t>C</w:t>
      </w:r>
      <w:r w:rsidR="00E45E97">
        <w:rPr>
          <w:rFonts w:ascii="Arial" w:eastAsia="Arial" w:hAnsi="Arial" w:cs="Arial"/>
          <w:b/>
          <w:bCs/>
          <w:lang w:val="es-ES"/>
        </w:rPr>
        <w:t xml:space="preserve"> </w:t>
      </w:r>
      <w:r w:rsidR="00A07935" w:rsidRPr="00002BAF">
        <w:rPr>
          <w:rFonts w:ascii="Arial" w:eastAsia="Arial" w:hAnsi="Arial" w:cs="Arial"/>
          <w:b/>
          <w:bCs/>
          <w:lang w:val="es-ES"/>
        </w:rPr>
        <w:t>–</w:t>
      </w:r>
      <w:r w:rsidR="00E45E97">
        <w:rPr>
          <w:rFonts w:ascii="Arial" w:eastAsia="Arial" w:hAnsi="Arial" w:cs="Arial"/>
          <w:b/>
          <w:bCs/>
          <w:spacing w:val="-4"/>
          <w:lang w:val="es-ES"/>
        </w:rPr>
        <w:t xml:space="preserve"> 175</w:t>
      </w:r>
      <w:r w:rsidR="00A07935" w:rsidRPr="00002BAF">
        <w:rPr>
          <w:rFonts w:ascii="Arial" w:eastAsia="Arial" w:hAnsi="Arial" w:cs="Arial"/>
          <w:b/>
          <w:bCs/>
          <w:spacing w:val="-4"/>
          <w:lang w:val="es-ES"/>
        </w:rPr>
        <w:t xml:space="preserve"> </w:t>
      </w:r>
      <w:r w:rsidR="00A07935" w:rsidRPr="00002BAF">
        <w:rPr>
          <w:rFonts w:ascii="Arial" w:eastAsia="Arial" w:hAnsi="Arial" w:cs="Arial"/>
          <w:b/>
          <w:bCs/>
          <w:lang w:val="es-ES"/>
        </w:rPr>
        <w:t>de</w:t>
      </w:r>
      <w:r w:rsidR="00A07935" w:rsidRPr="00002BAF">
        <w:rPr>
          <w:rFonts w:ascii="Arial" w:eastAsia="Arial" w:hAnsi="Arial" w:cs="Arial"/>
          <w:b/>
          <w:bCs/>
          <w:spacing w:val="-3"/>
          <w:lang w:val="es-ES"/>
        </w:rPr>
        <w:t xml:space="preserve"> </w:t>
      </w:r>
      <w:r w:rsidR="00A07935" w:rsidRPr="00002BAF">
        <w:rPr>
          <w:rFonts w:ascii="Arial" w:eastAsia="Arial" w:hAnsi="Arial" w:cs="Arial"/>
          <w:b/>
          <w:bCs/>
          <w:lang w:val="es-ES"/>
        </w:rPr>
        <w:t>2023</w:t>
      </w:r>
    </w:p>
    <w:p w14:paraId="453294A6" w14:textId="77777777" w:rsidR="00A07935" w:rsidRPr="00C046D8" w:rsidRDefault="00A07935" w:rsidP="00C87232">
      <w:pPr>
        <w:contextualSpacing/>
        <w:rPr>
          <w:rFonts w:ascii="Arial" w:eastAsia="Calibri" w:hAnsi="Arial" w:cs="Arial"/>
          <w:b/>
          <w:bCs/>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87232" w:rsidRPr="00C046D8" w14:paraId="0CA53D95" w14:textId="77777777" w:rsidTr="005A57A6">
        <w:tc>
          <w:tcPr>
            <w:tcW w:w="2689" w:type="dxa"/>
          </w:tcPr>
          <w:p w14:paraId="3578F2EA" w14:textId="77777777" w:rsidR="00C87232" w:rsidRPr="00C046D8" w:rsidRDefault="00C87232" w:rsidP="005A57A6">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7C0BBB5E" w14:textId="77777777" w:rsidR="00C87232" w:rsidRDefault="00C87232" w:rsidP="00660381">
            <w:pPr>
              <w:spacing w:after="120" w:line="276" w:lineRule="auto"/>
              <w:contextualSpacing/>
              <w:jc w:val="both"/>
              <w:rPr>
                <w:rFonts w:ascii="Arial" w:eastAsia="Calibri" w:hAnsi="Arial" w:cs="Arial"/>
                <w:bCs/>
                <w:lang w:val="es-MX" w:eastAsia="es-ES_tradnl"/>
              </w:rPr>
            </w:pPr>
            <w:r w:rsidRPr="00C54FBD">
              <w:rPr>
                <w:rFonts w:ascii="Arial" w:eastAsia="Calibri" w:hAnsi="Arial" w:cs="Arial"/>
                <w:bCs/>
                <w:lang w:val="es-MX" w:eastAsia="es-ES_tradnl"/>
              </w:rPr>
              <w:t>INHABILIDADES – Definición – Finalidad – Limitación capacidad contractual</w:t>
            </w:r>
            <w:r>
              <w:rPr>
                <w:rFonts w:ascii="Arial" w:eastAsia="Calibri" w:hAnsi="Arial" w:cs="Arial"/>
                <w:bCs/>
                <w:lang w:val="es-MX" w:eastAsia="es-ES_tradnl"/>
              </w:rPr>
              <w:t xml:space="preserve"> / </w:t>
            </w:r>
            <w:r w:rsidRPr="00C54FBD">
              <w:rPr>
                <w:rFonts w:ascii="Arial" w:eastAsia="Calibri" w:hAnsi="Arial" w:cs="Arial"/>
                <w:bCs/>
                <w:lang w:val="es-MX" w:eastAsia="es-ES_tradnl"/>
              </w:rPr>
              <w:t>CONTRATACIÓN ESTATAL – Capacidad – Validez contratos – Régimen de contratación – Inscripción – Limitación de la capacidad</w:t>
            </w:r>
            <w:r>
              <w:rPr>
                <w:rFonts w:ascii="Arial" w:eastAsia="Calibri" w:hAnsi="Arial" w:cs="Arial"/>
                <w:bCs/>
                <w:lang w:val="es-MX" w:eastAsia="es-ES_tradnl"/>
              </w:rPr>
              <w:t xml:space="preserve"> / </w:t>
            </w:r>
            <w:r w:rsidRPr="00C54FBD">
              <w:rPr>
                <w:rFonts w:ascii="Arial" w:eastAsia="Calibri" w:hAnsi="Arial" w:cs="Arial"/>
                <w:bCs/>
                <w:lang w:val="es-MX" w:eastAsia="es-ES_tradnl"/>
              </w:rPr>
              <w:t>INHABILIDADES – Taxatividad – Principio de legalidad – Interpretación restrictiva</w:t>
            </w:r>
            <w:r>
              <w:rPr>
                <w:rFonts w:ascii="Arial" w:eastAsia="Calibri" w:hAnsi="Arial" w:cs="Arial"/>
                <w:bCs/>
                <w:lang w:val="es-MX" w:eastAsia="es-ES_tradnl"/>
              </w:rPr>
              <w:t xml:space="preserve"> </w:t>
            </w:r>
          </w:p>
          <w:p w14:paraId="69200679" w14:textId="77777777" w:rsidR="00C87232" w:rsidRPr="0006291B" w:rsidRDefault="00C87232" w:rsidP="005A57A6">
            <w:pPr>
              <w:spacing w:after="120"/>
              <w:contextualSpacing/>
              <w:jc w:val="both"/>
              <w:rPr>
                <w:rFonts w:ascii="Arial" w:eastAsia="Calibri" w:hAnsi="Arial" w:cs="Arial"/>
                <w:bCs/>
                <w:sz w:val="12"/>
                <w:szCs w:val="12"/>
                <w:lang w:val="es-ES_tradnl" w:eastAsia="es-ES_tradnl"/>
              </w:rPr>
            </w:pPr>
          </w:p>
        </w:tc>
      </w:tr>
      <w:tr w:rsidR="00C87232" w:rsidRPr="00C046D8" w14:paraId="07E5221E" w14:textId="77777777" w:rsidTr="005A57A6">
        <w:trPr>
          <w:trHeight w:val="227"/>
        </w:trPr>
        <w:tc>
          <w:tcPr>
            <w:tcW w:w="2689" w:type="dxa"/>
          </w:tcPr>
          <w:p w14:paraId="3A3826A4" w14:textId="77777777" w:rsidR="00C87232" w:rsidRPr="00C046D8" w:rsidRDefault="00C87232" w:rsidP="005A57A6">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172F2D2F" w14:textId="77777777" w:rsidR="00C87232" w:rsidRPr="00C046D8" w:rsidRDefault="00C87232" w:rsidP="005A57A6">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A002C9">
              <w:rPr>
                <w:rFonts w:ascii="Arial" w:eastAsia="Calibri" w:hAnsi="Arial" w:cs="Arial"/>
                <w:lang w:val="es-ES_tradnl" w:eastAsia="es-ES_tradnl"/>
              </w:rPr>
              <w:t>P20230331002978</w:t>
            </w:r>
          </w:p>
        </w:tc>
      </w:tr>
    </w:tbl>
    <w:p w14:paraId="7C5A9BA8" w14:textId="77777777" w:rsidR="00C87232" w:rsidRPr="00C046D8" w:rsidRDefault="00C87232" w:rsidP="00C87232">
      <w:pPr>
        <w:contextualSpacing/>
        <w:jc w:val="both"/>
        <w:rPr>
          <w:rFonts w:ascii="Arial" w:eastAsia="Calibri" w:hAnsi="Arial" w:cs="Arial"/>
          <w:lang w:val="es-ES_tradnl" w:eastAsia="es-ES_tradnl"/>
        </w:rPr>
      </w:pPr>
    </w:p>
    <w:p w14:paraId="3B12762A" w14:textId="77777777" w:rsidR="00C87232" w:rsidRPr="00C046D8" w:rsidRDefault="00C87232" w:rsidP="00C87232">
      <w:pPr>
        <w:contextualSpacing/>
        <w:jc w:val="both"/>
        <w:rPr>
          <w:rFonts w:ascii="Arial" w:eastAsia="Calibri" w:hAnsi="Arial" w:cs="Arial"/>
          <w:lang w:val="es-ES_tradnl" w:eastAsia="es-ES_tradnl"/>
        </w:rPr>
      </w:pPr>
    </w:p>
    <w:p w14:paraId="4E4C0618" w14:textId="77777777" w:rsidR="00C87232" w:rsidRPr="00C046D8" w:rsidRDefault="00C87232" w:rsidP="00C87232">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señor </w:t>
      </w:r>
      <w:r w:rsidRPr="00AC45F0">
        <w:rPr>
          <w:rFonts w:ascii="Arial" w:eastAsia="Times New Roman" w:hAnsi="Arial" w:cs="Arial"/>
          <w:lang w:eastAsia="es-ES"/>
        </w:rPr>
        <w:t>López</w:t>
      </w:r>
      <w:r w:rsidRPr="293D6149">
        <w:rPr>
          <w:rFonts w:ascii="Arial" w:eastAsia="Calibri" w:hAnsi="Arial" w:cs="Arial"/>
          <w:lang w:val="es-ES" w:eastAsia="es-ES"/>
        </w:rPr>
        <w:t>:</w:t>
      </w:r>
    </w:p>
    <w:p w14:paraId="5592A294" w14:textId="77777777" w:rsidR="00C87232" w:rsidRPr="00C046D8" w:rsidRDefault="00C87232" w:rsidP="00C87232">
      <w:pPr>
        <w:spacing w:line="276" w:lineRule="auto"/>
        <w:contextualSpacing/>
        <w:jc w:val="both"/>
        <w:rPr>
          <w:rFonts w:ascii="Arial" w:eastAsia="Calibri" w:hAnsi="Arial" w:cs="Arial"/>
          <w:szCs w:val="24"/>
          <w:lang w:val="es-ES_tradnl" w:eastAsia="es-ES_tradnl"/>
        </w:rPr>
      </w:pPr>
    </w:p>
    <w:bookmarkEnd w:id="0"/>
    <w:bookmarkEnd w:id="1"/>
    <w:p w14:paraId="6DBFEA00" w14:textId="135FFD58" w:rsidR="000A1197" w:rsidRDefault="00C87232" w:rsidP="00660381">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En ejercicio de la competencia otorgada por el numeral 8</w:t>
      </w:r>
      <w:r w:rsidR="000A1197">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del artículo 11 y el numeral 5</w:t>
      </w:r>
      <w:r w:rsidR="000A1197">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31 de marzo de 2023</w:t>
      </w:r>
      <w:r w:rsidR="000A1197">
        <w:rPr>
          <w:rFonts w:ascii="Arial" w:eastAsia="Calibri" w:hAnsi="Arial" w:cs="Arial"/>
          <w:color w:val="000000" w:themeColor="text1"/>
          <w:lang w:val="es-ES_tradnl"/>
        </w:rPr>
        <w:t>.</w:t>
      </w:r>
      <w:r>
        <w:rPr>
          <w:rFonts w:ascii="Arial" w:eastAsia="Calibri" w:hAnsi="Arial" w:cs="Arial"/>
          <w:color w:val="000000" w:themeColor="text1"/>
          <w:lang w:val="es-ES_tradnl"/>
        </w:rPr>
        <w:t xml:space="preserve"> </w:t>
      </w:r>
    </w:p>
    <w:p w14:paraId="5FA1DDBF" w14:textId="77777777" w:rsidR="000A1197" w:rsidRDefault="000A1197" w:rsidP="00660381">
      <w:pPr>
        <w:spacing w:after="0" w:line="276" w:lineRule="auto"/>
        <w:jc w:val="both"/>
        <w:rPr>
          <w:rFonts w:ascii="Arial" w:eastAsia="Calibri" w:hAnsi="Arial" w:cs="Arial"/>
          <w:color w:val="000000" w:themeColor="text1"/>
          <w:lang w:val="es-ES_tradnl"/>
        </w:rPr>
      </w:pPr>
    </w:p>
    <w:p w14:paraId="3F2315AB" w14:textId="05D4C1DD" w:rsidR="000A1197" w:rsidRPr="00660381" w:rsidRDefault="000A1197" w:rsidP="00660381">
      <w:pPr>
        <w:pStyle w:val="Prrafodelista"/>
        <w:numPr>
          <w:ilvl w:val="0"/>
          <w:numId w:val="4"/>
        </w:numPr>
        <w:spacing w:after="0" w:line="276" w:lineRule="auto"/>
        <w:ind w:left="284" w:hanging="284"/>
        <w:jc w:val="both"/>
        <w:rPr>
          <w:rFonts w:ascii="Arial" w:eastAsia="Calibri" w:hAnsi="Arial" w:cs="Arial"/>
          <w:b/>
          <w:bCs/>
          <w:color w:val="000000" w:themeColor="text1"/>
          <w:lang w:val="es-ES_tradnl"/>
        </w:rPr>
      </w:pPr>
      <w:r w:rsidRPr="00660381">
        <w:rPr>
          <w:rFonts w:ascii="Arial" w:eastAsia="Calibri" w:hAnsi="Arial" w:cs="Arial"/>
          <w:b/>
          <w:bCs/>
          <w:color w:val="000000" w:themeColor="text1"/>
          <w:lang w:val="es-ES_tradnl"/>
        </w:rPr>
        <w:t>Problema planteado</w:t>
      </w:r>
    </w:p>
    <w:p w14:paraId="48AAD4F9" w14:textId="77777777" w:rsidR="00F51E27" w:rsidRDefault="00F51E27" w:rsidP="00660381">
      <w:pPr>
        <w:spacing w:after="0" w:line="276" w:lineRule="auto"/>
        <w:jc w:val="both"/>
        <w:rPr>
          <w:rFonts w:ascii="Arial" w:eastAsia="Calibri" w:hAnsi="Arial" w:cs="Arial"/>
          <w:color w:val="000000" w:themeColor="text1"/>
          <w:lang w:val="es-ES_tradnl"/>
        </w:rPr>
      </w:pPr>
    </w:p>
    <w:p w14:paraId="7573FC20" w14:textId="6486D73B" w:rsidR="00C87232" w:rsidRDefault="00F51E27" w:rsidP="00B5038F">
      <w:pPr>
        <w:spacing w:after="0" w:line="276" w:lineRule="auto"/>
        <w:jc w:val="both"/>
        <w:rPr>
          <w:rFonts w:ascii="Arial" w:eastAsia="Calibri" w:hAnsi="Arial" w:cs="Arial"/>
          <w:color w:val="000000" w:themeColor="text1"/>
        </w:rPr>
      </w:pPr>
      <w:r>
        <w:rPr>
          <w:rFonts w:ascii="Arial" w:eastAsia="Calibri" w:hAnsi="Arial" w:cs="Arial"/>
          <w:color w:val="000000" w:themeColor="text1"/>
          <w:lang w:val="es-ES_tradnl"/>
        </w:rPr>
        <w:t xml:space="preserve">En su consulta usted </w:t>
      </w:r>
      <w:r w:rsidR="00C87232">
        <w:rPr>
          <w:rFonts w:ascii="Arial" w:eastAsia="Calibri" w:hAnsi="Arial" w:cs="Arial"/>
          <w:color w:val="000000" w:themeColor="text1"/>
          <w:lang w:val="es-ES_tradnl"/>
        </w:rPr>
        <w:t>plantea las siguientes inquietudes respecto al régimen de inhabilidades e incompatibilidades: i) “</w:t>
      </w:r>
      <w:r w:rsidR="00C87232" w:rsidRPr="00AE719E">
        <w:rPr>
          <w:rFonts w:ascii="Arial" w:eastAsia="Calibri" w:hAnsi="Arial" w:cs="Arial"/>
          <w:color w:val="000000" w:themeColor="text1"/>
        </w:rPr>
        <w:t>La prohibición establecida en el artículo 126 de la Constitución para nombrar, postular y contratar con personas con las cuales se tengan parentesco hasta el cuarto grado de consanguinidad, segundo de afinidad, primero civil, o con quien estén ligados por matrimonio o unión permanente, aplican para los gerentes generales de empresas de servicios públicos</w:t>
      </w:r>
      <w:r w:rsidR="00C87232">
        <w:rPr>
          <w:rFonts w:ascii="Arial" w:eastAsia="Calibri" w:hAnsi="Arial" w:cs="Arial"/>
          <w:color w:val="000000" w:themeColor="text1"/>
        </w:rPr>
        <w:t>”, ii) “</w:t>
      </w:r>
      <w:r w:rsidR="00C87232" w:rsidRPr="00AE719E">
        <w:rPr>
          <w:rFonts w:ascii="Arial" w:eastAsia="Calibri" w:hAnsi="Arial" w:cs="Arial"/>
          <w:color w:val="000000" w:themeColor="text1"/>
        </w:rPr>
        <w:t xml:space="preserve">De acuerdo a las inhabilidades e incompatibilidades para contratar establecidas en los literales “B” y “C” del numeral 2 del artículo 8 de la Ley 80 de 1993, aplican solo respecto de los familiares del nominador o se extiende también para los mismos familiares de otros funcionarios de la misma empresa que estén en cargos de los niveles directivo, asesor, ejecutivo o con los miembros de la junta o consejo directivo, o con las personas que ejerzan el control </w:t>
      </w:r>
      <w:r w:rsidR="00C87232" w:rsidRPr="00AE719E">
        <w:rPr>
          <w:rFonts w:ascii="Arial" w:eastAsia="Calibri" w:hAnsi="Arial" w:cs="Arial"/>
          <w:color w:val="000000" w:themeColor="text1"/>
        </w:rPr>
        <w:lastRenderedPageBreak/>
        <w:t>interno o fiscal de la entidad contratante</w:t>
      </w:r>
      <w:r w:rsidR="00C87232">
        <w:rPr>
          <w:rFonts w:ascii="Arial" w:eastAsia="Calibri" w:hAnsi="Arial" w:cs="Arial"/>
          <w:color w:val="000000" w:themeColor="text1"/>
        </w:rPr>
        <w:t>” y iii) “</w:t>
      </w:r>
      <w:r w:rsidR="00C87232" w:rsidRPr="00AE719E">
        <w:rPr>
          <w:rFonts w:ascii="Arial" w:eastAsia="Calibri" w:hAnsi="Arial" w:cs="Arial"/>
          <w:color w:val="000000" w:themeColor="text1"/>
        </w:rPr>
        <w:t>Puede una Jefe de Unidad de una empresa de servicios públicos del orden territorial que no es nominadora y que registra como del nivel directivo, trabajar con su esposo vinculado como contratista de prestación de servicios en la misma empresa</w:t>
      </w:r>
      <w:r w:rsidR="00C87232">
        <w:rPr>
          <w:rFonts w:ascii="Arial" w:eastAsia="Calibri" w:hAnsi="Arial" w:cs="Arial"/>
          <w:color w:val="000000" w:themeColor="text1"/>
        </w:rPr>
        <w:t>”</w:t>
      </w:r>
      <w:r w:rsidR="00C87232" w:rsidRPr="00AE719E">
        <w:rPr>
          <w:rFonts w:ascii="Arial" w:eastAsia="Calibri" w:hAnsi="Arial" w:cs="Arial"/>
          <w:color w:val="000000" w:themeColor="text1"/>
        </w:rPr>
        <w:t>.</w:t>
      </w:r>
    </w:p>
    <w:p w14:paraId="3094CB29" w14:textId="77777777" w:rsidR="00B5038F" w:rsidRPr="00AE719E" w:rsidRDefault="00B5038F" w:rsidP="00B5038F">
      <w:pPr>
        <w:spacing w:after="0" w:line="276" w:lineRule="auto"/>
        <w:jc w:val="both"/>
        <w:rPr>
          <w:rFonts w:ascii="Arial" w:eastAsia="Calibri" w:hAnsi="Arial" w:cs="Arial"/>
          <w:color w:val="000000" w:themeColor="text1"/>
          <w:lang w:val="es-ES_tradnl"/>
        </w:rPr>
      </w:pPr>
    </w:p>
    <w:p w14:paraId="598B1BC2" w14:textId="4D5AB20A" w:rsidR="00C72540" w:rsidRDefault="00C72540" w:rsidP="00B5038F">
      <w:pPr>
        <w:spacing w:after="0" w:line="276" w:lineRule="auto"/>
        <w:jc w:val="both"/>
        <w:rPr>
          <w:rFonts w:ascii="Arial" w:hAnsi="Arial" w:cs="Arial"/>
          <w:b/>
          <w:bCs/>
        </w:rPr>
      </w:pPr>
      <w:r w:rsidRPr="00660381">
        <w:rPr>
          <w:rFonts w:ascii="Arial" w:hAnsi="Arial" w:cs="Arial"/>
          <w:b/>
          <w:bCs/>
        </w:rPr>
        <w:t>2. Consideraciones</w:t>
      </w:r>
    </w:p>
    <w:p w14:paraId="34B25B46" w14:textId="77777777" w:rsidR="00B5038F" w:rsidRPr="00660381" w:rsidRDefault="00B5038F" w:rsidP="00B5038F">
      <w:pPr>
        <w:spacing w:after="0" w:line="276" w:lineRule="auto"/>
        <w:jc w:val="both"/>
        <w:rPr>
          <w:rFonts w:ascii="Arial" w:hAnsi="Arial" w:cs="Arial"/>
          <w:b/>
          <w:bCs/>
        </w:rPr>
      </w:pPr>
    </w:p>
    <w:p w14:paraId="7D9C5B32" w14:textId="1344CCA4" w:rsidR="00C87232" w:rsidRPr="00781AC2" w:rsidRDefault="00C87232" w:rsidP="00660381">
      <w:pPr>
        <w:spacing w:after="120" w:line="276" w:lineRule="auto"/>
        <w:jc w:val="both"/>
        <w:rPr>
          <w:rFonts w:ascii="Arial" w:hAnsi="Arial" w:cs="Arial"/>
          <w:lang w:val="es-ES"/>
        </w:rPr>
      </w:pPr>
      <w:r w:rsidRPr="00781AC2">
        <w:rPr>
          <w:rFonts w:ascii="Arial" w:hAnsi="Arial" w:cs="Arial"/>
        </w:rPr>
        <w:t>En ejercicio de las competencias establecidas en los artículos 3</w:t>
      </w:r>
      <w:r w:rsidR="0053346A">
        <w:rPr>
          <w:rFonts w:ascii="Arial" w:hAnsi="Arial" w:cs="Arial"/>
        </w:rPr>
        <w:t xml:space="preserve">, numeral </w:t>
      </w:r>
      <w:r w:rsidRPr="00781AC2">
        <w:rPr>
          <w:rFonts w:ascii="Arial" w:hAnsi="Arial" w:cs="Arial"/>
        </w:rPr>
        <w:t>5</w:t>
      </w:r>
      <w:r w:rsidR="0053346A">
        <w:rPr>
          <w:rFonts w:ascii="Arial" w:hAnsi="Arial" w:cs="Arial"/>
        </w:rPr>
        <w:t>°</w:t>
      </w:r>
      <w:r w:rsidRPr="00781AC2">
        <w:rPr>
          <w:rFonts w:ascii="Arial" w:hAnsi="Arial" w:cs="Arial"/>
        </w:rPr>
        <w:t xml:space="preserve"> y 11</w:t>
      </w:r>
      <w:r w:rsidR="0053346A">
        <w:rPr>
          <w:rFonts w:ascii="Arial" w:hAnsi="Arial" w:cs="Arial"/>
        </w:rPr>
        <w:t xml:space="preserve">, numeral </w:t>
      </w:r>
      <w:r w:rsidRPr="00781AC2">
        <w:rPr>
          <w:rFonts w:ascii="Arial" w:hAnsi="Arial" w:cs="Arial"/>
        </w:rPr>
        <w:t>8</w:t>
      </w:r>
      <w:r w:rsidR="0053346A">
        <w:rPr>
          <w:rFonts w:ascii="Arial" w:hAnsi="Arial" w:cs="Arial"/>
        </w:rPr>
        <w:t>°</w:t>
      </w:r>
      <w:r w:rsidRPr="00781AC2">
        <w:rPr>
          <w:rFonts w:ascii="Arial" w:hAnsi="Arial" w:cs="Arial"/>
        </w:rPr>
        <w:t xml:space="preserve">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72638BDD" w14:textId="77777777" w:rsidR="00C87232" w:rsidRPr="006D7E12" w:rsidRDefault="00C87232" w:rsidP="00C87232">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6FF9A37B" w14:textId="77777777" w:rsidR="00C87232" w:rsidRPr="009D3976" w:rsidRDefault="00C87232" w:rsidP="00C87232">
      <w:pPr>
        <w:spacing w:line="276" w:lineRule="auto"/>
        <w:ind w:firstLine="708"/>
        <w:jc w:val="both"/>
        <w:rPr>
          <w:rFonts w:ascii="Arial" w:hAnsi="Arial" w:cs="Arial"/>
          <w:color w:val="000000" w:themeColor="text1"/>
          <w:lang w:val="es-ES"/>
        </w:rPr>
      </w:pPr>
      <w:r w:rsidRPr="00781AC2">
        <w:rPr>
          <w:rFonts w:ascii="Arial" w:hAnsi="Arial" w:cs="Arial"/>
        </w:rPr>
        <w:t>Sin perjuicio de lo anterior, la Subdirección –dentro de los límites de sus atribuciones, esto es, haciendo abstracción de</w:t>
      </w:r>
      <w:r>
        <w:rPr>
          <w:rFonts w:ascii="Arial" w:hAnsi="Arial" w:cs="Arial"/>
        </w:rPr>
        <w:t xml:space="preserve"> las situaciones particulares expuestas en la solicitud</w:t>
      </w:r>
      <w:r w:rsidRPr="00781AC2">
        <w:rPr>
          <w:rFonts w:ascii="Arial" w:hAnsi="Arial" w:cs="Arial"/>
        </w:rPr>
        <w:t xml:space="preserve">– resolverá la consulta conforme a las normas generales en materia de contratación estatal. Con este objetivo se </w:t>
      </w:r>
      <w:r>
        <w:rPr>
          <w:rFonts w:ascii="Arial" w:hAnsi="Arial" w:cs="Arial"/>
        </w:rPr>
        <w:t>abordarán</w:t>
      </w:r>
      <w:r w:rsidRPr="00781AC2">
        <w:rPr>
          <w:rFonts w:ascii="Arial" w:hAnsi="Arial" w:cs="Arial"/>
        </w:rPr>
        <w:t xml:space="preserve"> </w:t>
      </w:r>
      <w:r w:rsidRPr="00781AC2">
        <w:rPr>
          <w:rFonts w:ascii="Arial" w:eastAsia="Calibri" w:hAnsi="Arial" w:cs="Arial"/>
          <w:lang w:val="es-ES"/>
        </w:rPr>
        <w:t>los siguientes temas</w:t>
      </w:r>
      <w:r w:rsidRPr="00504597">
        <w:rPr>
          <w:rFonts w:ascii="Arial" w:hAnsi="Arial" w:cs="Arial"/>
          <w:color w:val="000000" w:themeColor="text1"/>
          <w:lang w:val="es-ES"/>
        </w:rPr>
        <w:t xml:space="preserve">:  </w:t>
      </w:r>
      <w:r w:rsidRPr="00C461A7">
        <w:rPr>
          <w:rFonts w:ascii="Arial" w:hAnsi="Arial" w:cs="Arial"/>
          <w:color w:val="000000" w:themeColor="text1"/>
          <w:lang w:val="es-ES"/>
        </w:rPr>
        <w:t>i) régimen de inhabilidades e incompatibilidades para contratar con el Estado</w:t>
      </w:r>
      <w:r>
        <w:rPr>
          <w:rFonts w:ascii="Arial" w:hAnsi="Arial" w:cs="Arial"/>
          <w:color w:val="000000" w:themeColor="text1"/>
          <w:lang w:val="es-ES"/>
        </w:rPr>
        <w:t xml:space="preserve"> y</w:t>
      </w:r>
      <w:r w:rsidRPr="00C461A7">
        <w:rPr>
          <w:rFonts w:ascii="Arial" w:hAnsi="Arial" w:cs="Arial"/>
          <w:color w:val="000000" w:themeColor="text1"/>
          <w:lang w:val="es-ES"/>
        </w:rPr>
        <w:t xml:space="preserve"> ii) límites de la capacidad contractual en relación con la reserva de ley y la interpretación restrictiva de estas disposiciones</w:t>
      </w:r>
      <w:r w:rsidRPr="00C461A7">
        <w:rPr>
          <w:rFonts w:ascii="Arial" w:hAnsi="Arial" w:cs="Arial"/>
          <w:color w:val="000000" w:themeColor="text1"/>
          <w:lang w:val="es-MX"/>
        </w:rPr>
        <w:t>.</w:t>
      </w:r>
      <w:r w:rsidRPr="00C461A7">
        <w:rPr>
          <w:rFonts w:ascii="Arial" w:hAnsi="Arial" w:cs="Arial"/>
          <w:color w:val="000000" w:themeColor="text1"/>
          <w:lang w:val="es-ES"/>
        </w:rPr>
        <w:t xml:space="preserve"> </w:t>
      </w:r>
    </w:p>
    <w:p w14:paraId="57018BCF" w14:textId="7172D9BD" w:rsidR="00C87232" w:rsidRDefault="00C87232" w:rsidP="00C72540">
      <w:pPr>
        <w:spacing w:before="120" w:after="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w:t>
      </w:r>
      <w:r>
        <w:rPr>
          <w:rFonts w:ascii="Arial" w:eastAsia="Calibri" w:hAnsi="Arial" w:cs="Arial"/>
          <w:color w:val="000000" w:themeColor="text1"/>
          <w:lang w:val="es-ES"/>
        </w:rPr>
        <w:t xml:space="preserve"> </w:t>
      </w:r>
      <w:r w:rsidRPr="00DE7E6D">
        <w:rPr>
          <w:rFonts w:ascii="Arial" w:eastAsia="Calibri" w:hAnsi="Arial" w:cs="Arial"/>
          <w:color w:val="000000" w:themeColor="text1"/>
          <w:lang w:val="es-MX"/>
        </w:rPr>
        <w:t xml:space="preserve">4201912000004765 de 29 de agosto de 2019, 4201913000005694 del 3 de octubre </w:t>
      </w:r>
      <w:r w:rsidRPr="00DE7E6D">
        <w:rPr>
          <w:rFonts w:ascii="Arial" w:eastAsia="Calibri" w:hAnsi="Arial" w:cs="Arial"/>
          <w:color w:val="000000" w:themeColor="text1"/>
          <w:lang w:val="es-MX"/>
        </w:rPr>
        <w:lastRenderedPageBreak/>
        <w:t>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w:t>
      </w:r>
      <w:r>
        <w:rPr>
          <w:rFonts w:ascii="Arial" w:eastAsia="Calibri" w:hAnsi="Arial" w:cs="Arial"/>
          <w:color w:val="000000" w:themeColor="text1"/>
          <w:lang w:val="es-MX"/>
        </w:rPr>
        <w:t xml:space="preserve">, </w:t>
      </w:r>
      <w:r w:rsidRPr="00CC107C">
        <w:rPr>
          <w:rFonts w:ascii="Arial" w:eastAsia="Calibri" w:hAnsi="Arial" w:cs="Arial"/>
          <w:color w:val="000000" w:themeColor="text1"/>
          <w:lang w:val="es-ES_tradnl"/>
        </w:rPr>
        <w:t>C</w:t>
      </w:r>
      <w:r>
        <w:rPr>
          <w:rFonts w:ascii="Arial" w:eastAsia="Calibri" w:hAnsi="Arial" w:cs="Arial"/>
          <w:color w:val="000000" w:themeColor="text1"/>
          <w:lang w:val="es-ES_tradnl"/>
        </w:rPr>
        <w:t>-</w:t>
      </w:r>
      <w:r w:rsidRPr="00CC107C">
        <w:rPr>
          <w:rFonts w:ascii="Arial" w:eastAsia="Calibri" w:hAnsi="Arial" w:cs="Arial"/>
          <w:color w:val="000000" w:themeColor="text1"/>
          <w:lang w:val="es-ES_tradnl"/>
        </w:rPr>
        <w:t>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_tradnl"/>
        </w:rPr>
        <w:t>C-491 del 14 de septiembre de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
        </w:rPr>
        <w:t>C-028 del 28 de febrero de 2022, C-318 del 18 de mayo de 2022 y C-252 del 30 de mayo de 2022</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analizó </w:t>
      </w:r>
      <w:r>
        <w:rPr>
          <w:rFonts w:ascii="Arial" w:eastAsia="Calibri" w:hAnsi="Arial" w:cs="Arial"/>
          <w:color w:val="000000" w:themeColor="text1"/>
          <w:lang w:val="es-ES"/>
        </w:rPr>
        <w:t>los contornos generales del régimen de inhabilidades e incompatibilidades en la contratación estatal</w:t>
      </w:r>
      <w:r w:rsidRPr="00781AC2">
        <w:rPr>
          <w:rStyle w:val="Refdenotaalpie"/>
          <w:rFonts w:ascii="Arial" w:eastAsia="Calibri" w:hAnsi="Arial" w:cs="Arial"/>
        </w:rPr>
        <w:footnoteReference w:id="3"/>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La tesis propuesta en estos conceptos se reitera a continuación</w:t>
      </w:r>
      <w:r w:rsidR="00F51E27">
        <w:rPr>
          <w:rFonts w:ascii="Arial" w:eastAsia="Calibri" w:hAnsi="Arial" w:cs="Arial"/>
          <w:color w:val="000000" w:themeColor="text1"/>
          <w:lang w:val="es-ES_tradnl"/>
        </w:rPr>
        <w:t>.</w:t>
      </w:r>
    </w:p>
    <w:p w14:paraId="6CBDFEB9" w14:textId="77777777" w:rsidR="00C72540" w:rsidRDefault="00C72540" w:rsidP="00660381">
      <w:pPr>
        <w:spacing w:after="0" w:line="276" w:lineRule="auto"/>
        <w:ind w:firstLine="709"/>
        <w:jc w:val="both"/>
        <w:rPr>
          <w:rFonts w:ascii="Arial" w:eastAsia="Calibri" w:hAnsi="Arial" w:cs="Arial"/>
          <w:color w:val="000000" w:themeColor="text1"/>
          <w:lang w:val="es-ES_tradnl"/>
        </w:rPr>
      </w:pPr>
    </w:p>
    <w:p w14:paraId="2C80A200" w14:textId="28552ED5" w:rsidR="00F51E27" w:rsidRDefault="00F51E27" w:rsidP="00660381">
      <w:pPr>
        <w:spacing w:after="0" w:line="276" w:lineRule="auto"/>
        <w:jc w:val="both"/>
        <w:rPr>
          <w:rFonts w:ascii="Arial" w:hAnsi="Arial" w:cs="Arial"/>
          <w:b/>
          <w:bCs/>
          <w:color w:val="000000" w:themeColor="text1"/>
          <w:lang w:val="es-ES"/>
        </w:rPr>
      </w:pPr>
      <w:r w:rsidRPr="00660381">
        <w:rPr>
          <w:rFonts w:ascii="Arial" w:eastAsia="Calibri" w:hAnsi="Arial" w:cs="Arial"/>
          <w:b/>
          <w:bCs/>
          <w:color w:val="000000" w:themeColor="text1"/>
          <w:lang w:val="es-ES_tradnl"/>
        </w:rPr>
        <w:t xml:space="preserve">2.1. </w:t>
      </w:r>
      <w:r w:rsidRPr="00660381">
        <w:rPr>
          <w:rFonts w:ascii="Arial" w:hAnsi="Arial" w:cs="Arial"/>
          <w:b/>
          <w:bCs/>
          <w:color w:val="000000" w:themeColor="text1"/>
          <w:lang w:val="es-ES"/>
        </w:rPr>
        <w:t>Régimen de inhabilidades e incompatibilidades para contratar con el Estado</w:t>
      </w:r>
    </w:p>
    <w:p w14:paraId="37E188DC" w14:textId="77777777" w:rsidR="009B3AB1" w:rsidRPr="00660381" w:rsidRDefault="009B3AB1" w:rsidP="00660381">
      <w:pPr>
        <w:spacing w:after="0" w:line="276" w:lineRule="auto"/>
        <w:jc w:val="both"/>
        <w:rPr>
          <w:rFonts w:ascii="Arial" w:eastAsia="Calibri" w:hAnsi="Arial" w:cs="Arial"/>
          <w:b/>
          <w:bCs/>
          <w:color w:val="000000" w:themeColor="text1"/>
          <w:lang w:val="es-ES_tradnl"/>
        </w:rPr>
      </w:pPr>
    </w:p>
    <w:p w14:paraId="715D7437" w14:textId="77777777" w:rsidR="00C87232" w:rsidRPr="003953CA" w:rsidRDefault="00C87232" w:rsidP="00660381">
      <w:pPr>
        <w:pStyle w:val="Sinespaciado"/>
        <w:spacing w:after="120" w:line="276" w:lineRule="auto"/>
        <w:jc w:val="both"/>
        <w:rPr>
          <w:rFonts w:ascii="Arial" w:hAnsi="Arial" w:cs="Arial"/>
          <w:sz w:val="22"/>
        </w:rPr>
      </w:pPr>
      <w:r w:rsidRPr="003D2C09">
        <w:rPr>
          <w:rFonts w:ascii="Arial" w:hAnsi="Arial" w:cs="Arial"/>
          <w:sz w:val="22"/>
        </w:rPr>
        <w:t>L</w:t>
      </w:r>
      <w:r w:rsidRPr="003953CA">
        <w:rPr>
          <w:rFonts w:ascii="Arial" w:hAnsi="Arial" w:cs="Arial"/>
          <w:sz w:val="22"/>
        </w:rPr>
        <w:t xml:space="preserve">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9405107" w14:textId="77777777" w:rsidR="00C87232" w:rsidRDefault="00C87232" w:rsidP="00C87232">
      <w:pPr>
        <w:spacing w:line="276" w:lineRule="auto"/>
        <w:ind w:firstLine="709"/>
        <w:jc w:val="both"/>
        <w:rPr>
          <w:rFonts w:ascii="Arial" w:hAnsi="Arial" w:cs="Arial"/>
        </w:rPr>
      </w:pPr>
      <w:r w:rsidRPr="003953CA">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Pr>
          <w:rFonts w:ascii="Arial" w:hAnsi="Arial" w:cs="Arial"/>
        </w:rPr>
        <w:t>“</w:t>
      </w:r>
      <w:r w:rsidRPr="003953CA">
        <w:rPr>
          <w:rFonts w:ascii="Arial" w:hAnsi="Arial" w:cs="Arial"/>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Arial" w:hAnsi="Arial" w:cs="Arial"/>
        </w:rPr>
        <w:t>”</w:t>
      </w:r>
      <w:r>
        <w:rPr>
          <w:rStyle w:val="Refdenotaalpie"/>
          <w:rFonts w:ascii="Arial" w:hAnsi="Arial" w:cs="Arial"/>
        </w:rPr>
        <w:footnoteReference w:id="4"/>
      </w:r>
      <w:r>
        <w:rPr>
          <w:rFonts w:ascii="Arial" w:hAnsi="Arial" w:cs="Arial"/>
        </w:rPr>
        <w:t>.</w:t>
      </w:r>
    </w:p>
    <w:p w14:paraId="23713483" w14:textId="77777777" w:rsidR="00C87232" w:rsidRPr="00B60131" w:rsidRDefault="00C87232" w:rsidP="00C87232">
      <w:pPr>
        <w:pStyle w:val="Sinespaciado"/>
        <w:spacing w:before="120" w:line="276" w:lineRule="auto"/>
        <w:ind w:firstLine="709"/>
        <w:jc w:val="both"/>
        <w:rPr>
          <w:rFonts w:ascii="Arial" w:hAnsi="Arial" w:cs="Arial"/>
          <w:sz w:val="22"/>
        </w:rPr>
      </w:pPr>
      <w:r w:rsidRPr="00B60131">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48F85D8E" w14:textId="77777777" w:rsidR="00C87232" w:rsidRPr="00B60131" w:rsidRDefault="00C87232" w:rsidP="00C87232">
      <w:pPr>
        <w:pStyle w:val="Sinespaciado"/>
        <w:spacing w:line="276" w:lineRule="auto"/>
        <w:jc w:val="both"/>
        <w:rPr>
          <w:rFonts w:ascii="Arial" w:hAnsi="Arial" w:cs="Arial"/>
          <w:sz w:val="22"/>
        </w:rPr>
      </w:pPr>
    </w:p>
    <w:p w14:paraId="7B29F3DD" w14:textId="168B702B" w:rsidR="00C87232" w:rsidRDefault="009B3AB1" w:rsidP="00C87232">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Pr>
          <w:rFonts w:ascii="Arial" w:eastAsiaTheme="minorHAnsi" w:hAnsi="Arial" w:cs="Arial"/>
          <w:sz w:val="21"/>
          <w:szCs w:val="21"/>
          <w:lang w:val="es-ES" w:eastAsia="en-US"/>
        </w:rPr>
        <w:t>“</w:t>
      </w:r>
      <w:r w:rsidR="00C87232" w:rsidRPr="00B60131">
        <w:rPr>
          <w:rFonts w:ascii="Arial" w:eastAsiaTheme="minorHAnsi" w:hAnsi="Arial" w:cs="Arial"/>
          <w:sz w:val="21"/>
          <w:szCs w:val="21"/>
          <w:lang w:val="es-ES" w:eastAsia="en-US"/>
        </w:rPr>
        <w:t xml:space="preserve">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w:t>
      </w:r>
      <w:r w:rsidR="00C87232" w:rsidRPr="00B60131">
        <w:rPr>
          <w:rFonts w:ascii="Arial" w:eastAsiaTheme="minorHAnsi" w:hAnsi="Arial" w:cs="Arial"/>
          <w:sz w:val="21"/>
          <w:szCs w:val="21"/>
          <w:lang w:val="es-ES" w:eastAsia="en-US"/>
        </w:rPr>
        <w:lastRenderedPageBreak/>
        <w:t>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137D58FA" w14:textId="443B3A27" w:rsidR="00C87232" w:rsidRDefault="00C87232" w:rsidP="00C87232">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B60131">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w:t>
      </w:r>
      <w:r w:rsidRPr="003953CA">
        <w:rPr>
          <w:rFonts w:ascii="Arial" w:eastAsiaTheme="minorHAnsi" w:hAnsi="Arial" w:cs="Arial"/>
          <w:sz w:val="21"/>
          <w:szCs w:val="21"/>
          <w:lang w:val="es-ES" w:eastAsia="en-US"/>
        </w:rPr>
        <w:t xml:space="preserve">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009B3AB1">
        <w:rPr>
          <w:rFonts w:ascii="Arial" w:eastAsiaTheme="minorHAnsi" w:hAnsi="Arial" w:cs="Arial"/>
          <w:sz w:val="21"/>
          <w:szCs w:val="21"/>
          <w:lang w:val="es-ES" w:eastAsia="en-US"/>
        </w:rPr>
        <w:t>”</w:t>
      </w:r>
      <w:r>
        <w:rPr>
          <w:rStyle w:val="Refdenotaalpie"/>
          <w:rFonts w:ascii="Arial" w:eastAsiaTheme="minorHAnsi" w:hAnsi="Arial" w:cs="Arial"/>
          <w:sz w:val="21"/>
          <w:szCs w:val="21"/>
          <w:lang w:val="es-ES" w:eastAsia="en-US"/>
        </w:rPr>
        <w:footnoteReference w:id="5"/>
      </w:r>
      <w:r>
        <w:rPr>
          <w:rFonts w:ascii="Arial" w:eastAsiaTheme="minorHAnsi" w:hAnsi="Arial" w:cs="Arial"/>
          <w:sz w:val="21"/>
          <w:szCs w:val="21"/>
          <w:lang w:val="es-ES" w:eastAsia="en-US"/>
        </w:rPr>
        <w:t>.</w:t>
      </w:r>
    </w:p>
    <w:p w14:paraId="4ACB33AE" w14:textId="77777777" w:rsidR="00C87232" w:rsidRPr="00427F40" w:rsidRDefault="00C87232" w:rsidP="00C87232">
      <w:pPr>
        <w:pStyle w:val="NormalWeb"/>
        <w:shd w:val="clear" w:color="auto" w:fill="FFFFFF"/>
        <w:spacing w:before="0" w:beforeAutospacing="0" w:after="0" w:afterAutospacing="0" w:line="276" w:lineRule="auto"/>
        <w:ind w:left="709" w:right="709"/>
        <w:jc w:val="both"/>
        <w:rPr>
          <w:rFonts w:ascii="Arial" w:eastAsiaTheme="minorHAnsi" w:hAnsi="Arial" w:cs="Arial"/>
          <w:sz w:val="22"/>
          <w:szCs w:val="22"/>
          <w:lang w:val="es-ES" w:eastAsia="en-US"/>
        </w:rPr>
      </w:pPr>
    </w:p>
    <w:p w14:paraId="708A7146" w14:textId="77777777" w:rsidR="00C87232" w:rsidRDefault="00C87232" w:rsidP="00C87232">
      <w:pPr>
        <w:pStyle w:val="Sinespaciado"/>
        <w:spacing w:line="276" w:lineRule="auto"/>
        <w:ind w:firstLine="709"/>
        <w:jc w:val="both"/>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0A288D2F" w14:textId="77777777" w:rsidR="00C87232" w:rsidRPr="003953CA" w:rsidRDefault="00C87232" w:rsidP="00C87232">
      <w:pPr>
        <w:pStyle w:val="Sinespaciado"/>
        <w:spacing w:line="276" w:lineRule="auto"/>
        <w:ind w:firstLine="709"/>
        <w:jc w:val="both"/>
        <w:rPr>
          <w:rFonts w:ascii="Arial" w:hAnsi="Arial" w:cs="Arial"/>
          <w:sz w:val="22"/>
        </w:rPr>
      </w:pPr>
    </w:p>
    <w:p w14:paraId="50BCF633" w14:textId="4AF41698" w:rsidR="00C87232" w:rsidRDefault="009B3AB1" w:rsidP="00C87232">
      <w:pPr>
        <w:spacing w:line="240" w:lineRule="auto"/>
        <w:ind w:left="709" w:right="709"/>
        <w:jc w:val="both"/>
        <w:rPr>
          <w:rFonts w:ascii="Arial" w:hAnsi="Arial" w:cs="Arial"/>
          <w:sz w:val="21"/>
          <w:szCs w:val="21"/>
        </w:rPr>
      </w:pPr>
      <w:r>
        <w:rPr>
          <w:rFonts w:ascii="Arial" w:hAnsi="Arial" w:cs="Arial"/>
          <w:sz w:val="21"/>
          <w:szCs w:val="21"/>
        </w:rPr>
        <w:t>“</w:t>
      </w:r>
      <w:r w:rsidR="00C87232" w:rsidRPr="003953CA">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00C87232" w:rsidRPr="003953CA">
        <w:rPr>
          <w:rFonts w:ascii="Arial" w:hAnsi="Arial" w:cs="Arial"/>
          <w:sz w:val="21"/>
          <w:szCs w:val="21"/>
        </w:rPr>
        <w:t>incompatibilidades,</w:t>
      </w:r>
      <w:proofErr w:type="gramEnd"/>
      <w:r w:rsidR="00C87232" w:rsidRPr="003953CA">
        <w:rPr>
          <w:rFonts w:ascii="Arial" w:hAnsi="Arial" w:cs="Arial"/>
          <w:sz w:val="21"/>
          <w:szCs w:val="21"/>
        </w:rPr>
        <w:t xml:space="preserve"> se erige en causal de nulidad del contrato celebrado en esas condiciones (ley 80 de 1993, art. 44).</w:t>
      </w:r>
    </w:p>
    <w:p w14:paraId="7C3DF038" w14:textId="15768381" w:rsidR="00C87232" w:rsidRDefault="00C87232" w:rsidP="00C87232">
      <w:pPr>
        <w:spacing w:after="0" w:line="240" w:lineRule="auto"/>
        <w:ind w:left="709" w:right="709"/>
        <w:jc w:val="both"/>
        <w:rPr>
          <w:rFonts w:ascii="Arial" w:hAnsi="Arial" w:cs="Arial"/>
          <w:sz w:val="21"/>
          <w:szCs w:val="21"/>
        </w:rPr>
      </w:pPr>
      <w:r w:rsidRPr="003953CA">
        <w:rPr>
          <w:rFonts w:ascii="Arial" w:hAnsi="Arial" w:cs="Arial"/>
          <w:sz w:val="21"/>
          <w:szCs w:val="21"/>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w:t>
      </w:r>
      <w:r w:rsidRPr="003953CA">
        <w:rPr>
          <w:rFonts w:ascii="Arial" w:hAnsi="Arial" w:cs="Arial"/>
          <w:sz w:val="21"/>
          <w:szCs w:val="21"/>
        </w:rPr>
        <w:lastRenderedPageBreak/>
        <w:t>a la igualdad y el reconocimiento de la personalidad jurídica de las personas que resultan rechazadas del ámbito contractual del Estado</w:t>
      </w:r>
      <w:r w:rsidR="009B3AB1">
        <w:rPr>
          <w:rFonts w:ascii="Arial" w:hAnsi="Arial" w:cs="Arial"/>
          <w:sz w:val="21"/>
          <w:szCs w:val="21"/>
        </w:rPr>
        <w:t>”</w:t>
      </w:r>
      <w:r>
        <w:rPr>
          <w:rStyle w:val="Refdenotaalpie"/>
          <w:rFonts w:ascii="Arial" w:hAnsi="Arial" w:cs="Arial"/>
          <w:sz w:val="21"/>
          <w:szCs w:val="21"/>
        </w:rPr>
        <w:footnoteReference w:id="6"/>
      </w:r>
      <w:r>
        <w:rPr>
          <w:rFonts w:ascii="Arial" w:hAnsi="Arial" w:cs="Arial"/>
          <w:sz w:val="21"/>
          <w:szCs w:val="21"/>
        </w:rPr>
        <w:t>.</w:t>
      </w:r>
    </w:p>
    <w:p w14:paraId="6F35918C" w14:textId="77777777" w:rsidR="00C87232" w:rsidRPr="00427F40" w:rsidRDefault="00C87232" w:rsidP="00C87232">
      <w:pPr>
        <w:spacing w:after="0" w:line="276" w:lineRule="auto"/>
        <w:ind w:right="709"/>
        <w:jc w:val="both"/>
        <w:rPr>
          <w:rFonts w:ascii="Arial" w:hAnsi="Arial" w:cs="Arial"/>
        </w:rPr>
      </w:pPr>
    </w:p>
    <w:p w14:paraId="751D95C7" w14:textId="77777777" w:rsidR="00C87232" w:rsidRPr="003953CA" w:rsidRDefault="00C87232" w:rsidP="00C87232">
      <w:pPr>
        <w:spacing w:after="0" w:line="276" w:lineRule="auto"/>
        <w:ind w:firstLine="709"/>
        <w:jc w:val="both"/>
        <w:rPr>
          <w:rFonts w:ascii="Arial" w:hAnsi="Arial" w:cs="Arial"/>
        </w:rPr>
      </w:pPr>
      <w:r w:rsidRPr="003953CA">
        <w:rPr>
          <w:rFonts w:ascii="Arial" w:hAnsi="Arial" w:cs="Arial"/>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rPr>
        <w:t xml:space="preserve">de la Administración </w:t>
      </w:r>
      <w:r w:rsidRPr="003953CA">
        <w:rPr>
          <w:rFonts w:ascii="Arial" w:hAnsi="Arial" w:cs="Arial"/>
        </w:rPr>
        <w:t>Pública, cuya expedición compete al Congreso de la República a la luz del artículo 150 de la Constitución Política, y que en esta materia rige el principio de legalidad:</w:t>
      </w:r>
    </w:p>
    <w:p w14:paraId="0B07DF1E" w14:textId="77777777" w:rsidR="00C87232" w:rsidRPr="003953CA" w:rsidRDefault="00C87232" w:rsidP="00C87232">
      <w:pPr>
        <w:pStyle w:val="Sinespaciado"/>
        <w:tabs>
          <w:tab w:val="left" w:pos="1532"/>
        </w:tabs>
        <w:spacing w:line="276" w:lineRule="auto"/>
        <w:jc w:val="both"/>
        <w:rPr>
          <w:rFonts w:ascii="Arial" w:hAnsi="Arial" w:cs="Arial"/>
          <w:sz w:val="22"/>
        </w:rPr>
      </w:pPr>
    </w:p>
    <w:p w14:paraId="4807440F" w14:textId="3216CBE4" w:rsidR="00C87232" w:rsidRPr="003953CA" w:rsidRDefault="009B3AB1" w:rsidP="00C87232">
      <w:pPr>
        <w:spacing w:after="0" w:line="240" w:lineRule="auto"/>
        <w:ind w:left="709" w:right="709"/>
        <w:jc w:val="both"/>
        <w:rPr>
          <w:rFonts w:ascii="Arial" w:hAnsi="Arial" w:cs="Arial"/>
          <w:sz w:val="21"/>
          <w:szCs w:val="21"/>
        </w:rPr>
      </w:pPr>
      <w:r>
        <w:rPr>
          <w:rFonts w:ascii="Arial" w:hAnsi="Arial" w:cs="Arial"/>
          <w:sz w:val="21"/>
          <w:szCs w:val="21"/>
        </w:rPr>
        <w:t>“</w:t>
      </w:r>
      <w:r w:rsidR="00C87232" w:rsidRPr="003953CA">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00C87232" w:rsidRPr="00427F40">
        <w:rPr>
          <w:rFonts w:ascii="Arial" w:hAnsi="Arial" w:cs="Arial"/>
          <w:i/>
          <w:iCs/>
          <w:sz w:val="21"/>
          <w:szCs w:val="21"/>
        </w:rPr>
        <w:t xml:space="preserve">pro </w:t>
      </w:r>
      <w:proofErr w:type="spellStart"/>
      <w:r w:rsidR="00C87232" w:rsidRPr="00427F40">
        <w:rPr>
          <w:rFonts w:ascii="Arial" w:hAnsi="Arial" w:cs="Arial"/>
          <w:i/>
          <w:iCs/>
          <w:sz w:val="21"/>
          <w:szCs w:val="21"/>
        </w:rPr>
        <w:t>libertate</w:t>
      </w:r>
      <w:proofErr w:type="spellEnd"/>
      <w:r w:rsidR="00C87232" w:rsidRPr="003953CA">
        <w:rPr>
          <w:rFonts w:ascii="Arial" w:hAnsi="Arial" w:cs="Arial"/>
          <w:sz w:val="21"/>
          <w:szCs w:val="21"/>
        </w:rPr>
        <w:t xml:space="preserve">, sino el de legalidad, el que ordena que la función pública debe someterse estrictamente a lo que disponga la Constitución y la ley (CP art. 6). </w:t>
      </w:r>
    </w:p>
    <w:p w14:paraId="59CADC33" w14:textId="77777777" w:rsidR="00C87232" w:rsidRDefault="00C87232" w:rsidP="00C87232">
      <w:pPr>
        <w:spacing w:after="120" w:line="240" w:lineRule="auto"/>
        <w:ind w:left="709" w:right="709"/>
        <w:jc w:val="both"/>
        <w:rPr>
          <w:rFonts w:ascii="Arial" w:hAnsi="Arial" w:cs="Arial"/>
          <w:sz w:val="21"/>
          <w:szCs w:val="21"/>
        </w:rPr>
      </w:pPr>
      <w:r w:rsidRPr="003953CA">
        <w:rPr>
          <w:rFonts w:ascii="Arial" w:hAnsi="Arial" w:cs="Arial"/>
          <w:sz w:val="21"/>
          <w:szCs w:val="21"/>
        </w:rPr>
        <w:t xml:space="preserve">[…] </w:t>
      </w:r>
    </w:p>
    <w:p w14:paraId="566E67D1" w14:textId="75B44747" w:rsidR="00C87232" w:rsidRDefault="00C87232" w:rsidP="00C87232">
      <w:pPr>
        <w:spacing w:after="0" w:line="240" w:lineRule="auto"/>
        <w:ind w:left="709" w:right="709"/>
        <w:jc w:val="both"/>
        <w:rPr>
          <w:rFonts w:ascii="Arial" w:hAnsi="Arial" w:cs="Arial"/>
          <w:sz w:val="21"/>
          <w:szCs w:val="21"/>
        </w:rPr>
      </w:pPr>
      <w:r w:rsidRPr="003953CA">
        <w:rPr>
          <w:rFonts w:ascii="Arial" w:hAnsi="Arial" w:cs="Arial"/>
          <w:sz w:val="21"/>
          <w:szCs w:val="21"/>
        </w:rPr>
        <w:t xml:space="preserve">Se comprende con facilidad que el régimen de inhabilidades e </w:t>
      </w:r>
      <w:proofErr w:type="gramStart"/>
      <w:r w:rsidRPr="003953CA">
        <w:rPr>
          <w:rFonts w:ascii="Arial" w:hAnsi="Arial" w:cs="Arial"/>
          <w:sz w:val="21"/>
          <w:szCs w:val="21"/>
        </w:rPr>
        <w:t>incompatibilidades,</w:t>
      </w:r>
      <w:proofErr w:type="gramEnd"/>
      <w:r w:rsidRPr="003953CA">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sidR="009B3AB1">
        <w:rPr>
          <w:rFonts w:ascii="Arial" w:hAnsi="Arial" w:cs="Arial"/>
          <w:sz w:val="21"/>
          <w:szCs w:val="21"/>
        </w:rPr>
        <w:t>”</w:t>
      </w:r>
      <w:r>
        <w:rPr>
          <w:rStyle w:val="Refdenotaalpie"/>
          <w:rFonts w:ascii="Arial" w:hAnsi="Arial" w:cs="Arial"/>
          <w:sz w:val="21"/>
          <w:szCs w:val="21"/>
        </w:rPr>
        <w:footnoteReference w:id="7"/>
      </w:r>
      <w:r>
        <w:rPr>
          <w:rFonts w:ascii="Arial" w:hAnsi="Arial" w:cs="Arial"/>
          <w:sz w:val="21"/>
          <w:szCs w:val="21"/>
        </w:rPr>
        <w:t>.</w:t>
      </w:r>
    </w:p>
    <w:p w14:paraId="6491AE37" w14:textId="77777777" w:rsidR="00C87232" w:rsidRPr="00427F40" w:rsidRDefault="00C87232" w:rsidP="00C87232">
      <w:pPr>
        <w:spacing w:after="0" w:line="276" w:lineRule="auto"/>
        <w:ind w:left="709" w:right="709"/>
        <w:jc w:val="both"/>
        <w:rPr>
          <w:rFonts w:ascii="Arial" w:hAnsi="Arial" w:cs="Arial"/>
        </w:rPr>
      </w:pPr>
    </w:p>
    <w:p w14:paraId="43D56665" w14:textId="77777777" w:rsidR="00C87232" w:rsidRDefault="00C87232" w:rsidP="00C87232">
      <w:pPr>
        <w:spacing w:after="0" w:line="276" w:lineRule="auto"/>
        <w:ind w:firstLine="709"/>
        <w:jc w:val="both"/>
        <w:rPr>
          <w:rFonts w:ascii="Arial" w:hAnsi="Arial" w:cs="Arial"/>
        </w:rPr>
      </w:pPr>
      <w:r w:rsidRPr="003953CA">
        <w:rPr>
          <w:rFonts w:ascii="Arial" w:hAnsi="Arial"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Pr>
          <w:rStyle w:val="Refdenotaalpie"/>
          <w:rFonts w:ascii="Arial" w:hAnsi="Arial" w:cs="Arial"/>
        </w:rPr>
        <w:footnoteReference w:id="8"/>
      </w:r>
      <w:r>
        <w:rPr>
          <w:rFonts w:ascii="Arial" w:hAnsi="Arial" w:cs="Arial"/>
        </w:rPr>
        <w:t>.</w:t>
      </w:r>
    </w:p>
    <w:p w14:paraId="6CC6188A" w14:textId="77777777" w:rsidR="00C87232" w:rsidRPr="002172E6" w:rsidRDefault="00C87232" w:rsidP="00C87232">
      <w:pPr>
        <w:spacing w:before="120" w:after="120" w:line="276" w:lineRule="auto"/>
        <w:ind w:firstLine="709"/>
        <w:jc w:val="both"/>
        <w:rPr>
          <w:rFonts w:ascii="Arial" w:hAnsi="Arial" w:cs="Arial"/>
        </w:rPr>
      </w:pPr>
      <w:r w:rsidRPr="003953CA">
        <w:rPr>
          <w:rFonts w:ascii="Arial" w:hAnsi="Arial" w:cs="Arial"/>
        </w:rPr>
        <w:t>A manera de ejemplo, en materia contractual, los literales c), d) y j) del numeral 1 del artículo 8 de la Ley 80 de 1993</w:t>
      </w:r>
      <w:r>
        <w:rPr>
          <w:rStyle w:val="Refdenotaalpie"/>
          <w:rFonts w:ascii="Arial" w:hAnsi="Arial" w:cs="Arial"/>
        </w:rPr>
        <w:footnoteReference w:id="9"/>
      </w:r>
      <w:r>
        <w:rPr>
          <w:rFonts w:ascii="Arial" w:hAnsi="Arial" w:cs="Arial"/>
        </w:rPr>
        <w:t xml:space="preserve"> </w:t>
      </w:r>
      <w:r w:rsidRPr="003953CA">
        <w:rPr>
          <w:rFonts w:ascii="Arial" w:hAnsi="Arial" w:cs="Arial"/>
        </w:rPr>
        <w:t xml:space="preserve">establecen inhabilidades-sanción, porque la prohibición para </w:t>
      </w:r>
      <w:r w:rsidRPr="003953CA">
        <w:rPr>
          <w:rFonts w:ascii="Arial" w:hAnsi="Arial" w:cs="Arial"/>
        </w:rPr>
        <w:lastRenderedPageBreak/>
        <w:t xml:space="preserve">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4" w:name="_Hlk40976328"/>
      <w:r w:rsidRPr="003953C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4"/>
    </w:p>
    <w:p w14:paraId="06A85CE6" w14:textId="77777777" w:rsidR="00C87232" w:rsidRDefault="00C87232" w:rsidP="00C87232">
      <w:pPr>
        <w:spacing w:after="120" w:line="276" w:lineRule="auto"/>
        <w:ind w:firstLine="708"/>
        <w:jc w:val="both"/>
        <w:rPr>
          <w:rFonts w:ascii="Arial" w:eastAsia="Calibri" w:hAnsi="Arial" w:cs="Arial"/>
          <w:lang w:val="es-ES_tradnl"/>
        </w:rPr>
      </w:pPr>
      <w:r w:rsidRPr="00D047C9">
        <w:rPr>
          <w:rFonts w:ascii="Arial" w:eastAsia="Calibri" w:hAnsi="Arial" w:cs="Arial"/>
          <w:i/>
          <w:iCs/>
          <w:lang w:val="es-ES_tradnl"/>
        </w:rPr>
        <w:t>Igualmente</w:t>
      </w:r>
      <w:r>
        <w:rPr>
          <w:rFonts w:ascii="Arial" w:eastAsia="Calibri" w:hAnsi="Arial" w:cs="Arial"/>
          <w:lang w:val="es-ES_tradnl"/>
        </w:rPr>
        <w:t xml:space="preserve">, </w:t>
      </w:r>
      <w:bookmarkStart w:id="5" w:name="_Hlk135133412"/>
      <w:r>
        <w:rPr>
          <w:rFonts w:ascii="Arial" w:eastAsia="Calibri" w:hAnsi="Arial" w:cs="Arial"/>
          <w:lang w:val="es-ES_tradnl"/>
        </w:rPr>
        <w:t>e</w:t>
      </w:r>
      <w:r w:rsidRPr="003953CA">
        <w:rPr>
          <w:rFonts w:ascii="Arial" w:eastAsia="Calibri" w:hAnsi="Arial" w:cs="Arial"/>
          <w:lang w:val="es-ES_tradnl"/>
        </w:rPr>
        <w:t xml:space="preserve">n la contratación estatal, la </w:t>
      </w:r>
      <w:r w:rsidRPr="003953CA">
        <w:rPr>
          <w:rFonts w:ascii="Arial" w:eastAsia="Calibri" w:hAnsi="Arial" w:cs="Arial"/>
          <w:i/>
          <w:iCs/>
          <w:lang w:val="es-ES_tradnl"/>
        </w:rPr>
        <w:t>capacidad</w:t>
      </w:r>
      <w:r w:rsidRPr="003953CA">
        <w:rPr>
          <w:rFonts w:ascii="Arial" w:eastAsia="Calibri" w:hAnsi="Arial" w:cs="Arial"/>
          <w:lang w:val="es-ES_tradnl"/>
        </w:rPr>
        <w:t xml:space="preserve"> también es un requisito de validez de los contratos, tanto en el régimen de las entidades sujetas al Estatuto General de Contratación </w:t>
      </w:r>
      <w:r w:rsidRPr="003953CA">
        <w:rPr>
          <w:rFonts w:ascii="Arial" w:eastAsia="Calibri" w:hAnsi="Arial" w:cs="Arial"/>
          <w:lang w:val="es-ES_tradnl"/>
        </w:rPr>
        <w:lastRenderedPageBreak/>
        <w:t>de la Administración Pública</w:t>
      </w:r>
      <w:r>
        <w:rPr>
          <w:rStyle w:val="Refdenotaalpie"/>
          <w:rFonts w:ascii="Arial" w:eastAsia="Calibri" w:hAnsi="Arial" w:cs="Arial"/>
          <w:lang w:val="es-ES_tradnl"/>
        </w:rPr>
        <w:footnoteReference w:id="10"/>
      </w:r>
      <w:r>
        <w:rPr>
          <w:rFonts w:ascii="Arial" w:eastAsia="Calibri" w:hAnsi="Arial" w:cs="Arial"/>
          <w:lang w:val="es-ES_tradnl"/>
        </w:rPr>
        <w:t xml:space="preserve"> </w:t>
      </w:r>
      <w:r w:rsidRPr="003953CA">
        <w:rPr>
          <w:rFonts w:ascii="Arial" w:eastAsia="Calibri" w:hAnsi="Arial" w:cs="Arial"/>
          <w:lang w:val="es-ES_tradnl"/>
        </w:rPr>
        <w:t>como en el de las entidades exceptuadas de aquel</w:t>
      </w:r>
      <w:r>
        <w:rPr>
          <w:rStyle w:val="Refdenotaalpie"/>
          <w:rFonts w:ascii="Arial" w:eastAsia="Calibri" w:hAnsi="Arial" w:cs="Arial"/>
          <w:lang w:val="es-ES_tradnl"/>
        </w:rPr>
        <w:footnoteReference w:id="11"/>
      </w:r>
      <w:r>
        <w:rPr>
          <w:rFonts w:ascii="Arial" w:eastAsia="Calibri" w:hAnsi="Arial" w:cs="Arial"/>
          <w:lang w:val="es-ES_tradnl"/>
        </w:rPr>
        <w:t xml:space="preserve">. </w:t>
      </w:r>
      <w:r w:rsidRPr="003953CA">
        <w:rPr>
          <w:rFonts w:ascii="Arial" w:eastAsia="Calibri" w:hAnsi="Arial" w:cs="Arial"/>
          <w:lang w:val="es-ES_tradnl"/>
        </w:rPr>
        <w:t>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Pr>
          <w:rStyle w:val="Refdenotaalpie"/>
          <w:rFonts w:ascii="Arial" w:eastAsia="Calibri" w:hAnsi="Arial" w:cs="Arial"/>
          <w:lang w:val="es-ES_tradnl"/>
        </w:rPr>
        <w:footnoteReference w:id="12"/>
      </w:r>
      <w:r w:rsidRPr="003953CA">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Pr>
          <w:rStyle w:val="Refdenotaalpie"/>
          <w:rFonts w:ascii="Arial" w:eastAsia="Calibri" w:hAnsi="Arial" w:cs="Arial"/>
          <w:lang w:val="es-ES_tradnl"/>
        </w:rPr>
        <w:footnoteReference w:id="13"/>
      </w:r>
      <w:r>
        <w:rPr>
          <w:rFonts w:ascii="Arial" w:eastAsia="Calibri" w:hAnsi="Arial" w:cs="Arial"/>
          <w:lang w:val="es-ES_tradnl"/>
        </w:rPr>
        <w:t>.</w:t>
      </w:r>
    </w:p>
    <w:p w14:paraId="0400934A" w14:textId="77777777" w:rsidR="00C87232" w:rsidRDefault="00C87232" w:rsidP="00C87232">
      <w:pPr>
        <w:spacing w:after="120" w:line="276" w:lineRule="auto"/>
        <w:ind w:firstLine="709"/>
        <w:jc w:val="both"/>
        <w:rPr>
          <w:rFonts w:ascii="Arial" w:eastAsia="Calibri" w:hAnsi="Arial" w:cs="Arial"/>
          <w:lang w:val="es-ES_tradnl"/>
        </w:rPr>
      </w:pPr>
      <w:r w:rsidRPr="003953C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Pr>
          <w:rStyle w:val="Refdenotaalpie"/>
          <w:rFonts w:ascii="Arial" w:eastAsia="Calibri" w:hAnsi="Arial" w:cs="Arial"/>
          <w:lang w:val="es-ES_tradnl"/>
        </w:rPr>
        <w:footnoteReference w:id="14"/>
      </w:r>
      <w:r>
        <w:rPr>
          <w:rFonts w:ascii="Arial" w:eastAsia="Calibri" w:hAnsi="Arial" w:cs="Arial"/>
          <w:lang w:val="es-ES_tradnl"/>
        </w:rPr>
        <w:t xml:space="preserve">, </w:t>
      </w:r>
      <w:r w:rsidRPr="003953CA">
        <w:rPr>
          <w:rFonts w:ascii="Arial" w:eastAsia="Calibri" w:hAnsi="Arial" w:cs="Arial"/>
          <w:lang w:val="es-ES_tradnl"/>
        </w:rPr>
        <w:t xml:space="preserve">ii) de vínculos personales relativos al parentesco o al </w:t>
      </w:r>
      <w:r w:rsidRPr="003953CA">
        <w:rPr>
          <w:rFonts w:ascii="Arial" w:eastAsia="Calibri" w:hAnsi="Arial" w:cs="Arial"/>
          <w:lang w:val="es-ES_tradnl"/>
        </w:rPr>
        <w:lastRenderedPageBreak/>
        <w:t>estado civil</w:t>
      </w:r>
      <w:r>
        <w:rPr>
          <w:rStyle w:val="Refdenotaalpie"/>
          <w:rFonts w:ascii="Arial" w:eastAsia="Calibri" w:hAnsi="Arial" w:cs="Arial"/>
          <w:lang w:val="es-ES_tradnl"/>
        </w:rPr>
        <w:footnoteReference w:id="15"/>
      </w:r>
      <w:r>
        <w:rPr>
          <w:rFonts w:ascii="Arial" w:eastAsia="Calibri" w:hAnsi="Arial" w:cs="Arial"/>
          <w:lang w:val="es-ES_tradnl"/>
        </w:rPr>
        <w:t xml:space="preserve"> </w:t>
      </w:r>
      <w:r w:rsidRPr="003953CA">
        <w:rPr>
          <w:rFonts w:ascii="Arial" w:eastAsia="Calibri" w:hAnsi="Arial" w:cs="Arial"/>
          <w:lang w:val="es-ES_tradnl"/>
        </w:rPr>
        <w:t>o iii) de una actividad u oficio que se desempeñó en el pasado</w:t>
      </w:r>
      <w:r>
        <w:rPr>
          <w:rStyle w:val="Refdenotaalpie"/>
          <w:rFonts w:ascii="Arial" w:eastAsia="Calibri" w:hAnsi="Arial" w:cs="Arial"/>
          <w:lang w:val="es-ES_tradnl"/>
        </w:rPr>
        <w:footnoteReference w:id="16"/>
      </w:r>
      <w:r>
        <w:rPr>
          <w:rFonts w:ascii="Arial" w:eastAsia="Calibri" w:hAnsi="Arial" w:cs="Arial"/>
          <w:lang w:val="es-ES_tradnl"/>
        </w:rPr>
        <w:t xml:space="preserve">. </w:t>
      </w:r>
      <w:r w:rsidRPr="003953CA">
        <w:rPr>
          <w:rFonts w:ascii="Arial" w:eastAsia="Calibri" w:hAnsi="Arial" w:cs="Arial"/>
          <w:lang w:val="es-ES_tradnl"/>
        </w:rPr>
        <w:t>De otro lado, las incompatibilidades</w:t>
      </w:r>
      <w:r>
        <w:rPr>
          <w:rFonts w:ascii="Arial" w:eastAsia="Calibri" w:hAnsi="Arial" w:cs="Arial"/>
          <w:lang w:val="es-ES_tradnl"/>
        </w:rPr>
        <w:t>, según un sector de la doctrina,</w:t>
      </w:r>
      <w:r w:rsidRPr="003953CA">
        <w:rPr>
          <w:rFonts w:ascii="Arial" w:eastAsia="Calibri" w:hAnsi="Arial" w:cs="Arial"/>
          <w:lang w:val="es-ES_tradnl"/>
        </w:rPr>
        <w:t xml:space="preserve"> son prohibiciones para participar en los procedimientos de selección y para celebrar contratos estatales, fundadas en la </w:t>
      </w:r>
      <w:r w:rsidRPr="00894487">
        <w:rPr>
          <w:rFonts w:ascii="Arial" w:eastAsia="Calibri" w:hAnsi="Arial" w:cs="Arial"/>
          <w:lang w:val="es-ES_tradnl"/>
        </w:rPr>
        <w:t>presencia de una calidad que ostenta el sujeto interesado en realizar alguna de dichas actividades, que no puede coexistir con su calidad de proponente o contratista del Estado</w:t>
      </w:r>
      <w:r w:rsidRPr="00894487">
        <w:rPr>
          <w:rStyle w:val="Refdenotaalpie"/>
          <w:rFonts w:ascii="Arial" w:eastAsia="Calibri" w:hAnsi="Arial" w:cs="Arial"/>
          <w:lang w:val="es-ES_tradnl"/>
        </w:rPr>
        <w:footnoteReference w:id="17"/>
      </w:r>
      <w:r w:rsidRPr="00894487">
        <w:rPr>
          <w:rFonts w:ascii="Arial" w:eastAsia="Calibri" w:hAnsi="Arial"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lang w:val="es-ES_tradnl"/>
        </w:rPr>
        <w:footnoteReference w:id="18"/>
      </w:r>
      <w:r>
        <w:rPr>
          <w:rFonts w:ascii="Arial" w:eastAsia="Calibri" w:hAnsi="Arial" w:cs="Arial"/>
          <w:lang w:val="es-ES_tradnl"/>
        </w:rPr>
        <w:t>.</w:t>
      </w:r>
    </w:p>
    <w:bookmarkEnd w:id="5"/>
    <w:p w14:paraId="251F260C" w14:textId="77777777" w:rsidR="00C87232" w:rsidRPr="003953CA" w:rsidRDefault="00C87232" w:rsidP="00C87232">
      <w:pPr>
        <w:spacing w:before="120" w:after="120" w:line="276" w:lineRule="auto"/>
        <w:ind w:firstLine="709"/>
        <w:jc w:val="both"/>
        <w:rPr>
          <w:rFonts w:ascii="Arial" w:eastAsia="Calibri" w:hAnsi="Arial" w:cs="Arial"/>
          <w:lang w:val="es-ES_tradnl"/>
        </w:rPr>
      </w:pPr>
      <w:r>
        <w:rPr>
          <w:rFonts w:ascii="Arial" w:eastAsia="Calibri" w:hAnsi="Arial" w:cs="Arial"/>
          <w:lang w:val="es-ES_tradnl"/>
        </w:rPr>
        <w:t>De otro lado, e</w:t>
      </w:r>
      <w:r w:rsidRPr="003953CA">
        <w:rPr>
          <w:rFonts w:ascii="Arial" w:eastAsia="Calibri" w:hAnsi="Arial" w:cs="Arial"/>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lang w:val="es-ES_tradnl"/>
        </w:rPr>
        <w:t>, obras y</w:t>
      </w:r>
      <w:r w:rsidRPr="003953CA">
        <w:rPr>
          <w:rFonts w:ascii="Arial" w:eastAsia="Calibri" w:hAnsi="Arial" w:cs="Arial"/>
          <w:lang w:val="es-ES_tradnl"/>
        </w:rPr>
        <w:t xml:space="preserve"> servicios por parte de las entidades estatales se efectúe cumpliendo con los principios de la función administrativa y de la gestión fiscal, especialmente con probidad y transparencia. Por ello, </w:t>
      </w:r>
      <w:r w:rsidRPr="003953CA">
        <w:rPr>
          <w:rFonts w:ascii="Arial" w:eastAsia="Calibri" w:hAnsi="Arial" w:cs="Arial"/>
          <w:lang w:val="es-ES_tradnl"/>
        </w:rPr>
        <w:lastRenderedPageBreak/>
        <w:t xml:space="preserve">como destaca la doctrina, las inhabilidades e incompatibilidades son herramientas en la lucha contra la corrupción, adoptando paulatinamente una naturaleza sancionatoria o </w:t>
      </w:r>
      <w:r>
        <w:rPr>
          <w:rFonts w:ascii="Arial" w:eastAsia="Calibri" w:hAnsi="Arial" w:cs="Arial"/>
          <w:lang w:val="es-ES_tradnl"/>
        </w:rPr>
        <w:t>“</w:t>
      </w:r>
      <w:proofErr w:type="spellStart"/>
      <w:r w:rsidRPr="003953CA">
        <w:rPr>
          <w:rFonts w:ascii="Arial" w:eastAsia="Calibri" w:hAnsi="Arial" w:cs="Arial"/>
          <w:lang w:val="es-ES_tradnl"/>
        </w:rPr>
        <w:t>neopunitiv</w:t>
      </w:r>
      <w:r>
        <w:rPr>
          <w:rFonts w:ascii="Arial" w:eastAsia="Calibri" w:hAnsi="Arial" w:cs="Arial"/>
          <w:lang w:val="es-ES_tradnl"/>
        </w:rPr>
        <w:t>a</w:t>
      </w:r>
      <w:proofErr w:type="spellEnd"/>
      <w:r>
        <w:rPr>
          <w:rFonts w:ascii="Arial" w:eastAsia="Calibri" w:hAnsi="Arial" w:cs="Arial"/>
          <w:lang w:val="es-ES_tradnl"/>
        </w:rPr>
        <w:t>”</w:t>
      </w:r>
      <w:r>
        <w:rPr>
          <w:rStyle w:val="Refdenotaalpie"/>
          <w:rFonts w:ascii="Arial" w:eastAsia="Calibri" w:hAnsi="Arial" w:cs="Arial"/>
          <w:lang w:val="es-ES_tradnl"/>
        </w:rPr>
        <w:footnoteReference w:id="19"/>
      </w:r>
      <w:r>
        <w:rPr>
          <w:rFonts w:ascii="Arial" w:eastAsia="Calibri" w:hAnsi="Arial" w:cs="Arial"/>
          <w:lang w:val="es-ES_tradnl"/>
        </w:rPr>
        <w:t xml:space="preserve">. </w:t>
      </w:r>
      <w:r w:rsidRPr="003953CA">
        <w:rPr>
          <w:rFonts w:ascii="Arial" w:eastAsia="Calibri" w:hAnsi="Arial" w:cs="Arial"/>
          <w:lang w:val="es-ES_tradnl"/>
        </w:rPr>
        <w:t>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7035B9F" w14:textId="77777777" w:rsidR="00C87232" w:rsidRPr="003953CA" w:rsidRDefault="00C87232" w:rsidP="00C87232">
      <w:pPr>
        <w:spacing w:before="120" w:after="120" w:line="276" w:lineRule="auto"/>
        <w:ind w:firstLine="709"/>
        <w:jc w:val="both"/>
        <w:rPr>
          <w:rFonts w:ascii="Arial" w:eastAsia="Calibri" w:hAnsi="Arial" w:cs="Arial"/>
          <w:lang w:val="es-ES_tradnl"/>
        </w:rPr>
      </w:pPr>
      <w:r w:rsidRPr="003953CA">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w:t>
      </w:r>
      <w:r>
        <w:rPr>
          <w:rFonts w:ascii="Arial" w:eastAsia="Calibri" w:hAnsi="Arial" w:cs="Arial"/>
          <w:lang w:val="es-ES_tradnl"/>
        </w:rPr>
        <w:t xml:space="preserve">o la Constitución </w:t>
      </w:r>
      <w:r w:rsidRPr="003953CA">
        <w:rPr>
          <w:rFonts w:ascii="Arial" w:eastAsia="Calibri" w:hAnsi="Arial" w:cs="Arial"/>
          <w:lang w:val="es-ES_tradnl"/>
        </w:rPr>
        <w:t xml:space="preserve">–o sea, deben satisfacer el principio de legalidad– y su interpretación debe ser </w:t>
      </w:r>
      <w:r w:rsidRPr="003953CA">
        <w:rPr>
          <w:rFonts w:ascii="Arial" w:eastAsia="Calibri" w:hAnsi="Arial" w:cs="Arial"/>
          <w:i/>
          <w:iCs/>
          <w:lang w:val="es-ES_tradnl"/>
        </w:rPr>
        <w:t>restrictiva</w:t>
      </w:r>
      <w:r>
        <w:rPr>
          <w:rStyle w:val="Refdenotaalpie"/>
          <w:rFonts w:ascii="Arial" w:eastAsia="Calibri" w:hAnsi="Arial" w:cs="Arial"/>
          <w:i/>
          <w:iCs/>
          <w:lang w:val="es-ES_tradnl"/>
        </w:rPr>
        <w:footnoteReference w:id="20"/>
      </w:r>
      <w:r>
        <w:rPr>
          <w:rFonts w:ascii="Arial" w:eastAsia="Calibri" w:hAnsi="Arial" w:cs="Arial"/>
          <w:i/>
          <w:iCs/>
          <w:lang w:val="es-ES_tradnl"/>
        </w:rPr>
        <w:t xml:space="preserve">, </w:t>
      </w:r>
      <w:r w:rsidRPr="003953CA">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lang w:val="es-ES_tradnl"/>
        </w:rPr>
        <w:t xml:space="preserve">la seguridad jurídica, </w:t>
      </w:r>
      <w:r w:rsidRPr="003953CA">
        <w:rPr>
          <w:rFonts w:ascii="Arial" w:eastAsia="Calibri" w:hAnsi="Arial" w:cs="Arial"/>
          <w:lang w:val="es-ES_tradnl"/>
        </w:rPr>
        <w:t xml:space="preserve">la libre concurrencia y el ejercicio de la profesión u oficio. Tal ha sido la postura al interior de la jurisprudencia, tanto de la Corte Constitucional como de la Sección Tercera del Consejo de Estado. </w:t>
      </w:r>
    </w:p>
    <w:p w14:paraId="16DEC49F" w14:textId="77777777" w:rsidR="00C87232" w:rsidRPr="003953CA" w:rsidRDefault="00C87232" w:rsidP="00C87232">
      <w:pPr>
        <w:spacing w:after="0" w:line="276" w:lineRule="auto"/>
        <w:ind w:firstLine="709"/>
        <w:jc w:val="both"/>
        <w:rPr>
          <w:rFonts w:ascii="Arial" w:eastAsia="Calibri" w:hAnsi="Arial" w:cs="Arial"/>
          <w:lang w:val="es-ES_tradnl"/>
        </w:rPr>
      </w:pPr>
      <w:r w:rsidRPr="003953CA">
        <w:rPr>
          <w:rFonts w:ascii="Arial" w:eastAsia="Calibri" w:hAnsi="Arial" w:cs="Arial"/>
          <w:lang w:val="es-ES_tradnl"/>
        </w:rPr>
        <w:t>En efecto, el máximo tribunal constitucional ha indicado</w:t>
      </w:r>
      <w:r>
        <w:rPr>
          <w:rFonts w:ascii="Arial" w:eastAsia="Calibri" w:hAnsi="Arial" w:cs="Arial"/>
          <w:lang w:val="es-ES_tradnl"/>
        </w:rPr>
        <w:t>,</w:t>
      </w:r>
      <w:r w:rsidRPr="003953CA">
        <w:rPr>
          <w:rFonts w:ascii="Arial" w:eastAsia="Calibri" w:hAnsi="Arial" w:cs="Arial"/>
          <w:lang w:val="es-ES_tradnl"/>
        </w:rPr>
        <w:t xml:space="preserve"> al tratar de precisar el sentido de este tipo de normas, </w:t>
      </w:r>
      <w:r>
        <w:rPr>
          <w:rFonts w:ascii="Arial" w:eastAsia="Calibri" w:hAnsi="Arial" w:cs="Arial"/>
          <w:lang w:val="es-ES_tradnl"/>
        </w:rPr>
        <w:t>que “</w:t>
      </w:r>
      <w:r w:rsidRPr="003953CA">
        <w:rPr>
          <w:rFonts w:ascii="Arial" w:eastAsia="Calibri" w:hAnsi="Arial" w:cs="Arial"/>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eastAsia="Calibri" w:hAnsi="Arial" w:cs="Arial"/>
          <w:lang w:val="es-ES_tradnl"/>
        </w:rPr>
        <w:t>”</w:t>
      </w:r>
      <w:r>
        <w:rPr>
          <w:rStyle w:val="Refdenotaalpie"/>
          <w:rFonts w:ascii="Arial" w:eastAsia="Calibri" w:hAnsi="Arial" w:cs="Arial"/>
          <w:lang w:val="es-ES_tradnl"/>
        </w:rPr>
        <w:footnoteReference w:id="21"/>
      </w:r>
      <w:r>
        <w:rPr>
          <w:rFonts w:ascii="Arial" w:eastAsia="Calibri" w:hAnsi="Arial" w:cs="Arial"/>
          <w:lang w:val="es-ES_tradnl"/>
        </w:rPr>
        <w:t xml:space="preserve">. </w:t>
      </w:r>
      <w:r w:rsidRPr="003953CA">
        <w:rPr>
          <w:rFonts w:ascii="Arial" w:eastAsia="Calibri" w:hAnsi="Arial" w:cs="Arial"/>
          <w:lang w:val="es-ES_tradnl"/>
        </w:rPr>
        <w:t xml:space="preserve">Por su parte, el Consejo de Estado ha acogido también este criterio, considerando –como expresa la Sala de Consulta y Servicio Civil–, que </w:t>
      </w:r>
      <w:r>
        <w:rPr>
          <w:rFonts w:ascii="Arial" w:eastAsia="Calibri" w:hAnsi="Arial" w:cs="Arial"/>
          <w:lang w:val="es-ES_tradnl"/>
        </w:rPr>
        <w:t>“</w:t>
      </w:r>
      <w:r w:rsidRPr="003953CA">
        <w:rPr>
          <w:rFonts w:ascii="Arial" w:eastAsia="Calibri" w:hAnsi="Arial" w:cs="Arial"/>
          <w:lang w:val="es-ES_tradnl"/>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Calibri" w:hAnsi="Arial" w:cs="Arial"/>
          <w:lang w:val="es-ES_tradnl"/>
        </w:rPr>
        <w:t>”</w:t>
      </w:r>
      <w:r>
        <w:rPr>
          <w:rStyle w:val="Refdenotaalpie"/>
          <w:rFonts w:ascii="Arial" w:eastAsia="Calibri" w:hAnsi="Arial" w:cs="Arial"/>
          <w:lang w:val="es-ES_tradnl"/>
        </w:rPr>
        <w:footnoteReference w:id="22"/>
      </w:r>
      <w:r>
        <w:rPr>
          <w:rFonts w:ascii="Arial" w:eastAsia="Calibri" w:hAnsi="Arial" w:cs="Arial"/>
          <w:lang w:val="es-ES_tradnl"/>
        </w:rPr>
        <w:t xml:space="preserve">. </w:t>
      </w:r>
      <w:r w:rsidRPr="003953CA">
        <w:rPr>
          <w:rFonts w:ascii="Arial" w:eastAsia="Calibri" w:hAnsi="Arial" w:cs="Arial"/>
          <w:lang w:val="es-ES_tradnl"/>
        </w:rPr>
        <w:t>En tal sentido, la Sección Tercera ha señalado que:</w:t>
      </w:r>
    </w:p>
    <w:p w14:paraId="7B29C3C7" w14:textId="77777777" w:rsidR="00C87232" w:rsidRPr="003953CA" w:rsidRDefault="00C87232" w:rsidP="00C87232">
      <w:pPr>
        <w:spacing w:after="0"/>
        <w:ind w:firstLine="709"/>
        <w:jc w:val="both"/>
        <w:rPr>
          <w:rFonts w:ascii="Arial" w:eastAsia="Calibri" w:hAnsi="Arial" w:cs="Arial"/>
          <w:lang w:val="es-ES_tradnl"/>
        </w:rPr>
      </w:pPr>
    </w:p>
    <w:p w14:paraId="0C489618" w14:textId="469AA593" w:rsidR="00C87232" w:rsidRDefault="00700FFF" w:rsidP="00C87232">
      <w:pPr>
        <w:spacing w:after="0" w:line="240" w:lineRule="auto"/>
        <w:ind w:left="709" w:right="709"/>
        <w:jc w:val="both"/>
        <w:rPr>
          <w:rFonts w:ascii="Arial" w:eastAsia="Calibri" w:hAnsi="Arial" w:cs="Arial"/>
          <w:lang w:val="es-ES_tradnl"/>
        </w:rPr>
      </w:pPr>
      <w:r>
        <w:rPr>
          <w:rFonts w:ascii="Arial" w:hAnsi="Arial" w:cs="Arial"/>
          <w:sz w:val="21"/>
          <w:szCs w:val="21"/>
          <w:lang w:val="es-ES_tradnl"/>
        </w:rPr>
        <w:t>“</w:t>
      </w:r>
      <w:r w:rsidR="00C87232" w:rsidRPr="003953C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Fonts w:ascii="Arial" w:hAnsi="Arial" w:cs="Arial"/>
          <w:sz w:val="21"/>
          <w:szCs w:val="21"/>
          <w:lang w:val="es-ES_tradnl"/>
        </w:rPr>
        <w:t>”</w:t>
      </w:r>
      <w:r w:rsidR="00C87232">
        <w:rPr>
          <w:rStyle w:val="Refdenotaalpie"/>
          <w:rFonts w:ascii="Arial" w:hAnsi="Arial" w:cs="Arial"/>
          <w:sz w:val="21"/>
          <w:szCs w:val="21"/>
          <w:lang w:val="es-ES_tradnl"/>
        </w:rPr>
        <w:footnoteReference w:id="23"/>
      </w:r>
      <w:r w:rsidR="00C87232">
        <w:rPr>
          <w:rFonts w:ascii="Arial" w:hAnsi="Arial" w:cs="Arial"/>
          <w:sz w:val="21"/>
          <w:szCs w:val="21"/>
          <w:lang w:val="es-ES_tradnl"/>
        </w:rPr>
        <w:t>.</w:t>
      </w:r>
    </w:p>
    <w:p w14:paraId="57B2C04E" w14:textId="77777777" w:rsidR="00C87232" w:rsidRDefault="00C87232" w:rsidP="00C87232">
      <w:pPr>
        <w:spacing w:after="0" w:line="276" w:lineRule="auto"/>
        <w:ind w:firstLine="709"/>
        <w:jc w:val="both"/>
        <w:rPr>
          <w:rFonts w:ascii="Arial" w:eastAsia="Calibri" w:hAnsi="Arial" w:cs="Arial"/>
          <w:lang w:val="es-ES_tradnl"/>
        </w:rPr>
      </w:pPr>
    </w:p>
    <w:p w14:paraId="7F8842E7" w14:textId="77777777" w:rsidR="00C87232" w:rsidRDefault="00C87232" w:rsidP="00C87232">
      <w:pPr>
        <w:ind w:firstLine="709"/>
        <w:jc w:val="both"/>
        <w:rPr>
          <w:rFonts w:ascii="Arial" w:eastAsia="Calibri" w:hAnsi="Arial" w:cs="Arial"/>
          <w:lang w:val="es-ES_tradnl"/>
        </w:rPr>
      </w:pPr>
      <w:r w:rsidRPr="003953CA">
        <w:rPr>
          <w:rFonts w:ascii="Arial" w:eastAsia="Calibri" w:hAnsi="Arial" w:cs="Arial"/>
          <w:lang w:val="es-ES_tradnl"/>
        </w:rPr>
        <w:t>También ha dicho que:</w:t>
      </w:r>
    </w:p>
    <w:p w14:paraId="297B9E91" w14:textId="7336FCAF" w:rsidR="00C87232" w:rsidRDefault="00700FFF" w:rsidP="00C87232">
      <w:pPr>
        <w:spacing w:after="0" w:line="240" w:lineRule="auto"/>
        <w:ind w:left="709" w:right="616"/>
        <w:jc w:val="both"/>
        <w:rPr>
          <w:rFonts w:ascii="Arial" w:hAnsi="Arial" w:cs="Arial"/>
          <w:sz w:val="21"/>
          <w:szCs w:val="21"/>
          <w:lang w:val="es-ES_tradnl"/>
        </w:rPr>
      </w:pPr>
      <w:r>
        <w:rPr>
          <w:rFonts w:ascii="Arial" w:hAnsi="Arial" w:cs="Arial"/>
          <w:sz w:val="21"/>
          <w:szCs w:val="21"/>
          <w:lang w:val="es-ES_tradnl"/>
        </w:rPr>
        <w:t>“</w:t>
      </w:r>
      <w:r w:rsidR="00C87232" w:rsidRPr="003953CA">
        <w:rPr>
          <w:rFonts w:ascii="Arial" w:hAnsi="Arial" w:cs="Arial"/>
          <w:sz w:val="21"/>
          <w:szCs w:val="21"/>
          <w:lang w:val="es-ES_tradnl"/>
        </w:rPr>
        <w:t xml:space="preserve">[…] la aplicación de estos preceptos exige una interpretación restrictiva, dado que según el principio hermenéutico </w:t>
      </w:r>
      <w:r w:rsidR="00C87232" w:rsidRPr="003953CA">
        <w:rPr>
          <w:rFonts w:ascii="Arial" w:hAnsi="Arial" w:cs="Arial"/>
          <w:i/>
          <w:iCs/>
          <w:sz w:val="21"/>
          <w:szCs w:val="21"/>
          <w:lang w:val="es-ES_tradnl"/>
        </w:rPr>
        <w:t xml:space="preserve">pro </w:t>
      </w:r>
      <w:proofErr w:type="spellStart"/>
      <w:r w:rsidR="00C87232" w:rsidRPr="003953CA">
        <w:rPr>
          <w:rFonts w:ascii="Arial" w:hAnsi="Arial" w:cs="Arial"/>
          <w:i/>
          <w:iCs/>
          <w:sz w:val="21"/>
          <w:szCs w:val="21"/>
          <w:lang w:val="es-ES_tradnl"/>
        </w:rPr>
        <w:t>libertate</w:t>
      </w:r>
      <w:proofErr w:type="spellEnd"/>
      <w:r w:rsidR="00C87232" w:rsidRPr="003953CA">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Pr>
          <w:rFonts w:ascii="Arial" w:hAnsi="Arial" w:cs="Arial"/>
          <w:sz w:val="21"/>
          <w:szCs w:val="21"/>
          <w:lang w:val="es-ES_tradnl"/>
        </w:rPr>
        <w:t>”</w:t>
      </w:r>
      <w:r w:rsidR="00C87232">
        <w:rPr>
          <w:rStyle w:val="Refdenotaalpie"/>
          <w:rFonts w:ascii="Arial" w:hAnsi="Arial" w:cs="Arial"/>
          <w:sz w:val="21"/>
          <w:szCs w:val="21"/>
          <w:lang w:val="es-ES_tradnl"/>
        </w:rPr>
        <w:footnoteReference w:id="24"/>
      </w:r>
      <w:r w:rsidR="00C87232">
        <w:rPr>
          <w:rFonts w:ascii="Arial" w:hAnsi="Arial" w:cs="Arial"/>
          <w:sz w:val="21"/>
          <w:szCs w:val="21"/>
          <w:lang w:val="es-ES_tradnl"/>
        </w:rPr>
        <w:t>.</w:t>
      </w:r>
    </w:p>
    <w:p w14:paraId="067EE3E4" w14:textId="77777777" w:rsidR="00C87232" w:rsidRDefault="00C87232" w:rsidP="00C87232">
      <w:pPr>
        <w:spacing w:after="0"/>
        <w:ind w:firstLine="708"/>
        <w:jc w:val="both"/>
        <w:rPr>
          <w:rFonts w:ascii="Arial" w:eastAsia="Arial" w:hAnsi="Arial" w:cs="Arial"/>
          <w:color w:val="000000"/>
          <w:lang w:val="es-ES_tradnl"/>
        </w:rPr>
      </w:pPr>
    </w:p>
    <w:p w14:paraId="4CF952AE" w14:textId="21AE394B" w:rsidR="00C87232" w:rsidRDefault="00C87232" w:rsidP="004F504B">
      <w:pPr>
        <w:spacing w:after="0" w:line="276" w:lineRule="auto"/>
        <w:ind w:firstLine="708"/>
        <w:jc w:val="both"/>
        <w:rPr>
          <w:rFonts w:ascii="Arial" w:hAnsi="Arial" w:cs="Arial"/>
          <w:color w:val="000000" w:themeColor="text1"/>
        </w:rPr>
      </w:pPr>
      <w:r>
        <w:rPr>
          <w:rFonts w:ascii="Arial" w:eastAsia="Arial" w:hAnsi="Arial" w:cs="Arial"/>
          <w:color w:val="000000"/>
          <w:lang w:val="es-ES_tradnl"/>
        </w:rPr>
        <w:t xml:space="preserve">Como se aprecia, el principio </w:t>
      </w:r>
      <w:r>
        <w:rPr>
          <w:rFonts w:ascii="Arial" w:eastAsia="Arial" w:hAnsi="Arial" w:cs="Arial"/>
          <w:i/>
          <w:iCs/>
          <w:color w:val="000000"/>
          <w:lang w:val="es-ES_tradnl"/>
        </w:rPr>
        <w:t xml:space="preserve">pro </w:t>
      </w:r>
      <w:proofErr w:type="spellStart"/>
      <w:r>
        <w:rPr>
          <w:rFonts w:ascii="Arial" w:eastAsia="Arial" w:hAnsi="Arial" w:cs="Arial"/>
          <w:i/>
          <w:iCs/>
          <w:color w:val="000000"/>
          <w:lang w:val="es-ES_tradnl"/>
        </w:rPr>
        <w:t>libertate</w:t>
      </w:r>
      <w:proofErr w:type="spellEnd"/>
      <w:r>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w:t>
      </w:r>
      <w:r w:rsidRPr="009A0FE0">
        <w:rPr>
          <w:rFonts w:ascii="Arial" w:hAnsi="Arial" w:cs="Arial"/>
          <w:color w:val="000000" w:themeColor="text1"/>
        </w:rPr>
        <w:t>Congreso de la República, conforme al artículo 150 de la Constitución Política, y que en esta materia rige el principio de legalidad</w:t>
      </w:r>
      <w:r w:rsidRPr="009A0FE0">
        <w:rPr>
          <w:rStyle w:val="Refdenotaalpie"/>
          <w:rFonts w:ascii="Arial" w:hAnsi="Arial" w:cs="Arial"/>
          <w:color w:val="000000" w:themeColor="text1"/>
        </w:rPr>
        <w:footnoteReference w:id="25"/>
      </w:r>
      <w:r w:rsidR="004F504B">
        <w:rPr>
          <w:rFonts w:ascii="Arial" w:hAnsi="Arial" w:cs="Arial"/>
          <w:color w:val="000000" w:themeColor="text1"/>
        </w:rPr>
        <w:t>.</w:t>
      </w:r>
    </w:p>
    <w:p w14:paraId="75387D8F" w14:textId="77777777" w:rsidR="004F504B" w:rsidRDefault="004F504B" w:rsidP="00660381">
      <w:pPr>
        <w:spacing w:after="0" w:line="276" w:lineRule="auto"/>
        <w:ind w:firstLine="708"/>
        <w:jc w:val="both"/>
        <w:rPr>
          <w:rFonts w:ascii="Arial" w:hAnsi="Arial" w:cs="Arial"/>
          <w:color w:val="000000" w:themeColor="text1"/>
        </w:rPr>
      </w:pPr>
    </w:p>
    <w:p w14:paraId="629BAA6D" w14:textId="4551E2BF" w:rsidR="004F504B" w:rsidRPr="00660381" w:rsidRDefault="004F504B" w:rsidP="00660381">
      <w:pPr>
        <w:spacing w:after="0" w:line="276" w:lineRule="auto"/>
        <w:jc w:val="both"/>
        <w:rPr>
          <w:rFonts w:ascii="Arial" w:hAnsi="Arial" w:cs="Arial"/>
          <w:b/>
          <w:bCs/>
          <w:color w:val="000000" w:themeColor="text1"/>
        </w:rPr>
      </w:pPr>
      <w:r w:rsidRPr="00660381">
        <w:rPr>
          <w:rFonts w:ascii="Arial" w:hAnsi="Arial" w:cs="Arial"/>
          <w:b/>
          <w:bCs/>
          <w:color w:val="000000" w:themeColor="text1"/>
        </w:rPr>
        <w:t>2.2. Límites de la capacidad contractual en relación con la reserva de ley y la interpretación restrictiva de estas disposiciones</w:t>
      </w:r>
    </w:p>
    <w:p w14:paraId="14222F2D" w14:textId="77777777" w:rsidR="004F504B" w:rsidRDefault="004F504B" w:rsidP="00660381">
      <w:pPr>
        <w:spacing w:after="0" w:line="276" w:lineRule="auto"/>
        <w:jc w:val="both"/>
        <w:rPr>
          <w:rFonts w:ascii="Arial" w:hAnsi="Arial" w:cs="Arial"/>
          <w:shd w:val="clear" w:color="auto" w:fill="FFFFFF"/>
        </w:rPr>
      </w:pPr>
    </w:p>
    <w:p w14:paraId="40BA5741" w14:textId="799AF7AA" w:rsidR="0053346A" w:rsidRDefault="00C87232" w:rsidP="00660381">
      <w:pPr>
        <w:spacing w:after="120" w:line="276" w:lineRule="auto"/>
        <w:jc w:val="both"/>
        <w:rPr>
          <w:rFonts w:ascii="Arial" w:hAnsi="Arial" w:cs="Arial"/>
          <w:color w:val="000000"/>
          <w:shd w:val="clear" w:color="auto" w:fill="FFFFFF"/>
        </w:rPr>
      </w:pPr>
      <w:r w:rsidRPr="009A0FE0">
        <w:rPr>
          <w:rFonts w:ascii="Arial" w:hAnsi="Arial" w:cs="Arial"/>
          <w:shd w:val="clear" w:color="auto" w:fill="FFFFFF"/>
        </w:rPr>
        <w:t xml:space="preserve">En este sentido, retomando una idea </w:t>
      </w:r>
      <w:r w:rsidRPr="00BA5819">
        <w:rPr>
          <w:rFonts w:ascii="Arial" w:hAnsi="Arial" w:cs="Arial"/>
          <w:shd w:val="clear" w:color="auto" w:fill="FFFFFF"/>
        </w:rPr>
        <w:t xml:space="preserve">esbozada con anterioridad, </w:t>
      </w:r>
      <w:bookmarkStart w:id="6" w:name="_Hlk135133523"/>
      <w:r w:rsidRPr="00BA5819">
        <w:rPr>
          <w:rFonts w:ascii="Arial" w:hAnsi="Arial" w:cs="Arial"/>
          <w:shd w:val="clear" w:color="auto" w:fill="FFFFFF"/>
        </w:rPr>
        <w:t xml:space="preserve">la doctrina y la jurisprudencia son pacíficas en considerar que la creación de inhabilidades e incompatibilidades es un asunto con reserva de ley, en tanto, </w:t>
      </w:r>
      <w:r>
        <w:rPr>
          <w:rFonts w:ascii="Arial" w:hAnsi="Arial" w:cs="Arial"/>
          <w:shd w:val="clear" w:color="auto" w:fill="FFFFFF"/>
        </w:rPr>
        <w:t>“</w:t>
      </w:r>
      <w:r w:rsidRPr="00BA5819">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Pr>
          <w:rFonts w:ascii="Arial" w:hAnsi="Arial" w:cs="Arial"/>
          <w:shd w:val="clear" w:color="auto" w:fill="FFFFFF"/>
        </w:rPr>
        <w:t>”</w:t>
      </w:r>
      <w:r w:rsidRPr="00BA5819">
        <w:rPr>
          <w:rStyle w:val="Refdenotaalpie"/>
          <w:rFonts w:ascii="Arial" w:hAnsi="Arial" w:cs="Arial"/>
          <w:shd w:val="clear" w:color="auto" w:fill="FFFFFF"/>
        </w:rPr>
        <w:footnoteReference w:id="26"/>
      </w:r>
      <w:r w:rsidRPr="00BA5819">
        <w:rPr>
          <w:rFonts w:ascii="Arial" w:hAnsi="Arial" w:cs="Arial"/>
          <w:shd w:val="clear" w:color="auto" w:fill="FFFFFF"/>
        </w:rPr>
        <w:t xml:space="preserve"> En similar sentido, la Sala de Consulta y Servicio Civil del Consejo de Estado expresó </w:t>
      </w:r>
      <w:r w:rsidRPr="00BA5819">
        <w:rPr>
          <w:rFonts w:ascii="Arial" w:hAnsi="Arial" w:cs="Arial"/>
          <w:color w:val="000000"/>
          <w:shd w:val="clear" w:color="auto" w:fill="FFFFFF"/>
        </w:rPr>
        <w:t xml:space="preserve">que </w:t>
      </w:r>
      <w:r>
        <w:rPr>
          <w:rFonts w:ascii="Arial" w:hAnsi="Arial" w:cs="Arial"/>
          <w:color w:val="000000"/>
          <w:shd w:val="clear" w:color="auto" w:fill="FFFFFF"/>
        </w:rPr>
        <w:t>“</w:t>
      </w:r>
      <w:r w:rsidRPr="00BA5819">
        <w:rPr>
          <w:rFonts w:ascii="Arial" w:hAnsi="Arial" w:cs="Arial"/>
          <w:color w:val="000000"/>
          <w:shd w:val="clear" w:color="auto" w:fill="FFFFFF"/>
        </w:rPr>
        <w:t>[…] las causales de inhabilidad e incompatibilidad deben estar expresa y taxativamente establecidas en la Constitución o en la ley y son de aplicación e interpretación restrictivas […]</w:t>
      </w:r>
      <w:r>
        <w:rPr>
          <w:rFonts w:ascii="Arial" w:hAnsi="Arial" w:cs="Arial"/>
          <w:color w:val="000000"/>
          <w:shd w:val="clear" w:color="auto" w:fill="FFFFFF"/>
        </w:rPr>
        <w:t>”</w:t>
      </w:r>
      <w:r>
        <w:rPr>
          <w:rStyle w:val="Refdenotaalpie"/>
          <w:rFonts w:ascii="Arial" w:hAnsi="Arial" w:cs="Arial"/>
          <w:color w:val="000000"/>
          <w:shd w:val="clear" w:color="auto" w:fill="FFFFFF"/>
        </w:rPr>
        <w:footnoteReference w:id="27"/>
      </w:r>
      <w:r>
        <w:rPr>
          <w:rFonts w:ascii="Arial" w:hAnsi="Arial" w:cs="Arial"/>
          <w:color w:val="000000"/>
          <w:shd w:val="clear" w:color="auto" w:fill="FFFFFF"/>
        </w:rPr>
        <w:t xml:space="preserve">. </w:t>
      </w:r>
      <w:r w:rsidRPr="0086722E">
        <w:rPr>
          <w:rFonts w:ascii="Arial" w:hAnsi="Arial" w:cs="Arial"/>
          <w:color w:val="000000"/>
          <w:shd w:val="clear" w:color="auto" w:fill="FFFFFF"/>
        </w:rPr>
        <w:t>En este sentido, como se observa, existe consenso</w:t>
      </w:r>
      <w:r>
        <w:rPr>
          <w:rFonts w:ascii="Arial" w:hAnsi="Arial" w:cs="Arial"/>
          <w:color w:val="000000"/>
          <w:shd w:val="clear" w:color="auto" w:fill="FFFFFF"/>
        </w:rPr>
        <w:t xml:space="preserve">, </w:t>
      </w:r>
      <w:r>
        <w:rPr>
          <w:rFonts w:ascii="Arial" w:hAnsi="Arial" w:cs="Arial"/>
          <w:color w:val="000000"/>
          <w:shd w:val="clear" w:color="auto" w:fill="FFFFFF"/>
        </w:rPr>
        <w:lastRenderedPageBreak/>
        <w:t xml:space="preserve">incluso como lo ha expresado esta Agencia en ocasiones anteriores, que la creación de inhabilidades o incompatibilidades está reservada al constituyente o al legislador. </w:t>
      </w:r>
    </w:p>
    <w:bookmarkEnd w:id="6"/>
    <w:p w14:paraId="7124A2F1" w14:textId="5E181727" w:rsidR="00C87232" w:rsidRDefault="00C87232" w:rsidP="00C87232">
      <w:pPr>
        <w:tabs>
          <w:tab w:val="left" w:pos="0"/>
        </w:tabs>
        <w:spacing w:after="120" w:line="276" w:lineRule="auto"/>
        <w:jc w:val="both"/>
        <w:rPr>
          <w:rFonts w:ascii="Arial" w:eastAsia="Calibri" w:hAnsi="Arial" w:cs="Arial"/>
          <w:bCs/>
          <w:color w:val="000000" w:themeColor="text1"/>
        </w:rPr>
      </w:pPr>
      <w:r>
        <w:rPr>
          <w:rFonts w:ascii="Arial" w:hAnsi="Arial" w:cs="Arial"/>
          <w:i/>
          <w:iCs/>
          <w:color w:val="000000"/>
          <w:shd w:val="clear" w:color="auto" w:fill="FFFFFF"/>
        </w:rPr>
        <w:tab/>
      </w:r>
      <w:r w:rsidRPr="00660381">
        <w:rPr>
          <w:rFonts w:ascii="Arial" w:hAnsi="Arial" w:cs="Arial"/>
          <w:color w:val="000000"/>
          <w:shd w:val="clear" w:color="auto" w:fill="FFFFFF"/>
        </w:rPr>
        <w:t>Respecto al objeto de la consulta</w:t>
      </w:r>
      <w:r w:rsidRPr="00092DA3">
        <w:rPr>
          <w:rFonts w:ascii="Arial" w:hAnsi="Arial" w:cs="Arial"/>
          <w:color w:val="000000"/>
          <w:shd w:val="clear" w:color="auto" w:fill="FFFFFF"/>
        </w:rPr>
        <w:t>,</w:t>
      </w:r>
      <w:r>
        <w:rPr>
          <w:rFonts w:ascii="Arial" w:hAnsi="Arial" w:cs="Arial"/>
          <w:color w:val="000000"/>
          <w:shd w:val="clear" w:color="auto" w:fill="FFFFFF"/>
        </w:rPr>
        <w:t xml:space="preserve"> conforme a lo explicado </w:t>
      </w:r>
      <w:r w:rsidRPr="00CB2192">
        <w:rPr>
          <w:rFonts w:ascii="Arial" w:hAnsi="Arial" w:cs="Arial"/>
          <w:i/>
          <w:iCs/>
          <w:color w:val="000000"/>
          <w:shd w:val="clear" w:color="auto" w:fill="FFFFFF"/>
        </w:rPr>
        <w:t>ut supra</w:t>
      </w:r>
      <w:r>
        <w:rPr>
          <w:rFonts w:ascii="Arial" w:hAnsi="Arial" w:cs="Arial"/>
          <w:color w:val="000000"/>
          <w:shd w:val="clear" w:color="auto" w:fill="FFFFFF"/>
        </w:rPr>
        <w:t xml:space="preserve">, </w:t>
      </w:r>
      <w:r>
        <w:rPr>
          <w:rFonts w:ascii="Arial" w:eastAsia="Calibri" w:hAnsi="Arial" w:cs="Arial"/>
          <w:bCs/>
          <w:color w:val="000000" w:themeColor="text1"/>
        </w:rPr>
        <w:t>una de las restricciones para celebrar contratos con el Estado se encuentra en la Constitución Política. Al respecto, conforme al artículo 126 superior, “</w:t>
      </w:r>
      <w:r w:rsidRPr="004D66B5">
        <w:rPr>
          <w:rFonts w:ascii="Arial" w:eastAsia="Calibri" w:hAnsi="Arial" w:cs="Arial"/>
          <w:bCs/>
          <w:color w:val="000000" w:themeColor="text1"/>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r>
        <w:rPr>
          <w:rFonts w:ascii="Arial" w:eastAsia="Calibri" w:hAnsi="Arial" w:cs="Arial"/>
          <w:bCs/>
          <w:color w:val="000000" w:themeColor="text1"/>
        </w:rPr>
        <w:t>”. Asimismo, “</w:t>
      </w:r>
      <w:r w:rsidRPr="004D66B5">
        <w:rPr>
          <w:rFonts w:ascii="Arial" w:eastAsia="Calibri" w:hAnsi="Arial" w:cs="Arial"/>
          <w:bCs/>
          <w:color w:val="000000" w:themeColor="text1"/>
        </w:rPr>
        <w:t>Tampoco podrán nombrar ni postular como servidores públicos, ni celebrar contratos estatales, con quienes hubieren intervenido en su postulación o designación, ni con personas que tengan con estas los mismos vínculos señalados en el inciso anterior</w:t>
      </w:r>
      <w:r>
        <w:rPr>
          <w:rFonts w:ascii="Arial" w:eastAsia="Calibri" w:hAnsi="Arial" w:cs="Arial"/>
          <w:bCs/>
          <w:color w:val="000000" w:themeColor="text1"/>
        </w:rPr>
        <w:t>”</w:t>
      </w:r>
      <w:r w:rsidRPr="00B975F2">
        <w:rPr>
          <w:rFonts w:ascii="Arial" w:eastAsia="Calibri" w:hAnsi="Arial" w:cs="Arial"/>
          <w:bCs/>
          <w:color w:val="000000" w:themeColor="text1"/>
        </w:rPr>
        <w:t>.</w:t>
      </w:r>
      <w:r>
        <w:rPr>
          <w:rFonts w:ascii="Arial" w:eastAsia="Calibri" w:hAnsi="Arial" w:cs="Arial"/>
          <w:bCs/>
          <w:color w:val="000000" w:themeColor="text1"/>
        </w:rPr>
        <w:t xml:space="preserve"> Ambas prohibiciones se suman al catálogo del artículo 8 y siguientes de la Ley 80 de 1993, especialmente, cuando –conforme al literal a) del numeral 1– “</w:t>
      </w:r>
      <w:r w:rsidRPr="00F25148">
        <w:rPr>
          <w:rFonts w:ascii="Arial" w:eastAsia="Calibri" w:hAnsi="Arial" w:cs="Arial"/>
          <w:bCs/>
          <w:color w:val="000000" w:themeColor="text1"/>
        </w:rPr>
        <w:t>Son inhábiles para participar en licitaciones y para celebrar contratos con las entidades estatales</w:t>
      </w:r>
      <w:r>
        <w:rPr>
          <w:rFonts w:ascii="Arial" w:eastAsia="Calibri" w:hAnsi="Arial" w:cs="Arial"/>
          <w:bCs/>
          <w:color w:val="000000" w:themeColor="text1"/>
        </w:rPr>
        <w:t xml:space="preserve"> […] </w:t>
      </w:r>
      <w:r w:rsidRPr="00F25148">
        <w:rPr>
          <w:rFonts w:ascii="Arial" w:eastAsia="Calibri" w:hAnsi="Arial" w:cs="Arial"/>
          <w:bCs/>
          <w:color w:val="000000" w:themeColor="text1"/>
        </w:rPr>
        <w:t>Las personas que se hallen inhabilitadas para contratar por la Constitución y las leyes</w:t>
      </w:r>
      <w:r>
        <w:rPr>
          <w:rFonts w:ascii="Arial" w:eastAsia="Calibri" w:hAnsi="Arial" w:cs="Arial"/>
          <w:bCs/>
          <w:color w:val="000000" w:themeColor="text1"/>
        </w:rPr>
        <w:t>”, régimen que se extiende también a las entidades exceptuadas del EGCAP en virtud del inciso primero del artículo 13 de la Ley 1150 de 2007</w:t>
      </w:r>
      <w:r>
        <w:rPr>
          <w:rStyle w:val="Refdenotaalpie"/>
          <w:rFonts w:ascii="Arial" w:eastAsia="Calibri" w:hAnsi="Arial" w:cs="Arial"/>
          <w:bCs/>
          <w:color w:val="000000" w:themeColor="text1"/>
        </w:rPr>
        <w:footnoteReference w:id="28"/>
      </w:r>
      <w:r>
        <w:rPr>
          <w:rFonts w:ascii="Arial" w:eastAsia="Calibri" w:hAnsi="Arial" w:cs="Arial"/>
          <w:bCs/>
          <w:color w:val="000000" w:themeColor="text1"/>
        </w:rPr>
        <w:t xml:space="preserve"> y al régimen de las ESAL de acuerdo al artículo 6 del Decreto 092 de 2017</w:t>
      </w:r>
      <w:r>
        <w:rPr>
          <w:rStyle w:val="Refdenotaalpie"/>
          <w:rFonts w:ascii="Arial" w:eastAsia="Calibri" w:hAnsi="Arial" w:cs="Arial"/>
          <w:bCs/>
          <w:color w:val="000000" w:themeColor="text1"/>
        </w:rPr>
        <w:footnoteReference w:id="29"/>
      </w:r>
      <w:r>
        <w:rPr>
          <w:rFonts w:ascii="Arial" w:eastAsia="Calibri" w:hAnsi="Arial" w:cs="Arial"/>
          <w:bCs/>
          <w:color w:val="000000" w:themeColor="text1"/>
        </w:rPr>
        <w:t xml:space="preserve">. </w:t>
      </w:r>
    </w:p>
    <w:p w14:paraId="258BDF07" w14:textId="77777777" w:rsidR="00C87232" w:rsidRDefault="00C87232" w:rsidP="00C87232">
      <w:pPr>
        <w:spacing w:line="276" w:lineRule="auto"/>
        <w:jc w:val="both"/>
        <w:rPr>
          <w:rFonts w:ascii="Arial" w:eastAsia="Calibri" w:hAnsi="Arial" w:cs="Arial"/>
          <w:lang w:val="es-ES_tradnl"/>
        </w:rPr>
      </w:pPr>
      <w:r>
        <w:rPr>
          <w:rFonts w:ascii="Arial" w:eastAsia="Calibri" w:hAnsi="Arial" w:cs="Arial"/>
          <w:bCs/>
          <w:color w:val="000000" w:themeColor="text1"/>
        </w:rPr>
        <w:tab/>
        <w:t xml:space="preserve">Ahora bien, </w:t>
      </w:r>
      <w:r>
        <w:rPr>
          <w:rFonts w:ascii="Arial" w:eastAsia="Calibri" w:hAnsi="Arial" w:cs="Arial"/>
          <w:lang w:val="es-ES_tradnl"/>
        </w:rPr>
        <w:t>conforme a</w:t>
      </w:r>
      <w:r w:rsidRPr="00D31980">
        <w:rPr>
          <w:rFonts w:ascii="Arial" w:eastAsia="Calibri" w:hAnsi="Arial" w:cs="Arial"/>
          <w:lang w:val="es-ES_tradnl"/>
        </w:rPr>
        <w:t>l artículo 8, literal b) del numeral 2, de la Ley 80 de 1993</w:t>
      </w:r>
      <w:r>
        <w:rPr>
          <w:rFonts w:ascii="Arial" w:eastAsia="Calibri" w:hAnsi="Arial" w:cs="Arial"/>
          <w:lang w:val="es-ES_tradnl"/>
        </w:rPr>
        <w:t xml:space="preserve">, no </w:t>
      </w:r>
      <w:r w:rsidRPr="00D31980">
        <w:rPr>
          <w:rFonts w:ascii="Arial" w:eastAsia="Calibri" w:hAnsi="Arial" w:cs="Arial"/>
          <w:lang w:val="es-ES_tradnl"/>
        </w:rPr>
        <w:t xml:space="preserve">podrán participar en </w:t>
      </w:r>
      <w:r>
        <w:rPr>
          <w:rFonts w:ascii="Arial" w:eastAsia="Calibri" w:hAnsi="Arial" w:cs="Arial"/>
          <w:lang w:val="es-ES_tradnl"/>
        </w:rPr>
        <w:t>procedimientos de selección</w:t>
      </w:r>
      <w:r w:rsidRPr="00D31980">
        <w:rPr>
          <w:rFonts w:ascii="Arial" w:eastAsia="Calibri" w:hAnsi="Arial" w:cs="Arial"/>
          <w:lang w:val="es-ES_tradnl"/>
        </w:rPr>
        <w:t xml:space="preserve"> ni celebrar contratos estatales con la entidad respectiva</w:t>
      </w:r>
      <w:r>
        <w:rPr>
          <w:rFonts w:ascii="Arial" w:eastAsia="Calibri" w:hAnsi="Arial" w:cs="Arial"/>
          <w:lang w:val="es-ES_tradnl"/>
        </w:rPr>
        <w:t xml:space="preserve"> </w:t>
      </w:r>
      <w:bookmarkStart w:id="8" w:name="_Hlk74045502"/>
      <w:r>
        <w:rPr>
          <w:rFonts w:ascii="Arial" w:eastAsia="Calibri" w:hAnsi="Arial" w:cs="Arial"/>
          <w:lang w:val="es-ES_tradnl"/>
        </w:rPr>
        <w:t>“</w:t>
      </w:r>
      <w:r w:rsidRPr="002943B2">
        <w:rPr>
          <w:rFonts w:ascii="Arial" w:eastAsia="Calibri" w:hAnsi="Arial" w:cs="Arial"/>
          <w:lang w:val="es-ES_tradnl"/>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bookmarkEnd w:id="8"/>
      <w:r>
        <w:rPr>
          <w:rFonts w:ascii="Arial" w:eastAsia="Calibri" w:hAnsi="Arial" w:cs="Arial"/>
          <w:lang w:val="es-ES_tradnl"/>
        </w:rPr>
        <w:t xml:space="preserve">”, restricción que también se extiende al cónyuge o compañero permanente con fundamento en el literal c) </w:t>
      </w:r>
      <w:r w:rsidRPr="00E54CE9">
        <w:rPr>
          <w:rFonts w:ascii="Arial" w:eastAsia="Calibri" w:hAnsi="Arial" w:cs="Arial"/>
          <w:i/>
          <w:iCs/>
          <w:lang w:val="es-ES_tradnl"/>
        </w:rPr>
        <w:t>ibidem</w:t>
      </w:r>
      <w:r w:rsidRPr="002943B2">
        <w:rPr>
          <w:rFonts w:ascii="Arial" w:eastAsia="Calibri" w:hAnsi="Arial" w:cs="Arial"/>
          <w:lang w:val="es-ES_tradnl"/>
        </w:rPr>
        <w:t>.</w:t>
      </w:r>
      <w:r>
        <w:rPr>
          <w:rFonts w:ascii="Arial" w:eastAsia="Calibri" w:hAnsi="Arial" w:cs="Arial"/>
          <w:lang w:val="es-ES_tradnl"/>
        </w:rPr>
        <w:t xml:space="preserve"> De acuerdo con lo explicado por la Corte Constitucional en la Sentencia C-429 de 1997, protege el principio de moralidad administrativa, ya que “[…]</w:t>
      </w:r>
      <w:r w:rsidRPr="00685E5E">
        <w:t xml:space="preserve"> </w:t>
      </w:r>
      <w:r w:rsidRPr="00685E5E">
        <w:rPr>
          <w:rFonts w:ascii="Arial" w:eastAsia="Calibri" w:hAnsi="Arial" w:cs="Arial"/>
          <w:lang w:val="es-ES_tradnl"/>
        </w:rPr>
        <w:t>se dirige a los familiares de aquellas personas que gozan del poder de decisión de adjudicar contratos, o pueden tener influencias que razonablemente puedan determinar la decisión, pues en tales casos esos vínculos colocan en peligro la transparencia y seriedad del proceso de contratación administrativa</w:t>
      </w:r>
      <w:r>
        <w:rPr>
          <w:rFonts w:ascii="Arial" w:eastAsia="Calibri" w:hAnsi="Arial" w:cs="Arial"/>
          <w:lang w:val="es-ES_tradnl"/>
        </w:rPr>
        <w:t xml:space="preserve">”. </w:t>
      </w:r>
    </w:p>
    <w:p w14:paraId="01F7E38B" w14:textId="77777777" w:rsidR="00C87232" w:rsidRDefault="00C87232" w:rsidP="00C87232">
      <w:pPr>
        <w:spacing w:after="120" w:line="276" w:lineRule="auto"/>
        <w:ind w:firstLine="709"/>
        <w:jc w:val="both"/>
        <w:rPr>
          <w:rFonts w:ascii="Arial" w:hAnsi="Arial" w:cs="Arial"/>
          <w:color w:val="000000" w:themeColor="text1"/>
        </w:rPr>
      </w:pPr>
      <w:r>
        <w:rPr>
          <w:rFonts w:ascii="Arial" w:eastAsia="Calibri" w:hAnsi="Arial" w:cs="Arial"/>
          <w:lang w:val="es-ES_tradnl"/>
        </w:rPr>
        <w:t xml:space="preserve">Como se observa, las restricciones aplican a los parientes y al cónyuge o compañero permanente de los servidores públicos </w:t>
      </w:r>
      <w:r w:rsidRPr="002943B2">
        <w:rPr>
          <w:rFonts w:ascii="Arial" w:eastAsia="Calibri" w:hAnsi="Arial" w:cs="Arial"/>
          <w:lang w:val="es-ES_tradnl"/>
        </w:rPr>
        <w:t>de los niveles directivo, asesor, ejecutivo</w:t>
      </w:r>
      <w:r>
        <w:rPr>
          <w:rFonts w:ascii="Arial" w:eastAsia="Calibri" w:hAnsi="Arial" w:cs="Arial"/>
          <w:lang w:val="es-ES_tradnl"/>
        </w:rPr>
        <w:t xml:space="preserve">. Para estos efectos, </w:t>
      </w:r>
      <w:r w:rsidRPr="00FE60F8">
        <w:rPr>
          <w:rFonts w:ascii="Arial" w:hAnsi="Arial" w:cs="Arial"/>
          <w:color w:val="000000" w:themeColor="text1"/>
        </w:rPr>
        <w:t>es necesario remitirse a la normativa que rige la función pública</w:t>
      </w:r>
      <w:r>
        <w:rPr>
          <w:rFonts w:ascii="Arial" w:hAnsi="Arial" w:cs="Arial"/>
          <w:color w:val="000000" w:themeColor="text1"/>
        </w:rPr>
        <w:t xml:space="preserve">, la cual clasifica </w:t>
      </w:r>
      <w:r w:rsidRPr="00FE60F8">
        <w:rPr>
          <w:rFonts w:ascii="Arial" w:hAnsi="Arial" w:cs="Arial"/>
          <w:color w:val="000000" w:themeColor="text1"/>
        </w:rPr>
        <w:t xml:space="preserve">los cargos públicos de acuerdo con su nivel jerárquico dentro </w:t>
      </w:r>
      <w:r>
        <w:rPr>
          <w:rFonts w:ascii="Arial" w:hAnsi="Arial" w:cs="Arial"/>
          <w:color w:val="000000" w:themeColor="text1"/>
        </w:rPr>
        <w:t>la administración</w:t>
      </w:r>
      <w:r w:rsidRPr="00FE60F8">
        <w:rPr>
          <w:rFonts w:ascii="Arial" w:hAnsi="Arial" w:cs="Arial"/>
          <w:color w:val="000000" w:themeColor="text1"/>
        </w:rPr>
        <w:t xml:space="preserve"> del orden nacional y </w:t>
      </w:r>
      <w:r w:rsidRPr="00FE60F8">
        <w:rPr>
          <w:rFonts w:ascii="Arial" w:hAnsi="Arial" w:cs="Arial"/>
          <w:color w:val="000000" w:themeColor="text1"/>
        </w:rPr>
        <w:lastRenderedPageBreak/>
        <w:t>territorial.</w:t>
      </w:r>
      <w:r>
        <w:rPr>
          <w:rFonts w:ascii="Arial" w:hAnsi="Arial" w:cs="Arial"/>
          <w:color w:val="000000" w:themeColor="text1"/>
        </w:rPr>
        <w:t xml:space="preserve"> No obstante, de acuerdo con </w:t>
      </w:r>
      <w:r w:rsidRPr="00FE60F8">
        <w:rPr>
          <w:rFonts w:ascii="Arial" w:hAnsi="Arial" w:cs="Arial"/>
          <w:color w:val="000000" w:themeColor="text1"/>
        </w:rPr>
        <w:t xml:space="preserve">los Decretos 770 y 785 de 2005, que regulan las funciones y requisitos de los empleos públicos de entidades del orden nacional y territorial, respectivamente, señalan como responsabilidad del Gobierno nacional la modificación de las plantas de personal para que se elimine el nivel </w:t>
      </w:r>
      <w:r>
        <w:rPr>
          <w:rFonts w:ascii="Arial" w:hAnsi="Arial" w:cs="Arial"/>
          <w:color w:val="000000" w:themeColor="text1"/>
        </w:rPr>
        <w:t>“</w:t>
      </w:r>
      <w:r w:rsidRPr="00FE60F8">
        <w:rPr>
          <w:rFonts w:ascii="Arial" w:hAnsi="Arial" w:cs="Arial"/>
          <w:color w:val="000000" w:themeColor="text1"/>
        </w:rPr>
        <w:t>ejecutivo</w:t>
      </w:r>
      <w:r>
        <w:rPr>
          <w:rFonts w:ascii="Arial" w:hAnsi="Arial" w:cs="Arial"/>
          <w:color w:val="000000" w:themeColor="text1"/>
          <w:sz w:val="19"/>
          <w:szCs w:val="19"/>
          <w:lang w:val="es-ES"/>
        </w:rPr>
        <w:t>”</w:t>
      </w:r>
      <w:r w:rsidRPr="00FE60F8">
        <w:rPr>
          <w:rFonts w:ascii="Arial" w:hAnsi="Arial" w:cs="Arial"/>
          <w:color w:val="000000" w:themeColor="text1"/>
        </w:rPr>
        <w:t xml:space="preserve"> y se utilicen los niveles jerárquicos señalados por los Decretos, dentro de los cuales </w:t>
      </w:r>
      <w:r>
        <w:rPr>
          <w:rFonts w:ascii="Arial" w:hAnsi="Arial" w:cs="Arial"/>
          <w:color w:val="000000" w:themeColor="text1"/>
        </w:rPr>
        <w:t>figuran</w:t>
      </w:r>
      <w:r w:rsidRPr="00FE60F8">
        <w:rPr>
          <w:rFonts w:ascii="Arial" w:hAnsi="Arial" w:cs="Arial"/>
          <w:color w:val="000000" w:themeColor="text1"/>
        </w:rPr>
        <w:t xml:space="preserve"> el nivel </w:t>
      </w:r>
      <w:r>
        <w:rPr>
          <w:rFonts w:ascii="Arial" w:hAnsi="Arial" w:cs="Arial"/>
          <w:color w:val="000000" w:themeColor="text1"/>
        </w:rPr>
        <w:t>“</w:t>
      </w:r>
      <w:r w:rsidRPr="00FE60F8">
        <w:rPr>
          <w:rFonts w:ascii="Arial" w:hAnsi="Arial" w:cs="Arial"/>
          <w:color w:val="000000" w:themeColor="text1"/>
        </w:rPr>
        <w:t>directivo</w:t>
      </w:r>
      <w:r>
        <w:rPr>
          <w:rFonts w:ascii="Arial" w:hAnsi="Arial" w:cs="Arial"/>
          <w:color w:val="000000" w:themeColor="text1"/>
        </w:rPr>
        <w:t>”</w:t>
      </w:r>
      <w:r w:rsidRPr="00FE60F8">
        <w:rPr>
          <w:rFonts w:ascii="Arial" w:hAnsi="Arial" w:cs="Arial"/>
          <w:color w:val="000000" w:themeColor="text1"/>
        </w:rPr>
        <w:t xml:space="preserve"> y </w:t>
      </w:r>
      <w:r>
        <w:rPr>
          <w:rFonts w:ascii="Arial" w:hAnsi="Arial" w:cs="Arial"/>
          <w:color w:val="000000" w:themeColor="text1"/>
        </w:rPr>
        <w:t>“</w:t>
      </w:r>
      <w:r w:rsidRPr="00FE60F8">
        <w:rPr>
          <w:rFonts w:ascii="Arial" w:hAnsi="Arial" w:cs="Arial"/>
          <w:color w:val="000000" w:themeColor="text1"/>
        </w:rPr>
        <w:t>asesor</w:t>
      </w:r>
      <w:r>
        <w:rPr>
          <w:rFonts w:ascii="Arial" w:hAnsi="Arial" w:cs="Arial"/>
          <w:color w:val="000000" w:themeColor="text1"/>
        </w:rPr>
        <w:t>”</w:t>
      </w:r>
      <w:r w:rsidRPr="00FE60F8">
        <w:rPr>
          <w:rFonts w:ascii="Arial" w:hAnsi="Arial" w:cs="Arial"/>
          <w:color w:val="000000" w:themeColor="text1"/>
        </w:rPr>
        <w:t>, entre otros</w:t>
      </w:r>
      <w:r>
        <w:rPr>
          <w:rStyle w:val="Refdenotaalpie"/>
          <w:rFonts w:ascii="Arial" w:hAnsi="Arial" w:cs="Arial"/>
          <w:color w:val="000000" w:themeColor="text1"/>
        </w:rPr>
        <w:footnoteReference w:id="30"/>
      </w:r>
      <w:r>
        <w:rPr>
          <w:rFonts w:ascii="Arial" w:hAnsi="Arial" w:cs="Arial"/>
          <w:color w:val="000000" w:themeColor="text1"/>
        </w:rPr>
        <w:t>.</w:t>
      </w:r>
    </w:p>
    <w:p w14:paraId="1DE0F05D" w14:textId="77777777" w:rsidR="00C87232" w:rsidRDefault="00C87232" w:rsidP="00C87232">
      <w:pPr>
        <w:spacing w:after="120" w:line="276" w:lineRule="auto"/>
        <w:ind w:firstLine="709"/>
        <w:jc w:val="both"/>
        <w:rPr>
          <w:rFonts w:ascii="Arial" w:eastAsia="Calibri" w:hAnsi="Arial" w:cs="Arial"/>
          <w:color w:val="000000" w:themeColor="text1"/>
        </w:rPr>
      </w:pPr>
      <w:r w:rsidRPr="00FE60F8">
        <w:rPr>
          <w:rFonts w:ascii="Arial" w:eastAsia="Calibri" w:hAnsi="Arial" w:cs="Arial"/>
          <w:color w:val="000000" w:themeColor="text1"/>
        </w:rPr>
        <w:t xml:space="preserve">Las definiciones del nivel </w:t>
      </w:r>
      <w:r>
        <w:rPr>
          <w:rFonts w:ascii="Arial" w:hAnsi="Arial" w:cs="Arial"/>
          <w:color w:val="000000" w:themeColor="text1"/>
        </w:rPr>
        <w:t>“</w:t>
      </w:r>
      <w:r w:rsidRPr="00FE60F8">
        <w:rPr>
          <w:rFonts w:ascii="Arial" w:hAnsi="Arial" w:cs="Arial"/>
          <w:color w:val="000000" w:themeColor="text1"/>
        </w:rPr>
        <w:t>directivo</w:t>
      </w:r>
      <w:r>
        <w:rPr>
          <w:rFonts w:ascii="Arial" w:hAnsi="Arial" w:cs="Arial"/>
          <w:color w:val="000000" w:themeColor="text1"/>
        </w:rPr>
        <w:t>”</w:t>
      </w:r>
      <w:r w:rsidRPr="00FE60F8">
        <w:rPr>
          <w:rFonts w:ascii="Arial" w:eastAsia="Calibri" w:hAnsi="Arial" w:cs="Arial"/>
          <w:color w:val="000000" w:themeColor="text1"/>
        </w:rPr>
        <w:t xml:space="preserve"> y del nivel </w:t>
      </w:r>
      <w:r>
        <w:rPr>
          <w:rFonts w:ascii="Arial" w:hAnsi="Arial" w:cs="Arial"/>
          <w:color w:val="000000" w:themeColor="text1"/>
        </w:rPr>
        <w:t>“</w:t>
      </w:r>
      <w:r w:rsidRPr="00FE60F8">
        <w:rPr>
          <w:rFonts w:ascii="Arial" w:hAnsi="Arial" w:cs="Arial"/>
          <w:color w:val="000000" w:themeColor="text1"/>
        </w:rPr>
        <w:t>asesor</w:t>
      </w:r>
      <w:r>
        <w:rPr>
          <w:rFonts w:ascii="Arial" w:hAnsi="Arial" w:cs="Arial"/>
          <w:color w:val="000000" w:themeColor="text1"/>
        </w:rPr>
        <w:t>”</w:t>
      </w:r>
      <w:r w:rsidRPr="00FE60F8">
        <w:rPr>
          <w:rFonts w:ascii="Arial" w:eastAsia="Calibri" w:hAnsi="Arial" w:cs="Arial"/>
          <w:color w:val="000000" w:themeColor="text1"/>
        </w:rPr>
        <w:t>, en los Decretos citados, están claramente diferenciadas, por lo cual el nivel directivo no es equivalente al nivel asesor, son diferentes y comprenden funciones generales que no se asimilan entre sí, y se dividen de acuerdo con lo requerido para cada cargo</w:t>
      </w:r>
      <w:r>
        <w:rPr>
          <w:rStyle w:val="Refdenotaalpie"/>
          <w:rFonts w:ascii="Arial" w:eastAsia="Calibri" w:hAnsi="Arial" w:cs="Arial"/>
          <w:color w:val="000000" w:themeColor="text1"/>
        </w:rPr>
        <w:footnoteReference w:id="31"/>
      </w:r>
      <w:r>
        <w:rPr>
          <w:rFonts w:ascii="Arial" w:eastAsia="Calibri" w:hAnsi="Arial" w:cs="Arial"/>
          <w:color w:val="000000" w:themeColor="text1"/>
        </w:rPr>
        <w:t>.</w:t>
      </w:r>
    </w:p>
    <w:p w14:paraId="5971E159" w14:textId="77777777" w:rsidR="00C87232" w:rsidRDefault="00C87232" w:rsidP="00C87232">
      <w:pPr>
        <w:spacing w:before="120" w:after="120" w:line="276" w:lineRule="auto"/>
        <w:ind w:firstLine="708"/>
        <w:jc w:val="both"/>
        <w:rPr>
          <w:rFonts w:ascii="Arial" w:eastAsia="Calibri" w:hAnsi="Arial" w:cs="Arial"/>
          <w:color w:val="000000" w:themeColor="text1"/>
        </w:rPr>
      </w:pPr>
      <w:r>
        <w:rPr>
          <w:rFonts w:ascii="Arial" w:eastAsia="Calibri" w:hAnsi="Arial" w:cs="Arial"/>
          <w:color w:val="000000" w:themeColor="text1"/>
        </w:rPr>
        <w:t xml:space="preserve">En esta medida, considerando las modificaciones introducidas por normas posteriores, ha desaparecido la referencia al nivel ejecutivo dentro de las plantas de cargos de las entidades públicas. Por tanto, la restricción prevista </w:t>
      </w:r>
      <w:r>
        <w:rPr>
          <w:rFonts w:ascii="Arial" w:eastAsia="Calibri" w:hAnsi="Arial" w:cs="Arial"/>
          <w:lang w:val="es-ES_tradnl"/>
        </w:rPr>
        <w:t>en e</w:t>
      </w:r>
      <w:r w:rsidRPr="00D31980">
        <w:rPr>
          <w:rFonts w:ascii="Arial" w:eastAsia="Calibri" w:hAnsi="Arial" w:cs="Arial"/>
          <w:lang w:val="es-ES_tradnl"/>
        </w:rPr>
        <w:t>l artículo 8, literal b) del numeral 2, de la Ley 80 de 1993</w:t>
      </w:r>
      <w:r>
        <w:rPr>
          <w:rFonts w:ascii="Arial" w:eastAsia="Calibri" w:hAnsi="Arial" w:cs="Arial"/>
          <w:lang w:val="es-ES_tradnl"/>
        </w:rPr>
        <w:t xml:space="preserve"> se aplica especialmente a los parientes de los servidores públicos de los niveles directivo y asesor.</w:t>
      </w:r>
      <w:r>
        <w:rPr>
          <w:rFonts w:ascii="Arial" w:eastAsia="Calibri" w:hAnsi="Arial" w:cs="Arial"/>
          <w:color w:val="000000" w:themeColor="text1"/>
        </w:rPr>
        <w:t xml:space="preserve"> </w:t>
      </w:r>
    </w:p>
    <w:p w14:paraId="00DF01B5" w14:textId="77777777" w:rsidR="00C87232" w:rsidRDefault="00C87232" w:rsidP="00C87232">
      <w:pPr>
        <w:spacing w:after="120" w:line="276" w:lineRule="auto"/>
        <w:ind w:firstLine="709"/>
        <w:jc w:val="both"/>
        <w:rPr>
          <w:rFonts w:ascii="Arial" w:eastAsia="Calibri" w:hAnsi="Arial" w:cs="Arial"/>
          <w:lang w:val="es-ES_tradnl"/>
        </w:rPr>
      </w:pPr>
      <w:r>
        <w:rPr>
          <w:rFonts w:ascii="Arial" w:eastAsia="Calibri" w:hAnsi="Arial" w:cs="Arial"/>
          <w:color w:val="000000" w:themeColor="text1"/>
        </w:rPr>
        <w:t xml:space="preserve">Igualmente, esta inhabilidad aplica a los familiares de </w:t>
      </w:r>
      <w:r w:rsidRPr="002943B2">
        <w:rPr>
          <w:rFonts w:ascii="Arial" w:eastAsia="Calibri" w:hAnsi="Arial" w:cs="Arial"/>
          <w:lang w:val="es-ES_tradnl"/>
        </w:rPr>
        <w:t>los miembros de la junta o consejo directivo</w:t>
      </w:r>
      <w:r>
        <w:rPr>
          <w:rFonts w:ascii="Arial" w:eastAsia="Calibri" w:hAnsi="Arial" w:cs="Arial"/>
          <w:lang w:val="es-ES_tradnl"/>
        </w:rPr>
        <w:t>. Teniendo en cuenta que el artículo 4 de los Decretos 770 y 785 de 2005 dispone que el nivel directivo “</w:t>
      </w:r>
      <w:r w:rsidRPr="001C0376">
        <w:rPr>
          <w:rFonts w:ascii="Arial" w:eastAsia="Calibri" w:hAnsi="Arial" w:cs="Arial"/>
          <w:lang w:val="es-ES_tradnl"/>
        </w:rPr>
        <w:t xml:space="preserve">Comprende los empleos a los cuales corresponden funciones de Dirección </w:t>
      </w:r>
      <w:r w:rsidRPr="001C0376">
        <w:rPr>
          <w:rFonts w:ascii="Arial" w:eastAsia="Calibri" w:hAnsi="Arial" w:cs="Arial"/>
          <w:lang w:val="es-ES_tradnl"/>
        </w:rPr>
        <w:lastRenderedPageBreak/>
        <w:t>General, de formulación de políticas institucionales y de adopción de planes, programas y proyectos</w:t>
      </w:r>
      <w:r>
        <w:rPr>
          <w:rFonts w:ascii="Arial" w:eastAsia="Calibri" w:hAnsi="Arial" w:cs="Arial"/>
          <w:lang w:val="es-ES_tradnl"/>
        </w:rPr>
        <w:t xml:space="preserve">”, la Corte Constitucional en la decisión anteriormente citada explica que </w:t>
      </w:r>
      <w:r w:rsidRPr="00A775B7">
        <w:rPr>
          <w:rFonts w:ascii="Arial" w:eastAsia="Calibri" w:hAnsi="Arial" w:cs="Arial"/>
          <w:lang w:val="es-ES_tradnl"/>
        </w:rPr>
        <w:t>los miembros de las juntas o consejos directivos de establecimientos públicos, sociedades comerciales del Estado, empresas industriales y comerciales del Estado y sociedades de economía mixta, pertenecen a esta categoría de empleos</w:t>
      </w:r>
      <w:r>
        <w:rPr>
          <w:rFonts w:ascii="Arial" w:eastAsia="Calibri" w:hAnsi="Arial" w:cs="Arial"/>
          <w:lang w:val="es-ES_tradnl"/>
        </w:rPr>
        <w:t xml:space="preserve">. Además, también aplica a los parientes de las </w:t>
      </w:r>
      <w:r w:rsidRPr="002943B2">
        <w:rPr>
          <w:rFonts w:ascii="Arial" w:eastAsia="Calibri" w:hAnsi="Arial" w:cs="Arial"/>
          <w:lang w:val="es-ES_tradnl"/>
        </w:rPr>
        <w:t>personas que ejerzan el control interno o fiscal de la entidad contratante</w:t>
      </w:r>
      <w:r>
        <w:rPr>
          <w:rStyle w:val="Refdenotaalpie"/>
          <w:rFonts w:ascii="Arial" w:eastAsia="Calibri" w:hAnsi="Arial" w:cs="Arial"/>
          <w:lang w:val="es-ES_tradnl"/>
        </w:rPr>
        <w:footnoteReference w:id="32"/>
      </w:r>
      <w:r>
        <w:rPr>
          <w:rFonts w:ascii="Arial" w:eastAsia="Calibri" w:hAnsi="Arial" w:cs="Arial"/>
          <w:lang w:val="es-ES_tradnl"/>
        </w:rPr>
        <w:t>.</w:t>
      </w:r>
    </w:p>
    <w:p w14:paraId="06511F3A" w14:textId="77777777" w:rsidR="00C87232" w:rsidRDefault="00C87232" w:rsidP="00AF6534">
      <w:pPr>
        <w:spacing w:before="120" w:after="0" w:line="276" w:lineRule="auto"/>
        <w:ind w:firstLine="708"/>
        <w:jc w:val="both"/>
        <w:rPr>
          <w:rFonts w:ascii="Arial" w:eastAsia="Calibri" w:hAnsi="Arial" w:cs="Arial"/>
          <w:lang w:val="es-ES_tradnl"/>
        </w:rPr>
      </w:pPr>
      <w:r>
        <w:rPr>
          <w:rFonts w:ascii="Arial" w:eastAsia="Calibri" w:hAnsi="Arial" w:cs="Arial"/>
          <w:color w:val="000000" w:themeColor="text1"/>
        </w:rPr>
        <w:t xml:space="preserve">Naturalmente, además del cónyuge o compañero permanente, la restricción no aplica a todos los familiares sino a los parientes “[…] </w:t>
      </w:r>
      <w:r w:rsidRPr="002943B2">
        <w:rPr>
          <w:rFonts w:ascii="Arial" w:eastAsia="Calibri" w:hAnsi="Arial" w:cs="Arial"/>
          <w:lang w:val="es-ES_tradnl"/>
        </w:rPr>
        <w:t>hasta el segundo grado de consanguinidad, segundo de afinidad o primero civil</w:t>
      </w:r>
      <w:r>
        <w:rPr>
          <w:rFonts w:ascii="Arial" w:eastAsia="Calibri" w:hAnsi="Arial" w:cs="Arial"/>
          <w:lang w:val="es-ES_tradnl"/>
        </w:rPr>
        <w:t xml:space="preserve"> […]”. De acuerdo con el objeto de la consulta, el parentesco por consanguinidad para la prohibición se restringe a los padres, hijos, abuelos, nietos y hermanos conforme a las definiciones de los artículos 35 y siguientes del Código Civil. Lo anterior, sin que pueda extenderse del tercer grado de consanguinidad en adelante, ya que no es posible la interpretación extensiva. </w:t>
      </w:r>
    </w:p>
    <w:p w14:paraId="108376C3" w14:textId="77777777" w:rsidR="00AF6534" w:rsidRDefault="00AF6534" w:rsidP="00660381">
      <w:pPr>
        <w:spacing w:after="0" w:line="276" w:lineRule="auto"/>
        <w:ind w:firstLine="708"/>
        <w:jc w:val="both"/>
        <w:rPr>
          <w:rFonts w:ascii="Arial" w:eastAsia="Calibri" w:hAnsi="Arial" w:cs="Arial"/>
          <w:lang w:val="es-ES_tradnl"/>
        </w:rPr>
      </w:pPr>
    </w:p>
    <w:p w14:paraId="4A2F7645" w14:textId="4F27FBC1" w:rsidR="007D7832" w:rsidRDefault="007D7832" w:rsidP="00AF6534">
      <w:pPr>
        <w:spacing w:after="0" w:line="276" w:lineRule="auto"/>
        <w:jc w:val="both"/>
        <w:rPr>
          <w:rFonts w:ascii="Arial" w:eastAsia="Calibri" w:hAnsi="Arial" w:cs="Arial"/>
          <w:b/>
          <w:bCs/>
          <w:lang w:val="es-ES_tradnl"/>
        </w:rPr>
      </w:pPr>
      <w:r w:rsidRPr="00660381">
        <w:rPr>
          <w:rFonts w:ascii="Arial" w:eastAsia="Calibri" w:hAnsi="Arial" w:cs="Arial"/>
          <w:b/>
          <w:bCs/>
          <w:lang w:val="es-ES_tradnl"/>
        </w:rPr>
        <w:t>3. Respuesta</w:t>
      </w:r>
    </w:p>
    <w:p w14:paraId="55ED7942" w14:textId="77777777" w:rsidR="00AF6534" w:rsidRPr="00660381" w:rsidRDefault="00AF6534" w:rsidP="00660381">
      <w:pPr>
        <w:spacing w:after="0" w:line="276" w:lineRule="auto"/>
        <w:jc w:val="both"/>
        <w:rPr>
          <w:rFonts w:ascii="Arial" w:eastAsia="Calibri" w:hAnsi="Arial" w:cs="Arial"/>
          <w:b/>
          <w:bCs/>
          <w:lang w:val="es-ES_tradnl"/>
        </w:rPr>
      </w:pPr>
    </w:p>
    <w:p w14:paraId="5AD4C2C2" w14:textId="080210A9" w:rsidR="007D7832" w:rsidRDefault="007D7832" w:rsidP="007D7832">
      <w:pPr>
        <w:spacing w:after="0" w:line="240" w:lineRule="auto"/>
        <w:ind w:left="709" w:right="709"/>
        <w:jc w:val="both"/>
        <w:rPr>
          <w:rFonts w:ascii="Arial" w:eastAsia="Calibri" w:hAnsi="Arial" w:cs="Arial"/>
          <w:color w:val="000000" w:themeColor="text1"/>
        </w:rPr>
      </w:pPr>
      <w:r>
        <w:rPr>
          <w:rFonts w:ascii="Arial" w:eastAsia="Calibri" w:hAnsi="Arial" w:cs="Arial"/>
          <w:color w:val="000000" w:themeColor="text1"/>
          <w:lang w:val="es-ES_tradnl"/>
        </w:rPr>
        <w:t>i) “</w:t>
      </w:r>
      <w:r w:rsidRPr="00AE719E">
        <w:rPr>
          <w:rFonts w:ascii="Arial" w:eastAsia="Calibri" w:hAnsi="Arial" w:cs="Arial"/>
          <w:color w:val="000000" w:themeColor="text1"/>
        </w:rPr>
        <w:t>La prohibición establecida en el artículo 126 de la Constitución para nombrar, postular y contratar con personas con las cuales se tengan parentesco hasta el cuarto grado de consanguinidad, segundo de afinidad, primero civil, o con quien estén ligados por matrimonio o unión permanente, aplican para los gerentes generales de empresas de servicios públicos</w:t>
      </w:r>
      <w:r>
        <w:rPr>
          <w:rFonts w:ascii="Arial" w:eastAsia="Calibri" w:hAnsi="Arial" w:cs="Arial"/>
          <w:color w:val="000000" w:themeColor="text1"/>
        </w:rPr>
        <w:t>”, ii) “</w:t>
      </w:r>
      <w:r w:rsidRPr="00AE719E">
        <w:rPr>
          <w:rFonts w:ascii="Arial" w:eastAsia="Calibri" w:hAnsi="Arial" w:cs="Arial"/>
          <w:color w:val="000000" w:themeColor="text1"/>
        </w:rPr>
        <w:t>De acuerdo a las inhabilidades e incompatibilidades para contratar establecidas en los literales “B” y “C” del numeral 2 del artículo 8 de la Ley 80 de 1993, aplican solo respecto de los familiares del nominador o se extiende también para los mismos familiares de otros funcionarios de la misma empresa que estén en cargos de los niveles directivo, asesor, ejecutivo o con los miembros de la junta o consejo directivo, o con las personas que ejerzan el control interno o fiscal de la entidad contratante</w:t>
      </w:r>
      <w:r>
        <w:rPr>
          <w:rFonts w:ascii="Arial" w:eastAsia="Calibri" w:hAnsi="Arial" w:cs="Arial"/>
          <w:color w:val="000000" w:themeColor="text1"/>
        </w:rPr>
        <w:t>” y iii) “</w:t>
      </w:r>
      <w:r w:rsidRPr="00AE719E">
        <w:rPr>
          <w:rFonts w:ascii="Arial" w:eastAsia="Calibri" w:hAnsi="Arial" w:cs="Arial"/>
          <w:color w:val="000000" w:themeColor="text1"/>
        </w:rPr>
        <w:t>Puede una Jefe de Unidad de una empresa de servicios públicos del orden territorial que no es nominadora y que registra como del nivel directivo, trabajar con su esposo vinculado como contratista de prestación de servicios en la misma empresa</w:t>
      </w:r>
      <w:r>
        <w:rPr>
          <w:rFonts w:ascii="Arial" w:eastAsia="Calibri" w:hAnsi="Arial" w:cs="Arial"/>
          <w:color w:val="000000" w:themeColor="text1"/>
        </w:rPr>
        <w:t>”</w:t>
      </w:r>
      <w:r w:rsidRPr="00AE719E">
        <w:rPr>
          <w:rFonts w:ascii="Arial" w:eastAsia="Calibri" w:hAnsi="Arial" w:cs="Arial"/>
          <w:color w:val="000000" w:themeColor="text1"/>
        </w:rPr>
        <w:t>.</w:t>
      </w:r>
    </w:p>
    <w:p w14:paraId="57A62D42" w14:textId="77777777" w:rsidR="00CB1CF1" w:rsidRDefault="00CB1CF1" w:rsidP="00660381">
      <w:pPr>
        <w:spacing w:after="0" w:line="240" w:lineRule="auto"/>
        <w:ind w:left="709" w:right="709"/>
        <w:jc w:val="both"/>
        <w:rPr>
          <w:rFonts w:ascii="Arial" w:eastAsia="Calibri" w:hAnsi="Arial" w:cs="Arial"/>
          <w:lang w:val="es-ES_tradnl"/>
        </w:rPr>
      </w:pPr>
    </w:p>
    <w:p w14:paraId="689D00F0" w14:textId="6DBEE509" w:rsidR="007D7832" w:rsidRDefault="00936525" w:rsidP="00CB1CF1">
      <w:pPr>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 xml:space="preserve">Conforme a lo expuesto, el </w:t>
      </w:r>
      <w:r w:rsidR="001D7F97">
        <w:rPr>
          <w:rFonts w:ascii="Arial" w:eastAsia="Calibri" w:hAnsi="Arial" w:cs="Arial"/>
          <w:bCs/>
          <w:color w:val="000000" w:themeColor="text1"/>
        </w:rPr>
        <w:t xml:space="preserve">artículo 126 </w:t>
      </w:r>
      <w:r>
        <w:rPr>
          <w:rFonts w:ascii="Arial" w:eastAsia="Calibri" w:hAnsi="Arial" w:cs="Arial"/>
          <w:bCs/>
          <w:color w:val="000000" w:themeColor="text1"/>
        </w:rPr>
        <w:t>de la Constitución Política indica que:</w:t>
      </w:r>
      <w:r w:rsidR="001D7F97">
        <w:rPr>
          <w:rFonts w:ascii="Arial" w:eastAsia="Calibri" w:hAnsi="Arial" w:cs="Arial"/>
          <w:bCs/>
          <w:color w:val="000000" w:themeColor="text1"/>
        </w:rPr>
        <w:t xml:space="preserve"> “</w:t>
      </w:r>
      <w:r w:rsidR="001D7F97" w:rsidRPr="004D66B5">
        <w:rPr>
          <w:rFonts w:ascii="Arial" w:eastAsia="Calibri" w:hAnsi="Arial" w:cs="Arial"/>
          <w:bCs/>
          <w:color w:val="000000" w:themeColor="text1"/>
        </w:rPr>
        <w:t xml:space="preserve">Los servidores públicos no podrán en ejercicio de sus funciones, nombrar, postular, ni contratar con personas con las cuales tengan </w:t>
      </w:r>
      <w:r w:rsidR="001D7F97" w:rsidRPr="00660381">
        <w:rPr>
          <w:rFonts w:ascii="Arial" w:eastAsia="Calibri" w:hAnsi="Arial" w:cs="Arial"/>
          <w:bCs/>
          <w:i/>
          <w:iCs/>
          <w:color w:val="000000" w:themeColor="text1"/>
        </w:rPr>
        <w:t xml:space="preserve">parentesco hasta el cuarto grado de consanguinidad, segundo de afinidad, </w:t>
      </w:r>
      <w:r w:rsidR="001D7F97" w:rsidRPr="00660381">
        <w:rPr>
          <w:rFonts w:ascii="Arial" w:eastAsia="Calibri" w:hAnsi="Arial" w:cs="Arial"/>
          <w:bCs/>
          <w:i/>
          <w:iCs/>
          <w:color w:val="000000" w:themeColor="text1"/>
        </w:rPr>
        <w:lastRenderedPageBreak/>
        <w:t>primero civil, o con quien estén ligados por matrimonio o unión permanente</w:t>
      </w:r>
      <w:r w:rsidR="001D7F97">
        <w:rPr>
          <w:rFonts w:ascii="Arial" w:eastAsia="Calibri" w:hAnsi="Arial" w:cs="Arial"/>
          <w:bCs/>
          <w:color w:val="000000" w:themeColor="text1"/>
        </w:rPr>
        <w:t xml:space="preserve">”. </w:t>
      </w:r>
      <w:r w:rsidR="00C32A2D">
        <w:rPr>
          <w:rFonts w:ascii="Arial" w:eastAsia="Calibri" w:hAnsi="Arial" w:cs="Arial"/>
          <w:bCs/>
          <w:color w:val="000000" w:themeColor="text1"/>
        </w:rPr>
        <w:t>Dicho artículo además señala que:</w:t>
      </w:r>
      <w:r w:rsidR="001D7F97">
        <w:rPr>
          <w:rFonts w:ascii="Arial" w:eastAsia="Calibri" w:hAnsi="Arial" w:cs="Arial"/>
          <w:bCs/>
          <w:color w:val="000000" w:themeColor="text1"/>
        </w:rPr>
        <w:t xml:space="preserve"> “</w:t>
      </w:r>
      <w:r w:rsidR="001D7F97" w:rsidRPr="004D66B5">
        <w:rPr>
          <w:rFonts w:ascii="Arial" w:eastAsia="Calibri" w:hAnsi="Arial" w:cs="Arial"/>
          <w:bCs/>
          <w:color w:val="000000" w:themeColor="text1"/>
        </w:rPr>
        <w:t>Tampoco podrán nombrar ni postular como servidores públicos, ni celebrar contratos estatales, con quienes hubieren intervenido en su postulación o designación, ni con personas que tengan con estas los mismos vínculos señalados en el inciso anterior</w:t>
      </w:r>
      <w:r w:rsidR="001D7F97">
        <w:rPr>
          <w:rFonts w:ascii="Arial" w:eastAsia="Calibri" w:hAnsi="Arial" w:cs="Arial"/>
          <w:bCs/>
          <w:color w:val="000000" w:themeColor="text1"/>
        </w:rPr>
        <w:t>”</w:t>
      </w:r>
      <w:r w:rsidR="001D7F97" w:rsidRPr="00B975F2">
        <w:rPr>
          <w:rFonts w:ascii="Arial" w:eastAsia="Calibri" w:hAnsi="Arial" w:cs="Arial"/>
          <w:bCs/>
          <w:color w:val="000000" w:themeColor="text1"/>
        </w:rPr>
        <w:t>.</w:t>
      </w:r>
    </w:p>
    <w:p w14:paraId="76C5F5CA" w14:textId="6377CDB3" w:rsidR="008D7164" w:rsidRDefault="00C32A2D" w:rsidP="008D7164">
      <w:pPr>
        <w:spacing w:line="276" w:lineRule="auto"/>
        <w:jc w:val="both"/>
        <w:rPr>
          <w:rFonts w:ascii="Arial" w:eastAsia="Calibri" w:hAnsi="Arial" w:cs="Arial"/>
          <w:lang w:val="es-ES_tradnl"/>
        </w:rPr>
      </w:pPr>
      <w:r>
        <w:rPr>
          <w:rFonts w:ascii="Arial" w:eastAsia="Calibri" w:hAnsi="Arial" w:cs="Arial"/>
          <w:bCs/>
          <w:color w:val="000000" w:themeColor="text1"/>
        </w:rPr>
        <w:tab/>
      </w:r>
      <w:r w:rsidR="006A7B89">
        <w:rPr>
          <w:rFonts w:ascii="Arial" w:eastAsia="Calibri" w:hAnsi="Arial" w:cs="Arial"/>
          <w:bCs/>
          <w:color w:val="000000" w:themeColor="text1"/>
        </w:rPr>
        <w:t xml:space="preserve">De otra parte, </w:t>
      </w:r>
      <w:r w:rsidR="00302F41">
        <w:rPr>
          <w:rFonts w:ascii="Arial" w:eastAsia="Calibri" w:hAnsi="Arial" w:cs="Arial"/>
          <w:bCs/>
          <w:color w:val="000000" w:themeColor="text1"/>
        </w:rPr>
        <w:t xml:space="preserve">en atención a lo dispuesto </w:t>
      </w:r>
      <w:r w:rsidR="00302F41">
        <w:rPr>
          <w:rFonts w:ascii="Arial" w:eastAsia="Calibri" w:hAnsi="Arial" w:cs="Arial"/>
          <w:lang w:val="es-ES_tradnl"/>
        </w:rPr>
        <w:t>el</w:t>
      </w:r>
      <w:r w:rsidR="00302F41" w:rsidRPr="00D31980">
        <w:rPr>
          <w:rFonts w:ascii="Arial" w:eastAsia="Calibri" w:hAnsi="Arial" w:cs="Arial"/>
          <w:lang w:val="es-ES_tradnl"/>
        </w:rPr>
        <w:t xml:space="preserve"> artículo 8, literal b) del numeral 2, de la Ley 80 de 1993</w:t>
      </w:r>
      <w:r w:rsidR="00302F41">
        <w:rPr>
          <w:rFonts w:ascii="Arial" w:eastAsia="Calibri" w:hAnsi="Arial" w:cs="Arial"/>
          <w:lang w:val="es-ES_tradnl"/>
        </w:rPr>
        <w:t xml:space="preserve">, no </w:t>
      </w:r>
      <w:r w:rsidR="00302F41" w:rsidRPr="00D31980">
        <w:rPr>
          <w:rFonts w:ascii="Arial" w:eastAsia="Calibri" w:hAnsi="Arial" w:cs="Arial"/>
          <w:lang w:val="es-ES_tradnl"/>
        </w:rPr>
        <w:t xml:space="preserve">podrán participar en </w:t>
      </w:r>
      <w:r w:rsidR="00302F41">
        <w:rPr>
          <w:rFonts w:ascii="Arial" w:eastAsia="Calibri" w:hAnsi="Arial" w:cs="Arial"/>
          <w:lang w:val="es-ES_tradnl"/>
        </w:rPr>
        <w:t>procedimientos de selección</w:t>
      </w:r>
      <w:r w:rsidR="00302F41" w:rsidRPr="00D31980">
        <w:rPr>
          <w:rFonts w:ascii="Arial" w:eastAsia="Calibri" w:hAnsi="Arial" w:cs="Arial"/>
          <w:lang w:val="es-ES_tradnl"/>
        </w:rPr>
        <w:t xml:space="preserve"> ni celebrar contratos estatales con la entidad respectiva</w:t>
      </w:r>
      <w:r w:rsidR="00302F41">
        <w:rPr>
          <w:rFonts w:ascii="Arial" w:eastAsia="Calibri" w:hAnsi="Arial" w:cs="Arial"/>
          <w:lang w:val="es-ES_tradnl"/>
        </w:rPr>
        <w:t xml:space="preserve"> “</w:t>
      </w:r>
      <w:r w:rsidR="00302F41" w:rsidRPr="002943B2">
        <w:rPr>
          <w:rFonts w:ascii="Arial" w:eastAsia="Calibri" w:hAnsi="Arial" w:cs="Arial"/>
          <w:lang w:val="es-ES_tradnl"/>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sidR="00302F41">
        <w:rPr>
          <w:rFonts w:ascii="Arial" w:eastAsia="Calibri" w:hAnsi="Arial" w:cs="Arial"/>
          <w:lang w:val="es-ES_tradnl"/>
        </w:rPr>
        <w:t xml:space="preserve">”, restricción que también se extiende al cónyuge o compañero permanente con fundamento en el literal c) </w:t>
      </w:r>
      <w:r w:rsidR="00302F41" w:rsidRPr="00E54CE9">
        <w:rPr>
          <w:rFonts w:ascii="Arial" w:eastAsia="Calibri" w:hAnsi="Arial" w:cs="Arial"/>
          <w:i/>
          <w:iCs/>
          <w:lang w:val="es-ES_tradnl"/>
        </w:rPr>
        <w:t>ibidem</w:t>
      </w:r>
      <w:r w:rsidR="00302F41" w:rsidRPr="002943B2">
        <w:rPr>
          <w:rFonts w:ascii="Arial" w:eastAsia="Calibri" w:hAnsi="Arial" w:cs="Arial"/>
          <w:lang w:val="es-ES_tradnl"/>
        </w:rPr>
        <w:t>.</w:t>
      </w:r>
      <w:r w:rsidR="00302F41">
        <w:rPr>
          <w:rFonts w:ascii="Arial" w:eastAsia="Calibri" w:hAnsi="Arial" w:cs="Arial"/>
          <w:lang w:val="es-ES_tradnl"/>
        </w:rPr>
        <w:t xml:space="preserve"> </w:t>
      </w:r>
      <w:r w:rsidR="008D7164">
        <w:rPr>
          <w:rFonts w:ascii="Arial" w:eastAsia="Calibri" w:hAnsi="Arial" w:cs="Arial"/>
          <w:lang w:val="es-ES_tradnl"/>
        </w:rPr>
        <w:t>Conforme a esto</w:t>
      </w:r>
      <w:r w:rsidR="00302F41">
        <w:rPr>
          <w:rFonts w:ascii="Arial" w:eastAsia="Calibri" w:hAnsi="Arial" w:cs="Arial"/>
          <w:lang w:val="es-ES_tradnl"/>
        </w:rPr>
        <w:t>, las</w:t>
      </w:r>
      <w:r w:rsidR="008D7164">
        <w:rPr>
          <w:rFonts w:ascii="Arial" w:eastAsia="Calibri" w:hAnsi="Arial" w:cs="Arial"/>
          <w:lang w:val="es-ES_tradnl"/>
        </w:rPr>
        <w:t xml:space="preserve"> referidas</w:t>
      </w:r>
      <w:r w:rsidR="00302F41">
        <w:rPr>
          <w:rFonts w:ascii="Arial" w:eastAsia="Calibri" w:hAnsi="Arial" w:cs="Arial"/>
          <w:lang w:val="es-ES_tradnl"/>
        </w:rPr>
        <w:t xml:space="preserve"> restricciones aplican a los parientes y al cónyuge o compañero permanente de los servidores públicos </w:t>
      </w:r>
      <w:r w:rsidR="00302F41" w:rsidRPr="002943B2">
        <w:rPr>
          <w:rFonts w:ascii="Arial" w:eastAsia="Calibri" w:hAnsi="Arial" w:cs="Arial"/>
          <w:lang w:val="es-ES_tradnl"/>
        </w:rPr>
        <w:t>de los niveles directivo, asesor, ejecutivo</w:t>
      </w:r>
      <w:r w:rsidR="00302F41">
        <w:rPr>
          <w:rFonts w:ascii="Arial" w:eastAsia="Calibri" w:hAnsi="Arial" w:cs="Arial"/>
          <w:lang w:val="es-ES_tradnl"/>
        </w:rPr>
        <w:t xml:space="preserve">. </w:t>
      </w:r>
    </w:p>
    <w:p w14:paraId="71279676" w14:textId="6008DF4F" w:rsidR="00C87232" w:rsidRPr="006D7E12" w:rsidRDefault="00C87232" w:rsidP="00660381">
      <w:pPr>
        <w:spacing w:after="0" w:line="276" w:lineRule="auto"/>
        <w:ind w:firstLine="708"/>
        <w:jc w:val="both"/>
        <w:rPr>
          <w:rFonts w:ascii="Arial" w:hAnsi="Arial" w:cs="Arial"/>
          <w:lang w:val="es-ES"/>
        </w:rPr>
      </w:pPr>
      <w:r w:rsidRPr="40C62BE1">
        <w:rPr>
          <w:rFonts w:ascii="Arial" w:eastAsia="Calibri" w:hAnsi="Arial" w:cs="Arial"/>
          <w:lang w:val="es-ES"/>
        </w:rPr>
        <w:t xml:space="preserve">Dentro de este marco general, teniendo en cuenta el carácter taxativo y la interpretación restrictiva de </w:t>
      </w:r>
      <w:r w:rsidR="27958F15" w:rsidRPr="40C62BE1">
        <w:rPr>
          <w:rFonts w:ascii="Arial" w:eastAsia="Calibri" w:hAnsi="Arial" w:cs="Arial"/>
          <w:lang w:val="es-ES"/>
        </w:rPr>
        <w:t>las causales</w:t>
      </w:r>
      <w:r w:rsidRPr="40C62BE1">
        <w:rPr>
          <w:rFonts w:ascii="Arial" w:eastAsia="Calibri" w:hAnsi="Arial" w:cs="Arial"/>
          <w:lang w:val="es-ES"/>
        </w:rPr>
        <w:t>, corresponderá a la entidad contratante definir si en las situaciones planteadas en la consulta se configura alguna prohibición para celebrar contratos con el Estado</w:t>
      </w:r>
      <w:r w:rsidRPr="40C62BE1">
        <w:rPr>
          <w:rFonts w:ascii="Arial" w:hAnsi="Arial" w:cs="Arial"/>
        </w:rPr>
        <w:t xml:space="preserve">. </w:t>
      </w:r>
      <w:r w:rsidRPr="40C62BE1">
        <w:rPr>
          <w:rFonts w:ascii="Arial" w:hAnsi="Arial" w:cs="Arial"/>
          <w:lang w:val="es-ES"/>
        </w:rPr>
        <w:t>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16C42084" w14:textId="77777777" w:rsidR="00C87232" w:rsidRPr="005A1001" w:rsidRDefault="00C87232" w:rsidP="00C87232">
      <w:pPr>
        <w:spacing w:after="0" w:line="276" w:lineRule="auto"/>
        <w:ind w:firstLine="708"/>
        <w:jc w:val="both"/>
        <w:rPr>
          <w:rFonts w:ascii="Arial" w:eastAsia="Calibri" w:hAnsi="Arial" w:cs="Arial"/>
          <w:lang w:val="es-ES_tradnl"/>
        </w:rPr>
      </w:pPr>
      <w:r>
        <w:rPr>
          <w:rFonts w:ascii="Arial" w:hAnsi="Arial" w:cs="Arial"/>
        </w:rPr>
        <w:t xml:space="preserve"> </w:t>
      </w:r>
    </w:p>
    <w:p w14:paraId="7D2034E7" w14:textId="77777777" w:rsidR="00C87232" w:rsidRDefault="00C87232" w:rsidP="00C87232">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579A70A9" w14:textId="77777777" w:rsidR="00C87232" w:rsidRPr="00181816" w:rsidRDefault="00C87232" w:rsidP="00C87232">
      <w:pPr>
        <w:widowControl w:val="0"/>
        <w:autoSpaceDE w:val="0"/>
        <w:autoSpaceDN w:val="0"/>
        <w:spacing w:after="0" w:line="276" w:lineRule="auto"/>
        <w:jc w:val="both"/>
        <w:rPr>
          <w:rFonts w:ascii="Arial" w:hAnsi="Arial" w:cs="Arial"/>
          <w:color w:val="000000" w:themeColor="text1"/>
          <w:lang w:val="es-ES_tradnl" w:bidi="es-ES"/>
        </w:rPr>
      </w:pPr>
    </w:p>
    <w:p w14:paraId="5AE0EF37" w14:textId="77777777" w:rsidR="00C87232" w:rsidRPr="000F4A3A" w:rsidRDefault="00C87232" w:rsidP="00C87232">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0245F96F" w14:textId="14CB53D5" w:rsidR="00C87232" w:rsidRPr="00CB70D9" w:rsidRDefault="00617CDA" w:rsidP="00C87232">
      <w:pPr>
        <w:jc w:val="center"/>
        <w:rPr>
          <w:rFonts w:ascii="Arial" w:eastAsia="Times New Roman" w:hAnsi="Arial" w:cs="Arial"/>
          <w:lang w:eastAsia="es-CO"/>
        </w:rPr>
      </w:pPr>
      <w:r>
        <w:rPr>
          <w:noProof/>
        </w:rPr>
        <w:drawing>
          <wp:inline distT="0" distB="0" distL="0" distR="0" wp14:anchorId="6475B4F4" wp14:editId="12ABDEE4">
            <wp:extent cx="3161905" cy="1209524"/>
            <wp:effectExtent l="0" t="0" r="635" b="0"/>
            <wp:docPr id="14480811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81165"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87232" w:rsidRPr="003F5F71" w14:paraId="201A0766" w14:textId="77777777" w:rsidTr="40C62BE1">
        <w:trPr>
          <w:trHeight w:val="409"/>
        </w:trPr>
        <w:tc>
          <w:tcPr>
            <w:tcW w:w="817" w:type="dxa"/>
            <w:tcBorders>
              <w:top w:val="nil"/>
              <w:left w:val="nil"/>
              <w:bottom w:val="nil"/>
              <w:right w:val="nil"/>
            </w:tcBorders>
            <w:vAlign w:val="center"/>
            <w:hideMark/>
          </w:tcPr>
          <w:p w14:paraId="517ED2BE" w14:textId="77777777" w:rsidR="00C87232" w:rsidRPr="009C1F1A" w:rsidRDefault="00C87232" w:rsidP="005A57A6">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9679E71" w14:textId="77777777" w:rsidR="00C87232" w:rsidRPr="009C1F1A" w:rsidRDefault="00C87232" w:rsidP="005A57A6">
            <w:pPr>
              <w:spacing w:after="0" w:line="240" w:lineRule="auto"/>
              <w:jc w:val="both"/>
              <w:rPr>
                <w:rFonts w:ascii="Arial" w:hAnsi="Arial" w:cs="Arial"/>
                <w:sz w:val="16"/>
                <w:szCs w:val="16"/>
              </w:rPr>
            </w:pPr>
            <w:r>
              <w:rPr>
                <w:rFonts w:ascii="Arial" w:hAnsi="Arial" w:cs="Arial"/>
                <w:sz w:val="16"/>
                <w:szCs w:val="16"/>
              </w:rPr>
              <w:t>Juan David Montoya Penagos</w:t>
            </w:r>
          </w:p>
          <w:p w14:paraId="6736103E" w14:textId="77777777" w:rsidR="00C87232" w:rsidRPr="009C1F1A" w:rsidRDefault="00C87232" w:rsidP="005A57A6">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C87232" w:rsidRPr="003F5F71" w14:paraId="4C8BE959" w14:textId="77777777" w:rsidTr="40C62BE1">
        <w:trPr>
          <w:trHeight w:val="409"/>
        </w:trPr>
        <w:tc>
          <w:tcPr>
            <w:tcW w:w="817" w:type="dxa"/>
            <w:tcBorders>
              <w:top w:val="nil"/>
              <w:left w:val="nil"/>
              <w:right w:val="nil"/>
            </w:tcBorders>
            <w:vAlign w:val="center"/>
          </w:tcPr>
          <w:p w14:paraId="219A849C" w14:textId="77777777" w:rsidR="00C87232" w:rsidRPr="1CF3ADA9" w:rsidRDefault="00C87232" w:rsidP="005A57A6">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FDE231F" w14:textId="77777777" w:rsidR="00C87232" w:rsidRPr="009C1F1A" w:rsidRDefault="00C87232" w:rsidP="005A57A6">
            <w:pPr>
              <w:spacing w:after="0" w:line="240" w:lineRule="auto"/>
              <w:jc w:val="both"/>
              <w:rPr>
                <w:rFonts w:ascii="Arial" w:hAnsi="Arial" w:cs="Arial"/>
                <w:sz w:val="16"/>
                <w:szCs w:val="16"/>
              </w:rPr>
            </w:pPr>
            <w:r>
              <w:rPr>
                <w:rFonts w:ascii="Arial" w:hAnsi="Arial" w:cs="Arial"/>
                <w:sz w:val="16"/>
                <w:szCs w:val="16"/>
              </w:rPr>
              <w:t>Alejandro Sarmiento Cantillo</w:t>
            </w:r>
          </w:p>
          <w:p w14:paraId="3261EF35" w14:textId="6A20C2B6" w:rsidR="00C87232" w:rsidRPr="009C1F1A" w:rsidRDefault="00C87232" w:rsidP="40C62BE1">
            <w:pPr>
              <w:spacing w:after="0" w:line="240" w:lineRule="auto"/>
              <w:jc w:val="both"/>
              <w:rPr>
                <w:rFonts w:ascii="Arial" w:hAnsi="Arial" w:cs="Arial"/>
                <w:sz w:val="16"/>
                <w:szCs w:val="16"/>
              </w:rPr>
            </w:pPr>
            <w:r w:rsidRPr="40C62BE1">
              <w:rPr>
                <w:rFonts w:ascii="Arial" w:hAnsi="Arial" w:cs="Arial"/>
                <w:sz w:val="16"/>
                <w:szCs w:val="16"/>
              </w:rPr>
              <w:t>Gestor T1 ‒ 15 de la Subdirección de Gestión Contractual</w:t>
            </w:r>
          </w:p>
          <w:p w14:paraId="6930215D" w14:textId="2740B0A9" w:rsidR="00C87232" w:rsidRPr="009C1F1A" w:rsidRDefault="0CFA44C6" w:rsidP="40C62BE1">
            <w:pPr>
              <w:spacing w:after="0" w:line="240" w:lineRule="auto"/>
              <w:jc w:val="both"/>
              <w:rPr>
                <w:rFonts w:ascii="Arial" w:hAnsi="Arial" w:cs="Arial"/>
                <w:sz w:val="16"/>
                <w:szCs w:val="16"/>
              </w:rPr>
            </w:pPr>
            <w:r w:rsidRPr="40C62BE1">
              <w:rPr>
                <w:rFonts w:ascii="Arial" w:hAnsi="Arial" w:cs="Arial"/>
                <w:sz w:val="16"/>
                <w:szCs w:val="16"/>
              </w:rPr>
              <w:t>Gabriel Mendoza M</w:t>
            </w:r>
          </w:p>
          <w:p w14:paraId="47F63CEB" w14:textId="7999FECC" w:rsidR="00C87232" w:rsidRPr="009C1F1A" w:rsidRDefault="0CFA44C6" w:rsidP="40C62BE1">
            <w:pPr>
              <w:spacing w:after="0" w:line="240" w:lineRule="auto"/>
              <w:jc w:val="both"/>
              <w:rPr>
                <w:rFonts w:ascii="Arial" w:hAnsi="Arial" w:cs="Arial"/>
                <w:sz w:val="16"/>
                <w:szCs w:val="16"/>
              </w:rPr>
            </w:pPr>
            <w:r w:rsidRPr="40C62BE1">
              <w:rPr>
                <w:rFonts w:ascii="Arial" w:hAnsi="Arial" w:cs="Arial"/>
                <w:sz w:val="16"/>
                <w:szCs w:val="16"/>
              </w:rPr>
              <w:t>Contratista de la Subdirección de Gestión Contractual</w:t>
            </w:r>
          </w:p>
        </w:tc>
      </w:tr>
      <w:tr w:rsidR="00C87232" w:rsidRPr="003F5F71" w14:paraId="680CEB8F" w14:textId="77777777" w:rsidTr="40C62BE1">
        <w:trPr>
          <w:trHeight w:val="389"/>
        </w:trPr>
        <w:tc>
          <w:tcPr>
            <w:tcW w:w="817" w:type="dxa"/>
            <w:tcBorders>
              <w:top w:val="nil"/>
              <w:left w:val="nil"/>
              <w:bottom w:val="nil"/>
              <w:right w:val="nil"/>
            </w:tcBorders>
            <w:vAlign w:val="center"/>
            <w:hideMark/>
          </w:tcPr>
          <w:p w14:paraId="2E83DD57" w14:textId="77777777" w:rsidR="00C87232" w:rsidRPr="009C1F1A" w:rsidRDefault="00C87232" w:rsidP="005A57A6">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3CF1C90" w14:textId="77777777" w:rsidR="00C87232" w:rsidRPr="009C1F1A" w:rsidRDefault="00C87232" w:rsidP="005A57A6">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0B877E82" w14:textId="77777777" w:rsidR="00C87232" w:rsidRPr="009C1F1A" w:rsidRDefault="00C87232" w:rsidP="005A57A6">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52B5BED7" w14:textId="77777777" w:rsidR="00C87232" w:rsidRPr="006219F8" w:rsidRDefault="00C87232" w:rsidP="00C87232">
      <w:pPr>
        <w:tabs>
          <w:tab w:val="left" w:pos="0"/>
        </w:tabs>
        <w:spacing w:line="276" w:lineRule="auto"/>
        <w:contextualSpacing/>
        <w:jc w:val="both"/>
        <w:rPr>
          <w:lang w:val="es-MX"/>
        </w:rPr>
      </w:pPr>
    </w:p>
    <w:p w14:paraId="0F293BF4" w14:textId="0F6FB6C1" w:rsidR="00127233" w:rsidRPr="00D5218A" w:rsidRDefault="00127233" w:rsidP="00D5218A"/>
    <w:sectPr w:rsidR="00127233" w:rsidRPr="00D5218A"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7B39" w14:textId="77777777" w:rsidR="0099415E" w:rsidRDefault="0099415E" w:rsidP="004A1847">
      <w:pPr>
        <w:spacing w:after="0" w:line="240" w:lineRule="auto"/>
      </w:pPr>
      <w:r>
        <w:separator/>
      </w:r>
    </w:p>
  </w:endnote>
  <w:endnote w:type="continuationSeparator" w:id="0">
    <w:p w14:paraId="3E1DA403" w14:textId="77777777" w:rsidR="0099415E" w:rsidRDefault="0099415E" w:rsidP="004A1847">
      <w:pPr>
        <w:spacing w:after="0" w:line="240" w:lineRule="auto"/>
      </w:pPr>
      <w:r>
        <w:continuationSeparator/>
      </w:r>
    </w:p>
  </w:endnote>
  <w:endnote w:type="continuationNotice" w:id="1">
    <w:p w14:paraId="6C3695AA" w14:textId="77777777" w:rsidR="0099415E" w:rsidRDefault="00994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7B3DD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997AEB">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997AEB">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1D0D" w14:textId="77777777" w:rsidR="0099415E" w:rsidRDefault="0099415E" w:rsidP="004A1847">
      <w:pPr>
        <w:spacing w:after="0" w:line="240" w:lineRule="auto"/>
      </w:pPr>
      <w:r>
        <w:separator/>
      </w:r>
    </w:p>
  </w:footnote>
  <w:footnote w:type="continuationSeparator" w:id="0">
    <w:p w14:paraId="61A0A216" w14:textId="77777777" w:rsidR="0099415E" w:rsidRDefault="0099415E" w:rsidP="004A1847">
      <w:pPr>
        <w:spacing w:after="0" w:line="240" w:lineRule="auto"/>
      </w:pPr>
      <w:r>
        <w:continuationSeparator/>
      </w:r>
    </w:p>
  </w:footnote>
  <w:footnote w:type="continuationNotice" w:id="1">
    <w:p w14:paraId="72B73ABF" w14:textId="77777777" w:rsidR="0099415E" w:rsidRDefault="0099415E">
      <w:pPr>
        <w:spacing w:after="0" w:line="240" w:lineRule="auto"/>
      </w:pPr>
    </w:p>
  </w:footnote>
  <w:footnote w:id="2">
    <w:p w14:paraId="7135DEA1" w14:textId="77777777" w:rsidR="00C87232" w:rsidRPr="00660381" w:rsidRDefault="00C87232" w:rsidP="00C87232">
      <w:pPr>
        <w:pStyle w:val="Textonotapie"/>
        <w:ind w:firstLine="708"/>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60381">
        <w:rPr>
          <w:rFonts w:ascii="Arial" w:hAnsi="Arial" w:cs="Arial"/>
          <w:i/>
          <w:iCs/>
          <w:sz w:val="14"/>
          <w:szCs w:val="14"/>
        </w:rPr>
        <w:t xml:space="preserve">ibidem </w:t>
      </w:r>
      <w:r w:rsidRPr="00660381">
        <w:rPr>
          <w:rFonts w:ascii="Arial" w:hAnsi="Arial" w:cs="Arial"/>
          <w:sz w:val="14"/>
          <w:szCs w:val="14"/>
        </w:rPr>
        <w:t>señala, de manera precisa, las funciones de Colombia Compra Eficiente. Concretamente, el numeral 5º de este artículo establece que le corresponde a esta entidad: “[a]</w:t>
      </w:r>
      <w:proofErr w:type="spellStart"/>
      <w:r w:rsidRPr="00660381">
        <w:rPr>
          <w:rFonts w:ascii="Arial" w:hAnsi="Arial" w:cs="Arial"/>
          <w:sz w:val="14"/>
          <w:szCs w:val="14"/>
        </w:rPr>
        <w:t>bsolver</w:t>
      </w:r>
      <w:proofErr w:type="spellEnd"/>
      <w:r w:rsidRPr="00660381">
        <w:rPr>
          <w:rFonts w:ascii="Arial" w:hAnsi="Arial" w:cs="Arial"/>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60381">
        <w:rPr>
          <w:rFonts w:ascii="Arial" w:hAnsi="Arial" w:cs="Arial"/>
          <w:sz w:val="14"/>
          <w:szCs w:val="14"/>
        </w:rPr>
        <w:t>bsolver</w:t>
      </w:r>
      <w:proofErr w:type="spellEnd"/>
      <w:r w:rsidRPr="00660381">
        <w:rPr>
          <w:rFonts w:ascii="Arial" w:hAnsi="Arial" w:cs="Arial"/>
          <w:sz w:val="14"/>
          <w:szCs w:val="14"/>
        </w:rPr>
        <w:t xml:space="preserve"> consultas sobre la aplicación de normas de carácter general”.</w:t>
      </w:r>
    </w:p>
  </w:footnote>
  <w:footnote w:id="3">
    <w:p w14:paraId="3AAACD0F"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660381">
          <w:rPr>
            <w:rStyle w:val="Hipervnculo"/>
            <w:rFonts w:ascii="Arial" w:hAnsi="Arial" w:cs="Arial"/>
            <w:sz w:val="14"/>
            <w:szCs w:val="14"/>
          </w:rPr>
          <w:t>https://relatoria.colombiacompra.gov.co/busqueda/conceptos</w:t>
        </w:r>
      </w:hyperlink>
      <w:r w:rsidRPr="00660381">
        <w:rPr>
          <w:rStyle w:val="Hipervnculo"/>
          <w:rFonts w:ascii="Arial" w:hAnsi="Arial" w:cs="Arial"/>
          <w:color w:val="auto"/>
          <w:sz w:val="14"/>
          <w:szCs w:val="14"/>
        </w:rPr>
        <w:t xml:space="preserve">. </w:t>
      </w:r>
      <w:r w:rsidRPr="00660381">
        <w:rPr>
          <w:rFonts w:ascii="Arial" w:hAnsi="Arial" w:cs="Arial"/>
          <w:sz w:val="14"/>
          <w:szCs w:val="14"/>
          <w:shd w:val="clear" w:color="auto" w:fill="E6E6E6"/>
        </w:rPr>
        <w:t xml:space="preserve"> </w:t>
      </w:r>
    </w:p>
  </w:footnote>
  <w:footnote w:id="4">
    <w:p w14:paraId="45899AFB"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CORTE CONSTITUCIONAL. Sentencia C-1016 de 2012. M.P. Jorge Iván Palacio.</w:t>
      </w:r>
    </w:p>
  </w:footnote>
  <w:footnote w:id="5">
    <w:p w14:paraId="4B0B638D" w14:textId="77777777" w:rsidR="00C87232" w:rsidRPr="00660381" w:rsidRDefault="00C87232" w:rsidP="00C87232">
      <w:pPr>
        <w:pStyle w:val="Textonotapie"/>
        <w:ind w:firstLine="709"/>
        <w:jc w:val="both"/>
        <w:rPr>
          <w:rFonts w:ascii="Arial" w:hAnsi="Arial" w:cs="Arial"/>
          <w:sz w:val="14"/>
          <w:szCs w:val="14"/>
          <w:lang w:val="pt-BR"/>
        </w:rPr>
      </w:pPr>
      <w:r w:rsidRPr="00660381">
        <w:rPr>
          <w:rStyle w:val="Refdenotaalpie"/>
          <w:rFonts w:ascii="Arial" w:hAnsi="Arial" w:cs="Arial"/>
          <w:sz w:val="14"/>
          <w:szCs w:val="14"/>
        </w:rPr>
        <w:footnoteRef/>
      </w:r>
      <w:r w:rsidRPr="00660381">
        <w:rPr>
          <w:rFonts w:ascii="Arial" w:hAnsi="Arial" w:cs="Arial"/>
          <w:sz w:val="14"/>
          <w:szCs w:val="14"/>
        </w:rPr>
        <w:t xml:space="preserve"> CONSEJO DE ESTADO. Sección Tercera. Subsección A. Sentencia del 13 de noviembre de 2013. </w:t>
      </w:r>
      <w:r w:rsidRPr="00660381">
        <w:rPr>
          <w:rFonts w:ascii="Arial" w:hAnsi="Arial" w:cs="Arial"/>
          <w:sz w:val="14"/>
          <w:szCs w:val="14"/>
          <w:lang w:val="pt-BR"/>
        </w:rPr>
        <w:t xml:space="preserve">Rad. 25.646. C.P. Mauricio Fajardo Gómez.  </w:t>
      </w:r>
    </w:p>
    <w:p w14:paraId="0EF7064C" w14:textId="77777777" w:rsidR="00C87232" w:rsidRPr="00660381" w:rsidRDefault="00C87232" w:rsidP="00C87232">
      <w:pPr>
        <w:pStyle w:val="Textonotapie"/>
        <w:ind w:firstLine="709"/>
        <w:jc w:val="both"/>
        <w:rPr>
          <w:rFonts w:ascii="Arial" w:hAnsi="Arial" w:cs="Arial"/>
          <w:sz w:val="14"/>
          <w:szCs w:val="14"/>
          <w:lang w:val="es-ES_tradnl"/>
        </w:rPr>
      </w:pPr>
    </w:p>
  </w:footnote>
  <w:footnote w:id="6">
    <w:p w14:paraId="35B93E91"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 xml:space="preserve">CORTE CONSTITUCIONAL. Sentencia C-415 de 1994. M.P. Eduardo </w:t>
      </w:r>
      <w:proofErr w:type="spellStart"/>
      <w:r w:rsidRPr="00660381">
        <w:rPr>
          <w:rFonts w:ascii="Arial" w:hAnsi="Arial" w:cs="Arial"/>
          <w:sz w:val="14"/>
          <w:szCs w:val="14"/>
          <w:lang w:val="pt-BR"/>
        </w:rPr>
        <w:t>Cifuentes</w:t>
      </w:r>
      <w:proofErr w:type="spellEnd"/>
      <w:r w:rsidRPr="00660381">
        <w:rPr>
          <w:rFonts w:ascii="Arial" w:hAnsi="Arial" w:cs="Arial"/>
          <w:sz w:val="14"/>
          <w:szCs w:val="14"/>
          <w:lang w:val="pt-BR"/>
        </w:rPr>
        <w:t xml:space="preserve"> </w:t>
      </w:r>
      <w:proofErr w:type="spellStart"/>
      <w:r w:rsidRPr="00660381">
        <w:rPr>
          <w:rFonts w:ascii="Arial" w:hAnsi="Arial" w:cs="Arial"/>
          <w:sz w:val="14"/>
          <w:szCs w:val="14"/>
          <w:lang w:val="pt-BR"/>
        </w:rPr>
        <w:t>Muñoz</w:t>
      </w:r>
      <w:proofErr w:type="spellEnd"/>
      <w:r w:rsidRPr="00660381">
        <w:rPr>
          <w:rFonts w:ascii="Arial" w:hAnsi="Arial" w:cs="Arial"/>
          <w:sz w:val="14"/>
          <w:szCs w:val="14"/>
          <w:lang w:val="pt-BR"/>
        </w:rPr>
        <w:t>.</w:t>
      </w:r>
    </w:p>
  </w:footnote>
  <w:footnote w:id="7">
    <w:p w14:paraId="1EA219EB" w14:textId="77777777" w:rsidR="00C87232" w:rsidRPr="00660381" w:rsidRDefault="00C87232" w:rsidP="00C87232">
      <w:pPr>
        <w:pStyle w:val="Textonotapie"/>
        <w:ind w:firstLine="709"/>
        <w:jc w:val="both"/>
        <w:rPr>
          <w:rFonts w:ascii="Arial" w:hAnsi="Arial" w:cs="Arial"/>
          <w:sz w:val="14"/>
          <w:szCs w:val="14"/>
          <w:lang w:val="pt-BR"/>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Ibídem.</w:t>
      </w:r>
    </w:p>
    <w:p w14:paraId="7156F893" w14:textId="77777777" w:rsidR="009B3AB1" w:rsidRPr="00660381" w:rsidRDefault="009B3AB1" w:rsidP="00C87232">
      <w:pPr>
        <w:pStyle w:val="Textonotapie"/>
        <w:ind w:firstLine="709"/>
        <w:jc w:val="both"/>
        <w:rPr>
          <w:rFonts w:ascii="Arial" w:hAnsi="Arial" w:cs="Arial"/>
          <w:sz w:val="14"/>
          <w:szCs w:val="14"/>
          <w:lang w:val="pt-BR"/>
        </w:rPr>
      </w:pPr>
    </w:p>
  </w:footnote>
  <w:footnote w:id="8">
    <w:p w14:paraId="4BC90CA9" w14:textId="77777777" w:rsidR="00C87232" w:rsidRPr="00997AEB" w:rsidRDefault="00C87232" w:rsidP="00C87232">
      <w:pPr>
        <w:pStyle w:val="Textonotapie"/>
        <w:ind w:firstLine="709"/>
        <w:jc w:val="both"/>
        <w:rPr>
          <w:rFonts w:ascii="Arial" w:hAnsi="Arial" w:cs="Arial"/>
          <w:sz w:val="14"/>
          <w:szCs w:val="14"/>
          <w:lang w:val="es-CO"/>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 xml:space="preserve">CORTE CONSTITUCIONAL. </w:t>
      </w:r>
      <w:r w:rsidRPr="00660381">
        <w:rPr>
          <w:rFonts w:ascii="Arial" w:hAnsi="Arial" w:cs="Arial"/>
          <w:sz w:val="14"/>
          <w:szCs w:val="14"/>
        </w:rPr>
        <w:t xml:space="preserve">Sentencia C-780 de 2001. </w:t>
      </w:r>
      <w:r w:rsidRPr="00997AEB">
        <w:rPr>
          <w:rFonts w:ascii="Arial" w:hAnsi="Arial" w:cs="Arial"/>
          <w:sz w:val="14"/>
          <w:szCs w:val="14"/>
          <w:lang w:val="es-CO"/>
        </w:rPr>
        <w:t xml:space="preserve">M.P. Jaime Córdoba Triviño. </w:t>
      </w:r>
    </w:p>
  </w:footnote>
  <w:footnote w:id="9">
    <w:p w14:paraId="044461CA" w14:textId="77777777" w:rsidR="009B3AB1" w:rsidRPr="00660381" w:rsidRDefault="009B3AB1" w:rsidP="00C87232">
      <w:pPr>
        <w:pStyle w:val="NormalWeb"/>
        <w:spacing w:before="0" w:beforeAutospacing="0" w:after="0" w:afterAutospacing="0"/>
        <w:ind w:firstLine="709"/>
        <w:jc w:val="both"/>
        <w:rPr>
          <w:rFonts w:ascii="Arial" w:hAnsi="Arial" w:cs="Arial"/>
          <w:sz w:val="14"/>
          <w:szCs w:val="14"/>
        </w:rPr>
      </w:pPr>
    </w:p>
    <w:p w14:paraId="7AF78363" w14:textId="1C6C5D4F"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eastAsiaTheme="minorHAnsi" w:hAnsi="Arial" w:cs="Arial"/>
          <w:sz w:val="14"/>
          <w:szCs w:val="14"/>
          <w:lang w:val="es-ES" w:eastAsia="en-US"/>
        </w:rPr>
        <w:t>Ley 80 de 1993: “Artículo 8: 1o. Son inhábiles para participar en licitaciones o concursos y para celebrar contratos con las entidades estatales: </w:t>
      </w:r>
    </w:p>
    <w:p w14:paraId="04785E8F"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a) Las personas que se hallen inhabilitadas para contratar por la Constitución y las leyes. </w:t>
      </w:r>
    </w:p>
    <w:p w14:paraId="18D05584"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b) Quienes participaron en las licitaciones o concursos o celebraron los contratos de que trata el literal anterior estando inhabilitados. </w:t>
      </w:r>
    </w:p>
    <w:p w14:paraId="0B6D59F6"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c) Quienes dieron lugar a la declaratoria de caducidad. </w:t>
      </w:r>
    </w:p>
    <w:p w14:paraId="7D20DDE6"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d) Quienes en sentencia judicial hayan sido condenados a la pena accesoria de interdicción de derechos y funciones públicas y quienes hayan sido sancionados disciplinariamente con destitución. </w:t>
      </w:r>
    </w:p>
    <w:p w14:paraId="70EDAED9"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e) Quienes sin justa causa se abstengan de suscribir el contrato estatal adjudicado. </w:t>
      </w:r>
    </w:p>
    <w:p w14:paraId="6959A30E"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f) Los servidores públicos. </w:t>
      </w:r>
    </w:p>
    <w:p w14:paraId="2ED14367"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2D138ECD"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625A13C8"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i) Los socios de sociedades de personas a las cuales se haya declarado la caducidad, así como las sociedades de personas de las que aquellos formen parte con posterioridad a dicha declaratoria. </w:t>
      </w:r>
    </w:p>
    <w:p w14:paraId="34B5BA2C"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3AB3EDA5"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23B0AD9B"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660381">
        <w:rPr>
          <w:rFonts w:ascii="Arial" w:eastAsiaTheme="minorHAnsi" w:hAnsi="Arial" w:cs="Arial"/>
          <w:sz w:val="14"/>
          <w:szCs w:val="14"/>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660381">
        <w:rPr>
          <w:rFonts w:ascii="Arial" w:eastAsiaTheme="minorHAnsi" w:hAnsi="Arial" w:cs="Arial"/>
          <w:sz w:val="14"/>
          <w:szCs w:val="14"/>
          <w:lang w:val="es-ES" w:eastAsia="en-US"/>
        </w:rPr>
        <w:softHyphen/>
        <w:t>cepción de las sociedades anónimas abiertas. También se considerarán inhabilitadas para contratar, las personas jurídicas sobre las cuales se haya ordenado la suspensión de la perso</w:t>
      </w:r>
      <w:r w:rsidRPr="00660381">
        <w:rPr>
          <w:rFonts w:ascii="Arial" w:eastAsiaTheme="minorHAnsi" w:hAnsi="Arial" w:cs="Arial"/>
          <w:sz w:val="14"/>
          <w:szCs w:val="14"/>
          <w:lang w:val="es-ES" w:eastAsia="en-US"/>
        </w:rPr>
        <w:softHyphen/>
        <w:t>nería jurídica en los términos de ley, o cuyos representantes legales, ad</w:t>
      </w:r>
      <w:r w:rsidRPr="00660381">
        <w:rPr>
          <w:rFonts w:ascii="Arial" w:eastAsiaTheme="minorHAnsi" w:hAnsi="Arial" w:cs="Arial"/>
          <w:sz w:val="14"/>
          <w:szCs w:val="14"/>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660381">
        <w:rPr>
          <w:rFonts w:ascii="Arial" w:eastAsiaTheme="minorHAnsi" w:hAnsi="Arial" w:cs="Arial"/>
          <w:sz w:val="14"/>
          <w:szCs w:val="14"/>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C00E4E8"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w:t>
      </w:r>
    </w:p>
    <w:p w14:paraId="595A6AB3" w14:textId="77777777" w:rsidR="00C87232" w:rsidRPr="00660381" w:rsidRDefault="00C87232" w:rsidP="00C87232">
      <w:pPr>
        <w:pStyle w:val="NormalWeb"/>
        <w:spacing w:before="0" w:beforeAutospacing="0" w:after="0" w:afterAutospacing="0"/>
        <w:ind w:firstLine="709"/>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2o. Tampoco podrán participar en licitaciones o concursos ni celebrar contratos estatales con la entidad respectiva: </w:t>
      </w:r>
    </w:p>
    <w:p w14:paraId="7CBC4DBC"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EFF1709"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B23AA47"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22486938"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4EF953E6"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4E146E21" w14:textId="77777777" w:rsidR="00C87232" w:rsidRPr="00660381" w:rsidRDefault="00C87232" w:rsidP="00C87232">
      <w:pPr>
        <w:pStyle w:val="NormalWeb"/>
        <w:spacing w:before="0" w:beforeAutospacing="0" w:after="0" w:afterAutospacing="0"/>
        <w:ind w:firstLine="708"/>
        <w:jc w:val="both"/>
        <w:rPr>
          <w:rFonts w:ascii="Arial" w:eastAsiaTheme="minorHAnsi" w:hAnsi="Arial" w:cs="Arial"/>
          <w:sz w:val="14"/>
          <w:szCs w:val="14"/>
          <w:lang w:val="es-ES" w:eastAsia="en-US"/>
        </w:rPr>
      </w:pPr>
      <w:r w:rsidRPr="00660381">
        <w:rPr>
          <w:rFonts w:ascii="Arial" w:eastAsiaTheme="minorHAnsi" w:hAnsi="Arial" w:cs="Arial"/>
          <w:sz w:val="14"/>
          <w:szCs w:val="14"/>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660381">
        <w:rPr>
          <w:rFonts w:ascii="Arial" w:eastAsiaTheme="minorHAnsi" w:hAnsi="Arial" w:cs="Arial"/>
          <w:sz w:val="14"/>
          <w:szCs w:val="14"/>
          <w:lang w:val="es-ES" w:eastAsia="en-US"/>
        </w:rPr>
        <w:t>ex empleado</w:t>
      </w:r>
      <w:proofErr w:type="gramEnd"/>
      <w:r w:rsidRPr="00660381">
        <w:rPr>
          <w:rFonts w:ascii="Arial" w:eastAsiaTheme="minorHAnsi" w:hAnsi="Arial" w:cs="Arial"/>
          <w:sz w:val="14"/>
          <w:szCs w:val="14"/>
          <w:lang w:val="es-ES" w:eastAsia="en-US"/>
        </w:rPr>
        <w:t xml:space="preserve"> público”. (…). </w:t>
      </w:r>
    </w:p>
  </w:footnote>
  <w:footnote w:id="10">
    <w:p w14:paraId="00D1BE16"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0975FA28"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Las personas jurídicas nacionales y extranjeras deberán acreditar que su duración no será inferior a la del plazo del contrato y un año más”.</w:t>
      </w:r>
    </w:p>
  </w:footnote>
  <w:footnote w:id="11">
    <w:p w14:paraId="0E0A91CC"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Código Civil: “Artículo 1502. Requisitos para obligarse. Para que una persona se obligue a otra por un acto o declaración de voluntad, es necesario:</w:t>
      </w:r>
    </w:p>
    <w:p w14:paraId="4688061B"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1o.) que sea legalmente capaz.</w:t>
      </w:r>
    </w:p>
    <w:p w14:paraId="6B5F0479"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w:t>
      </w:r>
    </w:p>
    <w:p w14:paraId="373B8334" w14:textId="77777777" w:rsidR="00C87232" w:rsidRPr="00660381" w:rsidRDefault="00C87232" w:rsidP="00C87232">
      <w:pPr>
        <w:pStyle w:val="Textonotapie"/>
        <w:ind w:firstLine="709"/>
        <w:jc w:val="both"/>
        <w:rPr>
          <w:rFonts w:ascii="Arial" w:hAnsi="Arial" w:cs="Arial"/>
          <w:sz w:val="14"/>
          <w:szCs w:val="14"/>
        </w:rPr>
      </w:pPr>
      <w:r w:rsidRPr="00660381">
        <w:rPr>
          <w:rFonts w:ascii="Arial" w:hAnsi="Arial" w:cs="Arial"/>
          <w:sz w:val="14"/>
          <w:szCs w:val="14"/>
        </w:rPr>
        <w:t>La capacidad legal de una persona consiste en poderse obligar por sí misma, sin el ministerio o la autorización de otra”.</w:t>
      </w:r>
    </w:p>
  </w:footnote>
  <w:footnote w:id="12">
    <w:p w14:paraId="01253571"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Decreto Ley 19 de 2012: “Artículo 221. El artículo 6 de la Ley 1150 de 2007, quedará así:</w:t>
      </w:r>
    </w:p>
    <w:p w14:paraId="0B7FD179" w14:textId="77777777" w:rsidR="00C87232" w:rsidRPr="00660381" w:rsidRDefault="00C87232" w:rsidP="00C87232">
      <w:pPr>
        <w:pStyle w:val="Textonotapie"/>
        <w:ind w:firstLine="709"/>
        <w:jc w:val="both"/>
        <w:rPr>
          <w:rFonts w:ascii="Arial" w:hAnsi="Arial" w:cs="Arial"/>
          <w:sz w:val="14"/>
          <w:szCs w:val="14"/>
          <w:lang w:val="es-ES"/>
        </w:rPr>
      </w:pPr>
      <w:r w:rsidRPr="00660381">
        <w:rPr>
          <w:rFonts w:ascii="Arial" w:hAnsi="Arial" w:cs="Arial"/>
          <w:sz w:val="14"/>
          <w:szCs w:val="14"/>
        </w:rPr>
        <w:t>Artículo 6. De la verificación de las condiciones de los proponentes. T</w:t>
      </w:r>
      <w:proofErr w:type="spellStart"/>
      <w:r w:rsidRPr="00660381">
        <w:rPr>
          <w:rFonts w:ascii="Arial" w:hAnsi="Arial" w:cs="Arial"/>
          <w:sz w:val="14"/>
          <w:szCs w:val="14"/>
          <w:lang w:val="es-ES"/>
        </w:rPr>
        <w:t>odas</w:t>
      </w:r>
      <w:proofErr w:type="spellEnd"/>
      <w:r w:rsidRPr="00660381">
        <w:rPr>
          <w:rFonts w:ascii="Arial" w:hAnsi="Arial" w:cs="Arial"/>
          <w:sz w:val="14"/>
          <w:szCs w:val="14"/>
          <w:lang w:val="es-ES"/>
        </w:rPr>
        <w:t xml:space="preserve">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193C2E2" w14:textId="77777777" w:rsidR="00C87232" w:rsidRPr="00660381" w:rsidRDefault="00C87232" w:rsidP="00C87232">
      <w:pPr>
        <w:pStyle w:val="Textonotapie"/>
        <w:ind w:firstLine="709"/>
        <w:jc w:val="both"/>
        <w:rPr>
          <w:rFonts w:ascii="Arial" w:hAnsi="Arial" w:cs="Arial"/>
          <w:sz w:val="14"/>
          <w:szCs w:val="14"/>
          <w:lang w:val="es-ES"/>
        </w:rPr>
      </w:pPr>
      <w:r w:rsidRPr="00660381">
        <w:rPr>
          <w:rFonts w:ascii="Arial" w:hAnsi="Arial" w:cs="Arial"/>
          <w:sz w:val="14"/>
          <w:szCs w:val="14"/>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3">
    <w:p w14:paraId="5CA838B8"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660381">
        <w:rPr>
          <w:rFonts w:ascii="Arial" w:hAnsi="Arial" w:cs="Arial"/>
          <w:i/>
          <w:iCs/>
          <w:sz w:val="14"/>
          <w:szCs w:val="14"/>
          <w:lang w:val="es-ES"/>
        </w:rPr>
        <w:t>el régimen de inhabilidades e incompatibilidades</w:t>
      </w:r>
      <w:r w:rsidRPr="00660381">
        <w:rPr>
          <w:rFonts w:ascii="Arial" w:hAnsi="Arial" w:cs="Arial"/>
          <w:sz w:val="14"/>
          <w:szCs w:val="14"/>
          <w:lang w:val="es-ES"/>
        </w:rPr>
        <w:t xml:space="preserve"> (1) y la obligación de ciertos proponentes de inscribirse en el </w:t>
      </w:r>
      <w:r w:rsidRPr="00660381">
        <w:rPr>
          <w:rFonts w:ascii="Arial" w:hAnsi="Arial" w:cs="Arial"/>
          <w:i/>
          <w:iCs/>
          <w:sz w:val="14"/>
          <w:szCs w:val="14"/>
          <w:lang w:val="es-ES"/>
        </w:rPr>
        <w:t>registro único</w:t>
      </w:r>
      <w:r w:rsidRPr="00660381">
        <w:rPr>
          <w:rFonts w:ascii="Arial" w:hAnsi="Arial" w:cs="Arial"/>
          <w:sz w:val="14"/>
          <w:szCs w:val="14"/>
          <w:lang w:val="es-ES"/>
        </w:rPr>
        <w:t xml:space="preserve"> (2)” (BENAVIDES, José Luis. El contrato estatal. Entre el Derecho público y el Derecho privado. 2ª ed. Bogotá: Universidad Externado de Colombia, 2004. p. 278). </w:t>
      </w:r>
    </w:p>
  </w:footnote>
  <w:footnote w:id="14">
    <w:p w14:paraId="3C94E07B" w14:textId="77777777" w:rsidR="00C87232" w:rsidRPr="00660381" w:rsidRDefault="00C87232" w:rsidP="00C87232">
      <w:pPr>
        <w:spacing w:after="0" w:line="240" w:lineRule="auto"/>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b, Ley 80/93); “Quienes dieron lugar a la declaratoria de caducidad”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d), Ley 80/93); “Quienes sin justa causa se abstengan de suscribir el contrato estatal adjudicado”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a), b) y c), Ley 1474/11, modificado por el art. 43, Ley 1955/19.</w:t>
      </w:r>
    </w:p>
  </w:footnote>
  <w:footnote w:id="15">
    <w:p w14:paraId="3674AF44"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d), Ley 80/93).</w:t>
      </w:r>
    </w:p>
  </w:footnote>
  <w:footnote w:id="16">
    <w:p w14:paraId="3574A2B7"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k), Ley 80/93, modificado por el art. 33, Ley 1778/16); “Quienes fueron miembros de la junta o consejo directivo o servidores públicos de la entidad contratante”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f), Ley 80/93, adicionado por el art. 4º, Ley 1474/2011).</w:t>
      </w:r>
    </w:p>
  </w:footnote>
  <w:footnote w:id="17">
    <w:p w14:paraId="5693063E" w14:textId="77777777" w:rsidR="00C87232" w:rsidRPr="00660381" w:rsidRDefault="00C87232" w:rsidP="00C87232">
      <w:pPr>
        <w:spacing w:after="0" w:line="240" w:lineRule="auto"/>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Como las señaladas a continuación: “Los servidores públicos”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1º,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660381">
        <w:rPr>
          <w:rFonts w:ascii="Arial" w:hAnsi="Arial" w:cs="Arial"/>
          <w:sz w:val="14"/>
          <w:szCs w:val="14"/>
          <w:lang w:val="es-ES"/>
        </w:rPr>
        <w:t>num</w:t>
      </w:r>
      <w:proofErr w:type="spellEnd"/>
      <w:r w:rsidRPr="00660381">
        <w:rPr>
          <w:rFonts w:ascii="Arial" w:hAnsi="Arial" w:cs="Arial"/>
          <w:sz w:val="14"/>
          <w:szCs w:val="14"/>
          <w:lang w:val="es-ES"/>
        </w:rPr>
        <w:t xml:space="preserve">. 2º, </w:t>
      </w:r>
      <w:proofErr w:type="spellStart"/>
      <w:r w:rsidRPr="00660381">
        <w:rPr>
          <w:rFonts w:ascii="Arial" w:hAnsi="Arial" w:cs="Arial"/>
          <w:sz w:val="14"/>
          <w:szCs w:val="14"/>
          <w:lang w:val="es-ES"/>
        </w:rPr>
        <w:t>lit.</w:t>
      </w:r>
      <w:proofErr w:type="spellEnd"/>
      <w:r w:rsidRPr="00660381">
        <w:rPr>
          <w:rFonts w:ascii="Arial" w:hAnsi="Arial" w:cs="Arial"/>
          <w:sz w:val="14"/>
          <w:szCs w:val="14"/>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660381">
        <w:rPr>
          <w:rFonts w:ascii="Arial" w:hAnsi="Arial" w:cs="Arial"/>
          <w:sz w:val="14"/>
          <w:szCs w:val="14"/>
          <w:lang w:val="es-ES"/>
        </w:rPr>
        <w:t>consaguinidad</w:t>
      </w:r>
      <w:proofErr w:type="spellEnd"/>
      <w:r w:rsidRPr="00660381">
        <w:rPr>
          <w:rFonts w:ascii="Arial" w:hAnsi="Arial" w:cs="Arial"/>
          <w:sz w:val="14"/>
          <w:szCs w:val="14"/>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8">
    <w:p w14:paraId="61636877"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En esta línea Dávila Vinueza Expresa: “El legislador para calificar estas prohibiciones emplea dos vocablos: Inhabilidades o incompatibilidades, los cuales en un examen desprevenido podrían sugerir ideas diferentes </w:t>
      </w:r>
      <w:proofErr w:type="gramStart"/>
      <w:r w:rsidRPr="00660381">
        <w:rPr>
          <w:rFonts w:ascii="Arial" w:hAnsi="Arial" w:cs="Arial"/>
          <w:sz w:val="14"/>
          <w:szCs w:val="14"/>
        </w:rPr>
        <w:t>y</w:t>
      </w:r>
      <w:proofErr w:type="gramEnd"/>
      <w:r w:rsidRPr="00660381">
        <w:rPr>
          <w:rFonts w:ascii="Arial" w:hAnsi="Arial" w:cs="Arial"/>
          <w:sz w:val="14"/>
          <w:szCs w:val="14"/>
        </w:rPr>
        <w:t xml:space="preserve">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w:t>
      </w:r>
      <w:proofErr w:type="gramStart"/>
      <w:r w:rsidRPr="00660381">
        <w:rPr>
          <w:rFonts w:ascii="Arial" w:hAnsi="Arial" w:cs="Arial"/>
          <w:sz w:val="14"/>
          <w:szCs w:val="14"/>
        </w:rPr>
        <w:t>que</w:t>
      </w:r>
      <w:proofErr w:type="gramEnd"/>
      <w:r w:rsidRPr="00660381">
        <w:rPr>
          <w:rFonts w:ascii="Arial" w:hAnsi="Arial" w:cs="Arial"/>
          <w:sz w:val="14"/>
          <w:szCs w:val="14"/>
        </w:rPr>
        <w:t xml:space="preserv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9">
    <w:p w14:paraId="3DAB854E" w14:textId="77777777"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BARRETO ROZO, Antonio Alejandro. Inhabilidades de la contratación estatal, efectos y </w:t>
      </w:r>
      <w:proofErr w:type="spellStart"/>
      <w:r w:rsidRPr="00660381">
        <w:rPr>
          <w:rFonts w:ascii="Arial" w:hAnsi="Arial" w:cs="Arial"/>
          <w:sz w:val="14"/>
          <w:szCs w:val="14"/>
          <w:lang w:val="es-ES"/>
        </w:rPr>
        <w:t>neopunitivismo</w:t>
      </w:r>
      <w:proofErr w:type="spellEnd"/>
      <w:r w:rsidRPr="00660381">
        <w:rPr>
          <w:rFonts w:ascii="Arial" w:hAnsi="Arial" w:cs="Arial"/>
          <w:sz w:val="14"/>
          <w:szCs w:val="14"/>
          <w:lang w:val="es-ES"/>
        </w:rPr>
        <w:t xml:space="preserve"> en el Estatuto Anticorrupción. En: ALVIAR GARCÍA, Helena (Coordinadora). Nuevas tendencias del Derecho administrativo. Bogotá: Universidad de los Andes; Temis, 2016. pp. 63-99.</w:t>
      </w:r>
    </w:p>
  </w:footnote>
  <w:footnote w:id="20">
    <w:p w14:paraId="7825E6A3"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Ibídem. p. 69.</w:t>
      </w:r>
    </w:p>
  </w:footnote>
  <w:footnote w:id="21">
    <w:p w14:paraId="610DEB3B" w14:textId="77777777" w:rsidR="00C87232"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61C701B0" w14:textId="77777777" w:rsidR="0086462E" w:rsidRPr="00660381" w:rsidRDefault="0086462E" w:rsidP="00C87232">
      <w:pPr>
        <w:pStyle w:val="Textonotapie"/>
        <w:ind w:firstLine="709"/>
        <w:jc w:val="both"/>
        <w:rPr>
          <w:rFonts w:ascii="Arial" w:hAnsi="Arial" w:cs="Arial"/>
          <w:sz w:val="14"/>
          <w:szCs w:val="14"/>
          <w:lang w:val="es-ES"/>
        </w:rPr>
      </w:pPr>
    </w:p>
  </w:footnote>
  <w:footnote w:id="22">
    <w:p w14:paraId="1DB0D9BC" w14:textId="77777777" w:rsidR="0086462E" w:rsidRDefault="0086462E" w:rsidP="00C87232">
      <w:pPr>
        <w:pStyle w:val="Textonotapie"/>
        <w:ind w:firstLine="709"/>
        <w:jc w:val="both"/>
        <w:rPr>
          <w:rFonts w:ascii="Arial" w:hAnsi="Arial" w:cs="Arial"/>
          <w:sz w:val="14"/>
          <w:szCs w:val="14"/>
        </w:rPr>
      </w:pPr>
    </w:p>
    <w:p w14:paraId="6E06258D" w14:textId="3E6E0489" w:rsidR="00C87232" w:rsidRPr="00660381" w:rsidRDefault="00C87232" w:rsidP="00C87232">
      <w:pPr>
        <w:pStyle w:val="Textonotapie"/>
        <w:ind w:firstLine="709"/>
        <w:jc w:val="both"/>
        <w:rPr>
          <w:rFonts w:ascii="Arial" w:hAnsi="Arial" w:cs="Arial"/>
          <w:sz w:val="14"/>
          <w:szCs w:val="14"/>
          <w:lang w:val="es-ES"/>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es-ES"/>
        </w:rPr>
        <w:t xml:space="preserve">CONSEJO DE ESTADO. Sala de Consulta y Servicio Civil. Concepto del 30 de abril de 2015. </w:t>
      </w:r>
      <w:proofErr w:type="spellStart"/>
      <w:r w:rsidRPr="00660381">
        <w:rPr>
          <w:rFonts w:ascii="Arial" w:hAnsi="Arial" w:cs="Arial"/>
          <w:sz w:val="14"/>
          <w:szCs w:val="14"/>
          <w:lang w:val="es-ES"/>
        </w:rPr>
        <w:t>Exp</w:t>
      </w:r>
      <w:proofErr w:type="spellEnd"/>
      <w:r w:rsidRPr="00660381">
        <w:rPr>
          <w:rFonts w:ascii="Arial" w:hAnsi="Arial" w:cs="Arial"/>
          <w:sz w:val="14"/>
          <w:szCs w:val="14"/>
          <w:lang w:val="es-ES"/>
        </w:rPr>
        <w:t xml:space="preserve">. 2251. C.P. Álvaro </w:t>
      </w:r>
      <w:proofErr w:type="spellStart"/>
      <w:r w:rsidRPr="00660381">
        <w:rPr>
          <w:rFonts w:ascii="Arial" w:hAnsi="Arial" w:cs="Arial"/>
          <w:sz w:val="14"/>
          <w:szCs w:val="14"/>
          <w:lang w:val="es-ES"/>
        </w:rPr>
        <w:t>Namén</w:t>
      </w:r>
      <w:proofErr w:type="spellEnd"/>
      <w:r w:rsidRPr="00660381">
        <w:rPr>
          <w:rFonts w:ascii="Arial" w:hAnsi="Arial" w:cs="Arial"/>
          <w:sz w:val="14"/>
          <w:szCs w:val="14"/>
          <w:lang w:val="es-ES"/>
        </w:rPr>
        <w:t xml:space="preserve"> Vargas.</w:t>
      </w:r>
    </w:p>
  </w:footnote>
  <w:footnote w:id="23">
    <w:p w14:paraId="7B04B7DD" w14:textId="77777777" w:rsidR="0086462E" w:rsidRDefault="0086462E" w:rsidP="00C87232">
      <w:pPr>
        <w:pStyle w:val="Textonotapie"/>
        <w:ind w:firstLine="709"/>
        <w:jc w:val="both"/>
        <w:rPr>
          <w:rFonts w:ascii="Arial" w:hAnsi="Arial" w:cs="Arial"/>
          <w:sz w:val="14"/>
          <w:szCs w:val="14"/>
        </w:rPr>
      </w:pPr>
    </w:p>
    <w:p w14:paraId="7CDB7A5F" w14:textId="52A40FF3"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CONSEJO DE ESTADO. Sección Tercera. Subsección A. Sentencia del 24 de junio de 2015. </w:t>
      </w:r>
      <w:proofErr w:type="spellStart"/>
      <w:r w:rsidRPr="00660381">
        <w:rPr>
          <w:rFonts w:ascii="Arial" w:hAnsi="Arial" w:cs="Arial"/>
          <w:sz w:val="14"/>
          <w:szCs w:val="14"/>
        </w:rPr>
        <w:t>Exp</w:t>
      </w:r>
      <w:proofErr w:type="spellEnd"/>
      <w:r w:rsidRPr="00660381">
        <w:rPr>
          <w:rFonts w:ascii="Arial" w:hAnsi="Arial" w:cs="Arial"/>
          <w:sz w:val="14"/>
          <w:szCs w:val="14"/>
        </w:rPr>
        <w:t>. 40.635. C.P. Hernán Andrade Rincón (E).</w:t>
      </w:r>
    </w:p>
  </w:footnote>
  <w:footnote w:id="24">
    <w:p w14:paraId="0AF27AF0"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CONSEJO DE ESTADO. Sección Tercera. Subsección C. Sentencia del 22 de mayo de 2013. Rad. 24.057. C.P. Olga Mélida Valle De </w:t>
      </w:r>
      <w:proofErr w:type="spellStart"/>
      <w:r w:rsidRPr="00660381">
        <w:rPr>
          <w:rFonts w:ascii="Arial" w:hAnsi="Arial" w:cs="Arial"/>
          <w:sz w:val="14"/>
          <w:szCs w:val="14"/>
        </w:rPr>
        <w:t>De</w:t>
      </w:r>
      <w:proofErr w:type="spellEnd"/>
      <w:r w:rsidRPr="00660381">
        <w:rPr>
          <w:rFonts w:ascii="Arial" w:hAnsi="Arial" w:cs="Arial"/>
          <w:sz w:val="14"/>
          <w:szCs w:val="14"/>
        </w:rPr>
        <w:t xml:space="preserve"> La Hoz. </w:t>
      </w:r>
    </w:p>
  </w:footnote>
  <w:footnote w:id="25">
    <w:p w14:paraId="1362F65F" w14:textId="77777777" w:rsidR="00C87232" w:rsidRPr="00660381" w:rsidRDefault="00C87232" w:rsidP="00C87232">
      <w:pPr>
        <w:pStyle w:val="Textonotapie"/>
        <w:ind w:firstLine="709"/>
        <w:jc w:val="both"/>
        <w:rPr>
          <w:rFonts w:ascii="Arial" w:hAnsi="Arial" w:cs="Arial"/>
          <w:sz w:val="14"/>
          <w:szCs w:val="14"/>
          <w:lang w:val="pt-BR"/>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sz w:val="14"/>
          <w:szCs w:val="14"/>
          <w:lang w:val="pt-BR"/>
        </w:rPr>
        <w:t xml:space="preserve">Corte Constitucional. Sentencia C-415 de 1994. M.P. Eduardo </w:t>
      </w:r>
      <w:proofErr w:type="spellStart"/>
      <w:r w:rsidRPr="00660381">
        <w:rPr>
          <w:rFonts w:ascii="Arial" w:hAnsi="Arial" w:cs="Arial"/>
          <w:sz w:val="14"/>
          <w:szCs w:val="14"/>
          <w:lang w:val="pt-BR"/>
        </w:rPr>
        <w:t>Cifuentes</w:t>
      </w:r>
      <w:proofErr w:type="spellEnd"/>
      <w:r w:rsidRPr="00660381">
        <w:rPr>
          <w:rFonts w:ascii="Arial" w:hAnsi="Arial" w:cs="Arial"/>
          <w:sz w:val="14"/>
          <w:szCs w:val="14"/>
          <w:lang w:val="pt-BR"/>
        </w:rPr>
        <w:t xml:space="preserve"> </w:t>
      </w:r>
      <w:proofErr w:type="spellStart"/>
      <w:r w:rsidRPr="00660381">
        <w:rPr>
          <w:rFonts w:ascii="Arial" w:hAnsi="Arial" w:cs="Arial"/>
          <w:sz w:val="14"/>
          <w:szCs w:val="14"/>
          <w:lang w:val="pt-BR"/>
        </w:rPr>
        <w:t>Muñoz</w:t>
      </w:r>
      <w:proofErr w:type="spellEnd"/>
      <w:r w:rsidRPr="00660381">
        <w:rPr>
          <w:rFonts w:ascii="Arial" w:hAnsi="Arial" w:cs="Arial"/>
          <w:sz w:val="14"/>
          <w:szCs w:val="14"/>
          <w:lang w:val="pt-BR"/>
        </w:rPr>
        <w:t>.</w:t>
      </w:r>
    </w:p>
  </w:footnote>
  <w:footnote w:id="26">
    <w:p w14:paraId="5692624B" w14:textId="77777777" w:rsidR="00C87232" w:rsidRPr="00660381" w:rsidRDefault="00C87232" w:rsidP="00C87232">
      <w:pPr>
        <w:pStyle w:val="Textonotapie"/>
        <w:ind w:firstLine="709"/>
        <w:jc w:val="both"/>
        <w:rPr>
          <w:rFonts w:ascii="Arial" w:hAnsi="Arial" w:cs="Arial"/>
          <w:color w:val="000000" w:themeColor="text1"/>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color w:val="000000" w:themeColor="text1"/>
          <w:sz w:val="14"/>
          <w:szCs w:val="14"/>
          <w:lang w:val="pt-BR"/>
        </w:rPr>
        <w:t xml:space="preserve">CONSEJO DE ESTADO. Sala de </w:t>
      </w:r>
      <w:proofErr w:type="spellStart"/>
      <w:r w:rsidRPr="00660381">
        <w:rPr>
          <w:rFonts w:ascii="Arial" w:hAnsi="Arial" w:cs="Arial"/>
          <w:color w:val="000000" w:themeColor="text1"/>
          <w:sz w:val="14"/>
          <w:szCs w:val="14"/>
          <w:lang w:val="pt-BR"/>
        </w:rPr>
        <w:t>lo</w:t>
      </w:r>
      <w:proofErr w:type="spellEnd"/>
      <w:r w:rsidRPr="00660381">
        <w:rPr>
          <w:rFonts w:ascii="Arial" w:hAnsi="Arial" w:cs="Arial"/>
          <w:color w:val="000000" w:themeColor="text1"/>
          <w:sz w:val="14"/>
          <w:szCs w:val="14"/>
          <w:lang w:val="pt-BR"/>
        </w:rPr>
        <w:t xml:space="preserve"> contencioso administrativo. Sentencia del 12 de </w:t>
      </w:r>
      <w:proofErr w:type="spellStart"/>
      <w:r w:rsidRPr="00660381">
        <w:rPr>
          <w:rFonts w:ascii="Arial" w:hAnsi="Arial" w:cs="Arial"/>
          <w:color w:val="000000" w:themeColor="text1"/>
          <w:sz w:val="14"/>
          <w:szCs w:val="14"/>
          <w:lang w:val="pt-BR"/>
        </w:rPr>
        <w:t>diciembre</w:t>
      </w:r>
      <w:proofErr w:type="spellEnd"/>
      <w:r w:rsidRPr="00660381">
        <w:rPr>
          <w:rFonts w:ascii="Arial" w:hAnsi="Arial" w:cs="Arial"/>
          <w:color w:val="000000" w:themeColor="text1"/>
          <w:sz w:val="14"/>
          <w:szCs w:val="14"/>
          <w:lang w:val="pt-BR"/>
        </w:rPr>
        <w:t xml:space="preserve"> de 2014. Exp. 26496. C.P. Ramiro Pazos Guerrero. </w:t>
      </w:r>
      <w:r w:rsidRPr="00660381">
        <w:rPr>
          <w:rFonts w:ascii="Arial" w:hAnsi="Arial" w:cs="Arial"/>
          <w:color w:val="000000" w:themeColor="text1"/>
          <w:sz w:val="14"/>
          <w:szCs w:val="14"/>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7">
    <w:p w14:paraId="48D1B189" w14:textId="77777777" w:rsidR="00C87232" w:rsidRPr="00660381" w:rsidRDefault="00C87232" w:rsidP="00C87232">
      <w:pPr>
        <w:pStyle w:val="Textonotapie"/>
        <w:ind w:firstLine="709"/>
        <w:jc w:val="both"/>
        <w:rPr>
          <w:rFonts w:ascii="Arial" w:hAnsi="Arial" w:cs="Arial"/>
          <w:sz w:val="14"/>
          <w:szCs w:val="14"/>
          <w:lang w:val="es-ES_tradnl"/>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color w:val="000000" w:themeColor="text1"/>
          <w:sz w:val="14"/>
          <w:szCs w:val="14"/>
        </w:rPr>
        <w:t>CONSEJO DE ESTADO. Sala de Consulta y Servicio Civil. Concepto del 29 de abril de 1998. Rad. 1097. C.P. Augusto Trejos Jaramillo.</w:t>
      </w:r>
    </w:p>
  </w:footnote>
  <w:footnote w:id="28">
    <w:p w14:paraId="2F94A9E4"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En lo pertinente, el artículo 13 de la Ley 1150 de 2007 dispone que “</w:t>
      </w:r>
      <w:r w:rsidRPr="00660381">
        <w:rPr>
          <w:rFonts w:ascii="Arial" w:hAnsi="Arial" w:cs="Arial"/>
          <w:sz w:val="14"/>
          <w:szCs w:val="14"/>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660381">
        <w:rPr>
          <w:rFonts w:ascii="Arial" w:hAnsi="Arial" w:cs="Arial"/>
          <w:sz w:val="14"/>
          <w:szCs w:val="14"/>
        </w:rPr>
        <w:t xml:space="preserve"> </w:t>
      </w:r>
    </w:p>
  </w:footnote>
  <w:footnote w:id="29">
    <w:p w14:paraId="7546507D" w14:textId="77777777" w:rsidR="00C87232" w:rsidRPr="00660381" w:rsidRDefault="00C87232" w:rsidP="00C87232">
      <w:pPr>
        <w:pStyle w:val="Textonotapie"/>
        <w:ind w:firstLine="709"/>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Decreto 092 de 2017, “</w:t>
      </w:r>
      <w:bookmarkStart w:id="7" w:name="6"/>
      <w:r w:rsidRPr="00660381">
        <w:rPr>
          <w:rFonts w:ascii="Arial" w:hAnsi="Arial" w:cs="Arial"/>
          <w:sz w:val="14"/>
          <w:szCs w:val="14"/>
          <w:lang w:val="es-CO"/>
        </w:rPr>
        <w:t>Artículo 6.</w:t>
      </w:r>
      <w:bookmarkEnd w:id="7"/>
      <w:r w:rsidRPr="00660381">
        <w:rPr>
          <w:rFonts w:ascii="Arial" w:hAnsi="Arial" w:cs="Arial"/>
          <w:sz w:val="14"/>
          <w:szCs w:val="14"/>
          <w:lang w:val="es-CO"/>
        </w:rPr>
        <w:t>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 w:id="30">
    <w:p w14:paraId="258AC240" w14:textId="77777777" w:rsidR="00C87232" w:rsidRPr="00660381" w:rsidRDefault="00C87232" w:rsidP="00C87232">
      <w:pPr>
        <w:pStyle w:val="Textonotapie"/>
        <w:ind w:firstLine="708"/>
        <w:jc w:val="both"/>
        <w:rPr>
          <w:rFonts w:ascii="Arial" w:hAnsi="Arial" w:cs="Arial"/>
          <w:color w:val="000000" w:themeColor="text1"/>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color w:val="000000" w:themeColor="text1"/>
          <w:sz w:val="14"/>
          <w:szCs w:val="14"/>
        </w:rPr>
        <w:t>Decreto 770 de 2005: “Artículo 3. Niveles jerárquicos de los empleos. Según la naturaleza general de sus funciones, las competencias y los requisitos exigidos para su desempeño, los empleos de las entidades u organismos a los cuales se refiere el presente decreto se clasifican en los siguientes niveles jerárquicos: Nivel Directivo, Nivel Asesor, Nivel Profesional, Nivel Técnico y Nivel Asistencial.</w:t>
      </w:r>
    </w:p>
    <w:p w14:paraId="574AC806"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w:t>
      </w:r>
    </w:p>
    <w:p w14:paraId="6AE85F8D"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Artículo 13. Transitorio. El Gobierno Nacional, en un término no superior a doce (12) meses contados a partir de la vigencia del presente decreto, modificará las plantas de personal de los organismos y entidades a los cuales se aplica el presente decreto, para adecuar los empleos a la nueva nomenclatura y clasificación. Hasta que dichas modificaciones se realicen continuarán vigentes las denominaciones de empleo correspondientes al nivel ejecutivo. Vencido este plazo no podrán existir en las respectivas plantas de personal cargos con denominaciones del mencionado nivel jerárquico.</w:t>
      </w:r>
    </w:p>
    <w:p w14:paraId="6FA68819"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Si durante este período se presentare vacante definitiva en alguno de los empleos pertenecientes al nivel ejecutivo, este deberá ser suprimido, salvo que por necesidades del servicio se efectúen las equivalencias del caso, dentro del Nivel Profesional.</w:t>
      </w:r>
    </w:p>
    <w:p w14:paraId="62C02C3A"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La aplicación de las equivalencias relacionadas con la nomenclatura de empleos, en ningún caso conllevará incrementos salariales”.</w:t>
      </w:r>
    </w:p>
    <w:p w14:paraId="016DA4BC"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 xml:space="preserve">Decreto 785 de 2005: </w:t>
      </w:r>
      <w:r w:rsidRPr="00660381">
        <w:rPr>
          <w:rFonts w:ascii="Arial" w:hAnsi="Arial" w:cs="Arial"/>
          <w:color w:val="000000" w:themeColor="text1"/>
          <w:sz w:val="14"/>
          <w:szCs w:val="14"/>
        </w:rPr>
        <w:t>“</w:t>
      </w:r>
      <w:r w:rsidRPr="00660381">
        <w:rPr>
          <w:rFonts w:ascii="Arial" w:hAnsi="Arial" w:cs="Arial"/>
          <w:color w:val="000000" w:themeColor="text1"/>
          <w:sz w:val="14"/>
          <w:szCs w:val="14"/>
          <w:lang w:val="es-ES"/>
        </w:rPr>
        <w:t>Artículo 3. Niveles jerárquicos de los empleos. Según la naturaleza general de sus funciones, las competencias y los requisitos exigidos para su desempeño, los empleos de las entidades territoriales se clasifican en los siguientes niveles jerárquicos: Nivel Directivo, Nivel Asesor, Nivel Profesional, Nivel Técnico y Nivel Asistencial.</w:t>
      </w:r>
    </w:p>
    <w:p w14:paraId="665576D8"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w:t>
      </w:r>
    </w:p>
    <w:p w14:paraId="77BD1F4C"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 xml:space="preserve">Artículo 33. Transitorio. Las autoridades territoriales competentes, en un término no superior a doce (12) meses contados a partir de la vigencia del presente </w:t>
      </w:r>
      <w:proofErr w:type="spellStart"/>
      <w:r w:rsidRPr="00660381">
        <w:rPr>
          <w:rFonts w:ascii="Arial" w:hAnsi="Arial" w:cs="Arial"/>
          <w:color w:val="000000" w:themeColor="text1"/>
          <w:sz w:val="14"/>
          <w:szCs w:val="14"/>
          <w:lang w:val="es-ES"/>
        </w:rPr>
        <w:t>decreto­ley</w:t>
      </w:r>
      <w:proofErr w:type="spellEnd"/>
      <w:r w:rsidRPr="00660381">
        <w:rPr>
          <w:rFonts w:ascii="Arial" w:hAnsi="Arial" w:cs="Arial"/>
          <w:color w:val="000000" w:themeColor="text1"/>
          <w:sz w:val="14"/>
          <w:szCs w:val="14"/>
          <w:lang w:val="es-ES"/>
        </w:rPr>
        <w:t>, procederán a modificar las plantas de personal para adecuar los empleos a la nueva nomenclatura y clasificación.</w:t>
      </w:r>
    </w:p>
    <w:p w14:paraId="2D66A251"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 xml:space="preserve">Hasta que dichas modificaciones se realicen continuarán vigentes las siguientes denominaciones de empleo correspondientes al nivel ejecutivo, así: </w:t>
      </w:r>
    </w:p>
    <w:p w14:paraId="556DD311"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w:t>
      </w:r>
    </w:p>
    <w:p w14:paraId="7147249D"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Parágrafo. Vencido el plazo señalado en este artículo, no podrán existir en las respectivas plantas de personal cargos con denominaciones del mencionado nivel jerárquico. Si durante este período se presentare vacante definitiva en alguno de los empleos pertenecientes al nivel ejecutivo, este deberá ser suprimido, salvo que por necesidades del servicio se efectúen las equivalencias del caso, dentro del nivel profesional”.</w:t>
      </w:r>
    </w:p>
  </w:footnote>
  <w:footnote w:id="31">
    <w:p w14:paraId="51549B63" w14:textId="77777777" w:rsidR="00C87232" w:rsidRPr="00660381" w:rsidRDefault="00C87232" w:rsidP="00C87232">
      <w:pPr>
        <w:pStyle w:val="Textonotapie"/>
        <w:ind w:firstLine="708"/>
        <w:jc w:val="both"/>
        <w:rPr>
          <w:rFonts w:ascii="Arial" w:hAnsi="Arial" w:cs="Arial"/>
          <w:color w:val="000000" w:themeColor="text1"/>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w:t>
      </w:r>
      <w:r w:rsidRPr="00660381">
        <w:rPr>
          <w:rFonts w:ascii="Arial" w:hAnsi="Arial" w:cs="Arial"/>
          <w:color w:val="000000" w:themeColor="text1"/>
          <w:sz w:val="14"/>
          <w:szCs w:val="14"/>
        </w:rPr>
        <w:t xml:space="preserve">Decreto 770 de 2005: “Artículo 4. Naturaleza general de las funciones. A los empleos agrupados en los niveles jerárquicos de que trata el artículo anterior, les corresponden las siguientes funciones generales: </w:t>
      </w:r>
    </w:p>
    <w:p w14:paraId="35DA04A6" w14:textId="77777777" w:rsidR="00C87232" w:rsidRPr="00660381" w:rsidRDefault="00C87232" w:rsidP="00C87232">
      <w:pPr>
        <w:pStyle w:val="Textonotapie"/>
        <w:ind w:firstLine="708"/>
        <w:jc w:val="both"/>
        <w:rPr>
          <w:rFonts w:ascii="Arial" w:hAnsi="Arial" w:cs="Arial"/>
          <w:color w:val="000000" w:themeColor="text1"/>
          <w:sz w:val="14"/>
          <w:szCs w:val="14"/>
        </w:rPr>
      </w:pPr>
      <w:r w:rsidRPr="00660381">
        <w:rPr>
          <w:rFonts w:ascii="Arial" w:hAnsi="Arial" w:cs="Arial"/>
          <w:color w:val="000000" w:themeColor="text1"/>
          <w:sz w:val="14"/>
          <w:szCs w:val="14"/>
        </w:rPr>
        <w:t>4.1 Nivel Directivo. Comprende los empleos a los cuales corresponden funciones de dirección general, de formulación de políticas institucionales y de adopción de planes, programas y proyectos.</w:t>
      </w:r>
    </w:p>
    <w:p w14:paraId="07F12C6D" w14:textId="77777777" w:rsidR="00C87232" w:rsidRPr="00660381" w:rsidRDefault="00C87232" w:rsidP="00C87232">
      <w:pPr>
        <w:pStyle w:val="Textonotapie"/>
        <w:ind w:firstLine="708"/>
        <w:jc w:val="both"/>
        <w:rPr>
          <w:rFonts w:ascii="Arial" w:hAnsi="Arial" w:cs="Arial"/>
          <w:color w:val="000000" w:themeColor="text1"/>
          <w:sz w:val="14"/>
          <w:szCs w:val="14"/>
        </w:rPr>
      </w:pPr>
      <w:r w:rsidRPr="00660381">
        <w:rPr>
          <w:rFonts w:ascii="Arial" w:hAnsi="Arial" w:cs="Arial"/>
          <w:color w:val="000000" w:themeColor="text1"/>
          <w:sz w:val="14"/>
          <w:szCs w:val="14"/>
        </w:rPr>
        <w:t>4.2 Nivel Asesor. Agrupa los empleos cuyas funciones consisten en asistir, aconsejar y asesorar directamente a los empleados públicos de la alta dirección de la rama ejecutiva del orden nacional</w:t>
      </w:r>
      <w:r w:rsidRPr="00660381">
        <w:rPr>
          <w:rFonts w:ascii="Arial" w:hAnsi="Arial" w:cs="Arial"/>
          <w:color w:val="000000" w:themeColor="text1"/>
          <w:sz w:val="14"/>
          <w:szCs w:val="14"/>
          <w:lang w:val="es-ES"/>
        </w:rPr>
        <w:t>”.</w:t>
      </w:r>
    </w:p>
    <w:p w14:paraId="4A41F616"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 xml:space="preserve">Decreto 785 de 2005: “Artículo 4. Naturaleza general de las funciones. A los empleos agrupados en los niveles jerárquicos de que trata el artículo anterior, les corresponden las siguientes funciones generales: </w:t>
      </w:r>
    </w:p>
    <w:p w14:paraId="5F8A9570"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 xml:space="preserve">4.1. Nivel Directivo. </w:t>
      </w:r>
      <w:bookmarkStart w:id="9" w:name="_Hlk73974130"/>
      <w:r w:rsidRPr="00660381">
        <w:rPr>
          <w:rFonts w:ascii="Arial" w:hAnsi="Arial" w:cs="Arial"/>
          <w:color w:val="000000" w:themeColor="text1"/>
          <w:sz w:val="14"/>
          <w:szCs w:val="14"/>
          <w:lang w:val="es-ES"/>
        </w:rPr>
        <w:t>Comprende los empleos a los cuales corresponden funciones de Dirección General, de formulación de políticas institucionales y de adopción de planes, programas y proyectos</w:t>
      </w:r>
      <w:bookmarkEnd w:id="9"/>
      <w:r w:rsidRPr="00660381">
        <w:rPr>
          <w:rFonts w:ascii="Arial" w:hAnsi="Arial" w:cs="Arial"/>
          <w:color w:val="000000" w:themeColor="text1"/>
          <w:sz w:val="14"/>
          <w:szCs w:val="14"/>
          <w:lang w:val="es-ES"/>
        </w:rPr>
        <w:t xml:space="preserve">.  </w:t>
      </w:r>
    </w:p>
    <w:p w14:paraId="6293D5A8" w14:textId="77777777" w:rsidR="00C87232" w:rsidRPr="00660381" w:rsidRDefault="00C87232" w:rsidP="00C87232">
      <w:pPr>
        <w:pStyle w:val="Textonotapie"/>
        <w:ind w:firstLine="708"/>
        <w:jc w:val="both"/>
        <w:rPr>
          <w:rFonts w:ascii="Arial" w:hAnsi="Arial" w:cs="Arial"/>
          <w:color w:val="000000" w:themeColor="text1"/>
          <w:sz w:val="14"/>
          <w:szCs w:val="14"/>
          <w:lang w:val="es-ES"/>
        </w:rPr>
      </w:pPr>
      <w:r w:rsidRPr="00660381">
        <w:rPr>
          <w:rFonts w:ascii="Arial" w:hAnsi="Arial" w:cs="Arial"/>
          <w:color w:val="000000" w:themeColor="text1"/>
          <w:sz w:val="14"/>
          <w:szCs w:val="14"/>
          <w:lang w:val="es-ES"/>
        </w:rPr>
        <w:t xml:space="preserve">4.2.  Nivel Asesor. Agrupa los empleos cuyas funciones consisten en asistir, aconsejar y asesorar directamente a los empleados públicos de la alta dirección territorial”. </w:t>
      </w:r>
    </w:p>
    <w:p w14:paraId="5C78846B" w14:textId="77777777" w:rsidR="00C87232" w:rsidRPr="00660381" w:rsidRDefault="00C87232" w:rsidP="00C87232">
      <w:pPr>
        <w:pStyle w:val="Textonotapie"/>
        <w:jc w:val="both"/>
        <w:rPr>
          <w:rFonts w:ascii="Arial" w:hAnsi="Arial" w:cs="Arial"/>
          <w:sz w:val="14"/>
          <w:szCs w:val="14"/>
          <w:lang w:val="es-ES"/>
        </w:rPr>
      </w:pPr>
    </w:p>
  </w:footnote>
  <w:footnote w:id="32">
    <w:p w14:paraId="167CD66A" w14:textId="77777777" w:rsidR="00C87232" w:rsidRPr="00660381" w:rsidRDefault="00C87232" w:rsidP="00C87232">
      <w:pPr>
        <w:pStyle w:val="Textonotapie"/>
        <w:ind w:firstLine="708"/>
        <w:jc w:val="both"/>
        <w:rPr>
          <w:rFonts w:ascii="Arial" w:hAnsi="Arial" w:cs="Arial"/>
          <w:sz w:val="14"/>
          <w:szCs w:val="14"/>
        </w:rPr>
      </w:pPr>
      <w:r w:rsidRPr="00660381">
        <w:rPr>
          <w:rStyle w:val="Refdenotaalpie"/>
          <w:rFonts w:ascii="Arial" w:hAnsi="Arial" w:cs="Arial"/>
          <w:sz w:val="14"/>
          <w:szCs w:val="14"/>
        </w:rPr>
        <w:footnoteRef/>
      </w:r>
      <w:r w:rsidRPr="00660381">
        <w:rPr>
          <w:rFonts w:ascii="Arial" w:hAnsi="Arial" w:cs="Arial"/>
          <w:sz w:val="14"/>
          <w:szCs w:val="14"/>
        </w:rPr>
        <w:t xml:space="preserve"> Para la doctrina, “En lo que respecta a los funcionarios que ejercen el control fiscal, en nuestra opinión, la disposición resulta inaplicable. En momentos en que se expidió el estatuto de contratación, por virtud de la legislación vigente en materia de régimen fiscal, la mayoría de </w:t>
      </w:r>
      <w:proofErr w:type="gramStart"/>
      <w:r w:rsidRPr="00660381">
        <w:rPr>
          <w:rFonts w:ascii="Arial" w:hAnsi="Arial" w:cs="Arial"/>
          <w:sz w:val="14"/>
          <w:szCs w:val="14"/>
        </w:rPr>
        <w:t>entes</w:t>
      </w:r>
      <w:proofErr w:type="gramEnd"/>
      <w:r w:rsidRPr="00660381">
        <w:rPr>
          <w:rFonts w:ascii="Arial" w:hAnsi="Arial" w:cs="Arial"/>
          <w:sz w:val="14"/>
          <w:szCs w:val="14"/>
        </w:rPr>
        <w:t xml:space="preserve"> descentralizados contaban con una oficina delegada de la Contraloría en la misma sede de la entidad vigilada que se encargaba de realizar las funciones de control respecto de ella. Usualmente participaba en la toma de decisiones y entre ellas las relativas a contratos. Con las reformas que introdujo la Ley 42 de 1993, las llamadas auditorías o agencias de control fiscal destacadas en cada entidad desaparecieron y con ello la incompatibilidad devino en irrealizable por sustracción de materia” (Cfr. DÁVILA VINUEZA, Luis Guillermo. Régimen jurídico de la contratación estatal. Tercera edición. Bogotá: Legis, 2016. pp. 290 – 291). Sin embargo, también agrega que “[…] la utilidad de la disposición se encuentra cuando dichas funciones sean desempeñadas por personas particulares, en virtud de contrato, caso en el cual se presentaría la prohibición” (Cfr. PÁLACIO HINCAPIÉ, Juan Ángel. La contratación de las entidades estatales. Octava edición. Medellín: Librería Jurídica Sánchez R. SAS. p. 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8B10C9"/>
    <w:multiLevelType w:val="hybridMultilevel"/>
    <w:tmpl w:val="0D8E6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1073230">
    <w:abstractNumId w:val="3"/>
  </w:num>
  <w:num w:numId="2" w16cid:durableId="554708018">
    <w:abstractNumId w:val="0"/>
  </w:num>
  <w:num w:numId="3" w16cid:durableId="1245725858">
    <w:abstractNumId w:val="1"/>
  </w:num>
  <w:num w:numId="4" w16cid:durableId="161941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3334"/>
    <w:rsid w:val="00092DA3"/>
    <w:rsid w:val="000956CF"/>
    <w:rsid w:val="000A1197"/>
    <w:rsid w:val="000A683E"/>
    <w:rsid w:val="0011595A"/>
    <w:rsid w:val="001220C5"/>
    <w:rsid w:val="001267F7"/>
    <w:rsid w:val="00127233"/>
    <w:rsid w:val="00130999"/>
    <w:rsid w:val="00164D81"/>
    <w:rsid w:val="001A1011"/>
    <w:rsid w:val="001A48D0"/>
    <w:rsid w:val="001D7F97"/>
    <w:rsid w:val="002653C1"/>
    <w:rsid w:val="0026611D"/>
    <w:rsid w:val="002951A0"/>
    <w:rsid w:val="002A64FD"/>
    <w:rsid w:val="002F0839"/>
    <w:rsid w:val="00301469"/>
    <w:rsid w:val="00302F41"/>
    <w:rsid w:val="00306EE1"/>
    <w:rsid w:val="00310B9B"/>
    <w:rsid w:val="0036461C"/>
    <w:rsid w:val="00367884"/>
    <w:rsid w:val="00374831"/>
    <w:rsid w:val="003774EC"/>
    <w:rsid w:val="0039439C"/>
    <w:rsid w:val="003B69E7"/>
    <w:rsid w:val="003C013B"/>
    <w:rsid w:val="003D0F4D"/>
    <w:rsid w:val="003F58A1"/>
    <w:rsid w:val="00410DD6"/>
    <w:rsid w:val="004134C9"/>
    <w:rsid w:val="0043138C"/>
    <w:rsid w:val="00462A59"/>
    <w:rsid w:val="004938E0"/>
    <w:rsid w:val="004A1847"/>
    <w:rsid w:val="004B6B0E"/>
    <w:rsid w:val="004D25B3"/>
    <w:rsid w:val="004F4B20"/>
    <w:rsid w:val="004F504B"/>
    <w:rsid w:val="00511405"/>
    <w:rsid w:val="00526E9D"/>
    <w:rsid w:val="0053346A"/>
    <w:rsid w:val="00547856"/>
    <w:rsid w:val="00547A74"/>
    <w:rsid w:val="005566E8"/>
    <w:rsid w:val="005746AB"/>
    <w:rsid w:val="0059357F"/>
    <w:rsid w:val="005A1130"/>
    <w:rsid w:val="005D65C8"/>
    <w:rsid w:val="00617CDA"/>
    <w:rsid w:val="006219F8"/>
    <w:rsid w:val="00660381"/>
    <w:rsid w:val="00681FDB"/>
    <w:rsid w:val="00685D7D"/>
    <w:rsid w:val="006A7B89"/>
    <w:rsid w:val="006A7DAD"/>
    <w:rsid w:val="006D70BA"/>
    <w:rsid w:val="00700FFF"/>
    <w:rsid w:val="00713447"/>
    <w:rsid w:val="00723412"/>
    <w:rsid w:val="007566FE"/>
    <w:rsid w:val="0076726F"/>
    <w:rsid w:val="0077144B"/>
    <w:rsid w:val="00793403"/>
    <w:rsid w:val="007C0CDF"/>
    <w:rsid w:val="007D7832"/>
    <w:rsid w:val="007E2A2F"/>
    <w:rsid w:val="007F2B7C"/>
    <w:rsid w:val="00811651"/>
    <w:rsid w:val="00820F5B"/>
    <w:rsid w:val="00833452"/>
    <w:rsid w:val="008614E5"/>
    <w:rsid w:val="0086462E"/>
    <w:rsid w:val="008678EB"/>
    <w:rsid w:val="00875894"/>
    <w:rsid w:val="00881C10"/>
    <w:rsid w:val="00881D09"/>
    <w:rsid w:val="00890411"/>
    <w:rsid w:val="008D5C70"/>
    <w:rsid w:val="008D7164"/>
    <w:rsid w:val="009025AF"/>
    <w:rsid w:val="00904F23"/>
    <w:rsid w:val="00906B3C"/>
    <w:rsid w:val="00936525"/>
    <w:rsid w:val="0095342C"/>
    <w:rsid w:val="0099415E"/>
    <w:rsid w:val="00997AEB"/>
    <w:rsid w:val="009B3AB1"/>
    <w:rsid w:val="009F33F2"/>
    <w:rsid w:val="009F6C77"/>
    <w:rsid w:val="00A07532"/>
    <w:rsid w:val="00A07935"/>
    <w:rsid w:val="00A1085C"/>
    <w:rsid w:val="00A309E2"/>
    <w:rsid w:val="00A44C96"/>
    <w:rsid w:val="00A8066E"/>
    <w:rsid w:val="00AA4B8A"/>
    <w:rsid w:val="00AA6BF7"/>
    <w:rsid w:val="00AF6534"/>
    <w:rsid w:val="00B01ED6"/>
    <w:rsid w:val="00B06D09"/>
    <w:rsid w:val="00B5038F"/>
    <w:rsid w:val="00B771A9"/>
    <w:rsid w:val="00B809BB"/>
    <w:rsid w:val="00B8248A"/>
    <w:rsid w:val="00BB7726"/>
    <w:rsid w:val="00C2329E"/>
    <w:rsid w:val="00C30461"/>
    <w:rsid w:val="00C32A2D"/>
    <w:rsid w:val="00C72540"/>
    <w:rsid w:val="00C754BE"/>
    <w:rsid w:val="00C87232"/>
    <w:rsid w:val="00C87572"/>
    <w:rsid w:val="00C9405D"/>
    <w:rsid w:val="00CB1CF1"/>
    <w:rsid w:val="00CC1B26"/>
    <w:rsid w:val="00CD0306"/>
    <w:rsid w:val="00CD284F"/>
    <w:rsid w:val="00CF23AA"/>
    <w:rsid w:val="00D01921"/>
    <w:rsid w:val="00D5218A"/>
    <w:rsid w:val="00D752B7"/>
    <w:rsid w:val="00DA1854"/>
    <w:rsid w:val="00DB0887"/>
    <w:rsid w:val="00DF1E43"/>
    <w:rsid w:val="00DF4218"/>
    <w:rsid w:val="00E20894"/>
    <w:rsid w:val="00E26B7C"/>
    <w:rsid w:val="00E45E97"/>
    <w:rsid w:val="00EA3003"/>
    <w:rsid w:val="00EB3C91"/>
    <w:rsid w:val="00EB66DA"/>
    <w:rsid w:val="00ED4275"/>
    <w:rsid w:val="00EE4C55"/>
    <w:rsid w:val="00F51E27"/>
    <w:rsid w:val="00F605F2"/>
    <w:rsid w:val="00F76AFC"/>
    <w:rsid w:val="00F8319B"/>
    <w:rsid w:val="00FA5516"/>
    <w:rsid w:val="00FD6F73"/>
    <w:rsid w:val="064AE4EC"/>
    <w:rsid w:val="0CFA44C6"/>
    <w:rsid w:val="1CC63BF5"/>
    <w:rsid w:val="21A66168"/>
    <w:rsid w:val="27958F15"/>
    <w:rsid w:val="2F9951DC"/>
    <w:rsid w:val="3EA2D60F"/>
    <w:rsid w:val="40C62BE1"/>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C87232"/>
    <w:rPr>
      <w:color w:val="0563C1" w:themeColor="hyperlink"/>
      <w:u w:val="single"/>
    </w:rPr>
  </w:style>
  <w:style w:type="paragraph" w:customStyle="1" w:styleId="Appelnotedebasde">
    <w:name w:val="Appel note de bas de..."/>
    <w:basedOn w:val="Normal"/>
    <w:link w:val="Refdenotaalpie"/>
    <w:uiPriority w:val="99"/>
    <w:rsid w:val="00C87232"/>
    <w:pPr>
      <w:spacing w:line="240" w:lineRule="exact"/>
    </w:pPr>
    <w:rPr>
      <w:vertAlign w:val="superscript"/>
    </w:rPr>
  </w:style>
  <w:style w:type="paragraph" w:styleId="NormalWeb">
    <w:name w:val="Normal (Web)"/>
    <w:basedOn w:val="Normal"/>
    <w:link w:val="NormalWebCar"/>
    <w:uiPriority w:val="99"/>
    <w:unhideWhenUsed/>
    <w:rsid w:val="00C872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C87232"/>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C87232"/>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a6cb9e4b-f1d1-4245-83ec-6cad768d538a"/>
    <ds:schemaRef ds:uri="9d85dbaf-23eb-4e57-a637-93dcacc8b1a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DDE08A5-4B67-41FE-AE53-63E75D3F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0B459-CE48-4D2E-B786-3E6177046ED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5469</Words>
  <Characters>30081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dcterms:created xsi:type="dcterms:W3CDTF">2023-05-25T23:47:00Z</dcterms:created>
  <dcterms:modified xsi:type="dcterms:W3CDTF">2024-03-15T17:30:00Z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