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F7B8" w14:textId="77777777" w:rsidR="009E0984" w:rsidRPr="00C02322" w:rsidRDefault="009E0984" w:rsidP="009E0984">
      <w:pPr>
        <w:jc w:val="both"/>
        <w:rPr>
          <w:rFonts w:ascii="Arial" w:eastAsia="Calibri" w:hAnsi="Arial" w:cs="Arial"/>
          <w:b/>
          <w:bCs/>
        </w:rPr>
      </w:pPr>
      <w:bookmarkStart w:id="0" w:name="_Hlk142132215"/>
      <w:r w:rsidRPr="00C02322">
        <w:rPr>
          <w:rFonts w:ascii="Arial" w:eastAsia="Calibri" w:hAnsi="Arial" w:cs="Arial"/>
          <w:b/>
          <w:bCs/>
        </w:rPr>
        <w:t xml:space="preserve">ORGANISMOS INTERNACIONALES – Artículo 20 </w:t>
      </w:r>
      <w:r w:rsidRPr="00C02322">
        <w:rPr>
          <w:rFonts w:ascii="Arial" w:eastAsia="Arial" w:hAnsi="Arial" w:cs="Arial"/>
          <w:b/>
          <w:bCs/>
          <w:lang w:val="es-MX"/>
        </w:rPr>
        <w:t>–</w:t>
      </w:r>
      <w:r w:rsidRPr="00C02322">
        <w:rPr>
          <w:rFonts w:ascii="Arial" w:eastAsia="Calibri" w:hAnsi="Arial" w:cs="Arial"/>
          <w:b/>
          <w:bCs/>
        </w:rPr>
        <w:t xml:space="preserve"> Ley 1150 de 2007 – Múltiples supuestos – Régimen aplicable – Libertad de elección</w:t>
      </w:r>
    </w:p>
    <w:p w14:paraId="3CF743C1" w14:textId="77777777" w:rsidR="009E0984" w:rsidRPr="00C02322" w:rsidRDefault="009E0984" w:rsidP="009E0984">
      <w:pPr>
        <w:jc w:val="both"/>
        <w:rPr>
          <w:rFonts w:ascii="Arial" w:hAnsi="Arial" w:cs="Arial"/>
          <w:sz w:val="20"/>
          <w:szCs w:val="20"/>
          <w:lang w:val="es-ES"/>
        </w:rPr>
      </w:pPr>
      <w:r w:rsidRPr="00C02322">
        <w:rPr>
          <w:rFonts w:ascii="Arial" w:hAnsi="Arial" w:cs="Arial"/>
          <w:sz w:val="20"/>
          <w:szCs w:val="20"/>
          <w:lang w:val="es-ES"/>
        </w:rPr>
        <w:t xml:space="preserve">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w:t>
      </w:r>
      <w:r w:rsidRPr="00C02322">
        <w:rPr>
          <w:rFonts w:ascii="Arial" w:hAnsi="Arial" w:cs="Arial"/>
          <w:i/>
          <w:iCs/>
          <w:sz w:val="20"/>
          <w:szCs w:val="20"/>
          <w:lang w:val="es-ES"/>
        </w:rPr>
        <w:t>inciso primero</w:t>
      </w:r>
      <w:r w:rsidRPr="00C02322">
        <w:rPr>
          <w:rFonts w:ascii="Arial" w:hAnsi="Arial" w:cs="Arial"/>
          <w:sz w:val="20"/>
          <w:szCs w:val="20"/>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Por otro lado, la norma establece un segundo criterio, en el </w:t>
      </w:r>
      <w:r w:rsidRPr="00C02322">
        <w:rPr>
          <w:rFonts w:ascii="Arial" w:hAnsi="Arial" w:cs="Arial"/>
          <w:i/>
          <w:iCs/>
          <w:sz w:val="20"/>
          <w:szCs w:val="20"/>
          <w:lang w:val="es-ES"/>
        </w:rPr>
        <w:t>inciso segundo,</w:t>
      </w:r>
      <w:r w:rsidRPr="00C02322">
        <w:rPr>
          <w:rFonts w:ascii="Arial" w:hAnsi="Arial" w:cs="Arial"/>
          <w:sz w:val="20"/>
          <w:szCs w:val="20"/>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w:t>
      </w:r>
    </w:p>
    <w:p w14:paraId="12118704" w14:textId="77777777" w:rsidR="009E0984" w:rsidRPr="00D7309A" w:rsidRDefault="009E0984" w:rsidP="009E0984">
      <w:pPr>
        <w:tabs>
          <w:tab w:val="left" w:pos="3374"/>
        </w:tabs>
        <w:jc w:val="both"/>
        <w:rPr>
          <w:rFonts w:ascii="Arial" w:hAnsi="Arial" w:cs="Arial"/>
          <w:b/>
          <w:bCs/>
          <w:lang w:val="es-ES_tradnl"/>
        </w:rPr>
      </w:pPr>
      <w:r w:rsidRPr="004146CA">
        <w:rPr>
          <w:rFonts w:ascii="Arial" w:hAnsi="Arial" w:cs="Arial"/>
          <w:b/>
          <w:bCs/>
          <w:lang w:val="es-ES_tradnl"/>
        </w:rPr>
        <w:t>ORGA</w:t>
      </w:r>
      <w:r>
        <w:rPr>
          <w:rFonts w:ascii="Arial" w:hAnsi="Arial" w:cs="Arial"/>
          <w:b/>
          <w:bCs/>
          <w:lang w:val="es-ES_tradnl"/>
        </w:rPr>
        <w:t>N</w:t>
      </w:r>
      <w:r w:rsidRPr="004146CA">
        <w:rPr>
          <w:rFonts w:ascii="Arial" w:hAnsi="Arial" w:cs="Arial"/>
          <w:b/>
          <w:bCs/>
          <w:lang w:val="es-ES_tradnl"/>
        </w:rPr>
        <w:t xml:space="preserve">ISMOS INTERNACIONALES – Suscripción de contratos – Financiación – </w:t>
      </w:r>
      <w:r>
        <w:rPr>
          <w:rFonts w:ascii="Arial" w:hAnsi="Arial" w:cs="Arial"/>
          <w:b/>
          <w:bCs/>
          <w:lang w:val="es-ES_tradnl"/>
        </w:rPr>
        <w:t>Aportes en especie – Procedencia</w:t>
      </w:r>
    </w:p>
    <w:p w14:paraId="45756B69" w14:textId="77777777" w:rsidR="009E0984" w:rsidRPr="00445A60" w:rsidRDefault="009E0984" w:rsidP="009E0984">
      <w:pPr>
        <w:tabs>
          <w:tab w:val="left" w:pos="3374"/>
        </w:tabs>
        <w:jc w:val="both"/>
        <w:rPr>
          <w:rFonts w:ascii="Arial" w:eastAsia="Calibri" w:hAnsi="Arial" w:cs="Arial"/>
          <w:sz w:val="20"/>
          <w:szCs w:val="20"/>
          <w:lang w:val="es-MX"/>
        </w:rPr>
      </w:pPr>
      <w:r w:rsidRPr="00445A60">
        <w:rPr>
          <w:rFonts w:ascii="Arial" w:eastAsia="Calibri" w:hAnsi="Arial" w:cs="Arial"/>
          <w:sz w:val="20"/>
          <w:szCs w:val="20"/>
          <w:lang w:val="es-MX"/>
        </w:rPr>
        <w:t>En este sentido, los contratos o convenios financiados en sumas iguales o superiores al (50%) con fondos de los organismos de cooperación, asistencia o ayudas internacionales de que trata el inciso primero del artículo 20 de la Ley 1150 de 2007 y el artículo 2.2.1.2.4.4.1. del Decreto 1082 de 2015, admiten la financiación de estos contratos o convenios con aportes en sumas de dinero o en especie. Además, en el segundo caso, deberán cuantificarse en moneda colombiana, a efectos de poder establecer el régimen jurídico aplicable. En todo caso, reiterando que cuando se cumple dicho presupuesto se activa la posibilidad de someterlos a los reglamentos de tales entidades; sin perjuicio de que se opte por que se rijan por la Ley 80 de 1993, bajo el entendido de que se trata de una decisión discrecional, como se explicó anteriormente.</w:t>
      </w:r>
    </w:p>
    <w:p w14:paraId="44A67582" w14:textId="77777777" w:rsidR="009E0984" w:rsidRDefault="009E0984" w:rsidP="009E0984">
      <w:pPr>
        <w:jc w:val="both"/>
        <w:rPr>
          <w:rFonts w:ascii="Arial" w:eastAsia="Calibri" w:hAnsi="Arial" w:cs="Arial"/>
          <w:sz w:val="20"/>
          <w:szCs w:val="20"/>
          <w:lang w:val="es-MX"/>
        </w:rPr>
      </w:pPr>
      <w:r w:rsidRPr="00445A60">
        <w:rPr>
          <w:rFonts w:ascii="Arial" w:eastAsia="Calibri" w:hAnsi="Arial" w:cs="Arial"/>
          <w:sz w:val="20"/>
          <w:szCs w:val="20"/>
          <w:lang w:val="es-MX"/>
        </w:rPr>
        <w:t>De conformidad con lo expuesto, se concluye que los contratos o convenios financiados con fondos de organismos internacionales previstos en el inciso primero del artículo 20 de la Ley 1150 de 2007 puede ser financiados con aportes en sumas liquidas de dinero o en especie, pues el parágrafo 3 de la misma disposición así lo permite al establecer la obligación de cuantificar en moneda colombiana los aportes en especie realizados por estos organismos y, en caso de que supere el 50% de la totalidad del presupuesto de la contratación, la entidad podrá someter el convenio o contrato a las reglas de contratación del referido organismo.</w:t>
      </w:r>
    </w:p>
    <w:p w14:paraId="40F6D850" w14:textId="77777777" w:rsidR="009E0984" w:rsidRPr="00C02322" w:rsidRDefault="009E0984" w:rsidP="009E0984">
      <w:pPr>
        <w:jc w:val="both"/>
        <w:rPr>
          <w:rFonts w:ascii="Arial" w:hAnsi="Arial" w:cs="Arial"/>
          <w:bCs/>
          <w:sz w:val="20"/>
          <w:szCs w:val="20"/>
          <w:lang w:val="es-MX" w:eastAsia="x-none"/>
        </w:rPr>
      </w:pPr>
      <w:r w:rsidRPr="00C02322">
        <w:rPr>
          <w:rFonts w:ascii="Arial" w:eastAsia="Calibri" w:hAnsi="Arial" w:cs="Arial"/>
          <w:b/>
          <w:bCs/>
        </w:rPr>
        <w:t xml:space="preserve">ORGANISMOS INTERNACIONALES – </w:t>
      </w:r>
      <w:r>
        <w:rPr>
          <w:rFonts w:ascii="Arial" w:eastAsia="Calibri" w:hAnsi="Arial" w:cs="Arial"/>
          <w:b/>
          <w:bCs/>
        </w:rPr>
        <w:t xml:space="preserve">Fondos de organismos internacionales – Definición – Alcance – Materia contractual  </w:t>
      </w:r>
    </w:p>
    <w:p w14:paraId="0B9C95F2" w14:textId="3143F009" w:rsidR="009E0984" w:rsidRDefault="009E0984" w:rsidP="009E0984">
      <w:pPr>
        <w:tabs>
          <w:tab w:val="left" w:pos="3374"/>
        </w:tabs>
        <w:jc w:val="both"/>
        <w:rPr>
          <w:rFonts w:ascii="Arial" w:eastAsia="Calibri" w:hAnsi="Arial" w:cs="Arial"/>
          <w:sz w:val="20"/>
          <w:szCs w:val="20"/>
          <w:lang w:val="es-ES"/>
        </w:rPr>
      </w:pPr>
      <w:r w:rsidRPr="00D875E0">
        <w:rPr>
          <w:rFonts w:ascii="Arial" w:eastAsia="Calibri" w:hAnsi="Arial" w:cs="Arial"/>
          <w:sz w:val="20"/>
          <w:szCs w:val="20"/>
          <w:lang w:val="es-ES"/>
        </w:rPr>
        <w:t xml:space="preserve">Teniendo en cuenta lo anterior, partiendo de la aplicación del artículo 27 del Código Civil,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para los fines de la consulta, vale la pena resaltar que la definición se refiere a un «conjunto de bienes» o «conjunto de recursos», lo que </w:t>
      </w:r>
      <w:r w:rsidRPr="00D875E0">
        <w:rPr>
          <w:rFonts w:ascii="Arial" w:eastAsia="Calibri" w:hAnsi="Arial" w:cs="Arial"/>
          <w:sz w:val="20"/>
          <w:szCs w:val="20"/>
          <w:lang w:val="es-ES"/>
        </w:rPr>
        <w:lastRenderedPageBreak/>
        <w:t xml:space="preserve">permite inferir que los fondos se componen por una universalidad o pluralidad de bienes, y en relación con la composición del conjunto de bienes, la definición es genérica pues no establece ninguna particularidad en relación con la naturaleza de los mismos. De manera que, para efectos del artículo 20 de la Ley 1150 de 2007, esta Agencia considera que los fondos de organismos internacionales son el conjunto de bienes o recursos de titularidad de estos organismos.  </w:t>
      </w:r>
    </w:p>
    <w:p w14:paraId="237326A6" w14:textId="77777777" w:rsidR="009E0984" w:rsidRDefault="009E0984" w:rsidP="009E0984">
      <w:pPr>
        <w:tabs>
          <w:tab w:val="left" w:pos="3374"/>
        </w:tabs>
        <w:jc w:val="both"/>
        <w:rPr>
          <w:rFonts w:ascii="Arial" w:eastAsia="Calibri" w:hAnsi="Arial" w:cs="Arial"/>
          <w:sz w:val="20"/>
          <w:szCs w:val="20"/>
          <w:lang w:val="es-ES"/>
        </w:rPr>
      </w:pPr>
      <w:r w:rsidRPr="00C02322">
        <w:rPr>
          <w:rFonts w:ascii="Arial" w:eastAsia="Calibri" w:hAnsi="Arial" w:cs="Arial"/>
          <w:b/>
          <w:bCs/>
        </w:rPr>
        <w:t>ORGANISMOS INTERNACIONALES</w:t>
      </w:r>
      <w:r>
        <w:rPr>
          <w:rFonts w:ascii="Arial" w:eastAsia="Calibri" w:hAnsi="Arial" w:cs="Arial"/>
          <w:b/>
          <w:bCs/>
        </w:rPr>
        <w:t xml:space="preserve"> – Decreto 603 de 2022 – Alcance </w:t>
      </w:r>
    </w:p>
    <w:p w14:paraId="139E75F0" w14:textId="77777777" w:rsidR="009E0984" w:rsidRPr="00D7309A" w:rsidRDefault="009E0984" w:rsidP="009E0984">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 xml:space="preserve">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Sin embargo, de los conceptos precitados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411F448A" w14:textId="77777777" w:rsidR="009E0984" w:rsidRPr="00D7309A" w:rsidRDefault="009E0984" w:rsidP="009E0984">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En ese orden, si los recursos financieros son sumas liquidas de dinero, es posible concluir que el umbral establecido en el artículo 2.2.8.3.4 del Decreto 603 de 2022, solo resulta aplicable para sumas de dinero. Esto a diferencia de lo señalado en el artículo 20 de la Ley 1150 de 2007, cuyo parágrafo tercero señala que los aportes en especie deben ser monetizados, lo que por naturaleza excluye de esta previsión dichos aportes.</w:t>
      </w:r>
    </w:p>
    <w:p w14:paraId="67953F7E" w14:textId="2D90F9A2" w:rsidR="009E0984" w:rsidRDefault="009E0984" w:rsidP="009E0984">
      <w:pPr>
        <w:tabs>
          <w:tab w:val="left" w:pos="3374"/>
        </w:tabs>
        <w:jc w:val="both"/>
        <w:rPr>
          <w:rFonts w:ascii="Arial" w:eastAsia="Calibri" w:hAnsi="Arial" w:cs="Arial"/>
          <w:sz w:val="20"/>
          <w:szCs w:val="20"/>
          <w:lang w:val="es-ES"/>
        </w:rPr>
      </w:pPr>
      <w:r w:rsidRPr="00D7309A">
        <w:rPr>
          <w:rFonts w:ascii="Arial" w:eastAsia="Calibri" w:hAnsi="Arial" w:cs="Arial"/>
          <w:sz w:val="20"/>
          <w:szCs w:val="20"/>
          <w:lang w:val="es-ES"/>
        </w:rPr>
        <w:t xml:space="preserve">Debe precisarse además que existe una diferenciación entre el aporte para lograr el objeto del programa, proyecto o iniciativa y la destinación dada a esos recursos en el marco del proyecto pues, a modo de ejemplo, los bienes y servicios que se adquieran no se rigen por el parágrafo tercero del artículo 20 de la Ley 1150 de 2007. De modo que, esto último es un asunto propio del contrato, </w:t>
      </w:r>
      <w:r w:rsidR="00557AE7" w:rsidRPr="00D7309A">
        <w:rPr>
          <w:rFonts w:ascii="Arial" w:eastAsia="Calibri" w:hAnsi="Arial" w:cs="Arial"/>
          <w:sz w:val="20"/>
          <w:szCs w:val="20"/>
          <w:lang w:val="es-ES"/>
        </w:rPr>
        <w:t>y,</w:t>
      </w:r>
      <w:r w:rsidRPr="00D7309A">
        <w:rPr>
          <w:rFonts w:ascii="Arial" w:eastAsia="Calibri" w:hAnsi="Arial" w:cs="Arial"/>
          <w:sz w:val="20"/>
          <w:szCs w:val="20"/>
          <w:lang w:val="es-ES"/>
        </w:rPr>
        <w:t xml:space="preserve"> en consecuencia, los bienes y servicios no podrán ser contabilizados dentro del valor del contrato pues en modo contrario se configuraría una doble contabilidad.</w:t>
      </w:r>
    </w:p>
    <w:p w14:paraId="63B1AB0C" w14:textId="77777777" w:rsidR="009E0984" w:rsidRDefault="009E0984" w:rsidP="009E0984">
      <w:pPr>
        <w:rPr>
          <w:rFonts w:ascii="Arial" w:eastAsia="Calibri" w:hAnsi="Arial" w:cs="Arial"/>
          <w:sz w:val="20"/>
          <w:szCs w:val="20"/>
          <w:lang w:val="es-MX"/>
        </w:rPr>
      </w:pPr>
    </w:p>
    <w:p w14:paraId="6BAE5B18" w14:textId="77777777" w:rsidR="00662777" w:rsidRPr="00EC7BC2" w:rsidRDefault="00662777" w:rsidP="00E245AB">
      <w:pPr>
        <w:spacing w:after="0"/>
        <w:rPr>
          <w:rFonts w:ascii="Arial" w:hAnsi="Arial" w:cs="Arial"/>
        </w:rPr>
      </w:pPr>
    </w:p>
    <w:p w14:paraId="1029A281" w14:textId="77777777" w:rsidR="00662777" w:rsidRPr="00EC7BC2" w:rsidRDefault="00662777" w:rsidP="00E245AB">
      <w:pPr>
        <w:spacing w:after="0"/>
        <w:rPr>
          <w:rFonts w:ascii="Arial" w:hAnsi="Arial" w:cs="Arial"/>
        </w:rPr>
      </w:pPr>
    </w:p>
    <w:p w14:paraId="013CE088" w14:textId="77777777" w:rsidR="00662777" w:rsidRPr="00EC7BC2" w:rsidRDefault="00662777" w:rsidP="00E245AB">
      <w:pPr>
        <w:spacing w:after="0"/>
        <w:rPr>
          <w:rFonts w:ascii="Arial" w:hAnsi="Arial" w:cs="Arial"/>
        </w:rPr>
      </w:pPr>
    </w:p>
    <w:p w14:paraId="6B425DA8" w14:textId="77777777" w:rsidR="00662777" w:rsidRPr="00EC7BC2" w:rsidRDefault="00662777" w:rsidP="00E245AB">
      <w:pPr>
        <w:spacing w:after="0"/>
        <w:rPr>
          <w:rFonts w:ascii="Arial" w:hAnsi="Arial" w:cs="Arial"/>
        </w:rPr>
      </w:pPr>
    </w:p>
    <w:p w14:paraId="3AEEE2E0" w14:textId="77777777" w:rsidR="00662777" w:rsidRPr="00EC7BC2" w:rsidRDefault="00662777" w:rsidP="00E245AB">
      <w:pPr>
        <w:spacing w:after="0"/>
        <w:rPr>
          <w:rFonts w:ascii="Arial" w:hAnsi="Arial" w:cs="Arial"/>
        </w:rPr>
      </w:pPr>
    </w:p>
    <w:p w14:paraId="1C96FF2D" w14:textId="77777777" w:rsidR="00662777" w:rsidRPr="00EC7BC2" w:rsidRDefault="00662777" w:rsidP="00E245AB">
      <w:pPr>
        <w:spacing w:after="0"/>
        <w:rPr>
          <w:rFonts w:ascii="Arial" w:hAnsi="Arial" w:cs="Arial"/>
        </w:rPr>
      </w:pPr>
    </w:p>
    <w:p w14:paraId="03CD9D91" w14:textId="77777777" w:rsidR="00662777" w:rsidRDefault="00662777" w:rsidP="00E245AB">
      <w:pPr>
        <w:spacing w:after="0"/>
        <w:rPr>
          <w:rFonts w:ascii="Arial" w:hAnsi="Arial" w:cs="Arial"/>
        </w:rPr>
      </w:pPr>
    </w:p>
    <w:p w14:paraId="2540632E" w14:textId="77777777" w:rsidR="00555D1F" w:rsidRDefault="00555D1F" w:rsidP="00E245AB">
      <w:pPr>
        <w:spacing w:after="0"/>
        <w:rPr>
          <w:rFonts w:ascii="Arial" w:hAnsi="Arial" w:cs="Arial"/>
        </w:rPr>
      </w:pPr>
    </w:p>
    <w:p w14:paraId="7FCE7173" w14:textId="77777777" w:rsidR="00555D1F" w:rsidRDefault="00555D1F" w:rsidP="00E245AB">
      <w:pPr>
        <w:spacing w:after="0"/>
        <w:rPr>
          <w:rFonts w:ascii="Arial" w:hAnsi="Arial" w:cs="Arial"/>
        </w:rPr>
      </w:pPr>
    </w:p>
    <w:p w14:paraId="0425CEEB" w14:textId="77777777" w:rsidR="00555D1F" w:rsidRDefault="00555D1F" w:rsidP="00E245AB">
      <w:pPr>
        <w:spacing w:after="0"/>
        <w:rPr>
          <w:rFonts w:ascii="Arial" w:hAnsi="Arial" w:cs="Arial"/>
        </w:rPr>
      </w:pPr>
    </w:p>
    <w:p w14:paraId="724496F6" w14:textId="77777777" w:rsidR="00555D1F" w:rsidRPr="00EC7BC2" w:rsidRDefault="00555D1F" w:rsidP="00E245AB">
      <w:pPr>
        <w:spacing w:after="0"/>
        <w:rPr>
          <w:rFonts w:ascii="Arial" w:hAnsi="Arial" w:cs="Arial"/>
        </w:rPr>
      </w:pPr>
    </w:p>
    <w:p w14:paraId="7FBA9F68" w14:textId="77777777" w:rsidR="00662777" w:rsidRPr="00EC7BC2" w:rsidRDefault="00662777" w:rsidP="00E245AB">
      <w:pPr>
        <w:spacing w:after="0"/>
        <w:rPr>
          <w:rFonts w:ascii="Arial" w:hAnsi="Arial" w:cs="Arial"/>
        </w:rPr>
      </w:pPr>
    </w:p>
    <w:p w14:paraId="619A46E1" w14:textId="77777777" w:rsidR="00662777" w:rsidRPr="00EC7BC2" w:rsidRDefault="00662777" w:rsidP="00E245AB">
      <w:pPr>
        <w:spacing w:after="0"/>
        <w:rPr>
          <w:rFonts w:ascii="Arial" w:hAnsi="Arial" w:cs="Arial"/>
        </w:rPr>
      </w:pPr>
    </w:p>
    <w:p w14:paraId="5FCADBF9" w14:textId="77777777" w:rsidR="00E245AB" w:rsidRDefault="00E245AB" w:rsidP="00E245AB">
      <w:pPr>
        <w:spacing w:after="0"/>
        <w:rPr>
          <w:rFonts w:ascii="Arial" w:hAnsi="Arial" w:cs="Arial"/>
        </w:rPr>
      </w:pPr>
    </w:p>
    <w:p w14:paraId="42E5E7E2" w14:textId="77777777" w:rsidR="00BC4226" w:rsidRPr="009777C6" w:rsidRDefault="00BC4226" w:rsidP="00BC4226">
      <w:pPr>
        <w:spacing w:after="0"/>
        <w:rPr>
          <w:rFonts w:ascii="Arial" w:hAnsi="Arial" w:cs="Arial"/>
        </w:rPr>
      </w:pPr>
      <w:r w:rsidRPr="009777C6">
        <w:rPr>
          <w:rFonts w:ascii="Arial" w:hAnsi="Arial" w:cs="Arial"/>
        </w:rPr>
        <w:lastRenderedPageBreak/>
        <w:t>Bogotá D.C., [Día] de [Mes.NombreCapitalizado] de [Año]</w:t>
      </w:r>
      <w:r w:rsidRPr="009777C6">
        <w:rPr>
          <w:rFonts w:ascii="Arial" w:hAnsi="Arial" w:cs="Arial"/>
        </w:rPr>
        <w:tab/>
      </w:r>
    </w:p>
    <w:p w14:paraId="0465BA6D" w14:textId="1470146E" w:rsidR="00E245AB" w:rsidRPr="00EC7BC2" w:rsidRDefault="00E245AB" w:rsidP="00E636A5">
      <w:pPr>
        <w:spacing w:after="0"/>
        <w:jc w:val="right"/>
        <w:rPr>
          <w:rFonts w:ascii="Arial" w:hAnsi="Arial" w:cs="Arial"/>
        </w:rPr>
      </w:pPr>
    </w:p>
    <w:p w14:paraId="629B0EC8" w14:textId="77777777" w:rsidR="00665BEA" w:rsidRPr="00EC7BC2" w:rsidRDefault="00665BEA" w:rsidP="00E245AB">
      <w:pPr>
        <w:spacing w:after="0"/>
        <w:rPr>
          <w:rFonts w:ascii="Arial" w:hAnsi="Arial" w:cs="Arial"/>
        </w:rPr>
      </w:pPr>
    </w:p>
    <w:p w14:paraId="6A129BB6" w14:textId="77777777" w:rsidR="00B67A67" w:rsidRPr="00EC7BC2" w:rsidRDefault="00B67A67" w:rsidP="00B67A67">
      <w:pPr>
        <w:spacing w:after="0"/>
        <w:rPr>
          <w:rFonts w:ascii="Arial" w:eastAsia="Geomanist Light" w:hAnsi="Arial" w:cs="Arial"/>
          <w:lang w:val="es-MX"/>
        </w:rPr>
      </w:pPr>
      <w:r w:rsidRPr="00EC7BC2">
        <w:rPr>
          <w:rFonts w:ascii="Arial" w:hAnsi="Arial" w:cs="Arial"/>
          <w:lang w:val="es-MX"/>
        </w:rPr>
        <w:t>Señor:</w:t>
      </w:r>
    </w:p>
    <w:p w14:paraId="21B9DFAB" w14:textId="3EE39285" w:rsidR="00BC4226" w:rsidRDefault="00BC4226" w:rsidP="00B67A67">
      <w:pPr>
        <w:spacing w:after="0" w:line="276" w:lineRule="auto"/>
        <w:rPr>
          <w:rFonts w:ascii="Arial" w:hAnsi="Arial" w:cs="Arial"/>
          <w:b/>
          <w:bCs/>
          <w:lang w:val="es-MX"/>
        </w:rPr>
      </w:pPr>
      <w:r w:rsidRPr="00BC4226">
        <w:rPr>
          <w:rFonts w:ascii="Arial" w:hAnsi="Arial" w:cs="Arial"/>
          <w:b/>
          <w:bCs/>
          <w:lang w:val="es-MX"/>
        </w:rPr>
        <w:t>Laura Estefanía Lamprea Carvajal</w:t>
      </w:r>
    </w:p>
    <w:p w14:paraId="17D999A3" w14:textId="28856D2B" w:rsidR="00B67A67" w:rsidRPr="00EC7BC2" w:rsidRDefault="00C07C8C" w:rsidP="00B67A67">
      <w:pPr>
        <w:spacing w:after="0" w:line="276" w:lineRule="auto"/>
        <w:rPr>
          <w:rFonts w:ascii="Arial" w:hAnsi="Arial" w:cs="Arial"/>
          <w:lang w:val="es-MX"/>
        </w:rPr>
      </w:pPr>
      <w:r w:rsidRPr="00EC7BC2">
        <w:rPr>
          <w:rFonts w:ascii="Arial" w:hAnsi="Arial" w:cs="Arial"/>
          <w:lang w:val="es-MX"/>
        </w:rPr>
        <w:t>Bogotá D.C.</w:t>
      </w:r>
    </w:p>
    <w:p w14:paraId="11E7ADFA" w14:textId="7192F60E" w:rsidR="00B67A67" w:rsidRPr="00EC7BC2" w:rsidRDefault="00B67A67" w:rsidP="00B67A67">
      <w:pPr>
        <w:spacing w:after="0" w:line="276" w:lineRule="auto"/>
        <w:rPr>
          <w:rFonts w:ascii="Arial" w:hAnsi="Arial" w:cs="Arial"/>
          <w:lang w:val="es-MX"/>
        </w:rPr>
      </w:pPr>
    </w:p>
    <w:p w14:paraId="000A064C" w14:textId="77777777" w:rsidR="00B67A67" w:rsidRPr="00EC7BC2" w:rsidRDefault="00B67A67" w:rsidP="00B67A67">
      <w:pPr>
        <w:spacing w:after="0" w:line="276" w:lineRule="auto"/>
        <w:rPr>
          <w:rFonts w:ascii="Arial" w:hAnsi="Arial" w:cs="Arial"/>
          <w:lang w:val="es-MX"/>
        </w:rPr>
      </w:pPr>
    </w:p>
    <w:p w14:paraId="1BA0471C" w14:textId="6C18DCF3" w:rsidR="00B67A67" w:rsidRPr="00EC7BC2" w:rsidRDefault="00B67A67" w:rsidP="00BE6E62">
      <w:pPr>
        <w:spacing w:after="0" w:line="276" w:lineRule="auto"/>
        <w:ind w:left="2694"/>
        <w:rPr>
          <w:rFonts w:ascii="Arial" w:eastAsia="Calibri" w:hAnsi="Arial" w:cs="Arial"/>
          <w:b/>
          <w:bCs/>
          <w:lang w:val="es-ES"/>
        </w:rPr>
      </w:pPr>
      <w:r w:rsidRPr="00EC7BC2">
        <w:rPr>
          <w:rFonts w:ascii="Arial" w:eastAsia="Calibri" w:hAnsi="Arial" w:cs="Arial"/>
          <w:b/>
          <w:bCs/>
          <w:lang w:val="es-ES"/>
        </w:rPr>
        <w:t>Concepto C-</w:t>
      </w:r>
      <w:r w:rsidRPr="00EC7BC2">
        <w:rPr>
          <w:rFonts w:ascii="Arial" w:hAnsi="Arial" w:cs="Arial"/>
        </w:rPr>
        <w:t xml:space="preserve"> </w:t>
      </w:r>
      <w:r w:rsidR="00AE6640">
        <w:rPr>
          <w:rFonts w:ascii="Arial" w:eastAsia="Calibri" w:hAnsi="Arial" w:cs="Arial"/>
          <w:b/>
          <w:bCs/>
          <w:lang w:val="es-ES"/>
        </w:rPr>
        <w:t>223</w:t>
      </w:r>
      <w:r w:rsidRPr="00EC7BC2">
        <w:rPr>
          <w:rFonts w:ascii="Arial" w:eastAsia="Calibri" w:hAnsi="Arial" w:cs="Arial"/>
          <w:b/>
          <w:bCs/>
          <w:lang w:val="es-ES"/>
        </w:rPr>
        <w:t xml:space="preserve"> del 2023</w:t>
      </w:r>
    </w:p>
    <w:p w14:paraId="6ED4CB2C" w14:textId="77777777" w:rsidR="00B67A67" w:rsidRPr="00EC7BC2" w:rsidRDefault="00B67A67" w:rsidP="00B67A67">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C7BC2" w:rsidRPr="00EC7BC2" w14:paraId="00C44E8B" w14:textId="77777777" w:rsidTr="007217F7">
        <w:trPr>
          <w:jc w:val="right"/>
        </w:trPr>
        <w:tc>
          <w:tcPr>
            <w:tcW w:w="1838" w:type="dxa"/>
          </w:tcPr>
          <w:p w14:paraId="748341D4" w14:textId="77777777" w:rsidR="00B67A67" w:rsidRPr="00EC7BC2" w:rsidRDefault="00B67A67" w:rsidP="007217F7">
            <w:pPr>
              <w:spacing w:line="276" w:lineRule="auto"/>
              <w:jc w:val="center"/>
              <w:rPr>
                <w:rFonts w:ascii="Arial" w:eastAsia="Calibri" w:hAnsi="Arial" w:cs="Arial"/>
                <w:lang w:val="es-ES_tradnl"/>
              </w:rPr>
            </w:pPr>
            <w:r w:rsidRPr="00EC7BC2">
              <w:rPr>
                <w:rFonts w:ascii="Arial" w:eastAsia="Calibri" w:hAnsi="Arial" w:cs="Arial"/>
                <w:b/>
                <w:lang w:val="es-ES_tradnl"/>
              </w:rPr>
              <w:t>Temas:</w:t>
            </w:r>
          </w:p>
        </w:tc>
        <w:tc>
          <w:tcPr>
            <w:tcW w:w="6237" w:type="dxa"/>
          </w:tcPr>
          <w:p w14:paraId="2D857DBB" w14:textId="644A4C1E" w:rsidR="00BC4226" w:rsidRPr="00555D1F" w:rsidRDefault="00BC4226" w:rsidP="00BC4226">
            <w:pPr>
              <w:jc w:val="both"/>
              <w:rPr>
                <w:rFonts w:ascii="Arial" w:eastAsia="Calibri" w:hAnsi="Arial" w:cs="Arial"/>
              </w:rPr>
            </w:pPr>
            <w:r w:rsidRPr="00555D1F">
              <w:rPr>
                <w:rFonts w:ascii="Arial" w:eastAsia="Calibri" w:hAnsi="Arial" w:cs="Arial"/>
              </w:rPr>
              <w:t xml:space="preserve">ORGANISMOS INTERNACIONALES – Artículo 20 </w:t>
            </w:r>
            <w:r w:rsidRPr="00555D1F">
              <w:rPr>
                <w:rFonts w:ascii="Arial" w:eastAsia="Arial" w:hAnsi="Arial" w:cs="Arial"/>
                <w:lang w:val="es-MX"/>
              </w:rPr>
              <w:t>–</w:t>
            </w:r>
            <w:r w:rsidRPr="00555D1F">
              <w:rPr>
                <w:rFonts w:ascii="Arial" w:eastAsia="Calibri" w:hAnsi="Arial" w:cs="Arial"/>
              </w:rPr>
              <w:t xml:space="preserve"> Ley 1150 de 2007 – Múltiples supuestos – Régimen aplicable – Libertad de elección </w:t>
            </w:r>
            <w:r w:rsidRPr="00555D1F">
              <w:rPr>
                <w:rFonts w:ascii="Arial" w:eastAsia="Calibri" w:hAnsi="Arial" w:cs="Arial"/>
                <w:lang w:val="es-ES_tradnl"/>
              </w:rPr>
              <w:t xml:space="preserve">/ </w:t>
            </w:r>
            <w:r w:rsidRPr="00555D1F">
              <w:rPr>
                <w:rFonts w:ascii="Arial" w:hAnsi="Arial" w:cs="Arial"/>
                <w:lang w:val="es-ES_tradnl"/>
              </w:rPr>
              <w:t xml:space="preserve">ORGAMISMOS INTERNACIONALES – Suscripción de contratos – Financiación – Aportes en especie – Procedencia / </w:t>
            </w:r>
            <w:r w:rsidRPr="00555D1F">
              <w:rPr>
                <w:rFonts w:ascii="Arial" w:eastAsia="Calibri" w:hAnsi="Arial" w:cs="Arial"/>
              </w:rPr>
              <w:t>ORGANISMOS INTERNACIONALES – Fondos de organismos internacionales – Definición – Alcance – Materia contractual</w:t>
            </w:r>
            <w:r w:rsidR="00555D1F" w:rsidRPr="00555D1F">
              <w:rPr>
                <w:rFonts w:ascii="Arial" w:eastAsia="Calibri" w:hAnsi="Arial" w:cs="Arial"/>
              </w:rPr>
              <w:t>-</w:t>
            </w:r>
            <w:r w:rsidR="00555D1F" w:rsidRPr="00555D1F">
              <w:rPr>
                <w:rFonts w:ascii="Arial" w:hAnsi="Arial" w:cs="Arial"/>
                <w:lang w:val="es-ES_tradnl"/>
              </w:rPr>
              <w:t xml:space="preserve"> artículo 2.2.8.3.4. Decreto 603 de 2022 – recursos financieros – alcance.  </w:t>
            </w:r>
            <w:r w:rsidR="00555D1F" w:rsidRPr="00555D1F">
              <w:rPr>
                <w:rFonts w:ascii="Arial" w:eastAsia="Calibri" w:hAnsi="Arial" w:cs="Arial"/>
              </w:rPr>
              <w:t xml:space="preserve"> </w:t>
            </w:r>
          </w:p>
          <w:p w14:paraId="6A81631D" w14:textId="7EE1BAF9" w:rsidR="00BC4226" w:rsidRPr="00EC7BC2" w:rsidRDefault="00BC4226" w:rsidP="007217F7">
            <w:pPr>
              <w:spacing w:after="120"/>
              <w:contextualSpacing/>
              <w:jc w:val="both"/>
              <w:rPr>
                <w:rFonts w:ascii="Arial" w:eastAsia="Calibri" w:hAnsi="Arial" w:cs="Arial"/>
                <w:bCs/>
                <w:lang w:val="es-MX" w:eastAsia="es-ES_tradnl"/>
              </w:rPr>
            </w:pPr>
          </w:p>
        </w:tc>
      </w:tr>
      <w:tr w:rsidR="00B67A67" w:rsidRPr="00EC7BC2" w14:paraId="18507A8C" w14:textId="77777777" w:rsidTr="007217F7">
        <w:trPr>
          <w:jc w:val="right"/>
        </w:trPr>
        <w:tc>
          <w:tcPr>
            <w:tcW w:w="1838" w:type="dxa"/>
          </w:tcPr>
          <w:p w14:paraId="0605D968" w14:textId="77777777" w:rsidR="00B67A67" w:rsidRPr="00EC7BC2" w:rsidRDefault="00B67A67" w:rsidP="007217F7">
            <w:pPr>
              <w:spacing w:line="276" w:lineRule="auto"/>
              <w:jc w:val="center"/>
              <w:rPr>
                <w:rFonts w:ascii="Arial" w:eastAsia="Calibri" w:hAnsi="Arial" w:cs="Arial"/>
                <w:b/>
                <w:lang w:val="es-ES"/>
              </w:rPr>
            </w:pPr>
            <w:r w:rsidRPr="00EC7BC2">
              <w:rPr>
                <w:rFonts w:ascii="Arial" w:eastAsia="Calibri" w:hAnsi="Arial" w:cs="Arial"/>
                <w:b/>
                <w:lang w:val="es-ES"/>
              </w:rPr>
              <w:t>Radicación:</w:t>
            </w:r>
          </w:p>
        </w:tc>
        <w:tc>
          <w:tcPr>
            <w:tcW w:w="6237" w:type="dxa"/>
          </w:tcPr>
          <w:p w14:paraId="29721305" w14:textId="2DD4FC0D" w:rsidR="00B67A67" w:rsidRPr="00EC7BC2" w:rsidRDefault="00B67A67" w:rsidP="007217F7">
            <w:pPr>
              <w:spacing w:line="276" w:lineRule="auto"/>
              <w:jc w:val="both"/>
              <w:rPr>
                <w:rFonts w:ascii="Arial" w:eastAsia="Calibri" w:hAnsi="Arial" w:cs="Arial"/>
                <w:lang w:val="es-ES"/>
              </w:rPr>
            </w:pPr>
            <w:r w:rsidRPr="00EC7BC2">
              <w:rPr>
                <w:rFonts w:ascii="Arial" w:eastAsia="Calibri" w:hAnsi="Arial" w:cs="Arial"/>
                <w:lang w:val="es-ES"/>
              </w:rPr>
              <w:t xml:space="preserve">Respuesta a consulta Nro. </w:t>
            </w:r>
            <w:r w:rsidR="00BC4226" w:rsidRPr="00BC4226">
              <w:rPr>
                <w:rFonts w:ascii="Arial" w:eastAsia="Calibri" w:hAnsi="Arial" w:cs="Arial"/>
                <w:lang w:val="es-ES"/>
              </w:rPr>
              <w:t>P20230629012795</w:t>
            </w:r>
            <w:r w:rsidR="00CF6BD1" w:rsidRPr="00EC7BC2">
              <w:rPr>
                <w:rFonts w:ascii="Arial" w:eastAsia="Calibri" w:hAnsi="Arial" w:cs="Arial"/>
                <w:lang w:val="es-ES"/>
              </w:rPr>
              <w:t>.</w:t>
            </w:r>
          </w:p>
        </w:tc>
      </w:tr>
    </w:tbl>
    <w:p w14:paraId="627A0B3C" w14:textId="615CB9DF" w:rsidR="00B67A67" w:rsidRPr="00EC7BC2" w:rsidRDefault="00B67A67" w:rsidP="00B67A67">
      <w:pPr>
        <w:spacing w:line="276" w:lineRule="auto"/>
        <w:jc w:val="both"/>
        <w:rPr>
          <w:rFonts w:ascii="Arial" w:eastAsia="Calibri" w:hAnsi="Arial" w:cs="Arial"/>
          <w:lang w:val="es-ES_tradnl"/>
        </w:rPr>
      </w:pPr>
    </w:p>
    <w:p w14:paraId="7F0DF218" w14:textId="6401E516" w:rsidR="00B67A67" w:rsidRPr="00EC7BC2" w:rsidRDefault="00B67A67" w:rsidP="00B67A67">
      <w:pPr>
        <w:spacing w:line="276" w:lineRule="auto"/>
        <w:jc w:val="both"/>
        <w:rPr>
          <w:rFonts w:ascii="Arial" w:eastAsia="Calibri" w:hAnsi="Arial" w:cs="Arial"/>
          <w:bCs/>
          <w:lang w:val="es-ES_tradnl"/>
        </w:rPr>
      </w:pPr>
      <w:r w:rsidRPr="00EC7BC2">
        <w:rPr>
          <w:rFonts w:ascii="Arial" w:eastAsia="Calibri" w:hAnsi="Arial" w:cs="Arial"/>
          <w:lang w:val="es-ES_tradnl"/>
        </w:rPr>
        <w:t>Estimad</w:t>
      </w:r>
      <w:r w:rsidR="00153D38">
        <w:rPr>
          <w:rFonts w:ascii="Arial" w:eastAsia="Calibri" w:hAnsi="Arial" w:cs="Arial"/>
          <w:lang w:val="es-ES_tradnl"/>
        </w:rPr>
        <w:t>a</w:t>
      </w:r>
      <w:r w:rsidRPr="00EC7BC2">
        <w:rPr>
          <w:rFonts w:ascii="Arial" w:eastAsia="Calibri" w:hAnsi="Arial" w:cs="Arial"/>
          <w:lang w:val="es-ES_tradnl"/>
        </w:rPr>
        <w:t xml:space="preserve"> señor</w:t>
      </w:r>
      <w:r w:rsidR="00153D38">
        <w:rPr>
          <w:rFonts w:ascii="Arial" w:eastAsia="Calibri" w:hAnsi="Arial" w:cs="Arial"/>
          <w:lang w:val="es-ES_tradnl"/>
        </w:rPr>
        <w:t>a Lamprea</w:t>
      </w:r>
      <w:r w:rsidRPr="00EC7BC2">
        <w:rPr>
          <w:rFonts w:ascii="Arial" w:eastAsia="Calibri" w:hAnsi="Arial" w:cs="Arial"/>
          <w:bCs/>
          <w:lang w:val="es-ES_tradnl"/>
        </w:rPr>
        <w:t>:</w:t>
      </w:r>
    </w:p>
    <w:p w14:paraId="550D7D73" w14:textId="064D5E6A" w:rsidR="00B67A67" w:rsidRPr="00EC7BC2" w:rsidRDefault="00B67A67" w:rsidP="00B67A67">
      <w:pPr>
        <w:spacing w:after="0" w:line="276" w:lineRule="auto"/>
        <w:jc w:val="both"/>
        <w:rPr>
          <w:rFonts w:ascii="Arial" w:eastAsia="Calibri" w:hAnsi="Arial" w:cs="Arial"/>
          <w:lang w:val="es-ES"/>
        </w:rPr>
      </w:pPr>
      <w:r w:rsidRPr="00EC7BC2">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2</w:t>
      </w:r>
      <w:r w:rsidR="008A0B9D" w:rsidRPr="00EC7BC2">
        <w:rPr>
          <w:rFonts w:ascii="Arial" w:eastAsia="Calibri" w:hAnsi="Arial" w:cs="Arial"/>
          <w:lang w:val="es-ES"/>
        </w:rPr>
        <w:t>0 de junio del 2023</w:t>
      </w:r>
      <w:r w:rsidRPr="00EC7BC2">
        <w:rPr>
          <w:rFonts w:ascii="Arial" w:eastAsia="Calibri" w:hAnsi="Arial" w:cs="Arial"/>
          <w:lang w:val="es-ES"/>
        </w:rPr>
        <w:t>.</w:t>
      </w:r>
    </w:p>
    <w:p w14:paraId="01929300" w14:textId="77777777" w:rsidR="00B67A67" w:rsidRPr="00EC7BC2" w:rsidRDefault="00B67A67" w:rsidP="00B67A67">
      <w:pPr>
        <w:spacing w:after="0" w:line="276" w:lineRule="auto"/>
        <w:jc w:val="both"/>
        <w:rPr>
          <w:rFonts w:ascii="Arial" w:eastAsia="Calibri" w:hAnsi="Arial" w:cs="Arial"/>
          <w:lang w:val="es-ES"/>
        </w:rPr>
      </w:pPr>
    </w:p>
    <w:p w14:paraId="6F1E21E4" w14:textId="77777777" w:rsidR="00B67A67" w:rsidRPr="00EC7BC2" w:rsidRDefault="00B67A67" w:rsidP="00B67A67">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C7BC2">
        <w:rPr>
          <w:rFonts w:ascii="Arial" w:eastAsia="Calibri" w:hAnsi="Arial" w:cs="Arial"/>
          <w:b/>
          <w:lang w:val="es-ES_tradnl"/>
        </w:rPr>
        <w:t xml:space="preserve">Problema planteado </w:t>
      </w:r>
    </w:p>
    <w:p w14:paraId="72071F30" w14:textId="77777777" w:rsidR="00B67A67" w:rsidRPr="00EC7BC2" w:rsidRDefault="00B67A67" w:rsidP="00B67A67">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103274E6" w14:textId="3EEC54E1" w:rsidR="00F10277" w:rsidRPr="00EC7BC2" w:rsidRDefault="00B67A67" w:rsidP="00F10277">
      <w:pPr>
        <w:spacing w:after="0" w:line="276" w:lineRule="auto"/>
        <w:jc w:val="both"/>
        <w:rPr>
          <w:rFonts w:ascii="Arial" w:hAnsi="Arial" w:cs="Arial"/>
          <w:lang w:val="es-ES_tradnl"/>
        </w:rPr>
      </w:pPr>
      <w:r w:rsidRPr="00EC7BC2">
        <w:rPr>
          <w:rFonts w:ascii="Arial" w:hAnsi="Arial" w:cs="Arial"/>
          <w:lang w:val="es-ES_tradnl"/>
        </w:rPr>
        <w:t xml:space="preserve">Respecto a la </w:t>
      </w:r>
      <w:r w:rsidR="00FE2301">
        <w:rPr>
          <w:rFonts w:ascii="Arial" w:hAnsi="Arial" w:cs="Arial"/>
          <w:lang w:val="es-ES_tradnl"/>
        </w:rPr>
        <w:t>expresión recursos financieros incorporada en el artículo 2.2.8.3.4. del Decreto 603 de 2022</w:t>
      </w:r>
      <w:r w:rsidRPr="00EC7BC2">
        <w:rPr>
          <w:rFonts w:ascii="Arial" w:hAnsi="Arial" w:cs="Arial"/>
          <w:lang w:val="es-ES_tradnl"/>
        </w:rPr>
        <w:t xml:space="preserve"> usted realiza la siguiente consulta: </w:t>
      </w:r>
    </w:p>
    <w:p w14:paraId="48221C42" w14:textId="77777777" w:rsidR="00C50E20" w:rsidRPr="00EC7BC2" w:rsidRDefault="00C50E20" w:rsidP="00F10277">
      <w:pPr>
        <w:spacing w:after="0" w:line="276" w:lineRule="auto"/>
        <w:jc w:val="both"/>
        <w:rPr>
          <w:rFonts w:ascii="Arial" w:hAnsi="Arial" w:cs="Arial"/>
          <w:lang w:val="es-ES_tradnl"/>
        </w:rPr>
      </w:pPr>
    </w:p>
    <w:p w14:paraId="0F293BF4" w14:textId="032F1B14" w:rsidR="00127233" w:rsidRDefault="000F2459" w:rsidP="00FE2301">
      <w:pPr>
        <w:spacing w:after="0" w:line="240" w:lineRule="auto"/>
        <w:ind w:left="709" w:right="709"/>
        <w:jc w:val="both"/>
        <w:rPr>
          <w:rFonts w:ascii="Arial" w:hAnsi="Arial" w:cs="Arial"/>
          <w:sz w:val="21"/>
          <w:szCs w:val="21"/>
        </w:rPr>
      </w:pPr>
      <w:r w:rsidRPr="00EC7BC2">
        <w:rPr>
          <w:rFonts w:ascii="Arial" w:hAnsi="Arial" w:cs="Arial"/>
          <w:sz w:val="21"/>
          <w:szCs w:val="21"/>
        </w:rPr>
        <w:t xml:space="preserve">“[…] </w:t>
      </w:r>
      <w:r w:rsidR="00FE2301" w:rsidRPr="00EC7BC2">
        <w:rPr>
          <w:rFonts w:ascii="Arial" w:hAnsi="Arial" w:cs="Arial"/>
          <w:sz w:val="21"/>
          <w:szCs w:val="21"/>
        </w:rPr>
        <w:t>¿</w:t>
      </w:r>
      <w:r w:rsidR="00FE2301" w:rsidRPr="00FE2301">
        <w:t>Cuál</w:t>
      </w:r>
      <w:r w:rsidR="00FE2301" w:rsidRPr="00FE2301">
        <w:rPr>
          <w:rFonts w:ascii="Arial" w:hAnsi="Arial" w:cs="Arial"/>
          <w:sz w:val="21"/>
          <w:szCs w:val="21"/>
        </w:rPr>
        <w:t xml:space="preserve"> es el alcance que se le debe dar a la expresión “recursos financieros”</w:t>
      </w:r>
      <w:r w:rsidR="00FE2301">
        <w:rPr>
          <w:rFonts w:ascii="Arial" w:hAnsi="Arial" w:cs="Arial"/>
          <w:sz w:val="21"/>
          <w:szCs w:val="21"/>
        </w:rPr>
        <w:t xml:space="preserve"> </w:t>
      </w:r>
      <w:r w:rsidR="00FE2301" w:rsidRPr="00FE2301">
        <w:rPr>
          <w:rFonts w:ascii="Arial" w:hAnsi="Arial" w:cs="Arial"/>
          <w:sz w:val="21"/>
          <w:szCs w:val="21"/>
        </w:rPr>
        <w:t>incorporada en el artículo 2?2.8.3.4 del Decreto 603 de 2022?</w:t>
      </w:r>
      <w:r w:rsidR="00F10277" w:rsidRPr="00EC7BC2">
        <w:rPr>
          <w:rFonts w:ascii="Arial" w:hAnsi="Arial" w:cs="Arial"/>
          <w:sz w:val="21"/>
          <w:szCs w:val="21"/>
        </w:rPr>
        <w:t>?</w:t>
      </w:r>
      <w:r w:rsidRPr="00EC7BC2">
        <w:rPr>
          <w:rFonts w:ascii="Arial" w:hAnsi="Arial" w:cs="Arial"/>
          <w:sz w:val="21"/>
          <w:szCs w:val="21"/>
        </w:rPr>
        <w:t xml:space="preserve"> </w:t>
      </w:r>
    </w:p>
    <w:p w14:paraId="366DFC84" w14:textId="77777777" w:rsidR="00FE2301" w:rsidRDefault="00FE2301" w:rsidP="00FE2301">
      <w:pPr>
        <w:spacing w:after="0" w:line="240" w:lineRule="auto"/>
        <w:ind w:left="709" w:right="709"/>
        <w:jc w:val="both"/>
        <w:rPr>
          <w:rFonts w:ascii="Arial" w:hAnsi="Arial" w:cs="Arial"/>
          <w:sz w:val="21"/>
          <w:szCs w:val="21"/>
        </w:rPr>
      </w:pPr>
    </w:p>
    <w:p w14:paraId="5BBF8C0B" w14:textId="3D597632" w:rsidR="00FE2301" w:rsidRPr="00FE2301" w:rsidRDefault="00FE2301" w:rsidP="00FE2301">
      <w:pPr>
        <w:spacing w:after="0" w:line="240" w:lineRule="auto"/>
        <w:ind w:left="709" w:right="709"/>
        <w:jc w:val="both"/>
        <w:rPr>
          <w:rFonts w:ascii="Arial" w:hAnsi="Arial" w:cs="Arial"/>
          <w:sz w:val="21"/>
          <w:szCs w:val="21"/>
        </w:rPr>
      </w:pPr>
      <w:r w:rsidRPr="00FE2301">
        <w:rPr>
          <w:rFonts w:ascii="Arial" w:hAnsi="Arial" w:cs="Arial"/>
          <w:sz w:val="21"/>
          <w:szCs w:val="21"/>
        </w:rPr>
        <w:t>¿Bajo la expresión “recursos financieros” incorporada en el artículo 2?2.8.3.4 del</w:t>
      </w:r>
    </w:p>
    <w:p w14:paraId="417514DE" w14:textId="7C2302C1" w:rsidR="00FE2301" w:rsidRDefault="00FE2301" w:rsidP="00FE2301">
      <w:pPr>
        <w:spacing w:after="0" w:line="240" w:lineRule="auto"/>
        <w:ind w:left="709" w:right="709"/>
        <w:jc w:val="both"/>
        <w:rPr>
          <w:rFonts w:ascii="Arial" w:hAnsi="Arial" w:cs="Arial"/>
          <w:sz w:val="21"/>
          <w:szCs w:val="21"/>
        </w:rPr>
      </w:pPr>
      <w:r w:rsidRPr="00FE2301">
        <w:rPr>
          <w:rFonts w:ascii="Arial" w:hAnsi="Arial" w:cs="Arial"/>
          <w:sz w:val="21"/>
          <w:szCs w:val="21"/>
        </w:rPr>
        <w:t>Decreto 603 de 2022, ¿un cooperante internacional puede presentar como contrapartida de recursos financieros aportes en especie como bienes, capacitaciones y cursos?</w:t>
      </w:r>
      <w:r>
        <w:rPr>
          <w:rFonts w:ascii="Arial" w:hAnsi="Arial" w:cs="Arial"/>
          <w:sz w:val="21"/>
          <w:szCs w:val="21"/>
        </w:rPr>
        <w:t xml:space="preserve"> </w:t>
      </w:r>
      <w:r w:rsidRPr="00EC7BC2">
        <w:rPr>
          <w:rFonts w:ascii="Arial" w:hAnsi="Arial" w:cs="Arial"/>
          <w:sz w:val="21"/>
          <w:szCs w:val="21"/>
        </w:rPr>
        <w:t>[…]</w:t>
      </w:r>
      <w:r>
        <w:rPr>
          <w:rFonts w:ascii="Arial" w:hAnsi="Arial" w:cs="Arial"/>
          <w:sz w:val="21"/>
          <w:szCs w:val="21"/>
        </w:rPr>
        <w:t>”</w:t>
      </w:r>
    </w:p>
    <w:p w14:paraId="4B8653FD" w14:textId="77777777" w:rsidR="00B35C31" w:rsidRDefault="00B35C31" w:rsidP="00FE2301">
      <w:pPr>
        <w:spacing w:after="0" w:line="240" w:lineRule="auto"/>
        <w:ind w:left="709" w:right="709"/>
        <w:jc w:val="both"/>
        <w:rPr>
          <w:rFonts w:ascii="Arial" w:hAnsi="Arial" w:cs="Arial"/>
          <w:sz w:val="21"/>
          <w:szCs w:val="21"/>
        </w:rPr>
      </w:pPr>
    </w:p>
    <w:p w14:paraId="6A8136F6" w14:textId="77777777" w:rsidR="00B35C31" w:rsidRPr="00EC7BC2" w:rsidRDefault="00B35C31" w:rsidP="00FE2301">
      <w:pPr>
        <w:spacing w:after="0" w:line="240" w:lineRule="auto"/>
        <w:ind w:left="709" w:right="709"/>
        <w:jc w:val="both"/>
        <w:rPr>
          <w:rFonts w:ascii="Arial" w:hAnsi="Arial" w:cs="Arial"/>
          <w:sz w:val="21"/>
          <w:szCs w:val="21"/>
        </w:rPr>
      </w:pPr>
    </w:p>
    <w:p w14:paraId="1CE40D21" w14:textId="77777777" w:rsidR="009A75EA" w:rsidRPr="00EC7BC2" w:rsidRDefault="009A75EA" w:rsidP="009A75EA">
      <w:pPr>
        <w:spacing w:after="0" w:line="240" w:lineRule="auto"/>
        <w:ind w:right="709"/>
        <w:jc w:val="both"/>
        <w:rPr>
          <w:rFonts w:ascii="Arial" w:hAnsi="Arial" w:cs="Arial"/>
          <w:sz w:val="21"/>
          <w:szCs w:val="21"/>
        </w:rPr>
      </w:pPr>
    </w:p>
    <w:p w14:paraId="670030AE" w14:textId="77777777" w:rsidR="009A75EA" w:rsidRPr="00EC7BC2" w:rsidRDefault="009A75EA" w:rsidP="009A75EA">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sidRPr="00EC7BC2">
        <w:rPr>
          <w:rFonts w:ascii="Arial" w:eastAsia="Calibri" w:hAnsi="Arial" w:cs="Arial"/>
          <w:b/>
          <w:lang w:val="es-ES_tradnl"/>
        </w:rPr>
        <w:lastRenderedPageBreak/>
        <w:t>Consideraciones</w:t>
      </w:r>
    </w:p>
    <w:p w14:paraId="0D585FC0" w14:textId="77777777" w:rsidR="009A75EA" w:rsidRPr="00EC7BC2" w:rsidRDefault="009A75EA" w:rsidP="009A75EA">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125E08BE" w14:textId="77777777" w:rsidR="009A75EA" w:rsidRPr="00EC7BC2" w:rsidRDefault="009A75EA" w:rsidP="009A75EA">
      <w:pPr>
        <w:spacing w:after="120" w:line="276" w:lineRule="auto"/>
        <w:jc w:val="both"/>
        <w:rPr>
          <w:rFonts w:ascii="Arial" w:hAnsi="Arial" w:cs="Arial"/>
          <w:lang w:val="es-ES"/>
        </w:rPr>
      </w:pPr>
      <w:r w:rsidRPr="00EC7BC2">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EC7BC2">
        <w:rPr>
          <w:rFonts w:ascii="Arial" w:hAnsi="Arial" w:cs="Arial"/>
        </w:rPr>
        <w:t xml:space="preserve">. </w:t>
      </w:r>
      <w:r w:rsidRPr="00EC7BC2">
        <w:rPr>
          <w:rFonts w:ascii="Arial" w:hAnsi="Arial" w:cs="Arial"/>
          <w:lang w:val="es-ES"/>
        </w:rPr>
        <w:t xml:space="preserve">Es necesario tener en cuenta que </w:t>
      </w:r>
      <w:bookmarkStart w:id="3" w:name="_Hlk61026958"/>
      <w:r w:rsidRPr="00EC7BC2">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C7BC2">
        <w:rPr>
          <w:rFonts w:ascii="Arial" w:hAnsi="Arial" w:cs="Arial"/>
        </w:rPr>
        <w:t xml:space="preserve"> de todos los partícipes de la contratación estatal.</w:t>
      </w:r>
      <w:r w:rsidRPr="00EC7BC2">
        <w:rPr>
          <w:rFonts w:ascii="Arial" w:hAnsi="Arial" w:cs="Arial"/>
          <w:lang w:val="es-ES"/>
        </w:rPr>
        <w:t xml:space="preserve"> </w:t>
      </w:r>
      <w:bookmarkEnd w:id="1"/>
      <w:bookmarkEnd w:id="2"/>
      <w:bookmarkEnd w:id="3"/>
    </w:p>
    <w:p w14:paraId="3C821925" w14:textId="77777777" w:rsidR="009A75EA" w:rsidRPr="00EC7BC2" w:rsidRDefault="009A75EA" w:rsidP="009A75EA">
      <w:pPr>
        <w:spacing w:after="120" w:line="276" w:lineRule="auto"/>
        <w:ind w:firstLine="708"/>
        <w:jc w:val="both"/>
        <w:rPr>
          <w:rFonts w:ascii="Arial" w:hAnsi="Arial" w:cs="Arial"/>
          <w:lang w:val="es-ES"/>
        </w:rPr>
      </w:pPr>
      <w:r w:rsidRPr="00EC7BC2">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7BC2">
        <w:rPr>
          <w:rFonts w:ascii="Arial" w:eastAsia="Calibri" w:hAnsi="Arial" w:cs="Arial"/>
          <w:vertAlign w:val="superscript"/>
          <w:lang w:val="es-ES"/>
        </w:rPr>
        <w:footnoteReference w:id="2"/>
      </w:r>
      <w:r w:rsidRPr="00EC7BC2">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4913EC4" w14:textId="5322AA47" w:rsidR="00506DDB" w:rsidRPr="009E0984" w:rsidRDefault="009A75EA" w:rsidP="009E0984">
      <w:pPr>
        <w:tabs>
          <w:tab w:val="left" w:pos="426"/>
        </w:tabs>
        <w:spacing w:after="120" w:line="276" w:lineRule="auto"/>
        <w:ind w:firstLine="709"/>
        <w:jc w:val="both"/>
        <w:rPr>
          <w:rFonts w:ascii="Arial" w:hAnsi="Arial" w:cs="Arial"/>
          <w:shd w:val="clear" w:color="auto" w:fill="FFFFFF"/>
        </w:rPr>
      </w:pPr>
      <w:r w:rsidRPr="00EC7BC2">
        <w:rPr>
          <w:rFonts w:ascii="Arial" w:eastAsia="Calibri" w:hAnsi="Arial" w:cs="Arial"/>
        </w:rPr>
        <w:t>La Agencia Nacional de Contratación Pública – Colombia Compra Eficiente –en adelante la ANCP-CCE–</w:t>
      </w:r>
      <w:r w:rsidR="001139CC" w:rsidRPr="00EC7BC2">
        <w:rPr>
          <w:rFonts w:ascii="Arial" w:eastAsia="Calibri" w:hAnsi="Arial" w:cs="Arial"/>
        </w:rPr>
        <w:t xml:space="preserve">, </w:t>
      </w:r>
      <w:r w:rsidR="003E00D6" w:rsidRPr="00EC7BC2">
        <w:rPr>
          <w:rStyle w:val="normaltextrun"/>
          <w:rFonts w:ascii="Arial" w:hAnsi="Arial" w:cs="Arial"/>
          <w:bdr w:val="none" w:sz="0" w:space="0" w:color="auto" w:frame="1"/>
          <w:lang w:val="es-ES"/>
        </w:rPr>
        <w:t>analizó</w:t>
      </w:r>
      <w:r w:rsidR="009E0984">
        <w:rPr>
          <w:rStyle w:val="normaltextrun"/>
          <w:rFonts w:ascii="Arial" w:hAnsi="Arial" w:cs="Arial"/>
          <w:bdr w:val="none" w:sz="0" w:space="0" w:color="auto" w:frame="1"/>
          <w:lang w:val="es-ES"/>
        </w:rPr>
        <w:t xml:space="preserve"> </w:t>
      </w:r>
      <w:r w:rsidR="009E0984">
        <w:rPr>
          <w:rFonts w:ascii="Arial" w:hAnsi="Arial" w:cs="Arial"/>
          <w:shd w:val="clear" w:color="auto" w:fill="FFFFFF"/>
        </w:rPr>
        <w:t>en los Conceptos C-185</w:t>
      </w:r>
      <w:r w:rsidR="009E0984">
        <w:rPr>
          <w:rFonts w:ascii="Arial" w:eastAsia="Calibri" w:hAnsi="Arial" w:cs="Arial"/>
          <w:lang w:val="es-ES"/>
        </w:rPr>
        <w:t xml:space="preserve"> del 13 de abril de 2020,</w:t>
      </w:r>
      <w:r w:rsidR="009E0984">
        <w:rPr>
          <w:rFonts w:ascii="Arial" w:hAnsi="Arial" w:cs="Arial"/>
          <w:shd w:val="clear" w:color="auto" w:fill="FFFFFF"/>
        </w:rPr>
        <w:t xml:space="preserve"> C-374 del 23 de julio de 2020, C-680 del 18 de noviembre de 2020, C-771 de 13 de enero de 2021, C-781 del 19 de enero de 2021, C-377 del 28 de julio de 2021, C-049 de 8 de marzo de 2021 y C-461 de 19 de julio de 2021, C-367 de 25 de abril de 2022, C-461 de 2 de junio de 2022, C-012 del 07 de marzo de 2023 estudió el contenido del artículo 20 de la Ley 1150 </w:t>
      </w:r>
      <w:r w:rsidR="009E0984">
        <w:rPr>
          <w:rFonts w:ascii="Arial" w:hAnsi="Arial" w:cs="Arial"/>
          <w:shd w:val="clear" w:color="auto" w:fill="FFFFFF"/>
        </w:rPr>
        <w:lastRenderedPageBreak/>
        <w:t xml:space="preserve">de 2007 y el alcance </w:t>
      </w:r>
      <w:r w:rsidR="009E0984" w:rsidRPr="009E0984">
        <w:rPr>
          <w:rFonts w:ascii="Arial" w:hAnsi="Arial" w:cs="Arial"/>
          <w:shd w:val="clear" w:color="auto" w:fill="FFFFFF"/>
        </w:rPr>
        <w:t>del</w:t>
      </w:r>
      <w:r w:rsidR="009E0984">
        <w:rPr>
          <w:rFonts w:ascii="Arial" w:hAnsi="Arial" w:cs="Arial"/>
          <w:shd w:val="clear" w:color="auto" w:fill="FFFFFF"/>
        </w:rPr>
        <w:t xml:space="preserve"> </w:t>
      </w:r>
      <w:r w:rsidR="009E0984" w:rsidRPr="009E0984">
        <w:rPr>
          <w:rFonts w:ascii="Arial" w:hAnsi="Arial" w:cs="Arial"/>
          <w:shd w:val="clear" w:color="auto" w:fill="FFFFFF"/>
        </w:rPr>
        <w:t>Decreto 603 de 2022</w:t>
      </w:r>
      <w:r w:rsidR="009E0984">
        <w:rPr>
          <w:rFonts w:ascii="Arial" w:hAnsi="Arial" w:cs="Arial"/>
          <w:shd w:val="clear" w:color="auto" w:fill="FFFFFF"/>
        </w:rPr>
        <w:t xml:space="preserve">. </w:t>
      </w:r>
      <w:r w:rsidR="00555D1F" w:rsidRPr="00EC7BC2">
        <w:rPr>
          <w:rFonts w:ascii="Arial" w:eastAsia="Calibri" w:hAnsi="Arial" w:cs="Arial"/>
          <w:lang w:val="es-ES" w:eastAsia="es-ES"/>
        </w:rPr>
        <w:t>La</w:t>
      </w:r>
      <w:r w:rsidR="00555D1F">
        <w:rPr>
          <w:rFonts w:ascii="Arial" w:eastAsia="Calibri" w:hAnsi="Arial" w:cs="Arial"/>
          <w:lang w:val="es-ES" w:eastAsia="es-ES"/>
        </w:rPr>
        <w:t>s</w:t>
      </w:r>
      <w:r w:rsidR="00555D1F" w:rsidRPr="00EC7BC2">
        <w:rPr>
          <w:rFonts w:ascii="Arial" w:eastAsia="Calibri" w:hAnsi="Arial" w:cs="Arial"/>
          <w:lang w:val="es-ES" w:eastAsia="es-ES"/>
        </w:rPr>
        <w:t xml:space="preserve"> tesis expuesta</w:t>
      </w:r>
      <w:r w:rsidR="00555D1F">
        <w:rPr>
          <w:rFonts w:ascii="Arial" w:eastAsia="Calibri" w:hAnsi="Arial" w:cs="Arial"/>
          <w:lang w:val="es-ES" w:eastAsia="es-ES"/>
        </w:rPr>
        <w:t>s</w:t>
      </w:r>
      <w:r w:rsidR="00555D1F" w:rsidRPr="00EC7BC2">
        <w:rPr>
          <w:rFonts w:ascii="Arial" w:eastAsia="Calibri" w:hAnsi="Arial" w:cs="Arial"/>
          <w:lang w:val="es-ES" w:eastAsia="es-ES"/>
        </w:rPr>
        <w:t xml:space="preserve"> en estos conceptos se reiteran</w:t>
      </w:r>
      <w:r w:rsidR="003E00D6" w:rsidRPr="00EC7BC2">
        <w:rPr>
          <w:rFonts w:ascii="Arial" w:eastAsia="Calibri" w:hAnsi="Arial" w:cs="Arial"/>
          <w:lang w:val="es-ES" w:eastAsia="es-ES"/>
        </w:rPr>
        <w:t xml:space="preserve"> y se complementa en lo pertinente en el presente escrito.</w:t>
      </w:r>
    </w:p>
    <w:p w14:paraId="36E32FBF" w14:textId="217F4C57" w:rsidR="00B35C31" w:rsidRPr="005C63AC" w:rsidRDefault="00036409" w:rsidP="00A43609">
      <w:pPr>
        <w:tabs>
          <w:tab w:val="left" w:pos="426"/>
        </w:tabs>
        <w:spacing w:after="120" w:line="276" w:lineRule="auto"/>
        <w:ind w:firstLine="709"/>
        <w:jc w:val="both"/>
        <w:rPr>
          <w:rStyle w:val="normaltextrun"/>
          <w:rFonts w:ascii="Arial" w:hAnsi="Arial" w:cs="Arial"/>
          <w:lang w:val="es-ES"/>
        </w:rPr>
      </w:pPr>
      <w:r w:rsidRPr="005C63AC">
        <w:rPr>
          <w:rStyle w:val="normaltextrun"/>
          <w:rFonts w:ascii="Arial" w:hAnsi="Arial" w:cs="Arial"/>
          <w:lang w:val="es-ES"/>
        </w:rPr>
        <w:t xml:space="preserve">Para resolver su consulta se expondrá el marco legal aplicable a </w:t>
      </w:r>
      <w:r w:rsidR="00555D1F" w:rsidRPr="005C63AC">
        <w:rPr>
          <w:rStyle w:val="normaltextrun"/>
          <w:rFonts w:ascii="Arial" w:hAnsi="Arial" w:cs="Arial"/>
          <w:lang w:val="es-ES"/>
        </w:rPr>
        <w:t>c</w:t>
      </w:r>
      <w:r w:rsidR="00A43609" w:rsidRPr="005C63AC">
        <w:rPr>
          <w:rStyle w:val="normaltextrun"/>
          <w:rFonts w:ascii="Arial" w:hAnsi="Arial" w:cs="Arial"/>
          <w:lang w:val="es-ES"/>
        </w:rPr>
        <w:t xml:space="preserve">ontratos o convenios con organismos internacionales, la </w:t>
      </w:r>
      <w:r w:rsidR="00555D1F" w:rsidRPr="005C63AC">
        <w:rPr>
          <w:rStyle w:val="normaltextrun"/>
          <w:rFonts w:ascii="Arial" w:hAnsi="Arial" w:cs="Arial"/>
          <w:lang w:val="es-ES"/>
        </w:rPr>
        <w:t>c</w:t>
      </w:r>
      <w:r w:rsidR="00A43609" w:rsidRPr="005C63AC">
        <w:rPr>
          <w:rStyle w:val="normaltextrun"/>
          <w:rFonts w:ascii="Arial" w:hAnsi="Arial" w:cs="Arial"/>
          <w:lang w:val="es-ES"/>
        </w:rPr>
        <w:t>ontratación financiada con recursos de organismos multilaterales de crédito y sujeción a los reglamentos internos de dichas instituciones y el alcance de la reglamentación del artículo 2.2.8.3.4. del Decreto 603 de 2022.</w:t>
      </w:r>
    </w:p>
    <w:p w14:paraId="7363E363" w14:textId="77777777" w:rsidR="00555D1F" w:rsidRPr="005668FC" w:rsidRDefault="00555D1F" w:rsidP="00555D1F">
      <w:pPr>
        <w:tabs>
          <w:tab w:val="left" w:pos="426"/>
        </w:tabs>
        <w:spacing w:after="120" w:line="276" w:lineRule="auto"/>
        <w:jc w:val="both"/>
        <w:rPr>
          <w:rFonts w:ascii="Arial" w:eastAsia="Calibri" w:hAnsi="Arial" w:cs="Arial"/>
          <w:bCs/>
          <w:lang w:val="es-ES_tradnl" w:eastAsia="x-none"/>
        </w:rPr>
      </w:pPr>
      <w:r w:rsidRPr="005668FC">
        <w:rPr>
          <w:rFonts w:ascii="Arial" w:eastAsia="Calibri" w:hAnsi="Arial" w:cs="Arial"/>
          <w:b/>
          <w:bCs/>
          <w:lang w:val="es-ES_tradnl"/>
        </w:rPr>
        <w:t>2.1.</w:t>
      </w:r>
      <w:r w:rsidRPr="005668FC">
        <w:rPr>
          <w:rFonts w:ascii="Arial" w:eastAsia="Calibri" w:hAnsi="Arial" w:cs="Arial"/>
          <w:b/>
          <w:bCs/>
        </w:rPr>
        <w:t xml:space="preserve"> </w:t>
      </w:r>
      <w:r w:rsidRPr="005668FC">
        <w:rPr>
          <w:rFonts w:ascii="Arial" w:hAnsi="Arial" w:cs="Arial"/>
          <w:b/>
          <w:bCs/>
        </w:rPr>
        <w:t xml:space="preserve">Contratos o convenios con organismos internacionales </w:t>
      </w:r>
    </w:p>
    <w:p w14:paraId="5A173D48" w14:textId="77777777" w:rsidR="00555D1F" w:rsidRPr="005668FC" w:rsidRDefault="00555D1F" w:rsidP="00555D1F">
      <w:pPr>
        <w:spacing w:after="120" w:line="276" w:lineRule="auto"/>
        <w:jc w:val="both"/>
        <w:rPr>
          <w:rFonts w:ascii="Arial" w:hAnsi="Arial" w:cs="Arial"/>
          <w:lang w:val="es-ES"/>
        </w:rPr>
      </w:pPr>
      <w:bookmarkStart w:id="4" w:name="_Hlk99449041"/>
      <w:r w:rsidRPr="005668FC">
        <w:rPr>
          <w:rFonts w:ascii="Arial" w:hAnsi="Arial"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5668FC">
        <w:rPr>
          <w:rStyle w:val="Refdenotaalpie"/>
          <w:rFonts w:ascii="Arial" w:hAnsi="Arial" w:cs="Arial"/>
        </w:rPr>
        <w:footnoteReference w:id="3"/>
      </w:r>
      <w:r w:rsidRPr="005668FC">
        <w:rPr>
          <w:rFonts w:ascii="Arial" w:hAnsi="Arial" w:cs="Arial"/>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896D7C9" w14:textId="77777777" w:rsidR="00555D1F" w:rsidRPr="006C19F9" w:rsidRDefault="00555D1F" w:rsidP="00555D1F">
      <w:pPr>
        <w:pStyle w:val="Prrafodelista"/>
        <w:snapToGrid w:val="0"/>
        <w:spacing w:before="120" w:after="120" w:line="276" w:lineRule="auto"/>
        <w:ind w:left="0" w:firstLine="709"/>
        <w:contextualSpacing w:val="0"/>
        <w:jc w:val="both"/>
        <w:rPr>
          <w:rFonts w:ascii="Arial" w:eastAsia="Calibri" w:hAnsi="Arial" w:cs="Arial"/>
        </w:rPr>
      </w:pPr>
      <w:bookmarkStart w:id="5" w:name="_Hlk99449078"/>
      <w:bookmarkStart w:id="6" w:name="_Hlk102401362"/>
      <w:bookmarkEnd w:id="4"/>
      <w:r w:rsidRPr="005668FC">
        <w:rPr>
          <w:rFonts w:ascii="Arial" w:eastAsia="Calibri" w:hAnsi="Arial" w:cs="Arial"/>
        </w:rPr>
        <w:t>El artículo 13 de la Ley 80 de 1993 regula de forma general el régimen aplicable a los contratos que celebren las entidades referidas en el artículo segundo del estatuto</w:t>
      </w:r>
      <w:r w:rsidRPr="005668FC">
        <w:rPr>
          <w:rStyle w:val="Refdenotaalpie"/>
          <w:rFonts w:ascii="Arial" w:hAnsi="Arial" w:cs="Arial"/>
        </w:rPr>
        <w:footnoteReference w:id="4"/>
      </w:r>
      <w:r w:rsidRPr="005668FC">
        <w:rPr>
          <w:rFonts w:ascii="Arial" w:eastAsia="Calibri" w:hAnsi="Arial" w:cs="Arial"/>
        </w:rPr>
        <w:t>,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w:t>
      </w:r>
      <w:bookmarkEnd w:id="5"/>
      <w:bookmarkEnd w:id="6"/>
    </w:p>
    <w:p w14:paraId="5DE111AF" w14:textId="77777777" w:rsidR="00555D1F" w:rsidRPr="006C19F9" w:rsidRDefault="00555D1F" w:rsidP="00555D1F">
      <w:pPr>
        <w:pStyle w:val="Prrafodelista"/>
        <w:snapToGrid w:val="0"/>
        <w:spacing w:after="120" w:line="276" w:lineRule="auto"/>
        <w:ind w:left="0" w:firstLine="709"/>
        <w:contextualSpacing w:val="0"/>
        <w:jc w:val="both"/>
        <w:rPr>
          <w:rFonts w:ascii="Arial" w:eastAsia="Calibri" w:hAnsi="Arial" w:cs="Arial"/>
        </w:rPr>
      </w:pPr>
      <w:r w:rsidRPr="005668FC">
        <w:rPr>
          <w:rFonts w:ascii="Arial" w:eastAsia="Calibri" w:hAnsi="Arial" w:cs="Arial"/>
        </w:rPr>
        <w:t xml:space="preserve">Nótese cómo el artículo citado permite que las entidades estatales no se rijan siempre por la normativa colombiana, permitiendo, en algunos casos, la aplicación de la ley extranjera. Además de los supuestos anteriores, el Consejo de Estado explica, en general, </w:t>
      </w:r>
      <w:r w:rsidRPr="005668FC">
        <w:rPr>
          <w:rFonts w:ascii="Arial" w:eastAsia="Calibri" w:hAnsi="Arial" w:cs="Arial"/>
        </w:rPr>
        <w:lastRenderedPageBreak/>
        <w:t>los siguientes escenarios, en los cuales el régimen jurídico puede ser uno diferente al prescrito en el derecho nacional, pese a tratarse de contratos sometidos, en principio, a la Ley 80 de 1993:</w:t>
      </w:r>
    </w:p>
    <w:p w14:paraId="1E705459" w14:textId="77777777" w:rsidR="00555D1F" w:rsidRDefault="00555D1F" w:rsidP="00555D1F">
      <w:pPr>
        <w:pStyle w:val="Prrafodelista"/>
        <w:spacing w:after="0" w:line="240" w:lineRule="auto"/>
        <w:ind w:left="709" w:right="709"/>
        <w:jc w:val="both"/>
        <w:rPr>
          <w:rFonts w:ascii="Arial" w:eastAsia="MS Mincho" w:hAnsi="Arial" w:cs="Arial"/>
          <w:sz w:val="21"/>
          <w:szCs w:val="21"/>
          <w:lang w:eastAsia="es-ES"/>
        </w:rPr>
      </w:pPr>
      <w:r>
        <w:rPr>
          <w:rFonts w:ascii="Arial" w:eastAsia="MS Mincho" w:hAnsi="Arial" w:cs="Arial"/>
          <w:sz w:val="21"/>
          <w:szCs w:val="21"/>
          <w:lang w:eastAsia="es-ES"/>
        </w:rPr>
        <w:t>«</w:t>
      </w:r>
      <w:r w:rsidRPr="005668FC">
        <w:rPr>
          <w:rFonts w:ascii="Arial" w:eastAsia="MS Mincho" w:hAnsi="Arial" w:cs="Arial"/>
          <w:sz w:val="21"/>
          <w:szCs w:val="21"/>
          <w:lang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5668FC">
        <w:rPr>
          <w:rStyle w:val="Refdenotaalpie"/>
          <w:rFonts w:ascii="Arial" w:hAnsi="Arial" w:cs="Arial"/>
          <w:sz w:val="21"/>
          <w:szCs w:val="21"/>
        </w:rPr>
        <w:footnoteReference w:id="5"/>
      </w:r>
      <w:r w:rsidRPr="005668FC">
        <w:rPr>
          <w:rFonts w:ascii="Arial" w:eastAsia="MS Mincho" w:hAnsi="Arial" w:cs="Arial"/>
          <w:sz w:val="21"/>
          <w:szCs w:val="21"/>
          <w:lang w:eastAsia="es-ES"/>
        </w:rPr>
        <w:t xml:space="preserve">. </w:t>
      </w:r>
    </w:p>
    <w:p w14:paraId="566091C7" w14:textId="77777777" w:rsidR="00555D1F" w:rsidRPr="005668FC" w:rsidRDefault="00555D1F" w:rsidP="00555D1F">
      <w:pPr>
        <w:pStyle w:val="Prrafodelista"/>
        <w:spacing w:after="0" w:line="240" w:lineRule="auto"/>
        <w:ind w:left="709" w:right="709"/>
        <w:jc w:val="both"/>
        <w:rPr>
          <w:rFonts w:ascii="Arial" w:eastAsia="MS Mincho" w:hAnsi="Arial" w:cs="Arial"/>
          <w:sz w:val="21"/>
          <w:szCs w:val="21"/>
          <w:lang w:eastAsia="es-ES"/>
        </w:rPr>
      </w:pPr>
    </w:p>
    <w:p w14:paraId="51C56904"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5668FC">
        <w:rPr>
          <w:rStyle w:val="Refdenotaalpie"/>
          <w:rFonts w:ascii="Arial" w:eastAsia="Calibri" w:hAnsi="Arial" w:cs="Arial"/>
        </w:rPr>
        <w:footnoteReference w:id="6"/>
      </w:r>
      <w:r w:rsidRPr="005668FC">
        <w:rPr>
          <w:rFonts w:ascii="Arial" w:eastAsia="Calibri" w:hAnsi="Arial"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1D5AA39C"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5668FC">
        <w:rPr>
          <w:rStyle w:val="Refdenotaalpie"/>
          <w:rFonts w:ascii="Arial" w:eastAsia="Calibri" w:hAnsi="Arial" w:cs="Arial"/>
        </w:rPr>
        <w:footnoteReference w:id="7"/>
      </w:r>
      <w:r w:rsidRPr="005668FC">
        <w:rPr>
          <w:rFonts w:ascii="Arial" w:eastAsia="Calibri" w:hAnsi="Arial" w:cs="Arial"/>
          <w:lang w:val="es-ES"/>
        </w:rPr>
        <w:t xml:space="preserve">. De conformidad con este </w:t>
      </w:r>
      <w:r w:rsidRPr="005668FC">
        <w:rPr>
          <w:rFonts w:ascii="Arial" w:eastAsia="Calibri" w:hAnsi="Arial" w:cs="Arial"/>
          <w:lang w:val="es-ES"/>
        </w:rPr>
        <w:lastRenderedPageBreak/>
        <w:t xml:space="preserve">artículo, en lo que tiene que ver con el </w:t>
      </w:r>
      <w:r w:rsidRPr="005668FC">
        <w:rPr>
          <w:rFonts w:ascii="Arial" w:eastAsia="Calibri" w:hAnsi="Arial" w:cs="Arial"/>
          <w:i/>
          <w:iCs/>
          <w:lang w:val="es-ES"/>
        </w:rPr>
        <w:t>inciso primero</w:t>
      </w:r>
      <w:r w:rsidRPr="005668FC">
        <w:rPr>
          <w:rFonts w:ascii="Arial" w:eastAsia="Calibri" w:hAnsi="Arial"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En línea con lo anterior, el artículo 2.2.1.2.4.4.1. del Decreto 1082 de 2015 reglamentó el artículo 20 de la Ley 1150 de 2007, en el que se señaló lo siguiente: </w:t>
      </w:r>
    </w:p>
    <w:p w14:paraId="39435364" w14:textId="77777777" w:rsidR="00555D1F" w:rsidRPr="00F84E2C" w:rsidRDefault="00555D1F" w:rsidP="00555D1F">
      <w:pPr>
        <w:spacing w:after="120" w:line="240" w:lineRule="auto"/>
        <w:ind w:left="709" w:right="709"/>
        <w:jc w:val="both"/>
        <w:rPr>
          <w:rFonts w:ascii="Arial" w:hAnsi="Arial" w:cs="Arial"/>
          <w:sz w:val="21"/>
          <w:szCs w:val="21"/>
          <w:lang w:eastAsia="es-CO"/>
        </w:rPr>
      </w:pPr>
      <w:r>
        <w:rPr>
          <w:rFonts w:ascii="Arial" w:hAnsi="Arial" w:cs="Arial"/>
          <w:b/>
          <w:bCs/>
          <w:sz w:val="21"/>
          <w:szCs w:val="21"/>
          <w:lang w:eastAsia="es-CO"/>
        </w:rPr>
        <w:t>«</w:t>
      </w:r>
      <w:r w:rsidRPr="00F84E2C">
        <w:rPr>
          <w:rFonts w:ascii="Arial" w:hAnsi="Arial" w:cs="Arial"/>
          <w:b/>
          <w:bCs/>
          <w:sz w:val="21"/>
          <w:szCs w:val="21"/>
          <w:lang w:eastAsia="es-CO"/>
        </w:rPr>
        <w:t>Artículo 2.2.1.2.4.4.1. </w:t>
      </w:r>
      <w:r w:rsidRPr="00F84E2C">
        <w:rPr>
          <w:rFonts w:ascii="Arial" w:hAnsi="Arial" w:cs="Arial"/>
          <w:b/>
          <w:bCs/>
          <w:i/>
          <w:iCs/>
          <w:sz w:val="21"/>
          <w:szCs w:val="21"/>
          <w:lang w:eastAsia="es-CO"/>
        </w:rPr>
        <w:t>Régimen aplicable a los contratos o convenios de cooperación Internacional. </w:t>
      </w:r>
      <w:r w:rsidRPr="00F84E2C">
        <w:rPr>
          <w:rFonts w:ascii="Arial" w:hAnsi="Arial" w:cs="Arial"/>
          <w:sz w:val="21"/>
          <w:szCs w:val="21"/>
          <w:lang w:eastAsia="es-CO"/>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66E2F440" w14:textId="77777777" w:rsidR="00555D1F" w:rsidRPr="00F84E2C" w:rsidRDefault="00555D1F" w:rsidP="00555D1F">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2BC11BAF" w14:textId="77777777" w:rsidR="00555D1F" w:rsidRPr="00F84E2C" w:rsidRDefault="00555D1F" w:rsidP="00555D1F">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 xml:space="preserve">Cuando la variación de la participación de los aportes de las partes es consecuencia de las fluctuaciones de la tasa de cambio de la moneda pactada </w:t>
      </w:r>
      <w:r w:rsidRPr="00F84E2C">
        <w:rPr>
          <w:rFonts w:ascii="Arial" w:hAnsi="Arial" w:cs="Arial"/>
          <w:sz w:val="21"/>
          <w:szCs w:val="21"/>
          <w:lang w:eastAsia="es-CO"/>
        </w:rPr>
        <w:lastRenderedPageBreak/>
        <w:t>en el convenio o contrato de cooperación internacional, este seguirá sometido a las reglas establecidas en el momento de su suscripción.</w:t>
      </w:r>
    </w:p>
    <w:p w14:paraId="2A4FD9A6" w14:textId="77777777" w:rsidR="00555D1F" w:rsidRPr="00F84E2C" w:rsidRDefault="00555D1F" w:rsidP="00555D1F">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recursos generados en desarrollo de los contratos o convenios financiados con fondos de los organismos de cooperación, asistencia o ayudas internacionales no deben ser tenidos en cuenta para determinar los porcentajes de los aportes de las partes.</w:t>
      </w:r>
    </w:p>
    <w:p w14:paraId="545D7D4F" w14:textId="77777777" w:rsidR="00555D1F" w:rsidRPr="00F84E2C" w:rsidRDefault="00555D1F" w:rsidP="00555D1F">
      <w:pPr>
        <w:spacing w:after="12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contratos o convenios financiados con fondos de los organismos multilaterales de crédito, entes gubernamentales extranjeros o personas extranjeras de derecho público, así como aquellos a los que se refiere el inciso 2 del artículo 20 de la </w:t>
      </w:r>
      <w:hyperlink r:id="rId11" w:history="1">
        <w:r w:rsidRPr="00F84E2C">
          <w:rPr>
            <w:rFonts w:ascii="Arial" w:hAnsi="Arial" w:cs="Arial"/>
            <w:sz w:val="21"/>
            <w:szCs w:val="21"/>
            <w:lang w:eastAsia="es-CO"/>
          </w:rPr>
          <w:t>Ley 1150 de 2007</w:t>
        </w:r>
      </w:hyperlink>
      <w:r w:rsidRPr="00F84E2C">
        <w:rPr>
          <w:rFonts w:ascii="Arial" w:hAnsi="Arial" w:cs="Arial"/>
          <w:sz w:val="21"/>
          <w:szCs w:val="21"/>
          <w:lang w:eastAsia="es-CO"/>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12" w:history="1">
        <w:r w:rsidRPr="00F84E2C">
          <w:rPr>
            <w:rFonts w:ascii="Arial" w:hAnsi="Arial" w:cs="Arial"/>
            <w:sz w:val="21"/>
            <w:szCs w:val="21"/>
            <w:lang w:eastAsia="es-CO"/>
          </w:rPr>
          <w:t> Ley 1150 de 2007</w:t>
        </w:r>
      </w:hyperlink>
      <w:r w:rsidRPr="00F84E2C">
        <w:rPr>
          <w:rFonts w:ascii="Arial" w:hAnsi="Arial" w:cs="Arial"/>
          <w:sz w:val="21"/>
          <w:szCs w:val="21"/>
          <w:lang w:eastAsia="es-CO"/>
        </w:rPr>
        <w:t>.</w:t>
      </w:r>
    </w:p>
    <w:p w14:paraId="219D2EE5" w14:textId="77777777" w:rsidR="00555D1F" w:rsidRDefault="00555D1F" w:rsidP="00555D1F">
      <w:pPr>
        <w:spacing w:after="0" w:line="240" w:lineRule="auto"/>
        <w:ind w:left="709" w:right="709"/>
        <w:jc w:val="both"/>
        <w:rPr>
          <w:rFonts w:ascii="Arial" w:hAnsi="Arial" w:cs="Arial"/>
          <w:sz w:val="21"/>
          <w:szCs w:val="21"/>
          <w:lang w:eastAsia="es-CO"/>
        </w:rPr>
      </w:pPr>
      <w:r w:rsidRPr="00F84E2C">
        <w:rPr>
          <w:rFonts w:ascii="Arial" w:hAnsi="Arial" w:cs="Arial"/>
          <w:sz w:val="21"/>
          <w:szCs w:val="21"/>
          <w:lang w:eastAsia="es-CO"/>
        </w:rPr>
        <w:t>Los contratos con personas extranjeras de derecho público se deben celebrar y ejecutar según se acuerde entre las partes</w:t>
      </w:r>
      <w:r>
        <w:rPr>
          <w:rFonts w:ascii="Arial" w:hAnsi="Arial" w:cs="Arial"/>
          <w:sz w:val="21"/>
          <w:szCs w:val="21"/>
          <w:lang w:eastAsia="es-CO"/>
        </w:rPr>
        <w:t>»</w:t>
      </w:r>
      <w:r w:rsidRPr="00F84E2C">
        <w:rPr>
          <w:rFonts w:ascii="Arial" w:hAnsi="Arial" w:cs="Arial"/>
          <w:sz w:val="21"/>
          <w:szCs w:val="21"/>
          <w:lang w:eastAsia="es-CO"/>
        </w:rPr>
        <w:t>.</w:t>
      </w:r>
    </w:p>
    <w:p w14:paraId="261CCFF3" w14:textId="77777777" w:rsidR="00555D1F" w:rsidRPr="00F84E2C" w:rsidRDefault="00555D1F" w:rsidP="00555D1F">
      <w:pPr>
        <w:spacing w:after="0" w:line="240" w:lineRule="auto"/>
        <w:ind w:left="709" w:right="709"/>
        <w:jc w:val="both"/>
        <w:rPr>
          <w:rFonts w:ascii="Arial" w:hAnsi="Arial" w:cs="Arial"/>
          <w:sz w:val="21"/>
          <w:szCs w:val="21"/>
          <w:lang w:eastAsia="es-CO"/>
        </w:rPr>
      </w:pPr>
    </w:p>
    <w:p w14:paraId="3A625F11"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 xml:space="preserve">Se observa que la norma transcrita, en armonía con el inciso primero del artículo 20 de la Ley 1150 de 2007, estableció una posible exclusión de la aplicación de la Ley 80 de 1993 en relación con contratos financiados con recursos de organismos de cooperación, asistencia o ayudas internacionales, cuando se financien en más del 50% con fondos del organismo correspondiente. El criterio que permite establecer la procedencia de la aplicación de las reglas contractuales de los organismos internacionales es el porcentaje de financiación de la fuente de recurso de los organismos internacionales. Sin embargo, aunque esta redacción parece clara, al momento de aplicar la regla precedente surge un interrogante en relación con el alcance del término «fondo» que se emplea como criterio para habilitar la posible aplicación de las normas de los organismos referidos, pues el artículo 20 de la Ley 1150 de 2007 ni en el artículo 2.2.1.2.4.4.1 del Decreto 1082 de 2015, define de forma clara qué entender por fondos y que tipo de bienes los conforman. </w:t>
      </w:r>
    </w:p>
    <w:p w14:paraId="6AE5D515"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 xml:space="preserve">Teniendo en cuenta lo anterior, </w:t>
      </w:r>
      <w:bookmarkStart w:id="7" w:name="_Hlk109120820"/>
      <w:r w:rsidRPr="005668FC">
        <w:rPr>
          <w:rFonts w:ascii="Arial" w:eastAsia="Calibri" w:hAnsi="Arial" w:cs="Arial"/>
          <w:lang w:val="es-ES"/>
        </w:rPr>
        <w:t>partiendo de la aplicación del artículo 27 del Código Civil</w:t>
      </w:r>
      <w:r w:rsidRPr="005668FC">
        <w:rPr>
          <w:rStyle w:val="Refdenotaalpie"/>
          <w:rFonts w:ascii="Arial" w:eastAsia="Calibri" w:hAnsi="Arial" w:cs="Arial"/>
          <w:lang w:val="es-ES"/>
        </w:rPr>
        <w:footnoteReference w:id="8"/>
      </w:r>
      <w:r w:rsidRPr="005668FC">
        <w:rPr>
          <w:rFonts w:ascii="Arial" w:eastAsia="Calibri" w:hAnsi="Arial" w:cs="Arial"/>
          <w:lang w:val="es-ES"/>
        </w:rPr>
        <w:t xml:space="preserve">,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w:t>
      </w:r>
      <w:r w:rsidRPr="005668FC">
        <w:rPr>
          <w:rFonts w:ascii="Arial" w:eastAsia="Calibri" w:hAnsi="Arial" w:cs="Arial"/>
          <w:lang w:val="es-ES"/>
        </w:rPr>
        <w:lastRenderedPageBreak/>
        <w:t>determinado». En este sentido, vale la pena resaltar que la definición se refiere a un «</w:t>
      </w:r>
      <w:r w:rsidRPr="005668FC">
        <w:rPr>
          <w:rFonts w:ascii="Arial" w:eastAsia="Calibri" w:hAnsi="Arial" w:cs="Arial"/>
          <w:i/>
          <w:iCs/>
          <w:lang w:val="es-ES"/>
        </w:rPr>
        <w:t>conjunto</w:t>
      </w:r>
      <w:r w:rsidRPr="005668FC">
        <w:rPr>
          <w:rFonts w:ascii="Arial" w:eastAsia="Calibri" w:hAnsi="Arial" w:cs="Arial"/>
          <w:lang w:val="es-ES"/>
        </w:rPr>
        <w:t xml:space="preserve"> </w:t>
      </w:r>
      <w:r w:rsidRPr="005668FC">
        <w:rPr>
          <w:rFonts w:ascii="Arial" w:eastAsia="Calibri" w:hAnsi="Arial" w:cs="Arial"/>
          <w:i/>
          <w:iCs/>
          <w:lang w:val="es-ES"/>
        </w:rPr>
        <w:t>de bienes</w:t>
      </w:r>
      <w:r w:rsidRPr="005668FC">
        <w:rPr>
          <w:rFonts w:ascii="Arial" w:eastAsia="Calibri" w:hAnsi="Arial" w:cs="Arial"/>
          <w:lang w:val="es-ES"/>
        </w:rPr>
        <w:t>» o «</w:t>
      </w:r>
      <w:r w:rsidRPr="005668FC">
        <w:rPr>
          <w:rFonts w:ascii="Arial" w:eastAsia="Calibri" w:hAnsi="Arial" w:cs="Arial"/>
          <w:i/>
          <w:iCs/>
          <w:lang w:val="es-ES"/>
        </w:rPr>
        <w:t>conjunto de recursos»</w:t>
      </w:r>
      <w:r w:rsidRPr="005668FC">
        <w:rPr>
          <w:rFonts w:ascii="Arial" w:eastAsia="Calibri" w:hAnsi="Arial" w:cs="Arial"/>
          <w:lang w:val="es-ES"/>
        </w:rPr>
        <w:t>, lo que permite inferir que los fondos se componen por una universalidad o pluralidad de bienes, y en relación con la composición del conjunto de bienes, la definición es genérica pues no establece ninguna particularidad en relación con la naturaleza de los mismos. De manera que, para efectos del artículo 20 de la Ley 1150 de 2007, esta Agencia considera que los fondos de organismos internacionales son el conjunto de bienes o recursos de titularidad de estos organismos.</w:t>
      </w:r>
      <w:bookmarkEnd w:id="7"/>
      <w:r w:rsidRPr="005668FC">
        <w:rPr>
          <w:rFonts w:ascii="Arial" w:eastAsia="Calibri" w:hAnsi="Arial" w:cs="Arial"/>
          <w:lang w:val="es-ES"/>
        </w:rPr>
        <w:t xml:space="preserve">  </w:t>
      </w:r>
    </w:p>
    <w:p w14:paraId="0E2C7287"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 xml:space="preserve">Aplicadas estas precisiones al término «fondos» utilizado en el artículo 20 de la Ley 1150 de 2007 y el artículo </w:t>
      </w:r>
      <w:r w:rsidRPr="005668FC">
        <w:rPr>
          <w:rFonts w:ascii="Arial" w:hAnsi="Arial" w:cs="Arial"/>
          <w:lang w:eastAsia="es-CO"/>
        </w:rPr>
        <w:t xml:space="preserve">2.2.1.2.4.4.1. del Decreto 1082 de 2015, </w:t>
      </w:r>
      <w:r w:rsidRPr="005668FC">
        <w:rPr>
          <w:rFonts w:ascii="Arial" w:eastAsia="Calibri" w:hAnsi="Arial" w:cs="Arial"/>
          <w:lang w:val="es-ES"/>
        </w:rPr>
        <w:t>surge el interrogante del tipo de bienes que, conforme con lo preceptuado en estas disposiciones, componen la universalidad de bienes que conforman dicho caudal. Al respecto es importante enfatizar en que estas normas no determinan con alto grado de precisión la naturaleza de los bienes que componen los fondos, por lo cual, admiten dos interpretaciones, la primera, que se conforman por sumas dinerarias únicamente, y una segunda, que además de sumas líquidas de dinero también incluyen aportes en especie.</w:t>
      </w:r>
    </w:p>
    <w:p w14:paraId="5A326E19" w14:textId="77777777" w:rsidR="00555D1F" w:rsidRPr="005668FC" w:rsidRDefault="00555D1F" w:rsidP="00555D1F">
      <w:pPr>
        <w:spacing w:after="120" w:line="276" w:lineRule="auto"/>
        <w:ind w:firstLine="709"/>
        <w:jc w:val="both"/>
        <w:rPr>
          <w:rFonts w:ascii="Arial" w:hAnsi="Arial" w:cs="Arial"/>
          <w:lang w:eastAsia="es-CO"/>
        </w:rPr>
      </w:pPr>
      <w:r w:rsidRPr="005668FC">
        <w:rPr>
          <w:rFonts w:ascii="Arial" w:hAnsi="Arial" w:cs="Arial"/>
          <w:lang w:eastAsia="es-CO"/>
        </w:rPr>
        <w:t xml:space="preserve">La Agencia Nacional de Contratación Pública – Colombia Compra Eficiente, dada la dualidad de interpretaciones señaladas precedentemente, considera más adecuada la tesis según la cual es admisible que los aportes con que se financien los convenios o contratos con fondos de organismos internacionales de que trata el artículo 20 de la Ley 1150 de 2007 y el </w:t>
      </w:r>
      <w:r w:rsidRPr="005668FC">
        <w:rPr>
          <w:rFonts w:ascii="Arial" w:eastAsia="Calibri" w:hAnsi="Arial" w:cs="Arial"/>
          <w:lang w:val="es-ES"/>
        </w:rPr>
        <w:t xml:space="preserve">artículo </w:t>
      </w:r>
      <w:r w:rsidRPr="005668FC">
        <w:rPr>
          <w:rFonts w:ascii="Arial" w:hAnsi="Arial" w:cs="Arial"/>
          <w:lang w:eastAsia="es-CO"/>
        </w:rPr>
        <w:t xml:space="preserve">2.2.1.2.4.4.1. del Decreto 1082 de 2015 se hagan en sumas de dinero o en especie. Lo anterior porque, en primer lugar, el parágrafo 3 del artículo 20 de la Ley 1150 de 2007 señala que </w:t>
      </w:r>
      <w:r w:rsidRPr="005668FC">
        <w:rPr>
          <w:rFonts w:ascii="Arial" w:eastAsia="Calibri" w:hAnsi="Arial" w:cs="Arial"/>
          <w:lang w:val="es-ES"/>
        </w:rPr>
        <w:t>«en todo proyecto de cooperación que involucre recursos estatales se deberán cuantificar en moneda nacional, los aportes en especie de la entidad, organización o persona cooperante, así como los del ente nacional colombiano […]». De lo cual se infiere que los organismos internacionales pueden realizar aportes en especie, dado que la norma estableció el deber de cuantificarlos en moneda nacional, lo que además facilita definir el monto de los aportes.</w:t>
      </w:r>
    </w:p>
    <w:p w14:paraId="5BB692BE" w14:textId="77777777" w:rsidR="00555D1F" w:rsidRDefault="00555D1F" w:rsidP="00555D1F">
      <w:pPr>
        <w:spacing w:after="0" w:line="276" w:lineRule="auto"/>
        <w:ind w:firstLine="709"/>
        <w:jc w:val="both"/>
        <w:rPr>
          <w:rFonts w:ascii="Arial" w:eastAsia="Calibri" w:hAnsi="Arial" w:cs="Arial"/>
          <w:lang w:val="es-ES"/>
        </w:rPr>
      </w:pPr>
      <w:r w:rsidRPr="005668FC">
        <w:rPr>
          <w:rFonts w:ascii="Arial" w:eastAsia="Calibri" w:hAnsi="Arial" w:cs="Arial"/>
          <w:lang w:val="es-ES"/>
        </w:rPr>
        <w:t xml:space="preserve">Además de lo anterior, la doctrina ha prohijado esta tesis, puesto que, a pesar de que no se define el alcance del término «fondo», es clara en establecer que los aportes pueden ser en sumas de dinero o en especie, y en este último caso se debe cuantificar el valor de los aportes en especie en moneda colombiana. Puntualmente se señaló: </w:t>
      </w:r>
    </w:p>
    <w:p w14:paraId="06285ED0" w14:textId="77777777" w:rsidR="00555D1F" w:rsidRPr="005668FC" w:rsidRDefault="00555D1F" w:rsidP="00555D1F">
      <w:pPr>
        <w:spacing w:after="0" w:line="276" w:lineRule="auto"/>
        <w:ind w:firstLine="709"/>
        <w:jc w:val="both"/>
        <w:rPr>
          <w:rFonts w:ascii="Arial" w:eastAsia="Calibri" w:hAnsi="Arial" w:cs="Arial"/>
          <w:lang w:val="es-ES"/>
        </w:rPr>
      </w:pPr>
    </w:p>
    <w:p w14:paraId="55CA1898" w14:textId="0B8EACB5" w:rsidR="00555D1F" w:rsidRDefault="00555D1F" w:rsidP="00555D1F">
      <w:pPr>
        <w:spacing w:after="0" w:line="240" w:lineRule="auto"/>
        <w:ind w:left="709" w:right="709"/>
        <w:jc w:val="both"/>
        <w:rPr>
          <w:rFonts w:ascii="Arial" w:eastAsia="Calibri" w:hAnsi="Arial" w:cs="Arial"/>
          <w:sz w:val="21"/>
          <w:szCs w:val="21"/>
          <w:lang w:val="es-ES"/>
        </w:rPr>
      </w:pPr>
      <w:bookmarkStart w:id="9" w:name="_Hlk109121449"/>
      <w:r>
        <w:rPr>
          <w:rFonts w:ascii="Arial" w:eastAsia="Calibri" w:hAnsi="Arial" w:cs="Arial"/>
          <w:sz w:val="21"/>
          <w:szCs w:val="21"/>
          <w:lang w:val="es-ES"/>
        </w:rPr>
        <w:t>«</w:t>
      </w:r>
      <w:r w:rsidRPr="005668FC">
        <w:rPr>
          <w:rFonts w:ascii="Arial" w:eastAsia="Calibri" w:hAnsi="Arial" w:cs="Arial"/>
          <w:sz w:val="21"/>
          <w:szCs w:val="21"/>
          <w:lang w:val="es-ES"/>
        </w:rPr>
        <w:t xml:space="preserve">La modificación insertada es muy clara en el sentido de que se admite contratar con organismos de cooperación, asistencia o ayudas internacionales de manera directa para que se ejecute un contrato no sometido a la Ley 80 sino a sus reglamentos internos, si y solo sí los recursos provenientes para su </w:t>
      </w:r>
      <w:r w:rsidR="00557AE7" w:rsidRPr="005668FC">
        <w:rPr>
          <w:rFonts w:ascii="Arial" w:eastAsia="Calibri" w:hAnsi="Arial" w:cs="Arial"/>
          <w:sz w:val="21"/>
          <w:szCs w:val="21"/>
          <w:lang w:val="es-ES"/>
        </w:rPr>
        <w:t>pago</w:t>
      </w:r>
      <w:r w:rsidRPr="005668FC">
        <w:rPr>
          <w:rFonts w:ascii="Arial" w:eastAsia="Calibri" w:hAnsi="Arial" w:cs="Arial"/>
          <w:sz w:val="21"/>
          <w:szCs w:val="21"/>
          <w:lang w:val="es-ES"/>
        </w:rPr>
        <w:t xml:space="preserve"> sean del propio organismo en por lo menos más del 50% de su valor. </w:t>
      </w:r>
      <w:r w:rsidRPr="005668FC">
        <w:rPr>
          <w:rFonts w:ascii="Arial" w:eastAsia="Calibri" w:hAnsi="Arial" w:cs="Arial"/>
          <w:i/>
          <w:iCs/>
          <w:sz w:val="21"/>
          <w:szCs w:val="21"/>
          <w:lang w:val="es-ES"/>
        </w:rPr>
        <w:t xml:space="preserve">Con tal fin, se </w:t>
      </w:r>
      <w:r w:rsidRPr="005668FC">
        <w:rPr>
          <w:rFonts w:ascii="Arial" w:eastAsia="Calibri" w:hAnsi="Arial" w:cs="Arial"/>
          <w:i/>
          <w:iCs/>
          <w:sz w:val="21"/>
          <w:szCs w:val="21"/>
          <w:lang w:val="es-ES"/>
        </w:rPr>
        <w:lastRenderedPageBreak/>
        <w:t>deben cuantificar en moneda colombiana incluso los aportes que se hagan en especie</w:t>
      </w:r>
      <w:bookmarkEnd w:id="9"/>
      <w:r>
        <w:rPr>
          <w:rFonts w:ascii="Arial" w:eastAsia="Calibri" w:hAnsi="Arial" w:cs="Arial"/>
          <w:i/>
          <w:iCs/>
          <w:sz w:val="21"/>
          <w:szCs w:val="21"/>
          <w:lang w:val="es-ES"/>
        </w:rPr>
        <w:t>»</w:t>
      </w:r>
      <w:r w:rsidRPr="005668FC">
        <w:rPr>
          <w:rStyle w:val="Refdenotaalpie"/>
          <w:rFonts w:ascii="Arial" w:eastAsia="Calibri" w:hAnsi="Arial" w:cs="Arial"/>
          <w:sz w:val="21"/>
          <w:szCs w:val="21"/>
          <w:lang w:val="es-ES"/>
        </w:rPr>
        <w:footnoteReference w:id="9"/>
      </w:r>
      <w:r w:rsidRPr="005668FC">
        <w:rPr>
          <w:rFonts w:ascii="Arial" w:eastAsia="Calibri" w:hAnsi="Arial" w:cs="Arial"/>
          <w:sz w:val="21"/>
          <w:szCs w:val="21"/>
          <w:lang w:val="es-ES"/>
        </w:rPr>
        <w:t>.</w:t>
      </w:r>
    </w:p>
    <w:p w14:paraId="451E608D" w14:textId="77777777" w:rsidR="00555D1F" w:rsidRPr="005668FC" w:rsidRDefault="00555D1F" w:rsidP="00555D1F">
      <w:pPr>
        <w:spacing w:after="0" w:line="240" w:lineRule="auto"/>
        <w:ind w:left="709" w:right="709"/>
        <w:jc w:val="both"/>
        <w:rPr>
          <w:rFonts w:ascii="Arial" w:eastAsia="Calibri" w:hAnsi="Arial" w:cs="Arial"/>
          <w:b/>
          <w:bCs/>
          <w:sz w:val="21"/>
          <w:szCs w:val="21"/>
          <w:lang w:val="es-ES"/>
        </w:rPr>
      </w:pPr>
    </w:p>
    <w:p w14:paraId="396AD930" w14:textId="77777777" w:rsidR="00555D1F" w:rsidRPr="005668FC" w:rsidRDefault="00555D1F" w:rsidP="00555D1F">
      <w:pPr>
        <w:spacing w:after="120" w:line="276" w:lineRule="auto"/>
        <w:ind w:firstLine="709"/>
        <w:jc w:val="both"/>
        <w:rPr>
          <w:rFonts w:ascii="Arial" w:eastAsia="Calibri" w:hAnsi="Arial" w:cs="Arial"/>
          <w:lang w:val="es-ES"/>
        </w:rPr>
      </w:pPr>
      <w:r w:rsidRPr="005668FC">
        <w:rPr>
          <w:rFonts w:ascii="Arial" w:eastAsia="Calibri" w:hAnsi="Arial" w:cs="Arial"/>
          <w:lang w:val="es-ES"/>
        </w:rPr>
        <w:t>En este sentido, los contratos o convenios financiados en sumas iguales o superiores al (50%) con fondos de los organismos de cooperación, asistencia o ayudas internacionales</w:t>
      </w:r>
      <w:r w:rsidRPr="005668FC" w:rsidDel="009D32C3">
        <w:rPr>
          <w:rFonts w:ascii="Arial" w:eastAsia="Calibri" w:hAnsi="Arial" w:cs="Arial"/>
          <w:lang w:val="es-ES"/>
        </w:rPr>
        <w:t xml:space="preserve"> </w:t>
      </w:r>
      <w:r w:rsidRPr="005668FC">
        <w:rPr>
          <w:rFonts w:ascii="Arial" w:eastAsia="Calibri" w:hAnsi="Arial" w:cs="Arial"/>
          <w:lang w:val="es-ES"/>
        </w:rPr>
        <w:t>de que trata el inciso primero del artículo 20 de la Ley 1150 de 2007 y el artículo 2.2.1.2.4.4.1. del Decreto 1082 de 2015, admiten la financiación de estos contratos o convenios con aportes en sumas de dinero o en especie. Además, en el segundo caso, deberán cuantificarse en moneda colombiana, a efectos de poder establecer el régimen jurídico aplicable. En todo caso, reiterando que cuando se cumple dicho presupuesto se activa la posibilidad de someterlos a los reglamentos de tales entidades; sin perjuicio de que se opte por que se rijan por la Ley 80 de 1993, bajo el entendido de que se trata de una decisión discrecional, como se explicó anteriormente.</w:t>
      </w:r>
    </w:p>
    <w:p w14:paraId="531AE9B7" w14:textId="77777777" w:rsidR="00555D1F" w:rsidRDefault="00555D1F" w:rsidP="00555D1F">
      <w:pPr>
        <w:spacing w:after="0" w:line="276" w:lineRule="auto"/>
        <w:ind w:firstLine="709"/>
        <w:jc w:val="both"/>
        <w:rPr>
          <w:rFonts w:ascii="Arial" w:hAnsi="Arial" w:cs="Arial"/>
        </w:rPr>
      </w:pPr>
      <w:r w:rsidRPr="005668FC">
        <w:rPr>
          <w:rFonts w:ascii="Arial" w:hAnsi="Arial" w:cs="Arial"/>
          <w:lang w:val="es-ES"/>
        </w:rPr>
        <w:t>De conformidad con lo expuesto, se concluye que</w:t>
      </w:r>
      <w:bookmarkStart w:id="10" w:name="_Hlk104224197"/>
      <w:r w:rsidRPr="005668FC">
        <w:rPr>
          <w:rFonts w:ascii="Arial" w:hAnsi="Arial" w:cs="Arial"/>
          <w:lang w:val="es-ES_tradnl"/>
        </w:rPr>
        <w:t xml:space="preserve"> los contratos o convenios financiados con fondos de organismos internacionales previstos en el inciso primero del artículo 20 de la Ley 1150 de </w:t>
      </w:r>
      <w:r w:rsidRPr="005C63AC">
        <w:rPr>
          <w:rFonts w:ascii="Arial" w:hAnsi="Arial" w:cs="Arial"/>
          <w:lang w:val="es-ES_tradnl"/>
        </w:rPr>
        <w:t xml:space="preserve">2007 </w:t>
      </w:r>
      <w:r w:rsidRPr="005C63AC">
        <w:rPr>
          <w:rFonts w:ascii="Arial" w:hAnsi="Arial" w:cs="Arial"/>
          <w:b/>
          <w:bCs/>
          <w:lang w:val="es-ES_tradnl"/>
        </w:rPr>
        <w:t>puede ser financiados con aportes en sumas liquidas de dinero o en especie</w:t>
      </w:r>
      <w:r w:rsidRPr="005C63AC">
        <w:rPr>
          <w:rFonts w:ascii="Arial" w:hAnsi="Arial" w:cs="Arial"/>
          <w:lang w:val="es-ES_tradnl"/>
        </w:rPr>
        <w:t>, pues</w:t>
      </w:r>
      <w:r w:rsidRPr="005668FC">
        <w:rPr>
          <w:rFonts w:ascii="Arial" w:hAnsi="Arial" w:cs="Arial"/>
          <w:lang w:val="es-ES_tradnl"/>
        </w:rPr>
        <w:t xml:space="preserve"> el parágrafo 3 de la misma disposición así lo permite al establecer la obligación de cuantificar en moneda colombiana los aportes en especie realizados por estos organismos y, en caso de que supere el 50% de la totalidad del presupuesto de la contratación</w:t>
      </w:r>
      <w:bookmarkEnd w:id="10"/>
      <w:r w:rsidRPr="005668FC">
        <w:rPr>
          <w:rFonts w:ascii="Arial" w:hAnsi="Arial" w:cs="Arial"/>
          <w:lang w:val="es-ES_tradnl"/>
        </w:rPr>
        <w:t xml:space="preserve">, la entidad podrá someter el convenio o contrato a las reglas de contratación del referido organismo. </w:t>
      </w:r>
      <w:r w:rsidRPr="005668FC">
        <w:rPr>
          <w:rFonts w:ascii="Arial" w:hAnsi="Arial" w:cs="Arial"/>
        </w:rPr>
        <w:t xml:space="preserve"> </w:t>
      </w:r>
    </w:p>
    <w:p w14:paraId="4A85052B" w14:textId="77777777" w:rsidR="00555D1F" w:rsidRPr="005668FC" w:rsidRDefault="00555D1F" w:rsidP="00555D1F">
      <w:pPr>
        <w:spacing w:after="0" w:line="276" w:lineRule="auto"/>
        <w:ind w:firstLine="709"/>
        <w:jc w:val="both"/>
        <w:rPr>
          <w:rFonts w:ascii="Arial" w:hAnsi="Arial" w:cs="Arial"/>
        </w:rPr>
      </w:pPr>
    </w:p>
    <w:p w14:paraId="6C242DD7" w14:textId="77777777" w:rsidR="00555D1F" w:rsidRDefault="00555D1F" w:rsidP="00555D1F">
      <w:pPr>
        <w:spacing w:after="0" w:line="276" w:lineRule="auto"/>
        <w:jc w:val="both"/>
        <w:rPr>
          <w:rFonts w:ascii="Arial" w:hAnsi="Arial" w:cs="Arial"/>
          <w:b/>
          <w:bCs/>
          <w:color w:val="000000" w:themeColor="text1"/>
          <w:lang w:val="es-ES_tradnl"/>
        </w:rPr>
      </w:pPr>
      <w:r w:rsidRPr="005668FC">
        <w:rPr>
          <w:rFonts w:ascii="Arial" w:hAnsi="Arial" w:cs="Arial"/>
          <w:b/>
          <w:bCs/>
        </w:rPr>
        <w:t xml:space="preserve">2.2.  </w:t>
      </w:r>
      <w:r w:rsidRPr="00795A0A">
        <w:rPr>
          <w:rFonts w:ascii="Arial" w:hAnsi="Arial" w:cs="Arial"/>
          <w:b/>
          <w:bCs/>
          <w:color w:val="000000" w:themeColor="text1"/>
          <w:lang w:val="es-ES_tradnl"/>
        </w:rPr>
        <w:t>Contratación financiada con recursos de organismos multilaterales de crédito y sujeción a los reglamentos internos de dichas instituciones</w:t>
      </w:r>
    </w:p>
    <w:p w14:paraId="42FF8E89" w14:textId="77777777" w:rsidR="00555D1F" w:rsidRDefault="00555D1F" w:rsidP="00555D1F">
      <w:pPr>
        <w:spacing w:after="0" w:line="276" w:lineRule="auto"/>
        <w:jc w:val="both"/>
        <w:rPr>
          <w:rFonts w:ascii="Arial" w:hAnsi="Arial" w:cs="Arial"/>
          <w:b/>
          <w:bCs/>
        </w:rPr>
      </w:pPr>
    </w:p>
    <w:p w14:paraId="610BFA4E" w14:textId="77777777" w:rsidR="00555D1F" w:rsidRPr="00795A0A" w:rsidRDefault="00555D1F" w:rsidP="00555D1F">
      <w:pPr>
        <w:spacing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La </w:t>
      </w:r>
      <w:r w:rsidRPr="00795A0A">
        <w:rPr>
          <w:rFonts w:ascii="Arial" w:eastAsia="Calibri" w:hAnsi="Arial" w:cs="Arial"/>
          <w:color w:val="000000" w:themeColor="text1"/>
          <w:lang w:val="es-ES_tradnl"/>
        </w:rPr>
        <w:t xml:space="preserve">norma establece un segundo criterio, en el </w:t>
      </w:r>
      <w:r w:rsidRPr="00795A0A">
        <w:rPr>
          <w:rFonts w:ascii="Arial" w:eastAsia="Calibri" w:hAnsi="Arial" w:cs="Arial"/>
          <w:i/>
          <w:iCs/>
          <w:color w:val="000000" w:themeColor="text1"/>
          <w:lang w:val="es-ES_tradnl"/>
        </w:rPr>
        <w:t>inciso segundo,</w:t>
      </w:r>
      <w:r w:rsidRPr="00795A0A">
        <w:rPr>
          <w:rFonts w:ascii="Arial" w:eastAsia="Calibri" w:hAnsi="Arial" w:cs="Arial"/>
          <w:color w:val="000000" w:themeColor="text1"/>
          <w:lang w:val="es-ES_tradnl"/>
        </w:rPr>
        <w:t xml:space="preserve"> para determinar la posibilidad de aplicar los reglamentos de los organismos internacionales. Este segundo criterio depende del objeto del convenio o contrato a celebrar, de manera que en dichos casos se </w:t>
      </w:r>
      <w:r w:rsidRPr="00795A0A">
        <w:rPr>
          <w:rFonts w:ascii="Arial" w:eastAsia="Calibri" w:hAnsi="Arial" w:cs="Arial"/>
          <w:i/>
          <w:iCs/>
          <w:color w:val="000000" w:themeColor="text1"/>
          <w:lang w:val="es-ES_tradnl"/>
        </w:rPr>
        <w:t>puede</w:t>
      </w:r>
      <w:r w:rsidRPr="00795A0A">
        <w:rPr>
          <w:rFonts w:ascii="Arial" w:eastAsia="Calibri" w:hAnsi="Arial" w:cs="Arial"/>
          <w:color w:val="000000" w:themeColor="text1"/>
          <w:lang w:val="es-ES_tradnl"/>
        </w:rPr>
        <w:t xml:space="preserve"> pactar el sometimiento a los reglamentos de estas entidades. En tal sentido, los otros supuestos en que es posible someter el régimen contractual a los reglamentos de los organismos internacionales son los siguientes: </w:t>
      </w:r>
    </w:p>
    <w:p w14:paraId="238E68B1" w14:textId="77777777" w:rsidR="00555D1F" w:rsidRPr="00795A0A" w:rsidRDefault="00555D1F" w:rsidP="00555D1F">
      <w:pPr>
        <w:spacing w:before="120" w:after="120" w:line="276" w:lineRule="auto"/>
        <w:ind w:firstLine="709"/>
        <w:jc w:val="both"/>
        <w:rPr>
          <w:rFonts w:ascii="Arial" w:eastAsia="Calibri" w:hAnsi="Arial" w:cs="Arial"/>
          <w:color w:val="000000" w:themeColor="text1"/>
          <w:lang w:val="es-ES_tradnl"/>
        </w:rPr>
      </w:pPr>
      <w:r w:rsidRPr="00795A0A">
        <w:rPr>
          <w:rFonts w:ascii="Arial" w:eastAsia="Calibri" w:hAnsi="Arial" w:cs="Arial"/>
          <w:color w:val="000000" w:themeColor="text1"/>
          <w:lang w:val="es-ES_tradnl"/>
        </w:rPr>
        <w:t xml:space="preserve">i) Desarrollo de programas de promoción, prevención y atención en salud. </w:t>
      </w:r>
    </w:p>
    <w:p w14:paraId="2953066C" w14:textId="77777777" w:rsidR="00555D1F" w:rsidRPr="00795A0A"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ii) Contratos y convenios necesarios para la operación de la OIT.</w:t>
      </w:r>
    </w:p>
    <w:p w14:paraId="712A38F2" w14:textId="77777777" w:rsidR="00555D1F" w:rsidRPr="00795A0A"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iii) Contratos y convenios que se ejecuten en desarrollo del sistema integrado de monitoreo de cultivos ilícitos.</w:t>
      </w:r>
    </w:p>
    <w:p w14:paraId="7BD78256" w14:textId="77777777" w:rsidR="00555D1F" w:rsidRPr="00795A0A"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iv) Contratos y convenios para la operación del programa mundial de alimentos.</w:t>
      </w:r>
    </w:p>
    <w:p w14:paraId="15B02923" w14:textId="77777777" w:rsidR="00555D1F" w:rsidRPr="00795A0A"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lastRenderedPageBreak/>
        <w:t>v) Contratos y convenios para el desarrollo de programas de apoyo educativo a población desplazada y vulnerable adelantados por la Unesco y la OIM.</w:t>
      </w:r>
    </w:p>
    <w:p w14:paraId="2226DBFD" w14:textId="77777777" w:rsidR="00555D1F" w:rsidRPr="006171F7"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vi) Los contratos o convenios financiados con fondos de los organismos multilaterales de crédito y entes gubernamentales extranjeros. </w:t>
      </w:r>
    </w:p>
    <w:p w14:paraId="47D23C32" w14:textId="77777777" w:rsidR="00555D1F" w:rsidRPr="00795A0A" w:rsidRDefault="00555D1F" w:rsidP="00555D1F">
      <w:pPr>
        <w:spacing w:after="120" w:line="276" w:lineRule="auto"/>
        <w:ind w:firstLine="709"/>
        <w:jc w:val="both"/>
        <w:rPr>
          <w:rFonts w:ascii="Arial" w:eastAsia="Calibri" w:hAnsi="Arial" w:cs="Arial"/>
          <w:color w:val="000000" w:themeColor="text1"/>
          <w:lang w:val="es-ES_tradnl"/>
        </w:rPr>
      </w:pPr>
      <w:r w:rsidRPr="00795A0A">
        <w:rPr>
          <w:rFonts w:ascii="Arial" w:eastAsia="Calibri" w:hAnsi="Arial" w:cs="Arial"/>
          <w:color w:val="000000" w:themeColor="text1"/>
          <w:lang w:val="es-ES_tradnl"/>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2 regímenes indicados. Al respecto, en el concepto C-374 del 27 de julio de 2020, esta Agencia – después de analizar el artículo 20 de la Ley 1150 de 2007– concluyó que:</w:t>
      </w:r>
    </w:p>
    <w:p w14:paraId="675C2859" w14:textId="77777777" w:rsidR="00555D1F" w:rsidRDefault="00555D1F" w:rsidP="00555D1F">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795A0A">
        <w:rPr>
          <w:rFonts w:ascii="Arial" w:eastAsia="Calibri" w:hAnsi="Arial" w:cs="Arial"/>
          <w:color w:val="000000" w:themeColor="text1"/>
          <w:sz w:val="21"/>
          <w:szCs w:val="21"/>
          <w:lang w:val="es-ES_tradnl"/>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Pr>
          <w:rFonts w:ascii="Arial" w:eastAsia="Calibri" w:hAnsi="Arial" w:cs="Arial"/>
          <w:color w:val="000000" w:themeColor="text1"/>
          <w:sz w:val="21"/>
          <w:szCs w:val="21"/>
          <w:lang w:val="es-ES_tradnl"/>
        </w:rPr>
        <w:t>»</w:t>
      </w:r>
      <w:r w:rsidRPr="00795A0A">
        <w:rPr>
          <w:rFonts w:ascii="Arial" w:eastAsia="Calibri" w:hAnsi="Arial" w:cs="Arial"/>
          <w:color w:val="000000" w:themeColor="text1"/>
          <w:sz w:val="21"/>
          <w:szCs w:val="21"/>
          <w:lang w:val="es-ES_tradnl"/>
        </w:rPr>
        <w:t>.</w:t>
      </w:r>
    </w:p>
    <w:p w14:paraId="5584C489" w14:textId="77777777" w:rsidR="00555D1F" w:rsidRDefault="00555D1F" w:rsidP="00555D1F">
      <w:pPr>
        <w:spacing w:after="0" w:line="240" w:lineRule="auto"/>
        <w:ind w:left="709" w:right="709"/>
        <w:jc w:val="both"/>
        <w:rPr>
          <w:rFonts w:ascii="Arial" w:eastAsia="Calibri" w:hAnsi="Arial" w:cs="Arial"/>
          <w:color w:val="000000" w:themeColor="text1"/>
          <w:sz w:val="21"/>
          <w:szCs w:val="21"/>
          <w:lang w:val="es-ES_tradnl"/>
        </w:rPr>
      </w:pPr>
    </w:p>
    <w:p w14:paraId="61748C51" w14:textId="77777777" w:rsidR="00555D1F" w:rsidRPr="00795A0A" w:rsidRDefault="00555D1F" w:rsidP="00555D1F">
      <w:pPr>
        <w:spacing w:line="276" w:lineRule="auto"/>
        <w:ind w:firstLine="708"/>
        <w:jc w:val="both"/>
        <w:rPr>
          <w:rFonts w:ascii="Arial" w:hAnsi="Arial" w:cs="Arial"/>
          <w:color w:val="000000" w:themeColor="text1"/>
          <w:lang w:val="es-ES_tradnl"/>
        </w:rPr>
      </w:pPr>
      <w:r>
        <w:rPr>
          <w:rFonts w:ascii="Arial" w:hAnsi="Arial" w:cs="Arial"/>
          <w:color w:val="000000" w:themeColor="text1"/>
          <w:lang w:val="es-ES_tradnl"/>
        </w:rPr>
        <w:t>E</w:t>
      </w:r>
      <w:r w:rsidRPr="00795A0A">
        <w:rPr>
          <w:rFonts w:ascii="Arial" w:hAnsi="Arial" w:cs="Arial"/>
          <w:color w:val="000000" w:themeColor="text1"/>
          <w:lang w:val="es-ES_tradnl"/>
        </w:rPr>
        <w:t>l segundo inciso del artículo 20 de la Ley 1150 de 2007 establece que «[…] los contratos o convenios financiados con fondos de los organismos multilaterales de crédito […], podrán someterse a los reglamentos de tales entidades». Esto significa que, aunque no sea obligatorio, es posible que el régimen al que se vinculen las partes del contrato respectivo sean las directrices internas de dichos organismos, independientemente de la cuantía de los recursos provenientes de los fondos de los organismos multilaterales de crédito, pues el inciso al que se ha hecho referencia no condiciona la posibilidad de someterse a tales reglamentos a un porcentaje específico. Así lo reitera el inciso quinto del artículo 2.2.1.2.4.4.1. del Decreto 1082 de 2015, cuando establece:</w:t>
      </w:r>
    </w:p>
    <w:p w14:paraId="4F37E361" w14:textId="77777777" w:rsidR="00555D1F" w:rsidRDefault="00555D1F" w:rsidP="00555D1F">
      <w:pPr>
        <w:spacing w:after="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 xml:space="preserve">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w:t>
      </w:r>
      <w:r w:rsidRPr="00795A0A">
        <w:rPr>
          <w:rFonts w:ascii="Arial" w:hAnsi="Arial" w:cs="Arial"/>
          <w:color w:val="000000" w:themeColor="text1"/>
          <w:sz w:val="21"/>
          <w:szCs w:val="21"/>
          <w:lang w:val="es-ES_tradnl"/>
        </w:rPr>
        <w:lastRenderedPageBreak/>
        <w:t>recursos de aporte de fuente nacional o sus equivalentes vinculados a tales operaciones en dichos documentos, sin que a ellos le sea aplicable el porcentaje señalado en el inciso primero del artículo 20 de la Ley 1150 de 2007</w:t>
      </w: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w:t>
      </w:r>
    </w:p>
    <w:p w14:paraId="2E1AE5EB" w14:textId="77777777" w:rsidR="00555D1F" w:rsidRPr="001746A8" w:rsidRDefault="00555D1F" w:rsidP="00555D1F">
      <w:pPr>
        <w:spacing w:after="0"/>
        <w:ind w:left="851" w:right="851"/>
        <w:jc w:val="both"/>
        <w:rPr>
          <w:rFonts w:ascii="Arial" w:hAnsi="Arial" w:cs="Arial"/>
          <w:color w:val="000000" w:themeColor="text1"/>
          <w:sz w:val="21"/>
          <w:szCs w:val="21"/>
          <w:lang w:val="es-ES_tradnl"/>
        </w:rPr>
      </w:pPr>
    </w:p>
    <w:p w14:paraId="58F32E81" w14:textId="77777777" w:rsidR="00555D1F" w:rsidRPr="00795A0A" w:rsidRDefault="00555D1F" w:rsidP="00555D1F">
      <w:pPr>
        <w:spacing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En concepto con radicado 4201714000006964 del 16 de julio de 2018, esta Subdirección ratificó dicha postura, indicando que «[…] los contratos o convenios financiados con fondos de organismos multilaterales de crédito podrán someterse a sus reglamentos, sin que sea relevante el porcentaje del aporte realizado por ellos, serán sus reglamentos y políticas los encargados de establecer todo lo relacionado con procedimientos de selección, adjudicación, cláusulas especiales de ejecución, cumplimiento, pagos y ajustes, sin violar los fines estatales ni el deber de aplicar el Estatuto de la Contratación Pública».</w:t>
      </w:r>
    </w:p>
    <w:p w14:paraId="044BE54E" w14:textId="77777777" w:rsidR="00555D1F" w:rsidRPr="001746A8" w:rsidRDefault="00555D1F" w:rsidP="00555D1F">
      <w:pPr>
        <w:spacing w:before="120"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Esta</w:t>
      </w:r>
      <w:r w:rsidRPr="00795A0A">
        <w:rPr>
          <w:rFonts w:ascii="Arial" w:hAnsi="Arial" w:cs="Arial"/>
          <w:color w:val="000000" w:themeColor="text1"/>
          <w:lang w:val="es-ES_tradnl"/>
        </w:rPr>
        <w:t xml:space="preserve"> interpretación es acorde con lo expresado por la doctrina. En efecto, para José Luis Benavides, uno de los factores más influyentes en la regulación de los contratos públicos en la actualidad «[…] proviene de la banca multilateral, en particular, para los países latinoamericanos, del Banco Mundial y del Banco Interamericano de Desarrollo»</w:t>
      </w:r>
      <w:r w:rsidRPr="00795A0A">
        <w:rPr>
          <w:rStyle w:val="Refdenotaalpie"/>
          <w:rFonts w:ascii="Arial" w:hAnsi="Arial" w:cs="Arial"/>
          <w:color w:val="000000" w:themeColor="text1"/>
          <w:lang w:val="es-ES_tradnl"/>
        </w:rPr>
        <w:footnoteReference w:id="10"/>
      </w:r>
      <w:r w:rsidRPr="00795A0A">
        <w:rPr>
          <w:rFonts w:ascii="Arial" w:hAnsi="Arial" w:cs="Arial"/>
          <w:color w:val="000000" w:themeColor="text1"/>
          <w:lang w:val="es-ES_tradnl"/>
        </w:rPr>
        <w:t xml:space="preserve">. </w:t>
      </w:r>
      <w:r>
        <w:rPr>
          <w:rFonts w:ascii="Arial" w:hAnsi="Arial" w:cs="Arial"/>
          <w:color w:val="000000" w:themeColor="text1"/>
          <w:lang w:val="es-ES_tradnl"/>
        </w:rPr>
        <w:t xml:space="preserve">Al respecto, el </w:t>
      </w:r>
      <w:r w:rsidRPr="00795A0A">
        <w:rPr>
          <w:rFonts w:ascii="Arial" w:hAnsi="Arial" w:cs="Arial"/>
          <w:color w:val="000000" w:themeColor="text1"/>
          <w:lang w:val="es-ES_tradnl"/>
        </w:rPr>
        <w:t>autor</w:t>
      </w:r>
      <w:r>
        <w:rPr>
          <w:rFonts w:ascii="Arial" w:hAnsi="Arial" w:cs="Arial"/>
          <w:color w:val="000000" w:themeColor="text1"/>
          <w:lang w:val="es-ES_tradnl"/>
        </w:rPr>
        <w:t xml:space="preserve"> mencionado señala</w:t>
      </w:r>
      <w:r w:rsidRPr="00795A0A">
        <w:rPr>
          <w:rFonts w:ascii="Arial" w:hAnsi="Arial" w:cs="Arial"/>
          <w:color w:val="000000" w:themeColor="text1"/>
          <w:lang w:val="es-ES_tradnl"/>
        </w:rPr>
        <w:t>:</w:t>
      </w:r>
    </w:p>
    <w:p w14:paraId="6EA89E06" w14:textId="77777777" w:rsidR="00555D1F" w:rsidRPr="00795A0A" w:rsidRDefault="00555D1F" w:rsidP="00555D1F">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795A0A">
        <w:rPr>
          <w:rFonts w:ascii="Arial" w:hAnsi="Arial" w:cs="Arial"/>
          <w:color w:val="000000" w:themeColor="text1"/>
          <w:sz w:val="21"/>
          <w:szCs w:val="21"/>
          <w:lang w:val="es-ES_tradnl"/>
        </w:rPr>
        <w:t>[…], el Banco Interamericano de Desarrollo (BID) financia, como el Banco mundial, muchos proyectos gubernamentales que se desarrollan mediante la contratación pública. El BID impone igualmente sus reglamentos de contratación, ejerciendo una importante influencia sobre los regímenes internos de contratación, y también estuvo muy presente en los proyectos de participación privada en los proyectos de infraestructura bajo los distintos modelos de concesión, después de los años noventa</w:t>
      </w:r>
      <w:r>
        <w:rPr>
          <w:rFonts w:ascii="Arial" w:hAnsi="Arial" w:cs="Arial"/>
          <w:color w:val="000000" w:themeColor="text1"/>
          <w:sz w:val="21"/>
          <w:szCs w:val="21"/>
          <w:lang w:val="es-ES_tradnl"/>
        </w:rPr>
        <w:t>»</w:t>
      </w:r>
      <w:r w:rsidRPr="00795A0A">
        <w:rPr>
          <w:rStyle w:val="Refdenotaalpie"/>
          <w:rFonts w:ascii="Arial" w:hAnsi="Arial" w:cs="Arial"/>
          <w:color w:val="000000" w:themeColor="text1"/>
          <w:sz w:val="21"/>
          <w:szCs w:val="21"/>
          <w:lang w:val="es-ES_tradnl"/>
        </w:rPr>
        <w:footnoteReference w:id="11"/>
      </w:r>
      <w:r w:rsidRPr="00795A0A">
        <w:rPr>
          <w:rFonts w:ascii="Arial" w:hAnsi="Arial" w:cs="Arial"/>
          <w:color w:val="000000" w:themeColor="text1"/>
          <w:sz w:val="21"/>
          <w:szCs w:val="21"/>
          <w:lang w:val="es-ES_tradnl"/>
        </w:rPr>
        <w:t>.</w:t>
      </w:r>
    </w:p>
    <w:p w14:paraId="55C35154" w14:textId="77777777" w:rsidR="00555D1F" w:rsidRPr="00795A0A" w:rsidRDefault="00555D1F" w:rsidP="00555D1F">
      <w:pPr>
        <w:tabs>
          <w:tab w:val="left" w:pos="489"/>
        </w:tabs>
        <w:spacing w:after="120" w:line="276" w:lineRule="auto"/>
        <w:ind w:firstLine="488"/>
        <w:jc w:val="both"/>
        <w:rPr>
          <w:rFonts w:ascii="Arial" w:hAnsi="Arial" w:cs="Arial"/>
          <w:color w:val="000000" w:themeColor="text1"/>
          <w:lang w:val="es-ES_tradnl"/>
        </w:rPr>
      </w:pPr>
      <w:r>
        <w:rPr>
          <w:rFonts w:ascii="Arial" w:hAnsi="Arial" w:cs="Arial"/>
          <w:color w:val="000000" w:themeColor="text1"/>
          <w:lang w:val="es-ES_tradnl"/>
        </w:rPr>
        <w:tab/>
      </w:r>
      <w:r>
        <w:rPr>
          <w:rFonts w:ascii="Arial" w:hAnsi="Arial" w:cs="Arial"/>
          <w:color w:val="000000" w:themeColor="text1"/>
          <w:lang w:val="es-ES_tradnl"/>
        </w:rPr>
        <w:tab/>
        <w:t>P</w:t>
      </w:r>
      <w:r w:rsidRPr="00795A0A">
        <w:rPr>
          <w:rFonts w:ascii="Arial" w:hAnsi="Arial" w:cs="Arial"/>
          <w:color w:val="000000" w:themeColor="text1"/>
          <w:lang w:val="es-ES_tradnl"/>
        </w:rPr>
        <w:t>or su parte,</w:t>
      </w:r>
      <w:r>
        <w:rPr>
          <w:rFonts w:ascii="Arial" w:hAnsi="Arial" w:cs="Arial"/>
          <w:color w:val="000000" w:themeColor="text1"/>
          <w:lang w:val="es-ES_tradnl"/>
        </w:rPr>
        <w:t xml:space="preserve"> un sector de la doctrina</w:t>
      </w:r>
      <w:r w:rsidRPr="00795A0A">
        <w:rPr>
          <w:rFonts w:ascii="Arial" w:hAnsi="Arial" w:cs="Arial"/>
          <w:color w:val="000000" w:themeColor="text1"/>
          <w:lang w:val="es-ES_tradnl"/>
        </w:rPr>
        <w:t xml:space="preserve"> explica que el segundo inciso del artículo 20 de la Ley 1150 de 2007 permite que las entidades estatales que en principio se encuentran sometidas al Estatuto General de Contratación de la Administración Pública se rijan por los reglamentos de los organismos multilaterales de créditos. En tal sentido, señala que «La excepción bajo análisis abarca la contratación que haga una entidad regida por las Leyes 80 de 1993 y 1150 de 2007 […], que va a pagar los contratos que celebre con recursos que haya obtenido de un crédito con un organismo multilateral de crédito»</w:t>
      </w:r>
      <w:r w:rsidRPr="00795A0A">
        <w:rPr>
          <w:rStyle w:val="Refdenotaalpie"/>
          <w:rFonts w:ascii="Arial" w:hAnsi="Arial" w:cs="Arial"/>
          <w:color w:val="000000" w:themeColor="text1"/>
          <w:lang w:val="es-ES_tradnl"/>
        </w:rPr>
        <w:footnoteReference w:id="12"/>
      </w:r>
      <w:r w:rsidRPr="00795A0A">
        <w:rPr>
          <w:rFonts w:ascii="Arial" w:hAnsi="Arial" w:cs="Arial"/>
          <w:color w:val="000000" w:themeColor="text1"/>
          <w:lang w:val="es-ES_tradnl"/>
        </w:rPr>
        <w:t xml:space="preserve">. Además, comenta que esta remisión efectuada por la Ley 1150 de 2007 a los reglamentos de dichos organismos es integral, en el sentido de que cuando las partes del contrato se someten a </w:t>
      </w:r>
      <w:r w:rsidRPr="00795A0A">
        <w:rPr>
          <w:rFonts w:ascii="Arial" w:hAnsi="Arial" w:cs="Arial"/>
          <w:color w:val="000000" w:themeColor="text1"/>
          <w:lang w:val="es-ES_tradnl"/>
        </w:rPr>
        <w:lastRenderedPageBreak/>
        <w:t>dicha normativa, las disposiciones reguladas en los reglamentos prevalecen sobre las del Estatuto General de Contratación de la Administración Pública</w:t>
      </w:r>
      <w:r w:rsidRPr="00795A0A">
        <w:rPr>
          <w:rStyle w:val="Refdenotaalpie"/>
          <w:rFonts w:ascii="Arial" w:hAnsi="Arial" w:cs="Arial"/>
          <w:color w:val="000000" w:themeColor="text1"/>
          <w:lang w:val="es-ES_tradnl"/>
        </w:rPr>
        <w:footnoteReference w:id="13"/>
      </w:r>
      <w:r w:rsidRPr="00795A0A">
        <w:rPr>
          <w:rFonts w:ascii="Arial" w:hAnsi="Arial" w:cs="Arial"/>
          <w:color w:val="000000" w:themeColor="text1"/>
          <w:lang w:val="es-ES_tradnl"/>
        </w:rPr>
        <w:t>.</w:t>
      </w:r>
    </w:p>
    <w:p w14:paraId="4113D4D0" w14:textId="77777777" w:rsidR="00555D1F" w:rsidRPr="00795A0A" w:rsidRDefault="00555D1F" w:rsidP="00555D1F">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En consecuencia, no cabe duda de que la banca multilateral ejerce una marcada influencia sobre la regulación de la contratación pública, puesto que las entidades estatales pueden someterse a los reglamentos de dichas instituciones. Dentro de los principales organismos multilaterales de crédito para los países de América Latina y del Caribe se encuentra el Banco Interamericano de Desarrollo –BID–. En efecto, el BID es un organismo que tiene dentro de sus fines promover el desarrollo de los países de la región, a través de la financiación de proyectos que permitan la integración comercial, la reducción de la pobreza, el crecimiento sostenible, entre otros objetivos. Bajo esta perspectiva, «El BID financia programas de cooperación técnica para el fortalecimiento institucional, transferencia de conocimientos y estudios, incluyendo diagnósticos, estudios de preinversión y sectoriales que apoyan la formulación y preparación de proyectos. Los programas pueden ser destinados a proyectos específicos de un solo país o para el comercio, la integración o iniciativas regionales»</w:t>
      </w:r>
      <w:r w:rsidRPr="00795A0A">
        <w:rPr>
          <w:rStyle w:val="Refdenotaalpie"/>
          <w:rFonts w:ascii="Arial" w:hAnsi="Arial" w:cs="Arial"/>
          <w:color w:val="000000" w:themeColor="text1"/>
          <w:lang w:val="es-ES_tradnl"/>
        </w:rPr>
        <w:footnoteReference w:id="14"/>
      </w:r>
      <w:r w:rsidRPr="00795A0A">
        <w:rPr>
          <w:rFonts w:ascii="Arial" w:hAnsi="Arial" w:cs="Arial"/>
          <w:color w:val="000000" w:themeColor="text1"/>
          <w:lang w:val="es-ES_tradnl"/>
        </w:rPr>
        <w:t>.</w:t>
      </w:r>
    </w:p>
    <w:p w14:paraId="30D80C7A" w14:textId="77777777" w:rsidR="00555D1F" w:rsidRPr="00795A0A" w:rsidRDefault="00555D1F" w:rsidP="00555D1F">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 xml:space="preserve">El segundo inciso del artículo 20 de la Ley 1150 de 2007 permite que las entidades estatales celebren convenios con las personas extranjeras de derecho público u organismos de derecho internacional –para los objetos contractuales señalados en dicha norma–, pudiendo someterse en tales casos a los reglamentos de dichas instituciones. El legislador no distinguió los aspectos sobre los cuales es factible aplicar los reglamentos de estos organismos internacionales. En consecuencia, ante dicho silencio, debe entenderse que dentro de la remisión también cabe el procedimiento de celebración del contrato. Esto significa que las entidades estatales pueden contratar siguiendo los procedimientos establecidos en los reglamentos de los organismos internacionales a los que alude el citado artículo 20 y no los previstos en el Estatuto General de Contratación de la Administración Pública. </w:t>
      </w:r>
    </w:p>
    <w:p w14:paraId="6B6360C9" w14:textId="77777777" w:rsidR="00555D1F" w:rsidRPr="00795A0A" w:rsidRDefault="00555D1F" w:rsidP="00555D1F">
      <w:pPr>
        <w:spacing w:before="120" w:after="120" w:line="276" w:lineRule="auto"/>
        <w:ind w:firstLine="708"/>
        <w:jc w:val="both"/>
        <w:rPr>
          <w:rFonts w:ascii="Arial" w:hAnsi="Arial" w:cs="Arial"/>
          <w:color w:val="000000" w:themeColor="text1"/>
          <w:lang w:val="es-ES_tradnl"/>
        </w:rPr>
      </w:pPr>
      <w:r w:rsidRPr="00795A0A">
        <w:rPr>
          <w:rFonts w:ascii="Arial" w:hAnsi="Arial" w:cs="Arial"/>
          <w:color w:val="000000" w:themeColor="text1"/>
          <w:lang w:val="es-ES_tradnl"/>
        </w:rPr>
        <w:t xml:space="preserve">Por otro lado, el mencionado artículo permite que las entidades estatales sujeten los contratos financiados con fondos de los organismos multilaterales de crédito los reglamentos de aquellos. De este modo, en sentencia del 26 de agosto de 2015, el Consejo de Estado señaló que para celebrar los contratos financiados con préstamos de organismos multilaterales de crédito las entidades estatales pueden acoger los documentos estándar de licitación de dichos organismos, «apartándose de la estructura del procedimiento licitatorio determinada en el artículo 30 de la Ley 80 de 1993 y en los decretos </w:t>
      </w:r>
      <w:r w:rsidRPr="00795A0A">
        <w:rPr>
          <w:rFonts w:ascii="Arial" w:hAnsi="Arial" w:cs="Arial"/>
          <w:color w:val="000000" w:themeColor="text1"/>
          <w:lang w:val="es-ES_tradnl"/>
        </w:rPr>
        <w:lastRenderedPageBreak/>
        <w:t>reglamentarios del referido procedimiento»</w:t>
      </w:r>
      <w:r w:rsidRPr="00795A0A">
        <w:rPr>
          <w:rStyle w:val="Refdenotaalpie"/>
          <w:rFonts w:ascii="Arial" w:hAnsi="Arial" w:cs="Arial"/>
          <w:color w:val="000000" w:themeColor="text1"/>
          <w:lang w:val="es-ES_tradnl"/>
        </w:rPr>
        <w:footnoteReference w:id="15"/>
      </w:r>
      <w:r w:rsidRPr="00795A0A">
        <w:rPr>
          <w:rFonts w:ascii="Arial" w:hAnsi="Arial" w:cs="Arial"/>
          <w:color w:val="000000" w:themeColor="text1"/>
          <w:lang w:val="es-ES_tradnl"/>
        </w:rPr>
        <w:t>, «[…] pero las entidades estales contratantes no quedan eximidas de cumplir con los principios establecidos en la Constitución Política, en el estatuto de contratación nacional y en las normas legales de carácter imperativo, como por ejemplo, las establecidas para la ejecución del gasto que se encuentre a cargo de la respectiva entidad, según lo indicó la sentencia C- 249 de 2004 emanada de la Corte Constitucional»</w:t>
      </w:r>
      <w:r w:rsidRPr="00795A0A">
        <w:rPr>
          <w:rStyle w:val="Refdenotaalpie"/>
          <w:rFonts w:ascii="Arial" w:hAnsi="Arial" w:cs="Arial"/>
          <w:color w:val="000000" w:themeColor="text1"/>
          <w:lang w:val="es-ES_tradnl"/>
        </w:rPr>
        <w:footnoteReference w:id="16"/>
      </w:r>
      <w:r w:rsidRPr="00795A0A">
        <w:rPr>
          <w:rFonts w:ascii="Arial" w:hAnsi="Arial" w:cs="Arial"/>
          <w:color w:val="000000" w:themeColor="text1"/>
          <w:lang w:val="es-ES_tradnl"/>
        </w:rPr>
        <w:t>.</w:t>
      </w:r>
    </w:p>
    <w:p w14:paraId="5E84EF43" w14:textId="77777777" w:rsidR="00555D1F" w:rsidRPr="00795A0A" w:rsidRDefault="00555D1F" w:rsidP="00555D1F">
      <w:pPr>
        <w:widowControl w:val="0"/>
        <w:spacing w:before="120" w:after="120" w:line="276" w:lineRule="auto"/>
        <w:ind w:firstLine="488"/>
        <w:jc w:val="both"/>
        <w:rPr>
          <w:rFonts w:ascii="Arial" w:hAnsi="Arial" w:cs="Arial"/>
          <w:color w:val="000000" w:themeColor="text1"/>
          <w:lang w:val="es-ES_tradnl"/>
        </w:rPr>
      </w:pPr>
      <w:r w:rsidRPr="00795A0A">
        <w:rPr>
          <w:rFonts w:ascii="Arial" w:hAnsi="Arial" w:cs="Arial"/>
          <w:color w:val="000000" w:themeColor="text1"/>
          <w:lang w:val="es-ES_tradnl"/>
        </w:rPr>
        <w:t>Asimismo, la Sala de Consulta y Servicio Civil, en concepto del 25 de septiembre de 2018, explicó el alcance de la remisión a los reglamentos de los organismos multilaterales de crédito, en los siguientes términos:</w:t>
      </w:r>
    </w:p>
    <w:p w14:paraId="2CDBBB14" w14:textId="77777777" w:rsidR="00555D1F"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Pr>
          <w:rFonts w:ascii="Arial" w:hAnsi="Arial" w:cs="Arial"/>
          <w:bCs/>
          <w:color w:val="000000" w:themeColor="text1"/>
          <w:sz w:val="21"/>
          <w:szCs w:val="21"/>
          <w:lang w:val="es-ES_tradnl"/>
        </w:rPr>
        <w:t>«</w:t>
      </w:r>
      <w:r w:rsidRPr="00795A0A">
        <w:rPr>
          <w:rFonts w:ascii="Arial" w:hAnsi="Arial" w:cs="Arial"/>
          <w:bCs/>
          <w:color w:val="000000" w:themeColor="text1"/>
          <w:sz w:val="21"/>
          <w:szCs w:val="21"/>
          <w:lang w:val="es-ES_tradnl"/>
        </w:rPr>
        <w:t xml:space="preserve">i) De acuerdo con lo previsto en el art. 20 de la Ley 1150 de 2007, los contratos financiados con recursos provenientes de organismos multilaterales de crédito pueden someterse a los reglamentos de tales organismos. </w:t>
      </w:r>
    </w:p>
    <w:p w14:paraId="04A4AAA9" w14:textId="77777777" w:rsidR="00555D1F" w:rsidRPr="00795A0A"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3C33D84E" w14:textId="77777777" w:rsidR="00555D1F" w:rsidRPr="00795A0A"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De ser así, el </w:t>
      </w:r>
      <w:r w:rsidRPr="00795A0A">
        <w:rPr>
          <w:rFonts w:ascii="Arial" w:hAnsi="Arial" w:cs="Arial"/>
          <w:bCs/>
          <w:color w:val="000000" w:themeColor="text1"/>
          <w:sz w:val="21"/>
          <w:szCs w:val="21"/>
          <w:shd w:val="clear" w:color="auto" w:fill="FFFFFF"/>
          <w:lang w:val="es-ES_tradnl"/>
        </w:rPr>
        <w:t xml:space="preserve">Estatuto de Contratación Pública no será aplicable a los procesos de selección, a la celebración y a la ejecución de estos contratos, </w:t>
      </w:r>
      <w:r w:rsidRPr="00795A0A">
        <w:rPr>
          <w:rFonts w:ascii="Arial" w:hAnsi="Arial" w:cs="Arial"/>
          <w:bCs/>
          <w:color w:val="000000" w:themeColor="text1"/>
          <w:sz w:val="21"/>
          <w:szCs w:val="21"/>
          <w:lang w:val="es-ES_tradnl"/>
        </w:rPr>
        <w:t xml:space="preserve">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2BFE0A0B" w14:textId="77777777" w:rsidR="00555D1F"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4BD41C71" w14:textId="77777777" w:rsidR="00555D1F" w:rsidRPr="00795A0A"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ii)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2353E9BA" w14:textId="77777777" w:rsidR="00555D1F"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p>
    <w:p w14:paraId="653A53C4" w14:textId="77777777" w:rsidR="00555D1F" w:rsidRPr="00795A0A" w:rsidRDefault="00555D1F" w:rsidP="00555D1F">
      <w:pPr>
        <w:autoSpaceDE w:val="0"/>
        <w:autoSpaceDN w:val="0"/>
        <w:adjustRightInd w:val="0"/>
        <w:spacing w:after="0" w:line="240" w:lineRule="auto"/>
        <w:ind w:left="708"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09AC862F" w14:textId="77777777" w:rsidR="00555D1F" w:rsidRPr="00795A0A" w:rsidRDefault="00555D1F" w:rsidP="00555D1F">
      <w:pPr>
        <w:autoSpaceDE w:val="0"/>
        <w:autoSpaceDN w:val="0"/>
        <w:adjustRightInd w:val="0"/>
        <w:spacing w:line="240" w:lineRule="auto"/>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3AA475D7" w14:textId="77777777" w:rsidR="00555D1F" w:rsidRPr="00795A0A" w:rsidRDefault="00555D1F" w:rsidP="00555D1F">
      <w:pPr>
        <w:autoSpaceDE w:val="0"/>
        <w:autoSpaceDN w:val="0"/>
        <w:adjustRightInd w:val="0"/>
        <w:spacing w:line="240" w:lineRule="auto"/>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rPr>
        <w:t xml:space="preserve">iii) 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w:t>
      </w:r>
      <w:r w:rsidRPr="00795A0A">
        <w:rPr>
          <w:rFonts w:ascii="Arial" w:hAnsi="Arial" w:cs="Arial"/>
          <w:bCs/>
          <w:color w:val="000000" w:themeColor="text1"/>
          <w:sz w:val="21"/>
          <w:szCs w:val="21"/>
          <w:lang w:val="es-ES_tradnl"/>
        </w:rPr>
        <w:lastRenderedPageBreak/>
        <w:t xml:space="preserve">y, entre otras obligaciones, a la obtener </w:t>
      </w:r>
      <w:r w:rsidRPr="00795A0A">
        <w:rPr>
          <w:rFonts w:ascii="Arial" w:hAnsi="Arial" w:cs="Arial"/>
          <w:bCs/>
          <w:color w:val="000000" w:themeColor="text1"/>
          <w:sz w:val="21"/>
          <w:szCs w:val="21"/>
          <w:lang w:val="es-ES_tradnl" w:eastAsia="es-ES"/>
        </w:rPr>
        <w:t xml:space="preserve">el certificado de disponibilidad presupuestal, en cumplimiento del régimen presupuestal analizado en este concepto. </w:t>
      </w:r>
    </w:p>
    <w:p w14:paraId="52499EDB" w14:textId="77777777" w:rsidR="00555D1F" w:rsidRPr="006171F7" w:rsidRDefault="00555D1F" w:rsidP="00555D1F">
      <w:pPr>
        <w:autoSpaceDE w:val="0"/>
        <w:autoSpaceDN w:val="0"/>
        <w:adjustRightInd w:val="0"/>
        <w:spacing w:line="240" w:lineRule="auto"/>
        <w:ind w:left="709" w:right="709"/>
        <w:jc w:val="both"/>
        <w:rPr>
          <w:rFonts w:ascii="Arial" w:hAnsi="Arial" w:cs="Arial"/>
          <w:bCs/>
          <w:color w:val="000000" w:themeColor="text1"/>
          <w:sz w:val="21"/>
          <w:szCs w:val="21"/>
          <w:lang w:val="es-ES_tradnl"/>
        </w:rPr>
      </w:pPr>
      <w:r w:rsidRPr="00795A0A">
        <w:rPr>
          <w:rFonts w:ascii="Arial" w:hAnsi="Arial" w:cs="Arial"/>
          <w:bCs/>
          <w:color w:val="000000" w:themeColor="text1"/>
          <w:sz w:val="21"/>
          <w:szCs w:val="21"/>
          <w:lang w:val="es-ES_tradnl" w:eastAsia="es-ES"/>
        </w:rPr>
        <w:t xml:space="preserve">Ahora bien, en cuanto a la oportunidad para expedir </w:t>
      </w:r>
      <w:r w:rsidRPr="00795A0A">
        <w:rPr>
          <w:rFonts w:ascii="Arial" w:hAnsi="Arial" w:cs="Arial"/>
          <w:bCs/>
          <w:color w:val="000000" w:themeColor="text1"/>
          <w:sz w:val="21"/>
          <w:szCs w:val="21"/>
          <w:lang w:val="es-ES_tradnl"/>
        </w:rPr>
        <w:t>el certificado de disponibilidad, tanto el EOP, en su art. 71, como el art. 25 de la Ley 80 de 1993, consagran que este certificado debe expedirse en forma previa a la expedición del acto administrativo que afecte la apropiación presupuestal, como pueden ser los actos expedidos al inicio del proceso de contratación</w:t>
      </w:r>
      <w:r>
        <w:rPr>
          <w:rFonts w:ascii="Arial" w:hAnsi="Arial" w:cs="Arial"/>
          <w:bCs/>
          <w:color w:val="000000" w:themeColor="text1"/>
          <w:sz w:val="21"/>
          <w:szCs w:val="21"/>
          <w:lang w:val="es-ES_tradnl"/>
        </w:rPr>
        <w:t>»</w:t>
      </w:r>
      <w:r w:rsidRPr="00795A0A">
        <w:rPr>
          <w:rStyle w:val="Refdenotaalpie"/>
          <w:rFonts w:ascii="Arial" w:hAnsi="Arial" w:cs="Arial"/>
          <w:bCs/>
          <w:color w:val="000000" w:themeColor="text1"/>
          <w:sz w:val="21"/>
          <w:szCs w:val="21"/>
          <w:lang w:val="es-ES_tradnl"/>
        </w:rPr>
        <w:footnoteReference w:id="17"/>
      </w:r>
      <w:r w:rsidRPr="00795A0A">
        <w:rPr>
          <w:rFonts w:ascii="Arial" w:hAnsi="Arial" w:cs="Arial"/>
          <w:bCs/>
          <w:color w:val="000000" w:themeColor="text1"/>
          <w:sz w:val="21"/>
          <w:szCs w:val="21"/>
          <w:lang w:val="es-ES_tradnl"/>
        </w:rPr>
        <w:t>.</w:t>
      </w:r>
    </w:p>
    <w:p w14:paraId="6D602B05" w14:textId="77777777" w:rsidR="00555D1F" w:rsidRPr="00795A0A" w:rsidRDefault="00555D1F" w:rsidP="00555D1F">
      <w:pPr>
        <w:autoSpaceDE w:val="0"/>
        <w:autoSpaceDN w:val="0"/>
        <w:adjustRightInd w:val="0"/>
        <w:spacing w:after="120" w:line="276" w:lineRule="auto"/>
        <w:ind w:firstLine="709"/>
        <w:jc w:val="both"/>
        <w:rPr>
          <w:rFonts w:ascii="Arial" w:eastAsia="MS Mincho" w:hAnsi="Arial" w:cs="Arial"/>
          <w:color w:val="000000" w:themeColor="text1"/>
          <w:lang w:val="es-ES_tradnl" w:eastAsia="es-ES"/>
        </w:rPr>
      </w:pPr>
      <w:r w:rsidRPr="00795A0A">
        <w:rPr>
          <w:rFonts w:ascii="Arial" w:hAnsi="Arial" w:cs="Arial"/>
          <w:color w:val="000000" w:themeColor="text1"/>
          <w:lang w:val="es-ES_tradnl" w:eastAsia="es-ES"/>
        </w:rPr>
        <w:t>Es importante recordar que la regla transcrita fue originalmente contemplada por el derogado art</w:t>
      </w:r>
      <w:r>
        <w:rPr>
          <w:rFonts w:ascii="Arial" w:hAnsi="Arial" w:cs="Arial"/>
          <w:color w:val="000000" w:themeColor="text1"/>
          <w:lang w:val="es-ES_tradnl" w:eastAsia="es-ES"/>
        </w:rPr>
        <w:t>ículo</w:t>
      </w:r>
      <w:r w:rsidRPr="00795A0A">
        <w:rPr>
          <w:rFonts w:ascii="Arial" w:hAnsi="Arial" w:cs="Arial"/>
          <w:color w:val="000000" w:themeColor="text1"/>
          <w:lang w:val="es-ES_tradnl" w:eastAsia="es-ES"/>
        </w:rPr>
        <w:t xml:space="preserve"> 13, numeral 4 de la Ley 80 de 1993</w:t>
      </w:r>
      <w:r w:rsidRPr="00795A0A">
        <w:rPr>
          <w:rStyle w:val="Refdenotaalpie"/>
          <w:rFonts w:ascii="Arial" w:hAnsi="Arial" w:cs="Arial"/>
          <w:color w:val="000000" w:themeColor="text1"/>
          <w:lang w:val="es-ES_tradnl" w:eastAsia="es-ES"/>
        </w:rPr>
        <w:footnoteReference w:id="18"/>
      </w:r>
      <w:r w:rsidRPr="00795A0A">
        <w:rPr>
          <w:rFonts w:ascii="Arial" w:hAnsi="Arial" w:cs="Arial"/>
          <w:color w:val="000000" w:themeColor="text1"/>
          <w:lang w:val="es-ES_tradnl" w:eastAsia="es-ES"/>
        </w:rPr>
        <w:t>, el cual fue objeto de análisis por parte de la Corte Constitucional en la sentencia C-249 de 2004</w:t>
      </w:r>
      <w:r>
        <w:rPr>
          <w:rFonts w:ascii="Arial" w:hAnsi="Arial" w:cs="Arial"/>
          <w:color w:val="000000" w:themeColor="text1"/>
          <w:lang w:val="es-ES_tradnl" w:eastAsia="es-ES"/>
        </w:rPr>
        <w:t>. En esta decisión judicial, el alto tribunal</w:t>
      </w:r>
      <w:r w:rsidRPr="00795A0A">
        <w:rPr>
          <w:rFonts w:ascii="Arial" w:hAnsi="Arial" w:cs="Arial"/>
          <w:color w:val="000000" w:themeColor="text1"/>
          <w:lang w:val="es-ES_tradnl" w:eastAsia="es-ES"/>
        </w:rPr>
        <w:t xml:space="preserve"> </w:t>
      </w:r>
      <w:r w:rsidRPr="00795A0A">
        <w:rPr>
          <w:rFonts w:ascii="Arial" w:eastAsia="MS Mincho" w:hAnsi="Arial" w:cs="Arial"/>
          <w:color w:val="000000" w:themeColor="text1"/>
          <w:lang w:val="es-ES_tradnl" w:eastAsia="es-ES"/>
        </w:rPr>
        <w:t>enfatizó que este precepto s</w:t>
      </w:r>
      <w:r>
        <w:rPr>
          <w:rFonts w:ascii="Arial" w:eastAsia="MS Mincho" w:hAnsi="Arial" w:cs="Arial"/>
          <w:color w:val="000000" w:themeColor="text1"/>
          <w:lang w:val="es-ES_tradnl" w:eastAsia="es-ES"/>
        </w:rPr>
        <w:t>o</w:t>
      </w:r>
      <w:r w:rsidRPr="00795A0A">
        <w:rPr>
          <w:rFonts w:ascii="Arial" w:eastAsia="MS Mincho" w:hAnsi="Arial" w:cs="Arial"/>
          <w:color w:val="000000" w:themeColor="text1"/>
          <w:lang w:val="es-ES_tradnl" w:eastAsia="es-ES"/>
        </w:rPr>
        <w:t xml:space="preserve">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1D5F5B80" w14:textId="262512F4" w:rsidR="00555D1F" w:rsidRPr="00795A0A"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En estos términos la regla de interpretación que fijó la Corte Constitucional en la Sentencia en </w:t>
      </w:r>
      <w:r w:rsidR="001F228D" w:rsidRPr="00795A0A">
        <w:rPr>
          <w:rFonts w:ascii="Arial" w:hAnsi="Arial" w:cs="Arial"/>
          <w:color w:val="000000" w:themeColor="text1"/>
          <w:lang w:val="es-ES_tradnl"/>
        </w:rPr>
        <w:t>comento</w:t>
      </w:r>
      <w:r w:rsidRPr="00795A0A">
        <w:rPr>
          <w:rFonts w:ascii="Arial" w:hAnsi="Arial" w:cs="Arial"/>
          <w:color w:val="000000" w:themeColor="text1"/>
          <w:lang w:val="es-ES_tradnl"/>
        </w:rPr>
        <w:t xml:space="preserve"> es clara, al señalar que siempre que se esté en presencia de contratos que se financian con recursos que provengan del organismo internacional, es viable optar por la aplicación de los reglamentos de tales entidades internacionales. </w:t>
      </w:r>
      <w:r w:rsidRPr="00795A0A">
        <w:rPr>
          <w:rFonts w:ascii="Arial" w:hAnsi="Arial" w:cs="Arial"/>
          <w:i/>
          <w:iCs/>
          <w:color w:val="000000" w:themeColor="text1"/>
          <w:lang w:val="es-ES_tradnl"/>
        </w:rPr>
        <w:t>Contrario sensu</w:t>
      </w:r>
      <w:r w:rsidRPr="00795A0A">
        <w:rPr>
          <w:rFonts w:ascii="Arial" w:hAnsi="Arial" w:cs="Arial"/>
          <w:color w:val="000000" w:themeColor="text1"/>
          <w:lang w:val="es-ES_tradnl"/>
        </w:rPr>
        <w:t>, cuando se trate de contratos que se financian con recursos del presupuesto general de la nación, se deberá aplicar el Estatuto General de Contratación Pública.</w:t>
      </w:r>
    </w:p>
    <w:p w14:paraId="6E45FA90" w14:textId="77777777" w:rsidR="00555D1F" w:rsidRPr="006171F7" w:rsidRDefault="00555D1F" w:rsidP="00555D1F">
      <w:pPr>
        <w:spacing w:before="120" w:after="120" w:line="276" w:lineRule="auto"/>
        <w:ind w:firstLine="709"/>
        <w:jc w:val="both"/>
        <w:rPr>
          <w:rFonts w:ascii="Arial" w:hAnsi="Arial" w:cs="Arial"/>
          <w:color w:val="000000" w:themeColor="text1"/>
          <w:lang w:val="es-ES_tradnl"/>
        </w:rPr>
      </w:pPr>
      <w:r w:rsidRPr="00795A0A">
        <w:rPr>
          <w:rFonts w:ascii="Arial" w:hAnsi="Arial" w:cs="Arial"/>
          <w:color w:val="000000" w:themeColor="text1"/>
          <w:lang w:val="es-ES_tradnl"/>
        </w:rPr>
        <w:t xml:space="preserve">De conformidad con lo expuesto, se concluye que los contratos o convenios que son financiados en su totalidad o en sumas iguales o superiores al cincuenta por ciento con fondos de los organismos de cooperación, asistencia o ayudas internacionales, pueden someterse a los reglamentos de tales entidades y en consecuencia sustraerse de la aplicación del Estatuto General de Contratación. </w:t>
      </w:r>
      <w:r>
        <w:rPr>
          <w:rFonts w:ascii="Arial" w:hAnsi="Arial" w:cs="Arial"/>
          <w:color w:val="000000" w:themeColor="text1"/>
          <w:lang w:val="es-ES_tradnl"/>
        </w:rPr>
        <w:t>Además</w:t>
      </w:r>
      <w:r w:rsidRPr="00795A0A">
        <w:rPr>
          <w:rFonts w:ascii="Arial" w:hAnsi="Arial" w:cs="Arial"/>
          <w:color w:val="000000" w:themeColor="text1"/>
          <w:lang w:val="es-ES_tradnl"/>
        </w:rPr>
        <w:t>, es importante destacar que la posibilidad de inaplicar las normas nacionales de contratación pública a los contratos financiados con recursos provenientes de organismos multilaterales de crédito es de naturaleza excepcional y, por tanto, de aplicación restrictiva.</w:t>
      </w:r>
    </w:p>
    <w:p w14:paraId="0DAA67F1" w14:textId="77777777" w:rsidR="00555D1F" w:rsidRPr="005668FC" w:rsidRDefault="00555D1F" w:rsidP="00555D1F">
      <w:pPr>
        <w:spacing w:after="120" w:line="276" w:lineRule="auto"/>
        <w:jc w:val="both"/>
        <w:rPr>
          <w:rFonts w:ascii="Arial" w:hAnsi="Arial" w:cs="Arial"/>
          <w:b/>
          <w:bCs/>
        </w:rPr>
      </w:pPr>
      <w:r>
        <w:rPr>
          <w:rFonts w:ascii="Arial" w:hAnsi="Arial" w:cs="Arial"/>
          <w:b/>
          <w:bCs/>
        </w:rPr>
        <w:t xml:space="preserve">2.3. </w:t>
      </w:r>
      <w:r w:rsidRPr="005668FC">
        <w:rPr>
          <w:rFonts w:ascii="Arial" w:hAnsi="Arial" w:cs="Arial"/>
          <w:b/>
          <w:bCs/>
        </w:rPr>
        <w:t>Alcance de la reglamentación del artículo 2.2.8.3.4. del Decreto 603 de 2022</w:t>
      </w:r>
    </w:p>
    <w:p w14:paraId="5D624551" w14:textId="77777777" w:rsidR="00555D1F" w:rsidRPr="005668FC" w:rsidRDefault="00555D1F" w:rsidP="00555D1F">
      <w:pPr>
        <w:spacing w:after="120" w:line="276" w:lineRule="auto"/>
        <w:jc w:val="both"/>
        <w:rPr>
          <w:rStyle w:val="Textoennegrita"/>
          <w:rFonts w:ascii="Arial" w:hAnsi="Arial" w:cs="Arial"/>
          <w:b w:val="0"/>
          <w:bCs w:val="0"/>
          <w:color w:val="333333"/>
          <w:shd w:val="clear" w:color="auto" w:fill="FFFFFF"/>
        </w:rPr>
      </w:pPr>
      <w:r w:rsidRPr="005668FC">
        <w:rPr>
          <w:rFonts w:ascii="Arial" w:hAnsi="Arial" w:cs="Arial"/>
        </w:rPr>
        <w:t xml:space="preserve">Mediante el Decreto 603 de </w:t>
      </w:r>
      <w:r w:rsidRPr="001241D7">
        <w:rPr>
          <w:rFonts w:ascii="Arial" w:hAnsi="Arial" w:cs="Arial"/>
        </w:rPr>
        <w:t>2022</w:t>
      </w:r>
      <w:r w:rsidRPr="001241D7">
        <w:rPr>
          <w:rFonts w:ascii="Arial" w:hAnsi="Arial" w:cs="Arial"/>
          <w:b/>
          <w:bCs/>
        </w:rPr>
        <w:t xml:space="preserve"> </w:t>
      </w:r>
      <w:r w:rsidRPr="003456F6">
        <w:rPr>
          <w:rFonts w:ascii="Arial" w:eastAsia="Calibri" w:hAnsi="Arial" w:cs="Arial"/>
          <w:b/>
          <w:bCs/>
          <w:sz w:val="21"/>
          <w:szCs w:val="21"/>
          <w:lang w:val="es-ES_tradnl" w:eastAsia="es-CO"/>
        </w:rPr>
        <w:t>«</w:t>
      </w:r>
      <w:r w:rsidRPr="003456F6">
        <w:rPr>
          <w:rStyle w:val="Textoennegrita"/>
          <w:rFonts w:ascii="Arial" w:hAnsi="Arial" w:cs="Arial"/>
          <w:b w:val="0"/>
          <w:bCs w:val="0"/>
          <w:i/>
          <w:iCs/>
          <w:color w:val="333333"/>
          <w:shd w:val="clear" w:color="auto" w:fill="FFFFFF"/>
        </w:rPr>
        <w:t xml:space="preserve">Por medio del cual se adiciona el Título 8 en la Parte 2 del Libro 2 del Decreto 1067 de 2015, Único Reglamentario del Sector Administrativo de Relaciones Exteriores, para crear el Sistema Nacional de Cooperación Internacional de </w:t>
      </w:r>
      <w:r w:rsidRPr="003456F6">
        <w:rPr>
          <w:rStyle w:val="Textoennegrita"/>
          <w:rFonts w:ascii="Arial" w:hAnsi="Arial" w:cs="Arial"/>
          <w:b w:val="0"/>
          <w:bCs w:val="0"/>
          <w:i/>
          <w:iCs/>
          <w:color w:val="333333"/>
          <w:shd w:val="clear" w:color="auto" w:fill="FFFFFF"/>
        </w:rPr>
        <w:lastRenderedPageBreak/>
        <w:t xml:space="preserve">Colombia y se dictan disposiciones relacionadas con el desarrollo del mismo», </w:t>
      </w:r>
      <w:r w:rsidRPr="003456F6">
        <w:rPr>
          <w:rStyle w:val="Textoennegrita"/>
          <w:rFonts w:ascii="Arial" w:hAnsi="Arial" w:cs="Arial"/>
          <w:b w:val="0"/>
          <w:bCs w:val="0"/>
          <w:color w:val="333333"/>
          <w:shd w:val="clear" w:color="auto" w:fill="FFFFFF"/>
        </w:rPr>
        <w:t>estableció algunos lineamientos para la cooperación internacional en Colombia, determinando en sus artículos 2.2.8.3.1. a 2.2.8.3.5, el  objetivo (artículo 2.2.8.3.1), naturaleza (2.2.8.3.2), efectividad (2.2.8.3.3.) y participación de socios (artículo 2.2.8.3.4) y destinación (artículos  2.2.8.3.5). En lo que se refiere a la participación de los socios, estableció lo siguiente:</w:t>
      </w:r>
      <w:r w:rsidRPr="005668FC">
        <w:rPr>
          <w:rStyle w:val="Textoennegrita"/>
          <w:rFonts w:ascii="Arial" w:hAnsi="Arial" w:cs="Arial"/>
          <w:color w:val="333333"/>
          <w:shd w:val="clear" w:color="auto" w:fill="FFFFFF"/>
        </w:rPr>
        <w:t xml:space="preserve"> </w:t>
      </w:r>
    </w:p>
    <w:p w14:paraId="1E0A1A2E" w14:textId="77777777" w:rsidR="00555D1F" w:rsidRPr="005668FC" w:rsidRDefault="00555D1F" w:rsidP="00555D1F">
      <w:pPr>
        <w:shd w:val="clear" w:color="auto" w:fill="FFFFFF"/>
        <w:spacing w:after="100" w:afterAutospacing="1" w:line="240" w:lineRule="auto"/>
        <w:ind w:left="709" w:right="709"/>
        <w:jc w:val="both"/>
        <w:rPr>
          <w:rFonts w:ascii="Arial" w:hAnsi="Arial" w:cs="Arial"/>
          <w:sz w:val="21"/>
          <w:szCs w:val="21"/>
        </w:rPr>
      </w:pPr>
      <w:r>
        <w:rPr>
          <w:rStyle w:val="Textoennegrita"/>
          <w:rFonts w:ascii="Arial" w:hAnsi="Arial" w:cs="Arial"/>
          <w:sz w:val="21"/>
          <w:szCs w:val="21"/>
        </w:rPr>
        <w:t>«</w:t>
      </w:r>
      <w:r w:rsidRPr="007409A7">
        <w:rPr>
          <w:rStyle w:val="Textoennegrita"/>
          <w:rFonts w:ascii="Arial" w:hAnsi="Arial" w:cs="Arial"/>
          <w:sz w:val="21"/>
          <w:szCs w:val="21"/>
        </w:rPr>
        <w:t>Artículo </w:t>
      </w:r>
      <w:hyperlink r:id="rId13" w:anchor="2.2.8.3.4" w:history="1">
        <w:r w:rsidRPr="0026331D">
          <w:rPr>
            <w:rStyle w:val="Hipervnculo"/>
            <w:rFonts w:ascii="Arial" w:hAnsi="Arial" w:cs="Arial"/>
            <w:sz w:val="21"/>
            <w:szCs w:val="21"/>
          </w:rPr>
          <w:t>2.2.8.3.4</w:t>
        </w:r>
      </w:hyperlink>
      <w:r w:rsidRPr="007409A7">
        <w:rPr>
          <w:rStyle w:val="Textoennegrita"/>
          <w:rFonts w:ascii="Arial" w:hAnsi="Arial" w:cs="Arial"/>
          <w:sz w:val="21"/>
          <w:szCs w:val="21"/>
        </w:rPr>
        <w:t xml:space="preserve">. </w:t>
      </w:r>
      <w:r w:rsidRPr="005668FC">
        <w:rPr>
          <w:rStyle w:val="Textoennegrita"/>
          <w:rFonts w:ascii="Arial" w:hAnsi="Arial" w:cs="Arial"/>
          <w:sz w:val="21"/>
          <w:szCs w:val="21"/>
        </w:rPr>
        <w:t>Participación de los Socios de la cooperación Internacional.</w:t>
      </w:r>
      <w:r w:rsidRPr="005668FC">
        <w:rPr>
          <w:rFonts w:ascii="Arial" w:hAnsi="Arial" w:cs="Arial"/>
          <w:sz w:val="21"/>
          <w:szCs w:val="21"/>
        </w:rPr>
        <w:t xml:space="preserve"> Todo proyecto, programa y/o iniciativa de cooperación internacional que sea implementada por un socio de cooperación internacional y que involucre recursos del Presupuesto General de la Nación, debe tener una contrapartida de </w:t>
      </w:r>
      <w:r w:rsidRPr="0026331D">
        <w:rPr>
          <w:rFonts w:ascii="Arial" w:hAnsi="Arial" w:cs="Arial"/>
          <w:i/>
          <w:iCs/>
          <w:sz w:val="21"/>
          <w:szCs w:val="21"/>
          <w:u w:val="single"/>
        </w:rPr>
        <w:t>recursos</w:t>
      </w:r>
      <w:r w:rsidRPr="005668FC">
        <w:rPr>
          <w:rFonts w:ascii="Arial" w:hAnsi="Arial" w:cs="Arial"/>
          <w:sz w:val="21"/>
          <w:szCs w:val="21"/>
          <w:u w:val="single"/>
        </w:rPr>
        <w:t xml:space="preserve"> </w:t>
      </w:r>
      <w:r w:rsidRPr="0026331D">
        <w:rPr>
          <w:rFonts w:ascii="Arial" w:hAnsi="Arial" w:cs="Arial"/>
          <w:i/>
          <w:iCs/>
          <w:sz w:val="21"/>
          <w:szCs w:val="21"/>
          <w:u w:val="single"/>
        </w:rPr>
        <w:t>financieros</w:t>
      </w:r>
      <w:r w:rsidRPr="005668FC">
        <w:rPr>
          <w:rFonts w:ascii="Arial" w:hAnsi="Arial" w:cs="Arial"/>
          <w:sz w:val="21"/>
          <w:szCs w:val="21"/>
        </w:rPr>
        <w:t xml:space="preserve"> mínimo del 30%, del socio de cooperación internacional.</w:t>
      </w:r>
    </w:p>
    <w:p w14:paraId="049B23D1" w14:textId="77777777" w:rsidR="00555D1F" w:rsidRDefault="00555D1F" w:rsidP="00555D1F">
      <w:pPr>
        <w:shd w:val="clear" w:color="auto" w:fill="FFFFFF"/>
        <w:spacing w:after="0" w:line="240" w:lineRule="auto"/>
        <w:ind w:left="709" w:right="709"/>
        <w:jc w:val="both"/>
        <w:rPr>
          <w:rStyle w:val="Textoennegrita"/>
          <w:rFonts w:ascii="Arial" w:hAnsi="Arial" w:cs="Arial"/>
          <w:b w:val="0"/>
          <w:bCs w:val="0"/>
          <w:sz w:val="21"/>
          <w:szCs w:val="21"/>
        </w:rPr>
      </w:pPr>
      <w:r w:rsidRPr="005668FC">
        <w:rPr>
          <w:rStyle w:val="Textoennegrita"/>
          <w:rFonts w:ascii="Arial" w:hAnsi="Arial" w:cs="Arial"/>
          <w:sz w:val="21"/>
          <w:szCs w:val="21"/>
        </w:rPr>
        <w:t>Parágrafo. </w:t>
      </w:r>
      <w:r w:rsidRPr="005668FC">
        <w:rPr>
          <w:rFonts w:ascii="Arial" w:hAnsi="Arial" w:cs="Arial"/>
          <w:sz w:val="21"/>
          <w:szCs w:val="21"/>
        </w:rPr>
        <w:t>Cuando más del 40% del financiamiento proviene del Presupuesto Nacional, el Socio de Cooperación internacional debe presentar estados financieros detallados o documento equivalente, a la entidad nacional o territorial líder del proyecto</w:t>
      </w:r>
      <w:r>
        <w:rPr>
          <w:rFonts w:ascii="Arial" w:hAnsi="Arial" w:cs="Arial"/>
          <w:sz w:val="21"/>
          <w:szCs w:val="21"/>
        </w:rPr>
        <w:t>»</w:t>
      </w:r>
      <w:r>
        <w:rPr>
          <w:rStyle w:val="Textoennegrita"/>
          <w:rFonts w:ascii="Arial" w:hAnsi="Arial" w:cs="Arial"/>
          <w:sz w:val="21"/>
          <w:szCs w:val="21"/>
        </w:rPr>
        <w:t xml:space="preserve"> </w:t>
      </w:r>
      <w:r w:rsidRPr="005668FC">
        <w:rPr>
          <w:rStyle w:val="Textoennegrita"/>
          <w:rFonts w:ascii="Arial" w:hAnsi="Arial" w:cs="Arial"/>
          <w:sz w:val="21"/>
          <w:szCs w:val="21"/>
        </w:rPr>
        <w:t>(</w:t>
      </w:r>
      <w:r>
        <w:rPr>
          <w:rStyle w:val="Textoennegrita"/>
          <w:rFonts w:ascii="Arial" w:hAnsi="Arial" w:cs="Arial"/>
          <w:sz w:val="21"/>
          <w:szCs w:val="21"/>
        </w:rPr>
        <w:t xml:space="preserve">Énfasis </w:t>
      </w:r>
      <w:r w:rsidRPr="005668FC">
        <w:rPr>
          <w:rStyle w:val="Textoennegrita"/>
          <w:rFonts w:ascii="Arial" w:hAnsi="Arial" w:cs="Arial"/>
          <w:sz w:val="21"/>
          <w:szCs w:val="21"/>
        </w:rPr>
        <w:t xml:space="preserve">fuera del texto) </w:t>
      </w:r>
    </w:p>
    <w:p w14:paraId="4EB9B8E1" w14:textId="77777777" w:rsidR="00555D1F" w:rsidRPr="005668FC" w:rsidRDefault="00555D1F" w:rsidP="00555D1F">
      <w:pPr>
        <w:shd w:val="clear" w:color="auto" w:fill="FFFFFF"/>
        <w:spacing w:after="0" w:line="240" w:lineRule="auto"/>
        <w:ind w:left="709" w:right="709"/>
        <w:jc w:val="both"/>
        <w:rPr>
          <w:rStyle w:val="Textoennegrita"/>
          <w:rFonts w:ascii="Arial" w:hAnsi="Arial" w:cs="Arial"/>
          <w:b w:val="0"/>
          <w:bCs w:val="0"/>
          <w:sz w:val="21"/>
          <w:szCs w:val="21"/>
        </w:rPr>
      </w:pPr>
    </w:p>
    <w:p w14:paraId="45F6732B" w14:textId="0D78C519"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color w:val="333333"/>
          <w:shd w:val="clear" w:color="auto" w:fill="FFFFFF"/>
        </w:rPr>
      </w:pPr>
      <w:r w:rsidRPr="003456F6">
        <w:rPr>
          <w:rStyle w:val="Textoennegrita"/>
          <w:rFonts w:ascii="Arial" w:hAnsi="Arial" w:cs="Arial"/>
          <w:b w:val="0"/>
          <w:bCs w:val="0"/>
          <w:color w:val="333333"/>
          <w:shd w:val="clear" w:color="auto" w:fill="FFFFFF"/>
        </w:rPr>
        <w:t>La norma estableció los lineamientos para la ejecución de proyectos, programas o iniciativas</w:t>
      </w:r>
      <w:r w:rsidRPr="003456F6">
        <w:rPr>
          <w:rStyle w:val="Textoennegrita"/>
          <w:rFonts w:ascii="Arial" w:hAnsi="Arial" w:cs="Arial"/>
          <w:b w:val="0"/>
          <w:bCs w:val="0"/>
        </w:rPr>
        <w:t xml:space="preserve"> de cooperación internacional en los que se involucren recursos del Presupuesto General de la Nación, precisando que los socios de cooperación internacional que pretendan ejecutar dichos </w:t>
      </w:r>
      <w:r w:rsidRPr="003456F6">
        <w:rPr>
          <w:rStyle w:val="Textoennegrita"/>
          <w:rFonts w:ascii="Arial" w:hAnsi="Arial" w:cs="Arial"/>
          <w:b w:val="0"/>
          <w:bCs w:val="0"/>
          <w:color w:val="333333"/>
          <w:shd w:val="clear" w:color="auto" w:fill="FFFFFF"/>
        </w:rPr>
        <w:t xml:space="preserve">proyectos </w:t>
      </w:r>
      <w:r w:rsidR="003456F6" w:rsidRPr="003456F6">
        <w:rPr>
          <w:rStyle w:val="Textoennegrita"/>
          <w:rFonts w:ascii="Arial" w:hAnsi="Arial" w:cs="Arial"/>
          <w:b w:val="0"/>
          <w:bCs w:val="0"/>
          <w:color w:val="333333"/>
          <w:shd w:val="clear" w:color="auto" w:fill="FFFFFF"/>
        </w:rPr>
        <w:t>deben</w:t>
      </w:r>
      <w:r w:rsidRPr="003456F6">
        <w:rPr>
          <w:rStyle w:val="Textoennegrita"/>
          <w:rFonts w:ascii="Arial" w:hAnsi="Arial" w:cs="Arial"/>
          <w:b w:val="0"/>
          <w:bCs w:val="0"/>
          <w:color w:val="333333"/>
          <w:shd w:val="clear" w:color="auto" w:fill="FFFFFF"/>
        </w:rPr>
        <w:t xml:space="preserve"> aportar una contrapartida de mínimo el 30% de recursos financieros. De lo anterior entonces, se encuentra que esta norma reglamentó parcialmente el artículo 20 de la Ley 1150 de 2007, pero para su correcto entendimiento, es necesario determinar el alcance del concepto «recursos financieros».</w:t>
      </w:r>
    </w:p>
    <w:p w14:paraId="1AAD13E3" w14:textId="57DE8C69"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Frente al particular, es importante precisar que el Estatuto General de Contratación de la Administración Pública no definió el concepto </w:t>
      </w:r>
      <w:r w:rsidRPr="003456F6">
        <w:rPr>
          <w:rStyle w:val="Textoennegrita"/>
          <w:rFonts w:ascii="Arial" w:hAnsi="Arial" w:cs="Arial"/>
          <w:b w:val="0"/>
          <w:bCs w:val="0"/>
          <w:color w:val="333333"/>
          <w:shd w:val="clear" w:color="auto" w:fill="FFFFFF"/>
        </w:rPr>
        <w:t>«recursos financieros»</w:t>
      </w:r>
      <w:r w:rsidRPr="003456F6">
        <w:rPr>
          <w:rStyle w:val="Textoennegrita"/>
          <w:rFonts w:ascii="Arial" w:hAnsi="Arial" w:cs="Arial"/>
          <w:b w:val="0"/>
          <w:bCs w:val="0"/>
        </w:rPr>
        <w:t>, no obstante, el programa «Gerencia de recursos físicos y financieros»</w:t>
      </w:r>
      <w:r w:rsidRPr="003456F6">
        <w:rPr>
          <w:rStyle w:val="Textoennegrita"/>
          <w:rFonts w:ascii="Arial" w:hAnsi="Arial" w:cs="Arial"/>
          <w:b w:val="0"/>
          <w:bCs w:val="0"/>
          <w:vertAlign w:val="superscript"/>
        </w:rPr>
        <w:footnoteReference w:id="19"/>
      </w:r>
      <w:r w:rsidRPr="003456F6">
        <w:rPr>
          <w:rStyle w:val="Textoennegrita"/>
          <w:rFonts w:ascii="Arial" w:hAnsi="Arial" w:cs="Arial"/>
          <w:b w:val="0"/>
          <w:bCs w:val="0"/>
          <w:vertAlign w:val="superscript"/>
        </w:rPr>
        <w:t xml:space="preserve"> </w:t>
      </w:r>
      <w:r w:rsidRPr="003456F6">
        <w:rPr>
          <w:rStyle w:val="Textoennegrita"/>
          <w:rFonts w:ascii="Arial" w:hAnsi="Arial" w:cs="Arial"/>
          <w:b w:val="0"/>
          <w:bCs w:val="0"/>
        </w:rPr>
        <w:t xml:space="preserve">de la Escuela Superior de Administración Pública trae una aproximación a la definición de los recursos financieros del Estado, según el cual son «todos aquellos recursos económicos que le permiten al sector público desarrollar sus actividades. El estudio de las operaciones propias para la consecución y administración de dichos recursos corresponde a las Finanzas Públicas» y precisa que estos recursos se clasifican, a su vez, en ingresos corrientes, contribuciones parafiscales y recursos de capital. </w:t>
      </w:r>
    </w:p>
    <w:p w14:paraId="7CE0A814" w14:textId="5C4A310F"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Estas tres categorías, a diferencia de lo señalado en relación con la definición de recursos financieros, fueron definidas por el legislador. De un lado, los</w:t>
      </w:r>
      <w:r w:rsidRPr="003456F6">
        <w:rPr>
          <w:rStyle w:val="Textoennegrita"/>
          <w:rFonts w:ascii="Arial" w:hAnsi="Arial" w:cs="Arial"/>
          <w:b w:val="0"/>
          <w:bCs w:val="0"/>
          <w:i/>
          <w:iCs/>
        </w:rPr>
        <w:t xml:space="preserve"> ingresos corrientes</w:t>
      </w:r>
      <w:r w:rsidRPr="003456F6">
        <w:rPr>
          <w:rStyle w:val="Textoennegrita"/>
          <w:rFonts w:ascii="Arial" w:hAnsi="Arial" w:cs="Arial"/>
          <w:b w:val="0"/>
          <w:bCs w:val="0"/>
        </w:rPr>
        <w:t xml:space="preserve"> corresponden a los «ingresos que recaudan los establecimientos por bienes y servicios y </w:t>
      </w:r>
      <w:r w:rsidRPr="003456F6">
        <w:rPr>
          <w:rStyle w:val="Textoennegrita"/>
          <w:rFonts w:ascii="Arial" w:hAnsi="Arial" w:cs="Arial"/>
          <w:b w:val="0"/>
          <w:bCs w:val="0"/>
        </w:rPr>
        <w:lastRenderedPageBreak/>
        <w:t>los tributos que reciben por norma legal»</w:t>
      </w:r>
      <w:r w:rsidRPr="003456F6">
        <w:rPr>
          <w:rStyle w:val="Refdenotaalpie"/>
          <w:rFonts w:ascii="Arial" w:hAnsi="Arial" w:cs="Arial"/>
          <w:b/>
          <w:bCs/>
        </w:rPr>
        <w:footnoteReference w:id="20"/>
      </w:r>
      <w:r w:rsidRPr="003456F6">
        <w:rPr>
          <w:rStyle w:val="Textoennegrita"/>
          <w:rFonts w:ascii="Arial" w:hAnsi="Arial" w:cs="Arial"/>
          <w:b w:val="0"/>
          <w:bCs w:val="0"/>
        </w:rPr>
        <w:t xml:space="preserve">. El artículo 27 del Decreto 111 de 1996 señala que se </w:t>
      </w:r>
      <w:r w:rsidR="003456F6" w:rsidRPr="003456F6">
        <w:rPr>
          <w:rStyle w:val="Textoennegrita"/>
          <w:rFonts w:ascii="Arial" w:hAnsi="Arial" w:cs="Arial"/>
          <w:b w:val="0"/>
          <w:bCs w:val="0"/>
        </w:rPr>
        <w:t>clasifican</w:t>
      </w:r>
      <w:r w:rsidRPr="003456F6">
        <w:rPr>
          <w:rStyle w:val="Textoennegrita"/>
          <w:rFonts w:ascii="Arial" w:hAnsi="Arial" w:cs="Arial"/>
          <w:b w:val="0"/>
          <w:bCs w:val="0"/>
        </w:rPr>
        <w:t xml:space="preserve"> en ingresos tributarios y no tributarios. Entendiendo por tributarios los impuestos y por no tributarios las tasas y multas</w:t>
      </w:r>
      <w:r w:rsidRPr="003456F6">
        <w:rPr>
          <w:rStyle w:val="Refdenotaalpie"/>
          <w:rFonts w:ascii="Arial" w:hAnsi="Arial" w:cs="Arial"/>
          <w:b/>
          <w:bCs/>
        </w:rPr>
        <w:footnoteReference w:id="21"/>
      </w:r>
      <w:r w:rsidRPr="003456F6">
        <w:rPr>
          <w:rStyle w:val="Textoennegrita"/>
          <w:rFonts w:ascii="Arial" w:hAnsi="Arial" w:cs="Arial"/>
          <w:b w:val="0"/>
          <w:bCs w:val="0"/>
        </w:rPr>
        <w:t xml:space="preserve">. </w:t>
      </w:r>
    </w:p>
    <w:p w14:paraId="519D0572" w14:textId="77777777"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 Por su parte, las </w:t>
      </w:r>
      <w:r w:rsidRPr="003456F6">
        <w:rPr>
          <w:rStyle w:val="Textoennegrita"/>
          <w:rFonts w:ascii="Arial" w:hAnsi="Arial" w:cs="Arial"/>
          <w:b w:val="0"/>
          <w:bCs w:val="0"/>
          <w:i/>
          <w:iCs/>
        </w:rPr>
        <w:t>contribuciones parafiscales</w:t>
      </w:r>
      <w:r w:rsidRPr="003456F6">
        <w:rPr>
          <w:rStyle w:val="Textoennegrita"/>
          <w:rFonts w:ascii="Arial" w:hAnsi="Arial" w:cs="Arial"/>
          <w:b w:val="0"/>
          <w:bCs w:val="0"/>
        </w:rPr>
        <w:t xml:space="preserve"> son «una institución intermedia entre la tasa administrativa y el impuesto. Se trata de pagos que deben hacer los usuarios de ciertos organismos públicos o semipúblicos para asegurar el financiamiento de estas entidades de manera autónoma»</w:t>
      </w:r>
      <w:r w:rsidRPr="003456F6">
        <w:rPr>
          <w:rStyle w:val="Refdenotaalpie"/>
          <w:rFonts w:ascii="Arial" w:hAnsi="Arial" w:cs="Arial"/>
          <w:b/>
          <w:bCs/>
        </w:rPr>
        <w:footnoteReference w:id="22"/>
      </w:r>
      <w:r w:rsidRPr="003456F6">
        <w:rPr>
          <w:rStyle w:val="Textoennegrita"/>
          <w:rFonts w:ascii="Arial" w:hAnsi="Arial" w:cs="Arial"/>
          <w:b w:val="0"/>
          <w:bCs w:val="0"/>
        </w:rPr>
        <w:t>. El artículo 28 del Decreto 111 de 1996, las define como los gravámenes obligatorios definidos en la Ley, utilizados para beneficio de un sector específico que afectan al grupo social y económico del referido sector</w:t>
      </w:r>
      <w:r w:rsidRPr="003456F6">
        <w:rPr>
          <w:rStyle w:val="Refdenotaalpie"/>
          <w:rFonts w:ascii="Arial" w:hAnsi="Arial" w:cs="Arial"/>
          <w:b/>
          <w:bCs/>
        </w:rPr>
        <w:footnoteReference w:id="23"/>
      </w:r>
      <w:r w:rsidRPr="003456F6">
        <w:rPr>
          <w:rStyle w:val="Textoennegrita"/>
          <w:rFonts w:ascii="Arial" w:hAnsi="Arial" w:cs="Arial"/>
          <w:b w:val="0"/>
          <w:bCs w:val="0"/>
        </w:rPr>
        <w:t>.</w:t>
      </w:r>
    </w:p>
    <w:p w14:paraId="0FE6BBC3" w14:textId="77777777"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Los </w:t>
      </w:r>
      <w:r w:rsidRPr="003456F6">
        <w:rPr>
          <w:rStyle w:val="Textoennegrita"/>
          <w:rFonts w:ascii="Arial" w:hAnsi="Arial" w:cs="Arial"/>
          <w:b w:val="0"/>
          <w:bCs w:val="0"/>
          <w:i/>
          <w:iCs/>
        </w:rPr>
        <w:t xml:space="preserve">recursos de capital </w:t>
      </w:r>
      <w:r w:rsidRPr="003456F6">
        <w:rPr>
          <w:rStyle w:val="Textoennegrita"/>
          <w:rFonts w:ascii="Arial" w:hAnsi="Arial" w:cs="Arial"/>
          <w:b w:val="0"/>
          <w:bCs w:val="0"/>
        </w:rPr>
        <w:t>son «los recursos que se obtienen del crédito interno, del crédito externo, los que se generan como recursos del balance, los rendimientos financieros, las donaciones y otros recursos esporádicos»</w:t>
      </w:r>
      <w:r w:rsidRPr="003456F6">
        <w:rPr>
          <w:rStyle w:val="Refdenotaalpie"/>
          <w:rFonts w:ascii="Arial" w:hAnsi="Arial" w:cs="Arial"/>
          <w:b/>
          <w:bCs/>
        </w:rPr>
        <w:footnoteReference w:id="24"/>
      </w:r>
      <w:r w:rsidRPr="003456F6">
        <w:rPr>
          <w:rStyle w:val="Textoennegrita"/>
          <w:rFonts w:ascii="Arial" w:hAnsi="Arial" w:cs="Arial"/>
          <w:b w:val="0"/>
          <w:bCs w:val="0"/>
        </w:rPr>
        <w:t>. El artículo 31 del referido Decreto señala que comprenden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externo y de las inversiones en moneda extranjera, las donaciones, el excedente financiero de los establecimientos públicos del orden nacional y de las empresas industriales y comerciales del Estado del orden nacional, y de las sociedades de economía mixta con el régimen de aquéllas, sin perjuicio de la autonomía que la Constitución y la ley les otorga, y las utilidades del Banco de la República, descontadas las reservas de estabilización cambiaria y monetaria»</w:t>
      </w:r>
      <w:r w:rsidRPr="003456F6">
        <w:rPr>
          <w:rStyle w:val="Refdenotaalpie"/>
          <w:rFonts w:ascii="Arial" w:hAnsi="Arial" w:cs="Arial"/>
          <w:b/>
          <w:bCs/>
        </w:rPr>
        <w:footnoteReference w:id="25"/>
      </w:r>
      <w:r w:rsidRPr="003456F6">
        <w:rPr>
          <w:rStyle w:val="Textoennegrita"/>
          <w:rFonts w:ascii="Arial" w:hAnsi="Arial" w:cs="Arial"/>
          <w:b w:val="0"/>
          <w:bCs w:val="0"/>
        </w:rPr>
        <w:t>.</w:t>
      </w:r>
    </w:p>
    <w:p w14:paraId="21BDD70C" w14:textId="77777777"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lastRenderedPageBreak/>
        <w:t xml:space="preserve">Además, el Estatuto Orgánico del Presupuesto preceptuó que las tipologías referidas componen el presupuesto de rentas del presupuesto general de la Nación, en los términos que se expresan a continuación:  </w:t>
      </w:r>
    </w:p>
    <w:p w14:paraId="0AEFAB79" w14:textId="77777777" w:rsidR="00555D1F" w:rsidRPr="005668FC" w:rsidRDefault="00555D1F" w:rsidP="00555D1F">
      <w:pPr>
        <w:shd w:val="clear" w:color="auto" w:fill="FFFFFF"/>
        <w:spacing w:after="120" w:line="240" w:lineRule="auto"/>
        <w:ind w:left="709" w:right="709"/>
        <w:jc w:val="both"/>
        <w:rPr>
          <w:rFonts w:ascii="Arial" w:hAnsi="Arial" w:cs="Arial"/>
          <w:sz w:val="21"/>
          <w:szCs w:val="21"/>
        </w:rPr>
      </w:pPr>
      <w:r>
        <w:rPr>
          <w:rStyle w:val="Textoennegrita"/>
          <w:rFonts w:ascii="Arial" w:hAnsi="Arial" w:cs="Arial"/>
          <w:color w:val="333333"/>
          <w:sz w:val="21"/>
          <w:szCs w:val="21"/>
        </w:rPr>
        <w:t>«</w:t>
      </w:r>
      <w:r w:rsidRPr="005668FC">
        <w:rPr>
          <w:rStyle w:val="Textoennegrita"/>
          <w:rFonts w:ascii="Arial" w:hAnsi="Arial" w:cs="Arial"/>
          <w:color w:val="333333"/>
          <w:sz w:val="21"/>
          <w:szCs w:val="21"/>
        </w:rPr>
        <w:t>Artículo 11.</w:t>
      </w:r>
      <w:r w:rsidRPr="005668FC">
        <w:rPr>
          <w:rFonts w:ascii="Arial" w:hAnsi="Arial" w:cs="Arial"/>
          <w:color w:val="333333"/>
          <w:sz w:val="21"/>
          <w:szCs w:val="21"/>
        </w:rPr>
        <w:t> El presupuesto general de la Nación se compone de las siguientes partes:</w:t>
      </w:r>
    </w:p>
    <w:p w14:paraId="2791F8B5" w14:textId="77777777" w:rsidR="00555D1F" w:rsidRPr="005668FC" w:rsidRDefault="00555D1F" w:rsidP="00555D1F">
      <w:pPr>
        <w:pStyle w:val="NormalWeb"/>
        <w:shd w:val="clear" w:color="auto" w:fill="FFFFFF"/>
        <w:spacing w:before="0" w:beforeAutospacing="0" w:after="120" w:afterAutospacing="0"/>
        <w:ind w:left="709" w:right="709"/>
        <w:jc w:val="both"/>
        <w:rPr>
          <w:rFonts w:ascii="Arial" w:hAnsi="Arial" w:cs="Arial"/>
          <w:color w:val="333333"/>
          <w:sz w:val="21"/>
          <w:szCs w:val="21"/>
        </w:rPr>
      </w:pPr>
      <w:r w:rsidRPr="005668FC">
        <w:rPr>
          <w:rFonts w:ascii="Arial" w:hAnsi="Arial" w:cs="Arial"/>
          <w:color w:val="333333"/>
          <w:sz w:val="21"/>
          <w:szCs w:val="21"/>
        </w:rPr>
        <w:t>a) El presupuesto de rentas contendrá la estimación de los ingresos corrientes de la Nación; de las contribuciones parafiscales cuando sean administradas por un órgano que haga parte del presupuesto, de los fondos especiales, los recursos de capital y los ingresos de los establecimientos públicos del orden nacional</w:t>
      </w:r>
      <w:r>
        <w:rPr>
          <w:rFonts w:ascii="Arial" w:hAnsi="Arial" w:cs="Arial"/>
          <w:color w:val="333333"/>
          <w:sz w:val="21"/>
          <w:szCs w:val="21"/>
        </w:rPr>
        <w:t>»</w:t>
      </w:r>
      <w:r w:rsidRPr="005668FC">
        <w:rPr>
          <w:rFonts w:ascii="Arial" w:hAnsi="Arial" w:cs="Arial"/>
          <w:color w:val="333333"/>
          <w:sz w:val="21"/>
          <w:szCs w:val="21"/>
        </w:rPr>
        <w:t xml:space="preserve">. </w:t>
      </w:r>
    </w:p>
    <w:p w14:paraId="25FEF0A0" w14:textId="492D379A"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De las aproximaciones conceptuales anteriores, se encuentra que los ingresos corrientes, contribuciones parafiscales y recursos de capital hacen parte del presupuesto de rentas del presupuesto general de la nación, </w:t>
      </w:r>
      <w:r w:rsidR="00557AE7" w:rsidRPr="003456F6">
        <w:rPr>
          <w:rStyle w:val="Textoennegrita"/>
          <w:rFonts w:ascii="Arial" w:hAnsi="Arial" w:cs="Arial"/>
          <w:b w:val="0"/>
          <w:bCs w:val="0"/>
        </w:rPr>
        <w:t>y,</w:t>
      </w:r>
      <w:r w:rsidRPr="003456F6">
        <w:rPr>
          <w:rStyle w:val="Textoennegrita"/>
          <w:rFonts w:ascii="Arial" w:hAnsi="Arial" w:cs="Arial"/>
          <w:b w:val="0"/>
          <w:bCs w:val="0"/>
        </w:rPr>
        <w:t xml:space="preserve"> además, se puede inferir que constituyen partidas dinerarias. Por tanto, 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w:t>
      </w:r>
    </w:p>
    <w:p w14:paraId="4061FECB" w14:textId="77777777"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Sin embargo, de los conceptos precitados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0A789554" w14:textId="77777777" w:rsidR="00555D1F" w:rsidRPr="005668FC" w:rsidRDefault="00555D1F" w:rsidP="00555D1F">
      <w:pPr>
        <w:autoSpaceDE w:val="0"/>
        <w:autoSpaceDN w:val="0"/>
        <w:adjustRightInd w:val="0"/>
        <w:spacing w:after="120" w:line="276" w:lineRule="auto"/>
        <w:ind w:firstLine="708"/>
        <w:jc w:val="both"/>
        <w:rPr>
          <w:rStyle w:val="Textoennegrita"/>
          <w:rFonts w:ascii="Arial" w:hAnsi="Arial" w:cs="Arial"/>
          <w:b w:val="0"/>
          <w:bCs w:val="0"/>
        </w:rPr>
      </w:pPr>
      <w:r>
        <w:rPr>
          <w:rFonts w:ascii="ArialMT" w:hAnsi="ArialMT" w:cs="ArialMT"/>
        </w:rPr>
        <w:t>Si se contrasta esta primera conclusión, esto es, la relativa a que los recursos financieros son sumas liquidas de dinero, con lo dispuesto en el parágrafo tercero del artículo 20 de la Ley 1150 de 2007 y en el artículo 2.2.1.2.4.4.1 del Decreto 1082 de 2015, se tiene que, a diferencia de tales disposiciones, para efectos del cálculo del umbral establecido en el artículo 2.2.8.3.4 del Decreto 603 de 2022 no resultan relevantes los aportes en especie. Esto comoquiera que esta última disposición es clara al señalar que solo resulta aplicable a recursos financieros, mientras que el parágrafo tercero del artículo 20 de la Ley 1150 de 2007, referido señala que los aportes en especie deben ser monetizados.</w:t>
      </w:r>
    </w:p>
    <w:p w14:paraId="78F7DFE3" w14:textId="77777777" w:rsidR="00555D1F" w:rsidRPr="005668FC" w:rsidRDefault="00555D1F" w:rsidP="00555D1F">
      <w:pPr>
        <w:spacing w:line="276" w:lineRule="auto"/>
        <w:jc w:val="both"/>
        <w:rPr>
          <w:rFonts w:ascii="Arial" w:eastAsia="Calibri" w:hAnsi="Arial" w:cs="Arial"/>
          <w:b/>
        </w:rPr>
      </w:pPr>
      <w:r w:rsidRPr="005668FC">
        <w:rPr>
          <w:rFonts w:ascii="Arial" w:eastAsia="Calibri" w:hAnsi="Arial" w:cs="Arial"/>
          <w:b/>
        </w:rPr>
        <w:lastRenderedPageBreak/>
        <w:t xml:space="preserve">3. Respuesta </w:t>
      </w:r>
    </w:p>
    <w:p w14:paraId="45F3994C" w14:textId="77777777" w:rsidR="003456F6" w:rsidRDefault="003456F6" w:rsidP="003456F6">
      <w:pPr>
        <w:spacing w:after="0" w:line="240" w:lineRule="auto"/>
        <w:ind w:left="709" w:right="709"/>
        <w:jc w:val="both"/>
        <w:rPr>
          <w:rFonts w:ascii="Arial" w:hAnsi="Arial" w:cs="Arial"/>
          <w:sz w:val="21"/>
          <w:szCs w:val="21"/>
        </w:rPr>
      </w:pPr>
      <w:r w:rsidRPr="00EC7BC2">
        <w:rPr>
          <w:rFonts w:ascii="Arial" w:hAnsi="Arial" w:cs="Arial"/>
          <w:sz w:val="21"/>
          <w:szCs w:val="21"/>
        </w:rPr>
        <w:t>“[…] ¿</w:t>
      </w:r>
      <w:r w:rsidRPr="00FE2301">
        <w:t>Cuál</w:t>
      </w:r>
      <w:r w:rsidRPr="00FE2301">
        <w:rPr>
          <w:rFonts w:ascii="Arial" w:hAnsi="Arial" w:cs="Arial"/>
          <w:sz w:val="21"/>
          <w:szCs w:val="21"/>
        </w:rPr>
        <w:t xml:space="preserve"> es el alcance que se le debe dar a la expresión “recursos financieros”</w:t>
      </w:r>
      <w:r>
        <w:rPr>
          <w:rFonts w:ascii="Arial" w:hAnsi="Arial" w:cs="Arial"/>
          <w:sz w:val="21"/>
          <w:szCs w:val="21"/>
        </w:rPr>
        <w:t xml:space="preserve"> </w:t>
      </w:r>
      <w:r w:rsidRPr="00FE2301">
        <w:rPr>
          <w:rFonts w:ascii="Arial" w:hAnsi="Arial" w:cs="Arial"/>
          <w:sz w:val="21"/>
          <w:szCs w:val="21"/>
        </w:rPr>
        <w:t>incorporada en el artículo 2?2.8.3.4 del Decreto 603 de 2022?</w:t>
      </w:r>
      <w:r w:rsidRPr="00EC7BC2">
        <w:rPr>
          <w:rFonts w:ascii="Arial" w:hAnsi="Arial" w:cs="Arial"/>
          <w:sz w:val="21"/>
          <w:szCs w:val="21"/>
        </w:rPr>
        <w:t xml:space="preserve">? </w:t>
      </w:r>
    </w:p>
    <w:p w14:paraId="2D4CC530" w14:textId="77777777" w:rsidR="003456F6" w:rsidRDefault="003456F6" w:rsidP="003456F6">
      <w:pPr>
        <w:spacing w:after="0" w:line="240" w:lineRule="auto"/>
        <w:ind w:left="709" w:right="709"/>
        <w:jc w:val="both"/>
        <w:rPr>
          <w:rFonts w:ascii="Arial" w:hAnsi="Arial" w:cs="Arial"/>
          <w:sz w:val="21"/>
          <w:szCs w:val="21"/>
        </w:rPr>
      </w:pPr>
    </w:p>
    <w:p w14:paraId="75358E56" w14:textId="77777777" w:rsidR="003456F6" w:rsidRPr="00FE2301" w:rsidRDefault="003456F6" w:rsidP="003456F6">
      <w:pPr>
        <w:spacing w:after="0" w:line="240" w:lineRule="auto"/>
        <w:ind w:left="709" w:right="709"/>
        <w:jc w:val="both"/>
        <w:rPr>
          <w:rFonts w:ascii="Arial" w:hAnsi="Arial" w:cs="Arial"/>
          <w:sz w:val="21"/>
          <w:szCs w:val="21"/>
        </w:rPr>
      </w:pPr>
      <w:r w:rsidRPr="00FE2301">
        <w:rPr>
          <w:rFonts w:ascii="Arial" w:hAnsi="Arial" w:cs="Arial"/>
          <w:sz w:val="21"/>
          <w:szCs w:val="21"/>
        </w:rPr>
        <w:t>¿Bajo la expresión “recursos financieros” incorporada en el artículo 2?2.8.3.4 del</w:t>
      </w:r>
    </w:p>
    <w:p w14:paraId="22A27986" w14:textId="77777777" w:rsidR="003456F6" w:rsidRDefault="003456F6" w:rsidP="003456F6">
      <w:pPr>
        <w:spacing w:after="0" w:line="240" w:lineRule="auto"/>
        <w:ind w:left="709" w:right="709"/>
        <w:jc w:val="both"/>
        <w:rPr>
          <w:rFonts w:ascii="Arial" w:hAnsi="Arial" w:cs="Arial"/>
          <w:sz w:val="21"/>
          <w:szCs w:val="21"/>
        </w:rPr>
      </w:pPr>
      <w:r w:rsidRPr="00FE2301">
        <w:rPr>
          <w:rFonts w:ascii="Arial" w:hAnsi="Arial" w:cs="Arial"/>
          <w:sz w:val="21"/>
          <w:szCs w:val="21"/>
        </w:rPr>
        <w:t>Decreto 603 de 2022, ¿un cooperante internacional puede presentar como contrapartida de recursos financieros aportes en especie como bienes, capacitaciones y cursos?</w:t>
      </w:r>
      <w:r>
        <w:rPr>
          <w:rFonts w:ascii="Arial" w:hAnsi="Arial" w:cs="Arial"/>
          <w:sz w:val="21"/>
          <w:szCs w:val="21"/>
        </w:rPr>
        <w:t xml:space="preserve"> </w:t>
      </w:r>
      <w:r w:rsidRPr="00EC7BC2">
        <w:rPr>
          <w:rFonts w:ascii="Arial" w:hAnsi="Arial" w:cs="Arial"/>
          <w:sz w:val="21"/>
          <w:szCs w:val="21"/>
        </w:rPr>
        <w:t>[…]</w:t>
      </w:r>
      <w:r>
        <w:rPr>
          <w:rFonts w:ascii="Arial" w:hAnsi="Arial" w:cs="Arial"/>
          <w:sz w:val="21"/>
          <w:szCs w:val="21"/>
        </w:rPr>
        <w:t>”</w:t>
      </w:r>
    </w:p>
    <w:p w14:paraId="4D401FAE" w14:textId="77777777" w:rsidR="00555D1F" w:rsidRDefault="00555D1F" w:rsidP="00555D1F">
      <w:pPr>
        <w:spacing w:after="0" w:line="240" w:lineRule="auto"/>
        <w:ind w:left="709" w:right="709"/>
        <w:jc w:val="both"/>
        <w:rPr>
          <w:rFonts w:ascii="Arial" w:eastAsia="Calibri" w:hAnsi="Arial" w:cs="Arial"/>
          <w:sz w:val="21"/>
          <w:szCs w:val="21"/>
          <w:lang w:val="es-ES_tradnl" w:eastAsia="es-CO"/>
        </w:rPr>
      </w:pPr>
    </w:p>
    <w:p w14:paraId="7378A52A" w14:textId="77777777"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Esta Agencia considera que, conforme a lo establecido en el artículo 40 de la Ley 1150 de 2007 no existe una definición de recursos financieros. Tampoco el reglamento analizado, esto es, el artículo 2.2.8.3.4. del Decreto 603 de 2022 trae una definición de lo que debe entenderse por recursos financieros.  Sin embargo, de los conceptos precitados puede concluirse que, </w:t>
      </w:r>
      <w:r w:rsidRPr="002C4650">
        <w:rPr>
          <w:rStyle w:val="Textoennegrita"/>
          <w:rFonts w:ascii="Arial" w:hAnsi="Arial" w:cs="Arial"/>
        </w:rPr>
        <w:t>los recursos financieros del Estado constituyen aquellos ingresos que tienen liquidez.</w:t>
      </w:r>
      <w:r w:rsidRPr="003456F6">
        <w:rPr>
          <w:rStyle w:val="Textoennegrita"/>
          <w:rFonts w:ascii="Arial" w:hAnsi="Arial" w:cs="Arial"/>
          <w:b w:val="0"/>
          <w:bCs w:val="0"/>
        </w:rPr>
        <w:t xml:space="preserve">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o que pueden constituirse en dinero.  </w:t>
      </w:r>
    </w:p>
    <w:p w14:paraId="76653D82" w14:textId="77777777" w:rsidR="00555D1F" w:rsidRPr="005C63AC" w:rsidRDefault="00555D1F" w:rsidP="00555D1F">
      <w:pPr>
        <w:shd w:val="clear" w:color="auto" w:fill="FFFFFF"/>
        <w:spacing w:after="120" w:line="276" w:lineRule="auto"/>
        <w:ind w:firstLine="709"/>
        <w:jc w:val="both"/>
        <w:rPr>
          <w:rStyle w:val="Textoennegrita"/>
          <w:rFonts w:ascii="Arial" w:hAnsi="Arial" w:cs="Arial"/>
        </w:rPr>
      </w:pPr>
      <w:r w:rsidRPr="005C63AC">
        <w:rPr>
          <w:rStyle w:val="Textoennegrita"/>
          <w:rFonts w:ascii="Arial" w:hAnsi="Arial" w:cs="Arial"/>
        </w:rPr>
        <w:t>En ese orden, si los recursos financieros son sumas liquidas de dinero, es posible concluir que el umbral establecido en el artículo 2.2.8.3.4 del Decreto 603 de 2022, solo resulta aplicable para sumas de dinero. Esto a diferencia de lo señalado en el artículo 20 de la Ley 1150 de 2007, cuyo parágrafo tercero señala que los aportes en especie deben ser monetizados, lo que por naturaleza excluye de esta previsión dichos aportes.</w:t>
      </w:r>
    </w:p>
    <w:p w14:paraId="24F58ACE" w14:textId="1F943F21" w:rsidR="00555D1F" w:rsidRPr="003456F6" w:rsidRDefault="00555D1F" w:rsidP="00555D1F">
      <w:pPr>
        <w:shd w:val="clear" w:color="auto" w:fill="FFFFFF"/>
        <w:spacing w:after="120" w:line="276" w:lineRule="auto"/>
        <w:ind w:firstLine="709"/>
        <w:jc w:val="both"/>
        <w:rPr>
          <w:rStyle w:val="Textoennegrita"/>
          <w:rFonts w:ascii="Arial" w:hAnsi="Arial" w:cs="Arial"/>
          <w:b w:val="0"/>
          <w:bCs w:val="0"/>
        </w:rPr>
      </w:pPr>
      <w:r w:rsidRPr="003456F6">
        <w:rPr>
          <w:rStyle w:val="Textoennegrita"/>
          <w:rFonts w:ascii="Arial" w:hAnsi="Arial" w:cs="Arial"/>
          <w:b w:val="0"/>
          <w:bCs w:val="0"/>
        </w:rPr>
        <w:t xml:space="preserve">Debe precisarse además que existe una diferenciación entre el aporte para lograr el objeto del programa, proyecto o iniciativa y la destinación dada a esos recursos en el marco del proyecto pues, a modo de ejemplo, los bienes y servicios que se adquieran no se rigen por el parágrafo tercero del artículo 20 de la Ley 1150 de 2007. De modo que, esto último es un asunto propio del contrato, </w:t>
      </w:r>
      <w:r w:rsidR="005C63AC" w:rsidRPr="003456F6">
        <w:rPr>
          <w:rStyle w:val="Textoennegrita"/>
          <w:rFonts w:ascii="Arial" w:hAnsi="Arial" w:cs="Arial"/>
          <w:b w:val="0"/>
          <w:bCs w:val="0"/>
        </w:rPr>
        <w:t>y,</w:t>
      </w:r>
      <w:r w:rsidRPr="003456F6">
        <w:rPr>
          <w:rStyle w:val="Textoennegrita"/>
          <w:rFonts w:ascii="Arial" w:hAnsi="Arial" w:cs="Arial"/>
          <w:b w:val="0"/>
          <w:bCs w:val="0"/>
        </w:rPr>
        <w:t xml:space="preserve"> en consecuencia, los bienes y servicios no podrán ser contabilizados dentro del valor del contrato pues en modo contrario se configuraría una doble contabilidad. </w:t>
      </w:r>
    </w:p>
    <w:p w14:paraId="4B96F782" w14:textId="14E27B95" w:rsidR="00960E60" w:rsidRPr="00EC7BC2" w:rsidRDefault="00DD26D6" w:rsidP="00FC0EF9">
      <w:pPr>
        <w:spacing w:after="120" w:line="276" w:lineRule="auto"/>
        <w:jc w:val="both"/>
        <w:rPr>
          <w:rFonts w:ascii="Arial" w:hAnsi="Arial" w:cs="Arial"/>
        </w:rPr>
      </w:pPr>
      <w:r w:rsidRPr="00EC7BC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2E9704C" w14:textId="06FAE2FC" w:rsidR="00DD26D6" w:rsidRPr="00EC7BC2" w:rsidRDefault="00DD26D6" w:rsidP="00DD26D6">
      <w:pPr>
        <w:spacing w:after="120" w:line="276" w:lineRule="auto"/>
        <w:jc w:val="both"/>
        <w:rPr>
          <w:rFonts w:ascii="Arial" w:hAnsi="Arial" w:cs="Arial"/>
          <w:lang w:val="es-ES_tradnl"/>
        </w:rPr>
      </w:pPr>
      <w:r w:rsidRPr="00EC7BC2">
        <w:rPr>
          <w:rFonts w:ascii="Arial" w:hAnsi="Arial" w:cs="Arial"/>
          <w:lang w:val="es-ES_tradnl"/>
        </w:rPr>
        <w:t>Atentamente,</w:t>
      </w:r>
    </w:p>
    <w:p w14:paraId="66C2CFC3" w14:textId="782AE0A7" w:rsidR="00960E60" w:rsidRDefault="00960E60" w:rsidP="00960E60">
      <w:pPr>
        <w:spacing w:after="0" w:line="276" w:lineRule="auto"/>
        <w:jc w:val="center"/>
        <w:textAlignment w:val="baseline"/>
        <w:rPr>
          <w:rFonts w:ascii="Arial" w:hAnsi="Arial" w:cs="Arial"/>
          <w:noProof/>
          <w:lang w:val="es-ES_tradnl"/>
        </w:rPr>
      </w:pPr>
    </w:p>
    <w:p w14:paraId="3D2BB359" w14:textId="77777777" w:rsidR="00B35C31" w:rsidRDefault="00B35C31" w:rsidP="00960E60">
      <w:pPr>
        <w:spacing w:after="0" w:line="276" w:lineRule="auto"/>
        <w:jc w:val="center"/>
        <w:textAlignment w:val="baseline"/>
        <w:rPr>
          <w:rFonts w:ascii="Arial" w:hAnsi="Arial" w:cs="Arial"/>
          <w:noProof/>
          <w:lang w:val="es-ES_tradnl"/>
        </w:rPr>
      </w:pPr>
    </w:p>
    <w:p w14:paraId="369A72B9" w14:textId="6469E10B" w:rsidR="00B35C31" w:rsidRDefault="0077278D" w:rsidP="00960E60">
      <w:pPr>
        <w:spacing w:after="0" w:line="276" w:lineRule="auto"/>
        <w:jc w:val="center"/>
        <w:textAlignment w:val="baseline"/>
        <w:rPr>
          <w:rFonts w:ascii="Arial" w:hAnsi="Arial" w:cs="Arial"/>
          <w:noProof/>
          <w:lang w:val="es-ES_tradnl"/>
        </w:rPr>
      </w:pPr>
      <w:r>
        <w:rPr>
          <w:noProof/>
        </w:rPr>
        <w:drawing>
          <wp:inline distT="0" distB="0" distL="0" distR="0" wp14:anchorId="4CEB52B7" wp14:editId="7AD109A6">
            <wp:extent cx="3161905" cy="1209524"/>
            <wp:effectExtent l="0" t="0" r="635" b="0"/>
            <wp:docPr id="20382309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30952" name="Imagen 1" descr="Texto&#10;&#10;Descripción generada automáticamente"/>
                    <pic:cNvPicPr/>
                  </pic:nvPicPr>
                  <pic:blipFill>
                    <a:blip r:embed="rId14"/>
                    <a:stretch>
                      <a:fillRect/>
                    </a:stretch>
                  </pic:blipFill>
                  <pic:spPr>
                    <a:xfrm>
                      <a:off x="0" y="0"/>
                      <a:ext cx="3161905" cy="1209524"/>
                    </a:xfrm>
                    <a:prstGeom prst="rect">
                      <a:avLst/>
                    </a:prstGeom>
                  </pic:spPr>
                </pic:pic>
              </a:graphicData>
            </a:graphic>
          </wp:inline>
        </w:drawing>
      </w:r>
    </w:p>
    <w:p w14:paraId="718A2CD9" w14:textId="77777777" w:rsidR="00B35C31" w:rsidRDefault="00B35C31" w:rsidP="00960E60">
      <w:pPr>
        <w:spacing w:after="0" w:line="276" w:lineRule="auto"/>
        <w:jc w:val="center"/>
        <w:textAlignment w:val="baseline"/>
        <w:rPr>
          <w:rFonts w:ascii="Arial" w:hAnsi="Arial" w:cs="Arial"/>
          <w:noProof/>
          <w:lang w:val="es-ES_tradnl"/>
        </w:rPr>
      </w:pPr>
    </w:p>
    <w:p w14:paraId="5AA96AFE" w14:textId="77777777" w:rsidR="00960E60" w:rsidRPr="00EC7BC2" w:rsidRDefault="00960E60" w:rsidP="00960E60">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EC7BC2" w:rsidRPr="00EC7BC2" w14:paraId="01322984" w14:textId="77777777" w:rsidTr="26F7A1AA">
        <w:trPr>
          <w:trHeight w:val="315"/>
        </w:trPr>
        <w:tc>
          <w:tcPr>
            <w:tcW w:w="810" w:type="dxa"/>
            <w:tcBorders>
              <w:top w:val="nil"/>
              <w:left w:val="nil"/>
              <w:bottom w:val="nil"/>
              <w:right w:val="nil"/>
            </w:tcBorders>
            <w:vAlign w:val="center"/>
            <w:hideMark/>
          </w:tcPr>
          <w:p w14:paraId="307A757B"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64F9B60A" w14:textId="5251F6DD" w:rsidR="00960E60" w:rsidRPr="00EC7BC2" w:rsidRDefault="00B35C31" w:rsidP="007217F7">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5AC98CFA" w14:textId="77777777" w:rsidR="00960E60" w:rsidRPr="00EC7BC2" w:rsidRDefault="00960E60" w:rsidP="007217F7">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EC7BC2" w:rsidRPr="00EC7BC2" w14:paraId="773CFA20" w14:textId="77777777" w:rsidTr="26F7A1AA">
        <w:trPr>
          <w:trHeight w:val="315"/>
        </w:trPr>
        <w:tc>
          <w:tcPr>
            <w:tcW w:w="810" w:type="dxa"/>
            <w:tcBorders>
              <w:top w:val="nil"/>
              <w:left w:val="nil"/>
              <w:bottom w:val="nil"/>
              <w:right w:val="nil"/>
            </w:tcBorders>
            <w:vAlign w:val="center"/>
            <w:hideMark/>
          </w:tcPr>
          <w:p w14:paraId="7C6F667F"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8BC0328" w14:textId="7B6E7C6D" w:rsidR="00960E60" w:rsidRPr="00EC7BC2" w:rsidRDefault="00B35C31" w:rsidP="007217F7">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Martha Alicia Romero Vargas</w:t>
            </w:r>
          </w:p>
          <w:p w14:paraId="3FD20600" w14:textId="4C304480" w:rsidR="00960E60" w:rsidRPr="00EC7BC2" w:rsidRDefault="63EC6282" w:rsidP="00B35C31">
            <w:pPr>
              <w:spacing w:after="0" w:line="240" w:lineRule="auto"/>
              <w:textAlignment w:val="baseline"/>
              <w:rPr>
                <w:rFonts w:ascii="Arial" w:eastAsia="Times New Roman" w:hAnsi="Arial" w:cs="Arial"/>
                <w:sz w:val="16"/>
                <w:szCs w:val="16"/>
                <w:lang w:eastAsia="es-CO"/>
              </w:rPr>
            </w:pPr>
            <w:r w:rsidRPr="26F7A1AA">
              <w:rPr>
                <w:rFonts w:ascii="Arial" w:eastAsia="Times New Roman" w:hAnsi="Arial" w:cs="Arial"/>
                <w:sz w:val="16"/>
                <w:szCs w:val="16"/>
                <w:lang w:val="es-MX" w:eastAsia="es-CO"/>
              </w:rPr>
              <w:t xml:space="preserve">Contratista de la </w:t>
            </w:r>
            <w:r w:rsidRPr="26F7A1AA">
              <w:rPr>
                <w:rFonts w:ascii="Arial" w:eastAsia="Times New Roman" w:hAnsi="Arial" w:cs="Arial"/>
                <w:sz w:val="16"/>
                <w:szCs w:val="16"/>
                <w:lang w:eastAsia="es-CO"/>
              </w:rPr>
              <w:t>Subdirección de Gestión Contractual</w:t>
            </w:r>
          </w:p>
        </w:tc>
      </w:tr>
      <w:tr w:rsidR="00960E60" w:rsidRPr="00EC7BC2" w14:paraId="46FE8B76" w14:textId="77777777" w:rsidTr="26F7A1AA">
        <w:trPr>
          <w:trHeight w:val="300"/>
        </w:trPr>
        <w:tc>
          <w:tcPr>
            <w:tcW w:w="810" w:type="dxa"/>
            <w:tcBorders>
              <w:top w:val="nil"/>
              <w:left w:val="nil"/>
              <w:bottom w:val="nil"/>
              <w:right w:val="nil"/>
            </w:tcBorders>
            <w:vAlign w:val="center"/>
            <w:hideMark/>
          </w:tcPr>
          <w:p w14:paraId="79548C71"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3B9CBDC4" w14:textId="77777777" w:rsidR="00960E60" w:rsidRPr="00EC7BC2" w:rsidRDefault="00960E60" w:rsidP="007217F7">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728E5A4" w14:textId="77777777" w:rsidR="00960E60" w:rsidRPr="00EC7BC2" w:rsidRDefault="00960E60" w:rsidP="007217F7">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0"/>
    </w:tbl>
    <w:p w14:paraId="03E12A6E" w14:textId="77777777" w:rsidR="00960E60" w:rsidRPr="00EC7BC2" w:rsidRDefault="00960E60" w:rsidP="00DD26D6">
      <w:pPr>
        <w:spacing w:after="0" w:line="276" w:lineRule="auto"/>
        <w:jc w:val="both"/>
        <w:rPr>
          <w:rFonts w:ascii="Arial" w:hAnsi="Arial" w:cs="Arial"/>
          <w:sz w:val="21"/>
          <w:szCs w:val="21"/>
          <w:lang w:val="es-ES_tradnl"/>
        </w:rPr>
      </w:pPr>
    </w:p>
    <w:sectPr w:rsidR="00960E60" w:rsidRPr="00EC7BC2" w:rsidSect="00923EEF">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B341" w14:textId="77777777" w:rsidR="0028627B" w:rsidRDefault="0028627B" w:rsidP="004A1847">
      <w:pPr>
        <w:spacing w:after="0" w:line="240" w:lineRule="auto"/>
      </w:pPr>
      <w:r>
        <w:separator/>
      </w:r>
    </w:p>
  </w:endnote>
  <w:endnote w:type="continuationSeparator" w:id="0">
    <w:p w14:paraId="6140AA89" w14:textId="77777777" w:rsidR="0028627B" w:rsidRDefault="0028627B" w:rsidP="004A1847">
      <w:pPr>
        <w:spacing w:after="0" w:line="240" w:lineRule="auto"/>
      </w:pPr>
      <w:r>
        <w:continuationSeparator/>
      </w:r>
    </w:p>
  </w:endnote>
  <w:endnote w:type="continuationNotice" w:id="1">
    <w:p w14:paraId="5ABE0029" w14:textId="77777777" w:rsidR="0028627B" w:rsidRDefault="00286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Klee One"/>
    <w:panose1 w:val="00000000000000000000"/>
    <w:charset w:val="00"/>
    <w:family w:val="auto"/>
    <w:notTrueType/>
    <w:pitch w:val="default"/>
    <w:sig w:usb0="00000003" w:usb1="08070000" w:usb2="00000010" w:usb3="00000000" w:csb0="0002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D4B" w14:textId="77777777" w:rsidR="0028627B" w:rsidRDefault="0028627B" w:rsidP="004A1847">
      <w:pPr>
        <w:spacing w:after="0" w:line="240" w:lineRule="auto"/>
      </w:pPr>
      <w:r>
        <w:separator/>
      </w:r>
    </w:p>
  </w:footnote>
  <w:footnote w:type="continuationSeparator" w:id="0">
    <w:p w14:paraId="0FEC9088" w14:textId="77777777" w:rsidR="0028627B" w:rsidRDefault="0028627B" w:rsidP="004A1847">
      <w:pPr>
        <w:spacing w:after="0" w:line="240" w:lineRule="auto"/>
      </w:pPr>
      <w:r>
        <w:continuationSeparator/>
      </w:r>
    </w:p>
  </w:footnote>
  <w:footnote w:type="continuationNotice" w:id="1">
    <w:p w14:paraId="791502CB" w14:textId="77777777" w:rsidR="0028627B" w:rsidRDefault="0028627B">
      <w:pPr>
        <w:spacing w:after="0" w:line="240" w:lineRule="auto"/>
      </w:pPr>
    </w:p>
  </w:footnote>
  <w:footnote w:id="2">
    <w:p w14:paraId="56B70EAC" w14:textId="77777777" w:rsidR="009A75EA" w:rsidRPr="003E00D6" w:rsidRDefault="009A75EA" w:rsidP="009A75EA">
      <w:pPr>
        <w:pStyle w:val="Textonotapie"/>
        <w:ind w:firstLine="708"/>
        <w:jc w:val="both"/>
        <w:rPr>
          <w:rFonts w:ascii="Arial" w:hAnsi="Arial" w:cs="Arial"/>
          <w:sz w:val="18"/>
          <w:szCs w:val="18"/>
        </w:rPr>
      </w:pPr>
      <w:r w:rsidRPr="003E00D6">
        <w:rPr>
          <w:rStyle w:val="Refdenotaalpie"/>
          <w:rFonts w:ascii="Arial" w:hAnsi="Arial" w:cs="Arial"/>
          <w:sz w:val="18"/>
          <w:szCs w:val="18"/>
        </w:rPr>
        <w:footnoteRef/>
      </w:r>
      <w:r w:rsidRPr="003E00D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E00D6">
        <w:rPr>
          <w:rFonts w:ascii="Arial" w:hAnsi="Arial" w:cs="Arial"/>
          <w:i/>
          <w:iCs/>
          <w:sz w:val="18"/>
          <w:szCs w:val="18"/>
        </w:rPr>
        <w:t xml:space="preserve">ibidem </w:t>
      </w:r>
      <w:r w:rsidRPr="003E00D6">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7BAB413" w14:textId="77777777" w:rsidR="009A75EA" w:rsidRPr="00BA40CF" w:rsidRDefault="009A75EA" w:rsidP="009A75EA">
      <w:pPr>
        <w:pStyle w:val="Textonotapie"/>
        <w:ind w:firstLine="708"/>
        <w:jc w:val="both"/>
        <w:rPr>
          <w:rFonts w:ascii="Arial" w:hAnsi="Arial" w:cs="Arial"/>
          <w:sz w:val="14"/>
          <w:szCs w:val="14"/>
          <w:lang w:val="es-ES"/>
        </w:rPr>
      </w:pPr>
    </w:p>
  </w:footnote>
  <w:footnote w:id="3">
    <w:p w14:paraId="2A76ABAC" w14:textId="77777777" w:rsidR="00555D1F" w:rsidRPr="00C539F3" w:rsidRDefault="00555D1F" w:rsidP="00555D1F">
      <w:pPr>
        <w:pStyle w:val="Textonotapie"/>
        <w:ind w:firstLine="709"/>
        <w:jc w:val="both"/>
        <w:rPr>
          <w:rFonts w:ascii="Arial" w:hAnsi="Arial" w:cs="Arial"/>
          <w:color w:val="000000" w:themeColor="text1"/>
          <w:sz w:val="16"/>
          <w:szCs w:val="16"/>
          <w:lang w:val="es-CO"/>
        </w:rPr>
      </w:pPr>
      <w:r w:rsidRPr="00C539F3">
        <w:rPr>
          <w:rStyle w:val="Refdenotaalpie"/>
          <w:rFonts w:ascii="Arial" w:hAnsi="Arial" w:cs="Arial"/>
          <w:sz w:val="16"/>
          <w:szCs w:val="16"/>
        </w:rPr>
        <w:footnoteRef/>
      </w:r>
      <w:r w:rsidRPr="00C539F3">
        <w:rPr>
          <w:rFonts w:ascii="Arial" w:hAnsi="Arial" w:cs="Arial"/>
          <w:color w:val="000000" w:themeColor="text1"/>
          <w:sz w:val="16"/>
          <w:szCs w:val="16"/>
          <w:lang w:val="es-CO"/>
        </w:rPr>
        <w:t xml:space="preserve"> FIGUEROA U. Organismos internacionales. 2ª edición. Santiago de Chile: Editorial RIL editores, 2010.</w:t>
      </w:r>
    </w:p>
  </w:footnote>
  <w:footnote w:id="4">
    <w:p w14:paraId="25A4A999" w14:textId="77777777" w:rsidR="00555D1F" w:rsidRPr="00C539F3" w:rsidRDefault="00555D1F"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Ley 80 de 1993: «Artículo 13. De la normatividad aplicable a los contratos estatales. Los contratos que celebren las entidades a que se refiere el artículo </w:t>
      </w:r>
      <w:hyperlink r:id="rId1" w:anchor="2" w:history="1">
        <w:r w:rsidRPr="00C539F3">
          <w:rPr>
            <w:rStyle w:val="Hipervnculo"/>
            <w:rFonts w:ascii="Arial" w:eastAsiaTheme="majorEastAsia" w:hAnsi="Arial" w:cs="Arial"/>
            <w:color w:val="000000" w:themeColor="text1"/>
            <w:sz w:val="16"/>
            <w:szCs w:val="16"/>
          </w:rPr>
          <w:t>2</w:t>
        </w:r>
      </w:hyperlink>
      <w:r w:rsidRPr="00C539F3">
        <w:rPr>
          <w:rFonts w:ascii="Arial" w:hAnsi="Arial" w:cs="Arial"/>
          <w:color w:val="000000" w:themeColor="text1"/>
          <w:sz w:val="16"/>
          <w:szCs w:val="16"/>
        </w:rPr>
        <w:t>o. del presente estatuto se regirán por las disposiciones comerciales y civiles pertinentes, salvo en las materias particularmente reguladas en esta ley.</w:t>
      </w:r>
    </w:p>
    <w:p w14:paraId="390B0A54" w14:textId="7D58E2AE"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 Los</w:t>
      </w:r>
      <w:r w:rsidR="00555D1F" w:rsidRPr="00C539F3">
        <w:rPr>
          <w:rFonts w:ascii="Arial" w:hAnsi="Arial" w:cs="Arial"/>
          <w:color w:val="000000" w:themeColor="text1"/>
          <w:sz w:val="16"/>
          <w:szCs w:val="16"/>
        </w:rPr>
        <w:t xml:space="preserve"> contratos celebrados en el exterior se podrán regir en su ejecución por las reglas del país en donde se hayan suscrito, a menos que deban cumplirse en Colombia»</w:t>
      </w:r>
    </w:p>
    <w:p w14:paraId="779817BF" w14:textId="57A480D9"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 Los</w:t>
      </w:r>
      <w:r w:rsidR="00555D1F" w:rsidRPr="00C539F3">
        <w:rPr>
          <w:rFonts w:ascii="Arial" w:hAnsi="Arial" w:cs="Arial"/>
          <w:color w:val="000000" w:themeColor="text1"/>
          <w:sz w:val="16"/>
          <w:szCs w:val="16"/>
        </w:rPr>
        <w:t xml:space="preserve"> contratos que se celebren en Colombia y deban ejecutarse o cumplirse en el extranjero, podrán someterse a la ley extranjera».</w:t>
      </w:r>
    </w:p>
    <w:p w14:paraId="20D3F56C" w14:textId="77777777" w:rsidR="00555D1F" w:rsidRPr="00C539F3" w:rsidRDefault="00555D1F" w:rsidP="00555D1F">
      <w:pPr>
        <w:pStyle w:val="NormalWeb"/>
        <w:spacing w:before="0" w:beforeAutospacing="0" w:after="0" w:afterAutospacing="0"/>
        <w:ind w:firstLine="709"/>
        <w:jc w:val="both"/>
        <w:rPr>
          <w:rFonts w:ascii="Arial" w:hAnsi="Arial" w:cs="Arial"/>
          <w:color w:val="000000" w:themeColor="text1"/>
          <w:sz w:val="16"/>
          <w:szCs w:val="16"/>
        </w:rPr>
      </w:pPr>
    </w:p>
  </w:footnote>
  <w:footnote w:id="5">
    <w:p w14:paraId="7E7AED99" w14:textId="77777777" w:rsidR="00555D1F" w:rsidRPr="00C539F3" w:rsidRDefault="00555D1F" w:rsidP="00555D1F">
      <w:pPr>
        <w:pStyle w:val="Textonotapie"/>
        <w:ind w:firstLine="709"/>
        <w:jc w:val="both"/>
        <w:rPr>
          <w:rFonts w:ascii="Arial" w:hAnsi="Arial" w:cs="Arial"/>
          <w:color w:val="000000" w:themeColor="text1"/>
          <w:sz w:val="16"/>
          <w:szCs w:val="16"/>
          <w:lang w:val="es-ES_tradnl"/>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Consejo de Estado. Sección Tercera, Subsección C. Sentencia del 26 de noviembre de 2015. </w:t>
      </w:r>
      <w:r w:rsidRPr="00C539F3">
        <w:rPr>
          <w:rFonts w:ascii="Arial" w:hAnsi="Arial" w:cs="Arial"/>
          <w:color w:val="000000" w:themeColor="text1"/>
          <w:sz w:val="16"/>
          <w:szCs w:val="16"/>
          <w:lang w:val="es-ES_tradnl"/>
        </w:rPr>
        <w:t xml:space="preserve">Exp. </w:t>
      </w:r>
      <w:r w:rsidRPr="00C539F3">
        <w:rPr>
          <w:rFonts w:ascii="Arial" w:hAnsi="Arial" w:cs="Arial"/>
          <w:color w:val="000000" w:themeColor="text1"/>
          <w:sz w:val="16"/>
          <w:szCs w:val="16"/>
          <w:lang w:val="es-CO"/>
        </w:rPr>
        <w:t xml:space="preserve">54.069. C.P Jaime Orlando Santofimio Gamboa. </w:t>
      </w:r>
    </w:p>
  </w:footnote>
  <w:footnote w:id="6">
    <w:p w14:paraId="4CF9FDB8" w14:textId="77777777" w:rsidR="00555D1F" w:rsidRPr="00C539F3" w:rsidRDefault="00555D1F" w:rsidP="00555D1F">
      <w:pPr>
        <w:pStyle w:val="Textonotapie"/>
        <w:ind w:firstLine="709"/>
        <w:jc w:val="both"/>
        <w:rPr>
          <w:rFonts w:ascii="Arial" w:hAnsi="Arial" w:cs="Arial"/>
          <w:color w:val="000000" w:themeColor="text1"/>
          <w:sz w:val="16"/>
          <w:szCs w:val="16"/>
          <w:lang w:eastAsia="es-CO"/>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w:t>
      </w:r>
      <w:r w:rsidRPr="00C539F3">
        <w:rPr>
          <w:rFonts w:ascii="Arial" w:hAnsi="Arial"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7">
    <w:p w14:paraId="2D874E7E" w14:textId="77777777" w:rsidR="00555D1F" w:rsidRPr="00C539F3" w:rsidRDefault="00555D1F"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Style w:val="Refdenotaalpie"/>
          <w:rFonts w:ascii="Arial" w:hAnsi="Arial" w:cs="Arial"/>
          <w:sz w:val="16"/>
          <w:szCs w:val="16"/>
        </w:rPr>
        <w:footnoteRef/>
      </w:r>
      <w:r w:rsidRPr="00C539F3">
        <w:rPr>
          <w:rFonts w:ascii="Arial" w:hAnsi="Arial"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3ADAF8A9" w14:textId="77777777" w:rsidR="00555D1F" w:rsidRPr="00C539F3" w:rsidRDefault="00555D1F"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7D8250C5" w14:textId="67B1260C"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 Las</w:t>
      </w:r>
      <w:r w:rsidR="00555D1F" w:rsidRPr="00C539F3">
        <w:rPr>
          <w:rFonts w:ascii="Arial" w:hAnsi="Arial" w:cs="Arial"/>
          <w:color w:val="000000" w:themeColor="text1"/>
          <w:sz w:val="16"/>
          <w:szCs w:val="16"/>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0B618C8E" w14:textId="2519D2F3"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 xml:space="preserve"> PARÁGRAFO</w:t>
      </w:r>
      <w:r w:rsidR="00555D1F" w:rsidRPr="00C539F3">
        <w:rPr>
          <w:rStyle w:val="baj"/>
          <w:rFonts w:ascii="Arial" w:hAnsi="Arial" w:cs="Arial"/>
          <w:color w:val="000000" w:themeColor="text1"/>
          <w:sz w:val="16"/>
          <w:szCs w:val="16"/>
        </w:rPr>
        <w:t xml:space="preserve"> 1o.</w:t>
      </w:r>
      <w:r w:rsidR="00555D1F" w:rsidRPr="00C539F3">
        <w:rPr>
          <w:rFonts w:ascii="Arial" w:hAnsi="Arial" w:cs="Arial"/>
          <w:color w:val="000000" w:themeColor="text1"/>
          <w:sz w:val="16"/>
          <w:szCs w:val="16"/>
        </w:rPr>
        <w:t xml:space="preserve"> Los contratos o acuerdos celebrados con personas extranjeras de derecho </w:t>
      </w:r>
      <w:r w:rsidRPr="00C539F3">
        <w:rPr>
          <w:rFonts w:ascii="Arial" w:hAnsi="Arial" w:cs="Arial"/>
          <w:color w:val="000000" w:themeColor="text1"/>
          <w:sz w:val="16"/>
          <w:szCs w:val="16"/>
        </w:rPr>
        <w:t>público</w:t>
      </w:r>
      <w:r w:rsidR="00555D1F" w:rsidRPr="00C539F3">
        <w:rPr>
          <w:rFonts w:ascii="Arial" w:hAnsi="Arial" w:cs="Arial"/>
          <w:color w:val="000000" w:themeColor="text1"/>
          <w:sz w:val="16"/>
          <w:szCs w:val="16"/>
        </w:rPr>
        <w:t xml:space="preserve"> podrán someterse a las reglas de tales organismos.</w:t>
      </w:r>
    </w:p>
    <w:p w14:paraId="3859E825" w14:textId="1B8A2715"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 xml:space="preserve"> PARÁGRAFO</w:t>
      </w:r>
      <w:r w:rsidR="00555D1F" w:rsidRPr="00C539F3">
        <w:rPr>
          <w:rStyle w:val="baj"/>
          <w:rFonts w:ascii="Arial" w:hAnsi="Arial" w:cs="Arial"/>
          <w:color w:val="000000" w:themeColor="text1"/>
          <w:sz w:val="16"/>
          <w:szCs w:val="16"/>
        </w:rPr>
        <w:t xml:space="preserve"> 2o.</w:t>
      </w:r>
      <w:r w:rsidR="00555D1F" w:rsidRPr="00C539F3">
        <w:rPr>
          <w:rFonts w:ascii="Arial" w:hAnsi="Arial" w:cs="Arial"/>
          <w:color w:val="000000" w:themeColor="text1"/>
          <w:sz w:val="16"/>
          <w:szCs w:val="16"/>
        </w:rPr>
        <w:t xml:space="preserve"> Las entidades estatales tendrán la obligación de reportar la información a los organismos de control y al </w:t>
      </w:r>
      <w:r w:rsidRPr="00C539F3">
        <w:rPr>
          <w:rFonts w:ascii="Arial" w:hAnsi="Arial" w:cs="Arial"/>
          <w:color w:val="000000" w:themeColor="text1"/>
          <w:sz w:val="16"/>
          <w:szCs w:val="16"/>
        </w:rPr>
        <w:t>Seco</w:t>
      </w:r>
      <w:r w:rsidR="00555D1F" w:rsidRPr="00C539F3">
        <w:rPr>
          <w:rFonts w:ascii="Arial" w:hAnsi="Arial" w:cs="Arial"/>
          <w:color w:val="000000" w:themeColor="text1"/>
          <w:sz w:val="16"/>
          <w:szCs w:val="16"/>
        </w:rPr>
        <w:t xml:space="preserve"> relativa a la ejecución de los contratos a los que se refiere el presente artículo.</w:t>
      </w:r>
    </w:p>
    <w:p w14:paraId="6C2BB4FF" w14:textId="7833A0DD"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w:t>
      </w:r>
      <w:r w:rsidRPr="00C539F3">
        <w:rPr>
          <w:rStyle w:val="baj"/>
          <w:rFonts w:ascii="Arial" w:hAnsi="Arial" w:cs="Arial"/>
          <w:color w:val="000000" w:themeColor="text1"/>
          <w:sz w:val="16"/>
          <w:szCs w:val="16"/>
        </w:rPr>
        <w:t xml:space="preserve"> PARÁGRAFO</w:t>
      </w:r>
      <w:r w:rsidR="00555D1F" w:rsidRPr="00C539F3">
        <w:rPr>
          <w:rStyle w:val="baj"/>
          <w:rFonts w:ascii="Arial" w:hAnsi="Arial" w:cs="Arial"/>
          <w:color w:val="000000" w:themeColor="text1"/>
          <w:sz w:val="16"/>
          <w:szCs w:val="16"/>
        </w:rPr>
        <w:t xml:space="preserve"> 3o.</w:t>
      </w:r>
      <w:r w:rsidR="00555D1F" w:rsidRPr="00C539F3">
        <w:rPr>
          <w:rFonts w:ascii="Arial" w:hAnsi="Arial"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8">
    <w:p w14:paraId="63CB8781" w14:textId="77777777" w:rsidR="00555D1F" w:rsidRPr="00C539F3" w:rsidRDefault="00555D1F"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footnoteRef/>
      </w:r>
      <w:r w:rsidRPr="00C539F3">
        <w:rPr>
          <w:rFonts w:ascii="Arial" w:hAnsi="Arial" w:cs="Arial"/>
          <w:color w:val="000000" w:themeColor="text1"/>
          <w:sz w:val="16"/>
          <w:szCs w:val="16"/>
        </w:rPr>
        <w:t xml:space="preserve"> Código Civil </w:t>
      </w:r>
      <w:bookmarkStart w:id="8" w:name="27"/>
      <w:r w:rsidRPr="00C539F3">
        <w:rPr>
          <w:rFonts w:ascii="Arial" w:hAnsi="Arial" w:cs="Arial"/>
          <w:color w:val="000000" w:themeColor="text1"/>
          <w:sz w:val="16"/>
          <w:szCs w:val="16"/>
        </w:rPr>
        <w:t>«Artículo 27. [Interpretación gramatical].</w:t>
      </w:r>
      <w:bookmarkEnd w:id="8"/>
      <w:r w:rsidRPr="00C539F3">
        <w:rPr>
          <w:rFonts w:ascii="Arial" w:hAnsi="Arial" w:cs="Arial"/>
          <w:color w:val="000000" w:themeColor="text1"/>
          <w:sz w:val="16"/>
          <w:szCs w:val="16"/>
        </w:rPr>
        <w:t> Cuando el sentido de la ley sea claro, no se desatenderá su tenor literal a pretexto de consultar su espíritu.</w:t>
      </w:r>
    </w:p>
    <w:p w14:paraId="121A5D39" w14:textId="38C837FF" w:rsidR="00555D1F" w:rsidRPr="00C539F3" w:rsidRDefault="00557AE7" w:rsidP="00555D1F">
      <w:pPr>
        <w:pStyle w:val="NormalWeb"/>
        <w:spacing w:before="0" w:beforeAutospacing="0" w:after="0" w:afterAutospacing="0"/>
        <w:ind w:firstLine="709"/>
        <w:jc w:val="both"/>
        <w:rPr>
          <w:rFonts w:ascii="Arial" w:hAnsi="Arial" w:cs="Arial"/>
          <w:color w:val="000000" w:themeColor="text1"/>
          <w:sz w:val="16"/>
          <w:szCs w:val="16"/>
        </w:rPr>
      </w:pPr>
      <w:r w:rsidRPr="00C539F3">
        <w:rPr>
          <w:rFonts w:ascii="Arial" w:hAnsi="Arial" w:cs="Arial"/>
          <w:color w:val="000000" w:themeColor="text1"/>
          <w:sz w:val="16"/>
          <w:szCs w:val="16"/>
        </w:rPr>
        <w:t>» Pero</w:t>
      </w:r>
      <w:r w:rsidR="00555D1F" w:rsidRPr="00C539F3">
        <w:rPr>
          <w:rFonts w:ascii="Arial" w:hAnsi="Arial" w:cs="Arial"/>
          <w:color w:val="000000" w:themeColor="text1"/>
          <w:sz w:val="16"/>
          <w:szCs w:val="16"/>
        </w:rPr>
        <w:t xml:space="preserve"> bien se puede, para interpretar una expresión oscura de la ley, recurrir a su intención o espíritu, claramente manifestados en ella misma o en la historia fidedigna de su establecimiento».</w:t>
      </w:r>
    </w:p>
    <w:p w14:paraId="187702C4" w14:textId="77777777" w:rsidR="00555D1F" w:rsidRPr="00C539F3" w:rsidRDefault="00555D1F" w:rsidP="00555D1F">
      <w:pPr>
        <w:pStyle w:val="Textonotapie"/>
        <w:ind w:firstLine="709"/>
        <w:jc w:val="both"/>
        <w:rPr>
          <w:rFonts w:ascii="Arial" w:hAnsi="Arial" w:cs="Arial"/>
          <w:sz w:val="16"/>
          <w:szCs w:val="16"/>
        </w:rPr>
      </w:pPr>
    </w:p>
  </w:footnote>
  <w:footnote w:id="9">
    <w:p w14:paraId="28B1CF61"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DÁVILA VINUEZA, Luis Guillermo. </w:t>
      </w:r>
      <w:r w:rsidRPr="00C539F3">
        <w:rPr>
          <w:rFonts w:ascii="Arial" w:hAnsi="Arial" w:cs="Arial"/>
          <w:i/>
          <w:iCs/>
          <w:sz w:val="16"/>
          <w:szCs w:val="16"/>
        </w:rPr>
        <w:t xml:space="preserve">Régimen jurídico de la Contratación Estatal. </w:t>
      </w:r>
      <w:r w:rsidRPr="00C539F3">
        <w:rPr>
          <w:rFonts w:ascii="Arial" w:hAnsi="Arial" w:cs="Arial"/>
          <w:sz w:val="16"/>
          <w:szCs w:val="16"/>
        </w:rPr>
        <w:t xml:space="preserve">3ª Ed. Bogotá: Legis. 2016. p. 59. </w:t>
      </w:r>
    </w:p>
  </w:footnote>
  <w:footnote w:id="10">
    <w:p w14:paraId="486D7C3A"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BENAVIDES, José Luis. La internacionalización de los contratos públicos. En: Contratos públicos. Estudios. Bogotá: Universidad Externado de Colombia, 2014, pp. 41-42.</w:t>
      </w:r>
    </w:p>
    <w:p w14:paraId="2B439B8E" w14:textId="77777777" w:rsidR="00555D1F" w:rsidRPr="00C539F3" w:rsidRDefault="00555D1F" w:rsidP="00555D1F">
      <w:pPr>
        <w:pStyle w:val="Textonotapie"/>
        <w:ind w:firstLine="709"/>
        <w:jc w:val="both"/>
        <w:rPr>
          <w:rFonts w:ascii="Arial" w:hAnsi="Arial" w:cs="Arial"/>
          <w:sz w:val="16"/>
          <w:szCs w:val="16"/>
          <w:lang w:val="es-ES"/>
        </w:rPr>
      </w:pPr>
    </w:p>
  </w:footnote>
  <w:footnote w:id="11">
    <w:p w14:paraId="5BB3724C" w14:textId="4B9076B1" w:rsidR="00555D1F" w:rsidRPr="00C539F3" w:rsidRDefault="00555D1F" w:rsidP="00555D1F">
      <w:pPr>
        <w:pStyle w:val="Textonotapie"/>
        <w:ind w:firstLine="709"/>
        <w:jc w:val="both"/>
        <w:rPr>
          <w:rFonts w:ascii="Arial" w:hAnsi="Arial" w:cs="Arial"/>
          <w:sz w:val="16"/>
          <w:szCs w:val="16"/>
          <w:lang w:val="es-E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00557AE7" w:rsidRPr="00C539F3">
        <w:rPr>
          <w:rFonts w:ascii="Arial" w:hAnsi="Arial" w:cs="Arial"/>
          <w:sz w:val="16"/>
          <w:szCs w:val="16"/>
          <w:lang w:val="es-ES"/>
        </w:rPr>
        <w:t>Ibid.</w:t>
      </w:r>
      <w:r w:rsidRPr="00C539F3">
        <w:rPr>
          <w:rFonts w:ascii="Arial" w:hAnsi="Arial" w:cs="Arial"/>
          <w:sz w:val="16"/>
          <w:szCs w:val="16"/>
          <w:lang w:val="es-ES"/>
        </w:rPr>
        <w:t>., p. 54.</w:t>
      </w:r>
    </w:p>
    <w:p w14:paraId="0E34B40A" w14:textId="77777777" w:rsidR="00555D1F" w:rsidRPr="00C539F3" w:rsidRDefault="00555D1F" w:rsidP="00555D1F">
      <w:pPr>
        <w:pStyle w:val="Textonotapie"/>
        <w:ind w:firstLine="709"/>
        <w:jc w:val="both"/>
        <w:rPr>
          <w:rFonts w:ascii="Arial" w:hAnsi="Arial" w:cs="Arial"/>
          <w:sz w:val="16"/>
          <w:szCs w:val="16"/>
          <w:lang w:val="es-ES"/>
        </w:rPr>
      </w:pPr>
    </w:p>
  </w:footnote>
  <w:footnote w:id="12">
    <w:p w14:paraId="16EBA2BA" w14:textId="77777777" w:rsidR="00555D1F" w:rsidRPr="00C539F3" w:rsidRDefault="00555D1F" w:rsidP="00555D1F">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sz w:val="16"/>
          <w:szCs w:val="16"/>
          <w:lang w:val="es-ES"/>
        </w:rPr>
        <w:t xml:space="preserve">DÁVILA VINUEZA, Luis Guillermo. Régimen jurídico de la contratación estatal. </w:t>
      </w:r>
      <w:r w:rsidRPr="00C539F3">
        <w:rPr>
          <w:rFonts w:ascii="Arial" w:hAnsi="Arial" w:cs="Arial"/>
          <w:sz w:val="16"/>
          <w:szCs w:val="16"/>
          <w:lang w:val="en-US"/>
        </w:rPr>
        <w:t>2ª ed. Bogotá: Legis, 2006, p. 53.</w:t>
      </w:r>
    </w:p>
    <w:p w14:paraId="68CE6ACC" w14:textId="77777777" w:rsidR="00555D1F" w:rsidRPr="00C539F3" w:rsidRDefault="00555D1F" w:rsidP="00555D1F">
      <w:pPr>
        <w:pStyle w:val="Textonotapie"/>
        <w:ind w:firstLine="709"/>
        <w:jc w:val="both"/>
        <w:rPr>
          <w:rFonts w:ascii="Arial" w:hAnsi="Arial" w:cs="Arial"/>
          <w:sz w:val="16"/>
          <w:szCs w:val="16"/>
          <w:lang w:val="en-US"/>
        </w:rPr>
      </w:pPr>
    </w:p>
  </w:footnote>
  <w:footnote w:id="13">
    <w:p w14:paraId="51E3FAE9" w14:textId="53F75619" w:rsidR="00555D1F" w:rsidRPr="00C539F3" w:rsidRDefault="00555D1F" w:rsidP="00555D1F">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lang w:val="en-US"/>
        </w:rPr>
        <w:t xml:space="preserve"> </w:t>
      </w:r>
      <w:r w:rsidR="00557AE7" w:rsidRPr="00C539F3">
        <w:rPr>
          <w:rFonts w:ascii="Arial" w:hAnsi="Arial" w:cs="Arial"/>
          <w:sz w:val="16"/>
          <w:szCs w:val="16"/>
          <w:lang w:val="en-US"/>
        </w:rPr>
        <w:t>Ibid</w:t>
      </w:r>
      <w:r w:rsidRPr="00C539F3">
        <w:rPr>
          <w:rFonts w:ascii="Arial" w:hAnsi="Arial" w:cs="Arial"/>
          <w:sz w:val="16"/>
          <w:szCs w:val="16"/>
          <w:lang w:val="en-US"/>
        </w:rPr>
        <w:t>., p. 53.</w:t>
      </w:r>
    </w:p>
    <w:p w14:paraId="321D9E94" w14:textId="77777777" w:rsidR="00555D1F" w:rsidRPr="00C539F3" w:rsidRDefault="00555D1F" w:rsidP="00555D1F">
      <w:pPr>
        <w:pStyle w:val="Textonotapie"/>
        <w:ind w:firstLine="709"/>
        <w:jc w:val="both"/>
        <w:rPr>
          <w:rFonts w:ascii="Arial" w:hAnsi="Arial" w:cs="Arial"/>
          <w:sz w:val="16"/>
          <w:szCs w:val="16"/>
          <w:lang w:val="en-US"/>
        </w:rPr>
      </w:pPr>
    </w:p>
  </w:footnote>
  <w:footnote w:id="14">
    <w:p w14:paraId="355956C1" w14:textId="77777777" w:rsidR="00555D1F" w:rsidRPr="00C539F3" w:rsidRDefault="00555D1F" w:rsidP="00555D1F">
      <w:pPr>
        <w:pStyle w:val="Textonotapie"/>
        <w:ind w:firstLine="709"/>
        <w:jc w:val="both"/>
        <w:rPr>
          <w:rFonts w:ascii="Arial" w:hAnsi="Arial" w:cs="Arial"/>
          <w:sz w:val="16"/>
          <w:szCs w:val="16"/>
          <w:lang w:val="en-US"/>
        </w:rPr>
      </w:pPr>
      <w:r w:rsidRPr="00C539F3">
        <w:rPr>
          <w:rStyle w:val="Refdenotaalpie"/>
          <w:rFonts w:ascii="Arial" w:hAnsi="Arial" w:cs="Arial"/>
          <w:sz w:val="16"/>
          <w:szCs w:val="16"/>
        </w:rPr>
        <w:footnoteRef/>
      </w:r>
      <w:r w:rsidRPr="00C539F3">
        <w:rPr>
          <w:rFonts w:ascii="Arial" w:hAnsi="Arial" w:cs="Arial"/>
          <w:sz w:val="16"/>
          <w:szCs w:val="16"/>
          <w:lang w:val="en-US"/>
        </w:rPr>
        <w:t xml:space="preserve"> En:</w:t>
      </w:r>
    </w:p>
    <w:p w14:paraId="3F61EC6D" w14:textId="77777777" w:rsidR="00555D1F" w:rsidRPr="00C539F3" w:rsidRDefault="00555D1F" w:rsidP="00555D1F">
      <w:pPr>
        <w:pStyle w:val="Textonotapie"/>
        <w:ind w:firstLine="709"/>
        <w:jc w:val="both"/>
        <w:rPr>
          <w:rFonts w:ascii="Arial" w:hAnsi="Arial" w:cs="Arial"/>
          <w:sz w:val="16"/>
          <w:szCs w:val="16"/>
          <w:lang w:val="en-US"/>
        </w:rPr>
      </w:pPr>
      <w:r w:rsidRPr="00C539F3">
        <w:rPr>
          <w:rFonts w:ascii="Arial" w:hAnsi="Arial" w:cs="Arial"/>
          <w:sz w:val="16"/>
          <w:szCs w:val="16"/>
          <w:lang w:val="en-US"/>
        </w:rPr>
        <w:t>https://www.iadb.org/es/cooperaciontecnica#:~:text=El%20BID%20financia%20programas%20de,formulaci%C3%B3n%20y%20preparaci%C3%B3n%20de%20proyectos.</w:t>
      </w:r>
    </w:p>
  </w:footnote>
  <w:footnote w:id="15">
    <w:p w14:paraId="2AB7E1EC"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Consejo de Estado. Sección Tercera. Subsección A. Sentencia del 26 de agosto de 2015. Consejero Ponente: Hernán Andrade Rincón. Expediente: 38.691.</w:t>
      </w:r>
    </w:p>
    <w:p w14:paraId="6B62E9C8" w14:textId="77777777" w:rsidR="00555D1F" w:rsidRPr="00C539F3" w:rsidRDefault="00555D1F" w:rsidP="00555D1F">
      <w:pPr>
        <w:pStyle w:val="Textonotapie"/>
        <w:ind w:firstLine="709"/>
        <w:jc w:val="both"/>
        <w:rPr>
          <w:rFonts w:ascii="Arial" w:hAnsi="Arial" w:cs="Arial"/>
          <w:sz w:val="16"/>
          <w:szCs w:val="16"/>
          <w:lang w:val="es-ES"/>
        </w:rPr>
      </w:pPr>
    </w:p>
  </w:footnote>
  <w:footnote w:id="16">
    <w:p w14:paraId="4CAF8FB2" w14:textId="481088EF" w:rsidR="00555D1F" w:rsidRPr="00C539F3" w:rsidRDefault="00555D1F" w:rsidP="00555D1F">
      <w:pPr>
        <w:pStyle w:val="Textonotapie"/>
        <w:ind w:firstLine="709"/>
        <w:jc w:val="both"/>
        <w:rPr>
          <w:rFonts w:ascii="Arial" w:hAnsi="Arial" w:cs="Arial"/>
          <w:sz w:val="16"/>
          <w:szCs w:val="16"/>
          <w:lang w:val="es-ES"/>
        </w:rPr>
      </w:pPr>
      <w:r w:rsidRPr="00C539F3">
        <w:rPr>
          <w:rStyle w:val="Refdenotaalpie"/>
          <w:rFonts w:ascii="Arial" w:hAnsi="Arial" w:cs="Arial"/>
          <w:sz w:val="16"/>
          <w:szCs w:val="16"/>
        </w:rPr>
        <w:footnoteRef/>
      </w:r>
      <w:r w:rsidRPr="00C539F3">
        <w:rPr>
          <w:rFonts w:ascii="Arial" w:hAnsi="Arial" w:cs="Arial"/>
          <w:sz w:val="16"/>
          <w:szCs w:val="16"/>
        </w:rPr>
        <w:t xml:space="preserve"> </w:t>
      </w:r>
      <w:r w:rsidR="00557AE7" w:rsidRPr="00C539F3">
        <w:rPr>
          <w:rFonts w:ascii="Arial" w:hAnsi="Arial" w:cs="Arial"/>
          <w:sz w:val="16"/>
          <w:szCs w:val="16"/>
          <w:lang w:val="es-ES"/>
        </w:rPr>
        <w:t>Ibid.</w:t>
      </w:r>
      <w:r w:rsidRPr="00C539F3">
        <w:rPr>
          <w:rFonts w:ascii="Arial" w:hAnsi="Arial" w:cs="Arial"/>
          <w:sz w:val="16"/>
          <w:szCs w:val="16"/>
          <w:lang w:val="es-ES"/>
        </w:rPr>
        <w:t>.</w:t>
      </w:r>
    </w:p>
  </w:footnote>
  <w:footnote w:id="17">
    <w:p w14:paraId="06288B31" w14:textId="77777777" w:rsidR="00555D1F" w:rsidRPr="00C539F3" w:rsidRDefault="00555D1F" w:rsidP="00555D1F">
      <w:pPr>
        <w:pStyle w:val="Textonotapie"/>
        <w:ind w:firstLine="709"/>
        <w:jc w:val="both"/>
        <w:rPr>
          <w:rFonts w:ascii="Arial" w:hAnsi="Arial" w:cs="Arial"/>
          <w:color w:val="000000"/>
          <w:sz w:val="16"/>
          <w:szCs w:val="16"/>
          <w:lang w:val="es-ES_tradnl"/>
        </w:rPr>
      </w:pPr>
      <w:r w:rsidRPr="00C539F3">
        <w:rPr>
          <w:rStyle w:val="Refdenotaalpie"/>
          <w:rFonts w:ascii="Arial" w:hAnsi="Arial" w:cs="Arial"/>
          <w:sz w:val="16"/>
          <w:szCs w:val="16"/>
        </w:rPr>
        <w:footnoteRef/>
      </w:r>
      <w:r w:rsidRPr="00C539F3">
        <w:rPr>
          <w:rFonts w:ascii="Arial" w:hAnsi="Arial" w:cs="Arial"/>
          <w:sz w:val="16"/>
          <w:szCs w:val="16"/>
        </w:rPr>
        <w:t xml:space="preserve"> Consejo de Estado. Sala de Consulta y Servicio Civil. Concepto del 25 de septiembre de 2018. Consejero Ponente: Edgar González López. Radicado: </w:t>
      </w:r>
      <w:r w:rsidRPr="00C539F3">
        <w:rPr>
          <w:rFonts w:ascii="Arial" w:hAnsi="Arial" w:cs="Arial"/>
          <w:color w:val="000000"/>
          <w:sz w:val="16"/>
          <w:szCs w:val="16"/>
          <w:lang w:val="es-ES_tradnl"/>
        </w:rPr>
        <w:t>11001-03-06-000-2018-00129-00(2389).</w:t>
      </w:r>
    </w:p>
    <w:p w14:paraId="5C707D03" w14:textId="77777777" w:rsidR="00555D1F" w:rsidRPr="00C539F3" w:rsidRDefault="00555D1F" w:rsidP="00555D1F">
      <w:pPr>
        <w:pStyle w:val="Textonotapie"/>
        <w:ind w:firstLine="709"/>
        <w:jc w:val="both"/>
        <w:rPr>
          <w:rFonts w:ascii="Arial" w:hAnsi="Arial" w:cs="Arial"/>
          <w:sz w:val="16"/>
          <w:szCs w:val="16"/>
        </w:rPr>
      </w:pPr>
    </w:p>
  </w:footnote>
  <w:footnote w:id="18">
    <w:p w14:paraId="6278CE5B" w14:textId="77777777" w:rsidR="00555D1F" w:rsidRPr="00C539F3" w:rsidRDefault="00555D1F" w:rsidP="00555D1F">
      <w:pPr>
        <w:pStyle w:val="bodytext21"/>
        <w:spacing w:before="0" w:beforeAutospacing="0" w:after="0" w:afterAutospacing="0"/>
        <w:ind w:firstLine="709"/>
        <w:jc w:val="both"/>
        <w:rPr>
          <w:rFonts w:ascii="Arial" w:hAnsi="Arial" w:cs="Arial"/>
          <w:sz w:val="16"/>
          <w:szCs w:val="16"/>
          <w:lang w:val="es-ES"/>
        </w:rPr>
      </w:pPr>
      <w:r w:rsidRPr="00C539F3">
        <w:rPr>
          <w:rFonts w:ascii="Arial" w:hAnsi="Arial" w:cs="Arial"/>
          <w:sz w:val="16"/>
          <w:szCs w:val="16"/>
          <w:vertAlign w:val="superscript"/>
        </w:rPr>
        <w:footnoteRef/>
      </w:r>
      <w:r w:rsidRPr="00C539F3">
        <w:rPr>
          <w:rFonts w:ascii="Arial" w:hAnsi="Arial" w:cs="Arial"/>
          <w:sz w:val="16"/>
          <w:szCs w:val="16"/>
          <w:vertAlign w:val="superscript"/>
        </w:rPr>
        <w:t xml:space="preserve"> </w:t>
      </w:r>
      <w:r w:rsidRPr="00C539F3">
        <w:rPr>
          <w:rFonts w:ascii="Arial" w:hAnsi="Arial" w:cs="Arial"/>
          <w:sz w:val="16"/>
          <w:szCs w:val="16"/>
          <w:lang w:val="es-ES"/>
        </w:rPr>
        <w:t>Esta norma fue expresamente derogada por el art. 32 de la Ley 1150 de 2007.</w:t>
      </w:r>
    </w:p>
  </w:footnote>
  <w:footnote w:id="19">
    <w:p w14:paraId="4F9152F9"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Gerencia de Recursos Físicos y Financieros. Programa Administración pública territorial. Escuela Superior de Administración Pública. Bogotá. 2008. Pág. 22.</w:t>
      </w:r>
    </w:p>
  </w:footnote>
  <w:footnote w:id="20">
    <w:p w14:paraId="1528F31A"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ROMERO ROMERO, Enrique. </w:t>
      </w:r>
      <w:r w:rsidRPr="00C539F3">
        <w:rPr>
          <w:rFonts w:ascii="Arial" w:hAnsi="Arial" w:cs="Arial"/>
          <w:i/>
          <w:iCs/>
          <w:sz w:val="16"/>
          <w:szCs w:val="16"/>
        </w:rPr>
        <w:t xml:space="preserve">Presupuesto Público y Contabilidad Gubernamental.ECOE ediciones. </w:t>
      </w:r>
      <w:r w:rsidRPr="00C539F3">
        <w:rPr>
          <w:rFonts w:ascii="Arial" w:hAnsi="Arial" w:cs="Arial"/>
          <w:sz w:val="16"/>
          <w:szCs w:val="16"/>
        </w:rPr>
        <w:t xml:space="preserve">Quinta Edición. Bogotá. 2013. </w:t>
      </w:r>
    </w:p>
    <w:p w14:paraId="5F02DB59" w14:textId="77777777" w:rsidR="00555D1F" w:rsidRPr="00C539F3" w:rsidRDefault="00555D1F" w:rsidP="00555D1F">
      <w:pPr>
        <w:pStyle w:val="Textonotapie"/>
        <w:ind w:firstLine="709"/>
        <w:jc w:val="both"/>
        <w:rPr>
          <w:rFonts w:ascii="Arial" w:hAnsi="Arial" w:cs="Arial"/>
          <w:sz w:val="16"/>
          <w:szCs w:val="16"/>
        </w:rPr>
      </w:pPr>
    </w:p>
  </w:footnote>
  <w:footnote w:id="21">
    <w:p w14:paraId="0BA5DA4C"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27. Los ingresos corrientes se clasificarán en tributarios y no tributarios. Los ingresos tributarios se subclasificarán en impuestos directos e indirectos, y los ingresos no tributarios comprenderán las tasas y las multas (L. 38/89, art. 20; L. 179/94, art. 55, inc. 10, y arts. 67 y 71).</w:t>
      </w:r>
    </w:p>
  </w:footnote>
  <w:footnote w:id="22">
    <w:p w14:paraId="74B45DD6" w14:textId="77777777" w:rsidR="00555D1F" w:rsidRPr="00C539F3" w:rsidRDefault="00555D1F" w:rsidP="00555D1F">
      <w:pPr>
        <w:pStyle w:val="Textonotapie"/>
        <w:ind w:firstLine="709"/>
        <w:jc w:val="both"/>
        <w:rPr>
          <w:rFonts w:ascii="Arial" w:hAnsi="Arial" w:cs="Arial"/>
          <w:sz w:val="16"/>
          <w:szCs w:val="16"/>
        </w:rPr>
      </w:pPr>
    </w:p>
    <w:p w14:paraId="4680DED7"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RESTREPO, Juan Camilo. </w:t>
      </w:r>
      <w:r w:rsidRPr="00C539F3">
        <w:rPr>
          <w:rFonts w:ascii="Arial" w:hAnsi="Arial" w:cs="Arial"/>
          <w:i/>
          <w:iCs/>
          <w:sz w:val="16"/>
          <w:szCs w:val="16"/>
        </w:rPr>
        <w:t>Hacienda Pública.</w:t>
      </w:r>
      <w:r w:rsidRPr="00C539F3">
        <w:rPr>
          <w:rFonts w:ascii="Arial" w:hAnsi="Arial" w:cs="Arial"/>
          <w:sz w:val="16"/>
          <w:szCs w:val="16"/>
        </w:rPr>
        <w:t xml:space="preserve"> Ed. Universidad Externado de Colombia. Decimo primera Edición. Bogotá. 2020. </w:t>
      </w:r>
    </w:p>
  </w:footnote>
  <w:footnote w:id="23">
    <w:p w14:paraId="58F1C0EF" w14:textId="77777777" w:rsidR="00555D1F" w:rsidRPr="00C539F3" w:rsidRDefault="00555D1F" w:rsidP="00555D1F">
      <w:pPr>
        <w:pStyle w:val="Textonotapie"/>
        <w:ind w:firstLine="709"/>
        <w:jc w:val="both"/>
        <w:rPr>
          <w:rFonts w:ascii="Arial" w:hAnsi="Arial" w:cs="Arial"/>
          <w:sz w:val="16"/>
          <w:szCs w:val="16"/>
        </w:rPr>
      </w:pPr>
    </w:p>
    <w:p w14:paraId="4D838111" w14:textId="77777777" w:rsidR="00555D1F" w:rsidRPr="00C539F3" w:rsidRDefault="00555D1F" w:rsidP="00555D1F">
      <w:pPr>
        <w:pStyle w:val="Textonotapie"/>
        <w:ind w:firstLine="709"/>
        <w:jc w:val="both"/>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29. Son contribuciones parafiscales los gravámenes establecidos con carácter obligatorio por la ley, que afectan a un determinado y único grupo social y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14:paraId="48FB46C3" w14:textId="77777777" w:rsidR="00555D1F" w:rsidRPr="00C539F3" w:rsidRDefault="00555D1F" w:rsidP="00555D1F">
      <w:pPr>
        <w:pStyle w:val="Textonotapie"/>
        <w:ind w:firstLine="709"/>
        <w:jc w:val="both"/>
        <w:rPr>
          <w:rFonts w:ascii="Arial" w:hAnsi="Arial" w:cs="Arial"/>
          <w:sz w:val="16"/>
          <w:szCs w:val="16"/>
        </w:rPr>
      </w:pPr>
      <w:r w:rsidRPr="00C539F3">
        <w:rPr>
          <w:rFonts w:ascii="Arial" w:hAnsi="Arial" w:cs="Arial"/>
          <w:sz w:val="16"/>
          <w:szCs w:val="16"/>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 (L. 179/94, art. 12; L. 225/95, art. 2)».</w:t>
      </w:r>
    </w:p>
  </w:footnote>
  <w:footnote w:id="24">
    <w:p w14:paraId="6AD67BA8" w14:textId="77777777" w:rsidR="00555D1F" w:rsidRPr="00C539F3" w:rsidRDefault="00555D1F" w:rsidP="00555D1F">
      <w:pPr>
        <w:pStyle w:val="Textonotapie"/>
        <w:ind w:firstLine="709"/>
        <w:jc w:val="both"/>
        <w:rPr>
          <w:rFonts w:ascii="Arial" w:hAnsi="Arial" w:cs="Arial"/>
          <w:sz w:val="16"/>
          <w:szCs w:val="16"/>
        </w:rPr>
      </w:pPr>
    </w:p>
    <w:p w14:paraId="4152CD8C" w14:textId="77777777" w:rsidR="00555D1F" w:rsidRPr="00C539F3" w:rsidRDefault="00555D1F" w:rsidP="00555D1F">
      <w:pPr>
        <w:pStyle w:val="Textonotapie"/>
        <w:ind w:firstLine="709"/>
        <w:jc w:val="both"/>
        <w:rPr>
          <w:rFonts w:ascii="Arial" w:hAnsi="Arial" w:cs="Arial"/>
          <w:i/>
          <w:iCs/>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w:t>
      </w:r>
      <w:r w:rsidRPr="00C539F3">
        <w:rPr>
          <w:rFonts w:ascii="Arial" w:hAnsi="Arial" w:cs="Arial"/>
          <w:i/>
          <w:iCs/>
          <w:sz w:val="16"/>
          <w:szCs w:val="16"/>
        </w:rPr>
        <w:t xml:space="preserve">Ibíd. </w:t>
      </w:r>
    </w:p>
  </w:footnote>
  <w:footnote w:id="25">
    <w:p w14:paraId="20A454E5" w14:textId="77777777" w:rsidR="00555D1F" w:rsidRPr="00C539F3" w:rsidRDefault="00555D1F" w:rsidP="00555D1F">
      <w:pPr>
        <w:pStyle w:val="Textonotapie"/>
        <w:ind w:firstLine="708"/>
        <w:rPr>
          <w:rFonts w:ascii="Arial" w:hAnsi="Arial" w:cs="Arial"/>
          <w:sz w:val="16"/>
          <w:szCs w:val="16"/>
        </w:rPr>
      </w:pPr>
      <w:r w:rsidRPr="00C539F3">
        <w:rPr>
          <w:rStyle w:val="Refdenotaalpie"/>
          <w:rFonts w:ascii="Arial" w:hAnsi="Arial" w:cs="Arial"/>
          <w:sz w:val="16"/>
          <w:szCs w:val="16"/>
        </w:rPr>
        <w:footnoteRef/>
      </w:r>
      <w:r w:rsidRPr="00C539F3">
        <w:rPr>
          <w:rFonts w:ascii="Arial" w:hAnsi="Arial" w:cs="Arial"/>
          <w:sz w:val="16"/>
          <w:szCs w:val="16"/>
        </w:rPr>
        <w:t xml:space="preserve"> Artículo 27 del Decreto 111 de 1996.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FE196E"/>
    <w:multiLevelType w:val="multilevel"/>
    <w:tmpl w:val="77A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9366E"/>
    <w:multiLevelType w:val="multilevel"/>
    <w:tmpl w:val="A4F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87139940">
    <w:abstractNumId w:val="0"/>
  </w:num>
  <w:num w:numId="7" w16cid:durableId="1308169247">
    <w:abstractNumId w:val="5"/>
  </w:num>
  <w:num w:numId="8" w16cid:durableId="64254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267A"/>
    <w:rsid w:val="00036409"/>
    <w:rsid w:val="0003710B"/>
    <w:rsid w:val="00074A9F"/>
    <w:rsid w:val="000873BE"/>
    <w:rsid w:val="000A683E"/>
    <w:rsid w:val="000B19B9"/>
    <w:rsid w:val="000C34CE"/>
    <w:rsid w:val="000D0334"/>
    <w:rsid w:val="000F2459"/>
    <w:rsid w:val="000F6486"/>
    <w:rsid w:val="0010070D"/>
    <w:rsid w:val="00112EE4"/>
    <w:rsid w:val="001139CC"/>
    <w:rsid w:val="00125105"/>
    <w:rsid w:val="00127233"/>
    <w:rsid w:val="001437F9"/>
    <w:rsid w:val="00153D38"/>
    <w:rsid w:val="00163CC9"/>
    <w:rsid w:val="00163FF4"/>
    <w:rsid w:val="00164DD7"/>
    <w:rsid w:val="001A60A7"/>
    <w:rsid w:val="001C489F"/>
    <w:rsid w:val="001E4177"/>
    <w:rsid w:val="001F228D"/>
    <w:rsid w:val="00237C01"/>
    <w:rsid w:val="00241A22"/>
    <w:rsid w:val="002551D2"/>
    <w:rsid w:val="00267D4D"/>
    <w:rsid w:val="00270C90"/>
    <w:rsid w:val="00280AD4"/>
    <w:rsid w:val="0028627B"/>
    <w:rsid w:val="002951A0"/>
    <w:rsid w:val="002962BC"/>
    <w:rsid w:val="002A093D"/>
    <w:rsid w:val="002A11CE"/>
    <w:rsid w:val="002A49AC"/>
    <w:rsid w:val="002A64FD"/>
    <w:rsid w:val="002C4650"/>
    <w:rsid w:val="002C7A84"/>
    <w:rsid w:val="002E401A"/>
    <w:rsid w:val="002F27FC"/>
    <w:rsid w:val="00311A8A"/>
    <w:rsid w:val="00320A37"/>
    <w:rsid w:val="00336F10"/>
    <w:rsid w:val="003425E3"/>
    <w:rsid w:val="003448F4"/>
    <w:rsid w:val="003451B4"/>
    <w:rsid w:val="003456F6"/>
    <w:rsid w:val="00353F3E"/>
    <w:rsid w:val="00356F59"/>
    <w:rsid w:val="003674EE"/>
    <w:rsid w:val="00370810"/>
    <w:rsid w:val="003A19A6"/>
    <w:rsid w:val="003A29EC"/>
    <w:rsid w:val="003A779E"/>
    <w:rsid w:val="003D0F4D"/>
    <w:rsid w:val="003E00D6"/>
    <w:rsid w:val="003E0499"/>
    <w:rsid w:val="003E5087"/>
    <w:rsid w:val="003F3941"/>
    <w:rsid w:val="00400548"/>
    <w:rsid w:val="004129F5"/>
    <w:rsid w:val="00425C78"/>
    <w:rsid w:val="004366D8"/>
    <w:rsid w:val="00487BCC"/>
    <w:rsid w:val="004A1847"/>
    <w:rsid w:val="004A305D"/>
    <w:rsid w:val="004B437C"/>
    <w:rsid w:val="004D133D"/>
    <w:rsid w:val="004D3C98"/>
    <w:rsid w:val="004F21C4"/>
    <w:rsid w:val="004F685F"/>
    <w:rsid w:val="00506DDB"/>
    <w:rsid w:val="00534569"/>
    <w:rsid w:val="00535D76"/>
    <w:rsid w:val="00555D1F"/>
    <w:rsid w:val="005566E8"/>
    <w:rsid w:val="00557AE7"/>
    <w:rsid w:val="00571AA2"/>
    <w:rsid w:val="00574867"/>
    <w:rsid w:val="005A0A5D"/>
    <w:rsid w:val="005A1BEF"/>
    <w:rsid w:val="005B5656"/>
    <w:rsid w:val="005C5CDC"/>
    <w:rsid w:val="005C63AC"/>
    <w:rsid w:val="005D30B9"/>
    <w:rsid w:val="005D476C"/>
    <w:rsid w:val="005F42D4"/>
    <w:rsid w:val="005F7693"/>
    <w:rsid w:val="006219F8"/>
    <w:rsid w:val="00624099"/>
    <w:rsid w:val="00630509"/>
    <w:rsid w:val="00662777"/>
    <w:rsid w:val="00665BEA"/>
    <w:rsid w:val="00665D70"/>
    <w:rsid w:val="0067086B"/>
    <w:rsid w:val="00675BE3"/>
    <w:rsid w:val="00684531"/>
    <w:rsid w:val="00687E61"/>
    <w:rsid w:val="00694E67"/>
    <w:rsid w:val="006B0297"/>
    <w:rsid w:val="006B7E00"/>
    <w:rsid w:val="006F1140"/>
    <w:rsid w:val="006F5126"/>
    <w:rsid w:val="00706C16"/>
    <w:rsid w:val="00746E50"/>
    <w:rsid w:val="007543FE"/>
    <w:rsid w:val="00756841"/>
    <w:rsid w:val="007649AB"/>
    <w:rsid w:val="0077278D"/>
    <w:rsid w:val="007833AC"/>
    <w:rsid w:val="00784DF7"/>
    <w:rsid w:val="00785EC1"/>
    <w:rsid w:val="00790B5A"/>
    <w:rsid w:val="007B2C71"/>
    <w:rsid w:val="007B4484"/>
    <w:rsid w:val="007B7171"/>
    <w:rsid w:val="007C3DC2"/>
    <w:rsid w:val="007E17AB"/>
    <w:rsid w:val="007E3FE8"/>
    <w:rsid w:val="007E5497"/>
    <w:rsid w:val="007E589E"/>
    <w:rsid w:val="00806F5F"/>
    <w:rsid w:val="00820278"/>
    <w:rsid w:val="00825BA1"/>
    <w:rsid w:val="008544E8"/>
    <w:rsid w:val="008757A8"/>
    <w:rsid w:val="008843B6"/>
    <w:rsid w:val="008869E0"/>
    <w:rsid w:val="00891928"/>
    <w:rsid w:val="008A0B9D"/>
    <w:rsid w:val="008A446D"/>
    <w:rsid w:val="008A4F35"/>
    <w:rsid w:val="008C48ED"/>
    <w:rsid w:val="008E33E5"/>
    <w:rsid w:val="008E40AC"/>
    <w:rsid w:val="008F07AC"/>
    <w:rsid w:val="008F0EA7"/>
    <w:rsid w:val="008F572D"/>
    <w:rsid w:val="00905A68"/>
    <w:rsid w:val="00923EEF"/>
    <w:rsid w:val="009355D9"/>
    <w:rsid w:val="009419F9"/>
    <w:rsid w:val="00945CC2"/>
    <w:rsid w:val="00960E60"/>
    <w:rsid w:val="0096199E"/>
    <w:rsid w:val="00961B09"/>
    <w:rsid w:val="00965334"/>
    <w:rsid w:val="00966A7B"/>
    <w:rsid w:val="0097093E"/>
    <w:rsid w:val="00981405"/>
    <w:rsid w:val="009A3534"/>
    <w:rsid w:val="009A75EA"/>
    <w:rsid w:val="009B33CE"/>
    <w:rsid w:val="009C379B"/>
    <w:rsid w:val="009C71FA"/>
    <w:rsid w:val="009C72E7"/>
    <w:rsid w:val="009E0984"/>
    <w:rsid w:val="009F1648"/>
    <w:rsid w:val="00A16256"/>
    <w:rsid w:val="00A17F13"/>
    <w:rsid w:val="00A20739"/>
    <w:rsid w:val="00A27A00"/>
    <w:rsid w:val="00A33C78"/>
    <w:rsid w:val="00A43609"/>
    <w:rsid w:val="00A46920"/>
    <w:rsid w:val="00A54309"/>
    <w:rsid w:val="00A56B9A"/>
    <w:rsid w:val="00AB0ADB"/>
    <w:rsid w:val="00AB4D28"/>
    <w:rsid w:val="00AB7357"/>
    <w:rsid w:val="00AC2D16"/>
    <w:rsid w:val="00AD1B92"/>
    <w:rsid w:val="00AE6640"/>
    <w:rsid w:val="00B02FCC"/>
    <w:rsid w:val="00B35C31"/>
    <w:rsid w:val="00B5541D"/>
    <w:rsid w:val="00B62CC0"/>
    <w:rsid w:val="00B63D3E"/>
    <w:rsid w:val="00B67A67"/>
    <w:rsid w:val="00B72CD3"/>
    <w:rsid w:val="00B72FFF"/>
    <w:rsid w:val="00B77888"/>
    <w:rsid w:val="00B857D9"/>
    <w:rsid w:val="00BB7AC3"/>
    <w:rsid w:val="00BC4226"/>
    <w:rsid w:val="00BD225B"/>
    <w:rsid w:val="00BD7F72"/>
    <w:rsid w:val="00BE6E62"/>
    <w:rsid w:val="00C03B11"/>
    <w:rsid w:val="00C04FB3"/>
    <w:rsid w:val="00C07C8C"/>
    <w:rsid w:val="00C330EB"/>
    <w:rsid w:val="00C3643E"/>
    <w:rsid w:val="00C46208"/>
    <w:rsid w:val="00C50E20"/>
    <w:rsid w:val="00C555F7"/>
    <w:rsid w:val="00C7102E"/>
    <w:rsid w:val="00C754BE"/>
    <w:rsid w:val="00C776FC"/>
    <w:rsid w:val="00C977B0"/>
    <w:rsid w:val="00CB0A3E"/>
    <w:rsid w:val="00CB6357"/>
    <w:rsid w:val="00CC1B26"/>
    <w:rsid w:val="00CC4D58"/>
    <w:rsid w:val="00CD385D"/>
    <w:rsid w:val="00CE2A8B"/>
    <w:rsid w:val="00CF6BD1"/>
    <w:rsid w:val="00D0375D"/>
    <w:rsid w:val="00D125BD"/>
    <w:rsid w:val="00D12B40"/>
    <w:rsid w:val="00D423A2"/>
    <w:rsid w:val="00D53BD8"/>
    <w:rsid w:val="00D63AC2"/>
    <w:rsid w:val="00D7383B"/>
    <w:rsid w:val="00D77D1C"/>
    <w:rsid w:val="00D83117"/>
    <w:rsid w:val="00D83D92"/>
    <w:rsid w:val="00DA231B"/>
    <w:rsid w:val="00DA4E35"/>
    <w:rsid w:val="00DD26D6"/>
    <w:rsid w:val="00DF05BA"/>
    <w:rsid w:val="00E11CC2"/>
    <w:rsid w:val="00E16408"/>
    <w:rsid w:val="00E20894"/>
    <w:rsid w:val="00E245AB"/>
    <w:rsid w:val="00E2584D"/>
    <w:rsid w:val="00E429C7"/>
    <w:rsid w:val="00E448F5"/>
    <w:rsid w:val="00E50AFE"/>
    <w:rsid w:val="00E636A5"/>
    <w:rsid w:val="00E771DC"/>
    <w:rsid w:val="00E8772A"/>
    <w:rsid w:val="00E90369"/>
    <w:rsid w:val="00E90F6B"/>
    <w:rsid w:val="00E92C27"/>
    <w:rsid w:val="00EA0E3D"/>
    <w:rsid w:val="00EC7BC2"/>
    <w:rsid w:val="00EE1AA8"/>
    <w:rsid w:val="00EE781B"/>
    <w:rsid w:val="00F055FF"/>
    <w:rsid w:val="00F07492"/>
    <w:rsid w:val="00F10277"/>
    <w:rsid w:val="00F14512"/>
    <w:rsid w:val="00F204AB"/>
    <w:rsid w:val="00F31EDC"/>
    <w:rsid w:val="00F35C61"/>
    <w:rsid w:val="00F4606B"/>
    <w:rsid w:val="00F559DC"/>
    <w:rsid w:val="00F5664F"/>
    <w:rsid w:val="00F56F3A"/>
    <w:rsid w:val="00F76AFC"/>
    <w:rsid w:val="00FA1CC6"/>
    <w:rsid w:val="00FB5DD1"/>
    <w:rsid w:val="00FC01C1"/>
    <w:rsid w:val="00FC0EF9"/>
    <w:rsid w:val="00FC2B5D"/>
    <w:rsid w:val="00FE2301"/>
    <w:rsid w:val="00FE4491"/>
    <w:rsid w:val="00FF0A51"/>
    <w:rsid w:val="00FF1449"/>
    <w:rsid w:val="09B74553"/>
    <w:rsid w:val="26F7A1AA"/>
    <w:rsid w:val="5411EC76"/>
    <w:rsid w:val="5D844A94"/>
    <w:rsid w:val="63EC6282"/>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67A67"/>
    <w:rPr>
      <w:rFonts w:ascii="Geomanist Light" w:hAnsi="Geomanist Light"/>
      <w:lang w:val="es-ES"/>
    </w:rPr>
  </w:style>
  <w:style w:type="paragraph" w:customStyle="1" w:styleId="Appelnotedebasde">
    <w:name w:val="Appel note de bas de..."/>
    <w:basedOn w:val="Normal"/>
    <w:link w:val="Refdenotaalpie"/>
    <w:rsid w:val="009A75EA"/>
    <w:pPr>
      <w:spacing w:line="240" w:lineRule="exact"/>
    </w:pPr>
    <w:rPr>
      <w:vertAlign w:val="superscript"/>
    </w:rPr>
  </w:style>
  <w:style w:type="paragraph" w:customStyle="1" w:styleId="paragraph">
    <w:name w:val="paragraph"/>
    <w:basedOn w:val="Normal"/>
    <w:rsid w:val="00B857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B857D9"/>
  </w:style>
  <w:style w:type="character" w:customStyle="1" w:styleId="superscript">
    <w:name w:val="superscript"/>
    <w:basedOn w:val="Fuentedeprrafopredeter"/>
    <w:rsid w:val="00036409"/>
  </w:style>
  <w:style w:type="paragraph" w:styleId="NormalWeb">
    <w:name w:val="Normal (Web)"/>
    <w:basedOn w:val="Normal"/>
    <w:link w:val="NormalWebCar"/>
    <w:uiPriority w:val="99"/>
    <w:unhideWhenUsed/>
    <w:rsid w:val="00555D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555D1F"/>
    <w:rPr>
      <w:rFonts w:ascii="Times New Roman" w:eastAsia="Times New Roman" w:hAnsi="Times New Roman" w:cs="Times New Roman"/>
      <w:sz w:val="24"/>
      <w:szCs w:val="24"/>
      <w:lang w:eastAsia="es-CO"/>
    </w:rPr>
  </w:style>
  <w:style w:type="character" w:customStyle="1" w:styleId="baj">
    <w:name w:val="b_aj"/>
    <w:basedOn w:val="Fuentedeprrafopredeter"/>
    <w:rsid w:val="00555D1F"/>
  </w:style>
  <w:style w:type="character" w:styleId="Textoennegrita">
    <w:name w:val="Strong"/>
    <w:basedOn w:val="Fuentedeprrafopredeter"/>
    <w:uiPriority w:val="22"/>
    <w:qFormat/>
    <w:rsid w:val="00555D1F"/>
    <w:rPr>
      <w:b/>
      <w:bCs/>
    </w:rPr>
  </w:style>
  <w:style w:type="paragraph" w:customStyle="1" w:styleId="bodytext21">
    <w:name w:val="bodytext21"/>
    <w:basedOn w:val="Normal"/>
    <w:rsid w:val="00555D1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32">
      <w:bodyDiv w:val="1"/>
      <w:marLeft w:val="0"/>
      <w:marRight w:val="0"/>
      <w:marTop w:val="0"/>
      <w:marBottom w:val="0"/>
      <w:divBdr>
        <w:top w:val="none" w:sz="0" w:space="0" w:color="auto"/>
        <w:left w:val="none" w:sz="0" w:space="0" w:color="auto"/>
        <w:bottom w:val="none" w:sz="0" w:space="0" w:color="auto"/>
        <w:right w:val="none" w:sz="0" w:space="0" w:color="auto"/>
      </w:divBdr>
      <w:divsChild>
        <w:div w:id="64189962">
          <w:marLeft w:val="0"/>
          <w:marRight w:val="0"/>
          <w:marTop w:val="0"/>
          <w:marBottom w:val="0"/>
          <w:divBdr>
            <w:top w:val="none" w:sz="0" w:space="0" w:color="auto"/>
            <w:left w:val="none" w:sz="0" w:space="0" w:color="auto"/>
            <w:bottom w:val="none" w:sz="0" w:space="0" w:color="auto"/>
            <w:right w:val="none" w:sz="0" w:space="0" w:color="auto"/>
          </w:divBdr>
        </w:div>
      </w:divsChild>
    </w:div>
    <w:div w:id="1015768959">
      <w:bodyDiv w:val="1"/>
      <w:marLeft w:val="0"/>
      <w:marRight w:val="0"/>
      <w:marTop w:val="0"/>
      <w:marBottom w:val="0"/>
      <w:divBdr>
        <w:top w:val="none" w:sz="0" w:space="0" w:color="auto"/>
        <w:left w:val="none" w:sz="0" w:space="0" w:color="auto"/>
        <w:bottom w:val="none" w:sz="0" w:space="0" w:color="auto"/>
        <w:right w:val="none" w:sz="0" w:space="0" w:color="auto"/>
      </w:divBdr>
      <w:divsChild>
        <w:div w:id="2126919986">
          <w:marLeft w:val="0"/>
          <w:marRight w:val="0"/>
          <w:marTop w:val="0"/>
          <w:marBottom w:val="0"/>
          <w:divBdr>
            <w:top w:val="none" w:sz="0" w:space="0" w:color="auto"/>
            <w:left w:val="none" w:sz="0" w:space="0" w:color="auto"/>
            <w:bottom w:val="none" w:sz="0" w:space="0" w:color="auto"/>
            <w:right w:val="none" w:sz="0" w:space="0" w:color="auto"/>
          </w:divBdr>
        </w:div>
        <w:div w:id="136533118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1646741656">
          <w:marLeft w:val="0"/>
          <w:marRight w:val="0"/>
          <w:marTop w:val="0"/>
          <w:marBottom w:val="0"/>
          <w:divBdr>
            <w:top w:val="none" w:sz="0" w:space="0" w:color="auto"/>
            <w:left w:val="none" w:sz="0" w:space="0" w:color="auto"/>
            <w:bottom w:val="none" w:sz="0" w:space="0" w:color="auto"/>
            <w:right w:val="none" w:sz="0" w:space="0" w:color="auto"/>
          </w:divBdr>
        </w:div>
        <w:div w:id="450174557">
          <w:marLeft w:val="0"/>
          <w:marRight w:val="0"/>
          <w:marTop w:val="0"/>
          <w:marBottom w:val="0"/>
          <w:divBdr>
            <w:top w:val="none" w:sz="0" w:space="0" w:color="auto"/>
            <w:left w:val="none" w:sz="0" w:space="0" w:color="auto"/>
            <w:bottom w:val="none" w:sz="0" w:space="0" w:color="auto"/>
            <w:right w:val="none" w:sz="0" w:space="0" w:color="auto"/>
          </w:divBdr>
        </w:div>
      </w:divsChild>
    </w:div>
    <w:div w:id="1657685028">
      <w:bodyDiv w:val="1"/>
      <w:marLeft w:val="0"/>
      <w:marRight w:val="0"/>
      <w:marTop w:val="0"/>
      <w:marBottom w:val="0"/>
      <w:divBdr>
        <w:top w:val="none" w:sz="0" w:space="0" w:color="auto"/>
        <w:left w:val="none" w:sz="0" w:space="0" w:color="auto"/>
        <w:bottom w:val="none" w:sz="0" w:space="0" w:color="auto"/>
        <w:right w:val="none" w:sz="0" w:space="0" w:color="auto"/>
      </w:divBdr>
      <w:divsChild>
        <w:div w:id="1792284387">
          <w:marLeft w:val="0"/>
          <w:marRight w:val="0"/>
          <w:marTop w:val="0"/>
          <w:marBottom w:val="0"/>
          <w:divBdr>
            <w:top w:val="none" w:sz="0" w:space="0" w:color="auto"/>
            <w:left w:val="none" w:sz="0" w:space="0" w:color="auto"/>
            <w:bottom w:val="none" w:sz="0" w:space="0" w:color="auto"/>
            <w:right w:val="none" w:sz="0" w:space="0" w:color="auto"/>
          </w:divBdr>
          <w:divsChild>
            <w:div w:id="1640724538">
              <w:marLeft w:val="0"/>
              <w:marRight w:val="0"/>
              <w:marTop w:val="0"/>
              <w:marBottom w:val="0"/>
              <w:divBdr>
                <w:top w:val="none" w:sz="0" w:space="0" w:color="auto"/>
                <w:left w:val="none" w:sz="0" w:space="0" w:color="auto"/>
                <w:bottom w:val="none" w:sz="0" w:space="0" w:color="auto"/>
                <w:right w:val="none" w:sz="0" w:space="0" w:color="auto"/>
              </w:divBdr>
            </w:div>
          </w:divsChild>
        </w:div>
        <w:div w:id="1534616185">
          <w:marLeft w:val="0"/>
          <w:marRight w:val="0"/>
          <w:marTop w:val="0"/>
          <w:marBottom w:val="0"/>
          <w:divBdr>
            <w:top w:val="none" w:sz="0" w:space="0" w:color="auto"/>
            <w:left w:val="none" w:sz="0" w:space="0" w:color="auto"/>
            <w:bottom w:val="none" w:sz="0" w:space="0" w:color="auto"/>
            <w:right w:val="none" w:sz="0" w:space="0" w:color="auto"/>
          </w:divBdr>
          <w:divsChild>
            <w:div w:id="2129615697">
              <w:marLeft w:val="0"/>
              <w:marRight w:val="0"/>
              <w:marTop w:val="0"/>
              <w:marBottom w:val="0"/>
              <w:divBdr>
                <w:top w:val="none" w:sz="0" w:space="0" w:color="auto"/>
                <w:left w:val="none" w:sz="0" w:space="0" w:color="auto"/>
                <w:bottom w:val="none" w:sz="0" w:space="0" w:color="auto"/>
                <w:right w:val="none" w:sz="0" w:space="0" w:color="auto"/>
              </w:divBdr>
            </w:div>
            <w:div w:id="259073059">
              <w:marLeft w:val="0"/>
              <w:marRight w:val="0"/>
              <w:marTop w:val="0"/>
              <w:marBottom w:val="0"/>
              <w:divBdr>
                <w:top w:val="none" w:sz="0" w:space="0" w:color="auto"/>
                <w:left w:val="none" w:sz="0" w:space="0" w:color="auto"/>
                <w:bottom w:val="none" w:sz="0" w:space="0" w:color="auto"/>
                <w:right w:val="none" w:sz="0" w:space="0" w:color="auto"/>
              </w:divBdr>
            </w:div>
            <w:div w:id="1474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48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0434">
          <w:marLeft w:val="0"/>
          <w:marRight w:val="0"/>
          <w:marTop w:val="0"/>
          <w:marBottom w:val="0"/>
          <w:divBdr>
            <w:top w:val="none" w:sz="0" w:space="0" w:color="auto"/>
            <w:left w:val="none" w:sz="0" w:space="0" w:color="auto"/>
            <w:bottom w:val="none" w:sz="0" w:space="0" w:color="auto"/>
            <w:right w:val="none" w:sz="0" w:space="0" w:color="auto"/>
          </w:divBdr>
        </w:div>
        <w:div w:id="1667131073">
          <w:marLeft w:val="0"/>
          <w:marRight w:val="0"/>
          <w:marTop w:val="0"/>
          <w:marBottom w:val="0"/>
          <w:divBdr>
            <w:top w:val="none" w:sz="0" w:space="0" w:color="auto"/>
            <w:left w:val="none" w:sz="0" w:space="0" w:color="auto"/>
            <w:bottom w:val="none" w:sz="0" w:space="0" w:color="auto"/>
            <w:right w:val="none" w:sz="0" w:space="0" w:color="auto"/>
          </w:divBdr>
        </w:div>
        <w:div w:id="419252853">
          <w:marLeft w:val="0"/>
          <w:marRight w:val="0"/>
          <w:marTop w:val="0"/>
          <w:marBottom w:val="0"/>
          <w:divBdr>
            <w:top w:val="none" w:sz="0" w:space="0" w:color="auto"/>
            <w:left w:val="none" w:sz="0" w:space="0" w:color="auto"/>
            <w:bottom w:val="none" w:sz="0" w:space="0" w:color="auto"/>
            <w:right w:val="none" w:sz="0" w:space="0" w:color="auto"/>
          </w:divBdr>
        </w:div>
        <w:div w:id="16777676">
          <w:marLeft w:val="0"/>
          <w:marRight w:val="0"/>
          <w:marTop w:val="0"/>
          <w:marBottom w:val="0"/>
          <w:divBdr>
            <w:top w:val="none" w:sz="0" w:space="0" w:color="auto"/>
            <w:left w:val="none" w:sz="0" w:space="0" w:color="auto"/>
            <w:bottom w:val="none" w:sz="0" w:space="0" w:color="auto"/>
            <w:right w:val="none" w:sz="0" w:space="0" w:color="auto"/>
          </w:divBdr>
        </w:div>
        <w:div w:id="1712921844">
          <w:marLeft w:val="0"/>
          <w:marRight w:val="0"/>
          <w:marTop w:val="0"/>
          <w:marBottom w:val="0"/>
          <w:divBdr>
            <w:top w:val="none" w:sz="0" w:space="0" w:color="auto"/>
            <w:left w:val="none" w:sz="0" w:space="0" w:color="auto"/>
            <w:bottom w:val="none" w:sz="0" w:space="0" w:color="auto"/>
            <w:right w:val="none" w:sz="0" w:space="0" w:color="auto"/>
          </w:divBdr>
        </w:div>
        <w:div w:id="1339313608">
          <w:marLeft w:val="0"/>
          <w:marRight w:val="0"/>
          <w:marTop w:val="0"/>
          <w:marBottom w:val="0"/>
          <w:divBdr>
            <w:top w:val="none" w:sz="0" w:space="0" w:color="auto"/>
            <w:left w:val="none" w:sz="0" w:space="0" w:color="auto"/>
            <w:bottom w:val="none" w:sz="0" w:space="0" w:color="auto"/>
            <w:right w:val="none" w:sz="0" w:space="0" w:color="auto"/>
          </w:divBdr>
        </w:div>
        <w:div w:id="309596790">
          <w:marLeft w:val="0"/>
          <w:marRight w:val="0"/>
          <w:marTop w:val="0"/>
          <w:marBottom w:val="0"/>
          <w:divBdr>
            <w:top w:val="none" w:sz="0" w:space="0" w:color="auto"/>
            <w:left w:val="none" w:sz="0" w:space="0" w:color="auto"/>
            <w:bottom w:val="none" w:sz="0" w:space="0" w:color="auto"/>
            <w:right w:val="none" w:sz="0" w:space="0" w:color="auto"/>
          </w:divBdr>
        </w:div>
        <w:div w:id="1193418170">
          <w:marLeft w:val="0"/>
          <w:marRight w:val="0"/>
          <w:marTop w:val="0"/>
          <w:marBottom w:val="0"/>
          <w:divBdr>
            <w:top w:val="none" w:sz="0" w:space="0" w:color="auto"/>
            <w:left w:val="none" w:sz="0" w:space="0" w:color="auto"/>
            <w:bottom w:val="none" w:sz="0" w:space="0" w:color="auto"/>
            <w:right w:val="none" w:sz="0" w:space="0" w:color="auto"/>
          </w:divBdr>
        </w:div>
        <w:div w:id="1974094323">
          <w:marLeft w:val="0"/>
          <w:marRight w:val="0"/>
          <w:marTop w:val="0"/>
          <w:marBottom w:val="0"/>
          <w:divBdr>
            <w:top w:val="none" w:sz="0" w:space="0" w:color="auto"/>
            <w:left w:val="none" w:sz="0" w:space="0" w:color="auto"/>
            <w:bottom w:val="none" w:sz="0" w:space="0" w:color="auto"/>
            <w:right w:val="none" w:sz="0" w:space="0" w:color="auto"/>
          </w:divBdr>
        </w:div>
        <w:div w:id="333067740">
          <w:marLeft w:val="0"/>
          <w:marRight w:val="0"/>
          <w:marTop w:val="0"/>
          <w:marBottom w:val="0"/>
          <w:divBdr>
            <w:top w:val="none" w:sz="0" w:space="0" w:color="auto"/>
            <w:left w:val="none" w:sz="0" w:space="0" w:color="auto"/>
            <w:bottom w:val="none" w:sz="0" w:space="0" w:color="auto"/>
            <w:right w:val="none" w:sz="0" w:space="0" w:color="auto"/>
          </w:divBdr>
        </w:div>
        <w:div w:id="1247112649">
          <w:marLeft w:val="0"/>
          <w:marRight w:val="0"/>
          <w:marTop w:val="0"/>
          <w:marBottom w:val="0"/>
          <w:divBdr>
            <w:top w:val="none" w:sz="0" w:space="0" w:color="auto"/>
            <w:left w:val="none" w:sz="0" w:space="0" w:color="auto"/>
            <w:bottom w:val="none" w:sz="0" w:space="0" w:color="auto"/>
            <w:right w:val="none" w:sz="0" w:space="0" w:color="auto"/>
          </w:divBdr>
        </w:div>
        <w:div w:id="1577861977">
          <w:marLeft w:val="0"/>
          <w:marRight w:val="0"/>
          <w:marTop w:val="0"/>
          <w:marBottom w:val="0"/>
          <w:divBdr>
            <w:top w:val="none" w:sz="0" w:space="0" w:color="auto"/>
            <w:left w:val="none" w:sz="0" w:space="0" w:color="auto"/>
            <w:bottom w:val="none" w:sz="0" w:space="0" w:color="auto"/>
            <w:right w:val="none" w:sz="0" w:space="0" w:color="auto"/>
          </w:divBdr>
        </w:div>
        <w:div w:id="1304195920">
          <w:marLeft w:val="0"/>
          <w:marRight w:val="0"/>
          <w:marTop w:val="0"/>
          <w:marBottom w:val="0"/>
          <w:divBdr>
            <w:top w:val="none" w:sz="0" w:space="0" w:color="auto"/>
            <w:left w:val="none" w:sz="0" w:space="0" w:color="auto"/>
            <w:bottom w:val="none" w:sz="0" w:space="0" w:color="auto"/>
            <w:right w:val="none" w:sz="0" w:space="0" w:color="auto"/>
          </w:divBdr>
        </w:div>
        <w:div w:id="2130660388">
          <w:marLeft w:val="0"/>
          <w:marRight w:val="0"/>
          <w:marTop w:val="0"/>
          <w:marBottom w:val="0"/>
          <w:divBdr>
            <w:top w:val="none" w:sz="0" w:space="0" w:color="auto"/>
            <w:left w:val="none" w:sz="0" w:space="0" w:color="auto"/>
            <w:bottom w:val="none" w:sz="0" w:space="0" w:color="auto"/>
            <w:right w:val="none" w:sz="0" w:space="0" w:color="auto"/>
          </w:divBdr>
        </w:div>
        <w:div w:id="828521906">
          <w:marLeft w:val="0"/>
          <w:marRight w:val="0"/>
          <w:marTop w:val="0"/>
          <w:marBottom w:val="0"/>
          <w:divBdr>
            <w:top w:val="none" w:sz="0" w:space="0" w:color="auto"/>
            <w:left w:val="none" w:sz="0" w:space="0" w:color="auto"/>
            <w:bottom w:val="none" w:sz="0" w:space="0" w:color="auto"/>
            <w:right w:val="none" w:sz="0" w:space="0" w:color="auto"/>
          </w:divBdr>
        </w:div>
        <w:div w:id="2058778871">
          <w:marLeft w:val="0"/>
          <w:marRight w:val="0"/>
          <w:marTop w:val="0"/>
          <w:marBottom w:val="0"/>
          <w:divBdr>
            <w:top w:val="none" w:sz="0" w:space="0" w:color="auto"/>
            <w:left w:val="none" w:sz="0" w:space="0" w:color="auto"/>
            <w:bottom w:val="none" w:sz="0" w:space="0" w:color="auto"/>
            <w:right w:val="none" w:sz="0" w:space="0" w:color="auto"/>
          </w:divBdr>
        </w:div>
        <w:div w:id="1498611914">
          <w:marLeft w:val="0"/>
          <w:marRight w:val="0"/>
          <w:marTop w:val="0"/>
          <w:marBottom w:val="0"/>
          <w:divBdr>
            <w:top w:val="none" w:sz="0" w:space="0" w:color="auto"/>
            <w:left w:val="none" w:sz="0" w:space="0" w:color="auto"/>
            <w:bottom w:val="none" w:sz="0" w:space="0" w:color="auto"/>
            <w:right w:val="none" w:sz="0" w:space="0" w:color="auto"/>
          </w:divBdr>
        </w:div>
        <w:div w:id="1084036001">
          <w:marLeft w:val="0"/>
          <w:marRight w:val="0"/>
          <w:marTop w:val="0"/>
          <w:marBottom w:val="0"/>
          <w:divBdr>
            <w:top w:val="none" w:sz="0" w:space="0" w:color="auto"/>
            <w:left w:val="none" w:sz="0" w:space="0" w:color="auto"/>
            <w:bottom w:val="none" w:sz="0" w:space="0" w:color="auto"/>
            <w:right w:val="none" w:sz="0" w:space="0" w:color="auto"/>
          </w:divBdr>
        </w:div>
        <w:div w:id="236289578">
          <w:marLeft w:val="0"/>
          <w:marRight w:val="0"/>
          <w:marTop w:val="0"/>
          <w:marBottom w:val="0"/>
          <w:divBdr>
            <w:top w:val="none" w:sz="0" w:space="0" w:color="auto"/>
            <w:left w:val="none" w:sz="0" w:space="0" w:color="auto"/>
            <w:bottom w:val="none" w:sz="0" w:space="0" w:color="auto"/>
            <w:right w:val="none" w:sz="0" w:space="0" w:color="auto"/>
          </w:divBdr>
        </w:div>
        <w:div w:id="1144850517">
          <w:marLeft w:val="0"/>
          <w:marRight w:val="0"/>
          <w:marTop w:val="0"/>
          <w:marBottom w:val="0"/>
          <w:divBdr>
            <w:top w:val="none" w:sz="0" w:space="0" w:color="auto"/>
            <w:left w:val="none" w:sz="0" w:space="0" w:color="auto"/>
            <w:bottom w:val="none" w:sz="0" w:space="0" w:color="auto"/>
            <w:right w:val="none" w:sz="0" w:space="0" w:color="auto"/>
          </w:divBdr>
        </w:div>
        <w:div w:id="889533616">
          <w:marLeft w:val="0"/>
          <w:marRight w:val="0"/>
          <w:marTop w:val="0"/>
          <w:marBottom w:val="0"/>
          <w:divBdr>
            <w:top w:val="none" w:sz="0" w:space="0" w:color="auto"/>
            <w:left w:val="none" w:sz="0" w:space="0" w:color="auto"/>
            <w:bottom w:val="none" w:sz="0" w:space="0" w:color="auto"/>
            <w:right w:val="none" w:sz="0" w:space="0" w:color="auto"/>
          </w:divBdr>
        </w:div>
        <w:div w:id="1481658598">
          <w:marLeft w:val="0"/>
          <w:marRight w:val="0"/>
          <w:marTop w:val="0"/>
          <w:marBottom w:val="0"/>
          <w:divBdr>
            <w:top w:val="none" w:sz="0" w:space="0" w:color="auto"/>
            <w:left w:val="none" w:sz="0" w:space="0" w:color="auto"/>
            <w:bottom w:val="none" w:sz="0" w:space="0" w:color="auto"/>
            <w:right w:val="none" w:sz="0" w:space="0" w:color="auto"/>
          </w:divBdr>
        </w:div>
        <w:div w:id="451290199">
          <w:marLeft w:val="0"/>
          <w:marRight w:val="0"/>
          <w:marTop w:val="0"/>
          <w:marBottom w:val="0"/>
          <w:divBdr>
            <w:top w:val="none" w:sz="0" w:space="0" w:color="auto"/>
            <w:left w:val="none" w:sz="0" w:space="0" w:color="auto"/>
            <w:bottom w:val="none" w:sz="0" w:space="0" w:color="auto"/>
            <w:right w:val="none" w:sz="0" w:space="0" w:color="auto"/>
          </w:divBdr>
        </w:div>
        <w:div w:id="756748051">
          <w:marLeft w:val="0"/>
          <w:marRight w:val="0"/>
          <w:marTop w:val="0"/>
          <w:marBottom w:val="0"/>
          <w:divBdr>
            <w:top w:val="none" w:sz="0" w:space="0" w:color="auto"/>
            <w:left w:val="none" w:sz="0" w:space="0" w:color="auto"/>
            <w:bottom w:val="none" w:sz="0" w:space="0" w:color="auto"/>
            <w:right w:val="none" w:sz="0" w:space="0" w:color="auto"/>
          </w:divBdr>
        </w:div>
        <w:div w:id="1451440139">
          <w:marLeft w:val="0"/>
          <w:marRight w:val="0"/>
          <w:marTop w:val="0"/>
          <w:marBottom w:val="0"/>
          <w:divBdr>
            <w:top w:val="none" w:sz="0" w:space="0" w:color="auto"/>
            <w:left w:val="none" w:sz="0" w:space="0" w:color="auto"/>
            <w:bottom w:val="none" w:sz="0" w:space="0" w:color="auto"/>
            <w:right w:val="none" w:sz="0" w:space="0" w:color="auto"/>
          </w:divBdr>
        </w:div>
        <w:div w:id="542181699">
          <w:marLeft w:val="0"/>
          <w:marRight w:val="0"/>
          <w:marTop w:val="0"/>
          <w:marBottom w:val="0"/>
          <w:divBdr>
            <w:top w:val="none" w:sz="0" w:space="0" w:color="auto"/>
            <w:left w:val="none" w:sz="0" w:space="0" w:color="auto"/>
            <w:bottom w:val="none" w:sz="0" w:space="0" w:color="auto"/>
            <w:right w:val="none" w:sz="0" w:space="0" w:color="auto"/>
          </w:divBdr>
        </w:div>
        <w:div w:id="1775633430">
          <w:marLeft w:val="0"/>
          <w:marRight w:val="0"/>
          <w:marTop w:val="0"/>
          <w:marBottom w:val="0"/>
          <w:divBdr>
            <w:top w:val="none" w:sz="0" w:space="0" w:color="auto"/>
            <w:left w:val="none" w:sz="0" w:space="0" w:color="auto"/>
            <w:bottom w:val="none" w:sz="0" w:space="0" w:color="auto"/>
            <w:right w:val="none" w:sz="0" w:space="0" w:color="auto"/>
          </w:divBdr>
        </w:div>
        <w:div w:id="1248423864">
          <w:marLeft w:val="0"/>
          <w:marRight w:val="0"/>
          <w:marTop w:val="0"/>
          <w:marBottom w:val="0"/>
          <w:divBdr>
            <w:top w:val="none" w:sz="0" w:space="0" w:color="auto"/>
            <w:left w:val="none" w:sz="0" w:space="0" w:color="auto"/>
            <w:bottom w:val="none" w:sz="0" w:space="0" w:color="auto"/>
            <w:right w:val="none" w:sz="0" w:space="0" w:color="auto"/>
          </w:divBdr>
        </w:div>
        <w:div w:id="222760797">
          <w:marLeft w:val="0"/>
          <w:marRight w:val="0"/>
          <w:marTop w:val="0"/>
          <w:marBottom w:val="0"/>
          <w:divBdr>
            <w:top w:val="none" w:sz="0" w:space="0" w:color="auto"/>
            <w:left w:val="none" w:sz="0" w:space="0" w:color="auto"/>
            <w:bottom w:val="none" w:sz="0" w:space="0" w:color="auto"/>
            <w:right w:val="none" w:sz="0" w:space="0" w:color="auto"/>
          </w:divBdr>
        </w:div>
        <w:div w:id="1966423687">
          <w:marLeft w:val="0"/>
          <w:marRight w:val="0"/>
          <w:marTop w:val="0"/>
          <w:marBottom w:val="0"/>
          <w:divBdr>
            <w:top w:val="none" w:sz="0" w:space="0" w:color="auto"/>
            <w:left w:val="none" w:sz="0" w:space="0" w:color="auto"/>
            <w:bottom w:val="none" w:sz="0" w:space="0" w:color="auto"/>
            <w:right w:val="none" w:sz="0" w:space="0" w:color="auto"/>
          </w:divBdr>
        </w:div>
        <w:div w:id="1703939392">
          <w:marLeft w:val="0"/>
          <w:marRight w:val="0"/>
          <w:marTop w:val="0"/>
          <w:marBottom w:val="0"/>
          <w:divBdr>
            <w:top w:val="none" w:sz="0" w:space="0" w:color="auto"/>
            <w:left w:val="none" w:sz="0" w:space="0" w:color="auto"/>
            <w:bottom w:val="none" w:sz="0" w:space="0" w:color="auto"/>
            <w:right w:val="none" w:sz="0" w:space="0" w:color="auto"/>
          </w:divBdr>
        </w:div>
        <w:div w:id="1498155216">
          <w:marLeft w:val="0"/>
          <w:marRight w:val="0"/>
          <w:marTop w:val="0"/>
          <w:marBottom w:val="0"/>
          <w:divBdr>
            <w:top w:val="none" w:sz="0" w:space="0" w:color="auto"/>
            <w:left w:val="none" w:sz="0" w:space="0" w:color="auto"/>
            <w:bottom w:val="none" w:sz="0" w:space="0" w:color="auto"/>
            <w:right w:val="none" w:sz="0" w:space="0" w:color="auto"/>
          </w:divBdr>
        </w:div>
        <w:div w:id="675183912">
          <w:marLeft w:val="0"/>
          <w:marRight w:val="0"/>
          <w:marTop w:val="0"/>
          <w:marBottom w:val="0"/>
          <w:divBdr>
            <w:top w:val="none" w:sz="0" w:space="0" w:color="auto"/>
            <w:left w:val="none" w:sz="0" w:space="0" w:color="auto"/>
            <w:bottom w:val="none" w:sz="0" w:space="0" w:color="auto"/>
            <w:right w:val="none" w:sz="0" w:space="0" w:color="auto"/>
          </w:divBdr>
        </w:div>
        <w:div w:id="210701577">
          <w:marLeft w:val="0"/>
          <w:marRight w:val="0"/>
          <w:marTop w:val="0"/>
          <w:marBottom w:val="0"/>
          <w:divBdr>
            <w:top w:val="none" w:sz="0" w:space="0" w:color="auto"/>
            <w:left w:val="none" w:sz="0" w:space="0" w:color="auto"/>
            <w:bottom w:val="none" w:sz="0" w:space="0" w:color="auto"/>
            <w:right w:val="none" w:sz="0" w:space="0" w:color="auto"/>
          </w:divBdr>
        </w:div>
        <w:div w:id="515734455">
          <w:marLeft w:val="0"/>
          <w:marRight w:val="0"/>
          <w:marTop w:val="0"/>
          <w:marBottom w:val="0"/>
          <w:divBdr>
            <w:top w:val="none" w:sz="0" w:space="0" w:color="auto"/>
            <w:left w:val="none" w:sz="0" w:space="0" w:color="auto"/>
            <w:bottom w:val="none" w:sz="0" w:space="0" w:color="auto"/>
            <w:right w:val="none" w:sz="0" w:space="0" w:color="auto"/>
          </w:divBdr>
        </w:div>
        <w:div w:id="965428119">
          <w:marLeft w:val="0"/>
          <w:marRight w:val="0"/>
          <w:marTop w:val="0"/>
          <w:marBottom w:val="0"/>
          <w:divBdr>
            <w:top w:val="none" w:sz="0" w:space="0" w:color="auto"/>
            <w:left w:val="none" w:sz="0" w:space="0" w:color="auto"/>
            <w:bottom w:val="none" w:sz="0" w:space="0" w:color="auto"/>
            <w:right w:val="none" w:sz="0" w:space="0" w:color="auto"/>
          </w:divBdr>
        </w:div>
        <w:div w:id="541671361">
          <w:marLeft w:val="0"/>
          <w:marRight w:val="0"/>
          <w:marTop w:val="0"/>
          <w:marBottom w:val="0"/>
          <w:divBdr>
            <w:top w:val="none" w:sz="0" w:space="0" w:color="auto"/>
            <w:left w:val="none" w:sz="0" w:space="0" w:color="auto"/>
            <w:bottom w:val="none" w:sz="0" w:space="0" w:color="auto"/>
            <w:right w:val="none" w:sz="0" w:space="0" w:color="auto"/>
          </w:divBdr>
        </w:div>
        <w:div w:id="1649673475">
          <w:marLeft w:val="0"/>
          <w:marRight w:val="0"/>
          <w:marTop w:val="0"/>
          <w:marBottom w:val="0"/>
          <w:divBdr>
            <w:top w:val="none" w:sz="0" w:space="0" w:color="auto"/>
            <w:left w:val="none" w:sz="0" w:space="0" w:color="auto"/>
            <w:bottom w:val="none" w:sz="0" w:space="0" w:color="auto"/>
            <w:right w:val="none" w:sz="0" w:space="0" w:color="auto"/>
          </w:divBdr>
        </w:div>
        <w:div w:id="1435246456">
          <w:marLeft w:val="0"/>
          <w:marRight w:val="0"/>
          <w:marTop w:val="0"/>
          <w:marBottom w:val="0"/>
          <w:divBdr>
            <w:top w:val="none" w:sz="0" w:space="0" w:color="auto"/>
            <w:left w:val="none" w:sz="0" w:space="0" w:color="auto"/>
            <w:bottom w:val="none" w:sz="0" w:space="0" w:color="auto"/>
            <w:right w:val="none" w:sz="0" w:space="0" w:color="auto"/>
          </w:divBdr>
        </w:div>
        <w:div w:id="1476677646">
          <w:marLeft w:val="0"/>
          <w:marRight w:val="0"/>
          <w:marTop w:val="0"/>
          <w:marBottom w:val="0"/>
          <w:divBdr>
            <w:top w:val="none" w:sz="0" w:space="0" w:color="auto"/>
            <w:left w:val="none" w:sz="0" w:space="0" w:color="auto"/>
            <w:bottom w:val="none" w:sz="0" w:space="0" w:color="auto"/>
            <w:right w:val="none" w:sz="0" w:space="0" w:color="auto"/>
          </w:divBdr>
        </w:div>
        <w:div w:id="904028003">
          <w:marLeft w:val="0"/>
          <w:marRight w:val="0"/>
          <w:marTop w:val="0"/>
          <w:marBottom w:val="0"/>
          <w:divBdr>
            <w:top w:val="none" w:sz="0" w:space="0" w:color="auto"/>
            <w:left w:val="none" w:sz="0" w:space="0" w:color="auto"/>
            <w:bottom w:val="none" w:sz="0" w:space="0" w:color="auto"/>
            <w:right w:val="none" w:sz="0" w:space="0" w:color="auto"/>
          </w:divBdr>
        </w:div>
        <w:div w:id="261961960">
          <w:marLeft w:val="0"/>
          <w:marRight w:val="0"/>
          <w:marTop w:val="0"/>
          <w:marBottom w:val="0"/>
          <w:divBdr>
            <w:top w:val="none" w:sz="0" w:space="0" w:color="auto"/>
            <w:left w:val="none" w:sz="0" w:space="0" w:color="auto"/>
            <w:bottom w:val="none" w:sz="0" w:space="0" w:color="auto"/>
            <w:right w:val="none" w:sz="0" w:space="0" w:color="auto"/>
          </w:divBdr>
        </w:div>
        <w:div w:id="1069427492">
          <w:marLeft w:val="0"/>
          <w:marRight w:val="0"/>
          <w:marTop w:val="0"/>
          <w:marBottom w:val="0"/>
          <w:divBdr>
            <w:top w:val="none" w:sz="0" w:space="0" w:color="auto"/>
            <w:left w:val="none" w:sz="0" w:space="0" w:color="auto"/>
            <w:bottom w:val="none" w:sz="0" w:space="0" w:color="auto"/>
            <w:right w:val="none" w:sz="0" w:space="0" w:color="auto"/>
          </w:divBdr>
        </w:div>
        <w:div w:id="732966249">
          <w:marLeft w:val="0"/>
          <w:marRight w:val="0"/>
          <w:marTop w:val="0"/>
          <w:marBottom w:val="0"/>
          <w:divBdr>
            <w:top w:val="none" w:sz="0" w:space="0" w:color="auto"/>
            <w:left w:val="none" w:sz="0" w:space="0" w:color="auto"/>
            <w:bottom w:val="none" w:sz="0" w:space="0" w:color="auto"/>
            <w:right w:val="none" w:sz="0" w:space="0" w:color="auto"/>
          </w:divBdr>
        </w:div>
        <w:div w:id="511993379">
          <w:marLeft w:val="0"/>
          <w:marRight w:val="0"/>
          <w:marTop w:val="0"/>
          <w:marBottom w:val="0"/>
          <w:divBdr>
            <w:top w:val="none" w:sz="0" w:space="0" w:color="auto"/>
            <w:left w:val="none" w:sz="0" w:space="0" w:color="auto"/>
            <w:bottom w:val="none" w:sz="0" w:space="0" w:color="auto"/>
            <w:right w:val="none" w:sz="0" w:space="0" w:color="auto"/>
          </w:divBdr>
        </w:div>
        <w:div w:id="96604994">
          <w:marLeft w:val="0"/>
          <w:marRight w:val="0"/>
          <w:marTop w:val="0"/>
          <w:marBottom w:val="0"/>
          <w:divBdr>
            <w:top w:val="none" w:sz="0" w:space="0" w:color="auto"/>
            <w:left w:val="none" w:sz="0" w:space="0" w:color="auto"/>
            <w:bottom w:val="none" w:sz="0" w:space="0" w:color="auto"/>
            <w:right w:val="none" w:sz="0" w:space="0" w:color="auto"/>
          </w:divBdr>
        </w:div>
        <w:div w:id="1623613494">
          <w:marLeft w:val="0"/>
          <w:marRight w:val="0"/>
          <w:marTop w:val="0"/>
          <w:marBottom w:val="0"/>
          <w:divBdr>
            <w:top w:val="none" w:sz="0" w:space="0" w:color="auto"/>
            <w:left w:val="none" w:sz="0" w:space="0" w:color="auto"/>
            <w:bottom w:val="none" w:sz="0" w:space="0" w:color="auto"/>
            <w:right w:val="none" w:sz="0" w:space="0" w:color="auto"/>
          </w:divBdr>
        </w:div>
        <w:div w:id="716440934">
          <w:marLeft w:val="0"/>
          <w:marRight w:val="0"/>
          <w:marTop w:val="0"/>
          <w:marBottom w:val="0"/>
          <w:divBdr>
            <w:top w:val="none" w:sz="0" w:space="0" w:color="auto"/>
            <w:left w:val="none" w:sz="0" w:space="0" w:color="auto"/>
            <w:bottom w:val="none" w:sz="0" w:space="0" w:color="auto"/>
            <w:right w:val="none" w:sz="0" w:space="0" w:color="auto"/>
          </w:divBdr>
        </w:div>
        <w:div w:id="457260583">
          <w:marLeft w:val="0"/>
          <w:marRight w:val="0"/>
          <w:marTop w:val="0"/>
          <w:marBottom w:val="0"/>
          <w:divBdr>
            <w:top w:val="none" w:sz="0" w:space="0" w:color="auto"/>
            <w:left w:val="none" w:sz="0" w:space="0" w:color="auto"/>
            <w:bottom w:val="none" w:sz="0" w:space="0" w:color="auto"/>
            <w:right w:val="none" w:sz="0" w:space="0" w:color="auto"/>
          </w:divBdr>
        </w:div>
        <w:div w:id="1945570774">
          <w:marLeft w:val="0"/>
          <w:marRight w:val="0"/>
          <w:marTop w:val="0"/>
          <w:marBottom w:val="0"/>
          <w:divBdr>
            <w:top w:val="none" w:sz="0" w:space="0" w:color="auto"/>
            <w:left w:val="none" w:sz="0" w:space="0" w:color="auto"/>
            <w:bottom w:val="none" w:sz="0" w:space="0" w:color="auto"/>
            <w:right w:val="none" w:sz="0" w:space="0" w:color="auto"/>
          </w:divBdr>
        </w:div>
        <w:div w:id="1482192709">
          <w:marLeft w:val="0"/>
          <w:marRight w:val="0"/>
          <w:marTop w:val="0"/>
          <w:marBottom w:val="0"/>
          <w:divBdr>
            <w:top w:val="none" w:sz="0" w:space="0" w:color="auto"/>
            <w:left w:val="none" w:sz="0" w:space="0" w:color="auto"/>
            <w:bottom w:val="none" w:sz="0" w:space="0" w:color="auto"/>
            <w:right w:val="none" w:sz="0" w:space="0" w:color="auto"/>
          </w:divBdr>
        </w:div>
        <w:div w:id="1312902820">
          <w:marLeft w:val="0"/>
          <w:marRight w:val="0"/>
          <w:marTop w:val="0"/>
          <w:marBottom w:val="0"/>
          <w:divBdr>
            <w:top w:val="none" w:sz="0" w:space="0" w:color="auto"/>
            <w:left w:val="none" w:sz="0" w:space="0" w:color="auto"/>
            <w:bottom w:val="none" w:sz="0" w:space="0" w:color="auto"/>
            <w:right w:val="none" w:sz="0" w:space="0" w:color="auto"/>
          </w:divBdr>
        </w:div>
        <w:div w:id="274750168">
          <w:marLeft w:val="0"/>
          <w:marRight w:val="0"/>
          <w:marTop w:val="0"/>
          <w:marBottom w:val="0"/>
          <w:divBdr>
            <w:top w:val="none" w:sz="0" w:space="0" w:color="auto"/>
            <w:left w:val="none" w:sz="0" w:space="0" w:color="auto"/>
            <w:bottom w:val="none" w:sz="0" w:space="0" w:color="auto"/>
            <w:right w:val="none" w:sz="0" w:space="0" w:color="auto"/>
          </w:divBdr>
        </w:div>
        <w:div w:id="626356284">
          <w:marLeft w:val="0"/>
          <w:marRight w:val="0"/>
          <w:marTop w:val="0"/>
          <w:marBottom w:val="0"/>
          <w:divBdr>
            <w:top w:val="none" w:sz="0" w:space="0" w:color="auto"/>
            <w:left w:val="none" w:sz="0" w:space="0" w:color="auto"/>
            <w:bottom w:val="none" w:sz="0" w:space="0" w:color="auto"/>
            <w:right w:val="none" w:sz="0" w:space="0" w:color="auto"/>
          </w:divBdr>
        </w:div>
        <w:div w:id="1509179175">
          <w:marLeft w:val="0"/>
          <w:marRight w:val="0"/>
          <w:marTop w:val="0"/>
          <w:marBottom w:val="0"/>
          <w:divBdr>
            <w:top w:val="none" w:sz="0" w:space="0" w:color="auto"/>
            <w:left w:val="none" w:sz="0" w:space="0" w:color="auto"/>
            <w:bottom w:val="none" w:sz="0" w:space="0" w:color="auto"/>
            <w:right w:val="none" w:sz="0" w:space="0" w:color="auto"/>
          </w:divBdr>
        </w:div>
        <w:div w:id="1474909519">
          <w:marLeft w:val="0"/>
          <w:marRight w:val="0"/>
          <w:marTop w:val="0"/>
          <w:marBottom w:val="0"/>
          <w:divBdr>
            <w:top w:val="none" w:sz="0" w:space="0" w:color="auto"/>
            <w:left w:val="none" w:sz="0" w:space="0" w:color="auto"/>
            <w:bottom w:val="none" w:sz="0" w:space="0" w:color="auto"/>
            <w:right w:val="none" w:sz="0" w:space="0" w:color="auto"/>
          </w:divBdr>
        </w:div>
        <w:div w:id="1397781777">
          <w:marLeft w:val="0"/>
          <w:marRight w:val="0"/>
          <w:marTop w:val="0"/>
          <w:marBottom w:val="0"/>
          <w:divBdr>
            <w:top w:val="none" w:sz="0" w:space="0" w:color="auto"/>
            <w:left w:val="none" w:sz="0" w:space="0" w:color="auto"/>
            <w:bottom w:val="none" w:sz="0" w:space="0" w:color="auto"/>
            <w:right w:val="none" w:sz="0" w:space="0" w:color="auto"/>
          </w:divBdr>
        </w:div>
        <w:div w:id="1007638359">
          <w:marLeft w:val="0"/>
          <w:marRight w:val="0"/>
          <w:marTop w:val="0"/>
          <w:marBottom w:val="0"/>
          <w:divBdr>
            <w:top w:val="none" w:sz="0" w:space="0" w:color="auto"/>
            <w:left w:val="none" w:sz="0" w:space="0" w:color="auto"/>
            <w:bottom w:val="none" w:sz="0" w:space="0" w:color="auto"/>
            <w:right w:val="none" w:sz="0" w:space="0" w:color="auto"/>
          </w:divBdr>
        </w:div>
        <w:div w:id="1172792651">
          <w:marLeft w:val="0"/>
          <w:marRight w:val="0"/>
          <w:marTop w:val="0"/>
          <w:marBottom w:val="0"/>
          <w:divBdr>
            <w:top w:val="none" w:sz="0" w:space="0" w:color="auto"/>
            <w:left w:val="none" w:sz="0" w:space="0" w:color="auto"/>
            <w:bottom w:val="none" w:sz="0" w:space="0" w:color="auto"/>
            <w:right w:val="none" w:sz="0" w:space="0" w:color="auto"/>
          </w:divBdr>
        </w:div>
        <w:div w:id="569116112">
          <w:marLeft w:val="0"/>
          <w:marRight w:val="0"/>
          <w:marTop w:val="0"/>
          <w:marBottom w:val="0"/>
          <w:divBdr>
            <w:top w:val="none" w:sz="0" w:space="0" w:color="auto"/>
            <w:left w:val="none" w:sz="0" w:space="0" w:color="auto"/>
            <w:bottom w:val="none" w:sz="0" w:space="0" w:color="auto"/>
            <w:right w:val="none" w:sz="0" w:space="0" w:color="auto"/>
          </w:divBdr>
        </w:div>
        <w:div w:id="1959485770">
          <w:marLeft w:val="0"/>
          <w:marRight w:val="0"/>
          <w:marTop w:val="0"/>
          <w:marBottom w:val="0"/>
          <w:divBdr>
            <w:top w:val="none" w:sz="0" w:space="0" w:color="auto"/>
            <w:left w:val="none" w:sz="0" w:space="0" w:color="auto"/>
            <w:bottom w:val="none" w:sz="0" w:space="0" w:color="auto"/>
            <w:right w:val="none" w:sz="0" w:space="0" w:color="auto"/>
          </w:divBdr>
        </w:div>
        <w:div w:id="2059621319">
          <w:marLeft w:val="0"/>
          <w:marRight w:val="0"/>
          <w:marTop w:val="0"/>
          <w:marBottom w:val="0"/>
          <w:divBdr>
            <w:top w:val="none" w:sz="0" w:space="0" w:color="auto"/>
            <w:left w:val="none" w:sz="0" w:space="0" w:color="auto"/>
            <w:bottom w:val="none" w:sz="0" w:space="0" w:color="auto"/>
            <w:right w:val="none" w:sz="0" w:space="0" w:color="auto"/>
          </w:divBdr>
        </w:div>
        <w:div w:id="653140549">
          <w:marLeft w:val="0"/>
          <w:marRight w:val="0"/>
          <w:marTop w:val="0"/>
          <w:marBottom w:val="0"/>
          <w:divBdr>
            <w:top w:val="none" w:sz="0" w:space="0" w:color="auto"/>
            <w:left w:val="none" w:sz="0" w:space="0" w:color="auto"/>
            <w:bottom w:val="none" w:sz="0" w:space="0" w:color="auto"/>
            <w:right w:val="none" w:sz="0" w:space="0" w:color="auto"/>
          </w:divBdr>
        </w:div>
        <w:div w:id="1060250346">
          <w:marLeft w:val="0"/>
          <w:marRight w:val="0"/>
          <w:marTop w:val="0"/>
          <w:marBottom w:val="0"/>
          <w:divBdr>
            <w:top w:val="none" w:sz="0" w:space="0" w:color="auto"/>
            <w:left w:val="none" w:sz="0" w:space="0" w:color="auto"/>
            <w:bottom w:val="none" w:sz="0" w:space="0" w:color="auto"/>
            <w:right w:val="none" w:sz="0" w:space="0" w:color="auto"/>
          </w:divBdr>
        </w:div>
        <w:div w:id="239557592">
          <w:marLeft w:val="0"/>
          <w:marRight w:val="0"/>
          <w:marTop w:val="0"/>
          <w:marBottom w:val="0"/>
          <w:divBdr>
            <w:top w:val="none" w:sz="0" w:space="0" w:color="auto"/>
            <w:left w:val="none" w:sz="0" w:space="0" w:color="auto"/>
            <w:bottom w:val="none" w:sz="0" w:space="0" w:color="auto"/>
            <w:right w:val="none" w:sz="0" w:space="0" w:color="auto"/>
          </w:divBdr>
        </w:div>
        <w:div w:id="338460635">
          <w:marLeft w:val="0"/>
          <w:marRight w:val="0"/>
          <w:marTop w:val="0"/>
          <w:marBottom w:val="0"/>
          <w:divBdr>
            <w:top w:val="none" w:sz="0" w:space="0" w:color="auto"/>
            <w:left w:val="none" w:sz="0" w:space="0" w:color="auto"/>
            <w:bottom w:val="none" w:sz="0" w:space="0" w:color="auto"/>
            <w:right w:val="none" w:sz="0" w:space="0" w:color="auto"/>
          </w:divBdr>
        </w:div>
        <w:div w:id="790825569">
          <w:marLeft w:val="0"/>
          <w:marRight w:val="0"/>
          <w:marTop w:val="0"/>
          <w:marBottom w:val="0"/>
          <w:divBdr>
            <w:top w:val="none" w:sz="0" w:space="0" w:color="auto"/>
            <w:left w:val="none" w:sz="0" w:space="0" w:color="auto"/>
            <w:bottom w:val="none" w:sz="0" w:space="0" w:color="auto"/>
            <w:right w:val="none" w:sz="0" w:space="0" w:color="auto"/>
          </w:divBdr>
        </w:div>
        <w:div w:id="1032919786">
          <w:marLeft w:val="0"/>
          <w:marRight w:val="0"/>
          <w:marTop w:val="0"/>
          <w:marBottom w:val="0"/>
          <w:divBdr>
            <w:top w:val="none" w:sz="0" w:space="0" w:color="auto"/>
            <w:left w:val="none" w:sz="0" w:space="0" w:color="auto"/>
            <w:bottom w:val="none" w:sz="0" w:space="0" w:color="auto"/>
            <w:right w:val="none" w:sz="0" w:space="0" w:color="auto"/>
          </w:divBdr>
        </w:div>
        <w:div w:id="257953117">
          <w:marLeft w:val="0"/>
          <w:marRight w:val="0"/>
          <w:marTop w:val="0"/>
          <w:marBottom w:val="0"/>
          <w:divBdr>
            <w:top w:val="none" w:sz="0" w:space="0" w:color="auto"/>
            <w:left w:val="none" w:sz="0" w:space="0" w:color="auto"/>
            <w:bottom w:val="none" w:sz="0" w:space="0" w:color="auto"/>
            <w:right w:val="none" w:sz="0" w:space="0" w:color="auto"/>
          </w:divBdr>
        </w:div>
        <w:div w:id="639265159">
          <w:marLeft w:val="0"/>
          <w:marRight w:val="0"/>
          <w:marTop w:val="0"/>
          <w:marBottom w:val="0"/>
          <w:divBdr>
            <w:top w:val="none" w:sz="0" w:space="0" w:color="auto"/>
            <w:left w:val="none" w:sz="0" w:space="0" w:color="auto"/>
            <w:bottom w:val="none" w:sz="0" w:space="0" w:color="auto"/>
            <w:right w:val="none" w:sz="0" w:space="0" w:color="auto"/>
          </w:divBdr>
        </w:div>
        <w:div w:id="109445785">
          <w:marLeft w:val="0"/>
          <w:marRight w:val="0"/>
          <w:marTop w:val="0"/>
          <w:marBottom w:val="0"/>
          <w:divBdr>
            <w:top w:val="none" w:sz="0" w:space="0" w:color="auto"/>
            <w:left w:val="none" w:sz="0" w:space="0" w:color="auto"/>
            <w:bottom w:val="none" w:sz="0" w:space="0" w:color="auto"/>
            <w:right w:val="none" w:sz="0" w:space="0" w:color="auto"/>
          </w:divBdr>
        </w:div>
        <w:div w:id="517429006">
          <w:marLeft w:val="0"/>
          <w:marRight w:val="0"/>
          <w:marTop w:val="0"/>
          <w:marBottom w:val="0"/>
          <w:divBdr>
            <w:top w:val="none" w:sz="0" w:space="0" w:color="auto"/>
            <w:left w:val="none" w:sz="0" w:space="0" w:color="auto"/>
            <w:bottom w:val="none" w:sz="0" w:space="0" w:color="auto"/>
            <w:right w:val="none" w:sz="0" w:space="0" w:color="auto"/>
          </w:divBdr>
        </w:div>
        <w:div w:id="1126773426">
          <w:marLeft w:val="0"/>
          <w:marRight w:val="0"/>
          <w:marTop w:val="0"/>
          <w:marBottom w:val="0"/>
          <w:divBdr>
            <w:top w:val="none" w:sz="0" w:space="0" w:color="auto"/>
            <w:left w:val="none" w:sz="0" w:space="0" w:color="auto"/>
            <w:bottom w:val="none" w:sz="0" w:space="0" w:color="auto"/>
            <w:right w:val="none" w:sz="0" w:space="0" w:color="auto"/>
          </w:divBdr>
        </w:div>
        <w:div w:id="1757171571">
          <w:marLeft w:val="0"/>
          <w:marRight w:val="0"/>
          <w:marTop w:val="0"/>
          <w:marBottom w:val="0"/>
          <w:divBdr>
            <w:top w:val="none" w:sz="0" w:space="0" w:color="auto"/>
            <w:left w:val="none" w:sz="0" w:space="0" w:color="auto"/>
            <w:bottom w:val="none" w:sz="0" w:space="0" w:color="auto"/>
            <w:right w:val="none" w:sz="0" w:space="0" w:color="auto"/>
          </w:divBdr>
        </w:div>
        <w:div w:id="191965446">
          <w:marLeft w:val="0"/>
          <w:marRight w:val="0"/>
          <w:marTop w:val="0"/>
          <w:marBottom w:val="0"/>
          <w:divBdr>
            <w:top w:val="none" w:sz="0" w:space="0" w:color="auto"/>
            <w:left w:val="none" w:sz="0" w:space="0" w:color="auto"/>
            <w:bottom w:val="none" w:sz="0" w:space="0" w:color="auto"/>
            <w:right w:val="none" w:sz="0" w:space="0" w:color="auto"/>
          </w:divBdr>
        </w:div>
        <w:div w:id="1290748680">
          <w:marLeft w:val="0"/>
          <w:marRight w:val="0"/>
          <w:marTop w:val="0"/>
          <w:marBottom w:val="0"/>
          <w:divBdr>
            <w:top w:val="none" w:sz="0" w:space="0" w:color="auto"/>
            <w:left w:val="none" w:sz="0" w:space="0" w:color="auto"/>
            <w:bottom w:val="none" w:sz="0" w:space="0" w:color="auto"/>
            <w:right w:val="none" w:sz="0" w:space="0" w:color="auto"/>
          </w:divBdr>
        </w:div>
        <w:div w:id="778991300">
          <w:marLeft w:val="0"/>
          <w:marRight w:val="0"/>
          <w:marTop w:val="0"/>
          <w:marBottom w:val="0"/>
          <w:divBdr>
            <w:top w:val="none" w:sz="0" w:space="0" w:color="auto"/>
            <w:left w:val="none" w:sz="0" w:space="0" w:color="auto"/>
            <w:bottom w:val="none" w:sz="0" w:space="0" w:color="auto"/>
            <w:right w:val="none" w:sz="0" w:space="0" w:color="auto"/>
          </w:divBdr>
        </w:div>
        <w:div w:id="1928268432">
          <w:marLeft w:val="0"/>
          <w:marRight w:val="0"/>
          <w:marTop w:val="0"/>
          <w:marBottom w:val="0"/>
          <w:divBdr>
            <w:top w:val="none" w:sz="0" w:space="0" w:color="auto"/>
            <w:left w:val="none" w:sz="0" w:space="0" w:color="auto"/>
            <w:bottom w:val="none" w:sz="0" w:space="0" w:color="auto"/>
            <w:right w:val="none" w:sz="0" w:space="0" w:color="auto"/>
          </w:divBdr>
        </w:div>
        <w:div w:id="1329406347">
          <w:marLeft w:val="0"/>
          <w:marRight w:val="0"/>
          <w:marTop w:val="0"/>
          <w:marBottom w:val="0"/>
          <w:divBdr>
            <w:top w:val="none" w:sz="0" w:space="0" w:color="auto"/>
            <w:left w:val="none" w:sz="0" w:space="0" w:color="auto"/>
            <w:bottom w:val="none" w:sz="0" w:space="0" w:color="auto"/>
            <w:right w:val="none" w:sz="0" w:space="0" w:color="auto"/>
          </w:divBdr>
        </w:div>
        <w:div w:id="1611815484">
          <w:marLeft w:val="0"/>
          <w:marRight w:val="0"/>
          <w:marTop w:val="0"/>
          <w:marBottom w:val="0"/>
          <w:divBdr>
            <w:top w:val="none" w:sz="0" w:space="0" w:color="auto"/>
            <w:left w:val="none" w:sz="0" w:space="0" w:color="auto"/>
            <w:bottom w:val="none" w:sz="0" w:space="0" w:color="auto"/>
            <w:right w:val="none" w:sz="0" w:space="0" w:color="auto"/>
          </w:divBdr>
        </w:div>
        <w:div w:id="1534535957">
          <w:marLeft w:val="0"/>
          <w:marRight w:val="0"/>
          <w:marTop w:val="0"/>
          <w:marBottom w:val="0"/>
          <w:divBdr>
            <w:top w:val="none" w:sz="0" w:space="0" w:color="auto"/>
            <w:left w:val="none" w:sz="0" w:space="0" w:color="auto"/>
            <w:bottom w:val="none" w:sz="0" w:space="0" w:color="auto"/>
            <w:right w:val="none" w:sz="0" w:space="0" w:color="auto"/>
          </w:divBdr>
        </w:div>
        <w:div w:id="695276356">
          <w:marLeft w:val="0"/>
          <w:marRight w:val="0"/>
          <w:marTop w:val="0"/>
          <w:marBottom w:val="0"/>
          <w:divBdr>
            <w:top w:val="none" w:sz="0" w:space="0" w:color="auto"/>
            <w:left w:val="none" w:sz="0" w:space="0" w:color="auto"/>
            <w:bottom w:val="none" w:sz="0" w:space="0" w:color="auto"/>
            <w:right w:val="none" w:sz="0" w:space="0" w:color="auto"/>
          </w:divBdr>
        </w:div>
        <w:div w:id="434712925">
          <w:marLeft w:val="0"/>
          <w:marRight w:val="0"/>
          <w:marTop w:val="0"/>
          <w:marBottom w:val="0"/>
          <w:divBdr>
            <w:top w:val="none" w:sz="0" w:space="0" w:color="auto"/>
            <w:left w:val="none" w:sz="0" w:space="0" w:color="auto"/>
            <w:bottom w:val="none" w:sz="0" w:space="0" w:color="auto"/>
            <w:right w:val="none" w:sz="0" w:space="0" w:color="auto"/>
          </w:divBdr>
        </w:div>
        <w:div w:id="1585068254">
          <w:marLeft w:val="0"/>
          <w:marRight w:val="0"/>
          <w:marTop w:val="0"/>
          <w:marBottom w:val="0"/>
          <w:divBdr>
            <w:top w:val="none" w:sz="0" w:space="0" w:color="auto"/>
            <w:left w:val="none" w:sz="0" w:space="0" w:color="auto"/>
            <w:bottom w:val="none" w:sz="0" w:space="0" w:color="auto"/>
            <w:right w:val="none" w:sz="0" w:space="0" w:color="auto"/>
          </w:divBdr>
        </w:div>
        <w:div w:id="1117144098">
          <w:marLeft w:val="0"/>
          <w:marRight w:val="0"/>
          <w:marTop w:val="0"/>
          <w:marBottom w:val="0"/>
          <w:divBdr>
            <w:top w:val="none" w:sz="0" w:space="0" w:color="auto"/>
            <w:left w:val="none" w:sz="0" w:space="0" w:color="auto"/>
            <w:bottom w:val="none" w:sz="0" w:space="0" w:color="auto"/>
            <w:right w:val="none" w:sz="0" w:space="0" w:color="auto"/>
          </w:divBdr>
        </w:div>
        <w:div w:id="1508136247">
          <w:marLeft w:val="0"/>
          <w:marRight w:val="0"/>
          <w:marTop w:val="0"/>
          <w:marBottom w:val="0"/>
          <w:divBdr>
            <w:top w:val="none" w:sz="0" w:space="0" w:color="auto"/>
            <w:left w:val="none" w:sz="0" w:space="0" w:color="auto"/>
            <w:bottom w:val="none" w:sz="0" w:space="0" w:color="auto"/>
            <w:right w:val="none" w:sz="0" w:space="0" w:color="auto"/>
          </w:divBdr>
        </w:div>
        <w:div w:id="784428131">
          <w:marLeft w:val="0"/>
          <w:marRight w:val="0"/>
          <w:marTop w:val="0"/>
          <w:marBottom w:val="0"/>
          <w:divBdr>
            <w:top w:val="none" w:sz="0" w:space="0" w:color="auto"/>
            <w:left w:val="none" w:sz="0" w:space="0" w:color="auto"/>
            <w:bottom w:val="none" w:sz="0" w:space="0" w:color="auto"/>
            <w:right w:val="none" w:sz="0" w:space="0" w:color="auto"/>
          </w:divBdr>
        </w:div>
        <w:div w:id="1197155764">
          <w:marLeft w:val="0"/>
          <w:marRight w:val="0"/>
          <w:marTop w:val="0"/>
          <w:marBottom w:val="0"/>
          <w:divBdr>
            <w:top w:val="none" w:sz="0" w:space="0" w:color="auto"/>
            <w:left w:val="none" w:sz="0" w:space="0" w:color="auto"/>
            <w:bottom w:val="none" w:sz="0" w:space="0" w:color="auto"/>
            <w:right w:val="none" w:sz="0" w:space="0" w:color="auto"/>
          </w:divBdr>
        </w:div>
        <w:div w:id="52823947">
          <w:marLeft w:val="0"/>
          <w:marRight w:val="0"/>
          <w:marTop w:val="0"/>
          <w:marBottom w:val="0"/>
          <w:divBdr>
            <w:top w:val="none" w:sz="0" w:space="0" w:color="auto"/>
            <w:left w:val="none" w:sz="0" w:space="0" w:color="auto"/>
            <w:bottom w:val="none" w:sz="0" w:space="0" w:color="auto"/>
            <w:right w:val="none" w:sz="0" w:space="0" w:color="auto"/>
          </w:divBdr>
        </w:div>
        <w:div w:id="1600022940">
          <w:marLeft w:val="0"/>
          <w:marRight w:val="0"/>
          <w:marTop w:val="0"/>
          <w:marBottom w:val="0"/>
          <w:divBdr>
            <w:top w:val="none" w:sz="0" w:space="0" w:color="auto"/>
            <w:left w:val="none" w:sz="0" w:space="0" w:color="auto"/>
            <w:bottom w:val="none" w:sz="0" w:space="0" w:color="auto"/>
            <w:right w:val="none" w:sz="0" w:space="0" w:color="auto"/>
          </w:divBdr>
        </w:div>
        <w:div w:id="967322619">
          <w:marLeft w:val="0"/>
          <w:marRight w:val="0"/>
          <w:marTop w:val="0"/>
          <w:marBottom w:val="0"/>
          <w:divBdr>
            <w:top w:val="none" w:sz="0" w:space="0" w:color="auto"/>
            <w:left w:val="none" w:sz="0" w:space="0" w:color="auto"/>
            <w:bottom w:val="none" w:sz="0" w:space="0" w:color="auto"/>
            <w:right w:val="none" w:sz="0" w:space="0" w:color="auto"/>
          </w:divBdr>
        </w:div>
        <w:div w:id="1286421846">
          <w:marLeft w:val="0"/>
          <w:marRight w:val="0"/>
          <w:marTop w:val="0"/>
          <w:marBottom w:val="0"/>
          <w:divBdr>
            <w:top w:val="none" w:sz="0" w:space="0" w:color="auto"/>
            <w:left w:val="none" w:sz="0" w:space="0" w:color="auto"/>
            <w:bottom w:val="none" w:sz="0" w:space="0" w:color="auto"/>
            <w:right w:val="none" w:sz="0" w:space="0" w:color="auto"/>
          </w:divBdr>
        </w:div>
        <w:div w:id="552234088">
          <w:marLeft w:val="0"/>
          <w:marRight w:val="0"/>
          <w:marTop w:val="0"/>
          <w:marBottom w:val="0"/>
          <w:divBdr>
            <w:top w:val="none" w:sz="0" w:space="0" w:color="auto"/>
            <w:left w:val="none" w:sz="0" w:space="0" w:color="auto"/>
            <w:bottom w:val="none" w:sz="0" w:space="0" w:color="auto"/>
            <w:right w:val="none" w:sz="0" w:space="0" w:color="auto"/>
          </w:divBdr>
        </w:div>
        <w:div w:id="2120486038">
          <w:marLeft w:val="0"/>
          <w:marRight w:val="0"/>
          <w:marTop w:val="0"/>
          <w:marBottom w:val="0"/>
          <w:divBdr>
            <w:top w:val="none" w:sz="0" w:space="0" w:color="auto"/>
            <w:left w:val="none" w:sz="0" w:space="0" w:color="auto"/>
            <w:bottom w:val="none" w:sz="0" w:space="0" w:color="auto"/>
            <w:right w:val="none" w:sz="0" w:space="0" w:color="auto"/>
          </w:divBdr>
        </w:div>
        <w:div w:id="1673414580">
          <w:marLeft w:val="0"/>
          <w:marRight w:val="0"/>
          <w:marTop w:val="0"/>
          <w:marBottom w:val="0"/>
          <w:divBdr>
            <w:top w:val="none" w:sz="0" w:space="0" w:color="auto"/>
            <w:left w:val="none" w:sz="0" w:space="0" w:color="auto"/>
            <w:bottom w:val="none" w:sz="0" w:space="0" w:color="auto"/>
            <w:right w:val="none" w:sz="0" w:space="0" w:color="auto"/>
          </w:divBdr>
        </w:div>
        <w:div w:id="1811358767">
          <w:marLeft w:val="0"/>
          <w:marRight w:val="0"/>
          <w:marTop w:val="0"/>
          <w:marBottom w:val="0"/>
          <w:divBdr>
            <w:top w:val="none" w:sz="0" w:space="0" w:color="auto"/>
            <w:left w:val="none" w:sz="0" w:space="0" w:color="auto"/>
            <w:bottom w:val="none" w:sz="0" w:space="0" w:color="auto"/>
            <w:right w:val="none" w:sz="0" w:space="0" w:color="auto"/>
          </w:divBdr>
        </w:div>
        <w:div w:id="713967680">
          <w:marLeft w:val="0"/>
          <w:marRight w:val="0"/>
          <w:marTop w:val="0"/>
          <w:marBottom w:val="0"/>
          <w:divBdr>
            <w:top w:val="none" w:sz="0" w:space="0" w:color="auto"/>
            <w:left w:val="none" w:sz="0" w:space="0" w:color="auto"/>
            <w:bottom w:val="none" w:sz="0" w:space="0" w:color="auto"/>
            <w:right w:val="none" w:sz="0" w:space="0" w:color="auto"/>
          </w:divBdr>
        </w:div>
        <w:div w:id="1404185973">
          <w:marLeft w:val="0"/>
          <w:marRight w:val="0"/>
          <w:marTop w:val="0"/>
          <w:marBottom w:val="0"/>
          <w:divBdr>
            <w:top w:val="none" w:sz="0" w:space="0" w:color="auto"/>
            <w:left w:val="none" w:sz="0" w:space="0" w:color="auto"/>
            <w:bottom w:val="none" w:sz="0" w:space="0" w:color="auto"/>
            <w:right w:val="none" w:sz="0" w:space="0" w:color="auto"/>
          </w:divBdr>
        </w:div>
        <w:div w:id="69665389">
          <w:marLeft w:val="0"/>
          <w:marRight w:val="0"/>
          <w:marTop w:val="0"/>
          <w:marBottom w:val="0"/>
          <w:divBdr>
            <w:top w:val="none" w:sz="0" w:space="0" w:color="auto"/>
            <w:left w:val="none" w:sz="0" w:space="0" w:color="auto"/>
            <w:bottom w:val="none" w:sz="0" w:space="0" w:color="auto"/>
            <w:right w:val="none" w:sz="0" w:space="0" w:color="auto"/>
          </w:divBdr>
        </w:div>
        <w:div w:id="604769722">
          <w:marLeft w:val="0"/>
          <w:marRight w:val="0"/>
          <w:marTop w:val="0"/>
          <w:marBottom w:val="0"/>
          <w:divBdr>
            <w:top w:val="none" w:sz="0" w:space="0" w:color="auto"/>
            <w:left w:val="none" w:sz="0" w:space="0" w:color="auto"/>
            <w:bottom w:val="none" w:sz="0" w:space="0" w:color="auto"/>
            <w:right w:val="none" w:sz="0" w:space="0" w:color="auto"/>
          </w:divBdr>
        </w:div>
        <w:div w:id="847325859">
          <w:marLeft w:val="0"/>
          <w:marRight w:val="0"/>
          <w:marTop w:val="0"/>
          <w:marBottom w:val="0"/>
          <w:divBdr>
            <w:top w:val="none" w:sz="0" w:space="0" w:color="auto"/>
            <w:left w:val="none" w:sz="0" w:space="0" w:color="auto"/>
            <w:bottom w:val="none" w:sz="0" w:space="0" w:color="auto"/>
            <w:right w:val="none" w:sz="0" w:space="0" w:color="auto"/>
          </w:divBdr>
        </w:div>
        <w:div w:id="1323239662">
          <w:marLeft w:val="0"/>
          <w:marRight w:val="0"/>
          <w:marTop w:val="0"/>
          <w:marBottom w:val="0"/>
          <w:divBdr>
            <w:top w:val="none" w:sz="0" w:space="0" w:color="auto"/>
            <w:left w:val="none" w:sz="0" w:space="0" w:color="auto"/>
            <w:bottom w:val="none" w:sz="0" w:space="0" w:color="auto"/>
            <w:right w:val="none" w:sz="0" w:space="0" w:color="auto"/>
          </w:divBdr>
        </w:div>
        <w:div w:id="776876815">
          <w:marLeft w:val="0"/>
          <w:marRight w:val="0"/>
          <w:marTop w:val="0"/>
          <w:marBottom w:val="0"/>
          <w:divBdr>
            <w:top w:val="none" w:sz="0" w:space="0" w:color="auto"/>
            <w:left w:val="none" w:sz="0" w:space="0" w:color="auto"/>
            <w:bottom w:val="none" w:sz="0" w:space="0" w:color="auto"/>
            <w:right w:val="none" w:sz="0" w:space="0" w:color="auto"/>
          </w:divBdr>
        </w:div>
      </w:divsChild>
    </w:div>
    <w:div w:id="2127387933">
      <w:bodyDiv w:val="1"/>
      <w:marLeft w:val="0"/>
      <w:marRight w:val="0"/>
      <w:marTop w:val="0"/>
      <w:marBottom w:val="0"/>
      <w:divBdr>
        <w:top w:val="none" w:sz="0" w:space="0" w:color="auto"/>
        <w:left w:val="none" w:sz="0" w:space="0" w:color="auto"/>
        <w:bottom w:val="none" w:sz="0" w:space="0" w:color="auto"/>
        <w:right w:val="none" w:sz="0" w:space="0" w:color="auto"/>
      </w:divBdr>
      <w:divsChild>
        <w:div w:id="105076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40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150_2007.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150_2007.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54704DD-463B-4BA3-87AE-ABFA8A98830B}">
  <ds:schemaRefs>
    <ds:schemaRef ds:uri="http://schemas.openxmlformats.org/officeDocument/2006/bibliography"/>
  </ds:schemaRefs>
</ds:datastoreItem>
</file>

<file path=customXml/itemProps3.xml><?xml version="1.0" encoding="utf-8"?>
<ds:datastoreItem xmlns:ds="http://schemas.openxmlformats.org/officeDocument/2006/customXml" ds:itemID="{2631257D-0F29-433C-93F9-7364995D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7483</Words>
  <Characters>41157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48543</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2023-10-20T15:15:00Z</dcterms:created>
  <dcterms:modified xsi:type="dcterms:W3CDTF">2024-03-15T19:03:00Z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