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0DBE" w14:textId="6E5D2267" w:rsidR="00950DF7" w:rsidRPr="00781AC2" w:rsidRDefault="167F5D0A" w:rsidP="463B28AE">
      <w:pPr>
        <w:jc w:val="right"/>
        <w:rPr>
          <w:rFonts w:ascii="Arial" w:eastAsia="Calibri" w:hAnsi="Arial" w:cs="Arial"/>
          <w:b/>
          <w:bCs/>
          <w:sz w:val="20"/>
          <w:szCs w:val="20"/>
          <w:lang w:val="es-ES"/>
        </w:rPr>
      </w:pPr>
      <w:bookmarkStart w:id="0" w:name="_Hlk28946138"/>
      <w:bookmarkStart w:id="1" w:name="_Hlk29548183"/>
      <w:r w:rsidRPr="463B28AE">
        <w:rPr>
          <w:rFonts w:ascii="Arial" w:hAnsi="Arial" w:cs="Arial"/>
          <w:sz w:val="16"/>
          <w:szCs w:val="16"/>
          <w:lang w:val="es-ES" w:eastAsia="es-ES"/>
        </w:rPr>
        <w:t>CCE-DES-FM-17</w:t>
      </w:r>
      <w:bookmarkEnd w:id="0"/>
      <w:bookmarkEnd w:id="1"/>
    </w:p>
    <w:p w14:paraId="6352F336" w14:textId="77777777" w:rsidR="00950DF7" w:rsidRPr="00781AC2" w:rsidRDefault="00950DF7" w:rsidP="362BC5EC">
      <w:pPr>
        <w:jc w:val="both"/>
        <w:rPr>
          <w:rFonts w:ascii="Arial" w:eastAsia="Calibri" w:hAnsi="Arial" w:cs="Arial"/>
          <w:b/>
          <w:bCs/>
          <w:sz w:val="22"/>
          <w:szCs w:val="22"/>
          <w:highlight w:val="yellow"/>
        </w:rPr>
      </w:pPr>
    </w:p>
    <w:p w14:paraId="6FB862C1" w14:textId="4A4B7CA6" w:rsidR="12E2943D" w:rsidRDefault="2FFAC229" w:rsidP="463B28AE">
      <w:pPr>
        <w:jc w:val="both"/>
        <w:rPr>
          <w:rFonts w:ascii="Arial" w:eastAsia="Arial" w:hAnsi="Arial" w:cs="Arial"/>
          <w:b/>
          <w:bCs/>
          <w:sz w:val="22"/>
          <w:szCs w:val="22"/>
        </w:rPr>
      </w:pPr>
      <w:r w:rsidRPr="463B28AE">
        <w:rPr>
          <w:rFonts w:ascii="Arial" w:eastAsia="Arial" w:hAnsi="Arial" w:cs="Arial"/>
          <w:b/>
          <w:bCs/>
          <w:color w:val="000000" w:themeColor="text1"/>
          <w:sz w:val="22"/>
          <w:szCs w:val="22"/>
        </w:rPr>
        <w:t>ACCESO A DOCUMENTACIÓN PÚBLICA – Derecho fundamental – Transparencia – Información contractual</w:t>
      </w:r>
    </w:p>
    <w:p w14:paraId="142FF05E" w14:textId="77777777" w:rsidR="00950DF7" w:rsidRPr="00781AC2" w:rsidRDefault="00950DF7" w:rsidP="463B28AE">
      <w:pPr>
        <w:jc w:val="both"/>
        <w:rPr>
          <w:rFonts w:ascii="Arial" w:eastAsiaTheme="minorEastAsia" w:hAnsi="Arial" w:cs="Arial"/>
          <w:sz w:val="20"/>
          <w:szCs w:val="20"/>
        </w:rPr>
      </w:pPr>
    </w:p>
    <w:p w14:paraId="1CEBE566" w14:textId="57713F48" w:rsidR="260EEB6E" w:rsidRDefault="07368453" w:rsidP="463B28AE">
      <w:pPr>
        <w:jc w:val="both"/>
        <w:rPr>
          <w:rFonts w:ascii="Arial" w:eastAsia="Arial" w:hAnsi="Arial" w:cs="Arial"/>
          <w:color w:val="000000" w:themeColor="text1"/>
          <w:sz w:val="22"/>
          <w:szCs w:val="22"/>
          <w:lang w:val="es-ES"/>
        </w:rPr>
      </w:pPr>
      <w:r w:rsidRPr="463B28AE">
        <w:rPr>
          <w:rFonts w:ascii="Arial" w:eastAsia="Arial" w:hAnsi="Arial" w:cs="Arial"/>
          <w:color w:val="000000" w:themeColor="text1"/>
          <w:sz w:val="22"/>
          <w:szCs w:val="22"/>
          <w:lang w:val="es-ES"/>
        </w:rPr>
        <w:t xml:space="preserve">El artículo 74 de la Constitución Política establece que </w:t>
      </w:r>
      <w:r w:rsidR="0F0FF314" w:rsidRPr="463B28AE">
        <w:rPr>
          <w:rFonts w:ascii="Arial" w:eastAsia="Arial" w:hAnsi="Arial" w:cs="Arial"/>
          <w:color w:val="000000" w:themeColor="text1"/>
          <w:sz w:val="22"/>
          <w:szCs w:val="22"/>
          <w:lang w:val="es-ES"/>
        </w:rPr>
        <w:t>“</w:t>
      </w:r>
      <w:r w:rsidRPr="463B28AE">
        <w:rPr>
          <w:rFonts w:ascii="Arial" w:eastAsia="Arial" w:hAnsi="Arial" w:cs="Arial"/>
          <w:color w:val="000000" w:themeColor="text1"/>
          <w:sz w:val="22"/>
          <w:szCs w:val="22"/>
          <w:lang w:val="es-ES"/>
        </w:rPr>
        <w:t>Todas las personas tienen derecho a acceder a los documentos públicos salvo los casos que establezca la ley</w:t>
      </w:r>
      <w:r w:rsidR="3B05473B" w:rsidRPr="463B28AE">
        <w:rPr>
          <w:rFonts w:ascii="Arial" w:eastAsia="Arial" w:hAnsi="Arial" w:cs="Arial"/>
          <w:color w:val="000000" w:themeColor="text1"/>
          <w:sz w:val="22"/>
          <w:szCs w:val="22"/>
          <w:lang w:val="es-ES"/>
        </w:rPr>
        <w:t>”</w:t>
      </w:r>
      <w:r w:rsidRPr="463B28AE">
        <w:rPr>
          <w:rFonts w:ascii="Arial" w:eastAsia="Arial" w:hAnsi="Arial" w:cs="Arial"/>
          <w:color w:val="000000" w:themeColor="text1"/>
          <w:sz w:val="22"/>
          <w:szCs w:val="22"/>
          <w:lang w:val="es-ES"/>
        </w:rPr>
        <w:t xml:space="preserve">. Esta disposición constitucional consagra el derecho fundamental de acceso a la información y a la documentación pública, salvo causal de reserva expresamente prevista en la Ley. Tal derecho se regula integralmente en la Ley 1712 de 2014 </w:t>
      </w:r>
      <w:r w:rsidR="3FE0A9BF" w:rsidRPr="463B28AE">
        <w:rPr>
          <w:rFonts w:ascii="Arial" w:eastAsia="Arial" w:hAnsi="Arial" w:cs="Arial"/>
          <w:color w:val="000000" w:themeColor="text1"/>
          <w:sz w:val="22"/>
          <w:szCs w:val="22"/>
          <w:lang w:val="es-ES"/>
        </w:rPr>
        <w:t>“</w:t>
      </w:r>
      <w:r w:rsidRPr="463B28AE">
        <w:rPr>
          <w:rFonts w:ascii="Arial" w:eastAsia="Arial" w:hAnsi="Arial" w:cs="Arial"/>
          <w:color w:val="000000" w:themeColor="text1"/>
          <w:sz w:val="22"/>
          <w:szCs w:val="22"/>
          <w:lang w:val="es-ES"/>
        </w:rPr>
        <w:t>(Ley de Transparencia y del Derecho de Acceso a la Información Pública Nacional)</w:t>
      </w:r>
      <w:r w:rsidR="51359E86" w:rsidRPr="463B28AE">
        <w:rPr>
          <w:rFonts w:ascii="Arial" w:eastAsia="Arial" w:hAnsi="Arial" w:cs="Arial"/>
          <w:color w:val="000000" w:themeColor="text1"/>
          <w:sz w:val="22"/>
          <w:szCs w:val="22"/>
          <w:lang w:val="es-ES"/>
        </w:rPr>
        <w:t>”</w:t>
      </w:r>
      <w:r w:rsidRPr="463B28AE">
        <w:rPr>
          <w:rFonts w:ascii="Arial" w:eastAsia="Arial" w:hAnsi="Arial" w:cs="Arial"/>
          <w:color w:val="000000" w:themeColor="text1"/>
          <w:sz w:val="22"/>
          <w:szCs w:val="22"/>
          <w:lang w:val="es-ES"/>
        </w:rPr>
        <w:t>. Esta Ley establece el deber de divulgación proactiva de la información e indica que las entidades estatales deben publicar su información contractual (artículos 9, literales c, e y f; 10 y 11, literal g). El Decreto 1081 de 2015, en los arts. 2.1.1.2.1.5. al 2.1.1.2.1.10., reglamenta el deber de las entidades estatales de publicar su información contractual en el SECOP, en cumplimiento del artículo 3 de la Ley 1150 de 2007.</w:t>
      </w:r>
    </w:p>
    <w:p w14:paraId="26D79EE8" w14:textId="4AEBED60" w:rsidR="71938EA5" w:rsidRDefault="71938EA5" w:rsidP="463B28AE">
      <w:pPr>
        <w:jc w:val="both"/>
        <w:rPr>
          <w:rFonts w:ascii="Arial" w:eastAsia="Arial" w:hAnsi="Arial" w:cs="Arial"/>
          <w:color w:val="000000" w:themeColor="text1"/>
          <w:sz w:val="22"/>
          <w:szCs w:val="22"/>
          <w:lang w:val="es-ES"/>
        </w:rPr>
      </w:pPr>
    </w:p>
    <w:p w14:paraId="53DB61A2" w14:textId="1128D6CE" w:rsidR="260EEB6E" w:rsidRDefault="07368453" w:rsidP="463B28AE">
      <w:pPr>
        <w:jc w:val="both"/>
        <w:rPr>
          <w:rFonts w:ascii="Arial" w:eastAsia="Arial" w:hAnsi="Arial" w:cs="Arial"/>
          <w:b/>
          <w:bCs/>
          <w:color w:val="000000" w:themeColor="text1"/>
          <w:sz w:val="22"/>
          <w:szCs w:val="22"/>
          <w:lang w:val="es-ES"/>
        </w:rPr>
      </w:pPr>
      <w:r w:rsidRPr="463B28AE">
        <w:rPr>
          <w:rFonts w:ascii="Arial" w:eastAsia="Arial" w:hAnsi="Arial" w:cs="Arial"/>
          <w:b/>
          <w:bCs/>
          <w:color w:val="000000" w:themeColor="text1"/>
          <w:sz w:val="22"/>
          <w:szCs w:val="22"/>
          <w:lang w:val="es-ES"/>
        </w:rPr>
        <w:t>SECOP – Deber de publicación – Información contractual</w:t>
      </w:r>
    </w:p>
    <w:p w14:paraId="412BA486" w14:textId="1E5C09AF" w:rsidR="71938EA5" w:rsidRDefault="71938EA5" w:rsidP="463B28AE">
      <w:pPr>
        <w:jc w:val="both"/>
        <w:rPr>
          <w:rFonts w:ascii="Arial" w:eastAsia="Arial" w:hAnsi="Arial" w:cs="Arial"/>
          <w:color w:val="000000" w:themeColor="text1"/>
          <w:sz w:val="22"/>
          <w:szCs w:val="22"/>
          <w:lang w:val="es-ES"/>
        </w:rPr>
      </w:pPr>
    </w:p>
    <w:p w14:paraId="3522736C" w14:textId="2922B8F8" w:rsidR="260EEB6E" w:rsidRDefault="07368453" w:rsidP="463B28AE">
      <w:pPr>
        <w:jc w:val="both"/>
        <w:rPr>
          <w:rFonts w:ascii="Arial" w:eastAsia="Arial" w:hAnsi="Arial" w:cs="Arial"/>
          <w:color w:val="000000" w:themeColor="text1"/>
          <w:sz w:val="22"/>
          <w:szCs w:val="22"/>
          <w:lang w:val="es-ES"/>
        </w:rPr>
      </w:pPr>
      <w:r w:rsidRPr="463B28AE">
        <w:rPr>
          <w:rFonts w:ascii="Arial" w:eastAsia="Arial" w:hAnsi="Arial" w:cs="Arial"/>
          <w:color w:val="000000" w:themeColor="text1"/>
          <w:sz w:val="22"/>
          <w:szCs w:val="22"/>
          <w:lang w:val="es-ES"/>
        </w:rPr>
        <w:t xml:space="preserve">En conclusión, con base en los fundamentos normativos y argumentos expuestos, además del Plan Anual de Adquisiciones, las entidades estatales regidas por el EGCAP deberán publicar en SECOP los documentos expedidos con ocasión del </w:t>
      </w:r>
      <w:r w:rsidRPr="463B28AE">
        <w:rPr>
          <w:rFonts w:ascii="Arial" w:eastAsia="Arial" w:hAnsi="Arial" w:cs="Arial"/>
          <w:i/>
          <w:iCs/>
          <w:color w:val="000000" w:themeColor="text1"/>
          <w:sz w:val="22"/>
          <w:szCs w:val="22"/>
          <w:lang w:val="es-ES"/>
        </w:rPr>
        <w:t>proceso de contratación</w:t>
      </w:r>
      <w:r w:rsidRPr="463B28AE">
        <w:rPr>
          <w:rFonts w:ascii="Arial" w:eastAsia="Arial" w:hAnsi="Arial" w:cs="Arial"/>
          <w:color w:val="000000" w:themeColor="text1"/>
          <w:sz w:val="22"/>
          <w:szCs w:val="22"/>
          <w:lang w:val="es-ES"/>
        </w:rPr>
        <w:t>.</w:t>
      </w:r>
    </w:p>
    <w:p w14:paraId="1591EC55" w14:textId="21F2495F" w:rsidR="260EEB6E" w:rsidRDefault="07368453" w:rsidP="463B28AE">
      <w:pPr>
        <w:jc w:val="both"/>
        <w:rPr>
          <w:rFonts w:ascii="Arial" w:eastAsia="Arial" w:hAnsi="Arial" w:cs="Arial"/>
          <w:color w:val="000000" w:themeColor="text1"/>
          <w:sz w:val="22"/>
          <w:szCs w:val="22"/>
          <w:lang w:val="es-ES"/>
        </w:rPr>
      </w:pPr>
      <w:r w:rsidRPr="463B28AE">
        <w:rPr>
          <w:rFonts w:ascii="Arial" w:eastAsia="Arial" w:hAnsi="Arial" w:cs="Arial"/>
          <w:color w:val="000000" w:themeColor="text1"/>
          <w:sz w:val="22"/>
          <w:szCs w:val="22"/>
          <w:lang w:val="es-ES"/>
        </w:rPr>
        <w:t>[…]</w:t>
      </w:r>
    </w:p>
    <w:p w14:paraId="10E06EB6" w14:textId="29E9748B" w:rsidR="71938EA5" w:rsidRDefault="71938EA5" w:rsidP="463B28AE">
      <w:pPr>
        <w:jc w:val="both"/>
        <w:rPr>
          <w:rFonts w:ascii="Arial" w:eastAsia="Arial" w:hAnsi="Arial" w:cs="Arial"/>
          <w:color w:val="000000" w:themeColor="text1"/>
          <w:sz w:val="22"/>
          <w:szCs w:val="22"/>
          <w:lang w:val="es-ES"/>
        </w:rPr>
      </w:pPr>
    </w:p>
    <w:p w14:paraId="2188E424" w14:textId="3F668484" w:rsidR="260EEB6E" w:rsidRDefault="07368453" w:rsidP="463B28AE">
      <w:pPr>
        <w:jc w:val="both"/>
        <w:rPr>
          <w:rFonts w:ascii="Arial" w:eastAsia="Arial" w:hAnsi="Arial" w:cs="Arial"/>
          <w:b/>
          <w:bCs/>
          <w:color w:val="000000" w:themeColor="text1"/>
          <w:sz w:val="22"/>
          <w:szCs w:val="22"/>
          <w:lang w:val="es-ES"/>
        </w:rPr>
      </w:pPr>
      <w:r w:rsidRPr="463B28AE">
        <w:rPr>
          <w:rFonts w:ascii="Arial" w:eastAsia="Arial" w:hAnsi="Arial" w:cs="Arial"/>
          <w:b/>
          <w:bCs/>
          <w:color w:val="000000" w:themeColor="text1"/>
          <w:sz w:val="22"/>
          <w:szCs w:val="22"/>
          <w:lang w:val="es-ES"/>
        </w:rPr>
        <w:t>DATOS SENSIBLES – Reserva – Excepción – SECOP</w:t>
      </w:r>
    </w:p>
    <w:p w14:paraId="6E38D66C" w14:textId="2440D72A" w:rsidR="71938EA5" w:rsidRDefault="71938EA5" w:rsidP="463B28AE">
      <w:pPr>
        <w:jc w:val="both"/>
        <w:rPr>
          <w:rFonts w:ascii="Arial" w:eastAsia="Arial" w:hAnsi="Arial" w:cs="Arial"/>
          <w:color w:val="000000" w:themeColor="text1"/>
          <w:sz w:val="22"/>
          <w:szCs w:val="22"/>
          <w:lang w:val="es-ES"/>
        </w:rPr>
      </w:pPr>
    </w:p>
    <w:p w14:paraId="6DF2898D" w14:textId="11AD3BC2" w:rsidR="260EEB6E" w:rsidRDefault="07368453" w:rsidP="463B28AE">
      <w:pPr>
        <w:jc w:val="both"/>
        <w:rPr>
          <w:rFonts w:ascii="Arial" w:eastAsia="Arial" w:hAnsi="Arial" w:cs="Arial"/>
          <w:color w:val="000000" w:themeColor="text1"/>
          <w:sz w:val="22"/>
          <w:szCs w:val="22"/>
          <w:lang w:val="es-ES"/>
        </w:rPr>
      </w:pPr>
      <w:r w:rsidRPr="463B28AE">
        <w:rPr>
          <w:rFonts w:ascii="Arial" w:eastAsia="Arial" w:hAnsi="Arial" w:cs="Arial"/>
          <w:color w:val="000000" w:themeColor="text1"/>
          <w:sz w:val="22"/>
          <w:szCs w:val="22"/>
          <w:lang w:val="es-ES"/>
        </w:rPr>
        <w:t xml:space="preserve">Cuando el documento contractual tenga información sensible, clasificada o reservada, para proteger la información, las autoridades deben abstenerse de publicar en el SECOP la información que tiene protección especial, tal como sucede con los derechos de los menores, de conformidad con el artículo 7° de la Ley 1581 de 2012 y el artículo 2.1.1.4.1.2 del Decreto 1081 de 2015. Pero, de acuerdo con el segundo inciso del artículo 25 de la Ley 1437 de 2011 </w:t>
      </w:r>
      <w:r w:rsidR="4454F6FB" w:rsidRPr="463B28AE">
        <w:rPr>
          <w:rFonts w:ascii="Arial" w:eastAsia="Arial" w:hAnsi="Arial" w:cs="Arial"/>
          <w:color w:val="000000" w:themeColor="text1"/>
          <w:sz w:val="22"/>
          <w:szCs w:val="22"/>
          <w:lang w:val="es-ES"/>
        </w:rPr>
        <w:t>“</w:t>
      </w:r>
      <w:r w:rsidRPr="463B28AE">
        <w:rPr>
          <w:rFonts w:ascii="Arial" w:eastAsia="Arial" w:hAnsi="Arial" w:cs="Arial"/>
          <w:color w:val="000000" w:themeColor="text1"/>
          <w:sz w:val="22"/>
          <w:szCs w:val="22"/>
          <w:lang w:val="es-ES"/>
        </w:rPr>
        <w:t>La restricción por reserva legal no se extenderá a otras piezas del respectivo expediente o actuación que no estén cubiertas por ella</w:t>
      </w:r>
      <w:r w:rsidR="13342080" w:rsidRPr="463B28AE">
        <w:rPr>
          <w:rFonts w:ascii="Arial" w:eastAsia="Arial" w:hAnsi="Arial" w:cs="Arial"/>
          <w:color w:val="000000" w:themeColor="text1"/>
          <w:sz w:val="22"/>
          <w:szCs w:val="22"/>
          <w:lang w:val="es-ES"/>
        </w:rPr>
        <w:t>”</w:t>
      </w:r>
      <w:r w:rsidRPr="463B28AE">
        <w:rPr>
          <w:rFonts w:ascii="Arial" w:eastAsia="Arial" w:hAnsi="Arial" w:cs="Arial"/>
          <w:color w:val="000000" w:themeColor="text1"/>
          <w:sz w:val="22"/>
          <w:szCs w:val="22"/>
          <w:lang w:val="es-ES"/>
        </w:rPr>
        <w:t>. Entonces la entidad estatal deberá excluir del documento entregado por el proponente en el procedimiento contractual la información que contenga datos sensibles, clasificados o reservados, para no divulgarla, pero debe publicar las demás piezas de la oferta o los apartados que no gozan de reserva o que no están protegidos por las disposiciones de habeas data.</w:t>
      </w:r>
    </w:p>
    <w:p w14:paraId="280BB8B1" w14:textId="0A124F8D" w:rsidR="71938EA5" w:rsidRDefault="71938EA5" w:rsidP="71938EA5">
      <w:pPr>
        <w:jc w:val="both"/>
        <w:rPr>
          <w:rFonts w:ascii="Arial" w:eastAsia="Arial" w:hAnsi="Arial" w:cs="Arial"/>
          <w:b/>
          <w:bCs/>
          <w:sz w:val="22"/>
          <w:szCs w:val="22"/>
          <w:highlight w:val="yellow"/>
          <w:lang w:val="es-ES" w:eastAsia="en-US"/>
        </w:rPr>
      </w:pPr>
    </w:p>
    <w:p w14:paraId="59507FD2" w14:textId="77777777" w:rsidR="00950DF7" w:rsidRPr="00781AC2" w:rsidRDefault="00950DF7" w:rsidP="47283E64">
      <w:pPr>
        <w:jc w:val="both"/>
        <w:rPr>
          <w:rFonts w:ascii="Arial" w:eastAsia="Calibri" w:hAnsi="Arial" w:cs="Arial"/>
          <w:b/>
          <w:bCs/>
          <w:sz w:val="22"/>
          <w:szCs w:val="22"/>
          <w:highlight w:val="yellow"/>
          <w:lang w:val="es-ES"/>
        </w:rPr>
      </w:pPr>
    </w:p>
    <w:p w14:paraId="0044883D" w14:textId="77777777" w:rsidR="00950DF7" w:rsidRPr="00781AC2" w:rsidRDefault="00950DF7" w:rsidP="47283E64">
      <w:pPr>
        <w:spacing w:line="276" w:lineRule="auto"/>
        <w:jc w:val="both"/>
        <w:rPr>
          <w:rFonts w:ascii="Arial" w:hAnsi="Arial" w:cs="Arial"/>
          <w:noProof/>
          <w:sz w:val="22"/>
          <w:szCs w:val="22"/>
          <w:highlight w:val="yellow"/>
          <w:lang w:val="es-ES"/>
        </w:rPr>
      </w:pPr>
    </w:p>
    <w:p w14:paraId="602B43AE" w14:textId="77777777" w:rsidR="00950DF7" w:rsidRPr="00781AC2" w:rsidRDefault="00950DF7" w:rsidP="00F304EA">
      <w:pPr>
        <w:spacing w:line="276" w:lineRule="auto"/>
        <w:jc w:val="both"/>
        <w:rPr>
          <w:rFonts w:ascii="Arial" w:hAnsi="Arial" w:cs="Arial"/>
          <w:noProof/>
          <w:sz w:val="22"/>
          <w:lang w:val="es-ES_tradnl"/>
        </w:rPr>
      </w:pPr>
    </w:p>
    <w:p w14:paraId="76D05AE7" w14:textId="77777777" w:rsidR="00950DF7" w:rsidRPr="00781AC2" w:rsidRDefault="00950DF7" w:rsidP="00F304EA">
      <w:pPr>
        <w:spacing w:line="276" w:lineRule="auto"/>
        <w:jc w:val="both"/>
        <w:rPr>
          <w:rFonts w:ascii="Arial" w:hAnsi="Arial" w:cs="Arial"/>
          <w:noProof/>
          <w:sz w:val="22"/>
          <w:lang w:val="es-ES_tradnl"/>
        </w:rPr>
      </w:pPr>
    </w:p>
    <w:p w14:paraId="323C3F56" w14:textId="77777777" w:rsidR="00950DF7" w:rsidRPr="00781AC2" w:rsidRDefault="00950DF7" w:rsidP="00F304EA">
      <w:pPr>
        <w:spacing w:line="276" w:lineRule="auto"/>
        <w:jc w:val="both"/>
        <w:rPr>
          <w:rFonts w:ascii="Arial" w:hAnsi="Arial" w:cs="Arial"/>
          <w:noProof/>
          <w:sz w:val="22"/>
          <w:lang w:val="es-ES_tradnl"/>
        </w:rPr>
      </w:pPr>
    </w:p>
    <w:p w14:paraId="4C56A3FA" w14:textId="77777777" w:rsidR="00950DF7" w:rsidRPr="00781AC2" w:rsidRDefault="00950DF7" w:rsidP="00F304EA">
      <w:pPr>
        <w:spacing w:line="276" w:lineRule="auto"/>
        <w:jc w:val="both"/>
        <w:rPr>
          <w:rFonts w:ascii="Arial" w:hAnsi="Arial" w:cs="Arial"/>
          <w:noProof/>
          <w:sz w:val="22"/>
          <w:lang w:val="es-ES_tradnl"/>
        </w:rPr>
      </w:pPr>
    </w:p>
    <w:p w14:paraId="32DD9094" w14:textId="77777777" w:rsidR="00950DF7" w:rsidRPr="00781AC2" w:rsidRDefault="00950DF7" w:rsidP="00F304EA">
      <w:pPr>
        <w:spacing w:line="276" w:lineRule="auto"/>
        <w:jc w:val="both"/>
        <w:rPr>
          <w:rFonts w:ascii="Arial" w:hAnsi="Arial" w:cs="Arial"/>
          <w:noProof/>
          <w:sz w:val="22"/>
          <w:lang w:val="es-ES_tradnl"/>
        </w:rPr>
      </w:pPr>
    </w:p>
    <w:p w14:paraId="4B76E94E" w14:textId="6B18E8DC" w:rsidR="00840E20" w:rsidRPr="004E4FED" w:rsidRDefault="00840E20" w:rsidP="71938EA5">
      <w:pPr>
        <w:spacing w:line="276" w:lineRule="auto"/>
        <w:jc w:val="both"/>
        <w:rPr>
          <w:rFonts w:ascii="Arial" w:hAnsi="Arial" w:cs="Arial"/>
          <w:sz w:val="22"/>
          <w:szCs w:val="22"/>
          <w:lang w:val="es-MX" w:eastAsia="es-CO"/>
        </w:rPr>
      </w:pPr>
    </w:p>
    <w:p w14:paraId="2249DA1C" w14:textId="398D15C3" w:rsidR="00840E20" w:rsidRPr="004E4FED" w:rsidRDefault="00840E20" w:rsidP="71938EA5">
      <w:pPr>
        <w:spacing w:line="276" w:lineRule="auto"/>
        <w:jc w:val="both"/>
        <w:rPr>
          <w:rFonts w:ascii="Arial" w:hAnsi="Arial" w:cs="Arial"/>
          <w:sz w:val="22"/>
          <w:szCs w:val="22"/>
          <w:lang w:val="es-MX" w:eastAsia="es-CO"/>
        </w:rPr>
      </w:pPr>
    </w:p>
    <w:p w14:paraId="2202A978" w14:textId="5FEF3B13" w:rsidR="06C12038" w:rsidRDefault="06C12038" w:rsidP="06FA6063">
      <w:pPr>
        <w:spacing w:line="276" w:lineRule="auto"/>
        <w:jc w:val="both"/>
        <w:rPr>
          <w:rFonts w:ascii="Arial" w:eastAsia="Arial" w:hAnsi="Arial" w:cs="Arial"/>
          <w:sz w:val="22"/>
          <w:szCs w:val="22"/>
          <w:lang w:val="es"/>
        </w:rPr>
      </w:pPr>
      <w:r w:rsidRPr="06FA6063">
        <w:rPr>
          <w:rFonts w:ascii="Arial" w:eastAsia="Arial" w:hAnsi="Arial" w:cs="Arial"/>
          <w:sz w:val="22"/>
          <w:szCs w:val="22"/>
          <w:lang w:val="es"/>
        </w:rPr>
        <w:t>Bogotá D.C., 18 de septiembre de 2023</w:t>
      </w:r>
    </w:p>
    <w:p w14:paraId="7F292B94" w14:textId="77777777" w:rsidR="00950DF7" w:rsidRPr="004E4FED" w:rsidRDefault="00950DF7" w:rsidP="004E4FED">
      <w:pPr>
        <w:jc w:val="both"/>
        <w:rPr>
          <w:rFonts w:ascii="Arial" w:hAnsi="Arial" w:cs="Arial"/>
          <w:noProof/>
          <w:sz w:val="22"/>
          <w:szCs w:val="22"/>
          <w:lang w:val="es-ES_tradnl"/>
        </w:rPr>
      </w:pPr>
    </w:p>
    <w:p w14:paraId="400BF381" w14:textId="1B32EEE7" w:rsidR="71938EA5" w:rsidRDefault="71938EA5" w:rsidP="71938EA5">
      <w:pPr>
        <w:jc w:val="both"/>
        <w:rPr>
          <w:rFonts w:ascii="Arial" w:eastAsia="Calibri" w:hAnsi="Arial" w:cs="Arial"/>
          <w:sz w:val="22"/>
          <w:szCs w:val="22"/>
          <w:lang w:val="es-ES"/>
        </w:rPr>
      </w:pPr>
    </w:p>
    <w:p w14:paraId="09F837F0" w14:textId="61DEB1E1" w:rsidR="71938EA5" w:rsidRDefault="71938EA5" w:rsidP="71938EA5">
      <w:pPr>
        <w:jc w:val="both"/>
        <w:rPr>
          <w:rFonts w:ascii="Arial" w:eastAsia="Calibri" w:hAnsi="Arial" w:cs="Arial"/>
          <w:sz w:val="22"/>
          <w:szCs w:val="22"/>
          <w:lang w:val="es-ES"/>
        </w:rPr>
      </w:pPr>
    </w:p>
    <w:p w14:paraId="6B5F21C5" w14:textId="7EAE1BAA" w:rsidR="71938EA5" w:rsidRDefault="71938EA5" w:rsidP="06FA6063">
      <w:pPr>
        <w:jc w:val="both"/>
      </w:pPr>
    </w:p>
    <w:p w14:paraId="05D448F3" w14:textId="2C884C77" w:rsidR="71938EA5" w:rsidRDefault="00236C90" w:rsidP="71938EA5">
      <w:pPr>
        <w:jc w:val="both"/>
        <w:rPr>
          <w:rFonts w:ascii="Arial" w:eastAsia="Calibri" w:hAnsi="Arial" w:cs="Arial"/>
          <w:sz w:val="22"/>
          <w:szCs w:val="22"/>
          <w:lang w:val="es-ES"/>
        </w:rPr>
      </w:pPr>
      <w:r>
        <w:rPr>
          <w:noProof/>
        </w:rPr>
        <w:drawing>
          <wp:anchor distT="0" distB="0" distL="114300" distR="114300" simplePos="0" relativeHeight="251658240" behindDoc="0" locked="0" layoutInCell="1" allowOverlap="1" wp14:anchorId="1A659A27" wp14:editId="22197ABD">
            <wp:simplePos x="0" y="0"/>
            <wp:positionH relativeFrom="column">
              <wp:posOffset>2720340</wp:posOffset>
            </wp:positionH>
            <wp:positionV relativeFrom="paragraph">
              <wp:posOffset>11430</wp:posOffset>
            </wp:positionV>
            <wp:extent cx="3143250" cy="805757"/>
            <wp:effectExtent l="0" t="0" r="0" b="0"/>
            <wp:wrapNone/>
            <wp:docPr id="623995940" name="Imagen 623995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995940" name="Imagen 623995940"/>
                    <pic:cNvPicPr/>
                  </pic:nvPicPr>
                  <pic:blipFill>
                    <a:blip r:embed="rId11">
                      <a:extLst>
                        <a:ext uri="{28A0092B-C50C-407E-A947-70E740481C1C}">
                          <a14:useLocalDpi xmlns:a14="http://schemas.microsoft.com/office/drawing/2010/main" val="0"/>
                        </a:ext>
                      </a:extLst>
                    </a:blip>
                    <a:stretch>
                      <a:fillRect/>
                    </a:stretch>
                  </pic:blipFill>
                  <pic:spPr>
                    <a:xfrm>
                      <a:off x="0" y="0"/>
                      <a:ext cx="3143250" cy="805757"/>
                    </a:xfrm>
                    <a:prstGeom prst="rect">
                      <a:avLst/>
                    </a:prstGeom>
                  </pic:spPr>
                </pic:pic>
              </a:graphicData>
            </a:graphic>
          </wp:anchor>
        </w:drawing>
      </w:r>
    </w:p>
    <w:p w14:paraId="6C9B6843" w14:textId="5D4B407A" w:rsidR="00950DF7" w:rsidRPr="004E4FED" w:rsidRDefault="579FD9F4" w:rsidP="004E4FED">
      <w:pPr>
        <w:jc w:val="both"/>
        <w:rPr>
          <w:rFonts w:ascii="Arial" w:eastAsia="Calibri" w:hAnsi="Arial" w:cs="Arial"/>
          <w:sz w:val="22"/>
          <w:szCs w:val="22"/>
          <w:lang w:val="es-ES"/>
        </w:rPr>
      </w:pPr>
      <w:r w:rsidRPr="06FA6063">
        <w:rPr>
          <w:rFonts w:ascii="Arial" w:eastAsia="Calibri" w:hAnsi="Arial" w:cs="Arial"/>
          <w:sz w:val="22"/>
          <w:szCs w:val="22"/>
          <w:lang w:val="es-ES"/>
        </w:rPr>
        <w:t>Señor</w:t>
      </w:r>
      <w:r w:rsidR="18F89A3A" w:rsidRPr="06FA6063">
        <w:rPr>
          <w:rFonts w:ascii="Arial" w:eastAsia="Calibri" w:hAnsi="Arial" w:cs="Arial"/>
          <w:sz w:val="22"/>
          <w:szCs w:val="22"/>
          <w:lang w:val="es-ES"/>
        </w:rPr>
        <w:t>a</w:t>
      </w:r>
    </w:p>
    <w:p w14:paraId="7454F008" w14:textId="141CE7D3" w:rsidR="65CC1E34" w:rsidRDefault="18F89A3A" w:rsidP="362BC5EC">
      <w:pPr>
        <w:rPr>
          <w:rFonts w:ascii="Arial" w:eastAsia="Calibri" w:hAnsi="Arial" w:cs="Arial"/>
          <w:b/>
          <w:bCs/>
          <w:sz w:val="22"/>
          <w:szCs w:val="22"/>
          <w:lang w:val="es-ES"/>
        </w:rPr>
      </w:pPr>
      <w:r w:rsidRPr="06FA6063">
        <w:rPr>
          <w:rFonts w:ascii="Arial" w:eastAsia="Calibri" w:hAnsi="Arial" w:cs="Arial"/>
          <w:b/>
          <w:bCs/>
          <w:sz w:val="22"/>
          <w:szCs w:val="22"/>
          <w:lang w:val="es-ES"/>
        </w:rPr>
        <w:t>Paola Andrea Ortiz Páez</w:t>
      </w:r>
      <w:r w:rsidR="65CC1E34" w:rsidRPr="06FA6063">
        <w:rPr>
          <w:rFonts w:ascii="Arial" w:eastAsia="Calibri" w:hAnsi="Arial" w:cs="Arial"/>
          <w:b/>
          <w:bCs/>
          <w:sz w:val="22"/>
          <w:szCs w:val="22"/>
          <w:lang w:val="es-ES"/>
        </w:rPr>
        <w:t xml:space="preserve"> </w:t>
      </w:r>
    </w:p>
    <w:p w14:paraId="7085FC6E" w14:textId="496F402E" w:rsidR="00BD15AC" w:rsidRDefault="21986477" w:rsidP="47283E64">
      <w:pPr>
        <w:rPr>
          <w:rFonts w:ascii="Arial" w:eastAsia="Calibri" w:hAnsi="Arial" w:cs="Arial"/>
          <w:sz w:val="22"/>
          <w:szCs w:val="22"/>
          <w:lang w:val="es-ES"/>
        </w:rPr>
      </w:pPr>
      <w:r w:rsidRPr="06FA6063">
        <w:rPr>
          <w:rFonts w:ascii="Arial" w:eastAsia="Calibri" w:hAnsi="Arial" w:cs="Arial"/>
          <w:sz w:val="22"/>
          <w:szCs w:val="22"/>
          <w:lang w:val="es-ES"/>
        </w:rPr>
        <w:t>Inírida</w:t>
      </w:r>
      <w:r w:rsidR="45BEC92A" w:rsidRPr="06FA6063">
        <w:rPr>
          <w:rFonts w:ascii="Arial" w:eastAsia="Calibri" w:hAnsi="Arial" w:cs="Arial"/>
          <w:sz w:val="22"/>
          <w:szCs w:val="22"/>
          <w:lang w:val="es-ES"/>
        </w:rPr>
        <w:t xml:space="preserve">, </w:t>
      </w:r>
      <w:r w:rsidR="60E23695" w:rsidRPr="06FA6063">
        <w:rPr>
          <w:rFonts w:ascii="Arial" w:eastAsia="Calibri" w:hAnsi="Arial" w:cs="Arial"/>
          <w:sz w:val="22"/>
          <w:szCs w:val="22"/>
          <w:lang w:val="es-ES"/>
        </w:rPr>
        <w:t xml:space="preserve">Puerto </w:t>
      </w:r>
      <w:r w:rsidR="0616A1E2" w:rsidRPr="06FA6063">
        <w:rPr>
          <w:rFonts w:ascii="Arial" w:eastAsia="Calibri" w:hAnsi="Arial" w:cs="Arial"/>
          <w:sz w:val="22"/>
          <w:szCs w:val="22"/>
          <w:lang w:val="es-ES"/>
        </w:rPr>
        <w:t>Inírida</w:t>
      </w:r>
      <w:r w:rsidR="60E23695" w:rsidRPr="06FA6063">
        <w:rPr>
          <w:rFonts w:ascii="Arial" w:eastAsia="Calibri" w:hAnsi="Arial" w:cs="Arial"/>
          <w:sz w:val="22"/>
          <w:szCs w:val="22"/>
          <w:lang w:val="es-ES"/>
        </w:rPr>
        <w:t xml:space="preserve"> </w:t>
      </w:r>
      <w:r w:rsidR="04C4A9E5" w:rsidRPr="06FA6063">
        <w:rPr>
          <w:rFonts w:ascii="Arial" w:eastAsia="Calibri" w:hAnsi="Arial" w:cs="Arial"/>
          <w:sz w:val="22"/>
          <w:szCs w:val="22"/>
          <w:lang w:val="es-ES"/>
        </w:rPr>
        <w:t xml:space="preserve"> </w:t>
      </w:r>
    </w:p>
    <w:p w14:paraId="315B8DED" w14:textId="4E8702EE" w:rsidR="00950DF7" w:rsidRDefault="00950DF7" w:rsidP="06FA6063">
      <w:pPr>
        <w:jc w:val="right"/>
      </w:pPr>
    </w:p>
    <w:p w14:paraId="7B7B5DED" w14:textId="04B7BE5A" w:rsidR="71938EA5" w:rsidRDefault="71938EA5" w:rsidP="71938EA5">
      <w:pPr>
        <w:rPr>
          <w:rFonts w:ascii="Arial" w:eastAsia="Calibri" w:hAnsi="Arial" w:cs="Arial"/>
          <w:sz w:val="22"/>
          <w:szCs w:val="22"/>
          <w:lang w:val="es-ES"/>
        </w:rPr>
      </w:pPr>
    </w:p>
    <w:p w14:paraId="19F59022" w14:textId="77777777" w:rsidR="004E4FED" w:rsidRPr="00781AC2" w:rsidRDefault="004E4FED" w:rsidP="71938EA5">
      <w:pPr>
        <w:rPr>
          <w:rFonts w:ascii="Arial" w:eastAsia="Calibri" w:hAnsi="Arial" w:cs="Arial"/>
          <w:sz w:val="22"/>
          <w:szCs w:val="22"/>
          <w:highlight w:val="yellow"/>
          <w:lang w:val="es-ES"/>
        </w:rPr>
      </w:pPr>
    </w:p>
    <w:p w14:paraId="20607E96" w14:textId="4775890E" w:rsidR="00950DF7" w:rsidRPr="00781AC2" w:rsidRDefault="162FA132" w:rsidP="00F304EA">
      <w:pPr>
        <w:ind w:left="2694"/>
        <w:rPr>
          <w:rFonts w:ascii="Arial" w:eastAsia="Calibri" w:hAnsi="Arial" w:cs="Arial"/>
          <w:b/>
          <w:bCs/>
          <w:sz w:val="22"/>
          <w:szCs w:val="22"/>
          <w:lang w:val="es-ES"/>
        </w:rPr>
      </w:pPr>
      <w:r w:rsidRPr="00781AC2">
        <w:rPr>
          <w:rFonts w:ascii="Arial" w:eastAsia="Calibri" w:hAnsi="Arial" w:cs="Arial"/>
          <w:b/>
          <w:bCs/>
          <w:sz w:val="22"/>
          <w:szCs w:val="22"/>
          <w:lang w:val="es-ES"/>
        </w:rPr>
        <w:t>Concepto C</w:t>
      </w:r>
      <w:r w:rsidR="3BF86E7E" w:rsidRPr="00781AC2">
        <w:rPr>
          <w:rFonts w:ascii="Arial" w:eastAsia="Calibri" w:hAnsi="Arial" w:cs="Arial"/>
          <w:b/>
          <w:bCs/>
          <w:sz w:val="22"/>
          <w:szCs w:val="22"/>
          <w:shd w:val="clear" w:color="auto" w:fill="E6E6E6"/>
          <w:lang w:val="es-ES"/>
        </w:rPr>
        <w:t>-</w:t>
      </w:r>
      <w:r w:rsidR="2B34496B" w:rsidRPr="00781AC2">
        <w:rPr>
          <w:rFonts w:ascii="Arial" w:eastAsia="Calibri" w:hAnsi="Arial" w:cs="Arial"/>
          <w:b/>
          <w:bCs/>
          <w:sz w:val="22"/>
          <w:szCs w:val="22"/>
          <w:shd w:val="clear" w:color="auto" w:fill="E6E6E6"/>
          <w:lang w:val="es-ES"/>
        </w:rPr>
        <w:t>3</w:t>
      </w:r>
      <w:r w:rsidR="661FADEA" w:rsidRPr="00781AC2">
        <w:rPr>
          <w:rFonts w:ascii="Arial" w:eastAsia="Calibri" w:hAnsi="Arial" w:cs="Arial"/>
          <w:b/>
          <w:bCs/>
          <w:sz w:val="22"/>
          <w:szCs w:val="22"/>
          <w:shd w:val="clear" w:color="auto" w:fill="E6E6E6"/>
          <w:lang w:val="es-ES"/>
        </w:rPr>
        <w:t>27</w:t>
      </w:r>
      <w:r w:rsidR="779B16F9" w:rsidRPr="00781AC2">
        <w:rPr>
          <w:rFonts w:ascii="Arial" w:eastAsia="Calibri" w:hAnsi="Arial" w:cs="Arial"/>
          <w:b/>
          <w:bCs/>
          <w:sz w:val="22"/>
          <w:szCs w:val="22"/>
          <w:lang w:val="es-ES"/>
        </w:rPr>
        <w:t xml:space="preserve"> </w:t>
      </w:r>
      <w:r w:rsidRPr="00781AC2">
        <w:rPr>
          <w:rFonts w:ascii="Arial" w:eastAsia="Calibri" w:hAnsi="Arial" w:cs="Arial"/>
          <w:b/>
          <w:bCs/>
          <w:sz w:val="22"/>
          <w:szCs w:val="22"/>
          <w:lang w:val="es-ES"/>
        </w:rPr>
        <w:t>de 202</w:t>
      </w:r>
      <w:r w:rsidR="35ED7F69" w:rsidRPr="00781AC2">
        <w:rPr>
          <w:rFonts w:ascii="Arial" w:eastAsia="Calibri" w:hAnsi="Arial" w:cs="Arial"/>
          <w:b/>
          <w:bCs/>
          <w:sz w:val="22"/>
          <w:szCs w:val="22"/>
          <w:lang w:val="es-ES"/>
        </w:rPr>
        <w:t>3</w:t>
      </w:r>
    </w:p>
    <w:p w14:paraId="30E510E4" w14:textId="77777777" w:rsidR="00950DF7" w:rsidRPr="00781AC2" w:rsidRDefault="00950DF7" w:rsidP="00F304EA">
      <w:pPr>
        <w:jc w:val="both"/>
        <w:rPr>
          <w:rFonts w:ascii="Arial" w:eastAsia="Calibri" w:hAnsi="Arial" w:cs="Arial"/>
          <w:sz w:val="22"/>
          <w:lang w:val="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781AC2" w:rsidRPr="00781AC2" w14:paraId="57B8ADB6" w14:textId="77777777" w:rsidTr="06FA6063">
        <w:trPr>
          <w:jc w:val="right"/>
        </w:trPr>
        <w:tc>
          <w:tcPr>
            <w:tcW w:w="1838" w:type="dxa"/>
          </w:tcPr>
          <w:p w14:paraId="5EC5D0D8" w14:textId="15341976" w:rsidR="00950DF7" w:rsidRPr="00781AC2" w:rsidRDefault="00950DF7" w:rsidP="00F304EA">
            <w:pPr>
              <w:jc w:val="center"/>
              <w:rPr>
                <w:rFonts w:ascii="Arial" w:eastAsia="Calibri" w:hAnsi="Arial" w:cs="Arial"/>
                <w:sz w:val="22"/>
                <w:lang w:val="es-ES_tradnl"/>
              </w:rPr>
            </w:pPr>
            <w:r w:rsidRPr="00781AC2">
              <w:rPr>
                <w:rFonts w:ascii="Arial" w:eastAsia="Calibri" w:hAnsi="Arial" w:cs="Arial"/>
                <w:b/>
                <w:sz w:val="22"/>
                <w:lang w:val="es-ES_tradnl"/>
              </w:rPr>
              <w:t>Temas:</w:t>
            </w:r>
          </w:p>
        </w:tc>
        <w:tc>
          <w:tcPr>
            <w:tcW w:w="6237" w:type="dxa"/>
          </w:tcPr>
          <w:p w14:paraId="65E9DC63" w14:textId="4B79DBE2" w:rsidR="00950DF7" w:rsidRPr="00781AC2" w:rsidRDefault="4C812D65" w:rsidP="71938EA5">
            <w:pPr>
              <w:jc w:val="both"/>
              <w:rPr>
                <w:rFonts w:ascii="Arial" w:eastAsia="Arial" w:hAnsi="Arial" w:cs="Arial"/>
                <w:sz w:val="22"/>
                <w:szCs w:val="22"/>
                <w:highlight w:val="yellow"/>
                <w:lang w:val="es-ES"/>
              </w:rPr>
            </w:pPr>
            <w:r w:rsidRPr="362BC5EC">
              <w:rPr>
                <w:rFonts w:ascii="Arial" w:eastAsia="Arial" w:hAnsi="Arial" w:cs="Arial"/>
                <w:color w:val="000000" w:themeColor="text1"/>
                <w:sz w:val="22"/>
                <w:szCs w:val="22"/>
                <w:lang w:val="es-ES"/>
              </w:rPr>
              <w:t>ACCESO A DOCUMENTACIÓN PÚBLICA – Derecho fundamental – Transparencia – Información contractual / SECOP – Deber de publicación – Información contractual / DATOS SENSIBLES – Reserva – Excepción – SECOP.</w:t>
            </w:r>
            <w:r w:rsidR="45BEC92A" w:rsidRPr="362BC5EC">
              <w:rPr>
                <w:rFonts w:ascii="Arial" w:eastAsia="Arial" w:hAnsi="Arial" w:cs="Arial"/>
                <w:sz w:val="22"/>
                <w:szCs w:val="22"/>
                <w:lang w:val="es-ES"/>
              </w:rPr>
              <w:t xml:space="preserve"> </w:t>
            </w:r>
          </w:p>
        </w:tc>
      </w:tr>
      <w:tr w:rsidR="00F304EA" w:rsidRPr="00781AC2" w14:paraId="6D8A1715" w14:textId="77777777" w:rsidTr="06FA6063">
        <w:trPr>
          <w:jc w:val="right"/>
        </w:trPr>
        <w:tc>
          <w:tcPr>
            <w:tcW w:w="1838" w:type="dxa"/>
          </w:tcPr>
          <w:p w14:paraId="62ED0099" w14:textId="05F3F284" w:rsidR="00950DF7" w:rsidRPr="00781AC2" w:rsidRDefault="00950DF7" w:rsidP="00F304EA">
            <w:pPr>
              <w:spacing w:before="120"/>
              <w:jc w:val="center"/>
              <w:rPr>
                <w:rFonts w:ascii="Arial" w:eastAsia="Calibri" w:hAnsi="Arial" w:cs="Arial"/>
                <w:b/>
                <w:sz w:val="22"/>
                <w:szCs w:val="22"/>
                <w:lang w:val="es-ES"/>
              </w:rPr>
            </w:pPr>
            <w:r w:rsidRPr="00781AC2">
              <w:rPr>
                <w:rFonts w:ascii="Arial" w:eastAsia="Calibri" w:hAnsi="Arial" w:cs="Arial"/>
                <w:b/>
                <w:sz w:val="22"/>
                <w:szCs w:val="22"/>
                <w:lang w:val="es-ES"/>
              </w:rPr>
              <w:t>Radicación:</w:t>
            </w:r>
          </w:p>
        </w:tc>
        <w:tc>
          <w:tcPr>
            <w:tcW w:w="6237" w:type="dxa"/>
          </w:tcPr>
          <w:p w14:paraId="393CD37C" w14:textId="25DB1D68" w:rsidR="00950DF7" w:rsidRPr="00781AC2" w:rsidRDefault="45BEC92A" w:rsidP="06FA6063">
            <w:pPr>
              <w:spacing w:before="120"/>
              <w:jc w:val="both"/>
              <w:rPr>
                <w:rFonts w:ascii="Arial" w:eastAsia="Arial" w:hAnsi="Arial" w:cs="Arial"/>
                <w:sz w:val="22"/>
                <w:szCs w:val="22"/>
                <w:lang w:val="es-ES"/>
              </w:rPr>
            </w:pPr>
            <w:r w:rsidRPr="06FA6063">
              <w:rPr>
                <w:rFonts w:ascii="Arial" w:eastAsia="Calibri" w:hAnsi="Arial" w:cs="Arial"/>
                <w:sz w:val="22"/>
                <w:szCs w:val="22"/>
                <w:lang w:val="es-ES"/>
              </w:rPr>
              <w:t xml:space="preserve">Respuesta a consulta </w:t>
            </w:r>
            <w:r w:rsidR="1081B33F" w:rsidRPr="06FA6063">
              <w:rPr>
                <w:rFonts w:ascii="Arial" w:eastAsia="Arial" w:hAnsi="Arial" w:cs="Arial"/>
                <w:sz w:val="22"/>
                <w:szCs w:val="22"/>
                <w:lang w:val="es"/>
              </w:rPr>
              <w:t>P20230804013969</w:t>
            </w:r>
          </w:p>
        </w:tc>
      </w:tr>
    </w:tbl>
    <w:p w14:paraId="65A47511" w14:textId="77777777" w:rsidR="00950DF7" w:rsidRPr="00781AC2" w:rsidRDefault="00950DF7" w:rsidP="00F304EA">
      <w:pPr>
        <w:jc w:val="both"/>
        <w:rPr>
          <w:rFonts w:ascii="Arial" w:eastAsia="Calibri" w:hAnsi="Arial" w:cs="Arial"/>
          <w:sz w:val="22"/>
          <w:lang w:val="es-ES_tradnl"/>
        </w:rPr>
      </w:pPr>
    </w:p>
    <w:p w14:paraId="712BF181" w14:textId="77777777" w:rsidR="00950DF7" w:rsidRPr="00781AC2" w:rsidRDefault="00950DF7" w:rsidP="00F304EA">
      <w:pPr>
        <w:jc w:val="both"/>
        <w:rPr>
          <w:rFonts w:ascii="Arial" w:eastAsia="Calibri" w:hAnsi="Arial" w:cs="Arial"/>
          <w:sz w:val="22"/>
          <w:lang w:val="es-ES_tradnl"/>
        </w:rPr>
      </w:pPr>
    </w:p>
    <w:p w14:paraId="4FE0657B" w14:textId="25CCE81E" w:rsidR="71938EA5" w:rsidRDefault="71938EA5" w:rsidP="71938EA5">
      <w:pPr>
        <w:jc w:val="both"/>
        <w:rPr>
          <w:rFonts w:ascii="Arial" w:eastAsia="Calibri" w:hAnsi="Arial" w:cs="Arial"/>
          <w:sz w:val="22"/>
          <w:szCs w:val="22"/>
          <w:lang w:val="es-ES"/>
        </w:rPr>
      </w:pPr>
    </w:p>
    <w:p w14:paraId="3DDCC405" w14:textId="62458405" w:rsidR="00950DF7" w:rsidRPr="00781AC2" w:rsidRDefault="48E87B4E" w:rsidP="71938EA5">
      <w:pPr>
        <w:jc w:val="both"/>
        <w:rPr>
          <w:rFonts w:ascii="Arial" w:eastAsia="Calibri" w:hAnsi="Arial" w:cs="Arial"/>
          <w:sz w:val="22"/>
          <w:szCs w:val="22"/>
          <w:lang w:val="es-ES"/>
        </w:rPr>
      </w:pPr>
      <w:r w:rsidRPr="71938EA5">
        <w:rPr>
          <w:rFonts w:ascii="Arial" w:eastAsia="Calibri" w:hAnsi="Arial" w:cs="Arial"/>
          <w:sz w:val="22"/>
          <w:szCs w:val="22"/>
          <w:lang w:val="es-ES"/>
        </w:rPr>
        <w:t>Estimado señor</w:t>
      </w:r>
      <w:r w:rsidR="0F71A042" w:rsidRPr="71938EA5">
        <w:rPr>
          <w:rFonts w:ascii="Arial" w:eastAsia="Calibri" w:hAnsi="Arial" w:cs="Arial"/>
          <w:sz w:val="22"/>
          <w:szCs w:val="22"/>
          <w:lang w:val="es-ES"/>
        </w:rPr>
        <w:t xml:space="preserve">a Ortiz </w:t>
      </w:r>
      <w:proofErr w:type="spellStart"/>
      <w:r w:rsidR="0F71A042" w:rsidRPr="71938EA5">
        <w:rPr>
          <w:rFonts w:ascii="Arial" w:eastAsia="Calibri" w:hAnsi="Arial" w:cs="Arial"/>
          <w:sz w:val="22"/>
          <w:szCs w:val="22"/>
          <w:lang w:val="es-ES"/>
        </w:rPr>
        <w:t>Paéz</w:t>
      </w:r>
      <w:proofErr w:type="spellEnd"/>
      <w:r w:rsidRPr="71938EA5">
        <w:rPr>
          <w:rFonts w:ascii="Arial" w:eastAsia="Calibri" w:hAnsi="Arial" w:cs="Arial"/>
          <w:sz w:val="22"/>
          <w:szCs w:val="22"/>
          <w:lang w:val="es-ES"/>
        </w:rPr>
        <w:t>:</w:t>
      </w:r>
    </w:p>
    <w:p w14:paraId="5958CBDB" w14:textId="77777777" w:rsidR="00950DF7" w:rsidRPr="00781AC2" w:rsidRDefault="00950DF7" w:rsidP="00F304EA">
      <w:pPr>
        <w:jc w:val="both"/>
        <w:rPr>
          <w:rFonts w:ascii="Arial" w:eastAsia="Calibri" w:hAnsi="Arial" w:cs="Arial"/>
          <w:sz w:val="22"/>
          <w:lang w:val="es-ES_tradnl"/>
        </w:rPr>
      </w:pPr>
    </w:p>
    <w:p w14:paraId="3E917ACF" w14:textId="6FE20963" w:rsidR="00950DF7" w:rsidRPr="00781AC2" w:rsidRDefault="48E87B4E" w:rsidP="00F304EA">
      <w:pPr>
        <w:spacing w:line="276" w:lineRule="auto"/>
        <w:jc w:val="both"/>
        <w:rPr>
          <w:rFonts w:ascii="Arial" w:eastAsia="Calibri" w:hAnsi="Arial" w:cs="Arial"/>
          <w:sz w:val="22"/>
          <w:szCs w:val="22"/>
          <w:lang w:val="es-ES"/>
        </w:rPr>
      </w:pPr>
      <w:r w:rsidRPr="71938EA5">
        <w:rPr>
          <w:rFonts w:ascii="Arial" w:eastAsia="Calibri" w:hAnsi="Arial" w:cs="Arial"/>
          <w:sz w:val="22"/>
          <w:szCs w:val="22"/>
          <w:lang w:val="es-ES"/>
        </w:rPr>
        <w:t>En ejercicio de la competencia otorgada por el numeral 8</w:t>
      </w:r>
      <w:r w:rsidR="0FB82CBA" w:rsidRPr="71938EA5">
        <w:rPr>
          <w:rFonts w:ascii="Arial" w:eastAsia="Calibri" w:hAnsi="Arial" w:cs="Arial"/>
          <w:sz w:val="22"/>
          <w:szCs w:val="22"/>
          <w:lang w:val="es-ES"/>
        </w:rPr>
        <w:t>°</w:t>
      </w:r>
      <w:r w:rsidRPr="71938EA5">
        <w:rPr>
          <w:rFonts w:ascii="Arial" w:eastAsia="Calibri" w:hAnsi="Arial" w:cs="Arial"/>
          <w:sz w:val="22"/>
          <w:szCs w:val="22"/>
          <w:lang w:val="es-ES"/>
        </w:rPr>
        <w:t xml:space="preserve"> del artículo 11 y el numeral 5</w:t>
      </w:r>
      <w:r w:rsidR="0FB82CBA" w:rsidRPr="71938EA5">
        <w:rPr>
          <w:rFonts w:ascii="Arial" w:eastAsia="Calibri" w:hAnsi="Arial" w:cs="Arial"/>
          <w:sz w:val="22"/>
          <w:szCs w:val="22"/>
          <w:lang w:val="es-ES"/>
        </w:rPr>
        <w:t>°</w:t>
      </w:r>
      <w:r w:rsidRPr="71938EA5">
        <w:rPr>
          <w:rFonts w:ascii="Arial" w:eastAsia="Calibri" w:hAnsi="Arial" w:cs="Arial"/>
          <w:sz w:val="22"/>
          <w:szCs w:val="22"/>
          <w:lang w:val="es-ES"/>
        </w:rPr>
        <w:t xml:space="preserve"> del artículo 3 del Decreto Ley 4170 de 2011</w:t>
      </w:r>
      <w:r w:rsidR="1C8B4000" w:rsidRPr="71938EA5">
        <w:rPr>
          <w:rFonts w:ascii="Arial" w:eastAsia="Calibri" w:hAnsi="Arial" w:cs="Arial"/>
        </w:rPr>
        <w:t xml:space="preserve">, </w:t>
      </w:r>
      <w:r w:rsidR="1C8B4000" w:rsidRPr="71938EA5">
        <w:rPr>
          <w:rFonts w:ascii="Arial" w:hAnsi="Arial" w:cs="Arial"/>
        </w:rPr>
        <w:t>así como lo establecido en la Resolución 1707 de 2018 expedida por esta Entidad</w:t>
      </w:r>
      <w:r w:rsidRPr="71938EA5">
        <w:rPr>
          <w:rFonts w:ascii="Arial" w:eastAsia="Calibri" w:hAnsi="Arial" w:cs="Arial"/>
          <w:sz w:val="22"/>
          <w:szCs w:val="22"/>
          <w:lang w:val="es-ES"/>
        </w:rPr>
        <w:t xml:space="preserve">, la Agencia Nacional de Contratación Pública ― Colombia Compra Eficiente responde su consulta del </w:t>
      </w:r>
      <w:r w:rsidR="19FA5CAB" w:rsidRPr="71938EA5">
        <w:rPr>
          <w:rFonts w:ascii="Arial" w:eastAsia="Calibri" w:hAnsi="Arial" w:cs="Arial"/>
          <w:sz w:val="22"/>
          <w:szCs w:val="22"/>
          <w:lang w:val="es-ES"/>
        </w:rPr>
        <w:t>04</w:t>
      </w:r>
      <w:r w:rsidRPr="71938EA5">
        <w:rPr>
          <w:rFonts w:ascii="Arial" w:eastAsia="Calibri" w:hAnsi="Arial" w:cs="Arial"/>
          <w:sz w:val="22"/>
          <w:szCs w:val="22"/>
          <w:lang w:val="es-ES"/>
        </w:rPr>
        <w:t xml:space="preserve"> de </w:t>
      </w:r>
      <w:r w:rsidR="0B79E732" w:rsidRPr="71938EA5">
        <w:rPr>
          <w:rFonts w:ascii="Arial" w:eastAsia="Calibri" w:hAnsi="Arial" w:cs="Arial"/>
          <w:sz w:val="22"/>
          <w:szCs w:val="22"/>
          <w:lang w:val="es-ES"/>
        </w:rPr>
        <w:t>agosto</w:t>
      </w:r>
      <w:r w:rsidRPr="71938EA5">
        <w:rPr>
          <w:rFonts w:ascii="Arial" w:eastAsia="Calibri" w:hAnsi="Arial" w:cs="Arial"/>
          <w:sz w:val="22"/>
          <w:szCs w:val="22"/>
          <w:lang w:val="es-ES"/>
        </w:rPr>
        <w:t xml:space="preserve"> de 202</w:t>
      </w:r>
      <w:r w:rsidR="71ED942A" w:rsidRPr="71938EA5">
        <w:rPr>
          <w:rFonts w:ascii="Arial" w:eastAsia="Calibri" w:hAnsi="Arial" w:cs="Arial"/>
          <w:sz w:val="22"/>
          <w:szCs w:val="22"/>
          <w:lang w:val="es-ES"/>
        </w:rPr>
        <w:t>3</w:t>
      </w:r>
      <w:r w:rsidRPr="71938EA5">
        <w:rPr>
          <w:rFonts w:ascii="Arial" w:eastAsia="Calibri" w:hAnsi="Arial" w:cs="Arial"/>
          <w:sz w:val="22"/>
          <w:szCs w:val="22"/>
          <w:lang w:val="es-ES"/>
        </w:rPr>
        <w:t>.</w:t>
      </w:r>
    </w:p>
    <w:p w14:paraId="6E212067" w14:textId="77777777" w:rsidR="00950DF7" w:rsidRPr="00781AC2" w:rsidRDefault="00950DF7" w:rsidP="00F304EA">
      <w:pPr>
        <w:spacing w:line="276" w:lineRule="auto"/>
        <w:jc w:val="both"/>
        <w:rPr>
          <w:rFonts w:ascii="Arial" w:eastAsia="Calibri" w:hAnsi="Arial" w:cs="Arial"/>
          <w:b/>
          <w:sz w:val="22"/>
          <w:lang w:val="es-ES_tradnl"/>
        </w:rPr>
      </w:pPr>
    </w:p>
    <w:p w14:paraId="07E4FB05" w14:textId="77777777" w:rsidR="00950DF7" w:rsidRPr="00781AC2" w:rsidRDefault="00950DF7" w:rsidP="00F304EA">
      <w:pPr>
        <w:pStyle w:val="Prrafodelista"/>
        <w:numPr>
          <w:ilvl w:val="0"/>
          <w:numId w:val="2"/>
        </w:numPr>
        <w:tabs>
          <w:tab w:val="left" w:pos="0"/>
          <w:tab w:val="left" w:pos="142"/>
          <w:tab w:val="left" w:pos="284"/>
        </w:tabs>
        <w:spacing w:line="276" w:lineRule="auto"/>
        <w:ind w:left="0" w:firstLine="0"/>
        <w:jc w:val="both"/>
        <w:rPr>
          <w:rFonts w:ascii="Arial" w:eastAsia="Calibri" w:hAnsi="Arial" w:cs="Arial"/>
          <w:b/>
          <w:sz w:val="22"/>
          <w:lang w:val="es-ES_tradnl"/>
        </w:rPr>
      </w:pPr>
      <w:r w:rsidRPr="00781AC2">
        <w:rPr>
          <w:rFonts w:ascii="Arial" w:eastAsia="Calibri" w:hAnsi="Arial" w:cs="Arial"/>
          <w:b/>
          <w:sz w:val="22"/>
          <w:lang w:val="es-ES_tradnl"/>
        </w:rPr>
        <w:t xml:space="preserve">Problema planteado </w:t>
      </w:r>
    </w:p>
    <w:p w14:paraId="767E9BFF" w14:textId="43B61FA8" w:rsidR="00950DF7" w:rsidRPr="00781AC2" w:rsidRDefault="00950DF7" w:rsidP="00F304EA">
      <w:pPr>
        <w:tabs>
          <w:tab w:val="left" w:pos="426"/>
        </w:tabs>
        <w:spacing w:line="276" w:lineRule="auto"/>
        <w:jc w:val="both"/>
        <w:rPr>
          <w:rFonts w:ascii="Arial" w:eastAsia="Calibri" w:hAnsi="Arial" w:cs="Arial"/>
          <w:b/>
          <w:sz w:val="22"/>
          <w:lang w:val="es-ES_tradnl"/>
        </w:rPr>
      </w:pPr>
    </w:p>
    <w:p w14:paraId="231F3462" w14:textId="347A620D" w:rsidR="71938EA5" w:rsidRDefault="36EFF204" w:rsidP="06FA6063">
      <w:pPr>
        <w:spacing w:line="276" w:lineRule="auto"/>
        <w:jc w:val="both"/>
      </w:pPr>
      <w:r w:rsidRPr="06FA6063">
        <w:rPr>
          <w:rFonts w:ascii="Arial" w:eastAsia="Arial" w:hAnsi="Arial" w:cs="Arial"/>
          <w:sz w:val="22"/>
          <w:szCs w:val="22"/>
          <w:lang w:val="es"/>
        </w:rPr>
        <w:t xml:space="preserve">Usted formula la siguiente consulta, en relación con los datos publicados en el SECOP: </w:t>
      </w:r>
      <w:r w:rsidRPr="06FA6063">
        <w:rPr>
          <w:rFonts w:ascii="Arial" w:eastAsia="Arial" w:hAnsi="Arial" w:cs="Arial"/>
          <w:i/>
          <w:iCs/>
          <w:sz w:val="20"/>
          <w:szCs w:val="20"/>
          <w:lang w:val="es"/>
        </w:rPr>
        <w:t>“[…] Con todo respeto, solicito se emita concepto que aclare si efectivamente los datos gozan de reserva o la entidad está obligada a realizar la publicación”.</w:t>
      </w:r>
    </w:p>
    <w:p w14:paraId="263514BA" w14:textId="76763B18" w:rsidR="71938EA5" w:rsidRDefault="71938EA5" w:rsidP="06FA6063">
      <w:pPr>
        <w:spacing w:line="276" w:lineRule="auto"/>
        <w:ind w:left="709" w:right="709"/>
        <w:jc w:val="both"/>
        <w:rPr>
          <w:rFonts w:ascii="Arial" w:eastAsia="Arial" w:hAnsi="Arial" w:cs="Arial"/>
          <w:sz w:val="20"/>
          <w:szCs w:val="20"/>
        </w:rPr>
      </w:pPr>
    </w:p>
    <w:p w14:paraId="483D6DD9" w14:textId="79951F09" w:rsidR="00950DF7" w:rsidRPr="00781AC2" w:rsidRDefault="00950DF7" w:rsidP="00F304EA">
      <w:pPr>
        <w:pStyle w:val="Prrafodelista"/>
        <w:numPr>
          <w:ilvl w:val="0"/>
          <w:numId w:val="2"/>
        </w:numPr>
        <w:tabs>
          <w:tab w:val="left" w:pos="0"/>
          <w:tab w:val="left" w:pos="284"/>
        </w:tabs>
        <w:ind w:left="0" w:firstLine="0"/>
        <w:contextualSpacing w:val="0"/>
        <w:jc w:val="both"/>
        <w:rPr>
          <w:rFonts w:ascii="Arial" w:eastAsia="Calibri" w:hAnsi="Arial" w:cs="Arial"/>
          <w:b/>
          <w:sz w:val="22"/>
          <w:lang w:val="es-ES_tradnl"/>
        </w:rPr>
      </w:pPr>
      <w:r w:rsidRPr="00781AC2">
        <w:rPr>
          <w:rFonts w:ascii="Arial" w:eastAsia="Calibri" w:hAnsi="Arial" w:cs="Arial"/>
          <w:b/>
          <w:sz w:val="22"/>
          <w:lang w:val="es-ES_tradnl"/>
        </w:rPr>
        <w:t>Consideraciones</w:t>
      </w:r>
    </w:p>
    <w:p w14:paraId="68D49234" w14:textId="77777777" w:rsidR="00A6242E" w:rsidRPr="00781AC2" w:rsidRDefault="00A6242E" w:rsidP="00F304EA">
      <w:pPr>
        <w:pStyle w:val="Prrafodelista"/>
        <w:tabs>
          <w:tab w:val="left" w:pos="0"/>
          <w:tab w:val="left" w:pos="284"/>
        </w:tabs>
        <w:ind w:left="0"/>
        <w:contextualSpacing w:val="0"/>
        <w:jc w:val="both"/>
        <w:rPr>
          <w:rFonts w:ascii="Arial" w:eastAsia="Calibri" w:hAnsi="Arial" w:cs="Arial"/>
          <w:b/>
          <w:sz w:val="22"/>
          <w:lang w:val="es-ES_tradnl"/>
        </w:rPr>
      </w:pPr>
    </w:p>
    <w:p w14:paraId="51141E92" w14:textId="183D5D84" w:rsidR="00532050" w:rsidRPr="00781AC2" w:rsidRDefault="67D3FFF9" w:rsidP="00F304EA">
      <w:pPr>
        <w:spacing w:after="120" w:line="276" w:lineRule="auto"/>
        <w:jc w:val="both"/>
        <w:rPr>
          <w:rFonts w:ascii="Arial" w:hAnsi="Arial" w:cs="Arial"/>
          <w:sz w:val="22"/>
          <w:szCs w:val="22"/>
          <w:lang w:val="es-ES"/>
        </w:rPr>
      </w:pPr>
      <w:r w:rsidRPr="00781AC2">
        <w:rPr>
          <w:rFonts w:ascii="Arial" w:hAnsi="Arial" w:cs="Arial"/>
          <w:sz w:val="22"/>
          <w:szCs w:val="22"/>
        </w:rPr>
        <w:t>En ejercicio de las competencias establecidas en los artículos 3</w:t>
      </w:r>
      <w:r w:rsidR="03A8C5B3">
        <w:rPr>
          <w:rFonts w:ascii="Arial" w:hAnsi="Arial" w:cs="Arial"/>
          <w:sz w:val="22"/>
          <w:szCs w:val="22"/>
        </w:rPr>
        <w:t xml:space="preserve">, numeral </w:t>
      </w:r>
      <w:r w:rsidRPr="00781AC2">
        <w:rPr>
          <w:rFonts w:ascii="Arial" w:hAnsi="Arial" w:cs="Arial"/>
          <w:sz w:val="22"/>
          <w:szCs w:val="22"/>
        </w:rPr>
        <w:t>5</w:t>
      </w:r>
      <w:r w:rsidR="03A8C5B3">
        <w:rPr>
          <w:rFonts w:ascii="Arial" w:hAnsi="Arial" w:cs="Arial"/>
          <w:sz w:val="22"/>
          <w:szCs w:val="22"/>
        </w:rPr>
        <w:t>°</w:t>
      </w:r>
      <w:r w:rsidRPr="00781AC2">
        <w:rPr>
          <w:rFonts w:ascii="Arial" w:hAnsi="Arial" w:cs="Arial"/>
          <w:sz w:val="22"/>
          <w:szCs w:val="22"/>
        </w:rPr>
        <w:t xml:space="preserve"> y 11</w:t>
      </w:r>
      <w:r w:rsidR="03A8C5B3">
        <w:rPr>
          <w:rFonts w:ascii="Arial" w:hAnsi="Arial" w:cs="Arial"/>
          <w:sz w:val="22"/>
          <w:szCs w:val="22"/>
        </w:rPr>
        <w:t xml:space="preserve">, numeral </w:t>
      </w:r>
      <w:r w:rsidRPr="00781AC2">
        <w:rPr>
          <w:rFonts w:ascii="Arial" w:hAnsi="Arial" w:cs="Arial"/>
          <w:sz w:val="22"/>
          <w:szCs w:val="22"/>
        </w:rPr>
        <w:t>8</w:t>
      </w:r>
      <w:r w:rsidR="03A8C5B3">
        <w:rPr>
          <w:rFonts w:ascii="Arial" w:hAnsi="Arial" w:cs="Arial"/>
          <w:sz w:val="22"/>
          <w:szCs w:val="22"/>
        </w:rPr>
        <w:t>°</w:t>
      </w:r>
      <w:r w:rsidRPr="00781AC2">
        <w:rPr>
          <w:rFonts w:ascii="Arial" w:hAnsi="Arial" w:cs="Arial"/>
          <w:sz w:val="22"/>
          <w:szCs w:val="22"/>
        </w:rPr>
        <w:t xml:space="preserve"> del Decreto</w:t>
      </w:r>
      <w:r w:rsidR="12BB4F22" w:rsidRPr="00781AC2">
        <w:rPr>
          <w:rFonts w:ascii="Arial" w:hAnsi="Arial" w:cs="Arial"/>
          <w:sz w:val="22"/>
          <w:szCs w:val="22"/>
        </w:rPr>
        <w:t xml:space="preserve"> Ley</w:t>
      </w:r>
      <w:r w:rsidRPr="00781AC2">
        <w:rPr>
          <w:rFonts w:ascii="Arial" w:hAnsi="Arial" w:cs="Arial"/>
          <w:sz w:val="22"/>
          <w:szCs w:val="22"/>
        </w:rPr>
        <w:t xml:space="preserve">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2" w:name="_Hlk61701014"/>
      <w:bookmarkStart w:id="3" w:name="_Hlk62136649"/>
      <w:r w:rsidRPr="00781AC2">
        <w:rPr>
          <w:rFonts w:ascii="Arial" w:hAnsi="Arial" w:cs="Arial"/>
          <w:sz w:val="22"/>
          <w:szCs w:val="22"/>
          <w:shd w:val="clear" w:color="auto" w:fill="E6E6E6"/>
        </w:rPr>
        <w:t xml:space="preserve"> </w:t>
      </w:r>
      <w:r w:rsidRPr="00781AC2">
        <w:rPr>
          <w:rFonts w:ascii="Arial" w:hAnsi="Arial" w:cs="Arial"/>
          <w:sz w:val="22"/>
          <w:szCs w:val="22"/>
          <w:lang w:val="es-ES"/>
        </w:rPr>
        <w:t xml:space="preserve">Es necesario tener en cuenta que </w:t>
      </w:r>
      <w:bookmarkStart w:id="4" w:name="_Hlk61026958"/>
      <w:r w:rsidRPr="00781AC2">
        <w:rPr>
          <w:rFonts w:ascii="Arial" w:hAnsi="Arial" w:cs="Arial"/>
          <w:sz w:val="22"/>
          <w:szCs w:val="22"/>
          <w:lang w:val="es-ES"/>
        </w:rPr>
        <w:t xml:space="preserve">esta entidad solo tiene competencia </w:t>
      </w:r>
      <w:r w:rsidRPr="00781AC2">
        <w:rPr>
          <w:rFonts w:ascii="Arial" w:hAnsi="Arial" w:cs="Arial"/>
          <w:sz w:val="22"/>
          <w:szCs w:val="22"/>
          <w:lang w:val="es-ES"/>
        </w:rPr>
        <w:lastRenderedPageBreak/>
        <w:t>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781AC2">
        <w:rPr>
          <w:rFonts w:ascii="Arial" w:hAnsi="Arial" w:cs="Arial"/>
          <w:sz w:val="22"/>
          <w:szCs w:val="22"/>
        </w:rPr>
        <w:t xml:space="preserve"> de todos los partícipes de la contratación estatal.</w:t>
      </w:r>
    </w:p>
    <w:p w14:paraId="0BE59A96" w14:textId="77777777" w:rsidR="00532050" w:rsidRPr="00781AC2" w:rsidRDefault="3CE79F9F" w:rsidP="00F304EA">
      <w:pPr>
        <w:spacing w:after="120" w:line="276" w:lineRule="auto"/>
        <w:ind w:firstLine="708"/>
        <w:jc w:val="both"/>
        <w:rPr>
          <w:rFonts w:ascii="Arial" w:hAnsi="Arial" w:cs="Arial"/>
          <w:sz w:val="22"/>
          <w:szCs w:val="22"/>
          <w:lang w:val="es-ES"/>
        </w:rPr>
      </w:pPr>
      <w:r w:rsidRPr="00781AC2">
        <w:rPr>
          <w:rFonts w:ascii="Arial" w:hAnsi="Arial" w:cs="Arial"/>
          <w:sz w:val="22"/>
          <w:szCs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00532050" w:rsidRPr="00781AC2">
        <w:rPr>
          <w:rFonts w:ascii="Arial" w:hAnsi="Arial" w:cs="Arial"/>
          <w:sz w:val="22"/>
          <w:szCs w:val="22"/>
          <w:vertAlign w:val="superscript"/>
          <w:lang w:val="es-ES"/>
        </w:rPr>
        <w:footnoteReference w:id="2"/>
      </w:r>
      <w:r w:rsidRPr="00781AC2">
        <w:rPr>
          <w:rFonts w:ascii="Arial" w:hAnsi="Arial" w:cs="Arial"/>
          <w:sz w:val="22"/>
          <w:szCs w:val="22"/>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4"/>
      <w:r w:rsidRPr="00781AC2">
        <w:rPr>
          <w:rFonts w:ascii="Arial" w:hAnsi="Arial" w:cs="Arial"/>
          <w:sz w:val="22"/>
          <w:szCs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2"/>
    </w:p>
    <w:bookmarkEnd w:id="3"/>
    <w:p w14:paraId="45342212" w14:textId="281371CD" w:rsidR="00950DF7" w:rsidRPr="00781AC2" w:rsidRDefault="00950DF7" w:rsidP="362BC5EC">
      <w:pPr>
        <w:tabs>
          <w:tab w:val="left" w:pos="426"/>
        </w:tabs>
        <w:spacing w:before="120" w:after="120" w:line="276" w:lineRule="auto"/>
        <w:jc w:val="both"/>
        <w:rPr>
          <w:rFonts w:ascii="Arial" w:hAnsi="Arial" w:cs="Arial"/>
          <w:sz w:val="22"/>
          <w:szCs w:val="22"/>
          <w:lang w:val="es-ES"/>
        </w:rPr>
      </w:pPr>
      <w:r w:rsidRPr="00781AC2">
        <w:rPr>
          <w:rFonts w:ascii="Arial" w:hAnsi="Arial" w:cs="Arial"/>
          <w:sz w:val="22"/>
        </w:rPr>
        <w:tab/>
      </w:r>
      <w:r w:rsidRPr="00781AC2">
        <w:rPr>
          <w:rFonts w:ascii="Arial" w:hAnsi="Arial" w:cs="Arial"/>
          <w:sz w:val="22"/>
        </w:rPr>
        <w:tab/>
      </w:r>
      <w:r w:rsidR="45BEC92A" w:rsidRPr="71938EA5">
        <w:rPr>
          <w:rFonts w:ascii="Arial" w:hAnsi="Arial" w:cs="Arial"/>
          <w:sz w:val="22"/>
          <w:szCs w:val="22"/>
        </w:rPr>
        <w:t xml:space="preserve">Sin perjuicio de lo anterior, la Subdirección –dentro de los límites de sus atribuciones, esto es, haciendo abstracción del caso particular expuesto por el peticionario– resolverá la consulta conforme a las normas generales en materia de contratación estatal. Con este objetivo se analizarán </w:t>
      </w:r>
      <w:r w:rsidR="45BEC92A" w:rsidRPr="71938EA5">
        <w:rPr>
          <w:rFonts w:ascii="Arial" w:eastAsia="Calibri" w:hAnsi="Arial" w:cs="Arial"/>
          <w:sz w:val="22"/>
          <w:szCs w:val="22"/>
          <w:lang w:val="es-ES"/>
        </w:rPr>
        <w:t>los siguientes temas</w:t>
      </w:r>
      <w:r w:rsidR="45BEC92A" w:rsidRPr="71938EA5">
        <w:rPr>
          <w:rFonts w:ascii="Arial" w:hAnsi="Arial" w:cs="Arial"/>
          <w:sz w:val="22"/>
          <w:szCs w:val="22"/>
          <w:lang w:val="es-ES"/>
        </w:rPr>
        <w:t xml:space="preserve">: </w:t>
      </w:r>
      <w:r w:rsidR="79CACFA2" w:rsidRPr="06FA6063">
        <w:rPr>
          <w:rFonts w:ascii="Arial" w:eastAsia="Arial" w:hAnsi="Arial" w:cs="Arial"/>
          <w:sz w:val="22"/>
          <w:szCs w:val="22"/>
          <w:lang w:val="es"/>
        </w:rPr>
        <w:t>i) Derecho de acceso a la información y a la documentación pública. Su garantía en la contratación estatal materializada en el deber de publicar la información contractual en el SECOP</w:t>
      </w:r>
      <w:r w:rsidR="3E73F9AD" w:rsidRPr="362BC5EC">
        <w:rPr>
          <w:rFonts w:ascii="Arial" w:eastAsia="Calibri" w:hAnsi="Arial" w:cs="Arial"/>
          <w:sz w:val="22"/>
          <w:szCs w:val="22"/>
        </w:rPr>
        <w:t>.</w:t>
      </w:r>
    </w:p>
    <w:p w14:paraId="6B64E984" w14:textId="14F30FD8" w:rsidR="00950DF7" w:rsidRPr="00781AC2" w:rsidRDefault="162FA132" w:rsidP="362BC5EC">
      <w:pPr>
        <w:spacing w:line="276" w:lineRule="auto"/>
        <w:ind w:firstLine="709"/>
        <w:jc w:val="both"/>
        <w:rPr>
          <w:rFonts w:ascii="Arial" w:eastAsia="Calibri" w:hAnsi="Arial" w:cs="Arial"/>
          <w:sz w:val="22"/>
          <w:szCs w:val="22"/>
          <w:lang w:val="es-ES"/>
        </w:rPr>
      </w:pPr>
      <w:r w:rsidRPr="00781AC2">
        <w:rPr>
          <w:rFonts w:ascii="Arial" w:eastAsia="Calibri" w:hAnsi="Arial" w:cs="Arial"/>
          <w:sz w:val="22"/>
          <w:szCs w:val="22"/>
          <w:lang w:val="es-ES"/>
        </w:rPr>
        <w:t>La Agencia Nacional de Contratación Pública – Colombia Compra Eficiente, en los conceptos</w:t>
      </w:r>
      <w:r w:rsidR="3C8FF3AD" w:rsidRPr="00781AC2">
        <w:rPr>
          <w:rFonts w:ascii="Arial" w:eastAsia="Calibri" w:hAnsi="Arial" w:cs="Arial"/>
          <w:sz w:val="22"/>
          <w:szCs w:val="22"/>
          <w:lang w:val="es-ES"/>
        </w:rPr>
        <w:t xml:space="preserve"> </w:t>
      </w:r>
      <w:r w:rsidR="3C8FF3AD" w:rsidRPr="362BC5EC">
        <w:rPr>
          <w:rFonts w:ascii="Arial" w:eastAsia="Arial" w:hAnsi="Arial" w:cs="Arial"/>
          <w:color w:val="000000" w:themeColor="text1"/>
          <w:sz w:val="22"/>
          <w:szCs w:val="22"/>
          <w:lang w:val="es-ES"/>
        </w:rPr>
        <w:t xml:space="preserve">4201913000006540 del 21de octubre de 2019, C-009 del 27 de abril de 2020, C-015 del 29 de abril de 2020, C-046 del 19 de febrero de 2020, C−016 del 21/04/2020, </w:t>
      </w:r>
      <w:r w:rsidR="66450B3F" w:rsidRPr="362BC5EC">
        <w:rPr>
          <w:rFonts w:ascii="Arial" w:eastAsia="Arial" w:hAnsi="Arial" w:cs="Arial"/>
          <w:color w:val="000000" w:themeColor="text1"/>
          <w:sz w:val="22"/>
          <w:szCs w:val="22"/>
          <w:lang w:val="es-ES"/>
        </w:rPr>
        <w:t xml:space="preserve">C-061 del 03 de marzo de 2020, C-072 del 04 de marzo de 2020, </w:t>
      </w:r>
      <w:r w:rsidR="3C8FF3AD" w:rsidRPr="362BC5EC">
        <w:rPr>
          <w:rFonts w:ascii="Arial" w:eastAsia="Arial" w:hAnsi="Arial" w:cs="Arial"/>
          <w:color w:val="000000" w:themeColor="text1"/>
          <w:sz w:val="22"/>
          <w:szCs w:val="22"/>
          <w:lang w:val="es-ES"/>
        </w:rPr>
        <w:t>C-095 del 16 de marzo de 2020, C-170 del 6 de abril de 2020, C-172 del 6 de abril de 2020, C-176 del 6 de abril de 2020, C-197 del 26 de marzo de 2020, C−284 del 24 de mayo de 2020, C−292 del 28</w:t>
      </w:r>
      <w:r w:rsidR="2A6494C5" w:rsidRPr="362BC5EC">
        <w:rPr>
          <w:rFonts w:ascii="Arial" w:eastAsia="Arial" w:hAnsi="Arial" w:cs="Arial"/>
          <w:color w:val="000000" w:themeColor="text1"/>
          <w:sz w:val="22"/>
          <w:szCs w:val="22"/>
          <w:lang w:val="es-ES"/>
        </w:rPr>
        <w:t xml:space="preserve"> de mayo de 2</w:t>
      </w:r>
      <w:r w:rsidR="3C8FF3AD" w:rsidRPr="362BC5EC">
        <w:rPr>
          <w:rFonts w:ascii="Arial" w:eastAsia="Arial" w:hAnsi="Arial" w:cs="Arial"/>
          <w:color w:val="000000" w:themeColor="text1"/>
          <w:sz w:val="22"/>
          <w:szCs w:val="22"/>
          <w:lang w:val="es-ES"/>
        </w:rPr>
        <w:t>020, C−295 del 30</w:t>
      </w:r>
      <w:r w:rsidR="493024C6" w:rsidRPr="362BC5EC">
        <w:rPr>
          <w:rFonts w:ascii="Arial" w:eastAsia="Arial" w:hAnsi="Arial" w:cs="Arial"/>
          <w:color w:val="000000" w:themeColor="text1"/>
          <w:sz w:val="22"/>
          <w:szCs w:val="22"/>
          <w:lang w:val="es-ES"/>
        </w:rPr>
        <w:t xml:space="preserve"> de abril de </w:t>
      </w:r>
      <w:r w:rsidR="3C8FF3AD" w:rsidRPr="362BC5EC">
        <w:rPr>
          <w:rFonts w:ascii="Arial" w:eastAsia="Arial" w:hAnsi="Arial" w:cs="Arial"/>
          <w:color w:val="000000" w:themeColor="text1"/>
          <w:sz w:val="22"/>
          <w:szCs w:val="22"/>
          <w:lang w:val="es-ES"/>
        </w:rPr>
        <w:t>2020, C−296 del 21</w:t>
      </w:r>
      <w:r w:rsidR="7B34D8DE" w:rsidRPr="362BC5EC">
        <w:rPr>
          <w:rFonts w:ascii="Arial" w:eastAsia="Arial" w:hAnsi="Arial" w:cs="Arial"/>
          <w:color w:val="000000" w:themeColor="text1"/>
          <w:sz w:val="22"/>
          <w:szCs w:val="22"/>
          <w:lang w:val="es-ES"/>
        </w:rPr>
        <w:t xml:space="preserve"> de mayo de </w:t>
      </w:r>
      <w:r w:rsidR="3C8FF3AD" w:rsidRPr="362BC5EC">
        <w:rPr>
          <w:rFonts w:ascii="Arial" w:eastAsia="Arial" w:hAnsi="Arial" w:cs="Arial"/>
          <w:color w:val="000000" w:themeColor="text1"/>
          <w:sz w:val="22"/>
          <w:szCs w:val="22"/>
          <w:lang w:val="es-ES"/>
        </w:rPr>
        <w:t>2020, C−306 del 04</w:t>
      </w:r>
      <w:r w:rsidR="4E653920" w:rsidRPr="362BC5EC">
        <w:rPr>
          <w:rFonts w:ascii="Arial" w:eastAsia="Arial" w:hAnsi="Arial" w:cs="Arial"/>
          <w:color w:val="000000" w:themeColor="text1"/>
          <w:sz w:val="22"/>
          <w:szCs w:val="22"/>
          <w:lang w:val="es-ES"/>
        </w:rPr>
        <w:t xml:space="preserve"> de junio de </w:t>
      </w:r>
      <w:r w:rsidR="3C8FF3AD" w:rsidRPr="362BC5EC">
        <w:rPr>
          <w:rFonts w:ascii="Arial" w:eastAsia="Arial" w:hAnsi="Arial" w:cs="Arial"/>
          <w:color w:val="000000" w:themeColor="text1"/>
          <w:sz w:val="22"/>
          <w:szCs w:val="22"/>
          <w:lang w:val="es-ES"/>
        </w:rPr>
        <w:t>2020, C−366 del 16</w:t>
      </w:r>
      <w:r w:rsidR="718E47A3" w:rsidRPr="362BC5EC">
        <w:rPr>
          <w:rFonts w:ascii="Arial" w:eastAsia="Arial" w:hAnsi="Arial" w:cs="Arial"/>
          <w:color w:val="000000" w:themeColor="text1"/>
          <w:sz w:val="22"/>
          <w:szCs w:val="22"/>
          <w:lang w:val="es-ES"/>
        </w:rPr>
        <w:t xml:space="preserve"> de junio de </w:t>
      </w:r>
      <w:r w:rsidR="3C8FF3AD" w:rsidRPr="362BC5EC">
        <w:rPr>
          <w:rFonts w:ascii="Arial" w:eastAsia="Arial" w:hAnsi="Arial" w:cs="Arial"/>
          <w:color w:val="000000" w:themeColor="text1"/>
          <w:sz w:val="22"/>
          <w:szCs w:val="22"/>
          <w:lang w:val="es-ES"/>
        </w:rPr>
        <w:t>2020, C−488 del 28</w:t>
      </w:r>
      <w:r w:rsidR="5A874B77" w:rsidRPr="362BC5EC">
        <w:rPr>
          <w:rFonts w:ascii="Arial" w:eastAsia="Arial" w:hAnsi="Arial" w:cs="Arial"/>
          <w:color w:val="000000" w:themeColor="text1"/>
          <w:sz w:val="22"/>
          <w:szCs w:val="22"/>
          <w:lang w:val="es-ES"/>
        </w:rPr>
        <w:t xml:space="preserve"> de julio de </w:t>
      </w:r>
      <w:r w:rsidR="3C8FF3AD" w:rsidRPr="362BC5EC">
        <w:rPr>
          <w:rFonts w:ascii="Arial" w:eastAsia="Arial" w:hAnsi="Arial" w:cs="Arial"/>
          <w:color w:val="000000" w:themeColor="text1"/>
          <w:sz w:val="22"/>
          <w:szCs w:val="22"/>
          <w:lang w:val="es-ES"/>
        </w:rPr>
        <w:t>2020, C−494 del 04</w:t>
      </w:r>
      <w:r w:rsidR="10E81A18" w:rsidRPr="362BC5EC">
        <w:rPr>
          <w:rFonts w:ascii="Arial" w:eastAsia="Arial" w:hAnsi="Arial" w:cs="Arial"/>
          <w:color w:val="000000" w:themeColor="text1"/>
          <w:sz w:val="22"/>
          <w:szCs w:val="22"/>
          <w:lang w:val="es-ES"/>
        </w:rPr>
        <w:t xml:space="preserve"> de agosto de </w:t>
      </w:r>
      <w:r w:rsidR="3C8FF3AD" w:rsidRPr="362BC5EC">
        <w:rPr>
          <w:rFonts w:ascii="Arial" w:eastAsia="Arial" w:hAnsi="Arial" w:cs="Arial"/>
          <w:color w:val="000000" w:themeColor="text1"/>
          <w:sz w:val="22"/>
          <w:szCs w:val="22"/>
          <w:lang w:val="es-ES"/>
        </w:rPr>
        <w:t>2020, C−521 del 11</w:t>
      </w:r>
      <w:r w:rsidR="4D5C41BD" w:rsidRPr="362BC5EC">
        <w:rPr>
          <w:rFonts w:ascii="Arial" w:eastAsia="Arial" w:hAnsi="Arial" w:cs="Arial"/>
          <w:color w:val="000000" w:themeColor="text1"/>
          <w:sz w:val="22"/>
          <w:szCs w:val="22"/>
          <w:lang w:val="es-ES"/>
        </w:rPr>
        <w:t xml:space="preserve"> de agosto de </w:t>
      </w:r>
      <w:r w:rsidR="3C8FF3AD" w:rsidRPr="362BC5EC">
        <w:rPr>
          <w:rFonts w:ascii="Arial" w:eastAsia="Arial" w:hAnsi="Arial" w:cs="Arial"/>
          <w:color w:val="000000" w:themeColor="text1"/>
          <w:sz w:val="22"/>
          <w:szCs w:val="22"/>
          <w:lang w:val="es-ES"/>
        </w:rPr>
        <w:t>2020, C-562 del 25</w:t>
      </w:r>
      <w:r w:rsidR="7A33A4F8" w:rsidRPr="362BC5EC">
        <w:rPr>
          <w:rFonts w:ascii="Arial" w:eastAsia="Arial" w:hAnsi="Arial" w:cs="Arial"/>
          <w:color w:val="000000" w:themeColor="text1"/>
          <w:sz w:val="22"/>
          <w:szCs w:val="22"/>
          <w:lang w:val="es-ES"/>
        </w:rPr>
        <w:t xml:space="preserve"> de agosto de </w:t>
      </w:r>
      <w:r w:rsidR="3C8FF3AD" w:rsidRPr="362BC5EC">
        <w:rPr>
          <w:rFonts w:ascii="Arial" w:eastAsia="Arial" w:hAnsi="Arial" w:cs="Arial"/>
          <w:color w:val="000000" w:themeColor="text1"/>
          <w:sz w:val="22"/>
          <w:szCs w:val="22"/>
          <w:lang w:val="es-ES"/>
        </w:rPr>
        <w:lastRenderedPageBreak/>
        <w:t>2020, C-688 del 26</w:t>
      </w:r>
      <w:r w:rsidR="3FC6CF9D" w:rsidRPr="362BC5EC">
        <w:rPr>
          <w:rFonts w:ascii="Arial" w:eastAsia="Arial" w:hAnsi="Arial" w:cs="Arial"/>
          <w:color w:val="000000" w:themeColor="text1"/>
          <w:sz w:val="22"/>
          <w:szCs w:val="22"/>
          <w:lang w:val="es-ES"/>
        </w:rPr>
        <w:t xml:space="preserve"> de noviembre de </w:t>
      </w:r>
      <w:r w:rsidR="3C8FF3AD" w:rsidRPr="362BC5EC">
        <w:rPr>
          <w:rFonts w:ascii="Arial" w:eastAsia="Arial" w:hAnsi="Arial" w:cs="Arial"/>
          <w:color w:val="000000" w:themeColor="text1"/>
          <w:sz w:val="22"/>
          <w:szCs w:val="22"/>
          <w:lang w:val="es-ES"/>
        </w:rPr>
        <w:t>2020, C-661 del 17</w:t>
      </w:r>
      <w:r w:rsidR="4069BA63" w:rsidRPr="362BC5EC">
        <w:rPr>
          <w:rFonts w:ascii="Arial" w:eastAsia="Arial" w:hAnsi="Arial" w:cs="Arial"/>
          <w:color w:val="000000" w:themeColor="text1"/>
          <w:sz w:val="22"/>
          <w:szCs w:val="22"/>
          <w:lang w:val="es-ES"/>
        </w:rPr>
        <w:t xml:space="preserve"> de noviembre de </w:t>
      </w:r>
      <w:r w:rsidR="3C8FF3AD" w:rsidRPr="362BC5EC">
        <w:rPr>
          <w:rFonts w:ascii="Arial" w:eastAsia="Arial" w:hAnsi="Arial" w:cs="Arial"/>
          <w:color w:val="000000" w:themeColor="text1"/>
          <w:sz w:val="22"/>
          <w:szCs w:val="22"/>
          <w:lang w:val="es-ES"/>
        </w:rPr>
        <w:t>2020, C-672 del 11</w:t>
      </w:r>
      <w:r w:rsidR="0CE33603" w:rsidRPr="362BC5EC">
        <w:rPr>
          <w:rFonts w:ascii="Arial" w:eastAsia="Arial" w:hAnsi="Arial" w:cs="Arial"/>
          <w:color w:val="000000" w:themeColor="text1"/>
          <w:sz w:val="22"/>
          <w:szCs w:val="22"/>
          <w:lang w:val="es-ES"/>
        </w:rPr>
        <w:t xml:space="preserve"> de noviembre de </w:t>
      </w:r>
      <w:r w:rsidR="3C8FF3AD" w:rsidRPr="362BC5EC">
        <w:rPr>
          <w:rFonts w:ascii="Arial" w:eastAsia="Arial" w:hAnsi="Arial" w:cs="Arial"/>
          <w:color w:val="000000" w:themeColor="text1"/>
          <w:sz w:val="22"/>
          <w:szCs w:val="22"/>
          <w:lang w:val="es-ES"/>
        </w:rPr>
        <w:t>2020</w:t>
      </w:r>
      <w:r w:rsidR="40584450" w:rsidRPr="362BC5EC">
        <w:rPr>
          <w:rFonts w:ascii="Arial" w:eastAsia="Arial" w:hAnsi="Arial" w:cs="Arial"/>
          <w:color w:val="000000" w:themeColor="text1"/>
          <w:sz w:val="22"/>
          <w:szCs w:val="22"/>
          <w:lang w:val="es-ES"/>
        </w:rPr>
        <w:t>,</w:t>
      </w:r>
      <w:r w:rsidR="3C8FF3AD" w:rsidRPr="362BC5EC">
        <w:rPr>
          <w:rFonts w:ascii="Arial" w:eastAsia="Arial" w:hAnsi="Arial" w:cs="Arial"/>
          <w:color w:val="000000" w:themeColor="text1"/>
          <w:sz w:val="22"/>
          <w:szCs w:val="22"/>
          <w:lang w:val="es-ES"/>
        </w:rPr>
        <w:t xml:space="preserve"> </w:t>
      </w:r>
      <w:r w:rsidR="41251626" w:rsidRPr="362BC5EC">
        <w:rPr>
          <w:rFonts w:ascii="Arial" w:eastAsia="Arial" w:hAnsi="Arial" w:cs="Arial"/>
          <w:color w:val="000000" w:themeColor="text1"/>
          <w:sz w:val="22"/>
          <w:szCs w:val="22"/>
          <w:lang w:val="es-ES"/>
        </w:rPr>
        <w:t xml:space="preserve">C-574 del 27 de agosto de 2020, C-575 del 27 de agosto de 2020, </w:t>
      </w:r>
      <w:r w:rsidR="3C8FF3AD" w:rsidRPr="362BC5EC">
        <w:rPr>
          <w:rFonts w:ascii="Arial" w:eastAsia="Arial" w:hAnsi="Arial" w:cs="Arial"/>
          <w:color w:val="000000" w:themeColor="text1"/>
          <w:sz w:val="22"/>
          <w:szCs w:val="22"/>
          <w:lang w:val="es-ES"/>
        </w:rPr>
        <w:t>C-094 del 13</w:t>
      </w:r>
      <w:r w:rsidR="36072C9D" w:rsidRPr="362BC5EC">
        <w:rPr>
          <w:rFonts w:ascii="Arial" w:eastAsia="Arial" w:hAnsi="Arial" w:cs="Arial"/>
          <w:color w:val="000000" w:themeColor="text1"/>
          <w:sz w:val="22"/>
          <w:szCs w:val="22"/>
          <w:lang w:val="es-ES"/>
        </w:rPr>
        <w:t xml:space="preserve"> de abril de </w:t>
      </w:r>
      <w:r w:rsidR="3C8FF3AD" w:rsidRPr="362BC5EC">
        <w:rPr>
          <w:rFonts w:ascii="Arial" w:eastAsia="Arial" w:hAnsi="Arial" w:cs="Arial"/>
          <w:color w:val="000000" w:themeColor="text1"/>
          <w:sz w:val="22"/>
          <w:szCs w:val="22"/>
          <w:lang w:val="es-ES"/>
        </w:rPr>
        <w:t>2021</w:t>
      </w:r>
      <w:r w:rsidR="6C35A89B" w:rsidRPr="362BC5EC">
        <w:rPr>
          <w:rFonts w:ascii="Arial" w:eastAsia="Arial" w:hAnsi="Arial" w:cs="Arial"/>
          <w:color w:val="000000" w:themeColor="text1"/>
          <w:sz w:val="22"/>
          <w:szCs w:val="22"/>
          <w:lang w:val="es-ES"/>
        </w:rPr>
        <w:t>,</w:t>
      </w:r>
      <w:r w:rsidR="3C8FF3AD" w:rsidRPr="362BC5EC">
        <w:rPr>
          <w:rFonts w:ascii="Arial" w:eastAsia="Arial" w:hAnsi="Arial" w:cs="Arial"/>
          <w:color w:val="000000" w:themeColor="text1"/>
          <w:sz w:val="22"/>
          <w:szCs w:val="22"/>
          <w:lang w:val="es-ES"/>
        </w:rPr>
        <w:t xml:space="preserve"> C-032 del 2</w:t>
      </w:r>
      <w:r w:rsidR="30BCF20F" w:rsidRPr="362BC5EC">
        <w:rPr>
          <w:rFonts w:ascii="Arial" w:eastAsia="Arial" w:hAnsi="Arial" w:cs="Arial"/>
          <w:color w:val="000000" w:themeColor="text1"/>
          <w:sz w:val="22"/>
          <w:szCs w:val="22"/>
          <w:lang w:val="es-ES"/>
        </w:rPr>
        <w:t xml:space="preserve"> de marzo de </w:t>
      </w:r>
      <w:r w:rsidR="3C8FF3AD" w:rsidRPr="362BC5EC">
        <w:rPr>
          <w:rFonts w:ascii="Arial" w:eastAsia="Arial" w:hAnsi="Arial" w:cs="Arial"/>
          <w:color w:val="000000" w:themeColor="text1"/>
          <w:sz w:val="22"/>
          <w:szCs w:val="22"/>
          <w:lang w:val="es-ES"/>
        </w:rPr>
        <w:t>2021 C-034 del 1</w:t>
      </w:r>
      <w:r w:rsidR="327AA1F1" w:rsidRPr="362BC5EC">
        <w:rPr>
          <w:rFonts w:ascii="Arial" w:eastAsia="Arial" w:hAnsi="Arial" w:cs="Arial"/>
          <w:color w:val="000000" w:themeColor="text1"/>
          <w:sz w:val="22"/>
          <w:szCs w:val="22"/>
          <w:lang w:val="es-ES"/>
        </w:rPr>
        <w:t xml:space="preserve"> de marzo de </w:t>
      </w:r>
      <w:r w:rsidR="3C8FF3AD" w:rsidRPr="362BC5EC">
        <w:rPr>
          <w:rFonts w:ascii="Arial" w:eastAsia="Arial" w:hAnsi="Arial" w:cs="Arial"/>
          <w:color w:val="000000" w:themeColor="text1"/>
          <w:sz w:val="22"/>
          <w:szCs w:val="22"/>
          <w:lang w:val="es-ES"/>
        </w:rPr>
        <w:t>2021 C-048 del 8</w:t>
      </w:r>
      <w:r w:rsidR="71B5BB57" w:rsidRPr="362BC5EC">
        <w:rPr>
          <w:rFonts w:ascii="Arial" w:eastAsia="Arial" w:hAnsi="Arial" w:cs="Arial"/>
          <w:color w:val="000000" w:themeColor="text1"/>
          <w:sz w:val="22"/>
          <w:szCs w:val="22"/>
          <w:lang w:val="es-ES"/>
        </w:rPr>
        <w:t xml:space="preserve"> de marzo de </w:t>
      </w:r>
      <w:r w:rsidR="3C8FF3AD" w:rsidRPr="362BC5EC">
        <w:rPr>
          <w:rFonts w:ascii="Arial" w:eastAsia="Arial" w:hAnsi="Arial" w:cs="Arial"/>
          <w:color w:val="000000" w:themeColor="text1"/>
          <w:sz w:val="22"/>
          <w:szCs w:val="22"/>
          <w:lang w:val="es-ES"/>
        </w:rPr>
        <w:t xml:space="preserve">2021., C- 187 del 28 de abril de 2021, C-706 del 17/01/2021, </w:t>
      </w:r>
      <w:r w:rsidR="3C8FF3AD" w:rsidRPr="362BC5EC">
        <w:rPr>
          <w:rFonts w:ascii="Arial" w:eastAsia="Calibri" w:hAnsi="Arial" w:cs="Arial"/>
          <w:sz w:val="22"/>
          <w:szCs w:val="22"/>
          <w:lang w:val="es-ES"/>
        </w:rPr>
        <w:t>C-803 del 01 de febrero de 2021</w:t>
      </w:r>
      <w:r w:rsidR="3C8FF3AD" w:rsidRPr="362BC5EC">
        <w:rPr>
          <w:rFonts w:ascii="Arial" w:eastAsia="Arial" w:hAnsi="Arial" w:cs="Arial"/>
          <w:color w:val="000000" w:themeColor="text1"/>
          <w:sz w:val="22"/>
          <w:szCs w:val="22"/>
          <w:lang w:val="es-ES"/>
        </w:rPr>
        <w:t xml:space="preserve"> C-009 del 27</w:t>
      </w:r>
      <w:r w:rsidR="3FADE938" w:rsidRPr="362BC5EC">
        <w:rPr>
          <w:rFonts w:ascii="Arial" w:eastAsia="Arial" w:hAnsi="Arial" w:cs="Arial"/>
          <w:color w:val="000000" w:themeColor="text1"/>
          <w:sz w:val="22"/>
          <w:szCs w:val="22"/>
          <w:lang w:val="es-ES"/>
        </w:rPr>
        <w:t xml:space="preserve"> de abril de </w:t>
      </w:r>
      <w:r w:rsidR="3C8FF3AD" w:rsidRPr="362BC5EC">
        <w:rPr>
          <w:rFonts w:ascii="Arial" w:eastAsia="Arial" w:hAnsi="Arial" w:cs="Arial"/>
          <w:color w:val="000000" w:themeColor="text1"/>
          <w:sz w:val="22"/>
          <w:szCs w:val="22"/>
          <w:lang w:val="es-ES"/>
        </w:rPr>
        <w:t>2020, C-011 del 27</w:t>
      </w:r>
      <w:r w:rsidR="3C5355FE" w:rsidRPr="362BC5EC">
        <w:rPr>
          <w:rFonts w:ascii="Arial" w:eastAsia="Arial" w:hAnsi="Arial" w:cs="Arial"/>
          <w:color w:val="000000" w:themeColor="text1"/>
          <w:sz w:val="22"/>
          <w:szCs w:val="22"/>
          <w:lang w:val="es-ES"/>
        </w:rPr>
        <w:t xml:space="preserve"> de abril de </w:t>
      </w:r>
      <w:r w:rsidR="3C8FF3AD" w:rsidRPr="362BC5EC">
        <w:rPr>
          <w:rFonts w:ascii="Arial" w:eastAsia="Arial" w:hAnsi="Arial" w:cs="Arial"/>
          <w:color w:val="000000" w:themeColor="text1"/>
          <w:sz w:val="22"/>
          <w:szCs w:val="22"/>
          <w:lang w:val="es-ES"/>
        </w:rPr>
        <w:t>2020, C-017 del 27</w:t>
      </w:r>
      <w:r w:rsidR="7BAAD1E6" w:rsidRPr="362BC5EC">
        <w:rPr>
          <w:rFonts w:ascii="Arial" w:eastAsia="Arial" w:hAnsi="Arial" w:cs="Arial"/>
          <w:color w:val="000000" w:themeColor="text1"/>
          <w:sz w:val="22"/>
          <w:szCs w:val="22"/>
          <w:lang w:val="es-ES"/>
        </w:rPr>
        <w:t xml:space="preserve"> de abril de </w:t>
      </w:r>
      <w:r w:rsidR="3C8FF3AD" w:rsidRPr="362BC5EC">
        <w:rPr>
          <w:rFonts w:ascii="Arial" w:eastAsia="Arial" w:hAnsi="Arial" w:cs="Arial"/>
          <w:color w:val="000000" w:themeColor="text1"/>
          <w:sz w:val="22"/>
          <w:szCs w:val="22"/>
          <w:lang w:val="es-ES"/>
        </w:rPr>
        <w:t>2020, CU-060 del 24</w:t>
      </w:r>
      <w:r w:rsidR="0D15FB97" w:rsidRPr="362BC5EC">
        <w:rPr>
          <w:rFonts w:ascii="Arial" w:eastAsia="Arial" w:hAnsi="Arial" w:cs="Arial"/>
          <w:color w:val="000000" w:themeColor="text1"/>
          <w:sz w:val="22"/>
          <w:szCs w:val="22"/>
          <w:lang w:val="es-ES"/>
        </w:rPr>
        <w:t xml:space="preserve"> de febrero de </w:t>
      </w:r>
      <w:r w:rsidR="3C8FF3AD" w:rsidRPr="362BC5EC">
        <w:rPr>
          <w:rFonts w:ascii="Arial" w:eastAsia="Arial" w:hAnsi="Arial" w:cs="Arial"/>
          <w:color w:val="000000" w:themeColor="text1"/>
          <w:sz w:val="22"/>
          <w:szCs w:val="22"/>
          <w:lang w:val="es-ES"/>
        </w:rPr>
        <w:t>2020</w:t>
      </w:r>
      <w:r w:rsidR="27A0260E" w:rsidRPr="362BC5EC">
        <w:rPr>
          <w:rFonts w:ascii="Arial" w:eastAsia="Arial" w:hAnsi="Arial" w:cs="Arial"/>
          <w:color w:val="000000" w:themeColor="text1"/>
          <w:sz w:val="22"/>
          <w:szCs w:val="22"/>
          <w:lang w:val="es-ES"/>
        </w:rPr>
        <w:t>,</w:t>
      </w:r>
      <w:r w:rsidR="3C8FF3AD" w:rsidRPr="362BC5EC">
        <w:rPr>
          <w:rFonts w:ascii="Arial" w:eastAsia="Arial" w:hAnsi="Arial" w:cs="Arial"/>
          <w:color w:val="000000" w:themeColor="text1"/>
          <w:sz w:val="22"/>
          <w:szCs w:val="22"/>
          <w:lang w:val="es-ES"/>
        </w:rPr>
        <w:t xml:space="preserve"> C- 508 del 31</w:t>
      </w:r>
      <w:r w:rsidR="16900AC2" w:rsidRPr="362BC5EC">
        <w:rPr>
          <w:rFonts w:ascii="Arial" w:eastAsia="Arial" w:hAnsi="Arial" w:cs="Arial"/>
          <w:color w:val="000000" w:themeColor="text1"/>
          <w:sz w:val="22"/>
          <w:szCs w:val="22"/>
          <w:lang w:val="es-ES"/>
        </w:rPr>
        <w:t xml:space="preserve"> de julio de </w:t>
      </w:r>
      <w:r w:rsidR="3C8FF3AD" w:rsidRPr="362BC5EC">
        <w:rPr>
          <w:rFonts w:ascii="Arial" w:eastAsia="Arial" w:hAnsi="Arial" w:cs="Arial"/>
          <w:color w:val="000000" w:themeColor="text1"/>
          <w:sz w:val="22"/>
          <w:szCs w:val="22"/>
          <w:lang w:val="es-ES"/>
        </w:rPr>
        <w:t>2020, , C-135 del 28</w:t>
      </w:r>
      <w:r w:rsidR="5AEF0B65" w:rsidRPr="362BC5EC">
        <w:rPr>
          <w:rFonts w:ascii="Arial" w:eastAsia="Arial" w:hAnsi="Arial" w:cs="Arial"/>
          <w:color w:val="000000" w:themeColor="text1"/>
          <w:sz w:val="22"/>
          <w:szCs w:val="22"/>
          <w:lang w:val="es-ES"/>
        </w:rPr>
        <w:t xml:space="preserve"> de marzo de </w:t>
      </w:r>
      <w:r w:rsidR="3C8FF3AD" w:rsidRPr="362BC5EC">
        <w:rPr>
          <w:rFonts w:ascii="Arial" w:eastAsia="Arial" w:hAnsi="Arial" w:cs="Arial"/>
          <w:color w:val="000000" w:themeColor="text1"/>
          <w:sz w:val="22"/>
          <w:szCs w:val="22"/>
          <w:lang w:val="es-ES"/>
        </w:rPr>
        <w:t>2022, C-332 del 23</w:t>
      </w:r>
      <w:r w:rsidR="0DE77CC3" w:rsidRPr="362BC5EC">
        <w:rPr>
          <w:rFonts w:ascii="Arial" w:eastAsia="Arial" w:hAnsi="Arial" w:cs="Arial"/>
          <w:color w:val="000000" w:themeColor="text1"/>
          <w:sz w:val="22"/>
          <w:szCs w:val="22"/>
          <w:lang w:val="es-ES"/>
        </w:rPr>
        <w:t xml:space="preserve"> de mayo de </w:t>
      </w:r>
      <w:r w:rsidR="3C8FF3AD" w:rsidRPr="362BC5EC">
        <w:rPr>
          <w:rFonts w:ascii="Arial" w:eastAsia="Arial" w:hAnsi="Arial" w:cs="Arial"/>
          <w:color w:val="000000" w:themeColor="text1"/>
          <w:sz w:val="22"/>
          <w:szCs w:val="22"/>
          <w:lang w:val="es-ES"/>
        </w:rPr>
        <w:t>2022, C-337 del 25</w:t>
      </w:r>
      <w:r w:rsidR="5C5D5BBA" w:rsidRPr="362BC5EC">
        <w:rPr>
          <w:rFonts w:ascii="Arial" w:eastAsia="Arial" w:hAnsi="Arial" w:cs="Arial"/>
          <w:color w:val="000000" w:themeColor="text1"/>
          <w:sz w:val="22"/>
          <w:szCs w:val="22"/>
          <w:lang w:val="es-ES"/>
        </w:rPr>
        <w:t xml:space="preserve"> de mayo de </w:t>
      </w:r>
      <w:r w:rsidR="3C8FF3AD" w:rsidRPr="362BC5EC">
        <w:rPr>
          <w:rFonts w:ascii="Arial" w:eastAsia="Arial" w:hAnsi="Arial" w:cs="Arial"/>
          <w:color w:val="000000" w:themeColor="text1"/>
          <w:sz w:val="22"/>
          <w:szCs w:val="22"/>
          <w:lang w:val="es-ES"/>
        </w:rPr>
        <w:t>2022, C-521 del 09</w:t>
      </w:r>
      <w:r w:rsidR="0AA2F96E" w:rsidRPr="362BC5EC">
        <w:rPr>
          <w:rFonts w:ascii="Arial" w:eastAsia="Arial" w:hAnsi="Arial" w:cs="Arial"/>
          <w:color w:val="000000" w:themeColor="text1"/>
          <w:sz w:val="22"/>
          <w:szCs w:val="22"/>
          <w:lang w:val="es-ES"/>
        </w:rPr>
        <w:t xml:space="preserve"> de agosto de </w:t>
      </w:r>
      <w:r w:rsidR="3C8FF3AD" w:rsidRPr="362BC5EC">
        <w:rPr>
          <w:rFonts w:ascii="Arial" w:eastAsia="Arial" w:hAnsi="Arial" w:cs="Arial"/>
          <w:color w:val="000000" w:themeColor="text1"/>
          <w:sz w:val="22"/>
          <w:szCs w:val="22"/>
          <w:lang w:val="es-ES"/>
        </w:rPr>
        <w:t>2022,C-553 del 09</w:t>
      </w:r>
      <w:r w:rsidR="09148AAB" w:rsidRPr="362BC5EC">
        <w:rPr>
          <w:rFonts w:ascii="Arial" w:eastAsia="Arial" w:hAnsi="Arial" w:cs="Arial"/>
          <w:color w:val="000000" w:themeColor="text1"/>
          <w:sz w:val="22"/>
          <w:szCs w:val="22"/>
          <w:lang w:val="es-ES"/>
        </w:rPr>
        <w:t xml:space="preserve"> de agosto de </w:t>
      </w:r>
      <w:r w:rsidR="3C8FF3AD" w:rsidRPr="362BC5EC">
        <w:rPr>
          <w:rFonts w:ascii="Arial" w:eastAsia="Arial" w:hAnsi="Arial" w:cs="Arial"/>
          <w:color w:val="000000" w:themeColor="text1"/>
          <w:sz w:val="22"/>
          <w:szCs w:val="22"/>
          <w:lang w:val="es-ES"/>
        </w:rPr>
        <w:t>2022</w:t>
      </w:r>
      <w:r w:rsidR="2BF3863F" w:rsidRPr="362BC5EC">
        <w:rPr>
          <w:rFonts w:ascii="Arial" w:eastAsia="Arial" w:hAnsi="Arial" w:cs="Arial"/>
          <w:color w:val="000000" w:themeColor="text1"/>
          <w:sz w:val="22"/>
          <w:szCs w:val="22"/>
          <w:lang w:val="es-ES"/>
        </w:rPr>
        <w:t xml:space="preserve"> y</w:t>
      </w:r>
      <w:r w:rsidR="3C8FF3AD" w:rsidRPr="362BC5EC">
        <w:rPr>
          <w:rFonts w:ascii="Arial" w:eastAsia="Arial" w:hAnsi="Arial" w:cs="Arial"/>
          <w:color w:val="000000" w:themeColor="text1"/>
          <w:sz w:val="22"/>
          <w:szCs w:val="22"/>
          <w:lang w:val="es-ES"/>
        </w:rPr>
        <w:t xml:space="preserve"> C-655 del 10</w:t>
      </w:r>
      <w:r w:rsidR="69F56C06" w:rsidRPr="362BC5EC">
        <w:rPr>
          <w:rFonts w:ascii="Arial" w:eastAsia="Arial" w:hAnsi="Arial" w:cs="Arial"/>
          <w:color w:val="000000" w:themeColor="text1"/>
          <w:sz w:val="22"/>
          <w:szCs w:val="22"/>
          <w:lang w:val="es-ES"/>
        </w:rPr>
        <w:t xml:space="preserve"> de octubre de </w:t>
      </w:r>
      <w:r w:rsidR="3C8FF3AD" w:rsidRPr="362BC5EC">
        <w:rPr>
          <w:rFonts w:ascii="Arial" w:eastAsia="Arial" w:hAnsi="Arial" w:cs="Arial"/>
          <w:color w:val="000000" w:themeColor="text1"/>
          <w:sz w:val="22"/>
          <w:szCs w:val="22"/>
          <w:lang w:val="es-ES"/>
        </w:rPr>
        <w:t>2022</w:t>
      </w:r>
      <w:r w:rsidR="4B976B9C" w:rsidRPr="362BC5EC">
        <w:rPr>
          <w:rFonts w:ascii="Arial" w:eastAsia="Arial" w:hAnsi="Arial" w:cs="Arial"/>
          <w:color w:val="000000" w:themeColor="text1"/>
          <w:sz w:val="22"/>
          <w:szCs w:val="22"/>
          <w:lang w:val="es-ES"/>
        </w:rPr>
        <w:t xml:space="preserve">. </w:t>
      </w:r>
      <w:r w:rsidRPr="362BC5EC">
        <w:rPr>
          <w:rFonts w:ascii="Arial" w:eastAsia="Calibri" w:hAnsi="Arial" w:cs="Arial"/>
          <w:sz w:val="22"/>
          <w:szCs w:val="22"/>
          <w:lang w:val="es-ES"/>
        </w:rPr>
        <w:t>Las tesis expuestas en estos conceptos se reiteran a continuación y se complementan en lo pertinente, teniendo en cuenta los interrogantes planteados.</w:t>
      </w:r>
      <w:r w:rsidRPr="00781AC2">
        <w:rPr>
          <w:rFonts w:ascii="Arial" w:eastAsia="Calibri" w:hAnsi="Arial" w:cs="Arial"/>
          <w:sz w:val="22"/>
          <w:szCs w:val="22"/>
          <w:lang w:val="es-ES"/>
        </w:rPr>
        <w:t xml:space="preserve"> </w:t>
      </w:r>
    </w:p>
    <w:p w14:paraId="289F19E3" w14:textId="2F1F10CD" w:rsidR="362BC5EC" w:rsidRDefault="362BC5EC" w:rsidP="362BC5EC">
      <w:pPr>
        <w:spacing w:line="276" w:lineRule="auto"/>
        <w:ind w:firstLine="709"/>
        <w:jc w:val="both"/>
        <w:rPr>
          <w:rFonts w:ascii="Arial" w:eastAsia="Calibri" w:hAnsi="Arial" w:cs="Arial"/>
          <w:sz w:val="22"/>
          <w:szCs w:val="22"/>
          <w:lang w:val="es-ES"/>
        </w:rPr>
      </w:pPr>
    </w:p>
    <w:p w14:paraId="78B8C045" w14:textId="77777777" w:rsidR="00A6242E" w:rsidRPr="00781AC2" w:rsidRDefault="00A6242E" w:rsidP="362BC5EC">
      <w:pPr>
        <w:spacing w:line="276" w:lineRule="auto"/>
        <w:ind w:firstLine="709"/>
        <w:jc w:val="both"/>
        <w:rPr>
          <w:rFonts w:ascii="Arial" w:eastAsia="Arial" w:hAnsi="Arial" w:cs="Arial"/>
          <w:sz w:val="22"/>
          <w:szCs w:val="22"/>
          <w:lang w:val="es-ES"/>
        </w:rPr>
      </w:pPr>
    </w:p>
    <w:p w14:paraId="6F2A6D90" w14:textId="2CD93EF3" w:rsidR="00950DF7" w:rsidRPr="00781AC2" w:rsidRDefault="162FA132" w:rsidP="71938EA5">
      <w:pPr>
        <w:tabs>
          <w:tab w:val="left" w:pos="426"/>
        </w:tabs>
        <w:spacing w:line="276" w:lineRule="auto"/>
        <w:jc w:val="both"/>
        <w:rPr>
          <w:rFonts w:ascii="Arial" w:eastAsia="Calibri" w:hAnsi="Arial" w:cs="Arial"/>
          <w:noProof/>
          <w:sz w:val="22"/>
          <w:szCs w:val="22"/>
          <w:lang w:val="es-ES"/>
        </w:rPr>
      </w:pPr>
      <w:r w:rsidRPr="362BC5EC">
        <w:rPr>
          <w:rFonts w:ascii="Arial" w:eastAsia="Calibri" w:hAnsi="Arial" w:cs="Arial"/>
          <w:b/>
          <w:bCs/>
          <w:sz w:val="22"/>
          <w:szCs w:val="22"/>
          <w:lang w:eastAsia="en-GB"/>
        </w:rPr>
        <w:t xml:space="preserve">2.1. </w:t>
      </w:r>
      <w:r w:rsidR="4FBFA79A" w:rsidRPr="362BC5EC">
        <w:rPr>
          <w:rFonts w:ascii="Arial" w:eastAsia="Arial" w:hAnsi="Arial" w:cs="Arial"/>
          <w:b/>
          <w:bCs/>
          <w:color w:val="000000" w:themeColor="text1"/>
          <w:sz w:val="22"/>
          <w:szCs w:val="22"/>
        </w:rPr>
        <w:t>Derecho de acceso a la información y a la documentación pública. Su garantía en la contratación estatal materializada en el deber de publicar la información contractual en el SECOP</w:t>
      </w:r>
      <w:r w:rsidR="3C4C4BDA" w:rsidRPr="362BC5EC">
        <w:rPr>
          <w:rFonts w:ascii="Arial" w:eastAsia="Arial" w:hAnsi="Arial" w:cs="Arial"/>
          <w:b/>
          <w:bCs/>
          <w:sz w:val="22"/>
          <w:szCs w:val="22"/>
          <w:lang w:eastAsia="en-GB"/>
        </w:rPr>
        <w:t>.</w:t>
      </w:r>
      <w:r w:rsidR="3C4C4BDA" w:rsidRPr="362BC5EC">
        <w:rPr>
          <w:rFonts w:ascii="Arial" w:eastAsia="Calibri" w:hAnsi="Arial" w:cs="Arial"/>
          <w:b/>
          <w:bCs/>
          <w:sz w:val="22"/>
          <w:szCs w:val="22"/>
          <w:lang w:eastAsia="en-GB"/>
        </w:rPr>
        <w:t xml:space="preserve"> Reiteración</w:t>
      </w:r>
      <w:r w:rsidR="6A3B2084" w:rsidRPr="362BC5EC">
        <w:rPr>
          <w:rFonts w:ascii="Arial" w:eastAsia="Calibri" w:hAnsi="Arial" w:cs="Arial"/>
          <w:b/>
          <w:bCs/>
          <w:sz w:val="22"/>
          <w:szCs w:val="22"/>
          <w:lang w:eastAsia="en-GB"/>
        </w:rPr>
        <w:t xml:space="preserve"> de línea.</w:t>
      </w:r>
    </w:p>
    <w:p w14:paraId="49BA281F" w14:textId="77777777" w:rsidR="00950DF7" w:rsidRPr="00781AC2" w:rsidRDefault="00950DF7" w:rsidP="00F304EA">
      <w:pPr>
        <w:spacing w:line="276" w:lineRule="auto"/>
        <w:jc w:val="both"/>
        <w:rPr>
          <w:rFonts w:ascii="Arial" w:eastAsia="Arial" w:hAnsi="Arial" w:cs="Arial"/>
          <w:b/>
          <w:sz w:val="22"/>
          <w:szCs w:val="22"/>
          <w:lang w:val="es-ES" w:eastAsia="en-US"/>
        </w:rPr>
      </w:pPr>
    </w:p>
    <w:p w14:paraId="3DB2FA8A" w14:textId="0E0EA2EB" w:rsidR="00950DF7" w:rsidRPr="00781AC2" w:rsidRDefault="638C6ABC" w:rsidP="06FA6063">
      <w:pPr>
        <w:spacing w:after="120" w:line="276" w:lineRule="auto"/>
        <w:jc w:val="both"/>
        <w:rPr>
          <w:rStyle w:val="Refdenotaalfinal"/>
          <w:rFonts w:ascii="Arial" w:eastAsia="Arial" w:hAnsi="Arial" w:cs="Arial"/>
          <w:color w:val="000000" w:themeColor="text1"/>
          <w:sz w:val="22"/>
          <w:szCs w:val="22"/>
          <w:lang w:val="es-ES"/>
        </w:rPr>
      </w:pPr>
      <w:r w:rsidRPr="06FA6063">
        <w:rPr>
          <w:rFonts w:ascii="Arial" w:eastAsia="Arial" w:hAnsi="Arial" w:cs="Arial"/>
          <w:color w:val="000000" w:themeColor="text1"/>
          <w:sz w:val="22"/>
          <w:szCs w:val="22"/>
          <w:lang w:val="es-ES"/>
        </w:rPr>
        <w:t xml:space="preserve">El artículo 74 de la Constitución Política establece que </w:t>
      </w:r>
      <w:r w:rsidR="40C9F169" w:rsidRPr="06FA6063">
        <w:rPr>
          <w:rFonts w:ascii="Arial" w:eastAsia="Arial" w:hAnsi="Arial" w:cs="Arial"/>
          <w:color w:val="000000" w:themeColor="text1"/>
          <w:sz w:val="22"/>
          <w:szCs w:val="22"/>
          <w:lang w:val="es-ES"/>
        </w:rPr>
        <w:t>“</w:t>
      </w:r>
      <w:r w:rsidRPr="06FA6063">
        <w:rPr>
          <w:rFonts w:ascii="Arial" w:eastAsia="Arial" w:hAnsi="Arial" w:cs="Arial"/>
          <w:color w:val="000000" w:themeColor="text1"/>
          <w:sz w:val="22"/>
          <w:szCs w:val="22"/>
          <w:lang w:val="es-ES"/>
        </w:rPr>
        <w:t>Todas las personas tienen derecho a acceder a los documentos públicos salvo los casos que establezca la ley</w:t>
      </w:r>
      <w:r w:rsidR="59CAAF5F" w:rsidRPr="06FA6063">
        <w:rPr>
          <w:rFonts w:ascii="Arial" w:eastAsia="Arial" w:hAnsi="Arial" w:cs="Arial"/>
          <w:color w:val="000000" w:themeColor="text1"/>
          <w:sz w:val="22"/>
          <w:szCs w:val="22"/>
          <w:lang w:val="es-ES"/>
        </w:rPr>
        <w:t>”</w:t>
      </w:r>
      <w:r w:rsidRPr="06FA6063">
        <w:rPr>
          <w:rFonts w:ascii="Arial" w:eastAsia="Arial" w:hAnsi="Arial" w:cs="Arial"/>
          <w:color w:val="000000" w:themeColor="text1"/>
          <w:sz w:val="22"/>
          <w:szCs w:val="22"/>
          <w:lang w:val="es-ES"/>
        </w:rPr>
        <w:t>. Esta disposición constitucional consagra el derecho fundamental de acceso a la información y a la documentación pública, salvo causal de reserva expresamente prevista en la Ley. Tal derecho se regula integralmente en la Ley 1712 de 2014 (</w:t>
      </w:r>
      <w:r w:rsidR="6E63245C" w:rsidRPr="06FA6063">
        <w:rPr>
          <w:rFonts w:ascii="Arial" w:eastAsia="Arial" w:hAnsi="Arial" w:cs="Arial"/>
          <w:color w:val="000000" w:themeColor="text1"/>
          <w:sz w:val="22"/>
          <w:szCs w:val="22"/>
          <w:lang w:val="es-ES"/>
        </w:rPr>
        <w:t>“</w:t>
      </w:r>
      <w:r w:rsidRPr="06FA6063">
        <w:rPr>
          <w:rFonts w:ascii="Arial" w:eastAsia="Arial" w:hAnsi="Arial" w:cs="Arial"/>
          <w:color w:val="000000" w:themeColor="text1"/>
          <w:sz w:val="22"/>
          <w:szCs w:val="22"/>
          <w:lang w:val="es-ES"/>
        </w:rPr>
        <w:t>Ley de Transparencia y del Derecho de Acceso a la Información Pública Nacional</w:t>
      </w:r>
      <w:r w:rsidR="543BB879" w:rsidRPr="06FA6063">
        <w:rPr>
          <w:rFonts w:ascii="Arial" w:eastAsia="Arial" w:hAnsi="Arial" w:cs="Arial"/>
          <w:color w:val="000000" w:themeColor="text1"/>
          <w:sz w:val="22"/>
          <w:szCs w:val="22"/>
          <w:lang w:val="es-ES"/>
        </w:rPr>
        <w:t>”</w:t>
      </w:r>
      <w:r w:rsidRPr="06FA6063">
        <w:rPr>
          <w:rFonts w:ascii="Arial" w:eastAsia="Arial" w:hAnsi="Arial" w:cs="Arial"/>
          <w:color w:val="000000" w:themeColor="text1"/>
          <w:sz w:val="22"/>
          <w:szCs w:val="22"/>
          <w:lang w:val="es-ES"/>
        </w:rPr>
        <w:t>). Esta Ley establece el deber de divulgación proactiva de la información e indica que las entidades estatales deben publicar su información contractual (artículos 9, literales c, e y f; 10 y 11, literal g). El Decreto 1081 de 2015, en los arts. 2.1.1.2.1.5. al 2.1.1.2.1.10., reglamenta el deber de las entidades estatales de publicar su información contractual en el SECOP, en cumplimiento del artículo 3 de la Ley 1150 de 2007</w:t>
      </w:r>
      <w:r w:rsidR="00950DF7" w:rsidRPr="06FA6063">
        <w:rPr>
          <w:rFonts w:ascii="Arial" w:eastAsia="Arial" w:hAnsi="Arial" w:cs="Arial"/>
          <w:color w:val="000000" w:themeColor="text1"/>
          <w:sz w:val="22"/>
          <w:szCs w:val="22"/>
          <w:vertAlign w:val="superscript"/>
          <w:lang w:val="es-ES"/>
        </w:rPr>
        <w:footnoteReference w:id="3"/>
      </w:r>
      <w:r w:rsidRPr="06FA6063">
        <w:rPr>
          <w:rFonts w:ascii="Arial" w:eastAsia="Arial" w:hAnsi="Arial" w:cs="Arial"/>
          <w:color w:val="000000" w:themeColor="text1"/>
          <w:sz w:val="22"/>
          <w:szCs w:val="22"/>
          <w:lang w:val="es-ES"/>
        </w:rPr>
        <w:t>.</w:t>
      </w:r>
    </w:p>
    <w:p w14:paraId="5E7CF933" w14:textId="483C8A04" w:rsidR="00950DF7" w:rsidRPr="00781AC2" w:rsidRDefault="638C6ABC" w:rsidP="71938EA5">
      <w:pPr>
        <w:spacing w:after="120" w:line="276" w:lineRule="auto"/>
        <w:ind w:firstLine="708"/>
        <w:jc w:val="both"/>
        <w:rPr>
          <w:rFonts w:ascii="Arial" w:eastAsia="Arial" w:hAnsi="Arial" w:cs="Arial"/>
          <w:sz w:val="22"/>
          <w:szCs w:val="22"/>
          <w:lang w:val="es-ES"/>
        </w:rPr>
      </w:pPr>
      <w:r w:rsidRPr="71938EA5">
        <w:rPr>
          <w:rFonts w:ascii="Arial" w:eastAsia="Arial" w:hAnsi="Arial" w:cs="Arial"/>
          <w:color w:val="000000" w:themeColor="text1"/>
          <w:sz w:val="22"/>
          <w:szCs w:val="22"/>
          <w:lang w:val="es-ES"/>
        </w:rPr>
        <w:t>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p>
    <w:p w14:paraId="447A2CB5" w14:textId="34A01955" w:rsidR="00950DF7" w:rsidRPr="00781AC2" w:rsidRDefault="28839AB2" w:rsidP="362BC5EC">
      <w:pPr>
        <w:spacing w:after="120" w:line="276" w:lineRule="auto"/>
        <w:ind w:firstLine="709"/>
        <w:jc w:val="both"/>
        <w:rPr>
          <w:rFonts w:ascii="Arial" w:eastAsia="Arial" w:hAnsi="Arial" w:cs="Arial"/>
          <w:color w:val="000000" w:themeColor="text1"/>
          <w:sz w:val="22"/>
          <w:szCs w:val="22"/>
          <w:lang w:val="es-ES"/>
        </w:rPr>
      </w:pPr>
      <w:r w:rsidRPr="362BC5EC">
        <w:rPr>
          <w:rFonts w:ascii="Arial" w:eastAsia="Arial" w:hAnsi="Arial" w:cs="Arial"/>
          <w:color w:val="000000" w:themeColor="text1"/>
          <w:sz w:val="22"/>
          <w:szCs w:val="22"/>
          <w:lang w:val="es-ES"/>
        </w:rPr>
        <w:t xml:space="preserve">De otra parte, la Ley 1712 de 2014 identifica como principios que orientan el derecho de acceso a la información pública los de máxima publicidad y transparencia en la información. El principio de máxima publicidad establece que </w:t>
      </w:r>
      <w:r w:rsidR="1D122895" w:rsidRPr="362BC5EC">
        <w:rPr>
          <w:rFonts w:ascii="Arial" w:eastAsia="Arial" w:hAnsi="Arial" w:cs="Arial"/>
          <w:color w:val="000000" w:themeColor="text1"/>
          <w:sz w:val="22"/>
          <w:szCs w:val="22"/>
          <w:lang w:val="es-ES"/>
        </w:rPr>
        <w:t>“</w:t>
      </w:r>
      <w:r w:rsidRPr="362BC5EC">
        <w:rPr>
          <w:rFonts w:ascii="Arial" w:eastAsia="Arial" w:hAnsi="Arial" w:cs="Arial"/>
          <w:color w:val="000000" w:themeColor="text1"/>
          <w:sz w:val="22"/>
          <w:szCs w:val="22"/>
          <w:lang w:val="es-ES"/>
        </w:rPr>
        <w:t xml:space="preserve">toda información en </w:t>
      </w:r>
      <w:r w:rsidRPr="362BC5EC">
        <w:rPr>
          <w:rFonts w:ascii="Arial" w:eastAsia="Arial" w:hAnsi="Arial" w:cs="Arial"/>
          <w:color w:val="000000" w:themeColor="text1"/>
          <w:sz w:val="22"/>
          <w:szCs w:val="22"/>
          <w:lang w:val="es-ES"/>
        </w:rPr>
        <w:lastRenderedPageBreak/>
        <w:t>posesión, bajo control o custodia de un sujeto obligado es pública y no podrá ser reservada o limitada sino por disposición constitucional o legal</w:t>
      </w:r>
      <w:r w:rsidR="222759DD" w:rsidRPr="362BC5EC">
        <w:rPr>
          <w:rFonts w:ascii="Arial" w:eastAsia="Arial" w:hAnsi="Arial" w:cs="Arial"/>
          <w:color w:val="000000" w:themeColor="text1"/>
          <w:sz w:val="22"/>
          <w:szCs w:val="22"/>
          <w:lang w:val="es-ES"/>
        </w:rPr>
        <w:t>"</w:t>
      </w:r>
      <w:r w:rsidRPr="362BC5EC">
        <w:rPr>
          <w:rFonts w:ascii="Arial" w:eastAsia="Arial" w:hAnsi="Arial" w:cs="Arial"/>
          <w:color w:val="000000" w:themeColor="text1"/>
          <w:sz w:val="22"/>
          <w:szCs w:val="22"/>
          <w:lang w:val="es-ES"/>
        </w:rPr>
        <w:t>. El principio de transparencia en la información alude al deber de los sujetos de proporcionar y facilitar el acceso a la misma en los términos más amplios posibles, y a través de los medios y procedimientos que establezca la ley.</w:t>
      </w:r>
    </w:p>
    <w:p w14:paraId="1ED825E8" w14:textId="695E0684" w:rsidR="00950DF7" w:rsidRPr="00781AC2" w:rsidRDefault="36315FC8" w:rsidP="362BC5EC">
      <w:pPr>
        <w:spacing w:after="120" w:line="276" w:lineRule="auto"/>
        <w:ind w:firstLine="709"/>
        <w:jc w:val="both"/>
        <w:rPr>
          <w:rFonts w:ascii="Arial" w:eastAsia="Arial" w:hAnsi="Arial" w:cs="Arial"/>
          <w:color w:val="000000" w:themeColor="text1"/>
          <w:sz w:val="22"/>
          <w:szCs w:val="22"/>
          <w:lang w:val="es-ES"/>
        </w:rPr>
      </w:pPr>
      <w:r w:rsidRPr="362BC5EC">
        <w:rPr>
          <w:rFonts w:ascii="Arial" w:eastAsia="Arial" w:hAnsi="Arial" w:cs="Arial"/>
          <w:color w:val="000000" w:themeColor="text1"/>
          <w:sz w:val="22"/>
          <w:szCs w:val="22"/>
          <w:lang w:val="es-ES"/>
        </w:rPr>
        <w:t>La ley citada establece, en el literal e) del artículo 9, que los sujetos obligados, que son todas las entidades públicas, deben publicar la información relativa a su contratación. Esta obligación fue en principio desarrollada por el Decreto 103 de 2015, hoy compilado en el Decreto Único Reglamentario 1081 de 2015, el cual dispuso que la publicación de la información contractual de los sujetos obligados, que contratan con cargo a recursos públicos, debe hacerse en el Sistema Electrónico de Contratación Pública –SECOP–.</w:t>
      </w:r>
    </w:p>
    <w:p w14:paraId="10942673" w14:textId="32668ABB" w:rsidR="00950DF7" w:rsidRPr="00781AC2" w:rsidRDefault="36315FC8" w:rsidP="71938EA5">
      <w:pPr>
        <w:spacing w:after="120" w:line="276" w:lineRule="auto"/>
        <w:ind w:firstLine="709"/>
        <w:jc w:val="both"/>
        <w:rPr>
          <w:rFonts w:ascii="Arial" w:eastAsia="Arial" w:hAnsi="Arial" w:cs="Arial"/>
          <w:color w:val="000000" w:themeColor="text1"/>
          <w:sz w:val="22"/>
          <w:szCs w:val="22"/>
          <w:lang w:val="es-ES"/>
        </w:rPr>
      </w:pPr>
      <w:r w:rsidRPr="362BC5EC">
        <w:rPr>
          <w:rFonts w:ascii="Arial" w:eastAsia="Arial" w:hAnsi="Arial" w:cs="Arial"/>
          <w:color w:val="000000" w:themeColor="text1"/>
          <w:sz w:val="22"/>
          <w:szCs w:val="22"/>
          <w:lang w:val="es-ES"/>
        </w:rPr>
        <w:t xml:space="preserve">Asimismo, de acuerdo con el literal g) del artículo 11 de la misma Ley, todos los destinatarios de la ley de transparencia deben garantizar la publicidad de </w:t>
      </w:r>
      <w:r w:rsidR="0C30000D" w:rsidRPr="362BC5EC">
        <w:rPr>
          <w:rFonts w:ascii="Arial" w:eastAsia="Arial" w:hAnsi="Arial" w:cs="Arial"/>
          <w:color w:val="000000" w:themeColor="text1"/>
          <w:sz w:val="22"/>
          <w:szCs w:val="22"/>
          <w:lang w:val="es-ES"/>
        </w:rPr>
        <w:t>“</w:t>
      </w:r>
      <w:r w:rsidRPr="362BC5EC">
        <w:rPr>
          <w:rFonts w:ascii="Arial" w:eastAsia="Arial" w:hAnsi="Arial" w:cs="Arial"/>
          <w:color w:val="000000" w:themeColor="text1"/>
          <w:sz w:val="22"/>
          <w:szCs w:val="22"/>
          <w:lang w:val="es-ES"/>
        </w:rPr>
        <w:t>sus procedimientos, lineamientos, políticas en materia de adquisiciones y compras, así como todos los datos de adjudicación y ejecución de contratos, incluidos concursos y licitaciones</w:t>
      </w:r>
      <w:r w:rsidR="7B64D78E" w:rsidRPr="362BC5EC">
        <w:rPr>
          <w:rFonts w:ascii="Arial" w:eastAsia="Arial" w:hAnsi="Arial" w:cs="Arial"/>
          <w:color w:val="000000" w:themeColor="text1"/>
          <w:sz w:val="22"/>
          <w:szCs w:val="22"/>
          <w:lang w:val="es-ES"/>
        </w:rPr>
        <w:t>”</w:t>
      </w:r>
      <w:r w:rsidRPr="362BC5EC">
        <w:rPr>
          <w:rFonts w:ascii="Arial" w:eastAsia="Arial" w:hAnsi="Arial" w:cs="Arial"/>
          <w:color w:val="000000" w:themeColor="text1"/>
          <w:sz w:val="22"/>
          <w:szCs w:val="22"/>
          <w:lang w:val="es-ES"/>
        </w:rPr>
        <w:t>, y esta información también debe estar en el SECOP.</w:t>
      </w:r>
    </w:p>
    <w:p w14:paraId="315F97FE" w14:textId="4A0A508D" w:rsidR="0500F86F" w:rsidRDefault="0500F86F" w:rsidP="06FA6063">
      <w:pPr>
        <w:spacing w:after="120" w:line="276" w:lineRule="auto"/>
        <w:ind w:firstLine="709"/>
        <w:contextualSpacing/>
        <w:jc w:val="both"/>
        <w:rPr>
          <w:rFonts w:ascii="Arial" w:eastAsia="Arial" w:hAnsi="Arial" w:cs="Arial"/>
          <w:color w:val="000000" w:themeColor="text1"/>
          <w:sz w:val="22"/>
          <w:szCs w:val="22"/>
          <w:lang w:val="es-ES"/>
        </w:rPr>
      </w:pPr>
      <w:r w:rsidRPr="06FA6063">
        <w:rPr>
          <w:rFonts w:ascii="Arial" w:eastAsia="Arial" w:hAnsi="Arial" w:cs="Arial"/>
          <w:color w:val="000000" w:themeColor="text1"/>
          <w:sz w:val="22"/>
          <w:szCs w:val="22"/>
          <w:lang w:val="es-ES"/>
        </w:rPr>
        <w:t>Conforme a lo anterior, 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w:t>
      </w:r>
    </w:p>
    <w:p w14:paraId="3602B79B" w14:textId="42A3B0BE" w:rsidR="00FF6F2E" w:rsidRPr="00781AC2" w:rsidRDefault="0500F86F" w:rsidP="362BC5EC">
      <w:pPr>
        <w:spacing w:after="120" w:line="276" w:lineRule="auto"/>
        <w:ind w:firstLine="709"/>
        <w:contextualSpacing/>
        <w:jc w:val="both"/>
        <w:rPr>
          <w:rFonts w:ascii="Arial" w:eastAsia="Arial" w:hAnsi="Arial" w:cs="Arial"/>
          <w:color w:val="000000" w:themeColor="text1"/>
          <w:sz w:val="22"/>
          <w:szCs w:val="22"/>
          <w:lang w:val="es-ES"/>
        </w:rPr>
      </w:pPr>
      <w:r w:rsidRPr="362BC5EC">
        <w:rPr>
          <w:rFonts w:ascii="Arial" w:eastAsia="Arial" w:hAnsi="Arial" w:cs="Arial"/>
          <w:color w:val="000000" w:themeColor="text1"/>
          <w:sz w:val="22"/>
          <w:szCs w:val="22"/>
          <w:lang w:val="es-ES"/>
        </w:rPr>
        <w:t xml:space="preserve">En la anterior disposición se relacionan los documentos que se deben publicar en el SECOP, como un desarrollo de los principios de transparencia y publicidad, que busca permitir, mediante la publicación, que la ciudadanía pueda conocer la actividad contractual de las entidades. Lo anterior por cuanto tales documentos dan cuenta de las decisiones de la Administración pública en beneficio del interés general y que por tanto incumben a la ciudadanía. </w:t>
      </w:r>
    </w:p>
    <w:p w14:paraId="1A8BC8BA" w14:textId="2BAD3B9D" w:rsidR="00FF6F2E" w:rsidRPr="00781AC2" w:rsidRDefault="0500F86F" w:rsidP="362BC5EC">
      <w:pPr>
        <w:spacing w:after="120" w:line="276" w:lineRule="auto"/>
        <w:ind w:firstLine="709"/>
        <w:contextualSpacing/>
        <w:jc w:val="both"/>
        <w:rPr>
          <w:rFonts w:ascii="Arial" w:eastAsia="Arial" w:hAnsi="Arial" w:cs="Arial"/>
          <w:color w:val="000000" w:themeColor="text1"/>
          <w:sz w:val="22"/>
          <w:szCs w:val="22"/>
          <w:lang w:val="es-ES"/>
        </w:rPr>
      </w:pPr>
      <w:r w:rsidRPr="362BC5EC">
        <w:rPr>
          <w:rFonts w:ascii="Arial" w:eastAsia="Arial" w:hAnsi="Arial" w:cs="Arial"/>
          <w:color w:val="000000" w:themeColor="text1"/>
          <w:sz w:val="22"/>
          <w:szCs w:val="22"/>
          <w:lang w:val="es-ES"/>
        </w:rPr>
        <w:t>Del artículo 3 de la Ley 1150 de 2007 se desprende un deber de publicar las actuaciones contractuales, el cual implica que todas las entidades estatales, publiquen los documentos en los que se evidencia el desarrollo de sus procesos de contratación. Esto, comoquiera que el objetivo del deber de dar publicidad a las actuaciones contractuales es materializar el derecho a conocer e intervenir de las decisiones de la Administración Pública.</w:t>
      </w:r>
    </w:p>
    <w:p w14:paraId="56A9611B" w14:textId="0196969A" w:rsidR="00FF6F2E" w:rsidRPr="00781AC2" w:rsidRDefault="5146FB19" w:rsidP="362BC5EC">
      <w:pPr>
        <w:spacing w:after="120" w:line="276" w:lineRule="auto"/>
        <w:ind w:firstLine="709"/>
        <w:contextualSpacing/>
        <w:jc w:val="both"/>
        <w:rPr>
          <w:rFonts w:ascii="Arial" w:eastAsia="Arial" w:hAnsi="Arial" w:cs="Arial"/>
          <w:color w:val="000000" w:themeColor="text1"/>
          <w:sz w:val="22"/>
          <w:szCs w:val="22"/>
          <w:lang w:val="es-ES"/>
        </w:rPr>
      </w:pPr>
      <w:r w:rsidRPr="362BC5EC">
        <w:rPr>
          <w:rFonts w:ascii="Arial" w:eastAsia="Arial" w:hAnsi="Arial" w:cs="Arial"/>
          <w:color w:val="000000" w:themeColor="text1"/>
          <w:sz w:val="22"/>
          <w:szCs w:val="22"/>
          <w:lang w:val="es-ES"/>
        </w:rPr>
        <w:t>Ahora bien, las entidades estatales, conforme al artículo 2.2.1.1.1.7.1. del Decreto 1082 de 2015, tienen la obligación de publicar en el SECOP “[…] los Documentos del Proceso y los actos administrativos del Proceso de Contratación, dentro de los tres (3) días siguientes a su expedición […]</w:t>
      </w:r>
      <w:r w:rsidR="578FCEF9" w:rsidRPr="362BC5EC">
        <w:rPr>
          <w:rFonts w:ascii="Arial" w:eastAsia="Arial" w:hAnsi="Arial" w:cs="Arial"/>
          <w:color w:val="000000" w:themeColor="text1"/>
          <w:sz w:val="22"/>
          <w:szCs w:val="22"/>
          <w:lang w:val="es-ES"/>
        </w:rPr>
        <w:t>”</w:t>
      </w:r>
      <w:r w:rsidRPr="362BC5EC">
        <w:rPr>
          <w:rFonts w:ascii="Arial" w:eastAsia="Arial" w:hAnsi="Arial" w:cs="Arial"/>
          <w:color w:val="000000" w:themeColor="text1"/>
          <w:sz w:val="22"/>
          <w:szCs w:val="22"/>
          <w:lang w:val="es-ES"/>
        </w:rPr>
        <w:t xml:space="preserve">. La expresión Documentos del Proceso está definida en el artículo 2.2.1.1.1.3.1. del Decreto 1082 de 2015, donde se establece que: «son: (a) los estudios y documentos previos; (b) el aviso de convocatoria; (c) los pliegos de condiciones o la invitación; (d) las adendas; (e) la oferta; (f) el informe de evaluación; (g) el contrato; y </w:t>
      </w:r>
      <w:r w:rsidRPr="362BC5EC">
        <w:rPr>
          <w:rFonts w:ascii="Arial" w:eastAsia="Arial" w:hAnsi="Arial" w:cs="Arial"/>
          <w:color w:val="000000" w:themeColor="text1"/>
          <w:sz w:val="22"/>
          <w:szCs w:val="22"/>
          <w:lang w:val="es-ES"/>
        </w:rPr>
        <w:lastRenderedPageBreak/>
        <w:t>cualquier otro documento expedido por la Entidad Estatal durante el Proceso de Contratación”.</w:t>
      </w:r>
    </w:p>
    <w:p w14:paraId="151B1661" w14:textId="58D59854" w:rsidR="00FF6F2E" w:rsidRPr="00781AC2" w:rsidRDefault="5146FB19" w:rsidP="362BC5EC">
      <w:pPr>
        <w:spacing w:after="120" w:line="276" w:lineRule="auto"/>
        <w:ind w:firstLine="709"/>
        <w:contextualSpacing/>
        <w:jc w:val="both"/>
        <w:rPr>
          <w:rFonts w:ascii="Arial" w:eastAsia="Arial" w:hAnsi="Arial" w:cs="Arial"/>
          <w:color w:val="000000" w:themeColor="text1"/>
          <w:sz w:val="22"/>
          <w:szCs w:val="22"/>
          <w:lang w:val="es-ES"/>
        </w:rPr>
      </w:pPr>
      <w:r w:rsidRPr="06FA6063">
        <w:rPr>
          <w:rFonts w:ascii="Arial" w:eastAsia="Arial" w:hAnsi="Arial" w:cs="Arial"/>
          <w:color w:val="000000" w:themeColor="text1"/>
          <w:sz w:val="22"/>
          <w:szCs w:val="22"/>
          <w:lang w:val="es-ES"/>
        </w:rPr>
        <w:t>No obstante, para identificar los documentos que deben publicarse, es necesario realizar una interpretación sistemática de las disposiciones del Decreto 1082 del 2015, ya que el anterior no es un listado taxativo, sino enunciativo, porque además de los documentos enlistados, el artículo 2.2.1.1.1.3.1 Ibídem recoge en la noción de Documentos del Proceso "cualquier otro documento expedido por la Entidad Estatal durante el Proceso de Contratación». Este mismo artículo define la expresión Proceso de Contratación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p>
    <w:p w14:paraId="4ADCFA80" w14:textId="587F30D2" w:rsidR="06FA6063" w:rsidRDefault="06FA6063" w:rsidP="06FA6063">
      <w:pPr>
        <w:spacing w:after="120" w:line="276" w:lineRule="auto"/>
        <w:ind w:firstLine="709"/>
        <w:contextualSpacing/>
        <w:jc w:val="both"/>
        <w:rPr>
          <w:rFonts w:ascii="Arial" w:eastAsia="Arial" w:hAnsi="Arial" w:cs="Arial"/>
          <w:color w:val="000000" w:themeColor="text1"/>
          <w:sz w:val="22"/>
          <w:szCs w:val="22"/>
          <w:lang w:val="es-ES"/>
        </w:rPr>
      </w:pPr>
    </w:p>
    <w:p w14:paraId="6A194134" w14:textId="763FCDF8" w:rsidR="00FF6F2E" w:rsidRPr="00781AC2" w:rsidRDefault="7FCE06AD" w:rsidP="362BC5EC">
      <w:pPr>
        <w:spacing w:after="120" w:line="276" w:lineRule="auto"/>
        <w:ind w:firstLine="709"/>
        <w:jc w:val="both"/>
        <w:rPr>
          <w:rFonts w:ascii="Arial" w:eastAsia="Arial" w:hAnsi="Arial" w:cs="Arial"/>
          <w:color w:val="000000" w:themeColor="text1"/>
          <w:sz w:val="22"/>
          <w:szCs w:val="22"/>
          <w:lang w:val="es-ES"/>
        </w:rPr>
      </w:pPr>
      <w:r w:rsidRPr="362BC5EC">
        <w:rPr>
          <w:rFonts w:ascii="Arial" w:eastAsia="Arial" w:hAnsi="Arial" w:cs="Arial"/>
          <w:color w:val="000000" w:themeColor="text1"/>
          <w:sz w:val="22"/>
          <w:szCs w:val="22"/>
          <w:lang w:val="es-ES"/>
        </w:rPr>
        <w:t xml:space="preserve">Nótese que la norma hace referencia a los documentos </w:t>
      </w:r>
      <w:r w:rsidR="18BE674E" w:rsidRPr="362BC5EC">
        <w:rPr>
          <w:rFonts w:ascii="Arial" w:eastAsia="Arial" w:hAnsi="Arial" w:cs="Arial"/>
          <w:color w:val="000000" w:themeColor="text1"/>
          <w:sz w:val="22"/>
          <w:szCs w:val="22"/>
          <w:lang w:val="es-ES"/>
        </w:rPr>
        <w:t>"</w:t>
      </w:r>
      <w:r w:rsidRPr="362BC5EC">
        <w:rPr>
          <w:rFonts w:ascii="Arial" w:eastAsia="Arial" w:hAnsi="Arial" w:cs="Arial"/>
          <w:color w:val="000000" w:themeColor="text1"/>
          <w:sz w:val="22"/>
          <w:szCs w:val="22"/>
          <w:lang w:val="es-ES"/>
        </w:rPr>
        <w:t>expedidos por la entidad estatal</w:t>
      </w:r>
      <w:r w:rsidR="1B155C40" w:rsidRPr="362BC5EC">
        <w:rPr>
          <w:rFonts w:ascii="Arial" w:eastAsia="Arial" w:hAnsi="Arial" w:cs="Arial"/>
          <w:color w:val="000000" w:themeColor="text1"/>
          <w:sz w:val="22"/>
          <w:szCs w:val="22"/>
          <w:lang w:val="es-ES"/>
        </w:rPr>
        <w:t>”</w:t>
      </w:r>
      <w:r w:rsidRPr="362BC5EC">
        <w:rPr>
          <w:rFonts w:ascii="Arial" w:eastAsia="Arial" w:hAnsi="Arial" w:cs="Arial"/>
          <w:color w:val="000000" w:themeColor="text1"/>
          <w:sz w:val="22"/>
          <w:szCs w:val="22"/>
          <w:lang w:val="es-ES"/>
        </w:rPr>
        <w:t xml:space="preserve"> durante el proceso de contratación, excluyendo de la noción de Documentos del Proceso los expedidos por un sujeto distinto a la entidad, salvo la oferta, la cual se incluye expresamente en el artículo 2.2.1.1.1.3.1.</w:t>
      </w:r>
    </w:p>
    <w:p w14:paraId="7F2D3BF3" w14:textId="539BC43E" w:rsidR="00FF6F2E" w:rsidRPr="00781AC2" w:rsidRDefault="19B025E6" w:rsidP="362BC5EC">
      <w:pPr>
        <w:spacing w:after="120" w:line="276" w:lineRule="auto"/>
        <w:ind w:firstLine="709"/>
        <w:contextualSpacing/>
        <w:jc w:val="both"/>
        <w:rPr>
          <w:rFonts w:ascii="Arial" w:eastAsia="Arial" w:hAnsi="Arial" w:cs="Arial"/>
          <w:color w:val="000000" w:themeColor="text1"/>
          <w:sz w:val="22"/>
          <w:szCs w:val="22"/>
          <w:lang w:val="es-ES"/>
        </w:rPr>
      </w:pPr>
      <w:r w:rsidRPr="06FA6063">
        <w:rPr>
          <w:rFonts w:ascii="Arial" w:eastAsia="Arial" w:hAnsi="Arial" w:cs="Arial"/>
          <w:color w:val="000000" w:themeColor="text1"/>
          <w:sz w:val="22"/>
          <w:szCs w:val="22"/>
          <w:lang w:val="es-ES"/>
        </w:rPr>
        <w:t xml:space="preserve">En ese sentido, la interpretación sistemática de los preceptos del Decreto 1082 de 2015, de acuerdo con el principio de publicidad, inicialmente, indica que las entidades estatales tienen la obligación de publicar todos los documentos que expidan con ocasión del Proceso de Contratación. Así, desde la fase de planeación hasta </w:t>
      </w:r>
      <w:r w:rsidR="220EE627" w:rsidRPr="06FA6063">
        <w:rPr>
          <w:rFonts w:ascii="Arial" w:eastAsia="Arial" w:hAnsi="Arial" w:cs="Arial"/>
          <w:color w:val="000000" w:themeColor="text1"/>
          <w:sz w:val="22"/>
          <w:szCs w:val="22"/>
          <w:lang w:val="es-ES"/>
        </w:rPr>
        <w:t>"</w:t>
      </w:r>
      <w:r w:rsidRPr="06FA6063">
        <w:rPr>
          <w:rFonts w:ascii="Arial" w:eastAsia="Arial" w:hAnsi="Arial" w:cs="Arial"/>
          <w:color w:val="000000" w:themeColor="text1"/>
          <w:sz w:val="22"/>
          <w:szCs w:val="22"/>
          <w:lang w:val="es-ES"/>
        </w:rPr>
        <w:t>el vencimiento de las garantías de calidad, estabilidad y mantenimiento, o las condiciones de disposición final o recuperación ambiental de las obras o bienes o el vencimiento del plazo, lo que ocurra más tarde</w:t>
      </w:r>
      <w:r w:rsidR="26CED97E" w:rsidRPr="06FA6063">
        <w:rPr>
          <w:rFonts w:ascii="Arial" w:eastAsia="Arial" w:hAnsi="Arial" w:cs="Arial"/>
          <w:color w:val="000000" w:themeColor="text1"/>
          <w:sz w:val="22"/>
          <w:szCs w:val="22"/>
          <w:lang w:val="es-ES"/>
        </w:rPr>
        <w:t>”</w:t>
      </w:r>
      <w:r w:rsidRPr="06FA6063">
        <w:rPr>
          <w:rFonts w:ascii="Arial" w:eastAsia="Arial" w:hAnsi="Arial" w:cs="Arial"/>
          <w:color w:val="000000" w:themeColor="text1"/>
          <w:sz w:val="22"/>
          <w:szCs w:val="22"/>
          <w:lang w:val="es-ES"/>
        </w:rPr>
        <w:t xml:space="preserve">, lo que significa que todos los documentos expedidos por la entidad durante las etapas precontractual, de ejecución y </w:t>
      </w:r>
      <w:proofErr w:type="spellStart"/>
      <w:r w:rsidRPr="06FA6063">
        <w:rPr>
          <w:rFonts w:ascii="Arial" w:eastAsia="Arial" w:hAnsi="Arial" w:cs="Arial"/>
          <w:color w:val="000000" w:themeColor="text1"/>
          <w:sz w:val="22"/>
          <w:szCs w:val="22"/>
          <w:lang w:val="es-ES"/>
        </w:rPr>
        <w:t>postcontractual</w:t>
      </w:r>
      <w:proofErr w:type="spellEnd"/>
      <w:r w:rsidRPr="06FA6063">
        <w:rPr>
          <w:rFonts w:ascii="Arial" w:eastAsia="Arial" w:hAnsi="Arial" w:cs="Arial"/>
          <w:color w:val="000000" w:themeColor="text1"/>
          <w:sz w:val="22"/>
          <w:szCs w:val="22"/>
          <w:lang w:val="es-ES"/>
        </w:rPr>
        <w:t xml:space="preserve"> deberán ser publicados en SECOP dentro de los tres (3) días siguientes a su expedición, para cumplir el deber de publicidad regulado por el artículo 2.2.1.1.1.7.1. del Decreto 1082 de 2015.</w:t>
      </w:r>
    </w:p>
    <w:p w14:paraId="23CCF4A7" w14:textId="7203BBA4" w:rsidR="06FA6063" w:rsidRDefault="06FA6063" w:rsidP="06FA6063">
      <w:pPr>
        <w:spacing w:after="120" w:line="276" w:lineRule="auto"/>
        <w:ind w:firstLine="709"/>
        <w:contextualSpacing/>
        <w:jc w:val="both"/>
        <w:rPr>
          <w:rFonts w:ascii="Arial" w:eastAsia="Arial" w:hAnsi="Arial" w:cs="Arial"/>
          <w:color w:val="000000" w:themeColor="text1"/>
          <w:sz w:val="22"/>
          <w:szCs w:val="22"/>
          <w:lang w:val="es-ES"/>
        </w:rPr>
      </w:pPr>
    </w:p>
    <w:p w14:paraId="3312A2BE" w14:textId="6B2D3D96" w:rsidR="00FF6F2E" w:rsidRPr="00781AC2" w:rsidRDefault="7583C7B7" w:rsidP="362BC5EC">
      <w:pPr>
        <w:spacing w:after="120" w:line="276" w:lineRule="auto"/>
        <w:ind w:firstLine="709"/>
        <w:contextualSpacing/>
        <w:jc w:val="both"/>
        <w:rPr>
          <w:rFonts w:ascii="Arial" w:eastAsia="Arial" w:hAnsi="Arial" w:cs="Arial"/>
          <w:color w:val="000000" w:themeColor="text1"/>
          <w:sz w:val="22"/>
          <w:szCs w:val="22"/>
          <w:lang w:val="es-ES"/>
        </w:rPr>
      </w:pPr>
      <w:r w:rsidRPr="06FA6063">
        <w:rPr>
          <w:rFonts w:ascii="Arial" w:eastAsia="Arial" w:hAnsi="Arial" w:cs="Arial"/>
          <w:color w:val="000000" w:themeColor="text1"/>
          <w:sz w:val="22"/>
          <w:szCs w:val="22"/>
          <w:lang w:val="es-ES"/>
        </w:rPr>
        <w:t xml:space="preserve">De conformidad con lo anterior, esta interpretación de las disposiciones analizadas permite incorporar al EGCAP importantes principios desarrollados por la normativa de la transparencia y acceso a la información pública. Entre estos principios se encuentran el de máxima publicidad para un titular universal5, transparencia, facilitación y divulgación proactiva de la información6. Lo anterior en la medida en que, al ampliarse la actividad contractual sobre la que recae el deber de publicación, se divulga un mayor volumen de información, que de por sí es pública, mediante un mecanismo como el SECOP. Esta plataforma facilita el acceso a la misma desde cualquier dispositivo con acceso a internet. De este modo, garantiza mayor transparencia, al obligarse a las entidades estatales a publicar sus actuaciones de manera proactiva y rutinaria. Ello permite que la ciudadanía conozca con detalle y actualidad el desarrollo de la gestión contractual de la Administración, fomentándose en la contratación pública estándares altos de transparencia. </w:t>
      </w:r>
    </w:p>
    <w:p w14:paraId="3A7E37EF" w14:textId="4A22873D" w:rsidR="06FA6063" w:rsidRDefault="06FA6063" w:rsidP="06FA6063">
      <w:pPr>
        <w:spacing w:after="120" w:line="276" w:lineRule="auto"/>
        <w:ind w:firstLine="709"/>
        <w:contextualSpacing/>
        <w:jc w:val="both"/>
        <w:rPr>
          <w:rFonts w:ascii="Arial" w:eastAsia="Arial" w:hAnsi="Arial" w:cs="Arial"/>
          <w:color w:val="000000" w:themeColor="text1"/>
          <w:sz w:val="22"/>
          <w:szCs w:val="22"/>
          <w:lang w:val="es-ES"/>
        </w:rPr>
      </w:pPr>
    </w:p>
    <w:p w14:paraId="32988AF7" w14:textId="1E11D5F4" w:rsidR="00FF6F2E" w:rsidRPr="00781AC2" w:rsidRDefault="7583C7B7" w:rsidP="362BC5EC">
      <w:pPr>
        <w:spacing w:after="120" w:line="276" w:lineRule="auto"/>
        <w:ind w:firstLine="709"/>
        <w:contextualSpacing/>
        <w:jc w:val="both"/>
        <w:rPr>
          <w:rFonts w:ascii="Arial" w:eastAsia="Arial" w:hAnsi="Arial" w:cs="Arial"/>
          <w:color w:val="000000" w:themeColor="text1"/>
          <w:sz w:val="22"/>
          <w:szCs w:val="22"/>
          <w:lang w:val="es-ES"/>
        </w:rPr>
      </w:pPr>
      <w:r w:rsidRPr="06FA6063">
        <w:rPr>
          <w:rFonts w:ascii="Arial" w:eastAsia="Arial" w:hAnsi="Arial" w:cs="Arial"/>
          <w:color w:val="000000" w:themeColor="text1"/>
          <w:sz w:val="22"/>
          <w:szCs w:val="22"/>
          <w:lang w:val="es-ES"/>
        </w:rPr>
        <w:t>En conclusión, con base en los fundamentos normativos y argumentos expuestos, además del Plan Anual de Adquisiciones, las entidades estatales regidas por el EGCAP deberán publicar en SECOP los documentos expedidos con ocasión del proceso de contratación. Entre estos documentos se encuentran: el estudio de oportunidad y conveniencia; los estudios y documentos previos –técnicos o no–; el aviso de convocatoria; el proyecto de pliego de condiciones y las observaciones que le formulen; el pliego de condiciones o la invitación.</w:t>
      </w:r>
    </w:p>
    <w:p w14:paraId="77C7936A" w14:textId="70D7EF2E" w:rsidR="06FA6063" w:rsidRDefault="06FA6063" w:rsidP="06FA6063">
      <w:pPr>
        <w:spacing w:after="120" w:line="276" w:lineRule="auto"/>
        <w:ind w:firstLine="709"/>
        <w:contextualSpacing/>
        <w:jc w:val="both"/>
        <w:rPr>
          <w:rFonts w:ascii="Arial" w:eastAsia="Arial" w:hAnsi="Arial" w:cs="Arial"/>
          <w:color w:val="000000" w:themeColor="text1"/>
          <w:sz w:val="22"/>
          <w:szCs w:val="22"/>
          <w:lang w:val="es-ES"/>
        </w:rPr>
      </w:pPr>
    </w:p>
    <w:p w14:paraId="06DE5ABF" w14:textId="556E83B9" w:rsidR="00FF6F2E" w:rsidRPr="00781AC2" w:rsidRDefault="52EE6D31" w:rsidP="362BC5EC">
      <w:pPr>
        <w:spacing w:after="120" w:line="276" w:lineRule="auto"/>
        <w:ind w:firstLine="709"/>
        <w:contextualSpacing/>
        <w:jc w:val="both"/>
        <w:rPr>
          <w:rFonts w:ascii="Arial" w:eastAsia="Arial" w:hAnsi="Arial" w:cs="Arial"/>
          <w:color w:val="000000" w:themeColor="text1"/>
          <w:sz w:val="22"/>
          <w:szCs w:val="22"/>
          <w:lang w:val="es-ES"/>
        </w:rPr>
      </w:pPr>
      <w:r w:rsidRPr="06FA6063">
        <w:rPr>
          <w:rFonts w:ascii="Arial" w:eastAsia="Arial" w:hAnsi="Arial" w:cs="Arial"/>
          <w:color w:val="000000" w:themeColor="text1"/>
          <w:sz w:val="22"/>
          <w:szCs w:val="22"/>
          <w:lang w:val="es-ES"/>
        </w:rPr>
        <w:t>De igual manera, dentro de los documentos del proceso, se deben publicar en el SECOP las observaciones que se les realicen al pliego de condiciones; las actas de la audiencia de asignación de riesgos; el acta de cierre del plazo para presentar ofertas; y las adendas. En procesos cuya publicación deba realizarse en SECOP I, se debe publicar la oferta del adjudicatario y las aclaraciones que se le realicen; el informe de precalificación y las observaciones que se formulen; el informe de evaluación y las observaciones que se formulen; las respuestas a las observaciones; el contrato y los otrosíes o modificaciones; el acta de inicio; las garantías y el acta de liquidación.</w:t>
      </w:r>
    </w:p>
    <w:p w14:paraId="0F99E06C" w14:textId="1749B90A" w:rsidR="06FA6063" w:rsidRDefault="06FA6063" w:rsidP="06FA6063">
      <w:pPr>
        <w:spacing w:after="120" w:line="276" w:lineRule="auto"/>
        <w:ind w:firstLine="709"/>
        <w:contextualSpacing/>
        <w:jc w:val="both"/>
        <w:rPr>
          <w:rFonts w:ascii="Arial" w:eastAsia="Arial" w:hAnsi="Arial" w:cs="Arial"/>
          <w:color w:val="000000" w:themeColor="text1"/>
          <w:sz w:val="22"/>
          <w:szCs w:val="22"/>
          <w:lang w:val="es-ES"/>
        </w:rPr>
      </w:pPr>
    </w:p>
    <w:p w14:paraId="6812CAEC" w14:textId="0DDAC6F4" w:rsidR="00FF6F2E" w:rsidRPr="00781AC2" w:rsidRDefault="223DFAAE" w:rsidP="362BC5EC">
      <w:pPr>
        <w:spacing w:after="120" w:line="276" w:lineRule="auto"/>
        <w:ind w:firstLine="709"/>
        <w:contextualSpacing/>
        <w:jc w:val="both"/>
        <w:rPr>
          <w:rFonts w:ascii="Arial" w:eastAsia="Arial" w:hAnsi="Arial" w:cs="Arial"/>
          <w:color w:val="000000" w:themeColor="text1"/>
          <w:sz w:val="22"/>
          <w:szCs w:val="22"/>
          <w:lang w:val="es-ES"/>
        </w:rPr>
      </w:pPr>
      <w:r w:rsidRPr="06FA6063">
        <w:rPr>
          <w:rFonts w:ascii="Arial" w:eastAsia="Arial" w:hAnsi="Arial" w:cs="Arial"/>
          <w:color w:val="000000" w:themeColor="text1"/>
          <w:sz w:val="22"/>
          <w:szCs w:val="22"/>
          <w:lang w:val="es-ES"/>
        </w:rPr>
        <w:t>También deben publicarse en el SECOP los actos administrativos expedidos con ocasión del procedimiento de selección o la ejecución del contrato, como las resoluciones de apertura, de adjudicación, las que se impongan multas, la cláusula penal o declaren la caducidad del contrato; así como los documentos de los procesos por incumplimiento contractual que se lleven a cabo conforme al artículo 86 de la Ley 1474 de 2011, como la citación, las pruebas que se practiquen, la resolución que resuelve la actuación y demás documentos que se produzcan.</w:t>
      </w:r>
    </w:p>
    <w:p w14:paraId="45F44E80" w14:textId="25E8074F" w:rsidR="06FA6063" w:rsidRDefault="06FA6063" w:rsidP="06FA6063">
      <w:pPr>
        <w:spacing w:after="120" w:line="276" w:lineRule="auto"/>
        <w:ind w:firstLine="709"/>
        <w:contextualSpacing/>
        <w:jc w:val="both"/>
        <w:rPr>
          <w:rFonts w:ascii="Arial" w:eastAsia="Arial" w:hAnsi="Arial" w:cs="Arial"/>
          <w:color w:val="000000" w:themeColor="text1"/>
          <w:sz w:val="22"/>
          <w:szCs w:val="22"/>
          <w:lang w:val="es-ES"/>
        </w:rPr>
      </w:pPr>
    </w:p>
    <w:p w14:paraId="5FE33845" w14:textId="278A07B8" w:rsidR="00FF6F2E" w:rsidRPr="00781AC2" w:rsidRDefault="206FD77D" w:rsidP="362BC5EC">
      <w:pPr>
        <w:spacing w:after="120" w:line="276" w:lineRule="auto"/>
        <w:ind w:firstLine="709"/>
        <w:contextualSpacing/>
        <w:jc w:val="both"/>
        <w:rPr>
          <w:rFonts w:ascii="Arial" w:eastAsia="Arial" w:hAnsi="Arial" w:cs="Arial"/>
          <w:color w:val="000000" w:themeColor="text1"/>
          <w:sz w:val="22"/>
          <w:szCs w:val="22"/>
          <w:lang w:val="es-ES"/>
        </w:rPr>
      </w:pPr>
      <w:r w:rsidRPr="06FA6063">
        <w:rPr>
          <w:rFonts w:ascii="Arial" w:eastAsia="Arial" w:hAnsi="Arial" w:cs="Arial"/>
          <w:color w:val="000000" w:themeColor="text1"/>
          <w:sz w:val="22"/>
          <w:szCs w:val="22"/>
          <w:lang w:val="es-ES"/>
        </w:rPr>
        <w:t>Así mismo, deben publicarse en el SECOP las reclamaciones que presenten las partes y las respuestas que se expidan a las mismas; las actas de entrega o recibo, y los informes de supervisión y/o interventoría. En cuanto a la ejecución, de conformidad con el artículo 2.1.1.2.1.8 de Decreto 1081 de 2015, deberán publicarse las aprobaciones, autorizaciones, requerimientos o informes del supervisor o del interventor, que prueben la ejecución del contrato; la liquidación unilateral; y en general cualquier otro documento producido o expedido con ocasión del Proceso de Contratación, sin importar quién sea su autor –la Administración o el contratista–, con excepción de los que pertenecen al marco de operaciones de bolsa de productos, expresamente excluidos de publicación por el artículo 2.2.1.1.1.7.1. del Decreto 1082 de 2015.</w:t>
      </w:r>
    </w:p>
    <w:p w14:paraId="445D70D0" w14:textId="02D81985" w:rsidR="06FA6063" w:rsidRDefault="06FA6063" w:rsidP="06FA6063">
      <w:pPr>
        <w:spacing w:after="120" w:line="276" w:lineRule="auto"/>
        <w:ind w:firstLine="709"/>
        <w:contextualSpacing/>
        <w:jc w:val="both"/>
        <w:rPr>
          <w:rFonts w:ascii="Arial" w:eastAsia="Arial" w:hAnsi="Arial" w:cs="Arial"/>
          <w:color w:val="000000" w:themeColor="text1"/>
          <w:sz w:val="22"/>
          <w:szCs w:val="22"/>
          <w:lang w:val="es-ES"/>
        </w:rPr>
      </w:pPr>
    </w:p>
    <w:p w14:paraId="17377690" w14:textId="267F2C8B" w:rsidR="00FF6F2E" w:rsidRPr="00781AC2" w:rsidRDefault="206FD77D" w:rsidP="06FA6063">
      <w:pPr>
        <w:spacing w:after="120" w:line="276" w:lineRule="auto"/>
        <w:ind w:firstLine="709"/>
        <w:contextualSpacing/>
        <w:jc w:val="both"/>
        <w:rPr>
          <w:rFonts w:ascii="Arial" w:eastAsia="Arial" w:hAnsi="Arial" w:cs="Arial"/>
          <w:color w:val="000000" w:themeColor="text1"/>
          <w:sz w:val="22"/>
          <w:szCs w:val="22"/>
          <w:lang w:val="es-ES"/>
        </w:rPr>
      </w:pPr>
      <w:r w:rsidRPr="06FA6063">
        <w:rPr>
          <w:rFonts w:ascii="Arial" w:eastAsia="Arial" w:hAnsi="Arial" w:cs="Arial"/>
          <w:color w:val="000000" w:themeColor="text1"/>
          <w:sz w:val="22"/>
          <w:szCs w:val="22"/>
          <w:lang w:val="es-ES"/>
        </w:rPr>
        <w:t xml:space="preserve">Sin perjuicio de lo anterior, no debe perderse de vista </w:t>
      </w:r>
      <w:r w:rsidR="1944DCE7" w:rsidRPr="06FA6063">
        <w:rPr>
          <w:rFonts w:ascii="Arial" w:eastAsia="Arial" w:hAnsi="Arial" w:cs="Arial"/>
          <w:color w:val="000000" w:themeColor="text1"/>
          <w:sz w:val="22"/>
          <w:szCs w:val="22"/>
          <w:lang w:val="es-ES"/>
        </w:rPr>
        <w:t>que,</w:t>
      </w:r>
      <w:r w:rsidRPr="06FA6063">
        <w:rPr>
          <w:rFonts w:ascii="Arial" w:eastAsia="Arial" w:hAnsi="Arial" w:cs="Arial"/>
          <w:color w:val="000000" w:themeColor="text1"/>
          <w:sz w:val="22"/>
          <w:szCs w:val="22"/>
          <w:lang w:val="es-ES"/>
        </w:rPr>
        <w:t xml:space="preserve"> en virtud del principio de transparencia, específicamente por cuenta de lo dispuesto en el numeral 4 del artículo 24 de la Ley 80 de 19937, así como por el principio de máxima publicidad establecido en el artículo 2 de la Ley 1712 de 20148, el contenido del expediente en el que reposa la </w:t>
      </w:r>
      <w:r w:rsidRPr="06FA6063">
        <w:rPr>
          <w:rFonts w:ascii="Arial" w:eastAsia="Arial" w:hAnsi="Arial" w:cs="Arial"/>
          <w:color w:val="000000" w:themeColor="text1"/>
          <w:sz w:val="22"/>
          <w:szCs w:val="22"/>
          <w:lang w:val="es-ES"/>
        </w:rPr>
        <w:lastRenderedPageBreak/>
        <w:t xml:space="preserve">actuación es información pública, independientemente de si se trata de documentos que deban ser publicados en SECOP. Por lo anterior, el contenido del expediente puede ser objeto de solicitud de copias, en ejercicio del derecho de petición, en cualquier momento del proceso de selección, en la medida en que las normas señaladas no imponen ningún condicionamiento, así que podrán solicitarlas cualquier </w:t>
      </w:r>
      <w:r w:rsidR="4B4EEEB5" w:rsidRPr="06FA6063">
        <w:rPr>
          <w:rFonts w:ascii="Arial" w:eastAsia="Arial" w:hAnsi="Arial" w:cs="Arial"/>
          <w:color w:val="000000" w:themeColor="text1"/>
          <w:sz w:val="22"/>
          <w:szCs w:val="22"/>
          <w:lang w:val="es-ES"/>
        </w:rPr>
        <w:t>ciudadano</w:t>
      </w:r>
      <w:r w:rsidR="00FF6F2E" w:rsidRPr="06FA6063">
        <w:rPr>
          <w:rFonts w:ascii="Arial" w:eastAsia="Arial" w:hAnsi="Arial" w:cs="Arial"/>
          <w:color w:val="000000" w:themeColor="text1"/>
          <w:sz w:val="22"/>
          <w:szCs w:val="22"/>
          <w:vertAlign w:val="superscript"/>
          <w:lang w:val="es-ES"/>
        </w:rPr>
        <w:footnoteReference w:id="4"/>
      </w:r>
      <w:r w:rsidRPr="06FA6063">
        <w:rPr>
          <w:rFonts w:ascii="Arial" w:eastAsia="Arial" w:hAnsi="Arial" w:cs="Arial"/>
          <w:color w:val="000000" w:themeColor="text1"/>
          <w:sz w:val="22"/>
          <w:szCs w:val="22"/>
          <w:lang w:val="es-ES"/>
        </w:rPr>
        <w:t>, dentro de lo que cabe la vigilancia de la contratación pública, cuestión que podría interesar a cualquier ciudadano. Esta posibilidad solo se encuentra limitada respecto de la documentación que tenga la calidad de reservada</w:t>
      </w:r>
      <w:r w:rsidR="00FF6F2E" w:rsidRPr="06FA6063">
        <w:rPr>
          <w:rFonts w:ascii="Arial" w:eastAsia="Arial" w:hAnsi="Arial" w:cs="Arial"/>
          <w:color w:val="000000" w:themeColor="text1"/>
          <w:sz w:val="22"/>
          <w:szCs w:val="22"/>
          <w:vertAlign w:val="superscript"/>
          <w:lang w:val="es-ES"/>
        </w:rPr>
        <w:footnoteReference w:id="5"/>
      </w:r>
      <w:r w:rsidRPr="06FA6063">
        <w:rPr>
          <w:rFonts w:ascii="Arial" w:eastAsia="Arial" w:hAnsi="Arial" w:cs="Arial"/>
          <w:color w:val="000000" w:themeColor="text1"/>
          <w:sz w:val="22"/>
          <w:szCs w:val="22"/>
          <w:lang w:val="es-ES"/>
        </w:rPr>
        <w:t>, que deberá someterse al tratamiento establecido en el artículo 36 del CPACA, en lo relativo a la formación de cuadernos separados</w:t>
      </w:r>
      <w:r w:rsidR="00FF6F2E" w:rsidRPr="06FA6063">
        <w:rPr>
          <w:rFonts w:ascii="Arial" w:eastAsia="Arial" w:hAnsi="Arial" w:cs="Arial"/>
          <w:color w:val="000000" w:themeColor="text1"/>
          <w:sz w:val="22"/>
          <w:szCs w:val="22"/>
          <w:vertAlign w:val="superscript"/>
          <w:lang w:val="es-ES"/>
        </w:rPr>
        <w:footnoteReference w:id="6"/>
      </w:r>
      <w:r w:rsidR="109DDE16" w:rsidRPr="06FA6063">
        <w:rPr>
          <w:rFonts w:ascii="Arial" w:eastAsia="Arial" w:hAnsi="Arial" w:cs="Arial"/>
          <w:color w:val="000000" w:themeColor="text1"/>
          <w:sz w:val="22"/>
          <w:szCs w:val="22"/>
          <w:lang w:val="es-ES"/>
        </w:rPr>
        <w:t>.</w:t>
      </w:r>
    </w:p>
    <w:p w14:paraId="4D900A1D" w14:textId="3689A781" w:rsidR="00FF6F2E" w:rsidRPr="00781AC2" w:rsidRDefault="00FF6F2E" w:rsidP="362BC5EC">
      <w:pPr>
        <w:spacing w:after="120" w:line="276" w:lineRule="auto"/>
        <w:contextualSpacing/>
        <w:jc w:val="both"/>
        <w:rPr>
          <w:color w:val="000000" w:themeColor="text1"/>
          <w:sz w:val="22"/>
          <w:szCs w:val="22"/>
          <w:lang w:val="es-ES"/>
        </w:rPr>
      </w:pPr>
    </w:p>
    <w:p w14:paraId="3A612801" w14:textId="3E5CACFD" w:rsidR="00950DF7" w:rsidRPr="00781AC2" w:rsidRDefault="45BEC92A" w:rsidP="463B28AE">
      <w:pPr>
        <w:spacing w:after="120" w:line="276" w:lineRule="auto"/>
        <w:contextualSpacing/>
        <w:jc w:val="both"/>
        <w:rPr>
          <w:rFonts w:ascii="Arial" w:eastAsia="Arial" w:hAnsi="Arial" w:cs="Arial"/>
          <w:b/>
          <w:bCs/>
          <w:sz w:val="22"/>
          <w:szCs w:val="22"/>
        </w:rPr>
      </w:pPr>
      <w:r w:rsidRPr="463B28AE">
        <w:rPr>
          <w:rFonts w:ascii="Arial" w:eastAsia="Calibri" w:hAnsi="Arial" w:cs="Arial"/>
          <w:b/>
          <w:bCs/>
          <w:sz w:val="22"/>
          <w:szCs w:val="22"/>
        </w:rPr>
        <w:t xml:space="preserve">2.2. </w:t>
      </w:r>
      <w:r w:rsidR="2E20AD23" w:rsidRPr="463B28AE">
        <w:rPr>
          <w:rFonts w:ascii="Arial" w:eastAsia="Arial" w:hAnsi="Arial" w:cs="Arial"/>
          <w:b/>
          <w:bCs/>
          <w:color w:val="000000" w:themeColor="text1"/>
          <w:sz w:val="22"/>
          <w:szCs w:val="22"/>
        </w:rPr>
        <w:t>Los datos sensibles como límites al deber de divulgación proactiva de la información en la contratación estatal. Habeas data y política de transparencia</w:t>
      </w:r>
    </w:p>
    <w:p w14:paraId="3C4878EB" w14:textId="77777777" w:rsidR="00950DF7" w:rsidRPr="00781AC2" w:rsidRDefault="00950DF7" w:rsidP="71938EA5">
      <w:pPr>
        <w:spacing w:line="276" w:lineRule="auto"/>
        <w:contextualSpacing/>
        <w:jc w:val="both"/>
        <w:rPr>
          <w:rFonts w:ascii="Arial" w:eastAsia="Calibri" w:hAnsi="Arial" w:cs="Arial"/>
          <w:b/>
          <w:bCs/>
          <w:sz w:val="22"/>
          <w:szCs w:val="22"/>
          <w:highlight w:val="yellow"/>
          <w:lang w:val="es-ES"/>
        </w:rPr>
      </w:pPr>
    </w:p>
    <w:p w14:paraId="29BBF925" w14:textId="64D6BD68" w:rsidR="0005405C" w:rsidRPr="00781AC2" w:rsidRDefault="1867C94C" w:rsidP="06FA6063">
      <w:pPr>
        <w:spacing w:after="120" w:line="276" w:lineRule="auto"/>
        <w:ind w:firstLine="709"/>
        <w:jc w:val="both"/>
        <w:rPr>
          <w:rFonts w:ascii="Arial" w:eastAsia="Arial" w:hAnsi="Arial" w:cs="Arial"/>
          <w:color w:val="000000" w:themeColor="text1"/>
          <w:sz w:val="22"/>
          <w:szCs w:val="22"/>
        </w:rPr>
      </w:pPr>
      <w:r w:rsidRPr="06FA6063">
        <w:rPr>
          <w:rFonts w:ascii="Arial" w:eastAsia="Arial" w:hAnsi="Arial" w:cs="Arial"/>
          <w:sz w:val="22"/>
          <w:szCs w:val="22"/>
          <w:lang w:val="es"/>
        </w:rPr>
        <w:t>Sin perjuicio de lo expresado en el numeral anterior</w:t>
      </w:r>
      <w:r w:rsidR="33B612ED" w:rsidRPr="06FA6063">
        <w:rPr>
          <w:rFonts w:ascii="Arial" w:eastAsia="Arial" w:hAnsi="Arial" w:cs="Arial"/>
          <w:color w:val="000000" w:themeColor="text1"/>
          <w:sz w:val="22"/>
          <w:szCs w:val="22"/>
        </w:rPr>
        <w:t>,</w:t>
      </w:r>
      <w:r w:rsidR="3FDBC57E" w:rsidRPr="06FA6063">
        <w:rPr>
          <w:rFonts w:ascii="Arial" w:eastAsia="Arial" w:hAnsi="Arial" w:cs="Arial"/>
          <w:color w:val="000000" w:themeColor="text1"/>
          <w:sz w:val="22"/>
          <w:szCs w:val="22"/>
        </w:rPr>
        <w:t xml:space="preserve"> vale la pena aclarar que el cumplimiento del deber de publicación de la documentación contractual debe armonizarse con las normas aplicables al tipo de información que estas contienen. Lo anterior significa </w:t>
      </w:r>
      <w:r w:rsidR="1ECE5FB0" w:rsidRPr="06FA6063">
        <w:rPr>
          <w:rFonts w:ascii="Arial" w:eastAsia="Arial" w:hAnsi="Arial" w:cs="Arial"/>
          <w:color w:val="000000" w:themeColor="text1"/>
          <w:sz w:val="22"/>
          <w:szCs w:val="22"/>
        </w:rPr>
        <w:t>que,</w:t>
      </w:r>
      <w:r w:rsidR="3FDBC57E" w:rsidRPr="06FA6063">
        <w:rPr>
          <w:rFonts w:ascii="Arial" w:eastAsia="Arial" w:hAnsi="Arial" w:cs="Arial"/>
          <w:color w:val="000000" w:themeColor="text1"/>
          <w:sz w:val="22"/>
          <w:szCs w:val="22"/>
        </w:rPr>
        <w:t xml:space="preserve"> respecto de datos sensibles, información sometida a reserva o de la cual proceda un tratamiento especial que impida su publicidad, las entidades deberán proceder de conformidad con el tratamiento que impongan tales normas, absteniéndose, de ser el caso, de publicar las ofertas, o las partes pertinentes en las que se evidencie este tipo de información. Para dichos eventos, la plataforma SECOP II, antes de publicar las ofertas, brinda a las entidades la opción de calificar dicha información como confidencial, lo cual impide que los documentos se publiquen.</w:t>
      </w:r>
    </w:p>
    <w:p w14:paraId="71ED4349" w14:textId="6CF51C0E" w:rsidR="0005405C" w:rsidRPr="00781AC2" w:rsidRDefault="3FDBC57E" w:rsidP="362BC5EC">
      <w:pPr>
        <w:spacing w:after="120" w:line="276" w:lineRule="auto"/>
        <w:ind w:firstLine="709"/>
        <w:jc w:val="both"/>
        <w:rPr>
          <w:rFonts w:ascii="Arial" w:eastAsia="Arial" w:hAnsi="Arial" w:cs="Arial"/>
          <w:color w:val="000000" w:themeColor="text1"/>
          <w:sz w:val="22"/>
          <w:szCs w:val="22"/>
        </w:rPr>
      </w:pPr>
      <w:r w:rsidRPr="362BC5EC">
        <w:rPr>
          <w:rFonts w:ascii="Arial" w:eastAsia="Arial" w:hAnsi="Arial" w:cs="Arial"/>
          <w:color w:val="000000" w:themeColor="text1"/>
          <w:sz w:val="22"/>
          <w:szCs w:val="22"/>
        </w:rPr>
        <w:lastRenderedPageBreak/>
        <w:t xml:space="preserve">En otras palabras, por más de que el artículo 74 de la Constitución establezca que la información pública debe ser dada a conocer a la ciudadanía y así los documentos que hagan parte de la actividad contractual puedan catalogarse, </w:t>
      </w:r>
      <w:r w:rsidRPr="362BC5EC">
        <w:rPr>
          <w:rFonts w:ascii="Arial" w:eastAsia="Arial" w:hAnsi="Arial" w:cs="Arial"/>
          <w:i/>
          <w:iCs/>
          <w:color w:val="000000" w:themeColor="text1"/>
          <w:sz w:val="22"/>
          <w:szCs w:val="22"/>
        </w:rPr>
        <w:t>prima facie</w:t>
      </w:r>
      <w:r w:rsidRPr="362BC5EC">
        <w:rPr>
          <w:rFonts w:ascii="Arial" w:eastAsia="Arial" w:hAnsi="Arial" w:cs="Arial"/>
          <w:color w:val="000000" w:themeColor="text1"/>
          <w:sz w:val="22"/>
          <w:szCs w:val="22"/>
        </w:rPr>
        <w:t>, como información pública, cuando dicha documentación contenga datos sensibles, operan algunas restricciones a su publicidad. Sin embargo, esto no necesariamente convierte el documento completo en reservado, es decir, en un documento que no puede publicarse.</w:t>
      </w:r>
    </w:p>
    <w:p w14:paraId="181C6CF4" w14:textId="7C157BE4" w:rsidR="0005405C" w:rsidRPr="00781AC2" w:rsidRDefault="17F742CE" w:rsidP="362BC5EC">
      <w:pPr>
        <w:spacing w:after="120" w:line="276" w:lineRule="auto"/>
        <w:ind w:firstLine="709"/>
        <w:jc w:val="both"/>
        <w:rPr>
          <w:rFonts w:ascii="Arial" w:eastAsia="Arial" w:hAnsi="Arial" w:cs="Arial"/>
          <w:color w:val="000000" w:themeColor="text1"/>
          <w:sz w:val="22"/>
          <w:szCs w:val="22"/>
        </w:rPr>
      </w:pPr>
      <w:r w:rsidRPr="362BC5EC">
        <w:rPr>
          <w:rFonts w:ascii="Arial" w:eastAsia="Arial" w:hAnsi="Arial" w:cs="Arial"/>
          <w:color w:val="000000" w:themeColor="text1"/>
          <w:sz w:val="22"/>
          <w:szCs w:val="22"/>
        </w:rPr>
        <w:t>El enunciado constitucional, en armonía con los artículos 18 y 19 de la Ley 1712 de 2014 y los artículos 24 y 25 de la Ley 1437 de 2011, establecen que el derecho de acceso a la información o documentación pública no es absoluto, sino que puede exceptuarse cuando se configuren causales de reserva. Así mismo, hay información que goza de protección especial y no puede divulgarse. La información pública que contiene datos semiprivados o privados, definidos en los literales g) y h) del artículo 3° de la Ley 1266 de 2008, clasificados o reservados, según los artículos 18 y 19 de la Ley 1712 de 2014, o datos personales o sensibles, según lo previsto en los artículos 3° y 5° de la Ley 1581 de 2012 y en el numeral 3° del artículo 3° del Decreto 1377 de 2013, solo podrá divulgarse según las reglas establecidas en dichas normas. Pero esto no quiere decir que todo el documento se convierta en reservado, sino que se debe proceder como se indica a continuación.</w:t>
      </w:r>
    </w:p>
    <w:p w14:paraId="1E5C1ED3" w14:textId="4FAECE24" w:rsidR="0005405C" w:rsidRPr="00781AC2" w:rsidRDefault="17F742CE" w:rsidP="362BC5EC">
      <w:pPr>
        <w:spacing w:after="120" w:line="276" w:lineRule="auto"/>
        <w:ind w:firstLine="709"/>
        <w:jc w:val="both"/>
        <w:rPr>
          <w:rFonts w:ascii="Arial" w:eastAsia="Arial" w:hAnsi="Arial" w:cs="Arial"/>
          <w:color w:val="000000" w:themeColor="text1"/>
          <w:sz w:val="22"/>
          <w:szCs w:val="22"/>
        </w:rPr>
      </w:pPr>
      <w:r w:rsidRPr="06FA6063">
        <w:rPr>
          <w:rFonts w:ascii="Arial" w:eastAsia="Arial" w:hAnsi="Arial" w:cs="Arial"/>
          <w:color w:val="000000" w:themeColor="text1"/>
          <w:sz w:val="22"/>
          <w:szCs w:val="22"/>
        </w:rPr>
        <w:t xml:space="preserve">Cuando el documento contractual tenga información sensible, clasificada o reservada, para proteger la información, las autoridades deben abstenerse de publicar en el SECOP la información que tiene protección especial, tal como sucede con los derechos de los menores, de conformidad con el artículo 7° de la Ley 1581 de 2012 y el artículo 2.1.1.4.1.2 del Decreto 1081 de 2015. Sin embargo, de acuerdo con el segundo inciso del artículo 25 de la Ley 1437 de 2011 </w:t>
      </w:r>
      <w:r w:rsidR="445B5F9F" w:rsidRPr="06FA6063">
        <w:rPr>
          <w:rFonts w:ascii="Arial" w:eastAsia="Arial" w:hAnsi="Arial" w:cs="Arial"/>
          <w:color w:val="000000" w:themeColor="text1"/>
          <w:sz w:val="22"/>
          <w:szCs w:val="22"/>
        </w:rPr>
        <w:t>“</w:t>
      </w:r>
      <w:r w:rsidRPr="06FA6063">
        <w:rPr>
          <w:rFonts w:ascii="Arial" w:eastAsia="Arial" w:hAnsi="Arial" w:cs="Arial"/>
          <w:color w:val="000000" w:themeColor="text1"/>
          <w:sz w:val="22"/>
          <w:szCs w:val="22"/>
        </w:rPr>
        <w:t>La restricción por reserva legal no se extenderá a otras</w:t>
      </w:r>
      <w:r w:rsidR="0EDA76CD" w:rsidRPr="06FA6063">
        <w:rPr>
          <w:rFonts w:ascii="Arial" w:eastAsia="Arial" w:hAnsi="Arial" w:cs="Arial"/>
          <w:color w:val="000000" w:themeColor="text1"/>
          <w:sz w:val="22"/>
          <w:szCs w:val="22"/>
        </w:rPr>
        <w:t xml:space="preserve"> </w:t>
      </w:r>
      <w:r w:rsidRPr="06FA6063">
        <w:rPr>
          <w:rFonts w:ascii="Arial" w:eastAsia="Arial" w:hAnsi="Arial" w:cs="Arial"/>
          <w:color w:val="000000" w:themeColor="text1"/>
          <w:sz w:val="22"/>
          <w:szCs w:val="22"/>
        </w:rPr>
        <w:t>piezas del respectivo expediente o actuación que no estén cubiertas por ella</w:t>
      </w:r>
      <w:r w:rsidR="42319C76" w:rsidRPr="06FA6063">
        <w:rPr>
          <w:rFonts w:ascii="Arial" w:eastAsia="Arial" w:hAnsi="Arial" w:cs="Arial"/>
          <w:color w:val="000000" w:themeColor="text1"/>
          <w:sz w:val="22"/>
          <w:szCs w:val="22"/>
        </w:rPr>
        <w:t>”</w:t>
      </w:r>
      <w:r w:rsidRPr="06FA6063">
        <w:rPr>
          <w:rFonts w:ascii="Arial" w:eastAsia="Arial" w:hAnsi="Arial" w:cs="Arial"/>
          <w:color w:val="000000" w:themeColor="text1"/>
          <w:sz w:val="22"/>
          <w:szCs w:val="22"/>
        </w:rPr>
        <w:t>. Por ello, la entidad estatal deberá excluir del documento entregado por el proponente en el procedimiento contractual la información que contenga datos sensibles, clasificados o reservados, para no divulgarla, pero debe publicar las demás piezas de la oferta o los apartados que no gozan de reserva o que no están protegidos por las disposiciones de habeas data.</w:t>
      </w:r>
      <w:bookmarkStart w:id="5" w:name="_Hlk117695077"/>
    </w:p>
    <w:p w14:paraId="78CE1191" w14:textId="4DC02E6F" w:rsidR="06FA6063" w:rsidRDefault="06FA6063" w:rsidP="06FA6063">
      <w:pPr>
        <w:jc w:val="both"/>
        <w:rPr>
          <w:rFonts w:ascii="Arial" w:eastAsia="Calibri" w:hAnsi="Arial" w:cs="Arial"/>
          <w:b/>
          <w:bCs/>
          <w:sz w:val="22"/>
          <w:szCs w:val="22"/>
          <w:lang w:val="es-ES"/>
        </w:rPr>
      </w:pPr>
    </w:p>
    <w:p w14:paraId="4F173B6D" w14:textId="77777777" w:rsidR="0005405C" w:rsidRPr="00781AC2" w:rsidRDefault="796FB63F" w:rsidP="362BC5EC">
      <w:pPr>
        <w:jc w:val="both"/>
        <w:rPr>
          <w:rFonts w:ascii="Arial" w:eastAsia="Calibri" w:hAnsi="Arial" w:cs="Arial"/>
          <w:b/>
          <w:bCs/>
          <w:sz w:val="22"/>
          <w:szCs w:val="22"/>
          <w:lang w:val="es-ES"/>
        </w:rPr>
      </w:pPr>
      <w:r w:rsidRPr="06FA6063">
        <w:rPr>
          <w:rFonts w:ascii="Arial" w:eastAsia="Calibri" w:hAnsi="Arial" w:cs="Arial"/>
          <w:b/>
          <w:bCs/>
          <w:sz w:val="22"/>
          <w:szCs w:val="22"/>
          <w:lang w:val="es-ES"/>
        </w:rPr>
        <w:t>3. Respuesta</w:t>
      </w:r>
    </w:p>
    <w:p w14:paraId="10D12983" w14:textId="0F7E0639" w:rsidR="06FA6063" w:rsidRDefault="06FA6063" w:rsidP="06FA6063">
      <w:pPr>
        <w:jc w:val="both"/>
        <w:rPr>
          <w:rFonts w:ascii="Arial" w:eastAsia="Arial" w:hAnsi="Arial" w:cs="Arial"/>
          <w:sz w:val="22"/>
          <w:szCs w:val="22"/>
          <w:lang w:val="es"/>
        </w:rPr>
      </w:pPr>
    </w:p>
    <w:p w14:paraId="7BF51962" w14:textId="7898303C" w:rsidR="418E359D" w:rsidRDefault="418E359D" w:rsidP="06FA6063">
      <w:pPr>
        <w:jc w:val="both"/>
        <w:rPr>
          <w:rFonts w:ascii="Arial" w:eastAsia="Calibri" w:hAnsi="Arial" w:cs="Arial"/>
          <w:b/>
          <w:bCs/>
          <w:sz w:val="22"/>
          <w:szCs w:val="22"/>
          <w:lang w:val="es-ES"/>
        </w:rPr>
      </w:pPr>
      <w:r w:rsidRPr="06FA6063">
        <w:rPr>
          <w:rFonts w:ascii="Arial" w:eastAsia="Arial" w:hAnsi="Arial" w:cs="Arial"/>
          <w:sz w:val="22"/>
          <w:szCs w:val="22"/>
          <w:lang w:val="es"/>
        </w:rPr>
        <w:t>En ejercicio de las competencias establecidas en los artículos 3, numeral 5° y 11, numeral 8° del Decreto 4170 de 2011, la Agencia Nacional de Contratación Pública – Colombia Compra Eficiente solo tiene competencia para responder solicitudes sobre la aplicación de normas de carácter general en materia de compras y contratación pública. En ese sentido, esta Agencia no tiene competencia para brindar asesorías, ni para expedir lineamientos sobre la reserva legal de la información contractual regulados de la Ley 1581 de 2012 y el artículo 3 de la Ley 1150 de 2007.</w:t>
      </w:r>
    </w:p>
    <w:p w14:paraId="5DE54766" w14:textId="423163FB" w:rsidR="06FA6063" w:rsidRDefault="06FA6063" w:rsidP="06FA6063">
      <w:pPr>
        <w:jc w:val="both"/>
        <w:rPr>
          <w:rFonts w:ascii="Arial" w:eastAsia="Arial" w:hAnsi="Arial" w:cs="Arial"/>
          <w:sz w:val="20"/>
          <w:szCs w:val="20"/>
          <w:lang w:val="es"/>
        </w:rPr>
      </w:pPr>
    </w:p>
    <w:p w14:paraId="7111B123" w14:textId="6E4A0C12" w:rsidR="0BD535B4" w:rsidRDefault="0BD535B4" w:rsidP="06FA6063">
      <w:pPr>
        <w:spacing w:before="147" w:line="276" w:lineRule="auto"/>
        <w:ind w:firstLine="709"/>
        <w:jc w:val="both"/>
      </w:pPr>
      <w:r w:rsidRPr="06FA6063">
        <w:rPr>
          <w:rFonts w:ascii="Arial" w:eastAsia="Arial" w:hAnsi="Arial" w:cs="Arial"/>
          <w:sz w:val="22"/>
          <w:szCs w:val="22"/>
          <w:lang w:val="es"/>
        </w:rPr>
        <w:lastRenderedPageBreak/>
        <w:t>Sin perjuicio de lo anterior, cuando el documento contractual tenga información sensible, clasificada o reservada, para proteger la información, las autoridades deben abstenerse de publicar en el SECOP la información que tiene protección especial, tal como sucede con los derechos de los menores, de conformidad con el artículo 7° de la Ley 1581 de 2012 y el artículo 2.1.1.4.1.2 del Decreto 1081 de 2015. Sin embargo, de acuerdo con el segundo inciso del artículo 25 de la Ley 1437 de 2011 “La restricción por reserva legal no se extenderá a otras piezas del respectivo expediente o actuación que no estén cubiertas por ella”. Por ello, la entidad estatal deberá excluir del documento entregado por el proponente en el procedimiento contractual la información que contenga datos sensibles, clasificados o reservados, para no divulgarla, pero debe publicar las demás piezas de la oferta o los apartados que no gozan de reserva o que no están protegidos por las disposiciones de habeas data.</w:t>
      </w:r>
    </w:p>
    <w:p w14:paraId="39996CA3" w14:textId="5263D354" w:rsidR="0BD535B4" w:rsidRDefault="0BD535B4" w:rsidP="06FA6063">
      <w:pPr>
        <w:spacing w:before="120" w:line="276" w:lineRule="auto"/>
        <w:ind w:firstLine="708"/>
        <w:jc w:val="both"/>
      </w:pPr>
      <w:r w:rsidRPr="06FA6063">
        <w:rPr>
          <w:rFonts w:ascii="Arial" w:eastAsia="Arial" w:hAnsi="Arial" w:cs="Arial"/>
          <w:sz w:val="22"/>
          <w:szCs w:val="22"/>
          <w:lang w:val="es"/>
        </w:rPr>
        <w:t xml:space="preserve">Como este ejercicio solo se puede hacer en concreto, la Subdirección no indicará un listado taxativo de los documentos o apartados que no pueden publicarse. Simplemente, a título enunciativo, aclara que, si los datos aportados por el proponente son sensibles, como sucede con las cuentas bancarias, información relativa a los niños, niñas y adolescentes; o si contiene secretos industriales o comerciales, tales datos deben ser excluidos del expediente publicado en el SECOP, para proteger los derechos fundamentales, pues, en </w:t>
      </w:r>
      <w:proofErr w:type="gramStart"/>
      <w:r w:rsidRPr="06FA6063">
        <w:rPr>
          <w:rFonts w:ascii="Arial" w:eastAsia="Arial" w:hAnsi="Arial" w:cs="Arial"/>
          <w:sz w:val="22"/>
          <w:szCs w:val="22"/>
          <w:lang w:val="es"/>
        </w:rPr>
        <w:t>el test</w:t>
      </w:r>
      <w:proofErr w:type="gramEnd"/>
      <w:r w:rsidRPr="06FA6063">
        <w:rPr>
          <w:rFonts w:ascii="Arial" w:eastAsia="Arial" w:hAnsi="Arial" w:cs="Arial"/>
          <w:sz w:val="22"/>
          <w:szCs w:val="22"/>
          <w:lang w:val="es"/>
        </w:rPr>
        <w:t xml:space="preserve"> de ponderación, tales derechos prevalecen sobre el deber de divulgación proactiva de la información.</w:t>
      </w:r>
    </w:p>
    <w:p w14:paraId="63800797" w14:textId="2547F981" w:rsidR="0BD535B4" w:rsidRDefault="0BD535B4" w:rsidP="06FA6063">
      <w:pPr>
        <w:spacing w:before="120" w:line="276" w:lineRule="auto"/>
        <w:jc w:val="both"/>
      </w:pPr>
      <w:r w:rsidRPr="06FA6063">
        <w:rPr>
          <w:rFonts w:ascii="Arial" w:eastAsia="Arial" w:hAnsi="Arial" w:cs="Arial"/>
          <w:sz w:val="22"/>
          <w:szCs w:val="22"/>
          <w:lang w:val="es"/>
        </w:rPr>
        <w:t>Este concepto tiene el alcance previsto en el artículo 28 del Código de Procedimiento Administrativo y de lo Contencioso Administrativo.</w:t>
      </w:r>
    </w:p>
    <w:p w14:paraId="227C46A2" w14:textId="77777777" w:rsidR="0005405C" w:rsidRPr="00781AC2" w:rsidRDefault="0005405C" w:rsidP="362BC5EC">
      <w:pPr>
        <w:pStyle w:val="NormalWeb"/>
        <w:spacing w:before="0" w:beforeAutospacing="0" w:after="0" w:afterAutospacing="0" w:line="276" w:lineRule="auto"/>
        <w:jc w:val="both"/>
        <w:rPr>
          <w:rFonts w:ascii="Arial" w:hAnsi="Arial" w:cs="Arial"/>
          <w:sz w:val="22"/>
          <w:szCs w:val="22"/>
          <w:lang w:val="es-ES"/>
        </w:rPr>
      </w:pPr>
    </w:p>
    <w:p w14:paraId="14AE864D" w14:textId="77777777" w:rsidR="0005405C" w:rsidRPr="00781AC2" w:rsidRDefault="796FB63F" w:rsidP="362BC5EC">
      <w:pPr>
        <w:pStyle w:val="NormalWeb"/>
        <w:spacing w:before="0" w:beforeAutospacing="0" w:after="0" w:afterAutospacing="0" w:line="276" w:lineRule="auto"/>
        <w:jc w:val="both"/>
        <w:rPr>
          <w:rFonts w:ascii="Arial" w:hAnsi="Arial" w:cs="Arial"/>
          <w:sz w:val="22"/>
          <w:szCs w:val="22"/>
          <w:lang w:val="es-ES"/>
        </w:rPr>
      </w:pPr>
      <w:r w:rsidRPr="362BC5EC">
        <w:rPr>
          <w:rFonts w:ascii="Arial" w:hAnsi="Arial" w:cs="Arial"/>
          <w:sz w:val="22"/>
          <w:szCs w:val="22"/>
          <w:lang w:val="es-ES"/>
        </w:rPr>
        <w:t>Atentamente,</w:t>
      </w:r>
    </w:p>
    <w:p w14:paraId="0662FC76" w14:textId="3E928F92" w:rsidR="0005405C" w:rsidRPr="00781AC2" w:rsidRDefault="00236C90" w:rsidP="71938EA5">
      <w:pPr>
        <w:spacing w:before="240" w:after="120" w:line="276" w:lineRule="auto"/>
        <w:jc w:val="center"/>
        <w:rPr>
          <w:rFonts w:ascii="Arial" w:eastAsia="Calibri" w:hAnsi="Arial" w:cs="Arial"/>
          <w:highlight w:val="yellow"/>
        </w:rPr>
      </w:pPr>
      <w:r>
        <w:rPr>
          <w:noProof/>
        </w:rPr>
        <w:drawing>
          <wp:inline distT="0" distB="0" distL="0" distR="0" wp14:anchorId="7826123C" wp14:editId="679676FD">
            <wp:extent cx="3161905" cy="1209524"/>
            <wp:effectExtent l="0" t="0" r="635" b="0"/>
            <wp:docPr id="133128573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285738" name="Imagen 1" descr="Texto&#10;&#10;Descripción generada automáticamente"/>
                    <pic:cNvPicPr/>
                  </pic:nvPicPr>
                  <pic:blipFill>
                    <a:blip r:embed="rId12"/>
                    <a:stretch>
                      <a:fillRect/>
                    </a:stretch>
                  </pic:blipFill>
                  <pic:spPr>
                    <a:xfrm>
                      <a:off x="0" y="0"/>
                      <a:ext cx="3161905" cy="1209524"/>
                    </a:xfrm>
                    <a:prstGeom prst="rect">
                      <a:avLst/>
                    </a:prstGeom>
                  </pic:spPr>
                </pic:pic>
              </a:graphicData>
            </a:graphic>
          </wp:inline>
        </w:drawing>
      </w:r>
      <w:r>
        <w:rPr>
          <w:noProof/>
        </w:rPr>
        <w:t xml:space="preserve"> </w:t>
      </w: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F51F9C" w:rsidRPr="00781AC2" w14:paraId="59AFB63B" w14:textId="77777777" w:rsidTr="27E2BA39">
        <w:trPr>
          <w:trHeight w:val="300"/>
        </w:trPr>
        <w:tc>
          <w:tcPr>
            <w:tcW w:w="817" w:type="dxa"/>
            <w:vAlign w:val="center"/>
          </w:tcPr>
          <w:p w14:paraId="1E7BEF18" w14:textId="77777777" w:rsidR="00F51F9C" w:rsidRPr="00781AC2" w:rsidRDefault="7D10B3B6" w:rsidP="00F51F9C">
            <w:pPr>
              <w:rPr>
                <w:rFonts w:ascii="Arial" w:hAnsi="Arial" w:cs="Arial"/>
                <w:sz w:val="16"/>
                <w:szCs w:val="16"/>
              </w:rPr>
            </w:pPr>
            <w:r w:rsidRPr="71938EA5">
              <w:rPr>
                <w:rFonts w:ascii="Arial" w:hAnsi="Arial" w:cs="Arial"/>
                <w:sz w:val="16"/>
                <w:szCs w:val="16"/>
              </w:rPr>
              <w:t>Elaboró:</w:t>
            </w:r>
          </w:p>
        </w:tc>
        <w:tc>
          <w:tcPr>
            <w:tcW w:w="4445" w:type="dxa"/>
            <w:tcBorders>
              <w:bottom w:val="dotted" w:sz="4" w:space="0" w:color="7F7F7F" w:themeColor="text1" w:themeTint="80"/>
            </w:tcBorders>
            <w:vAlign w:val="center"/>
          </w:tcPr>
          <w:p w14:paraId="308BB35D" w14:textId="4597B2CE" w:rsidR="00F51F9C" w:rsidRDefault="00F51F9C" w:rsidP="71938EA5">
            <w:pPr>
              <w:pStyle w:val="paragraph"/>
              <w:spacing w:before="0" w:beforeAutospacing="0" w:after="0" w:afterAutospacing="0"/>
              <w:textAlignment w:val="baseline"/>
              <w:divId w:val="615646031"/>
              <w:rPr>
                <w:rStyle w:val="eop"/>
                <w:rFonts w:ascii="Arial" w:hAnsi="Arial" w:cs="Arial"/>
                <w:color w:val="FF0000"/>
                <w:sz w:val="16"/>
                <w:szCs w:val="16"/>
              </w:rPr>
            </w:pPr>
          </w:p>
          <w:p w14:paraId="41C6E204" w14:textId="18E43C08" w:rsidR="00F51F9C" w:rsidRPr="00781AC2" w:rsidRDefault="0B168790" w:rsidP="71938EA5">
            <w:pPr>
              <w:pStyle w:val="paragraph"/>
              <w:spacing w:before="0" w:beforeAutospacing="0" w:after="0" w:afterAutospacing="0"/>
              <w:rPr>
                <w:rStyle w:val="eop"/>
                <w:rFonts w:ascii="Arial" w:hAnsi="Arial" w:cs="Arial"/>
                <w:sz w:val="16"/>
                <w:szCs w:val="16"/>
              </w:rPr>
            </w:pPr>
            <w:r w:rsidRPr="71938EA5">
              <w:rPr>
                <w:rStyle w:val="eop"/>
                <w:rFonts w:ascii="Arial" w:hAnsi="Arial" w:cs="Arial"/>
                <w:sz w:val="16"/>
                <w:szCs w:val="16"/>
              </w:rPr>
              <w:t>Johanna Ovalle Clavijo </w:t>
            </w:r>
          </w:p>
          <w:p w14:paraId="7450C558" w14:textId="7589548A" w:rsidR="00F51F9C" w:rsidRPr="00781AC2" w:rsidRDefault="0B168790" w:rsidP="27E2BA39">
            <w:pPr>
              <w:pStyle w:val="paragraph"/>
              <w:spacing w:before="0" w:beforeAutospacing="0" w:after="0" w:afterAutospacing="0"/>
              <w:rPr>
                <w:rFonts w:ascii="Arial" w:hAnsi="Arial" w:cs="Arial"/>
                <w:sz w:val="16"/>
                <w:szCs w:val="16"/>
              </w:rPr>
            </w:pPr>
            <w:r w:rsidRPr="27E2BA39">
              <w:rPr>
                <w:rStyle w:val="normaltextrun"/>
                <w:rFonts w:ascii="Arial" w:hAnsi="Arial" w:cs="Arial"/>
                <w:sz w:val="16"/>
                <w:szCs w:val="16"/>
              </w:rPr>
              <w:t>Contratista de la Subdirección de Gestión Contractual </w:t>
            </w:r>
            <w:r w:rsidR="7D10B3B6" w:rsidRPr="27E2BA39">
              <w:rPr>
                <w:rStyle w:val="eop"/>
                <w:rFonts w:ascii="Arial" w:hAnsi="Arial" w:cs="Arial"/>
                <w:sz w:val="16"/>
                <w:szCs w:val="16"/>
              </w:rPr>
              <w:t> </w:t>
            </w:r>
          </w:p>
        </w:tc>
      </w:tr>
      <w:tr w:rsidR="00F51F9C" w:rsidRPr="00781AC2" w14:paraId="269B33F3" w14:textId="77777777" w:rsidTr="27E2BA39">
        <w:trPr>
          <w:trHeight w:val="286"/>
        </w:trPr>
        <w:tc>
          <w:tcPr>
            <w:tcW w:w="817" w:type="dxa"/>
            <w:vAlign w:val="center"/>
          </w:tcPr>
          <w:p w14:paraId="44EED99D" w14:textId="77777777" w:rsidR="00F51F9C" w:rsidRPr="00781AC2" w:rsidRDefault="7D10B3B6" w:rsidP="00F51F9C">
            <w:pPr>
              <w:rPr>
                <w:rFonts w:ascii="Arial" w:hAnsi="Arial" w:cs="Arial"/>
                <w:sz w:val="16"/>
                <w:szCs w:val="16"/>
              </w:rPr>
            </w:pPr>
            <w:r w:rsidRPr="71938EA5">
              <w:rPr>
                <w:rFonts w:ascii="Arial" w:hAnsi="Arial" w:cs="Arial"/>
                <w:sz w:val="16"/>
                <w:szCs w:val="16"/>
              </w:rPr>
              <w:t>Revisó:</w:t>
            </w:r>
          </w:p>
        </w:tc>
        <w:tc>
          <w:tcPr>
            <w:tcW w:w="4445" w:type="dxa"/>
            <w:tcBorders>
              <w:bottom w:val="dotted" w:sz="4" w:space="0" w:color="7F7F7F" w:themeColor="text1" w:themeTint="80"/>
            </w:tcBorders>
            <w:vAlign w:val="center"/>
          </w:tcPr>
          <w:p w14:paraId="63AED8DD" w14:textId="77777777" w:rsidR="00F51F9C" w:rsidRDefault="7D10B3B6" w:rsidP="71938EA5">
            <w:pPr>
              <w:pStyle w:val="paragraph"/>
              <w:spacing w:before="0" w:beforeAutospacing="0" w:after="0" w:afterAutospacing="0"/>
              <w:textAlignment w:val="baseline"/>
              <w:divId w:val="1856840831"/>
              <w:rPr>
                <w:rFonts w:ascii="Segoe UI" w:hAnsi="Segoe UI" w:cs="Segoe UI"/>
                <w:sz w:val="18"/>
                <w:szCs w:val="18"/>
              </w:rPr>
            </w:pPr>
            <w:r w:rsidRPr="06FA6063">
              <w:rPr>
                <w:rStyle w:val="normaltextrun"/>
                <w:rFonts w:ascii="Arial" w:hAnsi="Arial" w:cs="Arial"/>
                <w:sz w:val="16"/>
                <w:szCs w:val="16"/>
              </w:rPr>
              <w:t>Alejandro Sarmiento Cantillo</w:t>
            </w:r>
            <w:r w:rsidRPr="06FA6063">
              <w:rPr>
                <w:rStyle w:val="eop"/>
                <w:rFonts w:ascii="Arial" w:hAnsi="Arial" w:cs="Arial"/>
                <w:sz w:val="16"/>
                <w:szCs w:val="16"/>
              </w:rPr>
              <w:t> </w:t>
            </w:r>
          </w:p>
          <w:p w14:paraId="7183AC8C" w14:textId="6A74D4EA" w:rsidR="00F51F9C" w:rsidRPr="00781AC2" w:rsidRDefault="71F7494E" w:rsidP="06FA6063">
            <w:pPr>
              <w:rPr>
                <w:rFonts w:ascii="Arial" w:hAnsi="Arial" w:cs="Arial"/>
                <w:sz w:val="16"/>
                <w:szCs w:val="16"/>
              </w:rPr>
            </w:pPr>
            <w:r w:rsidRPr="06FA6063">
              <w:rPr>
                <w:rStyle w:val="normaltextrun"/>
                <w:rFonts w:ascii="Arial" w:hAnsi="Arial" w:cs="Arial"/>
                <w:sz w:val="16"/>
                <w:szCs w:val="16"/>
              </w:rPr>
              <w:t>Gestor T1-15 de la Subdirección de Gestión Contractual</w:t>
            </w:r>
            <w:r w:rsidRPr="06FA6063">
              <w:rPr>
                <w:rStyle w:val="eop"/>
                <w:rFonts w:ascii="Arial" w:hAnsi="Arial" w:cs="Arial"/>
                <w:sz w:val="16"/>
                <w:szCs w:val="16"/>
              </w:rPr>
              <w:t> </w:t>
            </w:r>
          </w:p>
          <w:p w14:paraId="159BAEB4" w14:textId="15D8A9F0" w:rsidR="00F51F9C" w:rsidRPr="00781AC2" w:rsidRDefault="10FF607A" w:rsidP="06FA6063">
            <w:pPr>
              <w:rPr>
                <w:rStyle w:val="eop"/>
                <w:rFonts w:ascii="Arial" w:hAnsi="Arial" w:cs="Arial"/>
                <w:sz w:val="16"/>
                <w:szCs w:val="16"/>
              </w:rPr>
            </w:pPr>
            <w:r w:rsidRPr="06FA6063">
              <w:rPr>
                <w:rStyle w:val="eop"/>
                <w:rFonts w:ascii="Arial" w:hAnsi="Arial" w:cs="Arial"/>
                <w:sz w:val="16"/>
                <w:szCs w:val="16"/>
              </w:rPr>
              <w:t>Gabriel Mendoza Martelo</w:t>
            </w:r>
          </w:p>
          <w:p w14:paraId="398B0DBF" w14:textId="2E365FA8" w:rsidR="00F51F9C" w:rsidRPr="00781AC2" w:rsidRDefault="10FF607A" w:rsidP="06FA6063">
            <w:pPr>
              <w:rPr>
                <w:rStyle w:val="eop"/>
                <w:rFonts w:ascii="Arial" w:hAnsi="Arial" w:cs="Arial"/>
                <w:sz w:val="16"/>
                <w:szCs w:val="16"/>
              </w:rPr>
            </w:pPr>
            <w:r w:rsidRPr="06FA6063">
              <w:rPr>
                <w:rStyle w:val="eop"/>
                <w:rFonts w:ascii="Arial" w:hAnsi="Arial" w:cs="Arial"/>
                <w:sz w:val="16"/>
                <w:szCs w:val="16"/>
              </w:rPr>
              <w:t>Contratista de la Subdirección de Gestión Contractual</w:t>
            </w:r>
          </w:p>
        </w:tc>
      </w:tr>
      <w:tr w:rsidR="00F304EA" w:rsidRPr="00F304EA" w14:paraId="02F0FF8A" w14:textId="77777777" w:rsidTr="27E2BA39">
        <w:trPr>
          <w:trHeight w:val="299"/>
        </w:trPr>
        <w:tc>
          <w:tcPr>
            <w:tcW w:w="817" w:type="dxa"/>
            <w:vAlign w:val="center"/>
          </w:tcPr>
          <w:p w14:paraId="2B24C9C5" w14:textId="77777777" w:rsidR="0005405C" w:rsidRPr="00781AC2" w:rsidRDefault="207C4E37" w:rsidP="00F304EA">
            <w:pPr>
              <w:rPr>
                <w:rFonts w:ascii="Arial" w:hAnsi="Arial" w:cs="Arial"/>
                <w:sz w:val="16"/>
                <w:szCs w:val="16"/>
              </w:rPr>
            </w:pPr>
            <w:r w:rsidRPr="71938EA5">
              <w:rPr>
                <w:rFonts w:ascii="Arial" w:hAnsi="Arial" w:cs="Arial"/>
                <w:sz w:val="16"/>
                <w:szCs w:val="16"/>
              </w:rPr>
              <w:t>Aprobó:</w:t>
            </w:r>
          </w:p>
        </w:tc>
        <w:tc>
          <w:tcPr>
            <w:tcW w:w="4445" w:type="dxa"/>
            <w:tcBorders>
              <w:top w:val="dotted" w:sz="4" w:space="0" w:color="7F7F7F" w:themeColor="text1" w:themeTint="80"/>
              <w:bottom w:val="dotted" w:sz="4" w:space="0" w:color="7F7F7F" w:themeColor="text1" w:themeTint="80"/>
            </w:tcBorders>
            <w:vAlign w:val="center"/>
          </w:tcPr>
          <w:p w14:paraId="3D5D51E6" w14:textId="77777777" w:rsidR="0005405C" w:rsidRPr="00781AC2" w:rsidRDefault="207C4E37" w:rsidP="00F304EA">
            <w:pPr>
              <w:rPr>
                <w:rFonts w:ascii="Arial" w:hAnsi="Arial" w:cs="Arial"/>
                <w:sz w:val="16"/>
                <w:szCs w:val="16"/>
              </w:rPr>
            </w:pPr>
            <w:r w:rsidRPr="71938EA5">
              <w:rPr>
                <w:rFonts w:ascii="Arial" w:hAnsi="Arial" w:cs="Arial"/>
                <w:sz w:val="16"/>
                <w:szCs w:val="16"/>
              </w:rPr>
              <w:t>Nohelia Del Carmen Zawady Palacio</w:t>
            </w:r>
          </w:p>
          <w:p w14:paraId="401BBB66" w14:textId="77777777" w:rsidR="0005405C" w:rsidRPr="00F304EA" w:rsidRDefault="207C4E37" w:rsidP="00F304EA">
            <w:pPr>
              <w:rPr>
                <w:rFonts w:ascii="Arial" w:hAnsi="Arial" w:cs="Arial"/>
                <w:sz w:val="16"/>
                <w:szCs w:val="16"/>
              </w:rPr>
            </w:pPr>
            <w:r w:rsidRPr="71938EA5">
              <w:rPr>
                <w:rFonts w:ascii="Arial" w:hAnsi="Arial" w:cs="Arial"/>
                <w:sz w:val="16"/>
                <w:szCs w:val="16"/>
              </w:rPr>
              <w:t xml:space="preserve">Subdirectora de Gestión Contractual ANCP – CCE </w:t>
            </w:r>
          </w:p>
        </w:tc>
      </w:tr>
    </w:tbl>
    <w:p w14:paraId="72880F8C" w14:textId="77777777" w:rsidR="0005405C" w:rsidRPr="00F304EA" w:rsidRDefault="0005405C" w:rsidP="71938EA5">
      <w:pPr>
        <w:tabs>
          <w:tab w:val="left" w:pos="3795"/>
        </w:tabs>
        <w:rPr>
          <w:rFonts w:ascii="Arial" w:hAnsi="Arial" w:cs="Arial"/>
          <w:highlight w:val="yellow"/>
          <w:lang w:val="es-ES"/>
        </w:rPr>
      </w:pPr>
    </w:p>
    <w:p w14:paraId="68C95376" w14:textId="77777777" w:rsidR="0005405C" w:rsidRPr="00F304EA" w:rsidRDefault="0005405C" w:rsidP="00F304EA">
      <w:pPr>
        <w:rPr>
          <w:rFonts w:ascii="Arial" w:hAnsi="Arial" w:cs="Arial"/>
        </w:rPr>
      </w:pPr>
    </w:p>
    <w:bookmarkEnd w:id="5"/>
    <w:p w14:paraId="605AEBAD" w14:textId="77777777" w:rsidR="00FB347B" w:rsidRPr="00F304EA" w:rsidRDefault="00FB347B" w:rsidP="00F304EA">
      <w:pPr>
        <w:rPr>
          <w:rFonts w:ascii="Arial" w:hAnsi="Arial" w:cs="Arial"/>
        </w:rPr>
      </w:pPr>
    </w:p>
    <w:sectPr w:rsidR="00FB347B" w:rsidRPr="00F304EA" w:rsidSect="00FC0252">
      <w:headerReference w:type="default" r:id="rId13"/>
      <w:footerReference w:type="default" r:id="rId14"/>
      <w:pgSz w:w="12240" w:h="15840" w:code="1"/>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A97F2" w14:textId="77777777" w:rsidR="00DC0987" w:rsidRDefault="00DC0987" w:rsidP="00950DF7">
      <w:r>
        <w:separator/>
      </w:r>
    </w:p>
  </w:endnote>
  <w:endnote w:type="continuationSeparator" w:id="0">
    <w:p w14:paraId="03785BAB" w14:textId="77777777" w:rsidR="00DC0987" w:rsidRDefault="00DC0987" w:rsidP="00950DF7">
      <w:r>
        <w:continuationSeparator/>
      </w:r>
    </w:p>
  </w:endnote>
  <w:endnote w:type="continuationNotice" w:id="1">
    <w:p w14:paraId="21164482" w14:textId="77777777" w:rsidR="00DC0987" w:rsidRDefault="00DC0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43FC" w14:textId="77777777" w:rsidR="00FC0252" w:rsidRDefault="00FC0252" w:rsidP="00FC0252">
    <w:pPr>
      <w:pStyle w:val="Piedepgina"/>
    </w:pPr>
    <w:r>
      <w:rPr>
        <w:noProof/>
      </w:rPr>
      <w:drawing>
        <wp:inline distT="0" distB="0" distL="0" distR="0" wp14:anchorId="62A5DDD2" wp14:editId="103BABFD">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Cs w:val="24"/>
      </w:rPr>
      <w:drawing>
        <wp:anchor distT="0" distB="0" distL="114300" distR="114300" simplePos="0" relativeHeight="251658240" behindDoc="0" locked="0" layoutInCell="1" allowOverlap="1" wp14:anchorId="5C41D58F" wp14:editId="64AAC82E">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40523" name="Imagen 1567040523"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0252" w:rsidRPr="00080DA3" w14:paraId="6CBE64F4" w14:textId="77777777">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ACB114F" w14:textId="77777777" w:rsidR="00FC0252" w:rsidRPr="003F3941" w:rsidRDefault="00FC0252" w:rsidP="00FC0252">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3B63D9B8" w14:textId="77777777" w:rsidR="00FC0252" w:rsidRPr="003F3941" w:rsidRDefault="00FC0252" w:rsidP="00FC0252">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00A42F68" w14:textId="77777777" w:rsidR="00FC0252" w:rsidRPr="003F3941" w:rsidRDefault="00FC0252" w:rsidP="00FC0252">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5BB47CD" w14:textId="77777777" w:rsidR="00FC0252" w:rsidRPr="003F3941" w:rsidRDefault="00FC0252" w:rsidP="00FC0252">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Pr>
              <w:rFonts w:ascii="Century Gothic" w:hAnsi="Century Gothic"/>
              <w:b/>
              <w:bCs/>
              <w:sz w:val="16"/>
              <w:szCs w:val="16"/>
            </w:rPr>
            <w:t>2</w:t>
          </w:r>
          <w:r w:rsidRPr="003F3941">
            <w:rPr>
              <w:rFonts w:ascii="Century Gothic" w:hAnsi="Century Gothic"/>
              <w:b/>
              <w:bCs/>
              <w:sz w:val="16"/>
              <w:szCs w:val="16"/>
            </w:rPr>
            <w:fldChar w:fldCharType="end"/>
          </w:r>
        </w:p>
      </w:tc>
    </w:tr>
  </w:tbl>
  <w:p w14:paraId="4AD1B6F0" w14:textId="77777777" w:rsidR="00950DF7" w:rsidRPr="00FC0252" w:rsidRDefault="00950DF7" w:rsidP="00FC0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936A2" w14:textId="77777777" w:rsidR="00DC0987" w:rsidRDefault="00DC0987" w:rsidP="00950DF7">
      <w:r>
        <w:separator/>
      </w:r>
    </w:p>
  </w:footnote>
  <w:footnote w:type="continuationSeparator" w:id="0">
    <w:p w14:paraId="6DFC03CA" w14:textId="77777777" w:rsidR="00DC0987" w:rsidRDefault="00DC0987" w:rsidP="00950DF7">
      <w:r>
        <w:continuationSeparator/>
      </w:r>
    </w:p>
  </w:footnote>
  <w:footnote w:type="continuationNotice" w:id="1">
    <w:p w14:paraId="0B2923F0" w14:textId="77777777" w:rsidR="00DC0987" w:rsidRDefault="00DC0987"/>
  </w:footnote>
  <w:footnote w:id="2">
    <w:p w14:paraId="02683447" w14:textId="3D68808C" w:rsidR="00532050" w:rsidRPr="005D3FDD" w:rsidRDefault="00532050" w:rsidP="004845C5">
      <w:pPr>
        <w:pStyle w:val="Textonotapie"/>
        <w:ind w:firstLine="708"/>
        <w:jc w:val="both"/>
        <w:rPr>
          <w:rFonts w:ascii="Arial" w:hAnsi="Arial" w:cs="Arial"/>
          <w:sz w:val="18"/>
          <w:szCs w:val="18"/>
          <w:lang w:val="es-ES"/>
        </w:rPr>
      </w:pPr>
      <w:r w:rsidRPr="005D3FDD">
        <w:rPr>
          <w:rFonts w:ascii="Arial" w:eastAsia="Calibri" w:hAnsi="Arial" w:cs="Arial"/>
          <w:sz w:val="18"/>
          <w:szCs w:val="18"/>
          <w:vertAlign w:val="superscript"/>
          <w:lang w:val="es-ES" w:eastAsia="es-ES_tradnl"/>
        </w:rPr>
        <w:footnoteRef/>
      </w:r>
      <w:r w:rsidRPr="005D3FDD">
        <w:rPr>
          <w:rFonts w:ascii="Arial" w:eastAsia="Calibri" w:hAnsi="Arial" w:cs="Arial"/>
          <w:sz w:val="18"/>
          <w:szCs w:val="18"/>
          <w:lang w:val="es-ES" w:eastAsia="es-ES_tradnl"/>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w:t>
      </w:r>
      <w:r w:rsidR="00457114" w:rsidRPr="005D3FDD">
        <w:rPr>
          <w:rFonts w:ascii="Arial" w:eastAsia="Calibri" w:hAnsi="Arial" w:cs="Arial"/>
          <w:sz w:val="18"/>
          <w:szCs w:val="18"/>
          <w:lang w:val="es-ES" w:eastAsia="es-ES_tradnl"/>
        </w:rPr>
        <w:t>“</w:t>
      </w:r>
      <w:r w:rsidRPr="005D3FDD">
        <w:rPr>
          <w:rFonts w:ascii="Arial" w:eastAsia="Calibri" w:hAnsi="Arial" w:cs="Arial"/>
          <w:sz w:val="18"/>
          <w:szCs w:val="18"/>
          <w:lang w:val="es-ES" w:eastAsia="es-ES_tradnl"/>
        </w:rPr>
        <w:t>[a]bsolver consultas sobre la aplicación de normas de carácter general y expedir circulares externas en materia de compras y contratación pública</w:t>
      </w:r>
      <w:r w:rsidR="00457114" w:rsidRPr="005D3FDD">
        <w:rPr>
          <w:rFonts w:ascii="Arial" w:eastAsia="Calibri" w:hAnsi="Arial" w:cs="Arial"/>
          <w:sz w:val="18"/>
          <w:szCs w:val="18"/>
          <w:lang w:val="es-ES" w:eastAsia="es-ES_tradnl"/>
        </w:rPr>
        <w:t>”</w:t>
      </w:r>
      <w:r w:rsidRPr="005D3FDD">
        <w:rPr>
          <w:rFonts w:ascii="Arial" w:eastAsia="Calibri" w:hAnsi="Arial" w:cs="Arial"/>
          <w:sz w:val="18"/>
          <w:szCs w:val="18"/>
          <w:lang w:val="es-ES" w:eastAsia="es-ES_tradnl"/>
        </w:rPr>
        <w:t xml:space="preserve">. Seguidamente, el numeral 8º del artículo 11 ibidem señala que es función de la Subdirección de Gestión Contractual: </w:t>
      </w:r>
      <w:r w:rsidR="00457114" w:rsidRPr="005D3FDD">
        <w:rPr>
          <w:rFonts w:ascii="Arial" w:eastAsia="Calibri" w:hAnsi="Arial" w:cs="Arial"/>
          <w:sz w:val="18"/>
          <w:szCs w:val="18"/>
          <w:lang w:val="es-ES" w:eastAsia="es-ES_tradnl"/>
        </w:rPr>
        <w:t>“</w:t>
      </w:r>
      <w:r w:rsidRPr="005D3FDD">
        <w:rPr>
          <w:rFonts w:ascii="Arial" w:eastAsia="Calibri" w:hAnsi="Arial" w:cs="Arial"/>
          <w:sz w:val="18"/>
          <w:szCs w:val="18"/>
          <w:lang w:val="es-ES" w:eastAsia="es-ES_tradnl"/>
        </w:rPr>
        <w:t>[a]bsolver consultas sobre la aplicación de normas de carácter general</w:t>
      </w:r>
      <w:r w:rsidR="00457114" w:rsidRPr="005D3FDD">
        <w:rPr>
          <w:rFonts w:ascii="Arial" w:eastAsia="Calibri" w:hAnsi="Arial" w:cs="Arial"/>
          <w:sz w:val="18"/>
          <w:szCs w:val="18"/>
          <w:lang w:val="es-ES" w:eastAsia="es-ES_tradnl"/>
        </w:rPr>
        <w:t>”.</w:t>
      </w:r>
    </w:p>
  </w:footnote>
  <w:footnote w:id="3">
    <w:p w14:paraId="77CEAE91" w14:textId="32954FF2" w:rsidR="06FA6063" w:rsidRDefault="06FA6063" w:rsidP="06FA6063">
      <w:pPr>
        <w:pStyle w:val="Prrafodelista"/>
        <w:numPr>
          <w:ilvl w:val="2"/>
          <w:numId w:val="1"/>
        </w:numPr>
        <w:rPr>
          <w:rFonts w:ascii="Times New Roman" w:eastAsia="Times New Roman" w:hAnsi="Times New Roman" w:cs="Times New Roman"/>
          <w:sz w:val="14"/>
          <w:szCs w:val="14"/>
          <w:lang w:val="es"/>
        </w:rPr>
      </w:pPr>
      <w:r w:rsidRPr="06FA6063">
        <w:rPr>
          <w:rFonts w:ascii="Times New Roman" w:eastAsia="Times New Roman" w:hAnsi="Times New Roman" w:cs="Times New Roman"/>
          <w:sz w:val="14"/>
          <w:szCs w:val="14"/>
          <w:lang w:val="es"/>
        </w:rPr>
        <w:t>Corte Constitucional. Sentencia C- 341 del 4 de junio de 2014. M. P. Mauricio González Cuervo.</w:t>
      </w:r>
    </w:p>
    <w:p w14:paraId="46200195" w14:textId="6762E7F4" w:rsidR="06FA6063" w:rsidRDefault="06FA6063" w:rsidP="06FA6063"/>
  </w:footnote>
  <w:footnote w:id="4">
    <w:p w14:paraId="74AC2CDE" w14:textId="6753488D" w:rsidR="06FA6063" w:rsidRDefault="06FA6063" w:rsidP="06FA6063">
      <w:pPr>
        <w:rPr>
          <w:rFonts w:ascii="Arial" w:eastAsia="Arial" w:hAnsi="Arial" w:cs="Arial"/>
          <w:sz w:val="14"/>
          <w:szCs w:val="14"/>
        </w:rPr>
      </w:pPr>
      <w:r w:rsidRPr="06FA6063">
        <w:rPr>
          <w:rFonts w:ascii="Arial" w:eastAsia="Arial" w:hAnsi="Arial" w:cs="Arial"/>
          <w:sz w:val="14"/>
          <w:szCs w:val="14"/>
        </w:rPr>
        <w:footnoteRef/>
      </w:r>
      <w:r w:rsidRPr="06FA6063">
        <w:rPr>
          <w:rFonts w:ascii="Arial" w:eastAsia="Arial" w:hAnsi="Arial" w:cs="Arial"/>
          <w:sz w:val="14"/>
          <w:szCs w:val="14"/>
        </w:rPr>
        <w:t xml:space="preserve"> </w:t>
      </w:r>
      <w:r w:rsidRPr="06FA6063">
        <w:rPr>
          <w:rFonts w:ascii="Arial" w:eastAsia="Arial" w:hAnsi="Arial" w:cs="Arial"/>
          <w:sz w:val="14"/>
          <w:szCs w:val="14"/>
          <w:lang w:val="es"/>
        </w:rPr>
        <w:t>MATALLANA CAMACHO Ernesto. Manual de Contratación de la Administración Pública. Reforma a la Ley 80 de 1993. Universidad Externado de Colombia, Cuarta edición, 2015, pp 139.</w:t>
      </w:r>
    </w:p>
  </w:footnote>
  <w:footnote w:id="5">
    <w:p w14:paraId="5A23433B" w14:textId="6F845F10" w:rsidR="06FA6063" w:rsidRDefault="06FA6063" w:rsidP="06FA6063">
      <w:pPr>
        <w:spacing w:after="4"/>
        <w:ind w:firstLine="708"/>
        <w:rPr>
          <w:rFonts w:ascii="Arial" w:eastAsia="Arial" w:hAnsi="Arial" w:cs="Arial"/>
          <w:sz w:val="14"/>
          <w:szCs w:val="14"/>
          <w:lang w:val="es"/>
        </w:rPr>
      </w:pPr>
      <w:r w:rsidRPr="06FA6063">
        <w:rPr>
          <w:rFonts w:ascii="Arial" w:eastAsia="Arial" w:hAnsi="Arial" w:cs="Arial"/>
          <w:sz w:val="14"/>
          <w:szCs w:val="14"/>
        </w:rPr>
        <w:footnoteRef/>
      </w:r>
      <w:r w:rsidRPr="06FA6063">
        <w:rPr>
          <w:rFonts w:ascii="Arial" w:eastAsia="Arial" w:hAnsi="Arial" w:cs="Arial"/>
          <w:sz w:val="14"/>
          <w:szCs w:val="14"/>
        </w:rPr>
        <w:t xml:space="preserve"> </w:t>
      </w:r>
      <w:r w:rsidRPr="06FA6063">
        <w:rPr>
          <w:rFonts w:ascii="Arial" w:eastAsia="Arial" w:hAnsi="Arial" w:cs="Arial"/>
          <w:sz w:val="14"/>
          <w:szCs w:val="14"/>
          <w:lang w:val="es"/>
        </w:rPr>
        <w:t>Ley 1437 de 2011 “Artículo 24.Informaciones y documentos reservados. Solo tendrán carácter reservado las informaciones y documentos expresamente sometidos a reserva por la Constitución Política o la ley, y en especial:</w:t>
      </w:r>
    </w:p>
    <w:p w14:paraId="16B29DA3" w14:textId="23650121" w:rsidR="06FA6063" w:rsidRDefault="06FA6063" w:rsidP="06FA6063">
      <w:pPr>
        <w:spacing w:before="110"/>
        <w:jc w:val="both"/>
        <w:rPr>
          <w:rFonts w:ascii="Arial" w:eastAsia="Arial" w:hAnsi="Arial" w:cs="Arial"/>
          <w:sz w:val="14"/>
          <w:szCs w:val="14"/>
          <w:lang w:val="es"/>
        </w:rPr>
      </w:pPr>
      <w:r w:rsidRPr="06FA6063">
        <w:rPr>
          <w:rFonts w:ascii="Arial" w:eastAsia="Arial" w:hAnsi="Arial" w:cs="Arial"/>
          <w:sz w:val="14"/>
          <w:szCs w:val="14"/>
          <w:lang w:val="es"/>
        </w:rPr>
        <w:t>"1. Los relacionados con la defensa o seguridad nacionales.</w:t>
      </w:r>
    </w:p>
    <w:p w14:paraId="40E9539C" w14:textId="517DA031" w:rsidR="06FA6063" w:rsidRDefault="06FA6063" w:rsidP="06FA6063">
      <w:pPr>
        <w:jc w:val="both"/>
        <w:rPr>
          <w:rFonts w:ascii="Arial" w:eastAsia="Arial" w:hAnsi="Arial" w:cs="Arial"/>
          <w:sz w:val="14"/>
          <w:szCs w:val="14"/>
          <w:lang w:val="es"/>
        </w:rPr>
      </w:pPr>
      <w:r w:rsidRPr="06FA6063">
        <w:rPr>
          <w:rFonts w:ascii="Arial" w:eastAsia="Arial" w:hAnsi="Arial" w:cs="Arial"/>
          <w:sz w:val="14"/>
          <w:szCs w:val="14"/>
          <w:lang w:val="es"/>
        </w:rPr>
        <w:t>“2. Las instrucciones en materia diplomática o sobre negociaciones reservadas.</w:t>
      </w:r>
    </w:p>
    <w:p w14:paraId="5101ABE6" w14:textId="43EF55E9" w:rsidR="06FA6063" w:rsidRDefault="06FA6063" w:rsidP="06FA6063">
      <w:pPr>
        <w:ind w:firstLine="708"/>
        <w:jc w:val="both"/>
        <w:rPr>
          <w:rFonts w:ascii="Arial" w:eastAsia="Arial" w:hAnsi="Arial" w:cs="Arial"/>
          <w:sz w:val="14"/>
          <w:szCs w:val="14"/>
          <w:lang w:val="es"/>
        </w:rPr>
      </w:pPr>
      <w:r w:rsidRPr="06FA6063">
        <w:rPr>
          <w:rFonts w:ascii="Arial" w:eastAsia="Arial" w:hAnsi="Arial" w:cs="Arial"/>
          <w:sz w:val="14"/>
          <w:szCs w:val="14"/>
          <w:lang w:val="es"/>
        </w:rPr>
        <w:t>“3.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w:t>
      </w:r>
    </w:p>
    <w:p w14:paraId="5D85264F" w14:textId="69E3D3AB" w:rsidR="06FA6063" w:rsidRDefault="06FA6063" w:rsidP="06FA6063">
      <w:pPr>
        <w:ind w:firstLine="708"/>
        <w:jc w:val="both"/>
        <w:rPr>
          <w:rFonts w:ascii="Arial" w:eastAsia="Arial" w:hAnsi="Arial" w:cs="Arial"/>
          <w:sz w:val="14"/>
          <w:szCs w:val="14"/>
          <w:lang w:val="es"/>
        </w:rPr>
      </w:pPr>
      <w:r w:rsidRPr="06FA6063">
        <w:rPr>
          <w:rFonts w:ascii="Arial" w:eastAsia="Arial" w:hAnsi="Arial" w:cs="Arial"/>
          <w:sz w:val="14"/>
          <w:szCs w:val="14"/>
          <w:lang w:val="es"/>
        </w:rPr>
        <w:t>“4.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w:t>
      </w:r>
    </w:p>
    <w:p w14:paraId="4BD9FCE4" w14:textId="671AE099" w:rsidR="06FA6063" w:rsidRDefault="06FA6063" w:rsidP="06FA6063">
      <w:pPr>
        <w:jc w:val="both"/>
        <w:rPr>
          <w:rFonts w:ascii="Arial" w:eastAsia="Arial" w:hAnsi="Arial" w:cs="Arial"/>
          <w:sz w:val="14"/>
          <w:szCs w:val="14"/>
          <w:lang w:val="es"/>
        </w:rPr>
      </w:pPr>
      <w:r w:rsidRPr="06FA6063">
        <w:rPr>
          <w:rFonts w:ascii="Arial" w:eastAsia="Arial" w:hAnsi="Arial" w:cs="Arial"/>
          <w:sz w:val="14"/>
          <w:szCs w:val="14"/>
          <w:lang w:val="es"/>
        </w:rPr>
        <w:t>“5. Los datos referentes a la información financiera y comercial, en los términos de la Ley Estatutaria 1266 de 2008.</w:t>
      </w:r>
    </w:p>
    <w:p w14:paraId="70B8A2CB" w14:textId="4530F751" w:rsidR="06FA6063" w:rsidRDefault="06FA6063" w:rsidP="06FA6063">
      <w:pPr>
        <w:jc w:val="both"/>
        <w:rPr>
          <w:rFonts w:ascii="Arial" w:eastAsia="Arial" w:hAnsi="Arial" w:cs="Arial"/>
          <w:sz w:val="14"/>
          <w:szCs w:val="14"/>
          <w:lang w:val="es"/>
        </w:rPr>
      </w:pPr>
      <w:r w:rsidRPr="06FA6063">
        <w:rPr>
          <w:rFonts w:ascii="Arial" w:eastAsia="Arial" w:hAnsi="Arial" w:cs="Arial"/>
          <w:sz w:val="14"/>
          <w:szCs w:val="14"/>
          <w:lang w:val="es"/>
        </w:rPr>
        <w:t>“6. Los protegidos por el secreto comercial o industrial, así como los planes estratégicos de las empresas públicas de servicios</w:t>
      </w:r>
    </w:p>
    <w:p w14:paraId="6E998631" w14:textId="08C5D09E" w:rsidR="06FA6063" w:rsidRDefault="06FA6063" w:rsidP="06FA6063">
      <w:pPr>
        <w:rPr>
          <w:rFonts w:ascii="Arial" w:eastAsia="Arial" w:hAnsi="Arial" w:cs="Arial"/>
          <w:sz w:val="14"/>
          <w:szCs w:val="14"/>
          <w:lang w:val="es"/>
        </w:rPr>
      </w:pPr>
      <w:r w:rsidRPr="06FA6063">
        <w:rPr>
          <w:rFonts w:ascii="Arial" w:eastAsia="Arial" w:hAnsi="Arial" w:cs="Arial"/>
          <w:sz w:val="14"/>
          <w:szCs w:val="14"/>
          <w:lang w:val="es"/>
        </w:rPr>
        <w:t>públicos.</w:t>
      </w:r>
    </w:p>
    <w:p w14:paraId="0892C47E" w14:textId="47B63E36" w:rsidR="06FA6063" w:rsidRDefault="06FA6063" w:rsidP="06FA6063">
      <w:pPr>
        <w:rPr>
          <w:rFonts w:ascii="Arial" w:eastAsia="Arial" w:hAnsi="Arial" w:cs="Arial"/>
          <w:sz w:val="14"/>
          <w:szCs w:val="14"/>
          <w:lang w:val="es"/>
        </w:rPr>
      </w:pPr>
      <w:r w:rsidRPr="06FA6063">
        <w:rPr>
          <w:rFonts w:ascii="Arial" w:eastAsia="Arial" w:hAnsi="Arial" w:cs="Arial"/>
          <w:sz w:val="14"/>
          <w:szCs w:val="14"/>
          <w:lang w:val="es"/>
        </w:rPr>
        <w:t>“7. Los amparados por el secreto profesional. “8. Los datos genéticos humanos.</w:t>
      </w:r>
    </w:p>
    <w:p w14:paraId="2025CFD8" w14:textId="508C871D" w:rsidR="06FA6063" w:rsidRDefault="06FA6063" w:rsidP="06FA6063">
      <w:pPr>
        <w:rPr>
          <w:rFonts w:ascii="Arial" w:eastAsia="Arial" w:hAnsi="Arial" w:cs="Arial"/>
          <w:sz w:val="14"/>
          <w:szCs w:val="14"/>
          <w:lang w:val="es"/>
        </w:rPr>
      </w:pPr>
      <w:r w:rsidRPr="06FA6063">
        <w:rPr>
          <w:rFonts w:ascii="Arial" w:eastAsia="Arial" w:hAnsi="Arial" w:cs="Arial"/>
          <w:sz w:val="14"/>
          <w:szCs w:val="14"/>
          <w:lang w:val="es"/>
        </w:rPr>
        <w:t>“Parágrafo. Para efecto de la solicitud de información de carácter reservado, enunciada en los numerales 3, 5, 6 y 7 solo podrá ser</w:t>
      </w:r>
    </w:p>
    <w:p w14:paraId="3F2FEF63" w14:textId="3C6BDBB6" w:rsidR="06FA6063" w:rsidRDefault="06FA6063" w:rsidP="06FA6063">
      <w:pPr>
        <w:rPr>
          <w:rFonts w:ascii="Arial" w:eastAsia="Arial" w:hAnsi="Arial" w:cs="Arial"/>
          <w:sz w:val="14"/>
          <w:szCs w:val="14"/>
        </w:rPr>
      </w:pPr>
      <w:r w:rsidRPr="06FA6063">
        <w:rPr>
          <w:rFonts w:ascii="Arial" w:eastAsia="Arial" w:hAnsi="Arial" w:cs="Arial"/>
          <w:sz w:val="14"/>
          <w:szCs w:val="14"/>
          <w:lang w:val="es"/>
        </w:rPr>
        <w:t>solicitada por el titular de la información, por sus apoderados o por personas autorizadas con facultad expresa para acceder a esa información”.</w:t>
      </w:r>
    </w:p>
  </w:footnote>
  <w:footnote w:id="6">
    <w:p w14:paraId="443E445B" w14:textId="7E81C7E6" w:rsidR="06FA6063" w:rsidRDefault="06FA6063" w:rsidP="06FA6063">
      <w:pPr>
        <w:ind w:firstLine="708"/>
        <w:jc w:val="both"/>
        <w:rPr>
          <w:rFonts w:ascii="Arial" w:eastAsia="Arial" w:hAnsi="Arial" w:cs="Arial"/>
          <w:sz w:val="14"/>
          <w:szCs w:val="14"/>
          <w:lang w:val="es"/>
        </w:rPr>
      </w:pPr>
      <w:r w:rsidRPr="06FA6063">
        <w:rPr>
          <w:rFonts w:ascii="Arial" w:eastAsia="Arial" w:hAnsi="Arial" w:cs="Arial"/>
          <w:sz w:val="14"/>
          <w:szCs w:val="14"/>
        </w:rPr>
        <w:footnoteRef/>
      </w:r>
      <w:r w:rsidRPr="06FA6063">
        <w:rPr>
          <w:rFonts w:ascii="Arial" w:eastAsia="Arial" w:hAnsi="Arial" w:cs="Arial"/>
          <w:sz w:val="14"/>
          <w:szCs w:val="14"/>
        </w:rPr>
        <w:t xml:space="preserve"> </w:t>
      </w:r>
      <w:r w:rsidRPr="06FA6063">
        <w:rPr>
          <w:rFonts w:ascii="Arial" w:eastAsia="Arial" w:hAnsi="Arial" w:cs="Arial"/>
          <w:sz w:val="14"/>
          <w:szCs w:val="14"/>
          <w:lang w:val="es"/>
        </w:rPr>
        <w:t>Resultan relevantes las consideraciones expuestas en el concepto C- 322 del 16 de junio de 2020 –radicado No. 2202013000005088–, sobre la aplicación del artículo 36 del CPACA en torno al manejo de información reservada en cuadernos separados:</w:t>
      </w:r>
    </w:p>
    <w:p w14:paraId="63084843" w14:textId="72FB3E72" w:rsidR="06FA6063" w:rsidRDefault="06FA6063" w:rsidP="06FA6063">
      <w:pPr>
        <w:jc w:val="both"/>
        <w:rPr>
          <w:rFonts w:ascii="Arial" w:eastAsia="Arial" w:hAnsi="Arial" w:cs="Arial"/>
          <w:sz w:val="14"/>
          <w:szCs w:val="14"/>
          <w:lang w:val="es"/>
        </w:rPr>
      </w:pPr>
      <w:r w:rsidRPr="06FA6063">
        <w:rPr>
          <w:rFonts w:ascii="Arial" w:eastAsia="Arial" w:hAnsi="Arial" w:cs="Arial"/>
          <w:sz w:val="14"/>
          <w:szCs w:val="14"/>
          <w:lang w:val="es"/>
        </w:rPr>
        <w:t>«tratándose de información sometida a reserva, considera esta Agencia que el tratamiento que corresponde a esta información es el procedente a partir de lo dispuesto en el artículo 36 del CPACA sobre la formación y examen de expedientes, en el que se establece que los documentos sometidos a reserva deberán insertarse en un cuaderno separado del expediente principal, el cual no podrá ser consultado por la ciudadanía o interesados en general. El manejo de estos documentos conforme lo indica esta norma, permite guardar la reserva a la que están sometidos dichos documentos en el marco de procesos de contratación, sin que se vean lesionados los intereses de los titulares de la información o contrariadas las normas del régimen de protección de datos personales”.</w:t>
      </w:r>
    </w:p>
    <w:p w14:paraId="5F9C9CA0" w14:textId="3137B6CD" w:rsidR="06FA6063" w:rsidRDefault="06FA6063" w:rsidP="06FA6063">
      <w:pPr>
        <w:rPr>
          <w:rFonts w:ascii="Arial" w:eastAsia="Arial" w:hAnsi="Arial" w:cs="Arial"/>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F2FF" w14:textId="77777777" w:rsidR="0020617F" w:rsidRDefault="0020617F" w:rsidP="0020617F">
    <w:pPr>
      <w:pStyle w:val="Encabezado"/>
    </w:pPr>
    <w:r>
      <w:rPr>
        <w:noProof/>
      </w:rPr>
      <w:drawing>
        <wp:anchor distT="0" distB="0" distL="114300" distR="114300" simplePos="0" relativeHeight="251658241" behindDoc="1" locked="0" layoutInCell="1" allowOverlap="1" wp14:anchorId="5DD8D809" wp14:editId="62E4B453">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Cs w:val="24"/>
      </w:rPr>
      <w:drawing>
        <wp:anchor distT="0" distB="0" distL="114300" distR="114300" simplePos="0" relativeHeight="251658244" behindDoc="0" locked="0" layoutInCell="1" allowOverlap="1" wp14:anchorId="7AE6B2EF" wp14:editId="7F6B7268">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356580" name="Imagen 1644356580"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Cs w:val="24"/>
      </w:rPr>
      <w:drawing>
        <wp:anchor distT="0" distB="0" distL="114300" distR="114300" simplePos="0" relativeHeight="251658243" behindDoc="0" locked="0" layoutInCell="1" allowOverlap="1" wp14:anchorId="5810FC16" wp14:editId="1EA3BF05">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0AE3F34B" wp14:editId="65F93ADE">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691DD875" w14:textId="77777777" w:rsidR="0020617F" w:rsidRDefault="0020617F" w:rsidP="0020617F">
    <w:pPr>
      <w:pStyle w:val="Encabezado"/>
    </w:pPr>
  </w:p>
  <w:p w14:paraId="3905E6B5" w14:textId="77777777" w:rsidR="0020617F" w:rsidRDefault="0020617F" w:rsidP="0020617F">
    <w:pPr>
      <w:pStyle w:val="Encabezado"/>
    </w:pPr>
  </w:p>
  <w:p w14:paraId="32707E4E" w14:textId="77777777" w:rsidR="0020617F" w:rsidRPr="004A305D" w:rsidRDefault="0020617F" w:rsidP="0020617F">
    <w:pPr>
      <w:rPr>
        <w:rFonts w:ascii="Century Gothic" w:hAnsi="Century Gothic"/>
        <w:color w:val="002060"/>
        <w:sz w:val="16"/>
        <w:szCs w:val="16"/>
      </w:rPr>
    </w:pPr>
    <w:r w:rsidRPr="004A305D">
      <w:rPr>
        <w:rFonts w:ascii="Century Gothic" w:hAnsi="Century Gothic"/>
        <w:color w:val="002060"/>
        <w:sz w:val="16"/>
        <w:szCs w:val="16"/>
      </w:rPr>
      <w:t>FORMATO PQRSD</w:t>
    </w:r>
  </w:p>
  <w:p w14:paraId="20AA33EE" w14:textId="77777777" w:rsidR="0020617F" w:rsidRPr="004A305D" w:rsidRDefault="0020617F" w:rsidP="0020617F">
    <w:pPr>
      <w:pBdr>
        <w:top w:val="nil"/>
        <w:left w:val="nil"/>
        <w:bottom w:val="nil"/>
        <w:right w:val="nil"/>
        <w:between w:val="nil"/>
      </w:pBdr>
      <w:tabs>
        <w:tab w:val="center" w:pos="4419"/>
        <w:tab w:val="right" w:pos="8838"/>
        <w:tab w:val="center" w:pos="5400"/>
      </w:tabs>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13</w:t>
    </w:r>
  </w:p>
  <w:p w14:paraId="3C96F0C7" w14:textId="77777777" w:rsidR="0020617F" w:rsidRDefault="0020617F" w:rsidP="0020617F">
    <w:pPr>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55E5DA52" w14:textId="45BF26AF" w:rsidR="00C11EE9" w:rsidRPr="0020617F" w:rsidRDefault="00C11EE9" w:rsidP="002061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87359C7"/>
    <w:multiLevelType w:val="hybridMultilevel"/>
    <w:tmpl w:val="74A697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795416307">
    <w:abstractNumId w:val="1"/>
  </w:num>
  <w:num w:numId="2" w16cid:durableId="2059088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F7"/>
    <w:rsid w:val="00033CA7"/>
    <w:rsid w:val="00040E76"/>
    <w:rsid w:val="000460CE"/>
    <w:rsid w:val="0004698F"/>
    <w:rsid w:val="0005405C"/>
    <w:rsid w:val="000636D4"/>
    <w:rsid w:val="000868A6"/>
    <w:rsid w:val="00092218"/>
    <w:rsid w:val="00094407"/>
    <w:rsid w:val="000977C9"/>
    <w:rsid w:val="000A0743"/>
    <w:rsid w:val="000A5435"/>
    <w:rsid w:val="000B46EA"/>
    <w:rsid w:val="000B5520"/>
    <w:rsid w:val="000B7248"/>
    <w:rsid w:val="000C3009"/>
    <w:rsid w:val="000C5926"/>
    <w:rsid w:val="000D68A1"/>
    <w:rsid w:val="000E40F0"/>
    <w:rsid w:val="000F2799"/>
    <w:rsid w:val="000F6D56"/>
    <w:rsid w:val="00101285"/>
    <w:rsid w:val="001155BC"/>
    <w:rsid w:val="00117742"/>
    <w:rsid w:val="001235AB"/>
    <w:rsid w:val="00125FAE"/>
    <w:rsid w:val="001310BD"/>
    <w:rsid w:val="001425C6"/>
    <w:rsid w:val="00155AA4"/>
    <w:rsid w:val="00172302"/>
    <w:rsid w:val="00175731"/>
    <w:rsid w:val="0018072A"/>
    <w:rsid w:val="00181A0F"/>
    <w:rsid w:val="00187C2F"/>
    <w:rsid w:val="001957A4"/>
    <w:rsid w:val="001A0BEF"/>
    <w:rsid w:val="001A5C14"/>
    <w:rsid w:val="001B561E"/>
    <w:rsid w:val="001B7D44"/>
    <w:rsid w:val="001C7A05"/>
    <w:rsid w:val="001F0E5D"/>
    <w:rsid w:val="0020617F"/>
    <w:rsid w:val="00211FD1"/>
    <w:rsid w:val="00212893"/>
    <w:rsid w:val="00236C90"/>
    <w:rsid w:val="00241891"/>
    <w:rsid w:val="0024319D"/>
    <w:rsid w:val="00246C39"/>
    <w:rsid w:val="0025058A"/>
    <w:rsid w:val="00255DF7"/>
    <w:rsid w:val="00256066"/>
    <w:rsid w:val="00264399"/>
    <w:rsid w:val="002669E5"/>
    <w:rsid w:val="00290C3D"/>
    <w:rsid w:val="00293329"/>
    <w:rsid w:val="002B3621"/>
    <w:rsid w:val="002C0664"/>
    <w:rsid w:val="002C1CE3"/>
    <w:rsid w:val="002D5C6B"/>
    <w:rsid w:val="002E5EF3"/>
    <w:rsid w:val="002F7C3F"/>
    <w:rsid w:val="00314E1E"/>
    <w:rsid w:val="003168A5"/>
    <w:rsid w:val="0031762F"/>
    <w:rsid w:val="00334AF9"/>
    <w:rsid w:val="0034655E"/>
    <w:rsid w:val="00350F02"/>
    <w:rsid w:val="00351231"/>
    <w:rsid w:val="003532FE"/>
    <w:rsid w:val="0036284A"/>
    <w:rsid w:val="00362D7B"/>
    <w:rsid w:val="00370A7F"/>
    <w:rsid w:val="0037323E"/>
    <w:rsid w:val="00373C31"/>
    <w:rsid w:val="00376C51"/>
    <w:rsid w:val="003776A6"/>
    <w:rsid w:val="00397A6A"/>
    <w:rsid w:val="003A0666"/>
    <w:rsid w:val="003A0BAA"/>
    <w:rsid w:val="003A2031"/>
    <w:rsid w:val="003A5D7C"/>
    <w:rsid w:val="003A625B"/>
    <w:rsid w:val="003B145A"/>
    <w:rsid w:val="003B1E39"/>
    <w:rsid w:val="003C068D"/>
    <w:rsid w:val="003C139B"/>
    <w:rsid w:val="003C2315"/>
    <w:rsid w:val="003D3123"/>
    <w:rsid w:val="003E6501"/>
    <w:rsid w:val="004054C5"/>
    <w:rsid w:val="00414B63"/>
    <w:rsid w:val="00416A9E"/>
    <w:rsid w:val="00427B2C"/>
    <w:rsid w:val="00437115"/>
    <w:rsid w:val="00442C55"/>
    <w:rsid w:val="00444818"/>
    <w:rsid w:val="00445994"/>
    <w:rsid w:val="00445B9A"/>
    <w:rsid w:val="00445F15"/>
    <w:rsid w:val="00457114"/>
    <w:rsid w:val="00461E1C"/>
    <w:rsid w:val="00471153"/>
    <w:rsid w:val="004730E2"/>
    <w:rsid w:val="004845C5"/>
    <w:rsid w:val="004B2C2B"/>
    <w:rsid w:val="004E4FED"/>
    <w:rsid w:val="004F59CA"/>
    <w:rsid w:val="004F5B4B"/>
    <w:rsid w:val="00526B09"/>
    <w:rsid w:val="00532050"/>
    <w:rsid w:val="00534DAE"/>
    <w:rsid w:val="00535949"/>
    <w:rsid w:val="0054B22E"/>
    <w:rsid w:val="005505E3"/>
    <w:rsid w:val="0055220E"/>
    <w:rsid w:val="005709F1"/>
    <w:rsid w:val="00592023"/>
    <w:rsid w:val="005A0728"/>
    <w:rsid w:val="005A3120"/>
    <w:rsid w:val="005A3892"/>
    <w:rsid w:val="005B31EF"/>
    <w:rsid w:val="005C0C3C"/>
    <w:rsid w:val="005C1093"/>
    <w:rsid w:val="005D3FDD"/>
    <w:rsid w:val="005D53D8"/>
    <w:rsid w:val="005E29BF"/>
    <w:rsid w:val="005F0149"/>
    <w:rsid w:val="005F5F4C"/>
    <w:rsid w:val="00603258"/>
    <w:rsid w:val="00613B8F"/>
    <w:rsid w:val="00642FAD"/>
    <w:rsid w:val="0064684E"/>
    <w:rsid w:val="00657573"/>
    <w:rsid w:val="00671C54"/>
    <w:rsid w:val="00673576"/>
    <w:rsid w:val="006737CF"/>
    <w:rsid w:val="00673C8D"/>
    <w:rsid w:val="006774A8"/>
    <w:rsid w:val="0069070E"/>
    <w:rsid w:val="00693B1C"/>
    <w:rsid w:val="00695E0C"/>
    <w:rsid w:val="00696EC8"/>
    <w:rsid w:val="006A6928"/>
    <w:rsid w:val="006D319F"/>
    <w:rsid w:val="006E7609"/>
    <w:rsid w:val="006E77C5"/>
    <w:rsid w:val="006E7B77"/>
    <w:rsid w:val="00701046"/>
    <w:rsid w:val="00716AB2"/>
    <w:rsid w:val="007307A6"/>
    <w:rsid w:val="00744227"/>
    <w:rsid w:val="00747FBC"/>
    <w:rsid w:val="00752B80"/>
    <w:rsid w:val="00754E16"/>
    <w:rsid w:val="00762584"/>
    <w:rsid w:val="00763E43"/>
    <w:rsid w:val="00773849"/>
    <w:rsid w:val="00781AC2"/>
    <w:rsid w:val="0079188E"/>
    <w:rsid w:val="007969EF"/>
    <w:rsid w:val="00797A18"/>
    <w:rsid w:val="007A2F39"/>
    <w:rsid w:val="007A617C"/>
    <w:rsid w:val="007B0D03"/>
    <w:rsid w:val="007B79FF"/>
    <w:rsid w:val="007C753D"/>
    <w:rsid w:val="007D2258"/>
    <w:rsid w:val="007D4B63"/>
    <w:rsid w:val="007D76AC"/>
    <w:rsid w:val="007F7197"/>
    <w:rsid w:val="00804297"/>
    <w:rsid w:val="00805FE9"/>
    <w:rsid w:val="008074E3"/>
    <w:rsid w:val="00815DA5"/>
    <w:rsid w:val="00825DA8"/>
    <w:rsid w:val="0083520B"/>
    <w:rsid w:val="00837844"/>
    <w:rsid w:val="00840E20"/>
    <w:rsid w:val="00860608"/>
    <w:rsid w:val="00867946"/>
    <w:rsid w:val="0088C436"/>
    <w:rsid w:val="00890DA4"/>
    <w:rsid w:val="008A7F2B"/>
    <w:rsid w:val="0090423F"/>
    <w:rsid w:val="00912B2C"/>
    <w:rsid w:val="00941D0A"/>
    <w:rsid w:val="00947206"/>
    <w:rsid w:val="00950DF7"/>
    <w:rsid w:val="009545C2"/>
    <w:rsid w:val="009564CC"/>
    <w:rsid w:val="00963831"/>
    <w:rsid w:val="00973329"/>
    <w:rsid w:val="00980630"/>
    <w:rsid w:val="00983F0D"/>
    <w:rsid w:val="009919FC"/>
    <w:rsid w:val="009A24F7"/>
    <w:rsid w:val="009B34D3"/>
    <w:rsid w:val="009B6FA0"/>
    <w:rsid w:val="009C4859"/>
    <w:rsid w:val="009D6C30"/>
    <w:rsid w:val="009D7A03"/>
    <w:rsid w:val="009E45F6"/>
    <w:rsid w:val="009E696A"/>
    <w:rsid w:val="009F0C6B"/>
    <w:rsid w:val="00A12113"/>
    <w:rsid w:val="00A1362C"/>
    <w:rsid w:val="00A16495"/>
    <w:rsid w:val="00A23285"/>
    <w:rsid w:val="00A30368"/>
    <w:rsid w:val="00A319D2"/>
    <w:rsid w:val="00A35D77"/>
    <w:rsid w:val="00A40C33"/>
    <w:rsid w:val="00A551D2"/>
    <w:rsid w:val="00A6242E"/>
    <w:rsid w:val="00A62746"/>
    <w:rsid w:val="00A62F8E"/>
    <w:rsid w:val="00A720F6"/>
    <w:rsid w:val="00A76FE8"/>
    <w:rsid w:val="00A83365"/>
    <w:rsid w:val="00AA1BA1"/>
    <w:rsid w:val="00AB126D"/>
    <w:rsid w:val="00AB2EE3"/>
    <w:rsid w:val="00AB3C82"/>
    <w:rsid w:val="00AE1316"/>
    <w:rsid w:val="00AE405B"/>
    <w:rsid w:val="00AE6492"/>
    <w:rsid w:val="00B01E4F"/>
    <w:rsid w:val="00B13910"/>
    <w:rsid w:val="00B17550"/>
    <w:rsid w:val="00B2709C"/>
    <w:rsid w:val="00B43CF0"/>
    <w:rsid w:val="00B43FFA"/>
    <w:rsid w:val="00B5194C"/>
    <w:rsid w:val="00B715F0"/>
    <w:rsid w:val="00B742E2"/>
    <w:rsid w:val="00B8410B"/>
    <w:rsid w:val="00B910BF"/>
    <w:rsid w:val="00BC55DC"/>
    <w:rsid w:val="00BD15AC"/>
    <w:rsid w:val="00BE0F40"/>
    <w:rsid w:val="00C05B77"/>
    <w:rsid w:val="00C074A7"/>
    <w:rsid w:val="00C11EE9"/>
    <w:rsid w:val="00C25A81"/>
    <w:rsid w:val="00C420A8"/>
    <w:rsid w:val="00C439CA"/>
    <w:rsid w:val="00C44D80"/>
    <w:rsid w:val="00C54739"/>
    <w:rsid w:val="00C60F43"/>
    <w:rsid w:val="00C85A5E"/>
    <w:rsid w:val="00C87954"/>
    <w:rsid w:val="00CA6A03"/>
    <w:rsid w:val="00CB307A"/>
    <w:rsid w:val="00CB70FF"/>
    <w:rsid w:val="00CC0496"/>
    <w:rsid w:val="00CD2D0C"/>
    <w:rsid w:val="00CD3735"/>
    <w:rsid w:val="00CE15DC"/>
    <w:rsid w:val="00CE3A6E"/>
    <w:rsid w:val="00CF537D"/>
    <w:rsid w:val="00D04574"/>
    <w:rsid w:val="00D11C34"/>
    <w:rsid w:val="00D26202"/>
    <w:rsid w:val="00D33F26"/>
    <w:rsid w:val="00D42ECD"/>
    <w:rsid w:val="00D47C17"/>
    <w:rsid w:val="00D51C98"/>
    <w:rsid w:val="00D51D91"/>
    <w:rsid w:val="00D56015"/>
    <w:rsid w:val="00D706E2"/>
    <w:rsid w:val="00D74DA1"/>
    <w:rsid w:val="00D905F1"/>
    <w:rsid w:val="00D94E36"/>
    <w:rsid w:val="00DA0FBF"/>
    <w:rsid w:val="00DB3131"/>
    <w:rsid w:val="00DB4A50"/>
    <w:rsid w:val="00DC0987"/>
    <w:rsid w:val="00DC4C54"/>
    <w:rsid w:val="00DD6108"/>
    <w:rsid w:val="00DE6E19"/>
    <w:rsid w:val="00DE7E5B"/>
    <w:rsid w:val="00DF0BBC"/>
    <w:rsid w:val="00DF15CC"/>
    <w:rsid w:val="00DF41C8"/>
    <w:rsid w:val="00E02EDC"/>
    <w:rsid w:val="00E06284"/>
    <w:rsid w:val="00E213CE"/>
    <w:rsid w:val="00E37348"/>
    <w:rsid w:val="00E42D0E"/>
    <w:rsid w:val="00E64259"/>
    <w:rsid w:val="00E73D76"/>
    <w:rsid w:val="00E778CC"/>
    <w:rsid w:val="00E8794F"/>
    <w:rsid w:val="00E92452"/>
    <w:rsid w:val="00E96512"/>
    <w:rsid w:val="00EB2EFA"/>
    <w:rsid w:val="00EC1D3B"/>
    <w:rsid w:val="00EC48F7"/>
    <w:rsid w:val="00ED0108"/>
    <w:rsid w:val="00ED1561"/>
    <w:rsid w:val="00EE0CF7"/>
    <w:rsid w:val="00EE601D"/>
    <w:rsid w:val="00EF7E7B"/>
    <w:rsid w:val="00F0413A"/>
    <w:rsid w:val="00F25A79"/>
    <w:rsid w:val="00F304EA"/>
    <w:rsid w:val="00F32DE5"/>
    <w:rsid w:val="00F33DC1"/>
    <w:rsid w:val="00F3626D"/>
    <w:rsid w:val="00F43B1B"/>
    <w:rsid w:val="00F51B7C"/>
    <w:rsid w:val="00F51F9C"/>
    <w:rsid w:val="00F564C0"/>
    <w:rsid w:val="00F61653"/>
    <w:rsid w:val="00F72B91"/>
    <w:rsid w:val="00F941DB"/>
    <w:rsid w:val="00F95148"/>
    <w:rsid w:val="00F96587"/>
    <w:rsid w:val="00FB347B"/>
    <w:rsid w:val="00FC0252"/>
    <w:rsid w:val="00FC3BED"/>
    <w:rsid w:val="00FC6857"/>
    <w:rsid w:val="00FCA6DF"/>
    <w:rsid w:val="00FE4C7B"/>
    <w:rsid w:val="00FF6F2E"/>
    <w:rsid w:val="01BB21EC"/>
    <w:rsid w:val="02230BE1"/>
    <w:rsid w:val="023C5FC0"/>
    <w:rsid w:val="02AD8245"/>
    <w:rsid w:val="02B3B3FB"/>
    <w:rsid w:val="03A2A7D3"/>
    <w:rsid w:val="03A8C5B3"/>
    <w:rsid w:val="0409E46D"/>
    <w:rsid w:val="04644B08"/>
    <w:rsid w:val="04C4A9E5"/>
    <w:rsid w:val="0500F86F"/>
    <w:rsid w:val="05954172"/>
    <w:rsid w:val="05E52307"/>
    <w:rsid w:val="0616A1E2"/>
    <w:rsid w:val="0667EE82"/>
    <w:rsid w:val="06C12038"/>
    <w:rsid w:val="06C530C7"/>
    <w:rsid w:val="06FA6063"/>
    <w:rsid w:val="07368453"/>
    <w:rsid w:val="076D69AC"/>
    <w:rsid w:val="0781DE9E"/>
    <w:rsid w:val="079BEBCA"/>
    <w:rsid w:val="07A01C06"/>
    <w:rsid w:val="08096404"/>
    <w:rsid w:val="080FD879"/>
    <w:rsid w:val="08404D66"/>
    <w:rsid w:val="08A82DBE"/>
    <w:rsid w:val="09023C7B"/>
    <w:rsid w:val="0913D3FF"/>
    <w:rsid w:val="09148AAB"/>
    <w:rsid w:val="09EA3AA8"/>
    <w:rsid w:val="0A43FE1F"/>
    <w:rsid w:val="0A8EDF03"/>
    <w:rsid w:val="0AA2F96E"/>
    <w:rsid w:val="0ACEA42A"/>
    <w:rsid w:val="0AD38C8C"/>
    <w:rsid w:val="0B168790"/>
    <w:rsid w:val="0B45F395"/>
    <w:rsid w:val="0B79E732"/>
    <w:rsid w:val="0BD535B4"/>
    <w:rsid w:val="0C30000D"/>
    <w:rsid w:val="0C38A3B5"/>
    <w:rsid w:val="0CE33603"/>
    <w:rsid w:val="0CF168D8"/>
    <w:rsid w:val="0D15FB97"/>
    <w:rsid w:val="0D27119B"/>
    <w:rsid w:val="0DB0C6B3"/>
    <w:rsid w:val="0DE2C546"/>
    <w:rsid w:val="0DE77CC3"/>
    <w:rsid w:val="0E36C04C"/>
    <w:rsid w:val="0E3FAB7A"/>
    <w:rsid w:val="0E4FEED9"/>
    <w:rsid w:val="0E870783"/>
    <w:rsid w:val="0EA72126"/>
    <w:rsid w:val="0EBB0009"/>
    <w:rsid w:val="0EDA76CD"/>
    <w:rsid w:val="0F0FF314"/>
    <w:rsid w:val="0F299A5C"/>
    <w:rsid w:val="0F71A042"/>
    <w:rsid w:val="0FB82CBA"/>
    <w:rsid w:val="1015BA65"/>
    <w:rsid w:val="10803689"/>
    <w:rsid w:val="1081B33F"/>
    <w:rsid w:val="109DDE16"/>
    <w:rsid w:val="10E81A18"/>
    <w:rsid w:val="10E86775"/>
    <w:rsid w:val="10FF607A"/>
    <w:rsid w:val="111FF3BB"/>
    <w:rsid w:val="118A48D3"/>
    <w:rsid w:val="11B8C928"/>
    <w:rsid w:val="125FD720"/>
    <w:rsid w:val="128437D6"/>
    <w:rsid w:val="129D0C19"/>
    <w:rsid w:val="12A40309"/>
    <w:rsid w:val="12B0AF68"/>
    <w:rsid w:val="12BB4F22"/>
    <w:rsid w:val="12E2943D"/>
    <w:rsid w:val="13342080"/>
    <w:rsid w:val="134EAC7D"/>
    <w:rsid w:val="138E712C"/>
    <w:rsid w:val="13A318D6"/>
    <w:rsid w:val="1427F5BD"/>
    <w:rsid w:val="14A5B5D4"/>
    <w:rsid w:val="14AC2F82"/>
    <w:rsid w:val="151C1031"/>
    <w:rsid w:val="15DDB45C"/>
    <w:rsid w:val="160A7786"/>
    <w:rsid w:val="1625EBF8"/>
    <w:rsid w:val="162654BC"/>
    <w:rsid w:val="162FA132"/>
    <w:rsid w:val="167F5D0A"/>
    <w:rsid w:val="16900AC2"/>
    <w:rsid w:val="16C944D9"/>
    <w:rsid w:val="1717DCF3"/>
    <w:rsid w:val="173F9A00"/>
    <w:rsid w:val="179EF2D4"/>
    <w:rsid w:val="17B3C097"/>
    <w:rsid w:val="17F742CE"/>
    <w:rsid w:val="1812B845"/>
    <w:rsid w:val="18259067"/>
    <w:rsid w:val="184EEDC8"/>
    <w:rsid w:val="185DBF02"/>
    <w:rsid w:val="1867C94C"/>
    <w:rsid w:val="18BE674E"/>
    <w:rsid w:val="18F89A3A"/>
    <w:rsid w:val="191B7E4D"/>
    <w:rsid w:val="1944DCE7"/>
    <w:rsid w:val="19B025E6"/>
    <w:rsid w:val="19FA5CAB"/>
    <w:rsid w:val="1A07A30C"/>
    <w:rsid w:val="1A07C81B"/>
    <w:rsid w:val="1A1E5416"/>
    <w:rsid w:val="1A63FB51"/>
    <w:rsid w:val="1ADB8BC4"/>
    <w:rsid w:val="1B155C40"/>
    <w:rsid w:val="1B2CBB1E"/>
    <w:rsid w:val="1B390677"/>
    <w:rsid w:val="1C3301F9"/>
    <w:rsid w:val="1C8B4000"/>
    <w:rsid w:val="1C9C074C"/>
    <w:rsid w:val="1CD81786"/>
    <w:rsid w:val="1D122895"/>
    <w:rsid w:val="1D38056C"/>
    <w:rsid w:val="1E48077F"/>
    <w:rsid w:val="1ECE5FB0"/>
    <w:rsid w:val="1EE16195"/>
    <w:rsid w:val="205EF7DB"/>
    <w:rsid w:val="206FD77D"/>
    <w:rsid w:val="2072407C"/>
    <w:rsid w:val="207C4E37"/>
    <w:rsid w:val="207E8394"/>
    <w:rsid w:val="218A603B"/>
    <w:rsid w:val="21986477"/>
    <w:rsid w:val="21FF33E6"/>
    <w:rsid w:val="220EE627"/>
    <w:rsid w:val="2221E42F"/>
    <w:rsid w:val="222759DD"/>
    <w:rsid w:val="223DFAAE"/>
    <w:rsid w:val="22BA288B"/>
    <w:rsid w:val="22E39DB9"/>
    <w:rsid w:val="234A027A"/>
    <w:rsid w:val="2433D326"/>
    <w:rsid w:val="25405C94"/>
    <w:rsid w:val="25786ECA"/>
    <w:rsid w:val="25788DE2"/>
    <w:rsid w:val="25AC3AE6"/>
    <w:rsid w:val="25F4966C"/>
    <w:rsid w:val="26011AFA"/>
    <w:rsid w:val="260EEB6E"/>
    <w:rsid w:val="26CED97E"/>
    <w:rsid w:val="27143F2B"/>
    <w:rsid w:val="27693A37"/>
    <w:rsid w:val="2780D995"/>
    <w:rsid w:val="2789097E"/>
    <w:rsid w:val="27A0260E"/>
    <w:rsid w:val="27E2BA39"/>
    <w:rsid w:val="287AB813"/>
    <w:rsid w:val="28839AB2"/>
    <w:rsid w:val="291D9BA3"/>
    <w:rsid w:val="2924D9DF"/>
    <w:rsid w:val="29A35A1F"/>
    <w:rsid w:val="29CC3F48"/>
    <w:rsid w:val="29E47A22"/>
    <w:rsid w:val="29EC2540"/>
    <w:rsid w:val="29EF5706"/>
    <w:rsid w:val="2A054D9D"/>
    <w:rsid w:val="2A5C293D"/>
    <w:rsid w:val="2A6494C5"/>
    <w:rsid w:val="2ADD6F0D"/>
    <w:rsid w:val="2B2015A1"/>
    <w:rsid w:val="2B34496B"/>
    <w:rsid w:val="2B5D22D2"/>
    <w:rsid w:val="2B7C471B"/>
    <w:rsid w:val="2B87F5A1"/>
    <w:rsid w:val="2BC751F6"/>
    <w:rsid w:val="2BF3863F"/>
    <w:rsid w:val="2C274A96"/>
    <w:rsid w:val="2C3A0DFF"/>
    <w:rsid w:val="2C6CD2DE"/>
    <w:rsid w:val="2D3CEE5F"/>
    <w:rsid w:val="2E20AD23"/>
    <w:rsid w:val="2E47398E"/>
    <w:rsid w:val="2EAED1BB"/>
    <w:rsid w:val="2EB6D38E"/>
    <w:rsid w:val="2EBF9663"/>
    <w:rsid w:val="2F1C0017"/>
    <w:rsid w:val="2F67A3D1"/>
    <w:rsid w:val="2F8ED4E3"/>
    <w:rsid w:val="2F941B63"/>
    <w:rsid w:val="2FA933B4"/>
    <w:rsid w:val="2FADD5DA"/>
    <w:rsid w:val="2FC8EEA9"/>
    <w:rsid w:val="2FFAC229"/>
    <w:rsid w:val="301249F9"/>
    <w:rsid w:val="30307EC5"/>
    <w:rsid w:val="305B66C4"/>
    <w:rsid w:val="30848819"/>
    <w:rsid w:val="30BCF20F"/>
    <w:rsid w:val="312FEBC4"/>
    <w:rsid w:val="313D41DC"/>
    <w:rsid w:val="31AB405A"/>
    <w:rsid w:val="327AA1F1"/>
    <w:rsid w:val="33B612ED"/>
    <w:rsid w:val="33C7F28E"/>
    <w:rsid w:val="33ED6E21"/>
    <w:rsid w:val="3484A996"/>
    <w:rsid w:val="34B66939"/>
    <w:rsid w:val="35BE760A"/>
    <w:rsid w:val="35ED7F69"/>
    <w:rsid w:val="36072C9D"/>
    <w:rsid w:val="362BC5EC"/>
    <w:rsid w:val="36315FC8"/>
    <w:rsid w:val="36A7433D"/>
    <w:rsid w:val="36EFF204"/>
    <w:rsid w:val="36FDAB9F"/>
    <w:rsid w:val="37322AF7"/>
    <w:rsid w:val="37690FE9"/>
    <w:rsid w:val="3798FB92"/>
    <w:rsid w:val="38BF50AA"/>
    <w:rsid w:val="396DCDA7"/>
    <w:rsid w:val="3A5CAFA5"/>
    <w:rsid w:val="3A9E4C95"/>
    <w:rsid w:val="3B05473B"/>
    <w:rsid w:val="3B09E122"/>
    <w:rsid w:val="3B3FE493"/>
    <w:rsid w:val="3BEDDF3B"/>
    <w:rsid w:val="3BF86E7E"/>
    <w:rsid w:val="3C4C4BDA"/>
    <w:rsid w:val="3C5355FE"/>
    <w:rsid w:val="3C560C91"/>
    <w:rsid w:val="3C8FF3AD"/>
    <w:rsid w:val="3CE79F9F"/>
    <w:rsid w:val="3CEC594E"/>
    <w:rsid w:val="3DEF14B9"/>
    <w:rsid w:val="3DFC2380"/>
    <w:rsid w:val="3E148462"/>
    <w:rsid w:val="3E442322"/>
    <w:rsid w:val="3E73F9AD"/>
    <w:rsid w:val="3F1EE5F1"/>
    <w:rsid w:val="3FADE938"/>
    <w:rsid w:val="3FC6CF9D"/>
    <w:rsid w:val="3FCC14A0"/>
    <w:rsid w:val="3FCCFE01"/>
    <w:rsid w:val="3FDBC57E"/>
    <w:rsid w:val="3FE0A9BF"/>
    <w:rsid w:val="40584450"/>
    <w:rsid w:val="4069BA63"/>
    <w:rsid w:val="40BAB652"/>
    <w:rsid w:val="40C9F169"/>
    <w:rsid w:val="41251626"/>
    <w:rsid w:val="4126C3A6"/>
    <w:rsid w:val="4133C442"/>
    <w:rsid w:val="4162C3C0"/>
    <w:rsid w:val="4167E501"/>
    <w:rsid w:val="41778C41"/>
    <w:rsid w:val="418E359D"/>
    <w:rsid w:val="41B183F7"/>
    <w:rsid w:val="42319C76"/>
    <w:rsid w:val="42C78D68"/>
    <w:rsid w:val="42CE90BA"/>
    <w:rsid w:val="43B499B7"/>
    <w:rsid w:val="43C35796"/>
    <w:rsid w:val="43E646CD"/>
    <w:rsid w:val="43F25714"/>
    <w:rsid w:val="43FD4F4C"/>
    <w:rsid w:val="444B83FC"/>
    <w:rsid w:val="4450C5B9"/>
    <w:rsid w:val="4454F6FB"/>
    <w:rsid w:val="445B5F9F"/>
    <w:rsid w:val="44643A9C"/>
    <w:rsid w:val="448FBCB1"/>
    <w:rsid w:val="44B5A60A"/>
    <w:rsid w:val="44B60D88"/>
    <w:rsid w:val="459F5885"/>
    <w:rsid w:val="45BEC92A"/>
    <w:rsid w:val="463B28AE"/>
    <w:rsid w:val="465EF29C"/>
    <w:rsid w:val="46DE3992"/>
    <w:rsid w:val="46E0CC12"/>
    <w:rsid w:val="470F7E87"/>
    <w:rsid w:val="47283E64"/>
    <w:rsid w:val="4801F8F8"/>
    <w:rsid w:val="4825725E"/>
    <w:rsid w:val="48330388"/>
    <w:rsid w:val="4875BC94"/>
    <w:rsid w:val="48A3348C"/>
    <w:rsid w:val="48E87B4E"/>
    <w:rsid w:val="493024C6"/>
    <w:rsid w:val="495EA5E0"/>
    <w:rsid w:val="49987547"/>
    <w:rsid w:val="4A118CF5"/>
    <w:rsid w:val="4A32AD70"/>
    <w:rsid w:val="4A65B0DB"/>
    <w:rsid w:val="4A695252"/>
    <w:rsid w:val="4A9A233D"/>
    <w:rsid w:val="4AC81F6B"/>
    <w:rsid w:val="4ADED568"/>
    <w:rsid w:val="4B174F13"/>
    <w:rsid w:val="4B3445A8"/>
    <w:rsid w:val="4B3F3DE0"/>
    <w:rsid w:val="4B4EEEB5"/>
    <w:rsid w:val="4B62BDDF"/>
    <w:rsid w:val="4B976B9C"/>
    <w:rsid w:val="4BE22861"/>
    <w:rsid w:val="4C375E08"/>
    <w:rsid w:val="4C5D584A"/>
    <w:rsid w:val="4C63EFCC"/>
    <w:rsid w:val="4C812D65"/>
    <w:rsid w:val="4CB2B9D2"/>
    <w:rsid w:val="4D5C41BD"/>
    <w:rsid w:val="4D994FAF"/>
    <w:rsid w:val="4DF928AB"/>
    <w:rsid w:val="4E653920"/>
    <w:rsid w:val="4FA42369"/>
    <w:rsid w:val="4FA8F66A"/>
    <w:rsid w:val="4FBFA79A"/>
    <w:rsid w:val="4FCDCBDE"/>
    <w:rsid w:val="50615FFC"/>
    <w:rsid w:val="50D445F4"/>
    <w:rsid w:val="50F5585F"/>
    <w:rsid w:val="510D0B81"/>
    <w:rsid w:val="5114D43D"/>
    <w:rsid w:val="512F9EA0"/>
    <w:rsid w:val="51359E86"/>
    <w:rsid w:val="5146FB19"/>
    <w:rsid w:val="5174A951"/>
    <w:rsid w:val="517BF23C"/>
    <w:rsid w:val="5259DCE9"/>
    <w:rsid w:val="525B36FE"/>
    <w:rsid w:val="5291F046"/>
    <w:rsid w:val="52EE6D31"/>
    <w:rsid w:val="52FE194F"/>
    <w:rsid w:val="5435CADF"/>
    <w:rsid w:val="543BB879"/>
    <w:rsid w:val="5441BCDE"/>
    <w:rsid w:val="5501B0FB"/>
    <w:rsid w:val="554C4EAE"/>
    <w:rsid w:val="555B1F7B"/>
    <w:rsid w:val="55715A4A"/>
    <w:rsid w:val="56BA1E2F"/>
    <w:rsid w:val="56E5B505"/>
    <w:rsid w:val="56F6EFDC"/>
    <w:rsid w:val="578FCEF9"/>
    <w:rsid w:val="579FD9F4"/>
    <w:rsid w:val="57C50A60"/>
    <w:rsid w:val="57CD4398"/>
    <w:rsid w:val="5892C03D"/>
    <w:rsid w:val="58A604DA"/>
    <w:rsid w:val="58C35159"/>
    <w:rsid w:val="590735C8"/>
    <w:rsid w:val="59635AEB"/>
    <w:rsid w:val="599CF0D0"/>
    <w:rsid w:val="59B4B7FB"/>
    <w:rsid w:val="59CAAF5F"/>
    <w:rsid w:val="59D9456B"/>
    <w:rsid w:val="5A49CD59"/>
    <w:rsid w:val="5A874B77"/>
    <w:rsid w:val="5AEF0B65"/>
    <w:rsid w:val="5AF16B15"/>
    <w:rsid w:val="5B278F1D"/>
    <w:rsid w:val="5B5F60D7"/>
    <w:rsid w:val="5B90C67B"/>
    <w:rsid w:val="5C598348"/>
    <w:rsid w:val="5C5D5BBA"/>
    <w:rsid w:val="5E222AFD"/>
    <w:rsid w:val="5E7061F3"/>
    <w:rsid w:val="5E707CE5"/>
    <w:rsid w:val="5EF5D003"/>
    <w:rsid w:val="5F080ED7"/>
    <w:rsid w:val="5F334A6D"/>
    <w:rsid w:val="5F559E7F"/>
    <w:rsid w:val="5FCB6180"/>
    <w:rsid w:val="603BA852"/>
    <w:rsid w:val="60B938D8"/>
    <w:rsid w:val="60E23695"/>
    <w:rsid w:val="617EF306"/>
    <w:rsid w:val="619A038C"/>
    <w:rsid w:val="61C34C57"/>
    <w:rsid w:val="6235852B"/>
    <w:rsid w:val="6254DF3E"/>
    <w:rsid w:val="628C966A"/>
    <w:rsid w:val="62BA9847"/>
    <w:rsid w:val="63143D19"/>
    <w:rsid w:val="635443B3"/>
    <w:rsid w:val="635D68DD"/>
    <w:rsid w:val="638C6ABC"/>
    <w:rsid w:val="638CFB9A"/>
    <w:rsid w:val="6397D807"/>
    <w:rsid w:val="63BD582E"/>
    <w:rsid w:val="63C8FCE4"/>
    <w:rsid w:val="63D78742"/>
    <w:rsid w:val="641F31D1"/>
    <w:rsid w:val="64243A5B"/>
    <w:rsid w:val="646D4964"/>
    <w:rsid w:val="64CE7163"/>
    <w:rsid w:val="64EF9824"/>
    <w:rsid w:val="656D25ED"/>
    <w:rsid w:val="65B40CF7"/>
    <w:rsid w:val="65CC1E34"/>
    <w:rsid w:val="661FADEA"/>
    <w:rsid w:val="663D2861"/>
    <w:rsid w:val="66450B3F"/>
    <w:rsid w:val="66505056"/>
    <w:rsid w:val="674FC57E"/>
    <w:rsid w:val="67786F0D"/>
    <w:rsid w:val="67B9AA5B"/>
    <w:rsid w:val="67D3FFF9"/>
    <w:rsid w:val="68038527"/>
    <w:rsid w:val="6875955B"/>
    <w:rsid w:val="689760D3"/>
    <w:rsid w:val="68A88859"/>
    <w:rsid w:val="69249CF3"/>
    <w:rsid w:val="6960776C"/>
    <w:rsid w:val="69F44333"/>
    <w:rsid w:val="69F56C06"/>
    <w:rsid w:val="6A3B2084"/>
    <w:rsid w:val="6A4DA5D7"/>
    <w:rsid w:val="6A8260DC"/>
    <w:rsid w:val="6B1F4EFE"/>
    <w:rsid w:val="6B26E642"/>
    <w:rsid w:val="6B27BD75"/>
    <w:rsid w:val="6B31F62E"/>
    <w:rsid w:val="6B6984BB"/>
    <w:rsid w:val="6BEDB3E7"/>
    <w:rsid w:val="6C1E313D"/>
    <w:rsid w:val="6C2DCE9D"/>
    <w:rsid w:val="6C35A89B"/>
    <w:rsid w:val="6CA9E488"/>
    <w:rsid w:val="6CDA46A1"/>
    <w:rsid w:val="6D4DCEA9"/>
    <w:rsid w:val="6D854699"/>
    <w:rsid w:val="6D8B0608"/>
    <w:rsid w:val="6E00A86E"/>
    <w:rsid w:val="6E63245C"/>
    <w:rsid w:val="6E687E07"/>
    <w:rsid w:val="6E7719B1"/>
    <w:rsid w:val="6F56211A"/>
    <w:rsid w:val="6F93DE77"/>
    <w:rsid w:val="6FF3D860"/>
    <w:rsid w:val="70368820"/>
    <w:rsid w:val="703BEBE5"/>
    <w:rsid w:val="70551974"/>
    <w:rsid w:val="70BDF7D0"/>
    <w:rsid w:val="70C58E97"/>
    <w:rsid w:val="710819E8"/>
    <w:rsid w:val="714FAB25"/>
    <w:rsid w:val="718E47A3"/>
    <w:rsid w:val="71938EA5"/>
    <w:rsid w:val="71B5BB57"/>
    <w:rsid w:val="71CF03C4"/>
    <w:rsid w:val="71ED942A"/>
    <w:rsid w:val="71F7494E"/>
    <w:rsid w:val="72CB958E"/>
    <w:rsid w:val="732C7541"/>
    <w:rsid w:val="73609E08"/>
    <w:rsid w:val="7394A49E"/>
    <w:rsid w:val="749430A0"/>
    <w:rsid w:val="7583C7B7"/>
    <w:rsid w:val="76641603"/>
    <w:rsid w:val="76EBA3A5"/>
    <w:rsid w:val="77130A40"/>
    <w:rsid w:val="777DF208"/>
    <w:rsid w:val="779B16F9"/>
    <w:rsid w:val="78384CB4"/>
    <w:rsid w:val="78F2FE84"/>
    <w:rsid w:val="7907EEF8"/>
    <w:rsid w:val="796FB63F"/>
    <w:rsid w:val="79A18FED"/>
    <w:rsid w:val="79CACFA2"/>
    <w:rsid w:val="79F0C653"/>
    <w:rsid w:val="7A2CCA3E"/>
    <w:rsid w:val="7A33A4F8"/>
    <w:rsid w:val="7A630226"/>
    <w:rsid w:val="7ABCC7CF"/>
    <w:rsid w:val="7B34D8DE"/>
    <w:rsid w:val="7B3D604E"/>
    <w:rsid w:val="7B64D78E"/>
    <w:rsid w:val="7B92C86A"/>
    <w:rsid w:val="7BAAD1E6"/>
    <w:rsid w:val="7C2A4362"/>
    <w:rsid w:val="7CC00852"/>
    <w:rsid w:val="7CCBAD9E"/>
    <w:rsid w:val="7CD930AF"/>
    <w:rsid w:val="7D10B3B6"/>
    <w:rsid w:val="7D33664E"/>
    <w:rsid w:val="7DA7598D"/>
    <w:rsid w:val="7DB7211D"/>
    <w:rsid w:val="7DC2EB50"/>
    <w:rsid w:val="7DF50983"/>
    <w:rsid w:val="7E5BD8B3"/>
    <w:rsid w:val="7EABFD8B"/>
    <w:rsid w:val="7EB0359C"/>
    <w:rsid w:val="7EB08418"/>
    <w:rsid w:val="7EC5ACC2"/>
    <w:rsid w:val="7ECF36AF"/>
    <w:rsid w:val="7F4CF993"/>
    <w:rsid w:val="7F68536D"/>
    <w:rsid w:val="7F76BCFC"/>
    <w:rsid w:val="7F90D9E4"/>
    <w:rsid w:val="7FA75D5D"/>
    <w:rsid w:val="7FB385A2"/>
    <w:rsid w:val="7FCE06AD"/>
    <w:rsid w:val="7FF760B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C1C2A4"/>
  <w15:docId w15:val="{132CAFD2-296D-4E45-8581-B5C252F6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DF7"/>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0DF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950DF7"/>
    <w:rPr>
      <w:sz w:val="24"/>
      <w:lang w:val="es-MX"/>
    </w:rPr>
  </w:style>
  <w:style w:type="paragraph" w:styleId="Encabezado">
    <w:name w:val="header"/>
    <w:basedOn w:val="Normal"/>
    <w:link w:val="EncabezadoCar"/>
    <w:uiPriority w:val="99"/>
    <w:unhideWhenUsed/>
    <w:rsid w:val="00950DF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50DF7"/>
    <w:rPr>
      <w:sz w:val="24"/>
      <w:lang w:val="es-MX"/>
    </w:rPr>
  </w:style>
  <w:style w:type="table" w:styleId="Tablaconcuadrcula">
    <w:name w:val="Table Grid"/>
    <w:basedOn w:val="Tablanormal"/>
    <w:uiPriority w:val="39"/>
    <w:rsid w:val="0095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50DF7"/>
    <w:pPr>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950DF7"/>
    <w:rPr>
      <w:color w:val="0563C1" w:themeColor="hyperlink"/>
      <w:u w:val="single"/>
    </w:rPr>
  </w:style>
  <w:style w:type="paragraph" w:styleId="NormalWeb">
    <w:name w:val="Normal (Web)"/>
    <w:basedOn w:val="Normal"/>
    <w:link w:val="NormalWebCar"/>
    <w:uiPriority w:val="99"/>
    <w:unhideWhenUsed/>
    <w:rsid w:val="00950DF7"/>
    <w:pPr>
      <w:spacing w:before="100" w:beforeAutospacing="1" w:after="100" w:afterAutospacing="1"/>
    </w:pPr>
    <w:rPr>
      <w:lang w:eastAsia="es-CO"/>
    </w:rPr>
  </w:style>
  <w:style w:type="paragraph" w:styleId="Sinespaciado">
    <w:name w:val="No Spacing"/>
    <w:aliases w:val="No Indent"/>
    <w:uiPriority w:val="3"/>
    <w:qFormat/>
    <w:rsid w:val="00950DF7"/>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50DF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950DF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950DF7"/>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50DF7"/>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950DF7"/>
    <w:rPr>
      <w:vertAlign w:val="superscript"/>
    </w:rPr>
  </w:style>
  <w:style w:type="table" w:customStyle="1" w:styleId="Tablaconcuadrcula1">
    <w:name w:val="Tabla con cuadrícula1"/>
    <w:basedOn w:val="Tablanormal"/>
    <w:next w:val="Tablaconcuadrcula"/>
    <w:uiPriority w:val="59"/>
    <w:rsid w:val="00950DF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950DF7"/>
    <w:pPr>
      <w:spacing w:after="160" w:line="240" w:lineRule="exact"/>
    </w:pPr>
    <w:rPr>
      <w:rFonts w:asciiTheme="minorHAnsi" w:eastAsiaTheme="minorHAnsi" w:hAnsiTheme="minorHAnsi" w:cstheme="minorBidi"/>
      <w:sz w:val="22"/>
      <w:szCs w:val="22"/>
      <w:vertAlign w:val="superscript"/>
      <w:lang w:eastAsia="en-US"/>
    </w:rPr>
  </w:style>
  <w:style w:type="character" w:styleId="Textoennegrita">
    <w:name w:val="Strong"/>
    <w:basedOn w:val="Fuentedeprrafopredeter"/>
    <w:uiPriority w:val="22"/>
    <w:qFormat/>
    <w:rsid w:val="00950DF7"/>
    <w:rPr>
      <w:b/>
      <w:bCs/>
    </w:rPr>
  </w:style>
  <w:style w:type="character" w:customStyle="1" w:styleId="NormalWebCar">
    <w:name w:val="Normal (Web) Car"/>
    <w:link w:val="NormalWeb"/>
    <w:uiPriority w:val="99"/>
    <w:rsid w:val="00950DF7"/>
    <w:rPr>
      <w:rFonts w:ascii="Times New Roman" w:eastAsia="Times New Roman" w:hAnsi="Times New Roman" w:cs="Times New Roman"/>
      <w:sz w:val="24"/>
      <w:szCs w:val="24"/>
      <w:lang w:eastAsia="es-CO"/>
    </w:rPr>
  </w:style>
  <w:style w:type="paragraph" w:styleId="Revisin">
    <w:name w:val="Revision"/>
    <w:hidden/>
    <w:uiPriority w:val="99"/>
    <w:semiHidden/>
    <w:rsid w:val="00A6242E"/>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3A2031"/>
    <w:rPr>
      <w:sz w:val="16"/>
      <w:szCs w:val="16"/>
    </w:rPr>
  </w:style>
  <w:style w:type="paragraph" w:styleId="Textocomentario">
    <w:name w:val="annotation text"/>
    <w:basedOn w:val="Normal"/>
    <w:link w:val="TextocomentarioCar"/>
    <w:uiPriority w:val="99"/>
    <w:unhideWhenUsed/>
    <w:rsid w:val="003A2031"/>
    <w:rPr>
      <w:sz w:val="20"/>
      <w:szCs w:val="20"/>
    </w:rPr>
  </w:style>
  <w:style w:type="character" w:customStyle="1" w:styleId="TextocomentarioCar">
    <w:name w:val="Texto comentario Car"/>
    <w:basedOn w:val="Fuentedeprrafopredeter"/>
    <w:link w:val="Textocomentario"/>
    <w:uiPriority w:val="99"/>
    <w:rsid w:val="003A2031"/>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3A2031"/>
    <w:rPr>
      <w:b/>
      <w:bCs/>
    </w:rPr>
  </w:style>
  <w:style w:type="character" w:customStyle="1" w:styleId="AsuntodelcomentarioCar">
    <w:name w:val="Asunto del comentario Car"/>
    <w:basedOn w:val="TextocomentarioCar"/>
    <w:link w:val="Asuntodelcomentario"/>
    <w:uiPriority w:val="99"/>
    <w:semiHidden/>
    <w:rsid w:val="003A2031"/>
    <w:rPr>
      <w:rFonts w:ascii="Times New Roman" w:eastAsia="Times New Roman" w:hAnsi="Times New Roman" w:cs="Times New Roman"/>
      <w:b/>
      <w:bCs/>
      <w:sz w:val="20"/>
      <w:szCs w:val="20"/>
      <w:lang w:eastAsia="es-ES_tradnl"/>
    </w:rPr>
  </w:style>
  <w:style w:type="character" w:styleId="Mencinsinresolver">
    <w:name w:val="Unresolved Mention"/>
    <w:basedOn w:val="Fuentedeprrafopredeter"/>
    <w:uiPriority w:val="99"/>
    <w:semiHidden/>
    <w:unhideWhenUsed/>
    <w:rsid w:val="004845C5"/>
    <w:rPr>
      <w:color w:val="605E5C"/>
      <w:shd w:val="clear" w:color="auto" w:fill="E1DFDD"/>
    </w:rPr>
  </w:style>
  <w:style w:type="character" w:styleId="Mencionar">
    <w:name w:val="Mention"/>
    <w:basedOn w:val="Fuentedeprrafopredeter"/>
    <w:uiPriority w:val="99"/>
    <w:unhideWhenUsed/>
    <w:rPr>
      <w:color w:val="2B579A"/>
      <w:shd w:val="clear" w:color="auto" w:fill="E6E6E6"/>
    </w:rPr>
  </w:style>
  <w:style w:type="character" w:customStyle="1" w:styleId="normaltextrun">
    <w:name w:val="normaltextrun"/>
    <w:basedOn w:val="Fuentedeprrafopredeter"/>
    <w:rsid w:val="0005405C"/>
  </w:style>
  <w:style w:type="paragraph" w:customStyle="1" w:styleId="paragraph">
    <w:name w:val="paragraph"/>
    <w:basedOn w:val="Normal"/>
    <w:rsid w:val="00F51F9C"/>
    <w:pPr>
      <w:spacing w:before="100" w:beforeAutospacing="1" w:after="100" w:afterAutospacing="1"/>
    </w:pPr>
    <w:rPr>
      <w:lang w:eastAsia="es-CO"/>
    </w:rPr>
  </w:style>
  <w:style w:type="character" w:customStyle="1" w:styleId="eop">
    <w:name w:val="eop"/>
    <w:basedOn w:val="Fuentedeprrafopredeter"/>
    <w:rsid w:val="00F51F9C"/>
  </w:style>
  <w:style w:type="character" w:styleId="Refdenotaalfinal">
    <w:name w:val="endnote reference"/>
    <w:basedOn w:val="Fuentedeprrafopredeter"/>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903315">
      <w:bodyDiv w:val="1"/>
      <w:marLeft w:val="0"/>
      <w:marRight w:val="0"/>
      <w:marTop w:val="0"/>
      <w:marBottom w:val="0"/>
      <w:divBdr>
        <w:top w:val="none" w:sz="0" w:space="0" w:color="auto"/>
        <w:left w:val="none" w:sz="0" w:space="0" w:color="auto"/>
        <w:bottom w:val="none" w:sz="0" w:space="0" w:color="auto"/>
        <w:right w:val="none" w:sz="0" w:space="0" w:color="auto"/>
      </w:divBdr>
      <w:divsChild>
        <w:div w:id="722411169">
          <w:marLeft w:val="0"/>
          <w:marRight w:val="0"/>
          <w:marTop w:val="0"/>
          <w:marBottom w:val="0"/>
          <w:divBdr>
            <w:top w:val="none" w:sz="0" w:space="0" w:color="auto"/>
            <w:left w:val="none" w:sz="0" w:space="0" w:color="auto"/>
            <w:bottom w:val="none" w:sz="0" w:space="0" w:color="auto"/>
            <w:right w:val="none" w:sz="0" w:space="0" w:color="auto"/>
          </w:divBdr>
          <w:divsChild>
            <w:div w:id="1856840831">
              <w:marLeft w:val="0"/>
              <w:marRight w:val="0"/>
              <w:marTop w:val="0"/>
              <w:marBottom w:val="0"/>
              <w:divBdr>
                <w:top w:val="none" w:sz="0" w:space="0" w:color="auto"/>
                <w:left w:val="none" w:sz="0" w:space="0" w:color="auto"/>
                <w:bottom w:val="none" w:sz="0" w:space="0" w:color="auto"/>
                <w:right w:val="none" w:sz="0" w:space="0" w:color="auto"/>
              </w:divBdr>
            </w:div>
          </w:divsChild>
        </w:div>
        <w:div w:id="1754430499">
          <w:marLeft w:val="0"/>
          <w:marRight w:val="0"/>
          <w:marTop w:val="0"/>
          <w:marBottom w:val="0"/>
          <w:divBdr>
            <w:top w:val="none" w:sz="0" w:space="0" w:color="auto"/>
            <w:left w:val="none" w:sz="0" w:space="0" w:color="auto"/>
            <w:bottom w:val="none" w:sz="0" w:space="0" w:color="auto"/>
            <w:right w:val="none" w:sz="0" w:space="0" w:color="auto"/>
          </w:divBdr>
          <w:divsChild>
            <w:div w:id="454956224">
              <w:marLeft w:val="0"/>
              <w:marRight w:val="0"/>
              <w:marTop w:val="0"/>
              <w:marBottom w:val="0"/>
              <w:divBdr>
                <w:top w:val="none" w:sz="0" w:space="0" w:color="auto"/>
                <w:left w:val="none" w:sz="0" w:space="0" w:color="auto"/>
                <w:bottom w:val="none" w:sz="0" w:space="0" w:color="auto"/>
                <w:right w:val="none" w:sz="0" w:space="0" w:color="auto"/>
              </w:divBdr>
            </w:div>
            <w:div w:id="615646031">
              <w:marLeft w:val="0"/>
              <w:marRight w:val="0"/>
              <w:marTop w:val="0"/>
              <w:marBottom w:val="0"/>
              <w:divBdr>
                <w:top w:val="none" w:sz="0" w:space="0" w:color="auto"/>
                <w:left w:val="none" w:sz="0" w:space="0" w:color="auto"/>
                <w:bottom w:val="none" w:sz="0" w:space="0" w:color="auto"/>
                <w:right w:val="none" w:sz="0" w:space="0" w:color="auto"/>
              </w:divBdr>
            </w:div>
            <w:div w:id="85361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42481">
      <w:bodyDiv w:val="1"/>
      <w:marLeft w:val="0"/>
      <w:marRight w:val="0"/>
      <w:marTop w:val="0"/>
      <w:marBottom w:val="0"/>
      <w:divBdr>
        <w:top w:val="none" w:sz="0" w:space="0" w:color="auto"/>
        <w:left w:val="none" w:sz="0" w:space="0" w:color="auto"/>
        <w:bottom w:val="none" w:sz="0" w:space="0" w:color="auto"/>
        <w:right w:val="none" w:sz="0" w:space="0" w:color="auto"/>
      </w:divBdr>
      <w:divsChild>
        <w:div w:id="1491865052">
          <w:marLeft w:val="0"/>
          <w:marRight w:val="0"/>
          <w:marTop w:val="0"/>
          <w:marBottom w:val="0"/>
          <w:divBdr>
            <w:top w:val="none" w:sz="0" w:space="0" w:color="auto"/>
            <w:left w:val="none" w:sz="0" w:space="0" w:color="auto"/>
            <w:bottom w:val="none" w:sz="0" w:space="0" w:color="auto"/>
            <w:right w:val="none" w:sz="0" w:space="0" w:color="auto"/>
          </w:divBdr>
          <w:divsChild>
            <w:div w:id="1068841056">
              <w:marLeft w:val="0"/>
              <w:marRight w:val="0"/>
              <w:marTop w:val="0"/>
              <w:marBottom w:val="0"/>
              <w:divBdr>
                <w:top w:val="none" w:sz="0" w:space="0" w:color="auto"/>
                <w:left w:val="none" w:sz="0" w:space="0" w:color="auto"/>
                <w:bottom w:val="none" w:sz="0" w:space="0" w:color="auto"/>
                <w:right w:val="none" w:sz="0" w:space="0" w:color="auto"/>
              </w:divBdr>
            </w:div>
          </w:divsChild>
        </w:div>
        <w:div w:id="1554075155">
          <w:marLeft w:val="0"/>
          <w:marRight w:val="0"/>
          <w:marTop w:val="0"/>
          <w:marBottom w:val="0"/>
          <w:divBdr>
            <w:top w:val="none" w:sz="0" w:space="0" w:color="auto"/>
            <w:left w:val="none" w:sz="0" w:space="0" w:color="auto"/>
            <w:bottom w:val="none" w:sz="0" w:space="0" w:color="auto"/>
            <w:right w:val="none" w:sz="0" w:space="0" w:color="auto"/>
          </w:divBdr>
          <w:divsChild>
            <w:div w:id="2770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3741">
      <w:bodyDiv w:val="1"/>
      <w:marLeft w:val="0"/>
      <w:marRight w:val="0"/>
      <w:marTop w:val="0"/>
      <w:marBottom w:val="0"/>
      <w:divBdr>
        <w:top w:val="none" w:sz="0" w:space="0" w:color="auto"/>
        <w:left w:val="none" w:sz="0" w:space="0" w:color="auto"/>
        <w:bottom w:val="none" w:sz="0" w:space="0" w:color="auto"/>
        <w:right w:val="none" w:sz="0" w:space="0" w:color="auto"/>
      </w:divBdr>
    </w:div>
    <w:div w:id="1407653781">
      <w:bodyDiv w:val="1"/>
      <w:marLeft w:val="0"/>
      <w:marRight w:val="0"/>
      <w:marTop w:val="0"/>
      <w:marBottom w:val="0"/>
      <w:divBdr>
        <w:top w:val="none" w:sz="0" w:space="0" w:color="auto"/>
        <w:left w:val="none" w:sz="0" w:space="0" w:color="auto"/>
        <w:bottom w:val="none" w:sz="0" w:space="0" w:color="auto"/>
        <w:right w:val="none" w:sz="0" w:space="0" w:color="auto"/>
      </w:divBdr>
    </w:div>
    <w:div w:id="1837302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9654F0-47A5-4E73-A99F-8965E6BD22B7}">
  <ds:schemaRefs>
    <ds:schemaRef ds:uri="http://schemas.openxmlformats.org/officeDocument/2006/bibliography"/>
  </ds:schemaRefs>
</ds:datastoreItem>
</file>

<file path=customXml/itemProps2.xml><?xml version="1.0" encoding="utf-8"?>
<ds:datastoreItem xmlns:ds="http://schemas.openxmlformats.org/officeDocument/2006/customXml" ds:itemID="{A4CA4C98-7691-4B00-93C1-1C421D46B7F6}">
  <ds:schemaRefs>
    <ds:schemaRef ds:uri="http://schemas.microsoft.com/sharepoint/v3/contenttype/forms"/>
  </ds:schemaRefs>
</ds:datastoreItem>
</file>

<file path=customXml/itemProps3.xml><?xml version="1.0" encoding="utf-8"?>
<ds:datastoreItem xmlns:ds="http://schemas.openxmlformats.org/officeDocument/2006/customXml" ds:itemID="{5C56A34D-86C6-4FEF-9F21-278C40FAB50C}">
  <ds:schemaRefs>
    <ds:schemaRef ds:uri="http://schemas.microsoft.com/office/2006/documentManagement/types"/>
    <ds:schemaRef ds:uri="http://purl.org/dc/terms/"/>
    <ds:schemaRef ds:uri="9d85dbaf-23eb-4e57-a637-93dcacc8b1a1"/>
    <ds:schemaRef ds:uri="a6cb9e4b-f1d1-4245-83ec-6cad768d538a"/>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D46B37A-467F-4161-A992-1E13CCD16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3902</Words>
  <Characters>21465</Characters>
  <Application>Microsoft Office Word</Application>
  <DocSecurity>0</DocSecurity>
  <Lines>178</Lines>
  <Paragraphs>50</Paragraphs>
  <ScaleCrop>false</ScaleCrop>
  <Company/>
  <LinksUpToDate>false</LinksUpToDate>
  <CharactersWithSpaces>25317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Santiago Alberto Herrera Morillo</cp:lastModifiedBy>
  <cp:revision>4</cp:revision>
  <dcterms:created xsi:type="dcterms:W3CDTF">2023-10-20T21:25:00Z</dcterms:created>
  <dcterms:modified xsi:type="dcterms:W3CDTF">2024-03-15T19:29:00Z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