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F830" w14:textId="77777777" w:rsidR="00D14F00" w:rsidRPr="00594103" w:rsidRDefault="00D14F00" w:rsidP="00D14F00">
      <w:pPr>
        <w:spacing w:line="276" w:lineRule="auto"/>
        <w:jc w:val="both"/>
        <w:rPr>
          <w:rFonts w:ascii="Century Gothic" w:eastAsia="Calibri" w:hAnsi="Century Gothic" w:cs="Arial"/>
          <w:b/>
          <w:color w:val="000000" w:themeColor="text1"/>
          <w:lang w:val="es-ES_tradnl"/>
        </w:rPr>
      </w:pPr>
      <w:r w:rsidRPr="00594103">
        <w:rPr>
          <w:rFonts w:ascii="Century Gothic" w:eastAsia="Calibri" w:hAnsi="Century Gothic" w:cs="Arial"/>
          <w:b/>
          <w:color w:val="000000" w:themeColor="text1"/>
          <w:lang w:val="es-ES_tradnl"/>
        </w:rPr>
        <w:t>ENTIDADES CON RÉGIMEN ESPECIAL – Definición</w:t>
      </w:r>
    </w:p>
    <w:p w14:paraId="049F05AF" w14:textId="77777777" w:rsidR="00D14F00" w:rsidRPr="00594103" w:rsidRDefault="00D14F00" w:rsidP="00D14F00">
      <w:pPr>
        <w:spacing w:line="276" w:lineRule="auto"/>
        <w:jc w:val="both"/>
        <w:rPr>
          <w:rFonts w:ascii="Century Gothic" w:eastAsia="Calibri" w:hAnsi="Century Gothic" w:cs="Arial"/>
          <w:color w:val="000000" w:themeColor="text1"/>
          <w:sz w:val="20"/>
          <w:szCs w:val="20"/>
          <w:lang w:val="es-ES_tradnl"/>
        </w:rPr>
      </w:pPr>
      <w:r w:rsidRPr="00594103">
        <w:rPr>
          <w:rFonts w:ascii="Century Gothic" w:eastAsia="Calibri" w:hAnsi="Century Gothic" w:cs="Arial"/>
          <w:color w:val="000000" w:themeColor="text1"/>
          <w:sz w:val="20"/>
          <w:szCs w:val="20"/>
          <w:lang w:val="es-ES_tradnl"/>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63A9BF8C" w14:textId="77777777" w:rsidR="00D14F00" w:rsidRPr="00594103" w:rsidRDefault="00D14F00" w:rsidP="00D14F00">
      <w:pPr>
        <w:spacing w:line="276" w:lineRule="auto"/>
        <w:jc w:val="both"/>
        <w:rPr>
          <w:rFonts w:ascii="Century Gothic" w:eastAsia="Calibri" w:hAnsi="Century Gothic" w:cs="Arial"/>
          <w:b/>
          <w:color w:val="000000" w:themeColor="text1"/>
          <w:lang w:val="es-ES_tradnl"/>
        </w:rPr>
      </w:pPr>
      <w:r w:rsidRPr="00594103">
        <w:rPr>
          <w:rFonts w:ascii="Century Gothic" w:eastAsia="Calibri" w:hAnsi="Century Gothic" w:cs="Arial"/>
          <w:b/>
          <w:color w:val="000000" w:themeColor="text1"/>
          <w:lang w:val="es-ES_tradnl"/>
        </w:rPr>
        <w:t>ENTIDADES CON RÉGIMEN ESPECIAL – Reglas aplicables</w:t>
      </w:r>
    </w:p>
    <w:p w14:paraId="022647D0" w14:textId="77777777" w:rsidR="00D14F00" w:rsidRPr="00594103" w:rsidRDefault="00D14F00" w:rsidP="00D14F00">
      <w:pPr>
        <w:spacing w:line="276" w:lineRule="auto"/>
        <w:jc w:val="both"/>
        <w:rPr>
          <w:rFonts w:ascii="Century Gothic" w:eastAsia="Calibri" w:hAnsi="Century Gothic" w:cs="Arial"/>
          <w:color w:val="000000" w:themeColor="text1"/>
          <w:sz w:val="20"/>
          <w:szCs w:val="20"/>
          <w:lang w:val="es-ES_tradnl"/>
        </w:rPr>
      </w:pPr>
      <w:r w:rsidRPr="00594103">
        <w:rPr>
          <w:rFonts w:ascii="Century Gothic" w:eastAsia="Calibri" w:hAnsi="Century Gothic" w:cs="Arial"/>
          <w:color w:val="000000" w:themeColor="text1"/>
          <w:sz w:val="20"/>
          <w:szCs w:val="20"/>
          <w:lang w:val="es-ES_tradnl"/>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119DA3E6" w14:textId="77777777" w:rsidR="00D14F00" w:rsidRPr="00594103" w:rsidRDefault="00D14F00" w:rsidP="00D14F00">
      <w:pPr>
        <w:spacing w:before="120" w:line="276" w:lineRule="auto"/>
        <w:jc w:val="both"/>
        <w:rPr>
          <w:rFonts w:ascii="Century Gothic" w:eastAsia="Calibri" w:hAnsi="Century Gothic" w:cs="Arial"/>
          <w:color w:val="000000" w:themeColor="text1"/>
          <w:sz w:val="20"/>
          <w:szCs w:val="20"/>
          <w:lang w:val="es-ES_tradnl"/>
        </w:rPr>
      </w:pPr>
      <w:r w:rsidRPr="00594103">
        <w:rPr>
          <w:rFonts w:ascii="Century Gothic" w:eastAsia="Calibri" w:hAnsi="Century Gothic" w:cs="Arial"/>
          <w:color w:val="000000" w:themeColor="text1"/>
          <w:sz w:val="20"/>
          <w:szCs w:val="20"/>
          <w:lang w:val="es-ES_tradn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w:t>
      </w:r>
    </w:p>
    <w:p w14:paraId="67A55DE9" w14:textId="77777777" w:rsidR="00D14F00" w:rsidRPr="00594103" w:rsidRDefault="00D14F00" w:rsidP="00D14F00">
      <w:pPr>
        <w:spacing w:line="276" w:lineRule="auto"/>
        <w:jc w:val="both"/>
        <w:rPr>
          <w:rFonts w:ascii="Century Gothic" w:eastAsia="Calibri" w:hAnsi="Century Gothic" w:cs="Arial"/>
          <w:b/>
          <w:color w:val="000000" w:themeColor="text1"/>
          <w:lang w:val="es-ES_tradnl"/>
        </w:rPr>
      </w:pPr>
      <w:r w:rsidRPr="00594103">
        <w:rPr>
          <w:rFonts w:ascii="Century Gothic" w:eastAsia="Calibri" w:hAnsi="Century Gothic" w:cs="Arial"/>
          <w:b/>
          <w:color w:val="000000" w:themeColor="text1"/>
          <w:lang w:val="es-ES_tradnl"/>
        </w:rPr>
        <w:t>EMPRESAS SOCIALES DEL ESTADO – Régimen jurídico – Reglas aplicables</w:t>
      </w:r>
    </w:p>
    <w:p w14:paraId="4E109CB2" w14:textId="77777777" w:rsidR="00D14F00" w:rsidRPr="00594103" w:rsidRDefault="00D14F00" w:rsidP="00D14F00">
      <w:pPr>
        <w:spacing w:line="276" w:lineRule="auto"/>
        <w:jc w:val="both"/>
        <w:rPr>
          <w:rFonts w:ascii="Century Gothic" w:eastAsia="Calibri" w:hAnsi="Century Gothic" w:cs="Arial"/>
          <w:color w:val="000000" w:themeColor="text1"/>
          <w:sz w:val="20"/>
          <w:szCs w:val="20"/>
        </w:rPr>
      </w:pPr>
      <w:r w:rsidRPr="00594103">
        <w:rPr>
          <w:rFonts w:ascii="Century Gothic" w:eastAsia="Calibri" w:hAnsi="Century Gothic" w:cs="Arial"/>
          <w:color w:val="000000" w:themeColor="text1"/>
          <w:sz w:val="20"/>
          <w:szCs w:val="20"/>
          <w:lang w:val="es-ES_tradnl"/>
        </w:rPr>
        <w:t xml:space="preserve">[…] </w:t>
      </w:r>
      <w:r w:rsidRPr="00594103">
        <w:rPr>
          <w:rFonts w:ascii="Century Gothic" w:eastAsia="Calibri" w:hAnsi="Century Gothic" w:cs="Arial"/>
          <w:color w:val="000000" w:themeColor="text1"/>
          <w:sz w:val="20"/>
          <w:szCs w:val="20"/>
        </w:rPr>
        <w:t xml:space="preserve">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w:t>
      </w:r>
      <w:proofErr w:type="gramStart"/>
      <w:r w:rsidRPr="00594103">
        <w:rPr>
          <w:rFonts w:ascii="Century Gothic" w:eastAsia="Calibri" w:hAnsi="Century Gothic" w:cs="Arial"/>
          <w:color w:val="000000" w:themeColor="text1"/>
          <w:sz w:val="20"/>
          <w:szCs w:val="20"/>
        </w:rPr>
        <w:t>de acuerdo a</w:t>
      </w:r>
      <w:proofErr w:type="gramEnd"/>
      <w:r w:rsidRPr="00594103">
        <w:rPr>
          <w:rFonts w:ascii="Century Gothic" w:eastAsia="Calibri" w:hAnsi="Century Gothic" w:cs="Arial"/>
          <w:color w:val="000000" w:themeColor="text1"/>
          <w:sz w:val="20"/>
          <w:szCs w:val="20"/>
        </w:rPr>
        <w:t xml:space="preserve">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6E582577" w14:textId="77777777" w:rsidR="00D14F00" w:rsidRPr="00594103" w:rsidRDefault="00D14F00" w:rsidP="00D14F00">
      <w:pPr>
        <w:spacing w:before="120" w:line="276" w:lineRule="auto"/>
        <w:jc w:val="both"/>
        <w:rPr>
          <w:rFonts w:ascii="Century Gothic" w:eastAsia="Calibri" w:hAnsi="Century Gothic" w:cs="Arial"/>
          <w:color w:val="000000" w:themeColor="text1"/>
          <w:sz w:val="20"/>
          <w:szCs w:val="20"/>
        </w:rPr>
      </w:pPr>
      <w:r w:rsidRPr="00594103">
        <w:rPr>
          <w:rFonts w:ascii="Century Gothic" w:eastAsia="Calibri" w:hAnsi="Century Gothic" w:cs="Arial"/>
          <w:color w:val="000000" w:themeColor="text1"/>
          <w:sz w:val="20"/>
          <w:szCs w:val="20"/>
        </w:rPr>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p>
    <w:p w14:paraId="46A2270A" w14:textId="77777777" w:rsidR="00D14F00" w:rsidRPr="00594103" w:rsidRDefault="00D14F00" w:rsidP="00D14F00">
      <w:pPr>
        <w:spacing w:line="276" w:lineRule="auto"/>
        <w:jc w:val="both"/>
        <w:rPr>
          <w:rFonts w:ascii="Century Gothic" w:eastAsia="Calibri" w:hAnsi="Century Gothic" w:cs="Arial"/>
          <w:b/>
          <w:bCs/>
          <w:color w:val="000000" w:themeColor="text1"/>
        </w:rPr>
      </w:pPr>
      <w:r w:rsidRPr="00594103">
        <w:rPr>
          <w:rFonts w:ascii="Century Gothic" w:eastAsia="Calibri" w:hAnsi="Century Gothic" w:cs="Arial"/>
          <w:b/>
          <w:bCs/>
          <w:color w:val="000000" w:themeColor="text1"/>
        </w:rPr>
        <w:t>ENTIDADES CON RÉGIMEN ESPECIAL – Manual de contratación – Contenido</w:t>
      </w:r>
    </w:p>
    <w:p w14:paraId="55C0782F" w14:textId="77777777" w:rsidR="00D14F00" w:rsidRPr="00594103" w:rsidRDefault="00D14F00" w:rsidP="00D14F00">
      <w:pPr>
        <w:spacing w:line="276" w:lineRule="auto"/>
        <w:jc w:val="both"/>
        <w:rPr>
          <w:rStyle w:val="normaltextrun"/>
          <w:rFonts w:ascii="Century Gothic" w:eastAsia="Calibri" w:hAnsi="Century Gothic" w:cs="Arial"/>
          <w:color w:val="000000" w:themeColor="text1"/>
          <w:sz w:val="20"/>
          <w:szCs w:val="20"/>
          <w:lang w:val="es-ES_tradnl"/>
        </w:rPr>
      </w:pPr>
      <w:r w:rsidRPr="00594103">
        <w:rPr>
          <w:rFonts w:ascii="Century Gothic" w:eastAsia="Calibri" w:hAnsi="Century Gothic" w:cs="Arial"/>
          <w:color w:val="000000" w:themeColor="text1"/>
          <w:sz w:val="20"/>
          <w:szCs w:val="20"/>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w:t>
      </w:r>
      <w:r w:rsidRPr="00594103">
        <w:rPr>
          <w:rFonts w:ascii="Century Gothic" w:eastAsia="Calibri" w:hAnsi="Century Gothic" w:cs="Arial"/>
          <w:color w:val="000000" w:themeColor="text1"/>
          <w:sz w:val="20"/>
          <w:szCs w:val="20"/>
          <w:lang w:val="es-ES_tradnl"/>
        </w:rPr>
        <w:lastRenderedPageBreak/>
        <w:t>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p>
    <w:p w14:paraId="53CF7CD6" w14:textId="77777777" w:rsidR="00D14F00" w:rsidRPr="00594103" w:rsidRDefault="00D14F00" w:rsidP="00D14F00">
      <w:pPr>
        <w:pStyle w:val="paragraph"/>
        <w:spacing w:before="0" w:beforeAutospacing="0" w:after="160" w:afterAutospacing="0" w:line="276" w:lineRule="auto"/>
        <w:jc w:val="both"/>
        <w:textAlignment w:val="baseline"/>
        <w:rPr>
          <w:rFonts w:ascii="Century Gothic" w:hAnsi="Century Gothic" w:cs="Arial"/>
          <w:sz w:val="22"/>
          <w:szCs w:val="22"/>
        </w:rPr>
      </w:pPr>
      <w:r w:rsidRPr="00594103">
        <w:rPr>
          <w:rStyle w:val="normaltextrun"/>
          <w:rFonts w:ascii="Century Gothic" w:hAnsi="Century Gothic" w:cs="Arial"/>
          <w:b/>
          <w:bCs/>
          <w:sz w:val="22"/>
          <w:szCs w:val="22"/>
        </w:rPr>
        <w:t>LEY DE EMPRENDIMIENTO – Ley 2069 de 2020</w:t>
      </w:r>
      <w:r w:rsidRPr="00594103">
        <w:rPr>
          <w:rStyle w:val="eop"/>
          <w:rFonts w:ascii="Century Gothic" w:hAnsi="Century Gothic" w:cs="Arial"/>
          <w:sz w:val="20"/>
          <w:szCs w:val="20"/>
        </w:rPr>
        <w:t> </w:t>
      </w:r>
    </w:p>
    <w:p w14:paraId="59F50ECF" w14:textId="77777777" w:rsidR="00D14F00" w:rsidRPr="00594103" w:rsidRDefault="00D14F00" w:rsidP="00D14F00">
      <w:pPr>
        <w:pStyle w:val="paragraph"/>
        <w:spacing w:before="0" w:beforeAutospacing="0" w:after="160" w:afterAutospacing="0" w:line="276" w:lineRule="auto"/>
        <w:jc w:val="both"/>
        <w:textAlignment w:val="baseline"/>
        <w:rPr>
          <w:rFonts w:ascii="Century Gothic" w:hAnsi="Century Gothic" w:cs="Arial"/>
          <w:sz w:val="20"/>
          <w:szCs w:val="20"/>
        </w:rPr>
      </w:pPr>
      <w:r w:rsidRPr="00594103">
        <w:rPr>
          <w:rStyle w:val="normaltextrun"/>
          <w:rFonts w:ascii="Century Gothic" w:hAnsi="Century Gothic"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w:t>
      </w:r>
      <w:r w:rsidRPr="00594103">
        <w:rPr>
          <w:rStyle w:val="normaltextrun"/>
          <w:rFonts w:ascii="Arial" w:hAnsi="Arial" w:cs="Arial"/>
          <w:sz w:val="20"/>
          <w:szCs w:val="20"/>
          <w:lang w:val="es-ES"/>
        </w:rPr>
        <w:t> </w:t>
      </w:r>
      <w:r w:rsidRPr="00594103">
        <w:rPr>
          <w:rStyle w:val="normaltextrun"/>
          <w:rFonts w:ascii="Arial" w:hAnsi="Arial" w:cs="Arial"/>
          <w:sz w:val="20"/>
          <w:szCs w:val="20"/>
        </w:rPr>
        <w:t> </w:t>
      </w:r>
      <w:r w:rsidRPr="00594103">
        <w:rPr>
          <w:rStyle w:val="eop"/>
          <w:rFonts w:ascii="Century Gothic" w:hAnsi="Century Gothic" w:cs="Arial"/>
          <w:sz w:val="20"/>
          <w:szCs w:val="20"/>
        </w:rPr>
        <w:t> </w:t>
      </w:r>
      <w:r w:rsidRPr="00594103">
        <w:rPr>
          <w:rStyle w:val="normaltextrun"/>
          <w:rFonts w:ascii="Arial" w:hAnsi="Arial" w:cs="Arial"/>
          <w:sz w:val="20"/>
          <w:szCs w:val="20"/>
        </w:rPr>
        <w:t> </w:t>
      </w:r>
      <w:r w:rsidRPr="00594103">
        <w:rPr>
          <w:rStyle w:val="eop"/>
          <w:rFonts w:ascii="Century Gothic" w:hAnsi="Century Gothic" w:cs="Arial"/>
          <w:sz w:val="20"/>
          <w:szCs w:val="20"/>
        </w:rPr>
        <w:t> </w:t>
      </w:r>
    </w:p>
    <w:p w14:paraId="2945F8B6" w14:textId="77777777" w:rsidR="00D14F00" w:rsidRPr="00594103" w:rsidRDefault="00D14F00" w:rsidP="00D14F00">
      <w:pPr>
        <w:pStyle w:val="paragraph"/>
        <w:spacing w:before="0" w:beforeAutospacing="0" w:after="160" w:afterAutospacing="0" w:line="276" w:lineRule="auto"/>
        <w:jc w:val="both"/>
        <w:textAlignment w:val="baseline"/>
        <w:rPr>
          <w:rFonts w:ascii="Century Gothic" w:hAnsi="Century Gothic" w:cs="Arial"/>
          <w:sz w:val="20"/>
          <w:szCs w:val="20"/>
        </w:rPr>
      </w:pPr>
      <w:r w:rsidRPr="6E32F7E7">
        <w:rPr>
          <w:rStyle w:val="normaltextrun"/>
          <w:rFonts w:ascii="Century Gothic" w:hAnsi="Century Gothic"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6E32F7E7">
        <w:rPr>
          <w:rStyle w:val="normaltextrun"/>
          <w:rFonts w:ascii="Century Gothic" w:hAnsi="Century Gothic" w:cs="Arial"/>
          <w:sz w:val="20"/>
          <w:szCs w:val="20"/>
          <w:lang w:val="es-ES"/>
        </w:rPr>
        <w:t>mipymes</w:t>
      </w:r>
      <w:proofErr w:type="spellEnd"/>
      <w:r w:rsidRPr="6E32F7E7">
        <w:rPr>
          <w:rStyle w:val="normaltextrun"/>
          <w:rFonts w:ascii="Century Gothic" w:hAnsi="Century Gothic"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6E32F7E7">
        <w:rPr>
          <w:rStyle w:val="normaltextrun"/>
          <w:rFonts w:ascii="Arial" w:hAnsi="Arial" w:cs="Arial"/>
          <w:sz w:val="20"/>
          <w:szCs w:val="20"/>
        </w:rPr>
        <w:t> </w:t>
      </w:r>
      <w:r w:rsidRPr="6E32F7E7">
        <w:rPr>
          <w:rStyle w:val="eop"/>
          <w:rFonts w:ascii="Century Gothic" w:hAnsi="Century Gothic" w:cs="Arial"/>
          <w:sz w:val="20"/>
          <w:szCs w:val="20"/>
        </w:rPr>
        <w:t> </w:t>
      </w:r>
    </w:p>
    <w:p w14:paraId="7C632BF7" w14:textId="77777777" w:rsidR="00D14F00" w:rsidRDefault="00D14F00" w:rsidP="00D14F00">
      <w:pPr>
        <w:pStyle w:val="paragraph"/>
        <w:spacing w:before="0" w:beforeAutospacing="0" w:after="160" w:afterAutospacing="0" w:line="276" w:lineRule="auto"/>
        <w:jc w:val="both"/>
        <w:rPr>
          <w:rStyle w:val="eop"/>
          <w:rFonts w:ascii="Century Gothic" w:hAnsi="Century Gothic" w:cs="Arial"/>
          <w:sz w:val="20"/>
          <w:szCs w:val="20"/>
        </w:rPr>
      </w:pPr>
    </w:p>
    <w:p w14:paraId="039A985F" w14:textId="77777777" w:rsidR="00D14F00" w:rsidRDefault="00D14F00" w:rsidP="00D14F00">
      <w:pPr>
        <w:pStyle w:val="paragraph"/>
        <w:spacing w:before="0" w:beforeAutospacing="0" w:after="160" w:afterAutospacing="0" w:line="276" w:lineRule="auto"/>
        <w:jc w:val="both"/>
        <w:rPr>
          <w:rStyle w:val="eop"/>
          <w:rFonts w:ascii="Century Gothic" w:hAnsi="Century Gothic" w:cs="Arial"/>
          <w:sz w:val="20"/>
          <w:szCs w:val="20"/>
        </w:rPr>
      </w:pPr>
    </w:p>
    <w:p w14:paraId="5CD42EE1" w14:textId="77777777" w:rsidR="00D14F00" w:rsidRDefault="00D14F00" w:rsidP="00D14F00">
      <w:pPr>
        <w:pStyle w:val="paragraph"/>
        <w:spacing w:before="0" w:beforeAutospacing="0" w:after="160" w:afterAutospacing="0" w:line="276" w:lineRule="auto"/>
        <w:jc w:val="both"/>
        <w:rPr>
          <w:rStyle w:val="eop"/>
          <w:rFonts w:ascii="Century Gothic" w:hAnsi="Century Gothic" w:cs="Arial"/>
          <w:sz w:val="20"/>
          <w:szCs w:val="20"/>
        </w:rPr>
      </w:pPr>
    </w:p>
    <w:p w14:paraId="53175AAF" w14:textId="77777777" w:rsidR="00D14F00" w:rsidRDefault="00D14F00" w:rsidP="00D14F00">
      <w:pPr>
        <w:spacing w:line="276" w:lineRule="auto"/>
        <w:jc w:val="both"/>
        <w:rPr>
          <w:rFonts w:ascii="Century Gothic" w:eastAsia="Calibri" w:hAnsi="Century Gothic" w:cs="Arial"/>
          <w:lang w:eastAsia="es-ES_tradnl"/>
        </w:rPr>
      </w:pPr>
    </w:p>
    <w:p w14:paraId="41FEC976" w14:textId="77777777" w:rsidR="00D14F00" w:rsidRDefault="00D14F00" w:rsidP="00D14F00">
      <w:pPr>
        <w:spacing w:line="276" w:lineRule="auto"/>
        <w:jc w:val="both"/>
        <w:rPr>
          <w:rFonts w:ascii="Century Gothic" w:eastAsia="Calibri" w:hAnsi="Century Gothic" w:cs="Arial"/>
          <w:lang w:eastAsia="es-ES_tradnl"/>
        </w:rPr>
      </w:pPr>
    </w:p>
    <w:p w14:paraId="66837E32" w14:textId="77777777" w:rsidR="00D14F00" w:rsidRDefault="00D14F00" w:rsidP="00D14F00">
      <w:pPr>
        <w:spacing w:line="276" w:lineRule="auto"/>
        <w:jc w:val="both"/>
        <w:rPr>
          <w:rFonts w:ascii="Century Gothic" w:eastAsia="Calibri" w:hAnsi="Century Gothic" w:cs="Arial"/>
          <w:lang w:eastAsia="es-ES_tradnl"/>
        </w:rPr>
      </w:pPr>
    </w:p>
    <w:p w14:paraId="5D8D2532" w14:textId="77777777" w:rsidR="00D14F00" w:rsidRDefault="00D14F00" w:rsidP="00D14F00">
      <w:pPr>
        <w:spacing w:line="276" w:lineRule="auto"/>
        <w:jc w:val="both"/>
        <w:rPr>
          <w:rFonts w:ascii="Century Gothic" w:eastAsia="Calibri" w:hAnsi="Century Gothic" w:cs="Arial"/>
          <w:lang w:eastAsia="es-ES_tradnl"/>
        </w:rPr>
      </w:pPr>
    </w:p>
    <w:p w14:paraId="0AD8D1A0" w14:textId="77777777" w:rsidR="00D14F00" w:rsidRDefault="00D14F00" w:rsidP="00D14F00">
      <w:pPr>
        <w:spacing w:line="276" w:lineRule="auto"/>
        <w:jc w:val="both"/>
        <w:rPr>
          <w:rFonts w:ascii="Century Gothic" w:eastAsia="Calibri" w:hAnsi="Century Gothic" w:cs="Arial"/>
          <w:lang w:eastAsia="es-ES_tradnl"/>
        </w:rPr>
      </w:pPr>
    </w:p>
    <w:p w14:paraId="6BD07B25" w14:textId="398C7AA5" w:rsidR="38D1EF6D" w:rsidRDefault="38D1EF6D" w:rsidP="38D1EF6D">
      <w:pPr>
        <w:spacing w:after="0"/>
        <w:rPr>
          <w:rFonts w:ascii="Century Gothic" w:hAnsi="Century Gothic"/>
        </w:rPr>
      </w:pPr>
    </w:p>
    <w:p w14:paraId="67108F06" w14:textId="77777777" w:rsidR="00D14F00" w:rsidRDefault="00D14F00" w:rsidP="00D14F00">
      <w:pPr>
        <w:spacing w:after="0"/>
      </w:pPr>
      <w:r w:rsidRPr="38D1EF6D">
        <w:rPr>
          <w:rFonts w:ascii="Century Gothic" w:hAnsi="Century Gothic"/>
        </w:rPr>
        <w:t>Bogotá D.C., [Día] de [Mes.NombreCapitalizado] del [Año]</w:t>
      </w:r>
      <w:r>
        <w:tab/>
      </w:r>
    </w:p>
    <w:p w14:paraId="0F2F2E03" w14:textId="77777777" w:rsidR="005E7A1E" w:rsidRDefault="005E7A1E" w:rsidP="00D14F00">
      <w:pPr>
        <w:spacing w:after="0"/>
      </w:pPr>
    </w:p>
    <w:p w14:paraId="7B9B7269" w14:textId="77777777" w:rsidR="00AA5497" w:rsidRPr="00322A85" w:rsidRDefault="00AA5497" w:rsidP="00D14F00">
      <w:pPr>
        <w:spacing w:after="0"/>
        <w:rPr>
          <w:rFonts w:ascii="Century Gothic" w:hAnsi="Century Gothic"/>
        </w:rPr>
      </w:pPr>
    </w:p>
    <w:p w14:paraId="7282F83F" w14:textId="6AB7E845" w:rsidR="01CAD07E" w:rsidRDefault="01CAD07E" w:rsidP="005E7A1E">
      <w:pPr>
        <w:spacing w:after="0"/>
        <w:jc w:val="right"/>
      </w:pPr>
      <w:r>
        <w:rPr>
          <w:noProof/>
        </w:rPr>
        <w:drawing>
          <wp:inline distT="0" distB="0" distL="0" distR="0" wp14:anchorId="48D64A76" wp14:editId="371B6190">
            <wp:extent cx="2581275" cy="771525"/>
            <wp:effectExtent l="0" t="0" r="0" b="0"/>
            <wp:docPr id="1145413660" name="Imagen 114541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81275" cy="771525"/>
                    </a:xfrm>
                    <a:prstGeom prst="rect">
                      <a:avLst/>
                    </a:prstGeom>
                  </pic:spPr>
                </pic:pic>
              </a:graphicData>
            </a:graphic>
          </wp:inline>
        </w:drawing>
      </w:r>
    </w:p>
    <w:p w14:paraId="604AE00A" w14:textId="757222F9" w:rsidR="38D1EF6D" w:rsidRDefault="38D1EF6D" w:rsidP="38D1EF6D">
      <w:pPr>
        <w:spacing w:after="0"/>
        <w:rPr>
          <w:rFonts w:ascii="Century Gothic" w:hAnsi="Century Gothic"/>
        </w:rPr>
      </w:pPr>
    </w:p>
    <w:p w14:paraId="7BF19178" w14:textId="306DCE58" w:rsidR="38D1EF6D" w:rsidRDefault="38D1EF6D" w:rsidP="38D1EF6D">
      <w:pPr>
        <w:spacing w:after="0"/>
        <w:rPr>
          <w:rFonts w:ascii="Century Gothic" w:hAnsi="Century Gothic"/>
        </w:rPr>
      </w:pPr>
    </w:p>
    <w:p w14:paraId="506D34FF" w14:textId="77777777" w:rsidR="00D14F00" w:rsidRPr="00594103" w:rsidRDefault="00D14F00" w:rsidP="00D14F00">
      <w:pPr>
        <w:spacing w:after="0" w:line="276" w:lineRule="auto"/>
        <w:jc w:val="both"/>
        <w:rPr>
          <w:rFonts w:ascii="Century Gothic" w:eastAsia="Calibri" w:hAnsi="Century Gothic" w:cs="Arial"/>
          <w:lang w:eastAsia="es-ES_tradnl"/>
        </w:rPr>
      </w:pPr>
      <w:r w:rsidRPr="00594103">
        <w:rPr>
          <w:rFonts w:ascii="Century Gothic" w:eastAsia="Calibri" w:hAnsi="Century Gothic" w:cs="Arial"/>
          <w:lang w:eastAsia="es-ES_tradnl"/>
        </w:rPr>
        <w:t>Señor</w:t>
      </w:r>
    </w:p>
    <w:p w14:paraId="41244E35" w14:textId="71C09185" w:rsidR="00D14F00" w:rsidRPr="007B7EEA" w:rsidRDefault="00D14F00" w:rsidP="23CC7676">
      <w:pPr>
        <w:spacing w:after="0" w:line="276" w:lineRule="auto"/>
        <w:jc w:val="both"/>
        <w:rPr>
          <w:rFonts w:ascii="Century Gothic" w:eastAsia="Calibri" w:hAnsi="Century Gothic" w:cs="Arial"/>
          <w:lang w:eastAsia="es-ES"/>
        </w:rPr>
      </w:pPr>
      <w:r w:rsidRPr="007B7EEA">
        <w:rPr>
          <w:rFonts w:ascii="Century Gothic" w:eastAsia="Calibri" w:hAnsi="Century Gothic" w:cs="Arial"/>
          <w:b/>
          <w:bCs/>
          <w:lang w:eastAsia="es-ES"/>
        </w:rPr>
        <w:t>William Eduardo Meneses</w:t>
      </w:r>
    </w:p>
    <w:p w14:paraId="0896F7DA" w14:textId="7231798C" w:rsidR="00D14F00" w:rsidRPr="007B7EEA" w:rsidRDefault="00D14F00" w:rsidP="23CC7676">
      <w:pPr>
        <w:spacing w:after="0" w:line="276" w:lineRule="auto"/>
        <w:jc w:val="both"/>
        <w:rPr>
          <w:rFonts w:ascii="Century Gothic" w:eastAsia="Calibri" w:hAnsi="Century Gothic" w:cs="Arial"/>
          <w:lang w:eastAsia="es-ES"/>
        </w:rPr>
      </w:pPr>
      <w:r w:rsidRPr="007B7EEA">
        <w:rPr>
          <w:rFonts w:ascii="Century Gothic" w:eastAsia="Calibri" w:hAnsi="Century Gothic" w:cs="Arial"/>
          <w:b/>
          <w:bCs/>
          <w:lang w:eastAsia="es-ES_tradnl"/>
        </w:rPr>
        <w:cr/>
      </w:r>
      <w:r w:rsidRPr="007B7EEA">
        <w:rPr>
          <w:rFonts w:ascii="Century Gothic" w:eastAsia="Calibri" w:hAnsi="Century Gothic" w:cs="Arial"/>
          <w:lang w:eastAsia="es-ES"/>
        </w:rPr>
        <w:t xml:space="preserve">Bogotá D. C. </w:t>
      </w:r>
    </w:p>
    <w:p w14:paraId="22AF23A3" w14:textId="77777777" w:rsidR="00D14F00" w:rsidRPr="00594103" w:rsidRDefault="00D14F00" w:rsidP="00D14F00">
      <w:pPr>
        <w:spacing w:line="276" w:lineRule="auto"/>
        <w:ind w:left="2124"/>
        <w:rPr>
          <w:rFonts w:ascii="Century Gothic" w:eastAsia="Calibri" w:hAnsi="Century Gothic" w:cs="Arial"/>
          <w:b/>
          <w:bCs/>
          <w:lang w:eastAsia="es-ES"/>
        </w:rPr>
      </w:pPr>
      <w:r w:rsidRPr="007B7EEA">
        <w:rPr>
          <w:rFonts w:ascii="Century Gothic" w:eastAsia="Calibri" w:hAnsi="Century Gothic" w:cs="Arial"/>
          <w:b/>
          <w:bCs/>
          <w:lang w:eastAsia="es-ES"/>
        </w:rPr>
        <w:t xml:space="preserve">       </w:t>
      </w:r>
      <w:r w:rsidRPr="00594103">
        <w:rPr>
          <w:rFonts w:ascii="Century Gothic" w:eastAsia="Calibri" w:hAnsi="Century Gothic" w:cs="Arial"/>
          <w:b/>
          <w:bCs/>
          <w:lang w:eastAsia="es-ES"/>
        </w:rPr>
        <w:t>Concepto C-343 de 2023</w:t>
      </w: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D14F00" w:rsidRPr="00594103" w14:paraId="3F10C6EE" w14:textId="77777777" w:rsidTr="005E7A1E">
        <w:trPr>
          <w:jc w:val="right"/>
        </w:trPr>
        <w:tc>
          <w:tcPr>
            <w:tcW w:w="1838" w:type="dxa"/>
          </w:tcPr>
          <w:p w14:paraId="33F6FBF5" w14:textId="77777777" w:rsidR="00D14F00" w:rsidRPr="00594103" w:rsidRDefault="00D14F00" w:rsidP="005E7A1E">
            <w:pPr>
              <w:spacing w:after="160" w:line="276" w:lineRule="auto"/>
              <w:jc w:val="center"/>
              <w:rPr>
                <w:rFonts w:ascii="Century Gothic" w:eastAsia="Calibri" w:hAnsi="Century Gothic" w:cs="Arial"/>
                <w:lang w:val="es-ES_tradnl" w:eastAsia="es-ES_tradnl"/>
              </w:rPr>
            </w:pPr>
            <w:r w:rsidRPr="00594103">
              <w:rPr>
                <w:rFonts w:ascii="Century Gothic" w:eastAsia="Calibri" w:hAnsi="Century Gothic" w:cs="Arial"/>
                <w:b/>
                <w:lang w:val="es-ES_tradnl" w:eastAsia="es-ES_tradnl"/>
              </w:rPr>
              <w:t>Temas:</w:t>
            </w:r>
          </w:p>
        </w:tc>
        <w:tc>
          <w:tcPr>
            <w:tcW w:w="6237" w:type="dxa"/>
            <w:shd w:val="clear" w:color="auto" w:fill="auto"/>
          </w:tcPr>
          <w:p w14:paraId="252CB462" w14:textId="77777777" w:rsidR="00D14F00" w:rsidRPr="007B7EEA" w:rsidRDefault="00D14F00" w:rsidP="005E7A1E">
            <w:pPr>
              <w:pStyle w:val="paragraph"/>
              <w:spacing w:after="160" w:line="276" w:lineRule="auto"/>
              <w:jc w:val="both"/>
              <w:textAlignment w:val="baseline"/>
              <w:rPr>
                <w:rFonts w:ascii="Century Gothic" w:hAnsi="Century Gothic" w:cs="Arial"/>
                <w:highlight w:val="yellow"/>
                <w:lang w:eastAsia="es-ES_tradnl"/>
              </w:rPr>
            </w:pPr>
            <w:r w:rsidRPr="007B7EEA">
              <w:rPr>
                <w:rFonts w:ascii="Century Gothic" w:eastAsia="Calibri" w:hAnsi="Century Gothic" w:cs="Arial"/>
                <w:sz w:val="22"/>
              </w:rPr>
              <w:t>ENTIDADES CON RÉGIMEN ESPECIAL – Definición / ENTIDADES CON RÉGIMEN ESPECIAL – Reglas aplicables / EMPRESAS SOCIALES DEL ESTADO – Régimen jurídico – Reglas aplicables / ENTIDADES CON RÉGIMEN ESPECIAL – Manual de Contratación – Contenido /</w:t>
            </w:r>
            <w:r w:rsidRPr="007B7EEA">
              <w:rPr>
                <w:rFonts w:eastAsia="Calibri"/>
              </w:rPr>
              <w:t xml:space="preserve"> </w:t>
            </w:r>
            <w:r w:rsidRPr="007B7EEA">
              <w:rPr>
                <w:rFonts w:ascii="Century Gothic" w:eastAsia="Calibri" w:hAnsi="Century Gothic" w:cs="Arial"/>
                <w:sz w:val="22"/>
              </w:rPr>
              <w:t>LEY DE EMPRENDIMIENTO</w:t>
            </w:r>
            <w:r w:rsidRPr="007B7EEA">
              <w:rPr>
                <w:rFonts w:eastAsia="Calibri"/>
              </w:rPr>
              <w:t xml:space="preserve"> </w:t>
            </w:r>
            <w:r w:rsidRPr="007B7EEA">
              <w:rPr>
                <w:rFonts w:ascii="Century Gothic" w:eastAsia="Calibri" w:hAnsi="Century Gothic" w:cs="Arial"/>
                <w:sz w:val="22"/>
              </w:rPr>
              <w:t>– Ley 2069 de 2020</w:t>
            </w:r>
            <w:r w:rsidRPr="007B7EEA">
              <w:rPr>
                <w:rFonts w:eastAsia="Calibri"/>
                <w:sz w:val="22"/>
              </w:rPr>
              <w:t> </w:t>
            </w:r>
          </w:p>
        </w:tc>
      </w:tr>
      <w:tr w:rsidR="00D14F00" w:rsidRPr="00594103" w14:paraId="2BEC1E97" w14:textId="77777777" w:rsidTr="005E7A1E">
        <w:trPr>
          <w:jc w:val="right"/>
        </w:trPr>
        <w:tc>
          <w:tcPr>
            <w:tcW w:w="1838" w:type="dxa"/>
          </w:tcPr>
          <w:p w14:paraId="01AC5C33" w14:textId="77777777" w:rsidR="00D14F00" w:rsidRPr="00594103" w:rsidRDefault="00D14F00" w:rsidP="005E7A1E">
            <w:pPr>
              <w:spacing w:after="160" w:line="276" w:lineRule="auto"/>
              <w:jc w:val="center"/>
              <w:rPr>
                <w:rFonts w:ascii="Century Gothic" w:eastAsia="Calibri" w:hAnsi="Century Gothic" w:cs="Arial"/>
                <w:b/>
                <w:lang w:val="es-ES" w:eastAsia="es-ES_tradnl"/>
              </w:rPr>
            </w:pPr>
            <w:r w:rsidRPr="00594103">
              <w:rPr>
                <w:rFonts w:ascii="Century Gothic" w:eastAsia="Calibri" w:hAnsi="Century Gothic" w:cs="Arial"/>
                <w:b/>
                <w:lang w:val="es-ES" w:eastAsia="es-ES_tradnl"/>
              </w:rPr>
              <w:t>Radicación:</w:t>
            </w:r>
          </w:p>
        </w:tc>
        <w:tc>
          <w:tcPr>
            <w:tcW w:w="6237" w:type="dxa"/>
          </w:tcPr>
          <w:p w14:paraId="4C59CBCC" w14:textId="77777777" w:rsidR="00D14F00" w:rsidRPr="00594103" w:rsidRDefault="00D14F00" w:rsidP="005E7A1E">
            <w:pPr>
              <w:spacing w:after="160" w:line="276" w:lineRule="auto"/>
              <w:jc w:val="both"/>
              <w:rPr>
                <w:rFonts w:ascii="Century Gothic" w:eastAsia="Calibri" w:hAnsi="Century Gothic" w:cs="Arial"/>
                <w:lang w:val="es-ES" w:eastAsia="es-ES_tradnl"/>
              </w:rPr>
            </w:pPr>
            <w:r w:rsidRPr="00594103">
              <w:rPr>
                <w:rFonts w:ascii="Century Gothic" w:eastAsia="Calibri" w:hAnsi="Century Gothic" w:cs="Arial"/>
                <w:lang w:val="es-ES" w:eastAsia="es-ES_tradnl"/>
              </w:rPr>
              <w:t xml:space="preserve">Respuesta a consulta </w:t>
            </w:r>
            <w:r w:rsidRPr="00594103">
              <w:rPr>
                <w:rFonts w:ascii="Century Gothic" w:eastAsia="Times New Roman" w:hAnsi="Century Gothic" w:cs="Arial"/>
                <w:lang w:eastAsia="es-ES_tradnl"/>
              </w:rPr>
              <w:t>P20230914015121</w:t>
            </w:r>
          </w:p>
        </w:tc>
      </w:tr>
    </w:tbl>
    <w:p w14:paraId="1C5E4A4B" w14:textId="77777777" w:rsidR="00D14F00" w:rsidRPr="00594103" w:rsidRDefault="00D14F00" w:rsidP="00D14F00">
      <w:pPr>
        <w:spacing w:line="276" w:lineRule="auto"/>
        <w:jc w:val="both"/>
        <w:rPr>
          <w:rFonts w:ascii="Century Gothic" w:eastAsia="Calibri" w:hAnsi="Century Gothic" w:cs="Arial"/>
          <w:bCs/>
          <w:lang w:val="es-ES_tradnl" w:eastAsia="es-ES_tradnl"/>
        </w:rPr>
      </w:pPr>
      <w:r w:rsidRPr="00594103">
        <w:rPr>
          <w:rFonts w:ascii="Century Gothic" w:eastAsia="Calibri" w:hAnsi="Century Gothic" w:cs="Arial"/>
          <w:lang w:val="es-ES_tradnl" w:eastAsia="es-ES_tradnl"/>
        </w:rPr>
        <w:t xml:space="preserve">Estimado señor </w:t>
      </w:r>
      <w:r w:rsidRPr="00594103">
        <w:rPr>
          <w:rFonts w:ascii="Century Gothic" w:eastAsia="Calibri" w:hAnsi="Century Gothic" w:cs="Arial"/>
          <w:bCs/>
          <w:lang w:val="es-ES_tradnl" w:eastAsia="es-ES_tradnl"/>
        </w:rPr>
        <w:t>Meneses;</w:t>
      </w:r>
    </w:p>
    <w:p w14:paraId="6854E501" w14:textId="77777777" w:rsidR="00D14F00" w:rsidRPr="00594103" w:rsidRDefault="00D14F00" w:rsidP="00D14F00">
      <w:pPr>
        <w:spacing w:line="276" w:lineRule="auto"/>
        <w:jc w:val="both"/>
        <w:rPr>
          <w:rFonts w:ascii="Century Gothic" w:eastAsia="Calibri" w:hAnsi="Century Gothic" w:cs="Arial"/>
          <w:lang w:eastAsia="es-ES_tradnl"/>
        </w:rPr>
      </w:pPr>
      <w:r w:rsidRPr="00594103">
        <w:rPr>
          <w:rFonts w:ascii="Century Gothic" w:eastAsia="Calibri" w:hAnsi="Century Gothic" w:cs="Arial"/>
          <w:lang w:eastAsia="es-ES_tradnl"/>
        </w:rPr>
        <w:t>En ejercicio de la competencia otorgada por el numeral 8° del artículo 11 y el numeral 5° del artículo 3 del Decreto Ley 4170 de 2011, la Agencia Nacional de Contratación Pública ― Colombia Compra Eficiente responde su consulta del 14 de septiembre de 2023.</w:t>
      </w:r>
    </w:p>
    <w:p w14:paraId="1BE23553" w14:textId="77777777" w:rsidR="00D14F00" w:rsidRPr="00594103" w:rsidRDefault="00D14F00" w:rsidP="00D14F00">
      <w:pPr>
        <w:pStyle w:val="Prrafodelista"/>
        <w:numPr>
          <w:ilvl w:val="0"/>
          <w:numId w:val="1"/>
        </w:numPr>
        <w:tabs>
          <w:tab w:val="left" w:pos="0"/>
          <w:tab w:val="left" w:pos="142"/>
          <w:tab w:val="left" w:pos="284"/>
        </w:tabs>
        <w:spacing w:line="276" w:lineRule="auto"/>
        <w:ind w:hanging="720"/>
        <w:jc w:val="both"/>
        <w:rPr>
          <w:rFonts w:ascii="Century Gothic" w:eastAsia="Calibri" w:hAnsi="Century Gothic" w:cs="Arial"/>
          <w:b/>
          <w:lang w:val="es-ES_tradnl"/>
        </w:rPr>
      </w:pPr>
      <w:r w:rsidRPr="00594103">
        <w:rPr>
          <w:rFonts w:ascii="Century Gothic" w:eastAsia="Calibri" w:hAnsi="Century Gothic" w:cs="Arial"/>
          <w:b/>
          <w:lang w:val="es-ES_tradnl"/>
        </w:rPr>
        <w:t xml:space="preserve">Problema planteado </w:t>
      </w:r>
    </w:p>
    <w:p w14:paraId="50248273" w14:textId="77777777" w:rsidR="00D14F00" w:rsidRPr="00594103" w:rsidRDefault="00D14F00" w:rsidP="00D14F00">
      <w:pPr>
        <w:spacing w:line="276" w:lineRule="auto"/>
        <w:jc w:val="both"/>
        <w:rPr>
          <w:rFonts w:ascii="Century Gothic" w:hAnsi="Century Gothic" w:cs="Arial"/>
        </w:rPr>
      </w:pPr>
      <w:r w:rsidRPr="00594103">
        <w:rPr>
          <w:rFonts w:ascii="Century Gothic" w:eastAsia="Times New Roman" w:hAnsi="Century Gothic" w:cs="Arial"/>
          <w:lang w:eastAsia="es-ES_tradnl"/>
        </w:rPr>
        <w:t>Usted formula las siguientes preguntas en torno a la Ley 2069 de 2020 y el Decreto 1860 de 2021</w:t>
      </w:r>
      <w:proofErr w:type="gramStart"/>
      <w:r w:rsidRPr="00594103">
        <w:rPr>
          <w:rFonts w:ascii="Century Gothic" w:eastAsia="Times New Roman" w:hAnsi="Century Gothic" w:cs="Arial"/>
          <w:lang w:eastAsia="es-ES_tradnl"/>
        </w:rPr>
        <w:t xml:space="preserve">: </w:t>
      </w:r>
      <w:r>
        <w:rPr>
          <w:rFonts w:ascii="Century Gothic" w:eastAsia="Times New Roman" w:hAnsi="Century Gothic" w:cs="Arial"/>
          <w:lang w:eastAsia="es-ES_tradnl"/>
        </w:rPr>
        <w:t xml:space="preserve"> </w:t>
      </w:r>
      <w:r w:rsidRPr="00B84652">
        <w:rPr>
          <w:rFonts w:ascii="Century Gothic" w:hAnsi="Century Gothic" w:cs="Arial"/>
          <w:i/>
          <w:iCs/>
        </w:rPr>
        <w:t>“</w:t>
      </w:r>
      <w:proofErr w:type="gramEnd"/>
      <w:r w:rsidRPr="00B84652">
        <w:rPr>
          <w:rFonts w:ascii="Century Gothic" w:hAnsi="Century Gothic" w:cs="Arial"/>
          <w:i/>
          <w:iCs/>
        </w:rPr>
        <w:t>1. Los criterios diferenciales y criterios de desempate se deben aplicar en los procesos de selección que se adelantan por parte de las empresas social del estado (ESE).  2. Si la respuesta es afirmativa, de debe ajustar el manual de contratación de las empresas social del estado (ESE), para aplicar los criterios diferenciales y criterios de desempate.”</w:t>
      </w:r>
      <w:r w:rsidRPr="6E32F7E7">
        <w:rPr>
          <w:rFonts w:ascii="Century Gothic" w:hAnsi="Century Gothic" w:cs="Arial"/>
        </w:rPr>
        <w:t xml:space="preserve"> (sic)</w:t>
      </w:r>
    </w:p>
    <w:p w14:paraId="23AD52B1" w14:textId="77777777" w:rsidR="00D14F00" w:rsidRDefault="00D14F00" w:rsidP="00D14F00">
      <w:pPr>
        <w:spacing w:line="276" w:lineRule="auto"/>
        <w:jc w:val="both"/>
        <w:rPr>
          <w:rFonts w:ascii="Century Gothic" w:hAnsi="Century Gothic" w:cs="Arial"/>
        </w:rPr>
      </w:pPr>
    </w:p>
    <w:p w14:paraId="4B4A0CC4" w14:textId="77777777" w:rsidR="00D14F00" w:rsidRDefault="00D14F00" w:rsidP="00D14F00">
      <w:pPr>
        <w:spacing w:line="276" w:lineRule="auto"/>
        <w:jc w:val="both"/>
        <w:rPr>
          <w:rFonts w:ascii="Century Gothic" w:hAnsi="Century Gothic" w:cs="Arial"/>
        </w:rPr>
      </w:pPr>
    </w:p>
    <w:p w14:paraId="72D8AB71" w14:textId="77777777" w:rsidR="00D14F00" w:rsidRPr="00594103" w:rsidRDefault="00D14F00" w:rsidP="00D14F00">
      <w:pPr>
        <w:pStyle w:val="Prrafodelista"/>
        <w:numPr>
          <w:ilvl w:val="0"/>
          <w:numId w:val="1"/>
        </w:numPr>
        <w:spacing w:line="276" w:lineRule="auto"/>
        <w:ind w:left="426" w:right="709"/>
        <w:rPr>
          <w:rFonts w:ascii="Century Gothic" w:hAnsi="Century Gothic"/>
          <w:b/>
          <w:bCs/>
        </w:rPr>
      </w:pPr>
      <w:r w:rsidRPr="00594103">
        <w:rPr>
          <w:rFonts w:ascii="Century Gothic" w:hAnsi="Century Gothic"/>
          <w:b/>
          <w:bCs/>
        </w:rPr>
        <w:t>Consideraciones</w:t>
      </w:r>
    </w:p>
    <w:p w14:paraId="7D3611FF" w14:textId="77777777" w:rsidR="00D14F00" w:rsidRPr="00594103" w:rsidRDefault="00D14F00" w:rsidP="00D14F00">
      <w:pPr>
        <w:spacing w:line="276" w:lineRule="auto"/>
        <w:jc w:val="both"/>
        <w:rPr>
          <w:rFonts w:ascii="Century Gothic" w:hAnsi="Century Gothic"/>
        </w:rPr>
      </w:pPr>
      <w:r w:rsidRPr="00594103">
        <w:rPr>
          <w:rFonts w:ascii="Century Gothic" w:hAnsi="Century Gothic"/>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E5D5EE5" w14:textId="77777777" w:rsidR="00D14F00" w:rsidRPr="00594103" w:rsidRDefault="00D14F00" w:rsidP="00D14F00">
      <w:pPr>
        <w:spacing w:line="276" w:lineRule="auto"/>
        <w:ind w:firstLine="708"/>
        <w:jc w:val="both"/>
        <w:rPr>
          <w:rFonts w:ascii="Century Gothic" w:hAnsi="Century Gothic"/>
        </w:rPr>
      </w:pPr>
      <w:r w:rsidRPr="00594103">
        <w:rPr>
          <w:rFonts w:ascii="Century Gothic" w:hAnsi="Century Gothic"/>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94103">
        <w:rPr>
          <w:rStyle w:val="Refdenotaalpie"/>
          <w:rFonts w:ascii="Century Gothic" w:hAnsi="Century Gothic"/>
        </w:rPr>
        <w:footnoteReference w:id="2"/>
      </w:r>
      <w:r w:rsidRPr="00594103">
        <w:rPr>
          <w:rFonts w:ascii="Century Gothic" w:hAnsi="Century Gothic"/>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7F0E4962" w14:textId="77777777" w:rsidR="00D14F00" w:rsidRPr="00594103" w:rsidRDefault="00D14F00" w:rsidP="00D14F00">
      <w:pPr>
        <w:spacing w:line="276" w:lineRule="auto"/>
        <w:ind w:firstLine="708"/>
        <w:jc w:val="both"/>
        <w:rPr>
          <w:rFonts w:ascii="Century Gothic" w:hAnsi="Century Gothic"/>
        </w:rPr>
      </w:pPr>
      <w:r w:rsidRPr="00594103">
        <w:rPr>
          <w:rFonts w:ascii="Century Gothic" w:hAnsi="Century Gothic"/>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i) </w:t>
      </w:r>
      <w:bookmarkStart w:id="0" w:name="_Hlk41044695"/>
      <w:r w:rsidRPr="00594103">
        <w:rPr>
          <w:rFonts w:ascii="Century Gothic" w:hAnsi="Century Gothic"/>
        </w:rPr>
        <w:t xml:space="preserve">los </w:t>
      </w:r>
      <w:r w:rsidRPr="00594103">
        <w:rPr>
          <w:rFonts w:ascii="Century Gothic" w:hAnsi="Century Gothic"/>
        </w:rPr>
        <w:lastRenderedPageBreak/>
        <w:t>regímenes especiales de contratación, incluido el de las empresas sociales del Estado</w:t>
      </w:r>
      <w:bookmarkEnd w:id="0"/>
      <w:r w:rsidRPr="00594103">
        <w:rPr>
          <w:rFonts w:ascii="Century Gothic" w:hAnsi="Century Gothic"/>
        </w:rPr>
        <w:t>, ii) la libertad de configuración de los manuales internos de contratación y, iii) los criterios diferenciales y factores de desempate introducidos por la Ley 2069 de 2020 y su aplicación a las entidades no sometidas al EGCAP.</w:t>
      </w:r>
    </w:p>
    <w:p w14:paraId="62223EC4" w14:textId="77777777" w:rsidR="00D14F00" w:rsidRPr="00594103" w:rsidRDefault="00D14F00" w:rsidP="00D14F00">
      <w:pPr>
        <w:pStyle w:val="Prrafodelista"/>
        <w:numPr>
          <w:ilvl w:val="1"/>
          <w:numId w:val="1"/>
        </w:numPr>
        <w:spacing w:line="276" w:lineRule="auto"/>
        <w:ind w:left="0" w:firstLine="0"/>
        <w:jc w:val="both"/>
        <w:rPr>
          <w:rFonts w:ascii="Century Gothic" w:hAnsi="Century Gothic"/>
          <w:b/>
          <w:bCs/>
        </w:rPr>
      </w:pPr>
      <w:r w:rsidRPr="00594103">
        <w:rPr>
          <w:rFonts w:ascii="Century Gothic" w:hAnsi="Century Gothic"/>
          <w:b/>
          <w:bCs/>
        </w:rPr>
        <w:t>Los regímenes especiales de contratación, incluido el de las empresas sociales del Estado</w:t>
      </w:r>
    </w:p>
    <w:p w14:paraId="56CEE34E" w14:textId="77777777" w:rsidR="00D14F00" w:rsidRPr="00594103" w:rsidRDefault="00D14F00" w:rsidP="00D14F00">
      <w:pPr>
        <w:spacing w:line="276" w:lineRule="auto"/>
        <w:jc w:val="both"/>
        <w:rPr>
          <w:rFonts w:ascii="Century Gothic" w:hAnsi="Century Gothic" w:cs="Arial"/>
          <w:bCs/>
        </w:rPr>
      </w:pPr>
      <w:r w:rsidRPr="00594103">
        <w:rPr>
          <w:rFonts w:ascii="Century Gothic" w:hAnsi="Century Gothic" w:cs="Arial"/>
          <w:bCs/>
        </w:rPr>
        <w:t>El ordenamiento jurídico colombiano contempla como categoría única la noción de</w:t>
      </w:r>
      <w:r>
        <w:rPr>
          <w:rFonts w:ascii="Century Gothic" w:hAnsi="Century Gothic" w:cs="Arial"/>
          <w:bCs/>
        </w:rPr>
        <w:t xml:space="preserve"> </w:t>
      </w:r>
      <w:r w:rsidRPr="00594103">
        <w:rPr>
          <w:rFonts w:ascii="Century Gothic" w:hAnsi="Century Gothic" w:cs="Arial"/>
          <w:bCs/>
        </w:rPr>
        <w:t>contratos estatales</w:t>
      </w:r>
      <w:r>
        <w:rPr>
          <w:rFonts w:ascii="Century Gothic" w:hAnsi="Century Gothic" w:cs="Arial"/>
          <w:bCs/>
        </w:rPr>
        <w:t>,</w:t>
      </w:r>
      <w:r w:rsidRPr="00594103">
        <w:rPr>
          <w:rFonts w:ascii="Century Gothic" w:hAnsi="Century Gothic" w:cs="Arial"/>
          <w:bCs/>
        </w:rPr>
        <w:t xml:space="preserve">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59F31C13" w14:textId="77777777" w:rsidR="00D14F00" w:rsidRPr="00594103" w:rsidRDefault="00D14F00" w:rsidP="00D14F00">
      <w:pPr>
        <w:spacing w:line="276" w:lineRule="auto"/>
        <w:ind w:firstLine="360"/>
        <w:jc w:val="both"/>
        <w:rPr>
          <w:rFonts w:ascii="Century Gothic" w:hAnsi="Century Gothic" w:cs="Arial"/>
          <w:bCs/>
        </w:rPr>
      </w:pPr>
      <w:r w:rsidRPr="00594103">
        <w:rPr>
          <w:rFonts w:ascii="Century Gothic" w:hAnsi="Century Gothic" w:cs="Arial"/>
          <w:bCs/>
        </w:rPr>
        <w:t>La decisión hito-fundadora</w:t>
      </w:r>
      <w:r w:rsidRPr="00594103">
        <w:rPr>
          <w:rStyle w:val="Refdenotaalpie"/>
          <w:rFonts w:ascii="Century Gothic" w:hAnsi="Century Gothic" w:cs="Arial"/>
          <w:bCs/>
        </w:rPr>
        <w:footnoteReference w:id="3"/>
      </w:r>
      <w:r w:rsidRPr="00594103">
        <w:rPr>
          <w:rFonts w:ascii="Century Gothic" w:hAnsi="Century Gothic" w:cs="Arial"/>
          <w:bCs/>
        </w:rPr>
        <w:t xml:space="preserve"> en este sentido, de acuerdo con lo señalado por la doctrina</w:t>
      </w:r>
      <w:r w:rsidRPr="00594103">
        <w:rPr>
          <w:rStyle w:val="Refdenotaalpie"/>
          <w:rFonts w:ascii="Century Gothic" w:hAnsi="Century Gothic" w:cs="Arial"/>
          <w:bCs/>
        </w:rPr>
        <w:footnoteReference w:id="4"/>
      </w:r>
      <w:r w:rsidRPr="00594103">
        <w:rPr>
          <w:rFonts w:ascii="Century Gothic" w:hAnsi="Century Gothic" w:cs="Arial"/>
          <w:bCs/>
        </w:rPr>
        <w:t>, es un auto del 20 de agosto de 1998 del Consejo de Estado, sonde se señaló</w:t>
      </w:r>
      <w:r w:rsidRPr="00594103">
        <w:rPr>
          <w:rStyle w:val="Refdenotaalpie"/>
          <w:rFonts w:ascii="Century Gothic" w:hAnsi="Century Gothic" w:cs="Arial"/>
          <w:bCs/>
        </w:rPr>
        <w:footnoteReference w:id="5"/>
      </w:r>
      <w:r w:rsidRPr="00594103">
        <w:rPr>
          <w:rFonts w:ascii="Century Gothic" w:hAnsi="Century Gothic" w:cs="Arial"/>
          <w:bCs/>
        </w:rPr>
        <w:t>:</w:t>
      </w:r>
    </w:p>
    <w:p w14:paraId="5E88DE97" w14:textId="77777777" w:rsidR="00D14F00" w:rsidRPr="00B84652" w:rsidRDefault="00D14F00" w:rsidP="00D14F00">
      <w:pPr>
        <w:spacing w:line="240" w:lineRule="auto"/>
        <w:ind w:left="709" w:right="709"/>
        <w:jc w:val="both"/>
        <w:rPr>
          <w:rFonts w:ascii="Century Gothic" w:hAnsi="Century Gothic" w:cs="Arial"/>
          <w:bCs/>
          <w:sz w:val="20"/>
          <w:szCs w:val="20"/>
          <w:lang w:val="es-ES_tradnl"/>
        </w:rPr>
      </w:pPr>
      <w:r w:rsidRPr="00B84652">
        <w:rPr>
          <w:rFonts w:ascii="Century Gothic" w:hAnsi="Century Gothic" w:cs="Arial"/>
          <w:bCs/>
          <w:sz w:val="20"/>
          <w:szCs w:val="20"/>
          <w:lang w:val="es-ES_tradnl"/>
        </w:rPr>
        <w:t xml:space="preserve">“A juicio de la Sala es preciso reconocer </w:t>
      </w:r>
      <w:proofErr w:type="gramStart"/>
      <w:r w:rsidRPr="00B84652">
        <w:rPr>
          <w:rFonts w:ascii="Century Gothic" w:hAnsi="Century Gothic" w:cs="Arial"/>
          <w:bCs/>
          <w:sz w:val="20"/>
          <w:szCs w:val="20"/>
          <w:lang w:val="es-ES_tradnl"/>
        </w:rPr>
        <w:t>que</w:t>
      </w:r>
      <w:proofErr w:type="gramEnd"/>
      <w:r w:rsidRPr="00B84652">
        <w:rPr>
          <w:rFonts w:ascii="Century Gothic" w:hAnsi="Century Gothic" w:cs="Arial"/>
          <w:bCs/>
          <w:sz w:val="20"/>
          <w:szCs w:val="20"/>
          <w:lang w:val="es-ES_tradnl"/>
        </w:rPr>
        <w:t xml:space="preserve"> en las diversas regulaciones normativas sobre contratación de la administración pública, es posible identificar dos grandes categorías de actos contractuales:</w:t>
      </w:r>
    </w:p>
    <w:p w14:paraId="43D030F4" w14:textId="77777777" w:rsidR="00D14F00" w:rsidRPr="00B84652" w:rsidRDefault="00D14F00" w:rsidP="00D14F00">
      <w:pPr>
        <w:spacing w:line="240" w:lineRule="auto"/>
        <w:ind w:left="709" w:right="709"/>
        <w:jc w:val="both"/>
        <w:rPr>
          <w:rFonts w:ascii="Century Gothic" w:hAnsi="Century Gothic" w:cs="Arial"/>
          <w:bCs/>
          <w:sz w:val="20"/>
          <w:szCs w:val="20"/>
          <w:lang w:val="es-ES_tradnl"/>
        </w:rPr>
      </w:pPr>
      <w:r w:rsidRPr="00B84652">
        <w:rPr>
          <w:rFonts w:ascii="Century Gothic" w:hAnsi="Century Gothic" w:cs="Arial"/>
          <w:bCs/>
          <w:sz w:val="20"/>
          <w:szCs w:val="20"/>
          <w:lang w:val="es-ES_tradnl"/>
        </w:rPr>
        <w:t xml:space="preserve">1ª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B84652">
        <w:rPr>
          <w:rFonts w:ascii="Century Gothic" w:hAnsi="Century Gothic" w:cs="Arial"/>
          <w:bCs/>
          <w:sz w:val="20"/>
          <w:szCs w:val="20"/>
          <w:lang w:val="es-ES_tradnl"/>
        </w:rPr>
        <w:t>en razón del</w:t>
      </w:r>
      <w:proofErr w:type="gramEnd"/>
      <w:r w:rsidRPr="00B84652">
        <w:rPr>
          <w:rFonts w:ascii="Century Gothic" w:hAnsi="Century Gothic" w:cs="Arial"/>
          <w:bCs/>
          <w:sz w:val="20"/>
          <w:szCs w:val="20"/>
          <w:lang w:val="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24F2E246" w14:textId="77777777" w:rsidR="00D14F00" w:rsidRDefault="00D14F00" w:rsidP="00D14F00">
      <w:pPr>
        <w:spacing w:after="0" w:line="240" w:lineRule="auto"/>
        <w:ind w:left="709" w:right="709"/>
        <w:jc w:val="both"/>
        <w:rPr>
          <w:rFonts w:ascii="Century Gothic" w:hAnsi="Century Gothic" w:cs="Arial"/>
          <w:bCs/>
          <w:sz w:val="20"/>
          <w:szCs w:val="20"/>
          <w:lang w:val="es-ES_tradnl"/>
        </w:rPr>
      </w:pPr>
      <w:r w:rsidRPr="00B84652">
        <w:rPr>
          <w:rFonts w:ascii="Century Gothic" w:hAnsi="Century Gothic" w:cs="Arial"/>
          <w:bCs/>
          <w:sz w:val="20"/>
          <w:szCs w:val="20"/>
          <w:lang w:val="es-ES_tradnl"/>
        </w:rPr>
        <w:t xml:space="preserve">2ª Contratos especiales sujetos a un régimen legal propio. Por regla general, el juez a quien compete conocer de sus controversias es el juez administrativo, </w:t>
      </w:r>
      <w:proofErr w:type="gramStart"/>
      <w:r w:rsidRPr="00B84652">
        <w:rPr>
          <w:rFonts w:ascii="Century Gothic" w:hAnsi="Century Gothic" w:cs="Arial"/>
          <w:bCs/>
          <w:sz w:val="20"/>
          <w:szCs w:val="20"/>
          <w:lang w:val="es-ES_tradnl"/>
        </w:rPr>
        <w:t>en razón de</w:t>
      </w:r>
      <w:proofErr w:type="gramEnd"/>
      <w:r w:rsidRPr="00B84652">
        <w:rPr>
          <w:rFonts w:ascii="Century Gothic" w:hAnsi="Century Gothic" w:cs="Arial"/>
          <w:bCs/>
          <w:sz w:val="20"/>
          <w:szCs w:val="20"/>
          <w:lang w:val="es-ES_tradnl"/>
        </w:rPr>
        <w:t xml:space="preserve"> que su celebración y ejecución constituye una actividad reglada, es decir, es el ejercicio pleno de una función administrativa, de conformidad con el art. 82 del C.C.A. antes referido”.</w:t>
      </w:r>
    </w:p>
    <w:p w14:paraId="14DF64E9" w14:textId="77777777" w:rsidR="00D14F00" w:rsidRPr="00B84652" w:rsidRDefault="00D14F00" w:rsidP="00D14F00">
      <w:pPr>
        <w:spacing w:after="0" w:line="240" w:lineRule="auto"/>
        <w:ind w:left="709" w:right="709"/>
        <w:jc w:val="both"/>
        <w:rPr>
          <w:rFonts w:ascii="Century Gothic" w:hAnsi="Century Gothic" w:cs="Arial"/>
          <w:bCs/>
          <w:sz w:val="20"/>
          <w:szCs w:val="20"/>
          <w:lang w:val="es-ES_tradnl"/>
        </w:rPr>
      </w:pPr>
    </w:p>
    <w:p w14:paraId="592EEB13" w14:textId="77777777" w:rsidR="00D14F00" w:rsidRPr="00594103" w:rsidRDefault="00D14F00" w:rsidP="00D14F00">
      <w:pPr>
        <w:spacing w:line="276" w:lineRule="auto"/>
        <w:ind w:firstLine="708"/>
        <w:jc w:val="both"/>
        <w:rPr>
          <w:rFonts w:ascii="Century Gothic" w:hAnsi="Century Gothic" w:cs="Arial"/>
          <w:bCs/>
        </w:rPr>
      </w:pPr>
      <w:r w:rsidRPr="00594103">
        <w:rPr>
          <w:rFonts w:ascii="Century Gothic" w:hAnsi="Century Gothic" w:cs="Arial"/>
          <w:bCs/>
        </w:rPr>
        <w:lastRenderedPageBreak/>
        <w:t>El Consejo de Estado identificó la existencia de un único tipo de contrato: el contrato estatal; pero dos grandes categorías que responden a su régimen jurídico: contrato estatal con un régimen jurídico de derecho público-administrativo y contrato estatal con un régimen jurídico especial, por regla general de derecho privado.</w:t>
      </w:r>
    </w:p>
    <w:p w14:paraId="77FD2D16" w14:textId="77777777" w:rsidR="00D14F00" w:rsidRPr="00594103" w:rsidRDefault="00D14F00" w:rsidP="00D14F00">
      <w:pPr>
        <w:spacing w:line="276" w:lineRule="auto"/>
        <w:ind w:firstLine="708"/>
        <w:jc w:val="both"/>
        <w:rPr>
          <w:rFonts w:ascii="Century Gothic" w:hAnsi="Century Gothic" w:cs="Arial"/>
          <w:bCs/>
        </w:rPr>
      </w:pPr>
      <w:r w:rsidRPr="00594103">
        <w:rPr>
          <w:rFonts w:ascii="Century Gothic" w:hAnsi="Century Gothic" w:cs="Arial"/>
          <w:bC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46B7A87E" w14:textId="77777777" w:rsidR="00D14F00" w:rsidRPr="00594103" w:rsidRDefault="00D14F00" w:rsidP="00D14F00">
      <w:pPr>
        <w:spacing w:line="276" w:lineRule="auto"/>
        <w:ind w:firstLine="708"/>
        <w:jc w:val="both"/>
        <w:rPr>
          <w:rFonts w:ascii="Century Gothic" w:hAnsi="Century Gothic" w:cs="Arial"/>
          <w:bCs/>
        </w:rPr>
      </w:pPr>
      <w:r w:rsidRPr="00594103">
        <w:rPr>
          <w:rFonts w:ascii="Century Gothic" w:hAnsi="Century Gothic" w:cs="Arial"/>
          <w:bCs/>
        </w:rPr>
        <w:t>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Este es el caso del régimen jurídico establecido en el artículo 66 de la Ley 1523 de 2012</w:t>
      </w:r>
      <w:r w:rsidRPr="00594103">
        <w:rPr>
          <w:rStyle w:val="Refdenotaalpie"/>
          <w:rFonts w:ascii="Century Gothic" w:hAnsi="Century Gothic" w:cs="Arial"/>
          <w:bCs/>
        </w:rPr>
        <w:footnoteReference w:id="6"/>
      </w:r>
      <w:r w:rsidRPr="00594103">
        <w:rPr>
          <w:rFonts w:ascii="Century Gothic" w:hAnsi="Century Gothic" w:cs="Arial"/>
          <w:bCs/>
        </w:rPr>
        <w:t xml:space="preserve">, que establece un régimen especial de derecho privado </w:t>
      </w:r>
      <w:proofErr w:type="gramStart"/>
      <w:r w:rsidRPr="00594103">
        <w:rPr>
          <w:rFonts w:ascii="Century Gothic" w:hAnsi="Century Gothic" w:cs="Arial"/>
          <w:bCs/>
        </w:rPr>
        <w:t>en razón de</w:t>
      </w:r>
      <w:proofErr w:type="gramEnd"/>
      <w:r w:rsidRPr="00594103">
        <w:rPr>
          <w:rFonts w:ascii="Century Gothic" w:hAnsi="Century Gothic" w:cs="Arial"/>
          <w:bCs/>
        </w:rPr>
        <w:t xml:space="preserve"> la consideración que merece el objeto a contratar. Otro ejemplo se encuentra en el Decreto 544 de 2020, que establece el régimen de contratación del derecho privado, para los contratos que </w:t>
      </w:r>
      <w:r>
        <w:rPr>
          <w:rFonts w:ascii="Century Gothic" w:hAnsi="Century Gothic" w:cs="Arial"/>
          <w:bCs/>
        </w:rPr>
        <w:t>“</w:t>
      </w:r>
      <w:r w:rsidRPr="00594103">
        <w:rPr>
          <w:rFonts w:ascii="Century Gothic" w:hAnsi="Century Gothic" w:cs="Arial"/>
          <w:bCs/>
        </w:rPr>
        <w:t>tengan por objeto la adquisición en el mercado internacional de los elementos que a continuación se indican […]</w:t>
      </w:r>
      <w:r>
        <w:rPr>
          <w:rFonts w:ascii="Century Gothic" w:hAnsi="Century Gothic" w:cs="Arial"/>
          <w:bCs/>
        </w:rPr>
        <w:t>”</w:t>
      </w:r>
      <w:r w:rsidRPr="00594103">
        <w:rPr>
          <w:rFonts w:ascii="Century Gothic" w:hAnsi="Century Gothic" w:cs="Arial"/>
          <w:bCs/>
        </w:rPr>
        <w:t xml:space="preserve">. </w:t>
      </w:r>
    </w:p>
    <w:p w14:paraId="0EC7BB39" w14:textId="77777777" w:rsidR="00D14F00" w:rsidRPr="00594103" w:rsidRDefault="00D14F00" w:rsidP="00D14F00">
      <w:pPr>
        <w:spacing w:line="276" w:lineRule="auto"/>
        <w:ind w:firstLine="708"/>
        <w:jc w:val="both"/>
        <w:rPr>
          <w:rFonts w:ascii="Century Gothic" w:hAnsi="Century Gothic" w:cs="Arial"/>
          <w:bCs/>
        </w:rPr>
      </w:pPr>
      <w:r w:rsidRPr="00594103">
        <w:rPr>
          <w:rFonts w:ascii="Century Gothic" w:hAnsi="Century Gothic" w:cs="Arial"/>
          <w:bC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w:t>
      </w:r>
      <w:r w:rsidRPr="00594103">
        <w:rPr>
          <w:rFonts w:ascii="Century Gothic" w:hAnsi="Century Gothic" w:cs="Arial"/>
          <w:bCs/>
        </w:rPr>
        <w:lastRenderedPageBreak/>
        <w:t xml:space="preserve">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14:paraId="1F663E32" w14:textId="77777777" w:rsidR="00D14F00" w:rsidRPr="00594103" w:rsidRDefault="00D14F00" w:rsidP="00D14F00">
      <w:pPr>
        <w:spacing w:line="276" w:lineRule="auto"/>
        <w:ind w:firstLine="709"/>
        <w:jc w:val="both"/>
        <w:rPr>
          <w:rFonts w:ascii="Century Gothic" w:hAnsi="Century Gothic" w:cs="Arial"/>
          <w:bCs/>
        </w:rPr>
      </w:pPr>
      <w:r w:rsidRPr="00594103">
        <w:rPr>
          <w:rFonts w:ascii="Century Gothic" w:hAnsi="Century Gothic" w:cs="Arial"/>
          <w:bC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306CB864" w14:textId="77777777" w:rsidR="00D14F00" w:rsidRPr="00594103" w:rsidRDefault="00D14F00" w:rsidP="00D14F00">
      <w:pPr>
        <w:spacing w:line="276" w:lineRule="auto"/>
        <w:ind w:firstLine="709"/>
        <w:jc w:val="both"/>
        <w:rPr>
          <w:rFonts w:ascii="Century Gothic" w:hAnsi="Century Gothic" w:cs="Arial"/>
          <w:bCs/>
        </w:rPr>
      </w:pPr>
      <w:r w:rsidRPr="00594103">
        <w:rPr>
          <w:rFonts w:ascii="Century Gothic" w:hAnsi="Century Gothic" w:cs="Arial"/>
          <w:bCs/>
        </w:rPr>
        <w:t xml:space="preserve">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 </w:t>
      </w:r>
    </w:p>
    <w:p w14:paraId="55EA9EF5" w14:textId="77777777" w:rsidR="00D14F00" w:rsidRDefault="00D14F00" w:rsidP="00D14F00">
      <w:pPr>
        <w:spacing w:after="0" w:line="240" w:lineRule="auto"/>
        <w:ind w:left="708" w:right="758"/>
        <w:jc w:val="both"/>
        <w:rPr>
          <w:rFonts w:ascii="Century Gothic" w:hAnsi="Century Gothic" w:cs="Arial"/>
          <w:bCs/>
          <w:sz w:val="20"/>
          <w:szCs w:val="20"/>
        </w:rPr>
      </w:pPr>
      <w:r w:rsidRPr="00B84652">
        <w:rPr>
          <w:rFonts w:ascii="Century Gothic" w:hAnsi="Century Gothic" w:cs="Arial"/>
          <w:bCs/>
          <w:sz w:val="20"/>
          <w:szCs w:val="20"/>
        </w:rPr>
        <w:t>“Artículo 13. Principios generales de la actividad contractual para entidades no sometidas al estatuto general de contratación de la administración pública.</w:t>
      </w:r>
      <w:r w:rsidRPr="00B84652">
        <w:rPr>
          <w:rFonts w:ascii="Century Gothic" w:hAnsi="Century Gothic" w:cs="Arial"/>
          <w:b/>
          <w:sz w:val="20"/>
          <w:szCs w:val="20"/>
        </w:rPr>
        <w:t xml:space="preserve"> </w:t>
      </w:r>
      <w:r w:rsidRPr="00B84652">
        <w:rPr>
          <w:rFonts w:ascii="Century Gothic" w:hAnsi="Century Gothic" w:cs="Arial"/>
          <w:bCs/>
          <w:sz w:val="20"/>
          <w:szCs w:val="20"/>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1" w:anchor="209" w:history="1">
        <w:r w:rsidRPr="00B84652">
          <w:rPr>
            <w:rFonts w:ascii="Century Gothic" w:hAnsi="Century Gothic" w:cs="Arial"/>
            <w:bCs/>
            <w:sz w:val="20"/>
            <w:szCs w:val="20"/>
          </w:rPr>
          <w:t>209</w:t>
        </w:r>
      </w:hyperlink>
      <w:r w:rsidRPr="00B84652">
        <w:rPr>
          <w:rFonts w:ascii="Century Gothic" w:hAnsi="Century Gothic" w:cs="Arial"/>
          <w:bCs/>
          <w:sz w:val="20"/>
          <w:szCs w:val="20"/>
        </w:rPr>
        <w:t> y </w:t>
      </w:r>
      <w:hyperlink r:id="rId12" w:anchor="267" w:history="1">
        <w:r w:rsidRPr="00B84652">
          <w:rPr>
            <w:rFonts w:ascii="Century Gothic" w:hAnsi="Century Gothic" w:cs="Arial"/>
            <w:bCs/>
            <w:sz w:val="20"/>
            <w:szCs w:val="20"/>
          </w:rPr>
          <w:t>267</w:t>
        </w:r>
      </w:hyperlink>
      <w:r w:rsidRPr="00B84652">
        <w:rPr>
          <w:rFonts w:ascii="Century Gothic" w:hAnsi="Century Gothic" w:cs="Arial"/>
          <w:bCs/>
          <w:sz w:val="20"/>
          <w:szCs w:val="20"/>
        </w:rPr>
        <w:t> de la Constitución Política, respectivamente según sea el caso y estarán sometidas al régimen de inhabilidades e incompatibilidades previsto legalmente para la contratación estatal”.</w:t>
      </w:r>
    </w:p>
    <w:p w14:paraId="24E0F38C" w14:textId="77777777" w:rsidR="00D14F00" w:rsidRPr="00594103" w:rsidRDefault="00D14F00" w:rsidP="00D14F00">
      <w:pPr>
        <w:spacing w:line="276" w:lineRule="auto"/>
        <w:jc w:val="both"/>
        <w:rPr>
          <w:rFonts w:ascii="Century Gothic" w:hAnsi="Century Gothic" w:cs="Arial"/>
          <w:bCs/>
        </w:rPr>
      </w:pPr>
      <w:r w:rsidRPr="00594103">
        <w:rPr>
          <w:rFonts w:ascii="Century Gothic" w:hAnsi="Century Gothic" w:cs="Arial"/>
          <w:bCs/>
        </w:rPr>
        <w:tab/>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64EC13D4" w14:textId="77777777" w:rsidR="00D14F00" w:rsidRPr="00594103" w:rsidRDefault="00D14F00" w:rsidP="00D14F00">
      <w:pPr>
        <w:spacing w:before="120" w:line="276" w:lineRule="auto"/>
        <w:ind w:firstLine="709"/>
        <w:jc w:val="both"/>
        <w:rPr>
          <w:rFonts w:ascii="Century Gothic" w:eastAsia="Calibri" w:hAnsi="Century Gothic" w:cs="Arial"/>
        </w:rPr>
      </w:pPr>
      <w:r w:rsidRPr="6E32F7E7">
        <w:rPr>
          <w:rFonts w:ascii="Century Gothic" w:eastAsia="Calibri" w:hAnsi="Century Gothic" w:cs="Arial"/>
        </w:rPr>
        <w:lastRenderedPageBreak/>
        <w:t>Ahora bien, encaminando la respuesta a las preguntas allegadas a esta entidad valga decir al respecto de Empresas Sociales del Estado -en adelante ESE- que, dentro de la estructura de la Administración pública se encuentran las entidades descentralizadas por servicios, y dentro de dicha categoría se ubican las ESE-, las cuales, sin perjuicio del control de tutela, tienen personería jurídica, autonomía administrativa y patrimonio propio.</w:t>
      </w:r>
      <w:r w:rsidRPr="6E32F7E7">
        <w:rPr>
          <w:rFonts w:ascii="Century Gothic" w:eastAsia="Calibri" w:hAnsi="Century Gothic" w:cs="Arial"/>
          <w:b/>
          <w:bCs/>
        </w:rPr>
        <w:t xml:space="preserve"> </w:t>
      </w:r>
      <w:r w:rsidRPr="6E32F7E7">
        <w:rPr>
          <w:rFonts w:ascii="Century Gothic" w:eastAsia="Calibri" w:hAnsi="Century Gothic" w:cs="Arial"/>
        </w:rPr>
        <w:t xml:space="preserve">Estas entidades, </w:t>
      </w:r>
      <w:proofErr w:type="gramStart"/>
      <w:r w:rsidRPr="6E32F7E7">
        <w:rPr>
          <w:rFonts w:ascii="Century Gothic" w:eastAsia="Calibri" w:hAnsi="Century Gothic" w:cs="Arial"/>
        </w:rPr>
        <w:t>de acuerdo a</w:t>
      </w:r>
      <w:proofErr w:type="gramEnd"/>
      <w:r w:rsidRPr="6E32F7E7">
        <w:rPr>
          <w:rFonts w:ascii="Century Gothic" w:eastAsia="Calibri" w:hAnsi="Century Gothic" w:cs="Arial"/>
        </w:rPr>
        <w:t xml:space="preserve">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4FC1A147" w14:textId="77777777" w:rsidR="00D14F00" w:rsidRPr="00594103" w:rsidRDefault="00D14F00" w:rsidP="00D14F00">
      <w:pPr>
        <w:spacing w:before="120" w:line="276" w:lineRule="auto"/>
        <w:jc w:val="both"/>
        <w:rPr>
          <w:rFonts w:ascii="Century Gothic" w:eastAsia="Calibri" w:hAnsi="Century Gothic" w:cs="Arial"/>
        </w:rPr>
      </w:pPr>
      <w:r w:rsidRPr="00594103">
        <w:rPr>
          <w:rFonts w:ascii="Century Gothic" w:eastAsia="Calibri" w:hAnsi="Century Gothic" w:cs="Arial"/>
        </w:rPr>
        <w:tab/>
        <w:t>Considerando la actividad desarrollada, se reitera,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en las ESE es el derecho privado, salvo lo relacionado con cláusulas exorbitantes, materia en relación con la cual están habilitadas para aplicar las disposiciones del EGCAP. Al respecto, el artículo 195, numeral 6, de la Ley 100 de 1993, establece lo siguiente:</w:t>
      </w:r>
    </w:p>
    <w:p w14:paraId="525504E5" w14:textId="77777777" w:rsidR="00D14F00" w:rsidRDefault="00D14F00" w:rsidP="00D14F00">
      <w:pPr>
        <w:spacing w:before="120" w:line="276" w:lineRule="auto"/>
        <w:jc w:val="both"/>
        <w:rPr>
          <w:rFonts w:ascii="Century Gothic" w:eastAsia="Calibri" w:hAnsi="Century Gothic" w:cs="Arial"/>
        </w:rPr>
      </w:pPr>
    </w:p>
    <w:p w14:paraId="22A9B8CF" w14:textId="77777777" w:rsidR="00D14F00" w:rsidRPr="00B84652" w:rsidRDefault="00D14F00" w:rsidP="00D14F00">
      <w:pPr>
        <w:spacing w:line="240" w:lineRule="auto"/>
        <w:ind w:left="709" w:right="709"/>
        <w:jc w:val="both"/>
        <w:rPr>
          <w:rFonts w:ascii="Century Gothic" w:eastAsia="Calibri" w:hAnsi="Century Gothic" w:cs="Arial"/>
          <w:sz w:val="20"/>
          <w:szCs w:val="20"/>
        </w:rPr>
      </w:pPr>
      <w:r w:rsidRPr="00B84652">
        <w:rPr>
          <w:rFonts w:ascii="Century Gothic" w:eastAsia="Calibri" w:hAnsi="Century Gothic" w:cs="Arial"/>
          <w:sz w:val="20"/>
          <w:szCs w:val="20"/>
        </w:rPr>
        <w:t xml:space="preserve">“ARTICULO. 195.-Régimen jurídico.  Reglamentado por el Decreto Nacional 1876 de 1994. Las empresas sociales de salud se someterán al siguiente régimen jurídico: Ver art. 2, Decreto Nacional 1919 de 2002. </w:t>
      </w:r>
    </w:p>
    <w:p w14:paraId="64239B17" w14:textId="77777777" w:rsidR="00D14F00" w:rsidRPr="00B84652" w:rsidRDefault="00D14F00" w:rsidP="00D14F00">
      <w:pPr>
        <w:spacing w:line="240" w:lineRule="auto"/>
        <w:ind w:right="709"/>
        <w:jc w:val="both"/>
        <w:rPr>
          <w:rFonts w:ascii="Century Gothic" w:eastAsia="Calibri" w:hAnsi="Century Gothic" w:cs="Arial"/>
          <w:sz w:val="20"/>
          <w:szCs w:val="20"/>
        </w:rPr>
      </w:pPr>
      <w:r w:rsidRPr="00B84652">
        <w:rPr>
          <w:rFonts w:ascii="Century Gothic" w:eastAsia="Calibri" w:hAnsi="Century Gothic" w:cs="Arial"/>
          <w:sz w:val="20"/>
          <w:szCs w:val="20"/>
        </w:rPr>
        <w:tab/>
        <w:t>[…]</w:t>
      </w:r>
    </w:p>
    <w:p w14:paraId="45019C8B" w14:textId="77777777" w:rsidR="00D14F00" w:rsidRPr="00B84652" w:rsidRDefault="00D14F00" w:rsidP="00D14F00">
      <w:pPr>
        <w:spacing w:line="240" w:lineRule="auto"/>
        <w:ind w:left="709" w:right="709"/>
        <w:jc w:val="both"/>
        <w:rPr>
          <w:rFonts w:ascii="Century Gothic" w:eastAsia="Calibri" w:hAnsi="Century Gothic" w:cs="Arial"/>
          <w:sz w:val="20"/>
          <w:szCs w:val="20"/>
        </w:rPr>
      </w:pPr>
      <w:r w:rsidRPr="00B84652">
        <w:rPr>
          <w:rFonts w:ascii="Century Gothic" w:eastAsia="Calibri" w:hAnsi="Century Gothic" w:cs="Arial"/>
          <w:sz w:val="20"/>
          <w:szCs w:val="20"/>
        </w:rPr>
        <w:t>6.  En materia contractual se regirá por el derecho privado, pero podrá discrecionalmente utilizar las cláusulas exorbitantes previstas en el estatuto general de contratación de la administración pública”.</w:t>
      </w:r>
    </w:p>
    <w:p w14:paraId="69DF5C81" w14:textId="77777777" w:rsidR="00D14F00" w:rsidRPr="00594103" w:rsidRDefault="00D14F00" w:rsidP="00D14F00">
      <w:pPr>
        <w:spacing w:line="276" w:lineRule="auto"/>
        <w:jc w:val="both"/>
        <w:rPr>
          <w:rFonts w:ascii="Century Gothic" w:eastAsia="Calibri" w:hAnsi="Century Gothic" w:cs="Arial"/>
        </w:rPr>
      </w:pPr>
      <w:r w:rsidRPr="00594103">
        <w:rPr>
          <w:rFonts w:ascii="Century Gothic" w:eastAsia="Calibri" w:hAnsi="Century Gothic" w:cs="Arial"/>
        </w:rPr>
        <w:tab/>
        <w:t xml:space="preserve">En esta medida, las empresas sociales del Estado no están sometidas al EGCAP ni a las normas que lo reglamentan o complementan, pues, por disposición expresa de la norma transcrita, sus contratos se rigen por el derecho privado. </w:t>
      </w:r>
      <w:bookmarkStart w:id="2" w:name="_Hlk41238857"/>
      <w:r w:rsidRPr="00594103">
        <w:rPr>
          <w:rFonts w:ascii="Century Gothic" w:eastAsia="Calibri" w:hAnsi="Century Gothic" w:cs="Arial"/>
        </w:rPr>
        <w:t xml:space="preserve">Con todo, como se dijo anteriormente, tales entidades deben tener en cuenta y aplicar los </w:t>
      </w:r>
      <w:r>
        <w:rPr>
          <w:rFonts w:ascii="Century Gothic" w:eastAsia="Calibri" w:hAnsi="Century Gothic" w:cs="Arial"/>
        </w:rPr>
        <w:t>“</w:t>
      </w:r>
      <w:r w:rsidRPr="00594103">
        <w:rPr>
          <w:rFonts w:ascii="Century Gothic" w:eastAsia="Calibri" w:hAnsi="Century Gothic" w:cs="Arial"/>
        </w:rPr>
        <w:t>principios generales de la actividad contractual para entidades no sometidas al estatuto general de contratación de la administración pública</w:t>
      </w:r>
      <w:r>
        <w:rPr>
          <w:rFonts w:ascii="Century Gothic" w:eastAsia="Calibri" w:hAnsi="Century Gothic" w:cs="Arial"/>
        </w:rPr>
        <w:t>”</w:t>
      </w:r>
      <w:r w:rsidRPr="00594103">
        <w:rPr>
          <w:rFonts w:ascii="Century Gothic" w:eastAsia="Calibri" w:hAnsi="Century Gothic" w:cs="Arial"/>
        </w:rPr>
        <w:t xml:space="preserve">, consagrados en el artículo 13 de la Ley 1150 de 2007, así como los principios de la función </w:t>
      </w:r>
      <w:r w:rsidRPr="00594103">
        <w:rPr>
          <w:rFonts w:ascii="Century Gothic" w:eastAsia="Calibri" w:hAnsi="Century Gothic" w:cs="Arial"/>
        </w:rPr>
        <w:lastRenderedPageBreak/>
        <w:t xml:space="preserve">administrativa y de la gestión fiscal, contenidos, respectivamente, en los artículos 209 y 267 de la Constitución Política. </w:t>
      </w:r>
    </w:p>
    <w:p w14:paraId="38ECC32A" w14:textId="77777777" w:rsidR="00D14F00" w:rsidRPr="00594103" w:rsidRDefault="00D14F00" w:rsidP="00D14F00">
      <w:pPr>
        <w:tabs>
          <w:tab w:val="left" w:pos="709"/>
        </w:tabs>
        <w:spacing w:before="120" w:line="276" w:lineRule="auto"/>
        <w:jc w:val="both"/>
        <w:rPr>
          <w:rFonts w:ascii="Century Gothic" w:eastAsia="Calibri" w:hAnsi="Century Gothic" w:cs="Arial"/>
        </w:rPr>
      </w:pPr>
      <w:r w:rsidRPr="00594103">
        <w:rPr>
          <w:rFonts w:ascii="Century Gothic" w:eastAsia="Calibri" w:hAnsi="Century Gothic" w:cs="Arial"/>
        </w:rPr>
        <w:tab/>
        <w:t>Esta también ha sido la interpretación del Ministerio de la Protección Social, que en Concepto No. 201942301304712 de 2019, en reiteración de lo expuesto por la Sala de Consulta y Servicio Civil del Consejo de Estado</w:t>
      </w:r>
      <w:r w:rsidRPr="00594103">
        <w:rPr>
          <w:rStyle w:val="Refdenotaalpie"/>
          <w:rFonts w:ascii="Century Gothic" w:eastAsia="Calibri" w:hAnsi="Century Gothic" w:cs="Arial"/>
        </w:rPr>
        <w:footnoteReference w:id="7"/>
      </w:r>
      <w:r w:rsidRPr="00594103">
        <w:rPr>
          <w:rFonts w:ascii="Century Gothic" w:eastAsia="Calibri" w:hAnsi="Century Gothic" w:cs="Arial"/>
        </w:rPr>
        <w:t xml:space="preserve">, expresó que </w:t>
      </w:r>
      <w:r>
        <w:rPr>
          <w:rFonts w:ascii="Century Gothic" w:eastAsia="Calibri" w:hAnsi="Century Gothic" w:cs="Arial"/>
        </w:rPr>
        <w:t>“</w:t>
      </w:r>
      <w:r w:rsidRPr="00594103">
        <w:rPr>
          <w:rFonts w:ascii="Century Gothic" w:eastAsia="Calibri" w:hAnsi="Century Gothic" w:cs="Arial"/>
        </w:rPr>
        <w:t>[…] 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Pr>
          <w:rFonts w:ascii="Century Gothic" w:eastAsia="Calibri" w:hAnsi="Century Gothic" w:cs="Arial"/>
        </w:rPr>
        <w:t>”</w:t>
      </w:r>
      <w:r w:rsidRPr="00594103">
        <w:rPr>
          <w:rStyle w:val="Refdenotaalpie"/>
          <w:rFonts w:ascii="Century Gothic" w:eastAsia="Calibri" w:hAnsi="Century Gothic" w:cs="Arial"/>
        </w:rPr>
        <w:footnoteReference w:id="8"/>
      </w:r>
      <w:r w:rsidRPr="00594103">
        <w:rPr>
          <w:rFonts w:ascii="Century Gothic" w:eastAsia="Calibri" w:hAnsi="Century Gothic" w:cs="Arial"/>
        </w:rPr>
        <w:t xml:space="preserve">. </w:t>
      </w:r>
    </w:p>
    <w:p w14:paraId="6E07F739" w14:textId="77777777" w:rsidR="00D14F00" w:rsidRPr="00594103" w:rsidRDefault="00D14F00" w:rsidP="00D14F00">
      <w:pPr>
        <w:spacing w:before="120" w:line="276" w:lineRule="auto"/>
        <w:ind w:firstLine="709"/>
        <w:jc w:val="both"/>
        <w:rPr>
          <w:rFonts w:ascii="Century Gothic" w:eastAsia="Calibri" w:hAnsi="Century Gothic" w:cs="Arial"/>
        </w:rPr>
      </w:pPr>
      <w:r w:rsidRPr="00594103">
        <w:rPr>
          <w:rFonts w:ascii="Century Gothic" w:eastAsia="Calibri" w:hAnsi="Century Gothic" w:cs="Arial"/>
        </w:rPr>
        <w:t xml:space="preserve">Por su parte la Sección Tercera del Consejo de Estado al referirse al régimen contractual de las empresas sociales del Estado, manifestó que </w:t>
      </w:r>
      <w:r>
        <w:rPr>
          <w:rFonts w:ascii="Century Gothic" w:eastAsia="Calibri" w:hAnsi="Century Gothic" w:cs="Arial"/>
        </w:rPr>
        <w:t>“</w:t>
      </w:r>
      <w:r w:rsidRPr="00594103">
        <w:rPr>
          <w:rFonts w:ascii="Century Gothic" w:eastAsia="Calibri" w:hAnsi="Century Gothic" w:cs="Arial"/>
        </w:rPr>
        <w:t>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Pr>
          <w:rFonts w:ascii="Century Gothic" w:eastAsia="Calibri" w:hAnsi="Century Gothic" w:cs="Arial"/>
        </w:rPr>
        <w:t>”</w:t>
      </w:r>
      <w:r w:rsidRPr="00594103">
        <w:rPr>
          <w:rStyle w:val="Refdenotaalpie"/>
          <w:rFonts w:ascii="Century Gothic" w:eastAsia="Calibri" w:hAnsi="Century Gothic" w:cs="Arial"/>
        </w:rPr>
        <w:footnoteReference w:id="9"/>
      </w:r>
      <w:r w:rsidRPr="00594103">
        <w:rPr>
          <w:rFonts w:ascii="Century Gothic" w:eastAsia="Calibri" w:hAnsi="Century Gothic" w:cs="Arial"/>
        </w:rPr>
        <w:t>.</w:t>
      </w:r>
    </w:p>
    <w:p w14:paraId="42A44529" w14:textId="77777777" w:rsidR="00D14F00" w:rsidRPr="00594103" w:rsidRDefault="00D14F00" w:rsidP="00D14F00">
      <w:pPr>
        <w:spacing w:before="120" w:line="276" w:lineRule="auto"/>
        <w:ind w:firstLine="709"/>
        <w:jc w:val="both"/>
        <w:rPr>
          <w:rFonts w:ascii="Century Gothic" w:eastAsia="Calibri" w:hAnsi="Century Gothic" w:cs="Arial"/>
        </w:rPr>
      </w:pPr>
      <w:r w:rsidRPr="6E32F7E7">
        <w:rPr>
          <w:rFonts w:ascii="Century Gothic" w:eastAsia="Calibri" w:hAnsi="Century Gothic" w:cs="Arial"/>
        </w:rPr>
        <w:t>De todo lo anteriormente enunciado se puede colegir que,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2"/>
    </w:p>
    <w:p w14:paraId="32FE0EB0" w14:textId="77777777" w:rsidR="00D14F00" w:rsidRPr="00594103" w:rsidRDefault="00D14F00" w:rsidP="00D14F00">
      <w:pPr>
        <w:pStyle w:val="Prrafodelista"/>
        <w:numPr>
          <w:ilvl w:val="1"/>
          <w:numId w:val="1"/>
        </w:numPr>
        <w:spacing w:before="120" w:line="276" w:lineRule="auto"/>
        <w:ind w:left="709"/>
        <w:jc w:val="both"/>
        <w:rPr>
          <w:rFonts w:ascii="Century Gothic" w:eastAsia="Calibri" w:hAnsi="Century Gothic" w:cs="Arial"/>
          <w:b/>
          <w:bCs/>
        </w:rPr>
      </w:pPr>
      <w:r w:rsidRPr="00594103">
        <w:rPr>
          <w:rFonts w:ascii="Century Gothic" w:hAnsi="Century Gothic"/>
          <w:b/>
          <w:bCs/>
        </w:rPr>
        <w:t>Libertad de configuración de los manuales internos de contratación</w:t>
      </w:r>
    </w:p>
    <w:p w14:paraId="578632C7" w14:textId="77777777" w:rsidR="00D14F00" w:rsidRPr="00594103" w:rsidRDefault="00D14F00" w:rsidP="00D14F00">
      <w:pPr>
        <w:spacing w:line="276" w:lineRule="auto"/>
        <w:jc w:val="both"/>
        <w:rPr>
          <w:rFonts w:ascii="Century Gothic" w:eastAsia="Calibri" w:hAnsi="Century Gothic" w:cs="Arial"/>
          <w:lang w:val="es-ES_tradnl"/>
        </w:rPr>
      </w:pPr>
      <w:r w:rsidRPr="00594103">
        <w:rPr>
          <w:rFonts w:ascii="Century Gothic" w:eastAsia="Calibri" w:hAnsi="Century Gothic" w:cs="Arial"/>
          <w:lang w:val="es-ES_tradnl"/>
        </w:rPr>
        <w:t xml:space="preserve">Si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w:t>
      </w:r>
      <w:r w:rsidRPr="00594103">
        <w:rPr>
          <w:rFonts w:ascii="Century Gothic" w:eastAsia="Calibri" w:hAnsi="Century Gothic" w:cs="Arial"/>
          <w:lang w:val="es-ES_tradnl"/>
        </w:rPr>
        <w:lastRenderedPageBreak/>
        <w:t xml:space="preserve">oferentes podrán identificar las reglas que aplica la entidad en sus procesos contractuales. </w:t>
      </w:r>
    </w:p>
    <w:p w14:paraId="5256E903" w14:textId="77777777" w:rsidR="00D14F00" w:rsidRPr="00594103" w:rsidRDefault="00D14F00" w:rsidP="00D14F00">
      <w:pPr>
        <w:spacing w:line="276" w:lineRule="auto"/>
        <w:ind w:firstLine="708"/>
        <w:jc w:val="both"/>
        <w:rPr>
          <w:rFonts w:ascii="Century Gothic" w:eastAsia="Calibri" w:hAnsi="Century Gothic" w:cs="Arial"/>
          <w:lang w:val="es-ES_tradnl"/>
        </w:rPr>
      </w:pPr>
      <w:r w:rsidRPr="00594103">
        <w:rPr>
          <w:rFonts w:ascii="Century Gothic" w:eastAsia="Calibri" w:hAnsi="Century Gothic" w:cs="Arial"/>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594103">
        <w:rPr>
          <w:rStyle w:val="Refdenotaalpie"/>
          <w:rFonts w:ascii="Century Gothic" w:eastAsia="Calibri" w:hAnsi="Century Gothic" w:cs="Arial"/>
          <w:lang w:val="es-ES_tradnl"/>
        </w:rPr>
        <w:footnoteReference w:id="10"/>
      </w:r>
      <w:r w:rsidRPr="00594103">
        <w:rPr>
          <w:rFonts w:ascii="Century Gothic" w:eastAsia="Calibri" w:hAnsi="Century Gothic" w:cs="Arial"/>
          <w:lang w:val="es-ES_tradnl"/>
        </w:rPr>
        <w:t>. Ahora bien, dicha libertad es similar a la reconocida a los particulares por el derecho privado, pero no es idéntica a aquella, en la medida en que encuentra importantes limitantes.</w:t>
      </w:r>
    </w:p>
    <w:p w14:paraId="6B36076E" w14:textId="77777777" w:rsidR="00D14F00" w:rsidRPr="00594103"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594103">
        <w:rPr>
          <w:rStyle w:val="Refdenotaalpie"/>
          <w:rFonts w:ascii="Century Gothic" w:eastAsia="Calibri" w:hAnsi="Century Gothic" w:cs="Arial"/>
          <w:lang w:val="es-ES_tradnl"/>
        </w:rPr>
        <w:footnoteReference w:id="11"/>
      </w:r>
      <w:r w:rsidRPr="00594103">
        <w:rPr>
          <w:rFonts w:ascii="Century Gothic" w:eastAsia="Calibri" w:hAnsi="Century Gothic" w:cs="Arial"/>
          <w:lang w:val="es-ES_tradnl"/>
        </w:rPr>
        <w:t xml:space="preserve">. </w:t>
      </w:r>
    </w:p>
    <w:p w14:paraId="12C80405" w14:textId="77777777" w:rsidR="00D14F00" w:rsidRPr="00594103"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1E4EED70" w14:textId="77777777" w:rsidR="00D14F00" w:rsidRPr="00594103"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 xml:space="preserve">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w:t>
      </w:r>
      <w:r w:rsidRPr="00594103">
        <w:rPr>
          <w:rFonts w:ascii="Century Gothic" w:eastAsia="Calibri" w:hAnsi="Century Gothic" w:cs="Arial"/>
          <w:lang w:val="es-ES_tradnl"/>
        </w:rPr>
        <w:lastRenderedPageBreak/>
        <w:t>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00594103">
        <w:rPr>
          <w:rStyle w:val="Refdenotaalpie"/>
          <w:rFonts w:ascii="Century Gothic" w:eastAsia="Calibri" w:hAnsi="Century Gothic" w:cs="Arial"/>
          <w:lang w:val="es-ES_tradnl"/>
        </w:rPr>
        <w:footnoteReference w:id="12"/>
      </w:r>
      <w:r w:rsidRPr="00594103">
        <w:rPr>
          <w:rFonts w:ascii="Century Gothic" w:eastAsia="Calibri" w:hAnsi="Century Gothic" w:cs="Arial"/>
          <w:lang w:val="es-ES_tradnl"/>
        </w:rPr>
        <w:t>.</w:t>
      </w:r>
    </w:p>
    <w:p w14:paraId="54F7AF50" w14:textId="77777777" w:rsidR="00D14F00" w:rsidRPr="00594103"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3D0D70CC" w14:textId="77777777" w:rsidR="00D14F00" w:rsidRPr="00594103" w:rsidRDefault="00D14F00" w:rsidP="00D14F00">
      <w:pPr>
        <w:spacing w:line="276" w:lineRule="auto"/>
        <w:ind w:firstLine="709"/>
        <w:jc w:val="both"/>
        <w:rPr>
          <w:rFonts w:ascii="Century Gothic" w:eastAsia="Calibri" w:hAnsi="Century Gothic" w:cs="Arial"/>
        </w:rPr>
      </w:pPr>
      <w:r w:rsidRPr="00594103">
        <w:rPr>
          <w:rFonts w:ascii="Century Gothic" w:eastAsia="Calibri" w:hAnsi="Century Gothic" w:cs="Arial"/>
          <w:lang w:val="es-ES_tradnl"/>
        </w:rPr>
        <w:t xml:space="preserve">Una materia que podría ser regulada en los manuales internos de contratación de las empresas sociales del Estado, es la que establece el artículo 76, inciso 3, de la Ley 1438 de 2011, norma que habilita a las empresas sociales del Estado a desarrollar y a </w:t>
      </w:r>
      <w:r>
        <w:rPr>
          <w:rFonts w:ascii="Century Gothic" w:eastAsia="Calibri" w:hAnsi="Century Gothic" w:cs="Arial"/>
          <w:lang w:val="es-ES_tradnl"/>
        </w:rPr>
        <w:t>“</w:t>
      </w:r>
      <w:r w:rsidRPr="00594103">
        <w:rPr>
          <w:rFonts w:ascii="Century Gothic" w:eastAsia="Calibri" w:hAnsi="Century Gothic" w:cs="Arial"/>
        </w:rPr>
        <w:t>utilizar mecanismos de subasta inversa para lograr mayor eficiencia en sus adquisiciones</w:t>
      </w:r>
      <w:r>
        <w:rPr>
          <w:rFonts w:ascii="Century Gothic" w:eastAsia="Calibri" w:hAnsi="Century Gothic" w:cs="Arial"/>
        </w:rPr>
        <w:t>”</w:t>
      </w:r>
      <w:r w:rsidRPr="00594103">
        <w:rPr>
          <w:rFonts w:ascii="Century Gothic" w:eastAsia="Calibri" w:hAnsi="Century Gothic" w:cs="Arial"/>
        </w:rPr>
        <w:t xml:space="preserve">. </w:t>
      </w:r>
    </w:p>
    <w:p w14:paraId="47AD08B1" w14:textId="77777777" w:rsidR="00D14F00" w:rsidRPr="00594103" w:rsidRDefault="00D14F00" w:rsidP="00D14F00">
      <w:pPr>
        <w:spacing w:line="276" w:lineRule="auto"/>
        <w:ind w:firstLine="709"/>
        <w:jc w:val="both"/>
        <w:rPr>
          <w:rFonts w:ascii="Century Gothic" w:eastAsia="Calibri" w:hAnsi="Century Gothic" w:cs="Arial"/>
        </w:rPr>
      </w:pPr>
      <w:r w:rsidRPr="00594103">
        <w:rPr>
          <w:rFonts w:ascii="Century Gothic" w:eastAsia="Calibri" w:hAnsi="Century Gothic" w:cs="Arial"/>
        </w:rPr>
        <w:t xml:space="preserve">Esta normativa no contiene una obligación de implementar un mecanismo de selección de contratistas, pues, como se dijo en líneas anteriores, las entidades excluidas del EGCAP están habilitadas para configurar sus manuales de contratación sin más limitaciones que las que imponen los principios de la función administrativa y la gestión fiscal, así como la reserva de ley, habilitación que incluye, por supuesto, la decisión voluntaria de utilizar mecanismos de subasta inversa, bien sea electrónica o presencial, para sus </w:t>
      </w:r>
      <w:r>
        <w:rPr>
          <w:rFonts w:ascii="Century Gothic" w:eastAsia="Calibri" w:hAnsi="Century Gothic" w:cs="Arial"/>
        </w:rPr>
        <w:t>“</w:t>
      </w:r>
      <w:r w:rsidRPr="00594103">
        <w:rPr>
          <w:rFonts w:ascii="Century Gothic" w:eastAsia="Calibri" w:hAnsi="Century Gothic" w:cs="Arial"/>
        </w:rPr>
        <w:t>adquisiciones</w:t>
      </w:r>
      <w:r>
        <w:rPr>
          <w:rFonts w:ascii="Century Gothic" w:eastAsia="Calibri" w:hAnsi="Century Gothic" w:cs="Arial"/>
        </w:rPr>
        <w:t>”</w:t>
      </w:r>
      <w:r w:rsidRPr="00594103">
        <w:rPr>
          <w:rFonts w:ascii="Century Gothic" w:eastAsia="Calibri" w:hAnsi="Century Gothic" w:cs="Arial"/>
        </w:rPr>
        <w:t xml:space="preserve">. Tampoco se trata de una remisión normativa a las disposiciones del EGCAP que regulan la subasta inversa; es simplemente un referente que las entidades podrán tener en cuenta a la hora de configurar sus manuales internos de contratación. Prueba de ello es que aun si esta norma no existiera, las empresas sociales del Estado podrían introducir en sus manuales mecanismos de subasta inversa, bien acogiendo el modelo establecido </w:t>
      </w:r>
      <w:r w:rsidRPr="00594103">
        <w:rPr>
          <w:rFonts w:ascii="Century Gothic" w:eastAsia="Calibri" w:hAnsi="Century Gothic" w:cs="Arial"/>
        </w:rPr>
        <w:lastRenderedPageBreak/>
        <w:t>en el EGCAP o bien adoptado un nuevo modelo, en todo caso, respetando los principios tantas veces referidos.</w:t>
      </w:r>
    </w:p>
    <w:p w14:paraId="54334C2F" w14:textId="77777777" w:rsidR="00D14F00" w:rsidRPr="00594103"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rPr>
        <w:t xml:space="preserve">Ahora bien, contrario a lo que ocurre con este ejemplo de la subasta inversa por medio del cual se habilita a las ESE a utilizar mecanismo, tenemos normas que se han introducido al ordenamiento jurídico que regula la contratación pública que obliga, inclusive a las entidades no sometidas al Estatuto General de la Contratación Pública, a introducir en sus procesos de selección acciones y medidas que propendan por acercar el sistema de compras públicas a ciertos sectores económicos. Tal es el caso de la Ley 2069 de 2020 y su reglamentación por conducto del Decreto 1860 de 2021 que será abordado a continuación. </w:t>
      </w:r>
    </w:p>
    <w:p w14:paraId="4EFE97C4" w14:textId="77777777" w:rsidR="00D14F00" w:rsidRPr="00594103" w:rsidRDefault="00D14F00" w:rsidP="00D14F00">
      <w:pPr>
        <w:pStyle w:val="Prrafodelista"/>
        <w:numPr>
          <w:ilvl w:val="1"/>
          <w:numId w:val="1"/>
        </w:numPr>
        <w:spacing w:before="120" w:line="276" w:lineRule="auto"/>
        <w:ind w:left="0" w:firstLine="0"/>
        <w:jc w:val="both"/>
        <w:rPr>
          <w:rFonts w:ascii="Century Gothic" w:eastAsia="Calibri" w:hAnsi="Century Gothic" w:cs="Arial"/>
          <w:b/>
          <w:bCs/>
          <w:lang w:val="es-ES_tradnl"/>
        </w:rPr>
      </w:pPr>
      <w:r w:rsidRPr="00594103">
        <w:rPr>
          <w:rFonts w:ascii="Century Gothic" w:hAnsi="Century Gothic"/>
          <w:b/>
          <w:bCs/>
          <w:lang w:val="es-ES_tradnl"/>
        </w:rPr>
        <w:t>C</w:t>
      </w:r>
      <w:proofErr w:type="spellStart"/>
      <w:r w:rsidRPr="00594103">
        <w:rPr>
          <w:rFonts w:ascii="Century Gothic" w:hAnsi="Century Gothic"/>
          <w:b/>
          <w:bCs/>
        </w:rPr>
        <w:t>riterios</w:t>
      </w:r>
      <w:proofErr w:type="spellEnd"/>
      <w:r w:rsidRPr="00594103">
        <w:rPr>
          <w:rFonts w:ascii="Century Gothic" w:hAnsi="Century Gothic"/>
          <w:b/>
          <w:bCs/>
        </w:rPr>
        <w:t xml:space="preserve"> diferenciales y factores de desempate introducidos por la Ley 2069 de 2020 y su aplicación a las entidades no sometidas al EGCAP </w:t>
      </w:r>
    </w:p>
    <w:p w14:paraId="18111B3D" w14:textId="77777777" w:rsidR="00D14F00" w:rsidRPr="00594103" w:rsidRDefault="00D14F00" w:rsidP="00D14F00">
      <w:pPr>
        <w:spacing w:line="276" w:lineRule="auto"/>
        <w:jc w:val="both"/>
        <w:rPr>
          <w:rFonts w:ascii="Century Gothic" w:eastAsia="Calibri" w:hAnsi="Century Gothic" w:cs="Arial"/>
          <w:lang w:val="es-ES_tradnl"/>
        </w:rPr>
      </w:pPr>
      <w:bookmarkStart w:id="3" w:name="_Hlk112034373"/>
      <w:r w:rsidRPr="00594103">
        <w:rPr>
          <w:rFonts w:ascii="Century Gothic" w:eastAsia="Calibri" w:hAnsi="Century Gothic"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634EAF40" w14:textId="77777777" w:rsidR="00D14F00" w:rsidRPr="00594103" w:rsidRDefault="00D14F00" w:rsidP="00D14F00">
      <w:pPr>
        <w:spacing w:before="120" w:line="276" w:lineRule="auto"/>
        <w:ind w:firstLine="708"/>
        <w:jc w:val="both"/>
        <w:rPr>
          <w:rFonts w:ascii="Century Gothic" w:eastAsia="Calibri" w:hAnsi="Century Gothic" w:cs="Arial"/>
          <w:lang w:val="es-ES_tradnl"/>
        </w:rPr>
      </w:pPr>
      <w:r w:rsidRPr="00594103">
        <w:rPr>
          <w:rFonts w:ascii="Century Gothic" w:eastAsia="Calibri" w:hAnsi="Century Gothic" w:cs="Arial"/>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594103">
        <w:rPr>
          <w:rFonts w:ascii="Century Gothic" w:hAnsi="Century Gothic"/>
          <w:vertAlign w:val="superscript"/>
          <w:lang w:val="es-ES_tradnl"/>
        </w:rPr>
        <w:footnoteReference w:id="13"/>
      </w:r>
      <w:r w:rsidRPr="00594103">
        <w:rPr>
          <w:rFonts w:ascii="Century Gothic" w:eastAsia="Calibri" w:hAnsi="Century Gothic" w:cs="Arial"/>
          <w:lang w:val="es-ES_tradnl"/>
        </w:rPr>
        <w:t xml:space="preserve">. Esto, a partir de “[…] un enfoque regionalizado </w:t>
      </w:r>
      <w:proofErr w:type="gramStart"/>
      <w:r w:rsidRPr="00594103">
        <w:rPr>
          <w:rFonts w:ascii="Century Gothic" w:eastAsia="Calibri" w:hAnsi="Century Gothic" w:cs="Arial"/>
          <w:lang w:val="es-ES_tradnl"/>
        </w:rPr>
        <w:t>de acuerdo a</w:t>
      </w:r>
      <w:proofErr w:type="gramEnd"/>
      <w:r w:rsidRPr="00594103">
        <w:rPr>
          <w:rFonts w:ascii="Century Gothic" w:eastAsia="Calibri" w:hAnsi="Century Gothic" w:cs="Arial"/>
          <w:lang w:val="es-ES_tradnl"/>
        </w:rPr>
        <w:t xml:space="preserve"> las realidades socioeconómicas de cada región”. En desarrollo de esta finalidad, se establecen medidas de apoyo para las micro, pequeñas y medianas empresas –</w:t>
      </w:r>
      <w:proofErr w:type="spellStart"/>
      <w:r w:rsidRPr="00594103">
        <w:rPr>
          <w:rFonts w:ascii="Century Gothic" w:eastAsia="Calibri" w:hAnsi="Century Gothic" w:cs="Arial"/>
          <w:lang w:val="es-ES_tradnl"/>
        </w:rPr>
        <w:t>mipymes</w:t>
      </w:r>
      <w:proofErr w:type="spellEnd"/>
      <w:r w:rsidRPr="00594103">
        <w:rPr>
          <w:rFonts w:ascii="Century Gothic" w:eastAsia="Calibri" w:hAnsi="Century Gothic" w:cs="Arial"/>
          <w:lang w:val="es-ES_tradnl"/>
        </w:rPr>
        <w:t>–, mediante la racionalización y simplificación de los trámites y tarifas</w:t>
      </w:r>
      <w:r w:rsidRPr="00594103">
        <w:rPr>
          <w:rFonts w:ascii="Century Gothic" w:hAnsi="Century Gothic"/>
          <w:vertAlign w:val="superscript"/>
          <w:lang w:val="es-ES_tradnl"/>
        </w:rPr>
        <w:footnoteReference w:id="14"/>
      </w:r>
      <w:r w:rsidRPr="00594103">
        <w:rPr>
          <w:rFonts w:ascii="Century Gothic" w:eastAsia="Calibri" w:hAnsi="Century Gothic" w:cs="Arial"/>
          <w:lang w:val="es-ES_tradnl"/>
        </w:rPr>
        <w:t>, así como incentivos a favor de aquellas dentro del sistema de compras y contratación pública</w:t>
      </w:r>
      <w:r w:rsidRPr="00594103">
        <w:rPr>
          <w:rFonts w:ascii="Century Gothic" w:hAnsi="Century Gothic"/>
          <w:vertAlign w:val="superscript"/>
          <w:lang w:val="es-ES_tradnl"/>
        </w:rPr>
        <w:footnoteReference w:id="15"/>
      </w:r>
      <w:r w:rsidRPr="00594103">
        <w:rPr>
          <w:rFonts w:ascii="Century Gothic" w:eastAsia="Calibri" w:hAnsi="Century Gothic" w:cs="Arial"/>
          <w:lang w:val="es-ES_tradnl"/>
        </w:rPr>
        <w:t>. También se consagran mecanismos de acceso al financiamiento</w:t>
      </w:r>
      <w:r w:rsidRPr="00594103">
        <w:rPr>
          <w:rFonts w:ascii="Century Gothic" w:hAnsi="Century Gothic"/>
          <w:vertAlign w:val="superscript"/>
          <w:lang w:val="es-ES_tradnl"/>
        </w:rPr>
        <w:footnoteReference w:id="16"/>
      </w:r>
      <w:r w:rsidRPr="00594103">
        <w:rPr>
          <w:rFonts w:ascii="Century Gothic" w:eastAsia="Calibri" w:hAnsi="Century Gothic" w:cs="Arial"/>
          <w:lang w:val="es-ES_tradnl"/>
        </w:rPr>
        <w:t xml:space="preserve">, se unifican las fuentes de emprendimiento y de desarrollo empresarial, para fortalecer y promover los distintos </w:t>
      </w:r>
      <w:r w:rsidRPr="00594103">
        <w:rPr>
          <w:rFonts w:ascii="Century Gothic" w:eastAsia="Calibri" w:hAnsi="Century Gothic" w:cs="Arial"/>
          <w:lang w:val="es-ES_tradnl"/>
        </w:rPr>
        <w:lastRenderedPageBreak/>
        <w:t>sectores de la economía</w:t>
      </w:r>
      <w:r w:rsidRPr="00594103">
        <w:rPr>
          <w:rFonts w:ascii="Century Gothic" w:hAnsi="Century Gothic"/>
          <w:vertAlign w:val="superscript"/>
          <w:lang w:val="es-ES_tradnl"/>
        </w:rPr>
        <w:footnoteReference w:id="17"/>
      </w:r>
      <w:r w:rsidRPr="00594103">
        <w:rPr>
          <w:rFonts w:ascii="Century Gothic" w:eastAsia="Calibri" w:hAnsi="Century Gothic" w:cs="Arial"/>
          <w:lang w:val="es-ES_tradnl"/>
        </w:rPr>
        <w:t xml:space="preserve"> y se prevén medidas de educación para el emprendimiento y la innovación</w:t>
      </w:r>
      <w:bookmarkEnd w:id="3"/>
      <w:r w:rsidRPr="00594103">
        <w:rPr>
          <w:rFonts w:ascii="Century Gothic" w:hAnsi="Century Gothic"/>
          <w:vertAlign w:val="superscript"/>
          <w:lang w:val="es-ES_tradnl"/>
        </w:rPr>
        <w:footnoteReference w:id="18"/>
      </w:r>
      <w:r w:rsidRPr="00594103">
        <w:rPr>
          <w:rFonts w:ascii="Century Gothic" w:eastAsia="Calibri" w:hAnsi="Century Gothic" w:cs="Arial"/>
          <w:lang w:val="es-ES_tradnl"/>
        </w:rPr>
        <w:t>.</w:t>
      </w:r>
    </w:p>
    <w:p w14:paraId="5CA61E03" w14:textId="77777777" w:rsidR="00D14F00" w:rsidRPr="00594103" w:rsidRDefault="00D14F00" w:rsidP="00D14F00">
      <w:pPr>
        <w:spacing w:before="120" w:line="276" w:lineRule="auto"/>
        <w:ind w:firstLine="708"/>
        <w:jc w:val="both"/>
        <w:rPr>
          <w:rFonts w:ascii="Century Gothic" w:eastAsia="Calibri" w:hAnsi="Century Gothic" w:cs="Arial"/>
          <w:lang w:val="es-ES_tradnl"/>
        </w:rPr>
      </w:pPr>
      <w:r w:rsidRPr="00594103">
        <w:rPr>
          <w:rFonts w:ascii="Century Gothic" w:eastAsia="Calibri" w:hAnsi="Century Gothic"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94103">
        <w:rPr>
          <w:rFonts w:ascii="Century Gothic" w:eastAsia="Calibri" w:hAnsi="Century Gothic" w:cs="Arial"/>
          <w:lang w:val="es-ES_tradnl"/>
        </w:rPr>
        <w:t>mipymes</w:t>
      </w:r>
      <w:proofErr w:type="spellEnd"/>
      <w:r w:rsidRPr="00594103">
        <w:rPr>
          <w:rFonts w:ascii="Century Gothic" w:eastAsia="Calibri" w:hAnsi="Century Gothic" w:cs="Arial"/>
          <w:lang w:val="es-ES_tradnl"/>
        </w:rPr>
        <w:t xml:space="preserve"> en el procedimiento de mínima cuantía, ii) criterios diferenciales para </w:t>
      </w:r>
      <w:proofErr w:type="spellStart"/>
      <w:r w:rsidRPr="00594103">
        <w:rPr>
          <w:rFonts w:ascii="Century Gothic" w:eastAsia="Calibri" w:hAnsi="Century Gothic" w:cs="Arial"/>
          <w:lang w:val="es-ES_tradnl"/>
        </w:rPr>
        <w:t>mipymes</w:t>
      </w:r>
      <w:proofErr w:type="spellEnd"/>
      <w:r w:rsidRPr="00594103">
        <w:rPr>
          <w:rFonts w:ascii="Century Gothic" w:eastAsia="Calibri" w:hAnsi="Century Gothic" w:cs="Arial"/>
          <w:lang w:val="es-ES_tradnl"/>
        </w:rPr>
        <w:t xml:space="preserve"> en el sistema de compras públicas, iii) criterios diferenciales para emprendimientos y empresas de mujeres en el sistema de compras públicas, </w:t>
      </w:r>
      <w:proofErr w:type="spellStart"/>
      <w:r w:rsidRPr="00594103">
        <w:rPr>
          <w:rFonts w:ascii="Century Gothic" w:eastAsia="Calibri" w:hAnsi="Century Gothic" w:cs="Arial"/>
          <w:lang w:val="es-ES_tradnl"/>
        </w:rPr>
        <w:t>iv</w:t>
      </w:r>
      <w:proofErr w:type="spellEnd"/>
      <w:r w:rsidRPr="00594103">
        <w:rPr>
          <w:rFonts w:ascii="Century Gothic" w:eastAsia="Calibri" w:hAnsi="Century Gothic" w:cs="Arial"/>
          <w:lang w:val="es-ES_tradnl"/>
        </w:rPr>
        <w:t xml:space="preserve">) promoción del acceso de las </w:t>
      </w:r>
      <w:proofErr w:type="spellStart"/>
      <w:r w:rsidRPr="00594103">
        <w:rPr>
          <w:rFonts w:ascii="Century Gothic" w:eastAsia="Calibri" w:hAnsi="Century Gothic" w:cs="Arial"/>
          <w:lang w:val="es-ES_tradnl"/>
        </w:rPr>
        <w:t>mipymes</w:t>
      </w:r>
      <w:proofErr w:type="spellEnd"/>
      <w:r w:rsidRPr="00594103">
        <w:rPr>
          <w:rFonts w:ascii="Century Gothic" w:eastAsia="Calibri" w:hAnsi="Century Gothic"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BDA4B47" w14:textId="77777777" w:rsidR="00D14F00" w:rsidRPr="00594103" w:rsidRDefault="00D14F00" w:rsidP="00D14F00">
      <w:pPr>
        <w:tabs>
          <w:tab w:val="left" w:pos="709"/>
        </w:tabs>
        <w:spacing w:line="276" w:lineRule="auto"/>
        <w:jc w:val="both"/>
        <w:rPr>
          <w:rFonts w:ascii="Century Gothic" w:eastAsia="Calibri" w:hAnsi="Century Gothic" w:cs="Arial"/>
          <w:bCs/>
        </w:rPr>
      </w:pPr>
      <w:r w:rsidRPr="00594103">
        <w:rPr>
          <w:rFonts w:ascii="Century Gothic" w:eastAsia="Calibri" w:hAnsi="Century Gothic" w:cs="Arial"/>
          <w:bCs/>
        </w:rPr>
        <w:tab/>
        <w:t xml:space="preserve">Dentro del referido capítulo, y teniendo en cuenta el objeto de su consulta, es preciso señalar que </w:t>
      </w:r>
      <w:bookmarkStart w:id="4" w:name="_Hlk63848566"/>
      <w:r w:rsidRPr="00594103">
        <w:rPr>
          <w:rFonts w:ascii="Century Gothic" w:eastAsia="Calibri" w:hAnsi="Century Gothic" w:cs="Arial"/>
          <w:bCs/>
        </w:rPr>
        <w:t>los artículos 31, 32, 33 y 35 de la Ley 2069 de 2020</w:t>
      </w:r>
      <w:bookmarkEnd w:id="4"/>
      <w:r w:rsidRPr="00594103">
        <w:rPr>
          <w:rFonts w:ascii="Century Gothic" w:eastAsia="Calibri" w:hAnsi="Century Gothic" w:cs="Arial"/>
          <w:bCs/>
        </w:rPr>
        <w:t xml:space="preserve">, crean una serie de incentivos para las personas interesadas en celebrar contratos con el Estado. </w:t>
      </w:r>
      <w:r w:rsidRPr="00594103">
        <w:rPr>
          <w:rFonts w:ascii="Century Gothic" w:eastAsia="Calibri" w:hAnsi="Century Gothic" w:cs="Arial"/>
          <w:bCs/>
          <w:lang w:val="es-ES_tradnl"/>
        </w:rPr>
        <w:t xml:space="preserve">Por un lado, el artículo 31 </w:t>
      </w:r>
      <w:r w:rsidRPr="00594103">
        <w:rPr>
          <w:rFonts w:ascii="Century Gothic" w:eastAsia="Calibri" w:hAnsi="Century Gothic" w:cs="Arial"/>
          <w:bCs/>
        </w:rPr>
        <w:t xml:space="preserve">introduce criterios diferenciales para el acceso de las </w:t>
      </w:r>
      <w:proofErr w:type="spellStart"/>
      <w:r w:rsidRPr="00594103">
        <w:rPr>
          <w:rFonts w:ascii="Century Gothic" w:eastAsia="Calibri" w:hAnsi="Century Gothic" w:cs="Arial"/>
          <w:bCs/>
        </w:rPr>
        <w:t>mipymes</w:t>
      </w:r>
      <w:proofErr w:type="spellEnd"/>
      <w:r w:rsidRPr="00594103">
        <w:rPr>
          <w:rFonts w:ascii="Century Gothic" w:eastAsia="Calibri" w:hAnsi="Century Gothic" w:cs="Arial"/>
          <w:bCs/>
        </w:rPr>
        <w:t xml:space="preserve"> al sistema de compras y contratación pública, estableciendo que “Las Entidades Estatales de acuerdo con el análisis de Sector </w:t>
      </w:r>
      <w:bookmarkStart w:id="5" w:name="_Hlk63767562"/>
      <w:r w:rsidRPr="00594103">
        <w:rPr>
          <w:rFonts w:ascii="Century Gothic" w:eastAsia="Calibri" w:hAnsi="Century Gothic" w:cs="Arial"/>
          <w:bCs/>
        </w:rPr>
        <w:t>podrán incluir, en los Documentos del Proceso, requisitos diferenciales y puntajes adicionales</w:t>
      </w:r>
      <w:bookmarkEnd w:id="5"/>
      <w:r w:rsidRPr="00594103">
        <w:rPr>
          <w:rFonts w:ascii="Century Gothic" w:eastAsia="Calibri" w:hAnsi="Century Gothic" w:cs="Arial"/>
          <w:bCs/>
        </w:rPr>
        <w:t>, en función del tamaño empresarial para la promoción del acceso de las MIPYMES al mercado de Compras Públicas”</w:t>
      </w:r>
      <w:r w:rsidRPr="00594103">
        <w:rPr>
          <w:rFonts w:ascii="Century Gothic" w:eastAsia="Calibri" w:hAnsi="Century Gothic" w:cs="Arial"/>
          <w:bCs/>
          <w:vertAlign w:val="superscript"/>
        </w:rPr>
        <w:footnoteReference w:id="19"/>
      </w:r>
      <w:r w:rsidRPr="00594103">
        <w:rPr>
          <w:rFonts w:ascii="Century Gothic" w:eastAsia="Calibri" w:hAnsi="Century Gothic" w:cs="Arial"/>
          <w:bCs/>
        </w:rPr>
        <w:t xml:space="preserve">.  </w:t>
      </w:r>
    </w:p>
    <w:p w14:paraId="3086DC1A" w14:textId="77777777" w:rsidR="00D14F00" w:rsidRPr="00594103" w:rsidRDefault="00D14F00" w:rsidP="00D14F00">
      <w:pPr>
        <w:tabs>
          <w:tab w:val="left" w:pos="709"/>
        </w:tabs>
        <w:spacing w:line="276" w:lineRule="auto"/>
        <w:jc w:val="both"/>
        <w:rPr>
          <w:rFonts w:ascii="Century Gothic" w:eastAsia="Calibri" w:hAnsi="Century Gothic" w:cs="Arial"/>
          <w:bCs/>
        </w:rPr>
      </w:pPr>
      <w:r w:rsidRPr="00594103">
        <w:rPr>
          <w:rFonts w:ascii="Century Gothic" w:eastAsia="Calibri" w:hAnsi="Century Gothic" w:cs="Arial"/>
          <w:bCs/>
        </w:rPr>
        <w:tab/>
        <w:t xml:space="preserve">Además, el inciso segundo y el parágrafo del </w:t>
      </w:r>
      <w:r w:rsidRPr="00594103">
        <w:rPr>
          <w:rFonts w:ascii="Century Gothic" w:eastAsia="Calibri" w:hAnsi="Century Gothic" w:cs="Arial"/>
          <w:bCs/>
          <w:lang w:val="es-ES_tradnl"/>
        </w:rPr>
        <w:t xml:space="preserve">artículo 31 </w:t>
      </w:r>
      <w:r w:rsidRPr="00594103">
        <w:rPr>
          <w:rFonts w:ascii="Century Gothic" w:eastAsia="Calibri" w:hAnsi="Century Gothic" w:cs="Arial"/>
          <w:bCs/>
        </w:rPr>
        <w:t xml:space="preserve">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w:t>
      </w:r>
      <w:r w:rsidRPr="00594103">
        <w:rPr>
          <w:rFonts w:ascii="Century Gothic" w:eastAsia="Calibri" w:hAnsi="Century Gothic" w:cs="Arial"/>
          <w:bCs/>
        </w:rPr>
        <w:lastRenderedPageBreak/>
        <w:t>adquiridos con otros Estados”. Es decir, estas normas requieren el desarrollo reglamentario como una condición previa para su aplicación.</w:t>
      </w:r>
    </w:p>
    <w:p w14:paraId="40B6AE48"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bCs/>
        </w:rPr>
        <w:t>El artículo 32 de la Ley 2069 de 2020</w:t>
      </w:r>
      <w:r w:rsidRPr="00594103">
        <w:rPr>
          <w:rFonts w:ascii="Century Gothic" w:eastAsia="Calibri" w:hAnsi="Century Gothic" w:cs="Arial"/>
          <w:bCs/>
          <w:vertAlign w:val="superscript"/>
        </w:rPr>
        <w:footnoteReference w:id="20"/>
      </w:r>
      <w:r w:rsidRPr="00594103">
        <w:rPr>
          <w:rFonts w:ascii="Century Gothic" w:eastAsia="Calibri" w:hAnsi="Century Gothic" w:cs="Arial"/>
          <w:bCs/>
        </w:rPr>
        <w:t xml:space="preserve"> regula lo relativo criterios diferenciales para los “emprendimientos y empresas de mujeres” en el sistema de compras y contratación pública. Así mismo el artículo 35 de la Ley en cita </w:t>
      </w:r>
      <w:r w:rsidRPr="00594103">
        <w:rPr>
          <w:rFonts w:ascii="Century Gothic" w:eastAsia="Calibri" w:hAnsi="Century Gothic" w:cs="Arial"/>
          <w:lang w:val="es-ES_tradnl" w:eastAsia="es-ES_tradnl"/>
        </w:rPr>
        <w:t>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w:t>
      </w:r>
    </w:p>
    <w:p w14:paraId="3B48DC05"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lang w:val="es-ES_tradnl" w:eastAsia="es-ES_tradnl"/>
        </w:rPr>
        <w:t>En línea con lo anterior,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752D79D0"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lang w:val="es-ES_tradnl" w:eastAsia="es-ES_tradnl"/>
        </w:rPr>
        <w:t xml:space="preserve">Ahora bien, haciendo alusión a la pregunta en cuestión, más allá de la reglamentación particular de los criterios diferenciales para las MIPYMES, para emprendimiento y empresas de mujeres, así como, los respectivos factores de desempate, las normas fundantes de cada una de estas acciones afirmativas guardan similitud entre ellas, esto es, que estas son aplicables en la contratación </w:t>
      </w:r>
      <w:r w:rsidRPr="00594103">
        <w:rPr>
          <w:rFonts w:ascii="Century Gothic" w:eastAsia="Calibri" w:hAnsi="Century Gothic" w:cs="Arial"/>
          <w:lang w:val="es-ES_tradnl" w:eastAsia="es-ES_tradnl"/>
        </w:rPr>
        <w:lastRenderedPageBreak/>
        <w:t xml:space="preserve">pública independientemente de si una entidad está o no, sometida a las normas del Estatuto General de la Contratación Pública. </w:t>
      </w:r>
    </w:p>
    <w:p w14:paraId="6CA72422"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lang w:val="es-ES_tradnl" w:eastAsia="es-ES_tradnl"/>
        </w:rPr>
        <w:t xml:space="preserve">Lo anterior se colige de la redacción literal de las normas aludidas. Concretamente </w:t>
      </w:r>
      <w:r w:rsidRPr="00594103">
        <w:rPr>
          <w:rFonts w:ascii="Century Gothic" w:hAnsi="Century Gothic"/>
          <w:sz w:val="21"/>
          <w:szCs w:val="21"/>
          <w:shd w:val="clear" w:color="auto" w:fill="FFFFFF"/>
        </w:rPr>
        <w:t xml:space="preserve">el artículo 31 y 33 sobre los criterios diferenciales criterios diferenciales para </w:t>
      </w:r>
      <w:proofErr w:type="spellStart"/>
      <w:r w:rsidRPr="00594103">
        <w:rPr>
          <w:rFonts w:ascii="Century Gothic" w:hAnsi="Century Gothic"/>
          <w:sz w:val="21"/>
          <w:szCs w:val="21"/>
          <w:shd w:val="clear" w:color="auto" w:fill="FFFFFF"/>
        </w:rPr>
        <w:t>mipymes</w:t>
      </w:r>
      <w:proofErr w:type="spellEnd"/>
      <w:r w:rsidRPr="00594103">
        <w:rPr>
          <w:rFonts w:ascii="Century Gothic" w:hAnsi="Century Gothic"/>
          <w:sz w:val="21"/>
          <w:szCs w:val="21"/>
          <w:shd w:val="clear" w:color="auto" w:fill="FFFFFF"/>
        </w:rPr>
        <w:t xml:space="preserve"> en el sistema de compra pública y la promoción del acceso de las </w:t>
      </w:r>
      <w:proofErr w:type="spellStart"/>
      <w:r w:rsidRPr="00594103">
        <w:rPr>
          <w:rFonts w:ascii="Century Gothic" w:hAnsi="Century Gothic"/>
          <w:sz w:val="21"/>
          <w:szCs w:val="21"/>
          <w:shd w:val="clear" w:color="auto" w:fill="FFFFFF"/>
        </w:rPr>
        <w:t>mipymes</w:t>
      </w:r>
      <w:proofErr w:type="spellEnd"/>
      <w:r w:rsidRPr="00594103">
        <w:rPr>
          <w:rFonts w:ascii="Century Gothic" w:hAnsi="Century Gothic"/>
          <w:sz w:val="21"/>
          <w:szCs w:val="21"/>
          <w:shd w:val="clear" w:color="auto" w:fill="FFFFFF"/>
        </w:rPr>
        <w:t xml:space="preserve"> al mercado de compras públicas</w:t>
      </w:r>
      <w:r w:rsidRPr="00594103">
        <w:rPr>
          <w:rFonts w:ascii="Century Gothic" w:eastAsia="Calibri" w:hAnsi="Century Gothic" w:cs="Arial"/>
          <w:lang w:val="es-ES_tradnl" w:eastAsia="es-ES_tradnl"/>
        </w:rPr>
        <w:t xml:space="preserve"> señala lo siguiente: </w:t>
      </w:r>
    </w:p>
    <w:p w14:paraId="63222B0E" w14:textId="77777777" w:rsidR="00D14F00" w:rsidRPr="00594103" w:rsidRDefault="00D14F00" w:rsidP="00D14F00">
      <w:pPr>
        <w:spacing w:line="276" w:lineRule="auto"/>
        <w:ind w:left="709" w:right="709"/>
        <w:jc w:val="both"/>
        <w:rPr>
          <w:rFonts w:ascii="Century Gothic" w:hAnsi="Century Gothic"/>
          <w:sz w:val="21"/>
          <w:szCs w:val="21"/>
          <w:shd w:val="clear" w:color="auto" w:fill="FFFFFF"/>
        </w:rPr>
      </w:pPr>
      <w:r>
        <w:rPr>
          <w:rFonts w:ascii="Century Gothic" w:hAnsi="Century Gothic"/>
          <w:sz w:val="21"/>
          <w:szCs w:val="21"/>
          <w:shd w:val="clear" w:color="auto" w:fill="FFFFFF"/>
        </w:rPr>
        <w:t>“</w:t>
      </w:r>
      <w:r w:rsidRPr="00594103">
        <w:rPr>
          <w:rFonts w:ascii="Century Gothic" w:hAnsi="Century Gothic"/>
          <w:sz w:val="21"/>
          <w:szCs w:val="21"/>
          <w:shd w:val="clear" w:color="auto" w:fill="FFFFFF"/>
        </w:rPr>
        <w:t>ARTÍCULO 31. CRITERIOS DIFERENCIALES PARA MIPYMES EN EL SISTEMA DE COMPRA PÚBLICA. Las Entidades Estatales de acuerdo con el análisis de Sector podrán incluir, en los Documentos del Proceso, requisitos diferenciales y puntajes adicionales, en función del tamaño empresarial para la promoción del acceso de las MiPymes al mercado de Compras Públicas.</w:t>
      </w:r>
    </w:p>
    <w:p w14:paraId="30DA97EC" w14:textId="77777777" w:rsidR="00D14F00" w:rsidRPr="00594103" w:rsidRDefault="00D14F00" w:rsidP="00D14F00">
      <w:pPr>
        <w:spacing w:line="276" w:lineRule="auto"/>
        <w:ind w:left="709" w:right="709"/>
        <w:jc w:val="both"/>
        <w:rPr>
          <w:rFonts w:ascii="Century Gothic" w:hAnsi="Century Gothic"/>
          <w:b/>
          <w:bCs/>
          <w:sz w:val="21"/>
          <w:szCs w:val="21"/>
          <w:shd w:val="clear" w:color="auto" w:fill="FFFFFF"/>
        </w:rPr>
      </w:pPr>
      <w:r w:rsidRPr="00594103">
        <w:rPr>
          <w:rFonts w:ascii="Century Gothic" w:hAnsi="Century Gothic"/>
          <w:sz w:val="21"/>
          <w:szCs w:val="21"/>
          <w:shd w:val="clear" w:color="auto" w:fill="FFFFFF"/>
        </w:rPr>
        <w:t xml:space="preserve">ARTÍCULO 33. PROMOCIÓN DEL ACCESO DE LAS MIPYMES AL MERCADO DE COMPRAS PÚBLICAS. </w:t>
      </w:r>
      <w:r w:rsidRPr="00594103">
        <w:rPr>
          <w:rStyle w:val="Textoennegrita"/>
          <w:rFonts w:ascii="Century Gothic" w:hAnsi="Century Gothic"/>
          <w:sz w:val="21"/>
          <w:szCs w:val="21"/>
          <w:shd w:val="clear" w:color="auto" w:fill="FFFFFF"/>
        </w:rPr>
        <w:t>Modifíquese el artículo 12 de la Ley 590 de 2000, el cual quedará así: "ARTÍCULO 12.</w:t>
      </w:r>
      <w:r w:rsidRPr="00594103">
        <w:rPr>
          <w:rFonts w:ascii="Century Gothic" w:hAnsi="Century Gothic"/>
          <w:sz w:val="21"/>
          <w:szCs w:val="21"/>
          <w:shd w:val="clear" w:color="auto" w:fill="FFFFFF"/>
        </w:rPr>
        <w:t xml:space="preserve">  Promoción del acceso de las MIPYMES al mercado de Compras Públicas. Con el fin de promover el acceso de las MIPYMES al mercado de Compras Públicas, </w:t>
      </w:r>
      <w:r w:rsidRPr="00594103">
        <w:rPr>
          <w:rFonts w:ascii="Century Gothic" w:hAnsi="Century Gothic"/>
          <w:sz w:val="21"/>
          <w:szCs w:val="21"/>
          <w:u w:val="single"/>
          <w:shd w:val="clear" w:color="auto" w:fill="FFFFFF"/>
        </w:rPr>
        <w:t>las Entidades Estatales indistintamente de su régimen de contratación</w:t>
      </w:r>
      <w:r w:rsidRPr="00594103">
        <w:rPr>
          <w:rFonts w:ascii="Century Gothic" w:hAnsi="Century Gothic"/>
          <w:sz w:val="21"/>
          <w:szCs w:val="21"/>
          <w:shd w:val="clear" w:color="auto" w:fill="FFFFFF"/>
        </w:rPr>
        <w:t>, los patrimonios autónomos constituidos por Entidades Estatales y los particulares que ejecuten recursos públicos […]</w:t>
      </w:r>
      <w:r>
        <w:rPr>
          <w:rFonts w:ascii="Century Gothic" w:hAnsi="Century Gothic"/>
          <w:sz w:val="21"/>
          <w:szCs w:val="21"/>
          <w:shd w:val="clear" w:color="auto" w:fill="FFFFFF"/>
        </w:rPr>
        <w:t>”</w:t>
      </w:r>
      <w:r w:rsidRPr="00594103">
        <w:rPr>
          <w:rFonts w:ascii="Century Gothic" w:hAnsi="Century Gothic"/>
          <w:sz w:val="21"/>
          <w:szCs w:val="21"/>
          <w:shd w:val="clear" w:color="auto" w:fill="FFFFFF"/>
        </w:rPr>
        <w:t xml:space="preserve"> (Subrayado fuera del texto)</w:t>
      </w:r>
    </w:p>
    <w:p w14:paraId="4D02F86C"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hAnsi="Century Gothic"/>
          <w:sz w:val="21"/>
          <w:szCs w:val="21"/>
          <w:shd w:val="clear" w:color="auto" w:fill="FFFFFF"/>
        </w:rPr>
        <w:t xml:space="preserve">A su turno </w:t>
      </w:r>
      <w:r w:rsidRPr="00594103">
        <w:rPr>
          <w:rFonts w:ascii="Century Gothic" w:eastAsia="Calibri" w:hAnsi="Century Gothic" w:cs="Arial"/>
          <w:lang w:val="es-ES_tradnl" w:eastAsia="es-ES_tradnl"/>
        </w:rPr>
        <w:t xml:space="preserve">el artículo 32 relativo a los criterios diferenciales para los emprendimiento y empresas de mujeres, prescribe lo siguiente:  </w:t>
      </w:r>
    </w:p>
    <w:p w14:paraId="06013036" w14:textId="77777777" w:rsidR="00D14F00" w:rsidRPr="00594103" w:rsidRDefault="00D14F00" w:rsidP="00D14F00">
      <w:pPr>
        <w:spacing w:line="276" w:lineRule="auto"/>
        <w:ind w:left="709" w:right="709"/>
        <w:jc w:val="both"/>
        <w:rPr>
          <w:rFonts w:ascii="Century Gothic" w:hAnsi="Century Gothic"/>
          <w:sz w:val="21"/>
          <w:szCs w:val="21"/>
          <w:shd w:val="clear" w:color="auto" w:fill="FFFFFF"/>
        </w:rPr>
      </w:pPr>
      <w:r>
        <w:rPr>
          <w:rFonts w:ascii="Century Gothic" w:hAnsi="Century Gothic"/>
          <w:sz w:val="21"/>
          <w:szCs w:val="21"/>
          <w:shd w:val="clear" w:color="auto" w:fill="FFFFFF"/>
        </w:rPr>
        <w:t>“</w:t>
      </w:r>
      <w:r w:rsidRPr="00594103">
        <w:rPr>
          <w:rFonts w:ascii="Century Gothic" w:hAnsi="Century Gothic"/>
          <w:sz w:val="21"/>
          <w:szCs w:val="21"/>
          <w:shd w:val="clear" w:color="auto" w:fill="FFFFFF"/>
        </w:rPr>
        <w:t xml:space="preserve">ARTÍCULO 32. De acuerdo con el resultado del análisis del sector, las entidades estatales incluirán requisitos diferenciales y puntajes adicionales en los procesos de licitación pública, selección abreviada de menor cuantía y concurso de méritos, </w:t>
      </w:r>
      <w:r w:rsidRPr="00594103">
        <w:rPr>
          <w:rFonts w:ascii="Century Gothic" w:hAnsi="Century Gothic"/>
          <w:sz w:val="21"/>
          <w:szCs w:val="21"/>
          <w:u w:val="single"/>
          <w:shd w:val="clear" w:color="auto" w:fill="FFFFFF"/>
        </w:rPr>
        <w:t>así como en los procesos competitivos que adelanten las entidades estatales que no apliquen en su gestión contractual el Estatuto General de Contratación Administrativa</w:t>
      </w:r>
      <w:r w:rsidRPr="00594103">
        <w:rPr>
          <w:rFonts w:ascii="Century Gothic" w:hAnsi="Century Gothic"/>
          <w:sz w:val="21"/>
          <w:szCs w:val="21"/>
          <w:shd w:val="clear" w:color="auto" w:fill="FFFFFF"/>
        </w:rPr>
        <w:t>, como medidas de acción afirmativa, para incentivar emprendimientos y empresas de mujeres en el sistema de compras públicas, sin perjuicio de los compromisos adquiridos por Colombia en los acuerdos comerciales en vigor</w:t>
      </w:r>
      <w:r>
        <w:rPr>
          <w:rFonts w:ascii="Century Gothic" w:hAnsi="Century Gothic"/>
          <w:sz w:val="21"/>
          <w:szCs w:val="21"/>
          <w:shd w:val="clear" w:color="auto" w:fill="FFFFFF"/>
        </w:rPr>
        <w:t>”</w:t>
      </w:r>
      <w:r w:rsidRPr="00594103">
        <w:rPr>
          <w:rFonts w:ascii="Century Gothic" w:hAnsi="Century Gothic"/>
          <w:sz w:val="21"/>
          <w:szCs w:val="21"/>
          <w:shd w:val="clear" w:color="auto" w:fill="FFFFFF"/>
        </w:rPr>
        <w:t>. (Subrayado fuera del texto)</w:t>
      </w:r>
    </w:p>
    <w:p w14:paraId="76A34D73" w14:textId="77777777" w:rsidR="00D14F00" w:rsidRPr="00594103" w:rsidRDefault="00D14F00" w:rsidP="00D14F00">
      <w:pPr>
        <w:spacing w:line="276" w:lineRule="auto"/>
        <w:ind w:firstLine="708"/>
        <w:jc w:val="both"/>
        <w:rPr>
          <w:rFonts w:ascii="Century Gothic" w:hAnsi="Century Gothic"/>
          <w:sz w:val="21"/>
          <w:szCs w:val="21"/>
          <w:shd w:val="clear" w:color="auto" w:fill="FFFFFF"/>
        </w:rPr>
      </w:pPr>
      <w:r w:rsidRPr="00594103">
        <w:rPr>
          <w:rFonts w:ascii="Century Gothic" w:hAnsi="Century Gothic"/>
          <w:sz w:val="21"/>
          <w:szCs w:val="21"/>
          <w:shd w:val="clear" w:color="auto" w:fill="FFFFFF"/>
        </w:rPr>
        <w:t xml:space="preserve">Así mismo, el artículo 35 sobre factores de desempate expresa lo siguiente: </w:t>
      </w:r>
    </w:p>
    <w:p w14:paraId="71DF19B4" w14:textId="77777777" w:rsidR="00D14F00" w:rsidRPr="00594103" w:rsidRDefault="00D14F00" w:rsidP="00D14F00">
      <w:pPr>
        <w:spacing w:line="276" w:lineRule="auto"/>
        <w:ind w:left="709" w:right="709"/>
        <w:jc w:val="both"/>
        <w:rPr>
          <w:rFonts w:ascii="Century Gothic" w:hAnsi="Century Gothic"/>
          <w:sz w:val="21"/>
          <w:szCs w:val="21"/>
          <w:shd w:val="clear" w:color="auto" w:fill="FFFFFF"/>
        </w:rPr>
      </w:pPr>
      <w:r>
        <w:rPr>
          <w:rStyle w:val="Textoennegrita"/>
          <w:rFonts w:ascii="Century Gothic" w:hAnsi="Century Gothic"/>
          <w:sz w:val="21"/>
          <w:szCs w:val="21"/>
          <w:shd w:val="clear" w:color="auto" w:fill="FFFFFF"/>
        </w:rPr>
        <w:t>“</w:t>
      </w:r>
      <w:r w:rsidRPr="00594103">
        <w:rPr>
          <w:rStyle w:val="Textoennegrita"/>
          <w:rFonts w:ascii="Century Gothic" w:hAnsi="Century Gothic"/>
          <w:sz w:val="21"/>
          <w:szCs w:val="21"/>
          <w:shd w:val="clear" w:color="auto" w:fill="FFFFFF"/>
        </w:rPr>
        <w:t>ARTICULO 35. FACTORES DE DESEMPATE</w:t>
      </w:r>
      <w:r w:rsidRPr="00594103">
        <w:rPr>
          <w:rFonts w:ascii="Century Gothic" w:hAnsi="Century Gothic"/>
          <w:b/>
          <w:bCs/>
          <w:sz w:val="21"/>
          <w:szCs w:val="21"/>
          <w:shd w:val="clear" w:color="auto" w:fill="FFFFFF"/>
        </w:rPr>
        <w:t>.</w:t>
      </w:r>
      <w:r w:rsidRPr="00594103">
        <w:rPr>
          <w:rFonts w:ascii="Century Gothic" w:hAnsi="Century Gothic"/>
          <w:sz w:val="21"/>
          <w:szCs w:val="21"/>
          <w:shd w:val="clear" w:color="auto" w:fill="FFFFFF"/>
        </w:rPr>
        <w:t xml:space="preserve"> En caso de empate en el puntaje total de dos o más ofertas en los Procesos de Contratación </w:t>
      </w:r>
      <w:r w:rsidRPr="00594103">
        <w:rPr>
          <w:rFonts w:ascii="Century Gothic" w:hAnsi="Century Gothic"/>
          <w:sz w:val="21"/>
          <w:szCs w:val="21"/>
          <w:shd w:val="clear" w:color="auto" w:fill="FFFFFF"/>
        </w:rPr>
        <w:lastRenderedPageBreak/>
        <w:t xml:space="preserve">realizados con cargo a recursos públicos, los Procesos de Contratación realizados por </w:t>
      </w:r>
      <w:r w:rsidRPr="00594103">
        <w:rPr>
          <w:rFonts w:ascii="Century Gothic" w:hAnsi="Century Gothic"/>
          <w:sz w:val="21"/>
          <w:szCs w:val="21"/>
          <w:u w:val="single"/>
          <w:shd w:val="clear" w:color="auto" w:fill="FFFFFF"/>
        </w:rPr>
        <w:t>las Entidades Estatales indistintamente de su régimen de contratación</w:t>
      </w:r>
      <w:r w:rsidRPr="00594103">
        <w:rPr>
          <w:rFonts w:ascii="Century Gothic" w:hAnsi="Century Gothic"/>
          <w:sz w:val="21"/>
          <w:szCs w:val="21"/>
          <w:shd w:val="clear" w:color="auto" w:fill="FFFFFF"/>
        </w:rPr>
        <w:t>,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r>
        <w:rPr>
          <w:rFonts w:ascii="Century Gothic" w:hAnsi="Century Gothic"/>
          <w:sz w:val="21"/>
          <w:szCs w:val="21"/>
          <w:shd w:val="clear" w:color="auto" w:fill="FFFFFF"/>
        </w:rPr>
        <w:t>”</w:t>
      </w:r>
      <w:r w:rsidRPr="00594103">
        <w:rPr>
          <w:rFonts w:ascii="Century Gothic" w:hAnsi="Century Gothic"/>
          <w:sz w:val="21"/>
          <w:szCs w:val="21"/>
          <w:shd w:val="clear" w:color="auto" w:fill="FFFFFF"/>
        </w:rPr>
        <w:t>. (Subrayado fuera del texto)</w:t>
      </w:r>
    </w:p>
    <w:p w14:paraId="16EA0202" w14:textId="77777777" w:rsidR="00D14F00" w:rsidRPr="00594103" w:rsidRDefault="00D14F00" w:rsidP="00D14F00">
      <w:pPr>
        <w:spacing w:before="160" w:line="276" w:lineRule="auto"/>
        <w:ind w:firstLine="708"/>
        <w:jc w:val="both"/>
        <w:rPr>
          <w:rFonts w:ascii="Century Gothic" w:hAnsi="Century Gothic"/>
          <w:sz w:val="21"/>
          <w:szCs w:val="21"/>
          <w:shd w:val="clear" w:color="auto" w:fill="FFFFFF"/>
        </w:rPr>
      </w:pPr>
      <w:r w:rsidRPr="00594103">
        <w:rPr>
          <w:rFonts w:ascii="Century Gothic" w:hAnsi="Century Gothic"/>
          <w:sz w:val="21"/>
          <w:szCs w:val="21"/>
          <w:shd w:val="clear" w:color="auto" w:fill="FFFFFF"/>
        </w:rPr>
        <w:t>Es por todo lo anterior, que con un mero ejercicio de interpretación exegética de los artículos 31, 32, 33 y 35 de la Ley 2069 de 2020 es dable afirmar, que las medidas afirmativas que prescribió el legislador en aras de impulsar el emprendimiento en Colombia a través de la contratación pública, no son de exclusiva aplicación a las entidades estatales sometidas al Estatuto General de la Contratación Pública, pues el legislador también extendió estas medidas a aquellos contratantes que tengan su respectivo régimen especial de contratación.</w:t>
      </w:r>
    </w:p>
    <w:p w14:paraId="2A5BC4B2" w14:textId="77777777" w:rsidR="00D14F00" w:rsidRPr="00594103" w:rsidRDefault="00D14F00" w:rsidP="00D14F00">
      <w:pPr>
        <w:spacing w:before="160" w:line="276" w:lineRule="auto"/>
        <w:ind w:firstLine="708"/>
        <w:jc w:val="both"/>
        <w:rPr>
          <w:rFonts w:ascii="Century Gothic" w:hAnsi="Century Gothic"/>
          <w:sz w:val="21"/>
          <w:szCs w:val="21"/>
          <w:shd w:val="clear" w:color="auto" w:fill="FFFFFF"/>
        </w:rPr>
      </w:pPr>
    </w:p>
    <w:p w14:paraId="1D959C76" w14:textId="77777777" w:rsidR="00D14F00" w:rsidRPr="00594103" w:rsidRDefault="00D14F00" w:rsidP="00D14F00">
      <w:pPr>
        <w:pStyle w:val="Prrafodelista"/>
        <w:spacing w:before="160" w:line="276" w:lineRule="auto"/>
        <w:jc w:val="both"/>
        <w:rPr>
          <w:rFonts w:ascii="Century Gothic" w:hAnsi="Century Gothic"/>
          <w:b/>
          <w:bCs/>
          <w:sz w:val="21"/>
          <w:szCs w:val="21"/>
          <w:shd w:val="clear" w:color="auto" w:fill="FFFFFF"/>
        </w:rPr>
      </w:pPr>
      <w:r w:rsidRPr="00594103">
        <w:rPr>
          <w:rFonts w:ascii="Century Gothic" w:hAnsi="Century Gothic"/>
          <w:sz w:val="21"/>
          <w:szCs w:val="21"/>
          <w:shd w:val="clear" w:color="auto" w:fill="FFFFFF"/>
        </w:rPr>
        <w:t xml:space="preserve"> </w:t>
      </w:r>
      <w:r w:rsidRPr="00594103">
        <w:rPr>
          <w:rFonts w:ascii="Century Gothic" w:hAnsi="Century Gothic"/>
          <w:b/>
          <w:bCs/>
          <w:sz w:val="21"/>
          <w:szCs w:val="21"/>
          <w:shd w:val="clear" w:color="auto" w:fill="FFFFFF"/>
        </w:rPr>
        <w:t>Respuesta</w:t>
      </w:r>
    </w:p>
    <w:p w14:paraId="0FA00C66" w14:textId="77777777" w:rsidR="00D14F00" w:rsidRDefault="00D14F00" w:rsidP="00D14F00">
      <w:pPr>
        <w:pStyle w:val="Prrafodelista"/>
        <w:spacing w:after="0" w:line="240" w:lineRule="auto"/>
        <w:ind w:right="709"/>
        <w:jc w:val="both"/>
        <w:rPr>
          <w:rFonts w:ascii="Century Gothic" w:hAnsi="Century Gothic" w:cs="Arial"/>
          <w:sz w:val="20"/>
          <w:szCs w:val="20"/>
        </w:rPr>
      </w:pPr>
      <w:r w:rsidRPr="00B84652">
        <w:rPr>
          <w:rFonts w:ascii="Century Gothic" w:hAnsi="Century Gothic" w:cs="Arial"/>
          <w:sz w:val="20"/>
          <w:szCs w:val="20"/>
        </w:rPr>
        <w:t>“1. Los criterios diferenciales y criterios de desempate se deben aplicar en los procesos de selección que se adelantan por parte de las empresas social del estado (ESE).</w:t>
      </w:r>
    </w:p>
    <w:p w14:paraId="0A085B02" w14:textId="77777777" w:rsidR="00D14F00" w:rsidRPr="00B84652" w:rsidRDefault="00D14F00" w:rsidP="00D14F00">
      <w:pPr>
        <w:pStyle w:val="Prrafodelista"/>
        <w:spacing w:after="0" w:line="240" w:lineRule="auto"/>
        <w:ind w:right="709"/>
        <w:jc w:val="both"/>
        <w:rPr>
          <w:rFonts w:ascii="Century Gothic" w:hAnsi="Century Gothic" w:cs="Arial"/>
          <w:sz w:val="20"/>
          <w:szCs w:val="20"/>
        </w:rPr>
      </w:pPr>
    </w:p>
    <w:p w14:paraId="7D9806CF" w14:textId="77777777" w:rsidR="00D14F00" w:rsidRPr="002C1D5B" w:rsidRDefault="00D14F00" w:rsidP="00D14F00">
      <w:pPr>
        <w:pStyle w:val="Prrafodelista"/>
        <w:spacing w:after="0" w:line="240" w:lineRule="auto"/>
        <w:ind w:right="709"/>
        <w:jc w:val="both"/>
        <w:rPr>
          <w:rFonts w:ascii="Century Gothic" w:hAnsi="Century Gothic" w:cs="Arial"/>
          <w:sz w:val="20"/>
          <w:szCs w:val="20"/>
        </w:rPr>
      </w:pPr>
      <w:r w:rsidRPr="00B84652">
        <w:rPr>
          <w:rFonts w:ascii="Century Gothic" w:hAnsi="Century Gothic" w:cs="Arial"/>
          <w:sz w:val="20"/>
          <w:szCs w:val="20"/>
        </w:rPr>
        <w:t>2. Si la respuesta es afirmativa, de debe ajustar el manual de contratación de las empresas social del estado (ESE), para aplicar los criterios diferenciales y criterios de desempate.” (sic)</w:t>
      </w:r>
    </w:p>
    <w:p w14:paraId="4C4A1E0C" w14:textId="77777777" w:rsidR="00D14F00" w:rsidRPr="00B84652" w:rsidRDefault="00D14F00" w:rsidP="00D14F00">
      <w:pPr>
        <w:pStyle w:val="Prrafodelista"/>
        <w:spacing w:after="0" w:line="240" w:lineRule="auto"/>
        <w:ind w:right="709"/>
        <w:jc w:val="both"/>
        <w:rPr>
          <w:rFonts w:ascii="Century Gothic" w:hAnsi="Century Gothic" w:cs="Arial"/>
          <w:sz w:val="20"/>
          <w:szCs w:val="20"/>
        </w:rPr>
      </w:pPr>
    </w:p>
    <w:p w14:paraId="526F8D19" w14:textId="77777777" w:rsidR="00D14F00" w:rsidRPr="00594103" w:rsidRDefault="00D14F00" w:rsidP="00D14F00">
      <w:pPr>
        <w:spacing w:before="120" w:line="276" w:lineRule="auto"/>
        <w:jc w:val="both"/>
        <w:rPr>
          <w:rFonts w:ascii="Century Gothic" w:eastAsia="Calibri" w:hAnsi="Century Gothic" w:cs="Arial"/>
        </w:rPr>
      </w:pPr>
      <w:r w:rsidRPr="00594103">
        <w:rPr>
          <w:rFonts w:ascii="Century Gothic" w:eastAsia="Calibri" w:hAnsi="Century Gothic" w:cs="Arial"/>
        </w:rPr>
        <w:t>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w:t>
      </w:r>
      <w:r w:rsidRPr="00594103">
        <w:rPr>
          <w:rFonts w:ascii="Century Gothic" w:eastAsia="Calibri" w:hAnsi="Century Gothic" w:cs="Arial"/>
          <w:b/>
          <w:bCs/>
        </w:rPr>
        <w:t xml:space="preserve"> </w:t>
      </w:r>
      <w:r w:rsidRPr="00594103">
        <w:rPr>
          <w:rFonts w:ascii="Century Gothic" w:eastAsia="Calibri" w:hAnsi="Century Gothic" w:cs="Arial"/>
        </w:rPr>
        <w:t xml:space="preserve">Estas entidades, </w:t>
      </w:r>
      <w:proofErr w:type="gramStart"/>
      <w:r w:rsidRPr="00594103">
        <w:rPr>
          <w:rFonts w:ascii="Century Gothic" w:eastAsia="Calibri" w:hAnsi="Century Gothic" w:cs="Arial"/>
        </w:rPr>
        <w:t>de acuerdo a</w:t>
      </w:r>
      <w:proofErr w:type="gramEnd"/>
      <w:r w:rsidRPr="00594103">
        <w:rPr>
          <w:rFonts w:ascii="Century Gothic" w:eastAsia="Calibri" w:hAnsi="Century Gothic" w:cs="Arial"/>
        </w:rPr>
        <w:t xml:space="preserve">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1C84D0A6" w14:textId="77777777" w:rsidR="00D14F00" w:rsidRPr="00594103" w:rsidRDefault="00D14F00" w:rsidP="00D14F00">
      <w:pPr>
        <w:spacing w:line="276" w:lineRule="auto"/>
        <w:jc w:val="both"/>
        <w:rPr>
          <w:rFonts w:ascii="Century Gothic" w:eastAsia="Calibri" w:hAnsi="Century Gothic" w:cs="Arial"/>
          <w:sz w:val="21"/>
          <w:szCs w:val="21"/>
        </w:rPr>
      </w:pPr>
      <w:r w:rsidRPr="00594103">
        <w:rPr>
          <w:rFonts w:ascii="Century Gothic" w:eastAsia="Calibri" w:hAnsi="Century Gothic" w:cs="Arial"/>
        </w:rPr>
        <w:tab/>
        <w:t xml:space="preserve">Considerando la actividad desarrollada que es la prestación de los servicios de salud, el régimen jurídico aplicable a estas empresas difiere del que </w:t>
      </w:r>
      <w:r w:rsidRPr="00594103">
        <w:rPr>
          <w:rFonts w:ascii="Century Gothic" w:eastAsia="Calibri" w:hAnsi="Century Gothic" w:cs="Arial"/>
        </w:rPr>
        <w:lastRenderedPageBreak/>
        <w:t>corresponde a otras entidades descentralizadas funcionalmente o por servicios, como las superintendencias con personería jurídica, los establecimientos públicos o las unidades administrativas especiales, pues la regla general en las ESE es el derecho privado. Esto encuentra fundamento en el artículo 195, numeral 6, de la Ley 100 de 1993, el cual prescribe que e</w:t>
      </w:r>
      <w:r w:rsidRPr="00594103">
        <w:rPr>
          <w:rFonts w:ascii="Century Gothic" w:eastAsia="Calibri" w:hAnsi="Century Gothic" w:cs="Arial"/>
          <w:sz w:val="21"/>
          <w:szCs w:val="21"/>
        </w:rPr>
        <w:t xml:space="preserve">n lo concerniente a aspectos contractuales se regirán por el derecho privado, pero podrá discrecionalmente utilizar las cláusulas exorbitantes previstas en el estatuto general de contratación de la administración pública. </w:t>
      </w:r>
    </w:p>
    <w:p w14:paraId="2E453E9B"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lang w:val="es-ES_tradnl" w:eastAsia="es-ES_tradnl"/>
        </w:rPr>
        <w:t xml:space="preserve">Por otra parte, los criterios diferenciales para las MIPYMES, para emprendimiento y empresas de mujeres, así como, los respectivos factores de desempate, en sus normas fundantes como lo es la Ley 2069 de 2020, guardan similitud entre ellas, esto es, que estas son aplicables en la contratación pública independientemente de si una entidad está, o no, sometida a las normas del Estatuto General de la Contratación Pública, como lo es en el caso de las Empresas Sociales del Estado. </w:t>
      </w:r>
    </w:p>
    <w:p w14:paraId="317F9308" w14:textId="77777777" w:rsidR="00D14F00" w:rsidRPr="00594103" w:rsidRDefault="00D14F00" w:rsidP="00D14F00">
      <w:pPr>
        <w:spacing w:line="276" w:lineRule="auto"/>
        <w:ind w:firstLine="708"/>
        <w:jc w:val="both"/>
        <w:rPr>
          <w:rFonts w:ascii="Century Gothic" w:eastAsia="Calibri" w:hAnsi="Century Gothic" w:cs="Arial"/>
          <w:lang w:val="es-ES_tradnl" w:eastAsia="es-ES_tradnl"/>
        </w:rPr>
      </w:pPr>
      <w:r w:rsidRPr="00594103">
        <w:rPr>
          <w:rFonts w:ascii="Century Gothic" w:eastAsia="Calibri" w:hAnsi="Century Gothic" w:cs="Arial"/>
          <w:lang w:val="es-ES_tradnl" w:eastAsia="es-ES_tradnl"/>
        </w:rPr>
        <w:t xml:space="preserve">Lo anterior se colige de la redacción literal los </w:t>
      </w:r>
      <w:r w:rsidRPr="00594103">
        <w:rPr>
          <w:rFonts w:ascii="Century Gothic" w:hAnsi="Century Gothic"/>
          <w:sz w:val="21"/>
          <w:szCs w:val="21"/>
          <w:shd w:val="clear" w:color="auto" w:fill="FFFFFF"/>
        </w:rPr>
        <w:t xml:space="preserve">artículos 31, 32, 33, y 35 en los cuales convergen expresiones que indican inequívocamente, que </w:t>
      </w:r>
      <w:r w:rsidRPr="00594103">
        <w:rPr>
          <w:rFonts w:ascii="Century Gothic" w:hAnsi="Century Gothic"/>
          <w:i/>
          <w:iCs/>
          <w:sz w:val="21"/>
          <w:szCs w:val="21"/>
          <w:shd w:val="clear" w:color="auto" w:fill="FFFFFF"/>
        </w:rPr>
        <w:t>indistintamente de</w:t>
      </w:r>
      <w:r>
        <w:rPr>
          <w:rFonts w:ascii="Century Gothic" w:hAnsi="Century Gothic"/>
          <w:i/>
          <w:iCs/>
          <w:sz w:val="21"/>
          <w:szCs w:val="21"/>
          <w:shd w:val="clear" w:color="auto" w:fill="FFFFFF"/>
        </w:rPr>
        <w:t>l</w:t>
      </w:r>
      <w:r w:rsidRPr="00594103">
        <w:rPr>
          <w:rFonts w:ascii="Century Gothic" w:hAnsi="Century Gothic"/>
          <w:i/>
          <w:iCs/>
          <w:sz w:val="21"/>
          <w:szCs w:val="21"/>
          <w:shd w:val="clear" w:color="auto" w:fill="FFFFFF"/>
        </w:rPr>
        <w:t xml:space="preserve"> régimen de contratación </w:t>
      </w:r>
      <w:r w:rsidRPr="00594103">
        <w:rPr>
          <w:rFonts w:ascii="Century Gothic" w:hAnsi="Century Gothic"/>
          <w:sz w:val="21"/>
          <w:szCs w:val="21"/>
          <w:shd w:val="clear" w:color="auto" w:fill="FFFFFF"/>
        </w:rPr>
        <w:t>de las entidades contratantes</w:t>
      </w:r>
      <w:r>
        <w:rPr>
          <w:rFonts w:ascii="Century Gothic" w:hAnsi="Century Gothic"/>
          <w:sz w:val="21"/>
          <w:szCs w:val="21"/>
          <w:shd w:val="clear" w:color="auto" w:fill="FFFFFF"/>
        </w:rPr>
        <w:t>,</w:t>
      </w:r>
      <w:r w:rsidRPr="00594103">
        <w:rPr>
          <w:rFonts w:ascii="Century Gothic" w:hAnsi="Century Gothic"/>
          <w:sz w:val="21"/>
          <w:szCs w:val="21"/>
          <w:shd w:val="clear" w:color="auto" w:fill="FFFFFF"/>
        </w:rPr>
        <w:t xml:space="preserve"> se le dará aplicación de las medidas afirmativas como lo son los </w:t>
      </w:r>
      <w:r w:rsidRPr="00594103">
        <w:rPr>
          <w:rFonts w:ascii="Century Gothic" w:eastAsia="Calibri" w:hAnsi="Century Gothic" w:cs="Arial"/>
          <w:lang w:val="es-ES_tradnl" w:eastAsia="es-ES_tradnl"/>
        </w:rPr>
        <w:t>los criterios diferenciales para las MIPYMES, para emprendimiento y empresas de mujeres, así como los factores de desempate.</w:t>
      </w:r>
    </w:p>
    <w:p w14:paraId="063861C4" w14:textId="77777777" w:rsidR="00D14F00" w:rsidRPr="00594103" w:rsidRDefault="00D14F00" w:rsidP="00D14F00">
      <w:pPr>
        <w:spacing w:line="276" w:lineRule="auto"/>
        <w:ind w:firstLine="708"/>
        <w:jc w:val="both"/>
        <w:rPr>
          <w:rFonts w:ascii="Century Gothic" w:eastAsia="Calibri" w:hAnsi="Century Gothic" w:cs="Arial"/>
          <w:lang w:val="es-ES_tradnl"/>
        </w:rPr>
      </w:pPr>
      <w:r w:rsidRPr="00594103">
        <w:rPr>
          <w:rFonts w:ascii="Century Gothic" w:eastAsia="Calibri" w:hAnsi="Century Gothic" w:cs="Arial"/>
          <w:lang w:val="es-ES_tradnl" w:eastAsia="es-ES_tradnl"/>
        </w:rPr>
        <w:t xml:space="preserve">Ahora bien, en lo que respecta a la introducción o adecuación del manual de contratación a estas normas vale recordar que </w:t>
      </w:r>
      <w:r w:rsidRPr="00594103">
        <w:rPr>
          <w:rFonts w:ascii="Century Gothic" w:eastAsia="Calibri" w:hAnsi="Century Gothic" w:cs="Arial"/>
          <w:lang w:val="es-ES_tradnl"/>
        </w:rPr>
        <w:t>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 Ahora bien, dicha libertad es similar a la reconocida a los particulares por el derecho privado, pero no es idéntica a aquella, en la medida en que encuentra importantes limitantes.</w:t>
      </w:r>
    </w:p>
    <w:p w14:paraId="3C0B5719" w14:textId="77777777" w:rsidR="00D14F00" w:rsidRDefault="00D14F00" w:rsidP="00D14F00">
      <w:pPr>
        <w:spacing w:line="276" w:lineRule="auto"/>
        <w:ind w:firstLine="709"/>
        <w:jc w:val="both"/>
        <w:rPr>
          <w:rFonts w:ascii="Century Gothic" w:eastAsia="Calibri" w:hAnsi="Century Gothic" w:cs="Arial"/>
          <w:lang w:val="es-ES_tradnl"/>
        </w:rPr>
      </w:pPr>
      <w:r w:rsidRPr="00594103">
        <w:rPr>
          <w:rFonts w:ascii="Century Gothic" w:eastAsia="Calibri" w:hAnsi="Century Gothic" w:cs="Arial"/>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w:t>
      </w:r>
      <w:r w:rsidRPr="00594103">
        <w:rPr>
          <w:rFonts w:ascii="Century Gothic" w:eastAsia="Calibri" w:hAnsi="Century Gothic" w:cs="Arial"/>
          <w:lang w:val="es-ES_tradnl"/>
        </w:rPr>
        <w:lastRenderedPageBreak/>
        <w:t xml:space="preserve">debe decidir la entidad en el ejercicio de la discrecionalidad concedida por el ordenamiento jurídico. No obstante, se considera que, el manual de contratación de las entidades y sus reglas respecto de los procesos de selección deben respetar como mínimo las reglas introducidas por conducto de la Ley 2069 de 2020 y el Decreto 1860 de 2021.  </w:t>
      </w:r>
    </w:p>
    <w:p w14:paraId="1A192B15" w14:textId="77777777" w:rsidR="00D14F00" w:rsidRDefault="00D14F00" w:rsidP="00D14F00">
      <w:pPr>
        <w:widowControl w:val="0"/>
        <w:autoSpaceDE w:val="0"/>
        <w:autoSpaceDN w:val="0"/>
        <w:spacing w:line="276" w:lineRule="auto"/>
        <w:jc w:val="both"/>
        <w:rPr>
          <w:rFonts w:ascii="Century Gothic" w:eastAsia="Arial" w:hAnsi="Century Gothic" w:cs="Arial"/>
        </w:rPr>
      </w:pPr>
      <w:r w:rsidRPr="00685312">
        <w:rPr>
          <w:rFonts w:ascii="Century Gothic" w:eastAsia="Arial" w:hAnsi="Century Gothic" w:cs="Arial"/>
        </w:rPr>
        <w:t>Este concepto tiene el alcance previsto en el artículo 28 del Código de Procedimiento Administrativo y de lo Contencioso Administrativo</w:t>
      </w:r>
      <w:r>
        <w:rPr>
          <w:rFonts w:ascii="Century Gothic" w:eastAsia="Arial" w:hAnsi="Century Gothic" w:cs="Arial"/>
        </w:rPr>
        <w:t>.</w:t>
      </w:r>
    </w:p>
    <w:p w14:paraId="529685AA" w14:textId="77777777" w:rsidR="00D14F00" w:rsidRDefault="00D14F00" w:rsidP="00D14F00">
      <w:pPr>
        <w:widowControl w:val="0"/>
        <w:autoSpaceDE w:val="0"/>
        <w:autoSpaceDN w:val="0"/>
        <w:spacing w:after="120" w:line="276" w:lineRule="auto"/>
        <w:jc w:val="both"/>
        <w:rPr>
          <w:rFonts w:ascii="Century Gothic" w:eastAsia="Arial" w:hAnsi="Century Gothic" w:cs="Arial"/>
        </w:rPr>
      </w:pPr>
      <w:r w:rsidRPr="00685312">
        <w:rPr>
          <w:rFonts w:ascii="Century Gothic" w:eastAsia="Arial" w:hAnsi="Century Gothic" w:cs="Arial"/>
        </w:rPr>
        <w:t>Atentamente,</w:t>
      </w:r>
    </w:p>
    <w:p w14:paraId="7392BE12" w14:textId="03BA68C3" w:rsidR="00D14F00" w:rsidRPr="008D4A18" w:rsidRDefault="008366A2" w:rsidP="00D14F00">
      <w:pPr>
        <w:spacing w:after="0" w:line="276" w:lineRule="auto"/>
        <w:jc w:val="center"/>
        <w:textAlignment w:val="baseline"/>
        <w:rPr>
          <w:rFonts w:ascii="Century Gothic" w:eastAsia="Geomanist Light" w:hAnsi="Century Gothic" w:cs="Arial"/>
          <w:lang w:eastAsia="es-MX"/>
        </w:rPr>
      </w:pPr>
      <w:r>
        <w:rPr>
          <w:noProof/>
        </w:rPr>
        <w:drawing>
          <wp:inline distT="0" distB="0" distL="0" distR="0" wp14:anchorId="6BDD334F" wp14:editId="20064B8C">
            <wp:extent cx="3161665" cy="1209040"/>
            <wp:effectExtent l="0" t="0" r="635" b="0"/>
            <wp:docPr id="1381583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83878" name="Imagen 1" descr="Texto&#10;&#10;Descripción generada automáticamente"/>
                    <pic:cNvPicPr>
                      <a:picLocks noChangeAspect="1"/>
                    </pic:cNvPicPr>
                  </pic:nvPicPr>
                  <pic:blipFill>
                    <a:blip r:embed="rId13"/>
                    <a:stretch>
                      <a:fillRect/>
                    </a:stretch>
                  </pic:blipFill>
                  <pic:spPr>
                    <a:xfrm>
                      <a:off x="0" y="0"/>
                      <a:ext cx="3161665" cy="1209040"/>
                    </a:xfrm>
                    <a:prstGeom prst="rect">
                      <a:avLst/>
                    </a:prstGeom>
                  </pic:spPr>
                </pic:pic>
              </a:graphicData>
            </a:graphic>
          </wp:inline>
        </w:drawing>
      </w:r>
      <w:r w:rsidR="00D14F00" w:rsidRPr="008D4A18">
        <w:rPr>
          <w:rFonts w:ascii="Century Gothic" w:eastAsia="Geomanist Light" w:hAnsi="Century Gothic" w:cs="Arial"/>
          <w:lang w:eastAsia="es-MX"/>
        </w:rPr>
        <w:t> </w:t>
      </w:r>
    </w:p>
    <w:p w14:paraId="5F92A748" w14:textId="77777777" w:rsidR="00D14F00" w:rsidRPr="008D4A18" w:rsidRDefault="00D14F00" w:rsidP="00D14F00">
      <w:pPr>
        <w:spacing w:after="0" w:line="276" w:lineRule="auto"/>
        <w:jc w:val="center"/>
        <w:textAlignment w:val="baseline"/>
        <w:rPr>
          <w:rFonts w:ascii="Century Gothic" w:eastAsia="Geomanist Light" w:hAnsi="Century Gothic" w:cs="Arial"/>
          <w:lang w:eastAsia="es-MX"/>
        </w:rPr>
      </w:pPr>
      <w:r w:rsidRPr="008D4A18">
        <w:rPr>
          <w:rFonts w:ascii="Century Gothic" w:eastAsia="Geomanist Light" w:hAnsi="Century Gothic" w:cs="Arial"/>
          <w:lang w:eastAsia="es-MX"/>
        </w:rPr>
        <w:t>  </w:t>
      </w:r>
    </w:p>
    <w:tbl>
      <w:tblPr>
        <w:tblStyle w:val="Tablaconcuadrcula1"/>
        <w:tblW w:w="0" w:type="auto"/>
        <w:tblInd w:w="-5" w:type="dxa"/>
        <w:tblLook w:val="04A0" w:firstRow="1" w:lastRow="0" w:firstColumn="1" w:lastColumn="0" w:noHBand="0" w:noVBand="1"/>
      </w:tblPr>
      <w:tblGrid>
        <w:gridCol w:w="855"/>
        <w:gridCol w:w="4957"/>
      </w:tblGrid>
      <w:tr w:rsidR="00D14F00" w:rsidRPr="008D4A18" w14:paraId="74662F3E" w14:textId="77777777" w:rsidTr="005E7A1E">
        <w:trPr>
          <w:trHeight w:val="315"/>
        </w:trPr>
        <w:tc>
          <w:tcPr>
            <w:tcW w:w="855" w:type="dxa"/>
            <w:tcBorders>
              <w:top w:val="nil"/>
              <w:left w:val="nil"/>
              <w:bottom w:val="nil"/>
              <w:right w:val="nil"/>
            </w:tcBorders>
            <w:vAlign w:val="center"/>
            <w:hideMark/>
          </w:tcPr>
          <w:p w14:paraId="182860FB" w14:textId="77777777" w:rsidR="00D14F00" w:rsidRPr="008D4A18" w:rsidRDefault="00D14F00" w:rsidP="005E7A1E">
            <w:pPr>
              <w:spacing w:line="276" w:lineRule="auto"/>
              <w:rPr>
                <w:rFonts w:ascii="Century Gothic" w:eastAsia="Times New Roman" w:hAnsi="Century Gothic" w:cs="Arial"/>
                <w:sz w:val="16"/>
                <w:szCs w:val="16"/>
                <w:lang w:eastAsia="es-ES"/>
              </w:rPr>
            </w:pPr>
            <w:r w:rsidRPr="008D4A18">
              <w:rPr>
                <w:rFonts w:ascii="Century Gothic" w:eastAsia="Times New Roman" w:hAnsi="Century Gothic" w:cs="Arial"/>
                <w:sz w:val="16"/>
                <w:szCs w:val="16"/>
                <w:lang w:eastAsia="es-ES"/>
              </w:rPr>
              <w:t>Elaboró:</w:t>
            </w:r>
          </w:p>
        </w:tc>
        <w:tc>
          <w:tcPr>
            <w:tcW w:w="4957" w:type="dxa"/>
            <w:tcBorders>
              <w:top w:val="nil"/>
              <w:left w:val="nil"/>
              <w:bottom w:val="dotted" w:sz="4" w:space="0" w:color="7F7F7F" w:themeColor="text1" w:themeTint="80"/>
              <w:right w:val="nil"/>
            </w:tcBorders>
            <w:vAlign w:val="center"/>
            <w:hideMark/>
          </w:tcPr>
          <w:p w14:paraId="601D3F45" w14:textId="77777777" w:rsidR="00D14F00" w:rsidRPr="008D4A18" w:rsidRDefault="00D14F00" w:rsidP="005E7A1E">
            <w:pPr>
              <w:spacing w:line="276" w:lineRule="auto"/>
              <w:rPr>
                <w:rFonts w:ascii="Century Gothic" w:eastAsia="Calibri" w:hAnsi="Century Gothic" w:cs="Arial"/>
                <w:sz w:val="16"/>
                <w:szCs w:val="16"/>
                <w:lang w:val="es-ES_tradnl" w:eastAsia="es-ES"/>
              </w:rPr>
            </w:pPr>
            <w:r w:rsidRPr="008D4A18">
              <w:rPr>
                <w:rFonts w:ascii="Century Gothic" w:eastAsia="Calibri" w:hAnsi="Century Gothic" w:cs="Arial"/>
                <w:sz w:val="16"/>
                <w:szCs w:val="16"/>
                <w:lang w:val="es-ES_tradnl" w:eastAsia="es-ES"/>
              </w:rPr>
              <w:t xml:space="preserve">Julio Cesar Martelo </w:t>
            </w:r>
            <w:proofErr w:type="spellStart"/>
            <w:r w:rsidRPr="008D4A18">
              <w:rPr>
                <w:rFonts w:ascii="Century Gothic" w:eastAsia="Calibri" w:hAnsi="Century Gothic" w:cs="Arial"/>
                <w:sz w:val="16"/>
                <w:szCs w:val="16"/>
                <w:lang w:val="es-ES_tradnl" w:eastAsia="es-ES"/>
              </w:rPr>
              <w:t>Martelo</w:t>
            </w:r>
            <w:proofErr w:type="spellEnd"/>
          </w:p>
          <w:p w14:paraId="5D111BD9" w14:textId="77777777" w:rsidR="00D14F00" w:rsidRPr="008D4A18" w:rsidRDefault="00D14F00" w:rsidP="005E7A1E">
            <w:pPr>
              <w:spacing w:line="276" w:lineRule="auto"/>
              <w:rPr>
                <w:rFonts w:ascii="Century Gothic" w:eastAsia="Times New Roman" w:hAnsi="Century Gothic" w:cs="Arial"/>
                <w:sz w:val="16"/>
                <w:szCs w:val="16"/>
                <w:lang w:eastAsia="es-ES"/>
              </w:rPr>
            </w:pPr>
            <w:r w:rsidRPr="008D4A18">
              <w:rPr>
                <w:rFonts w:ascii="Century Gothic" w:eastAsia="Calibri" w:hAnsi="Century Gothic" w:cs="Arial"/>
                <w:sz w:val="16"/>
                <w:szCs w:val="16"/>
                <w:lang w:val="es-ES_tradnl" w:eastAsia="es-ES"/>
              </w:rPr>
              <w:t>Contratista de la Subdirección de Gestión Contractual</w:t>
            </w:r>
          </w:p>
        </w:tc>
      </w:tr>
      <w:tr w:rsidR="00D14F00" w:rsidRPr="008D4A18" w14:paraId="7899D8A7" w14:textId="77777777" w:rsidTr="005E7A1E">
        <w:trPr>
          <w:trHeight w:val="330"/>
        </w:trPr>
        <w:tc>
          <w:tcPr>
            <w:tcW w:w="855" w:type="dxa"/>
            <w:tcBorders>
              <w:top w:val="nil"/>
              <w:left w:val="nil"/>
              <w:bottom w:val="nil"/>
              <w:right w:val="nil"/>
            </w:tcBorders>
            <w:vAlign w:val="center"/>
            <w:hideMark/>
          </w:tcPr>
          <w:p w14:paraId="0F2F4E72" w14:textId="77777777" w:rsidR="00D14F00" w:rsidRPr="008D4A18" w:rsidRDefault="00D14F00" w:rsidP="005E7A1E">
            <w:pPr>
              <w:spacing w:line="276" w:lineRule="auto"/>
              <w:rPr>
                <w:rFonts w:ascii="Century Gothic" w:eastAsia="Times New Roman" w:hAnsi="Century Gothic" w:cs="Arial"/>
                <w:sz w:val="16"/>
                <w:szCs w:val="16"/>
                <w:lang w:eastAsia="es-ES"/>
              </w:rPr>
            </w:pPr>
            <w:r w:rsidRPr="008D4A18">
              <w:rPr>
                <w:rFonts w:ascii="Century Gothic" w:eastAsia="Times New Roman" w:hAnsi="Century Gothic" w:cs="Arial"/>
                <w:sz w:val="16"/>
                <w:szCs w:val="16"/>
                <w:lang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24E114B4" w14:textId="77777777" w:rsidR="00D14F00" w:rsidRPr="008D4A18" w:rsidRDefault="00D14F00" w:rsidP="005E7A1E">
            <w:pPr>
              <w:spacing w:line="276" w:lineRule="auto"/>
              <w:rPr>
                <w:rFonts w:ascii="Century Gothic" w:eastAsia="Times New Roman" w:hAnsi="Century Gothic" w:cs="Arial"/>
                <w:sz w:val="16"/>
                <w:szCs w:val="16"/>
                <w:lang w:val="es-ES" w:eastAsia="es-ES"/>
              </w:rPr>
            </w:pPr>
            <w:r w:rsidRPr="008D4A18">
              <w:rPr>
                <w:rFonts w:ascii="Century Gothic" w:eastAsia="Times New Roman" w:hAnsi="Century Gothic" w:cs="Arial"/>
                <w:sz w:val="16"/>
                <w:szCs w:val="16"/>
                <w:lang w:val="es-ES" w:eastAsia="es-ES"/>
              </w:rPr>
              <w:t xml:space="preserve">Alejandro Raúl Sarmiento Cantillo </w:t>
            </w:r>
          </w:p>
          <w:p w14:paraId="69E3F416" w14:textId="77777777" w:rsidR="00D14F00" w:rsidRPr="008D4A18" w:rsidRDefault="00D14F00" w:rsidP="005E7A1E">
            <w:pPr>
              <w:spacing w:line="276" w:lineRule="auto"/>
              <w:rPr>
                <w:rFonts w:ascii="Century Gothic" w:eastAsia="Times New Roman" w:hAnsi="Century Gothic" w:cs="Arial"/>
                <w:sz w:val="16"/>
                <w:szCs w:val="16"/>
                <w:lang w:val="es-ES" w:eastAsia="es-ES"/>
              </w:rPr>
            </w:pPr>
            <w:r w:rsidRPr="6E32F7E7">
              <w:rPr>
                <w:rFonts w:ascii="Century Gothic" w:eastAsia="Times New Roman" w:hAnsi="Century Gothic" w:cs="Arial"/>
                <w:sz w:val="16"/>
                <w:szCs w:val="16"/>
                <w:lang w:val="es-ES" w:eastAsia="es-ES"/>
              </w:rPr>
              <w:t xml:space="preserve">Gestor T1 – 15 de la Subdirección de Gestión Contractual </w:t>
            </w:r>
          </w:p>
          <w:p w14:paraId="6917E0C2" w14:textId="77777777" w:rsidR="00D14F00" w:rsidRPr="008D4A18" w:rsidRDefault="00D14F00" w:rsidP="005E7A1E">
            <w:pPr>
              <w:spacing w:line="276" w:lineRule="auto"/>
              <w:rPr>
                <w:rFonts w:ascii="Century Gothic" w:eastAsia="Times New Roman" w:hAnsi="Century Gothic" w:cs="Arial"/>
                <w:sz w:val="16"/>
                <w:szCs w:val="16"/>
                <w:lang w:val="es-ES" w:eastAsia="es-ES"/>
              </w:rPr>
            </w:pPr>
            <w:r w:rsidRPr="6E32F7E7">
              <w:rPr>
                <w:rFonts w:ascii="Century Gothic" w:eastAsia="Times New Roman" w:hAnsi="Century Gothic" w:cs="Arial"/>
                <w:sz w:val="16"/>
                <w:szCs w:val="16"/>
                <w:lang w:val="es-ES" w:eastAsia="es-ES"/>
              </w:rPr>
              <w:t>Gabriel Mendoza</w:t>
            </w:r>
          </w:p>
          <w:p w14:paraId="54165A7A" w14:textId="77777777" w:rsidR="00D14F00" w:rsidRPr="008D4A18" w:rsidRDefault="00D14F00" w:rsidP="005E7A1E">
            <w:pPr>
              <w:spacing w:line="276" w:lineRule="auto"/>
              <w:rPr>
                <w:rFonts w:ascii="Century Gothic" w:eastAsia="Times New Roman" w:hAnsi="Century Gothic" w:cs="Arial"/>
                <w:sz w:val="16"/>
                <w:szCs w:val="16"/>
                <w:lang w:val="es-ES" w:eastAsia="es-ES"/>
              </w:rPr>
            </w:pPr>
            <w:r w:rsidRPr="6E32F7E7">
              <w:rPr>
                <w:rFonts w:ascii="Century Gothic" w:eastAsia="Times New Roman" w:hAnsi="Century Gothic" w:cs="Arial"/>
                <w:sz w:val="16"/>
                <w:szCs w:val="16"/>
                <w:lang w:val="es-ES" w:eastAsia="es-ES"/>
              </w:rPr>
              <w:t xml:space="preserve">Contratista de la Subdirección de Gestión Contractual   </w:t>
            </w:r>
          </w:p>
        </w:tc>
      </w:tr>
      <w:tr w:rsidR="00D14F00" w:rsidRPr="008D4A18" w14:paraId="56265117" w14:textId="77777777" w:rsidTr="005E7A1E">
        <w:trPr>
          <w:trHeight w:val="300"/>
        </w:trPr>
        <w:tc>
          <w:tcPr>
            <w:tcW w:w="855" w:type="dxa"/>
            <w:tcBorders>
              <w:top w:val="nil"/>
              <w:left w:val="nil"/>
              <w:bottom w:val="nil"/>
              <w:right w:val="nil"/>
            </w:tcBorders>
            <w:vAlign w:val="center"/>
            <w:hideMark/>
          </w:tcPr>
          <w:p w14:paraId="411972CF" w14:textId="77777777" w:rsidR="00D14F00" w:rsidRPr="008D4A18" w:rsidRDefault="00D14F00" w:rsidP="005E7A1E">
            <w:pPr>
              <w:spacing w:line="276" w:lineRule="auto"/>
              <w:rPr>
                <w:rFonts w:ascii="Century Gothic" w:eastAsia="Times New Roman" w:hAnsi="Century Gothic" w:cs="Arial"/>
                <w:sz w:val="16"/>
                <w:szCs w:val="16"/>
                <w:lang w:eastAsia="es-ES"/>
              </w:rPr>
            </w:pPr>
            <w:r w:rsidRPr="008D4A18">
              <w:rPr>
                <w:rFonts w:ascii="Century Gothic" w:eastAsia="Times New Roman" w:hAnsi="Century Gothic" w:cs="Arial"/>
                <w:sz w:val="16"/>
                <w:szCs w:val="16"/>
                <w:lang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085637A9" w14:textId="77777777" w:rsidR="00D14F00" w:rsidRPr="008D4A18" w:rsidRDefault="00D14F00" w:rsidP="005E7A1E">
            <w:pPr>
              <w:spacing w:line="276" w:lineRule="auto"/>
              <w:rPr>
                <w:rFonts w:ascii="Century Gothic" w:eastAsia="Calibri" w:hAnsi="Century Gothic" w:cs="Arial"/>
                <w:sz w:val="16"/>
                <w:szCs w:val="16"/>
                <w:lang w:val="es-ES_tradnl" w:eastAsia="es-ES"/>
              </w:rPr>
            </w:pPr>
            <w:r w:rsidRPr="008D4A18">
              <w:rPr>
                <w:rFonts w:ascii="Century Gothic" w:eastAsia="Calibri" w:hAnsi="Century Gothic" w:cs="Arial"/>
                <w:sz w:val="16"/>
                <w:szCs w:val="16"/>
                <w:lang w:val="es-ES_tradnl" w:eastAsia="es-ES"/>
              </w:rPr>
              <w:t>Nohelia del Carmen Zawady Palacio</w:t>
            </w:r>
          </w:p>
          <w:p w14:paraId="6EA1F44E" w14:textId="77777777" w:rsidR="00D14F00" w:rsidRPr="008D4A18" w:rsidRDefault="00D14F00" w:rsidP="005E7A1E">
            <w:pPr>
              <w:spacing w:line="276" w:lineRule="auto"/>
              <w:rPr>
                <w:rFonts w:ascii="Century Gothic" w:eastAsia="Times New Roman" w:hAnsi="Century Gothic" w:cs="Arial"/>
                <w:sz w:val="16"/>
                <w:szCs w:val="16"/>
                <w:lang w:eastAsia="es-ES"/>
              </w:rPr>
            </w:pPr>
            <w:r w:rsidRPr="008D4A18">
              <w:rPr>
                <w:rFonts w:ascii="Century Gothic" w:eastAsia="Calibri" w:hAnsi="Century Gothic" w:cs="Arial"/>
                <w:sz w:val="16"/>
                <w:szCs w:val="16"/>
                <w:lang w:val="es-ES_tradnl" w:eastAsia="es-ES"/>
              </w:rPr>
              <w:t>Subdirectora de Gestión Contractual</w:t>
            </w:r>
          </w:p>
        </w:tc>
      </w:tr>
    </w:tbl>
    <w:p w14:paraId="1701C9D5" w14:textId="77777777" w:rsidR="00D14F00" w:rsidRPr="00594103" w:rsidRDefault="00D14F00" w:rsidP="00D14F00">
      <w:pPr>
        <w:spacing w:line="276" w:lineRule="auto"/>
        <w:jc w:val="both"/>
        <w:rPr>
          <w:rFonts w:ascii="Century Gothic" w:hAnsi="Century Gothic"/>
          <w:b/>
          <w:bCs/>
          <w:sz w:val="21"/>
          <w:szCs w:val="21"/>
          <w:shd w:val="clear" w:color="auto" w:fill="FFFFFF"/>
          <w:lang w:val="es-ES_tradnl"/>
        </w:rPr>
      </w:pPr>
    </w:p>
    <w:p w14:paraId="3AA8A820" w14:textId="77777777" w:rsidR="00D14F00" w:rsidRPr="00E94744" w:rsidRDefault="00D14F00" w:rsidP="00D14F00">
      <w:pPr>
        <w:spacing w:after="0"/>
        <w:rPr>
          <w:rFonts w:ascii="Century Gothic" w:hAnsi="Century Gothic"/>
          <w:lang w:val="es-ES_tradnl"/>
        </w:rPr>
      </w:pPr>
    </w:p>
    <w:p w14:paraId="1C91D197" w14:textId="4F5A65DA" w:rsidR="00730E55" w:rsidRPr="00D14F00" w:rsidRDefault="00730E55" w:rsidP="00D14F00">
      <w:pPr>
        <w:rPr>
          <w:lang w:val="es-ES_tradnl"/>
        </w:rPr>
      </w:pPr>
    </w:p>
    <w:sectPr w:rsidR="00730E55" w:rsidRPr="00D14F00" w:rsidSect="005E7A1E">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C9D3" w14:textId="77777777" w:rsidR="00271BA8" w:rsidRDefault="00271BA8" w:rsidP="00C6585A">
      <w:pPr>
        <w:spacing w:after="0" w:line="240" w:lineRule="auto"/>
      </w:pPr>
      <w:r>
        <w:separator/>
      </w:r>
    </w:p>
  </w:endnote>
  <w:endnote w:type="continuationSeparator" w:id="0">
    <w:p w14:paraId="263075A6" w14:textId="77777777" w:rsidR="00271BA8" w:rsidRDefault="00271BA8" w:rsidP="00C6585A">
      <w:pPr>
        <w:spacing w:after="0" w:line="240" w:lineRule="auto"/>
      </w:pPr>
      <w:r>
        <w:continuationSeparator/>
      </w:r>
    </w:p>
  </w:endnote>
  <w:endnote w:type="continuationNotice" w:id="1">
    <w:p w14:paraId="6583D288" w14:textId="77777777" w:rsidR="00DE4E23" w:rsidRDefault="00DE4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C78B" w14:textId="77777777" w:rsidR="009C2C2F" w:rsidRDefault="005E7A1E">
    <w:pPr>
      <w:pStyle w:val="Piedepgina"/>
    </w:pPr>
    <w:r>
      <w:rPr>
        <w:noProof/>
      </w:rPr>
      <w:drawing>
        <wp:inline distT="0" distB="0" distL="0" distR="0" wp14:anchorId="5AB2C398" wp14:editId="170681A7">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6FA89891" wp14:editId="31F1D5A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5E7A1E" w:rsidRPr="00080DA3" w14:paraId="2BD5AD7F" w14:textId="77777777" w:rsidTr="005E7A1E">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FF207DF" w14:textId="77777777" w:rsidR="009C2C2F" w:rsidRPr="003F3941" w:rsidRDefault="005E7A1E" w:rsidP="005E7A1E">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324D0D4" w14:textId="77777777" w:rsidR="009C2C2F" w:rsidRPr="003F3941" w:rsidRDefault="005E7A1E" w:rsidP="005E7A1E">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66C0E31" w14:textId="77777777" w:rsidR="009C2C2F" w:rsidRPr="003F3941" w:rsidRDefault="005E7A1E" w:rsidP="005E7A1E">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69119D" w14:textId="77777777" w:rsidR="009C2C2F" w:rsidRPr="003F3941" w:rsidRDefault="005E7A1E" w:rsidP="005E7A1E">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3F6DA58C" w14:textId="77777777" w:rsidR="009C2C2F" w:rsidRDefault="009C2C2F" w:rsidP="005E7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D3E1" w14:textId="77777777" w:rsidR="00271BA8" w:rsidRDefault="00271BA8" w:rsidP="00C6585A">
      <w:pPr>
        <w:spacing w:after="0" w:line="240" w:lineRule="auto"/>
      </w:pPr>
      <w:r>
        <w:separator/>
      </w:r>
    </w:p>
  </w:footnote>
  <w:footnote w:type="continuationSeparator" w:id="0">
    <w:p w14:paraId="4A8BB28A" w14:textId="77777777" w:rsidR="00271BA8" w:rsidRDefault="00271BA8" w:rsidP="00C6585A">
      <w:pPr>
        <w:spacing w:after="0" w:line="240" w:lineRule="auto"/>
      </w:pPr>
      <w:r>
        <w:continuationSeparator/>
      </w:r>
    </w:p>
  </w:footnote>
  <w:footnote w:type="continuationNotice" w:id="1">
    <w:p w14:paraId="03B9448C" w14:textId="77777777" w:rsidR="00DE4E23" w:rsidRDefault="00DE4E23">
      <w:pPr>
        <w:spacing w:after="0" w:line="240" w:lineRule="auto"/>
      </w:pPr>
    </w:p>
  </w:footnote>
  <w:footnote w:id="2">
    <w:p w14:paraId="48FA6296" w14:textId="77777777" w:rsidR="00D14F00" w:rsidRPr="00E94744" w:rsidRDefault="00D14F00" w:rsidP="00D14F00">
      <w:pPr>
        <w:pStyle w:val="Textonotapie"/>
        <w:ind w:firstLine="708"/>
        <w:contextualSpacing/>
        <w:jc w:val="both"/>
        <w:rPr>
          <w:rFonts w:ascii="Century Gothic" w:hAnsi="Century Gothic" w:cs="Arial"/>
          <w:sz w:val="14"/>
          <w:szCs w:val="14"/>
        </w:rPr>
      </w:pPr>
      <w:r w:rsidRPr="00E94744">
        <w:rPr>
          <w:rStyle w:val="Refdenotaalpie"/>
          <w:rFonts w:ascii="Century Gothic" w:hAnsi="Century Gothic"/>
          <w:sz w:val="14"/>
          <w:szCs w:val="14"/>
        </w:rPr>
        <w:footnoteRef/>
      </w:r>
      <w:r w:rsidRPr="00E94744">
        <w:rPr>
          <w:rFonts w:ascii="Century Gothic" w:hAnsi="Century Gothic"/>
          <w:sz w:val="14"/>
          <w:szCs w:val="14"/>
        </w:rPr>
        <w:t xml:space="preserve"> </w:t>
      </w:r>
      <w:r w:rsidRPr="00E94744">
        <w:rPr>
          <w:rFonts w:ascii="Century Gothic" w:eastAsia="Calibri" w:hAnsi="Century Gothic" w:cs="Arial"/>
          <w:sz w:val="14"/>
          <w:szCs w:val="14"/>
          <w:lang w:eastAsia="es-ES_tradnl"/>
        </w:rPr>
        <w:t xml:space="preserve">La Agencia Nacional de Contratación Pública </w:t>
      </w:r>
      <w:r w:rsidRPr="00E94744">
        <w:rPr>
          <w:rFonts w:ascii="Arial" w:eastAsia="Calibri" w:hAnsi="Arial" w:cs="Arial"/>
          <w:sz w:val="14"/>
          <w:szCs w:val="14"/>
          <w:lang w:eastAsia="es-ES_tradnl"/>
        </w:rPr>
        <w:t>‒</w:t>
      </w:r>
      <w:r w:rsidRPr="00E94744">
        <w:rPr>
          <w:rFonts w:ascii="Century Gothic" w:eastAsia="Calibri" w:hAnsi="Century Gothic" w:cs="Arial"/>
          <w:sz w:val="14"/>
          <w:szCs w:val="14"/>
          <w:lang w:eastAsia="es-ES_tradnl"/>
        </w:rPr>
        <w:t xml:space="preserve"> Colombia Compra Eficiente fue creada por el Decreto Ley 4170 de 2011. Su objetivo es servir como ente rector de la pol</w:t>
      </w:r>
      <w:r w:rsidRPr="00E94744">
        <w:rPr>
          <w:rFonts w:ascii="Century Gothic" w:eastAsia="Calibri" w:hAnsi="Century Gothic" w:cs="Century Gothic"/>
          <w:sz w:val="14"/>
          <w:szCs w:val="14"/>
          <w:lang w:eastAsia="es-ES_tradnl"/>
        </w:rPr>
        <w:t>í</w:t>
      </w:r>
      <w:r w:rsidRPr="00E94744">
        <w:rPr>
          <w:rFonts w:ascii="Century Gothic" w:eastAsia="Calibri" w:hAnsi="Century Gothic" w:cs="Arial"/>
          <w:sz w:val="14"/>
          <w:szCs w:val="14"/>
          <w:lang w:eastAsia="es-ES_tradnl"/>
        </w:rPr>
        <w:t>tica de compras y contrataci</w:t>
      </w:r>
      <w:r w:rsidRPr="00E94744">
        <w:rPr>
          <w:rFonts w:ascii="Century Gothic" w:eastAsia="Calibri" w:hAnsi="Century Gothic" w:cs="Century Gothic"/>
          <w:sz w:val="14"/>
          <w:szCs w:val="14"/>
          <w:lang w:eastAsia="es-ES_tradnl"/>
        </w:rPr>
        <w:t>ó</w:t>
      </w:r>
      <w:r w:rsidRPr="00E94744">
        <w:rPr>
          <w:rFonts w:ascii="Century Gothic" w:eastAsia="Calibri" w:hAnsi="Century Gothic" w:cs="Arial"/>
          <w:sz w:val="14"/>
          <w:szCs w:val="14"/>
          <w:lang w:eastAsia="es-ES_tradnl"/>
        </w:rPr>
        <w:t xml:space="preserve">n del Estado. Para tales fines, como </w:t>
      </w:r>
      <w:r w:rsidRPr="00E94744">
        <w:rPr>
          <w:rFonts w:ascii="Century Gothic" w:eastAsia="Calibri" w:hAnsi="Century Gothic" w:cs="Century Gothic"/>
          <w:sz w:val="14"/>
          <w:szCs w:val="14"/>
          <w:lang w:eastAsia="es-ES_tradnl"/>
        </w:rPr>
        <w:t>ó</w:t>
      </w:r>
      <w:r w:rsidRPr="00E94744">
        <w:rPr>
          <w:rFonts w:ascii="Century Gothic" w:eastAsia="Calibri" w:hAnsi="Century Gothic" w:cs="Arial"/>
          <w:sz w:val="14"/>
          <w:szCs w:val="14"/>
          <w:lang w:eastAsia="es-ES_tradnl"/>
        </w:rPr>
        <w:t>rgano t</w:t>
      </w:r>
      <w:r w:rsidRPr="00E94744">
        <w:rPr>
          <w:rFonts w:ascii="Century Gothic" w:eastAsia="Calibri" w:hAnsi="Century Gothic" w:cs="Century Gothic"/>
          <w:sz w:val="14"/>
          <w:szCs w:val="14"/>
          <w:lang w:eastAsia="es-ES_tradnl"/>
        </w:rPr>
        <w:t>é</w:t>
      </w:r>
      <w:r w:rsidRPr="00E94744">
        <w:rPr>
          <w:rFonts w:ascii="Century Gothic" w:eastAsia="Calibri" w:hAnsi="Century Gothic" w:cs="Arial"/>
          <w:sz w:val="14"/>
          <w:szCs w:val="14"/>
          <w:lang w:eastAsia="es-ES_tradnl"/>
        </w:rPr>
        <w:t>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E94744">
        <w:rPr>
          <w:rFonts w:ascii="Century Gothic" w:eastAsia="Calibri" w:hAnsi="Century Gothic" w:cs="Arial"/>
          <w:sz w:val="14"/>
          <w:szCs w:val="14"/>
          <w:lang w:eastAsia="es-ES_tradnl"/>
        </w:rPr>
        <w:t>bsolver</w:t>
      </w:r>
      <w:proofErr w:type="spellEnd"/>
      <w:r w:rsidRPr="00E94744">
        <w:rPr>
          <w:rFonts w:ascii="Century Gothic" w:eastAsia="Calibri" w:hAnsi="Century Gothic" w:cs="Arial"/>
          <w:sz w:val="14"/>
          <w:szCs w:val="14"/>
          <w:lang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94744">
        <w:rPr>
          <w:rFonts w:ascii="Century Gothic" w:eastAsia="Calibri" w:hAnsi="Century Gothic" w:cs="Arial"/>
          <w:sz w:val="14"/>
          <w:szCs w:val="14"/>
          <w:lang w:eastAsia="es-ES_tradnl"/>
        </w:rPr>
        <w:t>bsolver</w:t>
      </w:r>
      <w:proofErr w:type="spellEnd"/>
      <w:r w:rsidRPr="00E94744">
        <w:rPr>
          <w:rFonts w:ascii="Century Gothic" w:eastAsia="Calibri" w:hAnsi="Century Gothic" w:cs="Arial"/>
          <w:sz w:val="14"/>
          <w:szCs w:val="14"/>
          <w:lang w:eastAsia="es-ES_tradnl"/>
        </w:rPr>
        <w:t xml:space="preserve"> consultas sobre la aplicación de normas de carácter general”.</w:t>
      </w:r>
    </w:p>
    <w:p w14:paraId="48A4E557" w14:textId="77777777" w:rsidR="00D14F00" w:rsidRPr="00E94744" w:rsidRDefault="00D14F00" w:rsidP="00D14F00">
      <w:pPr>
        <w:pStyle w:val="Textonotapie"/>
        <w:rPr>
          <w:rFonts w:ascii="Century Gothic" w:hAnsi="Century Gothic"/>
          <w:sz w:val="14"/>
          <w:szCs w:val="14"/>
        </w:rPr>
      </w:pPr>
    </w:p>
  </w:footnote>
  <w:footnote w:id="3">
    <w:p w14:paraId="78FF1411"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MEDINA LÓPEZ, Diego Eduardo. El derecho de los jueces: obligatoriedad del precedente constitucional, análisis de sentencias y líneas jurisprudenciales y teoría del derecho judicial. Bogotá: Legis, 2006.</w:t>
      </w:r>
    </w:p>
    <w:p w14:paraId="6CB1CBBB"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p>
  </w:footnote>
  <w:footnote w:id="4">
    <w:p w14:paraId="7BE1B300"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p w14:paraId="1C9D00C3"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p>
  </w:footnote>
  <w:footnote w:id="5">
    <w:p w14:paraId="4E32F2C2"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Sección Tercera. Auto del 20 de agosto de 1998. </w:t>
      </w:r>
      <w:proofErr w:type="spellStart"/>
      <w:r w:rsidRPr="00E94744">
        <w:rPr>
          <w:rFonts w:ascii="Century Gothic" w:hAnsi="Century Gothic" w:cs="Arial"/>
          <w:color w:val="000000" w:themeColor="text1"/>
          <w:sz w:val="14"/>
          <w:szCs w:val="14"/>
        </w:rPr>
        <w:t>Exp</w:t>
      </w:r>
      <w:proofErr w:type="spellEnd"/>
      <w:r w:rsidRPr="00E94744">
        <w:rPr>
          <w:rFonts w:ascii="Century Gothic" w:hAnsi="Century Gothic" w:cs="Arial"/>
          <w:color w:val="000000" w:themeColor="text1"/>
          <w:sz w:val="14"/>
          <w:szCs w:val="14"/>
        </w:rPr>
        <w:t xml:space="preserve">. 14.202.  C.P. Juan de Dios Montes Bermúdez. </w:t>
      </w:r>
    </w:p>
  </w:footnote>
  <w:footnote w:id="6">
    <w:p w14:paraId="1397E5FB"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w:t>
      </w:r>
      <w:bookmarkStart w:id="1" w:name="66"/>
      <w:r w:rsidRPr="00E94744">
        <w:rPr>
          <w:rFonts w:ascii="Century Gothic" w:hAnsi="Century Gothic" w:cs="Arial"/>
          <w:color w:val="000000" w:themeColor="text1"/>
          <w:sz w:val="14"/>
          <w:szCs w:val="14"/>
        </w:rPr>
        <w:t>Artículo 66. Medidas especiales de contratación.</w:t>
      </w:r>
      <w:bookmarkEnd w:id="1"/>
      <w:r w:rsidRPr="00E94744">
        <w:rPr>
          <w:rFonts w:ascii="Century Gothic" w:hAnsi="Century Gothic" w:cs="Arial"/>
          <w:color w:val="000000" w:themeColor="text1"/>
          <w:sz w:val="14"/>
          <w:szCs w:val="14"/>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E94744">
          <w:rPr>
            <w:rStyle w:val="Hipervnculo"/>
            <w:rFonts w:ascii="Century Gothic" w:hAnsi="Century Gothic" w:cs="Arial"/>
            <w:color w:val="000000" w:themeColor="text1"/>
            <w:sz w:val="14"/>
            <w:szCs w:val="14"/>
          </w:rPr>
          <w:t>13</w:t>
        </w:r>
      </w:hyperlink>
      <w:r w:rsidRPr="00E94744">
        <w:rPr>
          <w:rFonts w:ascii="Century Gothic" w:hAnsi="Century Gothic" w:cs="Arial"/>
          <w:color w:val="000000" w:themeColor="text1"/>
          <w:sz w:val="14"/>
          <w:szCs w:val="14"/>
        </w:rPr>
        <w:t> de la Ley 1150 de 2007, y podrán contemplar cláusulas excepcionales de conformidad con lo dispuesto en los artículos </w:t>
      </w:r>
      <w:hyperlink r:id="rId2" w:anchor="14" w:history="1">
        <w:r w:rsidRPr="00E94744">
          <w:rPr>
            <w:rStyle w:val="Hipervnculo"/>
            <w:rFonts w:ascii="Century Gothic" w:hAnsi="Century Gothic" w:cs="Arial"/>
            <w:color w:val="000000" w:themeColor="text1"/>
            <w:sz w:val="14"/>
            <w:szCs w:val="14"/>
          </w:rPr>
          <w:t>14</w:t>
        </w:r>
      </w:hyperlink>
      <w:r w:rsidRPr="00E94744">
        <w:rPr>
          <w:rFonts w:ascii="Century Gothic" w:hAnsi="Century Gothic" w:cs="Arial"/>
          <w:color w:val="000000" w:themeColor="text1"/>
          <w:sz w:val="14"/>
          <w:szCs w:val="14"/>
        </w:rPr>
        <w:t> a </w:t>
      </w:r>
      <w:hyperlink r:id="rId3" w:anchor="18" w:history="1">
        <w:r w:rsidRPr="00E94744">
          <w:rPr>
            <w:rStyle w:val="Hipervnculo"/>
            <w:rFonts w:ascii="Century Gothic" w:hAnsi="Century Gothic" w:cs="Arial"/>
            <w:color w:val="000000" w:themeColor="text1"/>
            <w:sz w:val="14"/>
            <w:szCs w:val="14"/>
          </w:rPr>
          <w:t>18</w:t>
        </w:r>
      </w:hyperlink>
      <w:r w:rsidRPr="00E94744">
        <w:rPr>
          <w:rFonts w:ascii="Century Gothic" w:hAnsi="Century Gothic" w:cs="Arial"/>
          <w:color w:val="000000" w:themeColor="text1"/>
          <w:sz w:val="14"/>
          <w:szCs w:val="14"/>
        </w:rPr>
        <w:t> de la Ley 80 de 1993.</w:t>
      </w:r>
    </w:p>
    <w:p w14:paraId="455E7812" w14:textId="77777777" w:rsidR="00D14F00" w:rsidRPr="00E94744" w:rsidRDefault="00D14F00" w:rsidP="00D14F00">
      <w:pPr>
        <w:pStyle w:val="NormalWeb"/>
        <w:ind w:firstLine="708"/>
        <w:jc w:val="both"/>
        <w:rPr>
          <w:rFonts w:ascii="Century Gothic" w:hAnsi="Century Gothic" w:cs="Arial"/>
          <w:color w:val="000000" w:themeColor="text1"/>
          <w:sz w:val="14"/>
          <w:szCs w:val="14"/>
        </w:rPr>
      </w:pPr>
      <w:r w:rsidRPr="00E94744">
        <w:rPr>
          <w:rStyle w:val="baj"/>
          <w:rFonts w:ascii="Century Gothic" w:hAnsi="Century Gothic" w:cs="Arial"/>
          <w:color w:val="000000" w:themeColor="text1"/>
          <w:sz w:val="14"/>
          <w:szCs w:val="14"/>
        </w:rPr>
        <w:t>PARÁGRAFO.</w:t>
      </w:r>
      <w:r w:rsidRPr="00E94744">
        <w:rPr>
          <w:rFonts w:ascii="Century Gothic" w:hAnsi="Century Gothic" w:cs="Arial"/>
          <w:color w:val="000000" w:themeColor="text1"/>
          <w:sz w:val="14"/>
          <w:szCs w:val="14"/>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E94744">
          <w:rPr>
            <w:rStyle w:val="Hipervnculo"/>
            <w:rFonts w:ascii="Century Gothic" w:hAnsi="Century Gothic" w:cs="Arial"/>
            <w:color w:val="000000" w:themeColor="text1"/>
            <w:sz w:val="14"/>
            <w:szCs w:val="14"/>
          </w:rPr>
          <w:t>42</w:t>
        </w:r>
      </w:hyperlink>
      <w:r w:rsidRPr="00E94744">
        <w:rPr>
          <w:rFonts w:ascii="Century Gothic" w:hAnsi="Century Gothic" w:cs="Arial"/>
          <w:color w:val="000000" w:themeColor="text1"/>
          <w:sz w:val="14"/>
          <w:szCs w:val="14"/>
        </w:rPr>
        <w:t> y </w:t>
      </w:r>
      <w:hyperlink r:id="rId5" w:anchor="43" w:history="1">
        <w:r w:rsidRPr="00E94744">
          <w:rPr>
            <w:rStyle w:val="Hipervnculo"/>
            <w:rFonts w:ascii="Century Gothic" w:hAnsi="Century Gothic" w:cs="Arial"/>
            <w:color w:val="000000" w:themeColor="text1"/>
            <w:sz w:val="14"/>
            <w:szCs w:val="14"/>
          </w:rPr>
          <w:t>43</w:t>
        </w:r>
      </w:hyperlink>
      <w:r w:rsidRPr="00E94744">
        <w:rPr>
          <w:rFonts w:ascii="Century Gothic" w:hAnsi="Century Gothic" w:cs="Arial"/>
          <w:color w:val="000000" w:themeColor="text1"/>
          <w:sz w:val="14"/>
          <w:szCs w:val="14"/>
        </w:rPr>
        <w:t> de la Ley 80 de 1993 y demás normas que la modifiquen.</w:t>
      </w:r>
    </w:p>
  </w:footnote>
  <w:footnote w:id="7">
    <w:p w14:paraId="5431129F" w14:textId="77777777" w:rsidR="00D14F00" w:rsidRPr="00E94744" w:rsidRDefault="00D14F00" w:rsidP="00D14F00">
      <w:pPr>
        <w:pStyle w:val="Textonotapie"/>
        <w:ind w:firstLine="708"/>
        <w:jc w:val="both"/>
        <w:rPr>
          <w:rFonts w:ascii="Century Gothic" w:hAnsi="Century Gothic" w:cs="Arial"/>
          <w:color w:val="000000" w:themeColor="text1"/>
          <w:sz w:val="14"/>
          <w:szCs w:val="14"/>
          <w:lang w:val="es-CO"/>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Sala de Consulta y Servicio Civil. Concepto del 27 de agosto de 1998, radicación No. 1.127, M.P. Javier Henao </w:t>
      </w:r>
      <w:proofErr w:type="spellStart"/>
      <w:r w:rsidRPr="00E94744">
        <w:rPr>
          <w:rFonts w:ascii="Century Gothic" w:hAnsi="Century Gothic" w:cs="Arial"/>
          <w:color w:val="000000" w:themeColor="text1"/>
          <w:sz w:val="14"/>
          <w:szCs w:val="14"/>
        </w:rPr>
        <w:t>Hidrón</w:t>
      </w:r>
      <w:proofErr w:type="spellEnd"/>
      <w:r w:rsidRPr="00E94744">
        <w:rPr>
          <w:rFonts w:ascii="Century Gothic" w:hAnsi="Century Gothic" w:cs="Arial"/>
          <w:color w:val="000000" w:themeColor="text1"/>
          <w:sz w:val="14"/>
          <w:szCs w:val="14"/>
        </w:rPr>
        <w:t xml:space="preserve">; y </w:t>
      </w:r>
      <w:r w:rsidRPr="00E94744">
        <w:rPr>
          <w:rFonts w:ascii="Century Gothic" w:hAnsi="Century Gothic" w:cs="Arial"/>
          <w:color w:val="000000" w:themeColor="text1"/>
          <w:sz w:val="14"/>
          <w:szCs w:val="14"/>
          <w:lang w:val="es-CO"/>
        </w:rPr>
        <w:t xml:space="preserve">concepto del 6 de abril de 2000. Radicación No. 1.263, M.P. Flavio Augusto </w:t>
      </w:r>
      <w:proofErr w:type="spellStart"/>
      <w:r w:rsidRPr="00E94744">
        <w:rPr>
          <w:rFonts w:ascii="Century Gothic" w:hAnsi="Century Gothic" w:cs="Arial"/>
          <w:color w:val="000000" w:themeColor="text1"/>
          <w:sz w:val="14"/>
          <w:szCs w:val="14"/>
          <w:lang w:val="es-CO"/>
        </w:rPr>
        <w:t>Rodriguez</w:t>
      </w:r>
      <w:proofErr w:type="spellEnd"/>
      <w:r w:rsidRPr="00E94744">
        <w:rPr>
          <w:rFonts w:ascii="Century Gothic" w:hAnsi="Century Gothic" w:cs="Arial"/>
          <w:color w:val="000000" w:themeColor="text1"/>
          <w:sz w:val="14"/>
          <w:szCs w:val="14"/>
          <w:lang w:val="es-CO"/>
        </w:rPr>
        <w:t xml:space="preserve"> Arce</w:t>
      </w:r>
    </w:p>
    <w:p w14:paraId="79A42D8F" w14:textId="77777777" w:rsidR="00D14F00" w:rsidRPr="00E94744" w:rsidRDefault="00D14F00" w:rsidP="00D14F00">
      <w:pPr>
        <w:pStyle w:val="Textonotapie"/>
        <w:jc w:val="both"/>
        <w:rPr>
          <w:rFonts w:ascii="Century Gothic" w:hAnsi="Century Gothic" w:cs="Arial"/>
          <w:color w:val="000000" w:themeColor="text1"/>
          <w:sz w:val="14"/>
          <w:szCs w:val="14"/>
        </w:rPr>
      </w:pPr>
    </w:p>
  </w:footnote>
  <w:footnote w:id="8">
    <w:p w14:paraId="2A74B1F3"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Ministerio de Salud y la Protección Social. Concepto del 16 de agosto de 2019. Expediente No. 201942301304712. </w:t>
      </w:r>
    </w:p>
    <w:p w14:paraId="59DB7970" w14:textId="77777777" w:rsidR="00D14F00" w:rsidRPr="00E94744" w:rsidRDefault="00D14F00" w:rsidP="00D14F00">
      <w:pPr>
        <w:pStyle w:val="Textonotapie"/>
        <w:ind w:firstLine="709"/>
        <w:jc w:val="both"/>
        <w:rPr>
          <w:rFonts w:ascii="Century Gothic" w:hAnsi="Century Gothic" w:cs="Arial"/>
          <w:color w:val="000000" w:themeColor="text1"/>
          <w:sz w:val="14"/>
          <w:szCs w:val="14"/>
        </w:rPr>
      </w:pPr>
    </w:p>
  </w:footnote>
  <w:footnote w:id="9">
    <w:p w14:paraId="53CEA670" w14:textId="77777777" w:rsidR="00D14F00" w:rsidRPr="00E94744" w:rsidRDefault="00D14F00" w:rsidP="00D14F00">
      <w:pPr>
        <w:pStyle w:val="Textonotapie"/>
        <w:ind w:firstLine="708"/>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Sección Tercera. Subsección “C”. Providencia del 8 de abril de 2014. Expediente No. 25801. M.P. Enrique Gil Botero.</w:t>
      </w:r>
    </w:p>
    <w:p w14:paraId="39D3EDFB" w14:textId="77777777" w:rsidR="00D14F00" w:rsidRPr="00E94744" w:rsidRDefault="00D14F00" w:rsidP="00D14F00">
      <w:pPr>
        <w:pStyle w:val="Textonotapie"/>
        <w:ind w:firstLine="708"/>
        <w:jc w:val="both"/>
        <w:rPr>
          <w:rFonts w:ascii="Century Gothic" w:hAnsi="Century Gothic" w:cs="Arial"/>
          <w:color w:val="000000" w:themeColor="text1"/>
          <w:sz w:val="14"/>
          <w:szCs w:val="14"/>
        </w:rPr>
      </w:pPr>
    </w:p>
  </w:footnote>
  <w:footnote w:id="10">
    <w:p w14:paraId="125D811D" w14:textId="77777777" w:rsidR="00D14F00" w:rsidRPr="00E94744" w:rsidRDefault="00D14F00" w:rsidP="00D14F00">
      <w:pPr>
        <w:pStyle w:val="Textonotapie"/>
        <w:ind w:firstLine="708"/>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HINESTROSA FORERO, Fernando. Tratado de las Obligaciones II. De las fuentes de las obligaciones: el negocio jurídico. Volumen I. Bogotá: Universidad Externado de Colombia, 2015. p. 116.  </w:t>
      </w:r>
    </w:p>
  </w:footnote>
  <w:footnote w:id="11">
    <w:p w14:paraId="282F0197" w14:textId="77777777" w:rsidR="00D14F00" w:rsidRPr="00E94744" w:rsidRDefault="00D14F00" w:rsidP="00D14F00">
      <w:pPr>
        <w:pStyle w:val="Textonotapie"/>
        <w:ind w:firstLine="708"/>
        <w:jc w:val="both"/>
        <w:rPr>
          <w:rFonts w:ascii="Century Gothic" w:hAnsi="Century Gothic" w:cs="Arial"/>
          <w:sz w:val="14"/>
          <w:szCs w:val="14"/>
        </w:rPr>
      </w:pPr>
      <w:r w:rsidRPr="00E94744">
        <w:rPr>
          <w:rStyle w:val="Refdenotaalpie"/>
          <w:rFonts w:ascii="Century Gothic" w:hAnsi="Century Gothic" w:cs="Arial"/>
          <w:sz w:val="14"/>
          <w:szCs w:val="14"/>
        </w:rPr>
        <w:footnoteRef/>
      </w:r>
      <w:r w:rsidRPr="00E94744">
        <w:rPr>
          <w:rFonts w:ascii="Century Gothic" w:hAnsi="Century Gothic" w:cs="Arial"/>
          <w:sz w:val="14"/>
          <w:szCs w:val="14"/>
        </w:rPr>
        <w:t xml:space="preserve"> Cfr. Colombia Compra Eficiente. Subdirección de Gestión Contractual. Concepto C-362 del 3 de julio de 2020. Pág. 9.</w:t>
      </w:r>
    </w:p>
    <w:p w14:paraId="2E5CBF58" w14:textId="77777777" w:rsidR="00D14F00" w:rsidRPr="00E94744" w:rsidRDefault="00D14F00" w:rsidP="00D14F00">
      <w:pPr>
        <w:pStyle w:val="Textonotapie"/>
        <w:ind w:firstLine="708"/>
        <w:jc w:val="both"/>
        <w:rPr>
          <w:rFonts w:ascii="Century Gothic" w:hAnsi="Century Gothic" w:cs="Arial"/>
          <w:sz w:val="14"/>
          <w:szCs w:val="14"/>
        </w:rPr>
      </w:pPr>
    </w:p>
  </w:footnote>
  <w:footnote w:id="12">
    <w:p w14:paraId="3725635E" w14:textId="77777777" w:rsidR="00D14F00" w:rsidRPr="00E94744" w:rsidRDefault="00D14F00" w:rsidP="00D14F00">
      <w:pPr>
        <w:pStyle w:val="Textonotapie"/>
        <w:ind w:firstLine="708"/>
        <w:jc w:val="both"/>
        <w:rPr>
          <w:rFonts w:ascii="Century Gothic" w:hAnsi="Century Gothic" w:cs="Arial"/>
          <w:sz w:val="14"/>
          <w:szCs w:val="14"/>
        </w:rPr>
      </w:pPr>
      <w:r w:rsidRPr="00E94744">
        <w:rPr>
          <w:rStyle w:val="Refdenotaalpie"/>
          <w:rFonts w:ascii="Century Gothic" w:hAnsi="Century Gothic" w:cs="Arial"/>
          <w:sz w:val="14"/>
          <w:szCs w:val="14"/>
        </w:rPr>
        <w:footnoteRef/>
      </w:r>
      <w:r w:rsidRPr="00E94744">
        <w:rPr>
          <w:rFonts w:ascii="Century Gothic" w:hAnsi="Century Gothic" w:cs="Arial"/>
          <w:sz w:val="14"/>
          <w:szCs w:val="14"/>
        </w:rPr>
        <w:t xml:space="preserve"> </w:t>
      </w:r>
      <w:proofErr w:type="spellStart"/>
      <w:r w:rsidRPr="00E94744">
        <w:rPr>
          <w:rFonts w:ascii="Century Gothic" w:hAnsi="Century Gothic" w:cs="Arial"/>
          <w:sz w:val="14"/>
          <w:szCs w:val="14"/>
        </w:rPr>
        <w:t>Ibíd</w:t>
      </w:r>
      <w:proofErr w:type="spellEnd"/>
      <w:r w:rsidRPr="00E94744">
        <w:rPr>
          <w:rFonts w:ascii="Century Gothic" w:hAnsi="Century Gothic" w:cs="Arial"/>
          <w:sz w:val="14"/>
          <w:szCs w:val="14"/>
        </w:rPr>
        <w:t xml:space="preserve">. </w:t>
      </w:r>
    </w:p>
  </w:footnote>
  <w:footnote w:id="13">
    <w:p w14:paraId="3061E32B" w14:textId="77777777" w:rsidR="00D14F00" w:rsidRPr="00E94744" w:rsidRDefault="00D14F00" w:rsidP="00D14F00">
      <w:pPr>
        <w:pStyle w:val="Textonotapie"/>
        <w:ind w:firstLine="708"/>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Texto del Proyecto de Ley 122 de 2020 Cámara. Exposición de motivos. Consultado el 29 de diciembre de 2021 en la página web: </w:t>
      </w:r>
      <w:hyperlink r:id="rId6" w:history="1">
        <w:r w:rsidRPr="00E94744">
          <w:rPr>
            <w:rFonts w:ascii="Century Gothic" w:hAnsi="Century Gothic" w:cs="Arial"/>
            <w:sz w:val="14"/>
            <w:szCs w:val="14"/>
          </w:rPr>
          <w:t>http://leyes.senado.gov.co/proyectos/index.php/textos-radicados-senado/p-ley-2020-2021/1957-proyecto-de-ley-161-de-2020</w:t>
        </w:r>
      </w:hyperlink>
    </w:p>
    <w:p w14:paraId="3654B02E" w14:textId="77777777" w:rsidR="00D14F00" w:rsidRPr="00E94744" w:rsidRDefault="00D14F00" w:rsidP="00D14F00">
      <w:pPr>
        <w:pStyle w:val="Textonotapie"/>
        <w:ind w:firstLine="708"/>
        <w:jc w:val="both"/>
        <w:rPr>
          <w:rFonts w:ascii="Century Gothic" w:hAnsi="Century Gothic" w:cs="Arial"/>
          <w:sz w:val="14"/>
          <w:szCs w:val="14"/>
        </w:rPr>
      </w:pPr>
    </w:p>
  </w:footnote>
  <w:footnote w:id="14">
    <w:p w14:paraId="69F79A18"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Artículos 2 al 29.</w:t>
      </w:r>
    </w:p>
  </w:footnote>
  <w:footnote w:id="15">
    <w:p w14:paraId="5ADF6C33" w14:textId="77777777" w:rsidR="00D14F00" w:rsidRPr="00E94744" w:rsidRDefault="00D14F00" w:rsidP="00D14F00">
      <w:pPr>
        <w:pStyle w:val="Textonotapie"/>
        <w:ind w:firstLine="709"/>
        <w:jc w:val="both"/>
        <w:rPr>
          <w:rFonts w:ascii="Century Gothic" w:hAnsi="Century Gothic" w:cs="Arial"/>
          <w:sz w:val="14"/>
          <w:szCs w:val="14"/>
        </w:rPr>
      </w:pPr>
    </w:p>
    <w:p w14:paraId="4846C66E"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Artículos 30 al 36.</w:t>
      </w:r>
    </w:p>
  </w:footnote>
  <w:footnote w:id="16">
    <w:p w14:paraId="5E3744FF" w14:textId="77777777" w:rsidR="00D14F00" w:rsidRPr="00E94744" w:rsidRDefault="00D14F00" w:rsidP="00D14F00">
      <w:pPr>
        <w:pStyle w:val="Textonotapie"/>
        <w:ind w:firstLine="709"/>
        <w:jc w:val="both"/>
        <w:rPr>
          <w:rFonts w:ascii="Century Gothic" w:hAnsi="Century Gothic" w:cs="Arial"/>
          <w:sz w:val="14"/>
          <w:szCs w:val="14"/>
        </w:rPr>
      </w:pPr>
    </w:p>
    <w:p w14:paraId="095EDF14"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Artículos 37 al 45.</w:t>
      </w:r>
    </w:p>
  </w:footnote>
  <w:footnote w:id="17">
    <w:p w14:paraId="17A0C016" w14:textId="77777777" w:rsidR="00D14F00" w:rsidRPr="00E94744" w:rsidRDefault="00D14F00" w:rsidP="00D14F00">
      <w:pPr>
        <w:pStyle w:val="Textonotapie"/>
        <w:ind w:firstLine="709"/>
        <w:jc w:val="both"/>
        <w:rPr>
          <w:rFonts w:ascii="Century Gothic" w:hAnsi="Century Gothic" w:cs="Arial"/>
          <w:sz w:val="14"/>
          <w:szCs w:val="14"/>
        </w:rPr>
      </w:pPr>
    </w:p>
    <w:p w14:paraId="0CF5B9DA"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Artículos 46 al 73.</w:t>
      </w:r>
    </w:p>
  </w:footnote>
  <w:footnote w:id="18">
    <w:p w14:paraId="49E799F7" w14:textId="77777777" w:rsidR="00D14F00" w:rsidRPr="00E94744" w:rsidRDefault="00D14F00" w:rsidP="00D14F00">
      <w:pPr>
        <w:pStyle w:val="Textonotapie"/>
        <w:ind w:firstLine="709"/>
        <w:jc w:val="both"/>
        <w:rPr>
          <w:rFonts w:ascii="Century Gothic" w:hAnsi="Century Gothic" w:cs="Arial"/>
          <w:sz w:val="14"/>
          <w:szCs w:val="14"/>
        </w:rPr>
      </w:pPr>
    </w:p>
    <w:p w14:paraId="550A744B"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Artículos 74 al 83.</w:t>
      </w:r>
    </w:p>
  </w:footnote>
  <w:footnote w:id="19">
    <w:p w14:paraId="0D1C39BD" w14:textId="77777777" w:rsidR="00D14F00" w:rsidRPr="00E94744" w:rsidRDefault="00D14F00" w:rsidP="00D14F00">
      <w:pPr>
        <w:pStyle w:val="Textonotapie"/>
        <w:ind w:firstLine="708"/>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0EDFCEFF" w14:textId="77777777" w:rsidR="00D14F00" w:rsidRPr="00E94744" w:rsidRDefault="00D14F00" w:rsidP="00D14F00">
      <w:pPr>
        <w:pStyle w:val="Textonotapie"/>
        <w:ind w:firstLine="708"/>
        <w:jc w:val="both"/>
        <w:rPr>
          <w:rFonts w:ascii="Century Gothic" w:hAnsi="Century Gothic" w:cs="Arial"/>
          <w:sz w:val="14"/>
          <w:szCs w:val="14"/>
        </w:rPr>
      </w:pPr>
    </w:p>
  </w:footnote>
  <w:footnote w:id="20">
    <w:p w14:paraId="3B14BD1E" w14:textId="77777777" w:rsidR="00D14F00" w:rsidRPr="00E94744" w:rsidRDefault="00D14F00" w:rsidP="00D14F00">
      <w:pPr>
        <w:pStyle w:val="Textonotapie"/>
        <w:ind w:firstLine="709"/>
        <w:jc w:val="both"/>
        <w:rPr>
          <w:rFonts w:ascii="Century Gothic" w:hAnsi="Century Gothic" w:cs="Arial"/>
          <w:sz w:val="14"/>
          <w:szCs w:val="14"/>
        </w:rPr>
      </w:pPr>
      <w:r w:rsidRPr="00E94744">
        <w:rPr>
          <w:rStyle w:val="Refdenotaalpie"/>
          <w:rFonts w:ascii="Century Gothic" w:eastAsiaTheme="majorEastAsia" w:hAnsi="Century Gothic" w:cs="Arial"/>
          <w:sz w:val="14"/>
          <w:szCs w:val="14"/>
        </w:rPr>
        <w:footnoteRef/>
      </w:r>
      <w:r w:rsidRPr="00E94744">
        <w:rPr>
          <w:rFonts w:ascii="Century Gothic" w:hAnsi="Century Gothic" w:cs="Arial"/>
          <w:sz w:val="14"/>
          <w:szCs w:val="14"/>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5A7EF62" w14:textId="77777777" w:rsidR="00D14F00" w:rsidRPr="00E94744" w:rsidRDefault="00D14F00" w:rsidP="00D14F00">
      <w:pPr>
        <w:pStyle w:val="Textonotapie"/>
        <w:ind w:firstLine="708"/>
        <w:jc w:val="both"/>
        <w:rPr>
          <w:rFonts w:ascii="Century Gothic" w:hAnsi="Century Gothic" w:cs="Arial"/>
          <w:sz w:val="14"/>
          <w:szCs w:val="14"/>
        </w:rPr>
      </w:pPr>
      <w:r w:rsidRPr="00E94744">
        <w:rPr>
          <w:rFonts w:ascii="Century Gothic" w:hAnsi="Century Gothic" w:cs="Arial"/>
          <w:sz w:val="14"/>
          <w:szCs w:val="14"/>
        </w:rPr>
        <w:t xml:space="preserve">“Parágrafo primero. La definición de emprendimientos y empresas de mujeres se reglamentará por el gobierno nacional”. </w:t>
      </w:r>
    </w:p>
    <w:p w14:paraId="36974105" w14:textId="77777777" w:rsidR="00D14F00" w:rsidRPr="00E94744" w:rsidRDefault="00D14F00" w:rsidP="00D14F00">
      <w:pPr>
        <w:pStyle w:val="Textonotapie"/>
        <w:ind w:firstLine="708"/>
        <w:jc w:val="both"/>
        <w:rPr>
          <w:rFonts w:ascii="Century Gothic" w:hAnsi="Century Gothic"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3257" w14:textId="77777777" w:rsidR="009C2C2F" w:rsidRDefault="005E7A1E">
    <w:pPr>
      <w:pStyle w:val="Encabezado"/>
    </w:pPr>
    <w:r>
      <w:rPr>
        <w:noProof/>
      </w:rPr>
      <w:drawing>
        <wp:anchor distT="0" distB="0" distL="114300" distR="114300" simplePos="0" relativeHeight="251658240" behindDoc="1" locked="0" layoutInCell="1" allowOverlap="1" wp14:anchorId="55E2A06F" wp14:editId="72319890">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3B6CF22" wp14:editId="4735514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2" behindDoc="0" locked="0" layoutInCell="1" allowOverlap="1" wp14:anchorId="637ACE81" wp14:editId="795104E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436DEAD" wp14:editId="38095FF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BE31011" w14:textId="77777777" w:rsidR="009C2C2F" w:rsidRDefault="009C2C2F">
    <w:pPr>
      <w:pStyle w:val="Encabezado"/>
    </w:pPr>
  </w:p>
  <w:p w14:paraId="00EC3B90" w14:textId="77777777" w:rsidR="009C2C2F" w:rsidRDefault="009C2C2F">
    <w:pPr>
      <w:pStyle w:val="Encabezado"/>
    </w:pPr>
  </w:p>
  <w:p w14:paraId="01B5BFA2" w14:textId="77777777" w:rsidR="009C2C2F" w:rsidRPr="004A305D" w:rsidRDefault="005E7A1E" w:rsidP="005E7A1E">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48565CC" w14:textId="77777777" w:rsidR="009C2C2F" w:rsidRPr="004A305D" w:rsidRDefault="005E7A1E" w:rsidP="005E7A1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7C9F0E12" w14:textId="77777777" w:rsidR="009C2C2F" w:rsidRPr="004A305D" w:rsidRDefault="005E7A1E" w:rsidP="005E7A1E">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CEBBA9D" w14:textId="77777777" w:rsidR="009C2C2F" w:rsidRDefault="009C2C2F" w:rsidP="005E7A1E">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BDF"/>
    <w:multiLevelType w:val="multilevel"/>
    <w:tmpl w:val="223CAA7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2024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14588"/>
    <w:rsid w:val="000024F4"/>
    <w:rsid w:val="00006065"/>
    <w:rsid w:val="00011DC5"/>
    <w:rsid w:val="00044E36"/>
    <w:rsid w:val="000462FD"/>
    <w:rsid w:val="000649A3"/>
    <w:rsid w:val="00080631"/>
    <w:rsid w:val="000854C9"/>
    <w:rsid w:val="000910D8"/>
    <w:rsid w:val="00094781"/>
    <w:rsid w:val="000A4498"/>
    <w:rsid w:val="000B5719"/>
    <w:rsid w:val="000B58F8"/>
    <w:rsid w:val="000D67A3"/>
    <w:rsid w:val="000E6F41"/>
    <w:rsid w:val="000F681B"/>
    <w:rsid w:val="00154B60"/>
    <w:rsid w:val="00192F40"/>
    <w:rsid w:val="001A0491"/>
    <w:rsid w:val="001A1F0C"/>
    <w:rsid w:val="001B7A17"/>
    <w:rsid w:val="001C32F6"/>
    <w:rsid w:val="001D04AB"/>
    <w:rsid w:val="001D0EF9"/>
    <w:rsid w:val="001F2B49"/>
    <w:rsid w:val="001F563E"/>
    <w:rsid w:val="002126F5"/>
    <w:rsid w:val="0022077C"/>
    <w:rsid w:val="0022227E"/>
    <w:rsid w:val="00232BAF"/>
    <w:rsid w:val="00264070"/>
    <w:rsid w:val="00271BA8"/>
    <w:rsid w:val="002A2FE0"/>
    <w:rsid w:val="002B18E6"/>
    <w:rsid w:val="002B7814"/>
    <w:rsid w:val="002D4998"/>
    <w:rsid w:val="002D66C0"/>
    <w:rsid w:val="002F7264"/>
    <w:rsid w:val="0032274F"/>
    <w:rsid w:val="003331FF"/>
    <w:rsid w:val="00340C8E"/>
    <w:rsid w:val="00347BCA"/>
    <w:rsid w:val="003A504C"/>
    <w:rsid w:val="003A7B91"/>
    <w:rsid w:val="003C01B3"/>
    <w:rsid w:val="003C48BC"/>
    <w:rsid w:val="00401233"/>
    <w:rsid w:val="00401768"/>
    <w:rsid w:val="00435934"/>
    <w:rsid w:val="004366DB"/>
    <w:rsid w:val="00450B8F"/>
    <w:rsid w:val="0046352F"/>
    <w:rsid w:val="0046374B"/>
    <w:rsid w:val="00464FA7"/>
    <w:rsid w:val="00470F61"/>
    <w:rsid w:val="00483B3A"/>
    <w:rsid w:val="004A6F70"/>
    <w:rsid w:val="004C43C3"/>
    <w:rsid w:val="00506A61"/>
    <w:rsid w:val="0051366D"/>
    <w:rsid w:val="00527AB2"/>
    <w:rsid w:val="00540802"/>
    <w:rsid w:val="00550531"/>
    <w:rsid w:val="0056198F"/>
    <w:rsid w:val="005706EE"/>
    <w:rsid w:val="00570973"/>
    <w:rsid w:val="00594103"/>
    <w:rsid w:val="00597584"/>
    <w:rsid w:val="005C206B"/>
    <w:rsid w:val="005D2A91"/>
    <w:rsid w:val="005E50AA"/>
    <w:rsid w:val="005E7A1E"/>
    <w:rsid w:val="005F293F"/>
    <w:rsid w:val="00605209"/>
    <w:rsid w:val="00607D69"/>
    <w:rsid w:val="006540FF"/>
    <w:rsid w:val="00655E4C"/>
    <w:rsid w:val="00660419"/>
    <w:rsid w:val="0066089A"/>
    <w:rsid w:val="00660BF3"/>
    <w:rsid w:val="00662344"/>
    <w:rsid w:val="00681814"/>
    <w:rsid w:val="006A3AA8"/>
    <w:rsid w:val="006B24B3"/>
    <w:rsid w:val="006B6A09"/>
    <w:rsid w:val="006F381B"/>
    <w:rsid w:val="0073087A"/>
    <w:rsid w:val="00730E55"/>
    <w:rsid w:val="00743081"/>
    <w:rsid w:val="00750430"/>
    <w:rsid w:val="00757B35"/>
    <w:rsid w:val="0077770E"/>
    <w:rsid w:val="00785942"/>
    <w:rsid w:val="007A499F"/>
    <w:rsid w:val="007A5760"/>
    <w:rsid w:val="007B7EEA"/>
    <w:rsid w:val="007D00BD"/>
    <w:rsid w:val="007F1C3E"/>
    <w:rsid w:val="0081369D"/>
    <w:rsid w:val="00813DA3"/>
    <w:rsid w:val="008366A2"/>
    <w:rsid w:val="0084527F"/>
    <w:rsid w:val="0087795E"/>
    <w:rsid w:val="00890DDB"/>
    <w:rsid w:val="008D500F"/>
    <w:rsid w:val="00910251"/>
    <w:rsid w:val="009209A4"/>
    <w:rsid w:val="009262FA"/>
    <w:rsid w:val="009372BA"/>
    <w:rsid w:val="00942FB1"/>
    <w:rsid w:val="009916C9"/>
    <w:rsid w:val="00996394"/>
    <w:rsid w:val="009A5A6B"/>
    <w:rsid w:val="009C0257"/>
    <w:rsid w:val="009C2C2F"/>
    <w:rsid w:val="009D71A9"/>
    <w:rsid w:val="009F34B6"/>
    <w:rsid w:val="00A01A5C"/>
    <w:rsid w:val="00A01C50"/>
    <w:rsid w:val="00A02FF8"/>
    <w:rsid w:val="00A0378D"/>
    <w:rsid w:val="00A12957"/>
    <w:rsid w:val="00A143F8"/>
    <w:rsid w:val="00A32124"/>
    <w:rsid w:val="00AA5497"/>
    <w:rsid w:val="00AC46FA"/>
    <w:rsid w:val="00AC4B97"/>
    <w:rsid w:val="00AC5891"/>
    <w:rsid w:val="00AC7FC8"/>
    <w:rsid w:val="00AD3684"/>
    <w:rsid w:val="00AF202B"/>
    <w:rsid w:val="00B34F0F"/>
    <w:rsid w:val="00B44A63"/>
    <w:rsid w:val="00B930DF"/>
    <w:rsid w:val="00BA5FCB"/>
    <w:rsid w:val="00BB3CBD"/>
    <w:rsid w:val="00C044E6"/>
    <w:rsid w:val="00C1442B"/>
    <w:rsid w:val="00C24573"/>
    <w:rsid w:val="00C6585A"/>
    <w:rsid w:val="00C65C73"/>
    <w:rsid w:val="00C867AA"/>
    <w:rsid w:val="00C9526D"/>
    <w:rsid w:val="00CD1103"/>
    <w:rsid w:val="00CD71CB"/>
    <w:rsid w:val="00CE1697"/>
    <w:rsid w:val="00D06108"/>
    <w:rsid w:val="00D14F00"/>
    <w:rsid w:val="00D25B75"/>
    <w:rsid w:val="00D6700C"/>
    <w:rsid w:val="00D7507E"/>
    <w:rsid w:val="00D81A0F"/>
    <w:rsid w:val="00D94659"/>
    <w:rsid w:val="00DB6444"/>
    <w:rsid w:val="00DD2C9E"/>
    <w:rsid w:val="00DD47A9"/>
    <w:rsid w:val="00DE4E23"/>
    <w:rsid w:val="00E00943"/>
    <w:rsid w:val="00E05631"/>
    <w:rsid w:val="00E15396"/>
    <w:rsid w:val="00E209C4"/>
    <w:rsid w:val="00E23FBA"/>
    <w:rsid w:val="00E257AD"/>
    <w:rsid w:val="00E43E7C"/>
    <w:rsid w:val="00E80879"/>
    <w:rsid w:val="00E84C04"/>
    <w:rsid w:val="00E92815"/>
    <w:rsid w:val="00EA18D7"/>
    <w:rsid w:val="00EB6516"/>
    <w:rsid w:val="00EC3D05"/>
    <w:rsid w:val="00EE50E0"/>
    <w:rsid w:val="00F146EC"/>
    <w:rsid w:val="00F159B7"/>
    <w:rsid w:val="00F22798"/>
    <w:rsid w:val="00F42E41"/>
    <w:rsid w:val="00F741BC"/>
    <w:rsid w:val="00FB106B"/>
    <w:rsid w:val="00FB7B9D"/>
    <w:rsid w:val="00FD2087"/>
    <w:rsid w:val="00FF6EF7"/>
    <w:rsid w:val="01CAD07E"/>
    <w:rsid w:val="073D00BB"/>
    <w:rsid w:val="0E014588"/>
    <w:rsid w:val="23CC7676"/>
    <w:rsid w:val="38D1EF6D"/>
    <w:rsid w:val="49E197A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4588"/>
  <w15:chartTrackingRefBased/>
  <w15:docId w15:val="{C702B08D-B365-4C42-97BD-90DD9868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31F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585A"/>
    <w:pPr>
      <w:ind w:left="720"/>
      <w:contextualSpacing/>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6585A"/>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C6585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6585A"/>
    <w:rPr>
      <w:vertAlign w:val="superscript"/>
    </w:rPr>
  </w:style>
  <w:style w:type="paragraph" w:customStyle="1" w:styleId="Appelnotedebasde">
    <w:name w:val="Appel note de bas de..."/>
    <w:basedOn w:val="Normal"/>
    <w:link w:val="Refdenotaalpie"/>
    <w:uiPriority w:val="99"/>
    <w:rsid w:val="00C6585A"/>
    <w:pPr>
      <w:spacing w:line="240" w:lineRule="exact"/>
    </w:pPr>
    <w:rPr>
      <w:vertAlign w:val="superscript"/>
    </w:rPr>
  </w:style>
  <w:style w:type="character" w:styleId="Hipervnculo">
    <w:name w:val="Hyperlink"/>
    <w:basedOn w:val="Fuentedeprrafopredeter"/>
    <w:uiPriority w:val="99"/>
    <w:unhideWhenUsed/>
    <w:rsid w:val="00FB106B"/>
    <w:rPr>
      <w:color w:val="0563C1" w:themeColor="hyperlink"/>
      <w:u w:val="single"/>
    </w:rPr>
  </w:style>
  <w:style w:type="paragraph" w:styleId="NormalWeb">
    <w:name w:val="Normal (Web)"/>
    <w:basedOn w:val="Normal"/>
    <w:uiPriority w:val="99"/>
    <w:unhideWhenUsed/>
    <w:rsid w:val="00FB106B"/>
    <w:pPr>
      <w:spacing w:after="0" w:line="240" w:lineRule="auto"/>
    </w:pPr>
    <w:rPr>
      <w:rFonts w:ascii="Times New Roman" w:hAnsi="Times New Roman" w:cs="Times New Roman"/>
      <w:sz w:val="24"/>
      <w:szCs w:val="24"/>
      <w:lang w:val="es-MX"/>
    </w:rPr>
  </w:style>
  <w:style w:type="character" w:customStyle="1" w:styleId="baj">
    <w:name w:val="b_aj"/>
    <w:basedOn w:val="Fuentedeprrafopredeter"/>
    <w:rsid w:val="00FB106B"/>
  </w:style>
  <w:style w:type="character" w:styleId="Refdecomentario">
    <w:name w:val="annotation reference"/>
    <w:basedOn w:val="Fuentedeprrafopredeter"/>
    <w:uiPriority w:val="99"/>
    <w:semiHidden/>
    <w:unhideWhenUsed/>
    <w:rsid w:val="001F563E"/>
    <w:rPr>
      <w:sz w:val="16"/>
      <w:szCs w:val="16"/>
    </w:rPr>
  </w:style>
  <w:style w:type="paragraph" w:styleId="Textocomentario">
    <w:name w:val="annotation text"/>
    <w:basedOn w:val="Normal"/>
    <w:link w:val="TextocomentarioCar"/>
    <w:uiPriority w:val="99"/>
    <w:unhideWhenUsed/>
    <w:rsid w:val="001F563E"/>
    <w:pPr>
      <w:spacing w:line="240" w:lineRule="auto"/>
    </w:pPr>
    <w:rPr>
      <w:sz w:val="20"/>
      <w:szCs w:val="20"/>
    </w:rPr>
  </w:style>
  <w:style w:type="character" w:customStyle="1" w:styleId="TextocomentarioCar">
    <w:name w:val="Texto comentario Car"/>
    <w:basedOn w:val="Fuentedeprrafopredeter"/>
    <w:link w:val="Textocomentario"/>
    <w:uiPriority w:val="99"/>
    <w:rsid w:val="001F563E"/>
    <w:rPr>
      <w:sz w:val="20"/>
      <w:szCs w:val="20"/>
    </w:rPr>
  </w:style>
  <w:style w:type="paragraph" w:styleId="Asuntodelcomentario">
    <w:name w:val="annotation subject"/>
    <w:basedOn w:val="Textocomentario"/>
    <w:next w:val="Textocomentario"/>
    <w:link w:val="AsuntodelcomentarioCar"/>
    <w:uiPriority w:val="99"/>
    <w:semiHidden/>
    <w:unhideWhenUsed/>
    <w:rsid w:val="001F563E"/>
    <w:rPr>
      <w:b/>
      <w:bCs/>
    </w:rPr>
  </w:style>
  <w:style w:type="character" w:customStyle="1" w:styleId="AsuntodelcomentarioCar">
    <w:name w:val="Asunto del comentario Car"/>
    <w:basedOn w:val="TextocomentarioCar"/>
    <w:link w:val="Asuntodelcomentario"/>
    <w:uiPriority w:val="99"/>
    <w:semiHidden/>
    <w:rsid w:val="001F563E"/>
    <w:rPr>
      <w:b/>
      <w:bCs/>
      <w:sz w:val="20"/>
      <w:szCs w:val="20"/>
    </w:rPr>
  </w:style>
  <w:style w:type="character" w:styleId="Textoennegrita">
    <w:name w:val="Strong"/>
    <w:basedOn w:val="Fuentedeprrafopredeter"/>
    <w:uiPriority w:val="22"/>
    <w:qFormat/>
    <w:rsid w:val="00006065"/>
    <w:rPr>
      <w:b/>
      <w:bCs/>
    </w:rPr>
  </w:style>
  <w:style w:type="character" w:customStyle="1" w:styleId="normaltextrun">
    <w:name w:val="normaltextrun"/>
    <w:basedOn w:val="Fuentedeprrafopredeter"/>
    <w:rsid w:val="000649A3"/>
  </w:style>
  <w:style w:type="paragraph" w:customStyle="1" w:styleId="paragraph">
    <w:name w:val="paragraph"/>
    <w:basedOn w:val="Normal"/>
    <w:rsid w:val="000649A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0649A3"/>
  </w:style>
  <w:style w:type="table" w:customStyle="1" w:styleId="Tablaconcuadrcula1">
    <w:name w:val="Tabla con cuadrícula1"/>
    <w:basedOn w:val="Tablanormal"/>
    <w:uiPriority w:val="39"/>
    <w:rsid w:val="00D94659"/>
    <w:pPr>
      <w:spacing w:after="0" w:line="240" w:lineRule="auto"/>
      <w:jc w:val="both"/>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2F40"/>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192F40"/>
    <w:rPr>
      <w:lang w:val="es-CO"/>
    </w:rPr>
  </w:style>
  <w:style w:type="paragraph" w:styleId="Piedepgina">
    <w:name w:val="footer"/>
    <w:basedOn w:val="Normal"/>
    <w:link w:val="PiedepginaCar"/>
    <w:uiPriority w:val="99"/>
    <w:unhideWhenUsed/>
    <w:rsid w:val="00192F40"/>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192F40"/>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4297">
      <w:bodyDiv w:val="1"/>
      <w:marLeft w:val="0"/>
      <w:marRight w:val="0"/>
      <w:marTop w:val="0"/>
      <w:marBottom w:val="0"/>
      <w:divBdr>
        <w:top w:val="none" w:sz="0" w:space="0" w:color="auto"/>
        <w:left w:val="none" w:sz="0" w:space="0" w:color="auto"/>
        <w:bottom w:val="none" w:sz="0" w:space="0" w:color="auto"/>
        <w:right w:val="none" w:sz="0" w:space="0" w:color="auto"/>
      </w:divBdr>
    </w:div>
    <w:div w:id="7064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leyes.senado.gov.co/proyectos/index.php/textos-radicados-senado/p-ley-2020-2021/1957-proyecto-de-ley-161-de-2020"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05E7D-CC15-4EDC-94B0-6B45D27BD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E6E0A-CF89-47EA-8D10-BA3B61DF07F3}">
  <ds:schemaRefs>
    <ds:schemaRef ds:uri="http://schemas.microsoft.com/sharepoint/v3/contenttype/forms"/>
  </ds:schemaRefs>
</ds:datastoreItem>
</file>

<file path=customXml/itemProps3.xml><?xml version="1.0" encoding="utf-8"?>
<ds:datastoreItem xmlns:ds="http://schemas.openxmlformats.org/officeDocument/2006/customXml" ds:itemID="{34F4AFBF-D18A-4222-8211-B97F5602ECEA}">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6057</Words>
  <Characters>33317</Characters>
  <Application>Microsoft Office Word</Application>
  <DocSecurity>0</DocSecurity>
  <Lines>277</Lines>
  <Paragraphs>78</Paragraphs>
  <ScaleCrop>false</ScaleCrop>
  <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Martelo Martelo</dc:creator>
  <cp:keywords/>
  <dc:description/>
  <cp:lastModifiedBy>Santiago Alberto Herrera Morillo</cp:lastModifiedBy>
  <cp:revision>175</cp:revision>
  <dcterms:created xsi:type="dcterms:W3CDTF">2023-11-01T17:45:00Z</dcterms:created>
  <dcterms:modified xsi:type="dcterms:W3CDTF">2024-03-15T19:32:00Z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