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5EF23" w14:textId="77777777" w:rsidR="00B136F8" w:rsidRPr="004C133A" w:rsidRDefault="00B136F8" w:rsidP="00B136F8">
      <w:pPr>
        <w:tabs>
          <w:tab w:val="left" w:pos="426"/>
        </w:tabs>
        <w:rPr>
          <w:rFonts w:ascii="Century Gothic" w:eastAsia="Calibri" w:hAnsi="Century Gothic" w:cs="Arial"/>
          <w:b/>
        </w:rPr>
      </w:pPr>
      <w:bookmarkStart w:id="0" w:name="_Hlk77152637"/>
      <w:bookmarkStart w:id="1" w:name="_Hlk77157066"/>
      <w:r w:rsidRPr="004C133A">
        <w:rPr>
          <w:rFonts w:ascii="Century Gothic" w:eastAsia="Calibri" w:hAnsi="Century Gothic" w:cs="Arial"/>
          <w:b/>
        </w:rPr>
        <w:t xml:space="preserve">LEY DE GARANTÍAS ELECTORALES </w:t>
      </w:r>
      <w:r w:rsidRPr="00F45BA8">
        <w:rPr>
          <w:rFonts w:ascii="Arial" w:eastAsia="Calibri" w:hAnsi="Arial" w:cs="Arial"/>
          <w:b/>
          <w:bCs/>
        </w:rPr>
        <w:t>‒</w:t>
      </w:r>
      <w:bookmarkEnd w:id="0"/>
      <w:r w:rsidRPr="004C133A">
        <w:rPr>
          <w:rFonts w:ascii="Century Gothic" w:eastAsia="Calibri" w:hAnsi="Century Gothic" w:cs="Arial"/>
          <w:b/>
        </w:rPr>
        <w:t xml:space="preserve"> Tipos de restricciones </w:t>
      </w:r>
      <w:bookmarkStart w:id="2" w:name="_Hlk77157034"/>
      <w:r w:rsidRPr="00F45BA8">
        <w:rPr>
          <w:rFonts w:ascii="Arial" w:eastAsia="Calibri" w:hAnsi="Arial" w:cs="Arial"/>
          <w:b/>
          <w:bCs/>
        </w:rPr>
        <w:t>‒</w:t>
      </w:r>
      <w:r w:rsidRPr="004C133A">
        <w:rPr>
          <w:rFonts w:ascii="Century Gothic" w:eastAsia="Calibri" w:hAnsi="Century Gothic" w:cs="Arial"/>
          <w:b/>
        </w:rPr>
        <w:t xml:space="preserve"> </w:t>
      </w:r>
      <w:bookmarkStart w:id="3" w:name="_Hlk77153098"/>
      <w:bookmarkEnd w:id="2"/>
      <w:r w:rsidRPr="004C133A">
        <w:rPr>
          <w:rFonts w:ascii="Century Gothic" w:eastAsia="Calibri" w:hAnsi="Century Gothic" w:cs="Century Gothic"/>
          <w:b/>
        </w:rPr>
        <w:t>Á</w:t>
      </w:r>
      <w:r w:rsidRPr="004C133A">
        <w:rPr>
          <w:rFonts w:ascii="Century Gothic" w:eastAsia="Calibri" w:hAnsi="Century Gothic" w:cs="Arial"/>
          <w:b/>
        </w:rPr>
        <w:t xml:space="preserve">mbito temporal </w:t>
      </w:r>
      <w:bookmarkEnd w:id="3"/>
    </w:p>
    <w:p w14:paraId="6123FA3D" w14:textId="77777777" w:rsidR="00B136F8" w:rsidRPr="004C133A" w:rsidRDefault="00B136F8" w:rsidP="00B136F8">
      <w:pPr>
        <w:tabs>
          <w:tab w:val="left" w:pos="426"/>
        </w:tabs>
        <w:jc w:val="both"/>
        <w:rPr>
          <w:rFonts w:ascii="Century Gothic" w:eastAsia="Arial" w:hAnsi="Century Gothic" w:cs="Arial"/>
          <w:sz w:val="20"/>
          <w:szCs w:val="20"/>
          <w:lang w:eastAsia="es-ES" w:bidi="es-ES"/>
        </w:rPr>
      </w:pPr>
      <w:r w:rsidRPr="004C133A">
        <w:rPr>
          <w:rFonts w:ascii="Century Gothic" w:eastAsia="Calibri" w:hAnsi="Century Gothic" w:cs="Arial"/>
          <w:sz w:val="20"/>
          <w:szCs w:val="20"/>
        </w:rPr>
        <w:t xml:space="preserve">[…]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w:t>
      </w:r>
      <w:r w:rsidRPr="004C133A">
        <w:rPr>
          <w:rFonts w:ascii="Century Gothic" w:eastAsia="Arial" w:hAnsi="Century Gothic" w:cs="Arial"/>
          <w:sz w:val="20"/>
          <w:szCs w:val="20"/>
          <w:lang w:eastAsia="es-ES" w:bidi="es-ES"/>
        </w:rPr>
        <w:t xml:space="preserve">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4C133A">
        <w:rPr>
          <w:rFonts w:ascii="Century Gothic" w:eastAsia="Arial" w:hAnsi="Century Gothic" w:cs="Arial"/>
          <w:i/>
          <w:sz w:val="20"/>
          <w:szCs w:val="20"/>
          <w:lang w:eastAsia="es-ES" w:bidi="es-ES"/>
        </w:rPr>
        <w:t>En segundo lugar</w:t>
      </w:r>
      <w:r w:rsidRPr="004C133A">
        <w:rPr>
          <w:rFonts w:ascii="Century Gothic" w:eastAsia="Arial" w:hAnsi="Century Gothic" w:cs="Arial"/>
          <w:sz w:val="20"/>
          <w:szCs w:val="20"/>
          <w:lang w:eastAsia="es-ES" w:bidi="es-ES"/>
        </w:rPr>
        <w:t>, también se encuentra la prohibición del inciso primero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3C43DEE9" w14:textId="77777777" w:rsidR="00B136F8" w:rsidRPr="004C133A" w:rsidRDefault="00B136F8" w:rsidP="00B136F8">
      <w:pPr>
        <w:spacing w:after="120"/>
        <w:jc w:val="both"/>
        <w:rPr>
          <w:rFonts w:ascii="Century Gothic" w:eastAsia="Calibri" w:hAnsi="Century Gothic" w:cs="Arial"/>
          <w:b/>
        </w:rPr>
      </w:pPr>
      <w:r w:rsidRPr="004C133A">
        <w:rPr>
          <w:rFonts w:ascii="Century Gothic" w:eastAsia="Calibri" w:hAnsi="Century Gothic" w:cs="Arial"/>
          <w:b/>
        </w:rPr>
        <w:t>CONVENIOS DE ASOCIACIÓN - ESAL – Objeto</w:t>
      </w:r>
    </w:p>
    <w:p w14:paraId="12CB67F0" w14:textId="77777777" w:rsidR="00B136F8" w:rsidRPr="004C133A" w:rsidRDefault="00B136F8" w:rsidP="00B136F8">
      <w:pPr>
        <w:jc w:val="both"/>
        <w:rPr>
          <w:rFonts w:ascii="Century Gothic" w:eastAsia="Calibri" w:hAnsi="Century Gothic" w:cs="Arial"/>
          <w:sz w:val="20"/>
          <w:szCs w:val="20"/>
        </w:rPr>
      </w:pPr>
      <w:r w:rsidRPr="004C133A">
        <w:rPr>
          <w:rFonts w:ascii="Century Gothic" w:eastAsia="Calibri" w:hAnsi="Century Gothic" w:cs="Arial"/>
          <w:sz w:val="20"/>
          <w:szCs w:val="20"/>
        </w:rPr>
        <w:t xml:space="preserve">[…] </w:t>
      </w:r>
      <w:r w:rsidRPr="004C133A">
        <w:rPr>
          <w:rFonts w:ascii="Century Gothic" w:hAnsi="Century Gothic" w:cs="Arial"/>
          <w:sz w:val="20"/>
          <w:szCs w:val="20"/>
        </w:rPr>
        <w:t xml:space="preserve">los </w:t>
      </w:r>
      <w:r w:rsidRPr="004C133A">
        <w:rPr>
          <w:rFonts w:ascii="Century Gothic" w:hAnsi="Century Gothic" w:cs="Arial"/>
          <w:i/>
          <w:sz w:val="20"/>
          <w:szCs w:val="20"/>
        </w:rPr>
        <w:t>convenios de asociación</w:t>
      </w:r>
      <w:r w:rsidRPr="004C133A">
        <w:rPr>
          <w:rFonts w:ascii="Century Gothic" w:hAnsi="Century Gothic" w:cs="Arial"/>
          <w:sz w:val="20"/>
          <w:szCs w:val="20"/>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w:t>
      </w:r>
    </w:p>
    <w:p w14:paraId="205F2D1E" w14:textId="77777777" w:rsidR="00B136F8" w:rsidRPr="004C133A" w:rsidRDefault="00B136F8" w:rsidP="00B136F8">
      <w:pPr>
        <w:rPr>
          <w:rFonts w:ascii="Century Gothic" w:eastAsia="Calibri" w:hAnsi="Century Gothic" w:cs="Arial"/>
          <w:b/>
        </w:rPr>
      </w:pPr>
      <w:r w:rsidRPr="004C133A">
        <w:rPr>
          <w:rFonts w:ascii="Century Gothic" w:eastAsia="Calibri" w:hAnsi="Century Gothic" w:cs="Arial"/>
          <w:b/>
        </w:rPr>
        <w:t>CONTRATACIÓN CON ESAL</w:t>
      </w:r>
      <w:r w:rsidRPr="000A1343">
        <w:rPr>
          <w:rFonts w:ascii="Arial" w:eastAsia="Calibri" w:hAnsi="Arial" w:cs="Arial"/>
          <w:b/>
        </w:rPr>
        <w:t>‒</w:t>
      </w:r>
      <w:r w:rsidRPr="004C133A">
        <w:rPr>
          <w:rFonts w:ascii="Century Gothic" w:eastAsia="Calibri" w:hAnsi="Century Gothic" w:cs="Arial"/>
          <w:b/>
        </w:rPr>
        <w:t xml:space="preserve"> Ley de garant</w:t>
      </w:r>
      <w:r w:rsidRPr="004C133A">
        <w:rPr>
          <w:rFonts w:ascii="Century Gothic" w:eastAsia="Calibri" w:hAnsi="Century Gothic" w:cs="Century Gothic"/>
          <w:b/>
        </w:rPr>
        <w:t>í</w:t>
      </w:r>
      <w:r w:rsidRPr="004C133A">
        <w:rPr>
          <w:rFonts w:ascii="Century Gothic" w:eastAsia="Calibri" w:hAnsi="Century Gothic" w:cs="Arial"/>
          <w:b/>
        </w:rPr>
        <w:t>as – Restricciones – Artículos 33 y 38 – Alcance</w:t>
      </w:r>
    </w:p>
    <w:p w14:paraId="7E52A3F2" w14:textId="77777777" w:rsidR="00B136F8" w:rsidRPr="004C133A" w:rsidRDefault="00B136F8" w:rsidP="00B136F8">
      <w:pPr>
        <w:jc w:val="both"/>
        <w:rPr>
          <w:rFonts w:ascii="Century Gothic" w:eastAsia="Calibri" w:hAnsi="Century Gothic" w:cs="Arial"/>
          <w:sz w:val="20"/>
          <w:szCs w:val="20"/>
          <w:lang w:eastAsia="es-ES_tradnl"/>
        </w:rPr>
      </w:pPr>
      <w:r w:rsidRPr="004C133A">
        <w:rPr>
          <w:rFonts w:ascii="Century Gothic" w:eastAsia="Calibri" w:hAnsi="Century Gothic" w:cs="Arial"/>
          <w:sz w:val="20"/>
          <w:szCs w:val="20"/>
          <w:lang w:eastAsia="es-ES_tradnl"/>
        </w:rPr>
        <w:t xml:space="preserve">[…] la celebración de convenios de asociación, así como las consideraciones realizadas en los acápites previos, es posible concluir que la prohibición de contratación directa del artículo 33 de la Ley de Garantías Electorales únicamente aplica frente a los procedimientos </w:t>
      </w:r>
      <w:r w:rsidRPr="004C133A">
        <w:rPr>
          <w:rFonts w:ascii="Century Gothic" w:eastAsia="Calibri" w:hAnsi="Century Gothic" w:cs="Arial"/>
          <w:i/>
          <w:sz w:val="20"/>
          <w:szCs w:val="20"/>
          <w:lang w:eastAsia="es-ES_tradnl"/>
        </w:rPr>
        <w:t>no competitivos</w:t>
      </w:r>
      <w:r w:rsidRPr="004C133A">
        <w:rPr>
          <w:rFonts w:ascii="Century Gothic" w:eastAsia="Calibri" w:hAnsi="Century Gothic" w:cs="Arial"/>
          <w:sz w:val="20"/>
          <w:szCs w:val="20"/>
          <w:lang w:eastAsia="es-ES_tradnl"/>
        </w:rPr>
        <w:t xml:space="preserve">, que son los que implican una contratación directa. Como explica la Sala de Consulta y Servicio Civil del Consejo de Estado: </w:t>
      </w:r>
      <w:r w:rsidRPr="004C133A">
        <w:rPr>
          <w:rFonts w:ascii="Century Gothic" w:eastAsia="Calibri" w:hAnsi="Century Gothic" w:cs="Arial"/>
          <w:i/>
          <w:sz w:val="20"/>
          <w:szCs w:val="20"/>
          <w:lang w:eastAsia="es-ES_tradnl"/>
        </w:rPr>
        <w:t>“Para efectos de la “Ley de Garantías Electorales”, y en armonía con las normas que regulan la contratación pública en Colombia, debe entenderse por “contratación directa” cualquier sistema de selección de contratistas en el que no exista convocatoria pública, ni sea posible la participación de una pluralidad de oferentes, independientemente del régimen de contratación que se aplique”</w:t>
      </w:r>
      <w:r w:rsidRPr="004C133A">
        <w:rPr>
          <w:rFonts w:ascii="Century Gothic" w:eastAsia="Calibri" w:hAnsi="Century Gothic" w:cs="Arial"/>
          <w:sz w:val="20"/>
          <w:szCs w:val="20"/>
          <w:lang w:eastAsia="es-ES_tradnl"/>
        </w:rPr>
        <w:t xml:space="preserve">. </w:t>
      </w:r>
    </w:p>
    <w:p w14:paraId="43688921" w14:textId="77777777" w:rsidR="00B136F8" w:rsidRPr="004C133A" w:rsidRDefault="00B136F8" w:rsidP="00B136F8">
      <w:pPr>
        <w:jc w:val="both"/>
        <w:rPr>
          <w:rFonts w:ascii="Century Gothic" w:eastAsia="Calibri" w:hAnsi="Century Gothic" w:cs="Arial"/>
          <w:sz w:val="20"/>
          <w:szCs w:val="20"/>
          <w:lang w:eastAsia="es-ES_tradnl"/>
        </w:rPr>
      </w:pPr>
      <w:r w:rsidRPr="004C133A">
        <w:rPr>
          <w:rFonts w:ascii="Century Gothic" w:eastAsia="Calibri" w:hAnsi="Century Gothic" w:cs="Arial"/>
          <w:sz w:val="20"/>
          <w:szCs w:val="20"/>
          <w:lang w:eastAsia="es-ES_tradnl"/>
        </w:rPr>
        <w:t>[…]</w:t>
      </w:r>
    </w:p>
    <w:p w14:paraId="1C61878A" w14:textId="77777777" w:rsidR="00B136F8" w:rsidRPr="004C133A" w:rsidRDefault="00B136F8" w:rsidP="00B136F8">
      <w:pPr>
        <w:spacing w:line="276" w:lineRule="auto"/>
        <w:jc w:val="both"/>
        <w:rPr>
          <w:rFonts w:ascii="Century Gothic" w:eastAsia="Calibri" w:hAnsi="Century Gothic" w:cs="Arial"/>
          <w:sz w:val="20"/>
          <w:szCs w:val="20"/>
          <w:lang w:val="es-ES_tradnl"/>
        </w:rPr>
      </w:pPr>
      <w:r w:rsidRPr="004C133A">
        <w:rPr>
          <w:rFonts w:ascii="Century Gothic" w:eastAsia="Calibri" w:hAnsi="Century Gothic" w:cs="Arial"/>
          <w:sz w:val="20"/>
          <w:szCs w:val="20"/>
        </w:rPr>
        <w:lastRenderedPageBreak/>
        <w:t>[…]</w:t>
      </w:r>
      <w:r w:rsidRPr="004C133A">
        <w:rPr>
          <w:rFonts w:ascii="Century Gothic" w:eastAsia="Calibri" w:hAnsi="Century Gothic" w:cs="Arial"/>
          <w:sz w:val="20"/>
          <w:szCs w:val="20"/>
          <w:lang w:val="es-ES_tradnl"/>
        </w:rPr>
        <w:t xml:space="preserve"> en lo relativo a la celebración de </w:t>
      </w:r>
      <w:r w:rsidRPr="004C133A">
        <w:rPr>
          <w:rFonts w:ascii="Century Gothic" w:eastAsia="Calibri" w:hAnsi="Century Gothic" w:cs="Arial"/>
          <w:i/>
          <w:sz w:val="20"/>
          <w:szCs w:val="20"/>
          <w:lang w:val="es-ES_tradnl"/>
        </w:rPr>
        <w:t>convenios de asociación</w:t>
      </w:r>
      <w:r w:rsidRPr="004C133A">
        <w:rPr>
          <w:rFonts w:ascii="Century Gothic" w:eastAsia="Calibri" w:hAnsi="Century Gothic" w:cs="Arial"/>
          <w:sz w:val="20"/>
          <w:szCs w:val="20"/>
          <w:lang w:val="es-ES_tradnl"/>
        </w:rPr>
        <w:t xml:space="preserve"> en vigencia de la restricción del artículo 33 de la Ley de Garantías, se concluye que, esto solo será posible cuando dicho tipo de acuerdos se realicen a través de la modalidad </w:t>
      </w:r>
      <w:r w:rsidRPr="004C133A">
        <w:rPr>
          <w:rFonts w:ascii="Century Gothic" w:eastAsia="Calibri" w:hAnsi="Century Gothic" w:cs="Arial"/>
          <w:i/>
          <w:sz w:val="20"/>
          <w:szCs w:val="20"/>
          <w:lang w:val="es-ES_tradnl"/>
        </w:rPr>
        <w:t>competitiva</w:t>
      </w:r>
      <w:r w:rsidRPr="004C133A">
        <w:rPr>
          <w:rFonts w:ascii="Century Gothic" w:eastAsia="Calibri" w:hAnsi="Century Gothic" w:cs="Arial"/>
          <w:sz w:val="20"/>
          <w:szCs w:val="20"/>
          <w:lang w:val="es-ES_tradnl"/>
        </w:rPr>
        <w:t xml:space="preserve">, mientras que la celebración de este tipo de convenios en la modalidad </w:t>
      </w:r>
      <w:r w:rsidRPr="004C133A">
        <w:rPr>
          <w:rFonts w:ascii="Century Gothic" w:eastAsia="Calibri" w:hAnsi="Century Gothic" w:cs="Arial"/>
          <w:i/>
          <w:sz w:val="20"/>
          <w:szCs w:val="20"/>
          <w:lang w:val="es-ES_tradnl"/>
        </w:rPr>
        <w:t>no competitiva</w:t>
      </w:r>
      <w:r w:rsidRPr="004C133A">
        <w:rPr>
          <w:rFonts w:ascii="Century Gothic" w:eastAsia="Calibri" w:hAnsi="Century Gothic" w:cs="Arial"/>
          <w:sz w:val="20"/>
          <w:szCs w:val="20"/>
          <w:lang w:val="es-ES_tradnl"/>
        </w:rPr>
        <w:t xml:space="preserve"> sí estaría prohibida durante el periodo de aplicación de esta restricción. De igual forma, es posible concluir que, la celebración de </w:t>
      </w:r>
      <w:r w:rsidRPr="004C133A">
        <w:rPr>
          <w:rFonts w:ascii="Century Gothic" w:eastAsia="Calibri" w:hAnsi="Century Gothic" w:cs="Arial"/>
          <w:i/>
          <w:sz w:val="20"/>
          <w:szCs w:val="20"/>
          <w:lang w:val="es-ES_tradnl"/>
        </w:rPr>
        <w:t>convenios de asociación</w:t>
      </w:r>
      <w:r w:rsidRPr="004C133A">
        <w:rPr>
          <w:rFonts w:ascii="Century Gothic" w:eastAsia="Calibri" w:hAnsi="Century Gothic" w:cs="Arial"/>
          <w:sz w:val="20"/>
          <w:szCs w:val="20"/>
          <w:lang w:val="es-ES_tradnl"/>
        </w:rPr>
        <w:t xml:space="preserve">, </w:t>
      </w:r>
      <w:r w:rsidRPr="004C133A">
        <w:rPr>
          <w:rFonts w:ascii="Century Gothic" w:eastAsia="Calibri" w:hAnsi="Century Gothic" w:cs="Arial"/>
          <w:i/>
          <w:sz w:val="20"/>
          <w:szCs w:val="20"/>
          <w:lang w:val="es-ES_tradnl"/>
        </w:rPr>
        <w:t xml:space="preserve">per se, </w:t>
      </w:r>
      <w:r w:rsidRPr="004C133A">
        <w:rPr>
          <w:rFonts w:ascii="Century Gothic" w:eastAsia="Calibri" w:hAnsi="Century Gothic" w:cs="Arial"/>
          <w:sz w:val="20"/>
          <w:szCs w:val="20"/>
          <w:lang w:val="es-ES_tradnl"/>
        </w:rPr>
        <w:t>no está prohibida por la restricción del parágrafo del artículo 38 de la Ley 2069 de 2020, la cual solo es aplicable a convenios interadministrativos.</w:t>
      </w:r>
    </w:p>
    <w:p w14:paraId="649976B9" w14:textId="77777777" w:rsidR="00B136F8" w:rsidRPr="00EF2DF2" w:rsidRDefault="00B136F8" w:rsidP="00B136F8">
      <w:pPr>
        <w:spacing w:after="0"/>
        <w:rPr>
          <w:rFonts w:ascii="Century Gothic" w:hAnsi="Century Gothic"/>
          <w:b/>
          <w:sz w:val="20"/>
          <w:szCs w:val="20"/>
          <w:lang w:val="es-ES_tradnl"/>
        </w:rPr>
      </w:pPr>
    </w:p>
    <w:p w14:paraId="6E6C7CE2" w14:textId="77777777" w:rsidR="00B136F8" w:rsidRPr="004C133A" w:rsidRDefault="00B136F8" w:rsidP="00B136F8">
      <w:pPr>
        <w:tabs>
          <w:tab w:val="left" w:pos="426"/>
        </w:tabs>
        <w:jc w:val="both"/>
        <w:rPr>
          <w:rFonts w:ascii="Century Gothic" w:eastAsia="Arial" w:hAnsi="Century Gothic" w:cs="Arial"/>
          <w:sz w:val="20"/>
          <w:szCs w:val="20"/>
          <w:lang w:eastAsia="es-ES" w:bidi="es-ES"/>
        </w:rPr>
      </w:pPr>
    </w:p>
    <w:p w14:paraId="52FFD699" w14:textId="77777777" w:rsidR="00B136F8" w:rsidRPr="004C133A" w:rsidRDefault="00B136F8" w:rsidP="00B136F8">
      <w:pPr>
        <w:tabs>
          <w:tab w:val="left" w:pos="426"/>
        </w:tabs>
        <w:jc w:val="both"/>
        <w:rPr>
          <w:rFonts w:ascii="Century Gothic" w:eastAsia="Calibri" w:hAnsi="Century Gothic" w:cs="Arial"/>
          <w:b/>
          <w:sz w:val="20"/>
          <w:szCs w:val="20"/>
        </w:rPr>
      </w:pPr>
    </w:p>
    <w:p w14:paraId="3BD88605" w14:textId="77777777" w:rsidR="00B136F8" w:rsidRPr="004C133A" w:rsidRDefault="00B136F8" w:rsidP="00B136F8">
      <w:pPr>
        <w:tabs>
          <w:tab w:val="left" w:pos="426"/>
        </w:tabs>
        <w:jc w:val="both"/>
        <w:rPr>
          <w:rFonts w:ascii="Century Gothic" w:eastAsia="Calibri" w:hAnsi="Century Gothic" w:cs="Arial"/>
          <w:b/>
          <w:sz w:val="20"/>
          <w:szCs w:val="20"/>
        </w:rPr>
      </w:pPr>
    </w:p>
    <w:p w14:paraId="7C9A50DE" w14:textId="77777777" w:rsidR="00B136F8" w:rsidRPr="004C133A" w:rsidRDefault="00B136F8" w:rsidP="00B136F8">
      <w:pPr>
        <w:tabs>
          <w:tab w:val="left" w:pos="426"/>
        </w:tabs>
        <w:jc w:val="both"/>
        <w:rPr>
          <w:rFonts w:ascii="Century Gothic" w:eastAsia="Calibri" w:hAnsi="Century Gothic" w:cs="Arial"/>
          <w:b/>
          <w:sz w:val="20"/>
          <w:szCs w:val="20"/>
        </w:rPr>
      </w:pPr>
    </w:p>
    <w:p w14:paraId="471D59CC" w14:textId="77777777" w:rsidR="00B136F8" w:rsidRPr="004C133A" w:rsidRDefault="00B136F8" w:rsidP="00B136F8">
      <w:pPr>
        <w:tabs>
          <w:tab w:val="left" w:pos="426"/>
        </w:tabs>
        <w:jc w:val="both"/>
        <w:rPr>
          <w:rFonts w:ascii="Century Gothic" w:eastAsia="Calibri" w:hAnsi="Century Gothic" w:cs="Arial"/>
          <w:b/>
          <w:sz w:val="20"/>
          <w:szCs w:val="20"/>
        </w:rPr>
      </w:pPr>
    </w:p>
    <w:p w14:paraId="4C0AB868" w14:textId="77777777" w:rsidR="00B136F8" w:rsidRPr="004C133A" w:rsidRDefault="00B136F8" w:rsidP="00B136F8">
      <w:pPr>
        <w:tabs>
          <w:tab w:val="left" w:pos="426"/>
        </w:tabs>
        <w:jc w:val="both"/>
        <w:rPr>
          <w:rFonts w:ascii="Century Gothic" w:eastAsia="Calibri" w:hAnsi="Century Gothic" w:cs="Arial"/>
          <w:b/>
          <w:sz w:val="20"/>
          <w:szCs w:val="20"/>
        </w:rPr>
      </w:pPr>
    </w:p>
    <w:p w14:paraId="52514AB1" w14:textId="77777777" w:rsidR="00B136F8" w:rsidRPr="004C133A" w:rsidRDefault="00B136F8" w:rsidP="00B136F8">
      <w:pPr>
        <w:tabs>
          <w:tab w:val="left" w:pos="426"/>
        </w:tabs>
        <w:jc w:val="both"/>
        <w:rPr>
          <w:rFonts w:ascii="Century Gothic" w:eastAsia="Calibri" w:hAnsi="Century Gothic" w:cs="Arial"/>
          <w:b/>
          <w:sz w:val="20"/>
          <w:szCs w:val="20"/>
        </w:rPr>
      </w:pPr>
    </w:p>
    <w:p w14:paraId="13AB4B22" w14:textId="77777777" w:rsidR="00B136F8" w:rsidRPr="004C133A" w:rsidRDefault="00B136F8" w:rsidP="00B136F8">
      <w:pPr>
        <w:tabs>
          <w:tab w:val="left" w:pos="426"/>
        </w:tabs>
        <w:jc w:val="both"/>
        <w:rPr>
          <w:rFonts w:ascii="Century Gothic" w:eastAsia="Calibri" w:hAnsi="Century Gothic" w:cs="Arial"/>
          <w:b/>
          <w:sz w:val="20"/>
          <w:szCs w:val="20"/>
        </w:rPr>
      </w:pPr>
    </w:p>
    <w:p w14:paraId="2D6E213B" w14:textId="77777777" w:rsidR="00B136F8" w:rsidRPr="004C133A" w:rsidRDefault="00B136F8" w:rsidP="00B136F8">
      <w:pPr>
        <w:tabs>
          <w:tab w:val="left" w:pos="426"/>
        </w:tabs>
        <w:jc w:val="both"/>
        <w:rPr>
          <w:rFonts w:ascii="Century Gothic" w:eastAsia="Calibri" w:hAnsi="Century Gothic" w:cs="Arial"/>
          <w:b/>
          <w:sz w:val="20"/>
          <w:szCs w:val="20"/>
        </w:rPr>
      </w:pPr>
    </w:p>
    <w:p w14:paraId="74FDB204" w14:textId="77777777" w:rsidR="00B136F8" w:rsidRPr="004C133A" w:rsidRDefault="00B136F8" w:rsidP="00B136F8">
      <w:pPr>
        <w:tabs>
          <w:tab w:val="left" w:pos="426"/>
        </w:tabs>
        <w:jc w:val="both"/>
        <w:rPr>
          <w:rFonts w:ascii="Century Gothic" w:eastAsia="Calibri" w:hAnsi="Century Gothic" w:cs="Arial"/>
          <w:b/>
          <w:sz w:val="20"/>
          <w:szCs w:val="20"/>
        </w:rPr>
      </w:pPr>
    </w:p>
    <w:p w14:paraId="43A33EA3" w14:textId="77777777" w:rsidR="00B136F8" w:rsidRPr="004C133A" w:rsidRDefault="00B136F8" w:rsidP="00B136F8">
      <w:pPr>
        <w:tabs>
          <w:tab w:val="left" w:pos="426"/>
        </w:tabs>
        <w:jc w:val="both"/>
        <w:rPr>
          <w:rFonts w:ascii="Century Gothic" w:eastAsia="Calibri" w:hAnsi="Century Gothic" w:cs="Arial"/>
          <w:b/>
          <w:sz w:val="20"/>
          <w:szCs w:val="20"/>
        </w:rPr>
      </w:pPr>
    </w:p>
    <w:p w14:paraId="68A6BE5E" w14:textId="77777777" w:rsidR="00B136F8" w:rsidRPr="004C133A" w:rsidRDefault="00B136F8" w:rsidP="00B136F8">
      <w:pPr>
        <w:tabs>
          <w:tab w:val="left" w:pos="426"/>
        </w:tabs>
        <w:jc w:val="both"/>
        <w:rPr>
          <w:rFonts w:ascii="Century Gothic" w:eastAsia="Calibri" w:hAnsi="Century Gothic" w:cs="Arial"/>
          <w:b/>
          <w:sz w:val="20"/>
          <w:szCs w:val="20"/>
        </w:rPr>
      </w:pPr>
    </w:p>
    <w:p w14:paraId="5FE1FD1B" w14:textId="77777777" w:rsidR="00B136F8" w:rsidRPr="004C133A" w:rsidRDefault="00B136F8" w:rsidP="00B136F8">
      <w:pPr>
        <w:tabs>
          <w:tab w:val="left" w:pos="426"/>
        </w:tabs>
        <w:jc w:val="both"/>
        <w:rPr>
          <w:rFonts w:ascii="Century Gothic" w:eastAsia="Calibri" w:hAnsi="Century Gothic" w:cs="Arial"/>
          <w:b/>
          <w:sz w:val="20"/>
          <w:szCs w:val="20"/>
        </w:rPr>
      </w:pPr>
    </w:p>
    <w:p w14:paraId="7BB7D04B" w14:textId="77777777" w:rsidR="00B136F8" w:rsidRPr="004C133A" w:rsidRDefault="00B136F8" w:rsidP="00B136F8">
      <w:pPr>
        <w:tabs>
          <w:tab w:val="left" w:pos="426"/>
        </w:tabs>
        <w:jc w:val="both"/>
        <w:rPr>
          <w:rFonts w:ascii="Century Gothic" w:eastAsia="Calibri" w:hAnsi="Century Gothic" w:cs="Arial"/>
          <w:b/>
          <w:sz w:val="20"/>
          <w:szCs w:val="20"/>
        </w:rPr>
      </w:pPr>
    </w:p>
    <w:p w14:paraId="55BEC521" w14:textId="77777777" w:rsidR="00B136F8" w:rsidRPr="004C133A" w:rsidRDefault="00B136F8" w:rsidP="00B136F8">
      <w:pPr>
        <w:tabs>
          <w:tab w:val="left" w:pos="426"/>
        </w:tabs>
        <w:jc w:val="both"/>
        <w:rPr>
          <w:rFonts w:ascii="Century Gothic" w:eastAsia="Calibri" w:hAnsi="Century Gothic" w:cs="Arial"/>
          <w:b/>
          <w:sz w:val="20"/>
          <w:szCs w:val="20"/>
        </w:rPr>
      </w:pPr>
    </w:p>
    <w:p w14:paraId="129D74CF" w14:textId="77777777" w:rsidR="00B136F8" w:rsidRPr="004C133A" w:rsidRDefault="00B136F8" w:rsidP="00B136F8">
      <w:pPr>
        <w:tabs>
          <w:tab w:val="left" w:pos="426"/>
        </w:tabs>
        <w:jc w:val="both"/>
        <w:rPr>
          <w:rFonts w:ascii="Century Gothic" w:eastAsia="Calibri" w:hAnsi="Century Gothic" w:cs="Arial"/>
          <w:b/>
          <w:sz w:val="20"/>
          <w:szCs w:val="20"/>
        </w:rPr>
      </w:pPr>
    </w:p>
    <w:p w14:paraId="3D96D94E" w14:textId="77777777" w:rsidR="00B136F8" w:rsidRPr="004C133A" w:rsidRDefault="00B136F8" w:rsidP="00B136F8">
      <w:pPr>
        <w:tabs>
          <w:tab w:val="left" w:pos="426"/>
        </w:tabs>
        <w:jc w:val="both"/>
        <w:rPr>
          <w:rFonts w:ascii="Century Gothic" w:eastAsia="Calibri" w:hAnsi="Century Gothic" w:cs="Arial"/>
          <w:b/>
          <w:sz w:val="20"/>
          <w:szCs w:val="20"/>
        </w:rPr>
      </w:pPr>
    </w:p>
    <w:p w14:paraId="5F1B5056" w14:textId="77777777" w:rsidR="00B136F8" w:rsidRPr="004C133A" w:rsidRDefault="00B136F8" w:rsidP="00B136F8">
      <w:pPr>
        <w:tabs>
          <w:tab w:val="left" w:pos="426"/>
        </w:tabs>
        <w:jc w:val="both"/>
        <w:rPr>
          <w:rFonts w:ascii="Century Gothic" w:eastAsia="Calibri" w:hAnsi="Century Gothic" w:cs="Arial"/>
          <w:b/>
          <w:sz w:val="20"/>
          <w:szCs w:val="20"/>
        </w:rPr>
      </w:pPr>
    </w:p>
    <w:p w14:paraId="35E5ECA1" w14:textId="77777777" w:rsidR="00B136F8" w:rsidRPr="004C133A" w:rsidRDefault="00B136F8" w:rsidP="00B136F8">
      <w:pPr>
        <w:tabs>
          <w:tab w:val="left" w:pos="426"/>
        </w:tabs>
        <w:jc w:val="both"/>
        <w:rPr>
          <w:rFonts w:ascii="Century Gothic" w:eastAsia="Calibri" w:hAnsi="Century Gothic" w:cs="Arial"/>
          <w:b/>
          <w:sz w:val="20"/>
          <w:szCs w:val="20"/>
        </w:rPr>
      </w:pPr>
    </w:p>
    <w:p w14:paraId="50B399DB" w14:textId="77777777" w:rsidR="00B136F8" w:rsidRPr="004C133A" w:rsidRDefault="00B136F8" w:rsidP="00B136F8">
      <w:pPr>
        <w:tabs>
          <w:tab w:val="left" w:pos="426"/>
        </w:tabs>
        <w:jc w:val="both"/>
        <w:rPr>
          <w:rFonts w:ascii="Century Gothic" w:eastAsia="Calibri" w:hAnsi="Century Gothic" w:cs="Arial"/>
          <w:b/>
          <w:sz w:val="20"/>
          <w:szCs w:val="20"/>
        </w:rPr>
      </w:pPr>
    </w:p>
    <w:p w14:paraId="15223756" w14:textId="77777777" w:rsidR="00B136F8" w:rsidRPr="004C133A" w:rsidRDefault="00B136F8" w:rsidP="00B136F8">
      <w:pPr>
        <w:tabs>
          <w:tab w:val="left" w:pos="426"/>
        </w:tabs>
        <w:jc w:val="both"/>
        <w:rPr>
          <w:rFonts w:ascii="Century Gothic" w:eastAsia="Calibri" w:hAnsi="Century Gothic" w:cs="Arial"/>
          <w:b/>
          <w:sz w:val="20"/>
          <w:szCs w:val="20"/>
        </w:rPr>
      </w:pPr>
    </w:p>
    <w:p w14:paraId="20AD5F85" w14:textId="20ED15DD" w:rsidR="00B136F8" w:rsidRPr="00322A85" w:rsidRDefault="00DE55F2" w:rsidP="00B136F8">
      <w:pPr>
        <w:spacing w:after="0"/>
        <w:rPr>
          <w:rFonts w:ascii="Century Gothic" w:hAnsi="Century Gothic"/>
        </w:rPr>
      </w:pPr>
      <w:r>
        <w:rPr>
          <w:rFonts w:ascii="Century Gothic" w:eastAsia="Calibri" w:hAnsi="Century Gothic" w:cs="Arial"/>
          <w:b/>
          <w:sz w:val="20"/>
          <w:szCs w:val="20"/>
        </w:rPr>
        <w:lastRenderedPageBreak/>
        <w:t xml:space="preserve"> </w:t>
      </w:r>
      <w:r w:rsidR="00B136F8" w:rsidRPr="00322A85">
        <w:rPr>
          <w:rFonts w:ascii="Century Gothic" w:hAnsi="Century Gothic"/>
        </w:rPr>
        <w:t>Bogotá D.C., [Día]</w:t>
      </w:r>
      <w:r w:rsidR="00B136F8">
        <w:rPr>
          <w:rFonts w:ascii="Century Gothic" w:hAnsi="Century Gothic"/>
        </w:rPr>
        <w:t xml:space="preserve"> de </w:t>
      </w:r>
      <w:r w:rsidR="00B136F8" w:rsidRPr="00322A85">
        <w:rPr>
          <w:rFonts w:ascii="Century Gothic" w:hAnsi="Century Gothic"/>
        </w:rPr>
        <w:t>[Mes</w:t>
      </w:r>
      <w:r w:rsidR="00B136F8">
        <w:rPr>
          <w:rFonts w:ascii="Century Gothic" w:hAnsi="Century Gothic"/>
        </w:rPr>
        <w:t>.</w:t>
      </w:r>
      <w:r w:rsidR="00B136F8" w:rsidRPr="00322A85">
        <w:rPr>
          <w:rFonts w:ascii="Century Gothic" w:hAnsi="Century Gothic"/>
        </w:rPr>
        <w:t>NombreCapitalizado]</w:t>
      </w:r>
      <w:r w:rsidR="00B136F8">
        <w:rPr>
          <w:rFonts w:ascii="Century Gothic" w:hAnsi="Century Gothic"/>
        </w:rPr>
        <w:t xml:space="preserve"> del </w:t>
      </w:r>
      <w:r w:rsidR="00B136F8" w:rsidRPr="00322A85">
        <w:rPr>
          <w:rFonts w:ascii="Century Gothic" w:hAnsi="Century Gothic"/>
        </w:rPr>
        <w:t>[Año]</w:t>
      </w:r>
      <w:r w:rsidR="00B136F8" w:rsidRPr="00322A85">
        <w:rPr>
          <w:rFonts w:ascii="Century Gothic" w:hAnsi="Century Gothic"/>
        </w:rPr>
        <w:tab/>
      </w:r>
    </w:p>
    <w:p w14:paraId="36363414" w14:textId="77777777" w:rsidR="00B136F8" w:rsidRPr="004C133A" w:rsidRDefault="00B136F8" w:rsidP="00B136F8">
      <w:pPr>
        <w:tabs>
          <w:tab w:val="left" w:pos="426"/>
        </w:tabs>
        <w:jc w:val="both"/>
        <w:rPr>
          <w:rFonts w:ascii="Century Gothic" w:eastAsia="Calibri" w:hAnsi="Century Gothic" w:cs="Arial"/>
          <w:b/>
          <w:sz w:val="20"/>
          <w:szCs w:val="20"/>
        </w:rPr>
      </w:pPr>
    </w:p>
    <w:bookmarkEnd w:id="1"/>
    <w:p w14:paraId="5878B709" w14:textId="77777777" w:rsidR="00B136F8" w:rsidRPr="004C133A" w:rsidRDefault="00B136F8" w:rsidP="00B136F8">
      <w:pPr>
        <w:pStyle w:val="Textoindependiente"/>
        <w:spacing w:line="276" w:lineRule="auto"/>
        <w:rPr>
          <w:rFonts w:ascii="Century Gothic" w:hAnsi="Century Gothic" w:cs="Arial"/>
          <w:b/>
        </w:rPr>
      </w:pPr>
    </w:p>
    <w:p w14:paraId="2A12B0F5" w14:textId="77777777" w:rsidR="00B136F8" w:rsidRPr="004C133A" w:rsidRDefault="00B136F8" w:rsidP="00B136F8">
      <w:pPr>
        <w:pStyle w:val="Textoindependiente"/>
        <w:spacing w:line="276" w:lineRule="auto"/>
        <w:rPr>
          <w:rFonts w:ascii="Century Gothic" w:hAnsi="Century Gothic" w:cs="Arial"/>
        </w:rPr>
      </w:pPr>
      <w:r w:rsidRPr="004C133A">
        <w:rPr>
          <w:rFonts w:ascii="Century Gothic" w:hAnsi="Century Gothic" w:cs="Arial"/>
        </w:rPr>
        <w:t>Señora</w:t>
      </w:r>
    </w:p>
    <w:p w14:paraId="2A1B74EE" w14:textId="77777777" w:rsidR="00B136F8" w:rsidRPr="004C133A" w:rsidRDefault="00B136F8" w:rsidP="00B136F8">
      <w:pPr>
        <w:spacing w:after="0" w:line="276" w:lineRule="auto"/>
        <w:rPr>
          <w:rFonts w:ascii="Century Gothic" w:hAnsi="Century Gothic" w:cs="Arial"/>
          <w:b/>
          <w:spacing w:val="1"/>
        </w:rPr>
      </w:pPr>
      <w:r w:rsidRPr="004C133A">
        <w:rPr>
          <w:rFonts w:ascii="Century Gothic" w:hAnsi="Century Gothic" w:cs="Arial"/>
          <w:b/>
        </w:rPr>
        <w:t>Kerlly Julieth Zea Galindo</w:t>
      </w:r>
      <w:r w:rsidRPr="004C133A">
        <w:rPr>
          <w:rFonts w:ascii="Century Gothic" w:hAnsi="Century Gothic" w:cs="Arial"/>
          <w:b/>
          <w:spacing w:val="1"/>
        </w:rPr>
        <w:t xml:space="preserve"> </w:t>
      </w:r>
    </w:p>
    <w:p w14:paraId="7A61A4B3" w14:textId="77777777" w:rsidR="00B136F8" w:rsidRPr="004C133A" w:rsidRDefault="001130E5" w:rsidP="00B136F8">
      <w:pPr>
        <w:spacing w:after="0" w:line="276" w:lineRule="auto"/>
        <w:rPr>
          <w:rFonts w:ascii="Century Gothic" w:hAnsi="Century Gothic" w:cs="Arial"/>
        </w:rPr>
      </w:pPr>
      <w:hyperlink r:id="rId11" w:history="1">
        <w:r w:rsidR="00B136F8" w:rsidRPr="004C133A">
          <w:rPr>
            <w:rStyle w:val="Hipervnculo"/>
            <w:rFonts w:ascii="Century Gothic" w:hAnsi="Century Gothic" w:cs="Arial"/>
          </w:rPr>
          <w:t>kerly.zea.galindo@gmail.com</w:t>
        </w:r>
      </w:hyperlink>
    </w:p>
    <w:p w14:paraId="0EF869DB" w14:textId="77777777" w:rsidR="00B136F8" w:rsidRPr="004C133A" w:rsidRDefault="00B136F8" w:rsidP="00B136F8">
      <w:pPr>
        <w:spacing w:after="0" w:line="276" w:lineRule="auto"/>
        <w:rPr>
          <w:rFonts w:ascii="Century Gothic" w:hAnsi="Century Gothic" w:cs="Arial"/>
        </w:rPr>
      </w:pPr>
      <w:r w:rsidRPr="004C133A">
        <w:rPr>
          <w:rFonts w:ascii="Century Gothic" w:hAnsi="Century Gothic" w:cs="Arial"/>
        </w:rPr>
        <w:t xml:space="preserve">Ibagué, Tolima </w:t>
      </w:r>
    </w:p>
    <w:p w14:paraId="6B01AFBA" w14:textId="77777777" w:rsidR="00B136F8" w:rsidRPr="004C133A" w:rsidRDefault="00B136F8" w:rsidP="00B136F8">
      <w:pPr>
        <w:pStyle w:val="Textoindependiente"/>
        <w:spacing w:before="11" w:after="160" w:line="276" w:lineRule="auto"/>
        <w:rPr>
          <w:rFonts w:ascii="Century Gothic" w:hAnsi="Century Gothic" w:cs="Arial"/>
          <w:sz w:val="13"/>
        </w:rPr>
      </w:pPr>
    </w:p>
    <w:p w14:paraId="3ABF631D" w14:textId="77777777" w:rsidR="00B136F8" w:rsidRPr="004C133A" w:rsidRDefault="00B136F8" w:rsidP="00B136F8">
      <w:pPr>
        <w:pStyle w:val="Ttulo1"/>
        <w:spacing w:before="92" w:after="160" w:line="276" w:lineRule="auto"/>
        <w:ind w:left="0"/>
        <w:jc w:val="center"/>
        <w:rPr>
          <w:rFonts w:ascii="Century Gothic" w:hAnsi="Century Gothic"/>
        </w:rPr>
      </w:pPr>
      <w:r w:rsidRPr="004C133A">
        <w:rPr>
          <w:rFonts w:ascii="Century Gothic" w:hAnsi="Century Gothic"/>
        </w:rPr>
        <w:t>Concepto</w:t>
      </w:r>
      <w:r w:rsidRPr="004C133A">
        <w:rPr>
          <w:rFonts w:ascii="Century Gothic" w:hAnsi="Century Gothic"/>
          <w:spacing w:val="-5"/>
        </w:rPr>
        <w:t xml:space="preserve"> </w:t>
      </w:r>
      <w:r w:rsidRPr="004C133A">
        <w:rPr>
          <w:rFonts w:ascii="Century Gothic" w:hAnsi="Century Gothic"/>
        </w:rPr>
        <w:t>C-</w:t>
      </w:r>
      <w:r w:rsidRPr="004C133A">
        <w:rPr>
          <w:rFonts w:ascii="Century Gothic" w:hAnsi="Century Gothic"/>
          <w:spacing w:val="-3"/>
        </w:rPr>
        <w:t xml:space="preserve"> </w:t>
      </w:r>
      <w:r w:rsidRPr="004C133A">
        <w:rPr>
          <w:rFonts w:ascii="Century Gothic" w:hAnsi="Century Gothic"/>
        </w:rPr>
        <w:t>385</w:t>
      </w:r>
      <w:r w:rsidRPr="004C133A">
        <w:rPr>
          <w:rFonts w:ascii="Century Gothic" w:hAnsi="Century Gothic"/>
          <w:spacing w:val="-4"/>
        </w:rPr>
        <w:t xml:space="preserve"> </w:t>
      </w:r>
      <w:r w:rsidRPr="004C133A">
        <w:rPr>
          <w:rFonts w:ascii="Century Gothic" w:hAnsi="Century Gothic"/>
        </w:rPr>
        <w:t>del</w:t>
      </w:r>
      <w:r w:rsidRPr="004C133A">
        <w:rPr>
          <w:rFonts w:ascii="Century Gothic" w:hAnsi="Century Gothic"/>
          <w:spacing w:val="-4"/>
        </w:rPr>
        <w:t xml:space="preserve"> </w:t>
      </w:r>
      <w:r w:rsidRPr="004C133A">
        <w:rPr>
          <w:rFonts w:ascii="Century Gothic" w:hAnsi="Century Gothic"/>
        </w:rPr>
        <w:t>2023</w:t>
      </w:r>
    </w:p>
    <w:p w14:paraId="5B4A22C7" w14:textId="77777777" w:rsidR="00B136F8" w:rsidRPr="004C133A" w:rsidRDefault="00B136F8" w:rsidP="00B136F8">
      <w:pPr>
        <w:pStyle w:val="Textoindependiente"/>
        <w:spacing w:after="160" w:line="276" w:lineRule="auto"/>
        <w:rPr>
          <w:rFonts w:ascii="Century Gothic" w:hAnsi="Century Gothic" w:cs="Arial"/>
          <w:b/>
          <w:sz w:val="24"/>
        </w:rPr>
      </w:pPr>
    </w:p>
    <w:p w14:paraId="462524ED" w14:textId="77777777" w:rsidR="00B136F8" w:rsidRPr="004C133A" w:rsidRDefault="00B136F8" w:rsidP="00B136F8">
      <w:pPr>
        <w:pStyle w:val="Textoindependiente"/>
        <w:spacing w:before="3" w:after="160" w:line="276" w:lineRule="auto"/>
        <w:rPr>
          <w:rFonts w:ascii="Century Gothic" w:hAnsi="Century Gothic" w:cs="Arial"/>
          <w:b/>
          <w:sz w:val="26"/>
        </w:rPr>
      </w:pPr>
    </w:p>
    <w:p w14:paraId="1A0682E0" w14:textId="77777777" w:rsidR="00B136F8" w:rsidRPr="004C133A" w:rsidRDefault="00B136F8" w:rsidP="00B136F8">
      <w:pPr>
        <w:pStyle w:val="Textoindependiente"/>
        <w:spacing w:before="1" w:after="160" w:line="276" w:lineRule="auto"/>
        <w:ind w:left="3569" w:right="567" w:hanging="1301"/>
        <w:jc w:val="both"/>
        <w:rPr>
          <w:rFonts w:ascii="Century Gothic" w:hAnsi="Century Gothic" w:cs="Arial"/>
        </w:rPr>
      </w:pPr>
      <w:r w:rsidRPr="004C133A">
        <w:rPr>
          <w:rFonts w:ascii="Century Gothic" w:hAnsi="Century Gothic" w:cs="Arial"/>
          <w:b/>
        </w:rPr>
        <w:t>Temas:</w:t>
      </w:r>
      <w:r w:rsidRPr="004C133A">
        <w:rPr>
          <w:rFonts w:ascii="Century Gothic" w:hAnsi="Century Gothic" w:cs="Arial"/>
          <w:b/>
          <w:spacing w:val="1"/>
        </w:rPr>
        <w:t xml:space="preserve"> </w:t>
      </w:r>
      <w:r w:rsidRPr="004C133A">
        <w:rPr>
          <w:rFonts w:ascii="Century Gothic" w:hAnsi="Century Gothic" w:cs="Arial"/>
          <w:b/>
          <w:spacing w:val="1"/>
        </w:rPr>
        <w:tab/>
      </w:r>
      <w:r w:rsidRPr="004C133A">
        <w:rPr>
          <w:rFonts w:ascii="Century Gothic" w:hAnsi="Century Gothic" w:cs="Arial"/>
        </w:rPr>
        <w:t xml:space="preserve">LEY DE GARANTÍAS ELECTORALES </w:t>
      </w:r>
      <w:r w:rsidRPr="00154E15">
        <w:rPr>
          <w:rFonts w:ascii="Arial" w:hAnsi="Arial" w:cs="Arial"/>
        </w:rPr>
        <w:t>‒</w:t>
      </w:r>
      <w:r w:rsidRPr="004C133A">
        <w:rPr>
          <w:rFonts w:ascii="Century Gothic" w:hAnsi="Century Gothic" w:cs="Arial"/>
        </w:rPr>
        <w:t xml:space="preserve"> Tipos de restricciones </w:t>
      </w:r>
      <w:r w:rsidRPr="00154E15">
        <w:rPr>
          <w:rFonts w:ascii="Arial" w:hAnsi="Arial" w:cs="Arial"/>
        </w:rPr>
        <w:t>‒</w:t>
      </w:r>
      <w:r w:rsidRPr="004C133A">
        <w:rPr>
          <w:rFonts w:ascii="Century Gothic" w:hAnsi="Century Gothic" w:cs="Arial"/>
        </w:rPr>
        <w:t xml:space="preserve"> </w:t>
      </w:r>
      <w:r w:rsidRPr="004C133A">
        <w:rPr>
          <w:rFonts w:ascii="Century Gothic" w:hAnsi="Century Gothic" w:cs="Century Gothic"/>
        </w:rPr>
        <w:t>Á</w:t>
      </w:r>
      <w:r w:rsidRPr="004C133A">
        <w:rPr>
          <w:rFonts w:ascii="Century Gothic" w:hAnsi="Century Gothic" w:cs="Arial"/>
        </w:rPr>
        <w:t>mbito temporal / CONVENIOS DE ASOCIACIÓN – ESAL – Objeto / CONTRATACIÓN CON ESAL</w:t>
      </w:r>
      <w:r w:rsidRPr="00154E15">
        <w:rPr>
          <w:rFonts w:ascii="Arial" w:hAnsi="Arial" w:cs="Arial"/>
        </w:rPr>
        <w:t>‒</w:t>
      </w:r>
      <w:r w:rsidRPr="004C133A">
        <w:rPr>
          <w:rFonts w:ascii="Century Gothic" w:hAnsi="Century Gothic" w:cs="Arial"/>
        </w:rPr>
        <w:t xml:space="preserve"> Ley de garant</w:t>
      </w:r>
      <w:r w:rsidRPr="004C133A">
        <w:rPr>
          <w:rFonts w:ascii="Century Gothic" w:hAnsi="Century Gothic" w:cs="Century Gothic"/>
        </w:rPr>
        <w:t>í</w:t>
      </w:r>
      <w:r w:rsidRPr="004C133A">
        <w:rPr>
          <w:rFonts w:ascii="Century Gothic" w:hAnsi="Century Gothic" w:cs="Arial"/>
        </w:rPr>
        <w:t xml:space="preserve">as </w:t>
      </w:r>
      <w:r w:rsidRPr="004C133A">
        <w:rPr>
          <w:rFonts w:ascii="Century Gothic" w:hAnsi="Century Gothic" w:cs="Century Gothic"/>
        </w:rPr>
        <w:t>–</w:t>
      </w:r>
      <w:r w:rsidRPr="004C133A">
        <w:rPr>
          <w:rFonts w:ascii="Century Gothic" w:hAnsi="Century Gothic" w:cs="Arial"/>
        </w:rPr>
        <w:t xml:space="preserve"> Restricciones </w:t>
      </w:r>
      <w:r w:rsidRPr="004C133A">
        <w:rPr>
          <w:rFonts w:ascii="Century Gothic" w:hAnsi="Century Gothic" w:cs="Century Gothic"/>
        </w:rPr>
        <w:t>–</w:t>
      </w:r>
      <w:r w:rsidRPr="004C133A">
        <w:rPr>
          <w:rFonts w:ascii="Century Gothic" w:hAnsi="Century Gothic" w:cs="Arial"/>
        </w:rPr>
        <w:t xml:space="preserve"> Art</w:t>
      </w:r>
      <w:r w:rsidRPr="004C133A">
        <w:rPr>
          <w:rFonts w:ascii="Century Gothic" w:hAnsi="Century Gothic" w:cs="Century Gothic"/>
        </w:rPr>
        <w:t>í</w:t>
      </w:r>
      <w:r w:rsidRPr="004C133A">
        <w:rPr>
          <w:rFonts w:ascii="Century Gothic" w:hAnsi="Century Gothic" w:cs="Arial"/>
        </w:rPr>
        <w:t xml:space="preserve">culos 33 y 38 </w:t>
      </w:r>
      <w:r w:rsidRPr="004C133A">
        <w:rPr>
          <w:rFonts w:ascii="Century Gothic" w:hAnsi="Century Gothic" w:cs="Century Gothic"/>
        </w:rPr>
        <w:t>–</w:t>
      </w:r>
      <w:r w:rsidRPr="004C133A">
        <w:rPr>
          <w:rFonts w:ascii="Century Gothic" w:hAnsi="Century Gothic" w:cs="Arial"/>
        </w:rPr>
        <w:t xml:space="preserve"> Alcance</w:t>
      </w:r>
    </w:p>
    <w:p w14:paraId="06D778A3" w14:textId="77777777" w:rsidR="00B136F8" w:rsidRPr="004C133A" w:rsidRDefault="00B136F8" w:rsidP="00B136F8">
      <w:pPr>
        <w:pStyle w:val="Textoindependiente"/>
        <w:spacing w:after="160" w:line="276" w:lineRule="auto"/>
        <w:rPr>
          <w:rFonts w:ascii="Century Gothic" w:hAnsi="Century Gothic" w:cs="Arial"/>
          <w:sz w:val="24"/>
        </w:rPr>
      </w:pPr>
    </w:p>
    <w:p w14:paraId="133BAD9B" w14:textId="77777777" w:rsidR="00B136F8" w:rsidRPr="004C133A" w:rsidRDefault="00B136F8" w:rsidP="00B136F8">
      <w:pPr>
        <w:pStyle w:val="Textoindependiente"/>
        <w:spacing w:before="1" w:after="160" w:line="276" w:lineRule="auto"/>
        <w:rPr>
          <w:rFonts w:ascii="Century Gothic" w:hAnsi="Century Gothic" w:cs="Arial"/>
          <w:sz w:val="27"/>
        </w:rPr>
      </w:pPr>
    </w:p>
    <w:p w14:paraId="737FC31C" w14:textId="77777777" w:rsidR="00B136F8" w:rsidRPr="004C133A" w:rsidRDefault="00B136F8" w:rsidP="00B136F8">
      <w:pPr>
        <w:tabs>
          <w:tab w:val="left" w:pos="1990"/>
        </w:tabs>
        <w:spacing w:line="276" w:lineRule="auto"/>
        <w:rPr>
          <w:rFonts w:ascii="Century Gothic" w:hAnsi="Century Gothic" w:cs="Arial"/>
        </w:rPr>
      </w:pPr>
      <w:r w:rsidRPr="004C133A">
        <w:rPr>
          <w:rFonts w:ascii="Century Gothic" w:hAnsi="Century Gothic" w:cs="Arial"/>
          <w:b/>
        </w:rPr>
        <w:t>Radicación:</w:t>
      </w:r>
      <w:r w:rsidRPr="004C133A">
        <w:rPr>
          <w:rFonts w:ascii="Century Gothic" w:hAnsi="Century Gothic" w:cs="Arial"/>
          <w:b/>
        </w:rPr>
        <w:tab/>
      </w:r>
      <w:r w:rsidRPr="004C133A">
        <w:rPr>
          <w:rFonts w:ascii="Century Gothic" w:hAnsi="Century Gothic" w:cs="Arial"/>
        </w:rPr>
        <w:t>Respuesta</w:t>
      </w:r>
      <w:r w:rsidRPr="004C133A">
        <w:rPr>
          <w:rFonts w:ascii="Century Gothic" w:hAnsi="Century Gothic" w:cs="Arial"/>
          <w:spacing w:val="-6"/>
        </w:rPr>
        <w:t xml:space="preserve"> </w:t>
      </w:r>
      <w:r w:rsidRPr="004C133A">
        <w:rPr>
          <w:rFonts w:ascii="Century Gothic" w:hAnsi="Century Gothic" w:cs="Arial"/>
        </w:rPr>
        <w:t>a</w:t>
      </w:r>
      <w:r w:rsidRPr="004C133A">
        <w:rPr>
          <w:rFonts w:ascii="Century Gothic" w:hAnsi="Century Gothic" w:cs="Arial"/>
          <w:spacing w:val="-6"/>
        </w:rPr>
        <w:t xml:space="preserve"> </w:t>
      </w:r>
      <w:r w:rsidRPr="004C133A">
        <w:rPr>
          <w:rFonts w:ascii="Century Gothic" w:hAnsi="Century Gothic" w:cs="Arial"/>
        </w:rPr>
        <w:t>consulta</w:t>
      </w:r>
      <w:r w:rsidRPr="004C133A">
        <w:rPr>
          <w:rFonts w:ascii="Century Gothic" w:hAnsi="Century Gothic" w:cs="Arial"/>
          <w:spacing w:val="-6"/>
        </w:rPr>
        <w:t xml:space="preserve"> </w:t>
      </w:r>
      <w:r w:rsidRPr="004C133A">
        <w:rPr>
          <w:rFonts w:ascii="Century Gothic" w:hAnsi="Century Gothic" w:cs="Arial"/>
        </w:rPr>
        <w:t>Nro.</w:t>
      </w:r>
      <w:r w:rsidRPr="004C133A">
        <w:rPr>
          <w:rFonts w:ascii="Century Gothic" w:hAnsi="Century Gothic" w:cs="Arial"/>
          <w:spacing w:val="-6"/>
        </w:rPr>
        <w:t xml:space="preserve"> </w:t>
      </w:r>
      <w:r w:rsidRPr="004C133A">
        <w:rPr>
          <w:rFonts w:ascii="Century Gothic" w:hAnsi="Century Gothic" w:cs="Arial"/>
        </w:rPr>
        <w:t>P20230810014092</w:t>
      </w:r>
    </w:p>
    <w:p w14:paraId="076D0508" w14:textId="77777777" w:rsidR="00B136F8" w:rsidRPr="004C133A" w:rsidRDefault="00B136F8" w:rsidP="00B136F8">
      <w:pPr>
        <w:pStyle w:val="Textoindependiente"/>
        <w:spacing w:after="160" w:line="276" w:lineRule="auto"/>
        <w:rPr>
          <w:rFonts w:ascii="Century Gothic" w:hAnsi="Century Gothic" w:cs="Arial"/>
          <w:sz w:val="24"/>
        </w:rPr>
      </w:pPr>
    </w:p>
    <w:p w14:paraId="7C66C11F" w14:textId="77777777" w:rsidR="00B136F8" w:rsidRPr="004C133A" w:rsidRDefault="00B136F8" w:rsidP="00B136F8">
      <w:pPr>
        <w:pStyle w:val="Textoindependiente"/>
        <w:spacing w:after="160" w:line="276" w:lineRule="auto"/>
        <w:rPr>
          <w:rFonts w:ascii="Century Gothic" w:hAnsi="Century Gothic" w:cs="Arial"/>
          <w:sz w:val="30"/>
        </w:rPr>
      </w:pPr>
    </w:p>
    <w:p w14:paraId="0D0BAB77" w14:textId="77777777" w:rsidR="00B136F8" w:rsidRPr="004C133A" w:rsidRDefault="00B136F8" w:rsidP="00B136F8">
      <w:pPr>
        <w:pStyle w:val="Textoindependiente"/>
        <w:spacing w:after="160" w:line="276" w:lineRule="auto"/>
        <w:jc w:val="both"/>
        <w:rPr>
          <w:rFonts w:ascii="Century Gothic" w:hAnsi="Century Gothic" w:cs="Arial"/>
        </w:rPr>
      </w:pPr>
      <w:r w:rsidRPr="004C133A">
        <w:rPr>
          <w:rFonts w:ascii="Century Gothic" w:hAnsi="Century Gothic" w:cs="Arial"/>
        </w:rPr>
        <w:t>Estimada</w:t>
      </w:r>
      <w:r w:rsidRPr="004C133A">
        <w:rPr>
          <w:rFonts w:ascii="Century Gothic" w:hAnsi="Century Gothic" w:cs="Arial"/>
          <w:spacing w:val="-6"/>
        </w:rPr>
        <w:t xml:space="preserve"> </w:t>
      </w:r>
      <w:r w:rsidRPr="004C133A">
        <w:rPr>
          <w:rFonts w:ascii="Century Gothic" w:hAnsi="Century Gothic" w:cs="Arial"/>
        </w:rPr>
        <w:t>señora</w:t>
      </w:r>
      <w:r w:rsidRPr="004C133A">
        <w:rPr>
          <w:rFonts w:ascii="Century Gothic" w:hAnsi="Century Gothic" w:cs="Arial"/>
          <w:spacing w:val="-6"/>
        </w:rPr>
        <w:t xml:space="preserve"> </w:t>
      </w:r>
      <w:r w:rsidRPr="004C133A">
        <w:rPr>
          <w:rFonts w:ascii="Century Gothic" w:hAnsi="Century Gothic" w:cs="Arial"/>
        </w:rPr>
        <w:t>Zea:</w:t>
      </w:r>
    </w:p>
    <w:p w14:paraId="13BDA89C" w14:textId="77777777" w:rsidR="00B136F8" w:rsidRPr="004C133A" w:rsidRDefault="00B136F8" w:rsidP="00B136F8">
      <w:pPr>
        <w:pStyle w:val="Textoindependiente"/>
        <w:spacing w:before="198" w:after="160" w:line="276" w:lineRule="auto"/>
        <w:jc w:val="both"/>
        <w:rPr>
          <w:rFonts w:ascii="Century Gothic" w:hAnsi="Century Gothic" w:cs="Arial"/>
        </w:rPr>
      </w:pPr>
      <w:r w:rsidRPr="004C133A">
        <w:rPr>
          <w:rFonts w:ascii="Century Gothic" w:hAnsi="Century Gothic" w:cs="Arial"/>
        </w:rPr>
        <w:t>En ejercicio de la competencia otorgada por el numeral 8° del artículo 11 y el numeral 5°</w:t>
      </w:r>
      <w:r w:rsidRPr="004C133A">
        <w:rPr>
          <w:rFonts w:ascii="Century Gothic" w:hAnsi="Century Gothic" w:cs="Arial"/>
          <w:spacing w:val="1"/>
        </w:rPr>
        <w:t xml:space="preserve"> </w:t>
      </w:r>
      <w:r w:rsidRPr="004C133A">
        <w:rPr>
          <w:rFonts w:ascii="Century Gothic" w:hAnsi="Century Gothic" w:cs="Arial"/>
          <w:spacing w:val="-1"/>
        </w:rPr>
        <w:t>del</w:t>
      </w:r>
      <w:r w:rsidRPr="004C133A">
        <w:rPr>
          <w:rFonts w:ascii="Century Gothic" w:hAnsi="Century Gothic" w:cs="Arial"/>
          <w:spacing w:val="-15"/>
        </w:rPr>
        <w:t xml:space="preserve"> </w:t>
      </w:r>
      <w:r w:rsidRPr="004C133A">
        <w:rPr>
          <w:rFonts w:ascii="Century Gothic" w:hAnsi="Century Gothic" w:cs="Arial"/>
          <w:spacing w:val="-1"/>
        </w:rPr>
        <w:t>artículo</w:t>
      </w:r>
      <w:r w:rsidRPr="004C133A">
        <w:rPr>
          <w:rFonts w:ascii="Century Gothic" w:hAnsi="Century Gothic" w:cs="Arial"/>
          <w:spacing w:val="-14"/>
        </w:rPr>
        <w:t xml:space="preserve"> </w:t>
      </w:r>
      <w:r w:rsidRPr="004C133A">
        <w:rPr>
          <w:rFonts w:ascii="Century Gothic" w:hAnsi="Century Gothic" w:cs="Arial"/>
          <w:spacing w:val="-1"/>
        </w:rPr>
        <w:t>3</w:t>
      </w:r>
      <w:r w:rsidRPr="004C133A">
        <w:rPr>
          <w:rFonts w:ascii="Century Gothic" w:hAnsi="Century Gothic" w:cs="Arial"/>
          <w:spacing w:val="-14"/>
        </w:rPr>
        <w:t xml:space="preserve"> </w:t>
      </w:r>
      <w:r w:rsidRPr="004C133A">
        <w:rPr>
          <w:rFonts w:ascii="Century Gothic" w:hAnsi="Century Gothic" w:cs="Arial"/>
          <w:spacing w:val="-1"/>
        </w:rPr>
        <w:t>del</w:t>
      </w:r>
      <w:r w:rsidRPr="004C133A">
        <w:rPr>
          <w:rFonts w:ascii="Century Gothic" w:hAnsi="Century Gothic" w:cs="Arial"/>
          <w:spacing w:val="-15"/>
        </w:rPr>
        <w:t xml:space="preserve"> </w:t>
      </w:r>
      <w:r w:rsidRPr="004C133A">
        <w:rPr>
          <w:rFonts w:ascii="Century Gothic" w:hAnsi="Century Gothic" w:cs="Arial"/>
          <w:spacing w:val="-1"/>
        </w:rPr>
        <w:t>Decreto</w:t>
      </w:r>
      <w:r w:rsidRPr="004C133A">
        <w:rPr>
          <w:rFonts w:ascii="Century Gothic" w:hAnsi="Century Gothic" w:cs="Arial"/>
          <w:spacing w:val="-14"/>
        </w:rPr>
        <w:t xml:space="preserve"> </w:t>
      </w:r>
      <w:r w:rsidRPr="004C133A">
        <w:rPr>
          <w:rFonts w:ascii="Century Gothic" w:hAnsi="Century Gothic" w:cs="Arial"/>
        </w:rPr>
        <w:t>Ley</w:t>
      </w:r>
      <w:r w:rsidRPr="004C133A">
        <w:rPr>
          <w:rFonts w:ascii="Century Gothic" w:hAnsi="Century Gothic" w:cs="Arial"/>
          <w:spacing w:val="-14"/>
        </w:rPr>
        <w:t xml:space="preserve"> </w:t>
      </w:r>
      <w:r w:rsidRPr="004C133A">
        <w:rPr>
          <w:rFonts w:ascii="Century Gothic" w:hAnsi="Century Gothic" w:cs="Arial"/>
        </w:rPr>
        <w:t>4170</w:t>
      </w:r>
      <w:r w:rsidRPr="004C133A">
        <w:rPr>
          <w:rFonts w:ascii="Century Gothic" w:hAnsi="Century Gothic" w:cs="Arial"/>
          <w:spacing w:val="-14"/>
        </w:rPr>
        <w:t xml:space="preserve"> </w:t>
      </w:r>
      <w:r w:rsidRPr="004C133A">
        <w:rPr>
          <w:rFonts w:ascii="Century Gothic" w:hAnsi="Century Gothic" w:cs="Arial"/>
        </w:rPr>
        <w:t>de</w:t>
      </w:r>
      <w:r w:rsidRPr="004C133A">
        <w:rPr>
          <w:rFonts w:ascii="Century Gothic" w:hAnsi="Century Gothic" w:cs="Arial"/>
          <w:spacing w:val="-15"/>
        </w:rPr>
        <w:t xml:space="preserve"> </w:t>
      </w:r>
      <w:r w:rsidRPr="004C133A">
        <w:rPr>
          <w:rFonts w:ascii="Century Gothic" w:hAnsi="Century Gothic" w:cs="Arial"/>
        </w:rPr>
        <w:t>2011,</w:t>
      </w:r>
      <w:r w:rsidRPr="004C133A">
        <w:rPr>
          <w:rFonts w:ascii="Century Gothic" w:hAnsi="Century Gothic" w:cs="Arial"/>
          <w:spacing w:val="-14"/>
        </w:rPr>
        <w:t xml:space="preserve"> </w:t>
      </w:r>
      <w:r w:rsidRPr="004C133A">
        <w:rPr>
          <w:rFonts w:ascii="Century Gothic" w:hAnsi="Century Gothic" w:cs="Arial"/>
        </w:rPr>
        <w:t>la</w:t>
      </w:r>
      <w:r w:rsidRPr="004C133A">
        <w:rPr>
          <w:rFonts w:ascii="Century Gothic" w:hAnsi="Century Gothic" w:cs="Arial"/>
          <w:spacing w:val="-14"/>
        </w:rPr>
        <w:t xml:space="preserve"> </w:t>
      </w:r>
      <w:r w:rsidRPr="004C133A">
        <w:rPr>
          <w:rFonts w:ascii="Century Gothic" w:hAnsi="Century Gothic" w:cs="Arial"/>
        </w:rPr>
        <w:t>Agencia</w:t>
      </w:r>
      <w:r w:rsidRPr="004C133A">
        <w:rPr>
          <w:rFonts w:ascii="Century Gothic" w:hAnsi="Century Gothic" w:cs="Arial"/>
          <w:spacing w:val="-13"/>
        </w:rPr>
        <w:t xml:space="preserve"> </w:t>
      </w:r>
      <w:r w:rsidRPr="004C133A">
        <w:rPr>
          <w:rFonts w:ascii="Century Gothic" w:hAnsi="Century Gothic" w:cs="Arial"/>
        </w:rPr>
        <w:t>Nacional</w:t>
      </w:r>
      <w:r w:rsidRPr="004C133A">
        <w:rPr>
          <w:rFonts w:ascii="Century Gothic" w:hAnsi="Century Gothic" w:cs="Arial"/>
          <w:spacing w:val="-15"/>
        </w:rPr>
        <w:t xml:space="preserve"> </w:t>
      </w:r>
      <w:r w:rsidRPr="004C133A">
        <w:rPr>
          <w:rFonts w:ascii="Century Gothic" w:hAnsi="Century Gothic" w:cs="Arial"/>
        </w:rPr>
        <w:t>de</w:t>
      </w:r>
      <w:r w:rsidRPr="004C133A">
        <w:rPr>
          <w:rFonts w:ascii="Century Gothic" w:hAnsi="Century Gothic" w:cs="Arial"/>
          <w:spacing w:val="-14"/>
        </w:rPr>
        <w:t xml:space="preserve"> </w:t>
      </w:r>
      <w:r w:rsidRPr="004C133A">
        <w:rPr>
          <w:rFonts w:ascii="Century Gothic" w:hAnsi="Century Gothic" w:cs="Arial"/>
        </w:rPr>
        <w:t>Contratación</w:t>
      </w:r>
      <w:r w:rsidRPr="004C133A">
        <w:rPr>
          <w:rFonts w:ascii="Century Gothic" w:hAnsi="Century Gothic" w:cs="Arial"/>
          <w:spacing w:val="-14"/>
        </w:rPr>
        <w:t xml:space="preserve"> </w:t>
      </w:r>
      <w:r w:rsidRPr="004C133A">
        <w:rPr>
          <w:rFonts w:ascii="Century Gothic" w:hAnsi="Century Gothic" w:cs="Arial"/>
        </w:rPr>
        <w:t>Pública</w:t>
      </w:r>
      <w:r w:rsidRPr="004C133A">
        <w:rPr>
          <w:rFonts w:ascii="Century Gothic" w:hAnsi="Century Gothic" w:cs="Arial"/>
          <w:spacing w:val="-14"/>
        </w:rPr>
        <w:t xml:space="preserve"> </w:t>
      </w:r>
      <w:r w:rsidRPr="004C133A">
        <w:rPr>
          <w:rFonts w:ascii="Century Gothic" w:hAnsi="Century Gothic" w:cs="Arial"/>
        </w:rPr>
        <w:t>―</w:t>
      </w:r>
      <w:r w:rsidRPr="004C133A">
        <w:rPr>
          <w:rFonts w:ascii="Century Gothic" w:hAnsi="Century Gothic" w:cs="Arial"/>
          <w:spacing w:val="1"/>
        </w:rPr>
        <w:t xml:space="preserve"> </w:t>
      </w:r>
      <w:r w:rsidRPr="004C133A">
        <w:rPr>
          <w:rFonts w:ascii="Century Gothic" w:hAnsi="Century Gothic" w:cs="Arial"/>
        </w:rPr>
        <w:t>Colombia Compra Eficiente responde su consulta elevada a esta entidad el día 10 de agosto del</w:t>
      </w:r>
      <w:r w:rsidRPr="004C133A">
        <w:rPr>
          <w:rFonts w:ascii="Century Gothic" w:hAnsi="Century Gothic" w:cs="Arial"/>
          <w:spacing w:val="1"/>
        </w:rPr>
        <w:t xml:space="preserve"> </w:t>
      </w:r>
      <w:r w:rsidRPr="004C133A">
        <w:rPr>
          <w:rFonts w:ascii="Century Gothic" w:hAnsi="Century Gothic" w:cs="Arial"/>
        </w:rPr>
        <w:t>2023.</w:t>
      </w:r>
    </w:p>
    <w:p w14:paraId="6DFA1ADF" w14:textId="77777777" w:rsidR="00B136F8" w:rsidRPr="004C133A" w:rsidRDefault="00B136F8" w:rsidP="00B136F8">
      <w:pPr>
        <w:pStyle w:val="Textoindependiente"/>
        <w:numPr>
          <w:ilvl w:val="0"/>
          <w:numId w:val="4"/>
        </w:numPr>
        <w:spacing w:before="198" w:after="160" w:line="276" w:lineRule="auto"/>
        <w:ind w:left="1012"/>
        <w:jc w:val="both"/>
        <w:rPr>
          <w:rFonts w:ascii="Century Gothic" w:hAnsi="Century Gothic" w:cs="Arial"/>
        </w:rPr>
      </w:pPr>
      <w:r w:rsidRPr="004C133A">
        <w:rPr>
          <w:rFonts w:ascii="Century Gothic" w:hAnsi="Century Gothic" w:cs="Arial"/>
          <w:b/>
        </w:rPr>
        <w:t>Problema planteado</w:t>
      </w:r>
    </w:p>
    <w:p w14:paraId="2EE5D1AD" w14:textId="77777777" w:rsidR="00B136F8" w:rsidRPr="004C133A" w:rsidRDefault="00B136F8" w:rsidP="00B136F8">
      <w:pPr>
        <w:pStyle w:val="Textoindependiente"/>
        <w:spacing w:before="198" w:after="160" w:line="276" w:lineRule="auto"/>
        <w:jc w:val="both"/>
        <w:rPr>
          <w:rFonts w:ascii="Century Gothic" w:hAnsi="Century Gothic"/>
        </w:rPr>
      </w:pPr>
      <w:r w:rsidRPr="004C133A">
        <w:rPr>
          <w:rFonts w:ascii="Century Gothic" w:hAnsi="Century Gothic" w:cs="Arial"/>
        </w:rPr>
        <w:t>Usted realiza la siguiente consulta: “</w:t>
      </w:r>
      <w:r w:rsidRPr="004C133A">
        <w:rPr>
          <w:rFonts w:ascii="Century Gothic" w:hAnsi="Century Gothic" w:cs="Arial"/>
          <w:i/>
        </w:rPr>
        <w:t xml:space="preserve">[…] </w:t>
      </w:r>
      <w:r w:rsidRPr="004C133A">
        <w:rPr>
          <w:rFonts w:ascii="Century Gothic" w:hAnsi="Century Gothic"/>
          <w:i/>
        </w:rPr>
        <w:t xml:space="preserve">nos indique si los procesos que estan </w:t>
      </w:r>
      <w:r w:rsidRPr="004C133A">
        <w:rPr>
          <w:rFonts w:ascii="Century Gothic" w:hAnsi="Century Gothic"/>
          <w:i/>
        </w:rPr>
        <w:lastRenderedPageBreak/>
        <w:t xml:space="preserve">contemplados dentro del Decreto 092 de 2017, esto es los procesos que se adelantan con Entidades sin Animo de Lucro, es decir convenios de colaboracion que se delantan por proceso competitivo y los convenios de asociacion que se adelantan con las ESAL, siempre y cuando la ESAL aporte el 30% del valor del presupuesto ofcial destinado para el proceso contractual, se les aplica la misma restriccion establecida en la Ley de Garantias, especificamente los Convenios de Asociacion.” </w:t>
      </w:r>
      <w:r w:rsidRPr="004C133A">
        <w:rPr>
          <w:rFonts w:ascii="Century Gothic" w:hAnsi="Century Gothic"/>
        </w:rPr>
        <w:t>(sic)</w:t>
      </w:r>
    </w:p>
    <w:p w14:paraId="41A9ACA5" w14:textId="77777777" w:rsidR="00B136F8" w:rsidRPr="004C133A" w:rsidRDefault="00B136F8" w:rsidP="00B136F8">
      <w:pPr>
        <w:pStyle w:val="Textoindependiente"/>
        <w:numPr>
          <w:ilvl w:val="0"/>
          <w:numId w:val="4"/>
        </w:numPr>
        <w:spacing w:before="198" w:after="160" w:line="276" w:lineRule="auto"/>
        <w:ind w:left="1069"/>
        <w:jc w:val="both"/>
        <w:rPr>
          <w:rFonts w:ascii="Century Gothic" w:hAnsi="Century Gothic"/>
        </w:rPr>
      </w:pPr>
      <w:r w:rsidRPr="004C133A">
        <w:rPr>
          <w:rFonts w:ascii="Century Gothic" w:hAnsi="Century Gothic"/>
          <w:b/>
        </w:rPr>
        <w:t>Consideraciones</w:t>
      </w:r>
    </w:p>
    <w:p w14:paraId="255104C5" w14:textId="77777777" w:rsidR="00B136F8" w:rsidRPr="004C133A" w:rsidRDefault="00B136F8" w:rsidP="00B136F8">
      <w:pPr>
        <w:spacing w:line="276" w:lineRule="auto"/>
        <w:jc w:val="both"/>
        <w:rPr>
          <w:rFonts w:ascii="Century Gothic" w:hAnsi="Century Gothic" w:cs="Arial"/>
        </w:rPr>
      </w:pPr>
      <w:r w:rsidRPr="004C133A">
        <w:rPr>
          <w:rFonts w:ascii="Century Gothic" w:hAnsi="Century Gothic" w:cs="Aria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4" w:name="_Hlk61701014"/>
      <w:bookmarkStart w:id="5" w:name="_Hlk62136649"/>
      <w:r w:rsidRPr="004C133A">
        <w:rPr>
          <w:rFonts w:ascii="Century Gothic" w:hAnsi="Century Gothic" w:cs="Arial"/>
        </w:rPr>
        <w:t xml:space="preserve">. Es necesario tener en cuenta que </w:t>
      </w:r>
      <w:bookmarkStart w:id="6" w:name="_Hlk61026958"/>
      <w:r w:rsidRPr="004C133A">
        <w:rPr>
          <w:rFonts w:ascii="Century Gothic" w:hAnsi="Century Gothic" w:cs="Arial"/>
        </w:rPr>
        <w:t xml:space="preserve">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 </w:t>
      </w:r>
      <w:bookmarkEnd w:id="4"/>
      <w:bookmarkEnd w:id="5"/>
      <w:bookmarkEnd w:id="6"/>
    </w:p>
    <w:p w14:paraId="3030B057" w14:textId="77777777" w:rsidR="00B136F8" w:rsidRPr="004C133A" w:rsidRDefault="00B136F8" w:rsidP="00B136F8">
      <w:pPr>
        <w:spacing w:line="276" w:lineRule="auto"/>
        <w:ind w:firstLine="360"/>
        <w:jc w:val="both"/>
        <w:rPr>
          <w:rFonts w:ascii="Century Gothic" w:hAnsi="Century Gothic" w:cs="Arial"/>
        </w:rPr>
      </w:pPr>
      <w:r w:rsidRPr="004C133A">
        <w:rPr>
          <w:rFonts w:ascii="Century Gothic" w:eastAsia="Calibri" w:hAnsi="Century Gothic" w:cs="Aria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4C133A">
        <w:rPr>
          <w:rFonts w:ascii="Century Gothic" w:hAnsi="Century Gothic"/>
          <w:vertAlign w:val="superscript"/>
        </w:rPr>
        <w:footnoteReference w:id="1"/>
      </w:r>
      <w:r w:rsidRPr="004C133A">
        <w:rPr>
          <w:rFonts w:ascii="Century Gothic" w:eastAsia="Calibri" w:hAnsi="Century Gothic" w:cs="Arial"/>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contractuales de donde surge la inquietud. Por lo anterior, previo concepto de sus órganos asesores, la solución de estos temas corresponde a la </w:t>
      </w:r>
      <w:r w:rsidRPr="004C133A">
        <w:rPr>
          <w:rFonts w:ascii="Century Gothic" w:eastAsia="Calibri" w:hAnsi="Century Gothic" w:cs="Arial"/>
        </w:rPr>
        <w:lastRenderedPageBreak/>
        <w:t xml:space="preserve">Entidad que suscribió el contrato y, en caso de conflicto, a las autoridades judiciales, fiscales y disciplinarias. </w:t>
      </w:r>
    </w:p>
    <w:p w14:paraId="56E9CAFA" w14:textId="77777777" w:rsidR="00B136F8" w:rsidRPr="004C133A" w:rsidRDefault="00B136F8" w:rsidP="00B136F8">
      <w:pPr>
        <w:tabs>
          <w:tab w:val="left" w:pos="426"/>
        </w:tabs>
        <w:spacing w:line="276" w:lineRule="auto"/>
        <w:jc w:val="both"/>
        <w:rPr>
          <w:rFonts w:ascii="Century Gothic" w:eastAsia="Calibri" w:hAnsi="Century Gothic" w:cs="Arial"/>
        </w:rPr>
      </w:pPr>
      <w:r w:rsidRPr="004C133A">
        <w:rPr>
          <w:rFonts w:ascii="Century Gothic" w:hAnsi="Century Gothic" w:cs="Arial"/>
        </w:rPr>
        <w:tab/>
        <w:t>Sin perjuicio de lo anterior, la Agencia –dentro de los límites de sus atribuciones– resolverá la consulta conforme a las normas generales en materia de contratación estatal. En línea con lo anterior, p</w:t>
      </w:r>
      <w:r w:rsidRPr="004C133A">
        <w:rPr>
          <w:rFonts w:ascii="Century Gothic" w:eastAsia="Calibri" w:hAnsi="Century Gothic" w:cs="Arial"/>
          <w:lang w:val="es-ES_tradnl"/>
        </w:rPr>
        <w:t xml:space="preserve">ara responder la consulta planteada, la Agencia </w:t>
      </w:r>
      <w:r w:rsidRPr="004C133A">
        <w:rPr>
          <w:rFonts w:ascii="Century Gothic" w:eastAsia="Calibri" w:hAnsi="Century Gothic" w:cs="Arial"/>
        </w:rPr>
        <w:t xml:space="preserve">Nacional de Contratación Pública </w:t>
      </w:r>
      <w:r w:rsidRPr="00E269E5">
        <w:rPr>
          <w:rFonts w:ascii="Arial" w:eastAsia="Calibri" w:hAnsi="Arial" w:cs="Arial"/>
        </w:rPr>
        <w:t>‒</w:t>
      </w:r>
      <w:r w:rsidRPr="004C133A">
        <w:rPr>
          <w:rFonts w:ascii="Century Gothic" w:eastAsia="Calibri" w:hAnsi="Century Gothic" w:cs="Arial"/>
        </w:rPr>
        <w:t xml:space="preserve"> Colombia Compra Eficiente realizar</w:t>
      </w:r>
      <w:r w:rsidRPr="004C133A">
        <w:rPr>
          <w:rFonts w:ascii="Century Gothic" w:eastAsia="Calibri" w:hAnsi="Century Gothic" w:cs="Century Gothic"/>
        </w:rPr>
        <w:t>á</w:t>
      </w:r>
      <w:r w:rsidRPr="004C133A">
        <w:rPr>
          <w:rFonts w:ascii="Century Gothic" w:eastAsia="Calibri" w:hAnsi="Century Gothic" w:cs="Arial"/>
        </w:rPr>
        <w:t xml:space="preserve"> algunas consideraciones sobre los siguientes temas: i) alcance y finalidad de las restricciones a la contrataci</w:t>
      </w:r>
      <w:r w:rsidRPr="004C133A">
        <w:rPr>
          <w:rFonts w:ascii="Century Gothic" w:eastAsia="Calibri" w:hAnsi="Century Gothic" w:cs="Century Gothic"/>
        </w:rPr>
        <w:t>ó</w:t>
      </w:r>
      <w:r w:rsidRPr="004C133A">
        <w:rPr>
          <w:rFonts w:ascii="Century Gothic" w:eastAsia="Calibri" w:hAnsi="Century Gothic" w:cs="Arial"/>
        </w:rPr>
        <w:t>n establecidas en la Ley de Garant</w:t>
      </w:r>
      <w:r w:rsidRPr="004C133A">
        <w:rPr>
          <w:rFonts w:ascii="Century Gothic" w:eastAsia="Calibri" w:hAnsi="Century Gothic" w:cs="Century Gothic"/>
        </w:rPr>
        <w:t>í</w:t>
      </w:r>
      <w:r w:rsidRPr="004C133A">
        <w:rPr>
          <w:rFonts w:ascii="Century Gothic" w:eastAsia="Calibri" w:hAnsi="Century Gothic" w:cs="Arial"/>
        </w:rPr>
        <w:t>as Electorales; y ii) aplicabilidad de las restricciones contractuales de la Ley de Garantías Electorales a los convenios de asociación con entidades privadas sin ánimo de lucro</w:t>
      </w:r>
    </w:p>
    <w:p w14:paraId="621CBCB3" w14:textId="77777777" w:rsidR="00B136F8" w:rsidRPr="004C133A" w:rsidRDefault="00B136F8" w:rsidP="00B136F8">
      <w:pPr>
        <w:spacing w:before="120" w:line="276" w:lineRule="auto"/>
        <w:ind w:firstLine="708"/>
        <w:jc w:val="both"/>
        <w:rPr>
          <w:rFonts w:ascii="Century Gothic" w:hAnsi="Century Gothic" w:cs="Arial"/>
          <w:color w:val="000000" w:themeColor="text1"/>
        </w:rPr>
      </w:pPr>
      <w:r w:rsidRPr="004C133A">
        <w:rPr>
          <w:rFonts w:ascii="Century Gothic" w:eastAsia="Calibri" w:hAnsi="Century Gothic" w:cs="Arial"/>
          <w:color w:val="000000" w:themeColor="text1"/>
        </w:rPr>
        <w:t>La Agencia Nacional de Contratación Pública – Colombia Compra Eficiente, en los Conceptos</w:t>
      </w:r>
      <w:r w:rsidRPr="004C133A">
        <w:rPr>
          <w:rFonts w:ascii="Century Gothic" w:eastAsia="Calibri" w:hAnsi="Century Gothic" w:cs="Arial"/>
          <w:color w:val="000000" w:themeColor="text1"/>
          <w:lang w:val="es-MX" w:eastAsia="en-GB"/>
        </w:rPr>
        <w:t xml:space="preserve"> </w:t>
      </w:r>
      <w:r w:rsidRPr="004C133A">
        <w:rPr>
          <w:rStyle w:val="normaltextrun"/>
          <w:rFonts w:ascii="Century Gothic" w:hAnsi="Century Gothic" w:cs="Arial"/>
          <w:color w:val="000000"/>
          <w:shd w:val="clear" w:color="auto" w:fill="FFFFFF"/>
        </w:rPr>
        <w:t xml:space="preserve">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 C-723 del 28 de diciembre de 2021, C-715 del 21 de enero de 2022, C-718 del 24 de enero de 2022 y C-726 del 24 de enero de 2022, C-002 del 15 de febrero de 2022, C–005 del 16 de febrero de 2022, C-009 del 15 de febrero de 2022, C-014 del 18 de febrero de 2022, C-022 del 21 de febrero de 2022, C-023 del 22 de febrero de 2022, C-008 del 24 de febrero de 2022, C-045 del 3 de marzo de 2022, C-054 del 7 de marzo de 2022, C-064 del 8 de marzo de 2022, C-072 del 11 de marzo de, C-098 del 9 de marzo de 2022, C-099 del 22 de marzo de 2022, C-102 del 22 de marzo de 2022, C-107 del 18 de marzo de 2022, C-111 del 22 de marzo de 2022. C-115 del 22 de marzo de 2022, C-116 del 18 de marzo de 2022, C-127 del 22 de marzo de 2022, C-134 del 1° de abril de 2022, , </w:t>
      </w:r>
      <w:r w:rsidRPr="004C133A">
        <w:rPr>
          <w:rStyle w:val="normaltextrun"/>
          <w:rFonts w:ascii="Century Gothic" w:hAnsi="Century Gothic" w:cs="Arial"/>
          <w:color w:val="000000"/>
          <w:shd w:val="clear" w:color="auto" w:fill="FFFFFF"/>
        </w:rPr>
        <w:lastRenderedPageBreak/>
        <w:t>C-076 del 25 de abril de 2023, C-098 del 4 de mayo de 2023, C-105 del 14 de junio de 2023, C-107 del 8 de mayo de 2023, C-115 del 8 de junio de 2023, C-116 del 8 de junio de 2023, C-118 del 9 de junio de 2023, C-134 del 26 de mayo de 2023, C-145 del 18 de mayo de 2023 y C-149 del 1° de junio de 2023, C-182 del 23 de junio de 2023, C-345 del 14 de julio de 2023 y C-358 del 19 de julio de 2023, se ha pronunciado sobre la aplicación de la Ley de garantías</w:t>
      </w:r>
      <w:r w:rsidRPr="004C133A">
        <w:rPr>
          <w:rStyle w:val="Refdenotaalpie"/>
          <w:rFonts w:ascii="Century Gothic" w:eastAsia="Calibri" w:hAnsi="Century Gothic" w:cs="Arial"/>
        </w:rPr>
        <w:footnoteReference w:id="2"/>
      </w:r>
      <w:r w:rsidRPr="004C133A">
        <w:rPr>
          <w:rStyle w:val="normaltextrun"/>
          <w:rFonts w:ascii="Century Gothic" w:hAnsi="Century Gothic" w:cs="Arial"/>
          <w:color w:val="000000"/>
          <w:shd w:val="clear" w:color="auto" w:fill="FFFFFF"/>
        </w:rPr>
        <w:t xml:space="preserve">. </w:t>
      </w:r>
      <w:r w:rsidRPr="004C133A">
        <w:rPr>
          <w:rFonts w:ascii="Century Gothic" w:hAnsi="Century Gothic" w:cs="Arial"/>
        </w:rPr>
        <w:t xml:space="preserve">Las tesis expuestas </w:t>
      </w:r>
      <w:r w:rsidRPr="004C133A">
        <w:rPr>
          <w:rFonts w:ascii="Century Gothic" w:hAnsi="Century Gothic" w:cs="Arial"/>
          <w:color w:val="000000" w:themeColor="text1"/>
        </w:rPr>
        <w:t xml:space="preserve">en los anteriores conceptos se reiteran a continuación y se complementan en lo pertinente. </w:t>
      </w:r>
    </w:p>
    <w:p w14:paraId="037FFDBE" w14:textId="77777777" w:rsidR="00B136F8" w:rsidRPr="004C133A" w:rsidRDefault="00B136F8" w:rsidP="00B136F8">
      <w:pPr>
        <w:pStyle w:val="Prrafodelista"/>
        <w:numPr>
          <w:ilvl w:val="1"/>
          <w:numId w:val="4"/>
        </w:numPr>
        <w:spacing w:before="120" w:line="276" w:lineRule="auto"/>
        <w:ind w:left="1372"/>
        <w:jc w:val="both"/>
        <w:rPr>
          <w:rFonts w:ascii="Century Gothic" w:eastAsia="Calibri" w:hAnsi="Century Gothic" w:cs="Arial"/>
          <w:b/>
        </w:rPr>
      </w:pPr>
      <w:r w:rsidRPr="004C133A">
        <w:rPr>
          <w:rFonts w:ascii="Century Gothic" w:eastAsia="Calibri" w:hAnsi="Century Gothic" w:cs="Arial"/>
          <w:b/>
        </w:rPr>
        <w:t>Alcance y finalidad de las restricciones a la contratación establecidas en la Ley de Garantías Electorales</w:t>
      </w:r>
    </w:p>
    <w:p w14:paraId="603605EA" w14:textId="77777777" w:rsidR="00B136F8" w:rsidRPr="004C133A" w:rsidRDefault="00B136F8" w:rsidP="00B136F8">
      <w:pPr>
        <w:tabs>
          <w:tab w:val="left" w:pos="426"/>
        </w:tabs>
        <w:spacing w:line="276" w:lineRule="auto"/>
        <w:jc w:val="both"/>
        <w:rPr>
          <w:rFonts w:ascii="Century Gothic" w:hAnsi="Century Gothic" w:cs="Arial"/>
          <w:lang w:eastAsia="es-CO"/>
        </w:rPr>
      </w:pPr>
      <w:r w:rsidRPr="004C133A">
        <w:rPr>
          <w:rFonts w:ascii="Century Gothic" w:hAnsi="Century Gothic" w:cs="Arial"/>
          <w:lang w:eastAsia="es-CO"/>
        </w:rPr>
        <w:t>La Ley 996 de 2005, conocida como “Ley de Garantías Electorales”, tiene como propósito evitar cualquier tipo de arbitrariedad, de ventaja injustificada, de uso irregular de los recursos del Estado en las campañas o falta de garantías en la elección presidencial</w:t>
      </w:r>
      <w:r w:rsidRPr="004C133A">
        <w:rPr>
          <w:rStyle w:val="Refdenotaalpie"/>
          <w:rFonts w:ascii="Century Gothic" w:hAnsi="Century Gothic" w:cs="Arial"/>
          <w:lang w:eastAsia="es-CO"/>
        </w:rPr>
        <w:footnoteReference w:id="3"/>
      </w:r>
      <w:r w:rsidRPr="004C133A">
        <w:rPr>
          <w:rFonts w:ascii="Century Gothic" w:hAnsi="Century Gothic" w:cs="Arial"/>
          <w:lang w:eastAsia="es-CO"/>
        </w:rPr>
        <w:t>. En esta medida, introduce limitaciones para realizar nombramientos, postulaciones, contrataciones o cualquier otro tipo de actividad que implique destinación de recursos públicos bajo el devenir propio de las entidades estatales.</w:t>
      </w:r>
      <w:r w:rsidRPr="004C133A">
        <w:rPr>
          <w:rFonts w:ascii="Century Gothic" w:eastAsia="Calibri" w:hAnsi="Century Gothic" w:cs="Arial"/>
          <w:lang w:val="es-ES_tradnl"/>
        </w:rPr>
        <w:t xml:space="preserve"> </w:t>
      </w:r>
      <w:r w:rsidRPr="004C133A">
        <w:rPr>
          <w:rFonts w:ascii="Century Gothic" w:hAnsi="Century Gothic" w:cs="Arial"/>
          <w:lang w:eastAsia="es-CO"/>
        </w:rPr>
        <w:t>En armonía con lo anterior, la Corte Constitucional ha abordado la definición de la Ley de Garantías Electorales. De esta manera:</w:t>
      </w:r>
    </w:p>
    <w:p w14:paraId="138DBC13" w14:textId="77777777" w:rsidR="00B136F8" w:rsidRPr="004C133A" w:rsidRDefault="00B136F8" w:rsidP="00B136F8">
      <w:pPr>
        <w:pStyle w:val="Prrafodelista"/>
        <w:spacing w:line="276" w:lineRule="auto"/>
        <w:ind w:left="709" w:right="709"/>
        <w:jc w:val="both"/>
        <w:rPr>
          <w:rFonts w:ascii="Century Gothic" w:hAnsi="Century Gothic" w:cs="Arial"/>
          <w:sz w:val="21"/>
          <w:szCs w:val="21"/>
          <w:lang w:eastAsia="es-CO"/>
        </w:rPr>
      </w:pPr>
      <w:r w:rsidRPr="004C133A">
        <w:rPr>
          <w:rFonts w:ascii="Century Gothic" w:hAnsi="Century Gothic" w:cs="Arial"/>
          <w:sz w:val="21"/>
          <w:szCs w:val="21"/>
          <w:lang w:eastAsia="es-CO"/>
        </w:rPr>
        <w:t>“[…] 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4C133A">
        <w:rPr>
          <w:rStyle w:val="Refdenotaalpie"/>
          <w:rFonts w:ascii="Century Gothic" w:hAnsi="Century Gothic" w:cs="Arial"/>
          <w:sz w:val="21"/>
          <w:szCs w:val="21"/>
        </w:rPr>
        <w:footnoteReference w:id="4"/>
      </w:r>
      <w:r w:rsidRPr="004C133A">
        <w:rPr>
          <w:rFonts w:ascii="Century Gothic" w:hAnsi="Century Gothic" w:cs="Arial"/>
          <w:sz w:val="21"/>
          <w:szCs w:val="21"/>
          <w:lang w:eastAsia="es-CO"/>
        </w:rPr>
        <w:t>.”</w:t>
      </w:r>
    </w:p>
    <w:p w14:paraId="3F74E51E" w14:textId="77777777" w:rsidR="00B136F8" w:rsidRPr="004C133A" w:rsidRDefault="00B136F8" w:rsidP="00B136F8">
      <w:pPr>
        <w:spacing w:line="276" w:lineRule="auto"/>
        <w:ind w:firstLine="709"/>
        <w:jc w:val="both"/>
        <w:rPr>
          <w:rFonts w:ascii="Century Gothic" w:hAnsi="Century Gothic" w:cs="Arial"/>
          <w:lang w:eastAsia="es-CO"/>
        </w:rPr>
      </w:pPr>
      <w:bookmarkStart w:id="7" w:name="_Hlk78818186"/>
      <w:r w:rsidRPr="004C133A">
        <w:rPr>
          <w:rFonts w:ascii="Century Gothic" w:hAnsi="Century Gothic" w:cs="Arial"/>
          <w:lang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7"/>
      <w:r w:rsidRPr="004C133A">
        <w:rPr>
          <w:rFonts w:ascii="Century Gothic" w:hAnsi="Century Gothic" w:cs="Arial"/>
          <w:lang w:eastAsia="es-CO"/>
        </w:rPr>
        <w:t xml:space="preserve">Por </w:t>
      </w:r>
      <w:r w:rsidRPr="004C133A">
        <w:rPr>
          <w:rFonts w:ascii="Century Gothic" w:hAnsi="Century Gothic" w:cs="Arial"/>
          <w:lang w:eastAsia="es-CO"/>
        </w:rPr>
        <w:lastRenderedPageBreak/>
        <w:t>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02867CEE" w14:textId="77777777" w:rsidR="00B136F8" w:rsidRPr="004C133A" w:rsidRDefault="00B136F8" w:rsidP="00B136F8">
      <w:pPr>
        <w:spacing w:after="120" w:line="276" w:lineRule="auto"/>
        <w:ind w:left="709" w:right="709"/>
        <w:jc w:val="both"/>
        <w:rPr>
          <w:rFonts w:ascii="Century Gothic" w:hAnsi="Century Gothic" w:cs="Arial"/>
          <w:sz w:val="21"/>
          <w:szCs w:val="21"/>
          <w:lang w:eastAsia="es-CO"/>
        </w:rPr>
      </w:pPr>
      <w:r w:rsidRPr="004C133A">
        <w:rPr>
          <w:rFonts w:ascii="Century Gothic" w:hAnsi="Century Gothic" w:cs="Arial"/>
          <w:sz w:val="21"/>
          <w:szCs w:val="21"/>
          <w:lang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7C735F71" w14:textId="77777777" w:rsidR="00B136F8" w:rsidRPr="004C133A" w:rsidRDefault="00B136F8" w:rsidP="00B136F8">
      <w:pPr>
        <w:spacing w:line="276" w:lineRule="auto"/>
        <w:ind w:left="709" w:right="709"/>
        <w:jc w:val="both"/>
        <w:rPr>
          <w:rFonts w:ascii="Century Gothic" w:hAnsi="Century Gothic" w:cs="Arial"/>
          <w:sz w:val="21"/>
          <w:szCs w:val="21"/>
          <w:lang w:eastAsia="es-CO"/>
        </w:rPr>
      </w:pPr>
      <w:r w:rsidRPr="004C133A">
        <w:rPr>
          <w:rFonts w:ascii="Century Gothic" w:hAnsi="Century Gothic" w:cs="Arial"/>
          <w:sz w:val="21"/>
          <w:szCs w:val="21"/>
          <w:lang w:eastAsia="es-CO"/>
        </w:rPr>
        <w:t>La jurisprudencia de la Corte Constitucional</w:t>
      </w:r>
      <w:r w:rsidRPr="004C133A">
        <w:rPr>
          <w:rStyle w:val="Refdenotaalpie"/>
          <w:rFonts w:ascii="Century Gothic" w:hAnsi="Century Gothic" w:cs="Arial"/>
          <w:sz w:val="21"/>
          <w:szCs w:val="21"/>
          <w:lang w:eastAsia="es-CO"/>
        </w:rPr>
        <w:footnoteReference w:id="5"/>
      </w:r>
      <w:r w:rsidRPr="004C133A">
        <w:rPr>
          <w:rFonts w:ascii="Century Gothic" w:hAnsi="Century Gothic" w:cs="Arial"/>
          <w:sz w:val="21"/>
          <w:szCs w:val="21"/>
          <w:lang w:eastAsia="es-CO"/>
        </w:rPr>
        <w:t> y del Consejo de Estado</w:t>
      </w:r>
      <w:r w:rsidRPr="004C133A">
        <w:rPr>
          <w:rStyle w:val="Refdenotaalpie"/>
          <w:rFonts w:ascii="Century Gothic" w:hAnsi="Century Gothic" w:cs="Arial"/>
          <w:sz w:val="21"/>
          <w:szCs w:val="21"/>
          <w:lang w:eastAsia="es-CO"/>
        </w:rPr>
        <w:footnoteReference w:id="6"/>
      </w:r>
      <w:r w:rsidRPr="004C133A">
        <w:rPr>
          <w:rFonts w:ascii="Century Gothic" w:hAnsi="Century Gothic" w:cs="Arial"/>
          <w:sz w:val="21"/>
          <w:szCs w:val="21"/>
          <w:lang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4C133A">
        <w:rPr>
          <w:rStyle w:val="Refdenotaalpie"/>
          <w:rFonts w:ascii="Century Gothic" w:hAnsi="Century Gothic" w:cs="Arial"/>
          <w:sz w:val="21"/>
          <w:szCs w:val="21"/>
          <w:lang w:eastAsia="es-CO"/>
        </w:rPr>
        <w:footnoteReference w:id="7"/>
      </w:r>
      <w:r w:rsidRPr="004C133A">
        <w:rPr>
          <w:rFonts w:ascii="Century Gothic" w:hAnsi="Century Gothic" w:cs="Arial"/>
          <w:sz w:val="21"/>
          <w:szCs w:val="21"/>
          <w:lang w:eastAsia="es-CO"/>
        </w:rPr>
        <w:t>.”</w:t>
      </w:r>
    </w:p>
    <w:p w14:paraId="71217FF7" w14:textId="77777777" w:rsidR="00B136F8" w:rsidRPr="004C133A" w:rsidRDefault="00B136F8" w:rsidP="00B136F8">
      <w:pPr>
        <w:spacing w:after="120" w:line="276" w:lineRule="auto"/>
        <w:ind w:firstLine="708"/>
        <w:jc w:val="both"/>
        <w:rPr>
          <w:rFonts w:ascii="Century Gothic" w:eastAsia="Arial" w:hAnsi="Century Gothic" w:cs="Arial"/>
          <w:lang w:eastAsia="es-ES" w:bidi="es-ES"/>
        </w:rPr>
      </w:pPr>
      <w:r w:rsidRPr="004C133A">
        <w:rPr>
          <w:rFonts w:ascii="Century Gothic" w:hAnsi="Century Gothic" w:cs="Arial"/>
          <w:lang w:eastAsia="es-CO"/>
        </w:rPr>
        <w:t>De</w:t>
      </w:r>
      <w:r w:rsidRPr="004C133A">
        <w:rPr>
          <w:rFonts w:ascii="Century Gothic" w:eastAsia="Arial" w:hAnsi="Century Gothic" w:cs="Arial"/>
          <w:lang w:eastAsia="es-ES" w:bidi="es-ES"/>
        </w:rPr>
        <w:t xml:space="preserve"> conformidad con lo anterior, </w:t>
      </w:r>
      <w:bookmarkStart w:id="8" w:name="_Hlk77236098"/>
      <w:r w:rsidRPr="004C133A">
        <w:rPr>
          <w:rFonts w:ascii="Century Gothic" w:eastAsia="Arial" w:hAnsi="Century Gothic" w:cs="Arial"/>
          <w:lang w:eastAsia="es-ES" w:bidi="es-ES"/>
        </w:rPr>
        <w:t xml:space="preserve">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w:t>
      </w:r>
      <w:r w:rsidRPr="004C133A">
        <w:rPr>
          <w:rFonts w:ascii="Century Gothic" w:eastAsia="Arial" w:hAnsi="Century Gothic" w:cs="Arial"/>
          <w:lang w:eastAsia="es-ES" w:bidi="es-ES"/>
        </w:rPr>
        <w:lastRenderedPageBreak/>
        <w:t>claramente diferenciadas: las presidenciales y las demás que se adelanten para la elección de los demás cargos de elección popular, tanto a nivel nacional como a nivel territorial.</w:t>
      </w:r>
      <w:bookmarkEnd w:id="8"/>
    </w:p>
    <w:p w14:paraId="2D3718B3" w14:textId="77777777" w:rsidR="00B136F8" w:rsidRPr="004C133A" w:rsidRDefault="00B136F8" w:rsidP="00B136F8">
      <w:pPr>
        <w:spacing w:after="120" w:line="276" w:lineRule="auto"/>
        <w:ind w:firstLine="708"/>
        <w:jc w:val="both"/>
        <w:rPr>
          <w:rFonts w:ascii="Century Gothic" w:eastAsia="Calibri" w:hAnsi="Century Gothic" w:cs="Arial"/>
        </w:rPr>
      </w:pPr>
      <w:r w:rsidRPr="004C133A">
        <w:rPr>
          <w:rFonts w:ascii="Century Gothic" w:eastAsia="Calibri" w:hAnsi="Century Gothic" w:cs="Arial"/>
        </w:rPr>
        <w:t>Por un lado, 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C133A">
        <w:rPr>
          <w:rFonts w:ascii="Century Gothic" w:eastAsia="Calibri" w:hAnsi="Century Gothic" w:cs="Arial"/>
          <w:vertAlign w:val="superscript"/>
        </w:rPr>
        <w:footnoteReference w:id="8"/>
      </w:r>
      <w:r w:rsidRPr="004C133A">
        <w:rPr>
          <w:rFonts w:ascii="Century Gothic" w:eastAsia="Calibri" w:hAnsi="Century Gothic" w:cs="Arial"/>
        </w:rPr>
        <w:t>.</w:t>
      </w:r>
    </w:p>
    <w:p w14:paraId="35BB4925" w14:textId="77777777" w:rsidR="00B136F8" w:rsidRPr="004C133A" w:rsidRDefault="00B136F8" w:rsidP="00B136F8">
      <w:pPr>
        <w:widowControl w:val="0"/>
        <w:autoSpaceDE w:val="0"/>
        <w:autoSpaceDN w:val="0"/>
        <w:spacing w:line="276" w:lineRule="auto"/>
        <w:ind w:right="113" w:firstLine="708"/>
        <w:jc w:val="both"/>
        <w:rPr>
          <w:rFonts w:ascii="Century Gothic" w:eastAsia="Arial" w:hAnsi="Century Gothic" w:cs="Arial"/>
          <w:lang w:eastAsia="es-ES" w:bidi="es-ES"/>
        </w:rPr>
      </w:pPr>
      <w:r w:rsidRPr="004C133A">
        <w:rPr>
          <w:rFonts w:ascii="Century Gothic" w:eastAsia="Calibri" w:hAnsi="Century Gothic" w:cs="Arial"/>
        </w:rPr>
        <w:t>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C133A">
        <w:rPr>
          <w:rFonts w:ascii="Century Gothic" w:eastAsia="Calibri" w:hAnsi="Century Gothic" w:cs="Arial"/>
          <w:sz w:val="19"/>
          <w:szCs w:val="19"/>
        </w:rPr>
        <w:t>”</w:t>
      </w:r>
      <w:r w:rsidRPr="004C133A">
        <w:rPr>
          <w:rFonts w:ascii="Century Gothic" w:eastAsia="Calibri" w:hAnsi="Century Gothic" w:cs="Arial"/>
          <w:sz w:val="19"/>
          <w:szCs w:val="19"/>
          <w:vertAlign w:val="superscript"/>
        </w:rPr>
        <w:footnoteReference w:id="9"/>
      </w:r>
      <w:r w:rsidRPr="004C133A">
        <w:rPr>
          <w:rFonts w:ascii="Century Gothic" w:eastAsia="Calibri" w:hAnsi="Century Gothic" w:cs="Arial"/>
        </w:rPr>
        <w:t>.</w:t>
      </w:r>
      <w:r w:rsidRPr="004C133A">
        <w:rPr>
          <w:rFonts w:ascii="Century Gothic" w:eastAsia="Arial" w:hAnsi="Century Gothic" w:cs="Arial"/>
          <w:lang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6CF1DA2B" w14:textId="77777777" w:rsidR="00B136F8" w:rsidRPr="004C133A" w:rsidRDefault="00B136F8" w:rsidP="00B136F8">
      <w:pPr>
        <w:widowControl w:val="0"/>
        <w:autoSpaceDE w:val="0"/>
        <w:autoSpaceDN w:val="0"/>
        <w:spacing w:line="276" w:lineRule="auto"/>
        <w:ind w:left="709" w:right="709"/>
        <w:jc w:val="both"/>
        <w:rPr>
          <w:rFonts w:ascii="Century Gothic" w:eastAsia="Arial" w:hAnsi="Century Gothic" w:cs="Arial"/>
          <w:sz w:val="21"/>
          <w:szCs w:val="21"/>
          <w:lang w:eastAsia="es-ES" w:bidi="es-ES"/>
        </w:rPr>
      </w:pPr>
      <w:r w:rsidRPr="004C133A">
        <w:rPr>
          <w:rFonts w:ascii="Century Gothic" w:eastAsia="Arial" w:hAnsi="Century Gothic" w:cs="Arial"/>
          <w:sz w:val="21"/>
          <w:szCs w:val="21"/>
          <w:lang w:eastAsia="es-ES" w:bidi="es-ES"/>
        </w:rPr>
        <w:t xml:space="preserve">“La interpretación sistemática de las disposiciones consagradas en los artículos 32, 33 y el parágrafo del artículo 38 de la ley 996 de 2.005 lleva a concluir que dichas normas contienen restricciones y prohibiciones para </w:t>
      </w:r>
      <w:r w:rsidRPr="004C133A">
        <w:rPr>
          <w:rFonts w:ascii="Century Gothic" w:eastAsia="Arial" w:hAnsi="Century Gothic" w:cs="Arial"/>
          <w:sz w:val="21"/>
          <w:szCs w:val="21"/>
          <w:lang w:eastAsia="es-ES" w:bidi="es-ES"/>
        </w:rPr>
        <w:lastRenderedPageBreak/>
        <w:t xml:space="preserve">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1" w:name="_Hlk76109421"/>
      <w:r w:rsidRPr="004C133A">
        <w:rPr>
          <w:rFonts w:ascii="Century Gothic" w:eastAsia="Arial" w:hAnsi="Century Gothic" w:cs="Arial"/>
          <w:sz w:val="21"/>
          <w:szCs w:val="21"/>
          <w:lang w:eastAsia="es-ES" w:bidi="es-ES"/>
        </w:rPr>
        <w:t>se integran parcialmente</w:t>
      </w:r>
      <w:bookmarkEnd w:id="11"/>
      <w:r w:rsidRPr="004C133A">
        <w:rPr>
          <w:rFonts w:ascii="Century Gothic" w:eastAsia="Arial" w:hAnsi="Century Gothic" w:cs="Arial"/>
          <w:sz w:val="21"/>
          <w:szCs w:val="21"/>
          <w:lang w:eastAsia="es-ES" w:bidi="es-ES"/>
        </w:rPr>
        <w:t>, lo que permite concluir que en periodo preelectoral para elección de Presidente de la República, a todos los entes del Estado, incluidos los territoriales, se aplican las restricciones de los artículos 32 y 33 con sus excepciones, así como las del parágrafo del artículo 38. En cambio, para elecciones en general, excluyendo las correspondientes a Presidente de la República, a las autoridades territoriales allí mencionadas sólo se aplican las restricciones contenidas en el parágrafo del artículo 38</w:t>
      </w:r>
      <w:r w:rsidRPr="004C133A">
        <w:rPr>
          <w:rFonts w:ascii="Century Gothic" w:eastAsia="Arial" w:hAnsi="Century Gothic" w:cs="Arial"/>
          <w:sz w:val="21"/>
          <w:szCs w:val="21"/>
          <w:vertAlign w:val="superscript"/>
          <w:lang w:eastAsia="es-ES" w:bidi="es-ES"/>
        </w:rPr>
        <w:footnoteReference w:id="10"/>
      </w:r>
      <w:r w:rsidRPr="004C133A">
        <w:rPr>
          <w:rFonts w:ascii="Century Gothic" w:eastAsia="Arial" w:hAnsi="Century Gothic" w:cs="Arial"/>
          <w:sz w:val="21"/>
          <w:szCs w:val="21"/>
          <w:lang w:eastAsia="es-ES" w:bidi="es-ES"/>
        </w:rPr>
        <w:t>.”</w:t>
      </w:r>
      <w:r w:rsidRPr="004C133A">
        <w:rPr>
          <w:rFonts w:ascii="Century Gothic" w:hAnsi="Century Gothic" w:cs="Calibri"/>
        </w:rPr>
        <w:t xml:space="preserve"> </w:t>
      </w:r>
    </w:p>
    <w:p w14:paraId="154B99A3" w14:textId="77777777" w:rsidR="00B136F8" w:rsidRPr="004C133A" w:rsidRDefault="00B136F8" w:rsidP="00B136F8">
      <w:pPr>
        <w:spacing w:after="120" w:line="276" w:lineRule="auto"/>
        <w:ind w:firstLine="709"/>
        <w:jc w:val="both"/>
        <w:rPr>
          <w:rFonts w:ascii="Century Gothic" w:eastAsia="Arial" w:hAnsi="Century Gothic" w:cs="Arial"/>
          <w:lang w:eastAsia="es-ES" w:bidi="es-ES"/>
        </w:rPr>
      </w:pPr>
      <w:r w:rsidRPr="004C133A">
        <w:rPr>
          <w:rFonts w:ascii="Century Gothic" w:eastAsia="Arial" w:hAnsi="Century Gothic" w:cs="Arial"/>
          <w:lang w:eastAsia="es-ES" w:bidi="es-ES"/>
        </w:rPr>
        <w:t xml:space="preserve">De conformidad con lo anterior, </w:t>
      </w:r>
      <w:bookmarkStart w:id="12" w:name="_Hlk77236420"/>
      <w:bookmarkStart w:id="13" w:name="_Hlk78818435"/>
      <w:r w:rsidRPr="004C133A">
        <w:rPr>
          <w:rFonts w:ascii="Century Gothic" w:eastAsia="Arial" w:hAnsi="Century Gothic" w:cs="Arial"/>
          <w:lang w:eastAsia="es-ES" w:bidi="es-ES"/>
        </w:rPr>
        <w:t xml:space="preserve">la Ley 996 de 2005 establece dos (2) tipos de restricciones en materia de contratación, las cuales coinciden parcialmente. </w:t>
      </w:r>
      <w:r w:rsidRPr="004C133A">
        <w:rPr>
          <w:rFonts w:ascii="Century Gothic" w:eastAsia="Arial" w:hAnsi="Century Gothic" w:cs="Arial"/>
          <w:i/>
          <w:lang w:eastAsia="es-ES" w:bidi="es-ES"/>
        </w:rPr>
        <w:t>En primer lugar</w:t>
      </w:r>
      <w:r w:rsidRPr="004C133A">
        <w:rPr>
          <w:rFonts w:ascii="Century Gothic" w:eastAsia="Arial" w:hAnsi="Century Gothic" w:cs="Arial"/>
          <w:lang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4C133A">
        <w:rPr>
          <w:rFonts w:ascii="Century Gothic" w:eastAsia="Arial" w:hAnsi="Century Gothic" w:cs="Arial"/>
          <w:i/>
          <w:lang w:eastAsia="es-ES" w:bidi="es-ES"/>
        </w:rPr>
        <w:t>En segundo lugar</w:t>
      </w:r>
      <w:r w:rsidRPr="004C133A">
        <w:rPr>
          <w:rFonts w:ascii="Century Gothic" w:eastAsia="Arial" w:hAnsi="Century Gothic" w:cs="Arial"/>
          <w:lang w:eastAsia="es-ES" w:bidi="es-ES"/>
        </w:rPr>
        <w:t>, también se encuentra la prohibición del inciso primero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2"/>
    </w:p>
    <w:bookmarkEnd w:id="13"/>
    <w:p w14:paraId="1051B8FE" w14:textId="77777777" w:rsidR="00B136F8" w:rsidRPr="004C133A" w:rsidRDefault="00B136F8" w:rsidP="00B136F8">
      <w:pPr>
        <w:spacing w:after="120" w:line="276" w:lineRule="auto"/>
        <w:ind w:firstLine="708"/>
        <w:jc w:val="both"/>
        <w:rPr>
          <w:rFonts w:ascii="Century Gothic" w:eastAsia="Arial" w:hAnsi="Century Gothic" w:cs="Arial"/>
          <w:lang w:eastAsia="es-ES" w:bidi="es-ES"/>
        </w:rPr>
      </w:pPr>
      <w:r w:rsidRPr="004C133A">
        <w:rPr>
          <w:rFonts w:ascii="Century Gothic" w:eastAsia="Arial" w:hAnsi="Century Gothic" w:cs="Arial"/>
          <w:lang w:eastAsia="es-ES" w:bidi="es-ES"/>
        </w:rPr>
        <w:t xml:space="preserve">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w:t>
      </w:r>
      <w:r w:rsidRPr="004C133A">
        <w:rPr>
          <w:rFonts w:ascii="Century Gothic" w:eastAsia="Arial" w:hAnsi="Century Gothic" w:cs="Arial"/>
          <w:lang w:eastAsia="es-ES" w:bidi="es-ES"/>
        </w:rPr>
        <w:lastRenderedPageBreak/>
        <w:t>República, las autoridades allí mencionadas sólo deben aplicar las restricciones contenidas en el parágrafo del artículo 38.</w:t>
      </w:r>
    </w:p>
    <w:p w14:paraId="2A329349" w14:textId="77777777" w:rsidR="00B136F8" w:rsidRPr="004C133A" w:rsidRDefault="00B136F8" w:rsidP="00B136F8">
      <w:pPr>
        <w:spacing w:line="276" w:lineRule="auto"/>
        <w:ind w:firstLine="708"/>
        <w:jc w:val="both"/>
        <w:rPr>
          <w:rFonts w:ascii="Century Gothic" w:eastAsia="Arial" w:hAnsi="Century Gothic" w:cs="Arial"/>
          <w:lang w:eastAsia="es-ES" w:bidi="es-ES"/>
        </w:rPr>
      </w:pPr>
      <w:r w:rsidRPr="004C133A">
        <w:rPr>
          <w:rFonts w:ascii="Century Gothic" w:eastAsia="Arial" w:hAnsi="Century Gothic" w:cs="Arial"/>
          <w:lang w:eastAsia="es-ES" w:bidi="es-ES"/>
        </w:rPr>
        <w:t xml:space="preserve">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71491508" w14:textId="77777777" w:rsidR="00B136F8" w:rsidRPr="004C133A" w:rsidRDefault="00B136F8" w:rsidP="00B136F8">
      <w:pPr>
        <w:pStyle w:val="Prrafodelista"/>
        <w:numPr>
          <w:ilvl w:val="1"/>
          <w:numId w:val="4"/>
        </w:numPr>
        <w:spacing w:line="276" w:lineRule="auto"/>
        <w:ind w:left="1372"/>
        <w:jc w:val="both"/>
        <w:rPr>
          <w:rFonts w:ascii="Century Gothic" w:hAnsi="Century Gothic" w:cs="Arial"/>
          <w:b/>
          <w:sz w:val="21"/>
          <w:szCs w:val="21"/>
          <w:lang w:eastAsia="es-CO"/>
        </w:rPr>
      </w:pPr>
      <w:r w:rsidRPr="004C133A">
        <w:rPr>
          <w:rFonts w:ascii="Century Gothic" w:hAnsi="Century Gothic" w:cs="Arial"/>
          <w:b/>
          <w:sz w:val="21"/>
          <w:szCs w:val="21"/>
          <w:lang w:eastAsia="es-CO"/>
        </w:rPr>
        <w:t>Aplicabilidad de las restricciones contractuales de la Ley de Garantías Electorales a los convenios de asociación con entidades privadas sin ánimo de lucro</w:t>
      </w:r>
    </w:p>
    <w:p w14:paraId="1BB8D8FB" w14:textId="77777777" w:rsidR="00B136F8" w:rsidRPr="004C133A" w:rsidRDefault="00B136F8" w:rsidP="00B136F8">
      <w:pPr>
        <w:pStyle w:val="Sinespaciado"/>
        <w:spacing w:after="120" w:line="276" w:lineRule="auto"/>
        <w:jc w:val="both"/>
        <w:rPr>
          <w:rFonts w:ascii="Century Gothic" w:eastAsia="Calibri" w:hAnsi="Century Gothic" w:cs="Arial"/>
          <w:sz w:val="22"/>
        </w:rPr>
      </w:pPr>
      <w:bookmarkStart w:id="14" w:name="_Hlk99534341"/>
      <w:r w:rsidRPr="004C133A">
        <w:rPr>
          <w:rFonts w:ascii="Century Gothic" w:hAnsi="Century Gothic" w:cs="Arial"/>
          <w:sz w:val="22"/>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privadas sin ánimo de lucro –ESAL– con el fin de impulsar programas y actividades de interés público acordes con el plan nacional y los planes seccionales de desarrollo</w:t>
      </w:r>
      <w:r w:rsidRPr="004C133A">
        <w:rPr>
          <w:rStyle w:val="Refdenotaalpie"/>
          <w:rFonts w:ascii="Century Gothic" w:hAnsi="Century Gothic" w:cs="Arial"/>
          <w:sz w:val="22"/>
        </w:rPr>
        <w:footnoteReference w:id="11"/>
      </w:r>
      <w:r w:rsidRPr="004C133A">
        <w:rPr>
          <w:rFonts w:ascii="Century Gothic" w:hAnsi="Century Gothic" w:cs="Arial"/>
          <w:sz w:val="22"/>
        </w:rPr>
        <w:t xml:space="preserve">. </w:t>
      </w:r>
      <w:r w:rsidRPr="004C133A">
        <w:rPr>
          <w:rFonts w:ascii="Century Gothic" w:eastAsia="Calibri" w:hAnsi="Century Gothic" w:cs="Arial"/>
          <w:sz w:val="22"/>
        </w:rPr>
        <w:t>Por otra parte, la Ley 489 de 1998, en el artículo 96, permite a las entidades públicas en general, es decir, cualquiera sea su naturaleza y orden administrativo, asociarse con personas jurídicas particulares, mediante la celebración de convenios de asociación o la creación de personas jurídicas</w:t>
      </w:r>
      <w:r w:rsidRPr="004C133A">
        <w:rPr>
          <w:rStyle w:val="Refdenotaalpie"/>
          <w:rFonts w:ascii="Century Gothic" w:eastAsia="Calibri" w:hAnsi="Century Gothic" w:cs="Arial"/>
          <w:sz w:val="22"/>
        </w:rPr>
        <w:footnoteReference w:id="12"/>
      </w:r>
      <w:r w:rsidRPr="004C133A">
        <w:rPr>
          <w:rFonts w:ascii="Century Gothic" w:eastAsia="Calibri" w:hAnsi="Century Gothic" w:cs="Arial"/>
          <w:sz w:val="22"/>
        </w:rPr>
        <w:t xml:space="preserve">. </w:t>
      </w:r>
      <w:r w:rsidRPr="004C133A">
        <w:rPr>
          <w:rFonts w:ascii="Century Gothic" w:eastAsia="Calibri" w:hAnsi="Century Gothic" w:cs="Arial"/>
          <w:sz w:val="22"/>
        </w:rPr>
        <w:lastRenderedPageBreak/>
        <w:t>Ambas figuras tienen como fin desarrollar conjuntamente actividades relacionadas con los cometidos y funciones legales asignadas a la entidad.</w:t>
      </w:r>
      <w:bookmarkEnd w:id="14"/>
    </w:p>
    <w:p w14:paraId="1D68DF71" w14:textId="77777777" w:rsidR="00B136F8" w:rsidRPr="004C133A" w:rsidRDefault="00B136F8" w:rsidP="00B136F8">
      <w:pPr>
        <w:spacing w:after="120" w:line="276" w:lineRule="auto"/>
        <w:ind w:firstLine="708"/>
        <w:jc w:val="both"/>
        <w:rPr>
          <w:rFonts w:ascii="Century Gothic" w:eastAsia="Calibri" w:hAnsi="Century Gothic" w:cs="Arial"/>
        </w:rPr>
      </w:pPr>
      <w:r w:rsidRPr="004C133A">
        <w:rPr>
          <w:rFonts w:ascii="Century Gothic" w:hAnsi="Century Gothic" w:cs="Arial"/>
        </w:rPr>
        <w:t>En desarrollo del artículo 355 de la Constitución, el Gobierno Nacional expidió el Decreto 92 de 2017, q</w:t>
      </w:r>
      <w:r w:rsidRPr="004C133A">
        <w:rPr>
          <w:rFonts w:ascii="Century Gothic" w:eastAsia="Calibri" w:hAnsi="Century Gothic" w:cs="Arial"/>
        </w:rPr>
        <w:t xml:space="preserve">ue dispone las reglas para las contrataciones que realicen las entidades estatales con las ESAL. El Decreto regula dos eventos: i) los </w:t>
      </w:r>
      <w:r w:rsidRPr="004C133A">
        <w:rPr>
          <w:rFonts w:ascii="Century Gothic" w:eastAsia="Calibri" w:hAnsi="Century Gothic" w:cs="Arial"/>
          <w:i/>
        </w:rPr>
        <w:t>contratos de colaboración</w:t>
      </w:r>
      <w:r w:rsidRPr="004C133A">
        <w:rPr>
          <w:rFonts w:ascii="Century Gothic" w:eastAsia="Calibri" w:hAnsi="Century Gothic" w:cs="Arial"/>
        </w:rPr>
        <w:t xml:space="preserve"> o de interés público con el fin impulsar programas y actividades de interés público de acuerdo con el Plan Nacional o los planes seccionales de desarrollo, en los términos del artículo 355 de la Constitución Política; y ii) </w:t>
      </w:r>
      <w:bookmarkStart w:id="15" w:name="_Hlk99534400"/>
      <w:r w:rsidRPr="004C133A">
        <w:rPr>
          <w:rFonts w:ascii="Century Gothic" w:eastAsia="Calibri" w:hAnsi="Century Gothic" w:cs="Arial"/>
        </w:rPr>
        <w:t xml:space="preserve">los </w:t>
      </w:r>
      <w:r w:rsidRPr="004C133A">
        <w:rPr>
          <w:rFonts w:ascii="Century Gothic" w:eastAsia="Calibri" w:hAnsi="Century Gothic" w:cs="Arial"/>
          <w:i/>
        </w:rPr>
        <w:t>convenios de asociación</w:t>
      </w:r>
      <w:r w:rsidRPr="004C133A">
        <w:rPr>
          <w:rFonts w:ascii="Century Gothic" w:eastAsia="Calibri" w:hAnsi="Century Gothic" w:cs="Arial"/>
        </w:rPr>
        <w:t>, para el desarrollo conjunto de actividades relacionadas con las funciones de las entidades estatales, en desarrollo del artículo 96 de la Ley 489 de 1998</w:t>
      </w:r>
      <w:bookmarkEnd w:id="15"/>
      <w:r w:rsidRPr="004C133A">
        <w:rPr>
          <w:rFonts w:ascii="Century Gothic" w:eastAsia="Calibri" w:hAnsi="Century Gothic" w:cs="Arial"/>
        </w:rPr>
        <w:t xml:space="preserve">. Los primeros están regulados en el artículo 2 </w:t>
      </w:r>
      <w:bookmarkStart w:id="16" w:name="_Hlk99534444"/>
      <w:r w:rsidRPr="004C133A">
        <w:rPr>
          <w:rFonts w:ascii="Century Gothic" w:eastAsia="Calibri" w:hAnsi="Century Gothic" w:cs="Arial"/>
        </w:rPr>
        <w:t>del Decreto 92 de 2017</w:t>
      </w:r>
      <w:bookmarkEnd w:id="16"/>
      <w:r w:rsidRPr="004C133A">
        <w:rPr>
          <w:rFonts w:ascii="Century Gothic" w:eastAsia="Calibri" w:hAnsi="Century Gothic" w:cs="Arial"/>
        </w:rPr>
        <w:t xml:space="preserve">, mientras que los segundos </w:t>
      </w:r>
      <w:bookmarkStart w:id="17" w:name="_Hlk99534426"/>
      <w:r w:rsidRPr="004C133A">
        <w:rPr>
          <w:rFonts w:ascii="Century Gothic" w:eastAsia="Calibri" w:hAnsi="Century Gothic" w:cs="Arial"/>
        </w:rPr>
        <w:t xml:space="preserve">en los artículos 5, 6, 7 y 8 </w:t>
      </w:r>
      <w:bookmarkEnd w:id="17"/>
      <w:r w:rsidRPr="004C133A">
        <w:rPr>
          <w:rFonts w:ascii="Century Gothic" w:eastAsia="Calibri" w:hAnsi="Century Gothic" w:cs="Arial"/>
          <w:i/>
        </w:rPr>
        <w:t>ibidem</w:t>
      </w:r>
      <w:r w:rsidRPr="004C133A">
        <w:rPr>
          <w:rFonts w:ascii="Century Gothic" w:eastAsia="Calibri" w:hAnsi="Century Gothic" w:cs="Arial"/>
        </w:rPr>
        <w:t xml:space="preserve">. Es posible diferenciar, pues, los </w:t>
      </w:r>
      <w:r w:rsidRPr="004C133A">
        <w:rPr>
          <w:rFonts w:ascii="Century Gothic" w:eastAsia="Calibri" w:hAnsi="Century Gothic" w:cs="Arial"/>
          <w:i/>
        </w:rPr>
        <w:t>convenios de asociación</w:t>
      </w:r>
      <w:r w:rsidRPr="004C133A">
        <w:rPr>
          <w:rFonts w:ascii="Century Gothic" w:eastAsia="Calibri" w:hAnsi="Century Gothic" w:cs="Arial"/>
        </w:rPr>
        <w:t xml:space="preserve">, regulados en el artículo 5, de los </w:t>
      </w:r>
      <w:r w:rsidRPr="004C133A">
        <w:rPr>
          <w:rFonts w:ascii="Century Gothic" w:eastAsia="Calibri" w:hAnsi="Century Gothic" w:cs="Arial"/>
          <w:i/>
        </w:rPr>
        <w:t>contratos de colaboración</w:t>
      </w:r>
      <w:r w:rsidRPr="004C133A">
        <w:rPr>
          <w:rFonts w:ascii="Century Gothic" w:eastAsia="Calibri" w:hAnsi="Century Gothic" w:cs="Arial"/>
        </w:rPr>
        <w:t>, establecidos en el artículo 2 del Decreto 92 de 2017</w:t>
      </w:r>
      <w:r w:rsidRPr="004C133A">
        <w:rPr>
          <w:rStyle w:val="Refdenotaalpie"/>
          <w:rFonts w:ascii="Century Gothic" w:eastAsia="Calibri" w:hAnsi="Century Gothic" w:cs="Arial"/>
        </w:rPr>
        <w:footnoteReference w:id="13"/>
      </w:r>
      <w:r w:rsidRPr="004C133A">
        <w:rPr>
          <w:rFonts w:ascii="Century Gothic" w:eastAsia="Calibri" w:hAnsi="Century Gothic" w:cs="Arial"/>
        </w:rPr>
        <w:t xml:space="preserve">. </w:t>
      </w:r>
    </w:p>
    <w:p w14:paraId="5B50A5C0" w14:textId="77777777" w:rsidR="00B136F8" w:rsidRPr="004C133A" w:rsidRDefault="00B136F8" w:rsidP="00B136F8">
      <w:pPr>
        <w:spacing w:after="120" w:line="276" w:lineRule="auto"/>
        <w:ind w:firstLine="708"/>
        <w:jc w:val="both"/>
        <w:rPr>
          <w:rFonts w:ascii="Century Gothic" w:eastAsia="Calibri" w:hAnsi="Century Gothic" w:cs="Arial"/>
        </w:rPr>
      </w:pPr>
      <w:r w:rsidRPr="004C133A">
        <w:rPr>
          <w:rFonts w:ascii="Century Gothic" w:eastAsia="Calibri" w:hAnsi="Century Gothic" w:cs="Arial"/>
        </w:rPr>
        <w:t xml:space="preserve">Los </w:t>
      </w:r>
      <w:r w:rsidRPr="004C133A">
        <w:rPr>
          <w:rFonts w:ascii="Century Gothic" w:eastAsia="Calibri" w:hAnsi="Century Gothic" w:cs="Arial"/>
          <w:i/>
        </w:rPr>
        <w:t xml:space="preserve">contratos de colaboración </w:t>
      </w:r>
      <w:r w:rsidRPr="004C133A">
        <w:rPr>
          <w:rFonts w:ascii="Century Gothic" w:eastAsia="Calibri" w:hAnsi="Century Gothic" w:cs="Arial"/>
        </w:rPr>
        <w:t>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esté dirigido al beneficio de la población en general, ya que cuando se adquieren bienes o servicios o se ejecutan obras, en una relación conmutativa, las normas aplicables son las del Estatuto General de Contratación de la Administración Pública –en adelante EGCAP–. Solo cuando se reúnan estas condiciones, y se cuente con la autorización previa y escrita del representante legal de la entidad estatal, es procedente celebrar contratos de colaboración.</w:t>
      </w:r>
    </w:p>
    <w:p w14:paraId="3FF39D54" w14:textId="77777777" w:rsidR="00B136F8" w:rsidRPr="004C133A" w:rsidRDefault="00B136F8" w:rsidP="00B136F8">
      <w:pPr>
        <w:spacing w:after="120" w:line="276" w:lineRule="auto"/>
        <w:ind w:firstLine="708"/>
        <w:jc w:val="both"/>
        <w:rPr>
          <w:rFonts w:ascii="Century Gothic" w:hAnsi="Century Gothic" w:cs="Arial"/>
        </w:rPr>
      </w:pPr>
      <w:r w:rsidRPr="004C133A">
        <w:rPr>
          <w:rFonts w:ascii="Century Gothic" w:eastAsia="Calibri" w:hAnsi="Century Gothic" w:cs="Arial"/>
        </w:rPr>
        <w:lastRenderedPageBreak/>
        <w:t xml:space="preserve">De otro lado, y teniendo en cuenta el objeto de esta consulta, </w:t>
      </w:r>
      <w:r w:rsidRPr="004C133A">
        <w:rPr>
          <w:rFonts w:ascii="Century Gothic" w:hAnsi="Century Gothic" w:cs="Arial"/>
        </w:rPr>
        <w:t xml:space="preserve">los </w:t>
      </w:r>
      <w:r w:rsidRPr="004C133A">
        <w:rPr>
          <w:rFonts w:ascii="Century Gothic" w:hAnsi="Century Gothic" w:cs="Arial"/>
          <w:i/>
        </w:rPr>
        <w:t>convenios de asociación</w:t>
      </w:r>
      <w:r w:rsidRPr="004C133A">
        <w:rPr>
          <w:rFonts w:ascii="Century Gothic" w:hAnsi="Century Gothic" w:cs="Arial"/>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4C133A">
        <w:rPr>
          <w:rStyle w:val="Refdenotaalpie"/>
          <w:rFonts w:ascii="Century Gothic" w:hAnsi="Century Gothic" w:cs="Arial"/>
        </w:rPr>
        <w:footnoteReference w:id="14"/>
      </w:r>
      <w:r w:rsidRPr="004C133A">
        <w:rPr>
          <w:rFonts w:ascii="Century Gothic" w:hAnsi="Century Gothic" w:cs="Arial"/>
        </w:rPr>
        <w:t xml:space="preserve">. </w:t>
      </w:r>
      <w:bookmarkStart w:id="18" w:name="_Hlk99534477"/>
      <w:r w:rsidRPr="004C133A">
        <w:rPr>
          <w:rFonts w:ascii="Century Gothic" w:hAnsi="Century Gothic" w:cs="Arial"/>
        </w:rPr>
        <w:t>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w:t>
      </w:r>
      <w:bookmarkEnd w:id="18"/>
    </w:p>
    <w:p w14:paraId="7FE76C8A" w14:textId="77777777" w:rsidR="00B136F8" w:rsidRPr="004C133A" w:rsidRDefault="00B136F8" w:rsidP="00B136F8">
      <w:pPr>
        <w:pStyle w:val="Sinespaciado"/>
        <w:spacing w:after="120" w:line="276" w:lineRule="auto"/>
        <w:ind w:firstLine="708"/>
        <w:jc w:val="both"/>
        <w:rPr>
          <w:rFonts w:ascii="Century Gothic" w:hAnsi="Century Gothic" w:cs="Arial"/>
          <w:sz w:val="22"/>
        </w:rPr>
      </w:pPr>
      <w:r w:rsidRPr="004C133A">
        <w:rPr>
          <w:rFonts w:ascii="Century Gothic" w:hAnsi="Century Gothic" w:cs="Arial"/>
          <w:sz w:val="22"/>
        </w:rPr>
        <w:t xml:space="preserve">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 los cuales pueden ser en dinero, en porcentajes inferiores o superiores al 30%, o en especie, los cuales deben servir al desarrollo de los objetivos comunes de la asociación. </w:t>
      </w:r>
    </w:p>
    <w:p w14:paraId="6C3BDFD8" w14:textId="77777777" w:rsidR="00B136F8" w:rsidRPr="004C133A" w:rsidRDefault="00B136F8" w:rsidP="00B136F8">
      <w:pPr>
        <w:pStyle w:val="Sinespaciado"/>
        <w:spacing w:after="120" w:line="276" w:lineRule="auto"/>
        <w:ind w:firstLine="708"/>
        <w:jc w:val="both"/>
        <w:rPr>
          <w:rFonts w:ascii="Century Gothic" w:eastAsia="Calibri" w:hAnsi="Century Gothic" w:cs="Arial"/>
          <w:sz w:val="22"/>
        </w:rPr>
      </w:pPr>
      <w:r w:rsidRPr="004C133A">
        <w:rPr>
          <w:rFonts w:ascii="Century Gothic" w:hAnsi="Century Gothic" w:cs="Arial"/>
          <w:sz w:val="22"/>
        </w:rPr>
        <w:t>L</w:t>
      </w:r>
      <w:r w:rsidRPr="004C133A">
        <w:rPr>
          <w:rFonts w:ascii="Century Gothic" w:eastAsia="Calibri" w:hAnsi="Century Gothic" w:cs="Arial"/>
          <w:sz w:val="22"/>
        </w:rPr>
        <w:t>a normativa vigente no impide que varias entidades suscriban conjuntamente el convenio de asociación ni tampoco que dos o más ESAL pueden hacerlo a través de las figuras asociativas autorizadas por la ley, por ejemplo, la unión temporal o el consorcio</w:t>
      </w:r>
      <w:r w:rsidRPr="004C133A">
        <w:rPr>
          <w:rStyle w:val="Refdenotaalpie"/>
          <w:rFonts w:ascii="Century Gothic" w:eastAsia="Calibri" w:hAnsi="Century Gothic" w:cs="Arial"/>
          <w:sz w:val="22"/>
        </w:rPr>
        <w:footnoteReference w:id="15"/>
      </w:r>
      <w:r w:rsidRPr="004C133A">
        <w:rPr>
          <w:rFonts w:ascii="Century Gothic" w:eastAsia="Calibri" w:hAnsi="Century Gothic" w:cs="Arial"/>
          <w:sz w:val="22"/>
        </w:rPr>
        <w:t xml:space="preserve">. Sin embargo, como quiera que el artículo 96 de la Ley 489 de 1998 determina que el convenio debe buscar el desarrollo conjunto de actividades relacionadas con los cometidos y funciones que la ley les asigna a las entidades estatales involucradas, es necesario que las funciones legales de las entidades estatales que suscriben conjuntamente el convenio coincidan de alguna de tal manera que, los cometidos funcionales de una y otra entidad se relacionen con el objeto del convenio. </w:t>
      </w:r>
    </w:p>
    <w:p w14:paraId="50074918" w14:textId="77777777" w:rsidR="00B136F8" w:rsidRPr="004C133A" w:rsidRDefault="00B136F8" w:rsidP="00B136F8">
      <w:pPr>
        <w:pStyle w:val="Sinespaciado"/>
        <w:spacing w:after="120" w:line="276" w:lineRule="auto"/>
        <w:ind w:firstLine="708"/>
        <w:jc w:val="both"/>
        <w:rPr>
          <w:rFonts w:ascii="Century Gothic" w:eastAsia="Calibri" w:hAnsi="Century Gothic" w:cs="Arial"/>
          <w:sz w:val="22"/>
        </w:rPr>
      </w:pPr>
      <w:r w:rsidRPr="004C133A">
        <w:rPr>
          <w:rFonts w:ascii="Century Gothic" w:eastAsia="Calibri" w:hAnsi="Century Gothic" w:cs="Arial"/>
          <w:sz w:val="22"/>
        </w:rPr>
        <w:lastRenderedPageBreak/>
        <w:t xml:space="preserve">Igualmente, </w:t>
      </w:r>
      <w:bookmarkStart w:id="19" w:name="_Hlk99534555"/>
      <w:r w:rsidRPr="004C133A">
        <w:rPr>
          <w:rFonts w:ascii="Century Gothic" w:eastAsia="Calibri" w:hAnsi="Century Gothic" w:cs="Arial"/>
          <w:sz w:val="22"/>
        </w:rPr>
        <w:t>considerando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una o varias ESAL, aporten al menos el treinta por ciento del valor del convenio para celebrarlo directamente, pues de lo contrario deberá adelantarse un proceso competitivo. Además, en atención al inciso 2 del artículo 5 del Decreto 092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bookmarkEnd w:id="19"/>
      <w:r w:rsidRPr="004C133A">
        <w:rPr>
          <w:rFonts w:ascii="Century Gothic" w:eastAsia="Calibri" w:hAnsi="Century Gothic" w:cs="Arial"/>
          <w:sz w:val="22"/>
        </w:rPr>
        <w:t>”</w:t>
      </w:r>
      <w:r w:rsidRPr="004C133A">
        <w:rPr>
          <w:rStyle w:val="Refdenotaalpie"/>
          <w:rFonts w:ascii="Century Gothic" w:eastAsia="Calibri" w:hAnsi="Century Gothic" w:cs="Arial"/>
          <w:sz w:val="22"/>
        </w:rPr>
        <w:footnoteReference w:id="16"/>
      </w:r>
      <w:r w:rsidRPr="004C133A">
        <w:rPr>
          <w:rFonts w:ascii="Century Gothic" w:eastAsia="Calibri" w:hAnsi="Century Gothic" w:cs="Arial"/>
          <w:sz w:val="22"/>
        </w:rPr>
        <w:t>.</w:t>
      </w:r>
    </w:p>
    <w:p w14:paraId="428BFFA6" w14:textId="77777777" w:rsidR="00B136F8" w:rsidRPr="004C133A" w:rsidRDefault="00B136F8" w:rsidP="00B136F8">
      <w:pPr>
        <w:spacing w:after="120" w:line="276" w:lineRule="auto"/>
        <w:ind w:firstLine="708"/>
        <w:jc w:val="both"/>
        <w:rPr>
          <w:rFonts w:ascii="Century Gothic" w:hAnsi="Century Gothic" w:cs="Arial"/>
        </w:rPr>
      </w:pPr>
      <w:r w:rsidRPr="004C133A">
        <w:rPr>
          <w:rFonts w:ascii="Century Gothic" w:hAnsi="Century Gothic" w:cs="Arial"/>
        </w:rPr>
        <w:t xml:space="preserve">La noción “seleccionar de forma objetiva”, contenida en la disposición </w:t>
      </w:r>
      <w:r w:rsidRPr="004C133A">
        <w:rPr>
          <w:rFonts w:ascii="Century Gothic" w:hAnsi="Century Gothic" w:cs="Arial"/>
          <w:i/>
        </w:rPr>
        <w:t xml:space="preserve">sub examine </w:t>
      </w:r>
      <w:r w:rsidRPr="004C133A">
        <w:rPr>
          <w:rFonts w:ascii="Century Gothic" w:hAnsi="Century Gothic" w:cs="Arial"/>
        </w:rPr>
        <w:t>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92 de 2017.</w:t>
      </w:r>
    </w:p>
    <w:p w14:paraId="0FDB6CA8" w14:textId="77777777" w:rsidR="00B136F8" w:rsidRPr="004C133A" w:rsidRDefault="00B136F8" w:rsidP="00B136F8">
      <w:pPr>
        <w:spacing w:after="120" w:line="276" w:lineRule="auto"/>
        <w:ind w:firstLine="708"/>
        <w:jc w:val="both"/>
        <w:textAlignment w:val="baseline"/>
        <w:rPr>
          <w:rFonts w:ascii="Century Gothic" w:hAnsi="Century Gothic" w:cs="Arial"/>
        </w:rPr>
      </w:pPr>
      <w:r w:rsidRPr="004C133A">
        <w:rPr>
          <w:rFonts w:ascii="Century Gothic" w:eastAsia="Arial" w:hAnsi="Century Gothic" w:cs="Arial"/>
        </w:rPr>
        <w:t>En suma,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w:t>
      </w:r>
      <w:r w:rsidRPr="004C133A">
        <w:rPr>
          <w:rFonts w:ascii="Century Gothic" w:hAnsi="Century Gothic" w:cs="Arial"/>
        </w:rPr>
        <w:t>. </w:t>
      </w:r>
    </w:p>
    <w:p w14:paraId="6FE42B57" w14:textId="77777777" w:rsidR="00B136F8" w:rsidRPr="004C133A" w:rsidRDefault="00B136F8" w:rsidP="00B136F8">
      <w:pPr>
        <w:spacing w:after="120" w:line="276" w:lineRule="auto"/>
        <w:ind w:firstLine="709"/>
        <w:jc w:val="both"/>
        <w:rPr>
          <w:rFonts w:ascii="Century Gothic" w:eastAsia="Calibri" w:hAnsi="Century Gothic" w:cs="Arial"/>
        </w:rPr>
      </w:pPr>
      <w:r w:rsidRPr="004C133A">
        <w:rPr>
          <w:rFonts w:ascii="Century Gothic" w:hAnsi="Century Gothic" w:cs="Arial"/>
        </w:rPr>
        <w:t>Ahora bien, e</w:t>
      </w:r>
      <w:r w:rsidRPr="004C133A">
        <w:rPr>
          <w:rFonts w:ascii="Century Gothic" w:eastAsia="Calibri" w:hAnsi="Century Gothic" w:cs="Arial"/>
        </w:rPr>
        <w:t>l Consejo de Estado, en el Auto del 6 de agosto de 2019 de la Sección Tercera, Subsección A –Exp. 62.003–, estudió la solicitud de suspensión provisional</w:t>
      </w:r>
      <w:r w:rsidRPr="004C133A">
        <w:rPr>
          <w:rStyle w:val="Refdenotaalpie"/>
          <w:rFonts w:ascii="Century Gothic" w:eastAsia="Calibri" w:hAnsi="Century Gothic" w:cs="Arial"/>
        </w:rPr>
        <w:footnoteReference w:id="17"/>
      </w:r>
      <w:r w:rsidRPr="004C133A">
        <w:rPr>
          <w:rFonts w:ascii="Century Gothic" w:eastAsia="Calibri" w:hAnsi="Century Gothic" w:cs="Arial"/>
        </w:rPr>
        <w:t xml:space="preserve"> del inciso 2 del artículo 1, literales a y c del artículo 2, inciso 5 del artículo </w:t>
      </w:r>
      <w:r w:rsidRPr="004C133A">
        <w:rPr>
          <w:rFonts w:ascii="Century Gothic" w:eastAsia="Calibri" w:hAnsi="Century Gothic" w:cs="Arial"/>
        </w:rPr>
        <w:lastRenderedPageBreak/>
        <w:t xml:space="preserve">2, inciso 2 del artículo 3, inciso final del artículo 4 y artículo 5 del Decreto 092 de 2017. No obstante, sobre esta última norma concluyó que el análisis de esta disposición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de fondo. Por tanto, si se pretende realizar un </w:t>
      </w:r>
      <w:r w:rsidRPr="004C133A">
        <w:rPr>
          <w:rFonts w:ascii="Century Gothic" w:eastAsia="Calibri" w:hAnsi="Century Gothic" w:cs="Arial"/>
          <w:i/>
        </w:rPr>
        <w:t>convenio de asociación</w:t>
      </w:r>
      <w:r w:rsidRPr="004C133A">
        <w:rPr>
          <w:rFonts w:ascii="Century Gothic" w:eastAsia="Calibri" w:hAnsi="Century Gothic" w:cs="Arial"/>
        </w:rPr>
        <w:t xml:space="preserve"> con ESAL de reconocida idoneidad para el cumplimiento de las funciones que la ley les asigna a las entidades públicas, debe aplicarse lo dispuesto en el artículo 5 del Decreto 092 de 2017. </w:t>
      </w:r>
    </w:p>
    <w:p w14:paraId="1F5F9F4B" w14:textId="77777777" w:rsidR="00B136F8" w:rsidRPr="004C133A" w:rsidRDefault="00B136F8" w:rsidP="00B136F8">
      <w:pPr>
        <w:spacing w:after="120" w:line="276" w:lineRule="auto"/>
        <w:ind w:firstLine="708"/>
        <w:jc w:val="both"/>
        <w:rPr>
          <w:rFonts w:ascii="Century Gothic" w:eastAsia="Calibri" w:hAnsi="Century Gothic" w:cs="Arial"/>
        </w:rPr>
      </w:pPr>
      <w:r w:rsidRPr="004C133A">
        <w:rPr>
          <w:rFonts w:ascii="Century Gothic" w:eastAsia="Calibri" w:hAnsi="Century Gothic" w:cs="Arial"/>
        </w:rPr>
        <w:t>Para los convenios de asociación, el artículo 5 del citado Decreto establece que el proceso para la selección de la ESAL, por regla general, debe estar sujeto a competencia; salvo en aquellos casos en que una entidad sin ánimo de lucro comprometa recursos en dinero por un valor igual o superior al 30% del valor total del convenio</w:t>
      </w:r>
      <w:r w:rsidRPr="004C133A">
        <w:rPr>
          <w:rStyle w:val="Refdenotaalpie"/>
          <w:rFonts w:ascii="Century Gothic" w:hAnsi="Century Gothic" w:cs="Arial"/>
        </w:rPr>
        <w:footnoteReference w:id="18"/>
      </w:r>
      <w:r w:rsidRPr="004C133A">
        <w:rPr>
          <w:rFonts w:ascii="Century Gothic" w:eastAsia="Calibri" w:hAnsi="Century Gothic" w:cs="Arial"/>
        </w:rPr>
        <w:t xml:space="preserve">, y siempre que la entidad estatal verifique previamente que no existe ninguna otra entidad sin ánimo de lucro que ofrezca aportes iguales o superiores al 30%. De hecho, en relación con la naturaleza y cuantía de los convenios, la norma anteriormente citada no prohíbe la celebración de convenios en que la ESAL aporte menos del 30% o cuando aporte recursos en especie: sólo indica que en esos casos la entidad estatal debe acudir al proceso competitivo para seleccionar a la entidad sin ánimo de lucro con la cual celebrará el respectivo convenio. </w:t>
      </w:r>
    </w:p>
    <w:p w14:paraId="326ECF4C" w14:textId="77777777" w:rsidR="00B136F8" w:rsidRPr="004C133A" w:rsidRDefault="00B136F8" w:rsidP="00B136F8">
      <w:pPr>
        <w:spacing w:after="120"/>
        <w:ind w:firstLine="708"/>
        <w:jc w:val="both"/>
        <w:rPr>
          <w:rFonts w:ascii="Century Gothic" w:eastAsia="Calibri" w:hAnsi="Century Gothic" w:cs="Arial"/>
          <w:lang w:eastAsia="es-ES_tradnl"/>
        </w:rPr>
      </w:pPr>
      <w:r w:rsidRPr="004C133A">
        <w:rPr>
          <w:rFonts w:ascii="Century Gothic" w:eastAsia="Calibri" w:hAnsi="Century Gothic" w:cs="Arial"/>
          <w:lang w:eastAsia="es-ES_tradnl"/>
        </w:rPr>
        <w:t xml:space="preserve">Teniendo en estas consideraciones sobre la celebración de convenios de asociación, así como las consideraciones realizadas en los acápites previos, es posible concluir que la prohibición de contratación directa del artículo 33 de la Ley de Garantías Electorales únicamente aplica frente a los procedimientos </w:t>
      </w:r>
      <w:r w:rsidRPr="004C133A">
        <w:rPr>
          <w:rFonts w:ascii="Century Gothic" w:eastAsia="Calibri" w:hAnsi="Century Gothic" w:cs="Arial"/>
          <w:i/>
          <w:lang w:eastAsia="es-ES_tradnl"/>
        </w:rPr>
        <w:t>no competitivos</w:t>
      </w:r>
      <w:r w:rsidRPr="004C133A">
        <w:rPr>
          <w:rFonts w:ascii="Century Gothic" w:eastAsia="Calibri" w:hAnsi="Century Gothic" w:cs="Arial"/>
          <w:lang w:eastAsia="es-ES_tradnl"/>
        </w:rPr>
        <w:t xml:space="preserve">, que son los que implican una contratación directa. Como explica la Sala de Consulta y Servicio Civil del Consejo de Estado: </w:t>
      </w:r>
      <w:r w:rsidRPr="004C133A">
        <w:rPr>
          <w:rFonts w:ascii="Century Gothic" w:eastAsia="Calibri" w:hAnsi="Century Gothic" w:cs="Arial"/>
          <w:i/>
          <w:lang w:eastAsia="es-ES_tradnl"/>
        </w:rPr>
        <w:t>“Para efectos de la “Ley de Garantías Electorales”, y en armonía con las normas que regulan la contratación pública en Colombia, debe entenderse por “contratación directa” cualquier sistema de selección de contratistas en el que no exista convocatoria pública, ni sea posible la participación de una pluralidad de oferentes, independientemente del régimen de contratación que se aplique”</w:t>
      </w:r>
      <w:r w:rsidRPr="004C133A">
        <w:rPr>
          <w:rFonts w:ascii="Century Gothic" w:eastAsia="Calibri" w:hAnsi="Century Gothic" w:cs="Arial"/>
          <w:vertAlign w:val="superscript"/>
          <w:lang w:eastAsia="es-ES_tradnl"/>
        </w:rPr>
        <w:footnoteReference w:id="19"/>
      </w:r>
      <w:r w:rsidRPr="004C133A">
        <w:rPr>
          <w:rFonts w:ascii="Century Gothic" w:eastAsia="Calibri" w:hAnsi="Century Gothic" w:cs="Arial"/>
          <w:lang w:eastAsia="es-ES_tradnl"/>
        </w:rPr>
        <w:t xml:space="preserve">. </w:t>
      </w:r>
    </w:p>
    <w:p w14:paraId="60136249" w14:textId="77777777" w:rsidR="00B136F8" w:rsidRPr="004C133A" w:rsidRDefault="00B136F8" w:rsidP="00B136F8">
      <w:pPr>
        <w:spacing w:after="120" w:line="276" w:lineRule="auto"/>
        <w:jc w:val="both"/>
        <w:rPr>
          <w:rFonts w:ascii="Century Gothic" w:eastAsia="Calibri" w:hAnsi="Century Gothic" w:cs="Arial"/>
          <w:szCs w:val="24"/>
          <w:lang w:eastAsia="es-ES_tradnl"/>
        </w:rPr>
      </w:pPr>
      <w:r w:rsidRPr="004C133A">
        <w:rPr>
          <w:rFonts w:ascii="Century Gothic" w:eastAsia="Calibri" w:hAnsi="Century Gothic" w:cs="Arial"/>
          <w:szCs w:val="24"/>
          <w:lang w:eastAsia="es-ES_tradnl"/>
        </w:rPr>
        <w:lastRenderedPageBreak/>
        <w:tab/>
        <w:t xml:space="preserve">En contraste, la restricción del artículo 33 no aplicaría a los convenios de asociación que celebren las entidades estatales y las ESAL bajo el procedimiento </w:t>
      </w:r>
      <w:r w:rsidRPr="004C133A">
        <w:rPr>
          <w:rFonts w:ascii="Century Gothic" w:eastAsia="Calibri" w:hAnsi="Century Gothic" w:cs="Arial"/>
          <w:i/>
          <w:szCs w:val="24"/>
          <w:lang w:eastAsia="es-ES_tradnl"/>
        </w:rPr>
        <w:t>competitivo</w:t>
      </w:r>
      <w:r w:rsidRPr="004C133A">
        <w:rPr>
          <w:rFonts w:ascii="Century Gothic" w:eastAsia="Calibri" w:hAnsi="Century Gothic" w:cs="Arial"/>
          <w:szCs w:val="24"/>
          <w:lang w:eastAsia="es-ES_tradnl"/>
        </w:rPr>
        <w:t xml:space="preserve">, pues este supone la pluralidad de oferentes y la selección objetiva del contratista. Conforme al artículo 5 del Decreto 092 de 2017, esta es la regla general, salvo en aquellos casos en que una ESAL comprometa recursos en dinero por un valor igual o superior al 30% del valor total del convenio, siempre que la entidad estatal verifique previamente que no existe ninguna otra ESAL que ofrezca aportes iguales o superiores a dicho porcentaje, supuesto excepcional en que procede la selección directa. </w:t>
      </w:r>
    </w:p>
    <w:p w14:paraId="62AE75E4" w14:textId="77777777" w:rsidR="00B136F8" w:rsidRPr="004C133A" w:rsidRDefault="00B136F8" w:rsidP="00B136F8">
      <w:pPr>
        <w:spacing w:after="120" w:line="276" w:lineRule="auto"/>
        <w:ind w:firstLine="709"/>
        <w:jc w:val="both"/>
        <w:rPr>
          <w:rFonts w:ascii="Century Gothic" w:eastAsia="Calibri" w:hAnsi="Century Gothic" w:cs="Arial"/>
          <w:lang w:val="es-ES_tradnl"/>
        </w:rPr>
      </w:pPr>
      <w:r w:rsidRPr="004C133A">
        <w:rPr>
          <w:rFonts w:ascii="Century Gothic" w:eastAsia="Calibri" w:hAnsi="Century Gothic" w:cs="Arial"/>
        </w:rPr>
        <w:t>De otra parte, en cuanto a la restricción del parágrafo del artículo 38 de la Ley de 996 de 2005, conforme se explicó</w:t>
      </w:r>
      <w:r w:rsidRPr="004C133A">
        <w:rPr>
          <w:rFonts w:ascii="Century Gothic" w:eastAsia="Calibri" w:hAnsi="Century Gothic" w:cs="Arial"/>
          <w:i/>
        </w:rPr>
        <w:t xml:space="preserve"> ut supra,</w:t>
      </w:r>
      <w:r w:rsidRPr="004C133A">
        <w:rPr>
          <w:rFonts w:ascii="Century Gothic" w:eastAsia="Calibri" w:hAnsi="Century Gothic" w:cs="Arial"/>
        </w:rPr>
        <w:t xml:space="preserve"> se reitera, la misma solo aplica a convenios interadministrativos, es decir, a aquellos en los que ambos extremos de la relación contractual están conformados por entidades estatales. Esto significa que esta restricción no es aplicable a la celebración de los </w:t>
      </w:r>
      <w:r w:rsidRPr="004C133A">
        <w:rPr>
          <w:rFonts w:ascii="Century Gothic" w:eastAsia="Calibri" w:hAnsi="Century Gothic" w:cs="Arial"/>
          <w:i/>
        </w:rPr>
        <w:t xml:space="preserve">convenios de asociación </w:t>
      </w:r>
      <w:r w:rsidRPr="004C133A">
        <w:rPr>
          <w:rFonts w:ascii="Century Gothic" w:eastAsia="Calibri" w:hAnsi="Century Gothic" w:cs="Arial"/>
        </w:rPr>
        <w:t xml:space="preserve">regulados por el Decreto 092 de 2017, ya que este tipo de acuerdos son celebrados entre entidades estatales y ESALES, es decir, que no cumplen con el criterio orgánico que determina la calidad de interadministrativo. </w:t>
      </w:r>
    </w:p>
    <w:p w14:paraId="59ED90D5" w14:textId="77777777" w:rsidR="00B136F8" w:rsidRPr="004C133A" w:rsidRDefault="00B136F8" w:rsidP="00B136F8">
      <w:pPr>
        <w:spacing w:after="120" w:line="276" w:lineRule="auto"/>
        <w:ind w:firstLine="709"/>
        <w:jc w:val="both"/>
        <w:rPr>
          <w:rFonts w:ascii="Century Gothic" w:eastAsia="Calibri" w:hAnsi="Century Gothic" w:cs="Arial"/>
          <w:lang w:val="es-ES_tradnl"/>
        </w:rPr>
      </w:pPr>
      <w:r w:rsidRPr="004C133A">
        <w:rPr>
          <w:rFonts w:ascii="Century Gothic" w:eastAsia="Calibri" w:hAnsi="Century Gothic" w:cs="Arial"/>
          <w:lang w:val="es-ES_tradnl"/>
        </w:rPr>
        <w:t xml:space="preserve">De esta manera, en lo relativo a la celebración de </w:t>
      </w:r>
      <w:r w:rsidRPr="004C133A">
        <w:rPr>
          <w:rFonts w:ascii="Century Gothic" w:eastAsia="Calibri" w:hAnsi="Century Gothic" w:cs="Arial"/>
          <w:i/>
          <w:lang w:val="es-ES_tradnl"/>
        </w:rPr>
        <w:t>convenios de asociación</w:t>
      </w:r>
      <w:r w:rsidRPr="004C133A">
        <w:rPr>
          <w:rFonts w:ascii="Century Gothic" w:eastAsia="Calibri" w:hAnsi="Century Gothic" w:cs="Arial"/>
          <w:lang w:val="es-ES_tradnl"/>
        </w:rPr>
        <w:t xml:space="preserve"> en vigencia de la restricción del artículo 33 de la Ley de Garantías, se concluye que, esto solo será posible cuando dicho tipo de acuerdos se realicen a través de la modalidad </w:t>
      </w:r>
      <w:r w:rsidRPr="004C133A">
        <w:rPr>
          <w:rFonts w:ascii="Century Gothic" w:eastAsia="Calibri" w:hAnsi="Century Gothic" w:cs="Arial"/>
          <w:i/>
          <w:lang w:val="es-ES_tradnl"/>
        </w:rPr>
        <w:t>competitiva</w:t>
      </w:r>
      <w:r w:rsidRPr="004C133A">
        <w:rPr>
          <w:rFonts w:ascii="Century Gothic" w:eastAsia="Calibri" w:hAnsi="Century Gothic" w:cs="Arial"/>
          <w:lang w:val="es-ES_tradnl"/>
        </w:rPr>
        <w:t xml:space="preserve">, mientras que la celebración de este tipo de convenios en la modalidad </w:t>
      </w:r>
      <w:r w:rsidRPr="004C133A">
        <w:rPr>
          <w:rFonts w:ascii="Century Gothic" w:eastAsia="Calibri" w:hAnsi="Century Gothic" w:cs="Arial"/>
          <w:i/>
          <w:lang w:val="es-ES_tradnl"/>
        </w:rPr>
        <w:t>no competitiva</w:t>
      </w:r>
      <w:r w:rsidRPr="004C133A">
        <w:rPr>
          <w:rFonts w:ascii="Century Gothic" w:eastAsia="Calibri" w:hAnsi="Century Gothic" w:cs="Arial"/>
          <w:lang w:val="es-ES_tradnl"/>
        </w:rPr>
        <w:t xml:space="preserve"> sí estaría prohibida durante el periodo de aplicación de esta restricción. De igual forma, es posible concluir que, la celebración de </w:t>
      </w:r>
      <w:r w:rsidRPr="004C133A">
        <w:rPr>
          <w:rFonts w:ascii="Century Gothic" w:eastAsia="Calibri" w:hAnsi="Century Gothic" w:cs="Arial"/>
          <w:i/>
          <w:lang w:val="es-ES_tradnl"/>
        </w:rPr>
        <w:t>convenios de asociación</w:t>
      </w:r>
      <w:r w:rsidRPr="004C133A">
        <w:rPr>
          <w:rFonts w:ascii="Century Gothic" w:eastAsia="Calibri" w:hAnsi="Century Gothic" w:cs="Arial"/>
          <w:lang w:val="es-ES_tradnl"/>
        </w:rPr>
        <w:t xml:space="preserve">, </w:t>
      </w:r>
      <w:r w:rsidRPr="004C133A">
        <w:rPr>
          <w:rFonts w:ascii="Century Gothic" w:eastAsia="Calibri" w:hAnsi="Century Gothic" w:cs="Arial"/>
          <w:i/>
          <w:lang w:val="es-ES_tradnl"/>
        </w:rPr>
        <w:t xml:space="preserve">per se, </w:t>
      </w:r>
      <w:r w:rsidRPr="004C133A">
        <w:rPr>
          <w:rFonts w:ascii="Century Gothic" w:eastAsia="Calibri" w:hAnsi="Century Gothic" w:cs="Arial"/>
          <w:lang w:val="es-ES_tradnl"/>
        </w:rPr>
        <w:t>no está prohibida por la restricción del parágrafo del artículo 38 de la Ley 2069 de 2020, la cual solo es aplicable a convenios interadministrativos.</w:t>
      </w:r>
    </w:p>
    <w:p w14:paraId="09DA0F87" w14:textId="77777777" w:rsidR="00B136F8" w:rsidRPr="004C133A" w:rsidRDefault="00B136F8" w:rsidP="00B136F8">
      <w:pPr>
        <w:spacing w:after="120" w:line="276" w:lineRule="auto"/>
        <w:ind w:firstLine="708"/>
        <w:jc w:val="both"/>
        <w:rPr>
          <w:rFonts w:ascii="Century Gothic" w:eastAsia="Arial" w:hAnsi="Century Gothic" w:cs="Arial"/>
          <w:lang w:eastAsia="es-ES" w:bidi="es-ES"/>
        </w:rPr>
      </w:pPr>
      <w:r w:rsidRPr="004C133A">
        <w:rPr>
          <w:rFonts w:ascii="Century Gothic" w:eastAsia="Arial" w:hAnsi="Century Gothic" w:cs="Arial"/>
          <w:lang w:eastAsia="es-ES" w:bidi="es-ES"/>
        </w:rPr>
        <w:t xml:space="preserve">En cuanto a la vigencia de estas restricciones en el momento actual es necesario poner de presente que para el año lectivo no se encuentran programadas elecciones presidenciales. Por otro lado, de conformidad con el calendario electoral definido por la Registraduría Nacional del Estado Civil mediante Resolución No. 28229 del 14 de octubre de 2022, el próximo 29 de octubre de 2023 se celebrarán elecciones de autoridades territoriales. Lo anterior significa que, mientras que la restricción a la contratación directa prevista en el artículo 33 de la Ley 996 de 2005 no regirá el presente año, la prohibición a la celebración de convenios interadministrativos del inciso primero del parágrafo del artículo 38 se </w:t>
      </w:r>
      <w:r w:rsidRPr="004C133A">
        <w:rPr>
          <w:rFonts w:ascii="Century Gothic" w:eastAsia="Arial" w:hAnsi="Century Gothic" w:cs="Arial"/>
          <w:lang w:eastAsia="es-ES" w:bidi="es-ES"/>
        </w:rPr>
        <w:lastRenderedPageBreak/>
        <w:t>encuentra surtiendo sus efectos desde el pasado 29 de junio de 2023, los cuales continuarán hasta la fecha de los comicios.</w:t>
      </w:r>
    </w:p>
    <w:p w14:paraId="0D9260D9" w14:textId="77777777" w:rsidR="00B136F8" w:rsidRPr="004C133A" w:rsidRDefault="00B136F8" w:rsidP="00B136F8">
      <w:pPr>
        <w:pStyle w:val="Prrafodelista"/>
        <w:numPr>
          <w:ilvl w:val="0"/>
          <w:numId w:val="4"/>
        </w:numPr>
        <w:spacing w:after="120" w:line="276" w:lineRule="auto"/>
        <w:ind w:left="1012"/>
        <w:jc w:val="both"/>
        <w:rPr>
          <w:rFonts w:ascii="Century Gothic" w:eastAsia="Calibri" w:hAnsi="Century Gothic" w:cs="Arial"/>
        </w:rPr>
      </w:pPr>
      <w:r w:rsidRPr="004C133A">
        <w:rPr>
          <w:rFonts w:ascii="Century Gothic" w:eastAsia="Calibri" w:hAnsi="Century Gothic" w:cs="Arial"/>
          <w:b/>
        </w:rPr>
        <w:t>Respuesta</w:t>
      </w:r>
    </w:p>
    <w:p w14:paraId="439A1E27" w14:textId="77777777" w:rsidR="00B136F8" w:rsidRPr="004C133A" w:rsidRDefault="00B136F8" w:rsidP="00B136F8">
      <w:pPr>
        <w:pStyle w:val="Textoindependiente"/>
        <w:spacing w:before="198" w:after="160" w:line="276" w:lineRule="auto"/>
        <w:ind w:left="709" w:right="709"/>
        <w:jc w:val="both"/>
        <w:rPr>
          <w:rFonts w:ascii="Century Gothic" w:hAnsi="Century Gothic"/>
        </w:rPr>
      </w:pPr>
      <w:r w:rsidRPr="004C133A">
        <w:rPr>
          <w:rFonts w:ascii="Century Gothic" w:hAnsi="Century Gothic" w:cs="Arial"/>
        </w:rPr>
        <w:t>“</w:t>
      </w:r>
      <w:r w:rsidRPr="004C133A">
        <w:rPr>
          <w:rFonts w:ascii="Century Gothic" w:hAnsi="Century Gothic" w:cs="Arial"/>
          <w:i/>
        </w:rPr>
        <w:t xml:space="preserve">[…] </w:t>
      </w:r>
      <w:r w:rsidRPr="004C133A">
        <w:rPr>
          <w:rFonts w:ascii="Century Gothic" w:hAnsi="Century Gothic"/>
          <w:i/>
        </w:rPr>
        <w:t xml:space="preserve">nos indique si los procesos que estan contemplados dentro del Decreto 092 de 2017, esto es los procesos que se adelantan con Entidades sin Animo de Lucro, es decir convenios de colaboracion que se delantan por proceso competitivo y los convenios de asociacion que se adelantan con las ESAL, siempre y cuando la ESAL aporte el 30% del valor del presupuesto ofcial destinado para el proceso contractual, se les aplica la misma restriccion establecida en la Ley de Garantias, especificamente los Convenios de Asociacion.” </w:t>
      </w:r>
      <w:r w:rsidRPr="004C133A">
        <w:rPr>
          <w:rFonts w:ascii="Century Gothic" w:hAnsi="Century Gothic"/>
        </w:rPr>
        <w:t>(sic)</w:t>
      </w:r>
    </w:p>
    <w:p w14:paraId="0A83964A" w14:textId="77777777" w:rsidR="00B136F8" w:rsidRPr="004C133A" w:rsidRDefault="00B136F8" w:rsidP="00B136F8">
      <w:pPr>
        <w:spacing w:after="120" w:line="276" w:lineRule="auto"/>
        <w:jc w:val="both"/>
        <w:rPr>
          <w:rFonts w:ascii="Century Gothic" w:hAnsi="Century Gothic" w:cs="Arial"/>
          <w:lang w:eastAsia="x-none"/>
        </w:rPr>
      </w:pPr>
      <w:r w:rsidRPr="004C133A">
        <w:rPr>
          <w:rFonts w:ascii="Century Gothic" w:eastAsia="Calibri" w:hAnsi="Century Gothic" w:cs="Arial"/>
        </w:rPr>
        <w:t xml:space="preserve">Con base en las consideraciones expuestas es posible afirmar que, </w:t>
      </w:r>
      <w:r w:rsidRPr="004C133A">
        <w:rPr>
          <w:rFonts w:ascii="Century Gothic" w:hAnsi="Century Gothic" w:cs="Arial"/>
        </w:rPr>
        <w:t xml:space="preserve">la restricción a la contratación directa prevista en el artículo 33 de la Ley 996 de 2005 </w:t>
      </w:r>
      <w:r w:rsidRPr="004C133A">
        <w:rPr>
          <w:rFonts w:ascii="Century Gothic" w:hAnsi="Century Gothic" w:cs="Arial"/>
          <w:lang w:eastAsia="x-none"/>
        </w:rPr>
        <w:t xml:space="preserve">cobija a </w:t>
      </w:r>
      <w:r w:rsidRPr="004C133A">
        <w:rPr>
          <w:rFonts w:ascii="Century Gothic" w:hAnsi="Century Gothic" w:cs="Arial"/>
          <w:i/>
          <w:lang w:eastAsia="x-none"/>
        </w:rPr>
        <w:t>“todos los entes del Estado”</w:t>
      </w:r>
      <w:r w:rsidRPr="004C133A">
        <w:rPr>
          <w:rFonts w:ascii="Century Gothic" w:hAnsi="Century Gothic" w:cs="Arial"/>
          <w:lang w:eastAsia="x-none"/>
        </w:rPr>
        <w:t>, expresión que contempla a los diferentes organismos o entidades autorizadas por la ley para suscribir contratos,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Esta restricción prohíbe la contratación directa  durante los cuatro (4) meses anteriores a la elección presidencial y hasta la realización de la elección en la segunda vuelta, en caso de que se presente. Esto implica que, la celebración de contratos o convenios, cuya selección se adelante a través de contratación directa, está prohibida durante el período de aplicación de esta restricción.</w:t>
      </w:r>
    </w:p>
    <w:p w14:paraId="7529395F" w14:textId="77777777" w:rsidR="00B136F8" w:rsidRPr="004C133A" w:rsidRDefault="00B136F8" w:rsidP="00B136F8">
      <w:pPr>
        <w:spacing w:after="120" w:line="276" w:lineRule="auto"/>
        <w:ind w:firstLine="708"/>
        <w:jc w:val="both"/>
        <w:rPr>
          <w:rFonts w:ascii="Century Gothic" w:eastAsia="Arial" w:hAnsi="Century Gothic" w:cs="Arial"/>
          <w:lang w:eastAsia="es-ES" w:bidi="es-ES"/>
        </w:rPr>
      </w:pPr>
      <w:r w:rsidRPr="004C133A">
        <w:rPr>
          <w:rFonts w:ascii="Century Gothic" w:eastAsia="Arial" w:hAnsi="Century Gothic" w:cs="Arial"/>
          <w:lang w:eastAsia="es-ES" w:bidi="es-ES"/>
        </w:rPr>
        <w:t>Por otro lado, la prohibición impuesta por el inciso primero del parágrafo del artículo 38 a los gobernadores, alcaldes municipales y/o distritales, secretarios, gerentes y directores de entidades descentralizadas del orden municipal, departamental o distrital,  debe aplicarse respecto de cualquier tipo de contienda electoral, y prohíbe la celebración de convenios interadministrativos que impliquen la ejecución de recursos públicos dentro de los cuatro (4) meses anteriores a la respectiva jornada de votaciones.</w:t>
      </w:r>
    </w:p>
    <w:p w14:paraId="498ADCF5" w14:textId="77777777" w:rsidR="00B136F8" w:rsidRPr="004C133A" w:rsidRDefault="00B136F8" w:rsidP="00B136F8">
      <w:pPr>
        <w:spacing w:after="120" w:line="276" w:lineRule="auto"/>
        <w:ind w:firstLine="709"/>
        <w:jc w:val="both"/>
        <w:rPr>
          <w:rFonts w:ascii="Century Gothic" w:eastAsia="Calibri" w:hAnsi="Century Gothic" w:cs="Arial"/>
          <w:lang w:val="es-ES_tradnl"/>
        </w:rPr>
      </w:pPr>
      <w:r w:rsidRPr="004C133A">
        <w:rPr>
          <w:rFonts w:ascii="Century Gothic" w:eastAsia="Calibri" w:hAnsi="Century Gothic" w:cs="Arial"/>
        </w:rPr>
        <w:t xml:space="preserve">Lo anterior implica que, en cuanto a los </w:t>
      </w:r>
      <w:r w:rsidRPr="004C133A">
        <w:rPr>
          <w:rFonts w:ascii="Century Gothic" w:eastAsia="Calibri" w:hAnsi="Century Gothic" w:cs="Arial"/>
          <w:i/>
        </w:rPr>
        <w:t>convenios de asociación</w:t>
      </w:r>
      <w:r w:rsidRPr="004C133A">
        <w:rPr>
          <w:rFonts w:ascii="Century Gothic" w:eastAsia="Calibri" w:hAnsi="Century Gothic" w:cs="Arial"/>
        </w:rPr>
        <w:t xml:space="preserve">, la prohibición de contratación directa del artículo 33 de la Ley de Garantías aplica únicamente a los procedimientos no competitivos. En contraste, la restricción </w:t>
      </w:r>
      <w:r w:rsidRPr="004C133A">
        <w:rPr>
          <w:rFonts w:ascii="Century Gothic" w:eastAsia="Calibri" w:hAnsi="Century Gothic" w:cs="Arial"/>
        </w:rPr>
        <w:lastRenderedPageBreak/>
        <w:t xml:space="preserve">citada no aplicaría a los </w:t>
      </w:r>
      <w:r w:rsidRPr="004C133A">
        <w:rPr>
          <w:rFonts w:ascii="Century Gothic" w:eastAsia="Calibri" w:hAnsi="Century Gothic" w:cs="Arial"/>
          <w:i/>
        </w:rPr>
        <w:t>convenios de asociación</w:t>
      </w:r>
      <w:r w:rsidRPr="004C133A">
        <w:rPr>
          <w:rFonts w:ascii="Century Gothic" w:eastAsia="Calibri" w:hAnsi="Century Gothic" w:cs="Arial"/>
        </w:rPr>
        <w:t xml:space="preserve"> que celebren las Entidades Estatales y entidades privadas sin ánimo de lucro bajo el procedimiento competitivo, pues este supone la pluralidad de oferentes y la selección objetiva del contratista. No obstante, cuando el </w:t>
      </w:r>
      <w:r w:rsidRPr="004C133A">
        <w:rPr>
          <w:rFonts w:ascii="Century Gothic" w:eastAsia="Calibri" w:hAnsi="Century Gothic" w:cs="Arial"/>
          <w:i/>
        </w:rPr>
        <w:t>convenio de asoc</w:t>
      </w:r>
      <w:r w:rsidRPr="004C133A">
        <w:rPr>
          <w:rFonts w:ascii="Century Gothic" w:eastAsia="Calibri" w:hAnsi="Century Gothic" w:cs="Arial"/>
          <w:i/>
          <w:lang w:val="es-ES_tradnl"/>
        </w:rPr>
        <w:t>iación</w:t>
      </w:r>
      <w:r w:rsidRPr="004C133A">
        <w:rPr>
          <w:rFonts w:ascii="Century Gothic" w:eastAsia="Calibri" w:hAnsi="Century Gothic" w:cs="Arial"/>
          <w:lang w:val="es-ES_tradnl"/>
        </w:rPr>
        <w:t xml:space="preserve"> se celebre bajo modalidad </w:t>
      </w:r>
      <w:r w:rsidRPr="004C133A">
        <w:rPr>
          <w:rFonts w:ascii="Century Gothic" w:eastAsia="Calibri" w:hAnsi="Century Gothic" w:cs="Arial"/>
          <w:i/>
          <w:lang w:val="es-ES_tradnl"/>
        </w:rPr>
        <w:t>no competitiva</w:t>
      </w:r>
      <w:r w:rsidRPr="004C133A">
        <w:rPr>
          <w:rFonts w:ascii="Century Gothic" w:eastAsia="Calibri" w:hAnsi="Century Gothic" w:cs="Arial"/>
          <w:lang w:val="es-ES_tradnl"/>
        </w:rPr>
        <w:t xml:space="preserve"> sí estaría prohibida la suscripción de estos durante el periodo de aplicación de esta restricción</w:t>
      </w:r>
      <w:r w:rsidRPr="004C133A">
        <w:rPr>
          <w:rFonts w:ascii="Century Gothic" w:eastAsia="Calibri" w:hAnsi="Century Gothic" w:cs="Arial"/>
          <w:i/>
          <w:lang w:val="es-ES_tradnl"/>
        </w:rPr>
        <w:t xml:space="preserve"> </w:t>
      </w:r>
      <w:r w:rsidRPr="004C133A">
        <w:rPr>
          <w:rFonts w:ascii="Century Gothic" w:eastAsia="Calibri" w:hAnsi="Century Gothic" w:cs="Arial"/>
          <w:lang w:val="es-ES_tradnl"/>
        </w:rPr>
        <w:t xml:space="preserve"> </w:t>
      </w:r>
    </w:p>
    <w:p w14:paraId="6F4B8F1F" w14:textId="77777777" w:rsidR="00B136F8" w:rsidRPr="004C133A" w:rsidRDefault="00B136F8" w:rsidP="00B136F8">
      <w:pPr>
        <w:spacing w:after="120" w:line="276" w:lineRule="auto"/>
        <w:ind w:firstLine="709"/>
        <w:jc w:val="both"/>
        <w:rPr>
          <w:rFonts w:ascii="Century Gothic" w:eastAsia="Calibri" w:hAnsi="Century Gothic" w:cs="Arial"/>
          <w:lang w:val="es-ES_tradnl"/>
        </w:rPr>
      </w:pPr>
      <w:r w:rsidRPr="004C133A">
        <w:rPr>
          <w:rFonts w:ascii="Century Gothic" w:eastAsia="Calibri" w:hAnsi="Century Gothic" w:cs="Arial"/>
          <w:lang w:val="es-ES_tradnl"/>
        </w:rPr>
        <w:t xml:space="preserve">Por otra parte, es posible concluir que, la celebración de </w:t>
      </w:r>
      <w:r w:rsidRPr="004C133A">
        <w:rPr>
          <w:rFonts w:ascii="Century Gothic" w:eastAsia="Calibri" w:hAnsi="Century Gothic" w:cs="Arial"/>
          <w:i/>
          <w:lang w:val="es-ES_tradnl"/>
        </w:rPr>
        <w:t>convenios de asociación</w:t>
      </w:r>
      <w:r w:rsidRPr="004C133A">
        <w:rPr>
          <w:rFonts w:ascii="Century Gothic" w:eastAsia="Calibri" w:hAnsi="Century Gothic" w:cs="Arial"/>
          <w:lang w:val="es-ES_tradnl"/>
        </w:rPr>
        <w:t>, no está prohibida por la restricción del parágrafo del artículo 38 de la Ley 2069 de 2020, la cual solo es aplicable a convenios interadministrativos.</w:t>
      </w:r>
    </w:p>
    <w:p w14:paraId="40BE9C96" w14:textId="77777777" w:rsidR="00B136F8" w:rsidRPr="004C133A" w:rsidRDefault="00B136F8" w:rsidP="00B136F8">
      <w:pPr>
        <w:spacing w:line="276" w:lineRule="auto"/>
        <w:ind w:firstLine="709"/>
        <w:jc w:val="both"/>
        <w:rPr>
          <w:rFonts w:ascii="Century Gothic" w:eastAsia="Calibri" w:hAnsi="Century Gothic" w:cs="Arial"/>
          <w:lang w:val="es-ES_tradnl"/>
        </w:rPr>
      </w:pPr>
      <w:r w:rsidRPr="004C133A">
        <w:rPr>
          <w:rFonts w:ascii="Century Gothic" w:eastAsia="Calibri" w:hAnsi="Century Gothic" w:cs="Arial"/>
          <w:lang w:val="es-ES_tradnl"/>
        </w:rPr>
        <w:t>Con todo, es pertinente poner de presente que durante el 2023 no se realizarán elecciones presidenciales, más si se llevarán a cabo elecciones de autoridades territoriales el próximo 29 de octubre. Esto significa que la restricción del artículo 33 de la Ley 996 de 2005 no aplicará durante la presente vigencia, contrario a lo que sucede con la del parágrafo del artículo 38, que se encuentra rigiendo desde el 29 de junio y así continuará hasta el 29 de octubre de 2023.</w:t>
      </w:r>
    </w:p>
    <w:p w14:paraId="6B89F7F0" w14:textId="5B9B4CD9" w:rsidR="00B136F8" w:rsidRPr="004C133A" w:rsidRDefault="00B136F8" w:rsidP="00B136F8">
      <w:pPr>
        <w:pStyle w:val="Textoindependiente"/>
        <w:spacing w:before="160" w:line="276" w:lineRule="auto"/>
        <w:jc w:val="both"/>
        <w:rPr>
          <w:rFonts w:ascii="Century Gothic" w:hAnsi="Century Gothic"/>
        </w:rPr>
      </w:pPr>
      <w:r w:rsidRPr="004C133A">
        <w:rPr>
          <w:rFonts w:ascii="Century Gothic" w:hAnsi="Century Gothic"/>
        </w:rPr>
        <w:t>Este concepto tiene el alcance previsto en el artículo 28 del Código de Procedimiento</w:t>
      </w:r>
      <w:r w:rsidRPr="004C133A">
        <w:rPr>
          <w:rFonts w:ascii="Century Gothic" w:hAnsi="Century Gothic"/>
          <w:spacing w:val="1"/>
        </w:rPr>
        <w:t xml:space="preserve"> </w:t>
      </w:r>
      <w:r w:rsidRPr="004C133A">
        <w:rPr>
          <w:rFonts w:ascii="Century Gothic" w:hAnsi="Century Gothic"/>
        </w:rPr>
        <w:t>Administrativo y de lo Contencioso Administrativo y las expresiones aquí utilizadas con</w:t>
      </w:r>
      <w:r w:rsidRPr="004C133A">
        <w:rPr>
          <w:rFonts w:ascii="Century Gothic" w:hAnsi="Century Gothic"/>
          <w:spacing w:val="1"/>
        </w:rPr>
        <w:t xml:space="preserve"> </w:t>
      </w:r>
      <w:r w:rsidRPr="004C133A">
        <w:rPr>
          <w:rFonts w:ascii="Century Gothic" w:hAnsi="Century Gothic"/>
        </w:rPr>
        <w:t>mayúscula</w:t>
      </w:r>
      <w:r w:rsidRPr="004C133A">
        <w:rPr>
          <w:rFonts w:ascii="Century Gothic" w:hAnsi="Century Gothic"/>
          <w:spacing w:val="1"/>
        </w:rPr>
        <w:t xml:space="preserve"> </w:t>
      </w:r>
      <w:r w:rsidRPr="004C133A">
        <w:rPr>
          <w:rFonts w:ascii="Century Gothic" w:hAnsi="Century Gothic"/>
        </w:rPr>
        <w:t>inicial</w:t>
      </w:r>
      <w:r w:rsidRPr="004C133A">
        <w:rPr>
          <w:rFonts w:ascii="Century Gothic" w:hAnsi="Century Gothic"/>
          <w:spacing w:val="1"/>
        </w:rPr>
        <w:t xml:space="preserve"> </w:t>
      </w:r>
      <w:r w:rsidRPr="004C133A">
        <w:rPr>
          <w:rFonts w:ascii="Century Gothic" w:hAnsi="Century Gothic"/>
        </w:rPr>
        <w:t>deben</w:t>
      </w:r>
      <w:r w:rsidRPr="004C133A">
        <w:rPr>
          <w:rFonts w:ascii="Century Gothic" w:hAnsi="Century Gothic"/>
          <w:spacing w:val="1"/>
        </w:rPr>
        <w:t xml:space="preserve"> </w:t>
      </w:r>
      <w:r w:rsidRPr="004C133A">
        <w:rPr>
          <w:rFonts w:ascii="Century Gothic" w:hAnsi="Century Gothic"/>
        </w:rPr>
        <w:t>ser</w:t>
      </w:r>
      <w:r w:rsidRPr="004C133A">
        <w:rPr>
          <w:rFonts w:ascii="Century Gothic" w:hAnsi="Century Gothic"/>
          <w:spacing w:val="1"/>
        </w:rPr>
        <w:t xml:space="preserve"> </w:t>
      </w:r>
      <w:r w:rsidRPr="004C133A">
        <w:rPr>
          <w:rFonts w:ascii="Century Gothic" w:hAnsi="Century Gothic"/>
        </w:rPr>
        <w:t>entendidas</w:t>
      </w:r>
      <w:r w:rsidRPr="004C133A">
        <w:rPr>
          <w:rFonts w:ascii="Century Gothic" w:hAnsi="Century Gothic"/>
          <w:spacing w:val="1"/>
        </w:rPr>
        <w:t xml:space="preserve"> </w:t>
      </w:r>
      <w:r w:rsidRPr="004C133A">
        <w:rPr>
          <w:rFonts w:ascii="Century Gothic" w:hAnsi="Century Gothic"/>
        </w:rPr>
        <w:t>con</w:t>
      </w:r>
      <w:r w:rsidRPr="004C133A">
        <w:rPr>
          <w:rFonts w:ascii="Century Gothic" w:hAnsi="Century Gothic"/>
          <w:spacing w:val="1"/>
        </w:rPr>
        <w:t xml:space="preserve"> </w:t>
      </w:r>
      <w:r w:rsidRPr="004C133A">
        <w:rPr>
          <w:rFonts w:ascii="Century Gothic" w:hAnsi="Century Gothic"/>
        </w:rPr>
        <w:t>el</w:t>
      </w:r>
      <w:r w:rsidRPr="004C133A">
        <w:rPr>
          <w:rFonts w:ascii="Century Gothic" w:hAnsi="Century Gothic"/>
          <w:spacing w:val="1"/>
        </w:rPr>
        <w:t xml:space="preserve"> </w:t>
      </w:r>
      <w:r w:rsidRPr="004C133A">
        <w:rPr>
          <w:rFonts w:ascii="Century Gothic" w:hAnsi="Century Gothic"/>
        </w:rPr>
        <w:t>significado</w:t>
      </w:r>
      <w:r w:rsidRPr="004C133A">
        <w:rPr>
          <w:rFonts w:ascii="Century Gothic" w:hAnsi="Century Gothic"/>
          <w:spacing w:val="1"/>
        </w:rPr>
        <w:t xml:space="preserve"> </w:t>
      </w:r>
      <w:r w:rsidRPr="004C133A">
        <w:rPr>
          <w:rFonts w:ascii="Century Gothic" w:hAnsi="Century Gothic"/>
        </w:rPr>
        <w:t>que</w:t>
      </w:r>
      <w:r w:rsidRPr="004C133A">
        <w:rPr>
          <w:rFonts w:ascii="Century Gothic" w:hAnsi="Century Gothic"/>
          <w:spacing w:val="1"/>
        </w:rPr>
        <w:t xml:space="preserve"> </w:t>
      </w:r>
      <w:r w:rsidRPr="004C133A">
        <w:rPr>
          <w:rFonts w:ascii="Century Gothic" w:hAnsi="Century Gothic"/>
        </w:rPr>
        <w:t>les</w:t>
      </w:r>
      <w:r w:rsidRPr="004C133A">
        <w:rPr>
          <w:rFonts w:ascii="Century Gothic" w:hAnsi="Century Gothic"/>
          <w:spacing w:val="1"/>
        </w:rPr>
        <w:t xml:space="preserve"> </w:t>
      </w:r>
      <w:r w:rsidRPr="004C133A">
        <w:rPr>
          <w:rFonts w:ascii="Century Gothic" w:hAnsi="Century Gothic"/>
        </w:rPr>
        <w:t>otorga</w:t>
      </w:r>
      <w:r w:rsidRPr="004C133A">
        <w:rPr>
          <w:rFonts w:ascii="Century Gothic" w:hAnsi="Century Gothic"/>
          <w:spacing w:val="1"/>
        </w:rPr>
        <w:t xml:space="preserve"> </w:t>
      </w:r>
      <w:r w:rsidRPr="004C133A">
        <w:rPr>
          <w:rFonts w:ascii="Century Gothic" w:hAnsi="Century Gothic"/>
        </w:rPr>
        <w:t>el</w:t>
      </w:r>
      <w:r w:rsidRPr="004C133A">
        <w:rPr>
          <w:rFonts w:ascii="Century Gothic" w:hAnsi="Century Gothic"/>
          <w:spacing w:val="1"/>
        </w:rPr>
        <w:t xml:space="preserve"> </w:t>
      </w:r>
      <w:r w:rsidRPr="004C133A">
        <w:rPr>
          <w:rFonts w:ascii="Century Gothic" w:hAnsi="Century Gothic"/>
        </w:rPr>
        <w:t>artículo</w:t>
      </w:r>
      <w:r w:rsidR="00DE55F2">
        <w:rPr>
          <w:rFonts w:ascii="Century Gothic" w:hAnsi="Century Gothic"/>
        </w:rPr>
        <w:t xml:space="preserve"> </w:t>
      </w:r>
      <w:r w:rsidR="00DE55F2" w:rsidRPr="004C133A">
        <w:rPr>
          <w:rFonts w:ascii="Century Gothic" w:hAnsi="Century Gothic"/>
        </w:rPr>
        <w:t>2.2.1.1.1.3.1.</w:t>
      </w:r>
      <w:r w:rsidRPr="004C133A">
        <w:rPr>
          <w:rFonts w:ascii="Century Gothic" w:hAnsi="Century Gothic"/>
          <w:spacing w:val="-2"/>
        </w:rPr>
        <w:t xml:space="preserve"> </w:t>
      </w:r>
      <w:r w:rsidRPr="004C133A">
        <w:rPr>
          <w:rFonts w:ascii="Century Gothic" w:hAnsi="Century Gothic"/>
        </w:rPr>
        <w:t>del</w:t>
      </w:r>
      <w:r w:rsidRPr="004C133A">
        <w:rPr>
          <w:rFonts w:ascii="Century Gothic" w:hAnsi="Century Gothic"/>
          <w:spacing w:val="-1"/>
        </w:rPr>
        <w:t xml:space="preserve"> </w:t>
      </w:r>
      <w:r w:rsidRPr="004C133A">
        <w:rPr>
          <w:rFonts w:ascii="Century Gothic" w:hAnsi="Century Gothic"/>
        </w:rPr>
        <w:t>Decreto</w:t>
      </w:r>
      <w:r w:rsidRPr="004C133A">
        <w:rPr>
          <w:rFonts w:ascii="Century Gothic" w:hAnsi="Century Gothic"/>
          <w:spacing w:val="-2"/>
        </w:rPr>
        <w:t xml:space="preserve"> </w:t>
      </w:r>
      <w:r w:rsidRPr="004C133A">
        <w:rPr>
          <w:rFonts w:ascii="Century Gothic" w:hAnsi="Century Gothic"/>
        </w:rPr>
        <w:t>1082</w:t>
      </w:r>
      <w:r w:rsidRPr="004C133A">
        <w:rPr>
          <w:rFonts w:ascii="Century Gothic" w:hAnsi="Century Gothic"/>
          <w:spacing w:val="-1"/>
        </w:rPr>
        <w:t xml:space="preserve"> </w:t>
      </w:r>
      <w:r w:rsidRPr="004C133A">
        <w:rPr>
          <w:rFonts w:ascii="Century Gothic" w:hAnsi="Century Gothic"/>
        </w:rPr>
        <w:t>de</w:t>
      </w:r>
      <w:r w:rsidRPr="004C133A">
        <w:rPr>
          <w:rFonts w:ascii="Century Gothic" w:hAnsi="Century Gothic"/>
          <w:spacing w:val="-1"/>
        </w:rPr>
        <w:t xml:space="preserve"> </w:t>
      </w:r>
      <w:r w:rsidRPr="004C133A">
        <w:rPr>
          <w:rFonts w:ascii="Century Gothic" w:hAnsi="Century Gothic"/>
        </w:rPr>
        <w:t>2015.</w:t>
      </w:r>
    </w:p>
    <w:p w14:paraId="26F99D0A" w14:textId="77777777" w:rsidR="00B136F8" w:rsidRPr="004C133A" w:rsidRDefault="00B136F8" w:rsidP="00B136F8">
      <w:pPr>
        <w:pStyle w:val="Textoindependiente"/>
        <w:spacing w:before="160"/>
        <w:jc w:val="both"/>
        <w:rPr>
          <w:rFonts w:ascii="Century Gothic" w:hAnsi="Century Gothic"/>
        </w:rPr>
      </w:pPr>
      <w:r w:rsidRPr="004C133A">
        <w:rPr>
          <w:rFonts w:ascii="Century Gothic" w:hAnsi="Century Gothic"/>
        </w:rPr>
        <w:t>Atentamente,</w:t>
      </w:r>
    </w:p>
    <w:p w14:paraId="10D34E4C" w14:textId="2788D153" w:rsidR="00B136F8" w:rsidRPr="004C133A" w:rsidRDefault="001130E5" w:rsidP="001130E5">
      <w:pPr>
        <w:pStyle w:val="Textoindependiente"/>
        <w:spacing w:before="3"/>
        <w:jc w:val="center"/>
        <w:rPr>
          <w:rFonts w:ascii="Century Gothic" w:hAnsi="Century Gothic"/>
          <w:sz w:val="24"/>
        </w:rPr>
      </w:pPr>
      <w:r>
        <w:rPr>
          <w:noProof/>
        </w:rPr>
        <w:drawing>
          <wp:inline distT="0" distB="0" distL="0" distR="0" wp14:anchorId="370A2FCD" wp14:editId="1CD8AD68">
            <wp:extent cx="3161665" cy="1209040"/>
            <wp:effectExtent l="0" t="0" r="635" b="0"/>
            <wp:docPr id="13029394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939429" name="Imagen 1"/>
                    <pic:cNvPicPr>
                      <a:picLocks noChangeAspect="1"/>
                    </pic:cNvPicPr>
                  </pic:nvPicPr>
                  <pic:blipFill>
                    <a:blip r:embed="rId12"/>
                    <a:stretch>
                      <a:fillRect/>
                    </a:stretch>
                  </pic:blipFill>
                  <pic:spPr>
                    <a:xfrm>
                      <a:off x="0" y="0"/>
                      <a:ext cx="3161665" cy="1209040"/>
                    </a:xfrm>
                    <a:prstGeom prst="rect">
                      <a:avLst/>
                    </a:prstGeom>
                  </pic:spPr>
                </pic:pic>
              </a:graphicData>
            </a:graphic>
          </wp:inline>
        </w:drawing>
      </w:r>
    </w:p>
    <w:p w14:paraId="156F618D" w14:textId="77777777" w:rsidR="00B136F8" w:rsidRPr="004C133A" w:rsidRDefault="00B136F8" w:rsidP="00B136F8">
      <w:pPr>
        <w:pStyle w:val="Textoindependiente"/>
        <w:rPr>
          <w:rFonts w:ascii="Century Gothic" w:hAnsi="Century Gothic"/>
          <w:sz w:val="24"/>
        </w:rPr>
      </w:pPr>
    </w:p>
    <w:p w14:paraId="6CFE0A94" w14:textId="77777777" w:rsidR="00B136F8" w:rsidRPr="004C133A" w:rsidRDefault="00B136F8" w:rsidP="00B136F8">
      <w:pPr>
        <w:pStyle w:val="Textoindependiente"/>
        <w:spacing w:before="2"/>
        <w:rPr>
          <w:rFonts w:ascii="Century Gothic" w:hAnsi="Century Gothic"/>
          <w:sz w:val="21"/>
        </w:rPr>
      </w:pPr>
    </w:p>
    <w:p w14:paraId="68E8BDFC" w14:textId="77777777" w:rsidR="00B136F8" w:rsidRPr="004C133A" w:rsidRDefault="00B136F8" w:rsidP="00B136F8">
      <w:pPr>
        <w:tabs>
          <w:tab w:val="left" w:pos="1123"/>
        </w:tabs>
        <w:spacing w:after="0" w:line="170" w:lineRule="auto"/>
        <w:ind w:left="269"/>
        <w:rPr>
          <w:rFonts w:ascii="Century Gothic" w:hAnsi="Century Gothic" w:cs="Arial"/>
          <w:sz w:val="16"/>
        </w:rPr>
      </w:pPr>
      <w:r w:rsidRPr="004C133A">
        <w:rPr>
          <w:rFonts w:ascii="Century Gothic" w:hAnsi="Century Gothic" w:cs="Arial"/>
          <w:position w:val="-10"/>
          <w:sz w:val="16"/>
        </w:rPr>
        <w:t>Elaboró:</w:t>
      </w:r>
      <w:r w:rsidRPr="004C133A">
        <w:rPr>
          <w:rFonts w:ascii="Century Gothic" w:hAnsi="Century Gothic" w:cs="Arial"/>
          <w:position w:val="-10"/>
          <w:sz w:val="16"/>
        </w:rPr>
        <w:tab/>
      </w:r>
      <w:r w:rsidRPr="004C133A">
        <w:rPr>
          <w:rFonts w:ascii="Century Gothic" w:hAnsi="Century Gothic" w:cs="Arial"/>
          <w:sz w:val="16"/>
        </w:rPr>
        <w:t>Julio</w:t>
      </w:r>
      <w:r w:rsidRPr="004C133A">
        <w:rPr>
          <w:rFonts w:ascii="Century Gothic" w:hAnsi="Century Gothic" w:cs="Arial"/>
          <w:spacing w:val="-2"/>
          <w:sz w:val="16"/>
        </w:rPr>
        <w:t xml:space="preserve"> </w:t>
      </w:r>
      <w:r w:rsidRPr="004C133A">
        <w:rPr>
          <w:rFonts w:ascii="Century Gothic" w:hAnsi="Century Gothic" w:cs="Arial"/>
          <w:sz w:val="16"/>
        </w:rPr>
        <w:t>Cesar</w:t>
      </w:r>
      <w:r w:rsidRPr="004C133A">
        <w:rPr>
          <w:rFonts w:ascii="Century Gothic" w:hAnsi="Century Gothic" w:cs="Arial"/>
          <w:spacing w:val="-2"/>
          <w:sz w:val="16"/>
        </w:rPr>
        <w:t xml:space="preserve"> </w:t>
      </w:r>
      <w:r w:rsidRPr="004C133A">
        <w:rPr>
          <w:rFonts w:ascii="Century Gothic" w:hAnsi="Century Gothic" w:cs="Arial"/>
          <w:sz w:val="16"/>
        </w:rPr>
        <w:t>Martelo</w:t>
      </w:r>
      <w:r w:rsidRPr="004C133A">
        <w:rPr>
          <w:rFonts w:ascii="Century Gothic" w:hAnsi="Century Gothic" w:cs="Arial"/>
          <w:spacing w:val="-1"/>
          <w:sz w:val="16"/>
        </w:rPr>
        <w:t xml:space="preserve"> </w:t>
      </w:r>
      <w:r w:rsidRPr="004C133A">
        <w:rPr>
          <w:rFonts w:ascii="Century Gothic" w:hAnsi="Century Gothic" w:cs="Arial"/>
          <w:sz w:val="16"/>
        </w:rPr>
        <w:t>Martelo</w:t>
      </w:r>
    </w:p>
    <w:p w14:paraId="43CD4DE1" w14:textId="77777777" w:rsidR="00B136F8" w:rsidRPr="004C133A" w:rsidRDefault="00B136F8" w:rsidP="00B136F8">
      <w:pPr>
        <w:spacing w:after="0" w:line="143" w:lineRule="exact"/>
        <w:ind w:left="1123"/>
        <w:rPr>
          <w:rFonts w:ascii="Century Gothic" w:hAnsi="Century Gothic" w:cs="Arial"/>
          <w:sz w:val="16"/>
        </w:rPr>
      </w:pPr>
      <w:r w:rsidRPr="004C133A">
        <w:rPr>
          <w:rFonts w:ascii="Century Gothic" w:hAnsi="Century Gothic" w:cs="Arial"/>
          <w:noProof/>
        </w:rPr>
        <mc:AlternateContent>
          <mc:Choice Requires="wps">
            <w:drawing>
              <wp:anchor distT="0" distB="0" distL="0" distR="0" simplePos="0" relativeHeight="251660288" behindDoc="1" locked="0" layoutInCell="1" allowOverlap="1" wp14:anchorId="54A84E95" wp14:editId="57DB9A72">
                <wp:simplePos x="0" y="0"/>
                <wp:positionH relativeFrom="page">
                  <wp:posOffset>1623060</wp:posOffset>
                </wp:positionH>
                <wp:positionV relativeFrom="paragraph">
                  <wp:posOffset>114300</wp:posOffset>
                </wp:positionV>
                <wp:extent cx="3237865" cy="1270"/>
                <wp:effectExtent l="0" t="0" r="0" b="0"/>
                <wp:wrapTopAndBottom/>
                <wp:docPr id="1222571075" name="Forma libre: forma 12225710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7865" cy="1270"/>
                        </a:xfrm>
                        <a:custGeom>
                          <a:avLst/>
                          <a:gdLst>
                            <a:gd name="T0" fmla="+- 0 2556 2556"/>
                            <a:gd name="T1" fmla="*/ T0 w 5099"/>
                            <a:gd name="T2" fmla="+- 0 7655 2556"/>
                            <a:gd name="T3" fmla="*/ T2 w 5099"/>
                            <a:gd name="T4" fmla="+- 0 2556 2556"/>
                            <a:gd name="T5" fmla="*/ T4 w 5099"/>
                            <a:gd name="T6" fmla="+- 0 7655 2556"/>
                            <a:gd name="T7" fmla="*/ T6 w 5099"/>
                          </a:gdLst>
                          <a:ahLst/>
                          <a:cxnLst>
                            <a:cxn ang="0">
                              <a:pos x="T1" y="0"/>
                            </a:cxn>
                            <a:cxn ang="0">
                              <a:pos x="T3" y="0"/>
                            </a:cxn>
                            <a:cxn ang="0">
                              <a:pos x="T5" y="0"/>
                            </a:cxn>
                            <a:cxn ang="0">
                              <a:pos x="T7" y="0"/>
                            </a:cxn>
                          </a:cxnLst>
                          <a:rect l="0" t="0" r="r" b="b"/>
                          <a:pathLst>
                            <a:path w="5099">
                              <a:moveTo>
                                <a:pt x="0" y="0"/>
                              </a:moveTo>
                              <a:lnTo>
                                <a:pt x="5099" y="0"/>
                              </a:lnTo>
                              <a:moveTo>
                                <a:pt x="0" y="0"/>
                              </a:moveTo>
                              <a:lnTo>
                                <a:pt x="5099" y="0"/>
                              </a:lnTo>
                            </a:path>
                          </a:pathLst>
                        </a:custGeom>
                        <a:noFill/>
                        <a:ln w="6350">
                          <a:solidFill>
                            <a:srgbClr val="7E7E7E"/>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2E0F1" id="Forma libre: forma 1222571075" o:spid="_x0000_s1026" style="position:absolute;margin-left:127.8pt;margin-top:9pt;width:254.9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" path="m,l5099,m,l5099,e" filled="f" strokecolor="#7e7e7e" strokeweight=".5pt">
                <v:stroke dashstyle="dot"/>
                <v:path arrowok="t" o:connecttype="custom" o:connectlocs="0,0;3237865,0;0,0;3237865,0" o:connectangles="0,0,0,0"/>
                <w10:wrap type="topAndBottom" anchorx="page"/>
              </v:shape>
            </w:pict>
          </mc:Fallback>
        </mc:AlternateContent>
      </w:r>
      <w:r w:rsidRPr="004C133A">
        <w:rPr>
          <w:rFonts w:ascii="Century Gothic" w:hAnsi="Century Gothic" w:cs="Arial"/>
          <w:sz w:val="16"/>
        </w:rPr>
        <w:t>Contratista</w:t>
      </w:r>
      <w:r w:rsidRPr="004C133A">
        <w:rPr>
          <w:rFonts w:ascii="Century Gothic" w:hAnsi="Century Gothic" w:cs="Arial"/>
          <w:spacing w:val="-7"/>
          <w:sz w:val="16"/>
        </w:rPr>
        <w:t xml:space="preserve"> </w:t>
      </w:r>
      <w:r w:rsidRPr="004C133A">
        <w:rPr>
          <w:rFonts w:ascii="Century Gothic" w:hAnsi="Century Gothic" w:cs="Arial"/>
          <w:sz w:val="16"/>
        </w:rPr>
        <w:t>de</w:t>
      </w:r>
      <w:r w:rsidRPr="004C133A">
        <w:rPr>
          <w:rFonts w:ascii="Century Gothic" w:hAnsi="Century Gothic" w:cs="Arial"/>
          <w:spacing w:val="-7"/>
          <w:sz w:val="16"/>
        </w:rPr>
        <w:t xml:space="preserve"> </w:t>
      </w:r>
      <w:r w:rsidRPr="004C133A">
        <w:rPr>
          <w:rFonts w:ascii="Century Gothic" w:hAnsi="Century Gothic" w:cs="Arial"/>
          <w:sz w:val="16"/>
        </w:rPr>
        <w:t>la</w:t>
      </w:r>
      <w:r w:rsidRPr="004C133A">
        <w:rPr>
          <w:rFonts w:ascii="Century Gothic" w:hAnsi="Century Gothic" w:cs="Arial"/>
          <w:spacing w:val="-7"/>
          <w:sz w:val="16"/>
        </w:rPr>
        <w:t xml:space="preserve"> </w:t>
      </w:r>
      <w:r w:rsidRPr="004C133A">
        <w:rPr>
          <w:rFonts w:ascii="Century Gothic" w:hAnsi="Century Gothic" w:cs="Arial"/>
          <w:sz w:val="16"/>
        </w:rPr>
        <w:t>Subdirección</w:t>
      </w:r>
      <w:r w:rsidRPr="004C133A">
        <w:rPr>
          <w:rFonts w:ascii="Century Gothic" w:hAnsi="Century Gothic" w:cs="Arial"/>
          <w:spacing w:val="-6"/>
          <w:sz w:val="16"/>
        </w:rPr>
        <w:t xml:space="preserve"> </w:t>
      </w:r>
      <w:r w:rsidRPr="004C133A">
        <w:rPr>
          <w:rFonts w:ascii="Century Gothic" w:hAnsi="Century Gothic" w:cs="Arial"/>
          <w:sz w:val="16"/>
        </w:rPr>
        <w:t>de</w:t>
      </w:r>
      <w:r w:rsidRPr="004C133A">
        <w:rPr>
          <w:rFonts w:ascii="Century Gothic" w:hAnsi="Century Gothic" w:cs="Arial"/>
          <w:spacing w:val="-7"/>
          <w:sz w:val="16"/>
        </w:rPr>
        <w:t xml:space="preserve"> </w:t>
      </w:r>
      <w:r w:rsidRPr="004C133A">
        <w:rPr>
          <w:rFonts w:ascii="Century Gothic" w:hAnsi="Century Gothic" w:cs="Arial"/>
          <w:sz w:val="16"/>
        </w:rPr>
        <w:t>Gestión</w:t>
      </w:r>
      <w:r w:rsidRPr="004C133A">
        <w:rPr>
          <w:rFonts w:ascii="Century Gothic" w:hAnsi="Century Gothic" w:cs="Arial"/>
          <w:spacing w:val="-7"/>
          <w:sz w:val="16"/>
        </w:rPr>
        <w:t xml:space="preserve"> </w:t>
      </w:r>
      <w:r w:rsidRPr="004C133A">
        <w:rPr>
          <w:rFonts w:ascii="Century Gothic" w:hAnsi="Century Gothic" w:cs="Arial"/>
          <w:sz w:val="16"/>
        </w:rPr>
        <w:t>Contractual</w:t>
      </w:r>
    </w:p>
    <w:p w14:paraId="363188B4" w14:textId="77777777" w:rsidR="00B136F8" w:rsidRPr="004C133A" w:rsidRDefault="00B136F8" w:rsidP="00B136F8">
      <w:pPr>
        <w:tabs>
          <w:tab w:val="left" w:pos="1123"/>
        </w:tabs>
        <w:spacing w:after="0" w:line="172" w:lineRule="auto"/>
        <w:ind w:left="269"/>
        <w:rPr>
          <w:rFonts w:ascii="Century Gothic" w:hAnsi="Century Gothic" w:cs="Arial"/>
          <w:sz w:val="16"/>
        </w:rPr>
      </w:pPr>
      <w:r w:rsidRPr="004C133A">
        <w:rPr>
          <w:rFonts w:ascii="Century Gothic" w:hAnsi="Century Gothic" w:cs="Arial"/>
          <w:position w:val="-9"/>
          <w:sz w:val="16"/>
        </w:rPr>
        <w:t>Revisó:</w:t>
      </w:r>
      <w:r w:rsidRPr="004C133A">
        <w:rPr>
          <w:rFonts w:ascii="Century Gothic" w:hAnsi="Century Gothic" w:cs="Arial"/>
          <w:position w:val="-9"/>
          <w:sz w:val="16"/>
        </w:rPr>
        <w:tab/>
      </w:r>
      <w:r w:rsidRPr="004C133A">
        <w:rPr>
          <w:rFonts w:ascii="Century Gothic" w:hAnsi="Century Gothic" w:cs="Arial"/>
          <w:sz w:val="16"/>
        </w:rPr>
        <w:t>Alejandro</w:t>
      </w:r>
      <w:r w:rsidRPr="004C133A">
        <w:rPr>
          <w:rFonts w:ascii="Century Gothic" w:hAnsi="Century Gothic" w:cs="Arial"/>
          <w:spacing w:val="-8"/>
          <w:sz w:val="16"/>
        </w:rPr>
        <w:t xml:space="preserve"> </w:t>
      </w:r>
      <w:r w:rsidRPr="004C133A">
        <w:rPr>
          <w:rFonts w:ascii="Century Gothic" w:hAnsi="Century Gothic" w:cs="Arial"/>
          <w:sz w:val="16"/>
        </w:rPr>
        <w:t>Raúl</w:t>
      </w:r>
      <w:r w:rsidRPr="004C133A">
        <w:rPr>
          <w:rFonts w:ascii="Century Gothic" w:hAnsi="Century Gothic" w:cs="Arial"/>
          <w:spacing w:val="-7"/>
          <w:sz w:val="16"/>
        </w:rPr>
        <w:t xml:space="preserve"> </w:t>
      </w:r>
      <w:r w:rsidRPr="004C133A">
        <w:rPr>
          <w:rFonts w:ascii="Century Gothic" w:hAnsi="Century Gothic" w:cs="Arial"/>
          <w:sz w:val="16"/>
        </w:rPr>
        <w:t>Sarmiento</w:t>
      </w:r>
      <w:r w:rsidRPr="004C133A">
        <w:rPr>
          <w:rFonts w:ascii="Century Gothic" w:hAnsi="Century Gothic" w:cs="Arial"/>
          <w:spacing w:val="-8"/>
          <w:sz w:val="16"/>
        </w:rPr>
        <w:t xml:space="preserve"> </w:t>
      </w:r>
      <w:r w:rsidRPr="004C133A">
        <w:rPr>
          <w:rFonts w:ascii="Century Gothic" w:hAnsi="Century Gothic" w:cs="Arial"/>
          <w:sz w:val="16"/>
        </w:rPr>
        <w:t>Cantillo</w:t>
      </w:r>
    </w:p>
    <w:p w14:paraId="255644AC" w14:textId="77777777" w:rsidR="00B136F8" w:rsidRPr="004C133A" w:rsidRDefault="00B136F8" w:rsidP="00B136F8">
      <w:pPr>
        <w:spacing w:after="0" w:line="148" w:lineRule="exact"/>
        <w:ind w:left="1123"/>
        <w:rPr>
          <w:rFonts w:ascii="Century Gothic" w:hAnsi="Century Gothic" w:cs="Arial"/>
          <w:sz w:val="16"/>
        </w:rPr>
      </w:pPr>
      <w:r w:rsidRPr="004C133A">
        <w:rPr>
          <w:rFonts w:ascii="Century Gothic" w:hAnsi="Century Gothic" w:cs="Arial"/>
          <w:sz w:val="16"/>
        </w:rPr>
        <w:t>Gestor</w:t>
      </w:r>
      <w:r w:rsidRPr="004C133A">
        <w:rPr>
          <w:rFonts w:ascii="Century Gothic" w:hAnsi="Century Gothic" w:cs="Arial"/>
          <w:spacing w:val="-5"/>
          <w:sz w:val="16"/>
        </w:rPr>
        <w:t xml:space="preserve"> </w:t>
      </w:r>
      <w:r w:rsidRPr="004C133A">
        <w:rPr>
          <w:rFonts w:ascii="Century Gothic" w:hAnsi="Century Gothic" w:cs="Arial"/>
          <w:sz w:val="16"/>
        </w:rPr>
        <w:t>T1</w:t>
      </w:r>
      <w:r w:rsidRPr="004C133A">
        <w:rPr>
          <w:rFonts w:ascii="Century Gothic" w:hAnsi="Century Gothic" w:cs="Arial"/>
          <w:spacing w:val="-2"/>
          <w:sz w:val="16"/>
        </w:rPr>
        <w:t xml:space="preserve"> </w:t>
      </w:r>
      <w:r w:rsidRPr="004C133A">
        <w:rPr>
          <w:rFonts w:ascii="Century Gothic" w:hAnsi="Century Gothic" w:cs="Arial"/>
          <w:sz w:val="16"/>
        </w:rPr>
        <w:t>–</w:t>
      </w:r>
      <w:r w:rsidRPr="004C133A">
        <w:rPr>
          <w:rFonts w:ascii="Century Gothic" w:hAnsi="Century Gothic" w:cs="Arial"/>
          <w:spacing w:val="-5"/>
          <w:sz w:val="16"/>
        </w:rPr>
        <w:t xml:space="preserve"> </w:t>
      </w:r>
      <w:r w:rsidRPr="004C133A">
        <w:rPr>
          <w:rFonts w:ascii="Century Gothic" w:hAnsi="Century Gothic" w:cs="Arial"/>
          <w:sz w:val="16"/>
        </w:rPr>
        <w:t>15</w:t>
      </w:r>
      <w:r w:rsidRPr="004C133A">
        <w:rPr>
          <w:rFonts w:ascii="Century Gothic" w:hAnsi="Century Gothic" w:cs="Arial"/>
          <w:spacing w:val="-5"/>
          <w:sz w:val="16"/>
        </w:rPr>
        <w:t xml:space="preserve"> </w:t>
      </w:r>
      <w:r w:rsidRPr="004C133A">
        <w:rPr>
          <w:rFonts w:ascii="Century Gothic" w:hAnsi="Century Gothic" w:cs="Arial"/>
          <w:sz w:val="16"/>
        </w:rPr>
        <w:t>de</w:t>
      </w:r>
      <w:r w:rsidRPr="004C133A">
        <w:rPr>
          <w:rFonts w:ascii="Century Gothic" w:hAnsi="Century Gothic" w:cs="Arial"/>
          <w:spacing w:val="-4"/>
          <w:sz w:val="16"/>
        </w:rPr>
        <w:t xml:space="preserve"> </w:t>
      </w:r>
      <w:r w:rsidRPr="004C133A">
        <w:rPr>
          <w:rFonts w:ascii="Century Gothic" w:hAnsi="Century Gothic" w:cs="Arial"/>
          <w:sz w:val="16"/>
        </w:rPr>
        <w:t>la</w:t>
      </w:r>
      <w:r w:rsidRPr="004C133A">
        <w:rPr>
          <w:rFonts w:ascii="Century Gothic" w:hAnsi="Century Gothic" w:cs="Arial"/>
          <w:spacing w:val="-5"/>
          <w:sz w:val="16"/>
        </w:rPr>
        <w:t xml:space="preserve"> </w:t>
      </w:r>
      <w:r w:rsidRPr="004C133A">
        <w:rPr>
          <w:rFonts w:ascii="Century Gothic" w:hAnsi="Century Gothic" w:cs="Arial"/>
          <w:sz w:val="16"/>
        </w:rPr>
        <w:t>Subdirección</w:t>
      </w:r>
      <w:r w:rsidRPr="004C133A">
        <w:rPr>
          <w:rFonts w:ascii="Century Gothic" w:hAnsi="Century Gothic" w:cs="Arial"/>
          <w:spacing w:val="-5"/>
          <w:sz w:val="16"/>
        </w:rPr>
        <w:t xml:space="preserve"> </w:t>
      </w:r>
      <w:r w:rsidRPr="004C133A">
        <w:rPr>
          <w:rFonts w:ascii="Century Gothic" w:hAnsi="Century Gothic" w:cs="Arial"/>
          <w:sz w:val="16"/>
        </w:rPr>
        <w:t>de</w:t>
      </w:r>
      <w:r w:rsidRPr="004C133A">
        <w:rPr>
          <w:rFonts w:ascii="Century Gothic" w:hAnsi="Century Gothic" w:cs="Arial"/>
          <w:spacing w:val="-4"/>
          <w:sz w:val="16"/>
        </w:rPr>
        <w:t xml:space="preserve"> </w:t>
      </w:r>
      <w:r w:rsidRPr="004C133A">
        <w:rPr>
          <w:rFonts w:ascii="Century Gothic" w:hAnsi="Century Gothic" w:cs="Arial"/>
          <w:sz w:val="16"/>
        </w:rPr>
        <w:t>Gestión</w:t>
      </w:r>
      <w:r w:rsidRPr="004C133A">
        <w:rPr>
          <w:rFonts w:ascii="Century Gothic" w:hAnsi="Century Gothic" w:cs="Arial"/>
          <w:spacing w:val="-5"/>
          <w:sz w:val="16"/>
        </w:rPr>
        <w:t xml:space="preserve"> </w:t>
      </w:r>
      <w:r w:rsidRPr="004C133A">
        <w:rPr>
          <w:rFonts w:ascii="Century Gothic" w:hAnsi="Century Gothic" w:cs="Arial"/>
          <w:sz w:val="16"/>
        </w:rPr>
        <w:t>Contractual</w:t>
      </w:r>
    </w:p>
    <w:p w14:paraId="799547CF" w14:textId="77777777" w:rsidR="00B136F8" w:rsidRPr="004C133A" w:rsidRDefault="00B136F8" w:rsidP="00B136F8">
      <w:pPr>
        <w:pStyle w:val="Textoindependiente"/>
        <w:spacing w:line="20" w:lineRule="exact"/>
        <w:ind w:left="1011"/>
        <w:rPr>
          <w:rFonts w:ascii="Century Gothic" w:hAnsi="Century Gothic" w:cs="Arial"/>
          <w:sz w:val="2"/>
        </w:rPr>
      </w:pPr>
      <w:r w:rsidRPr="004C133A">
        <w:rPr>
          <w:rFonts w:ascii="Century Gothic" w:hAnsi="Century Gothic" w:cs="Arial"/>
          <w:noProof/>
          <w:sz w:val="2"/>
        </w:rPr>
        <mc:AlternateContent>
          <mc:Choice Requires="wpg">
            <w:drawing>
              <wp:inline distT="0" distB="0" distL="0" distR="0" wp14:anchorId="1EC0EBF8" wp14:editId="6A2959CA">
                <wp:extent cx="3237865" cy="6350"/>
                <wp:effectExtent l="9525" t="9525" r="10160" b="3175"/>
                <wp:docPr id="741216953" name="Grupo 7412169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7865" cy="6350"/>
                          <a:chOff x="0" y="0"/>
                          <a:chExt cx="5099" cy="10"/>
                        </a:xfrm>
                      </wpg:grpSpPr>
                      <wps:wsp>
                        <wps:cNvPr id="2033891505" name="AutoShape 3"/>
                        <wps:cNvSpPr>
                          <a:spLocks/>
                        </wps:cNvSpPr>
                        <wps:spPr bwMode="auto">
                          <a:xfrm>
                            <a:off x="0" y="5"/>
                            <a:ext cx="5099" cy="2"/>
                          </a:xfrm>
                          <a:custGeom>
                            <a:avLst/>
                            <a:gdLst>
                              <a:gd name="T0" fmla="*/ 0 w 5099"/>
                              <a:gd name="T1" fmla="*/ 5099 w 5099"/>
                              <a:gd name="T2" fmla="*/ 0 w 5099"/>
                              <a:gd name="T3" fmla="*/ 5099 w 5099"/>
                            </a:gdLst>
                            <a:ahLst/>
                            <a:cxnLst>
                              <a:cxn ang="0">
                                <a:pos x="T0" y="0"/>
                              </a:cxn>
                              <a:cxn ang="0">
                                <a:pos x="T1" y="0"/>
                              </a:cxn>
                              <a:cxn ang="0">
                                <a:pos x="T2" y="0"/>
                              </a:cxn>
                              <a:cxn ang="0">
                                <a:pos x="T3" y="0"/>
                              </a:cxn>
                            </a:cxnLst>
                            <a:rect l="0" t="0" r="r" b="b"/>
                            <a:pathLst>
                              <a:path w="5099">
                                <a:moveTo>
                                  <a:pt x="0" y="0"/>
                                </a:moveTo>
                                <a:lnTo>
                                  <a:pt x="5099" y="0"/>
                                </a:lnTo>
                                <a:moveTo>
                                  <a:pt x="0" y="0"/>
                                </a:moveTo>
                                <a:lnTo>
                                  <a:pt x="5099" y="0"/>
                                </a:lnTo>
                              </a:path>
                            </a:pathLst>
                          </a:custGeom>
                          <a:noFill/>
                          <a:ln w="6350">
                            <a:solidFill>
                              <a:srgbClr val="7E7E7E"/>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CB50D80" id="Grupo 741216953" o:spid="_x0000_s1026" style="width:254.95pt;height:.5pt;mso-position-horizontal-relative:char;mso-position-vertical-relative:line" coordsize="50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">
                <v:shape id="AutoShape 3" o:spid="_x0000_s1027" style="position:absolute;top:5;width:5099;height:2;visibility:visible;mso-wrap-style:square;v-text-anchor:top" coordsize="5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" path="m,l5099,m,l5099,e" filled="f" strokecolor="#7e7e7e" strokeweight=".5pt">
                  <v:stroke dashstyle="dot"/>
                  <v:path arrowok="t" o:connecttype="custom" o:connectlocs="0,0;5099,0;0,0;5099,0" o:connectangles="0,0,0,0"/>
                </v:shape>
                <w10:anchorlock/>
              </v:group>
            </w:pict>
          </mc:Fallback>
        </mc:AlternateContent>
      </w:r>
    </w:p>
    <w:p w14:paraId="6EF0BB6B" w14:textId="77777777" w:rsidR="00B136F8" w:rsidRPr="004C133A" w:rsidRDefault="00B136F8" w:rsidP="00B136F8">
      <w:pPr>
        <w:tabs>
          <w:tab w:val="left" w:pos="1123"/>
        </w:tabs>
        <w:spacing w:before="22" w:after="0" w:line="180" w:lineRule="auto"/>
        <w:ind w:left="1123" w:hanging="855"/>
        <w:rPr>
          <w:rFonts w:ascii="Century Gothic" w:hAnsi="Century Gothic" w:cs="Arial"/>
          <w:spacing w:val="-43"/>
          <w:sz w:val="16"/>
        </w:rPr>
      </w:pPr>
      <w:r w:rsidRPr="004C133A">
        <w:rPr>
          <w:rFonts w:ascii="Century Gothic" w:hAnsi="Century Gothic" w:cs="Arial"/>
          <w:noProof/>
        </w:rPr>
        <mc:AlternateContent>
          <mc:Choice Requires="wps">
            <w:drawing>
              <wp:anchor distT="0" distB="0" distL="0" distR="0" simplePos="0" relativeHeight="251661312" behindDoc="1" locked="0" layoutInCell="1" allowOverlap="1" wp14:anchorId="4F668C46" wp14:editId="2C2036DE">
                <wp:simplePos x="0" y="0"/>
                <wp:positionH relativeFrom="page">
                  <wp:posOffset>1623060</wp:posOffset>
                </wp:positionH>
                <wp:positionV relativeFrom="paragraph">
                  <wp:posOffset>294005</wp:posOffset>
                </wp:positionV>
                <wp:extent cx="3237865" cy="1270"/>
                <wp:effectExtent l="0" t="0" r="0" b="0"/>
                <wp:wrapTopAndBottom/>
                <wp:docPr id="108174428" name="Forma libre: forma 1081744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7865" cy="1270"/>
                        </a:xfrm>
                        <a:custGeom>
                          <a:avLst/>
                          <a:gdLst>
                            <a:gd name="T0" fmla="+- 0 2556 2556"/>
                            <a:gd name="T1" fmla="*/ T0 w 5099"/>
                            <a:gd name="T2" fmla="+- 0 7655 2556"/>
                            <a:gd name="T3" fmla="*/ T2 w 5099"/>
                          </a:gdLst>
                          <a:ahLst/>
                          <a:cxnLst>
                            <a:cxn ang="0">
                              <a:pos x="T1" y="0"/>
                            </a:cxn>
                            <a:cxn ang="0">
                              <a:pos x="T3" y="0"/>
                            </a:cxn>
                          </a:cxnLst>
                          <a:rect l="0" t="0" r="r" b="b"/>
                          <a:pathLst>
                            <a:path w="5099">
                              <a:moveTo>
                                <a:pt x="0" y="0"/>
                              </a:moveTo>
                              <a:lnTo>
                                <a:pt x="5099" y="0"/>
                              </a:lnTo>
                            </a:path>
                          </a:pathLst>
                        </a:custGeom>
                        <a:noFill/>
                        <a:ln w="6350">
                          <a:solidFill>
                            <a:srgbClr val="7E7E7E"/>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D593D" id="Forma libre: forma 108174428" o:spid="_x0000_s1026" style="position:absolute;margin-left:127.8pt;margin-top:23.15pt;width:254.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" path="m,l5099,e" filled="f" strokecolor="#7e7e7e" strokeweight=".5pt">
                <v:stroke dashstyle="dot"/>
                <v:path arrowok="t" o:connecttype="custom" o:connectlocs="0,0;3237865,0" o:connectangles="0,0"/>
                <w10:wrap type="topAndBottom" anchorx="page"/>
              </v:shape>
            </w:pict>
          </mc:Fallback>
        </mc:AlternateContent>
      </w:r>
      <w:r w:rsidRPr="004C133A">
        <w:rPr>
          <w:rFonts w:ascii="Century Gothic" w:hAnsi="Century Gothic" w:cs="Arial"/>
          <w:position w:val="-9"/>
          <w:sz w:val="16"/>
        </w:rPr>
        <w:t>Aprobó:</w:t>
      </w:r>
      <w:r w:rsidRPr="004C133A">
        <w:rPr>
          <w:rFonts w:ascii="Century Gothic" w:hAnsi="Century Gothic" w:cs="Arial"/>
          <w:position w:val="-9"/>
          <w:sz w:val="16"/>
        </w:rPr>
        <w:tab/>
      </w:r>
      <w:r w:rsidRPr="004C133A">
        <w:rPr>
          <w:rFonts w:ascii="Century Gothic" w:hAnsi="Century Gothic" w:cs="Arial"/>
          <w:sz w:val="16"/>
        </w:rPr>
        <w:t>Nohelia del Carmen Zawady Palacio</w:t>
      </w:r>
      <w:r w:rsidRPr="004C133A">
        <w:rPr>
          <w:rFonts w:ascii="Century Gothic" w:hAnsi="Century Gothic" w:cs="Arial"/>
          <w:spacing w:val="-43"/>
          <w:sz w:val="16"/>
        </w:rPr>
        <w:t xml:space="preserve"> </w:t>
      </w:r>
    </w:p>
    <w:p w14:paraId="2452F561" w14:textId="77777777" w:rsidR="00B136F8" w:rsidRPr="004C133A" w:rsidRDefault="00B136F8" w:rsidP="00B136F8">
      <w:pPr>
        <w:tabs>
          <w:tab w:val="left" w:pos="1123"/>
        </w:tabs>
        <w:spacing w:before="22" w:after="0" w:line="180" w:lineRule="auto"/>
        <w:ind w:left="1123" w:hanging="855"/>
        <w:rPr>
          <w:rFonts w:ascii="Century Gothic" w:hAnsi="Century Gothic" w:cs="Arial"/>
          <w:spacing w:val="-43"/>
          <w:sz w:val="16"/>
        </w:rPr>
      </w:pPr>
      <w:r w:rsidRPr="004C133A">
        <w:rPr>
          <w:rFonts w:ascii="Century Gothic" w:hAnsi="Century Gothic" w:cs="Arial"/>
          <w:spacing w:val="-43"/>
          <w:sz w:val="16"/>
        </w:rPr>
        <w:tab/>
      </w:r>
      <w:r w:rsidRPr="004C133A">
        <w:rPr>
          <w:rFonts w:ascii="Century Gothic" w:hAnsi="Century Gothic" w:cs="Arial"/>
          <w:sz w:val="16"/>
        </w:rPr>
        <w:t>Subdirectora</w:t>
      </w:r>
      <w:r w:rsidRPr="004C133A">
        <w:rPr>
          <w:rFonts w:ascii="Century Gothic" w:hAnsi="Century Gothic" w:cs="Arial"/>
          <w:spacing w:val="-9"/>
          <w:sz w:val="16"/>
        </w:rPr>
        <w:t xml:space="preserve"> </w:t>
      </w:r>
      <w:r w:rsidRPr="004C133A">
        <w:rPr>
          <w:rFonts w:ascii="Century Gothic" w:hAnsi="Century Gothic" w:cs="Arial"/>
          <w:sz w:val="16"/>
        </w:rPr>
        <w:t>de</w:t>
      </w:r>
      <w:r w:rsidRPr="004C133A">
        <w:rPr>
          <w:rFonts w:ascii="Century Gothic" w:hAnsi="Century Gothic" w:cs="Arial"/>
          <w:spacing w:val="-9"/>
          <w:sz w:val="16"/>
        </w:rPr>
        <w:t xml:space="preserve"> </w:t>
      </w:r>
      <w:r w:rsidRPr="004C133A">
        <w:rPr>
          <w:rFonts w:ascii="Century Gothic" w:hAnsi="Century Gothic" w:cs="Arial"/>
          <w:sz w:val="16"/>
        </w:rPr>
        <w:t>Gestión</w:t>
      </w:r>
      <w:r w:rsidRPr="004C133A">
        <w:rPr>
          <w:rFonts w:ascii="Century Gothic" w:hAnsi="Century Gothic" w:cs="Arial"/>
          <w:spacing w:val="-9"/>
          <w:sz w:val="16"/>
        </w:rPr>
        <w:t xml:space="preserve"> </w:t>
      </w:r>
      <w:r w:rsidRPr="004C133A">
        <w:rPr>
          <w:rFonts w:ascii="Century Gothic" w:hAnsi="Century Gothic" w:cs="Arial"/>
          <w:sz w:val="16"/>
        </w:rPr>
        <w:t>Contractual</w:t>
      </w:r>
    </w:p>
    <w:p w14:paraId="1D9C474F" w14:textId="77777777" w:rsidR="00B136F8" w:rsidRPr="004C133A" w:rsidRDefault="00B136F8" w:rsidP="00B136F8">
      <w:pPr>
        <w:spacing w:after="120" w:line="276" w:lineRule="auto"/>
        <w:ind w:firstLine="708"/>
        <w:jc w:val="both"/>
        <w:rPr>
          <w:rFonts w:ascii="Century Gothic" w:hAnsi="Century Gothic" w:cs="Arial"/>
          <w:lang w:eastAsia="x-none"/>
        </w:rPr>
      </w:pPr>
    </w:p>
    <w:p w14:paraId="0F68569A" w14:textId="77777777" w:rsidR="00B136F8" w:rsidRPr="004C133A" w:rsidRDefault="00B136F8" w:rsidP="00B136F8">
      <w:pPr>
        <w:spacing w:after="120" w:line="276" w:lineRule="auto"/>
        <w:jc w:val="both"/>
        <w:rPr>
          <w:rFonts w:ascii="Century Gothic" w:eastAsia="Calibri" w:hAnsi="Century Gothic" w:cs="Arial"/>
        </w:rPr>
      </w:pPr>
    </w:p>
    <w:p w14:paraId="30CF0E90" w14:textId="77777777" w:rsidR="00B136F8" w:rsidRPr="004C133A" w:rsidRDefault="00B136F8" w:rsidP="00B136F8">
      <w:pPr>
        <w:spacing w:after="120" w:line="276" w:lineRule="auto"/>
        <w:ind w:firstLine="708"/>
        <w:jc w:val="both"/>
        <w:rPr>
          <w:rFonts w:ascii="Century Gothic" w:eastAsia="Calibri" w:hAnsi="Century Gothic" w:cs="Arial"/>
        </w:rPr>
      </w:pPr>
    </w:p>
    <w:p w14:paraId="126E8222" w14:textId="77777777" w:rsidR="00B136F8" w:rsidRPr="004C133A" w:rsidRDefault="00B136F8" w:rsidP="00B136F8">
      <w:pPr>
        <w:pStyle w:val="Sinespaciado"/>
        <w:spacing w:after="120" w:line="276" w:lineRule="auto"/>
        <w:jc w:val="both"/>
        <w:rPr>
          <w:rFonts w:ascii="Century Gothic" w:hAnsi="Century Gothic" w:cs="Arial"/>
          <w:sz w:val="22"/>
          <w:lang w:val="es-ES"/>
        </w:rPr>
      </w:pPr>
    </w:p>
    <w:p w14:paraId="34830155" w14:textId="77777777" w:rsidR="00B136F8" w:rsidRPr="004C133A" w:rsidRDefault="00B136F8" w:rsidP="00B136F8">
      <w:pPr>
        <w:spacing w:line="276" w:lineRule="auto"/>
        <w:jc w:val="both"/>
        <w:rPr>
          <w:rFonts w:ascii="Century Gothic" w:hAnsi="Century Gothic" w:cs="Arial"/>
          <w:b/>
          <w:sz w:val="21"/>
          <w:szCs w:val="21"/>
          <w:lang w:val="es-MX" w:eastAsia="es-CO"/>
        </w:rPr>
      </w:pPr>
    </w:p>
    <w:p w14:paraId="20D6EF73" w14:textId="77777777" w:rsidR="00B136F8" w:rsidRPr="004C133A" w:rsidRDefault="00B136F8" w:rsidP="00B136F8">
      <w:pPr>
        <w:spacing w:after="120" w:line="276" w:lineRule="auto"/>
        <w:ind w:left="709" w:right="709"/>
        <w:jc w:val="both"/>
        <w:rPr>
          <w:rFonts w:ascii="Century Gothic" w:hAnsi="Century Gothic" w:cs="Arial"/>
          <w:sz w:val="21"/>
          <w:szCs w:val="21"/>
          <w:lang w:eastAsia="es-CO"/>
        </w:rPr>
      </w:pPr>
    </w:p>
    <w:p w14:paraId="70ACD2E2" w14:textId="77777777" w:rsidR="00B136F8" w:rsidRPr="004C133A" w:rsidRDefault="00B136F8" w:rsidP="00B136F8">
      <w:pPr>
        <w:spacing w:line="276" w:lineRule="auto"/>
        <w:ind w:right="709"/>
        <w:jc w:val="both"/>
        <w:rPr>
          <w:rFonts w:ascii="Century Gothic" w:hAnsi="Century Gothic" w:cs="Arial"/>
          <w:sz w:val="21"/>
          <w:szCs w:val="21"/>
          <w:lang w:eastAsia="es-CO"/>
        </w:rPr>
      </w:pPr>
    </w:p>
    <w:p w14:paraId="31232C93" w14:textId="77777777" w:rsidR="00B136F8" w:rsidRPr="004C133A" w:rsidRDefault="00B136F8" w:rsidP="00B136F8">
      <w:pPr>
        <w:spacing w:line="276" w:lineRule="auto"/>
        <w:ind w:right="709"/>
        <w:jc w:val="both"/>
        <w:rPr>
          <w:rFonts w:ascii="Century Gothic" w:hAnsi="Century Gothic" w:cs="Arial"/>
          <w:sz w:val="21"/>
          <w:szCs w:val="21"/>
          <w:lang w:eastAsia="es-CO"/>
        </w:rPr>
      </w:pPr>
    </w:p>
    <w:p w14:paraId="2D71E2A3" w14:textId="77777777" w:rsidR="00B136F8" w:rsidRPr="004C133A" w:rsidRDefault="00B136F8" w:rsidP="00B136F8">
      <w:pPr>
        <w:spacing w:before="120" w:line="276" w:lineRule="auto"/>
        <w:jc w:val="both"/>
        <w:rPr>
          <w:rFonts w:ascii="Century Gothic" w:eastAsia="Calibri" w:hAnsi="Century Gothic" w:cs="Arial"/>
          <w:b/>
        </w:rPr>
      </w:pPr>
    </w:p>
    <w:p w14:paraId="05105BE3" w14:textId="77777777" w:rsidR="00B136F8" w:rsidRPr="004C133A" w:rsidRDefault="00B136F8" w:rsidP="00B136F8">
      <w:pPr>
        <w:tabs>
          <w:tab w:val="left" w:pos="426"/>
        </w:tabs>
        <w:spacing w:line="276" w:lineRule="auto"/>
        <w:jc w:val="both"/>
        <w:rPr>
          <w:rFonts w:ascii="Century Gothic" w:eastAsia="Calibri" w:hAnsi="Century Gothic" w:cs="Arial"/>
        </w:rPr>
      </w:pPr>
    </w:p>
    <w:p w14:paraId="5FA1D0AE" w14:textId="77777777" w:rsidR="00B136F8" w:rsidRPr="004C133A" w:rsidRDefault="00B136F8" w:rsidP="00B136F8">
      <w:pPr>
        <w:pStyle w:val="Textoindependiente"/>
        <w:spacing w:before="198" w:after="160" w:line="276" w:lineRule="auto"/>
        <w:jc w:val="both"/>
        <w:rPr>
          <w:rFonts w:ascii="Century Gothic" w:hAnsi="Century Gothic"/>
        </w:rPr>
      </w:pPr>
    </w:p>
    <w:p w14:paraId="5DCF8C69" w14:textId="77777777" w:rsidR="00B136F8" w:rsidRPr="004C133A" w:rsidRDefault="00B136F8" w:rsidP="00B136F8">
      <w:pPr>
        <w:pStyle w:val="Textoindependiente"/>
        <w:spacing w:before="198" w:after="160" w:line="276" w:lineRule="auto"/>
        <w:jc w:val="both"/>
        <w:rPr>
          <w:rFonts w:ascii="Century Gothic" w:hAnsi="Century Gothic" w:cs="Arial"/>
        </w:rPr>
      </w:pPr>
    </w:p>
    <w:p w14:paraId="7E4A72E1" w14:textId="77777777" w:rsidR="00B136F8" w:rsidRPr="004C133A" w:rsidRDefault="00B136F8" w:rsidP="00B136F8">
      <w:pPr>
        <w:pStyle w:val="Textoindependiente"/>
        <w:spacing w:before="198" w:after="160" w:line="276" w:lineRule="auto"/>
        <w:jc w:val="both"/>
        <w:rPr>
          <w:rFonts w:ascii="Century Gothic" w:hAnsi="Century Gothic" w:cs="Arial"/>
        </w:rPr>
      </w:pPr>
    </w:p>
    <w:p w14:paraId="092620AC" w14:textId="77777777" w:rsidR="00B136F8" w:rsidRPr="004C133A" w:rsidRDefault="00B136F8" w:rsidP="00B136F8">
      <w:pPr>
        <w:spacing w:line="276" w:lineRule="auto"/>
        <w:rPr>
          <w:rFonts w:ascii="Century Gothic" w:hAnsi="Century Gothic"/>
        </w:rPr>
      </w:pPr>
    </w:p>
    <w:p w14:paraId="16C00E93" w14:textId="77777777" w:rsidR="00B136F8" w:rsidRPr="00322A85" w:rsidRDefault="00B136F8" w:rsidP="00B136F8">
      <w:pPr>
        <w:spacing w:after="0"/>
        <w:rPr>
          <w:rFonts w:ascii="Century Gothic" w:hAnsi="Century Gothic"/>
        </w:rPr>
      </w:pPr>
    </w:p>
    <w:p w14:paraId="5C1A07E2" w14:textId="77777777" w:rsidR="00A94E57" w:rsidRPr="00B136F8" w:rsidRDefault="00A94E57" w:rsidP="00B136F8"/>
    <w:sectPr w:rsidR="00A94E57" w:rsidRPr="00B136F8" w:rsidSect="002E4FD9">
      <w:headerReference w:type="default" r:id="rId13"/>
      <w:footerReference w:type="default" r:id="rId14"/>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03A36" w14:textId="77777777" w:rsidR="00C7084B" w:rsidRDefault="00C7084B" w:rsidP="004A067E">
      <w:pPr>
        <w:spacing w:after="0" w:line="240" w:lineRule="auto"/>
      </w:pPr>
      <w:r>
        <w:separator/>
      </w:r>
    </w:p>
  </w:endnote>
  <w:endnote w:type="continuationSeparator" w:id="0">
    <w:p w14:paraId="63A6E04A" w14:textId="77777777" w:rsidR="00C7084B" w:rsidRDefault="00C7084B" w:rsidP="004A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B2DA" w14:textId="77777777" w:rsidR="00ED3B1E" w:rsidRDefault="00DF010D">
    <w:pPr>
      <w:pStyle w:val="Piedepgina"/>
    </w:pPr>
    <w:r>
      <w:rPr>
        <w:noProof/>
      </w:rPr>
      <w:drawing>
        <wp:inline distT="0" distB="0" distL="0" distR="0" wp14:anchorId="753A61B0" wp14:editId="5BC2810A">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2336" behindDoc="0" locked="0" layoutInCell="1" allowOverlap="1" wp14:anchorId="4FDD503F" wp14:editId="785C6523">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6530804B"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161F737" w14:textId="77777777" w:rsidR="00ED3B1E" w:rsidRPr="003F3941" w:rsidRDefault="00DF010D" w:rsidP="00322A85">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7655BE4A" w14:textId="77777777" w:rsidR="00ED3B1E" w:rsidRPr="003F3941" w:rsidRDefault="00DF010D"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27202E6" w14:textId="77777777" w:rsidR="00ED3B1E" w:rsidRPr="003F3941" w:rsidRDefault="00DF010D" w:rsidP="00FC2B5D">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31</w:t>
          </w:r>
          <w:r w:rsidRPr="003F3941">
            <w:rPr>
              <w:rFonts w:ascii="Century Gothic" w:hAnsi="Century Gothic"/>
              <w:sz w:val="16"/>
              <w:szCs w:val="16"/>
            </w:rPr>
            <w:t xml:space="preserve"> DE </w:t>
          </w:r>
          <w:r>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AE603E6" w14:textId="77777777" w:rsidR="00ED3B1E" w:rsidRPr="003F3941" w:rsidRDefault="00DF010D"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1</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2</w:t>
          </w:r>
          <w:r w:rsidRPr="003F3941">
            <w:rPr>
              <w:rFonts w:ascii="Century Gothic" w:hAnsi="Century Gothic"/>
              <w:b/>
              <w:bCs/>
              <w:sz w:val="16"/>
              <w:szCs w:val="16"/>
            </w:rPr>
            <w:fldChar w:fldCharType="end"/>
          </w:r>
        </w:p>
      </w:tc>
    </w:tr>
  </w:tbl>
  <w:p w14:paraId="10B6B343" w14:textId="77777777" w:rsidR="00ED3B1E" w:rsidRDefault="00ED3B1E"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0482E" w14:textId="77777777" w:rsidR="00C7084B" w:rsidRDefault="00C7084B" w:rsidP="004A067E">
      <w:pPr>
        <w:spacing w:after="0" w:line="240" w:lineRule="auto"/>
      </w:pPr>
      <w:r>
        <w:separator/>
      </w:r>
    </w:p>
  </w:footnote>
  <w:footnote w:type="continuationSeparator" w:id="0">
    <w:p w14:paraId="3302C75D" w14:textId="77777777" w:rsidR="00C7084B" w:rsidRDefault="00C7084B" w:rsidP="004A067E">
      <w:pPr>
        <w:spacing w:after="0" w:line="240" w:lineRule="auto"/>
      </w:pPr>
      <w:r>
        <w:continuationSeparator/>
      </w:r>
    </w:p>
  </w:footnote>
  <w:footnote w:id="1">
    <w:p w14:paraId="6AE5A987" w14:textId="77777777" w:rsidR="00B136F8" w:rsidRPr="00C14355" w:rsidRDefault="00B136F8" w:rsidP="00B136F8">
      <w:pPr>
        <w:pStyle w:val="Textonotapie"/>
        <w:ind w:firstLine="708"/>
        <w:jc w:val="both"/>
        <w:rPr>
          <w:rFonts w:ascii="Century Gothic" w:hAnsi="Century Gothic" w:cs="Arial"/>
          <w:sz w:val="14"/>
          <w:szCs w:val="14"/>
        </w:rPr>
      </w:pPr>
      <w:r w:rsidRPr="00C14355">
        <w:rPr>
          <w:rStyle w:val="Refdenotaalpie"/>
          <w:rFonts w:ascii="Century Gothic" w:hAnsi="Century Gothic" w:cs="Arial"/>
          <w:sz w:val="14"/>
          <w:szCs w:val="14"/>
        </w:rPr>
        <w:footnoteRef/>
      </w:r>
      <w:r w:rsidRPr="00C14355">
        <w:rPr>
          <w:rFonts w:ascii="Century Gothic" w:hAnsi="Century Gothic" w:cs="Arial"/>
          <w:sz w:val="14"/>
          <w:szCs w:val="14"/>
        </w:rPr>
        <w:t xml:space="preserve"> La Agencia Nacional de Contratación Pública </w:t>
      </w:r>
      <w:r w:rsidRPr="004C133A">
        <w:rPr>
          <w:rFonts w:ascii="Arial" w:hAnsi="Arial" w:cs="Arial"/>
          <w:sz w:val="14"/>
          <w:szCs w:val="14"/>
        </w:rPr>
        <w:t>‒</w:t>
      </w:r>
      <w:r w:rsidRPr="00C14355">
        <w:rPr>
          <w:rFonts w:ascii="Century Gothic" w:hAnsi="Century Gothic" w:cs="Arial"/>
          <w:sz w:val="14"/>
          <w:szCs w:val="14"/>
        </w:rPr>
        <w:t xml:space="preserve"> Colombia Compra Eficiente fue creada por el Decreto Ley 4170 de 2011. Su objetivo es servir como ente rector de la pol</w:t>
      </w:r>
      <w:r w:rsidRPr="00C14355">
        <w:rPr>
          <w:rFonts w:ascii="Century Gothic" w:hAnsi="Century Gothic" w:cs="Century Gothic"/>
          <w:sz w:val="14"/>
          <w:szCs w:val="14"/>
        </w:rPr>
        <w:t>í</w:t>
      </w:r>
      <w:r w:rsidRPr="00C14355">
        <w:rPr>
          <w:rFonts w:ascii="Century Gothic" w:hAnsi="Century Gothic" w:cs="Arial"/>
          <w:sz w:val="14"/>
          <w:szCs w:val="14"/>
        </w:rPr>
        <w:t>tica de compras y contrataci</w:t>
      </w:r>
      <w:r w:rsidRPr="00C14355">
        <w:rPr>
          <w:rFonts w:ascii="Century Gothic" w:hAnsi="Century Gothic" w:cs="Century Gothic"/>
          <w:sz w:val="14"/>
          <w:szCs w:val="14"/>
        </w:rPr>
        <w:t>ó</w:t>
      </w:r>
      <w:r w:rsidRPr="00C14355">
        <w:rPr>
          <w:rFonts w:ascii="Century Gothic" w:hAnsi="Century Gothic" w:cs="Arial"/>
          <w:sz w:val="14"/>
          <w:szCs w:val="14"/>
        </w:rPr>
        <w:t xml:space="preserve">n del Estado. Para tales fines, como </w:t>
      </w:r>
      <w:r w:rsidRPr="00C14355">
        <w:rPr>
          <w:rFonts w:ascii="Century Gothic" w:hAnsi="Century Gothic" w:cs="Century Gothic"/>
          <w:sz w:val="14"/>
          <w:szCs w:val="14"/>
        </w:rPr>
        <w:t>ó</w:t>
      </w:r>
      <w:r w:rsidRPr="00C14355">
        <w:rPr>
          <w:rFonts w:ascii="Century Gothic" w:hAnsi="Century Gothic" w:cs="Arial"/>
          <w:sz w:val="14"/>
          <w:szCs w:val="14"/>
        </w:rPr>
        <w:t>rgano t</w:t>
      </w:r>
      <w:r w:rsidRPr="00C14355">
        <w:rPr>
          <w:rFonts w:ascii="Century Gothic" w:hAnsi="Century Gothic" w:cs="Century Gothic"/>
          <w:sz w:val="14"/>
          <w:szCs w:val="14"/>
        </w:rPr>
        <w:t>é</w:t>
      </w:r>
      <w:r w:rsidRPr="00C14355">
        <w:rPr>
          <w:rFonts w:ascii="Century Gothic" w:hAnsi="Century Gothic" w:cs="Arial"/>
          <w:sz w:val="14"/>
          <w:szCs w:val="14"/>
        </w:rPr>
        <w:t>cnico especializado, le corresponde formular pol</w:t>
      </w:r>
      <w:r w:rsidRPr="00C14355">
        <w:rPr>
          <w:rFonts w:ascii="Century Gothic" w:hAnsi="Century Gothic" w:cs="Century Gothic"/>
          <w:sz w:val="14"/>
          <w:szCs w:val="14"/>
        </w:rPr>
        <w:t>í</w:t>
      </w:r>
      <w:r w:rsidRPr="00C14355">
        <w:rPr>
          <w:rFonts w:ascii="Century Gothic" w:hAnsi="Century Gothic" w:cs="Arial"/>
          <w:sz w:val="14"/>
          <w:szCs w:val="14"/>
        </w:rPr>
        <w:t>ticas p</w:t>
      </w:r>
      <w:r w:rsidRPr="00C14355">
        <w:rPr>
          <w:rFonts w:ascii="Century Gothic" w:hAnsi="Century Gothic" w:cs="Century Gothic"/>
          <w:sz w:val="14"/>
          <w:szCs w:val="14"/>
        </w:rPr>
        <w:t>ú</w:t>
      </w:r>
      <w:r w:rsidRPr="00C14355">
        <w:rPr>
          <w:rFonts w:ascii="Century Gothic" w:hAnsi="Century Gothic" w:cs="Arial"/>
          <w:sz w:val="14"/>
          <w:szCs w:val="14"/>
        </w:rPr>
        <w:t>blicas y normas y unificar los procesos de contrataci</w:t>
      </w:r>
      <w:r w:rsidRPr="00C14355">
        <w:rPr>
          <w:rFonts w:ascii="Century Gothic" w:hAnsi="Century Gothic" w:cs="Century Gothic"/>
          <w:sz w:val="14"/>
          <w:szCs w:val="14"/>
        </w:rPr>
        <w:t>ó</w:t>
      </w:r>
      <w:r w:rsidRPr="00C14355">
        <w:rPr>
          <w:rFonts w:ascii="Century Gothic" w:hAnsi="Century Gothic" w:cs="Arial"/>
          <w:sz w:val="14"/>
          <w:szCs w:val="14"/>
        </w:rPr>
        <w:t>n estatal, con el fin de lograr una mayor eficiencia, transparencia y optimizaci</w:t>
      </w:r>
      <w:r w:rsidRPr="00C14355">
        <w:rPr>
          <w:rFonts w:ascii="Century Gothic" w:hAnsi="Century Gothic" w:cs="Century Gothic"/>
          <w:sz w:val="14"/>
          <w:szCs w:val="14"/>
        </w:rPr>
        <w:t>ó</w:t>
      </w:r>
      <w:r w:rsidRPr="00C14355">
        <w:rPr>
          <w:rFonts w:ascii="Century Gothic" w:hAnsi="Century Gothic" w:cs="Arial"/>
          <w:sz w:val="14"/>
          <w:szCs w:val="14"/>
        </w:rPr>
        <w:t>n de los recursos del Estado. El art</w:t>
      </w:r>
      <w:r w:rsidRPr="00C14355">
        <w:rPr>
          <w:rFonts w:ascii="Century Gothic" w:hAnsi="Century Gothic" w:cs="Century Gothic"/>
          <w:sz w:val="14"/>
          <w:szCs w:val="14"/>
        </w:rPr>
        <w:t>í</w:t>
      </w:r>
      <w:r w:rsidRPr="00C14355">
        <w:rPr>
          <w:rFonts w:ascii="Century Gothic" w:hAnsi="Century Gothic" w:cs="Arial"/>
          <w:sz w:val="14"/>
          <w:szCs w:val="14"/>
        </w:rPr>
        <w:t xml:space="preserve">culo 3 </w:t>
      </w:r>
      <w:r w:rsidRPr="00C14355">
        <w:rPr>
          <w:rFonts w:ascii="Century Gothic" w:hAnsi="Century Gothic" w:cs="Arial"/>
          <w:i/>
          <w:iCs/>
          <w:sz w:val="14"/>
          <w:szCs w:val="14"/>
        </w:rPr>
        <w:t xml:space="preserve">ibidem </w:t>
      </w:r>
      <w:r w:rsidRPr="00C14355">
        <w:rPr>
          <w:rFonts w:ascii="Century Gothic" w:hAnsi="Century Gothic" w:cs="Arial"/>
          <w:sz w:val="14"/>
          <w:szCs w:val="14"/>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07A599CE" w14:textId="77777777" w:rsidR="00B136F8" w:rsidRPr="00C14355" w:rsidRDefault="00B136F8" w:rsidP="00B136F8">
      <w:pPr>
        <w:pStyle w:val="Textonotapie"/>
        <w:ind w:firstLine="708"/>
        <w:jc w:val="both"/>
        <w:rPr>
          <w:rFonts w:ascii="Century Gothic" w:hAnsi="Century Gothic" w:cs="Arial"/>
          <w:sz w:val="14"/>
          <w:szCs w:val="14"/>
          <w:lang w:val="es-ES"/>
        </w:rPr>
      </w:pPr>
    </w:p>
  </w:footnote>
  <w:footnote w:id="2">
    <w:p w14:paraId="770A2DC1" w14:textId="77777777" w:rsidR="00B136F8" w:rsidRPr="00C14355" w:rsidRDefault="00B136F8" w:rsidP="00B136F8">
      <w:pPr>
        <w:pStyle w:val="Textonotapie"/>
        <w:ind w:firstLine="708"/>
        <w:jc w:val="both"/>
        <w:rPr>
          <w:rFonts w:ascii="Century Gothic" w:hAnsi="Century Gothic" w:cs="Arial"/>
          <w:sz w:val="14"/>
          <w:szCs w:val="14"/>
        </w:rPr>
      </w:pPr>
      <w:r w:rsidRPr="00C14355">
        <w:rPr>
          <w:rStyle w:val="Refdenotaalpie"/>
          <w:rFonts w:ascii="Century Gothic" w:hAnsi="Century Gothic" w:cs="Arial"/>
          <w:sz w:val="14"/>
          <w:szCs w:val="14"/>
        </w:rPr>
        <w:footnoteRef/>
      </w:r>
      <w:r w:rsidRPr="00C14355">
        <w:rPr>
          <w:rFonts w:ascii="Century Gothic" w:hAnsi="Century Gothic" w:cs="Arial"/>
          <w:sz w:val="14"/>
          <w:szCs w:val="14"/>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C14355">
          <w:rPr>
            <w:rStyle w:val="Hipervnculo"/>
            <w:rFonts w:ascii="Century Gothic" w:hAnsi="Century Gothic" w:cs="Arial"/>
            <w:sz w:val="14"/>
            <w:szCs w:val="14"/>
          </w:rPr>
          <w:t>https://relatoria.colombiacompra.gov.co/busqueda/conceptos</w:t>
        </w:r>
      </w:hyperlink>
      <w:r w:rsidRPr="00C14355">
        <w:rPr>
          <w:rStyle w:val="Hipervnculo"/>
          <w:rFonts w:ascii="Century Gothic" w:hAnsi="Century Gothic" w:cs="Arial"/>
          <w:sz w:val="14"/>
          <w:szCs w:val="14"/>
        </w:rPr>
        <w:t xml:space="preserve">. </w:t>
      </w:r>
      <w:r w:rsidRPr="00C14355">
        <w:rPr>
          <w:rFonts w:ascii="Century Gothic" w:hAnsi="Century Gothic" w:cs="Arial"/>
          <w:sz w:val="14"/>
          <w:szCs w:val="14"/>
          <w:shd w:val="clear" w:color="auto" w:fill="E6E6E6"/>
        </w:rPr>
        <w:t xml:space="preserve"> </w:t>
      </w:r>
    </w:p>
  </w:footnote>
  <w:footnote w:id="3">
    <w:p w14:paraId="5C8A2E9C" w14:textId="77777777" w:rsidR="00B136F8" w:rsidRPr="00C14355" w:rsidRDefault="00B136F8" w:rsidP="00B136F8">
      <w:pPr>
        <w:pStyle w:val="Textonotapie"/>
        <w:ind w:firstLine="709"/>
        <w:jc w:val="both"/>
        <w:rPr>
          <w:rFonts w:ascii="Century Gothic" w:hAnsi="Century Gothic" w:cs="Arial"/>
          <w:sz w:val="14"/>
          <w:szCs w:val="14"/>
        </w:rPr>
      </w:pPr>
      <w:r w:rsidRPr="00C14355">
        <w:rPr>
          <w:rStyle w:val="Refdenotaalpie"/>
          <w:rFonts w:ascii="Century Gothic" w:hAnsi="Century Gothic" w:cs="Arial"/>
          <w:sz w:val="14"/>
          <w:szCs w:val="14"/>
        </w:rPr>
        <w:footnoteRef/>
      </w:r>
      <w:r w:rsidRPr="00C14355">
        <w:rPr>
          <w:rFonts w:ascii="Century Gothic" w:hAnsi="Century Gothic" w:cs="Arial"/>
          <w:sz w:val="14"/>
          <w:szCs w:val="14"/>
        </w:rPr>
        <w:t xml:space="preserve"> Gaceta del Congreso de la República No. 71 del 2005.</w:t>
      </w:r>
    </w:p>
  </w:footnote>
  <w:footnote w:id="4">
    <w:p w14:paraId="3C2B0D49" w14:textId="77777777" w:rsidR="00B136F8" w:rsidRPr="00C14355" w:rsidRDefault="00B136F8" w:rsidP="00B136F8">
      <w:pPr>
        <w:pStyle w:val="Textonotapie"/>
        <w:ind w:firstLine="709"/>
        <w:jc w:val="both"/>
        <w:rPr>
          <w:rFonts w:ascii="Century Gothic" w:hAnsi="Century Gothic" w:cs="Arial"/>
          <w:sz w:val="14"/>
          <w:szCs w:val="14"/>
        </w:rPr>
      </w:pPr>
      <w:r w:rsidRPr="00C14355">
        <w:rPr>
          <w:rStyle w:val="Refdenotaalpie"/>
          <w:rFonts w:ascii="Century Gothic" w:hAnsi="Century Gothic" w:cs="Arial"/>
          <w:sz w:val="14"/>
          <w:szCs w:val="14"/>
        </w:rPr>
        <w:footnoteRef/>
      </w:r>
      <w:r w:rsidRPr="00C14355">
        <w:rPr>
          <w:rFonts w:ascii="Century Gothic" w:hAnsi="Century Gothic" w:cs="Arial"/>
          <w:sz w:val="14"/>
          <w:szCs w:val="14"/>
        </w:rPr>
        <w:t xml:space="preserve"> Corte Constitucional, Sentencia C- 1153 de 2005, M.P. Marco Gerardo Monroy Cabra.</w:t>
      </w:r>
    </w:p>
    <w:p w14:paraId="5AA97199" w14:textId="77777777" w:rsidR="00B136F8" w:rsidRPr="00C14355" w:rsidRDefault="00B136F8" w:rsidP="00B136F8">
      <w:pPr>
        <w:pStyle w:val="Textonotapie"/>
        <w:ind w:firstLine="709"/>
        <w:jc w:val="both"/>
        <w:rPr>
          <w:rFonts w:ascii="Century Gothic" w:hAnsi="Century Gothic" w:cs="Arial"/>
          <w:sz w:val="14"/>
          <w:szCs w:val="14"/>
        </w:rPr>
      </w:pPr>
    </w:p>
  </w:footnote>
  <w:footnote w:id="5">
    <w:p w14:paraId="3177F0BF" w14:textId="77777777" w:rsidR="00B136F8" w:rsidRPr="00C14355" w:rsidRDefault="00B136F8" w:rsidP="00B136F8">
      <w:pPr>
        <w:pStyle w:val="Textonotapie"/>
        <w:ind w:firstLine="709"/>
        <w:jc w:val="both"/>
        <w:rPr>
          <w:rFonts w:ascii="Century Gothic" w:hAnsi="Century Gothic" w:cs="Arial"/>
          <w:sz w:val="14"/>
          <w:szCs w:val="14"/>
        </w:rPr>
      </w:pPr>
      <w:r w:rsidRPr="00C14355">
        <w:rPr>
          <w:rStyle w:val="Refdenotaalpie"/>
          <w:rFonts w:ascii="Century Gothic" w:hAnsi="Century Gothic" w:cs="Arial"/>
          <w:sz w:val="14"/>
          <w:szCs w:val="14"/>
        </w:rPr>
        <w:footnoteRef/>
      </w:r>
      <w:r w:rsidRPr="00C14355">
        <w:rPr>
          <w:rFonts w:ascii="Century Gothic" w:hAnsi="Century Gothic" w:cs="Arial"/>
          <w:sz w:val="14"/>
          <w:szCs w:val="14"/>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6">
    <w:p w14:paraId="615B9405" w14:textId="77777777" w:rsidR="00B136F8" w:rsidRPr="00C14355" w:rsidRDefault="00B136F8" w:rsidP="00B136F8">
      <w:pPr>
        <w:pStyle w:val="Textonotapie"/>
        <w:ind w:firstLine="708"/>
        <w:jc w:val="both"/>
        <w:rPr>
          <w:rFonts w:ascii="Century Gothic" w:hAnsi="Century Gothic" w:cs="Arial"/>
          <w:sz w:val="14"/>
          <w:szCs w:val="14"/>
          <w:lang w:val="es-CO"/>
        </w:rPr>
      </w:pPr>
      <w:r w:rsidRPr="00C14355">
        <w:rPr>
          <w:rStyle w:val="Refdenotaalpie"/>
          <w:rFonts w:ascii="Century Gothic" w:hAnsi="Century Gothic" w:cs="Arial"/>
          <w:sz w:val="14"/>
          <w:szCs w:val="14"/>
        </w:rPr>
        <w:footnoteRef/>
      </w:r>
      <w:r w:rsidRPr="00C14355">
        <w:rPr>
          <w:rFonts w:ascii="Century Gothic" w:hAnsi="Century Gothic" w:cs="Arial"/>
          <w:sz w:val="14"/>
          <w:szCs w:val="14"/>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7">
    <w:p w14:paraId="114A6C58" w14:textId="77777777" w:rsidR="00B136F8" w:rsidRPr="00C14355" w:rsidRDefault="00B136F8" w:rsidP="00B136F8">
      <w:pPr>
        <w:pStyle w:val="Textonotapie"/>
        <w:ind w:firstLine="709"/>
        <w:jc w:val="both"/>
        <w:rPr>
          <w:rFonts w:ascii="Century Gothic" w:hAnsi="Century Gothic" w:cs="Arial"/>
          <w:sz w:val="14"/>
          <w:szCs w:val="14"/>
        </w:rPr>
      </w:pPr>
      <w:r w:rsidRPr="00C14355">
        <w:rPr>
          <w:rStyle w:val="Refdenotaalpie"/>
          <w:rFonts w:ascii="Century Gothic" w:hAnsi="Century Gothic" w:cs="Arial"/>
          <w:sz w:val="14"/>
          <w:szCs w:val="14"/>
        </w:rPr>
        <w:footnoteRef/>
      </w:r>
      <w:r w:rsidRPr="00C14355">
        <w:rPr>
          <w:rFonts w:ascii="Century Gothic" w:hAnsi="Century Gothic" w:cs="Arial"/>
          <w:sz w:val="14"/>
          <w:szCs w:val="14"/>
        </w:rPr>
        <w:t xml:space="preserve"> Consejo de Estado, Sala de Consulta y Servicio Civil de fecha 24 de julio de 2013, radicado 2166, Consejero Ponente: Álvaro Namén Vargas.  </w:t>
      </w:r>
    </w:p>
    <w:p w14:paraId="6F2B2E5A" w14:textId="77777777" w:rsidR="00B136F8" w:rsidRPr="00C14355" w:rsidRDefault="00B136F8" w:rsidP="00B136F8">
      <w:pPr>
        <w:pStyle w:val="Textonotapie"/>
        <w:ind w:firstLine="709"/>
        <w:jc w:val="both"/>
        <w:rPr>
          <w:rFonts w:ascii="Century Gothic" w:hAnsi="Century Gothic" w:cs="Arial"/>
          <w:sz w:val="14"/>
          <w:szCs w:val="14"/>
        </w:rPr>
      </w:pPr>
    </w:p>
  </w:footnote>
  <w:footnote w:id="8">
    <w:p w14:paraId="669E3059" w14:textId="77777777" w:rsidR="00B136F8" w:rsidRPr="00C14355" w:rsidRDefault="00B136F8" w:rsidP="00B136F8">
      <w:pPr>
        <w:ind w:firstLine="709"/>
        <w:jc w:val="both"/>
        <w:rPr>
          <w:rFonts w:ascii="Century Gothic" w:hAnsi="Century Gothic" w:cs="Arial"/>
          <w:sz w:val="14"/>
          <w:szCs w:val="14"/>
        </w:rPr>
      </w:pPr>
      <w:r w:rsidRPr="00C14355">
        <w:rPr>
          <w:rStyle w:val="Refdenotaalpie"/>
          <w:rFonts w:ascii="Century Gothic" w:hAnsi="Century Gothic" w:cs="Arial"/>
          <w:sz w:val="14"/>
          <w:szCs w:val="14"/>
        </w:rPr>
        <w:footnoteRef/>
      </w:r>
      <w:r w:rsidRPr="00C14355">
        <w:rPr>
          <w:rFonts w:ascii="Century Gothic" w:hAnsi="Century Gothic" w:cs="Arial"/>
          <w:sz w:val="14"/>
          <w:szCs w:val="14"/>
        </w:rPr>
        <w:t xml:space="preserve"> </w:t>
      </w:r>
      <w:bookmarkStart w:id="9" w:name="33"/>
      <w:r w:rsidRPr="00C14355">
        <w:rPr>
          <w:rFonts w:ascii="Century Gothic" w:eastAsia="Calibri" w:hAnsi="Century Gothic" w:cs="Arial"/>
          <w:bCs/>
          <w:color w:val="000000"/>
          <w:sz w:val="14"/>
          <w:szCs w:val="14"/>
        </w:rPr>
        <w:t>“</w:t>
      </w:r>
      <w:r w:rsidRPr="00C14355">
        <w:rPr>
          <w:rFonts w:ascii="Century Gothic" w:hAnsi="Century Gothic" w:cs="Arial"/>
          <w:sz w:val="14"/>
          <w:szCs w:val="14"/>
        </w:rPr>
        <w:t>Artículo 33. Restricciones a la contratación pública.</w:t>
      </w:r>
      <w:bookmarkEnd w:id="9"/>
      <w:r w:rsidRPr="00C14355">
        <w:rPr>
          <w:rFonts w:ascii="Century Gothic" w:hAnsi="Century Gothic" w:cs="Arial"/>
          <w:sz w:val="14"/>
          <w:szCs w:val="14"/>
        </w:rPr>
        <w:t> Durante los cuatro (4) meses anteriores a la elección presidencial y hasta la realización de la elección en la segunda vuelta, si fuere el caso, queda prohibida la contratación directa por parte de todos los entes del Estado.</w:t>
      </w:r>
    </w:p>
    <w:p w14:paraId="5DB1B7B2" w14:textId="77777777" w:rsidR="00B136F8" w:rsidRPr="00C14355" w:rsidRDefault="00B136F8" w:rsidP="00B136F8">
      <w:pPr>
        <w:ind w:firstLine="709"/>
        <w:jc w:val="both"/>
        <w:rPr>
          <w:rFonts w:ascii="Century Gothic" w:hAnsi="Century Gothic" w:cs="Arial"/>
          <w:sz w:val="14"/>
          <w:szCs w:val="14"/>
        </w:rPr>
      </w:pPr>
      <w:r w:rsidRPr="00C14355">
        <w:rPr>
          <w:rFonts w:ascii="Century Gothic" w:eastAsia="Calibri" w:hAnsi="Century Gothic" w:cs="Arial"/>
          <w:bCs/>
          <w:color w:val="000000"/>
          <w:sz w:val="14"/>
          <w:szCs w:val="14"/>
        </w:rPr>
        <w:t>“</w:t>
      </w:r>
      <w:r w:rsidRPr="00C14355">
        <w:rPr>
          <w:rFonts w:ascii="Century Gothic" w:hAnsi="Century Gothic" w:cs="Arial"/>
          <w:sz w:val="14"/>
          <w:szCs w:val="14"/>
        </w:rPr>
        <w:t>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C14355">
        <w:rPr>
          <w:rFonts w:ascii="Century Gothic" w:eastAsia="Calibri" w:hAnsi="Century Gothic" w:cs="Arial"/>
          <w:bCs/>
          <w:color w:val="000000"/>
          <w:sz w:val="14"/>
          <w:szCs w:val="14"/>
        </w:rPr>
        <w:t>”</w:t>
      </w:r>
      <w:r w:rsidRPr="00C14355">
        <w:rPr>
          <w:rFonts w:ascii="Century Gothic" w:hAnsi="Century Gothic" w:cs="Arial"/>
          <w:sz w:val="14"/>
          <w:szCs w:val="14"/>
        </w:rPr>
        <w:t>.</w:t>
      </w:r>
    </w:p>
  </w:footnote>
  <w:footnote w:id="9">
    <w:p w14:paraId="05E1210D" w14:textId="77777777" w:rsidR="00B136F8" w:rsidRPr="00C14355" w:rsidRDefault="00B136F8" w:rsidP="00B136F8">
      <w:pPr>
        <w:pStyle w:val="NormalWeb"/>
        <w:spacing w:before="0" w:beforeAutospacing="0" w:after="0" w:afterAutospacing="0"/>
        <w:ind w:firstLine="709"/>
        <w:jc w:val="both"/>
        <w:rPr>
          <w:rFonts w:ascii="Century Gothic" w:hAnsi="Century Gothic" w:cs="Arial"/>
          <w:sz w:val="14"/>
          <w:szCs w:val="14"/>
          <w:lang w:val="es-MX"/>
        </w:rPr>
      </w:pPr>
      <w:r w:rsidRPr="00C14355">
        <w:rPr>
          <w:rStyle w:val="Refdenotaalpie"/>
          <w:rFonts w:ascii="Century Gothic" w:hAnsi="Century Gothic" w:cs="Arial"/>
          <w:sz w:val="14"/>
          <w:szCs w:val="14"/>
        </w:rPr>
        <w:footnoteRef/>
      </w:r>
      <w:r w:rsidRPr="00C14355">
        <w:rPr>
          <w:rFonts w:ascii="Century Gothic" w:hAnsi="Century Gothic" w:cs="Arial"/>
          <w:sz w:val="14"/>
          <w:szCs w:val="14"/>
        </w:rPr>
        <w:t xml:space="preserve"> </w:t>
      </w:r>
      <w:bookmarkStart w:id="10" w:name="38"/>
      <w:r w:rsidRPr="00C14355">
        <w:rPr>
          <w:rFonts w:ascii="Century Gothic" w:eastAsia="Calibri" w:hAnsi="Century Gothic" w:cs="Arial"/>
          <w:bCs/>
          <w:color w:val="000000"/>
          <w:sz w:val="14"/>
          <w:szCs w:val="14"/>
        </w:rPr>
        <w:t>“</w:t>
      </w:r>
      <w:r w:rsidRPr="00C14355">
        <w:rPr>
          <w:rFonts w:ascii="Century Gothic" w:hAnsi="Century Gothic" w:cs="Arial"/>
          <w:sz w:val="14"/>
          <w:szCs w:val="14"/>
          <w:lang w:val="es-MX"/>
        </w:rPr>
        <w:t>Artículo 38. Prohibiciones para los servidores públicos. A los empleados del Estado les está prohibido:</w:t>
      </w:r>
      <w:bookmarkEnd w:id="10"/>
    </w:p>
    <w:p w14:paraId="28BDAD17" w14:textId="77777777" w:rsidR="00B136F8" w:rsidRPr="00C14355" w:rsidRDefault="00B136F8" w:rsidP="00B136F8">
      <w:pPr>
        <w:pStyle w:val="NormalWeb"/>
        <w:spacing w:before="0" w:beforeAutospacing="0" w:after="0" w:afterAutospacing="0"/>
        <w:ind w:firstLine="709"/>
        <w:jc w:val="both"/>
        <w:rPr>
          <w:rFonts w:ascii="Century Gothic" w:hAnsi="Century Gothic" w:cs="Arial"/>
          <w:sz w:val="14"/>
          <w:szCs w:val="14"/>
          <w:lang w:val="es-MX"/>
        </w:rPr>
      </w:pPr>
      <w:r w:rsidRPr="00C14355">
        <w:rPr>
          <w:rFonts w:ascii="Century Gothic" w:eastAsia="Calibri" w:hAnsi="Century Gothic" w:cs="Arial"/>
          <w:bCs/>
          <w:color w:val="000000"/>
          <w:sz w:val="14"/>
          <w:szCs w:val="14"/>
        </w:rPr>
        <w:t>“</w:t>
      </w:r>
      <w:r w:rsidRPr="00C14355">
        <w:rPr>
          <w:rFonts w:ascii="Century Gothic" w:hAnsi="Century Gothic" w:cs="Arial"/>
          <w:sz w:val="14"/>
          <w:szCs w:val="14"/>
          <w:lang w:val="es-MX"/>
        </w:rPr>
        <w:t>[…]</w:t>
      </w:r>
    </w:p>
    <w:p w14:paraId="0FA61C22" w14:textId="77777777" w:rsidR="00B136F8" w:rsidRPr="00C14355" w:rsidRDefault="00B136F8" w:rsidP="00B136F8">
      <w:pPr>
        <w:pStyle w:val="NormalWeb"/>
        <w:spacing w:before="0" w:beforeAutospacing="0" w:after="0" w:afterAutospacing="0"/>
        <w:ind w:firstLine="709"/>
        <w:jc w:val="both"/>
        <w:rPr>
          <w:rFonts w:ascii="Century Gothic" w:hAnsi="Century Gothic" w:cs="Arial"/>
          <w:sz w:val="14"/>
          <w:szCs w:val="14"/>
          <w:lang w:val="es-MX"/>
        </w:rPr>
      </w:pPr>
      <w:r w:rsidRPr="00C14355">
        <w:rPr>
          <w:rFonts w:ascii="Century Gothic" w:eastAsia="Calibri" w:hAnsi="Century Gothic" w:cs="Arial"/>
          <w:bCs/>
          <w:color w:val="000000"/>
          <w:sz w:val="14"/>
          <w:szCs w:val="14"/>
        </w:rPr>
        <w:t>“</w:t>
      </w:r>
      <w:r w:rsidRPr="00C14355">
        <w:rPr>
          <w:rStyle w:val="baj"/>
          <w:rFonts w:ascii="Century Gothic" w:hAnsi="Century Gothic" w:cs="Arial"/>
          <w:sz w:val="14"/>
          <w:szCs w:val="14"/>
        </w:rPr>
        <w:t>Parágrafo.</w:t>
      </w:r>
      <w:r w:rsidRPr="00C14355">
        <w:rPr>
          <w:rFonts w:ascii="Century Gothic" w:hAnsi="Century Gothic" w:cs="Arial"/>
          <w:sz w:val="14"/>
          <w:szCs w:val="14"/>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C14355">
        <w:rPr>
          <w:rFonts w:ascii="Century Gothic" w:eastAsia="Calibri" w:hAnsi="Century Gothic" w:cs="Arial"/>
          <w:bCs/>
          <w:color w:val="000000"/>
          <w:sz w:val="14"/>
          <w:szCs w:val="14"/>
        </w:rPr>
        <w:t>”</w:t>
      </w:r>
      <w:r w:rsidRPr="00C14355">
        <w:rPr>
          <w:rFonts w:ascii="Century Gothic" w:hAnsi="Century Gothic" w:cs="Arial"/>
          <w:sz w:val="14"/>
          <w:szCs w:val="14"/>
          <w:lang w:val="es-MX"/>
        </w:rPr>
        <w:t>.</w:t>
      </w:r>
    </w:p>
    <w:p w14:paraId="7291F07B" w14:textId="77777777" w:rsidR="00B136F8" w:rsidRPr="00C14355" w:rsidRDefault="00B136F8" w:rsidP="00B136F8">
      <w:pPr>
        <w:pStyle w:val="NormalWeb"/>
        <w:spacing w:before="0" w:beforeAutospacing="0" w:after="0" w:afterAutospacing="0"/>
        <w:ind w:firstLine="709"/>
        <w:jc w:val="both"/>
        <w:rPr>
          <w:rFonts w:ascii="Century Gothic" w:hAnsi="Century Gothic" w:cs="Arial"/>
          <w:sz w:val="14"/>
          <w:szCs w:val="14"/>
          <w:lang w:val="es-MX"/>
        </w:rPr>
      </w:pPr>
    </w:p>
  </w:footnote>
  <w:footnote w:id="10">
    <w:p w14:paraId="63C39E5C" w14:textId="77777777" w:rsidR="00B136F8" w:rsidRPr="00C14355" w:rsidRDefault="00B136F8" w:rsidP="00B136F8">
      <w:pPr>
        <w:ind w:left="100" w:right="244" w:firstLine="709"/>
        <w:jc w:val="both"/>
        <w:rPr>
          <w:rFonts w:ascii="Century Gothic" w:hAnsi="Century Gothic" w:cs="Arial"/>
          <w:sz w:val="14"/>
          <w:szCs w:val="14"/>
        </w:rPr>
      </w:pPr>
      <w:r w:rsidRPr="00C14355">
        <w:rPr>
          <w:rStyle w:val="Refdenotaalpie"/>
          <w:rFonts w:ascii="Century Gothic" w:hAnsi="Century Gothic" w:cs="Arial"/>
          <w:sz w:val="14"/>
          <w:szCs w:val="14"/>
        </w:rPr>
        <w:footnoteRef/>
      </w:r>
      <w:r w:rsidRPr="00C14355">
        <w:rPr>
          <w:rFonts w:ascii="Century Gothic" w:hAnsi="Century Gothic" w:cs="Arial"/>
          <w:sz w:val="14"/>
          <w:szCs w:val="14"/>
        </w:rPr>
        <w:t xml:space="preserve"> Consejo de Estado. Sala de Consulta y Servicio Civil. Concepto del 17 de febrero de 2015. C.P. William Zambrano Cetina. Radicación No. 11001-03-06-000-2015-00164-00(2269).</w:t>
      </w:r>
    </w:p>
  </w:footnote>
  <w:footnote w:id="11">
    <w:p w14:paraId="629F1D0A" w14:textId="77777777" w:rsidR="00B136F8" w:rsidRPr="00C14355" w:rsidRDefault="00B136F8" w:rsidP="00B136F8">
      <w:pPr>
        <w:pStyle w:val="Textonotapie"/>
        <w:ind w:firstLine="708"/>
        <w:jc w:val="both"/>
        <w:rPr>
          <w:rFonts w:ascii="Century Gothic" w:hAnsi="Century Gothic" w:cs="Arial"/>
          <w:color w:val="000000" w:themeColor="text1"/>
          <w:sz w:val="14"/>
          <w:szCs w:val="14"/>
        </w:rPr>
      </w:pPr>
      <w:r w:rsidRPr="00C14355">
        <w:rPr>
          <w:rStyle w:val="Refdenotaalpie"/>
          <w:rFonts w:ascii="Century Gothic" w:hAnsi="Century Gothic" w:cs="Arial"/>
          <w:color w:val="000000" w:themeColor="text1"/>
          <w:sz w:val="14"/>
          <w:szCs w:val="14"/>
        </w:rPr>
        <w:footnoteRef/>
      </w:r>
      <w:r w:rsidRPr="00C14355">
        <w:rPr>
          <w:rFonts w:ascii="Century Gothic" w:hAnsi="Century Gothic" w:cs="Arial"/>
          <w:color w:val="000000" w:themeColor="text1"/>
          <w:sz w:val="14"/>
          <w:szCs w:val="14"/>
        </w:rPr>
        <w:t xml:space="preserve"> Sobre esta norma consultar los conceptos del 8 de octubre de 2019, con radicado 2201913000007532, y del 20 de diciembre de 2019, cuyo radicado es el No. 4201913000008240.</w:t>
      </w:r>
    </w:p>
  </w:footnote>
  <w:footnote w:id="12">
    <w:p w14:paraId="0D29FEE0" w14:textId="77777777" w:rsidR="00B136F8" w:rsidRPr="00C14355" w:rsidRDefault="00B136F8" w:rsidP="00B136F8">
      <w:pPr>
        <w:pStyle w:val="Textonotapie"/>
        <w:ind w:firstLine="708"/>
        <w:jc w:val="both"/>
        <w:rPr>
          <w:rFonts w:ascii="Century Gothic" w:hAnsi="Century Gothic" w:cs="Arial"/>
          <w:color w:val="000000" w:themeColor="text1"/>
          <w:sz w:val="14"/>
          <w:szCs w:val="14"/>
        </w:rPr>
      </w:pPr>
      <w:r w:rsidRPr="00C14355">
        <w:rPr>
          <w:rStyle w:val="Refdenotaalpie"/>
          <w:rFonts w:ascii="Century Gothic" w:hAnsi="Century Gothic" w:cs="Arial"/>
          <w:color w:val="000000" w:themeColor="text1"/>
          <w:sz w:val="14"/>
          <w:szCs w:val="14"/>
        </w:rPr>
        <w:footnoteRef/>
      </w:r>
      <w:r w:rsidRPr="00C14355">
        <w:rPr>
          <w:rFonts w:ascii="Century Gothic" w:hAnsi="Century Gothic" w:cs="Arial"/>
          <w:color w:val="000000" w:themeColor="text1"/>
          <w:sz w:val="14"/>
          <w:szCs w:val="14"/>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1F237C9E" w14:textId="77777777" w:rsidR="00B136F8" w:rsidRPr="00C14355" w:rsidRDefault="00B136F8" w:rsidP="00B136F8">
      <w:pPr>
        <w:pStyle w:val="Textonotapie"/>
        <w:ind w:firstLine="708"/>
        <w:jc w:val="both"/>
        <w:rPr>
          <w:rFonts w:ascii="Century Gothic" w:hAnsi="Century Gothic" w:cs="Arial"/>
          <w:color w:val="000000" w:themeColor="text1"/>
          <w:sz w:val="14"/>
          <w:szCs w:val="14"/>
        </w:rPr>
      </w:pPr>
      <w:r w:rsidRPr="00C14355">
        <w:rPr>
          <w:rFonts w:ascii="Century Gothic" w:hAnsi="Century Gothic" w:cs="Arial"/>
          <w:color w:val="000000" w:themeColor="text1"/>
          <w:sz w:val="14"/>
          <w:szCs w:val="14"/>
        </w:rPr>
        <w:t>“Los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footnote>
  <w:footnote w:id="13">
    <w:p w14:paraId="2F707771" w14:textId="77777777" w:rsidR="00B136F8" w:rsidRPr="00C14355" w:rsidRDefault="00B136F8" w:rsidP="00B136F8">
      <w:pPr>
        <w:pStyle w:val="Textonotapie"/>
        <w:ind w:firstLine="708"/>
        <w:jc w:val="both"/>
        <w:rPr>
          <w:rFonts w:ascii="Century Gothic" w:hAnsi="Century Gothic" w:cs="Arial"/>
          <w:color w:val="000000" w:themeColor="text1"/>
          <w:sz w:val="14"/>
          <w:szCs w:val="14"/>
        </w:rPr>
      </w:pPr>
      <w:r w:rsidRPr="00C14355">
        <w:rPr>
          <w:rStyle w:val="Refdenotaalpie"/>
          <w:rFonts w:ascii="Century Gothic" w:hAnsi="Century Gothic" w:cs="Arial"/>
          <w:color w:val="000000" w:themeColor="text1"/>
          <w:sz w:val="14"/>
          <w:szCs w:val="14"/>
        </w:rPr>
        <w:footnoteRef/>
      </w:r>
      <w:r w:rsidRPr="00C14355">
        <w:rPr>
          <w:rFonts w:ascii="Century Gothic" w:hAnsi="Century Gothic" w:cs="Arial"/>
          <w:color w:val="000000" w:themeColor="text1"/>
          <w:sz w:val="14"/>
          <w:szCs w:val="14"/>
        </w:rPr>
        <w:t xml:space="preserve"> En el concepto emitido el 5 de febrero de 2019, dentro del radicado No. 2201913000000663, se dijo: “[l]os convenios de asociación del artículo 5 son distintos a los contratos de colaboración del artículo 2 del Decreto 092 de 2017”.</w:t>
      </w:r>
    </w:p>
  </w:footnote>
  <w:footnote w:id="14">
    <w:p w14:paraId="08A2ECD1" w14:textId="77777777" w:rsidR="00B136F8" w:rsidRPr="00C14355" w:rsidRDefault="00B136F8" w:rsidP="00B136F8">
      <w:pPr>
        <w:pStyle w:val="Textonotapie"/>
        <w:ind w:firstLine="708"/>
        <w:jc w:val="both"/>
        <w:rPr>
          <w:rFonts w:ascii="Century Gothic" w:hAnsi="Century Gothic" w:cs="Arial"/>
          <w:color w:val="000000" w:themeColor="text1"/>
          <w:sz w:val="14"/>
          <w:szCs w:val="14"/>
        </w:rPr>
      </w:pPr>
      <w:r w:rsidRPr="00C14355">
        <w:rPr>
          <w:rStyle w:val="Refdenotaalpie"/>
          <w:rFonts w:ascii="Century Gothic" w:hAnsi="Century Gothic" w:cs="Arial"/>
          <w:color w:val="000000" w:themeColor="text1"/>
          <w:sz w:val="14"/>
          <w:szCs w:val="14"/>
        </w:rPr>
        <w:footnoteRef/>
      </w:r>
      <w:r w:rsidRPr="00C14355">
        <w:rPr>
          <w:rFonts w:ascii="Century Gothic" w:hAnsi="Century Gothic" w:cs="Arial"/>
          <w:color w:val="000000" w:themeColor="text1"/>
          <w:sz w:val="14"/>
          <w:szCs w:val="14"/>
        </w:rPr>
        <w:t xml:space="preserve"> Concepto del 3 de septiembre de 2019, emitido en el radicado No. 2201913000006512.</w:t>
      </w:r>
    </w:p>
    <w:p w14:paraId="6D63BB54" w14:textId="77777777" w:rsidR="00B136F8" w:rsidRPr="00C14355" w:rsidRDefault="00B136F8" w:rsidP="00B136F8">
      <w:pPr>
        <w:pStyle w:val="Textonotapie"/>
        <w:ind w:firstLine="708"/>
        <w:jc w:val="both"/>
        <w:rPr>
          <w:rFonts w:ascii="Century Gothic" w:hAnsi="Century Gothic" w:cs="Arial"/>
          <w:color w:val="000000" w:themeColor="text1"/>
          <w:sz w:val="14"/>
          <w:szCs w:val="14"/>
        </w:rPr>
      </w:pPr>
    </w:p>
  </w:footnote>
  <w:footnote w:id="15">
    <w:p w14:paraId="26168891" w14:textId="77777777" w:rsidR="00B136F8" w:rsidRPr="00C14355" w:rsidRDefault="00B136F8" w:rsidP="00B136F8">
      <w:pPr>
        <w:pStyle w:val="Textonotapie"/>
        <w:ind w:firstLine="708"/>
        <w:jc w:val="both"/>
        <w:rPr>
          <w:rFonts w:ascii="Century Gothic" w:hAnsi="Century Gothic" w:cs="Arial"/>
          <w:color w:val="000000" w:themeColor="text1"/>
          <w:sz w:val="14"/>
          <w:szCs w:val="14"/>
        </w:rPr>
      </w:pPr>
      <w:r w:rsidRPr="00C14355">
        <w:rPr>
          <w:rStyle w:val="Refdenotaalpie"/>
          <w:rFonts w:ascii="Century Gothic" w:hAnsi="Century Gothic" w:cs="Arial"/>
          <w:color w:val="000000" w:themeColor="text1"/>
          <w:sz w:val="14"/>
          <w:szCs w:val="14"/>
        </w:rPr>
        <w:footnoteRef/>
      </w:r>
      <w:r w:rsidRPr="00C14355">
        <w:rPr>
          <w:rFonts w:ascii="Century Gothic" w:hAnsi="Century Gothic" w:cs="Arial"/>
          <w:color w:val="000000" w:themeColor="text1"/>
          <w:sz w:val="14"/>
          <w:szCs w:val="14"/>
        </w:rPr>
        <w:t xml:space="preserve"> El numeral 16.9 de la Circular Externa Única de Colombia Compra Eficiente determina:</w:t>
      </w:r>
    </w:p>
    <w:p w14:paraId="4981F0AD" w14:textId="77777777" w:rsidR="00B136F8" w:rsidRPr="00C14355" w:rsidRDefault="00B136F8" w:rsidP="00B136F8">
      <w:pPr>
        <w:pStyle w:val="Textonotapie"/>
        <w:ind w:firstLine="708"/>
        <w:jc w:val="both"/>
        <w:rPr>
          <w:rFonts w:ascii="Century Gothic" w:hAnsi="Century Gothic" w:cs="Arial"/>
          <w:color w:val="000000" w:themeColor="text1"/>
          <w:sz w:val="14"/>
          <w:szCs w:val="14"/>
        </w:rPr>
      </w:pPr>
      <w:r w:rsidRPr="00C14355">
        <w:rPr>
          <w:rFonts w:ascii="Century Gothic" w:hAnsi="Century Gothic" w:cs="Arial"/>
          <w:color w:val="000000" w:themeColor="text1"/>
          <w:sz w:val="14"/>
          <w:szCs w:val="14"/>
        </w:rPr>
        <w:t>“16.9 Uniones temporales y consorcios conformados por entidades sin ánimo de lucro.</w:t>
      </w:r>
    </w:p>
    <w:p w14:paraId="18FAFA10" w14:textId="77777777" w:rsidR="00B136F8" w:rsidRPr="00C14355" w:rsidRDefault="00B136F8" w:rsidP="00B136F8">
      <w:pPr>
        <w:pStyle w:val="Textonotapie"/>
        <w:ind w:firstLine="708"/>
        <w:jc w:val="both"/>
        <w:rPr>
          <w:rFonts w:ascii="Century Gothic" w:hAnsi="Century Gothic" w:cs="Arial"/>
          <w:color w:val="000000" w:themeColor="text1"/>
          <w:sz w:val="14"/>
          <w:szCs w:val="14"/>
        </w:rPr>
      </w:pPr>
      <w:r w:rsidRPr="00C14355">
        <w:rPr>
          <w:rFonts w:ascii="Century Gothic" w:hAnsi="Century Gothic" w:cs="Arial"/>
          <w:color w:val="000000" w:themeColor="text1"/>
          <w:sz w:val="14"/>
          <w:szCs w:val="14"/>
        </w:rPr>
        <w:t>“El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footnote>
  <w:footnote w:id="16">
    <w:p w14:paraId="6F57E9CA" w14:textId="77777777" w:rsidR="00B136F8" w:rsidRPr="00C14355" w:rsidRDefault="00B136F8" w:rsidP="00B136F8">
      <w:pPr>
        <w:pStyle w:val="Textonotapie"/>
        <w:ind w:firstLine="708"/>
        <w:jc w:val="both"/>
        <w:rPr>
          <w:rFonts w:ascii="Century Gothic" w:hAnsi="Century Gothic" w:cs="Arial"/>
          <w:color w:val="000000" w:themeColor="text1"/>
          <w:sz w:val="14"/>
          <w:szCs w:val="14"/>
        </w:rPr>
      </w:pPr>
      <w:r w:rsidRPr="00C14355">
        <w:rPr>
          <w:rStyle w:val="Refdenotaalpie"/>
          <w:rFonts w:ascii="Century Gothic" w:hAnsi="Century Gothic" w:cs="Arial"/>
          <w:color w:val="000000" w:themeColor="text1"/>
          <w:sz w:val="14"/>
          <w:szCs w:val="14"/>
        </w:rPr>
        <w:footnoteRef/>
      </w:r>
      <w:r w:rsidRPr="00C14355">
        <w:rPr>
          <w:rFonts w:ascii="Century Gothic" w:hAnsi="Century Gothic" w:cs="Arial"/>
          <w:color w:val="000000" w:themeColor="text1"/>
          <w:sz w:val="14"/>
          <w:szCs w:val="14"/>
        </w:rPr>
        <w:t xml:space="preserve"> Concepto del 19 de noviembre de 2019, emitido en el radicado No. 2201913000008611.</w:t>
      </w:r>
    </w:p>
    <w:p w14:paraId="1AB0CA25" w14:textId="77777777" w:rsidR="00B136F8" w:rsidRPr="00C14355" w:rsidRDefault="00B136F8" w:rsidP="00B136F8">
      <w:pPr>
        <w:pStyle w:val="Textonotapie"/>
        <w:ind w:firstLine="708"/>
        <w:jc w:val="both"/>
        <w:rPr>
          <w:rFonts w:ascii="Century Gothic" w:hAnsi="Century Gothic" w:cs="Arial"/>
          <w:color w:val="000000" w:themeColor="text1"/>
          <w:sz w:val="14"/>
          <w:szCs w:val="14"/>
          <w:lang w:val="es-ES"/>
        </w:rPr>
      </w:pPr>
    </w:p>
  </w:footnote>
  <w:footnote w:id="17">
    <w:p w14:paraId="0B47A651" w14:textId="77777777" w:rsidR="00B136F8" w:rsidRPr="00C14355" w:rsidRDefault="00B136F8" w:rsidP="00B136F8">
      <w:pPr>
        <w:pStyle w:val="Textonotapie"/>
        <w:ind w:firstLine="708"/>
        <w:jc w:val="both"/>
        <w:rPr>
          <w:rFonts w:ascii="Century Gothic" w:hAnsi="Century Gothic" w:cs="Arial"/>
          <w:color w:val="000000" w:themeColor="text1"/>
          <w:sz w:val="14"/>
          <w:szCs w:val="14"/>
        </w:rPr>
      </w:pPr>
      <w:r w:rsidRPr="00C14355">
        <w:rPr>
          <w:rStyle w:val="Refdenotaalpie"/>
          <w:rFonts w:ascii="Century Gothic" w:hAnsi="Century Gothic" w:cs="Arial"/>
          <w:color w:val="000000" w:themeColor="text1"/>
          <w:sz w:val="14"/>
          <w:szCs w:val="14"/>
        </w:rPr>
        <w:footnoteRef/>
      </w:r>
      <w:r w:rsidRPr="00C14355">
        <w:rPr>
          <w:rFonts w:ascii="Century Gothic" w:hAnsi="Century Gothic" w:cs="Arial"/>
          <w:color w:val="000000" w:themeColor="text1"/>
          <w:sz w:val="14"/>
          <w:szCs w:val="14"/>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footnote>
  <w:footnote w:id="18">
    <w:p w14:paraId="56C41FBB" w14:textId="77777777" w:rsidR="00B136F8" w:rsidRPr="00C14355" w:rsidRDefault="00B136F8" w:rsidP="00B136F8">
      <w:pPr>
        <w:pStyle w:val="Textonotapie"/>
        <w:ind w:firstLine="708"/>
        <w:jc w:val="both"/>
        <w:rPr>
          <w:rFonts w:ascii="Century Gothic" w:hAnsi="Century Gothic" w:cs="Arial"/>
          <w:color w:val="000000" w:themeColor="text1"/>
          <w:sz w:val="14"/>
          <w:szCs w:val="14"/>
        </w:rPr>
      </w:pPr>
      <w:r w:rsidRPr="00C14355">
        <w:rPr>
          <w:rStyle w:val="Refdenotaalpie"/>
          <w:rFonts w:ascii="Century Gothic" w:hAnsi="Century Gothic" w:cs="Arial"/>
          <w:color w:val="000000" w:themeColor="text1"/>
          <w:sz w:val="14"/>
          <w:szCs w:val="14"/>
        </w:rPr>
        <w:footnoteRef/>
      </w:r>
      <w:r w:rsidRPr="00C14355">
        <w:rPr>
          <w:rFonts w:ascii="Century Gothic" w:hAnsi="Century Gothic" w:cs="Arial"/>
          <w:color w:val="000000" w:themeColor="text1"/>
          <w:sz w:val="14"/>
          <w:szCs w:val="14"/>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3D022C84" w14:textId="77777777" w:rsidR="00B136F8" w:rsidRPr="00C14355" w:rsidRDefault="00B136F8" w:rsidP="00B136F8">
      <w:pPr>
        <w:pStyle w:val="Textonotapie"/>
        <w:ind w:firstLine="708"/>
        <w:jc w:val="both"/>
        <w:rPr>
          <w:rFonts w:ascii="Century Gothic" w:hAnsi="Century Gothic" w:cs="Arial"/>
          <w:color w:val="000000" w:themeColor="text1"/>
          <w:sz w:val="14"/>
          <w:szCs w:val="14"/>
        </w:rPr>
      </w:pPr>
    </w:p>
  </w:footnote>
  <w:footnote w:id="19">
    <w:p w14:paraId="177286CB" w14:textId="77777777" w:rsidR="00B136F8" w:rsidRPr="00C14355" w:rsidRDefault="00B136F8" w:rsidP="00B136F8">
      <w:pPr>
        <w:pStyle w:val="Textonotapie"/>
        <w:ind w:firstLine="708"/>
        <w:jc w:val="both"/>
        <w:rPr>
          <w:rFonts w:ascii="Century Gothic" w:hAnsi="Century Gothic" w:cs="Arial"/>
          <w:sz w:val="14"/>
          <w:szCs w:val="14"/>
          <w:lang w:val="es-ES"/>
        </w:rPr>
      </w:pPr>
      <w:r w:rsidRPr="00C14355">
        <w:rPr>
          <w:rStyle w:val="Refdenotaalpie"/>
          <w:rFonts w:ascii="Century Gothic" w:hAnsi="Century Gothic" w:cs="Arial"/>
          <w:sz w:val="14"/>
          <w:szCs w:val="14"/>
        </w:rPr>
        <w:footnoteRef/>
      </w:r>
      <w:r w:rsidRPr="00C14355">
        <w:rPr>
          <w:rFonts w:ascii="Century Gothic" w:hAnsi="Century Gothic" w:cs="Arial"/>
          <w:sz w:val="14"/>
          <w:szCs w:val="14"/>
        </w:rPr>
        <w:t xml:space="preserve"> </w:t>
      </w:r>
      <w:r w:rsidRPr="00C14355">
        <w:rPr>
          <w:rFonts w:ascii="Century Gothic" w:hAnsi="Century Gothic" w:cs="Arial"/>
          <w:sz w:val="14"/>
          <w:szCs w:val="14"/>
          <w:lang w:val="es-CO"/>
        </w:rPr>
        <w:t>CONSEJO DE ESTADO. Sala de Consulta y Servicio Civil. Concepto del 8 de mayo de 2018. Rad. 2382. C.P. Álvaro Namén Vargas.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CE20" w14:textId="77777777" w:rsidR="00ED3B1E" w:rsidRDefault="00DF010D">
    <w:pPr>
      <w:pStyle w:val="Encabezado"/>
    </w:pPr>
    <w:r>
      <w:rPr>
        <w:noProof/>
      </w:rPr>
      <w:drawing>
        <wp:anchor distT="0" distB="0" distL="114300" distR="114300" simplePos="0" relativeHeight="251659264" behindDoc="1" locked="0" layoutInCell="1" allowOverlap="1" wp14:anchorId="6191F209" wp14:editId="36FF2B45">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rPr>
      <w:drawing>
        <wp:anchor distT="0" distB="0" distL="114300" distR="114300" simplePos="0" relativeHeight="251663360" behindDoc="0" locked="0" layoutInCell="1" allowOverlap="1" wp14:anchorId="762BD466" wp14:editId="0A804132">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1312" behindDoc="0" locked="0" layoutInCell="1" allowOverlap="1" wp14:anchorId="7551E39E" wp14:editId="61961709">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5FEB12D" wp14:editId="26DFDD52">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505553D4" w14:textId="77777777" w:rsidR="00ED3B1E" w:rsidRDefault="00ED3B1E">
    <w:pPr>
      <w:pStyle w:val="Encabezado"/>
    </w:pPr>
  </w:p>
  <w:p w14:paraId="747DBA50" w14:textId="77777777" w:rsidR="00ED3B1E" w:rsidRDefault="00ED3B1E">
    <w:pPr>
      <w:pStyle w:val="Encabezado"/>
    </w:pPr>
  </w:p>
  <w:p w14:paraId="16618826" w14:textId="77777777" w:rsidR="00ED3B1E" w:rsidRPr="004A305D" w:rsidRDefault="00DF010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36B0E1A9" w14:textId="77777777" w:rsidR="00ED3B1E" w:rsidRPr="004A305D" w:rsidRDefault="00DF010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17</w:t>
    </w:r>
  </w:p>
  <w:p w14:paraId="3ACDF1A7" w14:textId="77777777" w:rsidR="00ED3B1E" w:rsidRPr="004A305D" w:rsidRDefault="00DF010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31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09BC64AB" w14:textId="77777777" w:rsidR="00ED3B1E" w:rsidRDefault="00ED3B1E"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6649E"/>
    <w:multiLevelType w:val="multilevel"/>
    <w:tmpl w:val="8F8426CC"/>
    <w:lvl w:ilvl="0">
      <w:start w:val="1"/>
      <w:numFmt w:val="decimal"/>
      <w:lvlText w:val="%1."/>
      <w:lvlJc w:val="left"/>
      <w:pPr>
        <w:ind w:left="720" w:hanging="360"/>
      </w:pPr>
      <w:rPr>
        <w:rFonts w:hint="default"/>
        <w:b/>
      </w:rPr>
    </w:lvl>
    <w:lvl w:ilvl="1">
      <w:start w:val="1"/>
      <w:numFmt w:val="decimal"/>
      <w:isLgl/>
      <w:lvlText w:val="%1.%2."/>
      <w:lvlJc w:val="left"/>
      <w:pPr>
        <w:ind w:left="1428" w:hanging="720"/>
      </w:pPr>
      <w:rPr>
        <w:rFonts w:eastAsiaTheme="minorHAnsi" w:hint="default"/>
        <w:color w:val="000000" w:themeColor="text1"/>
      </w:rPr>
    </w:lvl>
    <w:lvl w:ilvl="2">
      <w:start w:val="1"/>
      <w:numFmt w:val="decimal"/>
      <w:isLgl/>
      <w:lvlText w:val="%1.%2.%3."/>
      <w:lvlJc w:val="left"/>
      <w:pPr>
        <w:ind w:left="1776" w:hanging="720"/>
      </w:pPr>
      <w:rPr>
        <w:rFonts w:eastAsiaTheme="minorHAnsi" w:hint="default"/>
        <w:color w:val="000000" w:themeColor="text1"/>
      </w:rPr>
    </w:lvl>
    <w:lvl w:ilvl="3">
      <w:start w:val="1"/>
      <w:numFmt w:val="decimal"/>
      <w:isLgl/>
      <w:lvlText w:val="%1.%2.%3.%4."/>
      <w:lvlJc w:val="left"/>
      <w:pPr>
        <w:ind w:left="2484" w:hanging="1080"/>
      </w:pPr>
      <w:rPr>
        <w:rFonts w:eastAsiaTheme="minorHAnsi" w:hint="default"/>
        <w:color w:val="000000" w:themeColor="text1"/>
      </w:rPr>
    </w:lvl>
    <w:lvl w:ilvl="4">
      <w:start w:val="1"/>
      <w:numFmt w:val="decimal"/>
      <w:isLgl/>
      <w:lvlText w:val="%1.%2.%3.%4.%5."/>
      <w:lvlJc w:val="left"/>
      <w:pPr>
        <w:ind w:left="2832" w:hanging="1080"/>
      </w:pPr>
      <w:rPr>
        <w:rFonts w:eastAsiaTheme="minorHAnsi" w:hint="default"/>
        <w:color w:val="000000" w:themeColor="text1"/>
      </w:rPr>
    </w:lvl>
    <w:lvl w:ilvl="5">
      <w:start w:val="1"/>
      <w:numFmt w:val="decimal"/>
      <w:isLgl/>
      <w:lvlText w:val="%1.%2.%3.%4.%5.%6."/>
      <w:lvlJc w:val="left"/>
      <w:pPr>
        <w:ind w:left="3540" w:hanging="1440"/>
      </w:pPr>
      <w:rPr>
        <w:rFonts w:eastAsiaTheme="minorHAnsi" w:hint="default"/>
        <w:color w:val="000000" w:themeColor="text1"/>
      </w:rPr>
    </w:lvl>
    <w:lvl w:ilvl="6">
      <w:start w:val="1"/>
      <w:numFmt w:val="decimal"/>
      <w:isLgl/>
      <w:lvlText w:val="%1.%2.%3.%4.%5.%6.%7."/>
      <w:lvlJc w:val="left"/>
      <w:pPr>
        <w:ind w:left="3888" w:hanging="1440"/>
      </w:pPr>
      <w:rPr>
        <w:rFonts w:eastAsiaTheme="minorHAnsi" w:hint="default"/>
        <w:color w:val="000000" w:themeColor="text1"/>
      </w:rPr>
    </w:lvl>
    <w:lvl w:ilvl="7">
      <w:start w:val="1"/>
      <w:numFmt w:val="decimal"/>
      <w:isLgl/>
      <w:lvlText w:val="%1.%2.%3.%4.%5.%6.%7.%8."/>
      <w:lvlJc w:val="left"/>
      <w:pPr>
        <w:ind w:left="4596" w:hanging="1800"/>
      </w:pPr>
      <w:rPr>
        <w:rFonts w:eastAsiaTheme="minorHAnsi" w:hint="default"/>
        <w:color w:val="000000" w:themeColor="text1"/>
      </w:rPr>
    </w:lvl>
    <w:lvl w:ilvl="8">
      <w:start w:val="1"/>
      <w:numFmt w:val="decimal"/>
      <w:isLgl/>
      <w:lvlText w:val="%1.%2.%3.%4.%5.%6.%7.%8.%9."/>
      <w:lvlJc w:val="left"/>
      <w:pPr>
        <w:ind w:left="4944" w:hanging="1800"/>
      </w:pPr>
      <w:rPr>
        <w:rFonts w:eastAsiaTheme="minorHAnsi" w:hint="default"/>
        <w:color w:val="000000" w:themeColor="text1"/>
      </w:rPr>
    </w:lvl>
  </w:abstractNum>
  <w:abstractNum w:abstractNumId="1" w15:restartNumberingAfterBreak="0">
    <w:nsid w:val="38514459"/>
    <w:multiLevelType w:val="hybridMultilevel"/>
    <w:tmpl w:val="16A2A2D0"/>
    <w:lvl w:ilvl="0" w:tplc="9A2AC924">
      <w:start w:val="1"/>
      <w:numFmt w:val="decimal"/>
      <w:lvlText w:val="%1."/>
      <w:lvlJc w:val="left"/>
      <w:pPr>
        <w:ind w:left="520" w:hanging="360"/>
      </w:pPr>
      <w:rPr>
        <w:rFonts w:hint="default"/>
      </w:rPr>
    </w:lvl>
    <w:lvl w:ilvl="1" w:tplc="240A0019" w:tentative="1">
      <w:start w:val="1"/>
      <w:numFmt w:val="lowerLetter"/>
      <w:lvlText w:val="%2."/>
      <w:lvlJc w:val="left"/>
      <w:pPr>
        <w:ind w:left="1240" w:hanging="360"/>
      </w:pPr>
    </w:lvl>
    <w:lvl w:ilvl="2" w:tplc="240A001B" w:tentative="1">
      <w:start w:val="1"/>
      <w:numFmt w:val="lowerRoman"/>
      <w:lvlText w:val="%3."/>
      <w:lvlJc w:val="right"/>
      <w:pPr>
        <w:ind w:left="1960" w:hanging="180"/>
      </w:pPr>
    </w:lvl>
    <w:lvl w:ilvl="3" w:tplc="240A000F" w:tentative="1">
      <w:start w:val="1"/>
      <w:numFmt w:val="decimal"/>
      <w:lvlText w:val="%4."/>
      <w:lvlJc w:val="left"/>
      <w:pPr>
        <w:ind w:left="2680" w:hanging="360"/>
      </w:pPr>
    </w:lvl>
    <w:lvl w:ilvl="4" w:tplc="240A0019" w:tentative="1">
      <w:start w:val="1"/>
      <w:numFmt w:val="lowerLetter"/>
      <w:lvlText w:val="%5."/>
      <w:lvlJc w:val="left"/>
      <w:pPr>
        <w:ind w:left="3400" w:hanging="360"/>
      </w:pPr>
    </w:lvl>
    <w:lvl w:ilvl="5" w:tplc="240A001B" w:tentative="1">
      <w:start w:val="1"/>
      <w:numFmt w:val="lowerRoman"/>
      <w:lvlText w:val="%6."/>
      <w:lvlJc w:val="right"/>
      <w:pPr>
        <w:ind w:left="4120" w:hanging="180"/>
      </w:pPr>
    </w:lvl>
    <w:lvl w:ilvl="6" w:tplc="240A000F" w:tentative="1">
      <w:start w:val="1"/>
      <w:numFmt w:val="decimal"/>
      <w:lvlText w:val="%7."/>
      <w:lvlJc w:val="left"/>
      <w:pPr>
        <w:ind w:left="4840" w:hanging="360"/>
      </w:pPr>
    </w:lvl>
    <w:lvl w:ilvl="7" w:tplc="240A0019" w:tentative="1">
      <w:start w:val="1"/>
      <w:numFmt w:val="lowerLetter"/>
      <w:lvlText w:val="%8."/>
      <w:lvlJc w:val="left"/>
      <w:pPr>
        <w:ind w:left="5560" w:hanging="360"/>
      </w:pPr>
    </w:lvl>
    <w:lvl w:ilvl="8" w:tplc="240A001B" w:tentative="1">
      <w:start w:val="1"/>
      <w:numFmt w:val="lowerRoman"/>
      <w:lvlText w:val="%9."/>
      <w:lvlJc w:val="right"/>
      <w:pPr>
        <w:ind w:left="6280" w:hanging="180"/>
      </w:pPr>
    </w:lvl>
  </w:abstractNum>
  <w:abstractNum w:abstractNumId="2" w15:restartNumberingAfterBreak="0">
    <w:nsid w:val="6B2F49AC"/>
    <w:multiLevelType w:val="hybridMultilevel"/>
    <w:tmpl w:val="18B66828"/>
    <w:lvl w:ilvl="0" w:tplc="81D67926">
      <w:start w:val="1"/>
      <w:numFmt w:val="decimal"/>
      <w:lvlText w:val="%1."/>
      <w:lvlJc w:val="left"/>
      <w:pPr>
        <w:ind w:left="520" w:hanging="360"/>
      </w:pPr>
      <w:rPr>
        <w:rFonts w:hint="default"/>
      </w:rPr>
    </w:lvl>
    <w:lvl w:ilvl="1" w:tplc="240A0019" w:tentative="1">
      <w:start w:val="1"/>
      <w:numFmt w:val="lowerLetter"/>
      <w:lvlText w:val="%2."/>
      <w:lvlJc w:val="left"/>
      <w:pPr>
        <w:ind w:left="1240" w:hanging="360"/>
      </w:pPr>
    </w:lvl>
    <w:lvl w:ilvl="2" w:tplc="240A001B" w:tentative="1">
      <w:start w:val="1"/>
      <w:numFmt w:val="lowerRoman"/>
      <w:lvlText w:val="%3."/>
      <w:lvlJc w:val="right"/>
      <w:pPr>
        <w:ind w:left="1960" w:hanging="180"/>
      </w:pPr>
    </w:lvl>
    <w:lvl w:ilvl="3" w:tplc="240A000F" w:tentative="1">
      <w:start w:val="1"/>
      <w:numFmt w:val="decimal"/>
      <w:lvlText w:val="%4."/>
      <w:lvlJc w:val="left"/>
      <w:pPr>
        <w:ind w:left="2680" w:hanging="360"/>
      </w:pPr>
    </w:lvl>
    <w:lvl w:ilvl="4" w:tplc="240A0019" w:tentative="1">
      <w:start w:val="1"/>
      <w:numFmt w:val="lowerLetter"/>
      <w:lvlText w:val="%5."/>
      <w:lvlJc w:val="left"/>
      <w:pPr>
        <w:ind w:left="3400" w:hanging="360"/>
      </w:pPr>
    </w:lvl>
    <w:lvl w:ilvl="5" w:tplc="240A001B" w:tentative="1">
      <w:start w:val="1"/>
      <w:numFmt w:val="lowerRoman"/>
      <w:lvlText w:val="%6."/>
      <w:lvlJc w:val="right"/>
      <w:pPr>
        <w:ind w:left="4120" w:hanging="180"/>
      </w:pPr>
    </w:lvl>
    <w:lvl w:ilvl="6" w:tplc="240A000F" w:tentative="1">
      <w:start w:val="1"/>
      <w:numFmt w:val="decimal"/>
      <w:lvlText w:val="%7."/>
      <w:lvlJc w:val="left"/>
      <w:pPr>
        <w:ind w:left="4840" w:hanging="360"/>
      </w:pPr>
    </w:lvl>
    <w:lvl w:ilvl="7" w:tplc="240A0019" w:tentative="1">
      <w:start w:val="1"/>
      <w:numFmt w:val="lowerLetter"/>
      <w:lvlText w:val="%8."/>
      <w:lvlJc w:val="left"/>
      <w:pPr>
        <w:ind w:left="5560" w:hanging="360"/>
      </w:pPr>
    </w:lvl>
    <w:lvl w:ilvl="8" w:tplc="240A001B" w:tentative="1">
      <w:start w:val="1"/>
      <w:numFmt w:val="lowerRoman"/>
      <w:lvlText w:val="%9."/>
      <w:lvlJc w:val="right"/>
      <w:pPr>
        <w:ind w:left="6280" w:hanging="180"/>
      </w:pPr>
    </w:lvl>
  </w:abstractNum>
  <w:abstractNum w:abstractNumId="3" w15:restartNumberingAfterBreak="0">
    <w:nsid w:val="732C2C98"/>
    <w:multiLevelType w:val="hybridMultilevel"/>
    <w:tmpl w:val="A3A45454"/>
    <w:lvl w:ilvl="0" w:tplc="97AC15C0">
      <w:start w:val="1"/>
      <w:numFmt w:val="decimal"/>
      <w:lvlText w:val="%1."/>
      <w:lvlJc w:val="left"/>
      <w:pPr>
        <w:ind w:left="1960" w:hanging="360"/>
      </w:pPr>
      <w:rPr>
        <w:rFonts w:hint="default"/>
      </w:rPr>
    </w:lvl>
    <w:lvl w:ilvl="1" w:tplc="240A0019" w:tentative="1">
      <w:start w:val="1"/>
      <w:numFmt w:val="lowerLetter"/>
      <w:lvlText w:val="%2."/>
      <w:lvlJc w:val="left"/>
      <w:pPr>
        <w:ind w:left="2680" w:hanging="360"/>
      </w:pPr>
    </w:lvl>
    <w:lvl w:ilvl="2" w:tplc="240A001B" w:tentative="1">
      <w:start w:val="1"/>
      <w:numFmt w:val="lowerRoman"/>
      <w:lvlText w:val="%3."/>
      <w:lvlJc w:val="right"/>
      <w:pPr>
        <w:ind w:left="3400" w:hanging="180"/>
      </w:pPr>
    </w:lvl>
    <w:lvl w:ilvl="3" w:tplc="240A000F" w:tentative="1">
      <w:start w:val="1"/>
      <w:numFmt w:val="decimal"/>
      <w:lvlText w:val="%4."/>
      <w:lvlJc w:val="left"/>
      <w:pPr>
        <w:ind w:left="4120" w:hanging="360"/>
      </w:pPr>
    </w:lvl>
    <w:lvl w:ilvl="4" w:tplc="240A0019" w:tentative="1">
      <w:start w:val="1"/>
      <w:numFmt w:val="lowerLetter"/>
      <w:lvlText w:val="%5."/>
      <w:lvlJc w:val="left"/>
      <w:pPr>
        <w:ind w:left="4840" w:hanging="360"/>
      </w:pPr>
    </w:lvl>
    <w:lvl w:ilvl="5" w:tplc="240A001B" w:tentative="1">
      <w:start w:val="1"/>
      <w:numFmt w:val="lowerRoman"/>
      <w:lvlText w:val="%6."/>
      <w:lvlJc w:val="right"/>
      <w:pPr>
        <w:ind w:left="5560" w:hanging="180"/>
      </w:pPr>
    </w:lvl>
    <w:lvl w:ilvl="6" w:tplc="240A000F" w:tentative="1">
      <w:start w:val="1"/>
      <w:numFmt w:val="decimal"/>
      <w:lvlText w:val="%7."/>
      <w:lvlJc w:val="left"/>
      <w:pPr>
        <w:ind w:left="6280" w:hanging="360"/>
      </w:pPr>
    </w:lvl>
    <w:lvl w:ilvl="7" w:tplc="240A0019" w:tentative="1">
      <w:start w:val="1"/>
      <w:numFmt w:val="lowerLetter"/>
      <w:lvlText w:val="%8."/>
      <w:lvlJc w:val="left"/>
      <w:pPr>
        <w:ind w:left="7000" w:hanging="360"/>
      </w:pPr>
    </w:lvl>
    <w:lvl w:ilvl="8" w:tplc="240A001B" w:tentative="1">
      <w:start w:val="1"/>
      <w:numFmt w:val="lowerRoman"/>
      <w:lvlText w:val="%9."/>
      <w:lvlJc w:val="right"/>
      <w:pPr>
        <w:ind w:left="7720" w:hanging="180"/>
      </w:pPr>
    </w:lvl>
  </w:abstractNum>
  <w:num w:numId="1" w16cid:durableId="916674353">
    <w:abstractNumId w:val="2"/>
  </w:num>
  <w:num w:numId="2" w16cid:durableId="1185947928">
    <w:abstractNumId w:val="1"/>
  </w:num>
  <w:num w:numId="3" w16cid:durableId="752623449">
    <w:abstractNumId w:val="3"/>
  </w:num>
  <w:num w:numId="4" w16cid:durableId="73548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DAB1FE"/>
    <w:rsid w:val="00014D3A"/>
    <w:rsid w:val="00033939"/>
    <w:rsid w:val="00036BEA"/>
    <w:rsid w:val="0007763F"/>
    <w:rsid w:val="000D0EFE"/>
    <w:rsid w:val="000D4FE2"/>
    <w:rsid w:val="000F51D9"/>
    <w:rsid w:val="001130E5"/>
    <w:rsid w:val="00154E15"/>
    <w:rsid w:val="001572D0"/>
    <w:rsid w:val="001630E4"/>
    <w:rsid w:val="001720B3"/>
    <w:rsid w:val="0019766A"/>
    <w:rsid w:val="001D5ABE"/>
    <w:rsid w:val="001E015B"/>
    <w:rsid w:val="002800B1"/>
    <w:rsid w:val="00286D67"/>
    <w:rsid w:val="002C4D46"/>
    <w:rsid w:val="003116A4"/>
    <w:rsid w:val="003731E4"/>
    <w:rsid w:val="00391758"/>
    <w:rsid w:val="003A2B53"/>
    <w:rsid w:val="0041342F"/>
    <w:rsid w:val="004A067E"/>
    <w:rsid w:val="004A577F"/>
    <w:rsid w:val="004C5471"/>
    <w:rsid w:val="004E5148"/>
    <w:rsid w:val="004E78F6"/>
    <w:rsid w:val="004F6999"/>
    <w:rsid w:val="005159A7"/>
    <w:rsid w:val="00527BF4"/>
    <w:rsid w:val="005A1F59"/>
    <w:rsid w:val="005C0D27"/>
    <w:rsid w:val="00602B82"/>
    <w:rsid w:val="006418E6"/>
    <w:rsid w:val="006510C1"/>
    <w:rsid w:val="00665902"/>
    <w:rsid w:val="006D002C"/>
    <w:rsid w:val="00753302"/>
    <w:rsid w:val="00786FCA"/>
    <w:rsid w:val="007929AA"/>
    <w:rsid w:val="007E14CE"/>
    <w:rsid w:val="008034C6"/>
    <w:rsid w:val="00870D86"/>
    <w:rsid w:val="008A2CBF"/>
    <w:rsid w:val="008B36A5"/>
    <w:rsid w:val="008D676F"/>
    <w:rsid w:val="008F7DE0"/>
    <w:rsid w:val="00920A7A"/>
    <w:rsid w:val="0092126A"/>
    <w:rsid w:val="00937568"/>
    <w:rsid w:val="00972877"/>
    <w:rsid w:val="00975059"/>
    <w:rsid w:val="00A374E8"/>
    <w:rsid w:val="00A53612"/>
    <w:rsid w:val="00A84DD7"/>
    <w:rsid w:val="00A94E57"/>
    <w:rsid w:val="00AA6449"/>
    <w:rsid w:val="00B136F8"/>
    <w:rsid w:val="00B1451D"/>
    <w:rsid w:val="00B7357B"/>
    <w:rsid w:val="00B95429"/>
    <w:rsid w:val="00BD4178"/>
    <w:rsid w:val="00BE31F0"/>
    <w:rsid w:val="00BF1DEE"/>
    <w:rsid w:val="00BF44CB"/>
    <w:rsid w:val="00C7084B"/>
    <w:rsid w:val="00C977F4"/>
    <w:rsid w:val="00CB399F"/>
    <w:rsid w:val="00CD1ED8"/>
    <w:rsid w:val="00D35680"/>
    <w:rsid w:val="00D54E4C"/>
    <w:rsid w:val="00D752D9"/>
    <w:rsid w:val="00DA1FD6"/>
    <w:rsid w:val="00DA2005"/>
    <w:rsid w:val="00DE55F2"/>
    <w:rsid w:val="00DE58AB"/>
    <w:rsid w:val="00DE79B1"/>
    <w:rsid w:val="00DF010D"/>
    <w:rsid w:val="00E1334D"/>
    <w:rsid w:val="00E269E5"/>
    <w:rsid w:val="00E40B90"/>
    <w:rsid w:val="00EA4F64"/>
    <w:rsid w:val="00EB141A"/>
    <w:rsid w:val="00EB14FF"/>
    <w:rsid w:val="00ED3B1E"/>
    <w:rsid w:val="00EF2DF2"/>
    <w:rsid w:val="00F20CDB"/>
    <w:rsid w:val="00F4351B"/>
    <w:rsid w:val="00FC76B2"/>
    <w:rsid w:val="00FE6DCB"/>
    <w:rsid w:val="27DAB1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B1FE"/>
  <w15:chartTrackingRefBased/>
  <w15:docId w15:val="{AC0D011A-FD58-4EE8-AB87-3E8A2558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527BF4"/>
    <w:pPr>
      <w:widowControl w:val="0"/>
      <w:autoSpaceDE w:val="0"/>
      <w:autoSpaceDN w:val="0"/>
      <w:spacing w:before="160" w:after="0" w:line="240" w:lineRule="auto"/>
      <w:ind w:left="160"/>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7BF4"/>
    <w:rPr>
      <w:rFonts w:ascii="Arial" w:eastAsia="Arial" w:hAnsi="Arial" w:cs="Arial"/>
      <w:b/>
      <w:bCs/>
    </w:rPr>
  </w:style>
  <w:style w:type="paragraph" w:styleId="Textoindependiente">
    <w:name w:val="Body Text"/>
    <w:basedOn w:val="Normal"/>
    <w:link w:val="TextoindependienteCar"/>
    <w:uiPriority w:val="1"/>
    <w:qFormat/>
    <w:rsid w:val="00527BF4"/>
    <w:pPr>
      <w:widowControl w:val="0"/>
      <w:autoSpaceDE w:val="0"/>
      <w:autoSpaceDN w:val="0"/>
      <w:spacing w:after="0" w:line="240" w:lineRule="auto"/>
    </w:pPr>
    <w:rPr>
      <w:rFonts w:ascii="Arial MT" w:eastAsia="Arial MT" w:hAnsi="Arial MT" w:cs="Arial MT"/>
    </w:rPr>
  </w:style>
  <w:style w:type="character" w:customStyle="1" w:styleId="TextoindependienteCar">
    <w:name w:val="Texto independiente Car"/>
    <w:basedOn w:val="Fuentedeprrafopredeter"/>
    <w:link w:val="Textoindependiente"/>
    <w:uiPriority w:val="1"/>
    <w:rsid w:val="00527BF4"/>
    <w:rPr>
      <w:rFonts w:ascii="Arial MT" w:eastAsia="Arial MT" w:hAnsi="Arial MT" w:cs="Arial MT"/>
    </w:rPr>
  </w:style>
  <w:style w:type="character" w:styleId="Hipervnculo">
    <w:name w:val="Hyperlink"/>
    <w:basedOn w:val="Fuentedeprrafopredeter"/>
    <w:uiPriority w:val="99"/>
    <w:unhideWhenUsed/>
    <w:rsid w:val="001630E4"/>
    <w:rPr>
      <w:color w:val="0563C1" w:themeColor="hyperlink"/>
      <w:u w:val="single"/>
    </w:rPr>
  </w:style>
  <w:style w:type="character" w:styleId="Mencinsinresolver">
    <w:name w:val="Unresolved Mention"/>
    <w:basedOn w:val="Fuentedeprrafopredeter"/>
    <w:uiPriority w:val="99"/>
    <w:semiHidden/>
    <w:unhideWhenUsed/>
    <w:rsid w:val="001630E4"/>
    <w:rPr>
      <w:color w:val="605E5C"/>
      <w:shd w:val="clear" w:color="auto" w:fill="E1DFDD"/>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A067E"/>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4A067E"/>
    <w:pPr>
      <w:spacing w:after="0" w:line="240" w:lineRule="auto"/>
    </w:pPr>
    <w:rPr>
      <w:sz w:val="20"/>
      <w:szCs w:val="20"/>
      <w:lang w:val="es-MX"/>
    </w:rPr>
  </w:style>
  <w:style w:type="character" w:customStyle="1" w:styleId="TextonotapieCar1">
    <w:name w:val="Texto nota pie Car1"/>
    <w:basedOn w:val="Fuentedeprrafopredeter"/>
    <w:uiPriority w:val="99"/>
    <w:semiHidden/>
    <w:rsid w:val="004A067E"/>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4A067E"/>
    <w:rPr>
      <w:vertAlign w:val="superscript"/>
    </w:rPr>
  </w:style>
  <w:style w:type="paragraph" w:customStyle="1" w:styleId="Appelnotedebasde">
    <w:name w:val="Appel note de bas de..."/>
    <w:basedOn w:val="Normal"/>
    <w:link w:val="Refdenotaalpie"/>
    <w:uiPriority w:val="99"/>
    <w:rsid w:val="004A067E"/>
    <w:pPr>
      <w:spacing w:line="240" w:lineRule="exact"/>
    </w:pPr>
    <w:rPr>
      <w:vertAlign w:val="superscript"/>
    </w:rPr>
  </w:style>
  <w:style w:type="paragraph" w:styleId="Prrafodelista">
    <w:name w:val="List Paragraph"/>
    <w:basedOn w:val="Normal"/>
    <w:uiPriority w:val="34"/>
    <w:qFormat/>
    <w:rsid w:val="004A067E"/>
    <w:pPr>
      <w:ind w:left="720"/>
      <w:contextualSpacing/>
    </w:pPr>
  </w:style>
  <w:style w:type="character" w:customStyle="1" w:styleId="normaltextrun">
    <w:name w:val="normaltextrun"/>
    <w:basedOn w:val="Fuentedeprrafopredeter"/>
    <w:rsid w:val="00391758"/>
  </w:style>
  <w:style w:type="paragraph" w:styleId="NormalWeb">
    <w:name w:val="Normal (Web)"/>
    <w:basedOn w:val="Normal"/>
    <w:link w:val="NormalWebCar"/>
    <w:uiPriority w:val="99"/>
    <w:unhideWhenUsed/>
    <w:rsid w:val="004E78F6"/>
    <w:pPr>
      <w:spacing w:before="100" w:beforeAutospacing="1" w:after="100" w:afterAutospacing="1" w:line="240" w:lineRule="auto"/>
    </w:pPr>
    <w:rPr>
      <w:rFonts w:ascii="Times New Roman" w:eastAsia="Times New Roman" w:hAnsi="Times New Roman" w:cs="Times New Roman"/>
      <w:sz w:val="24"/>
      <w:szCs w:val="24"/>
      <w:lang w:val="es-CO" w:eastAsia="es-ES_tradnl"/>
    </w:rPr>
  </w:style>
  <w:style w:type="character" w:customStyle="1" w:styleId="baj">
    <w:name w:val="b_aj"/>
    <w:basedOn w:val="Fuentedeprrafopredeter"/>
    <w:rsid w:val="004E78F6"/>
  </w:style>
  <w:style w:type="character" w:customStyle="1" w:styleId="NormalWebCar">
    <w:name w:val="Normal (Web) Car"/>
    <w:link w:val="NormalWeb"/>
    <w:uiPriority w:val="99"/>
    <w:rsid w:val="004E78F6"/>
    <w:rPr>
      <w:rFonts w:ascii="Times New Roman" w:eastAsia="Times New Roman" w:hAnsi="Times New Roman" w:cs="Times New Roman"/>
      <w:sz w:val="24"/>
      <w:szCs w:val="24"/>
      <w:lang w:val="es-CO" w:eastAsia="es-ES_tradnl"/>
    </w:rPr>
  </w:style>
  <w:style w:type="paragraph" w:styleId="Sinespaciado">
    <w:name w:val="No Spacing"/>
    <w:aliases w:val="No Indent"/>
    <w:uiPriority w:val="3"/>
    <w:qFormat/>
    <w:rsid w:val="000D4FE2"/>
    <w:pPr>
      <w:spacing w:after="0" w:line="240" w:lineRule="auto"/>
    </w:pPr>
    <w:rPr>
      <w:sz w:val="24"/>
      <w:lang w:val="es-MX"/>
    </w:rPr>
  </w:style>
  <w:style w:type="paragraph" w:styleId="Encabezado">
    <w:name w:val="header"/>
    <w:basedOn w:val="Normal"/>
    <w:link w:val="EncabezadoCar"/>
    <w:uiPriority w:val="99"/>
    <w:unhideWhenUsed/>
    <w:rsid w:val="00B136F8"/>
    <w:pPr>
      <w:tabs>
        <w:tab w:val="center" w:pos="4419"/>
        <w:tab w:val="right" w:pos="8838"/>
      </w:tabs>
      <w:spacing w:after="0" w:line="240" w:lineRule="auto"/>
    </w:pPr>
    <w:rPr>
      <w:lang w:val="es-CO"/>
    </w:rPr>
  </w:style>
  <w:style w:type="character" w:customStyle="1" w:styleId="EncabezadoCar">
    <w:name w:val="Encabezado Car"/>
    <w:basedOn w:val="Fuentedeprrafopredeter"/>
    <w:link w:val="Encabezado"/>
    <w:uiPriority w:val="99"/>
    <w:rsid w:val="00B136F8"/>
    <w:rPr>
      <w:lang w:val="es-CO"/>
    </w:rPr>
  </w:style>
  <w:style w:type="paragraph" w:styleId="Piedepgina">
    <w:name w:val="footer"/>
    <w:basedOn w:val="Normal"/>
    <w:link w:val="PiedepginaCar"/>
    <w:uiPriority w:val="99"/>
    <w:unhideWhenUsed/>
    <w:rsid w:val="00B136F8"/>
    <w:pPr>
      <w:tabs>
        <w:tab w:val="center" w:pos="4419"/>
        <w:tab w:val="right" w:pos="8838"/>
      </w:tabs>
      <w:spacing w:after="0" w:line="240" w:lineRule="auto"/>
    </w:pPr>
    <w:rPr>
      <w:lang w:val="es-CO"/>
    </w:rPr>
  </w:style>
  <w:style w:type="character" w:customStyle="1" w:styleId="PiedepginaCar">
    <w:name w:val="Pie de página Car"/>
    <w:basedOn w:val="Fuentedeprrafopredeter"/>
    <w:link w:val="Piedepgina"/>
    <w:uiPriority w:val="99"/>
    <w:rsid w:val="00B136F8"/>
    <w:rPr>
      <w:lang w:val="es-CO"/>
    </w:rPr>
  </w:style>
  <w:style w:type="table" w:styleId="Tablaconcuadrcula">
    <w:name w:val="Table Grid"/>
    <w:basedOn w:val="Tablanormal"/>
    <w:uiPriority w:val="39"/>
    <w:rsid w:val="00B136F8"/>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rly.zea.galindo@gmai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Props1.xml><?xml version="1.0" encoding="utf-8"?>
<ds:datastoreItem xmlns:ds="http://schemas.openxmlformats.org/officeDocument/2006/customXml" ds:itemID="{AA020100-8409-454E-A4B4-F4666F362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5F7EE0-3DC2-4B76-8DBF-BC7158CFF89C}">
  <ds:schemaRefs>
    <ds:schemaRef ds:uri="http://schemas.microsoft.com/sharepoint/v3/contenttype/forms"/>
  </ds:schemaRefs>
</ds:datastoreItem>
</file>

<file path=customXml/itemProps3.xml><?xml version="1.0" encoding="utf-8"?>
<ds:datastoreItem xmlns:ds="http://schemas.openxmlformats.org/officeDocument/2006/customXml" ds:itemID="{15E7DC2A-2614-44F4-B064-EEB4C592338F}">
  <ds:schemaRefs>
    <ds:schemaRef ds:uri="http://schemas.openxmlformats.org/officeDocument/2006/bibliography"/>
  </ds:schemaRefs>
</ds:datastoreItem>
</file>

<file path=customXml/itemProps4.xml><?xml version="1.0" encoding="utf-8"?>
<ds:datastoreItem xmlns:ds="http://schemas.openxmlformats.org/officeDocument/2006/customXml" ds:itemID="{51177B93-72CE-4EF9-A895-96BBA2D8557A}">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5740</Words>
  <Characters>31573</Characters>
  <Application>Microsoft Office Word</Application>
  <DocSecurity>0</DocSecurity>
  <Lines>263</Lines>
  <Paragraphs>74</Paragraphs>
  <ScaleCrop>false</ScaleCrop>
  <Company/>
  <LinksUpToDate>false</LinksUpToDate>
  <CharactersWithSpaces>37239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 Martelo Martelo</dc:creator>
  <cp:keywords/>
  <dc:description/>
  <cp:lastModifiedBy>Santiago Alberto Herrera Morillo</cp:lastModifiedBy>
  <cp:revision>4</cp:revision>
  <dcterms:created xsi:type="dcterms:W3CDTF">2023-09-26T22:01:00Z</dcterms:created>
  <dcterms:modified xsi:type="dcterms:W3CDTF">2024-03-15T19:42:00Z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