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DBF9" w14:textId="77777777" w:rsidR="00E245AB" w:rsidRPr="001D1369" w:rsidRDefault="00E245AB" w:rsidP="0004436C">
      <w:pPr>
        <w:spacing w:after="0"/>
        <w:jc w:val="both"/>
        <w:rPr>
          <w:rFonts w:ascii="Arial" w:hAnsi="Arial" w:cs="Arial"/>
        </w:rPr>
      </w:pPr>
      <w:bookmarkStart w:id="0" w:name="_Hlk143780582"/>
    </w:p>
    <w:p w14:paraId="4AC1F831" w14:textId="77777777" w:rsidR="001D1369" w:rsidRPr="001D1369" w:rsidRDefault="001D1369" w:rsidP="001D1369">
      <w:pPr>
        <w:spacing w:after="0" w:line="240" w:lineRule="auto"/>
        <w:rPr>
          <w:rFonts w:ascii="Arial" w:eastAsia="Calibri" w:hAnsi="Arial" w:cs="Arial"/>
          <w:b/>
          <w:lang w:val="es-MX" w:eastAsia="es-ES_tradnl"/>
        </w:rPr>
      </w:pPr>
      <w:bookmarkStart w:id="1" w:name="_Hlk96420693"/>
      <w:bookmarkStart w:id="2" w:name="_Hlk142132215"/>
      <w:r w:rsidRPr="001D1369">
        <w:rPr>
          <w:rFonts w:ascii="Arial" w:eastAsia="Calibri" w:hAnsi="Arial" w:cs="Arial"/>
          <w:b/>
          <w:lang w:val="es-MX" w:eastAsia="es-ES_tradnl"/>
        </w:rPr>
        <w:t>INHABILIDADES – Definición – Finalidad – Limitación capacidad contractual</w:t>
      </w:r>
    </w:p>
    <w:p w14:paraId="0E5B4FF0" w14:textId="77777777" w:rsidR="001D1369" w:rsidRPr="001D1369" w:rsidRDefault="001D1369" w:rsidP="001D1369">
      <w:pPr>
        <w:spacing w:after="0" w:line="240" w:lineRule="auto"/>
        <w:rPr>
          <w:rFonts w:ascii="Arial" w:eastAsia="Calibri" w:hAnsi="Arial" w:cs="Arial"/>
          <w:bCs/>
          <w:lang w:val="es-MX" w:eastAsia="es-ES_tradnl"/>
        </w:rPr>
      </w:pPr>
    </w:p>
    <w:p w14:paraId="60165F63" w14:textId="77777777" w:rsidR="001D1369" w:rsidRPr="001D1369" w:rsidRDefault="001D1369" w:rsidP="001D1369">
      <w:pPr>
        <w:spacing w:after="0" w:line="240" w:lineRule="auto"/>
        <w:jc w:val="both"/>
        <w:rPr>
          <w:rFonts w:ascii="Arial" w:eastAsia="Geomanist Light" w:hAnsi="Arial" w:cs="Arial"/>
          <w:color w:val="000000" w:themeColor="text1"/>
          <w:lang w:val="es-MX"/>
        </w:rPr>
      </w:pPr>
      <w:r w:rsidRPr="001D1369">
        <w:rPr>
          <w:rFonts w:ascii="Arial" w:eastAsia="Geomanist Light" w:hAnsi="Arial" w:cs="Arial"/>
          <w:color w:val="000000" w:themeColor="text1"/>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55563174" w14:textId="77777777" w:rsidR="001D1369" w:rsidRPr="001D1369" w:rsidRDefault="001D1369" w:rsidP="001D1369">
      <w:pPr>
        <w:spacing w:after="0" w:line="240" w:lineRule="auto"/>
        <w:jc w:val="both"/>
        <w:rPr>
          <w:rFonts w:ascii="Arial" w:eastAsia="Geomanist Light" w:hAnsi="Arial" w:cs="Arial"/>
          <w:color w:val="000000" w:themeColor="text1"/>
          <w:lang w:val="es-MX"/>
        </w:rPr>
      </w:pPr>
    </w:p>
    <w:p w14:paraId="66B41CD5" w14:textId="77777777" w:rsidR="001D1369" w:rsidRPr="001D1369" w:rsidRDefault="001D1369" w:rsidP="001D1369">
      <w:pPr>
        <w:spacing w:after="0" w:line="240" w:lineRule="auto"/>
        <w:jc w:val="both"/>
        <w:rPr>
          <w:rFonts w:ascii="Arial" w:eastAsia="Calibri" w:hAnsi="Arial" w:cs="Arial"/>
          <w:b/>
          <w:lang w:val="es-MX" w:eastAsia="es-ES_tradnl"/>
        </w:rPr>
      </w:pPr>
      <w:r w:rsidRPr="001D1369">
        <w:rPr>
          <w:rFonts w:ascii="Arial" w:eastAsia="Calibri" w:hAnsi="Arial" w:cs="Arial"/>
          <w:b/>
          <w:lang w:val="es-MX" w:eastAsia="es-ES_tradnl"/>
        </w:rPr>
        <w:t>CONTRATACIÓN ESTATAL – Capacidad – Validez contratos – Régimen de contratación – Inscripción – Limitación de la capacidad</w:t>
      </w:r>
    </w:p>
    <w:p w14:paraId="26C31496" w14:textId="77777777" w:rsidR="001D1369" w:rsidRPr="001D1369" w:rsidRDefault="001D1369" w:rsidP="001D1369">
      <w:pPr>
        <w:spacing w:after="0" w:line="240" w:lineRule="auto"/>
        <w:jc w:val="both"/>
        <w:rPr>
          <w:rFonts w:ascii="Arial" w:eastAsia="Calibri" w:hAnsi="Arial" w:cs="Arial"/>
          <w:bCs/>
          <w:lang w:val="es-MX" w:eastAsia="es-ES_tradnl"/>
        </w:rPr>
      </w:pPr>
    </w:p>
    <w:p w14:paraId="24F985FA" w14:textId="77777777" w:rsidR="001D1369" w:rsidRPr="001D1369" w:rsidRDefault="001D1369" w:rsidP="001D1369">
      <w:pPr>
        <w:spacing w:after="0" w:line="240" w:lineRule="auto"/>
        <w:jc w:val="both"/>
        <w:rPr>
          <w:rFonts w:ascii="Arial" w:eastAsia="Calibri" w:hAnsi="Arial" w:cs="Arial"/>
          <w:bCs/>
          <w:lang w:val="es-MX" w:eastAsia="es-ES_tradnl"/>
        </w:rPr>
      </w:pPr>
      <w:r w:rsidRPr="001D1369">
        <w:rPr>
          <w:rFonts w:ascii="Arial" w:eastAsia="Calibri" w:hAnsi="Arial" w:cs="Arial"/>
          <w:bCs/>
          <w:lang w:val="es-MX" w:eastAsia="es-ES_tradnl"/>
        </w:rPr>
        <w:t>[…] 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normas que imponen restricciones para los sujetos que, eventualmente, pretendan participar en los procedimientos de selección o celebrar contratos con las entidades estatales.</w:t>
      </w:r>
    </w:p>
    <w:p w14:paraId="1395863D" w14:textId="77777777" w:rsidR="001D1369" w:rsidRPr="001D1369" w:rsidRDefault="001D1369" w:rsidP="001D1369">
      <w:pPr>
        <w:spacing w:after="0" w:line="240" w:lineRule="auto"/>
        <w:jc w:val="both"/>
        <w:rPr>
          <w:rFonts w:ascii="Arial" w:eastAsia="Calibri" w:hAnsi="Arial" w:cs="Arial"/>
          <w:bCs/>
          <w:lang w:val="es-MX" w:eastAsia="es-ES_tradnl"/>
        </w:rPr>
      </w:pPr>
    </w:p>
    <w:p w14:paraId="6A4B9166" w14:textId="77777777" w:rsidR="001D1369" w:rsidRPr="001D1369" w:rsidRDefault="001D1369" w:rsidP="001D1369">
      <w:pPr>
        <w:spacing w:after="0" w:line="240" w:lineRule="auto"/>
        <w:jc w:val="both"/>
        <w:rPr>
          <w:rFonts w:ascii="Arial" w:eastAsia="Calibri" w:hAnsi="Arial" w:cs="Arial"/>
          <w:bCs/>
          <w:lang w:val="es-MX" w:eastAsia="es-ES_tradnl"/>
        </w:rPr>
      </w:pPr>
      <w:r w:rsidRPr="001D1369">
        <w:rPr>
          <w:rFonts w:ascii="Arial" w:eastAsia="Calibri" w:hAnsi="Arial" w:cs="Arial"/>
          <w:bCs/>
          <w:lang w:val="es-MX" w:eastAsia="es-ES_tradnl"/>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w:t>
      </w:r>
      <w:r w:rsidRPr="001D1369">
        <w:rPr>
          <w:rFonts w:ascii="Arial" w:eastAsia="Calibri" w:hAnsi="Arial" w:cs="Arial"/>
          <w:bCs/>
          <w:lang w:val="es-MX" w:eastAsia="es-ES_tradnl"/>
        </w:rPr>
        <w:lastRenderedPageBreak/>
        <w:t>contratos con el Estado o participar en procedimientos de selección de las entidades estatales, por lo que de cualquiera de ellas se derivan los mismos efectos jurídicos.</w:t>
      </w:r>
    </w:p>
    <w:p w14:paraId="7015DB94" w14:textId="77777777" w:rsidR="001D1369" w:rsidRPr="001D1369" w:rsidRDefault="001D1369" w:rsidP="001D1369">
      <w:pPr>
        <w:spacing w:after="0" w:line="240" w:lineRule="auto"/>
        <w:jc w:val="both"/>
        <w:rPr>
          <w:rFonts w:ascii="Arial" w:eastAsia="Geomanist Light" w:hAnsi="Arial" w:cs="Arial"/>
          <w:color w:val="000000" w:themeColor="text1"/>
          <w:lang w:val="es-MX"/>
        </w:rPr>
      </w:pPr>
    </w:p>
    <w:p w14:paraId="1195C1B1" w14:textId="77777777" w:rsidR="001D1369" w:rsidRPr="001D1369" w:rsidRDefault="001D1369" w:rsidP="001D1369">
      <w:pPr>
        <w:spacing w:after="0" w:line="240" w:lineRule="auto"/>
        <w:rPr>
          <w:rFonts w:ascii="Arial" w:eastAsia="Calibri" w:hAnsi="Arial" w:cs="Arial"/>
          <w:b/>
          <w:lang w:val="es-MX" w:eastAsia="es-ES_tradnl"/>
        </w:rPr>
      </w:pPr>
      <w:r w:rsidRPr="001D1369">
        <w:rPr>
          <w:rFonts w:ascii="Arial" w:eastAsia="Calibri" w:hAnsi="Arial" w:cs="Arial"/>
          <w:b/>
          <w:lang w:val="es-MX" w:eastAsia="es-ES_tradnl"/>
        </w:rPr>
        <w:t>INHABILIDADES – Taxatividad – Principio de legalidad – Interpretación restrictiva</w:t>
      </w:r>
    </w:p>
    <w:p w14:paraId="39345FC5" w14:textId="77777777" w:rsidR="001D1369" w:rsidRPr="001D1369" w:rsidRDefault="001D1369" w:rsidP="001D1369">
      <w:pPr>
        <w:spacing w:after="0" w:line="240" w:lineRule="auto"/>
        <w:rPr>
          <w:rFonts w:ascii="Arial" w:eastAsia="Calibri" w:hAnsi="Arial" w:cs="Arial"/>
          <w:bCs/>
          <w:lang w:val="es-MX" w:eastAsia="es-ES_tradnl"/>
        </w:rPr>
      </w:pPr>
    </w:p>
    <w:p w14:paraId="294AD273" w14:textId="77777777" w:rsidR="001D1369" w:rsidRPr="001D1369" w:rsidRDefault="001D1369" w:rsidP="001D1369">
      <w:pPr>
        <w:spacing w:after="0" w:line="240" w:lineRule="auto"/>
        <w:jc w:val="both"/>
        <w:rPr>
          <w:rFonts w:ascii="Arial" w:eastAsia="Calibri" w:hAnsi="Arial" w:cs="Arial"/>
          <w:bCs/>
          <w:lang w:val="es-MX" w:eastAsia="es-ES_tradnl"/>
        </w:rPr>
      </w:pPr>
      <w:r w:rsidRPr="001D1369">
        <w:rPr>
          <w:rFonts w:ascii="Arial" w:eastAsia="Calibri" w:hAnsi="Arial" w:cs="Arial"/>
          <w:bCs/>
          <w:lang w:val="es-MX" w:eastAsia="es-ES_tradnl"/>
        </w:rPr>
        <w:t>[…]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 En similar sentido, la Sala de Consulta y Servicio Civil del Consejo de Estado expresó que “[…] las causales de inhabilidad e incompatibilidad deben estar expresa y taxativamente establecidas en la Constitución o en la ley y son de aplicación e interpretación restrictivas […]”. En este sentido, como se observa, existe consenso, incluso como lo ha expresado esta Agencia en ocasiones anteriores, que la creación de inhabilidades o incompatibilidades está reservada al constituyente o al legislador.</w:t>
      </w:r>
    </w:p>
    <w:p w14:paraId="36783D00" w14:textId="77777777" w:rsidR="001D1369" w:rsidRDefault="001D1369" w:rsidP="001D1369">
      <w:pPr>
        <w:spacing w:after="0"/>
        <w:rPr>
          <w:rFonts w:ascii="Century Gothic" w:eastAsia="Geomanist Light" w:hAnsi="Century Gothic" w:cs="Arial"/>
          <w:color w:val="000000" w:themeColor="text1"/>
          <w:lang w:val="es-MX"/>
        </w:rPr>
      </w:pPr>
    </w:p>
    <w:p w14:paraId="2747E926" w14:textId="77777777" w:rsidR="006F63AA" w:rsidRDefault="006F63AA" w:rsidP="006F63AA">
      <w:pPr>
        <w:rPr>
          <w:rFonts w:ascii="Arial" w:eastAsia="Calibri" w:hAnsi="Arial" w:cs="Arial"/>
          <w:bCs/>
          <w:color w:val="000000" w:themeColor="text1"/>
          <w:lang w:val="es-ES_tradnl"/>
        </w:rPr>
      </w:pPr>
    </w:p>
    <w:p w14:paraId="77E784B6" w14:textId="77777777" w:rsidR="001D1369" w:rsidRDefault="001D1369" w:rsidP="006F63AA">
      <w:pPr>
        <w:rPr>
          <w:rFonts w:ascii="Arial" w:eastAsia="Calibri" w:hAnsi="Arial" w:cs="Arial"/>
          <w:bCs/>
          <w:color w:val="000000" w:themeColor="text1"/>
          <w:lang w:val="es-ES_tradnl"/>
        </w:rPr>
      </w:pPr>
    </w:p>
    <w:p w14:paraId="0EF1081A" w14:textId="77777777" w:rsidR="001D1369" w:rsidRDefault="001D1369" w:rsidP="006F63AA">
      <w:pPr>
        <w:rPr>
          <w:rFonts w:ascii="Arial" w:eastAsia="Calibri" w:hAnsi="Arial" w:cs="Arial"/>
          <w:bCs/>
          <w:color w:val="000000" w:themeColor="text1"/>
          <w:lang w:val="es-ES_tradnl"/>
        </w:rPr>
      </w:pPr>
    </w:p>
    <w:p w14:paraId="0DC92595" w14:textId="77777777" w:rsidR="001D1369" w:rsidRDefault="001D1369" w:rsidP="006F63AA">
      <w:pPr>
        <w:rPr>
          <w:rFonts w:ascii="Arial" w:eastAsia="Calibri" w:hAnsi="Arial" w:cs="Arial"/>
          <w:bCs/>
          <w:color w:val="000000" w:themeColor="text1"/>
          <w:lang w:val="es-ES_tradnl"/>
        </w:rPr>
      </w:pPr>
    </w:p>
    <w:p w14:paraId="1723EF9F" w14:textId="77777777" w:rsidR="001D1369" w:rsidRDefault="001D1369" w:rsidP="006F63AA">
      <w:pPr>
        <w:rPr>
          <w:rFonts w:ascii="Arial" w:eastAsia="Calibri" w:hAnsi="Arial" w:cs="Arial"/>
          <w:bCs/>
          <w:color w:val="000000" w:themeColor="text1"/>
          <w:lang w:val="es-ES_tradnl"/>
        </w:rPr>
      </w:pPr>
    </w:p>
    <w:p w14:paraId="6AD47C60" w14:textId="77777777" w:rsidR="001D1369" w:rsidRDefault="001D1369" w:rsidP="006F63AA">
      <w:pPr>
        <w:rPr>
          <w:rFonts w:ascii="Arial" w:eastAsia="Calibri" w:hAnsi="Arial" w:cs="Arial"/>
          <w:bCs/>
          <w:color w:val="000000" w:themeColor="text1"/>
          <w:lang w:val="es-ES_tradnl"/>
        </w:rPr>
      </w:pPr>
    </w:p>
    <w:p w14:paraId="487AEAFF" w14:textId="77777777" w:rsidR="001D1369" w:rsidRDefault="001D1369" w:rsidP="006F63AA">
      <w:pPr>
        <w:rPr>
          <w:rFonts w:ascii="Arial" w:eastAsia="Calibri" w:hAnsi="Arial" w:cs="Arial"/>
          <w:bCs/>
          <w:color w:val="000000" w:themeColor="text1"/>
          <w:lang w:val="es-ES_tradnl"/>
        </w:rPr>
      </w:pPr>
    </w:p>
    <w:p w14:paraId="4E2765CD" w14:textId="77777777" w:rsidR="001D1369" w:rsidRDefault="001D1369" w:rsidP="006F63AA">
      <w:pPr>
        <w:rPr>
          <w:rFonts w:ascii="Arial" w:eastAsia="Calibri" w:hAnsi="Arial" w:cs="Arial"/>
          <w:bCs/>
          <w:color w:val="000000" w:themeColor="text1"/>
          <w:lang w:val="es-ES_tradnl"/>
        </w:rPr>
      </w:pPr>
    </w:p>
    <w:p w14:paraId="41EC8525" w14:textId="77777777" w:rsidR="001D1369" w:rsidRDefault="001D1369" w:rsidP="006F63AA">
      <w:pPr>
        <w:rPr>
          <w:rFonts w:ascii="Arial" w:eastAsia="Calibri" w:hAnsi="Arial" w:cs="Arial"/>
          <w:bCs/>
          <w:color w:val="000000" w:themeColor="text1"/>
          <w:lang w:val="es-ES_tradnl"/>
        </w:rPr>
      </w:pPr>
    </w:p>
    <w:p w14:paraId="4730FF42" w14:textId="77777777" w:rsidR="001D1369" w:rsidRDefault="001D1369" w:rsidP="006F63AA">
      <w:pPr>
        <w:rPr>
          <w:rFonts w:ascii="Arial" w:eastAsia="Calibri" w:hAnsi="Arial" w:cs="Arial"/>
          <w:bCs/>
          <w:color w:val="000000" w:themeColor="text1"/>
          <w:lang w:val="es-ES_tradnl"/>
        </w:rPr>
      </w:pPr>
    </w:p>
    <w:p w14:paraId="2817E27E" w14:textId="77777777" w:rsidR="001D1369" w:rsidRDefault="001D1369" w:rsidP="006F63AA">
      <w:pPr>
        <w:rPr>
          <w:rFonts w:ascii="Arial" w:eastAsia="Calibri" w:hAnsi="Arial" w:cs="Arial"/>
          <w:bCs/>
          <w:color w:val="000000" w:themeColor="text1"/>
          <w:lang w:val="es-ES_tradnl"/>
        </w:rPr>
      </w:pPr>
    </w:p>
    <w:p w14:paraId="63169B97" w14:textId="77777777" w:rsidR="001D1369" w:rsidRDefault="001D1369" w:rsidP="006F63AA">
      <w:pPr>
        <w:rPr>
          <w:rFonts w:ascii="Arial" w:eastAsia="Calibri" w:hAnsi="Arial" w:cs="Arial"/>
          <w:bCs/>
          <w:color w:val="000000" w:themeColor="text1"/>
          <w:lang w:val="es-ES_tradnl"/>
        </w:rPr>
      </w:pPr>
    </w:p>
    <w:p w14:paraId="5E18FA8A" w14:textId="77777777" w:rsidR="001D1369" w:rsidRDefault="001D1369" w:rsidP="006F63AA">
      <w:pPr>
        <w:rPr>
          <w:rFonts w:ascii="Arial" w:eastAsia="Calibri" w:hAnsi="Arial" w:cs="Arial"/>
          <w:bCs/>
          <w:color w:val="000000" w:themeColor="text1"/>
          <w:lang w:val="es-ES_tradnl"/>
        </w:rPr>
      </w:pPr>
    </w:p>
    <w:p w14:paraId="4C8C499B" w14:textId="77777777" w:rsidR="001D1369" w:rsidRDefault="001D1369" w:rsidP="006F63AA">
      <w:pPr>
        <w:rPr>
          <w:rFonts w:ascii="Arial" w:eastAsia="Calibri" w:hAnsi="Arial" w:cs="Arial"/>
          <w:bCs/>
          <w:color w:val="000000" w:themeColor="text1"/>
          <w:lang w:val="es-ES_tradnl"/>
        </w:rPr>
      </w:pPr>
    </w:p>
    <w:p w14:paraId="0CC814A0" w14:textId="77777777" w:rsidR="006F63AA" w:rsidRDefault="006F63AA" w:rsidP="006F63AA">
      <w:pPr>
        <w:rPr>
          <w:rFonts w:ascii="Arial" w:eastAsia="Calibri" w:hAnsi="Arial" w:cs="Arial"/>
          <w:bCs/>
          <w:color w:val="000000" w:themeColor="text1"/>
          <w:lang w:val="es-ES_tradnl"/>
        </w:rPr>
      </w:pPr>
    </w:p>
    <w:p w14:paraId="72CBEBFA" w14:textId="77777777" w:rsidR="006F63AA" w:rsidRDefault="006F63AA" w:rsidP="006F63AA">
      <w:pPr>
        <w:rPr>
          <w:rFonts w:ascii="Arial" w:eastAsia="Calibri" w:hAnsi="Arial" w:cs="Arial"/>
          <w:bCs/>
          <w:color w:val="000000" w:themeColor="text1"/>
          <w:lang w:val="es-ES_tradnl"/>
        </w:rPr>
      </w:pPr>
    </w:p>
    <w:p w14:paraId="780F9CB1" w14:textId="77777777" w:rsidR="0004436C" w:rsidRDefault="0004436C" w:rsidP="006F63AA">
      <w:pPr>
        <w:rPr>
          <w:rFonts w:ascii="Arial" w:eastAsia="Calibri" w:hAnsi="Arial" w:cs="Arial"/>
          <w:bCs/>
          <w:color w:val="000000" w:themeColor="text1"/>
          <w:lang w:val="es-ES_tradnl"/>
        </w:rPr>
      </w:pPr>
    </w:p>
    <w:p w14:paraId="0406F99D" w14:textId="77777777" w:rsidR="0004436C" w:rsidRDefault="0004436C" w:rsidP="006F63AA">
      <w:pPr>
        <w:rPr>
          <w:rFonts w:ascii="Arial" w:eastAsia="Calibri" w:hAnsi="Arial" w:cs="Arial"/>
          <w:bCs/>
          <w:color w:val="000000" w:themeColor="text1"/>
          <w:lang w:val="es-ES_tradnl"/>
        </w:rPr>
      </w:pPr>
    </w:p>
    <w:p w14:paraId="6CD835E8" w14:textId="77777777" w:rsidR="0004436C" w:rsidRDefault="0004436C" w:rsidP="006F63AA">
      <w:pPr>
        <w:rPr>
          <w:rFonts w:ascii="Arial" w:eastAsia="Calibri" w:hAnsi="Arial" w:cs="Arial"/>
          <w:bCs/>
          <w:color w:val="000000" w:themeColor="text1"/>
          <w:lang w:val="es-ES_tradnl"/>
        </w:rPr>
      </w:pPr>
    </w:p>
    <w:p w14:paraId="281EC07D" w14:textId="77777777" w:rsidR="0004436C" w:rsidRPr="009777C6" w:rsidRDefault="0004436C" w:rsidP="0004436C">
      <w:pPr>
        <w:spacing w:after="0"/>
        <w:rPr>
          <w:rFonts w:ascii="Arial" w:hAnsi="Arial" w:cs="Arial"/>
        </w:rPr>
      </w:pPr>
      <w:r w:rsidRPr="009777C6">
        <w:rPr>
          <w:rFonts w:ascii="Arial" w:hAnsi="Arial" w:cs="Arial"/>
        </w:rPr>
        <w:t>Bogotá D.C., [Día] de [Mes.NombreCapitalizado] de [Año]</w:t>
      </w:r>
      <w:r w:rsidRPr="009777C6">
        <w:rPr>
          <w:rFonts w:ascii="Arial" w:hAnsi="Arial" w:cs="Arial"/>
        </w:rPr>
        <w:tab/>
      </w:r>
    </w:p>
    <w:p w14:paraId="6BFCF7AC" w14:textId="77777777" w:rsidR="006F63AA" w:rsidRDefault="006F63AA" w:rsidP="003716F5">
      <w:pPr>
        <w:spacing w:after="0" w:line="240" w:lineRule="auto"/>
        <w:jc w:val="both"/>
        <w:rPr>
          <w:rFonts w:ascii="Arial" w:eastAsia="Calibri" w:hAnsi="Arial" w:cs="Arial"/>
          <w:bCs/>
          <w:color w:val="000000" w:themeColor="text1"/>
          <w:lang w:val="es-ES_tradnl"/>
        </w:rPr>
      </w:pPr>
    </w:p>
    <w:p w14:paraId="7231A9DE" w14:textId="77777777" w:rsidR="003716F5" w:rsidRPr="007C50A9" w:rsidRDefault="003716F5" w:rsidP="003716F5">
      <w:pPr>
        <w:spacing w:after="0" w:line="240" w:lineRule="auto"/>
        <w:jc w:val="both"/>
        <w:rPr>
          <w:rFonts w:ascii="Arial" w:eastAsia="Calibri" w:hAnsi="Arial" w:cs="Arial"/>
          <w:bCs/>
          <w:color w:val="000000" w:themeColor="text1"/>
          <w:lang w:val="es-ES_tradnl"/>
        </w:rPr>
      </w:pPr>
    </w:p>
    <w:p w14:paraId="0064287B" w14:textId="77777777" w:rsidR="003716F5" w:rsidRPr="003716F5" w:rsidRDefault="003716F5" w:rsidP="003716F5">
      <w:pPr>
        <w:spacing w:after="0" w:line="240" w:lineRule="auto"/>
        <w:rPr>
          <w:rFonts w:ascii="Arial" w:eastAsia="Calibri" w:hAnsi="Arial" w:cs="Arial"/>
          <w:color w:val="000000" w:themeColor="text1"/>
        </w:rPr>
      </w:pPr>
      <w:r w:rsidRPr="003716F5">
        <w:rPr>
          <w:rFonts w:ascii="Arial" w:eastAsia="Calibri" w:hAnsi="Arial" w:cs="Arial"/>
          <w:color w:val="000000" w:themeColor="text1"/>
        </w:rPr>
        <w:t>Señora</w:t>
      </w:r>
    </w:p>
    <w:p w14:paraId="1D719482" w14:textId="77777777" w:rsidR="003716F5" w:rsidRPr="003716F5" w:rsidRDefault="003716F5" w:rsidP="003716F5">
      <w:pPr>
        <w:spacing w:after="0" w:line="240" w:lineRule="auto"/>
        <w:rPr>
          <w:rFonts w:ascii="Arial" w:eastAsia="Calibri" w:hAnsi="Arial" w:cs="Arial"/>
          <w:b/>
          <w:bCs/>
          <w:color w:val="000000" w:themeColor="text1"/>
        </w:rPr>
      </w:pPr>
      <w:r w:rsidRPr="003716F5">
        <w:rPr>
          <w:rFonts w:ascii="Arial" w:eastAsia="Calibri" w:hAnsi="Arial" w:cs="Arial"/>
          <w:b/>
          <w:bCs/>
          <w:color w:val="000000" w:themeColor="text1"/>
        </w:rPr>
        <w:t>AMPARO SÁNCHEZ PERDOMO</w:t>
      </w:r>
    </w:p>
    <w:p w14:paraId="2DB26350" w14:textId="295AFDF2" w:rsidR="006F63AA" w:rsidRPr="007C50A9" w:rsidRDefault="003716F5" w:rsidP="003716F5">
      <w:pPr>
        <w:spacing w:after="0" w:line="240" w:lineRule="auto"/>
        <w:rPr>
          <w:rFonts w:ascii="Arial" w:eastAsia="Calibri" w:hAnsi="Arial" w:cs="Arial"/>
          <w:b/>
          <w:bCs/>
          <w:color w:val="000000" w:themeColor="text1"/>
        </w:rPr>
      </w:pPr>
      <w:r w:rsidRPr="003716F5">
        <w:rPr>
          <w:rFonts w:ascii="Arial" w:eastAsia="Calibri" w:hAnsi="Arial" w:cs="Arial"/>
          <w:color w:val="000000" w:themeColor="text1"/>
        </w:rPr>
        <w:t>juridica@itfip.edu.co</w:t>
      </w:r>
    </w:p>
    <w:p w14:paraId="439A5926" w14:textId="77777777" w:rsidR="003716F5" w:rsidRDefault="003716F5" w:rsidP="006F63AA">
      <w:pPr>
        <w:rPr>
          <w:rFonts w:ascii="Arial" w:eastAsia="Calibri" w:hAnsi="Arial" w:cs="Arial"/>
          <w:b/>
          <w:bCs/>
          <w:color w:val="000000" w:themeColor="text1"/>
        </w:rPr>
      </w:pPr>
    </w:p>
    <w:p w14:paraId="2F98B7CD" w14:textId="764EAEF1" w:rsidR="006F63AA" w:rsidRPr="007C50A9" w:rsidRDefault="006F63AA" w:rsidP="006F63AA">
      <w:pPr>
        <w:rPr>
          <w:rFonts w:ascii="Arial" w:eastAsia="Calibri" w:hAnsi="Arial" w:cs="Arial"/>
          <w:b/>
          <w:bCs/>
          <w:color w:val="000000" w:themeColor="text1"/>
          <w:lang w:val="pt-BR"/>
        </w:rPr>
      </w:pPr>
      <w:r w:rsidRPr="007C50A9">
        <w:rPr>
          <w:rFonts w:ascii="Arial" w:eastAsia="Calibri" w:hAnsi="Arial" w:cs="Arial"/>
          <w:b/>
          <w:bCs/>
          <w:color w:val="000000" w:themeColor="text1"/>
        </w:rPr>
        <w:t xml:space="preserve">                                            </w:t>
      </w:r>
      <w:r w:rsidRPr="007C50A9">
        <w:rPr>
          <w:rFonts w:ascii="Arial" w:eastAsia="Calibri" w:hAnsi="Arial" w:cs="Arial"/>
          <w:b/>
          <w:bCs/>
          <w:color w:val="000000" w:themeColor="text1"/>
          <w:lang w:val="pt-BR"/>
        </w:rPr>
        <w:t xml:space="preserve">Concepto C ‒ </w:t>
      </w:r>
      <w:r w:rsidR="0004436C">
        <w:rPr>
          <w:rFonts w:ascii="Arial" w:eastAsia="Calibri" w:hAnsi="Arial" w:cs="Arial"/>
          <w:b/>
          <w:bCs/>
          <w:color w:val="000000" w:themeColor="text1"/>
          <w:lang w:val="pt-BR"/>
        </w:rPr>
        <w:t>40</w:t>
      </w:r>
      <w:r w:rsidR="00B25F82">
        <w:rPr>
          <w:rFonts w:ascii="Arial" w:eastAsia="Calibri" w:hAnsi="Arial" w:cs="Arial"/>
          <w:b/>
          <w:bCs/>
          <w:color w:val="000000" w:themeColor="text1"/>
          <w:lang w:val="pt-BR"/>
        </w:rPr>
        <w:t>5</w:t>
      </w:r>
      <w:r w:rsidRPr="007C50A9">
        <w:rPr>
          <w:rFonts w:ascii="Arial" w:eastAsia="Calibri" w:hAnsi="Arial" w:cs="Arial"/>
          <w:b/>
          <w:bCs/>
          <w:color w:val="000000" w:themeColor="text1"/>
          <w:lang w:val="pt-BR"/>
        </w:rPr>
        <w:t xml:space="preserve"> 202</w:t>
      </w:r>
      <w:r>
        <w:rPr>
          <w:rFonts w:ascii="Arial" w:eastAsia="Calibri" w:hAnsi="Arial" w:cs="Arial"/>
          <w:b/>
          <w:bCs/>
          <w:color w:val="000000" w:themeColor="text1"/>
          <w:lang w:val="pt-BR"/>
        </w:rPr>
        <w:t>3</w:t>
      </w:r>
    </w:p>
    <w:p w14:paraId="10CFEEBF" w14:textId="77777777" w:rsidR="006F63AA" w:rsidRPr="007C50A9" w:rsidRDefault="006F63AA" w:rsidP="006F63AA">
      <w:pPr>
        <w:rPr>
          <w:rFonts w:ascii="Arial" w:eastAsia="Calibri" w:hAnsi="Arial" w:cs="Arial"/>
          <w:b/>
          <w:bCs/>
          <w:color w:val="000000" w:themeColor="text1"/>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63AA" w:rsidRPr="007C50A9" w14:paraId="2BF42B6F" w14:textId="77777777" w:rsidTr="00B802FF">
        <w:tc>
          <w:tcPr>
            <w:tcW w:w="2689" w:type="dxa"/>
          </w:tcPr>
          <w:p w14:paraId="1406BC81" w14:textId="77777777" w:rsidR="006F63AA" w:rsidRPr="007C50A9" w:rsidRDefault="006F63AA" w:rsidP="00B802FF">
            <w:pPr>
              <w:jc w:val="both"/>
              <w:rPr>
                <w:rFonts w:ascii="Arial" w:eastAsia="Calibri" w:hAnsi="Arial" w:cs="Arial"/>
                <w:color w:val="000000" w:themeColor="text1"/>
                <w:lang w:val="es-ES_tradnl"/>
              </w:rPr>
            </w:pPr>
            <w:r w:rsidRPr="007C50A9">
              <w:rPr>
                <w:rFonts w:ascii="Arial" w:eastAsia="Calibri" w:hAnsi="Arial" w:cs="Arial"/>
                <w:b/>
                <w:color w:val="000000" w:themeColor="text1"/>
                <w:lang w:val="es-ES_tradnl"/>
              </w:rPr>
              <w:t>Temas:</w:t>
            </w:r>
            <w:r w:rsidRPr="007C50A9">
              <w:rPr>
                <w:rFonts w:ascii="Arial" w:eastAsia="Calibri" w:hAnsi="Arial" w:cs="Arial"/>
                <w:color w:val="000000" w:themeColor="text1"/>
                <w:lang w:val="es-ES_tradnl"/>
              </w:rPr>
              <w:t xml:space="preserve">                   </w:t>
            </w:r>
          </w:p>
        </w:tc>
        <w:tc>
          <w:tcPr>
            <w:tcW w:w="6237" w:type="dxa"/>
          </w:tcPr>
          <w:p w14:paraId="617A4D4B" w14:textId="333E0D02" w:rsidR="006F63AA" w:rsidRPr="007C50A9" w:rsidRDefault="001D1369" w:rsidP="00B802FF">
            <w:pPr>
              <w:jc w:val="both"/>
              <w:rPr>
                <w:rFonts w:ascii="Arial" w:eastAsia="Calibri" w:hAnsi="Arial" w:cs="Arial"/>
                <w:bCs/>
                <w:color w:val="000000" w:themeColor="text1"/>
                <w:lang w:val="es-ES"/>
              </w:rPr>
            </w:pPr>
            <w:r w:rsidRPr="001D1369">
              <w:rPr>
                <w:rFonts w:ascii="Arial" w:eastAsia="Calibri" w:hAnsi="Arial" w:cs="Arial"/>
                <w:lang w:val="es-MX"/>
              </w:rPr>
              <w:t>INHABILIDADES – Definición – Finalidad – Limitación capacidad contractual / CONTRATACIÓN ESTATAL – Capacidad – Validez contratos – Régimen de contratación – Inscripción – Limitación de la capacidad / INHABILIDADES – Taxatividad – Principio de legalidad – Interpretación restrictiva</w:t>
            </w:r>
            <w:r w:rsidR="001D2124">
              <w:rPr>
                <w:rFonts w:ascii="Arial" w:eastAsia="Calibri" w:hAnsi="Arial" w:cs="Arial"/>
                <w:lang w:val="es-MX"/>
              </w:rPr>
              <w:t xml:space="preserve"> Artículos 127 y 219 Constitución política y artículo 38 de la Ley 995 de 2005</w:t>
            </w:r>
          </w:p>
        </w:tc>
      </w:tr>
      <w:tr w:rsidR="006F63AA" w:rsidRPr="007C50A9" w14:paraId="5C73160A" w14:textId="77777777" w:rsidTr="00B802FF">
        <w:tc>
          <w:tcPr>
            <w:tcW w:w="2689" w:type="dxa"/>
          </w:tcPr>
          <w:p w14:paraId="2324CFE1" w14:textId="77777777" w:rsidR="00995244" w:rsidRDefault="00995244" w:rsidP="00B802FF">
            <w:pPr>
              <w:spacing w:before="120"/>
              <w:jc w:val="both"/>
              <w:rPr>
                <w:rFonts w:ascii="Arial" w:eastAsia="Calibri" w:hAnsi="Arial" w:cs="Arial"/>
                <w:b/>
                <w:color w:val="000000" w:themeColor="text1"/>
                <w:lang w:val="es-ES_tradnl"/>
              </w:rPr>
            </w:pPr>
          </w:p>
          <w:p w14:paraId="51331E76" w14:textId="4C30C3C7" w:rsidR="006F63AA" w:rsidRPr="007C50A9" w:rsidRDefault="006F63AA" w:rsidP="00B802FF">
            <w:pPr>
              <w:spacing w:before="12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Radicación:</w:t>
            </w:r>
            <w:r w:rsidRPr="007C50A9">
              <w:rPr>
                <w:rFonts w:ascii="Arial" w:eastAsia="Calibri" w:hAnsi="Arial" w:cs="Arial"/>
                <w:color w:val="000000" w:themeColor="text1"/>
                <w:lang w:val="es-ES_tradnl"/>
              </w:rPr>
              <w:t xml:space="preserve">               </w:t>
            </w:r>
          </w:p>
        </w:tc>
        <w:tc>
          <w:tcPr>
            <w:tcW w:w="6237" w:type="dxa"/>
          </w:tcPr>
          <w:p w14:paraId="6117DC28" w14:textId="77777777" w:rsidR="00093619" w:rsidRDefault="00093619" w:rsidP="00B802FF">
            <w:pPr>
              <w:spacing w:before="120"/>
              <w:jc w:val="both"/>
              <w:rPr>
                <w:rFonts w:eastAsia="Calibri"/>
                <w:color w:val="000000" w:themeColor="text1"/>
                <w:lang w:val="es-ES_tradnl"/>
              </w:rPr>
            </w:pPr>
          </w:p>
          <w:p w14:paraId="3124663E" w14:textId="578DA830" w:rsidR="006F63AA" w:rsidRPr="007C50A9" w:rsidRDefault="006F63AA" w:rsidP="00B802FF">
            <w:pPr>
              <w:spacing w:before="120"/>
              <w:jc w:val="both"/>
              <w:rPr>
                <w:rFonts w:ascii="Arial" w:eastAsia="Calibri" w:hAnsi="Arial" w:cs="Arial"/>
                <w:color w:val="000000" w:themeColor="text1"/>
                <w:lang w:val="es-ES_tradnl"/>
              </w:rPr>
            </w:pPr>
            <w:r w:rsidRPr="007C50A9">
              <w:rPr>
                <w:rFonts w:ascii="Arial" w:eastAsia="Calibri" w:hAnsi="Arial" w:cs="Arial"/>
                <w:color w:val="000000" w:themeColor="text1"/>
                <w:lang w:val="es-ES_tradnl"/>
              </w:rPr>
              <w:t xml:space="preserve">Respuesta a consulta </w:t>
            </w:r>
            <w:r w:rsidR="003716F5" w:rsidRPr="003716F5">
              <w:rPr>
                <w:rFonts w:ascii="Arial" w:eastAsia="Calibri" w:hAnsi="Arial" w:cs="Arial"/>
                <w:color w:val="000000" w:themeColor="text1"/>
                <w:lang w:val="es-ES_tradnl"/>
              </w:rPr>
              <w:t>P20230927015480</w:t>
            </w:r>
            <w:r w:rsidR="005314EB">
              <w:rPr>
                <w:rFonts w:ascii="Arial" w:eastAsia="Calibri" w:hAnsi="Arial" w:cs="Arial"/>
                <w:color w:val="000000" w:themeColor="text1"/>
                <w:lang w:val="es-ES_tradnl"/>
              </w:rPr>
              <w:t>.</w:t>
            </w:r>
          </w:p>
        </w:tc>
      </w:tr>
    </w:tbl>
    <w:p w14:paraId="46215C58" w14:textId="77777777" w:rsidR="006F63AA" w:rsidRPr="007C50A9" w:rsidRDefault="006F63AA" w:rsidP="006F63AA">
      <w:pPr>
        <w:jc w:val="both"/>
        <w:rPr>
          <w:rFonts w:ascii="Arial" w:eastAsia="Calibri" w:hAnsi="Arial" w:cs="Arial"/>
          <w:color w:val="000000" w:themeColor="text1"/>
        </w:rPr>
      </w:pPr>
    </w:p>
    <w:p w14:paraId="5C45D624" w14:textId="0D1A5A77" w:rsidR="006F63AA" w:rsidRPr="00504597" w:rsidRDefault="006F63AA" w:rsidP="006F63AA">
      <w:pPr>
        <w:spacing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r w:rsidRPr="00E87A11">
        <w:rPr>
          <w:rFonts w:ascii="Arial MT" w:eastAsia="Arial MT" w:hAnsi="Arial MT" w:cs="Arial MT"/>
          <w:lang w:val="es-ES"/>
        </w:rPr>
        <w:t xml:space="preserve">, </w:t>
      </w:r>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sidR="003716F5">
        <w:rPr>
          <w:rFonts w:ascii="Arial" w:eastAsia="Calibri" w:hAnsi="Arial" w:cs="Arial"/>
          <w:color w:val="000000" w:themeColor="text1"/>
          <w:lang w:val="es-ES_tradnl"/>
        </w:rPr>
        <w:t>27</w:t>
      </w:r>
      <w:r>
        <w:rPr>
          <w:rFonts w:ascii="Arial" w:eastAsia="Calibri" w:hAnsi="Arial" w:cs="Arial"/>
          <w:color w:val="000000" w:themeColor="text1"/>
          <w:lang w:val="es-ES_tradnl"/>
        </w:rPr>
        <w:t xml:space="preserve"> de </w:t>
      </w:r>
      <w:r w:rsidR="003716F5">
        <w:rPr>
          <w:rFonts w:ascii="Arial" w:eastAsia="Calibri" w:hAnsi="Arial" w:cs="Arial"/>
          <w:color w:val="000000" w:themeColor="text1"/>
          <w:lang w:val="es-ES_tradnl"/>
        </w:rPr>
        <w:t>septiembre</w:t>
      </w:r>
      <w:r>
        <w:rPr>
          <w:rFonts w:ascii="Arial" w:eastAsia="Calibri" w:hAnsi="Arial" w:cs="Arial"/>
          <w:color w:val="000000" w:themeColor="text1"/>
          <w:lang w:val="es-ES_tradnl"/>
        </w:rPr>
        <w:t xml:space="preserve"> de 2023</w:t>
      </w:r>
      <w:r w:rsidRPr="00504597">
        <w:rPr>
          <w:rFonts w:ascii="Arial" w:eastAsia="Calibri" w:hAnsi="Arial" w:cs="Arial"/>
          <w:color w:val="000000" w:themeColor="text1"/>
          <w:lang w:val="es-ES_tradnl"/>
        </w:rPr>
        <w:t>.</w:t>
      </w:r>
    </w:p>
    <w:p w14:paraId="7E351677" w14:textId="77777777" w:rsidR="006F63AA" w:rsidRPr="00504597" w:rsidRDefault="006F63AA" w:rsidP="006F63AA">
      <w:pPr>
        <w:pStyle w:val="Prrafodelista"/>
        <w:numPr>
          <w:ilvl w:val="0"/>
          <w:numId w:val="16"/>
        </w:numPr>
        <w:tabs>
          <w:tab w:val="left" w:pos="0"/>
          <w:tab w:val="left" w:pos="142"/>
          <w:tab w:val="left" w:pos="284"/>
        </w:tabs>
        <w:spacing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w:t>
      </w:r>
      <w:r>
        <w:rPr>
          <w:rFonts w:ascii="Arial" w:eastAsia="Calibri" w:hAnsi="Arial" w:cs="Arial"/>
          <w:b/>
          <w:color w:val="000000" w:themeColor="text1"/>
          <w:lang w:val="es-ES_tradnl"/>
        </w:rPr>
        <w:t>blema planteado</w:t>
      </w:r>
    </w:p>
    <w:p w14:paraId="55ABC8F1" w14:textId="32F2ED02" w:rsidR="006F63AA" w:rsidRDefault="006F63AA" w:rsidP="006F63AA">
      <w:pPr>
        <w:spacing w:line="276" w:lineRule="auto"/>
        <w:jc w:val="both"/>
        <w:rPr>
          <w:rFonts w:ascii="Arial" w:hAnsi="Arial" w:cs="Arial"/>
          <w:color w:val="000000" w:themeColor="text1"/>
          <w:lang w:val="es-ES"/>
        </w:rPr>
      </w:pPr>
      <w:r w:rsidRPr="594FA205">
        <w:rPr>
          <w:rFonts w:ascii="Arial" w:hAnsi="Arial" w:cs="Arial"/>
          <w:color w:val="000000" w:themeColor="text1"/>
          <w:lang w:val="es-ES"/>
        </w:rPr>
        <w:t xml:space="preserve">En su petición realiza </w:t>
      </w:r>
      <w:r w:rsidR="00DC4D52">
        <w:rPr>
          <w:rFonts w:ascii="Arial" w:hAnsi="Arial" w:cs="Arial"/>
          <w:color w:val="000000" w:themeColor="text1"/>
          <w:lang w:val="es-ES"/>
        </w:rPr>
        <w:t>las siguientes preguntas relacionadas</w:t>
      </w:r>
      <w:r w:rsidR="005314EB">
        <w:rPr>
          <w:rFonts w:ascii="Arial" w:hAnsi="Arial" w:cs="Arial"/>
          <w:color w:val="000000" w:themeColor="text1"/>
          <w:lang w:val="es-ES"/>
        </w:rPr>
        <w:t xml:space="preserve"> con </w:t>
      </w:r>
      <w:r w:rsidR="003716F5">
        <w:rPr>
          <w:rFonts w:ascii="Arial" w:hAnsi="Arial" w:cs="Arial"/>
          <w:color w:val="000000" w:themeColor="text1"/>
          <w:lang w:val="es-ES"/>
        </w:rPr>
        <w:t>inhabilidades e incompatibilidades</w:t>
      </w:r>
      <w:r w:rsidR="00DA4F2D">
        <w:rPr>
          <w:rFonts w:ascii="Arial" w:hAnsi="Arial" w:cs="Arial"/>
          <w:color w:val="000000" w:themeColor="text1"/>
          <w:lang w:val="es-ES"/>
        </w:rPr>
        <w:t>:</w:t>
      </w:r>
    </w:p>
    <w:p w14:paraId="0F92EBBB" w14:textId="77777777" w:rsidR="003716F5" w:rsidRDefault="003716F5" w:rsidP="003716F5">
      <w:pPr>
        <w:spacing w:after="0" w:line="240" w:lineRule="auto"/>
        <w:ind w:left="851" w:right="1041"/>
        <w:jc w:val="both"/>
        <w:rPr>
          <w:rFonts w:ascii="Arial" w:hAnsi="Arial" w:cs="Arial"/>
          <w:color w:val="000000" w:themeColor="text1"/>
          <w:lang w:val="es-ES"/>
        </w:rPr>
      </w:pPr>
    </w:p>
    <w:p w14:paraId="0B1A871D" w14:textId="42242ADA" w:rsidR="003716F5" w:rsidRPr="003716F5" w:rsidRDefault="003716F5" w:rsidP="003716F5">
      <w:pPr>
        <w:spacing w:after="0" w:line="240" w:lineRule="auto"/>
        <w:ind w:left="851" w:right="1041"/>
        <w:jc w:val="both"/>
        <w:rPr>
          <w:rFonts w:ascii="Arial" w:hAnsi="Arial" w:cs="Arial"/>
          <w:i/>
          <w:iCs/>
          <w:color w:val="000000" w:themeColor="text1"/>
          <w:lang w:val="es-ES"/>
        </w:rPr>
      </w:pPr>
      <w:r>
        <w:rPr>
          <w:rFonts w:ascii="Arial" w:hAnsi="Arial" w:cs="Arial"/>
          <w:i/>
          <w:iCs/>
          <w:color w:val="000000" w:themeColor="text1"/>
          <w:lang w:val="es-ES"/>
        </w:rPr>
        <w:t xml:space="preserve">“… </w:t>
      </w:r>
      <w:r w:rsidRPr="003716F5">
        <w:rPr>
          <w:rFonts w:ascii="Arial" w:hAnsi="Arial" w:cs="Arial"/>
          <w:i/>
          <w:iCs/>
          <w:color w:val="000000" w:themeColor="text1"/>
          <w:lang w:val="es-ES"/>
        </w:rPr>
        <w:t>¿Pueden los contratistas de la entidad y contratistas del Estado intervenir en participación política o efectuar proselitismo electoral?</w:t>
      </w:r>
      <w:r>
        <w:rPr>
          <w:rFonts w:ascii="Arial" w:hAnsi="Arial" w:cs="Arial"/>
          <w:i/>
          <w:iCs/>
          <w:color w:val="000000" w:themeColor="text1"/>
          <w:lang w:val="es-ES"/>
        </w:rPr>
        <w:t xml:space="preserve"> ”</w:t>
      </w:r>
    </w:p>
    <w:p w14:paraId="108FBB69" w14:textId="77777777" w:rsidR="003716F5" w:rsidRDefault="003716F5" w:rsidP="003716F5">
      <w:pPr>
        <w:spacing w:after="0" w:line="240" w:lineRule="auto"/>
        <w:ind w:left="851" w:right="1041"/>
        <w:jc w:val="both"/>
        <w:rPr>
          <w:rFonts w:ascii="Arial" w:hAnsi="Arial" w:cs="Arial"/>
          <w:color w:val="000000" w:themeColor="text1"/>
          <w:lang w:val="es-ES"/>
        </w:rPr>
      </w:pPr>
    </w:p>
    <w:p w14:paraId="1EC4E9DF" w14:textId="77777777" w:rsidR="006F63AA" w:rsidRPr="007C50A9" w:rsidRDefault="006F63AA" w:rsidP="006F63AA">
      <w:pPr>
        <w:pStyle w:val="Prrafodelista"/>
        <w:numPr>
          <w:ilvl w:val="0"/>
          <w:numId w:val="16"/>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Consideraciones</w:t>
      </w:r>
    </w:p>
    <w:p w14:paraId="13133EFB" w14:textId="77777777" w:rsidR="0062342E" w:rsidRDefault="0062342E" w:rsidP="00B41E68">
      <w:pPr>
        <w:pStyle w:val="paragraph"/>
        <w:spacing w:before="0" w:beforeAutospacing="0" w:after="0" w:afterAutospacing="0"/>
        <w:jc w:val="both"/>
        <w:textAlignment w:val="baseline"/>
        <w:rPr>
          <w:rStyle w:val="normaltextrun"/>
          <w:rFonts w:ascii="Arial" w:hAnsi="Arial" w:cs="Arial"/>
          <w:sz w:val="22"/>
          <w:szCs w:val="22"/>
        </w:rPr>
      </w:pPr>
    </w:p>
    <w:p w14:paraId="452A7B26" w14:textId="06840DD4" w:rsidR="00B41E68" w:rsidRDefault="00B41E68" w:rsidP="00B41E6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Pr>
          <w:rStyle w:val="normaltextrun"/>
          <w:rFonts w:ascii="Arial" w:hAnsi="Arial" w:cs="Arial"/>
          <w:sz w:val="22"/>
          <w:szCs w:val="22"/>
          <w:lang w:val="es-ES"/>
        </w:rPr>
        <w:t>citados. Es necesario tener en cuenta que esta entidad solo tiene competencia para</w:t>
      </w:r>
      <w:r w:rsidR="006F63AA">
        <w:rPr>
          <w:rStyle w:val="normaltextrun"/>
          <w:rFonts w:ascii="Arial" w:eastAsia="Calibri" w:hAnsi="Arial" w:cs="Arial"/>
          <w:sz w:val="22"/>
          <w:szCs w:val="22"/>
          <w:lang w:val="es-ES"/>
        </w:rPr>
        <w:t xml:space="preserve"> responder </w:t>
      </w:r>
      <w:r>
        <w:rPr>
          <w:rStyle w:val="normaltextrun"/>
          <w:rFonts w:ascii="Arial" w:hAnsi="Arial" w:cs="Arial"/>
          <w:sz w:val="22"/>
          <w:szCs w:val="22"/>
          <w:lang w:val="es-ES"/>
        </w:rPr>
        <w:t xml:space="preserve">solicitudes sobre la aplicación de normas de carácter general en materia de compras y contratación pública. En ese sentido, resolver casos particulares desborda las atribuciones </w:t>
      </w:r>
      <w:r>
        <w:rPr>
          <w:rStyle w:val="normaltextrun"/>
          <w:rFonts w:ascii="Arial" w:hAnsi="Arial" w:cs="Arial"/>
          <w:sz w:val="22"/>
          <w:szCs w:val="22"/>
          <w:lang w:val="es-ES"/>
        </w:rPr>
        <w:lastRenderedPageBreak/>
        <w:t>asignadas por el legislador extraordinario, que no concibió a Colombia Compra Eficiente como una autoridad para solucionar problemas jurídicos particulares</w:t>
      </w:r>
      <w:r>
        <w:rPr>
          <w:rStyle w:val="normaltextrun"/>
          <w:rFonts w:ascii="Arial" w:hAnsi="Arial" w:cs="Arial"/>
          <w:sz w:val="22"/>
          <w:szCs w:val="22"/>
        </w:rPr>
        <w:t xml:space="preserve"> de todos los partícipes de la contratación estatal.</w:t>
      </w:r>
      <w:r>
        <w:rPr>
          <w:rStyle w:val="eop"/>
          <w:rFonts w:ascii="Arial" w:hAnsi="Arial" w:cs="Arial"/>
          <w:sz w:val="22"/>
          <w:szCs w:val="22"/>
        </w:rPr>
        <w:t> </w:t>
      </w:r>
    </w:p>
    <w:p w14:paraId="246E81F2" w14:textId="77777777" w:rsidR="00B025A2" w:rsidRDefault="00B025A2" w:rsidP="00B41E68">
      <w:pPr>
        <w:pStyle w:val="paragraph"/>
        <w:spacing w:before="0" w:beforeAutospacing="0" w:after="0" w:afterAutospacing="0"/>
        <w:jc w:val="both"/>
        <w:textAlignment w:val="baseline"/>
        <w:rPr>
          <w:rFonts w:ascii="Segoe UI" w:hAnsi="Segoe UI" w:cs="Segoe UI"/>
          <w:sz w:val="18"/>
          <w:szCs w:val="18"/>
        </w:rPr>
      </w:pPr>
    </w:p>
    <w:p w14:paraId="09C32AEA" w14:textId="08E41853" w:rsidR="00B41E68" w:rsidRDefault="00B41E68" w:rsidP="00B41E68">
      <w:pPr>
        <w:pStyle w:val="paragraph"/>
        <w:spacing w:before="0" w:beforeAutospacing="0" w:after="0" w:afterAutospacing="0"/>
        <w:ind w:firstLine="705"/>
        <w:jc w:val="both"/>
        <w:textAlignment w:val="baseline"/>
        <w:rPr>
          <w:rStyle w:val="eop"/>
          <w:rFonts w:ascii="Arial" w:hAnsi="Arial" w:cs="Arial"/>
          <w:sz w:val="22"/>
          <w:szCs w:val="22"/>
        </w:rPr>
      </w:pPr>
      <w:r>
        <w:rPr>
          <w:rStyle w:val="normaltextrun"/>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Pr>
          <w:rStyle w:val="superscript"/>
          <w:rFonts w:ascii="Arial" w:hAnsi="Arial" w:cs="Arial"/>
          <w:sz w:val="17"/>
          <w:szCs w:val="17"/>
          <w:vertAlign w:val="superscript"/>
          <w:lang w:val="es-ES"/>
        </w:rPr>
        <w:t>1</w:t>
      </w:r>
      <w:r>
        <w:rPr>
          <w:rStyle w:val="normaltextrun"/>
          <w:rFonts w:ascii="Arial" w:hAnsi="Arial" w:cs="Arial"/>
          <w:sz w:val="22"/>
          <w:szCs w:val="22"/>
          <w:lang w:val="es-ES"/>
        </w:rPr>
        <w:t xml:space="preserve">. Esta competencia de interpretación de normas generales, por definición, no puede extenderse a la resolución de controversias ni brindar asesorías sobre casos puntuales. Por lo anterior, previo concepto de </w:t>
      </w:r>
      <w:r w:rsidR="006F63AA">
        <w:rPr>
          <w:rStyle w:val="normaltextrun"/>
          <w:rFonts w:ascii="Arial" w:eastAsia="Calibri" w:hAnsi="Arial" w:cs="Arial"/>
          <w:sz w:val="22"/>
          <w:szCs w:val="22"/>
          <w:lang w:val="es-ES"/>
        </w:rPr>
        <w:t xml:space="preserve">sus </w:t>
      </w:r>
      <w:r>
        <w:rPr>
          <w:rStyle w:val="normaltextrun"/>
          <w:rFonts w:ascii="Arial" w:hAnsi="Arial" w:cs="Arial"/>
          <w:sz w:val="22"/>
          <w:szCs w:val="22"/>
          <w:lang w:val="es-ES"/>
        </w:rPr>
        <w:t xml:space="preserve">órganos asesores, la solución de estos temas corresponde a la entidad </w:t>
      </w:r>
      <w:r w:rsidR="00017E5B">
        <w:rPr>
          <w:rStyle w:val="normaltextrun"/>
          <w:rFonts w:ascii="Arial" w:hAnsi="Arial" w:cs="Arial"/>
          <w:sz w:val="22"/>
          <w:szCs w:val="22"/>
          <w:lang w:val="es-ES"/>
        </w:rPr>
        <w:t>a</w:t>
      </w:r>
      <w:r>
        <w:rPr>
          <w:rStyle w:val="normaltextrun"/>
          <w:rFonts w:ascii="Arial" w:hAnsi="Arial" w:cs="Arial"/>
          <w:sz w:val="22"/>
          <w:szCs w:val="22"/>
          <w:lang w:val="es-ES"/>
        </w:rPr>
        <w:t xml:space="preserv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r>
        <w:rPr>
          <w:rStyle w:val="eop"/>
          <w:rFonts w:ascii="Arial" w:hAnsi="Arial" w:cs="Arial"/>
          <w:sz w:val="22"/>
          <w:szCs w:val="22"/>
        </w:rPr>
        <w:t> </w:t>
      </w:r>
    </w:p>
    <w:p w14:paraId="3E581044" w14:textId="77777777" w:rsidR="00B025A2" w:rsidRDefault="00B025A2" w:rsidP="00B41E68">
      <w:pPr>
        <w:pStyle w:val="paragraph"/>
        <w:spacing w:before="0" w:beforeAutospacing="0" w:after="0" w:afterAutospacing="0"/>
        <w:ind w:firstLine="705"/>
        <w:jc w:val="both"/>
        <w:textAlignment w:val="baseline"/>
        <w:rPr>
          <w:rFonts w:ascii="Segoe UI" w:hAnsi="Segoe UI" w:cs="Segoe UI"/>
          <w:sz w:val="18"/>
          <w:szCs w:val="18"/>
        </w:rPr>
      </w:pPr>
    </w:p>
    <w:p w14:paraId="2C17E503" w14:textId="6EC9024E" w:rsidR="001D1369" w:rsidRDefault="00B41E68" w:rsidP="001D1369">
      <w:pPr>
        <w:pStyle w:val="paragraph"/>
        <w:spacing w:before="0" w:beforeAutospacing="0" w:after="0" w:afterAutospacing="0"/>
        <w:ind w:firstLine="705"/>
        <w:jc w:val="both"/>
        <w:textAlignment w:val="baseline"/>
        <w:rPr>
          <w:rFonts w:ascii="Arial" w:hAnsi="Arial" w:cs="Arial"/>
          <w:color w:val="000000" w:themeColor="text1"/>
          <w:sz w:val="22"/>
          <w:szCs w:val="22"/>
          <w:lang w:val="es-ES"/>
        </w:rPr>
      </w:pPr>
      <w:r>
        <w:rPr>
          <w:rStyle w:val="normaltextrun"/>
          <w:rFonts w:ascii="Arial" w:hAnsi="Arial" w:cs="Arial"/>
          <w:sz w:val="22"/>
          <w:szCs w:val="22"/>
        </w:rPr>
        <w:t xml:space="preserve">Sin perjuicio de lo anterior, la Subdirección –dentro de los límites de sus atribuciones, esto es, haciendo abstracción del caso expuesto por el peticionario– resolverá la consulta conforme a las normas generales en </w:t>
      </w:r>
      <w:r w:rsidRPr="001D1369">
        <w:rPr>
          <w:rStyle w:val="normaltextrun"/>
          <w:rFonts w:ascii="Arial" w:hAnsi="Arial" w:cs="Arial"/>
          <w:sz w:val="22"/>
          <w:szCs w:val="22"/>
        </w:rPr>
        <w:t>materia de contratación estatal. Con este objetivo se abordarán</w:t>
      </w:r>
      <w:r w:rsidR="006F63AA" w:rsidRPr="001D1369">
        <w:rPr>
          <w:rStyle w:val="normaltextrun"/>
          <w:rFonts w:ascii="Arial" w:eastAsia="Calibri" w:hAnsi="Arial" w:cs="Arial"/>
          <w:sz w:val="22"/>
          <w:szCs w:val="22"/>
        </w:rPr>
        <w:t xml:space="preserve"> </w:t>
      </w:r>
      <w:r w:rsidR="006F63AA" w:rsidRPr="001D1369">
        <w:rPr>
          <w:rStyle w:val="normaltextrun"/>
          <w:rFonts w:ascii="Arial" w:eastAsia="Calibri" w:hAnsi="Arial" w:cs="Arial"/>
          <w:sz w:val="22"/>
          <w:szCs w:val="22"/>
          <w:lang w:val="es-ES"/>
        </w:rPr>
        <w:t>los siguientes temas</w:t>
      </w:r>
      <w:r w:rsidR="006F63AA" w:rsidRPr="001D1369">
        <w:rPr>
          <w:rStyle w:val="normaltextrun"/>
          <w:rFonts w:ascii="Arial" w:hAnsi="Arial" w:cs="Arial"/>
          <w:color w:val="000000"/>
          <w:sz w:val="22"/>
          <w:szCs w:val="22"/>
          <w:lang w:val="es-ES"/>
        </w:rPr>
        <w:t xml:space="preserve">: </w:t>
      </w:r>
      <w:r w:rsidR="006F63AA" w:rsidRPr="001D1369">
        <w:rPr>
          <w:rFonts w:ascii="Arial" w:hAnsi="Arial" w:cs="Arial"/>
          <w:color w:val="000000" w:themeColor="text1"/>
          <w:sz w:val="22"/>
          <w:szCs w:val="22"/>
          <w:lang w:val="es-ES"/>
        </w:rPr>
        <w:t xml:space="preserve"> </w:t>
      </w:r>
      <w:r w:rsidR="001D1369" w:rsidRPr="001D1369">
        <w:rPr>
          <w:rFonts w:ascii="Arial" w:hAnsi="Arial" w:cs="Arial"/>
          <w:color w:val="000000" w:themeColor="text1"/>
          <w:sz w:val="22"/>
          <w:szCs w:val="22"/>
          <w:lang w:val="es-ES"/>
        </w:rPr>
        <w:t xml:space="preserve">i) régimen de inhabilidades e incompatibilidades para contratar con el Estado y ii) </w:t>
      </w:r>
      <w:r w:rsidR="00E1619A" w:rsidRPr="00E1619A">
        <w:rPr>
          <w:rFonts w:ascii="Arial" w:hAnsi="Arial" w:cs="Arial"/>
          <w:color w:val="000000" w:themeColor="text1"/>
          <w:sz w:val="22"/>
          <w:szCs w:val="22"/>
          <w:lang w:val="es-ES"/>
        </w:rPr>
        <w:t>Prohibiciones para los servidores públicos y contratistas</w:t>
      </w:r>
      <w:r w:rsidR="001D1369" w:rsidRPr="001D1369">
        <w:rPr>
          <w:rFonts w:ascii="Arial" w:hAnsi="Arial" w:cs="Arial"/>
          <w:color w:val="000000" w:themeColor="text1"/>
          <w:sz w:val="22"/>
          <w:szCs w:val="22"/>
          <w:lang w:val="es-ES"/>
        </w:rPr>
        <w:t xml:space="preserve">. </w:t>
      </w:r>
    </w:p>
    <w:p w14:paraId="040FFCEF" w14:textId="77777777" w:rsidR="001D1369" w:rsidRDefault="001D1369" w:rsidP="001D1369">
      <w:pPr>
        <w:pStyle w:val="paragraph"/>
        <w:spacing w:before="0" w:beforeAutospacing="0" w:after="0" w:afterAutospacing="0"/>
        <w:ind w:firstLine="705"/>
        <w:jc w:val="both"/>
        <w:textAlignment w:val="baseline"/>
        <w:rPr>
          <w:rFonts w:ascii="Arial" w:hAnsi="Arial" w:cs="Arial"/>
          <w:color w:val="000000" w:themeColor="text1"/>
          <w:sz w:val="22"/>
          <w:szCs w:val="22"/>
          <w:lang w:val="es-ES"/>
        </w:rPr>
      </w:pPr>
    </w:p>
    <w:p w14:paraId="45A8EB5F" w14:textId="77777777" w:rsidR="001D1369" w:rsidRDefault="001D1369" w:rsidP="001D1369">
      <w:pPr>
        <w:spacing w:before="120" w:after="0" w:line="276" w:lineRule="auto"/>
        <w:ind w:firstLine="709"/>
        <w:jc w:val="both"/>
        <w:rPr>
          <w:rFonts w:ascii="Arial" w:eastAsia="Calibri" w:hAnsi="Arial" w:cs="Arial"/>
          <w:color w:val="000000" w:themeColor="text1"/>
          <w:lang w:val="es-ES_tradnl"/>
        </w:rPr>
      </w:pPr>
      <w:r w:rsidRPr="001D1369">
        <w:rPr>
          <w:rFonts w:ascii="Arial" w:eastAsia="Calibri" w:hAnsi="Arial" w:cs="Arial"/>
          <w:color w:val="000000" w:themeColor="text1"/>
          <w:lang w:val="es-ES"/>
        </w:rPr>
        <w:t xml:space="preserve">La Agencia Nacional de Contratación Pública – Colombia Compra Eficiente, en los Conceptos </w:t>
      </w:r>
      <w:r w:rsidRPr="001D1369">
        <w:rPr>
          <w:rFonts w:ascii="Arial" w:eastAsia="Calibri" w:hAnsi="Arial" w:cs="Arial"/>
          <w:color w:val="000000" w:themeColor="text1"/>
          <w:lang w:val="es-MX"/>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1D1369">
        <w:rPr>
          <w:rFonts w:ascii="Arial" w:eastAsia="Calibri" w:hAnsi="Arial"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1D1369">
        <w:rPr>
          <w:rFonts w:ascii="Arial" w:eastAsia="Calibri" w:hAnsi="Arial" w:cs="Arial"/>
          <w:color w:val="000000" w:themeColor="text1"/>
          <w:lang w:val="es-ES"/>
        </w:rPr>
        <w:t xml:space="preserve">C-028 del 28 de febrero de 2022, C-318 del 18 de mayo de 2022, C-252 del 30 de mayo de 2022 </w:t>
      </w:r>
      <w:r>
        <w:rPr>
          <w:rFonts w:ascii="Arial" w:eastAsia="Calibri" w:hAnsi="Arial" w:cs="Arial"/>
          <w:color w:val="000000" w:themeColor="text1"/>
          <w:lang w:val="es-ES"/>
        </w:rPr>
        <w:t xml:space="preserve">, </w:t>
      </w:r>
      <w:r w:rsidRPr="001D1369">
        <w:rPr>
          <w:rFonts w:ascii="Arial" w:eastAsia="Calibri" w:hAnsi="Arial" w:cs="Arial"/>
          <w:color w:val="000000" w:themeColor="text1"/>
          <w:lang w:val="es-ES"/>
        </w:rPr>
        <w:t>C-175 del 4 de mayo de 2023</w:t>
      </w:r>
      <w:r>
        <w:rPr>
          <w:rFonts w:ascii="Arial" w:eastAsia="Calibri" w:hAnsi="Arial" w:cs="Arial"/>
          <w:color w:val="000000" w:themeColor="text1"/>
          <w:lang w:val="es-ES"/>
        </w:rPr>
        <w:t xml:space="preserve"> y C-234 del 05 de julio de 2023 </w:t>
      </w:r>
      <w:r w:rsidRPr="001D1369">
        <w:rPr>
          <w:rFonts w:ascii="Arial" w:eastAsia="Calibri" w:hAnsi="Arial" w:cs="Arial"/>
          <w:color w:val="000000" w:themeColor="text1"/>
          <w:lang w:val="es-ES"/>
        </w:rPr>
        <w:t>analizó los contornos generales del régimen de inhabilidades e incompatibilidades en la contratación estatal</w:t>
      </w:r>
      <w:r w:rsidRPr="001D1369">
        <w:rPr>
          <w:rStyle w:val="Refdenotaalpie"/>
          <w:rFonts w:ascii="Arial" w:eastAsia="Calibri" w:hAnsi="Arial" w:cs="Arial"/>
        </w:rPr>
        <w:footnoteReference w:id="2"/>
      </w:r>
      <w:r w:rsidRPr="001D1369">
        <w:rPr>
          <w:rFonts w:ascii="Arial" w:eastAsia="Calibri" w:hAnsi="Arial" w:cs="Arial"/>
          <w:color w:val="000000" w:themeColor="text1"/>
          <w:lang w:val="es-ES"/>
        </w:rPr>
        <w:t xml:space="preserve">. </w:t>
      </w:r>
      <w:r w:rsidRPr="001D1369">
        <w:rPr>
          <w:rFonts w:ascii="Arial" w:eastAsia="Calibri" w:hAnsi="Arial" w:cs="Arial"/>
          <w:color w:val="000000" w:themeColor="text1"/>
          <w:lang w:val="es-ES_tradnl"/>
        </w:rPr>
        <w:t>La tesis propuesta en estos conceptos se reitera a continuación.</w:t>
      </w:r>
    </w:p>
    <w:p w14:paraId="5DFD5667" w14:textId="5AE8A2C1" w:rsidR="00AE0A11" w:rsidRDefault="001D1369" w:rsidP="00AE0A11">
      <w:pPr>
        <w:spacing w:before="120" w:after="0" w:line="276" w:lineRule="auto"/>
        <w:ind w:firstLine="709"/>
        <w:jc w:val="both"/>
        <w:rPr>
          <w:rFonts w:ascii="Arial" w:hAnsi="Arial" w:cs="Arial"/>
        </w:rPr>
      </w:pPr>
      <w:r w:rsidRPr="001D1369">
        <w:rPr>
          <w:rFonts w:ascii="Arial" w:hAnsi="Arial" w:cs="Arial"/>
        </w:rPr>
        <w:lastRenderedPageBreak/>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D724792" w14:textId="77777777" w:rsidR="00AE0A11" w:rsidRPr="00AE0A11" w:rsidRDefault="00AE0A11" w:rsidP="00AE0A11">
      <w:pPr>
        <w:spacing w:before="120" w:after="0" w:line="276" w:lineRule="auto"/>
        <w:ind w:firstLine="709"/>
        <w:jc w:val="both"/>
        <w:rPr>
          <w:rFonts w:ascii="Arial" w:hAnsi="Arial" w:cs="Arial"/>
        </w:rPr>
      </w:pPr>
    </w:p>
    <w:p w14:paraId="286F5A54" w14:textId="77777777" w:rsidR="001D1369" w:rsidRPr="001D1369" w:rsidRDefault="001D1369" w:rsidP="001D1369">
      <w:pPr>
        <w:spacing w:line="276" w:lineRule="auto"/>
        <w:ind w:firstLine="709"/>
        <w:jc w:val="both"/>
        <w:rPr>
          <w:rFonts w:ascii="Arial" w:hAnsi="Arial" w:cs="Arial"/>
        </w:rPr>
      </w:pPr>
      <w:r w:rsidRPr="001D1369">
        <w:rPr>
          <w:rFonts w:ascii="Arial" w:hAnsi="Arial" w:cs="Arial"/>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1D1369">
        <w:rPr>
          <w:rStyle w:val="Refdenotaalpie"/>
          <w:rFonts w:ascii="Arial" w:hAnsi="Arial" w:cs="Arial"/>
        </w:rPr>
        <w:footnoteReference w:id="3"/>
      </w:r>
      <w:r w:rsidRPr="001D1369">
        <w:rPr>
          <w:rFonts w:ascii="Arial" w:hAnsi="Arial" w:cs="Arial"/>
        </w:rPr>
        <w:t>.</w:t>
      </w:r>
    </w:p>
    <w:p w14:paraId="52E91D55" w14:textId="77777777" w:rsidR="001D1369" w:rsidRPr="001D1369" w:rsidRDefault="001D1369" w:rsidP="001D1369">
      <w:pPr>
        <w:pStyle w:val="Sinespaciado"/>
        <w:spacing w:before="120" w:line="276" w:lineRule="auto"/>
        <w:ind w:firstLine="709"/>
        <w:jc w:val="both"/>
        <w:rPr>
          <w:rFonts w:ascii="Arial" w:hAnsi="Arial" w:cs="Arial"/>
          <w:sz w:val="22"/>
        </w:rPr>
      </w:pPr>
      <w:r w:rsidRPr="001D1369">
        <w:rPr>
          <w:rFonts w:ascii="Arial" w:hAnsi="Arial"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54173765" w14:textId="77777777" w:rsidR="001D1369" w:rsidRPr="001D1369" w:rsidRDefault="001D1369" w:rsidP="001D1369">
      <w:pPr>
        <w:pStyle w:val="Sinespaciado"/>
        <w:spacing w:line="276" w:lineRule="auto"/>
        <w:jc w:val="both"/>
        <w:rPr>
          <w:rFonts w:ascii="Arial" w:hAnsi="Arial" w:cs="Arial"/>
          <w:sz w:val="22"/>
        </w:rPr>
      </w:pPr>
    </w:p>
    <w:p w14:paraId="19B4FEA7" w14:textId="77777777" w:rsidR="001D1369" w:rsidRDefault="001D1369" w:rsidP="001D1369">
      <w:pPr>
        <w:pStyle w:val="NormalWeb"/>
        <w:shd w:val="clear" w:color="auto" w:fill="FFFFFF"/>
        <w:spacing w:before="0" w:beforeAutospacing="0" w:after="0" w:afterAutospacing="0"/>
        <w:ind w:left="709" w:right="709"/>
        <w:jc w:val="both"/>
        <w:rPr>
          <w:rFonts w:ascii="Arial" w:eastAsiaTheme="minorHAnsi" w:hAnsi="Arial" w:cs="Arial"/>
          <w:sz w:val="22"/>
          <w:szCs w:val="22"/>
          <w:lang w:val="es-ES" w:eastAsia="en-US"/>
        </w:rPr>
      </w:pPr>
      <w:r w:rsidRPr="001D1369">
        <w:rPr>
          <w:rFonts w:ascii="Arial" w:eastAsiaTheme="minorHAnsi" w:hAnsi="Arial" w:cs="Arial"/>
          <w:sz w:val="22"/>
          <w:szCs w:val="22"/>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D17F8C6" w14:textId="77777777" w:rsidR="001D1369" w:rsidRPr="001D1369" w:rsidRDefault="001D1369" w:rsidP="001D1369">
      <w:pPr>
        <w:pStyle w:val="NormalWeb"/>
        <w:shd w:val="clear" w:color="auto" w:fill="FFFFFF"/>
        <w:spacing w:before="0" w:beforeAutospacing="0" w:after="0" w:afterAutospacing="0"/>
        <w:ind w:left="709" w:right="709"/>
        <w:jc w:val="both"/>
        <w:rPr>
          <w:rFonts w:ascii="Arial" w:eastAsiaTheme="minorHAnsi" w:hAnsi="Arial" w:cs="Arial"/>
          <w:sz w:val="22"/>
          <w:szCs w:val="22"/>
          <w:lang w:val="es-ES" w:eastAsia="en-US"/>
        </w:rPr>
      </w:pPr>
    </w:p>
    <w:p w14:paraId="4F9A01CB" w14:textId="77777777" w:rsidR="001D1369" w:rsidRPr="001D1369" w:rsidRDefault="001D1369" w:rsidP="001D1369">
      <w:pPr>
        <w:pStyle w:val="NormalWeb"/>
        <w:shd w:val="clear" w:color="auto" w:fill="FFFFFF"/>
        <w:spacing w:before="0" w:beforeAutospacing="0" w:after="0" w:afterAutospacing="0"/>
        <w:ind w:left="709" w:right="709"/>
        <w:jc w:val="both"/>
        <w:rPr>
          <w:rFonts w:ascii="Arial" w:eastAsiaTheme="minorHAnsi" w:hAnsi="Arial" w:cs="Arial"/>
          <w:sz w:val="22"/>
          <w:szCs w:val="22"/>
          <w:lang w:val="es-ES" w:eastAsia="en-US"/>
        </w:rPr>
      </w:pPr>
      <w:r w:rsidRPr="001D1369">
        <w:rPr>
          <w:rFonts w:ascii="Arial" w:eastAsiaTheme="minorHAnsi" w:hAnsi="Arial" w:cs="Arial"/>
          <w:sz w:val="22"/>
          <w:szCs w:val="22"/>
          <w:lang w:val="es-ES" w:eastAsia="en-U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w:t>
      </w:r>
      <w:r w:rsidRPr="001D1369">
        <w:rPr>
          <w:rFonts w:ascii="Arial" w:eastAsiaTheme="minorHAnsi" w:hAnsi="Arial" w:cs="Arial"/>
          <w:sz w:val="22"/>
          <w:szCs w:val="22"/>
          <w:lang w:val="es-ES" w:eastAsia="en-US"/>
        </w:rPr>
        <w:lastRenderedPageBreak/>
        <w:t>legal prevalente, esto es que puede ser impuesta sobre el derecho individual a contratar con el Estado”</w:t>
      </w:r>
      <w:r w:rsidRPr="001D1369">
        <w:rPr>
          <w:rStyle w:val="Refdenotaalpie"/>
          <w:rFonts w:ascii="Arial" w:eastAsiaTheme="minorHAnsi" w:hAnsi="Arial" w:cs="Arial"/>
          <w:sz w:val="22"/>
          <w:szCs w:val="22"/>
          <w:lang w:val="es-ES" w:eastAsia="en-US"/>
        </w:rPr>
        <w:footnoteReference w:id="4"/>
      </w:r>
      <w:r w:rsidRPr="001D1369">
        <w:rPr>
          <w:rFonts w:ascii="Arial" w:eastAsiaTheme="minorHAnsi" w:hAnsi="Arial" w:cs="Arial"/>
          <w:sz w:val="22"/>
          <w:szCs w:val="22"/>
          <w:lang w:val="es-ES" w:eastAsia="en-US"/>
        </w:rPr>
        <w:t>.</w:t>
      </w:r>
    </w:p>
    <w:p w14:paraId="62439A44" w14:textId="77777777" w:rsidR="001D1369" w:rsidRPr="001D1369" w:rsidRDefault="001D1369" w:rsidP="001D1369">
      <w:pPr>
        <w:pStyle w:val="NormalWeb"/>
        <w:shd w:val="clear" w:color="auto" w:fill="FFFFFF"/>
        <w:spacing w:before="0" w:beforeAutospacing="0" w:after="0" w:afterAutospacing="0" w:line="276" w:lineRule="auto"/>
        <w:ind w:left="709" w:right="709"/>
        <w:jc w:val="both"/>
        <w:rPr>
          <w:rFonts w:ascii="Arial" w:eastAsiaTheme="minorHAnsi" w:hAnsi="Arial" w:cs="Arial"/>
          <w:sz w:val="22"/>
          <w:szCs w:val="22"/>
          <w:lang w:val="es-ES" w:eastAsia="en-US"/>
        </w:rPr>
      </w:pPr>
    </w:p>
    <w:p w14:paraId="56821485" w14:textId="77777777" w:rsidR="001D1369" w:rsidRPr="001D1369" w:rsidRDefault="001D1369" w:rsidP="001D1369">
      <w:pPr>
        <w:pStyle w:val="Sinespaciado"/>
        <w:spacing w:line="276" w:lineRule="auto"/>
        <w:ind w:firstLine="709"/>
        <w:jc w:val="both"/>
        <w:rPr>
          <w:rFonts w:ascii="Arial" w:hAnsi="Arial" w:cs="Arial"/>
          <w:sz w:val="22"/>
        </w:rPr>
      </w:pPr>
      <w:r w:rsidRPr="001D1369">
        <w:rPr>
          <w:rFonts w:ascii="Arial" w:hAnsi="Arial"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575A08C8" w14:textId="77777777" w:rsidR="001D1369" w:rsidRPr="001D1369" w:rsidRDefault="001D1369" w:rsidP="001D1369">
      <w:pPr>
        <w:pStyle w:val="Sinespaciado"/>
        <w:spacing w:line="276" w:lineRule="auto"/>
        <w:ind w:firstLine="709"/>
        <w:jc w:val="both"/>
        <w:rPr>
          <w:rFonts w:ascii="Arial" w:hAnsi="Arial" w:cs="Arial"/>
          <w:sz w:val="22"/>
        </w:rPr>
      </w:pPr>
    </w:p>
    <w:p w14:paraId="340FD206" w14:textId="77777777" w:rsidR="001D1369" w:rsidRPr="001D1369" w:rsidRDefault="001D1369" w:rsidP="001D1369">
      <w:pPr>
        <w:spacing w:line="240" w:lineRule="auto"/>
        <w:ind w:left="709" w:right="709"/>
        <w:jc w:val="both"/>
        <w:rPr>
          <w:rFonts w:ascii="Arial" w:hAnsi="Arial" w:cs="Arial"/>
        </w:rPr>
      </w:pPr>
      <w:r w:rsidRPr="001D1369">
        <w:rPr>
          <w:rFonts w:ascii="Arial" w:hAnsi="Arial" w:cs="Arial"/>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5DF90333" w14:textId="77777777" w:rsidR="001D1369" w:rsidRPr="001D1369" w:rsidRDefault="001D1369" w:rsidP="001D1369">
      <w:pPr>
        <w:spacing w:after="0" w:line="240" w:lineRule="auto"/>
        <w:ind w:left="709" w:right="709"/>
        <w:jc w:val="both"/>
        <w:rPr>
          <w:rFonts w:ascii="Arial" w:hAnsi="Arial" w:cs="Arial"/>
        </w:rPr>
      </w:pPr>
      <w:r w:rsidRPr="001D1369">
        <w:rPr>
          <w:rFonts w:ascii="Arial" w:hAnsi="Arial" w:cs="Arial"/>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1D1369">
        <w:rPr>
          <w:rStyle w:val="Refdenotaalpie"/>
          <w:rFonts w:ascii="Arial" w:hAnsi="Arial" w:cs="Arial"/>
        </w:rPr>
        <w:footnoteReference w:id="5"/>
      </w:r>
      <w:r w:rsidRPr="001D1369">
        <w:rPr>
          <w:rFonts w:ascii="Arial" w:hAnsi="Arial" w:cs="Arial"/>
        </w:rPr>
        <w:t>.</w:t>
      </w:r>
    </w:p>
    <w:p w14:paraId="34FC9F42" w14:textId="77777777" w:rsidR="001D1369" w:rsidRPr="001D1369" w:rsidRDefault="001D1369" w:rsidP="001D1369">
      <w:pPr>
        <w:spacing w:after="0" w:line="276" w:lineRule="auto"/>
        <w:ind w:right="709"/>
        <w:jc w:val="both"/>
        <w:rPr>
          <w:rFonts w:ascii="Arial" w:hAnsi="Arial" w:cs="Arial"/>
        </w:rPr>
      </w:pPr>
    </w:p>
    <w:p w14:paraId="5A7677BF" w14:textId="77777777" w:rsidR="001D1369" w:rsidRPr="001D1369" w:rsidRDefault="001D1369" w:rsidP="001D1369">
      <w:pPr>
        <w:spacing w:after="0" w:line="276" w:lineRule="auto"/>
        <w:ind w:firstLine="709"/>
        <w:jc w:val="both"/>
        <w:rPr>
          <w:rFonts w:ascii="Arial" w:hAnsi="Arial" w:cs="Arial"/>
        </w:rPr>
      </w:pPr>
      <w:r w:rsidRPr="001D1369">
        <w:rPr>
          <w:rFonts w:ascii="Arial" w:hAnsi="Arial"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0DDCD340" w14:textId="77777777" w:rsidR="001D1369" w:rsidRPr="001D1369" w:rsidRDefault="001D1369" w:rsidP="001D1369">
      <w:pPr>
        <w:pStyle w:val="Sinespaciado"/>
        <w:tabs>
          <w:tab w:val="left" w:pos="1532"/>
        </w:tabs>
        <w:spacing w:line="276" w:lineRule="auto"/>
        <w:jc w:val="both"/>
        <w:rPr>
          <w:rFonts w:ascii="Arial" w:hAnsi="Arial" w:cs="Arial"/>
          <w:sz w:val="22"/>
        </w:rPr>
      </w:pPr>
    </w:p>
    <w:p w14:paraId="6BA0F133" w14:textId="77777777" w:rsidR="001D1369" w:rsidRPr="001D1369" w:rsidRDefault="001D1369" w:rsidP="001D1369">
      <w:pPr>
        <w:spacing w:after="0" w:line="240" w:lineRule="auto"/>
        <w:ind w:left="709" w:right="709"/>
        <w:jc w:val="both"/>
        <w:rPr>
          <w:rFonts w:ascii="Arial" w:hAnsi="Arial" w:cs="Arial"/>
        </w:rPr>
      </w:pPr>
      <w:r w:rsidRPr="001D1369">
        <w:rPr>
          <w:rFonts w:ascii="Arial" w:hAnsi="Arial" w:cs="Arial"/>
        </w:rPr>
        <w:t xml:space="preserve">“Las limitaciones y restricciones que se contienen en el citado estatuto, predicables de la relación Estado-particulares y que afectan los diversos momentos de formación, celebración y ejecución de los contratos estatales, </w:t>
      </w:r>
      <w:r w:rsidRPr="001D1369">
        <w:rPr>
          <w:rFonts w:ascii="Arial" w:hAnsi="Arial" w:cs="Arial"/>
        </w:rPr>
        <w:lastRenderedPageBreak/>
        <w:t>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1D1369">
        <w:rPr>
          <w:rFonts w:ascii="Arial" w:hAnsi="Arial" w:cs="Arial"/>
          <w:i/>
          <w:iCs/>
        </w:rPr>
        <w:t>pro libertate</w:t>
      </w:r>
      <w:r w:rsidRPr="001D1369">
        <w:rPr>
          <w:rFonts w:ascii="Arial" w:hAnsi="Arial" w:cs="Arial"/>
        </w:rPr>
        <w:t xml:space="preserve">, sino el de legalidad, el que ordena que la función pública debe someterse estrictamente a lo que disponga la Constitución y la ley (CP art. 6). </w:t>
      </w:r>
    </w:p>
    <w:p w14:paraId="18521F26" w14:textId="77777777" w:rsidR="001D1369" w:rsidRPr="001D1369" w:rsidRDefault="001D1369" w:rsidP="001D1369">
      <w:pPr>
        <w:spacing w:after="120" w:line="240" w:lineRule="auto"/>
        <w:ind w:left="709" w:right="709"/>
        <w:jc w:val="both"/>
        <w:rPr>
          <w:rFonts w:ascii="Arial" w:hAnsi="Arial" w:cs="Arial"/>
        </w:rPr>
      </w:pPr>
      <w:r w:rsidRPr="001D1369">
        <w:rPr>
          <w:rFonts w:ascii="Arial" w:hAnsi="Arial" w:cs="Arial"/>
        </w:rPr>
        <w:t xml:space="preserve">[…] </w:t>
      </w:r>
    </w:p>
    <w:p w14:paraId="2181C4C1" w14:textId="77777777" w:rsidR="001D1369" w:rsidRPr="001D1369" w:rsidRDefault="001D1369" w:rsidP="001D1369">
      <w:pPr>
        <w:spacing w:after="0" w:line="240" w:lineRule="auto"/>
        <w:ind w:left="709" w:right="709"/>
        <w:jc w:val="both"/>
        <w:rPr>
          <w:rFonts w:ascii="Arial" w:hAnsi="Arial" w:cs="Arial"/>
        </w:rPr>
      </w:pPr>
      <w:r w:rsidRPr="001D1369">
        <w:rPr>
          <w:rFonts w:ascii="Arial" w:hAnsi="Arial" w:cs="Arial"/>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1D1369">
        <w:rPr>
          <w:rStyle w:val="Refdenotaalpie"/>
          <w:rFonts w:ascii="Arial" w:hAnsi="Arial" w:cs="Arial"/>
        </w:rPr>
        <w:footnoteReference w:id="6"/>
      </w:r>
      <w:r w:rsidRPr="001D1369">
        <w:rPr>
          <w:rFonts w:ascii="Arial" w:hAnsi="Arial" w:cs="Arial"/>
        </w:rPr>
        <w:t>.</w:t>
      </w:r>
    </w:p>
    <w:p w14:paraId="0A65F2B0" w14:textId="77777777" w:rsidR="001D1369" w:rsidRPr="001D1369" w:rsidRDefault="001D1369" w:rsidP="001D1369">
      <w:pPr>
        <w:spacing w:after="0" w:line="276" w:lineRule="auto"/>
        <w:ind w:left="709" w:right="709"/>
        <w:jc w:val="both"/>
        <w:rPr>
          <w:rFonts w:ascii="Arial" w:hAnsi="Arial" w:cs="Arial"/>
        </w:rPr>
      </w:pPr>
    </w:p>
    <w:p w14:paraId="041C03DC" w14:textId="77777777" w:rsidR="001D1369" w:rsidRPr="001D1369" w:rsidRDefault="001D1369" w:rsidP="001D1369">
      <w:pPr>
        <w:spacing w:after="0" w:line="276" w:lineRule="auto"/>
        <w:ind w:firstLine="709"/>
        <w:jc w:val="both"/>
        <w:rPr>
          <w:rFonts w:ascii="Arial" w:hAnsi="Arial" w:cs="Arial"/>
        </w:rPr>
      </w:pPr>
      <w:r w:rsidRPr="001D1369">
        <w:rPr>
          <w:rFonts w:ascii="Arial" w:hAnsi="Arial" w:cs="Arial"/>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1D1369">
        <w:rPr>
          <w:rStyle w:val="Refdenotaalpie"/>
          <w:rFonts w:ascii="Arial" w:hAnsi="Arial" w:cs="Arial"/>
        </w:rPr>
        <w:footnoteReference w:id="7"/>
      </w:r>
      <w:r w:rsidRPr="001D1369">
        <w:rPr>
          <w:rFonts w:ascii="Arial" w:hAnsi="Arial" w:cs="Arial"/>
        </w:rPr>
        <w:t>.</w:t>
      </w:r>
    </w:p>
    <w:p w14:paraId="41CCD20F" w14:textId="77777777" w:rsidR="001D1369" w:rsidRPr="001D1369" w:rsidRDefault="001D1369" w:rsidP="001D1369">
      <w:pPr>
        <w:spacing w:before="120" w:after="120" w:line="276" w:lineRule="auto"/>
        <w:ind w:firstLine="709"/>
        <w:jc w:val="both"/>
        <w:rPr>
          <w:rFonts w:ascii="Arial" w:hAnsi="Arial" w:cs="Arial"/>
        </w:rPr>
      </w:pPr>
      <w:r w:rsidRPr="001D1369">
        <w:rPr>
          <w:rFonts w:ascii="Arial" w:hAnsi="Arial" w:cs="Arial"/>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3" w:name="_Hlk40976328"/>
      <w:r w:rsidRPr="001D1369">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3"/>
    </w:p>
    <w:p w14:paraId="69A359B2" w14:textId="77777777" w:rsidR="001D1369" w:rsidRPr="001D1369" w:rsidRDefault="001D1369" w:rsidP="001D1369">
      <w:pPr>
        <w:spacing w:after="120" w:line="276" w:lineRule="auto"/>
        <w:ind w:firstLine="708"/>
        <w:jc w:val="both"/>
        <w:rPr>
          <w:rFonts w:ascii="Arial" w:eastAsia="Calibri" w:hAnsi="Arial" w:cs="Arial"/>
          <w:lang w:val="es-ES_tradnl"/>
        </w:rPr>
      </w:pPr>
      <w:r w:rsidRPr="001D1369">
        <w:rPr>
          <w:rFonts w:ascii="Arial" w:eastAsia="Calibri" w:hAnsi="Arial" w:cs="Arial"/>
          <w:i/>
          <w:iCs/>
          <w:lang w:val="es-ES_tradnl"/>
        </w:rPr>
        <w:t>Igualmente</w:t>
      </w:r>
      <w:r w:rsidRPr="001D1369">
        <w:rPr>
          <w:rFonts w:ascii="Arial" w:eastAsia="Calibri" w:hAnsi="Arial" w:cs="Arial"/>
          <w:lang w:val="es-ES_tradnl"/>
        </w:rPr>
        <w:t xml:space="preserve">, </w:t>
      </w:r>
      <w:bookmarkStart w:id="4" w:name="_Hlk135133412"/>
      <w:r w:rsidRPr="001D1369">
        <w:rPr>
          <w:rFonts w:ascii="Arial" w:eastAsia="Calibri" w:hAnsi="Arial" w:cs="Arial"/>
          <w:lang w:val="es-ES_tradnl"/>
        </w:rPr>
        <w:t xml:space="preserve">en la contratación estatal, la </w:t>
      </w:r>
      <w:r w:rsidRPr="001D1369">
        <w:rPr>
          <w:rFonts w:ascii="Arial" w:eastAsia="Calibri" w:hAnsi="Arial" w:cs="Arial"/>
          <w:i/>
          <w:iCs/>
          <w:lang w:val="es-ES_tradnl"/>
        </w:rPr>
        <w:t>capacidad</w:t>
      </w:r>
      <w:r w:rsidRPr="001D1369">
        <w:rPr>
          <w:rFonts w:ascii="Arial" w:eastAsia="Calibri" w:hAnsi="Arial" w:cs="Arial"/>
          <w:lang w:val="es-ES_tradnl"/>
        </w:rPr>
        <w:t xml:space="preserve"> también es un requisito de validez de los contratos, tanto en el régimen de las entidades sujetas al Estatuto General de Contratación de la Administración Pública como en el de las entidades exceptuadas de </w:t>
      </w:r>
      <w:r w:rsidRPr="001D1369">
        <w:rPr>
          <w:rFonts w:ascii="Arial" w:eastAsia="Calibri" w:hAnsi="Arial" w:cs="Arial"/>
          <w:lang w:val="es-ES_tradnl"/>
        </w:rPr>
        <w:lastRenderedPageBreak/>
        <w:t>aquel</w:t>
      </w:r>
      <w:r w:rsidRPr="001D1369">
        <w:rPr>
          <w:rStyle w:val="Refdenotaalpie"/>
          <w:rFonts w:ascii="Arial" w:eastAsia="Calibri" w:hAnsi="Arial" w:cs="Arial"/>
          <w:lang w:val="es-ES_tradnl"/>
        </w:rPr>
        <w:footnoteReference w:id="8"/>
      </w:r>
      <w:r w:rsidRPr="001D1369">
        <w:rPr>
          <w:rFonts w:ascii="Arial" w:eastAsia="Calibri" w:hAnsi="Arial"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1D1369">
        <w:rPr>
          <w:rStyle w:val="Refdenotaalpie"/>
          <w:rFonts w:ascii="Arial" w:eastAsia="Calibri" w:hAnsi="Arial" w:cs="Arial"/>
          <w:lang w:val="es-ES_tradnl"/>
        </w:rPr>
        <w:footnoteReference w:id="9"/>
      </w:r>
      <w:r w:rsidRPr="001D1369">
        <w:rPr>
          <w:rFonts w:ascii="Arial" w:eastAsia="Calibri" w:hAnsi="Arial"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1D1369">
        <w:rPr>
          <w:rStyle w:val="Refdenotaalpie"/>
          <w:rFonts w:ascii="Arial" w:eastAsia="Calibri" w:hAnsi="Arial" w:cs="Arial"/>
          <w:lang w:val="es-ES_tradnl"/>
        </w:rPr>
        <w:footnoteReference w:id="10"/>
      </w:r>
      <w:r w:rsidRPr="001D1369">
        <w:rPr>
          <w:rFonts w:ascii="Arial" w:eastAsia="Calibri" w:hAnsi="Arial" w:cs="Arial"/>
          <w:lang w:val="es-ES_tradnl"/>
        </w:rPr>
        <w:t>.</w:t>
      </w:r>
    </w:p>
    <w:p w14:paraId="3AB4F01C" w14:textId="77777777" w:rsidR="001D1369" w:rsidRPr="001D1369" w:rsidRDefault="001D1369" w:rsidP="001D1369">
      <w:pPr>
        <w:spacing w:after="120" w:line="276" w:lineRule="auto"/>
        <w:ind w:firstLine="709"/>
        <w:jc w:val="both"/>
        <w:rPr>
          <w:rFonts w:ascii="Arial" w:eastAsia="Calibri" w:hAnsi="Arial" w:cs="Arial"/>
          <w:lang w:val="es-ES_tradnl"/>
        </w:rPr>
      </w:pPr>
      <w:r w:rsidRPr="001D1369">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w:t>
      </w:r>
      <w:r w:rsidRPr="001D1369">
        <w:rPr>
          <w:rStyle w:val="Refdenotaalpie"/>
          <w:rFonts w:ascii="Arial" w:eastAsia="Calibri" w:hAnsi="Arial" w:cs="Arial"/>
          <w:lang w:val="es-ES_tradnl"/>
        </w:rPr>
        <w:footnoteReference w:id="11"/>
      </w:r>
      <w:r w:rsidRPr="001D1369">
        <w:rPr>
          <w:rFonts w:ascii="Arial" w:eastAsia="Calibri" w:hAnsi="Arial" w:cs="Arial"/>
          <w:lang w:val="es-ES_tradnl"/>
        </w:rPr>
        <w:t xml:space="preserve">.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w:t>
      </w:r>
      <w:r w:rsidRPr="001D1369">
        <w:rPr>
          <w:rFonts w:ascii="Arial" w:eastAsia="Calibri" w:hAnsi="Arial" w:cs="Arial"/>
          <w:lang w:val="es-ES_tradnl"/>
        </w:rPr>
        <w:lastRenderedPageBreak/>
        <w:t>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sidRPr="001D1369">
        <w:rPr>
          <w:rStyle w:val="Refdenotaalpie"/>
          <w:rFonts w:ascii="Arial" w:eastAsia="Calibri" w:hAnsi="Arial" w:cs="Arial"/>
          <w:lang w:val="es-ES_tradnl"/>
        </w:rPr>
        <w:footnoteReference w:id="12"/>
      </w:r>
      <w:r w:rsidRPr="001D1369">
        <w:rPr>
          <w:rFonts w:ascii="Arial" w:eastAsia="Calibri" w:hAnsi="Arial" w:cs="Arial"/>
          <w:lang w:val="es-ES_tradnl"/>
        </w:rPr>
        <w:t>.</w:t>
      </w:r>
    </w:p>
    <w:bookmarkEnd w:id="4"/>
    <w:p w14:paraId="4A6C31F8" w14:textId="77777777" w:rsidR="001D1369" w:rsidRPr="001D1369" w:rsidRDefault="001D1369" w:rsidP="001D1369">
      <w:pPr>
        <w:spacing w:before="120" w:after="120" w:line="276" w:lineRule="auto"/>
        <w:ind w:firstLine="709"/>
        <w:jc w:val="both"/>
        <w:rPr>
          <w:rFonts w:ascii="Arial" w:eastAsia="Calibri" w:hAnsi="Arial" w:cs="Arial"/>
          <w:lang w:val="es-ES_tradnl"/>
        </w:rPr>
      </w:pPr>
      <w:r w:rsidRPr="001D1369">
        <w:rPr>
          <w:rFonts w:ascii="Arial" w:eastAsia="Calibri" w:hAnsi="Arial" w:cs="Arial"/>
          <w:lang w:val="es-ES_tradnl"/>
        </w:rPr>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“neopunitiva”</w:t>
      </w:r>
      <w:r w:rsidRPr="001D1369">
        <w:rPr>
          <w:rStyle w:val="Refdenotaalpie"/>
          <w:rFonts w:ascii="Arial" w:eastAsia="Calibri" w:hAnsi="Arial" w:cs="Arial"/>
          <w:lang w:val="es-ES_tradnl"/>
        </w:rPr>
        <w:footnoteReference w:id="13"/>
      </w:r>
      <w:r w:rsidRPr="001D1369">
        <w:rPr>
          <w:rFonts w:ascii="Arial" w:eastAsia="Calibri" w:hAnsi="Arial"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33C5E218" w14:textId="77777777" w:rsidR="001D1369" w:rsidRPr="001D1369" w:rsidRDefault="001D1369" w:rsidP="001D1369">
      <w:pPr>
        <w:spacing w:before="120" w:after="120" w:line="276" w:lineRule="auto"/>
        <w:ind w:firstLine="709"/>
        <w:jc w:val="both"/>
        <w:rPr>
          <w:rFonts w:ascii="Arial" w:eastAsia="Calibri" w:hAnsi="Arial" w:cs="Arial"/>
          <w:lang w:val="es-ES_tradnl"/>
        </w:rPr>
      </w:pPr>
      <w:r w:rsidRPr="001D1369">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1D1369">
        <w:rPr>
          <w:rFonts w:ascii="Arial" w:eastAsia="Calibri" w:hAnsi="Arial" w:cs="Arial"/>
          <w:i/>
          <w:iCs/>
          <w:lang w:val="es-ES_tradnl"/>
        </w:rPr>
        <w:t>restrictiva</w:t>
      </w:r>
      <w:r w:rsidRPr="001D1369">
        <w:rPr>
          <w:rStyle w:val="Refdenotaalpie"/>
          <w:rFonts w:ascii="Arial" w:eastAsia="Calibri" w:hAnsi="Arial" w:cs="Arial"/>
          <w:i/>
          <w:iCs/>
          <w:lang w:val="es-ES_tradnl"/>
        </w:rPr>
        <w:footnoteReference w:id="14"/>
      </w:r>
      <w:r w:rsidRPr="001D1369">
        <w:rPr>
          <w:rFonts w:ascii="Arial" w:eastAsia="Calibri" w:hAnsi="Arial" w:cs="Arial"/>
          <w:i/>
          <w:iCs/>
          <w:lang w:val="es-ES_tradnl"/>
        </w:rPr>
        <w:t xml:space="preserve">, </w:t>
      </w:r>
      <w:r w:rsidRPr="001D1369">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497F74E1" w14:textId="77777777" w:rsidR="001D1369" w:rsidRPr="001D1369" w:rsidRDefault="001D1369" w:rsidP="001D1369">
      <w:pPr>
        <w:spacing w:after="0" w:line="276" w:lineRule="auto"/>
        <w:ind w:firstLine="709"/>
        <w:jc w:val="both"/>
        <w:rPr>
          <w:rFonts w:ascii="Arial" w:eastAsia="Calibri" w:hAnsi="Arial" w:cs="Arial"/>
          <w:lang w:val="es-ES_tradnl"/>
        </w:rPr>
      </w:pPr>
      <w:r w:rsidRPr="001D1369">
        <w:rPr>
          <w:rFonts w:ascii="Arial" w:eastAsia="Calibri" w:hAnsi="Arial" w:cs="Arial"/>
          <w:lang w:val="es-ES_tradnl"/>
        </w:rPr>
        <w:t xml:space="preserve">En efecto, el máximo tribunal constitucional ha indicado, al tratar de precisar el sentido de este tipo de normas, que “[…] el intérprete de las disposiciones legislativas en la materia ha de ceñirse en la mayor medida posible al tenor literal y gramatical de los </w:t>
      </w:r>
      <w:r w:rsidRPr="001D1369">
        <w:rPr>
          <w:rFonts w:ascii="Arial" w:eastAsia="Calibri" w:hAnsi="Arial" w:cs="Arial"/>
          <w:lang w:val="es-ES_tradnl"/>
        </w:rPr>
        <w:lastRenderedPageBreak/>
        <w:t>enunciados normativos, sin que pueda acudir prima facie a criterios interpretativos tales como la analogía, la interpretación extensiva para ampliar el alcance de las causales legalmente fijadas”</w:t>
      </w:r>
      <w:r w:rsidRPr="001D1369">
        <w:rPr>
          <w:rStyle w:val="Refdenotaalpie"/>
          <w:rFonts w:ascii="Arial" w:eastAsia="Calibri" w:hAnsi="Arial" w:cs="Arial"/>
          <w:lang w:val="es-ES_tradnl"/>
        </w:rPr>
        <w:footnoteReference w:id="15"/>
      </w:r>
      <w:r w:rsidRPr="001D1369">
        <w:rPr>
          <w:rFonts w:ascii="Arial" w:eastAsia="Calibri" w:hAnsi="Arial"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1D1369">
        <w:rPr>
          <w:rStyle w:val="Refdenotaalpie"/>
          <w:rFonts w:ascii="Arial" w:eastAsia="Calibri" w:hAnsi="Arial" w:cs="Arial"/>
          <w:lang w:val="es-ES_tradnl"/>
        </w:rPr>
        <w:footnoteReference w:id="16"/>
      </w:r>
      <w:r w:rsidRPr="001D1369">
        <w:rPr>
          <w:rFonts w:ascii="Arial" w:eastAsia="Calibri" w:hAnsi="Arial" w:cs="Arial"/>
          <w:lang w:val="es-ES_tradnl"/>
        </w:rPr>
        <w:t>. En tal sentido, la Sección Tercera ha señalado que:</w:t>
      </w:r>
    </w:p>
    <w:p w14:paraId="39B3C47D" w14:textId="77777777" w:rsidR="001D1369" w:rsidRPr="001D1369" w:rsidRDefault="001D1369" w:rsidP="001D1369">
      <w:pPr>
        <w:spacing w:after="0"/>
        <w:ind w:firstLine="709"/>
        <w:jc w:val="both"/>
        <w:rPr>
          <w:rFonts w:ascii="Arial" w:eastAsia="Calibri" w:hAnsi="Arial" w:cs="Arial"/>
          <w:lang w:val="es-ES_tradnl"/>
        </w:rPr>
      </w:pPr>
    </w:p>
    <w:p w14:paraId="4085C6B4" w14:textId="77777777" w:rsidR="001D1369" w:rsidRPr="001D1369" w:rsidRDefault="001D1369" w:rsidP="001D1369">
      <w:pPr>
        <w:spacing w:after="0" w:line="240" w:lineRule="auto"/>
        <w:ind w:left="709" w:right="709"/>
        <w:jc w:val="both"/>
        <w:rPr>
          <w:rFonts w:ascii="Arial" w:eastAsia="Calibri" w:hAnsi="Arial" w:cs="Arial"/>
          <w:lang w:val="es-ES_tradnl"/>
        </w:rPr>
      </w:pPr>
      <w:r w:rsidRPr="001D1369">
        <w:rPr>
          <w:rFonts w:ascii="Arial" w:hAnsi="Arial" w:cs="Arial"/>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1D1369">
        <w:rPr>
          <w:rStyle w:val="Refdenotaalpie"/>
          <w:rFonts w:ascii="Arial" w:hAnsi="Arial" w:cs="Arial"/>
          <w:lang w:val="es-ES_tradnl"/>
        </w:rPr>
        <w:footnoteReference w:id="17"/>
      </w:r>
      <w:r w:rsidRPr="001D1369">
        <w:rPr>
          <w:rFonts w:ascii="Arial" w:hAnsi="Arial" w:cs="Arial"/>
          <w:lang w:val="es-ES_tradnl"/>
        </w:rPr>
        <w:t>.</w:t>
      </w:r>
    </w:p>
    <w:p w14:paraId="6724B251" w14:textId="77777777" w:rsidR="001D1369" w:rsidRPr="001D1369" w:rsidRDefault="001D1369" w:rsidP="001D1369">
      <w:pPr>
        <w:spacing w:after="0" w:line="276" w:lineRule="auto"/>
        <w:ind w:firstLine="709"/>
        <w:jc w:val="both"/>
        <w:rPr>
          <w:rFonts w:ascii="Arial" w:eastAsia="Calibri" w:hAnsi="Arial" w:cs="Arial"/>
          <w:lang w:val="es-ES_tradnl"/>
        </w:rPr>
      </w:pPr>
    </w:p>
    <w:p w14:paraId="05D9BFD8" w14:textId="77777777" w:rsidR="001D1369" w:rsidRPr="001D1369" w:rsidRDefault="001D1369" w:rsidP="001D1369">
      <w:pPr>
        <w:ind w:firstLine="709"/>
        <w:jc w:val="both"/>
        <w:rPr>
          <w:rFonts w:ascii="Arial" w:eastAsia="Calibri" w:hAnsi="Arial" w:cs="Arial"/>
          <w:lang w:val="es-ES_tradnl"/>
        </w:rPr>
      </w:pPr>
      <w:r w:rsidRPr="001D1369">
        <w:rPr>
          <w:rFonts w:ascii="Arial" w:eastAsia="Calibri" w:hAnsi="Arial" w:cs="Arial"/>
          <w:lang w:val="es-ES_tradnl"/>
        </w:rPr>
        <w:t>También ha dicho que:</w:t>
      </w:r>
    </w:p>
    <w:p w14:paraId="0DA182F6" w14:textId="77777777" w:rsidR="001D1369" w:rsidRPr="001D1369" w:rsidRDefault="001D1369" w:rsidP="001D1369">
      <w:pPr>
        <w:spacing w:after="0" w:line="240" w:lineRule="auto"/>
        <w:ind w:left="709" w:right="616"/>
        <w:jc w:val="both"/>
        <w:rPr>
          <w:rFonts w:ascii="Arial" w:hAnsi="Arial" w:cs="Arial"/>
          <w:lang w:val="es-ES_tradnl"/>
        </w:rPr>
      </w:pPr>
      <w:r w:rsidRPr="001D1369">
        <w:rPr>
          <w:rFonts w:ascii="Arial" w:hAnsi="Arial" w:cs="Arial"/>
          <w:lang w:val="es-ES_tradnl"/>
        </w:rPr>
        <w:t xml:space="preserve">“[…] la aplicación de estos preceptos exige una interpretación restrictiva, dado que según el principio hermenéutico </w:t>
      </w:r>
      <w:r w:rsidRPr="001D1369">
        <w:rPr>
          <w:rFonts w:ascii="Arial" w:hAnsi="Arial" w:cs="Arial"/>
          <w:i/>
          <w:iCs/>
          <w:lang w:val="es-ES_tradnl"/>
        </w:rPr>
        <w:t>pro libertate</w:t>
      </w:r>
      <w:r w:rsidRPr="001D1369">
        <w:rPr>
          <w:rFonts w:ascii="Arial" w:hAnsi="Arial" w:cs="Arial"/>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1D1369">
        <w:rPr>
          <w:rStyle w:val="Refdenotaalpie"/>
          <w:rFonts w:ascii="Arial" w:hAnsi="Arial" w:cs="Arial"/>
          <w:lang w:val="es-ES_tradnl"/>
        </w:rPr>
        <w:footnoteReference w:id="18"/>
      </w:r>
      <w:r w:rsidRPr="001D1369">
        <w:rPr>
          <w:rFonts w:ascii="Arial" w:hAnsi="Arial" w:cs="Arial"/>
          <w:lang w:val="es-ES_tradnl"/>
        </w:rPr>
        <w:t>.</w:t>
      </w:r>
    </w:p>
    <w:p w14:paraId="0829C168" w14:textId="77777777" w:rsidR="001D1369" w:rsidRPr="001D1369" w:rsidRDefault="001D1369" w:rsidP="001D1369">
      <w:pPr>
        <w:spacing w:after="0"/>
        <w:ind w:firstLine="708"/>
        <w:jc w:val="both"/>
        <w:rPr>
          <w:rFonts w:ascii="Arial" w:eastAsia="Arial" w:hAnsi="Arial" w:cs="Arial"/>
          <w:color w:val="000000"/>
          <w:lang w:val="es-ES_tradnl"/>
        </w:rPr>
      </w:pPr>
    </w:p>
    <w:p w14:paraId="44ED6270" w14:textId="77777777" w:rsidR="001D1369" w:rsidRPr="001D1369" w:rsidRDefault="001D1369" w:rsidP="001D1369">
      <w:pPr>
        <w:spacing w:after="0" w:line="276" w:lineRule="auto"/>
        <w:ind w:firstLine="708"/>
        <w:jc w:val="both"/>
        <w:rPr>
          <w:rFonts w:ascii="Arial" w:hAnsi="Arial" w:cs="Arial"/>
          <w:color w:val="000000" w:themeColor="text1"/>
        </w:rPr>
      </w:pPr>
      <w:bookmarkStart w:id="5" w:name="_Hlk136439150"/>
      <w:r w:rsidRPr="001D1369">
        <w:rPr>
          <w:rFonts w:ascii="Arial" w:eastAsia="Arial" w:hAnsi="Arial" w:cs="Arial"/>
          <w:color w:val="000000"/>
          <w:lang w:val="es-ES_tradnl"/>
        </w:rPr>
        <w:t xml:space="preserve">Como se aprecia, el principio </w:t>
      </w:r>
      <w:r w:rsidRPr="001D1369">
        <w:rPr>
          <w:rFonts w:ascii="Arial" w:eastAsia="Arial" w:hAnsi="Arial" w:cs="Arial"/>
          <w:i/>
          <w:iCs/>
          <w:color w:val="000000"/>
          <w:lang w:val="es-ES_tradnl"/>
        </w:rPr>
        <w:t>pro libertate</w:t>
      </w:r>
      <w:r w:rsidRPr="001D1369">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1D1369">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w:t>
      </w:r>
      <w:r w:rsidRPr="001D1369">
        <w:rPr>
          <w:rFonts w:ascii="Arial" w:hAnsi="Arial" w:cs="Arial"/>
          <w:color w:val="000000" w:themeColor="text1"/>
        </w:rPr>
        <w:lastRenderedPageBreak/>
        <w:t>de la Administración Pública, cuya expedición compete al Congreso de la República, conforme al artículo 150 de la Constitución Política, y que en esta materia rige el principio de legalidad</w:t>
      </w:r>
      <w:bookmarkEnd w:id="5"/>
      <w:r w:rsidRPr="001D1369">
        <w:rPr>
          <w:rStyle w:val="Refdenotaalpie"/>
          <w:rFonts w:ascii="Arial" w:hAnsi="Arial" w:cs="Arial"/>
          <w:color w:val="000000" w:themeColor="text1"/>
        </w:rPr>
        <w:footnoteReference w:id="19"/>
      </w:r>
      <w:r w:rsidRPr="001D1369">
        <w:rPr>
          <w:rFonts w:ascii="Arial" w:hAnsi="Arial" w:cs="Arial"/>
          <w:color w:val="000000" w:themeColor="text1"/>
        </w:rPr>
        <w:t>.</w:t>
      </w:r>
    </w:p>
    <w:p w14:paraId="61E62A3E" w14:textId="77777777" w:rsidR="001D1369" w:rsidRPr="001D1369" w:rsidRDefault="001D1369" w:rsidP="001D1369">
      <w:pPr>
        <w:spacing w:after="0" w:line="276" w:lineRule="auto"/>
        <w:ind w:firstLine="708"/>
        <w:jc w:val="both"/>
        <w:rPr>
          <w:rFonts w:ascii="Arial" w:hAnsi="Arial" w:cs="Arial"/>
          <w:color w:val="000000" w:themeColor="text1"/>
        </w:rPr>
      </w:pPr>
    </w:p>
    <w:p w14:paraId="55EF7845" w14:textId="569C78AF" w:rsidR="001D1369" w:rsidRPr="001D1369" w:rsidRDefault="001D1369" w:rsidP="001D1369">
      <w:pPr>
        <w:spacing w:after="0" w:line="276" w:lineRule="auto"/>
        <w:jc w:val="both"/>
        <w:rPr>
          <w:rFonts w:ascii="Arial" w:hAnsi="Arial" w:cs="Arial"/>
          <w:b/>
          <w:bCs/>
          <w:color w:val="000000" w:themeColor="text1"/>
        </w:rPr>
      </w:pPr>
      <w:r w:rsidRPr="001D1369">
        <w:rPr>
          <w:rFonts w:ascii="Arial" w:hAnsi="Arial" w:cs="Arial"/>
          <w:b/>
          <w:bCs/>
          <w:color w:val="000000" w:themeColor="text1"/>
        </w:rPr>
        <w:t xml:space="preserve">2.2. </w:t>
      </w:r>
      <w:r w:rsidR="00E1619A">
        <w:rPr>
          <w:rFonts w:ascii="Arial" w:hAnsi="Arial" w:cs="Arial"/>
          <w:b/>
          <w:bCs/>
          <w:color w:val="000000" w:themeColor="text1"/>
        </w:rPr>
        <w:t>Prohibiciones para los servidores públicos y contratistas</w:t>
      </w:r>
    </w:p>
    <w:p w14:paraId="5EE5D08C" w14:textId="77777777" w:rsidR="001D1369" w:rsidRPr="001D1369" w:rsidRDefault="001D1369" w:rsidP="001D1369">
      <w:pPr>
        <w:spacing w:after="0" w:line="276" w:lineRule="auto"/>
        <w:jc w:val="both"/>
        <w:rPr>
          <w:rFonts w:ascii="Arial" w:hAnsi="Arial" w:cs="Arial"/>
          <w:shd w:val="clear" w:color="auto" w:fill="FFFFFF"/>
        </w:rPr>
      </w:pPr>
    </w:p>
    <w:p w14:paraId="02222DE5" w14:textId="54A98F8C" w:rsidR="00E1619A" w:rsidRPr="00E1619A" w:rsidRDefault="009C02FD" w:rsidP="00E1619A">
      <w:pPr>
        <w:tabs>
          <w:tab w:val="left" w:pos="0"/>
        </w:tabs>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 xml:space="preserve">En línea con lo anterior es pertinente indicar </w:t>
      </w:r>
      <w:r w:rsidR="00E1619A" w:rsidRPr="00E1619A">
        <w:rPr>
          <w:rFonts w:ascii="Arial" w:eastAsia="Calibri" w:hAnsi="Arial" w:cs="Arial"/>
          <w:bCs/>
          <w:color w:val="000000" w:themeColor="text1"/>
          <w:lang w:val="es-ES_tradnl"/>
        </w:rPr>
        <w:t>que, la Sala Plena del Consejo de Estado en sentencia dictada el 8 de febrero de 2011, respecto del régimen de inhabilidades e incompatibilidades, consideró lo siguiente:</w:t>
      </w:r>
    </w:p>
    <w:p w14:paraId="6DD63DD7" w14:textId="422C2894" w:rsidR="00E1619A" w:rsidRPr="00E1619A" w:rsidRDefault="00E1619A" w:rsidP="009C02FD">
      <w:pPr>
        <w:tabs>
          <w:tab w:val="left" w:pos="142"/>
          <w:tab w:val="left" w:pos="709"/>
        </w:tabs>
        <w:ind w:left="567" w:right="616"/>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 xml:space="preserve">“Las inhabilidades e incompatibilidades, en tanto limitan la libertad y los derechos de las personas, son de origen constitucional y legal. </w:t>
      </w:r>
      <w:r w:rsidRPr="009C02FD">
        <w:rPr>
          <w:rFonts w:ascii="Arial" w:eastAsia="Calibri" w:hAnsi="Arial" w:cs="Arial"/>
          <w:b/>
          <w:color w:val="000000" w:themeColor="text1"/>
          <w:lang w:val="es-ES_tradnl"/>
        </w:rPr>
        <w:t>La tipificación de sus causas, vigencia, naturaleza y efectos es rígida y taxativa; su aplicación es restrictiva, de manera que excluye la analogía legis o iuris, excepto en lo favorable; están definidas en el tiempo, salvo aquellas de carácter constitucional</w:t>
      </w:r>
      <w:r w:rsidRPr="00E1619A">
        <w:rPr>
          <w:rFonts w:ascii="Arial" w:eastAsia="Calibri" w:hAnsi="Arial" w:cs="Arial"/>
          <w:bCs/>
          <w:color w:val="000000" w:themeColor="text1"/>
          <w:lang w:val="es-ES_tradnl"/>
        </w:rPr>
        <w:t xml:space="preserve"> (verbi gratia arts. 179 No.1, 197 y 267 C.P.); y, además, hacen parte de un conjunto de disposiciones que integran un régimen jurídico imperativo y de orden público, razón por la cual no son disponibles ni pueden ser derogadas por acuerdo o convenio”. (Las negrillas y subrayas son de la Sala)</w:t>
      </w:r>
      <w:r w:rsidR="009C02FD">
        <w:rPr>
          <w:rStyle w:val="Refdenotaalpie"/>
          <w:rFonts w:ascii="Arial" w:eastAsia="Calibri" w:hAnsi="Arial" w:cs="Arial"/>
          <w:bCs/>
          <w:color w:val="000000" w:themeColor="text1"/>
          <w:lang w:val="es-ES_tradnl"/>
        </w:rPr>
        <w:footnoteReference w:id="20"/>
      </w:r>
      <w:r w:rsidRPr="00E1619A">
        <w:rPr>
          <w:rFonts w:ascii="Arial" w:eastAsia="Calibri" w:hAnsi="Arial" w:cs="Arial"/>
          <w:bCs/>
          <w:color w:val="000000" w:themeColor="text1"/>
          <w:lang w:val="es-ES_tradnl"/>
        </w:rPr>
        <w:t>.</w:t>
      </w:r>
    </w:p>
    <w:p w14:paraId="1A5A395D"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Teniendo en cuenta lo señalado por el Consejo de Estado, las inhabilidades, como las demás calidades, exigencias o requisitos que deben reunir los candidatos para efectos de su incorporación al servicio del Estado, deben estar consagradas en forma expresa y clara en el Estatuto General que rige la función pública y son taxativas y de interpretación restrictiva, lo cual significa que deben sujetarse estrictamente a las causales previstas por el legislador.</w:t>
      </w:r>
    </w:p>
    <w:p w14:paraId="3FFB04CF"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Ahora bien, el artículo 127 de la Constitución Política señala que:</w:t>
      </w:r>
    </w:p>
    <w:p w14:paraId="05DDA6EC" w14:textId="77777777" w:rsidR="00E1619A" w:rsidRPr="00E1619A" w:rsidRDefault="00E1619A" w:rsidP="009C02FD">
      <w:pPr>
        <w:tabs>
          <w:tab w:val="left" w:pos="284"/>
        </w:tabs>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“ARTÍCULO 127. Los servidores públicos no podrán celebrar, por si o por interpuesta persona, o en representación de otro, contrato alguno con entidades públicas o con personas privadas que manejen o administren recursos públicos, salvo las excepciones legales.</w:t>
      </w:r>
    </w:p>
    <w:p w14:paraId="376143E2" w14:textId="6C45D89B" w:rsidR="00E1619A" w:rsidRPr="00E1619A" w:rsidRDefault="00E1619A" w:rsidP="009C02FD">
      <w:pPr>
        <w:tabs>
          <w:tab w:val="left" w:pos="284"/>
        </w:tabs>
        <w:ind w:left="709" w:right="900"/>
        <w:jc w:val="both"/>
        <w:rPr>
          <w:rFonts w:ascii="Arial" w:eastAsia="Calibri" w:hAnsi="Arial" w:cs="Arial"/>
          <w:bCs/>
          <w:color w:val="000000" w:themeColor="text1"/>
          <w:lang w:val="es-ES_tradnl"/>
        </w:rPr>
      </w:pPr>
      <w:r w:rsidRPr="009C02FD">
        <w:rPr>
          <w:rFonts w:ascii="Arial" w:eastAsia="Calibri" w:hAnsi="Arial" w:cs="Arial"/>
          <w:b/>
          <w:color w:val="000000" w:themeColor="text1"/>
          <w:lang w:val="es-ES_tradnl"/>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w:t>
      </w:r>
      <w:r w:rsidRPr="00E1619A">
        <w:rPr>
          <w:rFonts w:ascii="Arial" w:eastAsia="Calibri" w:hAnsi="Arial" w:cs="Arial"/>
          <w:bCs/>
          <w:color w:val="000000" w:themeColor="text1"/>
          <w:lang w:val="es-ES_tradnl"/>
        </w:rPr>
        <w:t xml:space="preserve">. A los miembros de la Fuerza Pública </w:t>
      </w:r>
      <w:r w:rsidRPr="00E1619A">
        <w:rPr>
          <w:rFonts w:ascii="Arial" w:eastAsia="Calibri" w:hAnsi="Arial" w:cs="Arial"/>
          <w:bCs/>
          <w:color w:val="000000" w:themeColor="text1"/>
          <w:lang w:val="es-ES_tradnl"/>
        </w:rPr>
        <w:lastRenderedPageBreak/>
        <w:t>en servicio activo se les aplican las limitaciones contempladas en el artículo 219 de la Constitución.” (</w:t>
      </w:r>
      <w:r w:rsidR="00B74BDA">
        <w:rPr>
          <w:rFonts w:ascii="Arial" w:eastAsia="Calibri" w:hAnsi="Arial" w:cs="Arial"/>
          <w:bCs/>
          <w:color w:val="000000" w:themeColor="text1"/>
          <w:lang w:val="es-ES_tradnl"/>
        </w:rPr>
        <w:t>negrilla</w:t>
      </w:r>
      <w:r w:rsidRPr="00E1619A">
        <w:rPr>
          <w:rFonts w:ascii="Arial" w:eastAsia="Calibri" w:hAnsi="Arial" w:cs="Arial"/>
          <w:bCs/>
          <w:color w:val="000000" w:themeColor="text1"/>
          <w:lang w:val="es-ES_tradnl"/>
        </w:rPr>
        <w:t xml:space="preserve"> fuera del texto)</w:t>
      </w:r>
    </w:p>
    <w:p w14:paraId="3130A4D6"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El artículo 219 de la Constitución Política establece que:</w:t>
      </w:r>
    </w:p>
    <w:p w14:paraId="07AFBEEB" w14:textId="77777777" w:rsidR="00E1619A" w:rsidRPr="00E1619A" w:rsidRDefault="00E1619A" w:rsidP="009C02FD">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“ARTÍCULO 219. La Fuerza Pública no es deliberante; no podrá reunirse sino por orden de autoridad legítima, ni dirigir peticiones, excepto sobre asuntos que se relacionen con el servicio y la moralidad del respectivo cuerpo y con arreglo a la ley.</w:t>
      </w:r>
    </w:p>
    <w:p w14:paraId="24A18ED7" w14:textId="4A1533CB" w:rsidR="00E1619A" w:rsidRPr="00E1619A" w:rsidRDefault="00E1619A" w:rsidP="009C02FD">
      <w:pPr>
        <w:ind w:left="709" w:right="900"/>
        <w:jc w:val="both"/>
        <w:rPr>
          <w:rFonts w:ascii="Arial" w:eastAsia="Calibri" w:hAnsi="Arial" w:cs="Arial"/>
          <w:bCs/>
          <w:color w:val="000000" w:themeColor="text1"/>
          <w:lang w:val="es-ES_tradnl"/>
        </w:rPr>
      </w:pPr>
      <w:r w:rsidRPr="009C02FD">
        <w:rPr>
          <w:rFonts w:ascii="Arial" w:eastAsia="Calibri" w:hAnsi="Arial" w:cs="Arial"/>
          <w:b/>
          <w:color w:val="000000" w:themeColor="text1"/>
          <w:lang w:val="es-ES_tradnl"/>
        </w:rPr>
        <w:t>Los miembros de la Fuerza Pública no podrán ejercer la función del sufragio mientras permanezcan en servicio activo, ni intervenir en actividades o debates de partidos o movimientos políticos</w:t>
      </w:r>
      <w:r w:rsidRPr="00E1619A">
        <w:rPr>
          <w:rFonts w:ascii="Arial" w:eastAsia="Calibri" w:hAnsi="Arial" w:cs="Arial"/>
          <w:bCs/>
          <w:color w:val="000000" w:themeColor="text1"/>
          <w:lang w:val="es-ES_tradnl"/>
        </w:rPr>
        <w:t xml:space="preserve">.” </w:t>
      </w:r>
      <w:r w:rsidR="00B74BDA" w:rsidRPr="00E1619A">
        <w:rPr>
          <w:rFonts w:ascii="Arial" w:eastAsia="Calibri" w:hAnsi="Arial" w:cs="Arial"/>
          <w:bCs/>
          <w:color w:val="000000" w:themeColor="text1"/>
          <w:lang w:val="es-ES_tradnl"/>
        </w:rPr>
        <w:t>(</w:t>
      </w:r>
      <w:r w:rsidR="00B74BDA">
        <w:rPr>
          <w:rFonts w:ascii="Arial" w:eastAsia="Calibri" w:hAnsi="Arial" w:cs="Arial"/>
          <w:bCs/>
          <w:color w:val="000000" w:themeColor="text1"/>
          <w:lang w:val="es-ES_tradnl"/>
        </w:rPr>
        <w:t>negrilla</w:t>
      </w:r>
      <w:r w:rsidR="00B74BDA" w:rsidRPr="00E1619A">
        <w:rPr>
          <w:rFonts w:ascii="Arial" w:eastAsia="Calibri" w:hAnsi="Arial" w:cs="Arial"/>
          <w:bCs/>
          <w:color w:val="000000" w:themeColor="text1"/>
          <w:lang w:val="es-ES_tradnl"/>
        </w:rPr>
        <w:t xml:space="preserve"> fuera del texto)</w:t>
      </w:r>
    </w:p>
    <w:p w14:paraId="21EDACD1"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Por último, el artículo 38 de la Ley 996 de 2005, prescribe que:</w:t>
      </w:r>
    </w:p>
    <w:p w14:paraId="769D6DFA" w14:textId="77777777"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“Artículo 38. Prohibiciones para los servidores públicos. A excepción de los empleados del Estado que se desempeñen en la rama judicial, en los órganos electorales, de control y de seguridad, a los demás servidores públicos autorizados por la Constitución, les está prohibido:</w:t>
      </w:r>
    </w:p>
    <w:p w14:paraId="2848C61E" w14:textId="77777777"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Acosar, presionar, o determinar, en cualquier forma, a subalternos para que respalden alguna causa, campaña o controversia política.</w:t>
      </w:r>
    </w:p>
    <w:p w14:paraId="16EC0873" w14:textId="77777777"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Difundir propaganda electoral a favor o en contra de cualquier partido, agrupación o movimiento político, a través de publicaciones, estaciones oficiales de televisión y de radio o imprenta pública, a excepción de lo autorizado en la presente ley.</w:t>
      </w:r>
    </w:p>
    <w:p w14:paraId="21B8B29F" w14:textId="77777777"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Favorecer con promociones, bonificaciones, o ascensos indebidos, a quienes dentro de la entidad a su cargo participan en su misma causa o campaña política, sin perjuicio de los concursos que en condiciones públicas de igualdad e imparcialidad ofrezcan tales posibilidades a los servidores públicos.</w:t>
      </w:r>
    </w:p>
    <w:p w14:paraId="08BB6CDA" w14:textId="77777777"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Ofrecer algún tipo de beneficio directo, particular, inmediato e indebido para los ciudadanos o para las comunidades, mediante obras o actuaciones de la administración pública, con el objeto de influir en la intención de voto.</w:t>
      </w:r>
    </w:p>
    <w:p w14:paraId="02E71C44" w14:textId="77777777"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Aducir razones de "buen servicio" para despedir funcionarios de carrera por razones políticas, durante los cuatro (4) meses anteriores a las elecciones.</w:t>
      </w:r>
    </w:p>
    <w:p w14:paraId="2385C494" w14:textId="77777777"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La infracción de alguna de las anteriores prohibiciones constituye falta gravísima.</w:t>
      </w:r>
    </w:p>
    <w:p w14:paraId="06613782" w14:textId="44A1D223" w:rsidR="00E1619A" w:rsidRPr="00E1619A" w:rsidRDefault="00E1619A" w:rsidP="00B74BDA">
      <w:pPr>
        <w:ind w:left="709" w:right="900"/>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lastRenderedPageBreak/>
        <w:t xml:space="preserve">(...)” </w:t>
      </w:r>
    </w:p>
    <w:p w14:paraId="0F1CDEBC" w14:textId="77777777" w:rsidR="00E1619A" w:rsidRPr="00E1619A" w:rsidRDefault="00E1619A" w:rsidP="00B74BDA">
      <w:pPr>
        <w:ind w:right="49"/>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De conformidad con la normativa anterior, les está prohibido a los empleados del Estado y de sus entidades descentralizadas que ejerzan jurisdicción, autoridad civil o política, cargos de dirección administrativa o se despeñen en los órganos judicial, electoral, de control, tomar parte en las actividades de los partidos y movimientos, como en las controversias políticas, sin perjuicio del ejercicio libre del derecho del sufragio.</w:t>
      </w:r>
    </w:p>
    <w:p w14:paraId="5D17A749"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Los demás funcionarios públicos no señalados anteriormente, según la misma disposición, podrán participar en las actividades y controversias en las condiciones previstas por la ley.</w:t>
      </w:r>
    </w:p>
    <w:p w14:paraId="2380C61C"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Ahora bien, establecida la prohibición a los empleados públicos de participar en actividades políticas, es necesario analizar si los contratistas tienen la calidad de servidores públicos. Sobre el particular, el Consejo de Estado mediante concepto de la Sala de Consulta y Servicio Civil de 10 de mayo de 2001, radicado No 1.344. Consejero Ponente: Flavio Augusto Rodríguez Arce, señalo:</w:t>
      </w:r>
    </w:p>
    <w:p w14:paraId="22BDA8DF" w14:textId="4904A035" w:rsidR="00E1619A" w:rsidRPr="00E1619A" w:rsidRDefault="00E1619A" w:rsidP="00B74BDA">
      <w:pPr>
        <w:tabs>
          <w:tab w:val="left" w:pos="567"/>
        </w:tabs>
        <w:ind w:left="567" w:right="1041"/>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“La vinculación jurídica derivada del contrato de prestación de servicios es diferente de la que emana de la relación laboral de origen contractual con los trabajadores oficiales. En efecto, el de prestación se refiere a actividades relacionadas con la administración y funcionamiento de la entidad; el contratista es autónomo para ejecutar el contrato; no se causan prestaciones sociales y no responde disciplinariamente - Sentencia C -280/96-, mientras que el trabajador oficial, en su orden, labora en la construcción y sostenimiento de obras públicas o está vinculado a una empresa industrial o comercial del Estado; está, por esencia, subordinado a la administración; las prestaciones sociales le son consustanciales y responde disciplinariamente.</w:t>
      </w:r>
    </w:p>
    <w:p w14:paraId="776D9945"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w:t>
      </w:r>
    </w:p>
    <w:p w14:paraId="3C8706F5" w14:textId="7DB1FB0B" w:rsidR="00E1619A" w:rsidRPr="00E1619A" w:rsidRDefault="00E1619A" w:rsidP="00B74BDA">
      <w:pPr>
        <w:tabs>
          <w:tab w:val="left" w:pos="284"/>
        </w:tabs>
        <w:ind w:left="567" w:right="1183"/>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 xml:space="preserve">De los presupuestos de la definición legal y de los elementos analizados, se concluye que particulares que colaboran con </w:t>
      </w:r>
      <w:r w:rsidRPr="00B74BDA">
        <w:rPr>
          <w:rFonts w:ascii="Arial" w:eastAsia="Calibri" w:hAnsi="Arial" w:cs="Arial"/>
          <w:b/>
          <w:color w:val="000000" w:themeColor="text1"/>
          <w:lang w:val="es-ES_tradnl"/>
        </w:rPr>
        <w:t xml:space="preserve">el Estado mediante un contrato de prestación de servicios o cualquier otro, tipificado en la </w:t>
      </w:r>
      <w:r w:rsidR="00B74BDA" w:rsidRPr="00B74BDA">
        <w:rPr>
          <w:rFonts w:ascii="Arial" w:eastAsia="Calibri" w:hAnsi="Arial" w:cs="Arial"/>
          <w:b/>
          <w:color w:val="000000" w:themeColor="text1"/>
          <w:lang w:val="es-ES_tradnl"/>
        </w:rPr>
        <w:t>L</w:t>
      </w:r>
      <w:r w:rsidRPr="00B74BDA">
        <w:rPr>
          <w:rFonts w:ascii="Arial" w:eastAsia="Calibri" w:hAnsi="Arial" w:cs="Arial"/>
          <w:b/>
          <w:color w:val="000000" w:themeColor="text1"/>
          <w:lang w:val="es-ES_tradnl"/>
        </w:rPr>
        <w:t xml:space="preserve">ey 80 de </w:t>
      </w:r>
      <w:r w:rsidR="00B74BDA" w:rsidRPr="00B74BDA">
        <w:rPr>
          <w:rFonts w:ascii="Arial" w:eastAsia="Calibri" w:hAnsi="Arial" w:cs="Arial"/>
          <w:b/>
          <w:color w:val="000000" w:themeColor="text1"/>
          <w:lang w:val="es-ES_tradnl"/>
        </w:rPr>
        <w:t>1</w:t>
      </w:r>
      <w:r w:rsidRPr="00B74BDA">
        <w:rPr>
          <w:rFonts w:ascii="Arial" w:eastAsia="Calibri" w:hAnsi="Arial" w:cs="Arial"/>
          <w:b/>
          <w:color w:val="000000" w:themeColor="text1"/>
          <w:lang w:val="es-ES_tradnl"/>
        </w:rPr>
        <w:t>993 o producto de la autonomía de la voluntad, no están subsumidos en el contexto de la función pública, ni son, por tanto, servidores públicos</w:t>
      </w:r>
      <w:r w:rsidRPr="00E1619A">
        <w:rPr>
          <w:rFonts w:ascii="Arial" w:eastAsia="Calibri" w:hAnsi="Arial" w:cs="Arial"/>
          <w:bCs/>
          <w:color w:val="000000" w:themeColor="text1"/>
          <w:lang w:val="es-ES_tradnl"/>
        </w:rPr>
        <w:t xml:space="preserve"> y, por lo mismo, no reciben "asignación" en los términos establecidos16, lo que hace imposible aplicarles el régimen de estos.” (Subrayado fuera del texto)</w:t>
      </w:r>
    </w:p>
    <w:p w14:paraId="044B7550" w14:textId="17BEB0FF"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lastRenderedPageBreak/>
        <w:t>La sala de Casación Penal de la Corte Suprema de Justicia, en sentencia de fecha 24 de agosto de 2010</w:t>
      </w:r>
      <w:r w:rsidR="00B74BDA">
        <w:rPr>
          <w:rStyle w:val="Refdenotaalpie"/>
          <w:rFonts w:ascii="Arial" w:eastAsia="Calibri" w:hAnsi="Arial" w:cs="Arial"/>
          <w:bCs/>
          <w:color w:val="000000" w:themeColor="text1"/>
          <w:lang w:val="es-ES_tradnl"/>
        </w:rPr>
        <w:footnoteReference w:id="21"/>
      </w:r>
      <w:r w:rsidRPr="00E1619A">
        <w:rPr>
          <w:rFonts w:ascii="Arial" w:eastAsia="Calibri" w:hAnsi="Arial" w:cs="Arial"/>
          <w:bCs/>
          <w:color w:val="000000" w:themeColor="text1"/>
          <w:lang w:val="es-ES_tradnl"/>
        </w:rPr>
        <w:t>, dictada dentro del Proceso No 31982, Magistrada Ponente: María del Rosario González de Lemos, señalo:</w:t>
      </w:r>
    </w:p>
    <w:p w14:paraId="7C2434F3" w14:textId="77777777" w:rsidR="00E1619A" w:rsidRPr="00E1619A" w:rsidRDefault="00E1619A" w:rsidP="00B74BDA">
      <w:pPr>
        <w:tabs>
          <w:tab w:val="left" w:pos="567"/>
        </w:tabs>
        <w:ind w:left="567" w:right="1183"/>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 La Corte Constitucional arribó a esa conclusión a partir de los siguientes adicionales razonamientos: (...)</w:t>
      </w:r>
    </w:p>
    <w:p w14:paraId="4F3846AC" w14:textId="77777777" w:rsidR="00E1619A" w:rsidRPr="00E1619A" w:rsidRDefault="00E1619A" w:rsidP="00B74BDA">
      <w:pPr>
        <w:tabs>
          <w:tab w:val="left" w:pos="567"/>
        </w:tabs>
        <w:ind w:left="567" w:right="1183"/>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w:t>
      </w:r>
    </w:p>
    <w:p w14:paraId="2B798671" w14:textId="77777777" w:rsidR="00E1619A" w:rsidRPr="00E1619A" w:rsidRDefault="00E1619A" w:rsidP="00E1619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De acuerdo con las sentencias anteriormente citadas, se concluye que los contratistas no tienen la calidad de servidores públicos. Los contratistas, como sujetos particulares, no pierden su calidad de tales porque su vinculación jurídica a la entidad estatal no les confiere una investidura pública, pues si bien por el contrato reciben el encargo de realizar una actividad o prestación de interés o utilidad pública, con autonomía y cierta libertad operativa frente al organismo contratante, ello no conlleva de suyo el ejercicio de una función pública.</w:t>
      </w:r>
    </w:p>
    <w:p w14:paraId="67C50223" w14:textId="5102790F" w:rsidR="006F63AA" w:rsidRPr="007C50A9" w:rsidRDefault="006F63AA" w:rsidP="006F63AA">
      <w:pPr>
        <w:tabs>
          <w:tab w:val="left" w:pos="0"/>
        </w:tabs>
        <w:jc w:val="both"/>
        <w:rPr>
          <w:rFonts w:ascii="Arial" w:eastAsia="Calibri" w:hAnsi="Arial" w:cs="Arial"/>
          <w:b/>
          <w:color w:val="000000" w:themeColor="text1"/>
          <w:lang w:val="es-ES_tradnl"/>
        </w:rPr>
      </w:pPr>
      <w:r w:rsidRPr="007C50A9">
        <w:rPr>
          <w:rFonts w:ascii="Arial" w:eastAsia="Calibri" w:hAnsi="Arial" w:cs="Arial"/>
          <w:b/>
          <w:color w:val="000000" w:themeColor="text1"/>
          <w:lang w:val="es-ES_tradnl"/>
        </w:rPr>
        <w:t>3. Respuesta</w:t>
      </w:r>
      <w:r w:rsidR="002E53DA">
        <w:rPr>
          <w:rFonts w:ascii="Arial" w:eastAsia="Calibri" w:hAnsi="Arial" w:cs="Arial"/>
          <w:b/>
          <w:color w:val="000000" w:themeColor="text1"/>
          <w:lang w:val="es-ES_tradnl"/>
        </w:rPr>
        <w:t>:</w:t>
      </w:r>
    </w:p>
    <w:p w14:paraId="4F651F62" w14:textId="031ED5F3" w:rsidR="0091142F" w:rsidRPr="002E53DA" w:rsidRDefault="002E53DA" w:rsidP="002E53DA">
      <w:pPr>
        <w:spacing w:line="20" w:lineRule="atLeast"/>
        <w:ind w:left="709" w:right="1043"/>
        <w:jc w:val="both"/>
        <w:rPr>
          <w:rFonts w:ascii="Arial" w:hAnsi="Arial" w:cs="Arial"/>
          <w:i/>
          <w:iCs/>
          <w:color w:val="000000" w:themeColor="text1"/>
        </w:rPr>
      </w:pPr>
      <w:r w:rsidRPr="002E53DA">
        <w:rPr>
          <w:rFonts w:ascii="Arial" w:hAnsi="Arial" w:cs="Arial"/>
          <w:i/>
          <w:iCs/>
          <w:color w:val="000000" w:themeColor="text1"/>
        </w:rPr>
        <w:t>“… ¿Pueden los contratistas de la entidad y contratistas del Estado intervenir en participación política o efectuar proselitismo electoral?”</w:t>
      </w:r>
      <w:r w:rsidR="0091142F" w:rsidRPr="002E53DA">
        <w:rPr>
          <w:rFonts w:ascii="Arial" w:hAnsi="Arial" w:cs="Arial"/>
          <w:i/>
          <w:iCs/>
          <w:color w:val="000000" w:themeColor="text1"/>
        </w:rPr>
        <w:t xml:space="preserve"> </w:t>
      </w:r>
    </w:p>
    <w:p w14:paraId="1EC9667A" w14:textId="5C320686" w:rsidR="00B74BDA" w:rsidRPr="00E1619A" w:rsidRDefault="00B74BDA" w:rsidP="00B74BD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Conforme a lo anotado la prohibición de participar en política está dada a los empleados públicos, categoría que no se predica de los contratistas en atención a que su vinculación con la entidad pública no le confiere investidura pública, sino que son considerados sujetos particulares, lo que les permite que pueda participar en cualquier tipo de actividad, campaña o controversia política sin ningún tipo de restricción.</w:t>
      </w:r>
    </w:p>
    <w:p w14:paraId="2F6D1E67" w14:textId="77777777" w:rsidR="00B74BDA" w:rsidRPr="00E1619A" w:rsidRDefault="00B74BDA" w:rsidP="00B74BDA">
      <w:pPr>
        <w:tabs>
          <w:tab w:val="left" w:pos="0"/>
        </w:tabs>
        <w:jc w:val="both"/>
        <w:rPr>
          <w:rFonts w:ascii="Arial" w:eastAsia="Calibri" w:hAnsi="Arial" w:cs="Arial"/>
          <w:bCs/>
          <w:color w:val="000000" w:themeColor="text1"/>
          <w:lang w:val="es-ES_tradnl"/>
        </w:rPr>
      </w:pPr>
      <w:r w:rsidRPr="00E1619A">
        <w:rPr>
          <w:rFonts w:ascii="Arial" w:eastAsia="Calibri" w:hAnsi="Arial" w:cs="Arial"/>
          <w:bCs/>
          <w:color w:val="000000" w:themeColor="text1"/>
          <w:lang w:val="es-ES_tradnl"/>
        </w:rPr>
        <w:t>En consecuencia, una persona que tiene suscrito un contrato de prestación de servicios con entidad descentralizada a nivel municipal no está inhabilitado para participar en actividades políticas a favor de un candidato de orden local, regional o nacional.</w:t>
      </w:r>
    </w:p>
    <w:p w14:paraId="02F23D3F" w14:textId="04B69DE7" w:rsidR="006F63AA" w:rsidRPr="0041726D" w:rsidRDefault="006F63AA" w:rsidP="006F63AA">
      <w:pPr>
        <w:ind w:firstLine="708"/>
        <w:jc w:val="both"/>
        <w:textAlignment w:val="baseline"/>
        <w:rPr>
          <w:rFonts w:ascii="Segoe UI" w:hAnsi="Segoe UI" w:cs="Segoe UI"/>
          <w:sz w:val="18"/>
          <w:szCs w:val="18"/>
          <w:lang w:eastAsia="es-CO"/>
        </w:rPr>
      </w:pPr>
      <w:r w:rsidRPr="0041726D">
        <w:rPr>
          <w:rFonts w:ascii="Arial" w:hAnsi="Arial" w:cs="Arial"/>
          <w:lang w:val="es-MX" w:eastAsia="es-CO"/>
        </w:rPr>
        <w:t>Este concepto tiene el alcance previsto en el artículo 28 del Código de Procedimiento Administrativo y de lo Contencioso Administrativo.</w:t>
      </w:r>
    </w:p>
    <w:bookmarkEnd w:id="1"/>
    <w:p w14:paraId="2224560E" w14:textId="77777777" w:rsidR="006F63AA" w:rsidRDefault="006F63AA" w:rsidP="006F63AA">
      <w:pPr>
        <w:spacing w:after="120" w:line="276" w:lineRule="auto"/>
        <w:jc w:val="both"/>
        <w:rPr>
          <w:rFonts w:ascii="Arial" w:hAnsi="Arial" w:cs="Arial"/>
          <w:lang w:val="es-ES_tradnl"/>
        </w:rPr>
      </w:pPr>
    </w:p>
    <w:p w14:paraId="67062B75" w14:textId="77777777" w:rsidR="006F63AA" w:rsidRPr="00EC7BC2" w:rsidRDefault="006F63AA" w:rsidP="006F63AA">
      <w:pPr>
        <w:spacing w:after="120" w:line="276" w:lineRule="auto"/>
        <w:jc w:val="both"/>
        <w:rPr>
          <w:rFonts w:ascii="Arial" w:hAnsi="Arial" w:cs="Arial"/>
          <w:lang w:val="es-ES_tradnl"/>
        </w:rPr>
      </w:pPr>
      <w:r w:rsidRPr="00EC7BC2">
        <w:rPr>
          <w:rFonts w:ascii="Arial" w:hAnsi="Arial" w:cs="Arial"/>
          <w:lang w:val="es-ES_tradnl"/>
        </w:rPr>
        <w:t>Atentamente,</w:t>
      </w:r>
    </w:p>
    <w:p w14:paraId="72BE0636" w14:textId="77777777" w:rsidR="006F63AA" w:rsidRDefault="006F63AA" w:rsidP="006F63AA">
      <w:pPr>
        <w:spacing w:after="0" w:line="276" w:lineRule="auto"/>
        <w:jc w:val="center"/>
        <w:textAlignment w:val="baseline"/>
        <w:rPr>
          <w:rFonts w:ascii="Arial" w:hAnsi="Arial" w:cs="Arial"/>
          <w:noProof/>
          <w:lang w:val="es-ES_tradnl"/>
        </w:rPr>
      </w:pPr>
    </w:p>
    <w:p w14:paraId="7F01363B" w14:textId="77777777" w:rsidR="006F63AA" w:rsidRDefault="006F63AA" w:rsidP="006F63AA">
      <w:pPr>
        <w:spacing w:after="0" w:line="276" w:lineRule="auto"/>
        <w:jc w:val="center"/>
        <w:textAlignment w:val="baseline"/>
        <w:rPr>
          <w:rFonts w:ascii="Arial" w:hAnsi="Arial" w:cs="Arial"/>
          <w:noProof/>
          <w:lang w:val="es-ES_tradnl"/>
        </w:rPr>
      </w:pPr>
    </w:p>
    <w:p w14:paraId="6C8A75EF" w14:textId="73E74AD9" w:rsidR="006F63AA" w:rsidRDefault="004D53FD" w:rsidP="006F63AA">
      <w:pPr>
        <w:spacing w:after="0" w:line="276" w:lineRule="auto"/>
        <w:jc w:val="center"/>
        <w:textAlignment w:val="baseline"/>
        <w:rPr>
          <w:rFonts w:ascii="Arial" w:hAnsi="Arial" w:cs="Arial"/>
          <w:noProof/>
          <w:lang w:val="es-ES_tradnl"/>
        </w:rPr>
      </w:pPr>
      <w:r>
        <w:rPr>
          <w:noProof/>
        </w:rPr>
        <w:lastRenderedPageBreak/>
        <w:drawing>
          <wp:inline distT="0" distB="0" distL="0" distR="0" wp14:anchorId="5FA1DFC9" wp14:editId="60130213">
            <wp:extent cx="3161905" cy="1209524"/>
            <wp:effectExtent l="0" t="0" r="635" b="0"/>
            <wp:docPr id="4792311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31153" name="Imagen 1" descr="Texto&#10;&#10;Descripción generada automáticamente"/>
                    <pic:cNvPicPr/>
                  </pic:nvPicPr>
                  <pic:blipFill>
                    <a:blip r:embed="rId11"/>
                    <a:stretch>
                      <a:fillRect/>
                    </a:stretch>
                  </pic:blipFill>
                  <pic:spPr>
                    <a:xfrm>
                      <a:off x="0" y="0"/>
                      <a:ext cx="3161905" cy="1209524"/>
                    </a:xfrm>
                    <a:prstGeom prst="rect">
                      <a:avLst/>
                    </a:prstGeom>
                  </pic:spPr>
                </pic:pic>
              </a:graphicData>
            </a:graphic>
          </wp:inline>
        </w:drawing>
      </w:r>
    </w:p>
    <w:p w14:paraId="16DB3F72" w14:textId="77777777" w:rsidR="006F63AA" w:rsidRDefault="006F63AA" w:rsidP="006F63AA">
      <w:pPr>
        <w:spacing w:after="0" w:line="276" w:lineRule="auto"/>
        <w:jc w:val="center"/>
        <w:textAlignment w:val="baseline"/>
        <w:rPr>
          <w:rFonts w:ascii="Arial" w:hAnsi="Arial" w:cs="Arial"/>
          <w:noProof/>
          <w:lang w:val="es-ES_tradnl"/>
        </w:rPr>
      </w:pPr>
    </w:p>
    <w:p w14:paraId="741DC85C" w14:textId="77777777" w:rsidR="006F63AA" w:rsidRPr="00EC7BC2" w:rsidRDefault="006F63AA" w:rsidP="006F63AA">
      <w:pPr>
        <w:spacing w:after="0" w:line="276" w:lineRule="auto"/>
        <w:jc w:val="center"/>
        <w:textAlignment w:val="baseline"/>
        <w:rPr>
          <w:rFonts w:ascii="Arial" w:eastAsia="Times New Roman" w:hAnsi="Arial" w:cs="Arial"/>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6F63AA" w:rsidRPr="00EC7BC2" w14:paraId="5E82E3D6" w14:textId="77777777" w:rsidTr="00B802FF">
        <w:trPr>
          <w:trHeight w:val="315"/>
        </w:trPr>
        <w:tc>
          <w:tcPr>
            <w:tcW w:w="810" w:type="dxa"/>
            <w:tcBorders>
              <w:top w:val="nil"/>
              <w:left w:val="nil"/>
              <w:bottom w:val="nil"/>
              <w:right w:val="nil"/>
            </w:tcBorders>
            <w:vAlign w:val="center"/>
            <w:hideMark/>
          </w:tcPr>
          <w:p w14:paraId="359C6A5B"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Elaboró:</w:t>
            </w:r>
            <w:r w:rsidRPr="00EC7BC2">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4CA9057E" w14:textId="77777777" w:rsidR="006F63AA" w:rsidRPr="00EC7BC2" w:rsidRDefault="006F63AA" w:rsidP="00B802FF">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p>
          <w:p w14:paraId="0B4483D9" w14:textId="77777777" w:rsidR="006F63AA" w:rsidRPr="00EC7BC2" w:rsidRDefault="006F63AA" w:rsidP="00B802FF">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 xml:space="preserve">Contratista de la </w:t>
            </w:r>
            <w:r w:rsidRPr="00EC7BC2">
              <w:rPr>
                <w:rFonts w:ascii="Arial" w:eastAsia="Times New Roman" w:hAnsi="Arial" w:cs="Arial"/>
                <w:sz w:val="16"/>
                <w:szCs w:val="16"/>
                <w:lang w:eastAsia="es-CO"/>
              </w:rPr>
              <w:t>Subdirección de Gestión Contractual</w:t>
            </w:r>
          </w:p>
        </w:tc>
      </w:tr>
      <w:tr w:rsidR="006F63AA" w:rsidRPr="00EC7BC2" w14:paraId="7C0EDA4C" w14:textId="77777777" w:rsidTr="00B802FF">
        <w:trPr>
          <w:trHeight w:val="315"/>
        </w:trPr>
        <w:tc>
          <w:tcPr>
            <w:tcW w:w="810" w:type="dxa"/>
            <w:tcBorders>
              <w:top w:val="nil"/>
              <w:left w:val="nil"/>
              <w:bottom w:val="nil"/>
              <w:right w:val="nil"/>
            </w:tcBorders>
            <w:vAlign w:val="center"/>
            <w:hideMark/>
          </w:tcPr>
          <w:p w14:paraId="5E6B77EF"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Revisó: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BE4FAF1" w14:textId="59DC4CF8" w:rsidR="006F63AA" w:rsidRPr="00EC7BC2" w:rsidRDefault="00630817" w:rsidP="00B802FF">
            <w:pPr>
              <w:spacing w:after="0" w:line="240" w:lineRule="auto"/>
              <w:textAlignment w:val="baseline"/>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 xml:space="preserve">Juan David Cárdenas </w:t>
            </w:r>
            <w:r w:rsidR="006F63AA">
              <w:rPr>
                <w:rFonts w:ascii="Arial" w:eastAsia="Times New Roman" w:hAnsi="Arial" w:cs="Arial"/>
                <w:sz w:val="16"/>
                <w:szCs w:val="16"/>
                <w:lang w:val="es-ES_tradnl" w:eastAsia="es-CO"/>
              </w:rPr>
              <w:t xml:space="preserve"> </w:t>
            </w:r>
          </w:p>
          <w:p w14:paraId="1606220A" w14:textId="5E27FD12" w:rsidR="006F63AA" w:rsidRPr="00EC7BC2" w:rsidRDefault="006F63AA" w:rsidP="34DA82C5">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val="es-MX" w:eastAsia="es-CO"/>
              </w:rPr>
              <w:t xml:space="preserve">Contratista de la </w:t>
            </w:r>
            <w:r w:rsidRPr="34DA82C5">
              <w:rPr>
                <w:rFonts w:ascii="Arial" w:eastAsia="Times New Roman" w:hAnsi="Arial" w:cs="Arial"/>
                <w:sz w:val="16"/>
                <w:szCs w:val="16"/>
                <w:lang w:eastAsia="es-CO"/>
              </w:rPr>
              <w:t>Subdirección de Gestión Contractual</w:t>
            </w:r>
          </w:p>
          <w:p w14:paraId="4F69DBE5" w14:textId="739CCE93" w:rsidR="006F63AA" w:rsidRPr="00EC7BC2" w:rsidRDefault="5620BA2A" w:rsidP="34DA82C5">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Gabriel Mendoza</w:t>
            </w:r>
          </w:p>
          <w:p w14:paraId="7A7BD7B3" w14:textId="4A534F05" w:rsidR="006F63AA" w:rsidRPr="00EC7BC2" w:rsidRDefault="006F63AA" w:rsidP="00B802FF">
            <w:pPr>
              <w:spacing w:after="0" w:line="240" w:lineRule="auto"/>
              <w:textAlignment w:val="baseline"/>
              <w:rPr>
                <w:rFonts w:ascii="Arial" w:eastAsia="Times New Roman" w:hAnsi="Arial" w:cs="Arial"/>
                <w:sz w:val="16"/>
                <w:szCs w:val="16"/>
                <w:lang w:eastAsia="es-CO"/>
              </w:rPr>
            </w:pPr>
            <w:r w:rsidRPr="34DA82C5">
              <w:rPr>
                <w:rFonts w:ascii="Arial" w:eastAsia="Times New Roman" w:hAnsi="Arial" w:cs="Arial"/>
                <w:sz w:val="16"/>
                <w:szCs w:val="16"/>
                <w:lang w:eastAsia="es-CO"/>
              </w:rPr>
              <w:t xml:space="preserve">Contratista de la </w:t>
            </w:r>
            <w:r w:rsidRPr="26F7A1AA">
              <w:rPr>
                <w:rFonts w:ascii="Arial" w:eastAsia="Times New Roman" w:hAnsi="Arial" w:cs="Arial"/>
                <w:sz w:val="16"/>
                <w:szCs w:val="16"/>
                <w:lang w:eastAsia="es-CO"/>
              </w:rPr>
              <w:t>Subdirección de Gestión Contractual</w:t>
            </w:r>
          </w:p>
        </w:tc>
      </w:tr>
      <w:tr w:rsidR="006F63AA" w:rsidRPr="00EC7BC2" w14:paraId="65B17BCE" w14:textId="77777777" w:rsidTr="00B802FF">
        <w:trPr>
          <w:trHeight w:val="300"/>
        </w:trPr>
        <w:tc>
          <w:tcPr>
            <w:tcW w:w="810" w:type="dxa"/>
            <w:tcBorders>
              <w:top w:val="nil"/>
              <w:left w:val="nil"/>
              <w:bottom w:val="nil"/>
              <w:right w:val="nil"/>
            </w:tcBorders>
            <w:vAlign w:val="center"/>
            <w:hideMark/>
          </w:tcPr>
          <w:p w14:paraId="60D98194" w14:textId="77777777" w:rsidR="006F63AA" w:rsidRPr="00EC7BC2" w:rsidRDefault="006F63AA" w:rsidP="00B802FF">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Aprobó: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134D013B" w14:textId="77777777" w:rsidR="006F63AA" w:rsidRPr="00EC7BC2" w:rsidRDefault="006F63AA" w:rsidP="00B802FF">
            <w:pPr>
              <w:spacing w:after="0" w:line="240" w:lineRule="auto"/>
              <w:textAlignment w:val="baseline"/>
              <w:rPr>
                <w:rFonts w:ascii="Arial" w:eastAsia="Times New Roman" w:hAnsi="Arial" w:cs="Arial"/>
                <w:sz w:val="16"/>
                <w:szCs w:val="16"/>
                <w:lang w:val="es-ES_tradnl" w:eastAsia="es-CO"/>
              </w:rPr>
            </w:pPr>
            <w:r w:rsidRPr="00EC7BC2">
              <w:rPr>
                <w:rFonts w:ascii="Arial" w:eastAsia="Times New Roman" w:hAnsi="Arial" w:cs="Arial"/>
                <w:sz w:val="16"/>
                <w:szCs w:val="16"/>
                <w:lang w:val="es-ES_tradnl" w:eastAsia="es-CO"/>
              </w:rPr>
              <w:t>Nohelia del Carmen Zawady Palacio</w:t>
            </w:r>
          </w:p>
          <w:p w14:paraId="0C34EE95" w14:textId="77777777" w:rsidR="006F63AA" w:rsidRPr="00EC7BC2" w:rsidRDefault="006F63AA" w:rsidP="00B802FF">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ES_tradnl" w:eastAsia="es-CO"/>
              </w:rPr>
              <w:t>Subdirectora de Gestión Contractual ANCP-CCE</w:t>
            </w:r>
          </w:p>
        </w:tc>
      </w:tr>
      <w:bookmarkEnd w:id="2"/>
    </w:tbl>
    <w:p w14:paraId="64E77815" w14:textId="77777777" w:rsidR="006F63AA" w:rsidRPr="00EC7BC2" w:rsidRDefault="006F63AA" w:rsidP="006F63AA">
      <w:pPr>
        <w:spacing w:after="0" w:line="276" w:lineRule="auto"/>
        <w:jc w:val="both"/>
        <w:rPr>
          <w:rFonts w:ascii="Arial" w:hAnsi="Arial" w:cs="Arial"/>
          <w:sz w:val="21"/>
          <w:szCs w:val="21"/>
          <w:lang w:val="es-ES_tradnl"/>
        </w:rPr>
      </w:pPr>
    </w:p>
    <w:bookmarkEnd w:id="0"/>
    <w:p w14:paraId="0465BA6D" w14:textId="32C15F75" w:rsidR="00E245AB" w:rsidRPr="00322A85" w:rsidRDefault="00E245AB" w:rsidP="00E245AB">
      <w:pPr>
        <w:spacing w:after="0"/>
        <w:rPr>
          <w:rFonts w:ascii="Century Gothic" w:hAnsi="Century Gothic"/>
        </w:rPr>
      </w:pPr>
    </w:p>
    <w:sectPr w:rsidR="00E245AB" w:rsidRPr="00322A85" w:rsidSect="008F393E">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BED4" w14:textId="77777777" w:rsidR="008F393E" w:rsidRDefault="008F393E" w:rsidP="004A1847">
      <w:pPr>
        <w:spacing w:after="0" w:line="240" w:lineRule="auto"/>
      </w:pPr>
      <w:r>
        <w:separator/>
      </w:r>
    </w:p>
  </w:endnote>
  <w:endnote w:type="continuationSeparator" w:id="0">
    <w:p w14:paraId="566F089E" w14:textId="77777777" w:rsidR="008F393E" w:rsidRDefault="008F393E" w:rsidP="004A1847">
      <w:pPr>
        <w:spacing w:after="0" w:line="240" w:lineRule="auto"/>
      </w:pPr>
      <w:r>
        <w:continuationSeparator/>
      </w:r>
    </w:p>
  </w:endnote>
  <w:endnote w:type="continuationNotice" w:id="1">
    <w:p w14:paraId="309CF2CB" w14:textId="77777777" w:rsidR="008F393E" w:rsidRDefault="008F3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BB59" w14:textId="77777777" w:rsidR="008F393E" w:rsidRDefault="008F393E" w:rsidP="004A1847">
      <w:pPr>
        <w:spacing w:after="0" w:line="240" w:lineRule="auto"/>
      </w:pPr>
      <w:r>
        <w:separator/>
      </w:r>
    </w:p>
  </w:footnote>
  <w:footnote w:type="continuationSeparator" w:id="0">
    <w:p w14:paraId="7A83E4A2" w14:textId="77777777" w:rsidR="008F393E" w:rsidRDefault="008F393E" w:rsidP="004A1847">
      <w:pPr>
        <w:spacing w:after="0" w:line="240" w:lineRule="auto"/>
      </w:pPr>
      <w:r>
        <w:continuationSeparator/>
      </w:r>
    </w:p>
  </w:footnote>
  <w:footnote w:type="continuationNotice" w:id="1">
    <w:p w14:paraId="2EE8A41B" w14:textId="77777777" w:rsidR="008F393E" w:rsidRDefault="008F393E">
      <w:pPr>
        <w:spacing w:after="0" w:line="240" w:lineRule="auto"/>
      </w:pPr>
    </w:p>
  </w:footnote>
  <w:footnote w:id="2">
    <w:p w14:paraId="341EA7B5" w14:textId="77777777" w:rsidR="001D1369" w:rsidRPr="002E53DA" w:rsidRDefault="001D1369" w:rsidP="002E53DA">
      <w:pPr>
        <w:pStyle w:val="Textonotapie"/>
        <w:jc w:val="both"/>
        <w:rPr>
          <w:rFonts w:ascii="Arial" w:hAnsi="Arial" w:cs="Arial"/>
          <w:sz w:val="16"/>
          <w:szCs w:val="16"/>
        </w:rPr>
      </w:pPr>
      <w:r w:rsidRPr="002E53DA">
        <w:rPr>
          <w:rStyle w:val="Refdenotaalpie"/>
          <w:rFonts w:ascii="Arial" w:hAnsi="Arial" w:cs="Arial"/>
          <w:sz w:val="16"/>
          <w:szCs w:val="16"/>
        </w:rPr>
        <w:footnoteRef/>
      </w:r>
      <w:r w:rsidRPr="002E53DA">
        <w:rPr>
          <w:rFonts w:ascii="Arial" w:hAnsi="Arial"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E53DA">
          <w:rPr>
            <w:rStyle w:val="Hipervnculo"/>
            <w:rFonts w:ascii="Arial" w:hAnsi="Arial" w:cs="Arial"/>
            <w:sz w:val="16"/>
            <w:szCs w:val="16"/>
          </w:rPr>
          <w:t>https://relatoria.colombiacompra.gov.co/busqueda/conceptos</w:t>
        </w:r>
      </w:hyperlink>
      <w:r w:rsidRPr="002E53DA">
        <w:rPr>
          <w:rStyle w:val="Hipervnculo"/>
          <w:rFonts w:ascii="Arial" w:hAnsi="Arial" w:cs="Arial"/>
          <w:sz w:val="16"/>
          <w:szCs w:val="16"/>
        </w:rPr>
        <w:t xml:space="preserve">. </w:t>
      </w:r>
      <w:r w:rsidRPr="002E53DA">
        <w:rPr>
          <w:rFonts w:ascii="Arial" w:hAnsi="Arial" w:cs="Arial"/>
          <w:sz w:val="16"/>
          <w:szCs w:val="16"/>
          <w:shd w:val="clear" w:color="auto" w:fill="E6E6E6"/>
        </w:rPr>
        <w:t xml:space="preserve"> </w:t>
      </w:r>
    </w:p>
  </w:footnote>
  <w:footnote w:id="3">
    <w:p w14:paraId="3EC34BA1" w14:textId="77777777" w:rsidR="001D1369" w:rsidRPr="008B3ADB" w:rsidRDefault="001D1369" w:rsidP="002E53DA">
      <w:pPr>
        <w:pStyle w:val="Textonotapie"/>
        <w:jc w:val="both"/>
        <w:rPr>
          <w:rFonts w:ascii="Century Gothic" w:hAnsi="Century Gothic" w:cs="Arial"/>
          <w:sz w:val="16"/>
          <w:szCs w:val="16"/>
          <w:lang w:val="es-ES_tradnl"/>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pt-BR"/>
        </w:rPr>
        <w:t>CORTE CONSTITUCIONAL. Sentencia C-1016 de 2012. M.P. Jorge Iván Palacio.</w:t>
      </w:r>
    </w:p>
  </w:footnote>
  <w:footnote w:id="4">
    <w:p w14:paraId="65394251" w14:textId="77777777" w:rsidR="001D1369" w:rsidRPr="001D1369" w:rsidRDefault="001D1369" w:rsidP="002E53DA">
      <w:pPr>
        <w:pStyle w:val="Textonotapie"/>
        <w:jc w:val="both"/>
        <w:rPr>
          <w:rFonts w:ascii="Arial" w:hAnsi="Arial" w:cs="Arial"/>
          <w:sz w:val="16"/>
          <w:szCs w:val="16"/>
          <w:lang w:val="pt-BR"/>
        </w:rPr>
      </w:pPr>
      <w:r w:rsidRPr="001D1369">
        <w:rPr>
          <w:rStyle w:val="Refdenotaalpie"/>
          <w:rFonts w:ascii="Arial" w:hAnsi="Arial" w:cs="Arial"/>
          <w:sz w:val="16"/>
          <w:szCs w:val="16"/>
        </w:rPr>
        <w:footnoteRef/>
      </w:r>
      <w:r w:rsidRPr="001D1369">
        <w:rPr>
          <w:rFonts w:ascii="Arial" w:hAnsi="Arial" w:cs="Arial"/>
          <w:sz w:val="16"/>
          <w:szCs w:val="16"/>
        </w:rPr>
        <w:t xml:space="preserve"> CONSEJO DE ESTADO. Sección Tercera. Subsección A. Sentencia del 13 de noviembre de 2013. </w:t>
      </w:r>
      <w:r w:rsidRPr="001D1369">
        <w:rPr>
          <w:rFonts w:ascii="Arial" w:hAnsi="Arial" w:cs="Arial"/>
          <w:sz w:val="16"/>
          <w:szCs w:val="16"/>
          <w:lang w:val="pt-BR"/>
        </w:rPr>
        <w:t>Rad. 25.646. C.P. Mauricio Fajardo Gómez.</w:t>
      </w:r>
    </w:p>
  </w:footnote>
  <w:footnote w:id="5">
    <w:p w14:paraId="60B20DAB" w14:textId="77777777" w:rsidR="001D1369" w:rsidRPr="008B3ADB" w:rsidRDefault="001D1369" w:rsidP="002E53DA">
      <w:pPr>
        <w:pStyle w:val="Textonotapie"/>
        <w:jc w:val="both"/>
        <w:rPr>
          <w:rFonts w:ascii="Century Gothic" w:hAnsi="Century Gothic" w:cs="Arial"/>
          <w:sz w:val="16"/>
          <w:szCs w:val="16"/>
          <w:lang w:val="es-ES_tradnl"/>
        </w:rPr>
      </w:pPr>
      <w:r w:rsidRPr="001D1369">
        <w:rPr>
          <w:rStyle w:val="Refdenotaalpie"/>
          <w:rFonts w:ascii="Arial" w:hAnsi="Arial" w:cs="Arial"/>
          <w:sz w:val="16"/>
          <w:szCs w:val="16"/>
        </w:rPr>
        <w:footnoteRef/>
      </w:r>
      <w:r w:rsidRPr="001D1369">
        <w:rPr>
          <w:rFonts w:ascii="Arial" w:hAnsi="Arial" w:cs="Arial"/>
          <w:sz w:val="16"/>
          <w:szCs w:val="16"/>
        </w:rPr>
        <w:t xml:space="preserve"> </w:t>
      </w:r>
      <w:r w:rsidRPr="001D1369">
        <w:rPr>
          <w:rFonts w:ascii="Arial" w:hAnsi="Arial" w:cs="Arial"/>
          <w:sz w:val="16"/>
          <w:szCs w:val="16"/>
          <w:lang w:val="pt-BR"/>
        </w:rPr>
        <w:t>CORTE CONSTITUCIONAL. Sentencia C-415 de 1994. M.P. Eduardo Cifuentes Muñoz.</w:t>
      </w:r>
    </w:p>
  </w:footnote>
  <w:footnote w:id="6">
    <w:p w14:paraId="29C336B5" w14:textId="77777777" w:rsidR="001D1369" w:rsidRPr="002E53DA" w:rsidRDefault="001D1369" w:rsidP="002E53DA">
      <w:pPr>
        <w:pStyle w:val="Textonotapie"/>
        <w:jc w:val="both"/>
        <w:rPr>
          <w:rFonts w:ascii="Arial" w:hAnsi="Arial" w:cs="Arial"/>
          <w:sz w:val="16"/>
          <w:szCs w:val="16"/>
          <w:lang w:val="pt-BR"/>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pt-BR"/>
        </w:rPr>
        <w:t>Ibídem.</w:t>
      </w:r>
    </w:p>
  </w:footnote>
  <w:footnote w:id="7">
    <w:p w14:paraId="41169293" w14:textId="77777777" w:rsidR="001D1369" w:rsidRPr="008B3ADB" w:rsidRDefault="001D1369" w:rsidP="002E53DA">
      <w:pPr>
        <w:pStyle w:val="Textonotapie"/>
        <w:jc w:val="both"/>
        <w:rPr>
          <w:rFonts w:ascii="Century Gothic" w:hAnsi="Century Gothic" w:cs="Arial"/>
          <w:sz w:val="16"/>
          <w:szCs w:val="16"/>
          <w:lang w:val="es-CO"/>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pt-BR"/>
        </w:rPr>
        <w:t xml:space="preserve">CORTE CONSTITUCIONAL. </w:t>
      </w:r>
      <w:r w:rsidRPr="002E53DA">
        <w:rPr>
          <w:rFonts w:ascii="Arial" w:hAnsi="Arial" w:cs="Arial"/>
          <w:sz w:val="16"/>
          <w:szCs w:val="16"/>
        </w:rPr>
        <w:t xml:space="preserve">Sentencia C-780 de 2001. </w:t>
      </w:r>
      <w:r w:rsidRPr="002E53DA">
        <w:rPr>
          <w:rFonts w:ascii="Arial" w:hAnsi="Arial" w:cs="Arial"/>
          <w:sz w:val="16"/>
          <w:szCs w:val="16"/>
          <w:lang w:val="es-CO"/>
        </w:rPr>
        <w:t>M.P. Jaime Córdoba Triviño.</w:t>
      </w:r>
      <w:r w:rsidRPr="008B3ADB">
        <w:rPr>
          <w:rFonts w:ascii="Century Gothic" w:hAnsi="Century Gothic" w:cs="Arial"/>
          <w:sz w:val="16"/>
          <w:szCs w:val="16"/>
          <w:lang w:val="es-CO"/>
        </w:rPr>
        <w:t xml:space="preserve"> </w:t>
      </w:r>
    </w:p>
  </w:footnote>
  <w:footnote w:id="8">
    <w:p w14:paraId="1A01DC8F" w14:textId="77777777" w:rsidR="001D1369" w:rsidRPr="002E53DA" w:rsidRDefault="001D1369" w:rsidP="002E53DA">
      <w:pPr>
        <w:pStyle w:val="Textonotapie"/>
        <w:jc w:val="both"/>
        <w:rPr>
          <w:rFonts w:ascii="Arial" w:hAnsi="Arial" w:cs="Arial"/>
          <w:sz w:val="16"/>
          <w:szCs w:val="16"/>
        </w:rPr>
      </w:pPr>
      <w:r w:rsidRPr="002E53DA">
        <w:rPr>
          <w:rStyle w:val="Refdenotaalpie"/>
          <w:rFonts w:ascii="Arial" w:hAnsi="Arial" w:cs="Arial"/>
          <w:sz w:val="16"/>
          <w:szCs w:val="16"/>
        </w:rPr>
        <w:footnoteRef/>
      </w:r>
      <w:r w:rsidRPr="002E53DA">
        <w:rPr>
          <w:rFonts w:ascii="Arial" w:hAnsi="Arial" w:cs="Arial"/>
          <w:sz w:val="16"/>
          <w:szCs w:val="16"/>
        </w:rPr>
        <w:t xml:space="preserve"> Código Civil: “Artículo 1502. Requisitos para obligarse. Para que una persona se obligue a otra por un acto o declaración de voluntad, es necesario:</w:t>
      </w:r>
    </w:p>
    <w:p w14:paraId="5477148B" w14:textId="77777777" w:rsidR="001D1369" w:rsidRPr="002E53DA" w:rsidRDefault="001D1369" w:rsidP="002E53DA">
      <w:pPr>
        <w:pStyle w:val="Textonotapie"/>
        <w:jc w:val="both"/>
        <w:rPr>
          <w:rFonts w:ascii="Arial" w:hAnsi="Arial" w:cs="Arial"/>
          <w:sz w:val="16"/>
          <w:szCs w:val="16"/>
        </w:rPr>
      </w:pPr>
      <w:r w:rsidRPr="002E53DA">
        <w:rPr>
          <w:rFonts w:ascii="Arial" w:hAnsi="Arial" w:cs="Arial"/>
          <w:sz w:val="16"/>
          <w:szCs w:val="16"/>
        </w:rPr>
        <w:t>1o.) que sea legalmente capaz.</w:t>
      </w:r>
    </w:p>
    <w:p w14:paraId="775BF3FB" w14:textId="77777777" w:rsidR="001D1369" w:rsidRPr="002E53DA" w:rsidRDefault="001D1369" w:rsidP="002E53DA">
      <w:pPr>
        <w:pStyle w:val="Textonotapie"/>
        <w:jc w:val="both"/>
        <w:rPr>
          <w:rFonts w:ascii="Arial" w:hAnsi="Arial" w:cs="Arial"/>
          <w:sz w:val="16"/>
          <w:szCs w:val="16"/>
        </w:rPr>
      </w:pPr>
      <w:r w:rsidRPr="002E53DA">
        <w:rPr>
          <w:rFonts w:ascii="Arial" w:hAnsi="Arial" w:cs="Arial"/>
          <w:sz w:val="16"/>
          <w:szCs w:val="16"/>
        </w:rPr>
        <w:t>[…]</w:t>
      </w:r>
    </w:p>
    <w:p w14:paraId="1DABDC12" w14:textId="77777777" w:rsidR="001D1369" w:rsidRPr="002E53DA" w:rsidRDefault="001D1369" w:rsidP="002E53DA">
      <w:pPr>
        <w:pStyle w:val="Textonotapie"/>
        <w:jc w:val="both"/>
        <w:rPr>
          <w:rFonts w:ascii="Arial" w:hAnsi="Arial" w:cs="Arial"/>
          <w:sz w:val="16"/>
          <w:szCs w:val="16"/>
        </w:rPr>
      </w:pPr>
      <w:r w:rsidRPr="002E53DA">
        <w:rPr>
          <w:rFonts w:ascii="Arial" w:hAnsi="Arial" w:cs="Arial"/>
          <w:sz w:val="16"/>
          <w:szCs w:val="16"/>
        </w:rPr>
        <w:t>La capacidad legal de una persona consiste en poderse obligar por sí misma, sin el ministerio o la autorización de otra”.</w:t>
      </w:r>
    </w:p>
  </w:footnote>
  <w:footnote w:id="9">
    <w:p w14:paraId="652669FD" w14:textId="77777777" w:rsidR="001D1369" w:rsidRPr="002E53DA" w:rsidRDefault="001D1369" w:rsidP="002E53DA">
      <w:pPr>
        <w:pStyle w:val="Textonotapie"/>
        <w:jc w:val="both"/>
        <w:rPr>
          <w:rFonts w:ascii="Arial" w:hAnsi="Arial" w:cs="Arial"/>
          <w:sz w:val="16"/>
          <w:szCs w:val="16"/>
        </w:rPr>
      </w:pPr>
      <w:r w:rsidRPr="002E53DA">
        <w:rPr>
          <w:rStyle w:val="Refdenotaalpie"/>
          <w:rFonts w:ascii="Arial" w:hAnsi="Arial" w:cs="Arial"/>
          <w:sz w:val="16"/>
          <w:szCs w:val="16"/>
        </w:rPr>
        <w:footnoteRef/>
      </w:r>
      <w:r w:rsidRPr="002E53DA">
        <w:rPr>
          <w:rFonts w:ascii="Arial" w:hAnsi="Arial" w:cs="Arial"/>
          <w:sz w:val="16"/>
          <w:szCs w:val="16"/>
        </w:rPr>
        <w:t xml:space="preserve"> Decreto Ley 19 de 2012: “Artículo 221. El artículo 6 de la Ley 1150 de 2007, quedará así:</w:t>
      </w:r>
    </w:p>
    <w:p w14:paraId="0DBD0BBE" w14:textId="77777777" w:rsidR="001D1369" w:rsidRPr="002E53DA" w:rsidRDefault="001D1369" w:rsidP="002E53DA">
      <w:pPr>
        <w:pStyle w:val="Textonotapie"/>
        <w:jc w:val="both"/>
        <w:rPr>
          <w:rFonts w:ascii="Arial" w:hAnsi="Arial" w:cs="Arial"/>
          <w:sz w:val="16"/>
          <w:szCs w:val="16"/>
          <w:lang w:val="es-ES"/>
        </w:rPr>
      </w:pPr>
      <w:r w:rsidRPr="002E53DA">
        <w:rPr>
          <w:rFonts w:ascii="Arial" w:hAnsi="Arial" w:cs="Arial"/>
          <w:sz w:val="16"/>
          <w:szCs w:val="16"/>
        </w:rPr>
        <w:t>Artículo 6. De la verificación de las condiciones de los proponentes. T</w:t>
      </w:r>
      <w:r w:rsidRPr="002E53DA">
        <w:rPr>
          <w:rFonts w:ascii="Arial" w:hAnsi="Arial" w:cs="Arial"/>
          <w:sz w:val="16"/>
          <w:szCs w:val="16"/>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8784307" w14:textId="77777777" w:rsidR="001D1369" w:rsidRPr="002E53DA" w:rsidRDefault="001D1369" w:rsidP="002E53DA">
      <w:pPr>
        <w:pStyle w:val="Textonotapie"/>
        <w:jc w:val="both"/>
        <w:rPr>
          <w:rFonts w:ascii="Arial" w:hAnsi="Arial" w:cs="Arial"/>
          <w:sz w:val="16"/>
          <w:szCs w:val="16"/>
          <w:lang w:val="es-ES"/>
        </w:rPr>
      </w:pPr>
      <w:r w:rsidRPr="002E53DA">
        <w:rPr>
          <w:rFonts w:ascii="Arial" w:hAnsi="Arial" w:cs="Arial"/>
          <w:sz w:val="16"/>
          <w:szCs w:val="16"/>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0">
    <w:p w14:paraId="28B03691" w14:textId="77777777" w:rsidR="001D1369" w:rsidRPr="002E53DA" w:rsidRDefault="001D1369" w:rsidP="002E53DA">
      <w:pPr>
        <w:pStyle w:val="Textonotapie"/>
        <w:jc w:val="both"/>
        <w:rPr>
          <w:rFonts w:ascii="Arial" w:hAnsi="Arial" w:cs="Arial"/>
          <w:sz w:val="16"/>
          <w:szCs w:val="16"/>
          <w:lang w:val="es-ES"/>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2E53DA">
        <w:rPr>
          <w:rFonts w:ascii="Arial" w:hAnsi="Arial" w:cs="Arial"/>
          <w:i/>
          <w:iCs/>
          <w:sz w:val="16"/>
          <w:szCs w:val="16"/>
          <w:lang w:val="es-ES"/>
        </w:rPr>
        <w:t>el régimen de inhabilidades e incompatibilidades</w:t>
      </w:r>
      <w:r w:rsidRPr="002E53DA">
        <w:rPr>
          <w:rFonts w:ascii="Arial" w:hAnsi="Arial" w:cs="Arial"/>
          <w:sz w:val="16"/>
          <w:szCs w:val="16"/>
          <w:lang w:val="es-ES"/>
        </w:rPr>
        <w:t xml:space="preserve"> (1) y la obligación de ciertos proponentes de inscribirse en el </w:t>
      </w:r>
      <w:r w:rsidRPr="002E53DA">
        <w:rPr>
          <w:rFonts w:ascii="Arial" w:hAnsi="Arial" w:cs="Arial"/>
          <w:i/>
          <w:iCs/>
          <w:sz w:val="16"/>
          <w:szCs w:val="16"/>
          <w:lang w:val="es-ES"/>
        </w:rPr>
        <w:t>registro único</w:t>
      </w:r>
      <w:r w:rsidRPr="002E53DA">
        <w:rPr>
          <w:rFonts w:ascii="Arial" w:hAnsi="Arial" w:cs="Arial"/>
          <w:sz w:val="16"/>
          <w:szCs w:val="16"/>
          <w:lang w:val="es-ES"/>
        </w:rPr>
        <w:t xml:space="preserve"> (2)” (BENAVIDES, José Luis. El contrato estatal. Entre el Derecho público y el Derecho privado. 2ª ed. Bogotá: Universidad Externado de Colombia, 2004. p. 278). </w:t>
      </w:r>
    </w:p>
  </w:footnote>
  <w:footnote w:id="11">
    <w:p w14:paraId="0B2A160C" w14:textId="77777777" w:rsidR="001D1369" w:rsidRPr="002E53DA" w:rsidRDefault="001D1369" w:rsidP="002E53DA">
      <w:pPr>
        <w:pStyle w:val="Textonotapie"/>
        <w:jc w:val="both"/>
        <w:rPr>
          <w:rFonts w:ascii="Arial" w:hAnsi="Arial" w:cs="Arial"/>
          <w:sz w:val="16"/>
          <w:szCs w:val="16"/>
          <w:lang w:val="es-ES"/>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es-ES"/>
        </w:rPr>
        <w:t>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footnote>
  <w:footnote w:id="12">
    <w:p w14:paraId="689C74C4" w14:textId="77777777" w:rsidR="001D1369" w:rsidRPr="002E53DA" w:rsidRDefault="001D1369" w:rsidP="001D1369">
      <w:pPr>
        <w:pStyle w:val="Textonotapie"/>
        <w:ind w:firstLine="709"/>
        <w:jc w:val="both"/>
        <w:rPr>
          <w:rFonts w:ascii="Arial" w:hAnsi="Arial" w:cs="Arial"/>
          <w:sz w:val="16"/>
          <w:szCs w:val="16"/>
        </w:rPr>
      </w:pPr>
      <w:r w:rsidRPr="002E53DA">
        <w:rPr>
          <w:rStyle w:val="Refdenotaalpie"/>
          <w:rFonts w:ascii="Arial" w:hAnsi="Arial" w:cs="Arial"/>
          <w:sz w:val="16"/>
          <w:szCs w:val="16"/>
        </w:rPr>
        <w:footnoteRef/>
      </w:r>
      <w:r w:rsidRPr="002E53DA">
        <w:rPr>
          <w:rFonts w:ascii="Arial" w:hAnsi="Arial" w:cs="Arial"/>
          <w:sz w:val="16"/>
          <w:szCs w:val="16"/>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3">
    <w:p w14:paraId="55387C10" w14:textId="77777777" w:rsidR="001D1369" w:rsidRPr="002E53DA" w:rsidRDefault="001D1369" w:rsidP="001D1369">
      <w:pPr>
        <w:pStyle w:val="Textonotapie"/>
        <w:ind w:firstLine="709"/>
        <w:jc w:val="both"/>
        <w:rPr>
          <w:rFonts w:ascii="Arial" w:hAnsi="Arial" w:cs="Arial"/>
          <w:sz w:val="16"/>
          <w:szCs w:val="16"/>
          <w:lang w:val="es-ES"/>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4">
    <w:p w14:paraId="72FC4B20" w14:textId="77777777" w:rsidR="001D1369" w:rsidRPr="002E53DA" w:rsidRDefault="001D1369" w:rsidP="001D1369">
      <w:pPr>
        <w:pStyle w:val="Textonotapie"/>
        <w:ind w:firstLine="709"/>
        <w:jc w:val="both"/>
        <w:rPr>
          <w:rFonts w:ascii="Arial" w:hAnsi="Arial" w:cs="Arial"/>
          <w:sz w:val="16"/>
          <w:szCs w:val="16"/>
          <w:lang w:val="es-ES"/>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es-ES"/>
        </w:rPr>
        <w:t>Ibídem. p. 69.</w:t>
      </w:r>
    </w:p>
  </w:footnote>
  <w:footnote w:id="15">
    <w:p w14:paraId="53DAF83F" w14:textId="77777777" w:rsidR="001D1369" w:rsidRPr="002E53DA" w:rsidRDefault="001D1369" w:rsidP="001D1369">
      <w:pPr>
        <w:pStyle w:val="Textonotapie"/>
        <w:ind w:firstLine="709"/>
        <w:jc w:val="both"/>
        <w:rPr>
          <w:rFonts w:ascii="Arial" w:hAnsi="Arial" w:cs="Arial"/>
          <w:sz w:val="16"/>
          <w:szCs w:val="16"/>
          <w:lang w:val="es-ES"/>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16">
    <w:p w14:paraId="127258D7" w14:textId="77777777" w:rsidR="001D1369" w:rsidRPr="002E53DA" w:rsidRDefault="001D1369" w:rsidP="001D1369">
      <w:pPr>
        <w:pStyle w:val="Textonotapie"/>
        <w:ind w:firstLine="709"/>
        <w:jc w:val="both"/>
        <w:rPr>
          <w:rFonts w:ascii="Arial" w:hAnsi="Arial" w:cs="Arial"/>
          <w:sz w:val="16"/>
          <w:szCs w:val="16"/>
          <w:lang w:val="es-ES"/>
        </w:rPr>
      </w:pPr>
      <w:r w:rsidRPr="002E53DA">
        <w:rPr>
          <w:rStyle w:val="Refdenotaalpie"/>
          <w:rFonts w:ascii="Arial" w:hAnsi="Arial" w:cs="Arial"/>
          <w:sz w:val="16"/>
          <w:szCs w:val="16"/>
        </w:rPr>
        <w:footnoteRef/>
      </w:r>
      <w:r w:rsidRPr="002E53DA">
        <w:rPr>
          <w:rFonts w:ascii="Arial" w:hAnsi="Arial" w:cs="Arial"/>
          <w:sz w:val="16"/>
          <w:szCs w:val="16"/>
        </w:rPr>
        <w:t xml:space="preserve"> </w:t>
      </w:r>
      <w:r w:rsidRPr="002E53DA">
        <w:rPr>
          <w:rFonts w:ascii="Arial" w:hAnsi="Arial" w:cs="Arial"/>
          <w:sz w:val="16"/>
          <w:szCs w:val="16"/>
          <w:lang w:val="es-ES"/>
        </w:rPr>
        <w:t>CONSEJO DE ESTADO. Sala de Consulta y Servicio Civil. Concepto del 30 de abril de 2015. Exp. 2251. C.P. Álvaro Namén Vargas.</w:t>
      </w:r>
    </w:p>
  </w:footnote>
  <w:footnote w:id="17">
    <w:p w14:paraId="47C6DC50" w14:textId="77777777" w:rsidR="001D1369" w:rsidRPr="008B3ADB" w:rsidRDefault="001D1369" w:rsidP="001D1369">
      <w:pPr>
        <w:pStyle w:val="Textonotapie"/>
        <w:ind w:firstLine="709"/>
        <w:jc w:val="both"/>
        <w:rPr>
          <w:rFonts w:ascii="Century Gothic" w:hAnsi="Century Gothic" w:cs="Arial"/>
          <w:sz w:val="16"/>
          <w:szCs w:val="16"/>
        </w:rPr>
      </w:pPr>
      <w:r w:rsidRPr="002E53DA">
        <w:rPr>
          <w:rStyle w:val="Refdenotaalpie"/>
          <w:rFonts w:ascii="Arial" w:hAnsi="Arial" w:cs="Arial"/>
          <w:sz w:val="16"/>
          <w:szCs w:val="16"/>
        </w:rPr>
        <w:footnoteRef/>
      </w:r>
      <w:r w:rsidRPr="002E53DA">
        <w:rPr>
          <w:rFonts w:ascii="Arial" w:hAnsi="Arial" w:cs="Arial"/>
          <w:sz w:val="16"/>
          <w:szCs w:val="16"/>
        </w:rPr>
        <w:t xml:space="preserve"> CONSEJO DE ESTADO. Sección Tercera. Subsección A. Sentencia del 24 de junio de 2015. Exp. 40.635. C.P. Hernán Andrade Rincón (E).</w:t>
      </w:r>
    </w:p>
  </w:footnote>
  <w:footnote w:id="18">
    <w:p w14:paraId="32FEC959" w14:textId="77777777" w:rsidR="001D1369" w:rsidRPr="009C02FD" w:rsidRDefault="001D1369" w:rsidP="009C02FD">
      <w:pPr>
        <w:pStyle w:val="Textonotapie"/>
        <w:jc w:val="both"/>
        <w:rPr>
          <w:rFonts w:ascii="Arial" w:hAnsi="Arial" w:cs="Arial"/>
          <w:sz w:val="16"/>
          <w:szCs w:val="16"/>
          <w:lang w:val="es-ES_tradnl"/>
        </w:rPr>
      </w:pPr>
      <w:r w:rsidRPr="009C02FD">
        <w:rPr>
          <w:rStyle w:val="Refdenotaalpie"/>
          <w:rFonts w:ascii="Arial" w:hAnsi="Arial" w:cs="Arial"/>
          <w:sz w:val="16"/>
          <w:szCs w:val="16"/>
        </w:rPr>
        <w:footnoteRef/>
      </w:r>
      <w:r w:rsidRPr="009C02FD">
        <w:rPr>
          <w:rFonts w:ascii="Arial" w:hAnsi="Arial" w:cs="Arial"/>
          <w:sz w:val="16"/>
          <w:szCs w:val="16"/>
        </w:rPr>
        <w:t xml:space="preserve"> CONSEJO DE ESTADO. Sección Tercera. Subsección C. Sentencia del 22 de mayo de 2013. Rad. 24.057. C.P. Olga Mélida Valle De De La Hoz. </w:t>
      </w:r>
    </w:p>
  </w:footnote>
  <w:footnote w:id="19">
    <w:p w14:paraId="737F1E77" w14:textId="77777777" w:rsidR="001D1369" w:rsidRPr="009C02FD" w:rsidRDefault="001D1369" w:rsidP="009C02FD">
      <w:pPr>
        <w:pStyle w:val="Textonotapie"/>
        <w:jc w:val="both"/>
        <w:rPr>
          <w:rFonts w:ascii="Arial" w:hAnsi="Arial" w:cs="Arial"/>
          <w:sz w:val="16"/>
          <w:szCs w:val="16"/>
          <w:lang w:val="pt-BR"/>
        </w:rPr>
      </w:pPr>
      <w:r w:rsidRPr="009C02FD">
        <w:rPr>
          <w:rStyle w:val="Refdenotaalpie"/>
          <w:rFonts w:ascii="Arial" w:hAnsi="Arial" w:cs="Arial"/>
          <w:sz w:val="16"/>
          <w:szCs w:val="16"/>
        </w:rPr>
        <w:footnoteRef/>
      </w:r>
      <w:r w:rsidRPr="009C02FD">
        <w:rPr>
          <w:rFonts w:ascii="Arial" w:hAnsi="Arial" w:cs="Arial"/>
          <w:sz w:val="16"/>
          <w:szCs w:val="16"/>
        </w:rPr>
        <w:t xml:space="preserve"> </w:t>
      </w:r>
      <w:r w:rsidRPr="009C02FD">
        <w:rPr>
          <w:rFonts w:ascii="Arial" w:hAnsi="Arial" w:cs="Arial"/>
          <w:sz w:val="16"/>
          <w:szCs w:val="16"/>
          <w:lang w:val="pt-BR"/>
        </w:rPr>
        <w:t>Corte Constitucional. Sentencia C-415 de 1994. M.P. Eduardo Cifuentes Muñoz.</w:t>
      </w:r>
    </w:p>
  </w:footnote>
  <w:footnote w:id="20">
    <w:p w14:paraId="331D9F1E" w14:textId="00D5EFB3" w:rsidR="009C02FD" w:rsidRPr="009C02FD" w:rsidRDefault="009C02FD" w:rsidP="009C02FD">
      <w:pPr>
        <w:pStyle w:val="Textonotapie"/>
        <w:rPr>
          <w:lang w:val="es-ES"/>
        </w:rPr>
      </w:pPr>
      <w:r w:rsidRPr="009C02FD">
        <w:rPr>
          <w:rStyle w:val="Refdenotaalpie"/>
          <w:rFonts w:ascii="Arial" w:hAnsi="Arial" w:cs="Arial"/>
          <w:sz w:val="16"/>
          <w:szCs w:val="16"/>
        </w:rPr>
        <w:footnoteRef/>
      </w:r>
      <w:r w:rsidRPr="009C02FD">
        <w:rPr>
          <w:rFonts w:ascii="Arial" w:hAnsi="Arial" w:cs="Arial"/>
          <w:sz w:val="16"/>
          <w:szCs w:val="16"/>
        </w:rPr>
        <w:t xml:space="preserve"> </w:t>
      </w:r>
      <w:r w:rsidRPr="009C02FD">
        <w:rPr>
          <w:rFonts w:ascii="Arial" w:hAnsi="Arial" w:cs="Arial"/>
          <w:sz w:val="16"/>
          <w:szCs w:val="16"/>
          <w:lang w:val="es-ES"/>
        </w:rPr>
        <w:t xml:space="preserve"> Consejo de Estado Sentencia proferida dentro del Expediente N°: 11001-03-15-000-2010-00990-00(PI) Demandante: Cesar Julio Gordillo Núñez</w:t>
      </w:r>
    </w:p>
  </w:footnote>
  <w:footnote w:id="21">
    <w:p w14:paraId="0998E821" w14:textId="1323B70C" w:rsidR="00B74BDA" w:rsidRPr="00B74BDA" w:rsidRDefault="00B74BDA">
      <w:pPr>
        <w:pStyle w:val="Textonotapie"/>
        <w:rPr>
          <w:rFonts w:ascii="Arial" w:hAnsi="Arial" w:cs="Arial"/>
          <w:lang w:val="es-ES"/>
        </w:rPr>
      </w:pPr>
      <w:r w:rsidRPr="00B74BDA">
        <w:rPr>
          <w:rStyle w:val="Refdenotaalpie"/>
          <w:rFonts w:ascii="Arial" w:hAnsi="Arial" w:cs="Arial"/>
        </w:rPr>
        <w:footnoteRef/>
      </w:r>
      <w:r w:rsidRPr="00B74BDA">
        <w:rPr>
          <w:rFonts w:ascii="Arial" w:hAnsi="Arial" w:cs="Arial"/>
        </w:rPr>
        <w:t xml:space="preserve"> </w:t>
      </w:r>
      <w:r>
        <w:rPr>
          <w:rFonts w:ascii="Arial" w:hAnsi="Arial" w:cs="Arial"/>
        </w:rPr>
        <w:t>S</w:t>
      </w:r>
      <w:r w:rsidRPr="00B74BDA">
        <w:rPr>
          <w:rFonts w:ascii="Arial" w:hAnsi="Arial" w:cs="Arial"/>
        </w:rPr>
        <w:t>ala de Casación Penal de la Corte Suprema de Justicia, en sentencia de fecha 24 de agosto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96B80"/>
    <w:multiLevelType w:val="hybridMultilevel"/>
    <w:tmpl w:val="64E28918"/>
    <w:lvl w:ilvl="0" w:tplc="4E163AB4">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985312460">
    <w:abstractNumId w:val="0"/>
  </w:num>
  <w:num w:numId="17" w16cid:durableId="1920558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6A7B"/>
    <w:rsid w:val="00017E5B"/>
    <w:rsid w:val="0004436C"/>
    <w:rsid w:val="00053B47"/>
    <w:rsid w:val="00055FAF"/>
    <w:rsid w:val="00061B2A"/>
    <w:rsid w:val="000705DC"/>
    <w:rsid w:val="000713D6"/>
    <w:rsid w:val="00082362"/>
    <w:rsid w:val="00093619"/>
    <w:rsid w:val="000958FF"/>
    <w:rsid w:val="000A683E"/>
    <w:rsid w:val="000B19B9"/>
    <w:rsid w:val="000B6C17"/>
    <w:rsid w:val="000D0334"/>
    <w:rsid w:val="000F6486"/>
    <w:rsid w:val="00101DB7"/>
    <w:rsid w:val="00125105"/>
    <w:rsid w:val="00127233"/>
    <w:rsid w:val="001B6F9E"/>
    <w:rsid w:val="001C1411"/>
    <w:rsid w:val="001D1369"/>
    <w:rsid w:val="001D2124"/>
    <w:rsid w:val="001E4177"/>
    <w:rsid w:val="001E458B"/>
    <w:rsid w:val="001E7337"/>
    <w:rsid w:val="001F64E4"/>
    <w:rsid w:val="001F7DC6"/>
    <w:rsid w:val="00214851"/>
    <w:rsid w:val="002421BB"/>
    <w:rsid w:val="002707A2"/>
    <w:rsid w:val="002951A0"/>
    <w:rsid w:val="002962BC"/>
    <w:rsid w:val="002A093D"/>
    <w:rsid w:val="002A0DD0"/>
    <w:rsid w:val="002A49AC"/>
    <w:rsid w:val="002A64FD"/>
    <w:rsid w:val="002C7A84"/>
    <w:rsid w:val="002D5D57"/>
    <w:rsid w:val="002E18B9"/>
    <w:rsid w:val="002E4FD9"/>
    <w:rsid w:val="002E53DA"/>
    <w:rsid w:val="00322A85"/>
    <w:rsid w:val="00334812"/>
    <w:rsid w:val="003448F4"/>
    <w:rsid w:val="003716F5"/>
    <w:rsid w:val="00374F5E"/>
    <w:rsid w:val="00377E3E"/>
    <w:rsid w:val="00386528"/>
    <w:rsid w:val="003A2379"/>
    <w:rsid w:val="003A2E6F"/>
    <w:rsid w:val="003A779E"/>
    <w:rsid w:val="003D0F4D"/>
    <w:rsid w:val="003D5B0D"/>
    <w:rsid w:val="003E0499"/>
    <w:rsid w:val="003E6508"/>
    <w:rsid w:val="003E693C"/>
    <w:rsid w:val="003F3941"/>
    <w:rsid w:val="00406575"/>
    <w:rsid w:val="0042722E"/>
    <w:rsid w:val="00486981"/>
    <w:rsid w:val="004A1847"/>
    <w:rsid w:val="004A305D"/>
    <w:rsid w:val="004D53FD"/>
    <w:rsid w:val="004E72BF"/>
    <w:rsid w:val="004F21C4"/>
    <w:rsid w:val="004F685F"/>
    <w:rsid w:val="005314EB"/>
    <w:rsid w:val="00541DC2"/>
    <w:rsid w:val="005566E8"/>
    <w:rsid w:val="00574867"/>
    <w:rsid w:val="00575D54"/>
    <w:rsid w:val="00591460"/>
    <w:rsid w:val="005A2340"/>
    <w:rsid w:val="005C3777"/>
    <w:rsid w:val="005C524A"/>
    <w:rsid w:val="005C5CDC"/>
    <w:rsid w:val="005D476C"/>
    <w:rsid w:val="00611989"/>
    <w:rsid w:val="006173F0"/>
    <w:rsid w:val="006219F8"/>
    <w:rsid w:val="0062342E"/>
    <w:rsid w:val="00630817"/>
    <w:rsid w:val="00642DC8"/>
    <w:rsid w:val="006579D9"/>
    <w:rsid w:val="00665D70"/>
    <w:rsid w:val="00682397"/>
    <w:rsid w:val="006900D9"/>
    <w:rsid w:val="006B3BBD"/>
    <w:rsid w:val="006D04FF"/>
    <w:rsid w:val="006F63AA"/>
    <w:rsid w:val="0070691A"/>
    <w:rsid w:val="00706BD2"/>
    <w:rsid w:val="00706C16"/>
    <w:rsid w:val="00734DBB"/>
    <w:rsid w:val="00754226"/>
    <w:rsid w:val="00756841"/>
    <w:rsid w:val="007649AB"/>
    <w:rsid w:val="00771D0C"/>
    <w:rsid w:val="007833AC"/>
    <w:rsid w:val="0079070E"/>
    <w:rsid w:val="007B268C"/>
    <w:rsid w:val="007B7171"/>
    <w:rsid w:val="007C3DC2"/>
    <w:rsid w:val="007D1D3E"/>
    <w:rsid w:val="007E5497"/>
    <w:rsid w:val="00806F5F"/>
    <w:rsid w:val="00812859"/>
    <w:rsid w:val="00820065"/>
    <w:rsid w:val="00820278"/>
    <w:rsid w:val="00847480"/>
    <w:rsid w:val="008843B6"/>
    <w:rsid w:val="00891928"/>
    <w:rsid w:val="00894893"/>
    <w:rsid w:val="00897A89"/>
    <w:rsid w:val="008A446D"/>
    <w:rsid w:val="008C2CD0"/>
    <w:rsid w:val="008D180B"/>
    <w:rsid w:val="008F0EA7"/>
    <w:rsid w:val="008F393E"/>
    <w:rsid w:val="008F5029"/>
    <w:rsid w:val="00902AFF"/>
    <w:rsid w:val="0091142F"/>
    <w:rsid w:val="00923EEF"/>
    <w:rsid w:val="009419F9"/>
    <w:rsid w:val="009528F8"/>
    <w:rsid w:val="00961B09"/>
    <w:rsid w:val="00965334"/>
    <w:rsid w:val="0097093E"/>
    <w:rsid w:val="00991508"/>
    <w:rsid w:val="00995244"/>
    <w:rsid w:val="009C02FD"/>
    <w:rsid w:val="009C71FA"/>
    <w:rsid w:val="009C72E7"/>
    <w:rsid w:val="009F3A13"/>
    <w:rsid w:val="00A122D3"/>
    <w:rsid w:val="00A17F13"/>
    <w:rsid w:val="00A20739"/>
    <w:rsid w:val="00A33C78"/>
    <w:rsid w:val="00A360F1"/>
    <w:rsid w:val="00AB02C6"/>
    <w:rsid w:val="00AB0ADB"/>
    <w:rsid w:val="00AE0A11"/>
    <w:rsid w:val="00B025A2"/>
    <w:rsid w:val="00B113A1"/>
    <w:rsid w:val="00B13A7A"/>
    <w:rsid w:val="00B25F82"/>
    <w:rsid w:val="00B41E68"/>
    <w:rsid w:val="00B72CD3"/>
    <w:rsid w:val="00B72FFF"/>
    <w:rsid w:val="00B74BDA"/>
    <w:rsid w:val="00B802FF"/>
    <w:rsid w:val="00B85C5F"/>
    <w:rsid w:val="00B85E47"/>
    <w:rsid w:val="00BB3D8B"/>
    <w:rsid w:val="00BC3D36"/>
    <w:rsid w:val="00BD7F72"/>
    <w:rsid w:val="00C04FB3"/>
    <w:rsid w:val="00C1165D"/>
    <w:rsid w:val="00C330EB"/>
    <w:rsid w:val="00C754BE"/>
    <w:rsid w:val="00C76B1C"/>
    <w:rsid w:val="00CA3E8E"/>
    <w:rsid w:val="00CB6357"/>
    <w:rsid w:val="00CC1B26"/>
    <w:rsid w:val="00CF3EB8"/>
    <w:rsid w:val="00D423A2"/>
    <w:rsid w:val="00D554D9"/>
    <w:rsid w:val="00D63AC2"/>
    <w:rsid w:val="00D70E94"/>
    <w:rsid w:val="00D720DE"/>
    <w:rsid w:val="00D7383B"/>
    <w:rsid w:val="00DA231B"/>
    <w:rsid w:val="00DA4F2D"/>
    <w:rsid w:val="00DC0510"/>
    <w:rsid w:val="00DC4D52"/>
    <w:rsid w:val="00DF5254"/>
    <w:rsid w:val="00E1619A"/>
    <w:rsid w:val="00E16408"/>
    <w:rsid w:val="00E20894"/>
    <w:rsid w:val="00E245AB"/>
    <w:rsid w:val="00E2764C"/>
    <w:rsid w:val="00E27F2E"/>
    <w:rsid w:val="00E50AFE"/>
    <w:rsid w:val="00E50C75"/>
    <w:rsid w:val="00E51077"/>
    <w:rsid w:val="00E64D7A"/>
    <w:rsid w:val="00E771DC"/>
    <w:rsid w:val="00E8772A"/>
    <w:rsid w:val="00E90F6B"/>
    <w:rsid w:val="00E92C27"/>
    <w:rsid w:val="00E97D30"/>
    <w:rsid w:val="00EA0E3D"/>
    <w:rsid w:val="00EC304F"/>
    <w:rsid w:val="00EC43AD"/>
    <w:rsid w:val="00ED0124"/>
    <w:rsid w:val="00ED6A9D"/>
    <w:rsid w:val="00EE1AA8"/>
    <w:rsid w:val="00F31EDC"/>
    <w:rsid w:val="00F35F2C"/>
    <w:rsid w:val="00F462B3"/>
    <w:rsid w:val="00F5664F"/>
    <w:rsid w:val="00F666C4"/>
    <w:rsid w:val="00F76AFC"/>
    <w:rsid w:val="00FB5DD1"/>
    <w:rsid w:val="00FC2B5D"/>
    <w:rsid w:val="00FD7B0A"/>
    <w:rsid w:val="00FF1449"/>
    <w:rsid w:val="21621E97"/>
    <w:rsid w:val="34DA82C5"/>
    <w:rsid w:val="5620BA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F361537C-A83B-4A0C-AA01-D3FE7D6A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F63AA"/>
    <w:rPr>
      <w:rFonts w:ascii="Geomanist Light" w:hAnsi="Geomanist Light"/>
      <w:lang w:val="es-ES"/>
    </w:rPr>
  </w:style>
  <w:style w:type="paragraph" w:customStyle="1" w:styleId="Appelnotedebasde">
    <w:name w:val="Appel note de bas de..."/>
    <w:basedOn w:val="Normal"/>
    <w:link w:val="Refdenotaalpie"/>
    <w:uiPriority w:val="99"/>
    <w:rsid w:val="006F63AA"/>
    <w:pPr>
      <w:spacing w:line="240" w:lineRule="exact"/>
    </w:pPr>
    <w:rPr>
      <w:vertAlign w:val="superscript"/>
    </w:rPr>
  </w:style>
  <w:style w:type="paragraph" w:styleId="Textoindependiente">
    <w:name w:val="Body Text"/>
    <w:basedOn w:val="Normal"/>
    <w:link w:val="TextoindependienteCar"/>
    <w:uiPriority w:val="1"/>
    <w:qFormat/>
    <w:rsid w:val="006F63A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F63AA"/>
    <w:rPr>
      <w:rFonts w:ascii="Arial MT" w:eastAsia="Arial MT" w:hAnsi="Arial MT" w:cs="Arial MT"/>
      <w:lang w:val="es-ES"/>
    </w:rPr>
  </w:style>
  <w:style w:type="character" w:customStyle="1" w:styleId="superscript">
    <w:name w:val="superscript"/>
    <w:basedOn w:val="Fuentedeprrafopredeter"/>
    <w:rsid w:val="000705DC"/>
  </w:style>
  <w:style w:type="character" w:customStyle="1" w:styleId="NormalWebCar">
    <w:name w:val="Normal (Web) Car"/>
    <w:link w:val="NormalWeb"/>
    <w:uiPriority w:val="99"/>
    <w:rsid w:val="001D1369"/>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1D1369"/>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7132">
      <w:bodyDiv w:val="1"/>
      <w:marLeft w:val="0"/>
      <w:marRight w:val="0"/>
      <w:marTop w:val="0"/>
      <w:marBottom w:val="0"/>
      <w:divBdr>
        <w:top w:val="none" w:sz="0" w:space="0" w:color="auto"/>
        <w:left w:val="none" w:sz="0" w:space="0" w:color="auto"/>
        <w:bottom w:val="none" w:sz="0" w:space="0" w:color="auto"/>
        <w:right w:val="none" w:sz="0" w:space="0" w:color="auto"/>
      </w:divBdr>
    </w:div>
    <w:div w:id="134296444">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6760283">
      <w:bodyDiv w:val="1"/>
      <w:marLeft w:val="0"/>
      <w:marRight w:val="0"/>
      <w:marTop w:val="0"/>
      <w:marBottom w:val="0"/>
      <w:divBdr>
        <w:top w:val="none" w:sz="0" w:space="0" w:color="auto"/>
        <w:left w:val="none" w:sz="0" w:space="0" w:color="auto"/>
        <w:bottom w:val="none" w:sz="0" w:space="0" w:color="auto"/>
        <w:right w:val="none" w:sz="0" w:space="0" w:color="auto"/>
      </w:divBdr>
      <w:divsChild>
        <w:div w:id="22751405">
          <w:marLeft w:val="0"/>
          <w:marRight w:val="0"/>
          <w:marTop w:val="0"/>
          <w:marBottom w:val="0"/>
          <w:divBdr>
            <w:top w:val="none" w:sz="0" w:space="0" w:color="auto"/>
            <w:left w:val="none" w:sz="0" w:space="0" w:color="auto"/>
            <w:bottom w:val="none" w:sz="0" w:space="0" w:color="auto"/>
            <w:right w:val="none" w:sz="0" w:space="0" w:color="auto"/>
          </w:divBdr>
        </w:div>
        <w:div w:id="427122911">
          <w:marLeft w:val="0"/>
          <w:marRight w:val="0"/>
          <w:marTop w:val="0"/>
          <w:marBottom w:val="0"/>
          <w:divBdr>
            <w:top w:val="none" w:sz="0" w:space="0" w:color="auto"/>
            <w:left w:val="none" w:sz="0" w:space="0" w:color="auto"/>
            <w:bottom w:val="none" w:sz="0" w:space="0" w:color="auto"/>
            <w:right w:val="none" w:sz="0" w:space="0" w:color="auto"/>
          </w:divBdr>
        </w:div>
        <w:div w:id="1846362094">
          <w:marLeft w:val="0"/>
          <w:marRight w:val="0"/>
          <w:marTop w:val="0"/>
          <w:marBottom w:val="0"/>
          <w:divBdr>
            <w:top w:val="none" w:sz="0" w:space="0" w:color="auto"/>
            <w:left w:val="none" w:sz="0" w:space="0" w:color="auto"/>
            <w:bottom w:val="none" w:sz="0" w:space="0" w:color="auto"/>
            <w:right w:val="none" w:sz="0" w:space="0" w:color="auto"/>
          </w:divBdr>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056515856">
      <w:bodyDiv w:val="1"/>
      <w:marLeft w:val="0"/>
      <w:marRight w:val="0"/>
      <w:marTop w:val="0"/>
      <w:marBottom w:val="0"/>
      <w:divBdr>
        <w:top w:val="none" w:sz="0" w:space="0" w:color="auto"/>
        <w:left w:val="none" w:sz="0" w:space="0" w:color="auto"/>
        <w:bottom w:val="none" w:sz="0" w:space="0" w:color="auto"/>
        <w:right w:val="none" w:sz="0" w:space="0" w:color="auto"/>
      </w:divBdr>
      <w:divsChild>
        <w:div w:id="586302718">
          <w:marLeft w:val="0"/>
          <w:marRight w:val="0"/>
          <w:marTop w:val="0"/>
          <w:marBottom w:val="0"/>
          <w:divBdr>
            <w:top w:val="none" w:sz="0" w:space="0" w:color="auto"/>
            <w:left w:val="none" w:sz="0" w:space="0" w:color="auto"/>
            <w:bottom w:val="none" w:sz="0" w:space="0" w:color="auto"/>
            <w:right w:val="none" w:sz="0" w:space="0" w:color="auto"/>
          </w:divBdr>
        </w:div>
        <w:div w:id="826046958">
          <w:marLeft w:val="0"/>
          <w:marRight w:val="0"/>
          <w:marTop w:val="0"/>
          <w:marBottom w:val="0"/>
          <w:divBdr>
            <w:top w:val="none" w:sz="0" w:space="0" w:color="auto"/>
            <w:left w:val="none" w:sz="0" w:space="0" w:color="auto"/>
            <w:bottom w:val="none" w:sz="0" w:space="0" w:color="auto"/>
            <w:right w:val="none" w:sz="0" w:space="0" w:color="auto"/>
          </w:divBdr>
        </w:div>
        <w:div w:id="1130900584">
          <w:marLeft w:val="0"/>
          <w:marRight w:val="0"/>
          <w:marTop w:val="0"/>
          <w:marBottom w:val="0"/>
          <w:divBdr>
            <w:top w:val="none" w:sz="0" w:space="0" w:color="auto"/>
            <w:left w:val="none" w:sz="0" w:space="0" w:color="auto"/>
            <w:bottom w:val="none" w:sz="0" w:space="0" w:color="auto"/>
            <w:right w:val="none" w:sz="0" w:space="0" w:color="auto"/>
          </w:divBdr>
        </w:div>
        <w:div w:id="1446194815">
          <w:marLeft w:val="0"/>
          <w:marRight w:val="0"/>
          <w:marTop w:val="0"/>
          <w:marBottom w:val="0"/>
          <w:divBdr>
            <w:top w:val="none" w:sz="0" w:space="0" w:color="auto"/>
            <w:left w:val="none" w:sz="0" w:space="0" w:color="auto"/>
            <w:bottom w:val="none" w:sz="0" w:space="0" w:color="auto"/>
            <w:right w:val="none" w:sz="0" w:space="0" w:color="auto"/>
          </w:divBdr>
        </w:div>
        <w:div w:id="1561206455">
          <w:marLeft w:val="0"/>
          <w:marRight w:val="0"/>
          <w:marTop w:val="0"/>
          <w:marBottom w:val="0"/>
          <w:divBdr>
            <w:top w:val="none" w:sz="0" w:space="0" w:color="auto"/>
            <w:left w:val="none" w:sz="0" w:space="0" w:color="auto"/>
            <w:bottom w:val="none" w:sz="0" w:space="0" w:color="auto"/>
            <w:right w:val="none" w:sz="0" w:space="0" w:color="auto"/>
          </w:divBdr>
        </w:div>
        <w:div w:id="1572036896">
          <w:marLeft w:val="0"/>
          <w:marRight w:val="0"/>
          <w:marTop w:val="0"/>
          <w:marBottom w:val="0"/>
          <w:divBdr>
            <w:top w:val="none" w:sz="0" w:space="0" w:color="auto"/>
            <w:left w:val="none" w:sz="0" w:space="0" w:color="auto"/>
            <w:bottom w:val="none" w:sz="0" w:space="0" w:color="auto"/>
            <w:right w:val="none" w:sz="0" w:space="0" w:color="auto"/>
          </w:divBdr>
        </w:div>
        <w:div w:id="1857186306">
          <w:marLeft w:val="0"/>
          <w:marRight w:val="0"/>
          <w:marTop w:val="0"/>
          <w:marBottom w:val="0"/>
          <w:divBdr>
            <w:top w:val="none" w:sz="0" w:space="0" w:color="auto"/>
            <w:left w:val="none" w:sz="0" w:space="0" w:color="auto"/>
            <w:bottom w:val="none" w:sz="0" w:space="0" w:color="auto"/>
            <w:right w:val="none" w:sz="0" w:space="0" w:color="auto"/>
          </w:divBdr>
        </w:div>
        <w:div w:id="1870142301">
          <w:marLeft w:val="0"/>
          <w:marRight w:val="0"/>
          <w:marTop w:val="0"/>
          <w:marBottom w:val="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13925836">
      <w:bodyDiv w:val="1"/>
      <w:marLeft w:val="0"/>
      <w:marRight w:val="0"/>
      <w:marTop w:val="0"/>
      <w:marBottom w:val="0"/>
      <w:divBdr>
        <w:top w:val="none" w:sz="0" w:space="0" w:color="auto"/>
        <w:left w:val="none" w:sz="0" w:space="0" w:color="auto"/>
        <w:bottom w:val="none" w:sz="0" w:space="0" w:color="auto"/>
        <w:right w:val="none" w:sz="0" w:space="0" w:color="auto"/>
      </w:divBdr>
    </w:div>
    <w:div w:id="1232691031">
      <w:bodyDiv w:val="1"/>
      <w:marLeft w:val="0"/>
      <w:marRight w:val="0"/>
      <w:marTop w:val="0"/>
      <w:marBottom w:val="0"/>
      <w:divBdr>
        <w:top w:val="none" w:sz="0" w:space="0" w:color="auto"/>
        <w:left w:val="none" w:sz="0" w:space="0" w:color="auto"/>
        <w:bottom w:val="none" w:sz="0" w:space="0" w:color="auto"/>
        <w:right w:val="none" w:sz="0" w:space="0" w:color="auto"/>
      </w:divBdr>
      <w:divsChild>
        <w:div w:id="60300729">
          <w:marLeft w:val="0"/>
          <w:marRight w:val="0"/>
          <w:marTop w:val="0"/>
          <w:marBottom w:val="0"/>
          <w:divBdr>
            <w:top w:val="none" w:sz="0" w:space="0" w:color="auto"/>
            <w:left w:val="none" w:sz="0" w:space="0" w:color="auto"/>
            <w:bottom w:val="none" w:sz="0" w:space="0" w:color="auto"/>
            <w:right w:val="none" w:sz="0" w:space="0" w:color="auto"/>
          </w:divBdr>
        </w:div>
        <w:div w:id="307900356">
          <w:marLeft w:val="0"/>
          <w:marRight w:val="0"/>
          <w:marTop w:val="0"/>
          <w:marBottom w:val="0"/>
          <w:divBdr>
            <w:top w:val="none" w:sz="0" w:space="0" w:color="auto"/>
            <w:left w:val="none" w:sz="0" w:space="0" w:color="auto"/>
            <w:bottom w:val="none" w:sz="0" w:space="0" w:color="auto"/>
            <w:right w:val="none" w:sz="0" w:space="0" w:color="auto"/>
          </w:divBdr>
        </w:div>
        <w:div w:id="1972663478">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99494535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E5D7A-4D26-420D-98FE-E85460BA2A18}">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3951A423-01EC-4135-B3DF-75DAC51D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5138</Words>
  <Characters>28260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2024-01-15T20:19:00Z</dcterms:created>
  <dcterms:modified xsi:type="dcterms:W3CDTF">2024-03-15T19:54:00Z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