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DBF9" w14:textId="77777777" w:rsidR="00E245AB" w:rsidRPr="00DC4D52" w:rsidRDefault="00E245AB" w:rsidP="0004436C">
      <w:pPr>
        <w:spacing w:after="0"/>
        <w:jc w:val="both"/>
        <w:rPr>
          <w:rFonts w:ascii="Century Gothic" w:hAnsi="Century Gothic"/>
        </w:rPr>
      </w:pPr>
      <w:bookmarkStart w:id="0" w:name="_Hlk143780582"/>
    </w:p>
    <w:p w14:paraId="20BE9DB5" w14:textId="77777777" w:rsidR="00DC4D52" w:rsidRPr="00DC4D52" w:rsidRDefault="00DC4D52" w:rsidP="00DC4D52">
      <w:pPr>
        <w:jc w:val="both"/>
        <w:rPr>
          <w:rFonts w:ascii="Arial" w:hAnsi="Arial" w:cs="Arial"/>
          <w:b/>
        </w:rPr>
      </w:pPr>
      <w:bookmarkStart w:id="1" w:name="_Hlk96420693"/>
      <w:bookmarkStart w:id="2" w:name="_Hlk142132215"/>
      <w:r w:rsidRPr="00DC4D52">
        <w:rPr>
          <w:rFonts w:ascii="Arial" w:hAnsi="Arial" w:cs="Arial"/>
          <w:b/>
        </w:rPr>
        <w:t xml:space="preserve">PRINCIPIO DE SELECCIÓN OBJETIVA </w:t>
      </w:r>
    </w:p>
    <w:p w14:paraId="746BD55C" w14:textId="77777777" w:rsidR="00DC4D52" w:rsidRPr="00DC4D52" w:rsidRDefault="00DC4D52" w:rsidP="00DC4D52">
      <w:pPr>
        <w:spacing w:before="120"/>
        <w:jc w:val="both"/>
        <w:rPr>
          <w:rFonts w:ascii="Arial" w:hAnsi="Arial" w:cs="Arial"/>
          <w:bCs/>
        </w:rPr>
      </w:pPr>
      <w:r w:rsidRPr="00DC4D52">
        <w:rPr>
          <w:rFonts w:ascii="Arial" w:hAnsi="Arial" w:cs="Arial"/>
          <w:bCs/>
        </w:rPr>
        <w:t>[…]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67E5326A" w14:textId="2F3D0572" w:rsidR="00DC4D52" w:rsidRPr="00DC4D52" w:rsidRDefault="00DC4D52" w:rsidP="00DC4D52">
      <w:pPr>
        <w:spacing w:before="120"/>
        <w:jc w:val="both"/>
        <w:rPr>
          <w:rFonts w:ascii="Arial" w:hAnsi="Arial" w:cs="Arial"/>
          <w:bCs/>
        </w:rPr>
      </w:pPr>
      <w:r w:rsidRPr="00DC4D52">
        <w:rPr>
          <w:rFonts w:ascii="Arial" w:hAnsi="Arial" w:cs="Arial"/>
          <w:bCs/>
        </w:rPr>
        <w:t xml:space="preserve">Además del artículo 5 de la Ley 1150 de 2007, el deber de selección objetiva y su carácter vinculante encuentre fundamento en varios apartados de la Ley 80 de 1993,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DC4D52">
        <w:rPr>
          <w:rFonts w:ascii="Arial" w:hAnsi="Arial" w:cs="Arial"/>
          <w:bCs/>
        </w:rPr>
        <w:t>iv</w:t>
      </w:r>
      <w:proofErr w:type="spellEnd"/>
      <w:r w:rsidRPr="00DC4D52">
        <w:rPr>
          <w:rFonts w:ascii="Arial" w:hAnsi="Arial" w:cs="Arial"/>
          <w:bCs/>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DC4D52">
        <w:rPr>
          <w:rFonts w:ascii="Arial" w:hAnsi="Arial" w:cs="Arial"/>
          <w:bCs/>
        </w:rPr>
        <w:t>vii</w:t>
      </w:r>
      <w:proofErr w:type="spellEnd"/>
      <w:r w:rsidRPr="00DC4D52">
        <w:rPr>
          <w:rFonts w:ascii="Arial" w:hAnsi="Arial" w:cs="Arial"/>
          <w:bCs/>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DC4D52">
        <w:rPr>
          <w:rFonts w:ascii="Arial" w:hAnsi="Arial" w:cs="Arial"/>
          <w:bCs/>
        </w:rPr>
        <w:t>viii</w:t>
      </w:r>
      <w:proofErr w:type="spellEnd"/>
      <w:r w:rsidRPr="00DC4D52">
        <w:rPr>
          <w:rFonts w:ascii="Arial" w:hAnsi="Arial" w:cs="Arial"/>
          <w:bCs/>
        </w:rPr>
        <w:t xml:space="preserve">) el inciso final del artículo 38, que obliga a las entidades estatales que tengan como objeto la prestación de servicios y actividades de telecomunicaciones a respetar el principio de selección objetiva, y </w:t>
      </w:r>
      <w:proofErr w:type="spellStart"/>
      <w:r w:rsidRPr="00DC4D52">
        <w:rPr>
          <w:rFonts w:ascii="Arial" w:hAnsi="Arial" w:cs="Arial"/>
          <w:bCs/>
        </w:rPr>
        <w:t>ix</w:t>
      </w:r>
      <w:proofErr w:type="spellEnd"/>
      <w:r w:rsidRPr="00DC4D52">
        <w:rPr>
          <w:rFonts w:ascii="Arial" w:hAnsi="Arial" w:cs="Arial"/>
          <w:bCs/>
        </w:rPr>
        <w:t xml:space="preserve">) el segundo inciso del artículo 76, que ordena cumplir también con </w:t>
      </w:r>
      <w:r w:rsidRPr="00DC4D52">
        <w:rPr>
          <w:rFonts w:ascii="Arial" w:hAnsi="Arial" w:cs="Arial"/>
          <w:bCs/>
        </w:rPr>
        <w:lastRenderedPageBreak/>
        <w:t xml:space="preserve">dicho principio a las entidades que tengan por objeto la exploración, explotación y comercialización de recursos naturales renovables y no renovables. </w:t>
      </w:r>
    </w:p>
    <w:p w14:paraId="4E1B0FB4" w14:textId="77777777" w:rsidR="00DC4D52" w:rsidRPr="00DC4D52" w:rsidRDefault="00DC4D52" w:rsidP="00DC4D52">
      <w:pPr>
        <w:jc w:val="both"/>
        <w:rPr>
          <w:rFonts w:ascii="Arial" w:hAnsi="Arial" w:cs="Arial"/>
          <w:bCs/>
        </w:rPr>
      </w:pPr>
      <w:r w:rsidRPr="00DC4D52">
        <w:rPr>
          <w:rFonts w:ascii="Arial" w:hAnsi="Arial" w:cs="Arial"/>
          <w:bCs/>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0E5965E2" w14:textId="20C93CBE" w:rsidR="0004436C" w:rsidRPr="0004436C" w:rsidRDefault="0004436C" w:rsidP="0004436C">
      <w:pPr>
        <w:jc w:val="both"/>
        <w:textAlignment w:val="baseline"/>
        <w:rPr>
          <w:rFonts w:ascii="Arial" w:eastAsia="Calibri" w:hAnsi="Arial" w:cs="Arial"/>
          <w:b/>
          <w:color w:val="000000" w:themeColor="text1"/>
          <w:lang w:val="es-ES_tradnl"/>
        </w:rPr>
      </w:pPr>
      <w:r w:rsidRPr="0004436C">
        <w:rPr>
          <w:rFonts w:ascii="Arial" w:eastAsia="Calibri" w:hAnsi="Arial" w:cs="Arial"/>
          <w:b/>
          <w:color w:val="000000" w:themeColor="text1"/>
          <w:lang w:val="es-ES_tradnl"/>
        </w:rPr>
        <w:t>DECLARATORIA DE DESIERTA – Procesos de Contratación / Características de la Modalidad de Selección abreviada</w:t>
      </w:r>
    </w:p>
    <w:p w14:paraId="4F1571AA" w14:textId="77777777" w:rsidR="0004436C" w:rsidRPr="0004436C" w:rsidRDefault="0004436C" w:rsidP="0004436C">
      <w:pPr>
        <w:jc w:val="both"/>
        <w:textAlignment w:val="baseline"/>
        <w:rPr>
          <w:rFonts w:ascii="Arial" w:eastAsia="Calibri" w:hAnsi="Arial" w:cs="Arial"/>
          <w:color w:val="000000" w:themeColor="text1"/>
          <w:lang w:val="es-ES_tradnl"/>
        </w:rPr>
      </w:pPr>
      <w:r w:rsidRPr="0004436C">
        <w:rPr>
          <w:rFonts w:ascii="Arial" w:eastAsia="Calibri" w:hAnsi="Arial" w:cs="Arial"/>
          <w:color w:val="000000" w:themeColor="text1"/>
          <w:lang w:val="es-ES_tradnl"/>
        </w:rPr>
        <w:t xml:space="preserve">[…] este instrumento normativo se limita al caso específico de que la entidad se encuentre frente a un proceso de selección en que no sea posible la selección objetiva del contratista debido a las condiciones de las ofertas presentadas o no presentadas -en caso de que no se presente ninguna-. Se evalúan las ofertas con base en las directrices y criterios establecidos en la convocatoria pública y, al no cumplir con ellos ninguna de las ofertas, se declara desierta la convocatoria. </w:t>
      </w:r>
    </w:p>
    <w:p w14:paraId="21BF5D34" w14:textId="77777777" w:rsidR="0004436C" w:rsidRPr="0004436C" w:rsidRDefault="0004436C" w:rsidP="0004436C">
      <w:pPr>
        <w:spacing w:line="276" w:lineRule="auto"/>
        <w:jc w:val="both"/>
        <w:rPr>
          <w:rFonts w:ascii="Arial" w:hAnsi="Arial" w:cs="Arial"/>
          <w:b/>
          <w:color w:val="000000" w:themeColor="text1"/>
          <w:lang w:val="es-ES_tradnl" w:eastAsia="es-ES"/>
        </w:rPr>
      </w:pPr>
    </w:p>
    <w:p w14:paraId="41F9F4EA" w14:textId="77777777" w:rsidR="0004436C" w:rsidRDefault="0004436C" w:rsidP="0004436C">
      <w:pPr>
        <w:spacing w:line="276" w:lineRule="auto"/>
        <w:jc w:val="both"/>
        <w:rPr>
          <w:rFonts w:ascii="Arial" w:hAnsi="Arial" w:cs="Arial"/>
          <w:b/>
          <w:color w:val="000000" w:themeColor="text1"/>
          <w:highlight w:val="yellow"/>
          <w:lang w:val="es-ES_tradnl" w:eastAsia="es-ES"/>
        </w:rPr>
      </w:pPr>
    </w:p>
    <w:p w14:paraId="2D3590DF" w14:textId="77777777" w:rsidR="0004436C" w:rsidRDefault="0004436C" w:rsidP="0004436C">
      <w:pPr>
        <w:spacing w:line="276" w:lineRule="auto"/>
        <w:jc w:val="both"/>
        <w:rPr>
          <w:rFonts w:ascii="Arial" w:hAnsi="Arial" w:cs="Arial"/>
          <w:b/>
          <w:color w:val="000000" w:themeColor="text1"/>
          <w:highlight w:val="yellow"/>
          <w:lang w:val="es-ES_tradnl" w:eastAsia="es-ES"/>
        </w:rPr>
      </w:pPr>
    </w:p>
    <w:p w14:paraId="448920F0" w14:textId="77777777" w:rsidR="006F63AA" w:rsidRPr="00F80981" w:rsidRDefault="006F63AA" w:rsidP="006F63AA">
      <w:pPr>
        <w:spacing w:line="240" w:lineRule="auto"/>
        <w:contextualSpacing/>
        <w:jc w:val="both"/>
        <w:rPr>
          <w:rFonts w:ascii="Arial" w:eastAsia="Calibri" w:hAnsi="Arial" w:cs="Arial"/>
          <w:b/>
          <w:sz w:val="20"/>
          <w:szCs w:val="20"/>
          <w:lang w:val="es-ES_tradnl" w:eastAsia="es-ES_tradnl"/>
        </w:rPr>
      </w:pPr>
    </w:p>
    <w:p w14:paraId="5BC17239" w14:textId="77777777" w:rsidR="006F63AA" w:rsidRPr="007C50A9" w:rsidRDefault="006F63AA" w:rsidP="006F63AA">
      <w:pPr>
        <w:rPr>
          <w:rFonts w:ascii="Arial" w:eastAsia="Calibri" w:hAnsi="Arial" w:cs="Arial"/>
          <w:bCs/>
          <w:color w:val="000000" w:themeColor="text1"/>
          <w:lang w:val="es-ES_tradnl"/>
        </w:rPr>
      </w:pPr>
    </w:p>
    <w:p w14:paraId="2747E926" w14:textId="77777777" w:rsidR="006F63AA" w:rsidRDefault="006F63AA" w:rsidP="006F63AA">
      <w:pPr>
        <w:rPr>
          <w:rFonts w:ascii="Arial" w:eastAsia="Calibri" w:hAnsi="Arial" w:cs="Arial"/>
          <w:bCs/>
          <w:color w:val="000000" w:themeColor="text1"/>
          <w:lang w:val="es-ES_tradnl"/>
        </w:rPr>
      </w:pPr>
    </w:p>
    <w:p w14:paraId="0CC814A0" w14:textId="77777777" w:rsidR="006F63AA" w:rsidRDefault="006F63AA" w:rsidP="006F63AA">
      <w:pPr>
        <w:rPr>
          <w:rFonts w:ascii="Arial" w:eastAsia="Calibri" w:hAnsi="Arial" w:cs="Arial"/>
          <w:bCs/>
          <w:color w:val="000000" w:themeColor="text1"/>
          <w:lang w:val="es-ES_tradnl"/>
        </w:rPr>
      </w:pPr>
    </w:p>
    <w:p w14:paraId="72CBEBFA" w14:textId="77777777" w:rsidR="006F63AA" w:rsidRDefault="006F63AA" w:rsidP="006F63AA">
      <w:pPr>
        <w:rPr>
          <w:rFonts w:ascii="Arial" w:eastAsia="Calibri" w:hAnsi="Arial" w:cs="Arial"/>
          <w:bCs/>
          <w:color w:val="000000" w:themeColor="text1"/>
          <w:lang w:val="es-ES_tradnl"/>
        </w:rPr>
      </w:pPr>
    </w:p>
    <w:p w14:paraId="780F9CB1" w14:textId="77777777" w:rsidR="0004436C" w:rsidRDefault="0004436C" w:rsidP="006F63AA">
      <w:pPr>
        <w:rPr>
          <w:rFonts w:ascii="Arial" w:eastAsia="Calibri" w:hAnsi="Arial" w:cs="Arial"/>
          <w:bCs/>
          <w:color w:val="000000" w:themeColor="text1"/>
          <w:lang w:val="es-ES_tradnl"/>
        </w:rPr>
      </w:pPr>
    </w:p>
    <w:p w14:paraId="0406F99D" w14:textId="77777777" w:rsidR="0004436C" w:rsidRDefault="0004436C" w:rsidP="006F63AA">
      <w:pPr>
        <w:rPr>
          <w:rFonts w:ascii="Arial" w:eastAsia="Calibri" w:hAnsi="Arial" w:cs="Arial"/>
          <w:bCs/>
          <w:color w:val="000000" w:themeColor="text1"/>
          <w:lang w:val="es-ES_tradnl"/>
        </w:rPr>
      </w:pPr>
    </w:p>
    <w:p w14:paraId="6CD835E8" w14:textId="77777777" w:rsidR="0004436C" w:rsidRDefault="0004436C" w:rsidP="006F63AA">
      <w:pPr>
        <w:rPr>
          <w:rFonts w:ascii="Arial" w:eastAsia="Calibri" w:hAnsi="Arial" w:cs="Arial"/>
          <w:bCs/>
          <w:color w:val="000000" w:themeColor="text1"/>
          <w:lang w:val="es-ES_tradnl"/>
        </w:rPr>
      </w:pPr>
    </w:p>
    <w:p w14:paraId="281EC07D" w14:textId="77777777" w:rsidR="0004436C" w:rsidRPr="009777C6" w:rsidRDefault="0004436C" w:rsidP="0004436C">
      <w:pPr>
        <w:spacing w:after="0"/>
        <w:rPr>
          <w:rFonts w:ascii="Arial" w:hAnsi="Arial" w:cs="Arial"/>
        </w:rPr>
      </w:pPr>
      <w:r w:rsidRPr="009777C6">
        <w:rPr>
          <w:rFonts w:ascii="Arial" w:hAnsi="Arial" w:cs="Arial"/>
        </w:rPr>
        <w:lastRenderedPageBreak/>
        <w:t>Bogotá D.C., [Día] de [Mes.NombreCapitalizado] de [Año]</w:t>
      </w:r>
      <w:r w:rsidRPr="009777C6">
        <w:rPr>
          <w:rFonts w:ascii="Arial" w:hAnsi="Arial" w:cs="Arial"/>
        </w:rPr>
        <w:tab/>
      </w:r>
    </w:p>
    <w:p w14:paraId="6BFCF7AC" w14:textId="77777777" w:rsidR="006F63AA" w:rsidRPr="007C50A9" w:rsidRDefault="006F63AA" w:rsidP="006F63AA">
      <w:pPr>
        <w:jc w:val="both"/>
        <w:rPr>
          <w:rFonts w:ascii="Arial" w:eastAsia="Calibri" w:hAnsi="Arial" w:cs="Arial"/>
          <w:bCs/>
          <w:color w:val="000000" w:themeColor="text1"/>
          <w:lang w:val="es-ES_tradnl"/>
        </w:rPr>
      </w:pPr>
    </w:p>
    <w:p w14:paraId="62B6661C" w14:textId="1BFD0228" w:rsidR="006F63AA" w:rsidRPr="007C50A9" w:rsidRDefault="006F63AA" w:rsidP="006F63AA">
      <w:pPr>
        <w:spacing w:after="0" w:line="240" w:lineRule="auto"/>
        <w:jc w:val="both"/>
        <w:rPr>
          <w:rFonts w:ascii="Arial" w:eastAsia="Calibri" w:hAnsi="Arial" w:cs="Arial"/>
          <w:color w:val="000000" w:themeColor="text1"/>
        </w:rPr>
      </w:pPr>
      <w:r w:rsidRPr="007C50A9">
        <w:rPr>
          <w:rFonts w:ascii="Arial" w:eastAsia="Calibri" w:hAnsi="Arial" w:cs="Arial"/>
          <w:color w:val="000000" w:themeColor="text1"/>
        </w:rPr>
        <w:t>Señor</w:t>
      </w:r>
      <w:r w:rsidR="00053B47">
        <w:rPr>
          <w:rFonts w:ascii="Arial" w:eastAsia="Calibri" w:hAnsi="Arial" w:cs="Arial"/>
          <w:color w:val="000000" w:themeColor="text1"/>
        </w:rPr>
        <w:t>es</w:t>
      </w:r>
    </w:p>
    <w:p w14:paraId="0A783E48" w14:textId="79D437A0" w:rsidR="006F63AA" w:rsidRPr="00754226" w:rsidRDefault="00053B47" w:rsidP="006F63AA">
      <w:pPr>
        <w:spacing w:after="0" w:line="240" w:lineRule="auto"/>
        <w:jc w:val="both"/>
        <w:rPr>
          <w:rFonts w:ascii="Arial" w:eastAsia="Calibri" w:hAnsi="Arial" w:cs="Arial"/>
          <w:b/>
          <w:color w:val="000000" w:themeColor="text1"/>
        </w:rPr>
      </w:pPr>
      <w:r w:rsidRPr="00754226">
        <w:rPr>
          <w:rFonts w:ascii="Arial" w:eastAsia="Calibri" w:hAnsi="Arial" w:cs="Arial"/>
          <w:b/>
          <w:color w:val="000000" w:themeColor="text1"/>
        </w:rPr>
        <w:t>consultas.ciudadanas@yahoo.com</w:t>
      </w:r>
    </w:p>
    <w:p w14:paraId="41F9F82B" w14:textId="29D5B069" w:rsidR="006F63AA" w:rsidRPr="007C50A9" w:rsidRDefault="00053B47" w:rsidP="006F63AA">
      <w:pPr>
        <w:spacing w:after="0" w:line="240" w:lineRule="auto"/>
        <w:jc w:val="both"/>
        <w:rPr>
          <w:rFonts w:ascii="Arial" w:eastAsia="Calibri" w:hAnsi="Arial" w:cs="Arial"/>
          <w:bCs/>
          <w:color w:val="000000" w:themeColor="text1"/>
        </w:rPr>
      </w:pPr>
      <w:r>
        <w:rPr>
          <w:rFonts w:ascii="Arial" w:eastAsia="Calibri" w:hAnsi="Arial" w:cs="Arial"/>
          <w:bCs/>
          <w:color w:val="000000" w:themeColor="text1"/>
        </w:rPr>
        <w:t>Bogotá D.C</w:t>
      </w:r>
    </w:p>
    <w:p w14:paraId="2DB26350" w14:textId="77777777" w:rsidR="006F63AA" w:rsidRPr="007C50A9" w:rsidRDefault="006F63AA" w:rsidP="006F63AA">
      <w:pPr>
        <w:rPr>
          <w:rFonts w:ascii="Arial" w:eastAsia="Calibri" w:hAnsi="Arial" w:cs="Arial"/>
          <w:b/>
          <w:bCs/>
          <w:color w:val="000000" w:themeColor="text1"/>
        </w:rPr>
      </w:pPr>
    </w:p>
    <w:p w14:paraId="2F98B7CD" w14:textId="5D0DF1E8" w:rsidR="006F63AA" w:rsidRPr="007C50A9" w:rsidRDefault="006F63AA" w:rsidP="006F63AA">
      <w:pPr>
        <w:rPr>
          <w:rFonts w:ascii="Arial" w:eastAsia="Calibri" w:hAnsi="Arial" w:cs="Arial"/>
          <w:b/>
          <w:bCs/>
          <w:color w:val="000000" w:themeColor="text1"/>
          <w:lang w:val="pt-BR"/>
        </w:rPr>
      </w:pPr>
      <w:r w:rsidRPr="007C50A9">
        <w:rPr>
          <w:rFonts w:ascii="Arial" w:eastAsia="Calibri" w:hAnsi="Arial" w:cs="Arial"/>
          <w:b/>
          <w:bCs/>
          <w:color w:val="000000" w:themeColor="text1"/>
        </w:rPr>
        <w:t xml:space="preserve">                                            </w:t>
      </w:r>
      <w:r w:rsidRPr="007C50A9">
        <w:rPr>
          <w:rFonts w:ascii="Arial" w:eastAsia="Calibri" w:hAnsi="Arial" w:cs="Arial"/>
          <w:b/>
          <w:bCs/>
          <w:color w:val="000000" w:themeColor="text1"/>
          <w:lang w:val="pt-BR"/>
        </w:rPr>
        <w:t xml:space="preserve">Concepto C ‒ </w:t>
      </w:r>
      <w:r w:rsidR="0004436C">
        <w:rPr>
          <w:rFonts w:ascii="Arial" w:eastAsia="Calibri" w:hAnsi="Arial" w:cs="Arial"/>
          <w:b/>
          <w:bCs/>
          <w:color w:val="000000" w:themeColor="text1"/>
          <w:lang w:val="pt-BR"/>
        </w:rPr>
        <w:t>408</w:t>
      </w:r>
      <w:r w:rsidRPr="007C50A9">
        <w:rPr>
          <w:rFonts w:ascii="Arial" w:eastAsia="Calibri" w:hAnsi="Arial" w:cs="Arial"/>
          <w:b/>
          <w:bCs/>
          <w:color w:val="000000" w:themeColor="text1"/>
          <w:lang w:val="pt-BR"/>
        </w:rPr>
        <w:t xml:space="preserve"> 202</w:t>
      </w:r>
      <w:r>
        <w:rPr>
          <w:rFonts w:ascii="Arial" w:eastAsia="Calibri" w:hAnsi="Arial" w:cs="Arial"/>
          <w:b/>
          <w:bCs/>
          <w:color w:val="000000" w:themeColor="text1"/>
          <w:lang w:val="pt-BR"/>
        </w:rPr>
        <w:t>3</w:t>
      </w:r>
    </w:p>
    <w:p w14:paraId="10CFEEBF" w14:textId="77777777" w:rsidR="006F63AA" w:rsidRPr="007C50A9" w:rsidRDefault="006F63AA" w:rsidP="006F63AA">
      <w:pPr>
        <w:rPr>
          <w:rFonts w:ascii="Arial" w:eastAsia="Calibri"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63AA" w:rsidRPr="007C50A9" w14:paraId="2BF42B6F" w14:textId="77777777" w:rsidTr="00B802FF">
        <w:tc>
          <w:tcPr>
            <w:tcW w:w="2689" w:type="dxa"/>
          </w:tcPr>
          <w:p w14:paraId="1406BC81" w14:textId="77777777" w:rsidR="006F63AA" w:rsidRPr="007C50A9" w:rsidRDefault="006F63AA" w:rsidP="00B802FF">
            <w:pPr>
              <w:jc w:val="both"/>
              <w:rPr>
                <w:rFonts w:ascii="Arial" w:eastAsia="Calibri" w:hAnsi="Arial" w:cs="Arial"/>
                <w:color w:val="000000" w:themeColor="text1"/>
                <w:lang w:val="es-ES_tradnl"/>
              </w:rPr>
            </w:pPr>
            <w:r w:rsidRPr="007C50A9">
              <w:rPr>
                <w:rFonts w:ascii="Arial" w:eastAsia="Calibri" w:hAnsi="Arial" w:cs="Arial"/>
                <w:b/>
                <w:color w:val="000000" w:themeColor="text1"/>
                <w:lang w:val="es-ES_tradnl"/>
              </w:rPr>
              <w:t>Temas:</w:t>
            </w:r>
            <w:r w:rsidRPr="007C50A9">
              <w:rPr>
                <w:rFonts w:ascii="Arial" w:eastAsia="Calibri" w:hAnsi="Arial" w:cs="Arial"/>
                <w:color w:val="000000" w:themeColor="text1"/>
                <w:lang w:val="es-ES_tradnl"/>
              </w:rPr>
              <w:t xml:space="preserve">                   </w:t>
            </w:r>
          </w:p>
        </w:tc>
        <w:tc>
          <w:tcPr>
            <w:tcW w:w="6237" w:type="dxa"/>
          </w:tcPr>
          <w:p w14:paraId="617A4D4B" w14:textId="6DD4CD75" w:rsidR="006F63AA" w:rsidRPr="007C50A9" w:rsidRDefault="000B6C17" w:rsidP="00B802FF">
            <w:pPr>
              <w:jc w:val="both"/>
              <w:rPr>
                <w:rFonts w:ascii="Arial" w:eastAsia="Calibri" w:hAnsi="Arial" w:cs="Arial"/>
                <w:bCs/>
                <w:color w:val="000000" w:themeColor="text1"/>
                <w:lang w:val="es-ES"/>
              </w:rPr>
            </w:pPr>
            <w:r w:rsidRPr="5D639E99">
              <w:rPr>
                <w:rFonts w:ascii="Arial" w:eastAsia="Calibri" w:hAnsi="Arial" w:cs="Arial"/>
                <w:lang w:val="es-MX"/>
              </w:rPr>
              <w:t xml:space="preserve">SELECCIÓN OBJETIVA </w:t>
            </w:r>
            <w:r>
              <w:rPr>
                <w:rFonts w:ascii="Arial" w:eastAsia="Calibri" w:hAnsi="Arial" w:cs="Arial"/>
                <w:lang w:val="es-MX"/>
              </w:rPr>
              <w:t xml:space="preserve">– principio de selección objetiva </w:t>
            </w:r>
            <w:r w:rsidRPr="00053B47">
              <w:rPr>
                <w:rFonts w:ascii="Arial" w:eastAsia="Calibri" w:hAnsi="Arial" w:cs="Arial"/>
                <w:bCs/>
                <w:color w:val="000000" w:themeColor="text1"/>
                <w:lang w:val="es-MX"/>
              </w:rPr>
              <w:t>DECLARATORIA DE DESIERTA –Procesos de Contratación</w:t>
            </w:r>
            <w:r>
              <w:rPr>
                <w:rFonts w:ascii="Arial" w:eastAsia="Calibri" w:hAnsi="Arial" w:cs="Arial"/>
                <w:bCs/>
                <w:color w:val="000000" w:themeColor="text1"/>
                <w:lang w:val="es-MX"/>
              </w:rPr>
              <w:t xml:space="preserve"> / Características </w:t>
            </w:r>
            <w:r w:rsidRPr="00053B47">
              <w:rPr>
                <w:rFonts w:ascii="Arial" w:eastAsia="Calibri" w:hAnsi="Arial" w:cs="Arial"/>
                <w:bCs/>
                <w:color w:val="000000" w:themeColor="text1"/>
                <w:lang w:val="es-MX"/>
              </w:rPr>
              <w:t>/</w:t>
            </w:r>
          </w:p>
        </w:tc>
      </w:tr>
      <w:tr w:rsidR="006F63AA" w:rsidRPr="007C50A9" w14:paraId="5C73160A" w14:textId="77777777" w:rsidTr="00B802FF">
        <w:tc>
          <w:tcPr>
            <w:tcW w:w="2689" w:type="dxa"/>
          </w:tcPr>
          <w:p w14:paraId="2324CFE1" w14:textId="77777777" w:rsidR="00995244" w:rsidRDefault="00995244" w:rsidP="00B802FF">
            <w:pPr>
              <w:spacing w:before="120"/>
              <w:jc w:val="both"/>
              <w:rPr>
                <w:rFonts w:ascii="Arial" w:eastAsia="Calibri" w:hAnsi="Arial" w:cs="Arial"/>
                <w:b/>
                <w:color w:val="000000" w:themeColor="text1"/>
                <w:lang w:val="es-ES_tradnl"/>
              </w:rPr>
            </w:pPr>
          </w:p>
          <w:p w14:paraId="51331E76" w14:textId="4C30C3C7" w:rsidR="006F63AA" w:rsidRPr="007C50A9" w:rsidRDefault="006F63AA" w:rsidP="00B802FF">
            <w:pPr>
              <w:spacing w:before="12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Radicación:</w:t>
            </w:r>
            <w:r w:rsidRPr="007C50A9">
              <w:rPr>
                <w:rFonts w:ascii="Arial" w:eastAsia="Calibri" w:hAnsi="Arial" w:cs="Arial"/>
                <w:color w:val="000000" w:themeColor="text1"/>
                <w:lang w:val="es-ES_tradnl"/>
              </w:rPr>
              <w:t xml:space="preserve">               </w:t>
            </w:r>
          </w:p>
        </w:tc>
        <w:tc>
          <w:tcPr>
            <w:tcW w:w="6237" w:type="dxa"/>
          </w:tcPr>
          <w:p w14:paraId="6117DC28" w14:textId="77777777" w:rsidR="00093619" w:rsidRDefault="00093619" w:rsidP="00B802FF">
            <w:pPr>
              <w:spacing w:before="120"/>
              <w:jc w:val="both"/>
              <w:rPr>
                <w:rFonts w:eastAsia="Calibri"/>
                <w:color w:val="000000" w:themeColor="text1"/>
                <w:lang w:val="es-ES_tradnl"/>
              </w:rPr>
            </w:pPr>
          </w:p>
          <w:p w14:paraId="3124663E" w14:textId="245884B3" w:rsidR="006F63AA" w:rsidRPr="007C50A9" w:rsidRDefault="006F63AA" w:rsidP="00B802FF">
            <w:pPr>
              <w:spacing w:before="120"/>
              <w:jc w:val="both"/>
              <w:rPr>
                <w:rFonts w:ascii="Arial" w:eastAsia="Calibri" w:hAnsi="Arial" w:cs="Arial"/>
                <w:color w:val="000000" w:themeColor="text1"/>
                <w:lang w:val="es-ES_tradnl"/>
              </w:rPr>
            </w:pPr>
            <w:r w:rsidRPr="007C50A9">
              <w:rPr>
                <w:rFonts w:ascii="Arial" w:eastAsia="Calibri" w:hAnsi="Arial" w:cs="Arial"/>
                <w:color w:val="000000" w:themeColor="text1"/>
                <w:lang w:val="es-ES_tradnl"/>
              </w:rPr>
              <w:t xml:space="preserve">Respuesta a consulta </w:t>
            </w:r>
            <w:r w:rsidRPr="00206B76">
              <w:rPr>
                <w:rFonts w:ascii="Arial" w:eastAsia="Calibri" w:hAnsi="Arial" w:cs="Arial"/>
                <w:color w:val="000000" w:themeColor="text1"/>
                <w:lang w:val="es-ES_tradnl"/>
              </w:rPr>
              <w:t>P2023</w:t>
            </w:r>
            <w:r w:rsidR="00053B47">
              <w:rPr>
                <w:rFonts w:ascii="Arial" w:eastAsia="Calibri" w:hAnsi="Arial" w:cs="Arial"/>
                <w:color w:val="000000" w:themeColor="text1"/>
                <w:lang w:val="es-ES_tradnl"/>
              </w:rPr>
              <w:t>0922015380</w:t>
            </w:r>
            <w:r w:rsidR="005314EB">
              <w:rPr>
                <w:rFonts w:ascii="Arial" w:eastAsia="Calibri" w:hAnsi="Arial" w:cs="Arial"/>
                <w:color w:val="000000" w:themeColor="text1"/>
                <w:lang w:val="es-ES_tradnl"/>
              </w:rPr>
              <w:t>.</w:t>
            </w:r>
          </w:p>
        </w:tc>
      </w:tr>
    </w:tbl>
    <w:p w14:paraId="46215C58" w14:textId="77777777" w:rsidR="006F63AA" w:rsidRPr="007C50A9" w:rsidRDefault="006F63AA" w:rsidP="006F63AA">
      <w:pPr>
        <w:jc w:val="both"/>
        <w:rPr>
          <w:rFonts w:ascii="Arial" w:eastAsia="Calibri" w:hAnsi="Arial" w:cs="Arial"/>
          <w:color w:val="000000" w:themeColor="text1"/>
        </w:rPr>
      </w:pPr>
    </w:p>
    <w:p w14:paraId="5C45D624" w14:textId="77777777" w:rsidR="006F63AA" w:rsidRPr="00504597" w:rsidRDefault="006F63AA" w:rsidP="006F63AA">
      <w:pPr>
        <w:spacing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r w:rsidRPr="00E87A11">
        <w:rPr>
          <w:rFonts w:ascii="Arial MT" w:eastAsia="Arial MT" w:hAnsi="Arial MT" w:cs="Arial MT"/>
          <w:lang w:val="es-ES"/>
        </w:rPr>
        <w:t xml:space="preserve">, </w:t>
      </w:r>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19 de julio de 2023</w:t>
      </w:r>
      <w:r w:rsidRPr="00504597">
        <w:rPr>
          <w:rFonts w:ascii="Arial" w:eastAsia="Calibri" w:hAnsi="Arial" w:cs="Arial"/>
          <w:color w:val="000000" w:themeColor="text1"/>
          <w:lang w:val="es-ES_tradnl"/>
        </w:rPr>
        <w:t>.</w:t>
      </w:r>
    </w:p>
    <w:p w14:paraId="7E351677" w14:textId="77777777" w:rsidR="006F63AA" w:rsidRPr="00504597" w:rsidRDefault="006F63AA" w:rsidP="006F63AA">
      <w:pPr>
        <w:pStyle w:val="Prrafodelista"/>
        <w:numPr>
          <w:ilvl w:val="0"/>
          <w:numId w:val="16"/>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w:t>
      </w:r>
      <w:r>
        <w:rPr>
          <w:rFonts w:ascii="Arial" w:eastAsia="Calibri" w:hAnsi="Arial" w:cs="Arial"/>
          <w:b/>
          <w:color w:val="000000" w:themeColor="text1"/>
          <w:lang w:val="es-ES_tradnl"/>
        </w:rPr>
        <w:t>blema planteado</w:t>
      </w:r>
    </w:p>
    <w:p w14:paraId="55ABC8F1" w14:textId="35E211DA" w:rsidR="006F63AA" w:rsidRDefault="006F63AA" w:rsidP="006F63AA">
      <w:pPr>
        <w:spacing w:line="276" w:lineRule="auto"/>
        <w:jc w:val="both"/>
        <w:rPr>
          <w:rFonts w:ascii="Arial" w:hAnsi="Arial" w:cs="Arial"/>
          <w:color w:val="000000" w:themeColor="text1"/>
          <w:lang w:val="es-ES"/>
        </w:rPr>
      </w:pPr>
      <w:r w:rsidRPr="594FA205">
        <w:rPr>
          <w:rFonts w:ascii="Arial" w:hAnsi="Arial" w:cs="Arial"/>
          <w:color w:val="000000" w:themeColor="text1"/>
          <w:lang w:val="es-ES"/>
        </w:rPr>
        <w:t xml:space="preserve">En su petición realiza </w:t>
      </w:r>
      <w:r w:rsidR="00DC4D52">
        <w:rPr>
          <w:rFonts w:ascii="Arial" w:hAnsi="Arial" w:cs="Arial"/>
          <w:color w:val="000000" w:themeColor="text1"/>
          <w:lang w:val="es-ES"/>
        </w:rPr>
        <w:t>las siguientes preguntas relacionadas</w:t>
      </w:r>
      <w:r w:rsidR="005314EB">
        <w:rPr>
          <w:rFonts w:ascii="Arial" w:hAnsi="Arial" w:cs="Arial"/>
          <w:color w:val="000000" w:themeColor="text1"/>
          <w:lang w:val="es-ES"/>
        </w:rPr>
        <w:t xml:space="preserve"> con la </w:t>
      </w:r>
      <w:r w:rsidR="00053B47">
        <w:rPr>
          <w:rFonts w:ascii="Arial" w:hAnsi="Arial" w:cs="Arial"/>
          <w:color w:val="000000" w:themeColor="text1"/>
          <w:lang w:val="es-ES"/>
        </w:rPr>
        <w:t>declar</w:t>
      </w:r>
      <w:r w:rsidR="005314EB">
        <w:rPr>
          <w:rFonts w:ascii="Arial" w:hAnsi="Arial" w:cs="Arial"/>
          <w:color w:val="000000" w:themeColor="text1"/>
          <w:lang w:val="es-ES"/>
        </w:rPr>
        <w:t>atoria de desierta en procesos</w:t>
      </w:r>
      <w:r w:rsidR="00DA4F2D">
        <w:rPr>
          <w:rFonts w:ascii="Arial" w:hAnsi="Arial" w:cs="Arial"/>
          <w:color w:val="000000" w:themeColor="text1"/>
          <w:lang w:val="es-ES"/>
        </w:rPr>
        <w:t xml:space="preserve"> de contratación pública:</w:t>
      </w:r>
    </w:p>
    <w:p w14:paraId="6651A2F8" w14:textId="77777777" w:rsidR="00053B47" w:rsidRPr="00053B47" w:rsidRDefault="00053B47" w:rsidP="00053B47">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t xml:space="preserve">1. ¿En el marco del Estatuto General de la Contratación de la Administración Pública es posible que un proceso de selección de un contratista por convocatoria pública, (licitación pública, selección abreviada, concurso o mínima cuantía), sea declarado desierto porque sólo participa un oferente? </w:t>
      </w:r>
    </w:p>
    <w:p w14:paraId="666DD2B8" w14:textId="20909A0F" w:rsidR="00053B47" w:rsidRPr="00053B47" w:rsidRDefault="00053B47" w:rsidP="00053B47">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t>2. ¿Si la anterior respuesta es negativa, ¿cómo se aplica el deber de selección objetiva para evaluar la única propuesta participante y poder adjudicar el proceso de selección?</w:t>
      </w:r>
    </w:p>
    <w:p w14:paraId="2BE7D249" w14:textId="4F2BA7EE" w:rsidR="00053B47" w:rsidRPr="00053B47" w:rsidRDefault="00053B47" w:rsidP="00053B47">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t xml:space="preserve">3. ¿Existe alguna norma constitucional, legal, reglamentaria, circular, directriz, regla de documento tipo, manual, etc., que justifique la declaratoria de desierta de una licitación, o de cualquier proceso de selección por convocatoria pública, por el hecho de que sólo participe un solo oferente? En caso afirmativo por favor enviarnos copia del documento que contenga dicha justificación. </w:t>
      </w:r>
    </w:p>
    <w:p w14:paraId="43F4AB32" w14:textId="77777777" w:rsidR="00053B47" w:rsidRPr="00053B47" w:rsidRDefault="00053B47" w:rsidP="00053B47">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t>Por favor, enviar la respuesta dentro del término legal (artículo 14 Ley 1755 de 2015).</w:t>
      </w:r>
    </w:p>
    <w:p w14:paraId="1C586878" w14:textId="77777777" w:rsidR="00053B47" w:rsidRPr="00053B47" w:rsidRDefault="00053B47" w:rsidP="00053B47">
      <w:pPr>
        <w:spacing w:line="20" w:lineRule="atLeast"/>
        <w:ind w:left="709" w:right="1043"/>
        <w:jc w:val="both"/>
        <w:rPr>
          <w:rFonts w:ascii="Arial" w:hAnsi="Arial" w:cs="Arial"/>
          <w:i/>
          <w:iCs/>
          <w:color w:val="000000" w:themeColor="text1"/>
          <w:sz w:val="21"/>
          <w:szCs w:val="21"/>
        </w:rPr>
      </w:pPr>
    </w:p>
    <w:p w14:paraId="64BF6CFC" w14:textId="06AC8C21" w:rsidR="006F63AA" w:rsidRDefault="00053B47" w:rsidP="00053B47">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lastRenderedPageBreak/>
        <w:t>La presente petición se hace en ejercicio de derechos fundamentales ciudadanos para efectos de conocer información pública y con miras a ejercer el control social ciudadano.</w:t>
      </w:r>
    </w:p>
    <w:p w14:paraId="1EC4E9DF" w14:textId="77777777" w:rsidR="006F63AA" w:rsidRPr="007C50A9" w:rsidRDefault="006F63AA" w:rsidP="006F63AA">
      <w:pPr>
        <w:pStyle w:val="Prrafodelista"/>
        <w:numPr>
          <w:ilvl w:val="0"/>
          <w:numId w:val="1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Consideraciones</w:t>
      </w:r>
    </w:p>
    <w:p w14:paraId="13133EFB" w14:textId="77777777" w:rsidR="0062342E" w:rsidRDefault="0062342E" w:rsidP="00B41E68">
      <w:pPr>
        <w:pStyle w:val="paragraph"/>
        <w:spacing w:before="0" w:beforeAutospacing="0" w:after="0" w:afterAutospacing="0"/>
        <w:jc w:val="both"/>
        <w:textAlignment w:val="baseline"/>
        <w:rPr>
          <w:rStyle w:val="normaltextrun"/>
          <w:rFonts w:ascii="Arial" w:hAnsi="Arial" w:cs="Arial"/>
          <w:sz w:val="22"/>
          <w:szCs w:val="22"/>
        </w:rPr>
      </w:pPr>
    </w:p>
    <w:p w14:paraId="452A7B26" w14:textId="06840DD4" w:rsidR="00B41E68" w:rsidRDefault="00B41E68" w:rsidP="00B41E6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Pr>
          <w:rStyle w:val="normaltextrun"/>
          <w:rFonts w:ascii="Arial" w:hAnsi="Arial" w:cs="Arial"/>
          <w:sz w:val="22"/>
          <w:szCs w:val="22"/>
          <w:lang w:val="es-ES"/>
        </w:rPr>
        <w:t>citados. Es necesario tener en cuenta que esta entidad solo tiene competencia para</w:t>
      </w:r>
      <w:r w:rsidR="006F63AA">
        <w:rPr>
          <w:rStyle w:val="normaltextrun"/>
          <w:rFonts w:ascii="Arial" w:eastAsia="Calibri" w:hAnsi="Arial" w:cs="Arial"/>
          <w:sz w:val="22"/>
          <w:szCs w:val="22"/>
          <w:lang w:val="es-ES"/>
        </w:rPr>
        <w:t xml:space="preserve"> responder </w:t>
      </w:r>
      <w:r>
        <w:rPr>
          <w:rStyle w:val="normaltextrun"/>
          <w:rFonts w:ascii="Arial" w:hAnsi="Arial" w:cs="Arial"/>
          <w:sz w:val="22"/>
          <w:szCs w:val="22"/>
          <w:lang w:val="es-ES"/>
        </w:rPr>
        <w:t>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Style w:val="normaltextrun"/>
          <w:rFonts w:ascii="Arial" w:hAnsi="Arial" w:cs="Arial"/>
          <w:sz w:val="22"/>
          <w:szCs w:val="22"/>
        </w:rPr>
        <w:t xml:space="preserve"> de todos los partícipes de la contratación estatal.</w:t>
      </w:r>
      <w:r>
        <w:rPr>
          <w:rStyle w:val="eop"/>
          <w:rFonts w:ascii="Arial" w:hAnsi="Arial" w:cs="Arial"/>
          <w:sz w:val="22"/>
          <w:szCs w:val="22"/>
        </w:rPr>
        <w:t> </w:t>
      </w:r>
    </w:p>
    <w:p w14:paraId="246E81F2" w14:textId="77777777" w:rsidR="00B025A2" w:rsidRDefault="00B025A2" w:rsidP="00B41E68">
      <w:pPr>
        <w:pStyle w:val="paragraph"/>
        <w:spacing w:before="0" w:beforeAutospacing="0" w:after="0" w:afterAutospacing="0"/>
        <w:jc w:val="both"/>
        <w:textAlignment w:val="baseline"/>
        <w:rPr>
          <w:rFonts w:ascii="Segoe UI" w:hAnsi="Segoe UI" w:cs="Segoe UI"/>
          <w:sz w:val="18"/>
          <w:szCs w:val="18"/>
        </w:rPr>
      </w:pPr>
    </w:p>
    <w:p w14:paraId="09C32AEA" w14:textId="08E41853" w:rsidR="00B41E68" w:rsidRDefault="00B41E68" w:rsidP="00B41E68">
      <w:pPr>
        <w:pStyle w:val="paragraph"/>
        <w:spacing w:before="0" w:beforeAutospacing="0" w:after="0" w:afterAutospacing="0"/>
        <w:ind w:firstLine="705"/>
        <w:jc w:val="both"/>
        <w:textAlignment w:val="baseline"/>
        <w:rPr>
          <w:rStyle w:val="eop"/>
          <w:rFonts w:ascii="Arial" w:hAnsi="Arial" w:cs="Arial"/>
          <w:sz w:val="22"/>
          <w:szCs w:val="22"/>
        </w:rPr>
      </w:pPr>
      <w:r>
        <w:rPr>
          <w:rStyle w:val="normaltextrun"/>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superscript"/>
          <w:rFonts w:ascii="Arial" w:hAnsi="Arial" w:cs="Arial"/>
          <w:sz w:val="17"/>
          <w:szCs w:val="17"/>
          <w:vertAlign w:val="superscript"/>
          <w:lang w:val="es-ES"/>
        </w:rPr>
        <w:t>1</w:t>
      </w:r>
      <w:r>
        <w:rPr>
          <w:rStyle w:val="normaltextrun"/>
          <w:rFonts w:ascii="Arial" w:hAnsi="Arial" w:cs="Arial"/>
          <w:sz w:val="22"/>
          <w:szCs w:val="22"/>
          <w:lang w:val="es-ES"/>
        </w:rPr>
        <w:t xml:space="preserve">. Esta competencia de interpretación de normas generales, por definición, no puede extenderse a la resolución de controversias ni brindar asesorías sobre casos puntuales. Por lo anterior, previo concepto de </w:t>
      </w:r>
      <w:r w:rsidR="006F63AA">
        <w:rPr>
          <w:rStyle w:val="normaltextrun"/>
          <w:rFonts w:ascii="Arial" w:eastAsia="Calibri" w:hAnsi="Arial" w:cs="Arial"/>
          <w:sz w:val="22"/>
          <w:szCs w:val="22"/>
          <w:lang w:val="es-ES"/>
        </w:rPr>
        <w:t xml:space="preserve">sus </w:t>
      </w:r>
      <w:r>
        <w:rPr>
          <w:rStyle w:val="normaltextrun"/>
          <w:rFonts w:ascii="Arial" w:hAnsi="Arial" w:cs="Arial"/>
          <w:sz w:val="22"/>
          <w:szCs w:val="22"/>
          <w:lang w:val="es-ES"/>
        </w:rPr>
        <w:t xml:space="preserve">órganos asesores, la solución de estos temas corresponde a la entidad </w:t>
      </w:r>
      <w:r w:rsidR="00017E5B">
        <w:rPr>
          <w:rStyle w:val="normaltextrun"/>
          <w:rFonts w:ascii="Arial" w:hAnsi="Arial" w:cs="Arial"/>
          <w:sz w:val="22"/>
          <w:szCs w:val="22"/>
          <w:lang w:val="es-ES"/>
        </w:rPr>
        <w:t>a</w:t>
      </w:r>
      <w:r>
        <w:rPr>
          <w:rStyle w:val="normaltextrun"/>
          <w:rFonts w:ascii="Arial" w:hAnsi="Arial" w:cs="Arial"/>
          <w:sz w:val="22"/>
          <w:szCs w:val="22"/>
          <w:lang w:val="es-ES"/>
        </w:rPr>
        <w:t xml:space="preserv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r>
        <w:rPr>
          <w:rStyle w:val="eop"/>
          <w:rFonts w:ascii="Arial" w:hAnsi="Arial" w:cs="Arial"/>
          <w:sz w:val="22"/>
          <w:szCs w:val="22"/>
        </w:rPr>
        <w:t> </w:t>
      </w:r>
    </w:p>
    <w:p w14:paraId="3E581044" w14:textId="77777777" w:rsidR="00B025A2" w:rsidRDefault="00B025A2" w:rsidP="00B41E68">
      <w:pPr>
        <w:pStyle w:val="paragraph"/>
        <w:spacing w:before="0" w:beforeAutospacing="0" w:after="0" w:afterAutospacing="0"/>
        <w:ind w:firstLine="705"/>
        <w:jc w:val="both"/>
        <w:textAlignment w:val="baseline"/>
        <w:rPr>
          <w:rFonts w:ascii="Segoe UI" w:hAnsi="Segoe UI" w:cs="Segoe UI"/>
          <w:sz w:val="18"/>
          <w:szCs w:val="18"/>
        </w:rPr>
      </w:pPr>
    </w:p>
    <w:p w14:paraId="3741528D" w14:textId="1A103D46" w:rsidR="006F63AA" w:rsidRPr="007C50A9" w:rsidRDefault="00B41E68" w:rsidP="00B025A2">
      <w:pPr>
        <w:pStyle w:val="paragraph"/>
        <w:spacing w:before="0" w:beforeAutospacing="0" w:after="0" w:afterAutospacing="0"/>
        <w:ind w:firstLine="705"/>
        <w:jc w:val="both"/>
        <w:textAlignment w:val="baseline"/>
        <w:rPr>
          <w:rFonts w:ascii="Arial" w:hAnsi="Arial" w:cs="Arial"/>
          <w:bCs/>
          <w:color w:val="000000" w:themeColor="text1"/>
          <w:lang w:val="es-ES"/>
        </w:rPr>
      </w:pPr>
      <w:r>
        <w:rPr>
          <w:rStyle w:val="normaltextrun"/>
          <w:rFonts w:ascii="Arial" w:hAnsi="Arial" w:cs="Arial"/>
          <w:sz w:val="22"/>
          <w:szCs w:val="22"/>
        </w:rPr>
        <w:t>Sin perjuicio de lo anterior, la Subdirección –dentro de los límites de sus atribuciones, esto es, haciendo abstracción del caso expuesto por el peticionario– resolverá la consulta conforme a las normas generales en materia de contratación estatal. Con este objetivo se abordarán</w:t>
      </w:r>
      <w:r w:rsidR="006F63AA">
        <w:rPr>
          <w:rStyle w:val="normaltextrun"/>
          <w:rFonts w:ascii="Arial" w:eastAsia="Calibri" w:hAnsi="Arial" w:cs="Arial"/>
          <w:sz w:val="22"/>
          <w:szCs w:val="22"/>
        </w:rPr>
        <w:t xml:space="preserve"> </w:t>
      </w:r>
      <w:r w:rsidR="006F63AA">
        <w:rPr>
          <w:rStyle w:val="normaltextrun"/>
          <w:rFonts w:ascii="Arial" w:eastAsia="Calibri" w:hAnsi="Arial" w:cs="Arial"/>
          <w:sz w:val="22"/>
          <w:szCs w:val="22"/>
          <w:lang w:val="es-ES"/>
        </w:rPr>
        <w:t>los siguientes temas</w:t>
      </w:r>
      <w:r w:rsidR="006F63AA" w:rsidRPr="000B6C17">
        <w:rPr>
          <w:rStyle w:val="normaltextrun"/>
          <w:rFonts w:ascii="Arial" w:hAnsi="Arial" w:cs="Arial"/>
          <w:color w:val="000000"/>
          <w:sz w:val="22"/>
          <w:szCs w:val="22"/>
          <w:lang w:val="es-ES"/>
        </w:rPr>
        <w:t xml:space="preserve">: </w:t>
      </w:r>
      <w:r w:rsidR="006F63AA" w:rsidRPr="000B6C17">
        <w:rPr>
          <w:rFonts w:ascii="Arial" w:hAnsi="Arial" w:cs="Arial"/>
          <w:color w:val="000000" w:themeColor="text1"/>
          <w:sz w:val="22"/>
          <w:szCs w:val="22"/>
          <w:lang w:val="es-ES"/>
        </w:rPr>
        <w:t xml:space="preserve"> </w:t>
      </w:r>
      <w:r w:rsidR="000B6C17" w:rsidRPr="000B6C17">
        <w:rPr>
          <w:rFonts w:ascii="Arial" w:hAnsi="Arial" w:cs="Arial"/>
          <w:color w:val="000000" w:themeColor="text1"/>
          <w:sz w:val="22"/>
          <w:szCs w:val="22"/>
          <w:lang w:val="es-ES"/>
        </w:rPr>
        <w:t>i) Principio de selección objetiva ii</w:t>
      </w:r>
      <w:r w:rsidR="0062342E" w:rsidRPr="000B6C17">
        <w:rPr>
          <w:rFonts w:ascii="Arial" w:hAnsi="Arial" w:cs="Arial"/>
          <w:color w:val="000000" w:themeColor="text1"/>
          <w:sz w:val="22"/>
          <w:szCs w:val="22"/>
          <w:lang w:val="es-ES"/>
        </w:rPr>
        <w:t xml:space="preserve">) </w:t>
      </w:r>
      <w:r w:rsidR="0062342E" w:rsidRPr="000B6C17">
        <w:rPr>
          <w:rFonts w:ascii="Arial" w:eastAsia="Calibri" w:hAnsi="Arial" w:cs="Arial"/>
          <w:sz w:val="22"/>
          <w:szCs w:val="22"/>
          <w:lang w:val="es-ES_tradnl"/>
        </w:rPr>
        <w:t>Declaratoria de desierta en los Procesos de Contratación</w:t>
      </w:r>
      <w:r w:rsidR="005314EB">
        <w:rPr>
          <w:rFonts w:ascii="Arial" w:eastAsia="Calibri" w:hAnsi="Arial" w:cs="Arial"/>
          <w:sz w:val="22"/>
          <w:szCs w:val="22"/>
          <w:lang w:val="es-ES_tradnl"/>
        </w:rPr>
        <w:t>.</w:t>
      </w:r>
    </w:p>
    <w:p w14:paraId="2E43548D" w14:textId="5598F15B" w:rsidR="005314EB" w:rsidRDefault="006F63AA" w:rsidP="0062342E">
      <w:pPr>
        <w:spacing w:before="120" w:line="276" w:lineRule="auto"/>
        <w:ind w:firstLine="708"/>
        <w:jc w:val="both"/>
        <w:rPr>
          <w:rFonts w:ascii="Arial" w:eastAsia="Arial" w:hAnsi="Arial" w:cs="Arial"/>
          <w:lang w:val="es-ES_tradnl"/>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en los</w:t>
      </w:r>
      <w:r w:rsidR="0062342E">
        <w:rPr>
          <w:rFonts w:ascii="Arial" w:eastAsia="Calibri" w:hAnsi="Arial" w:cs="Arial"/>
          <w:color w:val="000000" w:themeColor="text1"/>
          <w:lang w:val="es-ES"/>
        </w:rPr>
        <w:t xml:space="preserve"> </w:t>
      </w:r>
      <w:r w:rsidR="0062342E" w:rsidRPr="002C457E">
        <w:rPr>
          <w:rFonts w:ascii="Arial" w:eastAsia="Arial" w:hAnsi="Arial" w:cs="Arial"/>
          <w:lang w:val="es-ES_tradnl"/>
        </w:rPr>
        <w:t xml:space="preserve">conceptos: </w:t>
      </w:r>
      <w:r w:rsidR="005314EB" w:rsidRPr="008143FD">
        <w:rPr>
          <w:rStyle w:val="normaltextrun"/>
          <w:rFonts w:ascii="Arial" w:hAnsi="Arial" w:cs="Arial"/>
          <w:color w:val="000000"/>
          <w:shd w:val="clear" w:color="auto" w:fill="FFFFFF"/>
          <w:lang w:val="es-MX"/>
        </w:rPr>
        <w:t xml:space="preserve">con radicado No: 4201913000006471 del 28 de octubre de 2019, 4201912000006711 del 12 de noviembre de 2019 y 4201912000006496 del 15 de noviembre de 2019, las cuales se unificaron en el Concepto CU–060 del 24 de febrero de 2020, que se reitera,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C-728 de 26 de enero de 2022, C-285 del 20 de </w:t>
      </w:r>
      <w:r w:rsidR="005314EB" w:rsidRPr="008143FD">
        <w:rPr>
          <w:rStyle w:val="normaltextrun"/>
          <w:rFonts w:ascii="Arial" w:hAnsi="Arial" w:cs="Arial"/>
          <w:color w:val="000000"/>
          <w:shd w:val="clear" w:color="auto" w:fill="FFFFFF"/>
          <w:lang w:val="es-MX"/>
        </w:rPr>
        <w:lastRenderedPageBreak/>
        <w:t>mayo de 2022, C-751 del 17 de noviembre de 2022, C-785 del 21 de noviembre de 2022</w:t>
      </w:r>
      <w:r w:rsidR="005314EB" w:rsidRPr="008143FD">
        <w:rPr>
          <w:rFonts w:ascii="Arial" w:eastAsia="Calibri" w:hAnsi="Arial" w:cs="Arial"/>
          <w:vertAlign w:val="superscript"/>
          <w:lang w:val="es-ES_tradnl"/>
        </w:rPr>
        <w:footnoteReference w:id="2"/>
      </w:r>
      <w:r w:rsidR="005314EB">
        <w:rPr>
          <w:rStyle w:val="normaltextrun"/>
          <w:rFonts w:ascii="Arial" w:hAnsi="Arial" w:cs="Arial"/>
          <w:color w:val="000000"/>
          <w:shd w:val="clear" w:color="auto" w:fill="FFFFFF"/>
          <w:lang w:val="es-MX"/>
        </w:rPr>
        <w:t xml:space="preserve"> y conceptos C-032 de 2023 </w:t>
      </w:r>
      <w:r w:rsidR="005314EB" w:rsidRPr="008143FD">
        <w:rPr>
          <w:rStyle w:val="normaltextrun"/>
          <w:rFonts w:ascii="Arial" w:hAnsi="Arial" w:cs="Arial"/>
          <w:color w:val="000000"/>
          <w:shd w:val="clear" w:color="auto" w:fill="FFFFFF"/>
          <w:lang w:val="es-MX"/>
        </w:rPr>
        <w:t>se refirió sobre el principio de selección objetiva</w:t>
      </w:r>
      <w:r w:rsidR="005314EB">
        <w:rPr>
          <w:rStyle w:val="normaltextrun"/>
          <w:rFonts w:ascii="Arial" w:hAnsi="Arial" w:cs="Arial"/>
          <w:color w:val="000000"/>
          <w:shd w:val="clear" w:color="auto" w:fill="FFFFFF"/>
          <w:lang w:val="es-MX"/>
        </w:rPr>
        <w:t>.</w:t>
      </w:r>
    </w:p>
    <w:p w14:paraId="6008BF25" w14:textId="2A543433" w:rsidR="006F63AA" w:rsidRDefault="005314EB" w:rsidP="003E693C">
      <w:pPr>
        <w:spacing w:before="120" w:line="276" w:lineRule="auto"/>
        <w:ind w:firstLine="708"/>
        <w:contextualSpacing/>
        <w:jc w:val="both"/>
        <w:rPr>
          <w:rFonts w:ascii="Arial" w:eastAsia="Calibri" w:hAnsi="Arial" w:cs="Arial"/>
          <w:color w:val="000000" w:themeColor="text1"/>
          <w:lang w:val="es-ES_tradnl"/>
        </w:rPr>
      </w:pPr>
      <w:r>
        <w:rPr>
          <w:rFonts w:ascii="Arial" w:eastAsia="Arial" w:hAnsi="Arial" w:cs="Arial"/>
          <w:lang w:val="es-ES_tradnl"/>
        </w:rPr>
        <w:t xml:space="preserve">Por su parte en los conceptos </w:t>
      </w:r>
      <w:r w:rsidR="0062342E" w:rsidRPr="002C457E">
        <w:rPr>
          <w:rFonts w:ascii="Arial" w:eastAsia="Arial" w:hAnsi="Arial" w:cs="Arial"/>
          <w:lang w:val="es-ES_tradnl"/>
        </w:rPr>
        <w:t>C-237 del 26 de abril de 2022, C-250 del 4 de mayo de 2022, C-446 del 6 de julio de 2022</w:t>
      </w:r>
      <w:r w:rsidR="00630817">
        <w:rPr>
          <w:rFonts w:ascii="Arial" w:eastAsia="Arial" w:hAnsi="Arial" w:cs="Arial"/>
          <w:lang w:val="es-ES_tradnl"/>
        </w:rPr>
        <w:t>,</w:t>
      </w:r>
      <w:r w:rsidR="0062342E" w:rsidRPr="002C457E">
        <w:rPr>
          <w:rFonts w:ascii="Arial" w:eastAsia="Arial" w:hAnsi="Arial" w:cs="Arial"/>
          <w:lang w:val="es-ES_tradnl"/>
        </w:rPr>
        <w:t xml:space="preserve"> C-572 del 14 de septiembre </w:t>
      </w:r>
      <w:r w:rsidR="00630817">
        <w:rPr>
          <w:rFonts w:ascii="Arial" w:eastAsia="Arial" w:hAnsi="Arial" w:cs="Arial"/>
          <w:lang w:val="es-ES_tradnl"/>
        </w:rPr>
        <w:t>y C-687 del 20 de octubre de 2022</w:t>
      </w:r>
      <w:r w:rsidR="0062342E" w:rsidRPr="002C457E">
        <w:rPr>
          <w:rFonts w:ascii="Arial" w:eastAsia="Arial" w:hAnsi="Arial" w:cs="Arial"/>
          <w:lang w:val="es-ES_tradnl"/>
        </w:rPr>
        <w:t xml:space="preserve"> </w:t>
      </w:r>
      <w:r w:rsidR="0062342E" w:rsidRPr="002C457E">
        <w:rPr>
          <w:rFonts w:ascii="Arial" w:hAnsi="Arial" w:cs="Arial"/>
          <w:noProof/>
          <w:lang w:val="es-ES_tradnl"/>
        </w:rPr>
        <w:t>se ha pronunciado sobre la declaratoria de desierta en los procesos de contratación</w:t>
      </w:r>
      <w:r w:rsidR="0062342E">
        <w:rPr>
          <w:rFonts w:ascii="Arial" w:eastAsia="Calibri" w:hAnsi="Arial" w:cs="Arial"/>
          <w:color w:val="000000" w:themeColor="text1"/>
          <w:lang w:val="es-ES"/>
        </w:rPr>
        <w:t xml:space="preserve">. </w:t>
      </w:r>
      <w:r w:rsidR="006F63AA" w:rsidRPr="00504597">
        <w:rPr>
          <w:rFonts w:ascii="Arial" w:eastAsia="Calibri" w:hAnsi="Arial" w:cs="Arial"/>
          <w:color w:val="000000" w:themeColor="text1"/>
          <w:lang w:val="es-ES_tradnl"/>
        </w:rPr>
        <w:t xml:space="preserve">La tesis propuesta en estos conceptos se reitera a continuación y se complementa en lo pertinente. </w:t>
      </w:r>
    </w:p>
    <w:p w14:paraId="125FF8D2" w14:textId="212FD300" w:rsidR="005314EB" w:rsidRPr="005314EB" w:rsidRDefault="005314EB" w:rsidP="003E693C">
      <w:pPr>
        <w:pStyle w:val="Prrafodelista"/>
        <w:widowControl w:val="0"/>
        <w:numPr>
          <w:ilvl w:val="0"/>
          <w:numId w:val="17"/>
        </w:numPr>
        <w:autoSpaceDE w:val="0"/>
        <w:autoSpaceDN w:val="0"/>
        <w:spacing w:after="0" w:line="276" w:lineRule="auto"/>
        <w:ind w:left="284" w:hanging="283"/>
        <w:jc w:val="both"/>
        <w:rPr>
          <w:rFonts w:ascii="Arial" w:eastAsia="Times New Roman" w:hAnsi="Arial" w:cs="Arial"/>
          <w:b/>
          <w:bCs/>
          <w:shd w:val="clear" w:color="auto" w:fill="FFFFFF"/>
          <w:lang w:eastAsia="es-CO"/>
        </w:rPr>
      </w:pPr>
      <w:r w:rsidRPr="005314EB">
        <w:rPr>
          <w:rFonts w:ascii="Arial" w:eastAsia="Arial" w:hAnsi="Arial" w:cs="Arial"/>
          <w:b/>
          <w:bCs/>
          <w:lang w:val="es-MX"/>
        </w:rPr>
        <w:t>Principio de selección objetiva en la contratación estatal</w:t>
      </w:r>
    </w:p>
    <w:p w14:paraId="2AFBAD47" w14:textId="77777777" w:rsidR="003E693C" w:rsidRDefault="003E693C" w:rsidP="003E693C">
      <w:pPr>
        <w:spacing w:after="120" w:line="276" w:lineRule="auto"/>
        <w:contextualSpacing/>
        <w:jc w:val="both"/>
        <w:rPr>
          <w:rFonts w:ascii="Arial" w:eastAsia="Calibri" w:hAnsi="Arial" w:cs="Arial"/>
          <w:lang w:val="es-ES_tradnl"/>
        </w:rPr>
      </w:pPr>
    </w:p>
    <w:p w14:paraId="2BFD05B1" w14:textId="7B634930" w:rsidR="00ED6A9D" w:rsidRDefault="00ED6A9D" w:rsidP="003E693C">
      <w:pPr>
        <w:spacing w:after="120" w:line="276" w:lineRule="auto"/>
        <w:contextualSpacing/>
        <w:jc w:val="both"/>
        <w:rPr>
          <w:rFonts w:ascii="Arial" w:eastAsia="Calibri" w:hAnsi="Arial" w:cs="Arial"/>
          <w:lang w:val="es-ES_tradnl"/>
        </w:rPr>
      </w:pPr>
      <w:r w:rsidRPr="005E6CC0">
        <w:rPr>
          <w:rFonts w:ascii="Arial" w:eastAsia="Calibri" w:hAnsi="Arial" w:cs="Arial"/>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24D02AEC" w14:textId="77777777" w:rsidR="00ED6A9D" w:rsidRDefault="00ED6A9D" w:rsidP="00ED6A9D">
      <w:pPr>
        <w:spacing w:after="0" w:line="276" w:lineRule="auto"/>
        <w:ind w:firstLine="708"/>
        <w:jc w:val="both"/>
        <w:rPr>
          <w:rFonts w:ascii="Arial" w:eastAsia="Calibri" w:hAnsi="Arial" w:cs="Arial"/>
          <w:lang w:val="es-ES_tradnl"/>
        </w:rPr>
      </w:pPr>
      <w:r w:rsidRPr="005E6CC0">
        <w:rPr>
          <w:rFonts w:ascii="Arial" w:eastAsia="Calibri" w:hAnsi="Arial" w:cs="Arial"/>
          <w:lang w:val="es-ES_tradnl"/>
        </w:rPr>
        <w:t>Si bien dentro de la historia de la contratación pública en Colombia, se vislumbran antecedentes normativos que consagraban dicho principio</w:t>
      </w:r>
      <w:r w:rsidRPr="005E6CC0">
        <w:rPr>
          <w:rFonts w:ascii="Arial" w:eastAsia="Calibri" w:hAnsi="Arial" w:cs="Arial"/>
          <w:lang w:val="es-ES_tradnl"/>
        </w:rPr>
        <w:footnoteReference w:id="3"/>
      </w:r>
      <w:r w:rsidRPr="005E6CC0">
        <w:rPr>
          <w:rFonts w:ascii="Arial" w:eastAsia="Calibri" w:hAnsi="Arial" w:cs="Arial"/>
          <w:lang w:val="es-ES_tradnl"/>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14:paraId="610B6E7B" w14:textId="77777777" w:rsidR="00ED6A9D" w:rsidRPr="005E6CC0" w:rsidRDefault="00ED6A9D" w:rsidP="00ED6A9D">
      <w:pPr>
        <w:spacing w:after="0" w:line="276" w:lineRule="auto"/>
        <w:ind w:firstLine="708"/>
        <w:jc w:val="both"/>
        <w:rPr>
          <w:rFonts w:ascii="Arial" w:eastAsia="Calibri" w:hAnsi="Arial" w:cs="Arial"/>
          <w:lang w:val="es-ES_tradnl"/>
        </w:rPr>
      </w:pPr>
    </w:p>
    <w:p w14:paraId="0E9A6138" w14:textId="77777777" w:rsidR="00ED6A9D" w:rsidRDefault="00ED6A9D" w:rsidP="00ED6A9D">
      <w:pPr>
        <w:spacing w:after="0" w:line="240" w:lineRule="auto"/>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Pr="008143FD">
        <w:rPr>
          <w:rFonts w:ascii="Arial" w:eastAsia="Calibri" w:hAnsi="Arial" w:cs="Arial"/>
          <w:sz w:val="21"/>
          <w:szCs w:val="21"/>
          <w:lang w:val="es-ES_tradnl"/>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w:t>
      </w:r>
      <w:r w:rsidRPr="008143FD">
        <w:rPr>
          <w:rFonts w:ascii="Arial" w:eastAsia="Calibri" w:hAnsi="Arial" w:cs="Arial"/>
          <w:sz w:val="21"/>
          <w:szCs w:val="21"/>
          <w:lang w:val="es-ES_tradnl"/>
        </w:rPr>
        <w:lastRenderedPageBreak/>
        <w:t xml:space="preserve">factores de escogencia y calificación que establezcan las entidades en los pliegos de condiciones o sus </w:t>
      </w:r>
      <w:proofErr w:type="gramStart"/>
      <w:r w:rsidRPr="008143FD">
        <w:rPr>
          <w:rFonts w:ascii="Arial" w:eastAsia="Calibri" w:hAnsi="Arial" w:cs="Arial"/>
          <w:sz w:val="21"/>
          <w:szCs w:val="21"/>
          <w:lang w:val="es-ES_tradnl"/>
        </w:rPr>
        <w:t>equivalentes,</w:t>
      </w:r>
      <w:proofErr w:type="gramEnd"/>
      <w:r w:rsidRPr="008143FD">
        <w:rPr>
          <w:rFonts w:ascii="Arial" w:eastAsia="Calibri" w:hAnsi="Arial" w:cs="Arial"/>
          <w:sz w:val="21"/>
          <w:szCs w:val="21"/>
          <w:lang w:val="es-ES_tradnl"/>
        </w:rPr>
        <w:t xml:space="preserve"> tendrán en cuenta los siguientes criterios:</w:t>
      </w:r>
    </w:p>
    <w:p w14:paraId="53905079"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p>
    <w:p w14:paraId="626C1576"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7803219"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3C0EC7F1"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1E1940BE"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49D58AD8"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En los procesos de selección en los que se tenga en cuenta los factores técnicos y económicos, la oferta más ventajosa será la que resulte de aplicar alguna de las siguientes alternativas:</w:t>
      </w:r>
    </w:p>
    <w:p w14:paraId="203C67CC"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4866C318" w14:textId="77777777" w:rsidR="00ED6A9D" w:rsidRPr="008143FD" w:rsidRDefault="00ED6A9D" w:rsidP="00ED6A9D">
      <w:pPr>
        <w:spacing w:after="12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a) La ponderación de los elementos de calidad y precio soportados en puntajes o fórmulas señaladas en el pliego de condiciones; o</w:t>
      </w:r>
    </w:p>
    <w:p w14:paraId="29573C39"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b) La ponderación de los elementos de calidad y precio que representen la mejor relación de costo-beneficio para la entidad.</w:t>
      </w:r>
    </w:p>
    <w:p w14:paraId="12AE1BA5"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3C67409D"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60269F4D"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44BA25C3" w14:textId="77777777" w:rsidR="00ED6A9D" w:rsidRPr="008143FD" w:rsidRDefault="00ED6A9D" w:rsidP="00ED6A9D">
      <w:pPr>
        <w:spacing w:after="12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34478D0C"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lastRenderedPageBreak/>
        <w:t>En ningún caso se podrá incluir el precio, como factor de escogencia para la selección de consultores.</w:t>
      </w:r>
    </w:p>
    <w:p w14:paraId="37FACBB8" w14:textId="77777777" w:rsidR="00ED6A9D" w:rsidRPr="008143FD" w:rsidRDefault="00ED6A9D" w:rsidP="00ED6A9D">
      <w:pPr>
        <w:spacing w:after="120" w:line="240" w:lineRule="auto"/>
        <w:ind w:left="709" w:right="709" w:firstLine="708"/>
        <w:jc w:val="both"/>
        <w:rPr>
          <w:rFonts w:ascii="Arial" w:eastAsia="Calibri" w:hAnsi="Arial" w:cs="Arial"/>
          <w:sz w:val="21"/>
          <w:szCs w:val="21"/>
          <w:lang w:val="es-ES_tradnl"/>
        </w:rPr>
      </w:pPr>
    </w:p>
    <w:p w14:paraId="2B661AD3" w14:textId="77777777" w:rsidR="00ED6A9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8143FD">
        <w:rPr>
          <w:rFonts w:ascii="Arial" w:eastAsia="Calibri" w:hAnsi="Arial" w:cs="Arial"/>
          <w:sz w:val="21"/>
          <w:szCs w:val="21"/>
          <w:lang w:val="es-ES_tradnl"/>
        </w:rPr>
        <w:t>puntaje,</w:t>
      </w:r>
      <w:proofErr w:type="gramEnd"/>
      <w:r w:rsidRPr="008143FD">
        <w:rPr>
          <w:rFonts w:ascii="Arial" w:eastAsia="Calibri" w:hAnsi="Arial"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071FE759"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6DFAFAE0"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Durante el término otorgado para subsanar las ofertas, los proponentes no podrán acreditar circunstancias ocurridas con posterioridad al cierre del proceso.</w:t>
      </w:r>
    </w:p>
    <w:p w14:paraId="50775065"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0C5417A0"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PARÁGRAFO 2o. Las certificaciones de sistemas de gestión de calidad no serán objeto de calificación, ni podrán establecerse como documento habilitante para participar en licitaciones o concursos.</w:t>
      </w:r>
    </w:p>
    <w:p w14:paraId="111AFBF1"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53400379"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8143FD">
        <w:rPr>
          <w:rFonts w:ascii="Arial" w:eastAsia="Calibri" w:hAnsi="Arial" w:cs="Arial"/>
          <w:sz w:val="21"/>
          <w:szCs w:val="21"/>
          <w:lang w:val="es-ES_tradnl"/>
        </w:rPr>
        <w:t>la misma</w:t>
      </w:r>
      <w:proofErr w:type="gramEnd"/>
      <w:r w:rsidRPr="008143FD">
        <w:rPr>
          <w:rFonts w:ascii="Arial" w:eastAsia="Calibri" w:hAnsi="Arial" w:cs="Arial"/>
          <w:sz w:val="21"/>
          <w:szCs w:val="21"/>
          <w:lang w:val="es-ES_tradnl"/>
        </w:rPr>
        <w:t>.</w:t>
      </w:r>
    </w:p>
    <w:p w14:paraId="59D21844"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6BF9C457" w14:textId="77777777" w:rsidR="00ED6A9D" w:rsidRPr="008143FD" w:rsidRDefault="00ED6A9D" w:rsidP="00ED6A9D">
      <w:pPr>
        <w:spacing w:after="0" w:line="240" w:lineRule="auto"/>
        <w:ind w:left="709" w:right="709"/>
        <w:jc w:val="both"/>
        <w:rPr>
          <w:rFonts w:ascii="Arial" w:eastAsia="Calibri" w:hAnsi="Arial" w:cs="Arial"/>
          <w:sz w:val="21"/>
          <w:szCs w:val="21"/>
          <w:lang w:val="es-ES_tradnl"/>
        </w:rPr>
      </w:pPr>
      <w:r w:rsidRPr="008143FD">
        <w:rPr>
          <w:rFonts w:ascii="Arial" w:eastAsia="Calibri" w:hAnsi="Arial" w:cs="Arial"/>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67EE1D10" w14:textId="77777777" w:rsidR="00ED6A9D" w:rsidRPr="008143FD" w:rsidRDefault="00ED6A9D" w:rsidP="00ED6A9D">
      <w:pPr>
        <w:spacing w:after="0" w:line="240" w:lineRule="auto"/>
        <w:ind w:left="709" w:right="709" w:firstLine="708"/>
        <w:jc w:val="both"/>
        <w:rPr>
          <w:rFonts w:ascii="Arial" w:eastAsia="Calibri" w:hAnsi="Arial" w:cs="Arial"/>
          <w:sz w:val="21"/>
          <w:szCs w:val="21"/>
          <w:lang w:val="es-ES_tradnl"/>
        </w:rPr>
      </w:pPr>
    </w:p>
    <w:p w14:paraId="34DDD88A" w14:textId="77777777" w:rsidR="00ED6A9D" w:rsidRPr="005E6CC0" w:rsidRDefault="00ED6A9D" w:rsidP="00ED6A9D">
      <w:pPr>
        <w:spacing w:after="0" w:line="240" w:lineRule="auto"/>
        <w:ind w:left="709" w:right="709"/>
        <w:jc w:val="both"/>
        <w:rPr>
          <w:rFonts w:ascii="Arial" w:eastAsia="Calibri" w:hAnsi="Arial" w:cs="Arial"/>
          <w:lang w:val="es-ES_tradnl"/>
        </w:rPr>
      </w:pPr>
      <w:r w:rsidRPr="008143FD">
        <w:rPr>
          <w:rFonts w:ascii="Arial" w:eastAsia="Calibri" w:hAnsi="Arial" w:cs="Arial"/>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Pr>
          <w:rFonts w:ascii="Arial" w:eastAsia="Calibri" w:hAnsi="Arial" w:cs="Arial"/>
          <w:sz w:val="21"/>
          <w:szCs w:val="21"/>
          <w:lang w:val="es-ES_tradnl"/>
        </w:rPr>
        <w:t>”</w:t>
      </w:r>
      <w:r w:rsidRPr="005E6CC0">
        <w:rPr>
          <w:rFonts w:ascii="Arial" w:eastAsia="Calibri" w:hAnsi="Arial" w:cs="Arial"/>
          <w:lang w:val="es-ES_tradnl"/>
        </w:rPr>
        <w:t xml:space="preserve"> </w:t>
      </w:r>
    </w:p>
    <w:p w14:paraId="3DC8E4EC" w14:textId="77777777" w:rsidR="00ED6A9D" w:rsidRPr="005E6CC0" w:rsidRDefault="00ED6A9D" w:rsidP="00ED6A9D">
      <w:pPr>
        <w:spacing w:after="0" w:line="276" w:lineRule="auto"/>
        <w:ind w:firstLine="708"/>
        <w:jc w:val="both"/>
        <w:rPr>
          <w:rFonts w:ascii="Arial" w:eastAsia="Calibri" w:hAnsi="Arial" w:cs="Arial"/>
          <w:lang w:val="es-ES_tradnl"/>
        </w:rPr>
      </w:pPr>
    </w:p>
    <w:p w14:paraId="5F0313D0"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De acuerdo con el artículo 5 de la Ley 1150 de 2007, y conforme con lo expresado en el concepto C–166 del 23 de abril de 2021, para esta entidad el deber de selección objetiva supone que las entidades escojan en los procesos de selección el </w:t>
      </w:r>
      <w:r>
        <w:rPr>
          <w:rFonts w:ascii="Arial" w:eastAsia="Calibri" w:hAnsi="Arial" w:cs="Arial"/>
          <w:lang w:val="es-ES_tradnl"/>
        </w:rPr>
        <w:t>“</w:t>
      </w:r>
      <w:r w:rsidRPr="005E6CC0">
        <w:rPr>
          <w:rFonts w:ascii="Arial" w:eastAsia="Calibri" w:hAnsi="Arial" w:cs="Arial"/>
          <w:lang w:val="es-ES_tradnl"/>
        </w:rPr>
        <w:t>[…] ofrecimiento más favorable a la entidad y a los fines que ella busca […]</w:t>
      </w:r>
      <w:r>
        <w:rPr>
          <w:rFonts w:ascii="Arial" w:eastAsia="Calibri" w:hAnsi="Arial" w:cs="Arial"/>
          <w:lang w:val="es-ES_tradnl"/>
        </w:rPr>
        <w:t>”</w:t>
      </w:r>
      <w:r w:rsidRPr="005E6CC0">
        <w:rPr>
          <w:rFonts w:ascii="Arial" w:eastAsia="Calibri" w:hAnsi="Arial" w:cs="Arial"/>
          <w:lang w:val="es-ES_tradnl"/>
        </w:rPr>
        <w:t xml:space="preserve">. Tal favorabilidad debe determinarse a partir de criterios que pueden variar de acuerdo con el objeto </w:t>
      </w:r>
      <w:r w:rsidRPr="005E6CC0">
        <w:rPr>
          <w:rFonts w:ascii="Arial" w:eastAsia="Calibri" w:hAnsi="Arial" w:cs="Arial"/>
          <w:lang w:val="es-ES_tradnl"/>
        </w:rPr>
        <w:lastRenderedPageBreak/>
        <w:t xml:space="preserve">contractual o la modalidad de selección aplicable, los cuales, en todo caso, para que la selección sea objetiva, deben estar señalados en el pliego de condiciones o documento equivalente. </w:t>
      </w:r>
    </w:p>
    <w:p w14:paraId="141C09DA" w14:textId="77777777" w:rsidR="00ED6A9D"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Al respecto, </w:t>
      </w:r>
      <w:bookmarkStart w:id="3" w:name="_Hlk75296202"/>
      <w:r w:rsidRPr="005E6CC0">
        <w:rPr>
          <w:rFonts w:ascii="Arial" w:eastAsia="Calibri" w:hAnsi="Arial" w:cs="Arial"/>
          <w:lang w:val="es-ES_tradnl"/>
        </w:rPr>
        <w:t>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dichos requisitos no se refieren a la oferta misma sino a la idoneidad del oferente para asumir adecuadamente la ejecución del contrato</w:t>
      </w:r>
      <w:r w:rsidRPr="005E6CC0">
        <w:rPr>
          <w:rFonts w:ascii="Arial" w:eastAsia="Calibri" w:hAnsi="Arial" w:cs="Arial"/>
          <w:lang w:val="es-ES_tradnl"/>
        </w:rPr>
        <w:footnoteReference w:id="4"/>
      </w:r>
      <w:r w:rsidRPr="005E6CC0">
        <w:rPr>
          <w:rFonts w:ascii="Arial" w:eastAsia="Calibri" w:hAnsi="Arial" w:cs="Arial"/>
          <w:lang w:val="es-ES_tradnl"/>
        </w:rPr>
        <w:t>.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habilitantes 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bookmarkEnd w:id="3"/>
    </w:p>
    <w:p w14:paraId="12B2AA45"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El numeral segundo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segundo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14:paraId="6B3AC3C6"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Por su parte, el numeral tercero establece que en los procesos de selección de bienes y servicios de características técnicas uniformes y de común utilización el único factor de evaluación consiste en el menor precio. Por último, el numeral cuarto, referente a procedimientos para selección de consultores, señala que debe hacerse uso de factores </w:t>
      </w:r>
      <w:r w:rsidRPr="005E6CC0">
        <w:rPr>
          <w:rFonts w:ascii="Arial" w:eastAsia="Calibri" w:hAnsi="Arial" w:cs="Arial"/>
          <w:lang w:val="es-ES_tradnl"/>
        </w:rPr>
        <w:lastRenderedPageBreak/>
        <w:t>de calificación, para valorar los aspectos técnicos de la oferta, permitiendo que entre ellos se pondere la experiencia.</w:t>
      </w:r>
    </w:p>
    <w:p w14:paraId="4875714D" w14:textId="77777777" w:rsidR="00ED6A9D" w:rsidRDefault="00ED6A9D" w:rsidP="00ED6A9D">
      <w:pPr>
        <w:spacing w:after="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w:t>
      </w:r>
      <w:r>
        <w:rPr>
          <w:rFonts w:ascii="Arial" w:eastAsia="Calibri" w:hAnsi="Arial" w:cs="Arial"/>
          <w:lang w:val="es-ES_tradnl"/>
        </w:rPr>
        <w:t>“</w:t>
      </w:r>
      <w:r w:rsidRPr="005E6CC0">
        <w:rPr>
          <w:rFonts w:ascii="Arial" w:eastAsia="Calibri" w:hAnsi="Arial" w:cs="Arial"/>
          <w:lang w:val="es-ES_tradnl"/>
        </w:rPr>
        <w:t xml:space="preserve">[…] aquellas condiciones de la oferta y no de quien la presenta, que sí entrarán a ser evaluadas por la Administración y </w:t>
      </w:r>
      <w:proofErr w:type="gramStart"/>
      <w:r w:rsidRPr="005E6CC0">
        <w:rPr>
          <w:rFonts w:ascii="Arial" w:eastAsia="Calibri" w:hAnsi="Arial" w:cs="Arial"/>
          <w:lang w:val="es-ES_tradnl"/>
        </w:rPr>
        <w:t>que</w:t>
      </w:r>
      <w:proofErr w:type="gramEnd"/>
      <w:r>
        <w:rPr>
          <w:rFonts w:ascii="Arial" w:eastAsia="Calibri" w:hAnsi="Arial" w:cs="Arial"/>
          <w:lang w:val="es-ES_tradnl"/>
        </w:rPr>
        <w:t xml:space="preserve"> </w:t>
      </w:r>
      <w:r w:rsidRPr="005E6CC0">
        <w:rPr>
          <w:rFonts w:ascii="Arial" w:eastAsia="Calibri" w:hAnsi="Arial" w:cs="Arial"/>
          <w:lang w:val="es-ES_tradnl"/>
        </w:rPr>
        <w:t>en consecuencia, darán lugar a la escogencia objetiva de la mejor propuesta para la entidad</w:t>
      </w:r>
      <w:r>
        <w:rPr>
          <w:rFonts w:ascii="Arial" w:eastAsia="Calibri" w:hAnsi="Arial" w:cs="Arial"/>
          <w:lang w:val="es-ES_tradnl"/>
        </w:rPr>
        <w:t>”</w:t>
      </w:r>
      <w:r w:rsidRPr="00DB7219">
        <w:rPr>
          <w:rFonts w:ascii="Arial" w:eastAsia="Calibri" w:hAnsi="Arial" w:cs="Arial"/>
          <w:vertAlign w:val="superscript"/>
          <w:lang w:val="es-ES_tradnl"/>
        </w:rPr>
        <w:footnoteReference w:id="5"/>
      </w:r>
      <w:r w:rsidRPr="005E6CC0">
        <w:rPr>
          <w:rFonts w:ascii="Arial" w:eastAsia="Calibri" w:hAnsi="Arial" w:cs="Arial"/>
          <w:lang w:val="es-ES_tradnl"/>
        </w:rPr>
        <w:t xml:space="preserve">. Todas estas categorías designan los </w:t>
      </w:r>
      <w:r>
        <w:rPr>
          <w:rFonts w:ascii="Arial" w:eastAsia="Calibri" w:hAnsi="Arial" w:cs="Arial"/>
          <w:lang w:val="es-ES_tradnl"/>
        </w:rPr>
        <w:t>“</w:t>
      </w:r>
      <w:r w:rsidRPr="005E6CC0">
        <w:rPr>
          <w:rFonts w:ascii="Arial" w:eastAsia="Calibri" w:hAnsi="Arial" w:cs="Arial"/>
          <w:lang w:val="es-ES_tradnl"/>
        </w:rPr>
        <w:t>[…] factores a los cuales cabe otorgarles puntajes o que pueden ser ponderados, precisamente, pues estos son los factores que en últimas permiten una comparación de ofertas y una diferenciación entre ellas</w:t>
      </w:r>
      <w:r>
        <w:rPr>
          <w:rFonts w:ascii="Arial" w:eastAsia="Calibri" w:hAnsi="Arial" w:cs="Arial"/>
          <w:lang w:val="es-ES_tradnl"/>
        </w:rPr>
        <w:t>”</w:t>
      </w:r>
      <w:r w:rsidRPr="00DB7219">
        <w:rPr>
          <w:rFonts w:ascii="Arial" w:eastAsia="Calibri" w:hAnsi="Arial" w:cs="Arial"/>
          <w:vertAlign w:val="superscript"/>
          <w:lang w:val="es-ES_tradnl"/>
        </w:rPr>
        <w:footnoteReference w:id="6"/>
      </w:r>
      <w:r w:rsidRPr="005E6CC0">
        <w:rPr>
          <w:rFonts w:ascii="Arial" w:eastAsia="Calibri" w:hAnsi="Arial" w:cs="Arial"/>
          <w:lang w:val="es-ES_tradnl"/>
        </w:rPr>
        <w:t>. Conforme a esto, la doctrina explica que:</w:t>
      </w:r>
    </w:p>
    <w:p w14:paraId="5C885FE0" w14:textId="77777777" w:rsidR="00ED6A9D" w:rsidRPr="005E6CC0" w:rsidRDefault="00ED6A9D" w:rsidP="00ED6A9D">
      <w:pPr>
        <w:spacing w:after="0" w:line="276" w:lineRule="auto"/>
        <w:ind w:firstLine="708"/>
        <w:jc w:val="both"/>
        <w:rPr>
          <w:rFonts w:ascii="Arial" w:eastAsia="Calibri" w:hAnsi="Arial" w:cs="Arial"/>
          <w:lang w:val="es-ES_tradnl"/>
        </w:rPr>
      </w:pPr>
    </w:p>
    <w:p w14:paraId="76D30A75" w14:textId="77777777" w:rsidR="00ED6A9D" w:rsidRPr="00DB7219" w:rsidRDefault="00ED6A9D" w:rsidP="00ED6A9D">
      <w:pPr>
        <w:spacing w:after="0" w:line="240" w:lineRule="auto"/>
        <w:ind w:left="709" w:right="709"/>
        <w:jc w:val="both"/>
        <w:rPr>
          <w:rFonts w:ascii="Arial" w:eastAsia="Calibri" w:hAnsi="Arial" w:cs="Arial"/>
          <w:sz w:val="21"/>
          <w:szCs w:val="21"/>
          <w:lang w:val="es-ES_tradnl"/>
        </w:rPr>
      </w:pPr>
      <w:r w:rsidRPr="00DB7219">
        <w:rPr>
          <w:rFonts w:ascii="Arial" w:eastAsia="Calibri" w:hAnsi="Arial" w:cs="Arial"/>
          <w:sz w:val="21"/>
          <w:szCs w:val="21"/>
          <w:lang w:val="es-ES_tradnl"/>
        </w:rPr>
        <w:t xml:space="preserve">“De acuerdo con ese entendimiento, el numeral 2 del artículo 5.° de la Ley  1150 de 2007, modificado por el artículo 88 de la Ley 1474 de 2011, comienza por señalar que </w:t>
      </w:r>
      <w:r>
        <w:rPr>
          <w:rFonts w:ascii="Arial" w:eastAsia="Calibri" w:hAnsi="Arial" w:cs="Arial"/>
          <w:sz w:val="21"/>
          <w:szCs w:val="21"/>
          <w:lang w:val="es-ES_tradnl"/>
        </w:rPr>
        <w:t>“</w:t>
      </w:r>
      <w:r w:rsidRPr="00DB7219">
        <w:rPr>
          <w:rFonts w:ascii="Arial" w:eastAsia="Calibri" w:hAnsi="Arial" w:cs="Arial"/>
          <w:sz w:val="21"/>
          <w:szCs w:val="21"/>
          <w:lang w:val="es-ES_tradnl"/>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w:t>
      </w:r>
      <w:r>
        <w:rPr>
          <w:rFonts w:ascii="Arial" w:eastAsia="Calibri" w:hAnsi="Arial" w:cs="Arial"/>
          <w:sz w:val="21"/>
          <w:szCs w:val="21"/>
          <w:lang w:val="es-ES_tradnl"/>
        </w:rPr>
        <w:t>”</w:t>
      </w:r>
      <w:r w:rsidRPr="00DB7219">
        <w:rPr>
          <w:rFonts w:ascii="Arial" w:eastAsia="Calibri" w:hAnsi="Arial" w:cs="Arial"/>
          <w:sz w:val="21"/>
          <w:szCs w:val="21"/>
          <w:lang w:val="es-ES_tradnl"/>
        </w:rPr>
        <w:t xml:space="preserve">.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194534E6" w14:textId="77777777" w:rsidR="00ED6A9D" w:rsidRPr="00DB7219" w:rsidRDefault="00ED6A9D" w:rsidP="00ED6A9D">
      <w:pPr>
        <w:spacing w:after="0" w:line="240" w:lineRule="auto"/>
        <w:ind w:left="709" w:right="709" w:firstLine="708"/>
        <w:jc w:val="both"/>
        <w:rPr>
          <w:rFonts w:ascii="Arial" w:eastAsia="Calibri" w:hAnsi="Arial" w:cs="Arial"/>
          <w:sz w:val="21"/>
          <w:szCs w:val="21"/>
          <w:lang w:val="es-ES_tradnl"/>
        </w:rPr>
      </w:pPr>
    </w:p>
    <w:p w14:paraId="0F0B21EA" w14:textId="77777777" w:rsidR="00ED6A9D" w:rsidRPr="00DB7219" w:rsidRDefault="00ED6A9D" w:rsidP="00ED6A9D">
      <w:pPr>
        <w:spacing w:after="0" w:line="240" w:lineRule="auto"/>
        <w:ind w:left="709" w:right="709"/>
        <w:jc w:val="both"/>
        <w:rPr>
          <w:rFonts w:ascii="Arial" w:eastAsia="Calibri" w:hAnsi="Arial" w:cs="Arial"/>
          <w:sz w:val="21"/>
          <w:szCs w:val="21"/>
          <w:lang w:val="es-ES_tradnl"/>
        </w:rPr>
      </w:pPr>
      <w:r w:rsidRPr="00DB7219">
        <w:rPr>
          <w:rFonts w:ascii="Arial" w:eastAsia="Calibri" w:hAnsi="Arial" w:cs="Arial"/>
          <w:sz w:val="21"/>
          <w:szCs w:val="21"/>
          <w:lang w:val="es-ES_tradnl"/>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3920D6FD" w14:textId="77777777" w:rsidR="00ED6A9D" w:rsidRPr="00DB7219" w:rsidRDefault="00ED6A9D" w:rsidP="00ED6A9D">
      <w:pPr>
        <w:spacing w:after="0" w:line="240" w:lineRule="auto"/>
        <w:ind w:left="709" w:right="709" w:firstLine="708"/>
        <w:jc w:val="both"/>
        <w:rPr>
          <w:rFonts w:ascii="Arial" w:eastAsia="Calibri" w:hAnsi="Arial" w:cs="Arial"/>
          <w:sz w:val="21"/>
          <w:szCs w:val="21"/>
          <w:lang w:val="es-ES_tradnl"/>
        </w:rPr>
      </w:pPr>
    </w:p>
    <w:p w14:paraId="3BE47E9A" w14:textId="77777777" w:rsidR="00ED6A9D" w:rsidRPr="00DB7219" w:rsidRDefault="00ED6A9D" w:rsidP="00ED6A9D">
      <w:pPr>
        <w:spacing w:after="0" w:line="240" w:lineRule="auto"/>
        <w:ind w:right="709" w:firstLine="708"/>
        <w:jc w:val="both"/>
        <w:rPr>
          <w:rFonts w:ascii="Arial" w:eastAsia="Calibri" w:hAnsi="Arial" w:cs="Arial"/>
          <w:sz w:val="21"/>
          <w:szCs w:val="21"/>
          <w:lang w:val="es-ES_tradnl"/>
        </w:rPr>
      </w:pPr>
      <w:r w:rsidRPr="00DB7219">
        <w:rPr>
          <w:rFonts w:ascii="Arial" w:eastAsia="Calibri" w:hAnsi="Arial" w:cs="Arial"/>
          <w:sz w:val="21"/>
          <w:szCs w:val="21"/>
          <w:lang w:val="es-ES_tradnl"/>
        </w:rPr>
        <w:t>[…]</w:t>
      </w:r>
    </w:p>
    <w:p w14:paraId="47D9B9DA" w14:textId="77777777" w:rsidR="00ED6A9D" w:rsidRPr="00DB7219" w:rsidRDefault="00ED6A9D" w:rsidP="00ED6A9D">
      <w:pPr>
        <w:spacing w:after="0" w:line="240" w:lineRule="auto"/>
        <w:ind w:left="709" w:right="709" w:firstLine="708"/>
        <w:jc w:val="both"/>
        <w:rPr>
          <w:rFonts w:ascii="Arial" w:eastAsia="Calibri" w:hAnsi="Arial" w:cs="Arial"/>
          <w:sz w:val="21"/>
          <w:szCs w:val="21"/>
          <w:lang w:val="es-ES_tradnl"/>
        </w:rPr>
      </w:pPr>
    </w:p>
    <w:p w14:paraId="06BBCD38" w14:textId="77777777" w:rsidR="00ED6A9D" w:rsidRPr="00DB7219" w:rsidRDefault="00ED6A9D" w:rsidP="00ED6A9D">
      <w:pPr>
        <w:spacing w:after="0" w:line="240" w:lineRule="auto"/>
        <w:ind w:left="709" w:right="709"/>
        <w:jc w:val="both"/>
        <w:rPr>
          <w:rFonts w:ascii="Arial" w:eastAsia="Calibri" w:hAnsi="Arial" w:cs="Arial"/>
          <w:sz w:val="21"/>
          <w:szCs w:val="21"/>
          <w:lang w:val="es-ES_tradnl"/>
        </w:rPr>
      </w:pPr>
      <w:r w:rsidRPr="00DB7219">
        <w:rPr>
          <w:rFonts w:ascii="Arial" w:eastAsia="Calibri" w:hAnsi="Arial" w:cs="Arial"/>
          <w:sz w:val="21"/>
          <w:szCs w:val="21"/>
          <w:lang w:val="es-ES_tradnl"/>
        </w:rPr>
        <w:lastRenderedPageBreak/>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DB7219">
        <w:rPr>
          <w:rFonts w:ascii="Arial" w:eastAsia="Calibri" w:hAnsi="Arial" w:cs="Arial"/>
          <w:sz w:val="21"/>
          <w:szCs w:val="21"/>
          <w:vertAlign w:val="superscript"/>
          <w:lang w:val="es-ES_tradnl"/>
        </w:rPr>
        <w:footnoteReference w:id="7"/>
      </w:r>
      <w:r w:rsidRPr="00DB7219">
        <w:rPr>
          <w:rFonts w:ascii="Arial" w:eastAsia="Calibri" w:hAnsi="Arial" w:cs="Arial"/>
          <w:sz w:val="21"/>
          <w:szCs w:val="21"/>
          <w:lang w:val="es-ES_tradnl"/>
        </w:rPr>
        <w:t>.</w:t>
      </w:r>
      <w:r>
        <w:rPr>
          <w:rFonts w:ascii="Arial" w:eastAsia="Calibri" w:hAnsi="Arial" w:cs="Arial"/>
          <w:sz w:val="21"/>
          <w:szCs w:val="21"/>
          <w:lang w:val="es-ES_tradnl"/>
        </w:rPr>
        <w:t>”</w:t>
      </w:r>
    </w:p>
    <w:p w14:paraId="6DBC9BD5" w14:textId="77777777" w:rsidR="00ED6A9D" w:rsidRPr="005E6CC0" w:rsidRDefault="00ED6A9D" w:rsidP="00ED6A9D">
      <w:pPr>
        <w:spacing w:after="120" w:line="276" w:lineRule="auto"/>
        <w:ind w:firstLine="708"/>
        <w:jc w:val="both"/>
        <w:rPr>
          <w:rFonts w:ascii="Arial" w:eastAsia="Calibri" w:hAnsi="Arial" w:cs="Arial"/>
          <w:lang w:val="es-ES_tradnl"/>
        </w:rPr>
      </w:pPr>
    </w:p>
    <w:p w14:paraId="77B326F2"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2EEA19C3"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En ese sentido, la asignación de puntaje es un mecanismo mediante el cual las entidades ponderan los factores de calificación ꟷv.g. técnicos y económicos, de calidad y precio</w:t>
      </w:r>
      <w:r w:rsidRPr="005E6CC0">
        <w:rPr>
          <w:rFonts w:ascii="Arial" w:eastAsia="Calibri" w:hAnsi="Arial" w:cs="Arial"/>
          <w:lang w:val="es-ES_tradnl"/>
        </w:rPr>
        <w:softHyphen/>
        <w:t>, etc.ꟷ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65EB0D74"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w:t>
      </w:r>
      <w:r w:rsidRPr="005E6CC0">
        <w:rPr>
          <w:rFonts w:ascii="Arial" w:eastAsia="Calibri" w:hAnsi="Arial" w:cs="Arial"/>
          <w:lang w:val="es-ES_tradnl"/>
        </w:rPr>
        <w:softHyphen/>
        <w:t xml:space="preserve">.2 de la Ley 1150 de 2007, disponiendo unas pautas para la ponderación de los elementos de calidad y precio que representen la mejor relación de costo-beneficio. Conforme a este artículo, la oferta más </w:t>
      </w:r>
      <w:r w:rsidRPr="005E6CC0">
        <w:rPr>
          <w:rFonts w:ascii="Arial" w:eastAsia="Calibri" w:hAnsi="Arial" w:cs="Arial"/>
          <w:lang w:val="es-ES_tradnl"/>
        </w:rPr>
        <w:lastRenderedPageBreak/>
        <w:t xml:space="preserve">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w:t>
      </w:r>
      <w:proofErr w:type="spellStart"/>
      <w:r w:rsidRPr="005E6CC0">
        <w:rPr>
          <w:rFonts w:ascii="Arial" w:eastAsia="Calibri" w:hAnsi="Arial" w:cs="Arial"/>
          <w:lang w:val="es-ES_tradnl"/>
        </w:rPr>
        <w:t>iv</w:t>
      </w:r>
      <w:proofErr w:type="spellEnd"/>
      <w:r w:rsidRPr="005E6CC0">
        <w:rPr>
          <w:rFonts w:ascii="Arial" w:eastAsia="Calibri" w:hAnsi="Arial" w:cs="Arial"/>
          <w:lang w:val="es-ES_tradnl"/>
        </w:rPr>
        <w:t xml:space="preserve">) el valor en dinero que la Entidad Estatal asigna a cada ofrecimiento técnico o económico adicional. Teniendo en cuenta estos elementos, la Entidad Estatal debe calcular la relación costo-beneficio de cada oferta </w:t>
      </w:r>
      <w:r>
        <w:rPr>
          <w:rFonts w:ascii="Arial" w:eastAsia="Calibri" w:hAnsi="Arial" w:cs="Arial"/>
          <w:lang w:val="es-ES_tradnl"/>
        </w:rPr>
        <w:t>“</w:t>
      </w:r>
      <w:r w:rsidRPr="005E6CC0">
        <w:rPr>
          <w:rFonts w:ascii="Arial" w:eastAsia="Calibri" w:hAnsi="Arial" w:cs="Arial"/>
          <w:lang w:val="es-ES_tradnl"/>
        </w:rPr>
        <w:t>[…]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Pr>
          <w:rFonts w:ascii="Arial" w:eastAsia="Calibri" w:hAnsi="Arial" w:cs="Arial"/>
          <w:lang w:val="es-ES_tradnl"/>
        </w:rPr>
        <w:t>”</w:t>
      </w:r>
      <w:r w:rsidRPr="00C11BA5">
        <w:rPr>
          <w:rFonts w:ascii="Arial" w:eastAsia="Calibri" w:hAnsi="Arial" w:cs="Arial"/>
          <w:vertAlign w:val="superscript"/>
          <w:lang w:val="es-ES_tradnl"/>
        </w:rPr>
        <w:footnoteReference w:id="8"/>
      </w:r>
      <w:r w:rsidRPr="005E6CC0">
        <w:rPr>
          <w:rFonts w:ascii="Arial" w:eastAsia="Calibri" w:hAnsi="Arial" w:cs="Arial"/>
          <w:lang w:val="es-ES_tradnl"/>
        </w:rPr>
        <w:t>.</w:t>
      </w:r>
    </w:p>
    <w:p w14:paraId="056FFD27"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Conforme a lo anterior, el deber de selección objetiva está ligado a la determinación del ofrecimiento más favorable, cuyo contenido debe ser precisado a partir de las diferentes alternativas del artículo 5 de la Ley 1150 de 2007, reglamentado por el </w:t>
      </w:r>
      <w:r w:rsidRPr="005E6CC0">
        <w:rPr>
          <w:rFonts w:ascii="Arial" w:eastAsia="Calibri" w:hAnsi="Arial" w:cs="Arial"/>
          <w:lang w:val="es-ES_tradnl"/>
        </w:rPr>
        <w:lastRenderedPageBreak/>
        <w:t>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344F64C3" w14:textId="77777777" w:rsidR="00ED6A9D"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Retomando otros fundamentos jurídicos del deber de </w:t>
      </w:r>
      <w:r>
        <w:rPr>
          <w:rFonts w:ascii="Arial" w:eastAsia="Calibri" w:hAnsi="Arial" w:cs="Arial"/>
          <w:lang w:val="es-ES_tradnl"/>
        </w:rPr>
        <w:t>“</w:t>
      </w:r>
      <w:r w:rsidRPr="005E6CC0">
        <w:rPr>
          <w:rFonts w:ascii="Arial" w:eastAsia="Calibri" w:hAnsi="Arial" w:cs="Arial"/>
          <w:lang w:val="es-ES_tradnl"/>
        </w:rPr>
        <w:t>selección objetiva</w:t>
      </w:r>
      <w:r>
        <w:rPr>
          <w:rFonts w:ascii="Arial" w:eastAsia="Calibri" w:hAnsi="Arial" w:cs="Arial"/>
          <w:lang w:val="es-ES_tradnl"/>
        </w:rPr>
        <w:t>”</w:t>
      </w:r>
      <w:r w:rsidRPr="005E6CC0">
        <w:rPr>
          <w:rFonts w:ascii="Arial" w:eastAsia="Calibri" w:hAnsi="Arial" w:cs="Arial"/>
          <w:lang w:val="es-ES_tradnl"/>
        </w:rPr>
        <w:t xml:space="preserve">, distintos al artículo 5 de la Ley 1150 de 2007, la Ley 80 de 1993 se refiere a ella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w:t>
      </w:r>
      <w:r>
        <w:rPr>
          <w:rFonts w:ascii="Arial" w:eastAsia="Calibri" w:hAnsi="Arial" w:cs="Arial"/>
          <w:lang w:val="es-ES_tradnl"/>
        </w:rPr>
        <w:t>“</w:t>
      </w:r>
      <w:r w:rsidRPr="005E6CC0">
        <w:rPr>
          <w:rFonts w:ascii="Arial" w:eastAsia="Calibri" w:hAnsi="Arial" w:cs="Arial"/>
          <w:lang w:val="es-ES_tradnl"/>
        </w:rPr>
        <w:t>[…] los requisitos objetivos necesarios para participar en el correspondiente proceso de selección</w:t>
      </w:r>
      <w:r>
        <w:rPr>
          <w:rFonts w:ascii="Arial" w:eastAsia="Calibri" w:hAnsi="Arial" w:cs="Arial"/>
          <w:lang w:val="es-ES_tradnl"/>
        </w:rPr>
        <w:t>”</w:t>
      </w:r>
      <w:r w:rsidRPr="005E6CC0">
        <w:rPr>
          <w:rFonts w:ascii="Arial" w:eastAsia="Calibri" w:hAnsi="Arial" w:cs="Arial"/>
          <w:lang w:val="es-ES_tradnl"/>
        </w:rPr>
        <w:t xml:space="preserve">; iii) el artículo 24, numeral 5º, literal b), que establece que en los pliegos de condiciones se deben definir </w:t>
      </w:r>
      <w:r>
        <w:rPr>
          <w:rFonts w:ascii="Arial" w:eastAsia="Calibri" w:hAnsi="Arial" w:cs="Arial"/>
          <w:lang w:val="es-ES_tradnl"/>
        </w:rPr>
        <w:t>“</w:t>
      </w:r>
      <w:r w:rsidRPr="005E6CC0">
        <w:rPr>
          <w:rFonts w:ascii="Arial" w:eastAsia="Calibri" w:hAnsi="Arial" w:cs="Arial"/>
          <w:lang w:val="es-ES_tradnl"/>
        </w:rPr>
        <w:t>[…] reglas objetivas, justas, claras y completas que permitan la confección de ofrecimientos de la misma índole, aseguren una escogencia objetiva y eviten la declaratoria de desierta de la licitación</w:t>
      </w:r>
      <w:r>
        <w:rPr>
          <w:rFonts w:ascii="Arial" w:eastAsia="Calibri" w:hAnsi="Arial" w:cs="Arial"/>
          <w:lang w:val="es-ES_tradnl"/>
        </w:rPr>
        <w:t>”</w:t>
      </w:r>
      <w:r w:rsidRPr="005E6CC0">
        <w:rPr>
          <w:rFonts w:ascii="Arial" w:eastAsia="Calibri" w:hAnsi="Arial" w:cs="Arial"/>
          <w:lang w:val="es-ES_tradnl"/>
        </w:rPr>
        <w:t xml:space="preserve">; </w:t>
      </w:r>
      <w:proofErr w:type="spellStart"/>
      <w:r w:rsidRPr="005E6CC0">
        <w:rPr>
          <w:rFonts w:ascii="Arial" w:eastAsia="Calibri" w:hAnsi="Arial" w:cs="Arial"/>
          <w:lang w:val="es-ES_tradnl"/>
        </w:rPr>
        <w:t>iv</w:t>
      </w:r>
      <w:proofErr w:type="spellEnd"/>
      <w:r w:rsidRPr="005E6CC0">
        <w:rPr>
          <w:rFonts w:ascii="Arial" w:eastAsia="Calibri" w:hAnsi="Arial" w:cs="Arial"/>
          <w:lang w:val="es-ES_tradnl"/>
        </w:rPr>
        <w:t>) el artículo 24, numeral 8º, según el cual</w:t>
      </w:r>
      <w:r>
        <w:rPr>
          <w:rFonts w:ascii="Arial" w:eastAsia="Calibri" w:hAnsi="Arial" w:cs="Arial"/>
          <w:lang w:val="es-ES_tradnl"/>
        </w:rPr>
        <w:t xml:space="preserve"> “</w:t>
      </w:r>
      <w:r w:rsidRPr="005E6CC0">
        <w:rPr>
          <w:rFonts w:ascii="Arial" w:eastAsia="Calibri" w:hAnsi="Arial" w:cs="Arial"/>
          <w:lang w:val="es-ES_tradnl"/>
        </w:rPr>
        <w:t>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Pr>
          <w:rFonts w:ascii="Arial" w:eastAsia="Calibri" w:hAnsi="Arial" w:cs="Arial"/>
          <w:lang w:val="es-ES_tradnl"/>
        </w:rPr>
        <w:t>”</w:t>
      </w:r>
      <w:r w:rsidRPr="005E6CC0">
        <w:rPr>
          <w:rFonts w:ascii="Arial" w:eastAsia="Calibri" w:hAnsi="Arial" w:cs="Arial"/>
          <w:lang w:val="es-ES_tradnl"/>
        </w:rPr>
        <w:t xml:space="preserve">; v) el segundo inciso del parágrafo 3º del artículo 24, que exige tener en cuenta la selección objetiva de la entidad veedora para el procedimiento de venta de bienes de las entidades estatales por el sistema de martillo; vi) el numeral 18 del artículo 25, el cual señala que </w:t>
      </w:r>
      <w:r>
        <w:rPr>
          <w:rFonts w:ascii="Arial" w:eastAsia="Calibri" w:hAnsi="Arial" w:cs="Arial"/>
          <w:lang w:val="es-ES_tradnl"/>
        </w:rPr>
        <w:t>“</w:t>
      </w:r>
      <w:r w:rsidRPr="005E6CC0">
        <w:rPr>
          <w:rFonts w:ascii="Arial" w:eastAsia="Calibri" w:hAnsi="Arial" w:cs="Arial"/>
          <w:lang w:val="es-ES_tradnl"/>
        </w:rPr>
        <w:t>La declaratoria de desierta de la licitación únicamente procederá por motivos o causas que impidan la escogencia objetiva</w:t>
      </w:r>
      <w:r>
        <w:rPr>
          <w:rFonts w:ascii="Arial" w:eastAsia="Calibri" w:hAnsi="Arial" w:cs="Arial"/>
          <w:lang w:val="es-ES_tradnl"/>
        </w:rPr>
        <w:t>”</w:t>
      </w:r>
      <w:r w:rsidRPr="005E6CC0">
        <w:rPr>
          <w:rFonts w:ascii="Arial" w:eastAsia="Calibri" w:hAnsi="Arial" w:cs="Arial"/>
          <w:lang w:val="es-ES_tradnl"/>
        </w:rPr>
        <w:t xml:space="preserve">; </w:t>
      </w:r>
      <w:proofErr w:type="spellStart"/>
      <w:r w:rsidRPr="005E6CC0">
        <w:rPr>
          <w:rFonts w:ascii="Arial" w:eastAsia="Calibri" w:hAnsi="Arial" w:cs="Arial"/>
          <w:lang w:val="es-ES_tradnl"/>
        </w:rPr>
        <w:t>vii</w:t>
      </w:r>
      <w:proofErr w:type="spellEnd"/>
      <w:r w:rsidRPr="005E6CC0">
        <w:rPr>
          <w:rFonts w:ascii="Arial" w:eastAsia="Calibri" w:hAnsi="Arial" w:cs="Arial"/>
          <w:lang w:val="es-ES_tradnl"/>
        </w:rPr>
        <w:t xml:space="preserve">) el numeral 2 del artículo 30, que dispone que </w:t>
      </w:r>
      <w:r>
        <w:rPr>
          <w:rFonts w:ascii="Arial" w:eastAsia="Calibri" w:hAnsi="Arial" w:cs="Arial"/>
          <w:lang w:val="es-ES_tradnl"/>
        </w:rPr>
        <w:t>“</w:t>
      </w:r>
      <w:r w:rsidRPr="005E6CC0">
        <w:rPr>
          <w:rFonts w:ascii="Arial" w:eastAsia="Calibri" w:hAnsi="Arial" w:cs="Arial"/>
          <w:lang w:val="es-ES_tradnl"/>
        </w:rPr>
        <w:t>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Pr>
          <w:rFonts w:ascii="Arial" w:eastAsia="Calibri" w:hAnsi="Arial" w:cs="Arial"/>
          <w:lang w:val="es-ES_tradnl"/>
        </w:rPr>
        <w:t>”</w:t>
      </w:r>
      <w:r w:rsidRPr="005E6CC0">
        <w:rPr>
          <w:rFonts w:ascii="Arial" w:eastAsia="Calibri" w:hAnsi="Arial" w:cs="Arial"/>
          <w:lang w:val="es-ES_tradnl"/>
        </w:rPr>
        <w:t xml:space="preserve">; </w:t>
      </w:r>
      <w:proofErr w:type="spellStart"/>
      <w:r w:rsidRPr="005E6CC0">
        <w:rPr>
          <w:rFonts w:ascii="Arial" w:eastAsia="Calibri" w:hAnsi="Arial" w:cs="Arial"/>
          <w:lang w:val="es-ES_tradnl"/>
        </w:rPr>
        <w:t>viii</w:t>
      </w:r>
      <w:proofErr w:type="spellEnd"/>
      <w:r w:rsidRPr="005E6CC0">
        <w:rPr>
          <w:rFonts w:ascii="Arial" w:eastAsia="Calibri" w:hAnsi="Arial" w:cs="Arial"/>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5E6CC0">
        <w:rPr>
          <w:rFonts w:ascii="Arial" w:eastAsia="Calibri" w:hAnsi="Arial" w:cs="Arial"/>
          <w:lang w:val="es-ES_tradnl"/>
        </w:rPr>
        <w:t>ix</w:t>
      </w:r>
      <w:proofErr w:type="spellEnd"/>
      <w:r w:rsidRPr="005E6CC0">
        <w:rPr>
          <w:rFonts w:ascii="Arial" w:eastAsia="Calibri" w:hAnsi="Arial" w:cs="Arial"/>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14:paraId="64D94B07"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lastRenderedPageBreak/>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w:t>
      </w:r>
      <w:r>
        <w:rPr>
          <w:rFonts w:ascii="Arial" w:eastAsia="Calibri" w:hAnsi="Arial" w:cs="Arial"/>
          <w:lang w:val="es-ES_tradnl"/>
        </w:rPr>
        <w:t>“</w:t>
      </w:r>
      <w:r w:rsidRPr="005E6CC0">
        <w:rPr>
          <w:rFonts w:ascii="Arial" w:eastAsia="Calibri" w:hAnsi="Arial" w:cs="Arial"/>
          <w:lang w:val="es-ES_tradnl"/>
        </w:rPr>
        <w:t>Las condiciones de costo y/o calidad que la Entidad Estatal debe tener en cuenta para la selección objetiva, de acuerdo con la modalidad de selección del contratista</w:t>
      </w:r>
      <w:r>
        <w:rPr>
          <w:rFonts w:ascii="Arial" w:eastAsia="Calibri" w:hAnsi="Arial" w:cs="Arial"/>
          <w:lang w:val="es-ES_tradnl"/>
        </w:rPr>
        <w:t>”</w:t>
      </w:r>
      <w:r w:rsidRPr="005E6CC0">
        <w:rPr>
          <w:rFonts w:ascii="Arial" w:eastAsia="Calibri" w:hAnsi="Arial" w:cs="Arial"/>
          <w:lang w:val="es-ES_tradnl"/>
        </w:rPr>
        <w:t xml:space="preserve">; o ii) el numeral 8º del artículo 2.2.1.2.1.3.13., que establece como obligación del jurado calificador en los concursos de méritos para la selección de consultores de diseño, planos, anteproyectos y proyectos arquitectónicos, </w:t>
      </w:r>
      <w:r>
        <w:rPr>
          <w:rFonts w:ascii="Arial" w:eastAsia="Calibri" w:hAnsi="Arial" w:cs="Arial"/>
          <w:lang w:val="es-ES_tradnl"/>
        </w:rPr>
        <w:t>“</w:t>
      </w:r>
      <w:r w:rsidRPr="005E6CC0">
        <w:rPr>
          <w:rFonts w:ascii="Arial" w:eastAsia="Calibri" w:hAnsi="Arial" w:cs="Arial"/>
          <w:lang w:val="es-ES_tradnl"/>
        </w:rPr>
        <w:t>Manifestar a la Entidad Estatal promotora la declaratoria de desierto el concurso de arquitectura, en caso que se presente el impedimento de la escogencia objetiva de que trata el numeral 18 del artículo 25 de la Ley 80 de 1993</w:t>
      </w:r>
      <w:r>
        <w:rPr>
          <w:rFonts w:ascii="Arial" w:eastAsia="Calibri" w:hAnsi="Arial" w:cs="Arial"/>
          <w:lang w:val="es-ES_tradnl"/>
        </w:rPr>
        <w:t>”</w:t>
      </w:r>
      <w:r w:rsidRPr="005E6CC0">
        <w:rPr>
          <w:rFonts w:ascii="Arial" w:eastAsia="Calibri" w:hAnsi="Arial" w:cs="Arial"/>
          <w:lang w:val="es-ES_tradnl"/>
        </w:rPr>
        <w:t>.</w:t>
      </w:r>
    </w:p>
    <w:p w14:paraId="7F20429A" w14:textId="77777777" w:rsidR="00ED6A9D" w:rsidRPr="005E6CC0" w:rsidRDefault="00ED6A9D" w:rsidP="00ED6A9D">
      <w:pPr>
        <w:spacing w:after="120" w:line="276" w:lineRule="auto"/>
        <w:ind w:firstLine="708"/>
        <w:jc w:val="both"/>
        <w:rPr>
          <w:rFonts w:ascii="Arial" w:eastAsia="Calibri" w:hAnsi="Arial" w:cs="Arial"/>
          <w:lang w:val="es-ES_tradnl"/>
        </w:rPr>
      </w:pPr>
      <w:r w:rsidRPr="005E6CC0">
        <w:rPr>
          <w:rFonts w:ascii="Arial" w:eastAsia="Calibri" w:hAnsi="Arial" w:cs="Arial"/>
          <w:lang w:val="es-ES_tradnl"/>
        </w:rPr>
        <w:t xml:space="preserve">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w:t>
      </w:r>
      <w:r>
        <w:rPr>
          <w:rFonts w:ascii="Arial" w:eastAsia="Calibri" w:hAnsi="Arial" w:cs="Arial"/>
          <w:lang w:val="es-ES_tradnl"/>
        </w:rPr>
        <w:t>“</w:t>
      </w:r>
      <w:r w:rsidRPr="005E6CC0">
        <w:rPr>
          <w:rFonts w:ascii="Arial" w:eastAsia="Calibri" w:hAnsi="Arial" w:cs="Arial"/>
          <w:lang w:val="es-ES_tradnl"/>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Pr>
          <w:rFonts w:ascii="Arial" w:eastAsia="Calibri" w:hAnsi="Arial" w:cs="Arial"/>
          <w:lang w:val="es-ES_tradnl"/>
        </w:rPr>
        <w:t>”</w:t>
      </w:r>
      <w:r w:rsidRPr="00C11BA5">
        <w:rPr>
          <w:rFonts w:ascii="Arial" w:eastAsia="Calibri" w:hAnsi="Arial" w:cs="Arial"/>
          <w:vertAlign w:val="superscript"/>
          <w:lang w:val="es-ES_tradnl"/>
        </w:rPr>
        <w:footnoteReference w:id="9"/>
      </w:r>
      <w:r w:rsidRPr="005E6CC0">
        <w:rPr>
          <w:rFonts w:ascii="Arial" w:eastAsia="Calibri" w:hAnsi="Arial" w:cs="Arial"/>
          <w:lang w:val="es-ES_tradnl"/>
        </w:rPr>
        <w:t xml:space="preserve">. Igualmente, ha señalado que </w:t>
      </w:r>
      <w:r>
        <w:rPr>
          <w:rFonts w:ascii="Arial" w:eastAsia="Calibri" w:hAnsi="Arial" w:cs="Arial"/>
          <w:lang w:val="es-ES_tradnl"/>
        </w:rPr>
        <w:t>“</w:t>
      </w:r>
      <w:r w:rsidRPr="005E6CC0">
        <w:rPr>
          <w:rFonts w:ascii="Arial" w:eastAsia="Calibri" w:hAnsi="Arial" w:cs="Arial"/>
          <w:lang w:val="es-ES_tradnl"/>
        </w:rPr>
        <w:t>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Pr>
          <w:rFonts w:ascii="Arial" w:eastAsia="Calibri" w:hAnsi="Arial" w:cs="Arial"/>
          <w:lang w:val="es-ES_tradnl"/>
        </w:rPr>
        <w:t>”</w:t>
      </w:r>
      <w:r w:rsidRPr="00C11BA5">
        <w:rPr>
          <w:rFonts w:ascii="Arial" w:eastAsia="Calibri" w:hAnsi="Arial" w:cs="Arial"/>
          <w:vertAlign w:val="superscript"/>
          <w:lang w:val="es-ES_tradnl"/>
        </w:rPr>
        <w:footnoteReference w:id="10"/>
      </w:r>
      <w:r w:rsidRPr="005E6CC0">
        <w:rPr>
          <w:rFonts w:ascii="Arial" w:eastAsia="Calibri" w:hAnsi="Arial" w:cs="Arial"/>
          <w:lang w:val="es-ES_tradnl"/>
        </w:rPr>
        <w:t>.</w:t>
      </w:r>
    </w:p>
    <w:p w14:paraId="13A7FFD7" w14:textId="77777777" w:rsidR="00ED6A9D" w:rsidRDefault="00ED6A9D" w:rsidP="003E693C">
      <w:pPr>
        <w:spacing w:after="0" w:line="276" w:lineRule="auto"/>
        <w:ind w:firstLine="708"/>
        <w:contextualSpacing/>
        <w:jc w:val="both"/>
        <w:rPr>
          <w:rFonts w:ascii="Arial" w:eastAsia="Calibri" w:hAnsi="Arial" w:cs="Arial"/>
          <w:lang w:val="es-ES_tradnl"/>
        </w:rPr>
      </w:pPr>
      <w:r w:rsidRPr="005E6CC0">
        <w:rPr>
          <w:rFonts w:ascii="Arial" w:eastAsia="Calibri" w:hAnsi="Arial" w:cs="Arial"/>
          <w:lang w:val="es-ES_tradnl"/>
        </w:rPr>
        <w:t xml:space="preserve">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w:t>
      </w:r>
      <w:r w:rsidRPr="005E6CC0">
        <w:rPr>
          <w:rFonts w:ascii="Arial" w:eastAsia="Calibri" w:hAnsi="Arial" w:cs="Arial"/>
          <w:lang w:val="es-ES_tradnl"/>
        </w:rPr>
        <w:lastRenderedPageBreak/>
        <w:t xml:space="preserve">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w:t>
      </w:r>
    </w:p>
    <w:p w14:paraId="27F6E002" w14:textId="77777777" w:rsidR="003E693C" w:rsidRPr="005E6CC0" w:rsidRDefault="003E693C" w:rsidP="003E693C">
      <w:pPr>
        <w:spacing w:after="0" w:line="276" w:lineRule="auto"/>
        <w:ind w:firstLine="708"/>
        <w:contextualSpacing/>
        <w:jc w:val="both"/>
        <w:rPr>
          <w:rFonts w:ascii="Arial" w:eastAsia="Calibri" w:hAnsi="Arial" w:cs="Arial"/>
          <w:lang w:val="es-ES_tradnl"/>
        </w:rPr>
      </w:pPr>
    </w:p>
    <w:p w14:paraId="23B55D87" w14:textId="77777777" w:rsidR="003E693C" w:rsidRDefault="008F5029" w:rsidP="003E693C">
      <w:pPr>
        <w:spacing w:before="120" w:after="0" w:line="276" w:lineRule="auto"/>
        <w:contextualSpacing/>
        <w:jc w:val="both"/>
        <w:rPr>
          <w:rFonts w:ascii="Arial" w:eastAsia="Calibri" w:hAnsi="Arial" w:cs="Arial"/>
          <w:b/>
          <w:bCs/>
          <w:color w:val="000000"/>
        </w:rPr>
      </w:pPr>
      <w:r>
        <w:rPr>
          <w:rFonts w:ascii="Arial" w:eastAsia="Calibri" w:hAnsi="Arial" w:cs="Arial"/>
          <w:b/>
          <w:bCs/>
          <w:color w:val="000000"/>
        </w:rPr>
        <w:t>I</w:t>
      </w:r>
      <w:r w:rsidR="000B6C17">
        <w:rPr>
          <w:rFonts w:ascii="Arial" w:eastAsia="Calibri" w:hAnsi="Arial" w:cs="Arial"/>
          <w:b/>
          <w:bCs/>
          <w:color w:val="000000"/>
        </w:rPr>
        <w:t>I</w:t>
      </w:r>
      <w:r>
        <w:rPr>
          <w:rFonts w:ascii="Arial" w:eastAsia="Calibri" w:hAnsi="Arial" w:cs="Arial"/>
          <w:b/>
          <w:bCs/>
          <w:color w:val="000000"/>
        </w:rPr>
        <w:t xml:space="preserve">. </w:t>
      </w:r>
      <w:r w:rsidRPr="002C457E">
        <w:rPr>
          <w:rFonts w:ascii="Arial" w:eastAsia="Calibri" w:hAnsi="Arial" w:cs="Arial"/>
          <w:b/>
          <w:bCs/>
          <w:color w:val="000000"/>
        </w:rPr>
        <w:t>Declaratoria de desiert</w:t>
      </w:r>
      <w:r>
        <w:rPr>
          <w:rFonts w:ascii="Arial" w:eastAsia="Calibri" w:hAnsi="Arial" w:cs="Arial"/>
          <w:b/>
          <w:bCs/>
          <w:color w:val="000000"/>
        </w:rPr>
        <w:t>a en los Procesos de Selección</w:t>
      </w:r>
      <w:r w:rsidRPr="002C457E">
        <w:rPr>
          <w:rFonts w:ascii="Arial" w:eastAsia="Calibri" w:hAnsi="Arial" w:cs="Arial"/>
          <w:b/>
          <w:bCs/>
          <w:color w:val="000000"/>
        </w:rPr>
        <w:t>.</w:t>
      </w:r>
    </w:p>
    <w:p w14:paraId="575CB3C8" w14:textId="44FC722F" w:rsidR="00682397" w:rsidRDefault="008F5029" w:rsidP="003E693C">
      <w:pPr>
        <w:spacing w:before="120" w:after="0" w:line="276" w:lineRule="auto"/>
        <w:contextualSpacing/>
        <w:jc w:val="both"/>
        <w:rPr>
          <w:rFonts w:ascii="Arial" w:eastAsia="Calibri" w:hAnsi="Arial" w:cs="Arial"/>
          <w:b/>
          <w:bCs/>
          <w:color w:val="000000"/>
        </w:rPr>
      </w:pPr>
      <w:r w:rsidRPr="002C457E">
        <w:rPr>
          <w:rFonts w:ascii="Arial" w:eastAsia="Calibri" w:hAnsi="Arial" w:cs="Arial"/>
          <w:b/>
          <w:bCs/>
          <w:color w:val="000000"/>
        </w:rPr>
        <w:t xml:space="preserve"> </w:t>
      </w:r>
    </w:p>
    <w:p w14:paraId="32C3BFB3" w14:textId="1951A3A6" w:rsidR="00682397" w:rsidRDefault="00682397" w:rsidP="003E693C">
      <w:pPr>
        <w:spacing w:before="120" w:after="0" w:line="276" w:lineRule="auto"/>
        <w:contextualSpacing/>
        <w:jc w:val="both"/>
        <w:rPr>
          <w:rFonts w:ascii="Arial" w:eastAsia="Calibri" w:hAnsi="Arial" w:cs="Arial"/>
          <w:color w:val="000000"/>
          <w:lang w:val="es-ES_tradnl"/>
        </w:rPr>
      </w:pPr>
      <w:r>
        <w:rPr>
          <w:rFonts w:ascii="Arial" w:eastAsia="Calibri" w:hAnsi="Arial" w:cs="Arial"/>
          <w:color w:val="000000"/>
          <w:lang w:val="es-ES_tradnl"/>
        </w:rPr>
        <w:t xml:space="preserve">La declaratoria de desierta de un procedimiento de selección consiste en la decisión de la entidad contratante de no adjudicar el contrato, esto es, de no seleccionar al futuro contratista originado en un procedimiento de selección, por presentarse los supuestos establecidos por el legislador para dicha declaratoria. </w:t>
      </w:r>
    </w:p>
    <w:p w14:paraId="23EF7C7A" w14:textId="77777777" w:rsidR="003E693C" w:rsidRDefault="003E693C" w:rsidP="00682397">
      <w:pPr>
        <w:spacing w:before="120" w:after="0" w:line="276" w:lineRule="auto"/>
        <w:jc w:val="both"/>
        <w:rPr>
          <w:rFonts w:ascii="Arial" w:eastAsia="Calibri" w:hAnsi="Arial" w:cs="Arial"/>
          <w:color w:val="000000"/>
          <w:lang w:val="es-ES_tradnl"/>
        </w:rPr>
      </w:pPr>
    </w:p>
    <w:p w14:paraId="1A9E01EF" w14:textId="77777777" w:rsidR="00682397" w:rsidRDefault="00682397" w:rsidP="00682397">
      <w:pPr>
        <w:spacing w:after="0" w:line="276" w:lineRule="auto"/>
        <w:ind w:firstLine="709"/>
        <w:jc w:val="both"/>
        <w:rPr>
          <w:rFonts w:ascii="Arial" w:eastAsia="Calibri" w:hAnsi="Arial" w:cs="Arial"/>
          <w:color w:val="000000"/>
          <w:lang w:val="es-ES_tradnl"/>
        </w:rPr>
      </w:pPr>
      <w:r>
        <w:rPr>
          <w:rFonts w:ascii="Arial" w:eastAsia="Calibri" w:hAnsi="Arial" w:cs="Arial"/>
          <w:color w:val="000000" w:themeColor="text1"/>
          <w:szCs w:val="24"/>
          <w:lang w:val="es-ES_tradnl" w:eastAsia="es-ES_tradnl"/>
        </w:rPr>
        <w:t xml:space="preserve">Ahora bien, las normas especiales que regulan el procedimiento de selección abreviada de menor cuantía no establecen una regulación especial respecto a esta actuación. Al no existir regulación especial de la declaratoria de desierta en los procesos de menor cuantía, el fundamento para esta actuación se encuentra consagrado en el numeral 18 del artículo 25 de la Ley 80 de 1993, el cual señala: </w:t>
      </w:r>
    </w:p>
    <w:p w14:paraId="3ABCE160" w14:textId="77777777" w:rsidR="00682397" w:rsidRDefault="00682397" w:rsidP="00682397">
      <w:pPr>
        <w:spacing w:after="0" w:line="276" w:lineRule="auto"/>
        <w:ind w:left="709" w:right="709"/>
        <w:rPr>
          <w:rFonts w:ascii="Arial" w:eastAsia="Calibri" w:hAnsi="Arial" w:cs="Arial"/>
          <w:color w:val="000000"/>
          <w:lang w:val="es-ES_tradnl"/>
        </w:rPr>
      </w:pPr>
    </w:p>
    <w:p w14:paraId="7B1EF883" w14:textId="77777777" w:rsidR="00682397" w:rsidRDefault="00682397" w:rsidP="00682397">
      <w:pPr>
        <w:spacing w:after="0" w:line="240" w:lineRule="auto"/>
        <w:ind w:left="709" w:right="709"/>
        <w:jc w:val="both"/>
        <w:rPr>
          <w:rFonts w:ascii="Arial" w:eastAsia="Times New Roman" w:hAnsi="Arial" w:cs="Arial"/>
          <w:color w:val="000000" w:themeColor="text1"/>
          <w:sz w:val="20"/>
          <w:szCs w:val="20"/>
          <w:lang w:val="es-ES_tradnl" w:eastAsia="es-ES_tradnl"/>
        </w:rPr>
      </w:pPr>
      <w:r>
        <w:rPr>
          <w:rFonts w:ascii="Arial" w:eastAsia="Calibri" w:hAnsi="Arial" w:cs="Arial"/>
          <w:color w:val="000000"/>
          <w:sz w:val="20"/>
          <w:szCs w:val="20"/>
          <w:lang w:val="es-ES_tradnl"/>
        </w:rPr>
        <w:t>“</w:t>
      </w:r>
      <w:bookmarkStart w:id="4" w:name="25"/>
      <w:r>
        <w:rPr>
          <w:rFonts w:ascii="Arial" w:eastAsia="Times New Roman" w:hAnsi="Arial" w:cs="Arial"/>
          <w:color w:val="000000" w:themeColor="text1"/>
          <w:sz w:val="20"/>
          <w:szCs w:val="20"/>
          <w:lang w:val="es-ES_tradnl" w:eastAsia="es-ES_tradnl"/>
        </w:rPr>
        <w:t>Artículo 25. Del principio de economía.</w:t>
      </w:r>
      <w:bookmarkEnd w:id="4"/>
      <w:r>
        <w:rPr>
          <w:rFonts w:ascii="Arial" w:eastAsia="Times New Roman" w:hAnsi="Arial" w:cs="Arial"/>
          <w:color w:val="000000" w:themeColor="text1"/>
          <w:sz w:val="20"/>
          <w:szCs w:val="20"/>
          <w:lang w:val="es-ES_tradnl" w:eastAsia="es-ES_tradnl"/>
        </w:rPr>
        <w:t> En virtud de este principio: […]</w:t>
      </w:r>
    </w:p>
    <w:p w14:paraId="6E30B538" w14:textId="77777777" w:rsidR="00682397" w:rsidRDefault="00682397" w:rsidP="00682397">
      <w:pPr>
        <w:spacing w:after="0" w:line="240" w:lineRule="auto"/>
        <w:ind w:left="709" w:right="709"/>
        <w:jc w:val="both"/>
        <w:rPr>
          <w:rFonts w:ascii="Arial" w:eastAsia="Times New Roman" w:hAnsi="Arial" w:cs="Arial"/>
          <w:color w:val="000000" w:themeColor="text1"/>
          <w:sz w:val="20"/>
          <w:szCs w:val="20"/>
          <w:lang w:val="es-ES_tradnl" w:eastAsia="es-ES_tradnl"/>
        </w:rPr>
      </w:pPr>
    </w:p>
    <w:p w14:paraId="5DA51A75" w14:textId="77777777" w:rsidR="00682397" w:rsidRDefault="00682397" w:rsidP="00682397">
      <w:pPr>
        <w:spacing w:after="0" w:line="240" w:lineRule="auto"/>
        <w:ind w:left="709" w:right="709"/>
        <w:jc w:val="both"/>
        <w:rPr>
          <w:rFonts w:ascii="Arial" w:eastAsia="Times New Roman" w:hAnsi="Arial" w:cs="Arial"/>
          <w:color w:val="000000" w:themeColor="text1"/>
          <w:sz w:val="20"/>
          <w:szCs w:val="20"/>
          <w:lang w:val="es-ES_tradnl" w:eastAsia="es-ES_tradnl"/>
        </w:rPr>
      </w:pPr>
      <w:r>
        <w:rPr>
          <w:rFonts w:ascii="Arial" w:eastAsia="Times New Roman" w:hAnsi="Arial" w:cs="Arial"/>
          <w:color w:val="000000" w:themeColor="text1"/>
          <w:sz w:val="20"/>
          <w:szCs w:val="20"/>
          <w:lang w:val="es-ES_tradnl" w:eastAsia="es-ES_tradnl"/>
        </w:rPr>
        <w:t>18. La declaratoria de desierta de la licitación únicamente procederá por motivos o causas que impidan la escogencia objetiva y se declarará en acto administrativo en el que se señalarán en forma expresa y detallada las razones que han conducido a esa decisión”.</w:t>
      </w:r>
    </w:p>
    <w:p w14:paraId="21F4D0C0" w14:textId="77777777" w:rsidR="00682397" w:rsidRDefault="00682397" w:rsidP="00682397">
      <w:pPr>
        <w:spacing w:after="0" w:line="276" w:lineRule="auto"/>
        <w:jc w:val="both"/>
        <w:rPr>
          <w:rFonts w:ascii="Arial" w:eastAsia="Calibri" w:hAnsi="Arial" w:cs="Arial"/>
          <w:i/>
          <w:iCs/>
          <w:color w:val="000000"/>
        </w:rPr>
      </w:pPr>
      <w:r>
        <w:rPr>
          <w:rFonts w:ascii="Arial" w:eastAsia="Calibri" w:hAnsi="Arial" w:cs="Arial"/>
          <w:i/>
          <w:iCs/>
          <w:color w:val="000000"/>
        </w:rPr>
        <w:tab/>
      </w:r>
    </w:p>
    <w:p w14:paraId="47F90BD9" w14:textId="77777777" w:rsidR="00682397" w:rsidRDefault="00682397" w:rsidP="00682397">
      <w:pPr>
        <w:spacing w:after="0" w:line="276" w:lineRule="auto"/>
        <w:jc w:val="both"/>
        <w:rPr>
          <w:rFonts w:ascii="Arial" w:eastAsia="Calibri" w:hAnsi="Arial" w:cs="Arial"/>
          <w:color w:val="000000"/>
        </w:rPr>
      </w:pPr>
      <w:r>
        <w:rPr>
          <w:rFonts w:ascii="Arial" w:eastAsia="Calibri" w:hAnsi="Arial" w:cs="Arial"/>
          <w:color w:val="000000"/>
        </w:rPr>
        <w:t>Al respecto, la jurisprudencia del Consejo de Estado ha señalado:</w:t>
      </w:r>
    </w:p>
    <w:p w14:paraId="38486337" w14:textId="77777777" w:rsidR="00682397" w:rsidRDefault="00682397" w:rsidP="00682397">
      <w:pPr>
        <w:spacing w:after="0" w:line="276" w:lineRule="auto"/>
        <w:ind w:left="709" w:right="709"/>
        <w:jc w:val="both"/>
        <w:rPr>
          <w:rFonts w:ascii="Arial" w:eastAsia="Calibri" w:hAnsi="Arial" w:cs="Arial"/>
          <w:i/>
          <w:iCs/>
          <w:color w:val="000000"/>
        </w:rPr>
      </w:pPr>
    </w:p>
    <w:p w14:paraId="4C131796" w14:textId="77777777" w:rsidR="00682397" w:rsidRDefault="00682397" w:rsidP="00682397">
      <w:pPr>
        <w:spacing w:after="0" w:line="240" w:lineRule="auto"/>
        <w:ind w:left="709" w:right="709"/>
        <w:jc w:val="both"/>
        <w:rPr>
          <w:rFonts w:ascii="Arial" w:eastAsia="Calibri" w:hAnsi="Arial" w:cs="Arial"/>
          <w:color w:val="000000"/>
          <w:sz w:val="20"/>
          <w:szCs w:val="20"/>
        </w:rPr>
      </w:pPr>
      <w:r>
        <w:rPr>
          <w:rFonts w:ascii="Arial" w:eastAsia="Calibri" w:hAnsi="Arial" w:cs="Arial"/>
          <w:color w:val="000000"/>
          <w:sz w:val="20"/>
          <w:szCs w:val="20"/>
        </w:rPr>
        <w:t>“L</w:t>
      </w:r>
      <w:r>
        <w:rPr>
          <w:rFonts w:ascii="Arial" w:eastAsia="Calibri" w:hAnsi="Arial" w:cs="Arial"/>
          <w:sz w:val="20"/>
          <w:szCs w:val="20"/>
        </w:rPr>
        <w:t>a declaratoria de desierta de la licitación o concurso procederá́ por motivos o causas que impidan la escogencia objetiva y, ante la existencia de un supuesto de hecho o motivo fáctico verdadero, ausencia de análisis jurídico, ajustado a la norma superior en cuanto conforme a ella implica la declaratoria de desierta de la licitación o concurso por impedir la escogencia objetiva”.</w:t>
      </w:r>
      <w:r>
        <w:rPr>
          <w:rFonts w:ascii="Arial" w:eastAsia="Calibri" w:hAnsi="Arial" w:cs="Arial"/>
          <w:sz w:val="20"/>
          <w:szCs w:val="20"/>
          <w:vertAlign w:val="superscript"/>
        </w:rPr>
        <w:footnoteReference w:id="11"/>
      </w:r>
      <w:r>
        <w:rPr>
          <w:rFonts w:ascii="Arial" w:eastAsia="Calibri" w:hAnsi="Arial" w:cs="Arial"/>
          <w:sz w:val="20"/>
          <w:szCs w:val="20"/>
        </w:rPr>
        <w:t xml:space="preserve"> </w:t>
      </w:r>
    </w:p>
    <w:p w14:paraId="137CB0D5" w14:textId="77777777" w:rsidR="00682397" w:rsidRDefault="00682397" w:rsidP="00682397">
      <w:pPr>
        <w:spacing w:after="0" w:line="276" w:lineRule="auto"/>
        <w:jc w:val="both"/>
        <w:rPr>
          <w:rFonts w:ascii="Arial" w:eastAsia="Calibri" w:hAnsi="Arial" w:cs="Arial"/>
          <w:color w:val="000000"/>
        </w:rPr>
      </w:pPr>
      <w:r>
        <w:rPr>
          <w:rFonts w:ascii="Arial" w:eastAsia="Calibri" w:hAnsi="Arial" w:cs="Arial"/>
          <w:color w:val="000000"/>
        </w:rPr>
        <w:tab/>
      </w:r>
    </w:p>
    <w:p w14:paraId="31989EF7" w14:textId="77777777" w:rsidR="00682397" w:rsidRDefault="00682397" w:rsidP="00682397">
      <w:pPr>
        <w:tabs>
          <w:tab w:val="left" w:pos="709"/>
        </w:tabs>
        <w:spacing w:after="120" w:line="276" w:lineRule="auto"/>
        <w:jc w:val="both"/>
        <w:rPr>
          <w:rFonts w:ascii="Arial" w:eastAsia="Calibri" w:hAnsi="Arial" w:cs="Arial"/>
          <w:color w:val="000000" w:themeColor="text1"/>
          <w:szCs w:val="24"/>
          <w:lang w:val="es-ES_tradnl" w:eastAsia="es-ES_tradnl"/>
        </w:rPr>
      </w:pPr>
      <w:r>
        <w:rPr>
          <w:rFonts w:ascii="Arial" w:eastAsia="Calibri" w:hAnsi="Arial" w:cs="Arial"/>
          <w:color w:val="000000" w:themeColor="text1"/>
          <w:szCs w:val="24"/>
          <w:lang w:val="es-ES_tradnl" w:eastAsia="es-ES_tradnl"/>
        </w:rPr>
        <w:lastRenderedPageBreak/>
        <w:tab/>
        <w:t>Si bien resulta problemático que la disposición solo aluda a la “licitación”, esta Agencia considera que su entendimiento debe ser amplio, para acoger a los demás procedimientos de selección adoptados en nuestro ordenamiento de forma posterior. Así, por ejemplo, la Ley 1150 de 2007 -posterior a la vigencia de la Ley 80 de 1993- creó nuevas modalidades de selección en su artículo 2 y, además de la licitación pública, incluyó la selección abreviada, el concurso de méritos y la mínima cuantía. De manera que estos procesos de selección también deben entenderse regidos bajo los principios de la contratación estatal consagrados en la Ley 80.</w:t>
      </w:r>
    </w:p>
    <w:p w14:paraId="47173D6D" w14:textId="77777777" w:rsidR="00682397" w:rsidRDefault="00682397" w:rsidP="00682397">
      <w:pPr>
        <w:tabs>
          <w:tab w:val="left" w:pos="709"/>
        </w:tabs>
        <w:spacing w:after="120" w:line="276" w:lineRule="auto"/>
        <w:jc w:val="both"/>
        <w:rPr>
          <w:rFonts w:ascii="Arial" w:eastAsia="Calibri" w:hAnsi="Arial" w:cs="Arial"/>
          <w:color w:val="000000" w:themeColor="text1"/>
          <w:szCs w:val="24"/>
          <w:lang w:val="es-ES_tradnl" w:eastAsia="es-ES_tradnl"/>
        </w:rPr>
      </w:pPr>
      <w:r>
        <w:rPr>
          <w:rFonts w:ascii="Arial" w:eastAsia="Calibri" w:hAnsi="Arial" w:cs="Arial"/>
          <w:color w:val="000000" w:themeColor="text1"/>
          <w:szCs w:val="24"/>
          <w:lang w:val="es-ES_tradnl" w:eastAsia="es-ES_tradnl"/>
        </w:rPr>
        <w:tab/>
        <w:t>Esta interpretación además encuentra fundamento en lo establecido en el artículo 23 de la Ley 80 de 1993, cuya redacción es más amplia, al prescribir que “</w:t>
      </w:r>
      <w:r>
        <w:rPr>
          <w:rFonts w:ascii="Arial" w:eastAsia="Calibri" w:hAnsi="Arial" w:cs="Arial"/>
          <w:i/>
          <w:iCs/>
          <w:color w:val="000000" w:themeColor="text1"/>
          <w:szCs w:val="24"/>
          <w:lang w:val="es-ES_tradnl" w:eastAsia="es-ES_tradnl"/>
        </w:rPr>
        <w:t>Las actuaciones de quienes intervengan en la contratación estatal se desarrollarán con arreglo a los principios de transparencia, economía y responsabilidad y de conformidad con los postulados que rigen la función administrativa</w:t>
      </w:r>
      <w:r>
        <w:rPr>
          <w:rFonts w:ascii="Arial" w:eastAsia="Calibri" w:hAnsi="Arial" w:cs="Arial"/>
          <w:color w:val="000000" w:themeColor="text1"/>
          <w:szCs w:val="24"/>
          <w:lang w:val="es-ES_tradnl" w:eastAsia="es-ES_tradnl"/>
        </w:rPr>
        <w:t>”. En este sentido, las actuaciones de las Entidades Estatales deben observar el principio de economía, en los términos establecidos por el legislador en el artículo 25, resultando compatible lo establecido en el numeral 18 en relación con la modalidad de selección abreviada de menor cuantía, al igual que frente a las demás modalidades de selección competitivas establecidas en el artículo 2 de la Ley 1150 de 2007.</w:t>
      </w:r>
    </w:p>
    <w:p w14:paraId="619C5450" w14:textId="77777777" w:rsidR="00682397" w:rsidRDefault="00682397" w:rsidP="00682397">
      <w:pPr>
        <w:spacing w:after="120" w:line="276" w:lineRule="auto"/>
        <w:ind w:firstLine="709"/>
        <w:jc w:val="both"/>
        <w:rPr>
          <w:rFonts w:ascii="Arial" w:eastAsia="Calibri" w:hAnsi="Arial" w:cs="Arial"/>
          <w:color w:val="000000"/>
        </w:rPr>
      </w:pPr>
      <w:r>
        <w:rPr>
          <w:rFonts w:ascii="Arial" w:eastAsia="Calibri" w:hAnsi="Arial" w:cs="Arial"/>
          <w:color w:val="000000"/>
        </w:rPr>
        <w:t>De acuerdo con lo anterior, es claro que nuestro ordenamiento jurídico habilita a las Entidades Estatales para declarar desierto un proceso de selección cuando en su desarrollo se determine que no es posible escoger un contratista objetivamente, esto es, cuando no compareció al proceso de selección proponente alguno o existiendo ofertas, ninguna de ellas cumple con los requisitos establecidos en el Pliego de Condiciones para su escogencia.</w:t>
      </w:r>
    </w:p>
    <w:p w14:paraId="455B7979" w14:textId="77777777" w:rsidR="00682397" w:rsidRDefault="00682397" w:rsidP="00682397">
      <w:pPr>
        <w:tabs>
          <w:tab w:val="left" w:pos="709"/>
        </w:tabs>
        <w:spacing w:after="120" w:line="276" w:lineRule="auto"/>
        <w:jc w:val="both"/>
        <w:rPr>
          <w:rFonts w:ascii="Arial" w:eastAsia="Times New Roman" w:hAnsi="Arial" w:cs="Arial"/>
          <w:color w:val="000000" w:themeColor="text1"/>
          <w:sz w:val="20"/>
          <w:szCs w:val="20"/>
          <w:lang w:val="es-ES_tradnl" w:eastAsia="es-ES_tradnl"/>
        </w:rPr>
      </w:pPr>
      <w:r>
        <w:rPr>
          <w:rFonts w:ascii="Arial" w:eastAsia="Calibri" w:hAnsi="Arial" w:cs="Arial"/>
          <w:color w:val="000000" w:themeColor="text1"/>
          <w:szCs w:val="24"/>
          <w:lang w:val="es-ES_tradnl" w:eastAsia="es-ES_tradnl"/>
        </w:rPr>
        <w:tab/>
        <w:t xml:space="preserve">Actualmente, cualquier declaratoria de desierta de un proceso contractual implica que en el acto administrativo mediante el cual se exprese las razones por las cuales considera que no es posible realizar una selección objetiva de la mejor oferta, y cómo esta circunstancia se presenta efectivamente en el procedimiento de selección. Por ejemplo, señalar que no se presentaron ofertas o que de las que se presentaron </w:t>
      </w:r>
      <w:proofErr w:type="gramStart"/>
      <w:r>
        <w:rPr>
          <w:rFonts w:ascii="Arial" w:eastAsia="Calibri" w:hAnsi="Arial" w:cs="Arial"/>
          <w:color w:val="000000" w:themeColor="text1"/>
          <w:szCs w:val="24"/>
          <w:lang w:val="es-ES_tradnl" w:eastAsia="es-ES_tradnl"/>
        </w:rPr>
        <w:t>ninguna cumple</w:t>
      </w:r>
      <w:proofErr w:type="gramEnd"/>
      <w:r>
        <w:rPr>
          <w:rFonts w:ascii="Arial" w:eastAsia="Calibri" w:hAnsi="Arial" w:cs="Arial"/>
          <w:color w:val="000000" w:themeColor="text1"/>
          <w:szCs w:val="24"/>
          <w:lang w:val="es-ES_tradnl" w:eastAsia="es-ES_tradnl"/>
        </w:rPr>
        <w:t xml:space="preserve"> con los requisitos mínimos establecidos por la entidad en los Pliegos de Condiciones o en la invitación. </w:t>
      </w:r>
    </w:p>
    <w:p w14:paraId="614FECD3" w14:textId="77777777" w:rsidR="00682397" w:rsidRDefault="00682397" w:rsidP="00682397">
      <w:pPr>
        <w:tabs>
          <w:tab w:val="left" w:pos="709"/>
        </w:tabs>
        <w:spacing w:after="120" w:line="276" w:lineRule="auto"/>
        <w:jc w:val="both"/>
        <w:rPr>
          <w:rFonts w:ascii="Arial" w:eastAsia="Calibri" w:hAnsi="Arial" w:cs="Arial"/>
          <w:color w:val="000000" w:themeColor="text1"/>
          <w:szCs w:val="24"/>
          <w:lang w:eastAsia="es-ES_tradnl"/>
        </w:rPr>
      </w:pPr>
      <w:r>
        <w:rPr>
          <w:rFonts w:ascii="Arial" w:eastAsia="Calibri" w:hAnsi="Arial" w:cs="Arial"/>
          <w:color w:val="000000" w:themeColor="text1"/>
          <w:szCs w:val="24"/>
          <w:lang w:eastAsia="es-ES_tradnl"/>
        </w:rPr>
        <w:tab/>
        <w:t>En efecto, este instrumento normativo se limita al caso específico de que la entidad se encuentre frente a un proceso de selección en que no sea posible la selección objetiva del contratista debido a las condiciones de las ofertas presentadas o no presentadas -en caso de que no se presente ninguna-. Se evalúan las ofertas con base en las directrices y criterios establecidos en la convocatoria pública y, al no cumplir con ellos ninguna de las ofertas, se declara desierta la convocatoria.</w:t>
      </w:r>
    </w:p>
    <w:p w14:paraId="523D3AA2" w14:textId="3E9372DF" w:rsidR="00682397" w:rsidRDefault="00682397" w:rsidP="00682397">
      <w:pPr>
        <w:spacing w:after="120" w:line="276" w:lineRule="auto"/>
        <w:ind w:firstLine="709"/>
        <w:jc w:val="both"/>
        <w:rPr>
          <w:rFonts w:ascii="Arial" w:eastAsia="Calibri" w:hAnsi="Arial" w:cs="Arial"/>
          <w:color w:val="000000"/>
        </w:rPr>
      </w:pPr>
      <w:r>
        <w:rPr>
          <w:rFonts w:ascii="Arial" w:eastAsia="Calibri" w:hAnsi="Arial" w:cs="Arial"/>
          <w:color w:val="000000"/>
        </w:rPr>
        <w:lastRenderedPageBreak/>
        <w:t xml:space="preserve">Ahora bien, debe señalarse que </w:t>
      </w:r>
      <w:r>
        <w:rPr>
          <w:rFonts w:ascii="Arial" w:eastAsia="Calibri" w:hAnsi="Arial" w:cs="Arial"/>
        </w:rPr>
        <w:t xml:space="preserve">las Entidades Estatales sometidas al Estatuto General de Contratación de la Administración Pública que hayan </w:t>
      </w:r>
      <w:r>
        <w:rPr>
          <w:rFonts w:ascii="Arial" w:eastAsia="Calibri" w:hAnsi="Arial" w:cs="Arial"/>
          <w:color w:val="000000"/>
          <w:lang w:val="es-ES_tradnl"/>
        </w:rPr>
        <w:t xml:space="preserve">declarado desierto un proceso de selección </w:t>
      </w:r>
      <w:r w:rsidR="00E50C75">
        <w:rPr>
          <w:rFonts w:ascii="Arial" w:eastAsia="Calibri" w:hAnsi="Arial" w:cs="Arial"/>
          <w:color w:val="000000"/>
          <w:lang w:val="es-ES_tradnl"/>
        </w:rPr>
        <w:t>mediante convocatoria pública</w:t>
      </w:r>
      <w:r>
        <w:rPr>
          <w:rFonts w:ascii="Arial" w:eastAsia="Calibri" w:hAnsi="Arial" w:cs="Arial"/>
          <w:color w:val="000000"/>
          <w:lang w:val="es-ES_tradnl"/>
        </w:rPr>
        <w:t xml:space="preserve"> </w:t>
      </w:r>
      <w:r w:rsidR="00B802FF">
        <w:rPr>
          <w:rFonts w:ascii="Arial" w:eastAsia="Calibri" w:hAnsi="Arial" w:cs="Arial"/>
        </w:rPr>
        <w:t xml:space="preserve">podrán </w:t>
      </w:r>
      <w:r>
        <w:rPr>
          <w:rFonts w:ascii="Arial" w:eastAsia="Calibri" w:hAnsi="Arial" w:cs="Arial"/>
        </w:rPr>
        <w:t xml:space="preserve">considerar, para satisfacer sus necesidades, la posibilidad de </w:t>
      </w:r>
      <w:r>
        <w:rPr>
          <w:rFonts w:ascii="Arial" w:eastAsia="Times New Roman" w:hAnsi="Arial" w:cs="Arial"/>
          <w:lang w:eastAsia="es-MX"/>
        </w:rPr>
        <w:t xml:space="preserve">adelantar un nuevo proceso de selección, teniendo en cuenta las cinco (5) modalidades de selección previstas en el artículo 2 de la Ley 1150 de 2007 y sus respectivas causales, respecto de las </w:t>
      </w:r>
      <w:r>
        <w:rPr>
          <w:rFonts w:ascii="Arial" w:eastAsia="Calibri" w:hAnsi="Arial" w:cs="Arial"/>
          <w:color w:val="000000"/>
        </w:rPr>
        <w:t>características particulares del objeto a contratar, las circunstancias de la contratación o la cuantía o destinación del bien, obra o servicio, que justifican la selección de una u otra modalidad de contratación especifica, que en todo caso debe estar siempre acorde a la Ley.</w:t>
      </w:r>
    </w:p>
    <w:p w14:paraId="49161EE2" w14:textId="77777777" w:rsidR="0091142F" w:rsidRDefault="0091142F" w:rsidP="006F63AA">
      <w:pPr>
        <w:tabs>
          <w:tab w:val="left" w:pos="0"/>
        </w:tabs>
        <w:jc w:val="both"/>
        <w:rPr>
          <w:rFonts w:ascii="Arial" w:eastAsia="Calibri" w:hAnsi="Arial" w:cs="Arial"/>
          <w:b/>
          <w:color w:val="000000" w:themeColor="text1"/>
          <w:lang w:val="es-ES_tradnl"/>
        </w:rPr>
      </w:pPr>
    </w:p>
    <w:p w14:paraId="67C50223" w14:textId="4A877165" w:rsidR="006F63AA" w:rsidRPr="007C50A9" w:rsidRDefault="006F63AA" w:rsidP="006F63AA">
      <w:pPr>
        <w:tabs>
          <w:tab w:val="left" w:pos="0"/>
        </w:tabs>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3. Respuesta</w:t>
      </w:r>
    </w:p>
    <w:p w14:paraId="2E97F807" w14:textId="77777777" w:rsidR="0091142F" w:rsidRPr="00053B47" w:rsidRDefault="0091142F" w:rsidP="0091142F">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t xml:space="preserve">1. ¿En el marco del Estatuto General de la Contratación de la Administración Pública es posible que un proceso de selección de un contratista por convocatoria pública, (licitación pública, selección abreviada, concurso o mínima cuantía), sea declarado desierto porque sólo participa un oferente? </w:t>
      </w:r>
    </w:p>
    <w:p w14:paraId="171302F5" w14:textId="77777777" w:rsidR="0091142F" w:rsidRPr="00053B47" w:rsidRDefault="0091142F" w:rsidP="0091142F">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t>2. ¿Si la anterior respuesta es negativa, ¿cómo se aplica el deber de selección objetiva para evaluar la única propuesta participante y poder adjudicar el proceso de selección?</w:t>
      </w:r>
    </w:p>
    <w:p w14:paraId="4F651F62" w14:textId="77777777" w:rsidR="0091142F" w:rsidRPr="00053B47" w:rsidRDefault="0091142F" w:rsidP="0091142F">
      <w:pPr>
        <w:spacing w:line="20" w:lineRule="atLeast"/>
        <w:ind w:left="709" w:right="1043"/>
        <w:jc w:val="both"/>
        <w:rPr>
          <w:rFonts w:ascii="Arial" w:hAnsi="Arial" w:cs="Arial"/>
          <w:i/>
          <w:iCs/>
          <w:color w:val="000000" w:themeColor="text1"/>
          <w:sz w:val="21"/>
          <w:szCs w:val="21"/>
        </w:rPr>
      </w:pPr>
      <w:r w:rsidRPr="00053B47">
        <w:rPr>
          <w:rFonts w:ascii="Arial" w:hAnsi="Arial" w:cs="Arial"/>
          <w:i/>
          <w:iCs/>
          <w:color w:val="000000" w:themeColor="text1"/>
          <w:sz w:val="21"/>
          <w:szCs w:val="21"/>
        </w:rPr>
        <w:t xml:space="preserve">3. ¿Existe alguna norma constitucional, legal, reglamentaria, circular, directriz, regla de documento tipo, manual, etc., que justifique la declaratoria de desierta de una licitación, o de cualquier proceso de selección por convocatoria pública, por el hecho de que sólo participe un solo oferente? En caso afirmativo por favor enviarnos copia del documento que contenga dicha justificación. </w:t>
      </w:r>
    </w:p>
    <w:p w14:paraId="09296C48" w14:textId="71A2BE5B" w:rsidR="00682397" w:rsidRDefault="00682397" w:rsidP="00682397">
      <w:pPr>
        <w:spacing w:before="120" w:line="276" w:lineRule="auto"/>
        <w:ind w:firstLine="708"/>
        <w:jc w:val="both"/>
        <w:rPr>
          <w:rFonts w:ascii="Arial" w:eastAsia="Calibri" w:hAnsi="Arial" w:cs="Arial"/>
          <w:color w:val="000000"/>
        </w:rPr>
      </w:pPr>
      <w:r w:rsidRPr="00B85E47">
        <w:rPr>
          <w:rFonts w:ascii="Arial" w:eastAsia="Calibri" w:hAnsi="Arial" w:cs="Arial"/>
          <w:color w:val="000000"/>
        </w:rPr>
        <w:t xml:space="preserve">De acuerdo con lo </w:t>
      </w:r>
      <w:r w:rsidR="00B85E47" w:rsidRPr="00B85E47">
        <w:rPr>
          <w:rFonts w:ascii="Arial" w:eastAsia="Calibri" w:hAnsi="Arial" w:cs="Arial"/>
          <w:color w:val="000000"/>
        </w:rPr>
        <w:t>expuesto en la parte motiva de la presente respuesta</w:t>
      </w:r>
      <w:r w:rsidRPr="00B85E47">
        <w:rPr>
          <w:rFonts w:ascii="Arial" w:eastAsia="Calibri" w:hAnsi="Arial" w:cs="Arial"/>
          <w:color w:val="000000"/>
        </w:rPr>
        <w:t xml:space="preserve"> es claro que nuestro ordenamiento jurídico habilita a las Entidades Estatales para declarar desierto un Proceso de Selección cuando en su desarrollo se determine que no es posible escoger un contratista objetivamente, esto es, cuando no compareció al proceso de selección proponente alguno o existiendo ofertas, ninguna de ellas cumple con los requisitos establecidos en el pliego de condiciones para su escogencia.</w:t>
      </w:r>
    </w:p>
    <w:p w14:paraId="1F8FACB7" w14:textId="55C88EA5" w:rsidR="00B85E47" w:rsidRPr="002C457E" w:rsidRDefault="00B85E47" w:rsidP="00682397">
      <w:pPr>
        <w:spacing w:before="120" w:line="276" w:lineRule="auto"/>
        <w:ind w:firstLine="708"/>
        <w:jc w:val="both"/>
        <w:rPr>
          <w:rFonts w:ascii="Arial" w:eastAsia="Calibri" w:hAnsi="Arial" w:cs="Arial"/>
          <w:color w:val="000000"/>
        </w:rPr>
      </w:pPr>
      <w:r>
        <w:rPr>
          <w:rFonts w:ascii="Arial" w:eastAsia="Calibri" w:hAnsi="Arial" w:cs="Arial"/>
          <w:color w:val="000000"/>
        </w:rPr>
        <w:t xml:space="preserve">Ahora bien, por su parte </w:t>
      </w:r>
      <w:r w:rsidRPr="00DC4D52">
        <w:rPr>
          <w:rFonts w:ascii="Arial" w:hAnsi="Arial" w:cs="Arial"/>
          <w:bCs/>
        </w:rPr>
        <w:t>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w:t>
      </w:r>
    </w:p>
    <w:p w14:paraId="7C91DDAD" w14:textId="77777777" w:rsidR="006F63AA" w:rsidRPr="007C50A9" w:rsidRDefault="006F63AA" w:rsidP="006F63AA">
      <w:pPr>
        <w:spacing w:before="120" w:after="120" w:line="276" w:lineRule="auto"/>
        <w:ind w:firstLine="709"/>
        <w:jc w:val="both"/>
        <w:rPr>
          <w:rFonts w:ascii="Arial" w:eastAsia="Calibri" w:hAnsi="Arial" w:cs="Arial"/>
          <w:bCs/>
          <w:color w:val="000000"/>
          <w:lang w:eastAsia="es-CO"/>
        </w:rPr>
      </w:pPr>
    </w:p>
    <w:p w14:paraId="0A563E39" w14:textId="77777777" w:rsidR="00B85E47" w:rsidRDefault="00B85E47" w:rsidP="00B85E47">
      <w:pPr>
        <w:spacing w:after="0" w:line="276" w:lineRule="auto"/>
        <w:ind w:firstLine="708"/>
        <w:jc w:val="both"/>
        <w:rPr>
          <w:rFonts w:ascii="Arial" w:eastAsia="Calibri" w:hAnsi="Arial" w:cs="Arial"/>
          <w:color w:val="000000"/>
        </w:rPr>
      </w:pPr>
      <w:r>
        <w:rPr>
          <w:rFonts w:ascii="Arial" w:eastAsia="Calibri" w:hAnsi="Arial" w:cs="Arial"/>
          <w:color w:val="000000"/>
        </w:rPr>
        <w:t xml:space="preserve">Finalmente, se recomienda que las Entidades Estatales, en aquellos casos en los cuales declaran desiertos un Proceso de Contratación revisen los factores que pueden estar afectando la participación nula en el procedimiento o las causas por las cuales los oferentes no están cumpliendo con los requisitos señalados en los Pliegos de Condiciones, con el fin de corregir los posibles obstáculos que están conllevando a la declaratoria de desierta. </w:t>
      </w:r>
    </w:p>
    <w:p w14:paraId="4ADC8E91" w14:textId="77777777" w:rsidR="00B85E47" w:rsidRDefault="00B85E47" w:rsidP="006F63AA">
      <w:pPr>
        <w:ind w:firstLine="708"/>
        <w:jc w:val="both"/>
        <w:textAlignment w:val="baseline"/>
        <w:rPr>
          <w:rFonts w:ascii="Arial" w:hAnsi="Arial" w:cs="Arial"/>
          <w:lang w:val="es-MX" w:eastAsia="es-CO"/>
        </w:rPr>
      </w:pPr>
    </w:p>
    <w:p w14:paraId="02F23D3F" w14:textId="4F38A346" w:rsidR="006F63AA" w:rsidRPr="0041726D" w:rsidRDefault="006F63AA" w:rsidP="006F63AA">
      <w:pPr>
        <w:ind w:firstLine="708"/>
        <w:jc w:val="both"/>
        <w:textAlignment w:val="baseline"/>
        <w:rPr>
          <w:rFonts w:ascii="Segoe UI" w:hAnsi="Segoe UI" w:cs="Segoe UI"/>
          <w:sz w:val="18"/>
          <w:szCs w:val="18"/>
          <w:lang w:eastAsia="es-CO"/>
        </w:rPr>
      </w:pPr>
      <w:r w:rsidRPr="0041726D">
        <w:rPr>
          <w:rFonts w:ascii="Arial" w:hAnsi="Arial" w:cs="Arial"/>
          <w:lang w:val="es-MX" w:eastAsia="es-CO"/>
        </w:rPr>
        <w:t>Este concepto tiene el alcance previsto en el artículo 28 del Código de Procedimiento Administrativo y de lo Contencioso Administrativo.</w:t>
      </w:r>
    </w:p>
    <w:bookmarkEnd w:id="1"/>
    <w:p w14:paraId="2224560E" w14:textId="77777777" w:rsidR="006F63AA" w:rsidRDefault="006F63AA" w:rsidP="006F63AA">
      <w:pPr>
        <w:spacing w:after="120" w:line="276" w:lineRule="auto"/>
        <w:jc w:val="both"/>
        <w:rPr>
          <w:rFonts w:ascii="Arial" w:hAnsi="Arial" w:cs="Arial"/>
          <w:lang w:val="es-ES_tradnl"/>
        </w:rPr>
      </w:pPr>
    </w:p>
    <w:p w14:paraId="67062B75" w14:textId="77777777" w:rsidR="006F63AA" w:rsidRPr="00EC7BC2" w:rsidRDefault="006F63AA" w:rsidP="006F63AA">
      <w:pPr>
        <w:spacing w:after="120" w:line="276" w:lineRule="auto"/>
        <w:jc w:val="both"/>
        <w:rPr>
          <w:rFonts w:ascii="Arial" w:hAnsi="Arial" w:cs="Arial"/>
          <w:lang w:val="es-ES_tradnl"/>
        </w:rPr>
      </w:pPr>
      <w:r w:rsidRPr="00EC7BC2">
        <w:rPr>
          <w:rFonts w:ascii="Arial" w:hAnsi="Arial" w:cs="Arial"/>
          <w:lang w:val="es-ES_tradnl"/>
        </w:rPr>
        <w:t>Atentamente,</w:t>
      </w:r>
    </w:p>
    <w:p w14:paraId="72BE0636" w14:textId="77777777" w:rsidR="006F63AA" w:rsidRDefault="006F63AA" w:rsidP="006F63AA">
      <w:pPr>
        <w:spacing w:after="0" w:line="276" w:lineRule="auto"/>
        <w:jc w:val="center"/>
        <w:textAlignment w:val="baseline"/>
        <w:rPr>
          <w:rFonts w:ascii="Arial" w:hAnsi="Arial" w:cs="Arial"/>
          <w:noProof/>
          <w:lang w:val="es-ES_tradnl"/>
        </w:rPr>
      </w:pPr>
    </w:p>
    <w:p w14:paraId="7F01363B" w14:textId="77777777" w:rsidR="006F63AA" w:rsidRDefault="006F63AA" w:rsidP="006F63AA">
      <w:pPr>
        <w:spacing w:after="0" w:line="276" w:lineRule="auto"/>
        <w:jc w:val="center"/>
        <w:textAlignment w:val="baseline"/>
        <w:rPr>
          <w:rFonts w:ascii="Arial" w:hAnsi="Arial" w:cs="Arial"/>
          <w:noProof/>
          <w:lang w:val="es-ES_tradnl"/>
        </w:rPr>
      </w:pPr>
    </w:p>
    <w:p w14:paraId="6C8A75EF" w14:textId="08961C24" w:rsidR="006F63AA" w:rsidRDefault="00B72FE2" w:rsidP="006F63AA">
      <w:pPr>
        <w:spacing w:after="0" w:line="276" w:lineRule="auto"/>
        <w:jc w:val="center"/>
        <w:textAlignment w:val="baseline"/>
        <w:rPr>
          <w:rFonts w:ascii="Arial" w:hAnsi="Arial" w:cs="Arial"/>
          <w:noProof/>
          <w:lang w:val="es-ES_tradnl"/>
        </w:rPr>
      </w:pPr>
      <w:r>
        <w:rPr>
          <w:noProof/>
        </w:rPr>
        <w:drawing>
          <wp:inline distT="0" distB="0" distL="0" distR="0" wp14:anchorId="295D58C5" wp14:editId="7D234EA3">
            <wp:extent cx="3161905" cy="1209524"/>
            <wp:effectExtent l="0" t="0" r="635" b="0"/>
            <wp:docPr id="91372373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23736" name="Imagen 1" descr="Texto&#10;&#10;Descripción generada automáticamente"/>
                    <pic:cNvPicPr/>
                  </pic:nvPicPr>
                  <pic:blipFill>
                    <a:blip r:embed="rId10"/>
                    <a:stretch>
                      <a:fillRect/>
                    </a:stretch>
                  </pic:blipFill>
                  <pic:spPr>
                    <a:xfrm>
                      <a:off x="0" y="0"/>
                      <a:ext cx="3161905" cy="1209524"/>
                    </a:xfrm>
                    <a:prstGeom prst="rect">
                      <a:avLst/>
                    </a:prstGeom>
                  </pic:spPr>
                </pic:pic>
              </a:graphicData>
            </a:graphic>
          </wp:inline>
        </w:drawing>
      </w:r>
    </w:p>
    <w:p w14:paraId="16DB3F72" w14:textId="77777777" w:rsidR="006F63AA" w:rsidRDefault="006F63AA" w:rsidP="006F63AA">
      <w:pPr>
        <w:spacing w:after="0" w:line="276" w:lineRule="auto"/>
        <w:jc w:val="center"/>
        <w:textAlignment w:val="baseline"/>
        <w:rPr>
          <w:rFonts w:ascii="Arial" w:hAnsi="Arial" w:cs="Arial"/>
          <w:noProof/>
          <w:lang w:val="es-ES_tradnl"/>
        </w:rPr>
      </w:pPr>
    </w:p>
    <w:p w14:paraId="741DC85C" w14:textId="77777777" w:rsidR="006F63AA" w:rsidRPr="00EC7BC2" w:rsidRDefault="006F63AA" w:rsidP="006F63AA">
      <w:pPr>
        <w:spacing w:after="0" w:line="276" w:lineRule="auto"/>
        <w:jc w:val="center"/>
        <w:textAlignment w:val="baseline"/>
        <w:rPr>
          <w:rFonts w:ascii="Arial" w:eastAsia="Times New Roman" w:hAnsi="Arial" w:cs="Arial"/>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6F63AA" w:rsidRPr="00EC7BC2" w14:paraId="5E82E3D6" w14:textId="77777777" w:rsidTr="00B802FF">
        <w:trPr>
          <w:trHeight w:val="315"/>
        </w:trPr>
        <w:tc>
          <w:tcPr>
            <w:tcW w:w="810" w:type="dxa"/>
            <w:tcBorders>
              <w:top w:val="nil"/>
              <w:left w:val="nil"/>
              <w:bottom w:val="nil"/>
              <w:right w:val="nil"/>
            </w:tcBorders>
            <w:vAlign w:val="center"/>
            <w:hideMark/>
          </w:tcPr>
          <w:p w14:paraId="359C6A5B"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Elaboró:</w:t>
            </w:r>
            <w:r w:rsidRPr="00EC7BC2">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4CA9057E" w14:textId="77777777" w:rsidR="006F63AA" w:rsidRPr="00EC7BC2" w:rsidRDefault="006F63AA" w:rsidP="00B802FF">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p>
          <w:p w14:paraId="0B4483D9" w14:textId="77777777" w:rsidR="006F63AA" w:rsidRPr="00EC7BC2" w:rsidRDefault="006F63AA" w:rsidP="00B802FF">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 xml:space="preserve">Contratista de la </w:t>
            </w:r>
            <w:r w:rsidRPr="00EC7BC2">
              <w:rPr>
                <w:rFonts w:ascii="Arial" w:eastAsia="Times New Roman" w:hAnsi="Arial" w:cs="Arial"/>
                <w:sz w:val="16"/>
                <w:szCs w:val="16"/>
                <w:lang w:eastAsia="es-CO"/>
              </w:rPr>
              <w:t>Subdirección de Gestión Contractual</w:t>
            </w:r>
          </w:p>
        </w:tc>
      </w:tr>
      <w:tr w:rsidR="006F63AA" w:rsidRPr="00EC7BC2" w14:paraId="7C0EDA4C" w14:textId="77777777" w:rsidTr="00B802FF">
        <w:trPr>
          <w:trHeight w:val="315"/>
        </w:trPr>
        <w:tc>
          <w:tcPr>
            <w:tcW w:w="810" w:type="dxa"/>
            <w:tcBorders>
              <w:top w:val="nil"/>
              <w:left w:val="nil"/>
              <w:bottom w:val="nil"/>
              <w:right w:val="nil"/>
            </w:tcBorders>
            <w:vAlign w:val="center"/>
            <w:hideMark/>
          </w:tcPr>
          <w:p w14:paraId="5E6B77EF"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Revisó: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BE4FAF1" w14:textId="59DC4CF8" w:rsidR="006F63AA" w:rsidRPr="00EC7BC2" w:rsidRDefault="00630817" w:rsidP="00B802FF">
            <w:pPr>
              <w:spacing w:after="0" w:line="240" w:lineRule="auto"/>
              <w:textAlignment w:val="baseline"/>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 xml:space="preserve">Juan David Cárdenas </w:t>
            </w:r>
            <w:r w:rsidR="006F63AA">
              <w:rPr>
                <w:rFonts w:ascii="Arial" w:eastAsia="Times New Roman" w:hAnsi="Arial" w:cs="Arial"/>
                <w:sz w:val="16"/>
                <w:szCs w:val="16"/>
                <w:lang w:val="es-ES_tradnl" w:eastAsia="es-CO"/>
              </w:rPr>
              <w:t xml:space="preserve"> </w:t>
            </w:r>
          </w:p>
          <w:p w14:paraId="1606220A" w14:textId="5E27FD12" w:rsidR="006F63AA" w:rsidRPr="00EC7BC2" w:rsidRDefault="006F63AA" w:rsidP="34DA82C5">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val="es-MX" w:eastAsia="es-CO"/>
              </w:rPr>
              <w:t xml:space="preserve">Contratista de la </w:t>
            </w:r>
            <w:r w:rsidRPr="34DA82C5">
              <w:rPr>
                <w:rFonts w:ascii="Arial" w:eastAsia="Times New Roman" w:hAnsi="Arial" w:cs="Arial"/>
                <w:sz w:val="16"/>
                <w:szCs w:val="16"/>
                <w:lang w:eastAsia="es-CO"/>
              </w:rPr>
              <w:t>Subdirección de Gestión Contractual</w:t>
            </w:r>
          </w:p>
          <w:p w14:paraId="4F69DBE5" w14:textId="739CCE93" w:rsidR="006F63AA" w:rsidRPr="00EC7BC2" w:rsidRDefault="5620BA2A" w:rsidP="34DA82C5">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Gabriel Mendoza</w:t>
            </w:r>
          </w:p>
          <w:p w14:paraId="7A7BD7B3" w14:textId="4A534F05" w:rsidR="006F63AA" w:rsidRPr="00EC7BC2" w:rsidRDefault="006F63AA" w:rsidP="00B802FF">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 xml:space="preserve">Contratista de la </w:t>
            </w:r>
            <w:r w:rsidRPr="26F7A1AA">
              <w:rPr>
                <w:rFonts w:ascii="Arial" w:eastAsia="Times New Roman" w:hAnsi="Arial" w:cs="Arial"/>
                <w:sz w:val="16"/>
                <w:szCs w:val="16"/>
                <w:lang w:eastAsia="es-CO"/>
              </w:rPr>
              <w:t>Subdirección de Gestión Contractual</w:t>
            </w:r>
          </w:p>
        </w:tc>
      </w:tr>
      <w:tr w:rsidR="006F63AA" w:rsidRPr="00EC7BC2" w14:paraId="65B17BCE" w14:textId="77777777" w:rsidTr="00B802FF">
        <w:trPr>
          <w:trHeight w:val="300"/>
        </w:trPr>
        <w:tc>
          <w:tcPr>
            <w:tcW w:w="810" w:type="dxa"/>
            <w:tcBorders>
              <w:top w:val="nil"/>
              <w:left w:val="nil"/>
              <w:bottom w:val="nil"/>
              <w:right w:val="nil"/>
            </w:tcBorders>
            <w:vAlign w:val="center"/>
            <w:hideMark/>
          </w:tcPr>
          <w:p w14:paraId="60D98194"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Aprobó: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134D013B" w14:textId="77777777" w:rsidR="006F63AA" w:rsidRPr="00EC7BC2" w:rsidRDefault="006F63AA" w:rsidP="00B802FF">
            <w:pPr>
              <w:spacing w:after="0" w:line="240" w:lineRule="auto"/>
              <w:textAlignment w:val="baseline"/>
              <w:rPr>
                <w:rFonts w:ascii="Arial" w:eastAsia="Times New Roman" w:hAnsi="Arial" w:cs="Arial"/>
                <w:sz w:val="16"/>
                <w:szCs w:val="16"/>
                <w:lang w:val="es-ES_tradnl" w:eastAsia="es-CO"/>
              </w:rPr>
            </w:pPr>
            <w:r w:rsidRPr="00EC7BC2">
              <w:rPr>
                <w:rFonts w:ascii="Arial" w:eastAsia="Times New Roman" w:hAnsi="Arial" w:cs="Arial"/>
                <w:sz w:val="16"/>
                <w:szCs w:val="16"/>
                <w:lang w:val="es-ES_tradnl" w:eastAsia="es-CO"/>
              </w:rPr>
              <w:t>Nohelia del Carmen Zawady Palacio</w:t>
            </w:r>
          </w:p>
          <w:p w14:paraId="0C34EE95" w14:textId="77777777" w:rsidR="006F63AA" w:rsidRPr="00EC7BC2" w:rsidRDefault="006F63AA" w:rsidP="00B802FF">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ES_tradnl" w:eastAsia="es-CO"/>
              </w:rPr>
              <w:t>Subdirectora de Gestión Contractual ANCP-CCE</w:t>
            </w:r>
          </w:p>
        </w:tc>
      </w:tr>
      <w:bookmarkEnd w:id="2"/>
    </w:tbl>
    <w:p w14:paraId="64E77815" w14:textId="77777777" w:rsidR="006F63AA" w:rsidRPr="00EC7BC2" w:rsidRDefault="006F63AA" w:rsidP="006F63AA">
      <w:pPr>
        <w:spacing w:after="0" w:line="276" w:lineRule="auto"/>
        <w:jc w:val="both"/>
        <w:rPr>
          <w:rFonts w:ascii="Arial" w:hAnsi="Arial" w:cs="Arial"/>
          <w:sz w:val="21"/>
          <w:szCs w:val="21"/>
          <w:lang w:val="es-ES_tradnl"/>
        </w:rPr>
      </w:pPr>
    </w:p>
    <w:bookmarkEnd w:id="0"/>
    <w:p w14:paraId="0465BA6D" w14:textId="32C15F75" w:rsidR="00E245AB" w:rsidRPr="00322A85" w:rsidRDefault="00E245AB" w:rsidP="00E245AB">
      <w:pPr>
        <w:spacing w:after="0"/>
        <w:rPr>
          <w:rFonts w:ascii="Century Gothic" w:hAnsi="Century Gothic"/>
        </w:rPr>
      </w:pPr>
    </w:p>
    <w:sectPr w:rsidR="00E245AB" w:rsidRPr="00322A85" w:rsidSect="002E4FD9">
      <w:headerReference w:type="default" r:id="rId11"/>
      <w:footerReference w:type="default" r:id="rId12"/>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93C8" w14:textId="77777777" w:rsidR="00EC304F" w:rsidRDefault="00EC304F" w:rsidP="004A1847">
      <w:pPr>
        <w:spacing w:after="0" w:line="240" w:lineRule="auto"/>
      </w:pPr>
      <w:r>
        <w:separator/>
      </w:r>
    </w:p>
  </w:endnote>
  <w:endnote w:type="continuationSeparator" w:id="0">
    <w:p w14:paraId="7C3E1579" w14:textId="77777777" w:rsidR="00EC304F" w:rsidRDefault="00EC304F" w:rsidP="004A1847">
      <w:pPr>
        <w:spacing w:after="0" w:line="240" w:lineRule="auto"/>
      </w:pPr>
      <w:r>
        <w:continuationSeparator/>
      </w:r>
    </w:p>
  </w:endnote>
  <w:endnote w:type="continuationNotice" w:id="1">
    <w:p w14:paraId="224BE69B" w14:textId="77777777" w:rsidR="00EC304F" w:rsidRDefault="00EC3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7E87" w14:textId="77777777" w:rsidR="00EC304F" w:rsidRDefault="00EC304F" w:rsidP="004A1847">
      <w:pPr>
        <w:spacing w:after="0" w:line="240" w:lineRule="auto"/>
      </w:pPr>
      <w:r>
        <w:separator/>
      </w:r>
    </w:p>
  </w:footnote>
  <w:footnote w:type="continuationSeparator" w:id="0">
    <w:p w14:paraId="506720F1" w14:textId="77777777" w:rsidR="00EC304F" w:rsidRDefault="00EC304F" w:rsidP="004A1847">
      <w:pPr>
        <w:spacing w:after="0" w:line="240" w:lineRule="auto"/>
      </w:pPr>
      <w:r>
        <w:continuationSeparator/>
      </w:r>
    </w:p>
  </w:footnote>
  <w:footnote w:type="continuationNotice" w:id="1">
    <w:p w14:paraId="63729125" w14:textId="77777777" w:rsidR="00EC304F" w:rsidRDefault="00EC304F">
      <w:pPr>
        <w:spacing w:after="0" w:line="240" w:lineRule="auto"/>
      </w:pPr>
    </w:p>
  </w:footnote>
  <w:footnote w:id="2">
    <w:p w14:paraId="1B8DCE13" w14:textId="77777777" w:rsidR="005314EB" w:rsidRPr="008143FD" w:rsidRDefault="005314EB" w:rsidP="005314EB">
      <w:pPr>
        <w:pStyle w:val="Textonotapie"/>
        <w:ind w:firstLine="708"/>
        <w:contextualSpacing/>
        <w:jc w:val="both"/>
        <w:rPr>
          <w:rStyle w:val="Hipervnculo"/>
          <w:rFonts w:ascii="Arial" w:hAnsi="Arial" w:cs="Arial"/>
          <w:sz w:val="18"/>
          <w:szCs w:val="18"/>
          <w:lang w:val="es-CO"/>
        </w:rPr>
      </w:pPr>
      <w:r w:rsidRPr="008143FD">
        <w:rPr>
          <w:rStyle w:val="Refdenotaalpie"/>
          <w:rFonts w:ascii="Arial" w:hAnsi="Arial" w:cs="Arial"/>
          <w:sz w:val="18"/>
          <w:szCs w:val="18"/>
        </w:rPr>
        <w:footnoteRef/>
      </w:r>
      <w:r w:rsidRPr="008143FD">
        <w:rPr>
          <w:rFonts w:ascii="Arial" w:hAnsi="Arial" w:cs="Arial"/>
          <w:sz w:val="18"/>
          <w:szCs w:val="18"/>
        </w:rPr>
        <w:t xml:space="preserve"> </w:t>
      </w:r>
      <w:r w:rsidRPr="008143FD">
        <w:rPr>
          <w:rFonts w:ascii="Arial" w:hAnsi="Arial" w:cs="Arial"/>
          <w:sz w:val="18"/>
          <w:szCs w:val="18"/>
          <w:lang w:val="es-CO"/>
        </w:rPr>
        <w:t xml:space="preserve">Estos conceptos pueden ser consultados en: </w:t>
      </w:r>
      <w:hyperlink r:id="rId1" w:history="1">
        <w:r w:rsidRPr="008143FD">
          <w:rPr>
            <w:rStyle w:val="Hipervnculo"/>
            <w:rFonts w:ascii="Arial" w:hAnsi="Arial" w:cs="Arial"/>
            <w:sz w:val="18"/>
            <w:szCs w:val="18"/>
          </w:rPr>
          <w:t>https://relatoria.colombiacompra.gov.co/busqueda/conceptos#</w:t>
        </w:r>
      </w:hyperlink>
    </w:p>
    <w:p w14:paraId="2A276B25" w14:textId="77777777" w:rsidR="005314EB" w:rsidRPr="008143FD" w:rsidRDefault="005314EB" w:rsidP="005314EB">
      <w:pPr>
        <w:pStyle w:val="Textonotapie"/>
        <w:contextualSpacing/>
        <w:jc w:val="both"/>
        <w:rPr>
          <w:rFonts w:ascii="Arial" w:hAnsi="Arial" w:cs="Arial"/>
          <w:sz w:val="18"/>
          <w:szCs w:val="18"/>
          <w:lang w:val="es-CO"/>
        </w:rPr>
      </w:pPr>
    </w:p>
  </w:footnote>
  <w:footnote w:id="3">
    <w:p w14:paraId="2F0E922E" w14:textId="77777777" w:rsidR="00ED6A9D" w:rsidRPr="008143FD" w:rsidRDefault="00ED6A9D" w:rsidP="00ED6A9D">
      <w:pPr>
        <w:pStyle w:val="Textonotapie"/>
        <w:ind w:firstLine="709"/>
        <w:jc w:val="both"/>
        <w:rPr>
          <w:rFonts w:ascii="Arial" w:eastAsia="Calibri" w:hAnsi="Arial" w:cs="Arial"/>
          <w:color w:val="000000" w:themeColor="text1"/>
          <w:sz w:val="18"/>
          <w:szCs w:val="18"/>
          <w:lang w:val="es-ES"/>
        </w:rPr>
      </w:pPr>
      <w:r w:rsidRPr="008143FD">
        <w:rPr>
          <w:rStyle w:val="Refdenotaalpie"/>
          <w:rFonts w:ascii="Arial" w:hAnsi="Arial" w:cs="Arial"/>
          <w:color w:val="000000" w:themeColor="text1"/>
          <w:sz w:val="18"/>
          <w:szCs w:val="18"/>
        </w:rPr>
        <w:footnoteRef/>
      </w:r>
      <w:r w:rsidRPr="008143FD">
        <w:rPr>
          <w:rFonts w:ascii="Arial" w:hAnsi="Arial" w:cs="Arial"/>
          <w:color w:val="000000" w:themeColor="text1"/>
          <w:sz w:val="18"/>
          <w:szCs w:val="18"/>
        </w:rPr>
        <w:t xml:space="preserve"> </w:t>
      </w:r>
      <w:r w:rsidRPr="008143FD">
        <w:rPr>
          <w:rFonts w:ascii="Arial" w:hAnsi="Arial" w:cs="Arial"/>
          <w:color w:val="000000" w:themeColor="text1"/>
          <w:sz w:val="18"/>
          <w:szCs w:val="18"/>
          <w:lang w:val="es-ES"/>
        </w:rPr>
        <w:t xml:space="preserve">Al respecto, conviene recordar el artículo 29 de la Ley 80 de 1993, derogado por el artículo 32 de la Ley 1150 de 2007, que establecía: </w:t>
      </w:r>
      <w:r>
        <w:rPr>
          <w:rFonts w:ascii="Arial" w:hAnsi="Arial" w:cs="Arial"/>
          <w:color w:val="000000" w:themeColor="text1"/>
          <w:sz w:val="18"/>
          <w:szCs w:val="18"/>
          <w:lang w:val="es-ES"/>
        </w:rPr>
        <w:t>“</w:t>
      </w:r>
      <w:r w:rsidRPr="008143FD">
        <w:rPr>
          <w:rFonts w:ascii="Arial" w:hAnsi="Arial" w:cs="Arial"/>
          <w:color w:val="000000" w:themeColor="text1"/>
          <w:sz w:val="18"/>
          <w:szCs w:val="18"/>
          <w:lang w:val="es-ES"/>
        </w:rPr>
        <w:t>La selección de contratistas será objetiva.</w:t>
      </w:r>
    </w:p>
    <w:p w14:paraId="5D0AB597" w14:textId="77777777" w:rsidR="00ED6A9D" w:rsidRPr="008143FD" w:rsidRDefault="00ED6A9D" w:rsidP="00ED6A9D">
      <w:pPr>
        <w:pStyle w:val="Textonotapie"/>
        <w:ind w:firstLine="709"/>
        <w:jc w:val="both"/>
        <w:rPr>
          <w:rFonts w:ascii="Arial" w:hAnsi="Arial" w:cs="Arial"/>
          <w:color w:val="000000" w:themeColor="text1"/>
          <w:sz w:val="18"/>
          <w:szCs w:val="18"/>
          <w:lang w:val="es-ES"/>
        </w:rPr>
      </w:pPr>
      <w:r w:rsidRPr="008143FD">
        <w:rPr>
          <w:rFonts w:ascii="Arial" w:hAnsi="Arial" w:cs="Arial"/>
          <w:color w:val="000000" w:themeColor="text1"/>
          <w:sz w:val="18"/>
          <w:szCs w:val="18"/>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7EE55B9C" w14:textId="77777777" w:rsidR="00ED6A9D" w:rsidRPr="008143FD" w:rsidRDefault="00ED6A9D" w:rsidP="00ED6A9D">
      <w:pPr>
        <w:pStyle w:val="Textonotapie"/>
        <w:ind w:firstLine="709"/>
        <w:jc w:val="both"/>
        <w:rPr>
          <w:rFonts w:ascii="Arial" w:hAnsi="Arial" w:cs="Arial"/>
          <w:color w:val="000000" w:themeColor="text1"/>
          <w:sz w:val="18"/>
          <w:szCs w:val="18"/>
          <w:lang w:val="es-ES"/>
        </w:rPr>
      </w:pPr>
      <w:r w:rsidRPr="008143FD">
        <w:rPr>
          <w:rFonts w:ascii="Arial" w:hAnsi="Arial" w:cs="Arial"/>
          <w:color w:val="000000" w:themeColor="text1"/>
          <w:sz w:val="18"/>
          <w:szCs w:val="18"/>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8143FD">
        <w:rPr>
          <w:rFonts w:ascii="Arial" w:hAnsi="Arial" w:cs="Arial"/>
          <w:color w:val="000000" w:themeColor="text1"/>
          <w:sz w:val="18"/>
          <w:szCs w:val="18"/>
          <w:lang w:val="es-ES"/>
        </w:rPr>
        <w:t>pliegos,</w:t>
      </w:r>
      <w:proofErr w:type="gramEnd"/>
      <w:r w:rsidRPr="008143FD">
        <w:rPr>
          <w:rFonts w:ascii="Arial" w:hAnsi="Arial" w:cs="Arial"/>
          <w:color w:val="000000" w:themeColor="text1"/>
          <w:sz w:val="18"/>
          <w:szCs w:val="18"/>
          <w:lang w:val="es-ES"/>
        </w:rPr>
        <w:t xml:space="preserve"> no será objeto de evaluación</w:t>
      </w:r>
      <w:r>
        <w:rPr>
          <w:rFonts w:ascii="Arial" w:hAnsi="Arial" w:cs="Arial"/>
          <w:color w:val="000000" w:themeColor="text1"/>
          <w:sz w:val="18"/>
          <w:szCs w:val="18"/>
          <w:lang w:val="es-ES"/>
        </w:rPr>
        <w:t>”</w:t>
      </w:r>
      <w:r w:rsidRPr="008143FD">
        <w:rPr>
          <w:rFonts w:ascii="Arial" w:hAnsi="Arial" w:cs="Arial"/>
          <w:color w:val="000000" w:themeColor="text1"/>
          <w:sz w:val="18"/>
          <w:szCs w:val="18"/>
          <w:lang w:val="es-ES"/>
        </w:rPr>
        <w:t>.</w:t>
      </w:r>
    </w:p>
    <w:p w14:paraId="3FF8763E" w14:textId="77777777" w:rsidR="00ED6A9D" w:rsidRPr="008143FD" w:rsidRDefault="00ED6A9D" w:rsidP="00ED6A9D">
      <w:pPr>
        <w:pStyle w:val="Textonotapie"/>
        <w:ind w:firstLine="709"/>
        <w:jc w:val="both"/>
        <w:rPr>
          <w:rFonts w:ascii="Arial" w:hAnsi="Arial" w:cs="Arial"/>
          <w:color w:val="000000" w:themeColor="text1"/>
          <w:sz w:val="18"/>
          <w:szCs w:val="18"/>
          <w:lang w:val="es-ES"/>
        </w:rPr>
      </w:pPr>
      <w:r>
        <w:rPr>
          <w:rFonts w:ascii="Arial" w:hAnsi="Arial" w:cs="Arial"/>
          <w:color w:val="000000" w:themeColor="text1"/>
          <w:sz w:val="18"/>
          <w:szCs w:val="18"/>
          <w:lang w:val="es-ES"/>
        </w:rPr>
        <w:t>“</w:t>
      </w:r>
      <w:r w:rsidRPr="008143FD">
        <w:rPr>
          <w:rFonts w:ascii="Arial" w:hAnsi="Arial" w:cs="Arial"/>
          <w:color w:val="000000" w:themeColor="text1"/>
          <w:sz w:val="18"/>
          <w:szCs w:val="18"/>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9DD0B0E" w14:textId="77777777" w:rsidR="00ED6A9D" w:rsidRPr="0088589E" w:rsidRDefault="00ED6A9D" w:rsidP="00ED6A9D">
      <w:pPr>
        <w:pStyle w:val="Textonotapie"/>
        <w:ind w:firstLine="709"/>
        <w:jc w:val="both"/>
        <w:rPr>
          <w:rFonts w:ascii="Geomanist Light" w:hAnsi="Geomanist Light" w:cs="Arial"/>
          <w:color w:val="000000" w:themeColor="text1"/>
          <w:sz w:val="18"/>
          <w:szCs w:val="18"/>
          <w:lang w:val="es-ES"/>
        </w:rPr>
      </w:pPr>
      <w:r w:rsidRPr="008143FD">
        <w:rPr>
          <w:rFonts w:ascii="Arial" w:hAnsi="Arial" w:cs="Arial"/>
          <w:color w:val="000000" w:themeColor="text1"/>
          <w:sz w:val="18"/>
          <w:szCs w:val="18"/>
          <w:lang w:val="es-ES"/>
        </w:rPr>
        <w:t>En caso de comparación de propuestas nacionales y extranjeras, se incluirán los costos necesarios para la entrega del producto terminado en el lugar de su utilización</w:t>
      </w:r>
      <w:r>
        <w:rPr>
          <w:rFonts w:ascii="Arial" w:hAnsi="Arial" w:cs="Arial"/>
          <w:color w:val="000000" w:themeColor="text1"/>
          <w:sz w:val="18"/>
          <w:szCs w:val="18"/>
          <w:lang w:val="es-ES"/>
        </w:rPr>
        <w:t>”</w:t>
      </w:r>
      <w:r w:rsidRPr="008143FD">
        <w:rPr>
          <w:rFonts w:ascii="Arial" w:hAnsi="Arial" w:cs="Arial"/>
          <w:color w:val="000000" w:themeColor="text1"/>
          <w:sz w:val="18"/>
          <w:szCs w:val="18"/>
          <w:lang w:val="es-ES"/>
        </w:rPr>
        <w:t>.</w:t>
      </w:r>
    </w:p>
  </w:footnote>
  <w:footnote w:id="4">
    <w:p w14:paraId="6FFDEC74" w14:textId="77777777" w:rsidR="00ED6A9D" w:rsidRPr="0088589E" w:rsidRDefault="00ED6A9D" w:rsidP="00ED6A9D">
      <w:pPr>
        <w:pStyle w:val="Textonotapie"/>
        <w:ind w:firstLine="708"/>
        <w:jc w:val="both"/>
        <w:rPr>
          <w:rFonts w:ascii="Geomanist Light" w:hAnsi="Geomanist Light" w:cs="Arial"/>
          <w:sz w:val="18"/>
          <w:szCs w:val="18"/>
          <w:lang w:val="es-CO"/>
        </w:rPr>
      </w:pPr>
      <w:r w:rsidRPr="0088589E">
        <w:rPr>
          <w:rStyle w:val="Refdenotaalpie"/>
          <w:rFonts w:ascii="Geomanist Light" w:hAnsi="Geomanist Light" w:cs="Arial"/>
          <w:sz w:val="18"/>
          <w:szCs w:val="18"/>
        </w:rPr>
        <w:footnoteRef/>
      </w:r>
      <w:r w:rsidRPr="0088589E">
        <w:rPr>
          <w:rFonts w:ascii="Geomanist Light" w:hAnsi="Geomanist Light" w:cs="Arial"/>
          <w:sz w:val="18"/>
          <w:szCs w:val="18"/>
        </w:rPr>
        <w:t xml:space="preserve"> </w:t>
      </w:r>
      <w:r w:rsidRPr="0088589E">
        <w:rPr>
          <w:rFonts w:ascii="Geomanist Light" w:hAnsi="Geomanist Light" w:cs="Arial"/>
          <w:sz w:val="18"/>
          <w:szCs w:val="18"/>
          <w:lang w:val="es-CO"/>
        </w:rPr>
        <w:t>DÁVILA VINUEZA, Luis Guillermo. Régimen jurídico de la contratación estatal. Tercera edición, Bogotá: Legis, 2016. p. 355.</w:t>
      </w:r>
    </w:p>
    <w:p w14:paraId="7B650C35" w14:textId="77777777" w:rsidR="00ED6A9D" w:rsidRPr="0088589E" w:rsidRDefault="00ED6A9D" w:rsidP="00ED6A9D">
      <w:pPr>
        <w:pStyle w:val="Textonotapie"/>
        <w:ind w:firstLine="708"/>
        <w:jc w:val="both"/>
        <w:rPr>
          <w:rFonts w:ascii="Geomanist Light" w:hAnsi="Geomanist Light" w:cs="Arial"/>
          <w:sz w:val="18"/>
          <w:szCs w:val="18"/>
          <w:lang w:val="es-CO"/>
        </w:rPr>
      </w:pPr>
    </w:p>
  </w:footnote>
  <w:footnote w:id="5">
    <w:p w14:paraId="6E924703" w14:textId="77777777" w:rsidR="00ED6A9D" w:rsidRPr="00DB7219" w:rsidRDefault="00ED6A9D" w:rsidP="00ED6A9D">
      <w:pPr>
        <w:pStyle w:val="Textonotapie"/>
        <w:ind w:firstLine="708"/>
        <w:jc w:val="both"/>
        <w:rPr>
          <w:rFonts w:ascii="Arial" w:hAnsi="Arial" w:cs="Arial"/>
          <w:sz w:val="18"/>
          <w:szCs w:val="18"/>
          <w:lang w:val="es-ES_tradnl"/>
        </w:rPr>
      </w:pPr>
      <w:r w:rsidRPr="00DB7219">
        <w:rPr>
          <w:rStyle w:val="Refdenotaalpie"/>
          <w:rFonts w:ascii="Arial" w:hAnsi="Arial" w:cs="Arial"/>
          <w:sz w:val="18"/>
          <w:szCs w:val="18"/>
        </w:rPr>
        <w:footnoteRef/>
      </w:r>
      <w:r w:rsidRPr="00DB7219">
        <w:rPr>
          <w:rFonts w:ascii="Arial" w:hAnsi="Arial" w:cs="Arial"/>
          <w:sz w:val="18"/>
          <w:szCs w:val="18"/>
        </w:rPr>
        <w:t xml:space="preserve"> </w:t>
      </w:r>
      <w:r w:rsidRPr="00DB7219">
        <w:rPr>
          <w:rFonts w:ascii="Arial" w:hAnsi="Arial" w:cs="Arial"/>
          <w:sz w:val="18"/>
          <w:szCs w:val="18"/>
          <w:lang w:val="es-ES_tradnl"/>
        </w:rPr>
        <w:t>RODRÍGUEZ TAMAYO, Mauricio F. Evaluación y rechazo de ofertas en la Ley 80 de 1993. Primera edición. Medellín: Librería Jurídica Sánchez, 2016. pp. 110-111.</w:t>
      </w:r>
    </w:p>
    <w:p w14:paraId="7CBB1E5F" w14:textId="77777777" w:rsidR="00ED6A9D" w:rsidRPr="00DB7219" w:rsidRDefault="00ED6A9D" w:rsidP="00ED6A9D">
      <w:pPr>
        <w:pStyle w:val="Textonotapie"/>
        <w:ind w:firstLine="708"/>
        <w:jc w:val="both"/>
        <w:rPr>
          <w:rFonts w:ascii="Arial" w:hAnsi="Arial" w:cs="Arial"/>
          <w:sz w:val="18"/>
          <w:szCs w:val="18"/>
          <w:lang w:val="es-CO"/>
        </w:rPr>
      </w:pPr>
    </w:p>
  </w:footnote>
  <w:footnote w:id="6">
    <w:p w14:paraId="31890C16" w14:textId="77777777" w:rsidR="00ED6A9D" w:rsidRPr="00DB7219" w:rsidRDefault="00ED6A9D" w:rsidP="00ED6A9D">
      <w:pPr>
        <w:pStyle w:val="Textonotapie"/>
        <w:ind w:firstLine="708"/>
        <w:jc w:val="both"/>
        <w:rPr>
          <w:rFonts w:ascii="Arial" w:hAnsi="Arial" w:cs="Arial"/>
          <w:sz w:val="18"/>
          <w:szCs w:val="18"/>
        </w:rPr>
      </w:pPr>
      <w:r w:rsidRPr="00DB7219">
        <w:rPr>
          <w:rStyle w:val="Refdenotaalpie"/>
          <w:rFonts w:ascii="Arial" w:hAnsi="Arial" w:cs="Arial"/>
          <w:sz w:val="18"/>
          <w:szCs w:val="18"/>
        </w:rPr>
        <w:footnoteRef/>
      </w:r>
      <w:r w:rsidRPr="00DB7219">
        <w:rPr>
          <w:rFonts w:ascii="Arial" w:hAnsi="Arial" w:cs="Arial"/>
          <w:sz w:val="18"/>
          <w:szCs w:val="18"/>
        </w:rPr>
        <w:t xml:space="preserve"> EXPÓSITO VELEZ, Juan C., El deber de selección objetiva, en: Del contrato estatal a los sistemas de compras públicas, por COVILLA MARTINEZ Juan C. y LOZANO VILLEGAS Germán (Eds.). Universidad Externado de Colombia, Bogotá, 2019. págs. 118-184.</w:t>
      </w:r>
    </w:p>
    <w:p w14:paraId="71A17F48" w14:textId="77777777" w:rsidR="00ED6A9D" w:rsidRPr="00DB7219" w:rsidRDefault="00ED6A9D" w:rsidP="00ED6A9D">
      <w:pPr>
        <w:pStyle w:val="Textonotapie"/>
        <w:ind w:firstLine="708"/>
        <w:jc w:val="both"/>
        <w:rPr>
          <w:rFonts w:ascii="Arial" w:hAnsi="Arial" w:cs="Arial"/>
          <w:sz w:val="18"/>
          <w:szCs w:val="18"/>
          <w:lang w:val="es-CO"/>
        </w:rPr>
      </w:pPr>
    </w:p>
  </w:footnote>
  <w:footnote w:id="7">
    <w:p w14:paraId="5B9CDE72" w14:textId="77777777" w:rsidR="00ED6A9D" w:rsidRPr="0088589E" w:rsidRDefault="00ED6A9D" w:rsidP="00ED6A9D">
      <w:pPr>
        <w:pStyle w:val="Textonotapie"/>
        <w:ind w:firstLine="708"/>
        <w:rPr>
          <w:rFonts w:ascii="Geomanist Light" w:hAnsi="Geomanist Light" w:cs="Arial"/>
          <w:sz w:val="18"/>
          <w:szCs w:val="18"/>
          <w:lang w:val="es-CO"/>
        </w:rPr>
      </w:pPr>
      <w:r w:rsidRPr="00DB7219">
        <w:rPr>
          <w:rStyle w:val="Refdenotaalpie"/>
          <w:rFonts w:ascii="Arial" w:hAnsi="Arial" w:cs="Arial"/>
          <w:sz w:val="18"/>
          <w:szCs w:val="18"/>
        </w:rPr>
        <w:footnoteRef/>
      </w:r>
      <w:r w:rsidRPr="00DB7219">
        <w:rPr>
          <w:rFonts w:ascii="Arial" w:hAnsi="Arial" w:cs="Arial"/>
          <w:i/>
          <w:iCs/>
          <w:sz w:val="18"/>
          <w:szCs w:val="18"/>
        </w:rPr>
        <w:t xml:space="preserve"> </w:t>
      </w:r>
      <w:r w:rsidRPr="00DB7219">
        <w:rPr>
          <w:rFonts w:ascii="Arial" w:hAnsi="Arial" w:cs="Arial"/>
          <w:i/>
          <w:iCs/>
          <w:sz w:val="18"/>
          <w:szCs w:val="18"/>
          <w:lang w:val="es-CO"/>
        </w:rPr>
        <w:t>Ibídem.</w:t>
      </w:r>
    </w:p>
  </w:footnote>
  <w:footnote w:id="8">
    <w:p w14:paraId="2C0EADD5" w14:textId="77777777" w:rsidR="00ED6A9D" w:rsidRPr="00C11BA5" w:rsidRDefault="00ED6A9D" w:rsidP="00ED6A9D">
      <w:pPr>
        <w:ind w:firstLine="708"/>
        <w:jc w:val="both"/>
        <w:rPr>
          <w:rFonts w:ascii="Arial" w:hAnsi="Arial" w:cs="Arial"/>
          <w:sz w:val="18"/>
          <w:szCs w:val="18"/>
          <w:lang w:eastAsia="es-CO"/>
        </w:rPr>
      </w:pPr>
      <w:r w:rsidRPr="00C11BA5">
        <w:rPr>
          <w:rStyle w:val="Refdenotaalpie"/>
          <w:rFonts w:ascii="Arial" w:hAnsi="Arial" w:cs="Arial"/>
          <w:sz w:val="18"/>
          <w:szCs w:val="18"/>
        </w:rPr>
        <w:footnoteRef/>
      </w:r>
      <w:r w:rsidRPr="00C11BA5">
        <w:rPr>
          <w:rFonts w:ascii="Arial" w:hAnsi="Arial" w:cs="Arial"/>
          <w:sz w:val="18"/>
          <w:szCs w:val="18"/>
        </w:rPr>
        <w:t xml:space="preserve"> Decreto 1082 de 2015 </w:t>
      </w:r>
      <w:r>
        <w:rPr>
          <w:rFonts w:ascii="Arial" w:hAnsi="Arial" w:cs="Arial"/>
          <w:sz w:val="18"/>
          <w:szCs w:val="18"/>
        </w:rPr>
        <w:t>“</w:t>
      </w:r>
      <w:r w:rsidRPr="00C11BA5">
        <w:rPr>
          <w:rFonts w:ascii="Arial" w:hAnsi="Arial" w:cs="Arial"/>
          <w:sz w:val="18"/>
          <w:szCs w:val="18"/>
          <w:lang w:eastAsia="es-CO"/>
        </w:rPr>
        <w:t>Artículo 2.2.1.1.2.2.2. Ofrecimiento más favorable. La Entidad Estatal debe determinar la oferta más favorable teniendo en cuenta las normas aplicables a cada modalidad de selección del contratista. </w:t>
      </w:r>
    </w:p>
    <w:p w14:paraId="4A2F85DE" w14:textId="77777777" w:rsidR="00ED6A9D" w:rsidRPr="00C11BA5" w:rsidRDefault="00ED6A9D" w:rsidP="00ED6A9D">
      <w:pPr>
        <w:jc w:val="both"/>
        <w:rPr>
          <w:rFonts w:ascii="Arial" w:hAnsi="Arial" w:cs="Arial"/>
          <w:sz w:val="18"/>
          <w:szCs w:val="18"/>
          <w:lang w:eastAsia="es-CO"/>
        </w:rPr>
      </w:pPr>
      <w:r w:rsidRPr="00C11BA5">
        <w:rPr>
          <w:rFonts w:ascii="Arial" w:hAnsi="Arial" w:cs="Arial"/>
          <w:sz w:val="18"/>
          <w:szCs w:val="18"/>
          <w:lang w:eastAsia="es-CO"/>
        </w:rPr>
        <w:t>  </w:t>
      </w:r>
      <w:r w:rsidRPr="00C11BA5">
        <w:rPr>
          <w:rFonts w:ascii="Arial" w:hAnsi="Arial" w:cs="Arial"/>
          <w:sz w:val="18"/>
          <w:szCs w:val="18"/>
          <w:lang w:eastAsia="es-CO"/>
        </w:rPr>
        <w:tab/>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1C2F660D" w14:textId="77777777" w:rsidR="00ED6A9D" w:rsidRPr="00C11BA5" w:rsidRDefault="00ED6A9D" w:rsidP="00ED6A9D">
      <w:pPr>
        <w:jc w:val="both"/>
        <w:rPr>
          <w:rFonts w:ascii="Arial" w:hAnsi="Arial" w:cs="Arial"/>
          <w:sz w:val="18"/>
          <w:szCs w:val="18"/>
          <w:lang w:eastAsia="es-CO"/>
        </w:rPr>
      </w:pPr>
      <w:r w:rsidRPr="00C11BA5">
        <w:rPr>
          <w:rFonts w:ascii="Arial" w:hAnsi="Arial" w:cs="Arial"/>
          <w:sz w:val="18"/>
          <w:szCs w:val="18"/>
          <w:lang w:eastAsia="es-CO"/>
        </w:rPr>
        <w:t>  </w:t>
      </w:r>
      <w:r w:rsidRPr="00C11BA5">
        <w:rPr>
          <w:rFonts w:ascii="Arial" w:hAnsi="Arial" w:cs="Arial"/>
          <w:sz w:val="18"/>
          <w:szCs w:val="18"/>
          <w:lang w:eastAsia="es-CO"/>
        </w:rPr>
        <w:tab/>
        <w:t>1. Las condiciones técnicas y económicas mínimas de la oferta. </w:t>
      </w:r>
    </w:p>
    <w:p w14:paraId="616AB060" w14:textId="77777777" w:rsidR="00ED6A9D" w:rsidRPr="00C11BA5" w:rsidRDefault="00ED6A9D" w:rsidP="00ED6A9D">
      <w:pPr>
        <w:jc w:val="both"/>
        <w:rPr>
          <w:rFonts w:ascii="Arial" w:hAnsi="Arial" w:cs="Arial"/>
          <w:sz w:val="18"/>
          <w:szCs w:val="18"/>
          <w:lang w:eastAsia="es-CO"/>
        </w:rPr>
      </w:pPr>
      <w:r w:rsidRPr="00C11BA5">
        <w:rPr>
          <w:rFonts w:ascii="Arial" w:hAnsi="Arial" w:cs="Arial"/>
          <w:sz w:val="18"/>
          <w:szCs w:val="18"/>
          <w:lang w:eastAsia="es-CO"/>
        </w:rPr>
        <w:t>  </w:t>
      </w:r>
      <w:r w:rsidRPr="00C11BA5">
        <w:rPr>
          <w:rFonts w:ascii="Arial" w:hAnsi="Arial" w:cs="Arial"/>
          <w:sz w:val="18"/>
          <w:szCs w:val="18"/>
          <w:lang w:eastAsia="es-CO"/>
        </w:rPr>
        <w:tab/>
        <w:t>2. Las condiciones técnicas adicionales que representan ventajas de calidad o de funcionamiento, tales como el uso de tecnología o materiales que generen mayor eficiencia, rendimiento o duración del bien, obra o servicio. </w:t>
      </w:r>
    </w:p>
    <w:p w14:paraId="54FD40CB" w14:textId="77777777" w:rsidR="00ED6A9D" w:rsidRPr="00C11BA5" w:rsidRDefault="00ED6A9D" w:rsidP="00ED6A9D">
      <w:pPr>
        <w:jc w:val="both"/>
        <w:rPr>
          <w:rFonts w:ascii="Arial" w:hAnsi="Arial" w:cs="Arial"/>
          <w:sz w:val="18"/>
          <w:szCs w:val="18"/>
          <w:lang w:eastAsia="es-CO"/>
        </w:rPr>
      </w:pPr>
      <w:r w:rsidRPr="00C11BA5">
        <w:rPr>
          <w:rFonts w:ascii="Arial" w:hAnsi="Arial" w:cs="Arial"/>
          <w:sz w:val="18"/>
          <w:szCs w:val="18"/>
          <w:lang w:eastAsia="es-CO"/>
        </w:rPr>
        <w:t>  </w:t>
      </w:r>
      <w:r w:rsidRPr="00C11BA5">
        <w:rPr>
          <w:rFonts w:ascii="Arial" w:hAnsi="Arial" w:cs="Arial"/>
          <w:sz w:val="18"/>
          <w:szCs w:val="18"/>
          <w:lang w:eastAsia="es-CO"/>
        </w:rPr>
        <w:tab/>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2AB977F" w14:textId="77777777" w:rsidR="00ED6A9D" w:rsidRPr="00C11BA5" w:rsidRDefault="00ED6A9D" w:rsidP="00ED6A9D">
      <w:pPr>
        <w:jc w:val="both"/>
        <w:rPr>
          <w:rFonts w:ascii="Arial" w:hAnsi="Arial" w:cs="Arial"/>
          <w:sz w:val="18"/>
          <w:szCs w:val="18"/>
          <w:lang w:eastAsia="es-CO"/>
        </w:rPr>
      </w:pPr>
      <w:r w:rsidRPr="00C11BA5">
        <w:rPr>
          <w:rFonts w:ascii="Arial" w:hAnsi="Arial" w:cs="Arial"/>
          <w:sz w:val="18"/>
          <w:szCs w:val="18"/>
          <w:lang w:eastAsia="es-CO"/>
        </w:rPr>
        <w:t>  </w:t>
      </w:r>
      <w:r w:rsidRPr="00C11BA5">
        <w:rPr>
          <w:rFonts w:ascii="Arial" w:hAnsi="Arial" w:cs="Arial"/>
          <w:sz w:val="18"/>
          <w:szCs w:val="18"/>
          <w:lang w:eastAsia="es-CO"/>
        </w:rPr>
        <w:tab/>
        <w:t>4. El valor en dinero que la Entidad Estatal asigna a cada ofrecimiento técnico o económico adicional, para permitir la ponderación de las ofertas presentadas. </w:t>
      </w:r>
    </w:p>
    <w:p w14:paraId="5BDF9E41" w14:textId="77777777" w:rsidR="00ED6A9D" w:rsidRPr="00C11BA5" w:rsidRDefault="00ED6A9D" w:rsidP="00ED6A9D">
      <w:pPr>
        <w:jc w:val="both"/>
        <w:rPr>
          <w:rFonts w:ascii="Arial" w:hAnsi="Arial" w:cs="Arial"/>
          <w:sz w:val="18"/>
          <w:szCs w:val="18"/>
          <w:lang w:eastAsia="es-CO"/>
        </w:rPr>
      </w:pPr>
      <w:r w:rsidRPr="00C11BA5">
        <w:rPr>
          <w:rFonts w:ascii="Arial" w:hAnsi="Arial" w:cs="Arial"/>
          <w:sz w:val="18"/>
          <w:szCs w:val="18"/>
          <w:lang w:eastAsia="es-CO"/>
        </w:rPr>
        <w:t>  </w:t>
      </w:r>
      <w:r w:rsidRPr="00C11BA5">
        <w:rPr>
          <w:rFonts w:ascii="Arial" w:hAnsi="Arial" w:cs="Arial"/>
          <w:sz w:val="18"/>
          <w:szCs w:val="18"/>
          <w:lang w:eastAsia="es-CO"/>
        </w:rPr>
        <w:tab/>
      </w:r>
      <w:r w:rsidRPr="00C11BA5">
        <w:rPr>
          <w:rFonts w:ascii="Arial" w:eastAsia="Calibri" w:hAnsi="Arial" w:cs="Arial"/>
          <w:bCs/>
          <w:sz w:val="18"/>
          <w:szCs w:val="18"/>
        </w:rPr>
        <w:t xml:space="preserve"> </w:t>
      </w:r>
      <w:r w:rsidRPr="00C11BA5">
        <w:rPr>
          <w:rFonts w:ascii="Arial" w:hAnsi="Arial" w:cs="Arial"/>
          <w:sz w:val="18"/>
          <w:szCs w:val="18"/>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2CC70984" w14:textId="77777777" w:rsidR="00ED6A9D" w:rsidRPr="0088589E" w:rsidRDefault="00ED6A9D" w:rsidP="00ED6A9D">
      <w:pPr>
        <w:jc w:val="both"/>
        <w:rPr>
          <w:rFonts w:ascii="Geomanist Light" w:hAnsi="Geomanist Light" w:cs="Arial"/>
          <w:sz w:val="18"/>
          <w:szCs w:val="18"/>
        </w:rPr>
      </w:pPr>
      <w:r w:rsidRPr="00C11BA5">
        <w:rPr>
          <w:rFonts w:ascii="Arial" w:hAnsi="Arial" w:cs="Arial"/>
          <w:sz w:val="18"/>
          <w:szCs w:val="18"/>
          <w:lang w:eastAsia="es-CO"/>
        </w:rPr>
        <w:t>  </w:t>
      </w:r>
      <w:r w:rsidRPr="00C11BA5">
        <w:rPr>
          <w:rFonts w:ascii="Arial" w:hAnsi="Arial" w:cs="Arial"/>
          <w:sz w:val="18"/>
          <w:szCs w:val="18"/>
          <w:lang w:eastAsia="es-CO"/>
        </w:rPr>
        <w:tab/>
        <w:t>La Entidad Estatal debe adjudicar al oferente que presentó la oferta con la mejor relación costo-beneficio y suscribir el contrato por el precio total ofrecido</w:t>
      </w:r>
      <w:r>
        <w:rPr>
          <w:rFonts w:ascii="Arial" w:hAnsi="Arial" w:cs="Arial"/>
          <w:sz w:val="18"/>
          <w:szCs w:val="18"/>
          <w:lang w:eastAsia="es-CO"/>
        </w:rPr>
        <w:t>”</w:t>
      </w:r>
      <w:r w:rsidRPr="00C11BA5">
        <w:rPr>
          <w:rFonts w:ascii="Arial" w:hAnsi="Arial" w:cs="Arial"/>
          <w:sz w:val="18"/>
          <w:szCs w:val="18"/>
          <w:lang w:eastAsia="es-CO"/>
        </w:rPr>
        <w:t>. </w:t>
      </w:r>
    </w:p>
  </w:footnote>
  <w:footnote w:id="9">
    <w:p w14:paraId="6AC4E7FD" w14:textId="77777777" w:rsidR="00ED6A9D" w:rsidRDefault="00ED6A9D" w:rsidP="00ED6A9D">
      <w:pPr>
        <w:pStyle w:val="Textonotapie"/>
        <w:ind w:firstLine="709"/>
        <w:jc w:val="both"/>
        <w:rPr>
          <w:rFonts w:ascii="Arial" w:hAnsi="Arial" w:cs="Arial"/>
          <w:color w:val="000000" w:themeColor="text1"/>
          <w:sz w:val="18"/>
          <w:szCs w:val="18"/>
        </w:rPr>
      </w:pPr>
      <w:r w:rsidRPr="00C11BA5">
        <w:rPr>
          <w:rStyle w:val="Refdenotaalpie"/>
          <w:rFonts w:ascii="Arial" w:hAnsi="Arial" w:cs="Arial"/>
          <w:color w:val="000000" w:themeColor="text1"/>
          <w:sz w:val="18"/>
          <w:szCs w:val="18"/>
        </w:rPr>
        <w:footnoteRef/>
      </w:r>
      <w:r w:rsidRPr="00C11BA5">
        <w:rPr>
          <w:rFonts w:ascii="Arial" w:hAnsi="Arial" w:cs="Arial"/>
          <w:color w:val="000000" w:themeColor="text1"/>
          <w:sz w:val="18"/>
          <w:szCs w:val="18"/>
        </w:rPr>
        <w:t xml:space="preserve"> Consejo de Estado. Sección Tercera. Subsección A. Sentencia del 25 de octubre de 2019. </w:t>
      </w:r>
      <w:proofErr w:type="spellStart"/>
      <w:r w:rsidRPr="00C11BA5">
        <w:rPr>
          <w:rFonts w:ascii="Arial" w:hAnsi="Arial" w:cs="Arial"/>
          <w:color w:val="000000" w:themeColor="text1"/>
          <w:sz w:val="18"/>
          <w:szCs w:val="18"/>
        </w:rPr>
        <w:t>Exp</w:t>
      </w:r>
      <w:proofErr w:type="spellEnd"/>
      <w:r w:rsidRPr="00C11BA5">
        <w:rPr>
          <w:rFonts w:ascii="Arial" w:hAnsi="Arial" w:cs="Arial"/>
          <w:color w:val="000000" w:themeColor="text1"/>
          <w:sz w:val="18"/>
          <w:szCs w:val="18"/>
        </w:rPr>
        <w:t>. 39.945. Consejera Ponente: María Adriana Marín.</w:t>
      </w:r>
    </w:p>
    <w:p w14:paraId="1F04C95A" w14:textId="77777777" w:rsidR="00ED6A9D" w:rsidRPr="00C11BA5" w:rsidRDefault="00ED6A9D" w:rsidP="00ED6A9D">
      <w:pPr>
        <w:pStyle w:val="Textonotapie"/>
        <w:ind w:firstLine="709"/>
        <w:jc w:val="both"/>
        <w:rPr>
          <w:rFonts w:ascii="Arial" w:hAnsi="Arial" w:cs="Arial"/>
          <w:color w:val="000000" w:themeColor="text1"/>
          <w:sz w:val="18"/>
          <w:szCs w:val="18"/>
          <w:lang w:val="es-ES"/>
        </w:rPr>
      </w:pPr>
    </w:p>
  </w:footnote>
  <w:footnote w:id="10">
    <w:p w14:paraId="15AD3FAA" w14:textId="77777777" w:rsidR="00ED6A9D" w:rsidRDefault="00ED6A9D" w:rsidP="00ED6A9D">
      <w:pPr>
        <w:pStyle w:val="Textonotapie"/>
        <w:ind w:firstLine="709"/>
        <w:jc w:val="both"/>
        <w:rPr>
          <w:rFonts w:ascii="Arial" w:hAnsi="Arial" w:cs="Arial"/>
          <w:color w:val="000000" w:themeColor="text1"/>
          <w:sz w:val="18"/>
          <w:szCs w:val="18"/>
        </w:rPr>
      </w:pPr>
      <w:r w:rsidRPr="00C11BA5">
        <w:rPr>
          <w:rStyle w:val="Refdenotaalpie"/>
          <w:rFonts w:ascii="Arial" w:hAnsi="Arial" w:cs="Arial"/>
          <w:color w:val="000000" w:themeColor="text1"/>
          <w:sz w:val="18"/>
          <w:szCs w:val="18"/>
        </w:rPr>
        <w:footnoteRef/>
      </w:r>
      <w:r w:rsidRPr="00C11BA5">
        <w:rPr>
          <w:rStyle w:val="Refdenotaalpie"/>
          <w:rFonts w:ascii="Arial" w:hAnsi="Arial" w:cs="Arial"/>
          <w:color w:val="000000" w:themeColor="text1"/>
          <w:sz w:val="18"/>
          <w:szCs w:val="18"/>
        </w:rPr>
        <w:t xml:space="preserve"> </w:t>
      </w:r>
      <w:r w:rsidRPr="00C11BA5">
        <w:rPr>
          <w:rFonts w:ascii="Arial" w:hAnsi="Arial" w:cs="Arial"/>
          <w:color w:val="000000" w:themeColor="text1"/>
          <w:sz w:val="18"/>
          <w:szCs w:val="18"/>
        </w:rPr>
        <w:t xml:space="preserve">Consejo de Estado. Sección Tercera. Subsección A. Sentencia del 5 de julio de 2018. </w:t>
      </w:r>
      <w:proofErr w:type="spellStart"/>
      <w:r w:rsidRPr="00C11BA5">
        <w:rPr>
          <w:rFonts w:ascii="Arial" w:hAnsi="Arial" w:cs="Arial"/>
          <w:color w:val="000000" w:themeColor="text1"/>
          <w:sz w:val="18"/>
          <w:szCs w:val="18"/>
        </w:rPr>
        <w:t>Exp</w:t>
      </w:r>
      <w:proofErr w:type="spellEnd"/>
      <w:r w:rsidRPr="00C11BA5">
        <w:rPr>
          <w:rFonts w:ascii="Arial" w:hAnsi="Arial" w:cs="Arial"/>
          <w:color w:val="000000" w:themeColor="text1"/>
          <w:sz w:val="18"/>
          <w:szCs w:val="18"/>
        </w:rPr>
        <w:t>. 37.834. Consejero Ponente: Carlos Alberto Zambrano Barrera.</w:t>
      </w:r>
    </w:p>
    <w:p w14:paraId="3270188D" w14:textId="77777777" w:rsidR="00ED6A9D" w:rsidRPr="0088589E" w:rsidRDefault="00ED6A9D" w:rsidP="00ED6A9D">
      <w:pPr>
        <w:pStyle w:val="Textonotapie"/>
        <w:ind w:firstLine="709"/>
        <w:jc w:val="both"/>
        <w:rPr>
          <w:rFonts w:ascii="Geomanist Light" w:hAnsi="Geomanist Light" w:cs="Arial"/>
          <w:color w:val="000000" w:themeColor="text1"/>
          <w:sz w:val="18"/>
          <w:szCs w:val="18"/>
          <w:lang w:val="es-ES"/>
        </w:rPr>
      </w:pPr>
    </w:p>
  </w:footnote>
  <w:footnote w:id="11">
    <w:p w14:paraId="0A33B4D7" w14:textId="77777777" w:rsidR="00682397" w:rsidRDefault="00682397" w:rsidP="00682397">
      <w:pPr>
        <w:pStyle w:val="Textonotapie"/>
        <w:ind w:firstLine="707"/>
        <w:rPr>
          <w:rFonts w:ascii="Arial" w:hAnsi="Arial" w:cs="Arial"/>
          <w:sz w:val="14"/>
          <w:szCs w:val="14"/>
          <w:lang w:val="es-ES"/>
        </w:rPr>
      </w:pPr>
      <w:r>
        <w:rPr>
          <w:rStyle w:val="Refdenotaalpie"/>
          <w:rFonts w:ascii="Arial" w:hAnsi="Arial" w:cs="Arial"/>
          <w:sz w:val="14"/>
          <w:szCs w:val="14"/>
        </w:rPr>
        <w:footnoteRef/>
      </w:r>
      <w:r>
        <w:rPr>
          <w:rFonts w:ascii="Arial" w:hAnsi="Arial" w:cs="Arial"/>
          <w:sz w:val="14"/>
          <w:szCs w:val="14"/>
        </w:rPr>
        <w:t xml:space="preserve"> </w:t>
      </w:r>
      <w:r>
        <w:rPr>
          <w:rFonts w:ascii="Arial" w:hAnsi="Arial" w:cs="Arial"/>
          <w:sz w:val="14"/>
          <w:szCs w:val="14"/>
          <w:lang w:val="es-ES"/>
        </w:rPr>
        <w:t xml:space="preserve">Sala de lo contencioso Administrativo. Sección tercera. Subsección B. sentencia de 3 de mayo de 2013. </w:t>
      </w:r>
      <w:proofErr w:type="spellStart"/>
      <w:r>
        <w:rPr>
          <w:rFonts w:ascii="Arial" w:hAnsi="Arial" w:cs="Arial"/>
          <w:sz w:val="14"/>
          <w:szCs w:val="14"/>
          <w:lang w:val="es-ES"/>
        </w:rPr>
        <w:t>Exp</w:t>
      </w:r>
      <w:proofErr w:type="spellEnd"/>
      <w:r>
        <w:rPr>
          <w:rFonts w:ascii="Arial" w:hAnsi="Arial" w:cs="Arial"/>
          <w:sz w:val="14"/>
          <w:szCs w:val="14"/>
          <w:lang w:val="es-ES"/>
        </w:rPr>
        <w:t xml:space="preserve"> 23734. </w:t>
      </w:r>
    </w:p>
    <w:p w14:paraId="7CAD62AF" w14:textId="77777777" w:rsidR="00682397" w:rsidRDefault="00682397" w:rsidP="00682397">
      <w:pPr>
        <w:pStyle w:val="Textonotapie"/>
        <w:ind w:firstLine="707"/>
        <w:rPr>
          <w:rFonts w:ascii="Arial" w:hAnsi="Arial" w:cs="Arial"/>
          <w:sz w:val="14"/>
          <w:szCs w:val="14"/>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96B80"/>
    <w:multiLevelType w:val="hybridMultilevel"/>
    <w:tmpl w:val="64E28918"/>
    <w:lvl w:ilvl="0" w:tplc="4E163AB4">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985312460">
    <w:abstractNumId w:val="0"/>
  </w:num>
  <w:num w:numId="17" w16cid:durableId="1920558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1847"/>
    <w:rsid w:val="00004E30"/>
    <w:rsid w:val="00016A7B"/>
    <w:rsid w:val="00017E5B"/>
    <w:rsid w:val="0004436C"/>
    <w:rsid w:val="00053B47"/>
    <w:rsid w:val="00055FAF"/>
    <w:rsid w:val="00061B2A"/>
    <w:rsid w:val="000705DC"/>
    <w:rsid w:val="00072D02"/>
    <w:rsid w:val="00082362"/>
    <w:rsid w:val="00093619"/>
    <w:rsid w:val="000958FF"/>
    <w:rsid w:val="000A683E"/>
    <w:rsid w:val="000B19B9"/>
    <w:rsid w:val="000B6C17"/>
    <w:rsid w:val="000D0334"/>
    <w:rsid w:val="000F6486"/>
    <w:rsid w:val="00125105"/>
    <w:rsid w:val="00127233"/>
    <w:rsid w:val="001B6F9E"/>
    <w:rsid w:val="001C1411"/>
    <w:rsid w:val="001E4177"/>
    <w:rsid w:val="001E458B"/>
    <w:rsid w:val="001E7337"/>
    <w:rsid w:val="001F64E4"/>
    <w:rsid w:val="001F7DC6"/>
    <w:rsid w:val="00214851"/>
    <w:rsid w:val="002421BB"/>
    <w:rsid w:val="002707A2"/>
    <w:rsid w:val="002951A0"/>
    <w:rsid w:val="002962BC"/>
    <w:rsid w:val="002A093D"/>
    <w:rsid w:val="002A0DD0"/>
    <w:rsid w:val="002A49AC"/>
    <w:rsid w:val="002A64FD"/>
    <w:rsid w:val="002C7A84"/>
    <w:rsid w:val="002D5D57"/>
    <w:rsid w:val="002E18B9"/>
    <w:rsid w:val="002E4FD9"/>
    <w:rsid w:val="00322A85"/>
    <w:rsid w:val="00334812"/>
    <w:rsid w:val="003448F4"/>
    <w:rsid w:val="00363B7A"/>
    <w:rsid w:val="00374F5E"/>
    <w:rsid w:val="00377E3E"/>
    <w:rsid w:val="00386528"/>
    <w:rsid w:val="003A2E6F"/>
    <w:rsid w:val="003A779E"/>
    <w:rsid w:val="003D0F4D"/>
    <w:rsid w:val="003D5B0D"/>
    <w:rsid w:val="003E0499"/>
    <w:rsid w:val="003E6508"/>
    <w:rsid w:val="003E693C"/>
    <w:rsid w:val="003F3941"/>
    <w:rsid w:val="00406575"/>
    <w:rsid w:val="0042722E"/>
    <w:rsid w:val="00486981"/>
    <w:rsid w:val="004A1847"/>
    <w:rsid w:val="004A305D"/>
    <w:rsid w:val="004E72BF"/>
    <w:rsid w:val="004F21C4"/>
    <w:rsid w:val="004F685F"/>
    <w:rsid w:val="005314EB"/>
    <w:rsid w:val="00541DC2"/>
    <w:rsid w:val="005566E8"/>
    <w:rsid w:val="00574867"/>
    <w:rsid w:val="00575D54"/>
    <w:rsid w:val="00591460"/>
    <w:rsid w:val="005A2340"/>
    <w:rsid w:val="005C3777"/>
    <w:rsid w:val="005C524A"/>
    <w:rsid w:val="005C5CDC"/>
    <w:rsid w:val="005D476C"/>
    <w:rsid w:val="00611989"/>
    <w:rsid w:val="006173F0"/>
    <w:rsid w:val="006219F8"/>
    <w:rsid w:val="0062342E"/>
    <w:rsid w:val="00630817"/>
    <w:rsid w:val="00642DC8"/>
    <w:rsid w:val="006579D9"/>
    <w:rsid w:val="00665D70"/>
    <w:rsid w:val="00682397"/>
    <w:rsid w:val="006900D9"/>
    <w:rsid w:val="006B3BBD"/>
    <w:rsid w:val="006D04FF"/>
    <w:rsid w:val="006F63AA"/>
    <w:rsid w:val="0070691A"/>
    <w:rsid w:val="00706BD2"/>
    <w:rsid w:val="00706C16"/>
    <w:rsid w:val="00734DBB"/>
    <w:rsid w:val="00754226"/>
    <w:rsid w:val="00756841"/>
    <w:rsid w:val="007649AB"/>
    <w:rsid w:val="00771D0C"/>
    <w:rsid w:val="007833AC"/>
    <w:rsid w:val="0079070E"/>
    <w:rsid w:val="007B268C"/>
    <w:rsid w:val="007B7171"/>
    <w:rsid w:val="007C3DC2"/>
    <w:rsid w:val="007D1D3E"/>
    <w:rsid w:val="007E5497"/>
    <w:rsid w:val="00806F5F"/>
    <w:rsid w:val="00820065"/>
    <w:rsid w:val="00820278"/>
    <w:rsid w:val="00847480"/>
    <w:rsid w:val="008843B6"/>
    <w:rsid w:val="00891928"/>
    <w:rsid w:val="00894893"/>
    <w:rsid w:val="00897A89"/>
    <w:rsid w:val="008A446D"/>
    <w:rsid w:val="008C2CD0"/>
    <w:rsid w:val="008D180B"/>
    <w:rsid w:val="008F0EA7"/>
    <w:rsid w:val="008F5029"/>
    <w:rsid w:val="00902AFF"/>
    <w:rsid w:val="0091142F"/>
    <w:rsid w:val="00923EEF"/>
    <w:rsid w:val="009419F9"/>
    <w:rsid w:val="009528F8"/>
    <w:rsid w:val="00961B09"/>
    <w:rsid w:val="00965334"/>
    <w:rsid w:val="0097093E"/>
    <w:rsid w:val="00991508"/>
    <w:rsid w:val="00995244"/>
    <w:rsid w:val="009C71FA"/>
    <w:rsid w:val="009C72E7"/>
    <w:rsid w:val="009F3A13"/>
    <w:rsid w:val="00A122D3"/>
    <w:rsid w:val="00A17F13"/>
    <w:rsid w:val="00A20739"/>
    <w:rsid w:val="00A33C78"/>
    <w:rsid w:val="00A360F1"/>
    <w:rsid w:val="00AB02C6"/>
    <w:rsid w:val="00AB0ADB"/>
    <w:rsid w:val="00B025A2"/>
    <w:rsid w:val="00B113A1"/>
    <w:rsid w:val="00B13A7A"/>
    <w:rsid w:val="00B41E68"/>
    <w:rsid w:val="00B72CD3"/>
    <w:rsid w:val="00B72FE2"/>
    <w:rsid w:val="00B72FFF"/>
    <w:rsid w:val="00B802FF"/>
    <w:rsid w:val="00B85C5F"/>
    <w:rsid w:val="00B85E47"/>
    <w:rsid w:val="00BC3D36"/>
    <w:rsid w:val="00BD7F72"/>
    <w:rsid w:val="00C04FB3"/>
    <w:rsid w:val="00C1165D"/>
    <w:rsid w:val="00C330EB"/>
    <w:rsid w:val="00C754BE"/>
    <w:rsid w:val="00C76B1C"/>
    <w:rsid w:val="00CA3E8E"/>
    <w:rsid w:val="00CB6357"/>
    <w:rsid w:val="00CC1B26"/>
    <w:rsid w:val="00CF3EB8"/>
    <w:rsid w:val="00D423A2"/>
    <w:rsid w:val="00D63AC2"/>
    <w:rsid w:val="00D70E94"/>
    <w:rsid w:val="00D720DE"/>
    <w:rsid w:val="00D7383B"/>
    <w:rsid w:val="00DA231B"/>
    <w:rsid w:val="00DA4F2D"/>
    <w:rsid w:val="00DC4D52"/>
    <w:rsid w:val="00DF5254"/>
    <w:rsid w:val="00E16408"/>
    <w:rsid w:val="00E20894"/>
    <w:rsid w:val="00E245AB"/>
    <w:rsid w:val="00E2764C"/>
    <w:rsid w:val="00E27F2E"/>
    <w:rsid w:val="00E50AFE"/>
    <w:rsid w:val="00E50C75"/>
    <w:rsid w:val="00E64D7A"/>
    <w:rsid w:val="00E771DC"/>
    <w:rsid w:val="00E8772A"/>
    <w:rsid w:val="00E90F6B"/>
    <w:rsid w:val="00E92C27"/>
    <w:rsid w:val="00E97D30"/>
    <w:rsid w:val="00EA0E3D"/>
    <w:rsid w:val="00EC304F"/>
    <w:rsid w:val="00EC43AD"/>
    <w:rsid w:val="00ED0124"/>
    <w:rsid w:val="00ED6A9D"/>
    <w:rsid w:val="00EE1AA8"/>
    <w:rsid w:val="00F31EDC"/>
    <w:rsid w:val="00F35F2C"/>
    <w:rsid w:val="00F462B3"/>
    <w:rsid w:val="00F5664F"/>
    <w:rsid w:val="00F666C4"/>
    <w:rsid w:val="00F76AFC"/>
    <w:rsid w:val="00FB5DD1"/>
    <w:rsid w:val="00FC2B5D"/>
    <w:rsid w:val="00FD7B0A"/>
    <w:rsid w:val="00FF1449"/>
    <w:rsid w:val="21621E97"/>
    <w:rsid w:val="34DA82C5"/>
    <w:rsid w:val="5620B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docId w15:val="{F361537C-A83B-4A0C-AA01-D3FE7D6A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F63AA"/>
    <w:rPr>
      <w:rFonts w:ascii="Geomanist Light" w:hAnsi="Geomanist Light"/>
      <w:lang w:val="es-ES"/>
    </w:rPr>
  </w:style>
  <w:style w:type="paragraph" w:customStyle="1" w:styleId="Appelnotedebasde">
    <w:name w:val="Appel note de bas de..."/>
    <w:basedOn w:val="Normal"/>
    <w:link w:val="Refdenotaalpie"/>
    <w:uiPriority w:val="99"/>
    <w:rsid w:val="006F63AA"/>
    <w:pPr>
      <w:spacing w:line="240" w:lineRule="exact"/>
    </w:pPr>
    <w:rPr>
      <w:vertAlign w:val="superscript"/>
    </w:rPr>
  </w:style>
  <w:style w:type="paragraph" w:styleId="Textoindependiente">
    <w:name w:val="Body Text"/>
    <w:basedOn w:val="Normal"/>
    <w:link w:val="TextoindependienteCar"/>
    <w:uiPriority w:val="1"/>
    <w:qFormat/>
    <w:rsid w:val="006F63A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F63AA"/>
    <w:rPr>
      <w:rFonts w:ascii="Arial MT" w:eastAsia="Arial MT" w:hAnsi="Arial MT" w:cs="Arial MT"/>
      <w:lang w:val="es-ES"/>
    </w:rPr>
  </w:style>
  <w:style w:type="character" w:customStyle="1" w:styleId="superscript">
    <w:name w:val="superscript"/>
    <w:basedOn w:val="Fuentedeprrafopredeter"/>
    <w:rsid w:val="0007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7132">
      <w:bodyDiv w:val="1"/>
      <w:marLeft w:val="0"/>
      <w:marRight w:val="0"/>
      <w:marTop w:val="0"/>
      <w:marBottom w:val="0"/>
      <w:divBdr>
        <w:top w:val="none" w:sz="0" w:space="0" w:color="auto"/>
        <w:left w:val="none" w:sz="0" w:space="0" w:color="auto"/>
        <w:bottom w:val="none" w:sz="0" w:space="0" w:color="auto"/>
        <w:right w:val="none" w:sz="0" w:space="0" w:color="auto"/>
      </w:divBdr>
    </w:div>
    <w:div w:id="13429644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6760283">
      <w:bodyDiv w:val="1"/>
      <w:marLeft w:val="0"/>
      <w:marRight w:val="0"/>
      <w:marTop w:val="0"/>
      <w:marBottom w:val="0"/>
      <w:divBdr>
        <w:top w:val="none" w:sz="0" w:space="0" w:color="auto"/>
        <w:left w:val="none" w:sz="0" w:space="0" w:color="auto"/>
        <w:bottom w:val="none" w:sz="0" w:space="0" w:color="auto"/>
        <w:right w:val="none" w:sz="0" w:space="0" w:color="auto"/>
      </w:divBdr>
      <w:divsChild>
        <w:div w:id="22751405">
          <w:marLeft w:val="0"/>
          <w:marRight w:val="0"/>
          <w:marTop w:val="0"/>
          <w:marBottom w:val="0"/>
          <w:divBdr>
            <w:top w:val="none" w:sz="0" w:space="0" w:color="auto"/>
            <w:left w:val="none" w:sz="0" w:space="0" w:color="auto"/>
            <w:bottom w:val="none" w:sz="0" w:space="0" w:color="auto"/>
            <w:right w:val="none" w:sz="0" w:space="0" w:color="auto"/>
          </w:divBdr>
        </w:div>
        <w:div w:id="427122911">
          <w:marLeft w:val="0"/>
          <w:marRight w:val="0"/>
          <w:marTop w:val="0"/>
          <w:marBottom w:val="0"/>
          <w:divBdr>
            <w:top w:val="none" w:sz="0" w:space="0" w:color="auto"/>
            <w:left w:val="none" w:sz="0" w:space="0" w:color="auto"/>
            <w:bottom w:val="none" w:sz="0" w:space="0" w:color="auto"/>
            <w:right w:val="none" w:sz="0" w:space="0" w:color="auto"/>
          </w:divBdr>
        </w:div>
        <w:div w:id="1846362094">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56515856">
      <w:bodyDiv w:val="1"/>
      <w:marLeft w:val="0"/>
      <w:marRight w:val="0"/>
      <w:marTop w:val="0"/>
      <w:marBottom w:val="0"/>
      <w:divBdr>
        <w:top w:val="none" w:sz="0" w:space="0" w:color="auto"/>
        <w:left w:val="none" w:sz="0" w:space="0" w:color="auto"/>
        <w:bottom w:val="none" w:sz="0" w:space="0" w:color="auto"/>
        <w:right w:val="none" w:sz="0" w:space="0" w:color="auto"/>
      </w:divBdr>
      <w:divsChild>
        <w:div w:id="586302718">
          <w:marLeft w:val="0"/>
          <w:marRight w:val="0"/>
          <w:marTop w:val="0"/>
          <w:marBottom w:val="0"/>
          <w:divBdr>
            <w:top w:val="none" w:sz="0" w:space="0" w:color="auto"/>
            <w:left w:val="none" w:sz="0" w:space="0" w:color="auto"/>
            <w:bottom w:val="none" w:sz="0" w:space="0" w:color="auto"/>
            <w:right w:val="none" w:sz="0" w:space="0" w:color="auto"/>
          </w:divBdr>
        </w:div>
        <w:div w:id="826046958">
          <w:marLeft w:val="0"/>
          <w:marRight w:val="0"/>
          <w:marTop w:val="0"/>
          <w:marBottom w:val="0"/>
          <w:divBdr>
            <w:top w:val="none" w:sz="0" w:space="0" w:color="auto"/>
            <w:left w:val="none" w:sz="0" w:space="0" w:color="auto"/>
            <w:bottom w:val="none" w:sz="0" w:space="0" w:color="auto"/>
            <w:right w:val="none" w:sz="0" w:space="0" w:color="auto"/>
          </w:divBdr>
        </w:div>
        <w:div w:id="1130900584">
          <w:marLeft w:val="0"/>
          <w:marRight w:val="0"/>
          <w:marTop w:val="0"/>
          <w:marBottom w:val="0"/>
          <w:divBdr>
            <w:top w:val="none" w:sz="0" w:space="0" w:color="auto"/>
            <w:left w:val="none" w:sz="0" w:space="0" w:color="auto"/>
            <w:bottom w:val="none" w:sz="0" w:space="0" w:color="auto"/>
            <w:right w:val="none" w:sz="0" w:space="0" w:color="auto"/>
          </w:divBdr>
        </w:div>
        <w:div w:id="1446194815">
          <w:marLeft w:val="0"/>
          <w:marRight w:val="0"/>
          <w:marTop w:val="0"/>
          <w:marBottom w:val="0"/>
          <w:divBdr>
            <w:top w:val="none" w:sz="0" w:space="0" w:color="auto"/>
            <w:left w:val="none" w:sz="0" w:space="0" w:color="auto"/>
            <w:bottom w:val="none" w:sz="0" w:space="0" w:color="auto"/>
            <w:right w:val="none" w:sz="0" w:space="0" w:color="auto"/>
          </w:divBdr>
        </w:div>
        <w:div w:id="1561206455">
          <w:marLeft w:val="0"/>
          <w:marRight w:val="0"/>
          <w:marTop w:val="0"/>
          <w:marBottom w:val="0"/>
          <w:divBdr>
            <w:top w:val="none" w:sz="0" w:space="0" w:color="auto"/>
            <w:left w:val="none" w:sz="0" w:space="0" w:color="auto"/>
            <w:bottom w:val="none" w:sz="0" w:space="0" w:color="auto"/>
            <w:right w:val="none" w:sz="0" w:space="0" w:color="auto"/>
          </w:divBdr>
        </w:div>
        <w:div w:id="1572036896">
          <w:marLeft w:val="0"/>
          <w:marRight w:val="0"/>
          <w:marTop w:val="0"/>
          <w:marBottom w:val="0"/>
          <w:divBdr>
            <w:top w:val="none" w:sz="0" w:space="0" w:color="auto"/>
            <w:left w:val="none" w:sz="0" w:space="0" w:color="auto"/>
            <w:bottom w:val="none" w:sz="0" w:space="0" w:color="auto"/>
            <w:right w:val="none" w:sz="0" w:space="0" w:color="auto"/>
          </w:divBdr>
        </w:div>
        <w:div w:id="1857186306">
          <w:marLeft w:val="0"/>
          <w:marRight w:val="0"/>
          <w:marTop w:val="0"/>
          <w:marBottom w:val="0"/>
          <w:divBdr>
            <w:top w:val="none" w:sz="0" w:space="0" w:color="auto"/>
            <w:left w:val="none" w:sz="0" w:space="0" w:color="auto"/>
            <w:bottom w:val="none" w:sz="0" w:space="0" w:color="auto"/>
            <w:right w:val="none" w:sz="0" w:space="0" w:color="auto"/>
          </w:divBdr>
        </w:div>
        <w:div w:id="1870142301">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2691031">
      <w:bodyDiv w:val="1"/>
      <w:marLeft w:val="0"/>
      <w:marRight w:val="0"/>
      <w:marTop w:val="0"/>
      <w:marBottom w:val="0"/>
      <w:divBdr>
        <w:top w:val="none" w:sz="0" w:space="0" w:color="auto"/>
        <w:left w:val="none" w:sz="0" w:space="0" w:color="auto"/>
        <w:bottom w:val="none" w:sz="0" w:space="0" w:color="auto"/>
        <w:right w:val="none" w:sz="0" w:space="0" w:color="auto"/>
      </w:divBdr>
      <w:divsChild>
        <w:div w:id="60300729">
          <w:marLeft w:val="0"/>
          <w:marRight w:val="0"/>
          <w:marTop w:val="0"/>
          <w:marBottom w:val="0"/>
          <w:divBdr>
            <w:top w:val="none" w:sz="0" w:space="0" w:color="auto"/>
            <w:left w:val="none" w:sz="0" w:space="0" w:color="auto"/>
            <w:bottom w:val="none" w:sz="0" w:space="0" w:color="auto"/>
            <w:right w:val="none" w:sz="0" w:space="0" w:color="auto"/>
          </w:divBdr>
        </w:div>
        <w:div w:id="307900356">
          <w:marLeft w:val="0"/>
          <w:marRight w:val="0"/>
          <w:marTop w:val="0"/>
          <w:marBottom w:val="0"/>
          <w:divBdr>
            <w:top w:val="none" w:sz="0" w:space="0" w:color="auto"/>
            <w:left w:val="none" w:sz="0" w:space="0" w:color="auto"/>
            <w:bottom w:val="none" w:sz="0" w:space="0" w:color="auto"/>
            <w:right w:val="none" w:sz="0" w:space="0" w:color="auto"/>
          </w:divBdr>
        </w:div>
        <w:div w:id="1972663478">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99494535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DBBEBA83-993A-43F6-8D98-66E7BEDF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http://purl.org/dc/dcmitype/"/>
    <ds:schemaRef ds:uri="http://purl.org/dc/terms/"/>
    <ds:schemaRef ds:uri="a6cb9e4b-f1d1-4245-83ec-6cad768d538a"/>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6405</Words>
  <Characters>35228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2024-01-15T20:46:00Z</dcterms:created>
  <dcterms:modified xsi:type="dcterms:W3CDTF">2024-03-15T19:56:00Z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