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4DD1" w14:textId="77777777" w:rsidR="00C41F14" w:rsidRPr="00C41F14" w:rsidRDefault="00C41F14" w:rsidP="00C41F14">
      <w:pPr>
        <w:spacing w:after="0" w:line="240" w:lineRule="auto"/>
        <w:jc w:val="both"/>
        <w:rPr>
          <w:rFonts w:ascii="Century Gothic" w:eastAsia="Calibri" w:hAnsi="Century Gothic" w:cs="Arial"/>
          <w:b/>
          <w:bCs/>
          <w:lang w:eastAsia="es-CO"/>
        </w:rPr>
      </w:pPr>
      <w:bookmarkStart w:id="0" w:name="_Hlk143780582"/>
      <w:r w:rsidRPr="00C41F14">
        <w:rPr>
          <w:rFonts w:ascii="Century Gothic" w:eastAsia="Calibri" w:hAnsi="Century Gothic" w:cs="Arial"/>
          <w:b/>
          <w:bCs/>
          <w:lang w:eastAsia="es-ES_tradnl"/>
        </w:rPr>
        <w:t xml:space="preserve">COLOMBIA COMPRA EFICIENTE </w:t>
      </w:r>
      <w:bookmarkStart w:id="1" w:name="_Hlk140044303"/>
      <w:r w:rsidRPr="00C41F14">
        <w:rPr>
          <w:rFonts w:ascii="Century Gothic" w:eastAsia="Calibri" w:hAnsi="Century Gothic" w:cs="Arial"/>
          <w:b/>
          <w:lang w:eastAsia="es-ES_tradnl"/>
        </w:rPr>
        <w:t>–</w:t>
      </w:r>
      <w:bookmarkEnd w:id="1"/>
      <w:r w:rsidRPr="00C41F14">
        <w:rPr>
          <w:rFonts w:ascii="Century Gothic" w:eastAsia="Calibri" w:hAnsi="Century Gothic" w:cs="Arial"/>
          <w:b/>
          <w:bCs/>
          <w:lang w:eastAsia="es-ES_tradnl"/>
        </w:rPr>
        <w:t xml:space="preserve"> Competencia Consultiva </w:t>
      </w:r>
      <w:bookmarkStart w:id="2" w:name="_Hlk140036003"/>
      <w:r w:rsidRPr="00C41F14">
        <w:rPr>
          <w:rFonts w:ascii="Century Gothic" w:eastAsia="Calibri" w:hAnsi="Century Gothic" w:cs="Arial"/>
          <w:b/>
          <w:bCs/>
          <w:lang w:eastAsia="es-ES_tradnl"/>
        </w:rPr>
        <w:t>–</w:t>
      </w:r>
      <w:bookmarkEnd w:id="2"/>
      <w:r w:rsidRPr="00C41F14">
        <w:rPr>
          <w:rFonts w:ascii="Century Gothic" w:eastAsia="Calibri" w:hAnsi="Century Gothic" w:cs="Arial"/>
          <w:b/>
          <w:bCs/>
          <w:lang w:eastAsia="es-ES_tradnl"/>
        </w:rPr>
        <w:t xml:space="preserve"> Contratación Estatal – Normas Generales</w:t>
      </w:r>
    </w:p>
    <w:p w14:paraId="2A5B2BE2" w14:textId="77777777" w:rsidR="00C41F14" w:rsidRPr="00C41F14" w:rsidRDefault="00C41F14" w:rsidP="00C41F14">
      <w:pPr>
        <w:spacing w:after="0" w:line="240" w:lineRule="auto"/>
        <w:jc w:val="both"/>
        <w:rPr>
          <w:rFonts w:ascii="Century Gothic" w:eastAsia="Times New Roman" w:hAnsi="Century Gothic" w:cs="Arial"/>
          <w:bCs/>
          <w:sz w:val="20"/>
          <w:szCs w:val="20"/>
          <w:lang w:eastAsia="es-ES_tradnl"/>
        </w:rPr>
      </w:pPr>
    </w:p>
    <w:p w14:paraId="06AF58BE" w14:textId="77777777" w:rsidR="00C41F14" w:rsidRPr="00C41F14" w:rsidRDefault="00C41F14" w:rsidP="00C41F14">
      <w:pPr>
        <w:spacing w:after="0" w:line="240" w:lineRule="auto"/>
        <w:jc w:val="both"/>
        <w:rPr>
          <w:rFonts w:ascii="Century Gothic" w:eastAsia="Geomanist Light" w:hAnsi="Century Gothic" w:cs="Arial"/>
          <w:color w:val="000000" w:themeColor="text1"/>
          <w:sz w:val="20"/>
          <w:szCs w:val="20"/>
          <w:lang w:val="es-MX"/>
        </w:rPr>
      </w:pPr>
      <w:r w:rsidRPr="00C41F14">
        <w:rPr>
          <w:rFonts w:ascii="Century Gothic" w:eastAsia="Times New Roman" w:hAnsi="Century Gothic" w:cs="Arial"/>
          <w:bCs/>
          <w:sz w:val="20"/>
          <w:szCs w:val="20"/>
          <w:lang w:eastAsia="es-ES_tradnl"/>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0FEC2A1F" w14:textId="77777777" w:rsidR="00C41F14" w:rsidRPr="00C41F14" w:rsidRDefault="00C41F14" w:rsidP="00C41F14">
      <w:pPr>
        <w:spacing w:after="0" w:line="240" w:lineRule="auto"/>
        <w:jc w:val="both"/>
        <w:rPr>
          <w:rFonts w:ascii="Century Gothic" w:eastAsia="Geomanist Light" w:hAnsi="Century Gothic" w:cs="Arial"/>
          <w:color w:val="000000" w:themeColor="text1"/>
          <w:sz w:val="20"/>
          <w:szCs w:val="20"/>
          <w:lang w:val="es-MX"/>
        </w:rPr>
      </w:pPr>
    </w:p>
    <w:p w14:paraId="7218AA78" w14:textId="77777777" w:rsidR="00C41F14" w:rsidRPr="00C41F14" w:rsidRDefault="00C41F14" w:rsidP="00C41F14">
      <w:pPr>
        <w:spacing w:after="0" w:line="240" w:lineRule="auto"/>
        <w:jc w:val="both"/>
        <w:rPr>
          <w:rFonts w:ascii="Century Gothic" w:eastAsia="Geomanist Light" w:hAnsi="Century Gothic" w:cs="Arial"/>
          <w:color w:val="000000" w:themeColor="text1"/>
          <w:sz w:val="20"/>
          <w:szCs w:val="20"/>
          <w:lang w:val="es-MX"/>
        </w:rPr>
      </w:pPr>
      <w:r w:rsidRPr="00C41F14">
        <w:rPr>
          <w:rFonts w:ascii="Century Gothic" w:eastAsia="Times New Roman" w:hAnsi="Century Gothic"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p w14:paraId="3750BB2D" w14:textId="77777777" w:rsidR="00C41F14" w:rsidRPr="00C41F14" w:rsidRDefault="00C41F14" w:rsidP="00C41F14">
      <w:pPr>
        <w:spacing w:after="0" w:line="240" w:lineRule="auto"/>
        <w:jc w:val="both"/>
        <w:rPr>
          <w:rFonts w:ascii="Century Gothic" w:eastAsia="Times New Roman" w:hAnsi="Century Gothic" w:cs="Arial"/>
          <w:sz w:val="20"/>
          <w:szCs w:val="20"/>
          <w:lang w:val="es-ES" w:eastAsia="es-MX"/>
        </w:rPr>
      </w:pPr>
    </w:p>
    <w:p w14:paraId="2F29714F" w14:textId="77777777" w:rsidR="00C41F14" w:rsidRPr="00C41F14" w:rsidRDefault="00C41F14" w:rsidP="00C41F14">
      <w:pPr>
        <w:spacing w:after="0" w:line="240" w:lineRule="auto"/>
        <w:jc w:val="both"/>
        <w:textAlignment w:val="baseline"/>
        <w:rPr>
          <w:rFonts w:ascii="Century Gothic" w:eastAsia="Times New Roman" w:hAnsi="Century Gothic" w:cs="Arial"/>
          <w:b/>
          <w:color w:val="000000" w:themeColor="text1"/>
          <w:lang w:eastAsia="es-CO"/>
        </w:rPr>
      </w:pPr>
      <w:r w:rsidRPr="00C41F14">
        <w:rPr>
          <w:rFonts w:ascii="Century Gothic" w:eastAsia="Times New Roman" w:hAnsi="Century Gothic" w:cs="Arial"/>
          <w:b/>
          <w:color w:val="000000" w:themeColor="text1"/>
          <w:lang w:eastAsia="es-CO"/>
        </w:rPr>
        <w:t>REQUISITOS HABILITANTES – Noción</w:t>
      </w:r>
    </w:p>
    <w:p w14:paraId="63ECB3DF"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p>
    <w:p w14:paraId="0ABD597E"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r w:rsidRPr="00C41F14">
        <w:rPr>
          <w:rFonts w:ascii="Century Gothic" w:eastAsia="Times New Roman" w:hAnsi="Century Gothic" w:cs="Arial"/>
          <w:bCs/>
          <w:color w:val="000000" w:themeColor="text1"/>
          <w:sz w:val="20"/>
          <w:szCs w:val="20"/>
          <w:lang w:eastAsia="es-CO"/>
        </w:rPr>
        <w:t>Los requisitos habilitantes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w:t>
      </w:r>
    </w:p>
    <w:p w14:paraId="1D1EE455"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p>
    <w:p w14:paraId="452A5523"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r w:rsidRPr="00C41F14">
        <w:rPr>
          <w:rFonts w:ascii="Century Gothic" w:eastAsia="Times New Roman" w:hAnsi="Century Gothic" w:cs="Arial"/>
          <w:bCs/>
          <w:color w:val="000000" w:themeColor="text1"/>
          <w:sz w:val="20"/>
          <w:szCs w:val="20"/>
          <w:lang w:eastAsia="es-CO"/>
        </w:rPr>
        <w:t>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04110BC4"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p>
    <w:p w14:paraId="1CFD0ED6" w14:textId="77777777" w:rsidR="00C41F14" w:rsidRPr="00C41F14" w:rsidRDefault="00C41F14" w:rsidP="00C41F14">
      <w:pPr>
        <w:spacing w:after="0" w:line="240" w:lineRule="auto"/>
        <w:jc w:val="both"/>
        <w:textAlignment w:val="baseline"/>
        <w:rPr>
          <w:rFonts w:ascii="Century Gothic" w:eastAsia="Times New Roman" w:hAnsi="Century Gothic" w:cs="Arial"/>
          <w:b/>
          <w:lang w:val="es-ES" w:eastAsia="es-CO"/>
        </w:rPr>
      </w:pPr>
      <w:r w:rsidRPr="00C41F14">
        <w:rPr>
          <w:rFonts w:ascii="Century Gothic" w:eastAsia="Times New Roman" w:hAnsi="Century Gothic" w:cs="Arial"/>
          <w:b/>
          <w:color w:val="000000" w:themeColor="text1"/>
          <w:lang w:eastAsia="es-CO"/>
        </w:rPr>
        <w:t xml:space="preserve">REQUISITOS HABILITANTES – </w:t>
      </w:r>
      <w:r w:rsidRPr="00C41F14">
        <w:rPr>
          <w:rFonts w:ascii="Century Gothic" w:eastAsia="Times New Roman" w:hAnsi="Century Gothic" w:cs="Arial"/>
          <w:b/>
          <w:lang w:val="es-ES" w:eastAsia="es-CO"/>
        </w:rPr>
        <w:t>Carácter enunciativo</w:t>
      </w:r>
    </w:p>
    <w:p w14:paraId="332ED6CC" w14:textId="77777777" w:rsidR="00C41F14" w:rsidRPr="00C41F14" w:rsidRDefault="00C41F14" w:rsidP="00C41F14">
      <w:pPr>
        <w:spacing w:after="0" w:line="240" w:lineRule="auto"/>
        <w:jc w:val="both"/>
        <w:textAlignment w:val="baseline"/>
        <w:rPr>
          <w:rFonts w:ascii="Century Gothic" w:eastAsia="Times New Roman" w:hAnsi="Century Gothic" w:cs="Arial"/>
          <w:bCs/>
          <w:sz w:val="20"/>
          <w:szCs w:val="20"/>
          <w:lang w:val="es-ES" w:eastAsia="es-CO"/>
        </w:rPr>
      </w:pPr>
    </w:p>
    <w:p w14:paraId="26F32CA6" w14:textId="77777777" w:rsidR="00C41F14" w:rsidRPr="00C41F14" w:rsidRDefault="00C41F14" w:rsidP="00C41F14">
      <w:pPr>
        <w:spacing w:after="0" w:line="240" w:lineRule="auto"/>
        <w:jc w:val="both"/>
        <w:textAlignment w:val="baseline"/>
        <w:rPr>
          <w:rFonts w:ascii="Century Gothic" w:eastAsia="Times New Roman" w:hAnsi="Century Gothic" w:cs="Arial"/>
          <w:bCs/>
          <w:sz w:val="20"/>
          <w:szCs w:val="20"/>
          <w:lang w:val="es-ES" w:eastAsia="es-CO"/>
        </w:rPr>
      </w:pPr>
      <w:r w:rsidRPr="00C41F14">
        <w:rPr>
          <w:rFonts w:ascii="Century Gothic" w:eastAsia="Times New Roman" w:hAnsi="Century Gothic" w:cs="Arial"/>
          <w:bCs/>
          <w:sz w:val="20"/>
          <w:szCs w:val="20"/>
          <w:lang w:val="es-ES" w:eastAsia="es-CO"/>
        </w:rPr>
        <w:t xml:space="preserve">Es necesario indagar si los requisitos habilitantes establecidos en el artículo 5, numeral 1, de la Ley 1150 de 2007, tienen la característica de taxativos, esto es, si son los únicos requisitos habilitantes que puede exigirles una entidad a los proponentes. Esta pregunta tiene, al menos, dos respuestas posibles. Por un lado, que sí lo son, pues la norma no hace referencia a otros diferentes. Por el otro, que no lo son, pues esta no contiene una expresión como </w:t>
      </w:r>
      <w:r w:rsidRPr="00C41F14">
        <w:rPr>
          <w:rFonts w:ascii="Century Gothic" w:eastAsia="Times New Roman" w:hAnsi="Century Gothic" w:cs="Arial"/>
          <w:bCs/>
          <w:sz w:val="20"/>
          <w:szCs w:val="20"/>
          <w:lang w:val="es-ES" w:eastAsia="es-CO"/>
        </w:rPr>
        <w:lastRenderedPageBreak/>
        <w:t>“únicamente” o “solo</w:t>
      </w:r>
      <w:proofErr w:type="gramStart"/>
      <w:r w:rsidRPr="00C41F14">
        <w:rPr>
          <w:rFonts w:ascii="Century Gothic" w:eastAsia="Times New Roman" w:hAnsi="Century Gothic" w:cs="Arial"/>
          <w:bCs/>
          <w:sz w:val="20"/>
          <w:szCs w:val="20"/>
          <w:lang w:val="es-ES" w:eastAsia="es-CO"/>
        </w:rPr>
        <w:t>” ,</w:t>
      </w:r>
      <w:proofErr w:type="gramEnd"/>
      <w:r w:rsidRPr="00C41F14">
        <w:rPr>
          <w:rFonts w:ascii="Century Gothic" w:eastAsia="Times New Roman" w:hAnsi="Century Gothic" w:cs="Arial"/>
          <w:bCs/>
          <w:sz w:val="20"/>
          <w:szCs w:val="20"/>
          <w:lang w:val="es-ES" w:eastAsia="es-CO"/>
        </w:rPr>
        <w:t xml:space="preserve">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20073. Esta segunda respuesta contiene la interpretación jurídica que comparte la Agencia Nacional de Contratación Pública.</w:t>
      </w:r>
    </w:p>
    <w:p w14:paraId="5A049C4B" w14:textId="77777777" w:rsidR="00C41F14" w:rsidRPr="00C41F14" w:rsidRDefault="00C41F14" w:rsidP="00C41F14">
      <w:pPr>
        <w:spacing w:after="0" w:line="240" w:lineRule="auto"/>
        <w:jc w:val="both"/>
        <w:textAlignment w:val="baseline"/>
        <w:rPr>
          <w:rFonts w:ascii="Century Gothic" w:eastAsia="Times New Roman" w:hAnsi="Century Gothic" w:cs="Arial"/>
          <w:bCs/>
          <w:sz w:val="20"/>
          <w:szCs w:val="20"/>
          <w:lang w:val="es-ES" w:eastAsia="es-CO"/>
        </w:rPr>
      </w:pPr>
      <w:r w:rsidRPr="00C41F14">
        <w:rPr>
          <w:rFonts w:ascii="Century Gothic" w:eastAsia="Times New Roman" w:hAnsi="Century Gothic" w:cs="Arial"/>
          <w:bCs/>
          <w:sz w:val="20"/>
          <w:szCs w:val="20"/>
          <w:lang w:val="es-ES" w:eastAsia="es-CO"/>
        </w:rPr>
        <w:t>Existen otros argumentos que sustentan dicha elección interpretativa. Como lo han considerado la Corte Constitucional4 y el Consejo de Estado5, en virtud del “principio del efecto útil”,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sólo fueran requisitos habilitantes los cuatro que contiene el numeral 1 de dicha disposición, ¿cómo se explica que el referido parágrafo aclare que “las certificaciones de sistemas de gestión de calidad no serán objeto de calificación, ni podrán establecerse como documento habilitante para participar en licitaciones o concursos”? Si se interpreta que solo son cuatro los requisitos habilitantes, el parágrafo 2 carecería de efectos jurídicos y, por ende, no tendría ninguna consecuencia normativa que en el mismo artículo se aclare que una exigencia no puede ser considera como requisito habilitante.</w:t>
      </w:r>
    </w:p>
    <w:p w14:paraId="7DECC7BA" w14:textId="77777777" w:rsidR="00C41F14" w:rsidRPr="00C41F14" w:rsidRDefault="00C41F14" w:rsidP="00C41F14">
      <w:pPr>
        <w:spacing w:after="0" w:line="240" w:lineRule="auto"/>
        <w:jc w:val="both"/>
        <w:textAlignment w:val="baseline"/>
        <w:rPr>
          <w:rFonts w:ascii="Century Gothic" w:eastAsia="Times New Roman" w:hAnsi="Century Gothic" w:cs="Arial"/>
          <w:bCs/>
          <w:sz w:val="20"/>
          <w:szCs w:val="20"/>
          <w:lang w:val="es-ES" w:eastAsia="es-CO"/>
        </w:rPr>
      </w:pPr>
    </w:p>
    <w:p w14:paraId="7FB72CA4" w14:textId="77777777" w:rsidR="00C41F14" w:rsidRPr="00C41F14" w:rsidRDefault="00C41F14" w:rsidP="00C41F14">
      <w:pPr>
        <w:spacing w:after="0" w:line="240" w:lineRule="auto"/>
        <w:jc w:val="both"/>
        <w:textAlignment w:val="baseline"/>
        <w:rPr>
          <w:rFonts w:ascii="Century Gothic" w:eastAsia="Times New Roman" w:hAnsi="Century Gothic" w:cs="Arial"/>
          <w:bCs/>
          <w:sz w:val="20"/>
          <w:szCs w:val="20"/>
          <w:lang w:val="es-ES" w:eastAsia="es-CO"/>
        </w:rPr>
      </w:pPr>
      <w:r w:rsidRPr="00C41F14">
        <w:rPr>
          <w:rFonts w:ascii="Century Gothic" w:eastAsia="Times New Roman" w:hAnsi="Century Gothic" w:cs="Arial"/>
          <w:bCs/>
          <w:sz w:val="20"/>
          <w:szCs w:val="20"/>
          <w:lang w:val="es-ES" w:eastAsia="es-CO"/>
        </w:rPr>
        <w:t>La intención del legislador, de la cual dan cuenta los antecedentes legislativos de la norma sub examine, también justifica la interpretación propuesta por esta Agencia, ya que fue hasta el cuarto debate legislativo en donde se incluyó el parágrafo comentado anteriormente, lo que deja ver la necesidad que tenía el Congreso de aclarar que unos documentos no podrían ser tenidos como requisitos habilitantes, lo que da cuenta, a su vez, del reconocimiento tácito de la existencia de otros requisitos habilitantes, distintos a los cuatro que establece el artículo 5, parágrafo 1, de la Ley 1150 de 2007, reglamentados en el artículo 2.2.1.1.1.5.3 del Decreto 1082 de 2015.</w:t>
      </w:r>
    </w:p>
    <w:p w14:paraId="31389C5F" w14:textId="77777777" w:rsidR="00C41F14" w:rsidRPr="00C41F14" w:rsidRDefault="00C41F14" w:rsidP="00C41F14">
      <w:pPr>
        <w:spacing w:after="0" w:line="240" w:lineRule="auto"/>
        <w:jc w:val="both"/>
        <w:textAlignment w:val="baseline"/>
        <w:rPr>
          <w:rFonts w:ascii="Century Gothic" w:eastAsia="Times New Roman" w:hAnsi="Century Gothic" w:cs="Arial"/>
          <w:b/>
          <w:color w:val="000000"/>
          <w:sz w:val="20"/>
          <w:szCs w:val="20"/>
          <w:lang w:val="es-ES" w:eastAsia="es-CO"/>
        </w:rPr>
      </w:pPr>
    </w:p>
    <w:p w14:paraId="63D3A7AD" w14:textId="77777777" w:rsidR="00C41F14" w:rsidRPr="00C41F14" w:rsidRDefault="00C41F14" w:rsidP="00C41F14">
      <w:pPr>
        <w:spacing w:after="0" w:line="240" w:lineRule="auto"/>
        <w:jc w:val="both"/>
        <w:textAlignment w:val="baseline"/>
        <w:rPr>
          <w:rFonts w:ascii="Century Gothic" w:eastAsia="Times New Roman" w:hAnsi="Century Gothic" w:cs="Arial"/>
          <w:b/>
          <w:color w:val="000000"/>
          <w:lang w:eastAsia="es-CO"/>
        </w:rPr>
      </w:pPr>
      <w:r w:rsidRPr="00C41F14">
        <w:rPr>
          <w:rFonts w:ascii="Century Gothic" w:eastAsia="Times New Roman" w:hAnsi="Century Gothic" w:cs="Arial"/>
          <w:b/>
          <w:color w:val="000000"/>
          <w:lang w:val="es-ES" w:eastAsia="es-CO"/>
        </w:rPr>
        <w:t xml:space="preserve">REQUISITOS HABILITANTES </w:t>
      </w:r>
      <w:r w:rsidRPr="00C41F14">
        <w:rPr>
          <w:rFonts w:ascii="Century Gothic" w:eastAsia="Times New Roman" w:hAnsi="Century Gothic" w:cs="Arial"/>
          <w:b/>
          <w:color w:val="000000" w:themeColor="text1"/>
          <w:lang w:eastAsia="es-CO"/>
        </w:rPr>
        <w:t xml:space="preserve">– </w:t>
      </w:r>
      <w:r w:rsidRPr="00C41F14">
        <w:rPr>
          <w:rFonts w:ascii="Century Gothic" w:eastAsia="Times New Roman" w:hAnsi="Century Gothic" w:cs="Arial"/>
          <w:b/>
          <w:color w:val="000000"/>
          <w:lang w:val="es-ES" w:eastAsia="es-CO"/>
        </w:rPr>
        <w:t>Autonomía de la voluntad de las entidades estatales para establecerlos</w:t>
      </w:r>
      <w:r w:rsidRPr="00C41F14">
        <w:rPr>
          <w:rFonts w:ascii="Century Gothic" w:eastAsia="Times New Roman" w:hAnsi="Century Gothic" w:cs="Arial"/>
          <w:b/>
          <w:color w:val="000000"/>
          <w:lang w:eastAsia="es-CO"/>
        </w:rPr>
        <w:t xml:space="preserve"> </w:t>
      </w:r>
    </w:p>
    <w:p w14:paraId="49D47668"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p>
    <w:p w14:paraId="76CF5675"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r w:rsidRPr="00C41F14">
        <w:rPr>
          <w:rFonts w:ascii="Century Gothic" w:eastAsia="Times New Roman" w:hAnsi="Century Gothic" w:cs="Arial"/>
          <w:bCs/>
          <w:color w:val="000000" w:themeColor="text1"/>
          <w:sz w:val="20"/>
          <w:szCs w:val="20"/>
          <w:lang w:eastAsia="es-CO"/>
        </w:rPr>
        <w:t>El principio de autonomía de la voluntad, reconocido en los artículos 13, 32 y 40 de la Ley 80 de 1993 para las entidades sometidas a esta, y en el artículo 1602 del Código Civil, para las exceptuadas de aquella, actúa entonces como el fundamento normativo que otorga a las entidades estatales competencia para que puedan solicitar requisitos habilitantes adicionales o diferentes a los establecidos en el numeral 1º del artículo 5 de la Ley 1150 de 2007. En realidad, lo que este numeral establece es una limitación a la discrecionalidad administrativa para la estipulación de los requisitos de participación, bajo la óptica de que, si se incluyen los que aquel prevé, por regla general, no otorgan puntaje; pero tal enunciado no ha de interpretarse en el sentido de que las entidades solo pueden exigir, única y exclusivamente, dichos requisitos habilitantes. Esto en la medida que además de los argumentos que ya se han planteado,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0B34CF2D"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p>
    <w:p w14:paraId="03FCB0D1"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r w:rsidRPr="00C41F14">
        <w:rPr>
          <w:rFonts w:ascii="Century Gothic" w:eastAsia="Times New Roman" w:hAnsi="Century Gothic" w:cs="Arial"/>
          <w:bCs/>
          <w:color w:val="000000" w:themeColor="text1"/>
          <w:sz w:val="20"/>
          <w:szCs w:val="20"/>
          <w:lang w:eastAsia="es-CO"/>
        </w:rPr>
        <w:t>Considerando la discrecionalidad para establecer requisitos habilitantes,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Dado lo anterior, para efectos de configurar requisitos habilitantes como los expuestos en los numerales 1 y 2 de la consulta, la Entidad Estatal tiene la carga de justificar en los estudios previos y análisis del sector del proceso de selección su procedencia, de conformidad con el artículo 2.2.1.1.1.6.2 del Decreto 1082 de 2015.</w:t>
      </w:r>
    </w:p>
    <w:p w14:paraId="1017EFA3"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p>
    <w:p w14:paraId="0150EC0D" w14:textId="77777777" w:rsidR="00C41F14" w:rsidRPr="00C41F14" w:rsidRDefault="00C41F14" w:rsidP="00C41F14">
      <w:pPr>
        <w:spacing w:after="0" w:line="240" w:lineRule="auto"/>
        <w:jc w:val="both"/>
        <w:textAlignment w:val="baseline"/>
        <w:rPr>
          <w:rFonts w:ascii="Century Gothic" w:eastAsia="Times New Roman" w:hAnsi="Century Gothic" w:cs="Arial"/>
          <w:b/>
          <w:color w:val="000000" w:themeColor="text1"/>
          <w:lang w:eastAsia="es-CO"/>
        </w:rPr>
      </w:pPr>
      <w:r w:rsidRPr="00C41F14">
        <w:rPr>
          <w:rFonts w:ascii="Century Gothic" w:eastAsia="Times New Roman" w:hAnsi="Century Gothic" w:cs="Arial"/>
          <w:b/>
          <w:color w:val="000000" w:themeColor="text1"/>
          <w:lang w:eastAsia="es-CO"/>
        </w:rPr>
        <w:t>CAPACIDAD FINANCIERA Y ORGANIZACIONAL – Conceptos – Requisitos habilitantes</w:t>
      </w:r>
    </w:p>
    <w:p w14:paraId="187C6C2B"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p>
    <w:p w14:paraId="784E5EFF"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r w:rsidRPr="00C41F14">
        <w:rPr>
          <w:rFonts w:ascii="Century Gothic" w:eastAsia="Times New Roman" w:hAnsi="Century Gothic" w:cs="Arial"/>
          <w:bCs/>
          <w:color w:val="000000" w:themeColor="text1"/>
          <w:sz w:val="20"/>
          <w:szCs w:val="20"/>
          <w:lang w:eastAsia="es-CO"/>
        </w:rPr>
        <w:t>La capacidad financiera se deriva del comportamiento contable de la empresa, su liquidez y endeudamiento, para determinar que sus recursos y solidez financiera le permita cumplir los compromisos que adquiera. Como explica la Agencia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719F5CE0"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p>
    <w:p w14:paraId="09BAE5C1" w14:textId="77777777" w:rsidR="00C41F14" w:rsidRPr="00C41F14" w:rsidRDefault="00C41F14" w:rsidP="00C41F14">
      <w:pPr>
        <w:spacing w:after="0" w:line="240" w:lineRule="auto"/>
        <w:jc w:val="both"/>
        <w:textAlignment w:val="baseline"/>
        <w:rPr>
          <w:rFonts w:ascii="Century Gothic" w:eastAsia="Times New Roman" w:hAnsi="Century Gothic" w:cs="Arial"/>
          <w:bCs/>
          <w:color w:val="000000" w:themeColor="text1"/>
          <w:sz w:val="20"/>
          <w:szCs w:val="20"/>
          <w:lang w:eastAsia="es-CO"/>
        </w:rPr>
      </w:pPr>
      <w:r w:rsidRPr="00C41F14">
        <w:rPr>
          <w:rFonts w:ascii="Century Gothic" w:eastAsia="Times New Roman" w:hAnsi="Century Gothic" w:cs="Arial"/>
          <w:bCs/>
          <w:color w:val="000000" w:themeColor="text1"/>
          <w:sz w:val="20"/>
          <w:szCs w:val="20"/>
          <w:lang w:eastAsia="es-CO"/>
        </w:rPr>
        <w:t xml:space="preserve">Como se expuso previamente, tanto la capacidad financiera como organizacional debe acreditarse en el RUP, esto es, a través de los estados financieros del proponente, suscritos por el representante legal y el revisor fiscal, si cuenta con tales documentos. De este modo, lo que se verifica con el registro es que el proponente tenga los indicadores financieros y organizacionales mínimos solicitados por la entidad, que le permitan satisfacer la necesidad que se contratará una vez desarrollado el procedimiento de selección. </w:t>
      </w:r>
    </w:p>
    <w:p w14:paraId="620CD1A3" w14:textId="77777777" w:rsidR="00C41F14" w:rsidRPr="00C41F14" w:rsidRDefault="00C41F14" w:rsidP="00C41F14">
      <w:pPr>
        <w:spacing w:after="0" w:line="240" w:lineRule="auto"/>
        <w:jc w:val="both"/>
        <w:textAlignment w:val="baseline"/>
        <w:rPr>
          <w:rFonts w:ascii="Century Gothic" w:eastAsia="Times New Roman" w:hAnsi="Century Gothic" w:cs="Arial"/>
          <w:b/>
          <w:color w:val="000000" w:themeColor="text1"/>
          <w:sz w:val="20"/>
          <w:szCs w:val="20"/>
          <w:lang w:eastAsia="es-CO"/>
        </w:rPr>
      </w:pPr>
    </w:p>
    <w:p w14:paraId="20D340B8" w14:textId="77777777" w:rsidR="00C41F14" w:rsidRPr="00C41F14" w:rsidRDefault="00C41F14" w:rsidP="00C41F14">
      <w:pPr>
        <w:spacing w:after="0" w:line="240" w:lineRule="auto"/>
        <w:jc w:val="both"/>
        <w:textAlignment w:val="baseline"/>
        <w:rPr>
          <w:rFonts w:ascii="Century Gothic" w:eastAsia="Times New Roman" w:hAnsi="Century Gothic" w:cs="Arial"/>
          <w:b/>
          <w:color w:val="000000" w:themeColor="text1"/>
          <w:lang w:eastAsia="es-CO"/>
        </w:rPr>
      </w:pPr>
      <w:r w:rsidRPr="00C41F14">
        <w:rPr>
          <w:rFonts w:ascii="Century Gothic" w:eastAsia="Times New Roman" w:hAnsi="Century Gothic" w:cs="Arial"/>
          <w:b/>
          <w:color w:val="000000" w:themeColor="text1"/>
          <w:lang w:eastAsia="es-CO"/>
        </w:rPr>
        <w:t>CAPACIDAD FINANCIERA Y ORGANIZACIONAL – Opciones – Cálculo</w:t>
      </w:r>
    </w:p>
    <w:p w14:paraId="636698E6" w14:textId="77777777" w:rsidR="00C41F14" w:rsidRPr="00C41F14" w:rsidRDefault="00C41F14" w:rsidP="00C41F14">
      <w:pPr>
        <w:spacing w:after="0" w:line="240" w:lineRule="auto"/>
        <w:jc w:val="both"/>
        <w:rPr>
          <w:rFonts w:ascii="Century Gothic" w:eastAsia="Times New Roman" w:hAnsi="Century Gothic" w:cs="Arial"/>
          <w:sz w:val="20"/>
          <w:szCs w:val="20"/>
          <w:lang w:eastAsia="es-CO"/>
        </w:rPr>
      </w:pPr>
    </w:p>
    <w:p w14:paraId="7204A963" w14:textId="77777777" w:rsidR="00C41F14" w:rsidRPr="00C41F14" w:rsidRDefault="00C41F14" w:rsidP="00C41F14">
      <w:pPr>
        <w:spacing w:after="0" w:line="240" w:lineRule="auto"/>
        <w:jc w:val="both"/>
        <w:rPr>
          <w:rFonts w:ascii="Century Gothic" w:eastAsia="Times New Roman" w:hAnsi="Century Gothic" w:cs="Arial"/>
          <w:sz w:val="20"/>
          <w:szCs w:val="20"/>
          <w:lang w:eastAsia="es-CO"/>
        </w:rPr>
      </w:pPr>
      <w:r w:rsidRPr="00C41F14">
        <w:rPr>
          <w:rFonts w:ascii="Century Gothic" w:eastAsia="Times New Roman" w:hAnsi="Century Gothic" w:cs="Arial"/>
          <w:sz w:val="20"/>
          <w:szCs w:val="20"/>
          <w:lang w:eastAsia="es-CO"/>
        </w:rPr>
        <w:t>Según el artículo 2.2.1.1.1.5.3. del Decreto 1082 de 2015, son indicadores de capacidad financiera que las entidades pueden incluir en sus procesos de selección, los siguientes: i) el índice de liquidez, que corresponde a la división entre el activo corriente y el pasivo corriente, y que determina la capacidad que tiene el proponente para cumplir con sus obligaciones de corto plazo; ii) el índice de endeudamiento, que se calcula dividiendo el pasivo total por el activo total, el cual determina el grado de endeudamiento en la estructura de financiación del proponente; y iii) la razón de cobertura de intereses, que es igual a la utilidad operacional, sobre los gastos de intereses, y que refleja la capacidad del proponente para cumplir con sus obligaciones financieras.</w:t>
      </w:r>
    </w:p>
    <w:p w14:paraId="37E32224" w14:textId="77777777" w:rsidR="00C41F14" w:rsidRPr="00C41F14" w:rsidRDefault="00C41F14" w:rsidP="00C41F14">
      <w:pPr>
        <w:spacing w:after="0" w:line="240" w:lineRule="auto"/>
        <w:jc w:val="both"/>
        <w:rPr>
          <w:rFonts w:ascii="Century Gothic" w:eastAsia="Times New Roman" w:hAnsi="Century Gothic" w:cs="Arial"/>
          <w:sz w:val="20"/>
          <w:szCs w:val="20"/>
          <w:lang w:eastAsia="es-CO"/>
        </w:rPr>
      </w:pPr>
    </w:p>
    <w:p w14:paraId="1FA19D91" w14:textId="77777777" w:rsidR="00C41F14" w:rsidRPr="00C41F14" w:rsidRDefault="00C41F14" w:rsidP="00C41F14">
      <w:pPr>
        <w:spacing w:after="0" w:line="240" w:lineRule="auto"/>
        <w:jc w:val="both"/>
        <w:rPr>
          <w:rFonts w:ascii="Century Gothic" w:eastAsia="Times New Roman" w:hAnsi="Century Gothic" w:cs="Arial"/>
          <w:sz w:val="20"/>
          <w:szCs w:val="20"/>
          <w:lang w:eastAsia="es-CO"/>
        </w:rPr>
      </w:pPr>
      <w:r w:rsidRPr="00C41F14">
        <w:rPr>
          <w:rFonts w:ascii="Century Gothic" w:eastAsia="Times New Roman" w:hAnsi="Century Gothic" w:cs="Arial"/>
          <w:sz w:val="20"/>
          <w:szCs w:val="20"/>
          <w:lang w:eastAsia="es-CO"/>
        </w:rPr>
        <w:t xml:space="preserve">Adicionalmente, la Agencia recomienda valorar otro tipo de indicadores como el capital de trabajo, la razón de efectivo, la denominada prueba ácida18, la concentración de </w:t>
      </w:r>
      <w:r w:rsidRPr="00C41F14">
        <w:rPr>
          <w:rFonts w:ascii="Century Gothic" w:eastAsia="Times New Roman" w:hAnsi="Century Gothic" w:cs="Arial"/>
          <w:sz w:val="20"/>
          <w:szCs w:val="20"/>
          <w:lang w:eastAsia="es-CO"/>
        </w:rPr>
        <w:lastRenderedPageBreak/>
        <w:t>endeudamiento a corto y a largo plazo y el patrimonio19. Por su parte, según el artículo 2.2.1.1.1.5.3., numeral 4, del Decreto 1082 de 2015, los indicadores para medir la capacidad organizacional de un proponente son: por un lado, la rentabilidad del patrimonio,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w:t>
      </w:r>
    </w:p>
    <w:p w14:paraId="16267907" w14:textId="77777777" w:rsidR="00C41F14" w:rsidRPr="00C41F14" w:rsidRDefault="00C41F14" w:rsidP="00C41F14">
      <w:pPr>
        <w:spacing w:after="0" w:line="240" w:lineRule="auto"/>
        <w:jc w:val="both"/>
        <w:rPr>
          <w:rFonts w:ascii="Century Gothic" w:eastAsia="Times New Roman" w:hAnsi="Century Gothic" w:cs="Arial"/>
          <w:sz w:val="20"/>
          <w:szCs w:val="20"/>
          <w:lang w:eastAsia="es-CO"/>
        </w:rPr>
      </w:pPr>
    </w:p>
    <w:p w14:paraId="5CFDC19B" w14:textId="77777777" w:rsidR="00C41F14" w:rsidRPr="00C41F14" w:rsidRDefault="00C41F14" w:rsidP="00C41F14">
      <w:pPr>
        <w:spacing w:after="0" w:line="240" w:lineRule="auto"/>
        <w:jc w:val="both"/>
        <w:textAlignment w:val="baseline"/>
        <w:rPr>
          <w:rFonts w:ascii="Century Gothic" w:eastAsia="Times New Roman" w:hAnsi="Century Gothic" w:cs="Arial"/>
          <w:sz w:val="20"/>
          <w:szCs w:val="20"/>
          <w:lang w:eastAsia="es-CO"/>
        </w:rPr>
      </w:pPr>
      <w:r w:rsidRPr="00C41F14">
        <w:rPr>
          <w:rFonts w:ascii="Century Gothic" w:eastAsia="Times New Roman" w:hAnsi="Century Gothic" w:cs="Arial"/>
          <w:sz w:val="20"/>
          <w:szCs w:val="20"/>
          <w:lang w:eastAsia="es-CO"/>
        </w:rPr>
        <w:t xml:space="preserve">Por el otro, la rentabilidad del activo,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 A juicio de esta Agencia, también son relevantes los siguientes indicadores, pero únicamente en aquellos casos en los que, por las características del objeto a contratar, la naturaleza o la complejidad del proceso de contratación, se requieran: i) margen bruto; ii) margen operacional; iii) margen neto; </w:t>
      </w:r>
      <w:proofErr w:type="spellStart"/>
      <w:r w:rsidRPr="00C41F14">
        <w:rPr>
          <w:rFonts w:ascii="Century Gothic" w:eastAsia="Times New Roman" w:hAnsi="Century Gothic" w:cs="Arial"/>
          <w:sz w:val="20"/>
          <w:szCs w:val="20"/>
          <w:lang w:eastAsia="es-CO"/>
        </w:rPr>
        <w:t>iv</w:t>
      </w:r>
      <w:proofErr w:type="spellEnd"/>
      <w:r w:rsidRPr="00C41F14">
        <w:rPr>
          <w:rFonts w:ascii="Century Gothic" w:eastAsia="Times New Roman" w:hAnsi="Century Gothic" w:cs="Arial"/>
          <w:sz w:val="20"/>
          <w:szCs w:val="20"/>
          <w:lang w:eastAsia="es-CO"/>
        </w:rPr>
        <w:t xml:space="preserve">) retorno sobre capital invertido; v) rotación de activos totales; vi) rotación de activos fijos; y </w:t>
      </w:r>
      <w:proofErr w:type="spellStart"/>
      <w:r w:rsidRPr="00C41F14">
        <w:rPr>
          <w:rFonts w:ascii="Century Gothic" w:eastAsia="Times New Roman" w:hAnsi="Century Gothic" w:cs="Arial"/>
          <w:sz w:val="20"/>
          <w:szCs w:val="20"/>
          <w:lang w:eastAsia="es-CO"/>
        </w:rPr>
        <w:t>vii</w:t>
      </w:r>
      <w:proofErr w:type="spellEnd"/>
      <w:r w:rsidRPr="00C41F14">
        <w:rPr>
          <w:rFonts w:ascii="Century Gothic" w:eastAsia="Times New Roman" w:hAnsi="Century Gothic" w:cs="Arial"/>
          <w:sz w:val="20"/>
          <w:szCs w:val="20"/>
          <w:lang w:eastAsia="es-CO"/>
        </w:rPr>
        <w:t>) rotación de inventarios.</w:t>
      </w:r>
    </w:p>
    <w:p w14:paraId="0DF93CC4" w14:textId="77777777" w:rsidR="00C41F14" w:rsidRPr="00C41F14" w:rsidRDefault="00C41F14" w:rsidP="00C41F14">
      <w:pPr>
        <w:spacing w:after="0" w:line="240" w:lineRule="auto"/>
        <w:jc w:val="both"/>
        <w:textAlignment w:val="baseline"/>
        <w:rPr>
          <w:rFonts w:ascii="Century Gothic" w:eastAsia="Times New Roman" w:hAnsi="Century Gothic" w:cs="Arial"/>
          <w:b/>
          <w:color w:val="000000" w:themeColor="text1"/>
          <w:sz w:val="20"/>
          <w:szCs w:val="20"/>
          <w:lang w:eastAsia="es-CO"/>
        </w:rPr>
      </w:pPr>
    </w:p>
    <w:p w14:paraId="2D9CDC6F" w14:textId="77777777" w:rsidR="00C41F14" w:rsidRPr="00C41F14" w:rsidRDefault="00C41F14" w:rsidP="00C41F14">
      <w:pPr>
        <w:spacing w:after="0" w:line="240" w:lineRule="auto"/>
        <w:jc w:val="both"/>
        <w:textAlignment w:val="baseline"/>
        <w:rPr>
          <w:rFonts w:ascii="Century Gothic" w:eastAsia="Calibri" w:hAnsi="Century Gothic" w:cs="Arial"/>
          <w:b/>
          <w:lang w:val="es-MX" w:eastAsia="es-ES_tradnl"/>
        </w:rPr>
      </w:pPr>
      <w:r w:rsidRPr="00C41F14">
        <w:rPr>
          <w:rFonts w:ascii="Century Gothic" w:eastAsia="Calibri" w:hAnsi="Century Gothic" w:cs="Arial"/>
          <w:b/>
          <w:lang w:val="es-MX" w:eastAsia="es-ES_tradnl"/>
        </w:rPr>
        <w:t xml:space="preserve">EXPERIENCIA – Noción </w:t>
      </w:r>
      <w:r w:rsidRPr="00C41F14">
        <w:rPr>
          <w:rFonts w:ascii="Arial" w:eastAsia="Calibri" w:hAnsi="Arial" w:cs="Arial"/>
          <w:b/>
          <w:lang w:val="es-MX" w:eastAsia="es-ES_tradnl"/>
        </w:rPr>
        <w:t>‒</w:t>
      </w:r>
      <w:r w:rsidRPr="00C41F14">
        <w:rPr>
          <w:rFonts w:ascii="Century Gothic" w:eastAsia="Calibri" w:hAnsi="Century Gothic" w:cs="Arial"/>
          <w:b/>
          <w:lang w:val="es-MX" w:eastAsia="es-ES_tradnl"/>
        </w:rPr>
        <w:t xml:space="preserve"> Colombia Compra Eficiente</w:t>
      </w:r>
    </w:p>
    <w:p w14:paraId="75C14EC2" w14:textId="77777777" w:rsidR="00C41F14" w:rsidRPr="00C41F14" w:rsidRDefault="00C41F14" w:rsidP="00C41F14">
      <w:pPr>
        <w:spacing w:after="0" w:line="240" w:lineRule="auto"/>
        <w:jc w:val="both"/>
        <w:textAlignment w:val="baseline"/>
        <w:rPr>
          <w:rFonts w:ascii="Century Gothic" w:eastAsia="Calibri" w:hAnsi="Century Gothic" w:cs="Arial"/>
          <w:bCs/>
          <w:sz w:val="20"/>
          <w:szCs w:val="20"/>
          <w:lang w:val="es-MX" w:eastAsia="es-ES_tradnl"/>
        </w:rPr>
      </w:pPr>
    </w:p>
    <w:p w14:paraId="13F770C6" w14:textId="77777777" w:rsidR="00C41F14" w:rsidRPr="00C41F14" w:rsidRDefault="00C41F14" w:rsidP="00C41F14">
      <w:pPr>
        <w:spacing w:after="0" w:line="240" w:lineRule="auto"/>
        <w:jc w:val="both"/>
        <w:textAlignment w:val="baseline"/>
        <w:rPr>
          <w:rFonts w:ascii="Century Gothic" w:eastAsia="Calibri" w:hAnsi="Century Gothic" w:cs="Arial"/>
          <w:bCs/>
          <w:sz w:val="20"/>
          <w:szCs w:val="20"/>
          <w:lang w:val="es-MX" w:eastAsia="es-ES_tradnl"/>
        </w:rPr>
      </w:pPr>
      <w:r w:rsidRPr="00C41F14">
        <w:rPr>
          <w:rFonts w:ascii="Century Gothic" w:eastAsia="Calibri" w:hAnsi="Century Gothic" w:cs="Arial"/>
          <w:bCs/>
          <w:sz w:val="20"/>
          <w:szCs w:val="20"/>
          <w:lang w:val="es-MX" w:eastAsia="es-ES_tradnl"/>
        </w:rPr>
        <w:t>Por lo demás, el “Manual para determinar y verificar requisitos habilitantes en los procesos de contratación”, indica que la experiencia tiene un carácter personal, lo cual significa que la experiencia se obtiene en razón a la participación, con anterioridad, en actividades que le permitieron conocer cómo ejecutar determinado objeto contractual, que la entidad ahora pretende desarrollar.</w:t>
      </w:r>
    </w:p>
    <w:p w14:paraId="16AE1EFE" w14:textId="77777777" w:rsidR="00C41F14" w:rsidRPr="00C41F14" w:rsidRDefault="00C41F14" w:rsidP="00C41F14">
      <w:pPr>
        <w:spacing w:after="0" w:line="240" w:lineRule="auto"/>
        <w:jc w:val="both"/>
        <w:textAlignment w:val="baseline"/>
        <w:rPr>
          <w:rFonts w:ascii="Century Gothic" w:eastAsia="Calibri" w:hAnsi="Century Gothic" w:cs="Arial"/>
          <w:bCs/>
          <w:sz w:val="20"/>
          <w:szCs w:val="20"/>
          <w:lang w:val="es-MX" w:eastAsia="es-ES_tradnl"/>
        </w:rPr>
      </w:pPr>
    </w:p>
    <w:p w14:paraId="30E7BF8E" w14:textId="77777777" w:rsidR="00C41F14" w:rsidRPr="00C41F14" w:rsidRDefault="00C41F14" w:rsidP="00C41F14">
      <w:pPr>
        <w:spacing w:after="0" w:line="240" w:lineRule="auto"/>
        <w:jc w:val="both"/>
        <w:textAlignment w:val="baseline"/>
        <w:rPr>
          <w:rFonts w:ascii="Century Gothic" w:eastAsia="Calibri" w:hAnsi="Century Gothic" w:cs="Arial"/>
          <w:bCs/>
          <w:sz w:val="20"/>
          <w:szCs w:val="20"/>
          <w:lang w:val="es-MX" w:eastAsia="es-ES_tradnl"/>
        </w:rPr>
      </w:pPr>
      <w:r w:rsidRPr="00C41F14">
        <w:rPr>
          <w:rFonts w:ascii="Century Gothic" w:eastAsia="Calibri" w:hAnsi="Century Gothic" w:cs="Arial"/>
          <w:bCs/>
          <w:sz w:val="20"/>
          <w:szCs w:val="20"/>
          <w:lang w:val="es-MX" w:eastAsia="es-ES_tradnl"/>
        </w:rPr>
        <w:t>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w:t>
      </w:r>
    </w:p>
    <w:p w14:paraId="45AC76CA" w14:textId="77777777" w:rsidR="00C41F14" w:rsidRPr="00C41F14" w:rsidRDefault="00C41F14" w:rsidP="00C41F14">
      <w:pPr>
        <w:spacing w:after="0" w:line="240" w:lineRule="auto"/>
        <w:jc w:val="both"/>
        <w:rPr>
          <w:rFonts w:ascii="Century Gothic" w:eastAsia="Times New Roman" w:hAnsi="Century Gothic" w:cs="Arial"/>
          <w:sz w:val="20"/>
          <w:szCs w:val="20"/>
          <w:lang w:val="es-MX" w:eastAsia="es-MX"/>
        </w:rPr>
      </w:pPr>
    </w:p>
    <w:p w14:paraId="0455F2D0" w14:textId="77777777" w:rsidR="00C41F14" w:rsidRPr="00C41F14" w:rsidRDefault="00C41F14" w:rsidP="00C41F14">
      <w:pPr>
        <w:spacing w:after="0" w:line="240" w:lineRule="auto"/>
        <w:jc w:val="both"/>
        <w:rPr>
          <w:rFonts w:ascii="Arial" w:eastAsia="Times New Roman" w:hAnsi="Arial" w:cs="Arial"/>
          <w:sz w:val="20"/>
          <w:szCs w:val="20"/>
          <w:lang w:eastAsia="es-MX"/>
        </w:rPr>
      </w:pPr>
    </w:p>
    <w:p w14:paraId="7050B75A" w14:textId="77777777" w:rsidR="00C41F14" w:rsidRPr="00C41F14" w:rsidRDefault="00C41F14" w:rsidP="00C41F14">
      <w:pPr>
        <w:spacing w:after="0" w:line="240" w:lineRule="auto"/>
        <w:jc w:val="both"/>
        <w:rPr>
          <w:rFonts w:ascii="Arial" w:eastAsia="Times New Roman" w:hAnsi="Arial" w:cs="Arial"/>
          <w:sz w:val="20"/>
          <w:szCs w:val="20"/>
          <w:lang w:eastAsia="es-MX"/>
        </w:rPr>
      </w:pPr>
    </w:p>
    <w:p w14:paraId="6396F4D3" w14:textId="77777777" w:rsidR="00C41F14" w:rsidRPr="00C41F14" w:rsidRDefault="00C41F14" w:rsidP="00C41F14">
      <w:pPr>
        <w:spacing w:after="0" w:line="240" w:lineRule="auto"/>
        <w:jc w:val="both"/>
        <w:rPr>
          <w:rFonts w:ascii="Arial" w:eastAsia="Times New Roman" w:hAnsi="Arial" w:cs="Arial"/>
          <w:sz w:val="20"/>
          <w:szCs w:val="20"/>
          <w:lang w:eastAsia="es-MX"/>
        </w:rPr>
      </w:pPr>
    </w:p>
    <w:p w14:paraId="313B29AE" w14:textId="77777777" w:rsidR="00C41F14" w:rsidRPr="00C41F14" w:rsidRDefault="00C41F14" w:rsidP="00C41F14">
      <w:pPr>
        <w:spacing w:after="0" w:line="240" w:lineRule="auto"/>
        <w:jc w:val="both"/>
        <w:rPr>
          <w:rFonts w:ascii="Arial" w:eastAsia="Times New Roman" w:hAnsi="Arial" w:cs="Arial"/>
          <w:sz w:val="20"/>
          <w:szCs w:val="20"/>
          <w:lang w:eastAsia="es-MX"/>
        </w:rPr>
      </w:pPr>
    </w:p>
    <w:p w14:paraId="45BAC8AF" w14:textId="77777777" w:rsidR="00C41F14" w:rsidRPr="00C41F14" w:rsidRDefault="00C41F14" w:rsidP="00C41F14">
      <w:pPr>
        <w:spacing w:after="0" w:line="240" w:lineRule="auto"/>
        <w:jc w:val="both"/>
        <w:rPr>
          <w:rFonts w:ascii="Arial" w:eastAsia="Times New Roman" w:hAnsi="Arial" w:cs="Arial"/>
          <w:sz w:val="20"/>
          <w:szCs w:val="20"/>
          <w:lang w:eastAsia="es-MX"/>
        </w:rPr>
      </w:pPr>
    </w:p>
    <w:p w14:paraId="712A5283" w14:textId="77777777" w:rsidR="00C41F14" w:rsidRDefault="00C41F14" w:rsidP="00E245AB">
      <w:pPr>
        <w:spacing w:after="0"/>
        <w:rPr>
          <w:rFonts w:ascii="Century Gothic" w:hAnsi="Century Gothic"/>
        </w:rPr>
      </w:pPr>
    </w:p>
    <w:p w14:paraId="3FE2184B" w14:textId="326F4156" w:rsidR="00E245AB" w:rsidRDefault="00E245AB" w:rsidP="00E245AB">
      <w:pPr>
        <w:spacing w:after="0"/>
        <w:rPr>
          <w:rFonts w:ascii="Century Gothic" w:hAnsi="Century Gothic"/>
        </w:rPr>
      </w:pPr>
      <w:r w:rsidRPr="00322A85">
        <w:rPr>
          <w:rFonts w:ascii="Century Gothic" w:hAnsi="Century Gothic"/>
        </w:rPr>
        <w:t xml:space="preserve">Bogotá D.C., </w:t>
      </w:r>
      <w:r w:rsidR="00891928" w:rsidRPr="00322A85">
        <w:rPr>
          <w:rFonts w:ascii="Century Gothic" w:hAnsi="Century Gothic"/>
        </w:rPr>
        <w:t>[Día]</w:t>
      </w:r>
      <w:r w:rsidR="005A2340">
        <w:rPr>
          <w:rFonts w:ascii="Century Gothic" w:hAnsi="Century Gothic"/>
        </w:rPr>
        <w:t xml:space="preserve"> </w:t>
      </w:r>
      <w:r w:rsidR="00891928" w:rsidRPr="00322A85">
        <w:rPr>
          <w:rFonts w:ascii="Century Gothic" w:hAnsi="Century Gothic"/>
        </w:rPr>
        <w:t>[Mes</w:t>
      </w:r>
      <w:r w:rsidR="005A2340">
        <w:rPr>
          <w:rFonts w:ascii="Century Gothic" w:hAnsi="Century Gothic"/>
        </w:rPr>
        <w:t>.</w:t>
      </w:r>
      <w:r w:rsidR="00891928" w:rsidRPr="00322A85">
        <w:rPr>
          <w:rFonts w:ascii="Century Gothic" w:hAnsi="Century Gothic"/>
        </w:rPr>
        <w:t>NombreCapitalizado]</w:t>
      </w:r>
      <w:r w:rsidR="005A2340">
        <w:rPr>
          <w:rFonts w:ascii="Century Gothic" w:hAnsi="Century Gothic"/>
        </w:rPr>
        <w:t xml:space="preserve"> </w:t>
      </w:r>
      <w:r w:rsidR="00891928" w:rsidRPr="00322A85">
        <w:rPr>
          <w:rFonts w:ascii="Century Gothic" w:hAnsi="Century Gothic"/>
        </w:rPr>
        <w:t>[Año]</w:t>
      </w:r>
    </w:p>
    <w:p w14:paraId="60E846D6" w14:textId="77777777" w:rsidR="000F64AE" w:rsidRDefault="000F64AE" w:rsidP="00E245AB">
      <w:pPr>
        <w:spacing w:after="0"/>
        <w:rPr>
          <w:rFonts w:ascii="Century Gothic" w:hAnsi="Century Gothic"/>
        </w:rPr>
      </w:pPr>
    </w:p>
    <w:p w14:paraId="54A43024" w14:textId="77777777" w:rsidR="000F64AE" w:rsidRPr="000F64AE" w:rsidRDefault="000F64AE" w:rsidP="000F64AE">
      <w:pPr>
        <w:spacing w:after="0" w:line="276" w:lineRule="auto"/>
        <w:contextualSpacing/>
        <w:jc w:val="both"/>
        <w:rPr>
          <w:rFonts w:ascii="Century Gothic" w:eastAsia="Calibri" w:hAnsi="Century Gothic" w:cs="Arial"/>
          <w:lang w:eastAsia="es-CO"/>
        </w:rPr>
      </w:pPr>
      <w:r w:rsidRPr="000F64AE">
        <w:rPr>
          <w:rFonts w:ascii="Century Gothic" w:eastAsia="Calibri" w:hAnsi="Century Gothic" w:cs="Arial"/>
          <w:lang w:eastAsia="es-CO"/>
        </w:rPr>
        <w:t>Señora</w:t>
      </w:r>
    </w:p>
    <w:p w14:paraId="39D7BAC2" w14:textId="77777777" w:rsidR="000F64AE" w:rsidRPr="000F64AE" w:rsidRDefault="000F64AE" w:rsidP="000F64AE">
      <w:pPr>
        <w:spacing w:after="0" w:line="276" w:lineRule="auto"/>
        <w:contextualSpacing/>
        <w:rPr>
          <w:rFonts w:ascii="Century Gothic" w:eastAsia="Calibri" w:hAnsi="Century Gothic" w:cs="Arial"/>
          <w:b/>
          <w:bCs/>
          <w:lang w:eastAsia="es-CO"/>
        </w:rPr>
      </w:pPr>
      <w:r w:rsidRPr="000F64AE">
        <w:rPr>
          <w:rFonts w:ascii="Century Gothic" w:eastAsia="Calibri" w:hAnsi="Century Gothic" w:cs="Arial"/>
          <w:b/>
          <w:bCs/>
          <w:lang w:eastAsia="es-CO"/>
        </w:rPr>
        <w:t>Yury Alexandra Salamanca López</w:t>
      </w:r>
    </w:p>
    <w:p w14:paraId="24246A9D" w14:textId="77777777" w:rsidR="000F64AE" w:rsidRPr="000F64AE" w:rsidRDefault="00607159" w:rsidP="000F64AE">
      <w:pPr>
        <w:spacing w:after="0" w:line="276" w:lineRule="auto"/>
        <w:contextualSpacing/>
        <w:rPr>
          <w:rFonts w:ascii="Century Gothic" w:eastAsia="Calibri" w:hAnsi="Century Gothic" w:cs="Arial"/>
          <w:lang w:eastAsia="es-CO"/>
        </w:rPr>
      </w:pPr>
      <w:hyperlink r:id="rId10" w:history="1">
        <w:r w:rsidR="000F64AE" w:rsidRPr="000F64AE">
          <w:rPr>
            <w:rFonts w:ascii="Century Gothic" w:eastAsia="Calibri" w:hAnsi="Century Gothic" w:cs="Arial"/>
            <w:color w:val="0563C1" w:themeColor="hyperlink"/>
            <w:u w:val="single"/>
            <w:lang w:eastAsia="es-CO"/>
          </w:rPr>
          <w:t>ximteconsultores@gmail.com</w:t>
        </w:r>
      </w:hyperlink>
    </w:p>
    <w:p w14:paraId="241ABD1D" w14:textId="77777777" w:rsidR="000F64AE" w:rsidRPr="000F64AE" w:rsidRDefault="000F64AE" w:rsidP="000F64AE">
      <w:pPr>
        <w:spacing w:after="0" w:line="276" w:lineRule="auto"/>
        <w:contextualSpacing/>
        <w:rPr>
          <w:rFonts w:ascii="Century Gothic" w:eastAsia="Calibri" w:hAnsi="Century Gothic" w:cs="Arial"/>
          <w:lang w:eastAsia="es-CO"/>
        </w:rPr>
      </w:pPr>
      <w:r w:rsidRPr="000F64AE">
        <w:rPr>
          <w:rFonts w:ascii="Century Gothic" w:eastAsia="Calibri" w:hAnsi="Century Gothic" w:cs="Arial"/>
          <w:lang w:eastAsia="es-CO"/>
        </w:rPr>
        <w:t>Nobsa, Boyacá</w:t>
      </w:r>
    </w:p>
    <w:p w14:paraId="30D5BE3A" w14:textId="77777777" w:rsidR="000F64AE" w:rsidRPr="000F64AE" w:rsidRDefault="000F64AE" w:rsidP="000F64AE">
      <w:pPr>
        <w:spacing w:after="0" w:line="240" w:lineRule="auto"/>
        <w:contextualSpacing/>
        <w:rPr>
          <w:rFonts w:ascii="Century Gothic" w:eastAsia="Calibri" w:hAnsi="Century Gothic" w:cs="Arial"/>
          <w:szCs w:val="24"/>
          <w:lang w:eastAsia="es-CO"/>
        </w:rPr>
      </w:pPr>
    </w:p>
    <w:p w14:paraId="12EF95DC" w14:textId="77777777" w:rsidR="000F64AE" w:rsidRPr="000F64AE" w:rsidRDefault="000F64AE" w:rsidP="000F64AE">
      <w:pPr>
        <w:spacing w:after="0" w:line="240" w:lineRule="auto"/>
        <w:ind w:right="571"/>
        <w:contextualSpacing/>
        <w:jc w:val="center"/>
        <w:rPr>
          <w:rFonts w:ascii="Century Gothic" w:eastAsia="Calibri" w:hAnsi="Century Gothic" w:cs="Arial"/>
          <w:szCs w:val="24"/>
          <w:lang w:eastAsia="es-CO"/>
        </w:rPr>
      </w:pPr>
      <w:r w:rsidRPr="000F64AE">
        <w:rPr>
          <w:rFonts w:ascii="Century Gothic" w:eastAsia="Calibri" w:hAnsi="Century Gothic" w:cs="Arial"/>
          <w:b/>
          <w:bCs/>
          <w:szCs w:val="24"/>
          <w:lang w:eastAsia="es-CO"/>
        </w:rPr>
        <w:t>Concepto C-432 de 2023</w:t>
      </w:r>
    </w:p>
    <w:p w14:paraId="0C54C3C9" w14:textId="77777777" w:rsidR="000F64AE" w:rsidRPr="000F64AE" w:rsidRDefault="000F64AE" w:rsidP="000F64AE">
      <w:pPr>
        <w:spacing w:after="0" w:line="240" w:lineRule="auto"/>
        <w:jc w:val="both"/>
        <w:rPr>
          <w:rFonts w:ascii="Century Gothic" w:eastAsia="Calibri" w:hAnsi="Century Gothic" w:cs="Arial"/>
          <w:szCs w:val="24"/>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0F64AE" w:rsidRPr="000F64AE" w14:paraId="254B788A" w14:textId="77777777" w:rsidTr="006D2198">
        <w:trPr>
          <w:jc w:val="right"/>
        </w:trPr>
        <w:tc>
          <w:tcPr>
            <w:tcW w:w="1838" w:type="dxa"/>
          </w:tcPr>
          <w:p w14:paraId="2AE7A59A" w14:textId="77777777" w:rsidR="000F64AE" w:rsidRPr="000F64AE" w:rsidRDefault="000F64AE" w:rsidP="000F64AE">
            <w:pPr>
              <w:jc w:val="center"/>
              <w:rPr>
                <w:rFonts w:ascii="Century Gothic" w:eastAsia="Calibri" w:hAnsi="Century Gothic" w:cs="Arial"/>
                <w:szCs w:val="24"/>
                <w:lang w:val="es-ES_tradnl" w:eastAsia="es-ES_tradnl"/>
              </w:rPr>
            </w:pPr>
            <w:r w:rsidRPr="000F64AE">
              <w:rPr>
                <w:rFonts w:ascii="Century Gothic" w:eastAsia="Calibri" w:hAnsi="Century Gothic" w:cs="Arial"/>
                <w:b/>
                <w:szCs w:val="24"/>
                <w:lang w:val="es-ES_tradnl" w:eastAsia="es-ES_tradnl"/>
              </w:rPr>
              <w:t>Temas:</w:t>
            </w:r>
          </w:p>
        </w:tc>
        <w:tc>
          <w:tcPr>
            <w:tcW w:w="6237" w:type="dxa"/>
          </w:tcPr>
          <w:p w14:paraId="13C8C589" w14:textId="77777777" w:rsidR="000F64AE" w:rsidRPr="000F64AE" w:rsidRDefault="000F64AE" w:rsidP="000F64AE">
            <w:pPr>
              <w:spacing w:line="276" w:lineRule="auto"/>
              <w:jc w:val="both"/>
              <w:rPr>
                <w:rFonts w:ascii="Century Gothic" w:eastAsia="Calibri" w:hAnsi="Century Gothic" w:cs="Arial"/>
                <w:szCs w:val="24"/>
                <w:lang w:val="es-ES_tradnl" w:eastAsia="es-ES_tradnl"/>
              </w:rPr>
            </w:pPr>
            <w:r w:rsidRPr="000F64AE">
              <w:rPr>
                <w:rFonts w:ascii="Century Gothic" w:eastAsia="Calibri" w:hAnsi="Century Gothic" w:cs="Arial"/>
                <w:szCs w:val="24"/>
                <w:lang w:eastAsia="es-ES_tradnl"/>
              </w:rPr>
              <w:t>COLOMBIA COMPRA EFICIENTE – Competencia Consultiva – Contratación Estatal – Normas Generales</w:t>
            </w:r>
            <w:r w:rsidRPr="000F64AE">
              <w:rPr>
                <w:rFonts w:ascii="Century Gothic" w:eastAsia="Calibri" w:hAnsi="Century Gothic" w:cs="Arial"/>
                <w:szCs w:val="24"/>
                <w:lang w:val="es-ES_tradnl" w:eastAsia="es-ES_tradnl"/>
              </w:rPr>
              <w:t xml:space="preserve"> / </w:t>
            </w:r>
            <w:r w:rsidRPr="000F64AE">
              <w:rPr>
                <w:rFonts w:ascii="Century Gothic" w:eastAsia="Times New Roman" w:hAnsi="Century Gothic" w:cs="Arial"/>
                <w:bCs/>
                <w:color w:val="000000" w:themeColor="text1"/>
                <w:lang w:eastAsia="es-CO"/>
              </w:rPr>
              <w:t xml:space="preserve">REQUISITOS HABILITANTES – Noción / REQUISITOS HABILITANTES – </w:t>
            </w:r>
            <w:r w:rsidRPr="000F64AE">
              <w:rPr>
                <w:rFonts w:ascii="Century Gothic" w:eastAsia="Times New Roman" w:hAnsi="Century Gothic" w:cs="Arial"/>
                <w:lang w:val="es-ES" w:eastAsia="es-CO"/>
              </w:rPr>
              <w:t xml:space="preserve">Carácter enunciativo </w:t>
            </w:r>
            <w:r w:rsidRPr="000F64AE">
              <w:rPr>
                <w:rFonts w:ascii="Century Gothic" w:eastAsia="Times New Roman" w:hAnsi="Century Gothic" w:cs="Arial"/>
                <w:lang w:eastAsia="es-CO"/>
              </w:rPr>
              <w:t xml:space="preserve">/ </w:t>
            </w:r>
            <w:r w:rsidRPr="000F64AE">
              <w:rPr>
                <w:rFonts w:ascii="Century Gothic" w:eastAsia="Times New Roman" w:hAnsi="Century Gothic" w:cs="Arial"/>
                <w:color w:val="000000"/>
                <w:lang w:val="es-ES" w:eastAsia="es-CO"/>
              </w:rPr>
              <w:t xml:space="preserve">REQUISITOS HABILITANTES </w:t>
            </w:r>
            <w:r w:rsidRPr="000F64AE">
              <w:rPr>
                <w:rFonts w:ascii="Century Gothic" w:eastAsia="Times New Roman" w:hAnsi="Century Gothic" w:cs="Arial"/>
                <w:bCs/>
                <w:color w:val="000000" w:themeColor="text1"/>
                <w:lang w:eastAsia="es-CO"/>
              </w:rPr>
              <w:t xml:space="preserve">– </w:t>
            </w:r>
            <w:r w:rsidRPr="000F64AE">
              <w:rPr>
                <w:rFonts w:ascii="Century Gothic" w:eastAsia="Times New Roman" w:hAnsi="Century Gothic" w:cs="Arial"/>
                <w:color w:val="000000"/>
                <w:lang w:val="es-ES" w:eastAsia="es-CO"/>
              </w:rPr>
              <w:t>Autonomía de la voluntad de las entidades estatales para establecerlos</w:t>
            </w:r>
            <w:r w:rsidRPr="000F64AE">
              <w:rPr>
                <w:rFonts w:ascii="Century Gothic" w:eastAsia="Times New Roman" w:hAnsi="Century Gothic" w:cs="Arial"/>
                <w:color w:val="000000"/>
                <w:lang w:eastAsia="es-CO"/>
              </w:rPr>
              <w:t xml:space="preserve"> </w:t>
            </w:r>
            <w:r w:rsidRPr="000F64AE">
              <w:rPr>
                <w:rFonts w:ascii="Century Gothic" w:eastAsia="Times New Roman" w:hAnsi="Century Gothic" w:cs="Arial"/>
                <w:bCs/>
                <w:color w:val="000000" w:themeColor="text1"/>
                <w:lang w:eastAsia="es-CO"/>
              </w:rPr>
              <w:t xml:space="preserve">/ CAPACIDAD FINANCIERA Y ORGANIZACIONAL – Conceptos – Requisitos habilitantes – Opciones – Cálculo / </w:t>
            </w:r>
            <w:r w:rsidRPr="000F64AE">
              <w:rPr>
                <w:rFonts w:ascii="Century Gothic" w:eastAsia="Calibri" w:hAnsi="Century Gothic" w:cs="Arial"/>
                <w:bCs/>
                <w:lang w:val="es-MX" w:eastAsia="es-ES_tradnl"/>
              </w:rPr>
              <w:t xml:space="preserve">EXPERIENCIA – Noción </w:t>
            </w:r>
            <w:r w:rsidRPr="000F64AE">
              <w:rPr>
                <w:rFonts w:ascii="Arial" w:eastAsia="Calibri" w:hAnsi="Arial" w:cs="Arial"/>
                <w:bCs/>
                <w:lang w:val="es-MX" w:eastAsia="es-ES_tradnl"/>
              </w:rPr>
              <w:t>‒</w:t>
            </w:r>
            <w:r w:rsidRPr="000F64AE">
              <w:rPr>
                <w:rFonts w:ascii="Century Gothic" w:eastAsia="Calibri" w:hAnsi="Century Gothic" w:cs="Arial"/>
                <w:bCs/>
                <w:lang w:val="es-MX" w:eastAsia="es-ES_tradnl"/>
              </w:rPr>
              <w:t xml:space="preserve"> Colombia Compra Eficiente / SOCIEDADES NUEVAS </w:t>
            </w:r>
            <w:r w:rsidRPr="000F64AE">
              <w:rPr>
                <w:rFonts w:ascii="Arial" w:eastAsia="Calibri" w:hAnsi="Arial" w:cs="Arial"/>
                <w:bCs/>
                <w:lang w:val="es-MX" w:eastAsia="es-ES_tradnl"/>
              </w:rPr>
              <w:t>‒</w:t>
            </w:r>
            <w:r w:rsidRPr="000F64AE">
              <w:rPr>
                <w:rFonts w:ascii="Century Gothic" w:eastAsia="Calibri" w:hAnsi="Century Gothic" w:cs="Arial"/>
                <w:bCs/>
                <w:lang w:val="es-MX" w:eastAsia="es-ES_tradnl"/>
              </w:rPr>
              <w:t xml:space="preserve"> Experiencia </w:t>
            </w:r>
            <w:r w:rsidRPr="000F64AE">
              <w:rPr>
                <w:rFonts w:ascii="Arial" w:eastAsia="Calibri" w:hAnsi="Arial" w:cs="Arial"/>
                <w:bCs/>
                <w:lang w:val="es-MX" w:eastAsia="es-ES_tradnl"/>
              </w:rPr>
              <w:t>‒</w:t>
            </w:r>
            <w:r w:rsidRPr="000F64AE">
              <w:rPr>
                <w:rFonts w:ascii="Century Gothic" w:eastAsia="Calibri" w:hAnsi="Century Gothic" w:cs="Arial"/>
                <w:bCs/>
                <w:lang w:val="es-MX" w:eastAsia="es-ES_tradnl"/>
              </w:rPr>
              <w:t xml:space="preserve"> Sociedades </w:t>
            </w:r>
            <w:r w:rsidRPr="000F64AE">
              <w:rPr>
                <w:rFonts w:ascii="Century Gothic" w:eastAsia="Calibri" w:hAnsi="Century Gothic" w:cs="Century Gothic"/>
                <w:bCs/>
                <w:lang w:val="es-MX" w:eastAsia="es-ES_tradnl"/>
              </w:rPr>
              <w:t>–</w:t>
            </w:r>
            <w:r w:rsidRPr="000F64AE">
              <w:rPr>
                <w:rFonts w:ascii="Century Gothic" w:eastAsia="Calibri" w:hAnsi="Century Gothic" w:cs="Arial"/>
                <w:bCs/>
                <w:lang w:val="es-MX" w:eastAsia="es-ES_tradnl"/>
              </w:rPr>
              <w:t xml:space="preserve"> Menor a 3 a</w:t>
            </w:r>
            <w:r w:rsidRPr="000F64AE">
              <w:rPr>
                <w:rFonts w:ascii="Century Gothic" w:eastAsia="Calibri" w:hAnsi="Century Gothic" w:cs="Century Gothic"/>
                <w:bCs/>
                <w:lang w:val="es-MX" w:eastAsia="es-ES_tradnl"/>
              </w:rPr>
              <w:t>ñ</w:t>
            </w:r>
            <w:r w:rsidRPr="000F64AE">
              <w:rPr>
                <w:rFonts w:ascii="Century Gothic" w:eastAsia="Calibri" w:hAnsi="Century Gothic" w:cs="Arial"/>
                <w:bCs/>
                <w:lang w:val="es-MX" w:eastAsia="es-ES_tradnl"/>
              </w:rPr>
              <w:t>os de constituci</w:t>
            </w:r>
            <w:r w:rsidRPr="000F64AE">
              <w:rPr>
                <w:rFonts w:ascii="Century Gothic" w:eastAsia="Calibri" w:hAnsi="Century Gothic" w:cs="Century Gothic"/>
                <w:bCs/>
                <w:lang w:val="es-MX" w:eastAsia="es-ES_tradnl"/>
              </w:rPr>
              <w:t>ó</w:t>
            </w:r>
            <w:r w:rsidRPr="000F64AE">
              <w:rPr>
                <w:rFonts w:ascii="Century Gothic" w:eastAsia="Calibri" w:hAnsi="Century Gothic" w:cs="Arial"/>
                <w:bCs/>
                <w:lang w:val="es-MX" w:eastAsia="es-ES_tradnl"/>
              </w:rPr>
              <w:t xml:space="preserve">n / EXPERIENCIA </w:t>
            </w:r>
            <w:r w:rsidRPr="000F64AE">
              <w:rPr>
                <w:rFonts w:ascii="Century Gothic" w:eastAsia="Calibri" w:hAnsi="Century Gothic" w:cs="Century Gothic"/>
                <w:bCs/>
                <w:lang w:val="es-MX" w:eastAsia="es-ES_tradnl"/>
              </w:rPr>
              <w:t>–</w:t>
            </w:r>
            <w:r w:rsidRPr="000F64AE">
              <w:rPr>
                <w:rFonts w:ascii="Century Gothic" w:eastAsia="Calibri" w:hAnsi="Century Gothic" w:cs="Arial"/>
                <w:bCs/>
                <w:lang w:val="es-MX" w:eastAsia="es-ES_tradnl"/>
              </w:rPr>
              <w:t xml:space="preserve"> Conservación – Sociedades – Menor a 3 años de constitución – Posibilidad de acreditar la experiencia de los socios en procesos donde el RUP no es exigible /</w:t>
            </w:r>
            <w:r w:rsidRPr="000F64AE">
              <w:rPr>
                <w:rFonts w:ascii="Century Gothic" w:eastAsia="Calibri" w:hAnsi="Century Gothic" w:cs="Arial"/>
                <w:bCs/>
                <w:lang w:eastAsia="es-CO"/>
              </w:rPr>
              <w:t xml:space="preserve"> MÍNIMA CUANTÍA – Garantía de seriedad de la oferta – Limitación del proceso a MiPymes.</w:t>
            </w:r>
          </w:p>
          <w:p w14:paraId="184EE247" w14:textId="77777777" w:rsidR="000F64AE" w:rsidRPr="000F64AE" w:rsidRDefault="000F64AE" w:rsidP="000F64AE">
            <w:pPr>
              <w:jc w:val="both"/>
              <w:rPr>
                <w:rFonts w:ascii="Century Gothic" w:eastAsia="Times New Roman" w:hAnsi="Century Gothic" w:cs="Arial"/>
                <w:szCs w:val="24"/>
                <w:lang w:val="es-ES_tradnl" w:eastAsia="es-ES_tradnl"/>
              </w:rPr>
            </w:pPr>
          </w:p>
        </w:tc>
      </w:tr>
      <w:tr w:rsidR="000F64AE" w:rsidRPr="000F64AE" w14:paraId="58EDBD9D" w14:textId="77777777" w:rsidTr="006D2198">
        <w:trPr>
          <w:jc w:val="right"/>
        </w:trPr>
        <w:tc>
          <w:tcPr>
            <w:tcW w:w="1838" w:type="dxa"/>
          </w:tcPr>
          <w:p w14:paraId="5B5C0931" w14:textId="77777777" w:rsidR="000F64AE" w:rsidRPr="000F64AE" w:rsidRDefault="000F64AE" w:rsidP="000F64AE">
            <w:pPr>
              <w:jc w:val="center"/>
              <w:rPr>
                <w:rFonts w:ascii="Century Gothic" w:eastAsia="Calibri" w:hAnsi="Century Gothic" w:cs="Arial"/>
                <w:b/>
                <w:szCs w:val="24"/>
                <w:lang w:val="es-ES" w:eastAsia="es-ES_tradnl"/>
              </w:rPr>
            </w:pPr>
            <w:r w:rsidRPr="000F64AE">
              <w:rPr>
                <w:rFonts w:ascii="Century Gothic" w:eastAsia="Calibri" w:hAnsi="Century Gothic" w:cs="Arial"/>
                <w:b/>
                <w:szCs w:val="24"/>
                <w:lang w:val="es-ES" w:eastAsia="es-ES_tradnl"/>
              </w:rPr>
              <w:t>Radicación:</w:t>
            </w:r>
          </w:p>
        </w:tc>
        <w:tc>
          <w:tcPr>
            <w:tcW w:w="6237" w:type="dxa"/>
          </w:tcPr>
          <w:p w14:paraId="74D98C71" w14:textId="77777777" w:rsidR="000F64AE" w:rsidRPr="000F64AE" w:rsidRDefault="000F64AE" w:rsidP="000F64AE">
            <w:pPr>
              <w:jc w:val="both"/>
              <w:rPr>
                <w:rFonts w:ascii="Century Gothic" w:eastAsia="Calibri" w:hAnsi="Century Gothic" w:cs="Arial"/>
                <w:szCs w:val="24"/>
                <w:lang w:val="es-ES" w:eastAsia="es-ES_tradnl"/>
              </w:rPr>
            </w:pPr>
            <w:r w:rsidRPr="000F64AE">
              <w:rPr>
                <w:rFonts w:ascii="Century Gothic" w:eastAsia="Calibri" w:hAnsi="Century Gothic" w:cs="Arial"/>
                <w:szCs w:val="24"/>
                <w:lang w:val="es-ES" w:eastAsia="es-ES_tradnl"/>
              </w:rPr>
              <w:t>Respuesta a consulta P20230911015025</w:t>
            </w:r>
          </w:p>
        </w:tc>
      </w:tr>
    </w:tbl>
    <w:p w14:paraId="339025E6" w14:textId="77777777" w:rsidR="000F64AE" w:rsidRPr="000F64AE" w:rsidRDefault="000F64AE" w:rsidP="000F64AE">
      <w:pPr>
        <w:spacing w:after="0" w:line="276" w:lineRule="auto"/>
        <w:jc w:val="both"/>
        <w:rPr>
          <w:rFonts w:ascii="Century Gothic" w:eastAsia="Calibri" w:hAnsi="Century Gothic" w:cs="Arial"/>
          <w:szCs w:val="24"/>
          <w:lang w:val="es-ES_tradnl" w:eastAsia="es-ES_tradnl"/>
        </w:rPr>
      </w:pPr>
    </w:p>
    <w:p w14:paraId="3C0AB7AE" w14:textId="77777777" w:rsidR="000F64AE" w:rsidRPr="000F64AE" w:rsidRDefault="000F64AE" w:rsidP="000F64AE">
      <w:pPr>
        <w:spacing w:after="0" w:line="276" w:lineRule="auto"/>
        <w:jc w:val="both"/>
        <w:rPr>
          <w:rFonts w:ascii="Century Gothic" w:eastAsia="Calibri" w:hAnsi="Century Gothic" w:cs="Arial"/>
          <w:bCs/>
          <w:szCs w:val="24"/>
          <w:lang w:val="es-ES_tradnl" w:eastAsia="es-ES_tradnl"/>
        </w:rPr>
      </w:pPr>
      <w:r w:rsidRPr="000F64AE">
        <w:rPr>
          <w:rFonts w:ascii="Century Gothic" w:eastAsia="Calibri" w:hAnsi="Century Gothic" w:cs="Arial"/>
          <w:szCs w:val="24"/>
          <w:lang w:val="es-ES_tradnl" w:eastAsia="es-ES_tradnl"/>
        </w:rPr>
        <w:t>Estimada señora Salamanca:</w:t>
      </w:r>
    </w:p>
    <w:p w14:paraId="023560DC" w14:textId="77777777" w:rsidR="000F64AE" w:rsidRPr="000F64AE" w:rsidRDefault="000F64AE" w:rsidP="000F64AE">
      <w:pPr>
        <w:spacing w:after="0" w:line="276" w:lineRule="auto"/>
        <w:jc w:val="both"/>
        <w:rPr>
          <w:rFonts w:ascii="Century Gothic" w:eastAsia="Calibri" w:hAnsi="Century Gothic" w:cs="Arial"/>
          <w:bCs/>
          <w:szCs w:val="24"/>
          <w:lang w:val="es-ES_tradnl" w:eastAsia="es-ES_tradnl"/>
        </w:rPr>
      </w:pPr>
    </w:p>
    <w:p w14:paraId="54D198CF" w14:textId="77777777" w:rsidR="000F64AE" w:rsidRPr="000F64AE" w:rsidRDefault="000F64AE" w:rsidP="000F64AE">
      <w:pPr>
        <w:spacing w:after="0" w:line="276" w:lineRule="auto"/>
        <w:jc w:val="both"/>
        <w:rPr>
          <w:rFonts w:ascii="Century Gothic" w:eastAsia="Calibri" w:hAnsi="Century Gothic" w:cs="Arial"/>
          <w:szCs w:val="24"/>
          <w:lang w:val="es-ES" w:eastAsia="es-ES_tradnl"/>
        </w:rPr>
      </w:pPr>
      <w:r w:rsidRPr="000F64AE">
        <w:rPr>
          <w:rFonts w:ascii="Century Gothic" w:eastAsia="Calibri" w:hAnsi="Century Gothic" w:cs="Arial"/>
          <w:szCs w:val="24"/>
          <w:lang w:val="es-ES" w:eastAsia="es-ES_tradnl"/>
        </w:rPr>
        <w:t>En virtud de la competencia conferida por el numeral 8 del artículo 11 y el numeral 5 del artículo 3 del Decreto Ley 4170 de 2011, la Agencia Nacional de Contratación Pública -Colombia Compra Eficiente- responde a su consulta del 11 de septiembre de 2023</w:t>
      </w:r>
      <w:bookmarkStart w:id="3" w:name="_Hlk133234847"/>
      <w:bookmarkStart w:id="4" w:name="_Hlk133406549"/>
      <w:r w:rsidRPr="000F64AE">
        <w:rPr>
          <w:rFonts w:ascii="Century Gothic" w:eastAsia="Calibri" w:hAnsi="Century Gothic" w:cs="Arial"/>
          <w:szCs w:val="24"/>
          <w:lang w:val="es-ES" w:eastAsia="es-ES_tradnl"/>
        </w:rPr>
        <w:t>.</w:t>
      </w:r>
    </w:p>
    <w:p w14:paraId="07E02295" w14:textId="77777777" w:rsidR="000F64AE" w:rsidRPr="000F64AE" w:rsidRDefault="000F64AE" w:rsidP="000F64AE">
      <w:pPr>
        <w:spacing w:after="0" w:line="276" w:lineRule="auto"/>
        <w:jc w:val="both"/>
        <w:rPr>
          <w:rFonts w:ascii="Century Gothic" w:eastAsia="Calibri" w:hAnsi="Century Gothic" w:cs="Arial"/>
          <w:bCs/>
          <w:szCs w:val="24"/>
          <w:lang w:val="es-ES_tradnl" w:eastAsia="es-CO"/>
        </w:rPr>
      </w:pPr>
      <w:bookmarkStart w:id="5" w:name="_Hlk133234829"/>
    </w:p>
    <w:p w14:paraId="3C9B6F64" w14:textId="77777777" w:rsidR="000F64AE" w:rsidRPr="000F64AE" w:rsidRDefault="000F64AE" w:rsidP="000F64AE">
      <w:pPr>
        <w:spacing w:after="0" w:line="276" w:lineRule="auto"/>
        <w:jc w:val="both"/>
        <w:rPr>
          <w:rFonts w:ascii="Century Gothic" w:eastAsia="Calibri" w:hAnsi="Century Gothic" w:cs="Arial"/>
          <w:b/>
          <w:szCs w:val="24"/>
          <w:lang w:val="es-ES_tradnl" w:eastAsia="es-CO"/>
        </w:rPr>
      </w:pPr>
      <w:r w:rsidRPr="000F64AE">
        <w:rPr>
          <w:rFonts w:ascii="Century Gothic" w:eastAsia="Calibri" w:hAnsi="Century Gothic" w:cs="Arial"/>
          <w:b/>
          <w:szCs w:val="24"/>
          <w:lang w:val="es-ES_tradnl" w:eastAsia="es-CO"/>
        </w:rPr>
        <w:t>1.</w:t>
      </w:r>
      <w:r w:rsidRPr="000F64AE">
        <w:rPr>
          <w:rFonts w:ascii="Century Gothic" w:eastAsia="Calibri" w:hAnsi="Century Gothic" w:cs="Arial"/>
          <w:b/>
          <w:szCs w:val="24"/>
          <w:lang w:val="es-ES_tradnl" w:eastAsia="es-CO"/>
        </w:rPr>
        <w:tab/>
        <w:t>Problema planteado</w:t>
      </w:r>
    </w:p>
    <w:p w14:paraId="320D3130" w14:textId="77777777" w:rsidR="000F64AE" w:rsidRPr="000F64AE" w:rsidRDefault="000F64AE" w:rsidP="000F64AE">
      <w:pPr>
        <w:tabs>
          <w:tab w:val="left" w:pos="0"/>
          <w:tab w:val="left" w:pos="142"/>
          <w:tab w:val="left" w:pos="284"/>
        </w:tabs>
        <w:spacing w:after="0" w:line="276" w:lineRule="auto"/>
        <w:contextualSpacing/>
        <w:jc w:val="both"/>
        <w:rPr>
          <w:rFonts w:ascii="Century Gothic" w:eastAsia="Calibri" w:hAnsi="Century Gothic" w:cs="Arial"/>
          <w:bCs/>
          <w:szCs w:val="24"/>
          <w:lang w:val="es-ES_tradnl" w:eastAsia="es-ES_tradnl"/>
        </w:rPr>
      </w:pPr>
    </w:p>
    <w:p w14:paraId="3F24BA75" w14:textId="77777777" w:rsidR="000F64AE" w:rsidRPr="000F64AE" w:rsidRDefault="000F64AE" w:rsidP="000F64AE">
      <w:pPr>
        <w:spacing w:after="0" w:line="276" w:lineRule="auto"/>
        <w:jc w:val="both"/>
        <w:rPr>
          <w:rFonts w:ascii="Century Gothic" w:eastAsia="Times New Roman" w:hAnsi="Century Gothic" w:cs="Arial"/>
          <w:szCs w:val="24"/>
          <w:lang w:val="es-ES_tradnl" w:eastAsia="es-ES_tradnl"/>
        </w:rPr>
      </w:pPr>
      <w:bookmarkStart w:id="6" w:name="_Hlk133498899"/>
      <w:bookmarkEnd w:id="3"/>
      <w:bookmarkEnd w:id="5"/>
      <w:r w:rsidRPr="000F64AE">
        <w:rPr>
          <w:rFonts w:ascii="Century Gothic" w:eastAsia="Times New Roman" w:hAnsi="Century Gothic" w:cs="Arial"/>
          <w:szCs w:val="24"/>
          <w:lang w:val="es-ES_tradnl" w:eastAsia="es-ES_tradnl"/>
        </w:rPr>
        <w:lastRenderedPageBreak/>
        <w:t>En el respectivo escrito, usted solicita sea emitido concepto jurídico en el que se den a entender mejor los requisitos habilitantes establecidos en los pliegos de contratación para promover la participación de microempresas, a través de la respuesta a las siguientes inquietudes</w:t>
      </w:r>
      <w:bookmarkStart w:id="7" w:name="_Hlk147694741"/>
      <w:r w:rsidRPr="000F64AE">
        <w:rPr>
          <w:rFonts w:ascii="Century Gothic" w:eastAsia="Times New Roman" w:hAnsi="Century Gothic" w:cs="Arial"/>
          <w:szCs w:val="24"/>
          <w:lang w:val="es-ES_tradnl" w:eastAsia="es-ES_tradnl"/>
        </w:rPr>
        <w:t>:</w:t>
      </w:r>
      <w:bookmarkEnd w:id="6"/>
      <w:bookmarkEnd w:id="7"/>
    </w:p>
    <w:p w14:paraId="7F11E0EF" w14:textId="77777777" w:rsidR="000F64AE" w:rsidRPr="000F64AE" w:rsidRDefault="000F64AE" w:rsidP="000F64AE">
      <w:pPr>
        <w:spacing w:after="0" w:line="240" w:lineRule="auto"/>
        <w:ind w:left="709" w:right="714"/>
        <w:jc w:val="both"/>
        <w:rPr>
          <w:rFonts w:ascii="Times New Roman" w:eastAsia="Times New Roman" w:hAnsi="Times New Roman" w:cs="Times New Roman"/>
          <w:sz w:val="24"/>
          <w:szCs w:val="24"/>
          <w:lang w:eastAsia="es-CO"/>
        </w:rPr>
      </w:pPr>
    </w:p>
    <w:p w14:paraId="6BEF2722" w14:textId="77777777" w:rsidR="000F64AE" w:rsidRPr="000F64AE" w:rsidRDefault="000F64AE" w:rsidP="000F64AE">
      <w:pPr>
        <w:spacing w:after="0" w:line="240" w:lineRule="auto"/>
        <w:ind w:left="709" w:right="714"/>
        <w:jc w:val="both"/>
        <w:rPr>
          <w:rFonts w:ascii="Century Gothic" w:eastAsia="Times New Roman" w:hAnsi="Century Gothic" w:cs="Times New Roman"/>
          <w:sz w:val="21"/>
          <w:szCs w:val="21"/>
          <w:lang w:eastAsia="es-CO"/>
        </w:rPr>
      </w:pPr>
      <w:r w:rsidRPr="000F64AE">
        <w:rPr>
          <w:rFonts w:ascii="Century Gothic" w:eastAsia="Calibri" w:hAnsi="Century Gothic" w:cs="Arial"/>
          <w:iCs/>
          <w:sz w:val="21"/>
          <w:szCs w:val="21"/>
          <w:lang w:val="es-ES_tradnl"/>
        </w:rPr>
        <w:t xml:space="preserve">“(…) </w:t>
      </w:r>
      <w:r w:rsidRPr="000F64AE">
        <w:rPr>
          <w:rFonts w:ascii="Century Gothic" w:eastAsia="Times New Roman" w:hAnsi="Century Gothic" w:cs="Times New Roman"/>
          <w:sz w:val="21"/>
          <w:szCs w:val="21"/>
          <w:lang w:eastAsia="es-CO"/>
        </w:rPr>
        <w:t xml:space="preserve">1. ¿Cuáles son los procesos de contratación pública que, de acuerdo con la normativa vigente, no requieren como requisito habilitante la presentación de indicadores financieros tales como el índice de liquidez, nivel de endeudamiento, razón de cobertura de intereses y capital de trabajo? En caso de que se requieran estos indicadores, ¿podría proporcionarse información sobre los aspectos específicos </w:t>
      </w:r>
      <w:proofErr w:type="gramStart"/>
      <w:r w:rsidRPr="000F64AE">
        <w:rPr>
          <w:rFonts w:ascii="Century Gothic" w:eastAsia="Times New Roman" w:hAnsi="Century Gothic" w:cs="Times New Roman"/>
          <w:sz w:val="21"/>
          <w:szCs w:val="21"/>
          <w:lang w:eastAsia="es-CO"/>
        </w:rPr>
        <w:t>a</w:t>
      </w:r>
      <w:proofErr w:type="gramEnd"/>
      <w:r w:rsidRPr="000F64AE">
        <w:rPr>
          <w:rFonts w:ascii="Century Gothic" w:eastAsia="Times New Roman" w:hAnsi="Century Gothic" w:cs="Times New Roman"/>
          <w:sz w:val="21"/>
          <w:szCs w:val="21"/>
          <w:lang w:eastAsia="es-CO"/>
        </w:rPr>
        <w:t xml:space="preserve"> tener en cuenta y la base normativa que respalda su solicitud?</w:t>
      </w:r>
    </w:p>
    <w:p w14:paraId="50BD3C5C" w14:textId="77777777" w:rsidR="000F64AE" w:rsidRPr="000F64AE" w:rsidRDefault="000F64AE" w:rsidP="000F64AE">
      <w:pPr>
        <w:spacing w:after="0" w:line="240" w:lineRule="auto"/>
        <w:ind w:left="709" w:right="714"/>
        <w:jc w:val="both"/>
        <w:rPr>
          <w:rFonts w:ascii="Century Gothic" w:eastAsia="Times New Roman" w:hAnsi="Century Gothic" w:cs="Times New Roman"/>
          <w:sz w:val="21"/>
          <w:szCs w:val="21"/>
          <w:lang w:eastAsia="es-CO"/>
        </w:rPr>
      </w:pPr>
    </w:p>
    <w:p w14:paraId="06C17CC0" w14:textId="77777777" w:rsidR="000F64AE" w:rsidRPr="000F64AE" w:rsidRDefault="000F64AE" w:rsidP="000F64AE">
      <w:pPr>
        <w:spacing w:after="0" w:line="240" w:lineRule="auto"/>
        <w:ind w:left="709" w:right="714"/>
        <w:jc w:val="both"/>
        <w:rPr>
          <w:rFonts w:ascii="Century Gothic" w:eastAsia="Times New Roman" w:hAnsi="Century Gothic" w:cs="Times New Roman"/>
          <w:sz w:val="21"/>
          <w:szCs w:val="21"/>
          <w:lang w:eastAsia="es-CO"/>
        </w:rPr>
      </w:pPr>
      <w:r w:rsidRPr="000F64AE">
        <w:rPr>
          <w:rFonts w:ascii="Century Gothic" w:eastAsia="Times New Roman" w:hAnsi="Century Gothic" w:cs="Times New Roman"/>
          <w:sz w:val="21"/>
          <w:szCs w:val="21"/>
          <w:lang w:eastAsia="es-CO"/>
        </w:rPr>
        <w:t>2. ¿Qué procesos de contratación pública no exigen como requisito habilitante la presentación de la Capacidad Organizacional, incluyendo indicadores como la rentabilidad sobre el patrimonio y la rentabilidad sobre el activo? Si estos indicadores son requeridos, ¿podría detallarse en qué circunstancias se solicitan y bajo qué normativa se respaldan?</w:t>
      </w:r>
    </w:p>
    <w:p w14:paraId="47DB97BC" w14:textId="77777777" w:rsidR="000F64AE" w:rsidRPr="000F64AE" w:rsidRDefault="000F64AE" w:rsidP="000F64AE">
      <w:pPr>
        <w:spacing w:after="0" w:line="240" w:lineRule="auto"/>
        <w:ind w:left="709" w:right="714"/>
        <w:jc w:val="both"/>
        <w:rPr>
          <w:rFonts w:ascii="Century Gothic" w:eastAsia="Times New Roman" w:hAnsi="Century Gothic" w:cs="Times New Roman"/>
          <w:sz w:val="21"/>
          <w:szCs w:val="21"/>
          <w:lang w:eastAsia="es-CO"/>
        </w:rPr>
      </w:pPr>
    </w:p>
    <w:p w14:paraId="4E58D3CC" w14:textId="77777777" w:rsidR="000F64AE" w:rsidRPr="000F64AE" w:rsidRDefault="000F64AE" w:rsidP="000F64AE">
      <w:pPr>
        <w:spacing w:after="0" w:line="240" w:lineRule="auto"/>
        <w:ind w:left="709" w:right="714"/>
        <w:jc w:val="both"/>
        <w:rPr>
          <w:rFonts w:ascii="Century Gothic" w:eastAsia="Times New Roman" w:hAnsi="Century Gothic" w:cs="Times New Roman"/>
          <w:sz w:val="21"/>
          <w:szCs w:val="21"/>
          <w:lang w:eastAsia="es-CO"/>
        </w:rPr>
      </w:pPr>
      <w:r w:rsidRPr="000F64AE">
        <w:rPr>
          <w:rFonts w:ascii="Century Gothic" w:eastAsia="Times New Roman" w:hAnsi="Century Gothic" w:cs="Times New Roman"/>
          <w:sz w:val="21"/>
          <w:szCs w:val="21"/>
          <w:lang w:eastAsia="es-CO"/>
        </w:rPr>
        <w:t>3. ¿En qué situaciones y de acuerdo con qué normas se establece como requisito habilitante contar con el Registro Único de Proponentes (RUP) en los procesos de contratación pública? Asimismo, ¿cuáles son los criterios relacionados con la experiencia y el valor en salarios mínimos legales vigentes (SMMLV) de los contratos requeridos en los pliegos?</w:t>
      </w:r>
    </w:p>
    <w:p w14:paraId="40C22468" w14:textId="77777777" w:rsidR="000F64AE" w:rsidRPr="000F64AE" w:rsidRDefault="000F64AE" w:rsidP="000F64AE">
      <w:pPr>
        <w:spacing w:after="0" w:line="240" w:lineRule="auto"/>
        <w:ind w:left="709" w:right="714"/>
        <w:jc w:val="both"/>
        <w:rPr>
          <w:rFonts w:ascii="Century Gothic" w:eastAsia="Times New Roman" w:hAnsi="Century Gothic" w:cs="Times New Roman"/>
          <w:sz w:val="21"/>
          <w:szCs w:val="21"/>
          <w:lang w:eastAsia="es-CO"/>
        </w:rPr>
      </w:pPr>
    </w:p>
    <w:p w14:paraId="72FB87D0" w14:textId="77777777" w:rsidR="000F64AE" w:rsidRPr="000F64AE" w:rsidRDefault="000F64AE" w:rsidP="000F64AE">
      <w:pPr>
        <w:spacing w:after="0" w:line="240" w:lineRule="auto"/>
        <w:ind w:left="709" w:right="714"/>
        <w:jc w:val="both"/>
        <w:rPr>
          <w:rFonts w:ascii="Century Gothic" w:eastAsia="Times New Roman" w:hAnsi="Century Gothic" w:cs="Times New Roman"/>
          <w:sz w:val="21"/>
          <w:szCs w:val="21"/>
          <w:lang w:eastAsia="es-CO"/>
        </w:rPr>
      </w:pPr>
      <w:r w:rsidRPr="000F64AE">
        <w:rPr>
          <w:rFonts w:ascii="Century Gothic" w:eastAsia="Times New Roman" w:hAnsi="Century Gothic" w:cs="Times New Roman"/>
          <w:sz w:val="21"/>
          <w:szCs w:val="21"/>
          <w:lang w:eastAsia="es-CO"/>
        </w:rPr>
        <w:t>4. En relación con el personal mínimo requerido en los procesos de contratación pública, ¿podría proporcionarse información detallada sobre los aspectos en los que la entidad se basa para solicitar experiencia, títulos y cualquier otro requisito relacionado con el personal? ¿Cuál es la normativa o directrices que respaldan la determinación de estos requisitos? Esta información es de vital importancia para comprender los criterios de selección y asegurar una competencia justa y equitativa en los procesos de contratación.</w:t>
      </w:r>
    </w:p>
    <w:p w14:paraId="36963531" w14:textId="77777777" w:rsidR="000F64AE" w:rsidRPr="000F64AE" w:rsidRDefault="000F64AE" w:rsidP="000F64AE">
      <w:pPr>
        <w:spacing w:after="0" w:line="240" w:lineRule="auto"/>
        <w:ind w:left="709" w:right="714"/>
        <w:jc w:val="both"/>
        <w:rPr>
          <w:rFonts w:ascii="Century Gothic" w:eastAsia="Times New Roman" w:hAnsi="Century Gothic" w:cs="Times New Roman"/>
          <w:sz w:val="21"/>
          <w:szCs w:val="21"/>
          <w:lang w:eastAsia="es-CO"/>
        </w:rPr>
      </w:pPr>
    </w:p>
    <w:p w14:paraId="3B8371BE" w14:textId="77777777" w:rsidR="000F64AE" w:rsidRPr="000F64AE" w:rsidRDefault="000F64AE" w:rsidP="000F64AE">
      <w:pPr>
        <w:spacing w:after="0" w:line="240" w:lineRule="auto"/>
        <w:ind w:left="709" w:right="714"/>
        <w:jc w:val="both"/>
        <w:rPr>
          <w:rFonts w:ascii="Century Gothic" w:eastAsia="Times New Roman" w:hAnsi="Century Gothic" w:cs="Times New Roman"/>
          <w:sz w:val="21"/>
          <w:szCs w:val="21"/>
          <w:lang w:eastAsia="es-CO"/>
        </w:rPr>
      </w:pPr>
      <w:r w:rsidRPr="000F64AE">
        <w:rPr>
          <w:rFonts w:ascii="Century Gothic" w:eastAsia="Times New Roman" w:hAnsi="Century Gothic" w:cs="Times New Roman"/>
          <w:sz w:val="21"/>
          <w:szCs w:val="21"/>
          <w:lang w:eastAsia="es-CO"/>
        </w:rPr>
        <w:t>5. ¿</w:t>
      </w:r>
      <w:proofErr w:type="gramStart"/>
      <w:r w:rsidRPr="000F64AE">
        <w:rPr>
          <w:rFonts w:ascii="Century Gothic" w:eastAsia="Times New Roman" w:hAnsi="Century Gothic" w:cs="Times New Roman"/>
          <w:sz w:val="21"/>
          <w:szCs w:val="21"/>
          <w:lang w:eastAsia="es-CO"/>
        </w:rPr>
        <w:t>Bajo qué condiciones</w:t>
      </w:r>
      <w:proofErr w:type="gramEnd"/>
      <w:r w:rsidRPr="000F64AE">
        <w:rPr>
          <w:rFonts w:ascii="Century Gothic" w:eastAsia="Times New Roman" w:hAnsi="Century Gothic" w:cs="Times New Roman"/>
          <w:sz w:val="21"/>
          <w:szCs w:val="21"/>
          <w:lang w:eastAsia="es-CO"/>
        </w:rPr>
        <w:t xml:space="preserve"> una entidad puede incluir la Capacidad Residual como requisito habilitante en los pliegos de contratación pública? ¿Existen procesos de contratación que no requieren la presentación de este requisito?</w:t>
      </w:r>
    </w:p>
    <w:p w14:paraId="3CAF50CD" w14:textId="77777777" w:rsidR="000F64AE" w:rsidRPr="000F64AE" w:rsidRDefault="000F64AE" w:rsidP="000F64AE">
      <w:pPr>
        <w:spacing w:after="0" w:line="276" w:lineRule="auto"/>
        <w:jc w:val="both"/>
        <w:rPr>
          <w:rFonts w:ascii="Century Gothic" w:eastAsia="Times New Roman" w:hAnsi="Century Gothic" w:cs="Arial"/>
          <w:szCs w:val="24"/>
          <w:lang w:val="es-ES_tradnl" w:eastAsia="es-ES_tradnl"/>
        </w:rPr>
      </w:pPr>
    </w:p>
    <w:p w14:paraId="2CBBACF4" w14:textId="77777777" w:rsidR="000F64AE" w:rsidRPr="000F64AE" w:rsidRDefault="000F64AE" w:rsidP="000F64AE">
      <w:pPr>
        <w:spacing w:after="0" w:line="276" w:lineRule="auto"/>
        <w:jc w:val="both"/>
        <w:rPr>
          <w:rFonts w:ascii="Century Gothic" w:eastAsia="Calibri" w:hAnsi="Century Gothic" w:cs="Arial"/>
          <w:bCs/>
          <w:szCs w:val="24"/>
          <w:lang w:val="es-ES_tradnl" w:eastAsia="es-CO"/>
        </w:rPr>
      </w:pPr>
      <w:bookmarkStart w:id="8" w:name="_Hlk133406532"/>
      <w:bookmarkStart w:id="9" w:name="_Hlk136199719"/>
      <w:bookmarkEnd w:id="4"/>
      <w:r w:rsidRPr="000F64AE">
        <w:rPr>
          <w:rFonts w:ascii="Century Gothic" w:eastAsia="Calibri" w:hAnsi="Century Gothic" w:cs="Arial"/>
          <w:b/>
          <w:szCs w:val="24"/>
          <w:lang w:val="es-ES_tradnl" w:eastAsia="es-CO"/>
        </w:rPr>
        <w:t>2.</w:t>
      </w:r>
      <w:r w:rsidRPr="000F64AE">
        <w:rPr>
          <w:rFonts w:ascii="Century Gothic" w:eastAsia="Calibri" w:hAnsi="Century Gothic" w:cs="Arial"/>
          <w:b/>
          <w:szCs w:val="24"/>
          <w:lang w:val="es-ES_tradnl" w:eastAsia="es-CO"/>
        </w:rPr>
        <w:tab/>
        <w:t>Consideraciones</w:t>
      </w:r>
      <w:bookmarkEnd w:id="8"/>
    </w:p>
    <w:bookmarkEnd w:id="9"/>
    <w:p w14:paraId="36E6D65F" w14:textId="77777777" w:rsidR="000F64AE" w:rsidRPr="000F64AE" w:rsidRDefault="000F64AE" w:rsidP="000F64AE">
      <w:pPr>
        <w:spacing w:after="0" w:line="276" w:lineRule="auto"/>
        <w:jc w:val="both"/>
        <w:rPr>
          <w:rFonts w:ascii="Century Gothic" w:eastAsia="Times New Roman" w:hAnsi="Century Gothic" w:cs="Arial"/>
          <w:szCs w:val="24"/>
          <w:lang w:val="es-ES_tradnl" w:eastAsia="es-ES_tradnl"/>
        </w:rPr>
      </w:pPr>
    </w:p>
    <w:p w14:paraId="50BACA29" w14:textId="77777777" w:rsidR="000F64AE" w:rsidRPr="000F64AE" w:rsidRDefault="000F64AE" w:rsidP="000F64AE">
      <w:pPr>
        <w:spacing w:after="120" w:line="276" w:lineRule="auto"/>
        <w:jc w:val="both"/>
        <w:rPr>
          <w:rFonts w:ascii="Century Gothic" w:eastAsia="Times New Roman" w:hAnsi="Century Gothic" w:cs="Arial"/>
          <w:szCs w:val="24"/>
          <w:lang w:val="es-ES" w:eastAsia="es-ES_tradnl"/>
        </w:rPr>
      </w:pPr>
      <w:bookmarkStart w:id="10" w:name="_Hlk136161866"/>
      <w:bookmarkStart w:id="11" w:name="_Hlk131417155"/>
      <w:r w:rsidRPr="000F64AE">
        <w:rPr>
          <w:rFonts w:ascii="Century Gothic" w:eastAsia="Times New Roman" w:hAnsi="Century Gothic" w:cs="Arial"/>
          <w:szCs w:val="24"/>
          <w:lang w:eastAsia="es-ES_tradnl"/>
        </w:rPr>
        <w:lastRenderedPageBreak/>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w:t>
      </w:r>
      <w:bookmarkStart w:id="12" w:name="_Hlk61701014"/>
      <w:bookmarkStart w:id="13" w:name="_Hlk62136649"/>
      <w:r w:rsidRPr="000F64AE">
        <w:rPr>
          <w:rFonts w:ascii="Century Gothic" w:eastAsia="Times New Roman" w:hAnsi="Century Gothic" w:cs="Arial"/>
          <w:szCs w:val="24"/>
          <w:shd w:val="clear" w:color="auto" w:fill="E6E6E6"/>
          <w:lang w:eastAsia="es-ES_tradnl"/>
        </w:rPr>
        <w:t xml:space="preserve"> </w:t>
      </w:r>
      <w:r w:rsidRPr="000F64AE">
        <w:rPr>
          <w:rFonts w:ascii="Century Gothic" w:eastAsia="Times New Roman" w:hAnsi="Century Gothic" w:cs="Arial"/>
          <w:szCs w:val="24"/>
          <w:lang w:val="es-ES" w:eastAsia="es-ES_tradnl"/>
        </w:rPr>
        <w:t xml:space="preserve">Es necesario tener en cuenta que </w:t>
      </w:r>
      <w:bookmarkStart w:id="14" w:name="_Hlk61026958"/>
      <w:r w:rsidRPr="000F64AE">
        <w:rPr>
          <w:rFonts w:ascii="Century Gothic" w:eastAsia="Times New Roman" w:hAnsi="Century Gothic" w:cs="Arial"/>
          <w:szCs w:val="24"/>
          <w:lang w:val="es-ES" w:eastAsia="es-ES_tradnl"/>
        </w:rPr>
        <w:t>esta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w:t>
      </w:r>
      <w:r w:rsidRPr="000F64AE">
        <w:rPr>
          <w:rFonts w:ascii="Century Gothic" w:eastAsia="Times New Roman" w:hAnsi="Century Gothic" w:cs="Arial"/>
          <w:szCs w:val="24"/>
          <w:lang w:eastAsia="es-ES_tradnl"/>
        </w:rPr>
        <w:t xml:space="preserve"> de todos los partícipes de la contratación estatal.</w:t>
      </w:r>
      <w:bookmarkStart w:id="15" w:name="_Hlk133416774"/>
    </w:p>
    <w:p w14:paraId="28EA63F5" w14:textId="77777777" w:rsidR="000F64AE" w:rsidRPr="000F64AE" w:rsidRDefault="000F64AE" w:rsidP="000F64AE">
      <w:pPr>
        <w:spacing w:after="120" w:line="276" w:lineRule="auto"/>
        <w:ind w:firstLine="708"/>
        <w:jc w:val="both"/>
        <w:rPr>
          <w:rFonts w:ascii="Century Gothic" w:eastAsia="Times New Roman" w:hAnsi="Century Gothic" w:cs="Arial"/>
          <w:szCs w:val="24"/>
          <w:lang w:val="es-ES" w:eastAsia="es-ES_tradnl"/>
        </w:rPr>
      </w:pPr>
      <w:r w:rsidRPr="000F64AE">
        <w:rPr>
          <w:rFonts w:ascii="Century Gothic" w:eastAsia="Times New Roman" w:hAnsi="Century Gothic" w:cs="Arial"/>
          <w:szCs w:val="24"/>
          <w:lang w:val="es-ES" w:eastAsia="es-ES_tradnl"/>
        </w:rP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sidRPr="000F64AE">
        <w:rPr>
          <w:rFonts w:ascii="Century Gothic" w:eastAsia="Times New Roman" w:hAnsi="Century Gothic" w:cs="Arial"/>
          <w:szCs w:val="24"/>
          <w:vertAlign w:val="superscript"/>
          <w:lang w:val="es-ES" w:eastAsia="es-ES_tradnl"/>
        </w:rPr>
        <w:footnoteReference w:id="2"/>
      </w:r>
      <w:r w:rsidRPr="000F64AE">
        <w:rPr>
          <w:rFonts w:ascii="Century Gothic" w:eastAsia="Times New Roman" w:hAnsi="Century Gothic" w:cs="Arial"/>
          <w:szCs w:val="24"/>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4"/>
      <w:r w:rsidRPr="000F64AE">
        <w:rPr>
          <w:rFonts w:ascii="Century Gothic" w:eastAsia="Times New Roman" w:hAnsi="Century Gothic" w:cs="Arial"/>
          <w:szCs w:val="24"/>
          <w:lang w:val="es-ES" w:eastAsia="es-ES_tradnl"/>
        </w:rPr>
        <w:t>. Por lo anterior, previo concepto de sus órganos asesores, la solución de estos temas corresponde a la entidad que adelanta el procedimiento de selección y, en caso de conflicto, a las autoridades judiciales, fiscales y/o disciplinarias</w:t>
      </w:r>
      <w:bookmarkEnd w:id="12"/>
      <w:r w:rsidRPr="000F64AE">
        <w:rPr>
          <w:rFonts w:ascii="Century Gothic" w:eastAsia="Times New Roman" w:hAnsi="Century Gothic" w:cs="Arial"/>
          <w:szCs w:val="24"/>
          <w:lang w:val="es-ES" w:eastAsia="es-ES_tradnl"/>
        </w:rPr>
        <w:t>, según corresponda.</w:t>
      </w:r>
      <w:bookmarkEnd w:id="10"/>
    </w:p>
    <w:p w14:paraId="43097868" w14:textId="77777777" w:rsidR="000F64AE" w:rsidRPr="000F64AE" w:rsidRDefault="000F64AE" w:rsidP="000F64AE">
      <w:pPr>
        <w:spacing w:after="120" w:line="276" w:lineRule="auto"/>
        <w:ind w:firstLine="708"/>
        <w:jc w:val="both"/>
        <w:rPr>
          <w:rFonts w:ascii="Century Gothic" w:eastAsia="Calibri" w:hAnsi="Century Gothic" w:cs="Arial"/>
          <w:color w:val="000000" w:themeColor="text1"/>
          <w:lang w:val="es-ES" w:eastAsia="es-MX"/>
        </w:rPr>
      </w:pPr>
      <w:r w:rsidRPr="000F64AE">
        <w:rPr>
          <w:rFonts w:ascii="Century Gothic" w:eastAsia="Times New Roman" w:hAnsi="Century Gothic" w:cs="Arial"/>
          <w:szCs w:val="24"/>
          <w:lang w:val="es-ES" w:eastAsia="es-ES_tradnl"/>
        </w:rPr>
        <w:t>Bajo este entendido</w:t>
      </w:r>
      <w:bookmarkEnd w:id="13"/>
      <w:r w:rsidRPr="000F64AE">
        <w:rPr>
          <w:rFonts w:ascii="Century Gothic" w:eastAsia="Times New Roman" w:hAnsi="Century Gothic" w:cs="Arial"/>
          <w:szCs w:val="24"/>
          <w:lang w:val="es-ES" w:eastAsia="es-ES_tradnl"/>
        </w:rPr>
        <w:t xml:space="preserve">, </w:t>
      </w:r>
      <w:r w:rsidRPr="000F64AE">
        <w:rPr>
          <w:rFonts w:ascii="Century Gothic" w:eastAsia="Times New Roman" w:hAnsi="Century Gothic" w:cs="Arial"/>
          <w:szCs w:val="24"/>
          <w:lang w:eastAsia="es-ES_tradnl"/>
        </w:rPr>
        <w:t xml:space="preserve">la Subdirección -dentro del límite de sus atribuciones, esto es, haciendo abstracción de cualquier caso particular que pueda llegar a proponer la peticionaria- resolverá la presente consulta de acuerdo con el alcance general de las normas en materia de contratación estatal. Con tal propósito, analizará los siguientes temas: </w:t>
      </w:r>
      <w:r w:rsidRPr="000F64AE">
        <w:rPr>
          <w:rFonts w:ascii="Century Gothic" w:hAnsi="Century Gothic" w:cs="Arial"/>
          <w:i/>
          <w:iCs/>
          <w:color w:val="000000" w:themeColor="text1"/>
          <w:lang w:val="es-ES"/>
        </w:rPr>
        <w:t>(</w:t>
      </w:r>
      <w:r w:rsidRPr="000F64AE">
        <w:rPr>
          <w:rFonts w:ascii="Century Gothic" w:hAnsi="Century Gothic" w:cs="Arial"/>
          <w:i/>
          <w:iCs/>
          <w:color w:val="000000" w:themeColor="text1"/>
          <w:lang w:val="es-ES_tradnl"/>
        </w:rPr>
        <w:t>i)</w:t>
      </w:r>
      <w:r w:rsidRPr="000F64AE">
        <w:rPr>
          <w:rFonts w:ascii="Century Gothic" w:hAnsi="Century Gothic" w:cs="Arial"/>
          <w:color w:val="000000" w:themeColor="text1"/>
          <w:lang w:val="es-ES_tradnl"/>
        </w:rPr>
        <w:t xml:space="preserve"> los </w:t>
      </w:r>
      <w:r w:rsidRPr="000F64AE">
        <w:rPr>
          <w:rFonts w:ascii="Century Gothic" w:eastAsia="Times New Roman" w:hAnsi="Century Gothic" w:cs="Arial"/>
          <w:bCs/>
          <w:color w:val="000000" w:themeColor="text1"/>
          <w:lang w:eastAsia="es-MX"/>
        </w:rPr>
        <w:t xml:space="preserve">requisitos habilitantes como criterios obligatorios para participar en los procedimientos de selección contractual; </w:t>
      </w:r>
      <w:r w:rsidRPr="000F64AE">
        <w:rPr>
          <w:rFonts w:ascii="Century Gothic" w:eastAsia="Times New Roman" w:hAnsi="Century Gothic" w:cs="Arial"/>
          <w:bCs/>
          <w:i/>
          <w:iCs/>
          <w:color w:val="000000" w:themeColor="text1"/>
          <w:lang w:eastAsia="es-MX"/>
        </w:rPr>
        <w:t>(ii)</w:t>
      </w:r>
      <w:r w:rsidRPr="000F64AE">
        <w:rPr>
          <w:rFonts w:ascii="Century Gothic" w:eastAsia="Times New Roman" w:hAnsi="Century Gothic" w:cs="Arial"/>
          <w:bCs/>
          <w:color w:val="000000" w:themeColor="text1"/>
          <w:lang w:eastAsia="es-MX"/>
        </w:rPr>
        <w:t xml:space="preserve"> el carácter enunciativo de los requisitos habilitantes previstos en el artículo 5, numeral 1, de la </w:t>
      </w:r>
      <w:r w:rsidRPr="000F64AE">
        <w:rPr>
          <w:rFonts w:ascii="Century Gothic" w:eastAsia="Times New Roman" w:hAnsi="Century Gothic" w:cs="Arial"/>
          <w:bCs/>
          <w:color w:val="000000" w:themeColor="text1"/>
          <w:lang w:eastAsia="es-MX"/>
        </w:rPr>
        <w:lastRenderedPageBreak/>
        <w:t xml:space="preserve">Ley 1150 de 2007 y la autonomía de la voluntad de las entidades estatales para establecerlos; </w:t>
      </w:r>
      <w:r w:rsidRPr="000F64AE">
        <w:rPr>
          <w:rFonts w:ascii="Century Gothic" w:eastAsia="Times New Roman" w:hAnsi="Century Gothic" w:cs="Arial"/>
          <w:bCs/>
          <w:i/>
          <w:iCs/>
          <w:color w:val="000000" w:themeColor="text1"/>
          <w:lang w:eastAsia="es-MX"/>
        </w:rPr>
        <w:t>(iii)</w:t>
      </w:r>
      <w:r w:rsidRPr="000F64AE">
        <w:rPr>
          <w:rFonts w:ascii="Century Gothic" w:eastAsia="Times New Roman" w:hAnsi="Century Gothic" w:cs="Arial"/>
          <w:bCs/>
          <w:color w:val="000000" w:themeColor="text1"/>
          <w:lang w:eastAsia="es-MX"/>
        </w:rPr>
        <w:t xml:space="preserve"> el Registro Único de Proponente –RUP–y otros documentos que acreditan el cumplimiento de requisitos habilitantes; </w:t>
      </w:r>
      <w:r w:rsidRPr="000F64AE">
        <w:rPr>
          <w:rFonts w:ascii="Century Gothic" w:eastAsia="Times New Roman" w:hAnsi="Century Gothic" w:cs="Arial"/>
          <w:bCs/>
          <w:i/>
          <w:iCs/>
          <w:color w:val="000000" w:themeColor="text1"/>
          <w:lang w:eastAsia="es-MX"/>
        </w:rPr>
        <w:t>(</w:t>
      </w:r>
      <w:proofErr w:type="spellStart"/>
      <w:r w:rsidRPr="000F64AE">
        <w:rPr>
          <w:rFonts w:ascii="Century Gothic" w:eastAsia="Times New Roman" w:hAnsi="Century Gothic" w:cs="Arial"/>
          <w:bCs/>
          <w:i/>
          <w:iCs/>
          <w:color w:val="000000" w:themeColor="text1"/>
          <w:lang w:eastAsia="es-MX"/>
        </w:rPr>
        <w:t>iv</w:t>
      </w:r>
      <w:proofErr w:type="spellEnd"/>
      <w:r w:rsidRPr="000F64AE">
        <w:rPr>
          <w:rFonts w:ascii="Century Gothic" w:eastAsia="Times New Roman" w:hAnsi="Century Gothic" w:cs="Arial"/>
          <w:bCs/>
          <w:i/>
          <w:iCs/>
          <w:color w:val="000000" w:themeColor="text1"/>
          <w:lang w:eastAsia="es-MX"/>
        </w:rPr>
        <w:t>)</w:t>
      </w:r>
      <w:r w:rsidRPr="000F64AE">
        <w:rPr>
          <w:rFonts w:ascii="Century Gothic" w:eastAsia="Times New Roman" w:hAnsi="Century Gothic" w:cs="Arial"/>
          <w:bCs/>
          <w:color w:val="000000" w:themeColor="text1"/>
          <w:lang w:eastAsia="es-MX"/>
        </w:rPr>
        <w:t xml:space="preserve"> los requisitos habilitantes de la capacidad financiera y organizacional; </w:t>
      </w:r>
      <w:r w:rsidRPr="000F64AE">
        <w:rPr>
          <w:rFonts w:ascii="Century Gothic" w:eastAsia="Times New Roman" w:hAnsi="Century Gothic" w:cs="Arial"/>
          <w:bCs/>
          <w:i/>
          <w:iCs/>
          <w:color w:val="000000" w:themeColor="text1"/>
          <w:lang w:eastAsia="es-MX"/>
        </w:rPr>
        <w:t>(v)</w:t>
      </w:r>
      <w:r w:rsidRPr="000F64AE">
        <w:rPr>
          <w:rFonts w:ascii="Century Gothic" w:eastAsia="Times New Roman" w:hAnsi="Century Gothic" w:cs="Arial"/>
          <w:bCs/>
          <w:color w:val="000000" w:themeColor="text1"/>
          <w:lang w:eastAsia="es-MX"/>
        </w:rPr>
        <w:t xml:space="preserve"> una </w:t>
      </w:r>
      <w:r w:rsidRPr="000F64AE">
        <w:rPr>
          <w:rFonts w:ascii="Century Gothic" w:eastAsia="Calibri" w:hAnsi="Century Gothic" w:cs="Arial"/>
          <w:color w:val="000000" w:themeColor="text1"/>
          <w:lang w:val="es-ES" w:eastAsia="es-MX"/>
        </w:rPr>
        <w:t xml:space="preserve">aproximación general al concepto de experiencia en la contratación pública; </w:t>
      </w:r>
      <w:r w:rsidRPr="000F64AE">
        <w:rPr>
          <w:rFonts w:ascii="Century Gothic" w:eastAsia="Calibri" w:hAnsi="Century Gothic" w:cs="Arial"/>
          <w:i/>
          <w:iCs/>
          <w:color w:val="000000" w:themeColor="text1"/>
          <w:lang w:val="es-ES" w:eastAsia="es-MX"/>
        </w:rPr>
        <w:t>(vi)</w:t>
      </w:r>
      <w:r w:rsidRPr="000F64AE">
        <w:rPr>
          <w:rFonts w:ascii="Century Gothic" w:eastAsia="Calibri" w:hAnsi="Century Gothic" w:cs="Arial"/>
          <w:color w:val="000000" w:themeColor="text1"/>
          <w:lang w:val="es-ES" w:eastAsia="es-MX"/>
        </w:rPr>
        <w:t xml:space="preserve"> acreditación de experiencia de socios por parte de sociedades con menos de tres años de constitución y la posibilidad </w:t>
      </w:r>
      <w:r w:rsidRPr="000F64AE">
        <w:rPr>
          <w:rFonts w:ascii="Century Gothic" w:eastAsia="Calibri" w:hAnsi="Century Gothic" w:cs="Arial"/>
          <w:bCs/>
          <w:lang w:val="es-MX" w:eastAsia="es-ES_tradnl"/>
        </w:rPr>
        <w:t>de acreditar la experiencia de los socios en procesos donde el RUP no es exigible</w:t>
      </w:r>
      <w:r w:rsidRPr="000F64AE">
        <w:rPr>
          <w:rFonts w:ascii="Century Gothic" w:eastAsia="Calibri" w:hAnsi="Century Gothic" w:cs="Arial"/>
          <w:color w:val="000000" w:themeColor="text1"/>
          <w:lang w:val="es-ES" w:eastAsia="es-MX"/>
        </w:rPr>
        <w:t xml:space="preserve">; y </w:t>
      </w:r>
      <w:r w:rsidRPr="000F64AE">
        <w:rPr>
          <w:rFonts w:ascii="Century Gothic" w:eastAsia="Calibri" w:hAnsi="Century Gothic" w:cs="Arial"/>
          <w:i/>
          <w:iCs/>
          <w:color w:val="000000" w:themeColor="text1"/>
          <w:lang w:val="es-ES" w:eastAsia="es-MX"/>
        </w:rPr>
        <w:t>(</w:t>
      </w:r>
      <w:proofErr w:type="spellStart"/>
      <w:r w:rsidRPr="000F64AE">
        <w:rPr>
          <w:rFonts w:ascii="Century Gothic" w:eastAsia="Calibri" w:hAnsi="Century Gothic" w:cs="Arial"/>
          <w:i/>
          <w:iCs/>
          <w:color w:val="000000" w:themeColor="text1"/>
          <w:lang w:val="es-ES" w:eastAsia="es-MX"/>
        </w:rPr>
        <w:t>vii</w:t>
      </w:r>
      <w:proofErr w:type="spellEnd"/>
      <w:r w:rsidRPr="000F64AE">
        <w:rPr>
          <w:rFonts w:ascii="Century Gothic" w:eastAsia="Calibri" w:hAnsi="Century Gothic" w:cs="Arial"/>
          <w:i/>
          <w:iCs/>
          <w:color w:val="000000" w:themeColor="text1"/>
          <w:lang w:val="es-ES" w:eastAsia="es-MX"/>
        </w:rPr>
        <w:t>)</w:t>
      </w:r>
      <w:r w:rsidRPr="000F64AE">
        <w:rPr>
          <w:rFonts w:ascii="Century Gothic" w:eastAsia="Calibri" w:hAnsi="Century Gothic" w:cs="Arial"/>
          <w:color w:val="000000" w:themeColor="text1"/>
          <w:lang w:val="es-ES" w:eastAsia="es-MX"/>
        </w:rPr>
        <w:t xml:space="preserve"> la limitación a MiPymes en los Procesos de Contratación adelantados bajo la modalidad de mínima cuantía y la no exigencia de garantía de seriedad de la oferta.</w:t>
      </w:r>
    </w:p>
    <w:p w14:paraId="5D5D15C8" w14:textId="77777777" w:rsidR="000F64AE" w:rsidRPr="000F64AE" w:rsidRDefault="000F64AE" w:rsidP="000F64AE">
      <w:pPr>
        <w:spacing w:before="120" w:after="120" w:line="276" w:lineRule="auto"/>
        <w:ind w:firstLine="708"/>
        <w:jc w:val="both"/>
        <w:rPr>
          <w:rFonts w:ascii="Century Gothic" w:eastAsia="Times New Roman" w:hAnsi="Century Gothic" w:cs="Arial"/>
          <w:color w:val="000000" w:themeColor="text1"/>
          <w:szCs w:val="24"/>
          <w:lang w:val="es-ES_tradnl" w:eastAsia="es-CO"/>
        </w:rPr>
      </w:pPr>
      <w:r w:rsidRPr="000F64AE">
        <w:rPr>
          <w:rFonts w:ascii="Century Gothic" w:eastAsia="Times New Roman" w:hAnsi="Century Gothic" w:cs="Arial"/>
          <w:color w:val="000000" w:themeColor="text1"/>
          <w:szCs w:val="24"/>
          <w:lang w:val="es-ES_tradnl" w:eastAsia="es-CO"/>
        </w:rPr>
        <w:t>Al respecto, conviene indicar que la Agencia Nacional de Contratación Pública – Colombia Compra Eficiente, en los conceptos del 15 de 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 C-330 del 27 de mayo de 2020, C-396 de 16 de julio de 2020, C-387 de 3 de agosto de 2021, C-669 de 3 de diciembre de 2021, C-573 de 13 de septiembre de 2022, C- 831 de 28 de noviembre de 2022 y C-868 del 19 de diciembre de 2022, entre otros, analizó la naturaleza de los requisitos habilitantes y su carácter enunciativo en el artículo 5, numeral 1, de la Ley 1150 de 2007.</w:t>
      </w:r>
    </w:p>
    <w:p w14:paraId="571977FD" w14:textId="77777777" w:rsidR="000F64AE" w:rsidRPr="000F64AE" w:rsidRDefault="000F64AE" w:rsidP="000F64AE">
      <w:pPr>
        <w:spacing w:before="120" w:after="120" w:line="276" w:lineRule="auto"/>
        <w:ind w:firstLine="708"/>
        <w:jc w:val="both"/>
        <w:rPr>
          <w:rFonts w:ascii="Century Gothic" w:eastAsia="Calibri" w:hAnsi="Century Gothic" w:cs="Arial"/>
          <w:lang w:val="es-ES" w:eastAsia="es-CO"/>
        </w:rPr>
      </w:pPr>
      <w:r w:rsidRPr="000F64AE">
        <w:rPr>
          <w:rFonts w:ascii="Century Gothic" w:eastAsia="Times New Roman" w:hAnsi="Century Gothic" w:cs="Arial"/>
          <w:color w:val="000000" w:themeColor="text1"/>
          <w:szCs w:val="24"/>
          <w:lang w:val="es-ES_tradnl" w:eastAsia="es-CO"/>
        </w:rPr>
        <w:t>Por su parte, sobre la acreditación de los requisitos habilitantes de los oferentes en el Registro Único de Proponentes, se emitió, entre otros, los siguientes conceptos No. 4201912000006798 del 24 de octubre de 2019, C-002 del 12 de febrero de 2020, C-089 del 4 de marzo de 2020, C-099 del 06 de abril de 2020, C-166 del 14 de abril de 2020, C-233 del 16 de abril de 2020, C-326 del 9 de junio de 2020, C-140 del 9 de abril de 2021, C-831 de 28 de noviembre de 2022.</w:t>
      </w:r>
    </w:p>
    <w:p w14:paraId="071D190E" w14:textId="77777777" w:rsidR="000F64AE" w:rsidRPr="000F64AE" w:rsidRDefault="000F64AE" w:rsidP="000F64AE">
      <w:pPr>
        <w:spacing w:before="120" w:after="120" w:line="276" w:lineRule="auto"/>
        <w:ind w:firstLine="708"/>
        <w:jc w:val="both"/>
        <w:rPr>
          <w:rFonts w:ascii="Century Gothic" w:eastAsia="Times New Roman" w:hAnsi="Century Gothic" w:cs="Arial"/>
          <w:bCs/>
          <w:color w:val="000000" w:themeColor="text1"/>
          <w:lang w:eastAsia="es-MX"/>
        </w:rPr>
      </w:pPr>
      <w:r w:rsidRPr="000F64AE">
        <w:rPr>
          <w:rFonts w:ascii="Century Gothic" w:eastAsia="Calibri" w:hAnsi="Century Gothic" w:cs="Arial"/>
          <w:lang w:val="es-ES" w:eastAsia="es-CO"/>
        </w:rPr>
        <w:t xml:space="preserve">De igual forma, la Agencia se pronunció </w:t>
      </w:r>
      <w:r w:rsidRPr="000F64AE">
        <w:rPr>
          <w:rFonts w:ascii="Century Gothic" w:eastAsia="Times New Roman" w:hAnsi="Century Gothic" w:cs="Arial"/>
          <w:shd w:val="clear" w:color="auto" w:fill="FFFFFF"/>
          <w:lang w:val="es-ES" w:eastAsia="es-CO"/>
        </w:rPr>
        <w:t xml:space="preserve">sobre </w:t>
      </w:r>
      <w:r w:rsidRPr="000F64AE">
        <w:rPr>
          <w:rFonts w:ascii="Century Gothic" w:eastAsia="Times New Roman" w:hAnsi="Century Gothic" w:cs="Arial"/>
          <w:lang w:val="es-ES" w:eastAsia="es-CO"/>
        </w:rPr>
        <w:t xml:space="preserve">la acreditación de los indicadores de la capacidad financiera y organizacional, </w:t>
      </w:r>
      <w:r w:rsidRPr="000F64AE">
        <w:rPr>
          <w:rFonts w:ascii="Century Gothic" w:eastAsia="Calibri" w:hAnsi="Century Gothic" w:cs="Arial"/>
          <w:lang w:val="es-ES" w:eastAsia="es-CO"/>
        </w:rPr>
        <w:t xml:space="preserve">en los conceptos No. 4201912000006798 del 24 de octubre de 2019, C-002 del 12 de febrero de 2020, C-089 del 4 de marzo de 2020, C-099 del 06 de abril de 2020, C-166 del 14 de abril de 2020, C-233 del 16 de abril de 2020, C-326 del 9 de junio de 2020, C-140 del 9 de abril de 2021, C-439 del </w:t>
      </w:r>
      <w:r w:rsidRPr="000F64AE">
        <w:rPr>
          <w:rFonts w:ascii="Century Gothic" w:eastAsia="Calibri" w:hAnsi="Century Gothic" w:cs="Arial"/>
          <w:color w:val="000000" w:themeColor="text1"/>
          <w:lang w:val="es-ES_tradnl" w:eastAsia="es-CO"/>
        </w:rPr>
        <w:t xml:space="preserve">5 de julio de 2022, C-673 de 19 de octubre de 2022, </w:t>
      </w:r>
      <w:r w:rsidRPr="000F64AE">
        <w:rPr>
          <w:rFonts w:ascii="Century Gothic" w:eastAsia="Times New Roman" w:hAnsi="Century Gothic" w:cs="Arial"/>
          <w:lang w:val="es-ES" w:eastAsia="es-CO"/>
        </w:rPr>
        <w:t>entre otros.</w:t>
      </w:r>
    </w:p>
    <w:p w14:paraId="0256D008" w14:textId="77777777" w:rsidR="000F64AE" w:rsidRPr="000F64AE" w:rsidRDefault="000F64AE" w:rsidP="000F64AE">
      <w:pPr>
        <w:spacing w:after="0" w:line="276" w:lineRule="auto"/>
        <w:ind w:firstLine="708"/>
        <w:jc w:val="both"/>
        <w:rPr>
          <w:rFonts w:ascii="Century Gothic" w:eastAsia="Calibri" w:hAnsi="Century Gothic" w:cs="Arial"/>
          <w:lang w:eastAsia="es-CO"/>
        </w:rPr>
      </w:pPr>
      <w:r w:rsidRPr="000F64AE">
        <w:rPr>
          <w:rFonts w:ascii="Century Gothic" w:eastAsia="Calibri" w:hAnsi="Century Gothic" w:cs="Arial"/>
          <w:color w:val="000000" w:themeColor="text1"/>
          <w:lang w:val="es-ES" w:eastAsia="es-CO"/>
        </w:rPr>
        <w:t xml:space="preserve">Por su parte, sobre la </w:t>
      </w:r>
      <w:r w:rsidRPr="000F64AE">
        <w:rPr>
          <w:rFonts w:ascii="Century Gothic" w:eastAsia="Times New Roman" w:hAnsi="Century Gothic" w:cs="Arial"/>
          <w:color w:val="000000" w:themeColor="text1"/>
          <w:lang w:val="es-ES_tradnl" w:eastAsia="es-CO"/>
        </w:rPr>
        <w:t xml:space="preserve">acreditación de experiencia de socios por parte de sociedades con menos de tres años de constitución, </w:t>
      </w:r>
      <w:r w:rsidRPr="000F64AE">
        <w:rPr>
          <w:rFonts w:ascii="Century Gothic" w:eastAsia="Calibri" w:hAnsi="Century Gothic" w:cs="Arial"/>
          <w:lang w:eastAsia="es-CO"/>
        </w:rPr>
        <w:t>se han emitido los siguientes</w:t>
      </w:r>
      <w:r w:rsidRPr="000F64AE">
        <w:rPr>
          <w:rFonts w:ascii="Century Gothic" w:eastAsia="Calibri" w:hAnsi="Century Gothic" w:cs="Arial"/>
          <w:color w:val="000000" w:themeColor="text1"/>
          <w:lang w:val="es-ES" w:eastAsia="es-CO"/>
        </w:rPr>
        <w:t xml:space="preserve"> </w:t>
      </w:r>
      <w:r w:rsidRPr="000F64AE">
        <w:rPr>
          <w:rFonts w:ascii="Century Gothic" w:eastAsia="Calibri" w:hAnsi="Century Gothic" w:cs="Arial"/>
          <w:color w:val="000000" w:themeColor="text1"/>
          <w:lang w:val="es-ES" w:eastAsia="es-CO"/>
        </w:rPr>
        <w:lastRenderedPageBreak/>
        <w:t xml:space="preserve">conceptos 4201913000006797 del 19 de noviembre de 2019, </w:t>
      </w:r>
      <w:r w:rsidRPr="000F64AE">
        <w:rPr>
          <w:rFonts w:ascii="Century Gothic" w:eastAsia="Calibri" w:hAnsi="Century Gothic" w:cs="Arial"/>
          <w:color w:val="000000" w:themeColor="text1"/>
          <w:lang w:val="es-MX" w:eastAsia="es-CO"/>
        </w:rPr>
        <w:t>C-025 del 16 de marzo de 2020, C-051 del 2 de marzo de 2020, C-113 del 25 de marzo de 2020, C-165 del 1 de abril de 2020, C-233 del 16 de abril de 2020, C-350 del 1° de junio de 2020, C-407 de 12 de junio de 2020, C-398 de 30 de junio de 2020, C-470 del 14 de julio de 2020 C-584 de 31 de agosto 2020, C-619 de 21 de septiembre 2020, C-662 del 9 de noviembre de 2020, C-710 del 9 de diciembre de 2020, C-717 del 10 de diciembre de 2020, C-729 del del 11 de diciembre de 2020, C-008 del 15 de febrero de 2021, C-103 del 24 de marzo de 2021, C-230 del 25 de mayo de 2021, C-316 del 29 de junio de 2021, C-318 del 29 de junio de 2021, C-474 del 6 de septiembre de 2021, C-589 del 19 de octubre de 2021, C-608 del 29 de octubre de 2021, C-696 del 31 de diciembre de 2021, C-725 del 25 de enero de 2022, C-034 del 2 de marzo de 2022, C-144 del 1° de abril 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w:t>
      </w:r>
      <w:r w:rsidRPr="000F64AE">
        <w:rPr>
          <w:rFonts w:ascii="Century Gothic" w:eastAsia="Calibri" w:hAnsi="Century Gothic" w:cs="Arial"/>
          <w:color w:val="000000" w:themeColor="text1"/>
          <w:lang w:val="es-ES" w:eastAsia="es-CO"/>
        </w:rPr>
        <w:t>, C-128 del 18 de mayo de 2023 y C-146 de 13 de junio de 2023, entre otros</w:t>
      </w:r>
      <w:r w:rsidRPr="000F64AE">
        <w:rPr>
          <w:rFonts w:ascii="Century Gothic" w:eastAsia="Calibri" w:hAnsi="Century Gothic" w:cs="Arial"/>
          <w:lang w:eastAsia="es-CO"/>
        </w:rPr>
        <w:t>.</w:t>
      </w:r>
    </w:p>
    <w:p w14:paraId="5777813F" w14:textId="77777777" w:rsidR="000F64AE" w:rsidRPr="000F64AE" w:rsidRDefault="000F64AE" w:rsidP="000F64AE">
      <w:pPr>
        <w:spacing w:before="120" w:after="240" w:line="276" w:lineRule="auto"/>
        <w:ind w:firstLine="708"/>
        <w:jc w:val="both"/>
        <w:rPr>
          <w:rFonts w:ascii="Century Gothic" w:eastAsia="Times New Roman" w:hAnsi="Century Gothic" w:cs="Arial"/>
          <w:lang w:eastAsia="es-CO"/>
        </w:rPr>
      </w:pPr>
      <w:r w:rsidRPr="000F64AE">
        <w:rPr>
          <w:rFonts w:ascii="Century Gothic" w:eastAsia="Calibri" w:hAnsi="Century Gothic" w:cs="Arial"/>
          <w:bCs/>
          <w:color w:val="000000" w:themeColor="text1"/>
          <w:lang w:val="es-ES_tradnl" w:eastAsia="es-CO"/>
        </w:rPr>
        <w:t xml:space="preserve">Aunado a ello, en los conceptos C-005 del 16 de febrero de 2021, C-037 del 26 de febrero de 2021, C-035 del 02 de marzo de 2021, C-126 del 06 de abril de 2021, C-127 del 06 de abril de 2021, C-144 del 07 de abril de 2021, C-141 del 08 de abril de 2021, C-163 y C-164 del 19 de abril de 2021, C-242 del 25 de mayo de 2021, C-496 del 14 de septiembre de 2021, C-573 de 13 de octubre de 2021 y C-001 del 17 de febrero de 2022, C-293 del 12 de mayo de 2022, entre otros, se analizó el alcance del artículo 30 de la Ley 2069 de 2020. </w:t>
      </w:r>
      <w:r w:rsidRPr="000F64AE">
        <w:rPr>
          <w:rFonts w:ascii="Century Gothic" w:eastAsia="Calibri" w:hAnsi="Century Gothic" w:cs="Arial"/>
          <w:lang w:val="es-ES_tradnl" w:eastAsia="es-CO"/>
        </w:rPr>
        <w:t>Igualmente,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esta Agencia se pronunció sobre la nueva regulación de la promoción del desarrollo en la contratación estatal contenida en el artículo 34 de la Ley 2069 de 2020 y la posibilidad de limitar a MiPymes en los procesos de selección de mínima cuantía.</w:t>
      </w:r>
    </w:p>
    <w:p w14:paraId="1EA62C87" w14:textId="77777777" w:rsidR="000F64AE" w:rsidRPr="000F64AE" w:rsidRDefault="000F64AE" w:rsidP="000F64AE">
      <w:pPr>
        <w:spacing w:after="240" w:line="276" w:lineRule="auto"/>
        <w:ind w:firstLine="709"/>
        <w:jc w:val="both"/>
        <w:rPr>
          <w:rFonts w:ascii="Arial" w:eastAsia="Calibri" w:hAnsi="Arial" w:cs="Arial"/>
          <w:b/>
          <w:szCs w:val="24"/>
          <w:lang w:val="es-ES_tradnl" w:eastAsia="es-CO"/>
        </w:rPr>
      </w:pPr>
      <w:r w:rsidRPr="000F64AE">
        <w:rPr>
          <w:rFonts w:ascii="Century Gothic" w:eastAsia="Times New Roman" w:hAnsi="Century Gothic" w:cs="Arial"/>
          <w:lang w:val="es-ES" w:eastAsia="es-CO"/>
        </w:rPr>
        <w:lastRenderedPageBreak/>
        <w:t>Finalmente, sobre la garantía de seriedad de la oferta, esta Agencia profirió los siguientes conceptos:</w:t>
      </w:r>
      <w:r w:rsidRPr="000F64AE">
        <w:rPr>
          <w:rFonts w:ascii="Century Gothic" w:eastAsia="Calibri" w:hAnsi="Century Gothic" w:cs="Arial"/>
          <w:lang w:val="es-ES" w:eastAsia="es-CO"/>
        </w:rPr>
        <w:t xml:space="preserve"> 2</w:t>
      </w:r>
      <w:r w:rsidRPr="000F64AE">
        <w:rPr>
          <w:rFonts w:ascii="Century Gothic" w:eastAsia="Calibri" w:hAnsi="Century Gothic" w:cs="Arial"/>
          <w:lang w:val="es-MX" w:eastAsia="es-CO"/>
        </w:rPr>
        <w:t>201913000008068 del</w:t>
      </w:r>
      <w:r w:rsidRPr="000F64AE">
        <w:rPr>
          <w:rFonts w:ascii="Century Gothic" w:eastAsia="Calibri" w:hAnsi="Century Gothic" w:cs="Arial"/>
          <w:spacing w:val="-6"/>
          <w:lang w:val="es-MX" w:eastAsia="es-CO"/>
        </w:rPr>
        <w:t xml:space="preserve"> </w:t>
      </w:r>
      <w:r w:rsidRPr="000F64AE">
        <w:rPr>
          <w:rFonts w:ascii="Century Gothic" w:eastAsia="Calibri" w:hAnsi="Century Gothic" w:cs="Arial"/>
          <w:lang w:val="es-MX" w:eastAsia="es-CO"/>
        </w:rPr>
        <w:t>28</w:t>
      </w:r>
      <w:r w:rsidRPr="000F64AE">
        <w:rPr>
          <w:rFonts w:ascii="Century Gothic" w:eastAsia="Calibri" w:hAnsi="Century Gothic" w:cs="Arial"/>
          <w:spacing w:val="-5"/>
          <w:lang w:val="es-MX" w:eastAsia="es-CO"/>
        </w:rPr>
        <w:t xml:space="preserve"> </w:t>
      </w:r>
      <w:r w:rsidRPr="000F64AE">
        <w:rPr>
          <w:rFonts w:ascii="Century Gothic" w:eastAsia="Calibri" w:hAnsi="Century Gothic" w:cs="Arial"/>
          <w:lang w:val="es-MX" w:eastAsia="es-CO"/>
        </w:rPr>
        <w:t>de</w:t>
      </w:r>
      <w:r w:rsidRPr="000F64AE">
        <w:rPr>
          <w:rFonts w:ascii="Century Gothic" w:eastAsia="Calibri" w:hAnsi="Century Gothic" w:cs="Arial"/>
          <w:spacing w:val="-5"/>
          <w:lang w:val="es-MX" w:eastAsia="es-CO"/>
        </w:rPr>
        <w:t xml:space="preserve"> </w:t>
      </w:r>
      <w:r w:rsidRPr="000F64AE">
        <w:rPr>
          <w:rFonts w:ascii="Century Gothic" w:eastAsia="Calibri" w:hAnsi="Century Gothic" w:cs="Arial"/>
          <w:lang w:val="es-MX" w:eastAsia="es-CO"/>
        </w:rPr>
        <w:t>octubre</w:t>
      </w:r>
      <w:r w:rsidRPr="000F64AE">
        <w:rPr>
          <w:rFonts w:ascii="Century Gothic" w:eastAsia="Calibri" w:hAnsi="Century Gothic" w:cs="Arial"/>
          <w:spacing w:val="-5"/>
          <w:lang w:val="es-MX" w:eastAsia="es-CO"/>
        </w:rPr>
        <w:t xml:space="preserve"> </w:t>
      </w:r>
      <w:r w:rsidRPr="000F64AE">
        <w:rPr>
          <w:rFonts w:ascii="Century Gothic" w:eastAsia="Calibri" w:hAnsi="Century Gothic" w:cs="Arial"/>
          <w:lang w:val="es-MX" w:eastAsia="es-CO"/>
        </w:rPr>
        <w:t>del 2019</w:t>
      </w:r>
      <w:r w:rsidRPr="000F64AE">
        <w:rPr>
          <w:rFonts w:ascii="Century Gothic" w:eastAsia="Calibri" w:hAnsi="Century Gothic" w:cs="Arial"/>
          <w:spacing w:val="9"/>
          <w:lang w:val="es-MX" w:eastAsia="es-CO"/>
        </w:rPr>
        <w:t xml:space="preserve">, </w:t>
      </w:r>
      <w:r w:rsidRPr="000F64AE">
        <w:rPr>
          <w:rFonts w:ascii="Century Gothic" w:eastAsia="Calibri" w:hAnsi="Century Gothic" w:cs="Arial"/>
          <w:lang w:val="es-MX" w:eastAsia="es-CO"/>
        </w:rPr>
        <w:t>2201913000008484</w:t>
      </w:r>
      <w:r w:rsidRPr="000F64AE">
        <w:rPr>
          <w:rFonts w:ascii="Century Gothic" w:eastAsia="Calibri" w:hAnsi="Century Gothic" w:cs="Arial"/>
          <w:spacing w:val="9"/>
          <w:lang w:val="es-MX" w:eastAsia="es-CO"/>
        </w:rPr>
        <w:t xml:space="preserve"> </w:t>
      </w:r>
      <w:r w:rsidRPr="000F64AE">
        <w:rPr>
          <w:rFonts w:ascii="Century Gothic" w:eastAsia="Calibri" w:hAnsi="Century Gothic" w:cs="Arial"/>
          <w:lang w:val="es-MX" w:eastAsia="es-CO"/>
        </w:rPr>
        <w:t>del</w:t>
      </w:r>
      <w:r w:rsidRPr="000F64AE">
        <w:rPr>
          <w:rFonts w:ascii="Century Gothic" w:eastAsia="Calibri" w:hAnsi="Century Gothic" w:cs="Arial"/>
          <w:spacing w:val="9"/>
          <w:lang w:val="es-MX" w:eastAsia="es-CO"/>
        </w:rPr>
        <w:t xml:space="preserve"> </w:t>
      </w:r>
      <w:r w:rsidRPr="000F64AE">
        <w:rPr>
          <w:rFonts w:ascii="Century Gothic" w:eastAsia="Calibri" w:hAnsi="Century Gothic" w:cs="Arial"/>
          <w:lang w:val="es-MX" w:eastAsia="es-CO"/>
        </w:rPr>
        <w:t>14</w:t>
      </w:r>
      <w:r w:rsidRPr="000F64AE">
        <w:rPr>
          <w:rFonts w:ascii="Century Gothic" w:eastAsia="Calibri" w:hAnsi="Century Gothic" w:cs="Arial"/>
          <w:spacing w:val="9"/>
          <w:lang w:val="es-MX" w:eastAsia="es-CO"/>
        </w:rPr>
        <w:t xml:space="preserve"> </w:t>
      </w:r>
      <w:r w:rsidRPr="000F64AE">
        <w:rPr>
          <w:rFonts w:ascii="Century Gothic" w:eastAsia="Calibri" w:hAnsi="Century Gothic" w:cs="Arial"/>
          <w:lang w:val="es-MX" w:eastAsia="es-CO"/>
        </w:rPr>
        <w:t>de</w:t>
      </w:r>
      <w:r w:rsidRPr="000F64AE">
        <w:rPr>
          <w:rFonts w:ascii="Century Gothic" w:eastAsia="Calibri" w:hAnsi="Century Gothic" w:cs="Arial"/>
          <w:spacing w:val="9"/>
          <w:lang w:val="es-MX" w:eastAsia="es-CO"/>
        </w:rPr>
        <w:t xml:space="preserve"> </w:t>
      </w:r>
      <w:r w:rsidRPr="000F64AE">
        <w:rPr>
          <w:rFonts w:ascii="Century Gothic" w:eastAsia="Calibri" w:hAnsi="Century Gothic" w:cs="Arial"/>
          <w:lang w:val="es-MX" w:eastAsia="es-CO"/>
        </w:rPr>
        <w:t>noviembre</w:t>
      </w:r>
      <w:r w:rsidRPr="000F64AE">
        <w:rPr>
          <w:rFonts w:ascii="Century Gothic" w:eastAsia="Calibri" w:hAnsi="Century Gothic" w:cs="Arial"/>
          <w:spacing w:val="9"/>
          <w:lang w:val="es-MX" w:eastAsia="es-CO"/>
        </w:rPr>
        <w:t xml:space="preserve"> </w:t>
      </w:r>
      <w:r w:rsidRPr="000F64AE">
        <w:rPr>
          <w:rFonts w:ascii="Century Gothic" w:eastAsia="Calibri" w:hAnsi="Century Gothic" w:cs="Arial"/>
          <w:lang w:val="es-MX" w:eastAsia="es-CO"/>
        </w:rPr>
        <w:t>del</w:t>
      </w:r>
      <w:r w:rsidRPr="000F64AE">
        <w:rPr>
          <w:rFonts w:ascii="Century Gothic" w:eastAsia="Calibri" w:hAnsi="Century Gothic" w:cs="Arial"/>
          <w:spacing w:val="9"/>
          <w:lang w:val="es-MX" w:eastAsia="es-CO"/>
        </w:rPr>
        <w:t xml:space="preserve"> </w:t>
      </w:r>
      <w:r w:rsidRPr="000F64AE">
        <w:rPr>
          <w:rFonts w:ascii="Century Gothic" w:eastAsia="Calibri" w:hAnsi="Century Gothic" w:cs="Arial"/>
          <w:lang w:val="es-MX" w:eastAsia="es-CO"/>
        </w:rPr>
        <w:t>2019,</w:t>
      </w:r>
      <w:r w:rsidRPr="000F64AE">
        <w:rPr>
          <w:rFonts w:ascii="Century Gothic" w:eastAsia="Calibri" w:hAnsi="Century Gothic" w:cs="Arial"/>
          <w:spacing w:val="6"/>
          <w:lang w:val="es-MX" w:eastAsia="es-CO"/>
        </w:rPr>
        <w:t xml:space="preserve"> </w:t>
      </w:r>
      <w:r w:rsidRPr="000F64AE">
        <w:rPr>
          <w:rFonts w:ascii="Century Gothic" w:eastAsia="Calibri" w:hAnsi="Century Gothic" w:cs="Arial"/>
          <w:lang w:val="es-MX" w:eastAsia="es-CO"/>
        </w:rPr>
        <w:t>C-218</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del</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2</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de</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abril</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de</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2020,</w:t>
      </w:r>
      <w:r w:rsidRPr="000F64AE">
        <w:rPr>
          <w:rFonts w:ascii="Century Gothic" w:eastAsia="Calibri" w:hAnsi="Century Gothic" w:cs="Arial"/>
          <w:spacing w:val="6"/>
          <w:lang w:val="es-MX" w:eastAsia="es-CO"/>
        </w:rPr>
        <w:t xml:space="preserve"> </w:t>
      </w:r>
      <w:r w:rsidRPr="000F64AE">
        <w:rPr>
          <w:rFonts w:ascii="Century Gothic" w:eastAsia="Calibri" w:hAnsi="Century Gothic" w:cs="Arial"/>
          <w:lang w:val="es-MX" w:eastAsia="es-CO"/>
        </w:rPr>
        <w:t>C-307</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del</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21</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de</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mayo</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de</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2020,</w:t>
      </w:r>
      <w:r w:rsidRPr="000F64AE">
        <w:rPr>
          <w:rFonts w:ascii="Century Gothic" w:eastAsia="Calibri" w:hAnsi="Century Gothic" w:cs="Arial"/>
          <w:spacing w:val="7"/>
          <w:lang w:val="es-MX" w:eastAsia="es-CO"/>
        </w:rPr>
        <w:t xml:space="preserve"> </w:t>
      </w:r>
      <w:r w:rsidRPr="000F64AE">
        <w:rPr>
          <w:rFonts w:ascii="Century Gothic" w:eastAsia="Calibri" w:hAnsi="Century Gothic" w:cs="Arial"/>
          <w:lang w:val="es-MX" w:eastAsia="es-CO"/>
        </w:rPr>
        <w:t>C-391 del 10 de agosto de 2020, C-675 del 25 de noviembre de 2020 y C-683 del 21 de noviembre de 2020, C-010 del 16 de febrero de 2021, C-036 del 31 de marzo de 2023 y C-262 del 13 de julio de 2023, entre otros</w:t>
      </w:r>
      <w:r w:rsidRPr="000F64AE">
        <w:rPr>
          <w:rFonts w:ascii="Century Gothic" w:eastAsia="Calibri" w:hAnsi="Century Gothic" w:cs="Arial"/>
          <w:vertAlign w:val="superscript"/>
          <w:lang w:eastAsia="es-CO"/>
        </w:rPr>
        <w:footnoteReference w:id="3"/>
      </w:r>
      <w:r w:rsidRPr="000F64AE">
        <w:rPr>
          <w:rFonts w:ascii="Century Gothic" w:eastAsia="Calibri" w:hAnsi="Century Gothic" w:cs="Arial"/>
          <w:lang w:val="es-MX" w:eastAsia="es-CO"/>
        </w:rPr>
        <w:t xml:space="preserve">. </w:t>
      </w:r>
      <w:r w:rsidRPr="000F64AE">
        <w:rPr>
          <w:rFonts w:ascii="Century Gothic" w:eastAsia="Calibri" w:hAnsi="Century Gothic" w:cs="Arial"/>
          <w:lang w:val="es-ES" w:eastAsia="es-CO"/>
        </w:rPr>
        <w:t>Las tesis expuestas en estos conceptos se reiteran a continuación y se complementan en lo pertinente, teniendo en cuenta los interrogantes planteados</w:t>
      </w:r>
      <w:r w:rsidRPr="000F64AE">
        <w:rPr>
          <w:rFonts w:ascii="Century Gothic" w:eastAsia="Calibri" w:hAnsi="Century Gothic" w:cs="Arial"/>
          <w:color w:val="000000" w:themeColor="text1"/>
          <w:lang w:val="es-ES"/>
        </w:rPr>
        <w:t>.</w:t>
      </w:r>
      <w:bookmarkStart w:id="16" w:name="_Hlk136187315"/>
      <w:bookmarkStart w:id="17" w:name="_Hlk136188490"/>
      <w:bookmarkStart w:id="18" w:name="_Hlk136201775"/>
      <w:bookmarkStart w:id="19" w:name="_Hlk140044483"/>
      <w:bookmarkStart w:id="20" w:name="_Hlk77237229"/>
      <w:bookmarkStart w:id="21" w:name="_Hlk75741539"/>
      <w:bookmarkStart w:id="22" w:name="_Hlk143006863"/>
      <w:bookmarkStart w:id="23" w:name="_Hlk143006346"/>
      <w:bookmarkStart w:id="24" w:name="_Hlk98838985"/>
      <w:bookmarkStart w:id="25" w:name="_Hlk147694906"/>
      <w:bookmarkStart w:id="26" w:name="_Hlk127422237"/>
      <w:bookmarkEnd w:id="11"/>
      <w:bookmarkEnd w:id="15"/>
    </w:p>
    <w:p w14:paraId="6806EAF7" w14:textId="77777777" w:rsidR="000F64AE" w:rsidRPr="000F64AE" w:rsidRDefault="000F64AE" w:rsidP="000F64AE">
      <w:pPr>
        <w:spacing w:after="240" w:line="276" w:lineRule="auto"/>
        <w:jc w:val="both"/>
        <w:rPr>
          <w:rFonts w:ascii="Century Gothic" w:eastAsia="Times New Roman" w:hAnsi="Century Gothic" w:cs="Arial"/>
          <w:b/>
          <w:color w:val="000000" w:themeColor="text1"/>
          <w:lang w:eastAsia="es-MX"/>
        </w:rPr>
      </w:pPr>
      <w:r w:rsidRPr="000F64AE">
        <w:rPr>
          <w:rFonts w:ascii="Century Gothic" w:eastAsia="Times New Roman" w:hAnsi="Century Gothic" w:cs="Arial"/>
          <w:b/>
          <w:color w:val="000000" w:themeColor="text1"/>
          <w:lang w:val="es-ES" w:eastAsia="es-MX"/>
        </w:rPr>
        <w:t xml:space="preserve">2.1. </w:t>
      </w:r>
      <w:r w:rsidRPr="000F64AE">
        <w:rPr>
          <w:rFonts w:ascii="Century Gothic" w:eastAsia="Times New Roman" w:hAnsi="Century Gothic" w:cs="Arial"/>
          <w:b/>
          <w:color w:val="000000" w:themeColor="text1"/>
          <w:lang w:val="es-ES" w:eastAsia="es-MX"/>
        </w:rPr>
        <w:tab/>
        <w:t>Los requisitos</w:t>
      </w:r>
      <w:r w:rsidRPr="000F64AE">
        <w:rPr>
          <w:rFonts w:ascii="Century Gothic" w:eastAsia="Times New Roman" w:hAnsi="Century Gothic" w:cs="Arial"/>
          <w:b/>
          <w:color w:val="000000" w:themeColor="text1"/>
          <w:lang w:eastAsia="es-MX"/>
        </w:rPr>
        <w:t xml:space="preserve"> habilitantes como criterios obligatorios para participar en los procedimientos de selección contractual</w:t>
      </w:r>
    </w:p>
    <w:p w14:paraId="6C710136" w14:textId="77777777" w:rsidR="000F64AE" w:rsidRPr="000F64AE" w:rsidRDefault="000F64AE" w:rsidP="000F64AE">
      <w:pPr>
        <w:spacing w:after="120" w:line="276" w:lineRule="auto"/>
        <w:jc w:val="both"/>
        <w:rPr>
          <w:rFonts w:ascii="Century Gothic" w:eastAsia="Calibri" w:hAnsi="Century Gothic" w:cs="Arial"/>
          <w:color w:val="000000" w:themeColor="text1"/>
          <w:szCs w:val="24"/>
          <w:lang w:val="es-ES_tradnl" w:eastAsia="es-CO"/>
        </w:rPr>
      </w:pPr>
      <w:r w:rsidRPr="000F64AE">
        <w:rPr>
          <w:rFonts w:ascii="Century Gothic" w:eastAsia="Calibri" w:hAnsi="Century Gothic" w:cs="Arial"/>
          <w:color w:val="000000" w:themeColor="text1"/>
          <w:szCs w:val="24"/>
          <w:lang w:val="es-ES_tradnl" w:eastAsia="es-CO"/>
        </w:rPr>
        <w:t xml:space="preserve">En múltiples conceptos de esta Agencia los </w:t>
      </w:r>
      <w:r w:rsidRPr="000F64AE">
        <w:rPr>
          <w:rFonts w:ascii="Century Gothic" w:eastAsia="Calibri" w:hAnsi="Century Gothic" w:cs="Arial"/>
          <w:i/>
          <w:iCs/>
          <w:color w:val="000000" w:themeColor="text1"/>
          <w:szCs w:val="24"/>
          <w:lang w:val="es-ES_tradnl" w:eastAsia="es-CO"/>
        </w:rPr>
        <w:t>requisitos habilitantes</w:t>
      </w:r>
      <w:r w:rsidRPr="000F64AE">
        <w:rPr>
          <w:rFonts w:ascii="Century Gothic" w:eastAsia="Calibri" w:hAnsi="Century Gothic" w:cs="Arial"/>
          <w:color w:val="000000" w:themeColor="text1"/>
          <w:szCs w:val="24"/>
          <w:lang w:val="es-ES_tradnl" w:eastAsia="es-CO"/>
        </w:rPr>
        <w:t xml:space="preserve"> se han delimitado como aquellas exigencias de participación en los procedimientos de selección que están previstas en disposiciones normativas de carácter legal o reglamentario, o contenidas en el respectivo acto administrativo que regula las reglas de la convocatoria, es decir, en el pliego de condiciones o el documento equivalente a este. Se diferencian de los </w:t>
      </w:r>
      <w:r w:rsidRPr="000F64AE">
        <w:rPr>
          <w:rFonts w:ascii="Century Gothic" w:eastAsia="Calibri" w:hAnsi="Century Gothic" w:cs="Arial"/>
          <w:i/>
          <w:iCs/>
          <w:color w:val="000000" w:themeColor="text1"/>
          <w:szCs w:val="24"/>
          <w:lang w:val="es-ES_tradnl" w:eastAsia="es-CO"/>
        </w:rPr>
        <w:t>criterios de evaluación</w:t>
      </w:r>
      <w:r w:rsidRPr="000F64AE">
        <w:rPr>
          <w:rFonts w:ascii="Century Gothic" w:eastAsia="Calibri" w:hAnsi="Century Gothic" w:cs="Arial"/>
          <w:color w:val="000000" w:themeColor="text1"/>
          <w:szCs w:val="24"/>
          <w:lang w:val="es-ES_tradnl" w:eastAsia="es-CO"/>
        </w:rPr>
        <w:t xml:space="preserve"> -también conocidos como </w:t>
      </w:r>
      <w:r w:rsidRPr="000F64AE">
        <w:rPr>
          <w:rFonts w:ascii="Century Gothic" w:eastAsia="Calibri" w:hAnsi="Century Gothic" w:cs="Arial"/>
          <w:i/>
          <w:iCs/>
          <w:color w:val="000000" w:themeColor="text1"/>
          <w:szCs w:val="24"/>
          <w:lang w:val="es-ES_tradnl" w:eastAsia="es-CO"/>
        </w:rPr>
        <w:t>criterios de calificación</w:t>
      </w:r>
      <w:r w:rsidRPr="000F64AE">
        <w:rPr>
          <w:rFonts w:ascii="Century Gothic" w:eastAsia="Calibri" w:hAnsi="Century Gothic" w:cs="Arial"/>
          <w:color w:val="000000" w:themeColor="text1"/>
          <w:szCs w:val="24"/>
          <w:lang w:val="es-ES_tradnl" w:eastAsia="es-CO"/>
        </w:rPr>
        <w:t>- en que estos son los factores definidos por la Entidad Estatal para la asignación de puntaje en el momento de la comparación de las ofertas, y que, a partir de su ponderación, permiten establecer el orden de elegibilidad y, de ahí, la propuesta ganadora.</w:t>
      </w:r>
    </w:p>
    <w:p w14:paraId="46485BA5" w14:textId="77777777" w:rsidR="000F64AE" w:rsidRPr="000F64AE" w:rsidRDefault="000F64AE" w:rsidP="000F64AE">
      <w:pPr>
        <w:spacing w:after="120" w:line="276" w:lineRule="auto"/>
        <w:ind w:firstLine="708"/>
        <w:jc w:val="both"/>
        <w:rPr>
          <w:rFonts w:ascii="Century Gothic" w:eastAsia="Calibri" w:hAnsi="Century Gothic" w:cs="Arial"/>
          <w:color w:val="000000" w:themeColor="text1"/>
          <w:szCs w:val="24"/>
          <w:lang w:val="es-ES_tradnl" w:eastAsia="es-CO"/>
        </w:rPr>
      </w:pPr>
      <w:r w:rsidRPr="000F64AE">
        <w:rPr>
          <w:rFonts w:ascii="Century Gothic" w:eastAsia="Calibri" w:hAnsi="Century Gothic" w:cs="Arial"/>
          <w:color w:val="000000" w:themeColor="text1"/>
          <w:szCs w:val="24"/>
          <w:lang w:val="es-ES_tradnl" w:eastAsia="es-CO"/>
        </w:rPr>
        <w:t>En este sentido,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60F0997D" w14:textId="77777777" w:rsidR="000F64AE" w:rsidRPr="000F64AE" w:rsidRDefault="000F64AE" w:rsidP="000F64AE">
      <w:pPr>
        <w:spacing w:after="0" w:line="276" w:lineRule="auto"/>
        <w:ind w:firstLine="708"/>
        <w:jc w:val="both"/>
        <w:rPr>
          <w:rFonts w:ascii="Century Gothic" w:eastAsia="Calibri" w:hAnsi="Century Gothic" w:cs="Arial"/>
          <w:color w:val="000000" w:themeColor="text1"/>
          <w:szCs w:val="24"/>
          <w:lang w:val="es-ES_tradnl" w:eastAsia="es-CO"/>
        </w:rPr>
      </w:pPr>
      <w:r w:rsidRPr="000F64AE">
        <w:rPr>
          <w:rFonts w:ascii="Century Gothic" w:eastAsia="Calibri" w:hAnsi="Century Gothic" w:cs="Arial"/>
          <w:color w:val="000000" w:themeColor="text1"/>
          <w:szCs w:val="24"/>
          <w:lang w:val="es-ES_tradnl" w:eastAsia="es-CO"/>
        </w:rPr>
        <w:t xml:space="preserve">El mencionado artículo dispone que se considera </w:t>
      </w:r>
      <w:r w:rsidRPr="000F64AE">
        <w:rPr>
          <w:rFonts w:ascii="Century Gothic" w:eastAsia="Calibri" w:hAnsi="Century Gothic" w:cs="Arial"/>
          <w:i/>
          <w:iCs/>
          <w:color w:val="000000" w:themeColor="text1"/>
          <w:szCs w:val="24"/>
          <w:lang w:val="es-ES_tradnl" w:eastAsia="es-CO"/>
        </w:rPr>
        <w:t>“</w:t>
      </w:r>
      <w:r w:rsidRPr="000F64AE">
        <w:rPr>
          <w:rFonts w:ascii="Century Gothic" w:eastAsia="Calibri" w:hAnsi="Century Gothic" w:cs="Arial"/>
          <w:color w:val="000000" w:themeColor="text1"/>
          <w:szCs w:val="24"/>
          <w:lang w:val="es-ES_tradnl" w:eastAsia="es-CO"/>
        </w:rPr>
        <w:t xml:space="preserve">objetiva la selección en la cual la escogencia se haga al ofrecimiento más favorable a la entidad y a los fines que ella busca, sin tener en consideración factores de afecto o de interés y, </w:t>
      </w:r>
      <w:r w:rsidRPr="000F64AE">
        <w:rPr>
          <w:rFonts w:ascii="Century Gothic" w:eastAsia="Calibri" w:hAnsi="Century Gothic" w:cs="Arial"/>
          <w:color w:val="000000" w:themeColor="text1"/>
          <w:szCs w:val="24"/>
          <w:lang w:val="es-ES_tradnl" w:eastAsia="es-CO"/>
        </w:rPr>
        <w:lastRenderedPageBreak/>
        <w:t>en general, cualquier clase de motivación subjetiva</w:t>
      </w:r>
      <w:r w:rsidRPr="000F64AE">
        <w:rPr>
          <w:rFonts w:ascii="Century Gothic" w:eastAsia="Calibri" w:hAnsi="Century Gothic" w:cs="Arial"/>
          <w:i/>
          <w:iCs/>
          <w:color w:val="000000" w:themeColor="text1"/>
          <w:szCs w:val="24"/>
          <w:lang w:val="es-ES_tradnl" w:eastAsia="es-CO"/>
        </w:rPr>
        <w:t>”</w:t>
      </w:r>
      <w:r w:rsidRPr="000F64AE">
        <w:rPr>
          <w:rFonts w:ascii="Century Gothic" w:eastAsia="Calibri" w:hAnsi="Century Gothic" w:cs="Arial"/>
          <w:color w:val="000000" w:themeColor="text1"/>
          <w:szCs w:val="24"/>
          <w:lang w:val="es-ES_tradnl" w:eastAsia="es-CO"/>
        </w:rPr>
        <w:t>. En ese contexto, los factores de escogencia y calificación que establezcan las entidades en los pliegos de condiciones o sus documentos equivalentes deberán tener en cuenta, entre otras cuestiones, los criterios establecidos en dicha disposición.</w:t>
      </w:r>
    </w:p>
    <w:p w14:paraId="093D345E" w14:textId="77777777" w:rsidR="000F64AE" w:rsidRPr="000F64AE" w:rsidRDefault="000F64AE" w:rsidP="000F64AE">
      <w:pPr>
        <w:spacing w:before="120" w:after="0" w:line="276" w:lineRule="auto"/>
        <w:ind w:firstLine="709"/>
        <w:jc w:val="both"/>
        <w:rPr>
          <w:rFonts w:ascii="Century Gothic" w:eastAsia="Calibri" w:hAnsi="Century Gothic" w:cs="Arial"/>
          <w:color w:val="000000" w:themeColor="text1"/>
          <w:szCs w:val="24"/>
          <w:lang w:val="es-ES_tradnl" w:eastAsia="es-CO"/>
        </w:rPr>
      </w:pPr>
      <w:r w:rsidRPr="000F64AE">
        <w:rPr>
          <w:rFonts w:ascii="Century Gothic" w:eastAsia="Calibri" w:hAnsi="Century Gothic" w:cs="Arial"/>
          <w:color w:val="000000" w:themeColor="text1"/>
          <w:szCs w:val="24"/>
          <w:lang w:val="es-ES_tradnl" w:eastAsia="es-CO"/>
        </w:rPr>
        <w:t xml:space="preserve">Específicamente, el numeral 1º del artículo referido establece que en los procesos de selección de contratistas serán objeto de verificación, como requisitos habilitantes, </w:t>
      </w:r>
      <w:r w:rsidRPr="000F64AE">
        <w:rPr>
          <w:rFonts w:ascii="Century Gothic" w:eastAsia="Calibri" w:hAnsi="Century Gothic" w:cs="Arial"/>
          <w:i/>
          <w:iCs/>
          <w:color w:val="000000" w:themeColor="text1"/>
          <w:szCs w:val="24"/>
          <w:lang w:val="es-ES_tradnl" w:eastAsia="es-CO"/>
        </w:rPr>
        <w:t>entre otros</w:t>
      </w:r>
      <w:r w:rsidRPr="000F64AE">
        <w:rPr>
          <w:rFonts w:ascii="Century Gothic" w:eastAsia="Calibri" w:hAnsi="Century Gothic" w:cs="Arial"/>
          <w:color w:val="000000" w:themeColor="text1"/>
          <w:szCs w:val="24"/>
          <w:lang w:val="es-ES_tradnl" w:eastAsia="es-CO"/>
        </w:rPr>
        <w:t xml:space="preserve">, los siguientes: i) la capacidad jurídica; ii) la experiencia; iii) la capacidad financiera; y </w:t>
      </w:r>
      <w:proofErr w:type="spellStart"/>
      <w:r w:rsidRPr="000F64AE">
        <w:rPr>
          <w:rFonts w:ascii="Century Gothic" w:eastAsia="Calibri" w:hAnsi="Century Gothic" w:cs="Arial"/>
          <w:color w:val="000000" w:themeColor="text1"/>
          <w:szCs w:val="24"/>
          <w:lang w:val="es-ES_tradnl" w:eastAsia="es-CO"/>
        </w:rPr>
        <w:t>iv</w:t>
      </w:r>
      <w:proofErr w:type="spellEnd"/>
      <w:r w:rsidRPr="000F64AE">
        <w:rPr>
          <w:rFonts w:ascii="Century Gothic" w:eastAsia="Calibri" w:hAnsi="Century Gothic" w:cs="Arial"/>
          <w:color w:val="000000" w:themeColor="text1"/>
          <w:szCs w:val="24"/>
          <w:lang w:val="es-ES_tradnl" w:eastAsia="es-CO"/>
        </w:rPr>
        <w:t>) la capacidad de organización. En efecto, la normativa citada dispone:</w:t>
      </w:r>
    </w:p>
    <w:p w14:paraId="0C0EB977" w14:textId="77777777" w:rsidR="000F64AE" w:rsidRPr="000F64AE" w:rsidRDefault="000F64AE" w:rsidP="000F64AE">
      <w:pPr>
        <w:spacing w:after="0" w:line="240" w:lineRule="auto"/>
        <w:jc w:val="both"/>
        <w:rPr>
          <w:rFonts w:ascii="Century Gothic" w:eastAsia="Calibri" w:hAnsi="Century Gothic" w:cs="Arial"/>
          <w:color w:val="000000" w:themeColor="text1"/>
          <w:szCs w:val="24"/>
          <w:lang w:val="es-ES_tradnl" w:eastAsia="es-CO"/>
        </w:rPr>
      </w:pPr>
    </w:p>
    <w:p w14:paraId="2BEDD05D" w14:textId="77777777" w:rsidR="000F64AE" w:rsidRPr="000F64AE" w:rsidRDefault="000F64AE" w:rsidP="000F64AE">
      <w:pPr>
        <w:spacing w:after="0" w:line="240" w:lineRule="auto"/>
        <w:ind w:left="709" w:right="709"/>
        <w:jc w:val="both"/>
        <w:rPr>
          <w:rFonts w:ascii="Century Gothic" w:eastAsia="Calibri" w:hAnsi="Century Gothic" w:cs="Arial"/>
          <w:color w:val="000000" w:themeColor="text1"/>
          <w:sz w:val="21"/>
          <w:szCs w:val="21"/>
          <w:lang w:val="es-ES_tradnl" w:eastAsia="es-CO"/>
        </w:rPr>
      </w:pPr>
      <w:r w:rsidRPr="000F64AE">
        <w:rPr>
          <w:rFonts w:ascii="Century Gothic" w:eastAsia="Calibri" w:hAnsi="Century Gothic" w:cs="Arial"/>
          <w:color w:val="000000" w:themeColor="text1"/>
          <w:sz w:val="21"/>
          <w:szCs w:val="21"/>
          <w:lang w:val="es-ES_tradnl" w:eastAsia="es-CO"/>
        </w:rPr>
        <w:t xml:space="preserve">“Artículo 5. De la Selección Objetiva. </w:t>
      </w:r>
    </w:p>
    <w:p w14:paraId="5D5F5A39" w14:textId="77777777" w:rsidR="000F64AE" w:rsidRPr="000F64AE" w:rsidRDefault="000F64AE" w:rsidP="000F64AE">
      <w:pPr>
        <w:spacing w:after="120" w:line="240" w:lineRule="auto"/>
        <w:ind w:left="709" w:right="709"/>
        <w:jc w:val="both"/>
        <w:rPr>
          <w:rFonts w:ascii="Century Gothic" w:eastAsia="Calibri" w:hAnsi="Century Gothic" w:cs="Arial"/>
          <w:color w:val="000000" w:themeColor="text1"/>
          <w:sz w:val="21"/>
          <w:szCs w:val="21"/>
          <w:lang w:val="es-ES_tradnl" w:eastAsia="es-CO"/>
        </w:rPr>
      </w:pPr>
      <w:r w:rsidRPr="000F64AE">
        <w:rPr>
          <w:rFonts w:ascii="Century Gothic" w:eastAsia="Calibri" w:hAnsi="Century Gothic" w:cs="Arial"/>
          <w:color w:val="000000" w:themeColor="text1"/>
          <w:sz w:val="21"/>
          <w:szCs w:val="21"/>
          <w:lang w:val="es-ES_tradnl" w:eastAsia="es-CO"/>
        </w:rPr>
        <w:t>[…]</w:t>
      </w:r>
    </w:p>
    <w:p w14:paraId="2E151FC3" w14:textId="77777777" w:rsidR="000F64AE" w:rsidRPr="000F64AE" w:rsidRDefault="000F64AE" w:rsidP="000F64AE">
      <w:pPr>
        <w:spacing w:after="120" w:line="240" w:lineRule="auto"/>
        <w:ind w:left="709" w:right="709"/>
        <w:jc w:val="both"/>
        <w:rPr>
          <w:rFonts w:ascii="Century Gothic" w:eastAsia="Calibri" w:hAnsi="Century Gothic" w:cs="Arial"/>
          <w:color w:val="000000" w:themeColor="text1"/>
          <w:sz w:val="21"/>
          <w:szCs w:val="21"/>
          <w:lang w:val="es-ES_tradnl" w:eastAsia="es-CO"/>
        </w:rPr>
      </w:pPr>
      <w:r w:rsidRPr="000F64AE">
        <w:rPr>
          <w:rFonts w:ascii="Century Gothic" w:eastAsia="Calibri" w:hAnsi="Century Gothic" w:cs="Arial"/>
          <w:color w:val="000000" w:themeColor="text1"/>
          <w:sz w:val="21"/>
          <w:szCs w:val="21"/>
          <w:lang w:val="es-ES_tradnl"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7B705A9F" w14:textId="77777777" w:rsidR="000F64AE" w:rsidRPr="000F64AE" w:rsidRDefault="000F64AE" w:rsidP="000F64AE">
      <w:pPr>
        <w:spacing w:after="120" w:line="240" w:lineRule="auto"/>
        <w:ind w:right="709"/>
        <w:jc w:val="both"/>
        <w:rPr>
          <w:rFonts w:ascii="Century Gothic" w:eastAsia="Calibri" w:hAnsi="Century Gothic" w:cs="Arial"/>
          <w:color w:val="000000" w:themeColor="text1"/>
          <w:sz w:val="21"/>
          <w:szCs w:val="21"/>
          <w:lang w:val="es-ES_tradnl" w:eastAsia="es-CO"/>
        </w:rPr>
      </w:pPr>
    </w:p>
    <w:p w14:paraId="20517D59" w14:textId="77777777" w:rsidR="000F64AE" w:rsidRPr="000F64AE" w:rsidRDefault="000F64AE" w:rsidP="000F64AE">
      <w:pPr>
        <w:spacing w:after="120" w:line="240" w:lineRule="auto"/>
        <w:ind w:right="709" w:firstLine="708"/>
        <w:jc w:val="both"/>
        <w:rPr>
          <w:rFonts w:ascii="Century Gothic" w:eastAsia="Times New Roman" w:hAnsi="Century Gothic" w:cs="Arial"/>
          <w:color w:val="000000" w:themeColor="text1"/>
          <w:lang w:val="es-ES_tradnl" w:eastAsia="es-CO"/>
        </w:rPr>
      </w:pPr>
      <w:r w:rsidRPr="000F64AE">
        <w:rPr>
          <w:rFonts w:ascii="Century Gothic" w:eastAsia="Times New Roman" w:hAnsi="Century Gothic" w:cs="Arial"/>
          <w:color w:val="000000" w:themeColor="text1"/>
          <w:lang w:val="es-ES_tradnl" w:eastAsia="es-CO"/>
        </w:rPr>
        <w:t xml:space="preserve">Una vez fijados los requisitos habilitantes por la Entidad Estatal, quienes presenten ofertas deben </w:t>
      </w:r>
      <w:r w:rsidRPr="000F64AE">
        <w:rPr>
          <w:rFonts w:ascii="Century Gothic" w:eastAsia="Times New Roman" w:hAnsi="Century Gothic" w:cs="Arial"/>
          <w:bCs/>
          <w:i/>
          <w:iCs/>
          <w:color w:val="000000" w:themeColor="text1"/>
          <w:lang w:val="es-ES_tradnl" w:eastAsia="es-CO"/>
        </w:rPr>
        <w:t>acreditar</w:t>
      </w:r>
      <w:r w:rsidRPr="000F64AE">
        <w:rPr>
          <w:rFonts w:ascii="Century Gothic" w:eastAsia="Times New Roman" w:hAnsi="Century Gothic" w:cs="Arial"/>
          <w:color w:val="000000" w:themeColor="text1"/>
          <w:lang w:val="es-ES_tradnl" w:eastAsia="es-CO"/>
        </w:rPr>
        <w:t xml:space="preserve"> que cumplen con los mismos, pues, en el evento contrario, las propuestas deberán ser rechazadas.</w:t>
      </w:r>
    </w:p>
    <w:p w14:paraId="71429546" w14:textId="77777777" w:rsidR="000F64AE" w:rsidRPr="000F64AE" w:rsidRDefault="000F64AE" w:rsidP="000F64AE">
      <w:pPr>
        <w:spacing w:after="120" w:line="240" w:lineRule="auto"/>
        <w:ind w:right="709" w:firstLine="708"/>
        <w:jc w:val="both"/>
        <w:rPr>
          <w:rFonts w:ascii="Century Gothic" w:eastAsia="Calibri" w:hAnsi="Century Gothic" w:cs="Arial"/>
          <w:color w:val="000000" w:themeColor="text1"/>
          <w:lang w:val="es-ES_tradnl" w:eastAsia="es-CO"/>
        </w:rPr>
      </w:pPr>
    </w:p>
    <w:p w14:paraId="22658562" w14:textId="77777777" w:rsidR="000F64AE" w:rsidRPr="000F64AE" w:rsidRDefault="000F64AE" w:rsidP="000F64AE">
      <w:pPr>
        <w:spacing w:after="240" w:line="276" w:lineRule="auto"/>
        <w:jc w:val="both"/>
        <w:rPr>
          <w:rFonts w:ascii="Century Gothic" w:eastAsia="Times New Roman" w:hAnsi="Century Gothic" w:cs="Arial"/>
          <w:b/>
          <w:color w:val="000000" w:themeColor="text1"/>
          <w:lang w:eastAsia="es-MX"/>
        </w:rPr>
      </w:pPr>
      <w:r w:rsidRPr="000F64AE">
        <w:rPr>
          <w:rFonts w:ascii="Century Gothic" w:eastAsia="Times New Roman" w:hAnsi="Century Gothic" w:cs="Arial"/>
          <w:b/>
          <w:color w:val="000000" w:themeColor="text1"/>
          <w:lang w:eastAsia="es-MX"/>
        </w:rPr>
        <w:t>2.2.</w:t>
      </w:r>
      <w:r w:rsidRPr="000F64AE">
        <w:rPr>
          <w:rFonts w:ascii="Century Gothic" w:eastAsia="Times New Roman" w:hAnsi="Century Gothic" w:cs="Arial"/>
          <w:b/>
          <w:color w:val="000000" w:themeColor="text1"/>
          <w:lang w:eastAsia="es-MX"/>
        </w:rPr>
        <w:tab/>
        <w:t>Carácter enunciativo de los requisitos habilitantes previstos en el artículo 5, numeral 1, de la Ley 1150 de 2007, y autonomía de la voluntad de las entidades estatales para establecerlos</w:t>
      </w:r>
    </w:p>
    <w:p w14:paraId="2BBACA42" w14:textId="77777777" w:rsidR="000F64AE" w:rsidRPr="000F64AE" w:rsidRDefault="000F64AE" w:rsidP="000F64AE">
      <w:pPr>
        <w:spacing w:after="0" w:line="276" w:lineRule="auto"/>
        <w:jc w:val="both"/>
        <w:rPr>
          <w:rFonts w:ascii="Century Gothic" w:eastAsia="Times New Roman" w:hAnsi="Century Gothic" w:cs="Arial"/>
          <w:color w:val="000000" w:themeColor="text1"/>
          <w:lang w:val="es-ES_tradnl" w:eastAsia="es-CO"/>
        </w:rPr>
      </w:pPr>
      <w:bookmarkStart w:id="27" w:name="_Hlk148947649"/>
      <w:r w:rsidRPr="000F64AE">
        <w:rPr>
          <w:rFonts w:ascii="Century Gothic" w:eastAsia="Times New Roman" w:hAnsi="Century Gothic" w:cs="Arial"/>
          <w:color w:val="000000" w:themeColor="text1"/>
          <w:lang w:val="es-ES_tradnl" w:eastAsia="es-CO"/>
        </w:rPr>
        <w:t xml:space="preserve">De conformidad con lo hasta ahora expuesto, es necesario indagar si los requisitos habilitantes establecidos en el artículo 5, numeral 1, de la Ley 1150 de 2007, tienen la característica de taxativos, esto es, si son los únicos requisitos habilitantes que puede exigirles una entidad a los proponentes. Esta pregunta tiene, al menos, dos respuestas posibles. Por un lado, que sí lo son, pues la norma no hace referencia a otros diferentes. Por el otro, que no lo son, pues esta no contiene una expresión </w:t>
      </w:r>
      <w:r w:rsidRPr="000F64AE">
        <w:rPr>
          <w:rFonts w:ascii="Century Gothic" w:eastAsia="Times New Roman" w:hAnsi="Century Gothic" w:cs="Arial"/>
          <w:color w:val="000000" w:themeColor="text1"/>
          <w:lang w:val="es-ES_tradnl" w:eastAsia="es-CO"/>
        </w:rPr>
        <w:lastRenderedPageBreak/>
        <w:t xml:space="preserve">como </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únicamente</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 xml:space="preserve"> o </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solo</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w:t>
      </w:r>
      <w:r w:rsidRPr="000F64AE">
        <w:rPr>
          <w:rFonts w:ascii="Century Gothic" w:eastAsia="Times New Roman" w:hAnsi="Century Gothic" w:cs="Arial"/>
          <w:color w:val="000000" w:themeColor="text1"/>
          <w:vertAlign w:val="superscript"/>
          <w:lang w:val="es-ES_tradnl" w:eastAsia="es-CO"/>
        </w:rPr>
        <w:footnoteReference w:id="4"/>
      </w:r>
      <w:r w:rsidRPr="000F64AE">
        <w:rPr>
          <w:rFonts w:ascii="Century Gothic" w:eastAsia="Times New Roman" w:hAnsi="Century Gothic" w:cs="Arial"/>
          <w:color w:val="000000" w:themeColor="text1"/>
          <w:lang w:val="es-ES_tradnl" w:eastAsia="es-CO"/>
        </w:rPr>
        <w:t xml:space="preserve">. </w:t>
      </w:r>
      <w:bookmarkEnd w:id="27"/>
      <w:r w:rsidRPr="000F64AE">
        <w:rPr>
          <w:rFonts w:ascii="Century Gothic" w:eastAsia="Times New Roman" w:hAnsi="Century Gothic" w:cs="Arial"/>
          <w:color w:val="000000" w:themeColor="text1"/>
          <w:lang w:val="es-ES_tradnl" w:eastAsia="es-CO"/>
        </w:rPr>
        <w:t>Esta segunda postura contiene la interpretación jurídica que comparte la Agencia Nacional de Contratación Pública.</w:t>
      </w:r>
    </w:p>
    <w:p w14:paraId="37EE0EA8" w14:textId="77777777" w:rsidR="000F64AE" w:rsidRPr="000F64AE" w:rsidRDefault="000F64AE" w:rsidP="000F64AE">
      <w:pPr>
        <w:spacing w:before="120" w:after="0" w:line="276" w:lineRule="auto"/>
        <w:ind w:firstLine="709"/>
        <w:jc w:val="both"/>
        <w:rPr>
          <w:rFonts w:ascii="Century Gothic" w:eastAsia="Times New Roman" w:hAnsi="Century Gothic" w:cs="Arial"/>
          <w:color w:val="000000" w:themeColor="text1"/>
          <w:lang w:val="es-ES_tradnl" w:eastAsia="es-CO"/>
        </w:rPr>
      </w:pPr>
      <w:r w:rsidRPr="000F64AE">
        <w:rPr>
          <w:rFonts w:ascii="Century Gothic" w:eastAsia="Times New Roman" w:hAnsi="Century Gothic" w:cs="Arial"/>
          <w:color w:val="000000" w:themeColor="text1"/>
          <w:lang w:val="es-ES_tradnl" w:eastAsia="es-CO"/>
        </w:rPr>
        <w:t>Con todo, lo cierto es que existen otros argumentos que sustentan dicha elección interpretativa. Tal y como lo han considerado la Corte Constitucional</w:t>
      </w:r>
      <w:r w:rsidRPr="000F64AE">
        <w:rPr>
          <w:rFonts w:ascii="Century Gothic" w:eastAsia="Times New Roman" w:hAnsi="Century Gothic" w:cs="Arial"/>
          <w:color w:val="000000" w:themeColor="text1"/>
          <w:vertAlign w:val="superscript"/>
          <w:lang w:val="es-ES_tradnl" w:eastAsia="es-CO"/>
        </w:rPr>
        <w:footnoteReference w:id="5"/>
      </w:r>
      <w:r w:rsidRPr="000F64AE">
        <w:rPr>
          <w:rFonts w:ascii="Century Gothic" w:eastAsia="Times New Roman" w:hAnsi="Century Gothic" w:cs="Arial"/>
          <w:color w:val="000000" w:themeColor="text1"/>
          <w:lang w:val="es-ES_tradnl" w:eastAsia="es-CO"/>
        </w:rPr>
        <w:t xml:space="preserve"> y el Consejo de Estado</w:t>
      </w:r>
      <w:r w:rsidRPr="000F64AE">
        <w:rPr>
          <w:rFonts w:ascii="Century Gothic" w:eastAsia="Times New Roman" w:hAnsi="Century Gothic" w:cs="Arial"/>
          <w:color w:val="000000" w:themeColor="text1"/>
          <w:vertAlign w:val="superscript"/>
          <w:lang w:val="es-ES_tradnl" w:eastAsia="es-CO"/>
        </w:rPr>
        <w:footnoteReference w:id="6"/>
      </w:r>
      <w:r w:rsidRPr="000F64AE">
        <w:rPr>
          <w:rFonts w:ascii="Century Gothic" w:eastAsia="Times New Roman" w:hAnsi="Century Gothic" w:cs="Arial"/>
          <w:color w:val="000000" w:themeColor="text1"/>
          <w:lang w:val="es-ES_tradnl" w:eastAsia="es-CO"/>
        </w:rPr>
        <w:t xml:space="preserve">, en virtud del </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principio del efecto útil</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 xml:space="preserve">,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sólo fueran requisitos habilitantes los cuatro que contiene el numeral 1 de dicha disposición, ¿cómo se explica que el referido parágrafo aclare que </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las certificaciones de sistemas de gestión de calidad no serán objeto de calificación, ni podrán establecerse como documento habilitante para participar en licitaciones o concursos</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 xml:space="preserve">? Si se interpreta que solo son cuatro los requisitos habilitantes, el parágrafo 2 carecería de efectos jurídicos y, por ende, no tendría ninguna consecuencia normativa que en el mismo artículo se aclare que una exigencia no puede ser considera como requisito habilitante. </w:t>
      </w:r>
    </w:p>
    <w:p w14:paraId="42B52437" w14:textId="77777777" w:rsidR="000F64AE" w:rsidRPr="000F64AE" w:rsidRDefault="000F64AE" w:rsidP="000F64AE">
      <w:pPr>
        <w:spacing w:before="120" w:after="0" w:line="276" w:lineRule="auto"/>
        <w:ind w:firstLine="709"/>
        <w:jc w:val="both"/>
        <w:rPr>
          <w:rFonts w:ascii="Century Gothic" w:eastAsia="Times New Roman" w:hAnsi="Century Gothic" w:cs="Arial"/>
          <w:color w:val="000000" w:themeColor="text1"/>
          <w:lang w:val="es-ES_tradnl" w:eastAsia="es-CO"/>
        </w:rPr>
      </w:pPr>
      <w:r w:rsidRPr="000F64AE">
        <w:rPr>
          <w:rFonts w:ascii="Century Gothic" w:eastAsia="Times New Roman" w:hAnsi="Century Gothic" w:cs="Arial"/>
          <w:color w:val="000000" w:themeColor="text1"/>
          <w:lang w:val="es-ES_tradnl" w:eastAsia="es-CO"/>
        </w:rPr>
        <w:t xml:space="preserve">La intención del legislador, de la cual dan cuenta los antecedentes legislativos de la norma </w:t>
      </w:r>
      <w:r w:rsidRPr="000F64AE">
        <w:rPr>
          <w:rFonts w:ascii="Century Gothic" w:eastAsia="Times New Roman" w:hAnsi="Century Gothic" w:cs="Arial"/>
          <w:i/>
          <w:iCs/>
          <w:color w:val="000000" w:themeColor="text1"/>
          <w:lang w:val="es-ES_tradnl" w:eastAsia="es-CO"/>
        </w:rPr>
        <w:t>sub examine</w:t>
      </w:r>
      <w:r w:rsidRPr="000F64AE">
        <w:rPr>
          <w:rFonts w:ascii="Century Gothic" w:eastAsia="Times New Roman" w:hAnsi="Century Gothic" w:cs="Arial"/>
          <w:color w:val="000000" w:themeColor="text1"/>
          <w:lang w:val="es-ES_tradnl" w:eastAsia="es-CO"/>
        </w:rPr>
        <w:t>, también justifica la interpretación propuesta por esta Agencia, ya que fue hasta el cuarto debate legislativo en donde se incluyó el parágrafo comentado anteriormente</w:t>
      </w:r>
      <w:r w:rsidRPr="000F64AE">
        <w:rPr>
          <w:rFonts w:ascii="Century Gothic" w:eastAsia="Times New Roman" w:hAnsi="Century Gothic" w:cs="Arial"/>
          <w:color w:val="000000" w:themeColor="text1"/>
          <w:vertAlign w:val="superscript"/>
          <w:lang w:val="es-ES_tradnl" w:eastAsia="es-CO"/>
        </w:rPr>
        <w:footnoteReference w:id="7"/>
      </w:r>
      <w:r w:rsidRPr="000F64AE">
        <w:rPr>
          <w:rFonts w:ascii="Century Gothic" w:eastAsia="Times New Roman" w:hAnsi="Century Gothic" w:cs="Arial"/>
          <w:color w:val="000000" w:themeColor="text1"/>
          <w:lang w:val="es-ES_tradnl" w:eastAsia="es-CO"/>
        </w:rPr>
        <w:t xml:space="preserve">, lo que deja ver la necesidad que tenía el </w:t>
      </w:r>
      <w:r w:rsidRPr="000F64AE">
        <w:rPr>
          <w:rFonts w:ascii="Century Gothic" w:eastAsia="Times New Roman" w:hAnsi="Century Gothic" w:cs="Arial"/>
          <w:color w:val="000000" w:themeColor="text1"/>
          <w:lang w:val="es-ES_tradnl" w:eastAsia="es-CO"/>
        </w:rPr>
        <w:lastRenderedPageBreak/>
        <w:t>Congreso de aclarar que unos documentos no podrían ser tenidos como requisitos habilitantes, lo que da cuenta, a su vez, del reconocimiento tácito de la existencia de otros requisitos habilitantes, distintos a los cuatro que establece el artículo 5, parágrafo 1, de la Ley 1150 de 2007, reglamentados en el artículo 2.2.1.1.1.5.3 del Decreto 1082 de 2015</w:t>
      </w:r>
      <w:r w:rsidRPr="000F64AE">
        <w:rPr>
          <w:rFonts w:ascii="Century Gothic" w:eastAsia="Times New Roman" w:hAnsi="Century Gothic" w:cs="Arial"/>
          <w:color w:val="000000" w:themeColor="text1"/>
          <w:vertAlign w:val="superscript"/>
          <w:lang w:val="es-ES_tradnl" w:eastAsia="es-CO"/>
        </w:rPr>
        <w:footnoteReference w:id="8"/>
      </w:r>
      <w:r w:rsidRPr="000F64AE">
        <w:rPr>
          <w:rFonts w:ascii="Century Gothic" w:eastAsia="Times New Roman" w:hAnsi="Century Gothic" w:cs="Arial"/>
          <w:color w:val="000000" w:themeColor="text1"/>
          <w:lang w:val="es-ES_tradnl" w:eastAsia="es-CO"/>
        </w:rPr>
        <w:t>.</w:t>
      </w:r>
    </w:p>
    <w:p w14:paraId="3A3B1C03" w14:textId="77777777" w:rsidR="000F64AE" w:rsidRPr="000F64AE" w:rsidRDefault="000F64AE" w:rsidP="000F64AE">
      <w:pPr>
        <w:spacing w:before="120" w:after="0" w:line="276" w:lineRule="auto"/>
        <w:ind w:firstLine="709"/>
        <w:jc w:val="both"/>
        <w:rPr>
          <w:rFonts w:ascii="Century Gothic" w:eastAsia="Times New Roman" w:hAnsi="Century Gothic" w:cs="Arial"/>
          <w:color w:val="000000" w:themeColor="text1"/>
          <w:lang w:val="es-ES_tradnl" w:eastAsia="es-CO"/>
        </w:rPr>
      </w:pPr>
      <w:r w:rsidRPr="000F64AE">
        <w:rPr>
          <w:rFonts w:ascii="Century Gothic" w:eastAsia="Times New Roman" w:hAnsi="Century Gothic" w:cs="Arial"/>
          <w:color w:val="000000" w:themeColor="text1"/>
          <w:lang w:val="es-ES_tradnl" w:eastAsia="es-CO"/>
        </w:rPr>
        <w:t xml:space="preserve">Por otro lado, en el </w:t>
      </w:r>
      <w:r w:rsidRPr="000F64AE">
        <w:rPr>
          <w:rFonts w:ascii="Century Gothic" w:eastAsia="Times New Roman" w:hAnsi="Century Gothic" w:cs="Arial"/>
          <w:i/>
          <w:iCs/>
          <w:color w:val="000000" w:themeColor="text1"/>
          <w:lang w:val="es-ES_tradnl" w:eastAsia="es-CO"/>
        </w:rPr>
        <w:t>“Manual para determinar y verificar los requisitos habilitantes en los Procesos de Contratación”</w:t>
      </w:r>
      <w:r w:rsidRPr="000F64AE">
        <w:rPr>
          <w:rFonts w:ascii="Century Gothic" w:eastAsia="Times New Roman" w:hAnsi="Century Gothic" w:cs="Arial"/>
          <w:i/>
          <w:iCs/>
          <w:color w:val="000000" w:themeColor="text1"/>
          <w:vertAlign w:val="superscript"/>
          <w:lang w:val="es-ES_tradnl" w:eastAsia="es-CO"/>
        </w:rPr>
        <w:footnoteReference w:id="9"/>
      </w:r>
      <w:r w:rsidRPr="000F64AE">
        <w:rPr>
          <w:rFonts w:ascii="Century Gothic" w:eastAsia="Times New Roman" w:hAnsi="Century Gothic" w:cs="Arial"/>
          <w:color w:val="000000" w:themeColor="text1"/>
          <w:lang w:val="es-ES_tradnl" w:eastAsia="es-CO"/>
        </w:rPr>
        <w:t xml:space="preserve"> expedido por esta Agencia, se determinaron los parámetros para </w:t>
      </w:r>
      <w:r w:rsidRPr="000F64AE">
        <w:rPr>
          <w:rFonts w:ascii="Century Gothic" w:eastAsia="Times New Roman" w:hAnsi="Century Gothic" w:cs="Arial"/>
          <w:i/>
          <w:iCs/>
          <w:color w:val="000000" w:themeColor="text1"/>
          <w:lang w:val="es-ES_tradnl" w:eastAsia="es-CO"/>
        </w:rPr>
        <w:t>establecer</w:t>
      </w:r>
      <w:r w:rsidRPr="000F64AE">
        <w:rPr>
          <w:rFonts w:ascii="Century Gothic" w:eastAsia="Times New Roman" w:hAnsi="Century Gothic" w:cs="Arial"/>
          <w:color w:val="000000" w:themeColor="text1"/>
          <w:lang w:val="es-ES_tradnl" w:eastAsia="es-CO"/>
        </w:rPr>
        <w:t xml:space="preserve">, </w:t>
      </w:r>
      <w:r w:rsidRPr="000F64AE">
        <w:rPr>
          <w:rFonts w:ascii="Century Gothic" w:eastAsia="Times New Roman" w:hAnsi="Century Gothic" w:cs="Arial"/>
          <w:i/>
          <w:iCs/>
          <w:color w:val="000000" w:themeColor="text1"/>
          <w:lang w:val="es-ES_tradnl" w:eastAsia="es-CO"/>
        </w:rPr>
        <w:t>acreditar</w:t>
      </w:r>
      <w:r w:rsidRPr="000F64AE">
        <w:rPr>
          <w:rFonts w:ascii="Century Gothic" w:eastAsia="Times New Roman" w:hAnsi="Century Gothic" w:cs="Arial"/>
          <w:color w:val="000000" w:themeColor="text1"/>
          <w:lang w:val="es-ES_tradnl" w:eastAsia="es-CO"/>
        </w:rPr>
        <w:t xml:space="preserve"> y </w:t>
      </w:r>
      <w:r w:rsidRPr="000F64AE">
        <w:rPr>
          <w:rFonts w:ascii="Century Gothic" w:eastAsia="Times New Roman" w:hAnsi="Century Gothic" w:cs="Arial"/>
          <w:i/>
          <w:iCs/>
          <w:color w:val="000000" w:themeColor="text1"/>
          <w:lang w:val="es-ES_tradnl" w:eastAsia="es-CO"/>
        </w:rPr>
        <w:t>subsanar</w:t>
      </w:r>
      <w:r w:rsidRPr="000F64AE">
        <w:rPr>
          <w:rFonts w:ascii="Century Gothic" w:eastAsia="Times New Roman" w:hAnsi="Century Gothic" w:cs="Arial"/>
          <w:color w:val="000000" w:themeColor="text1"/>
          <w:lang w:val="es-ES_tradnl" w:eastAsia="es-CO"/>
        </w:rPr>
        <w:t xml:space="preserve"> los requisitos habilitantes estudiados en los párrafos precedentes. Allí también se precisó que los requisitos habilitantes tienen como fin primordial medir </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la aptitud del proponente para participar en un Proceso de Contratación como oferente y están referidos a su capacidad jurídica, financiera, organizacional y su experiencia</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 xml:space="preserve">. De acuerdo con el Manual, su propósito consiste en </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 xml:space="preserve">establecer unas condiciones mínimas para los proponentes de tal manera que la </w:t>
      </w:r>
      <w:r w:rsidRPr="000F64AE">
        <w:rPr>
          <w:rFonts w:ascii="Century Gothic" w:eastAsia="Times New Roman" w:hAnsi="Century Gothic" w:cs="Arial"/>
          <w:i/>
          <w:iCs/>
          <w:color w:val="000000" w:themeColor="text1"/>
          <w:lang w:val="es-ES_tradnl" w:eastAsia="es-CO"/>
        </w:rPr>
        <w:t>Entidad Estatal</w:t>
      </w:r>
      <w:r w:rsidRPr="000F64AE">
        <w:rPr>
          <w:rFonts w:ascii="Century Gothic" w:eastAsia="Times New Roman" w:hAnsi="Century Gothic" w:cs="Arial"/>
          <w:color w:val="000000" w:themeColor="text1"/>
          <w:lang w:val="es-ES_tradnl" w:eastAsia="es-CO"/>
        </w:rPr>
        <w:t xml:space="preserve"> sólo evalúe las ofertas de aquellos que están en condiciones de cumplir con el objeto del Proceso de Contratación</w:t>
      </w:r>
      <w:r w:rsidRPr="000F64AE">
        <w:rPr>
          <w:rFonts w:ascii="Century Gothic" w:eastAsia="Times New Roman" w:hAnsi="Century Gothic" w:cs="Arial"/>
          <w:i/>
          <w:iCs/>
          <w:color w:val="000000" w:themeColor="text1"/>
          <w:lang w:val="es-ES_tradnl" w:eastAsia="es-CO"/>
        </w:rPr>
        <w:t>”</w:t>
      </w:r>
      <w:r w:rsidRPr="000F64AE">
        <w:rPr>
          <w:rFonts w:ascii="Century Gothic" w:eastAsia="Times New Roman" w:hAnsi="Century Gothic" w:cs="Arial"/>
          <w:color w:val="000000" w:themeColor="text1"/>
          <w:lang w:val="es-ES_tradnl" w:eastAsia="es-CO"/>
        </w:rPr>
        <w:t>. En otras palabras,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08AE6441" w14:textId="77777777" w:rsidR="000F64AE" w:rsidRPr="000F64AE" w:rsidRDefault="000F64AE" w:rsidP="000F64AE">
      <w:pPr>
        <w:spacing w:before="120" w:after="120" w:line="276" w:lineRule="auto"/>
        <w:ind w:firstLine="709"/>
        <w:jc w:val="both"/>
        <w:rPr>
          <w:rFonts w:ascii="Century Gothic" w:eastAsia="Times New Roman" w:hAnsi="Century Gothic" w:cs="Arial"/>
          <w:color w:val="000000" w:themeColor="text1"/>
          <w:lang w:val="es-ES_tradnl" w:eastAsia="es-CO"/>
        </w:rPr>
      </w:pPr>
      <w:r w:rsidRPr="000F64AE">
        <w:rPr>
          <w:rFonts w:ascii="Century Gothic" w:eastAsia="Times New Roman" w:hAnsi="Century Gothic" w:cs="Arial"/>
          <w:color w:val="000000" w:themeColor="text1"/>
          <w:lang w:val="es-ES_tradnl" w:eastAsia="es-CO"/>
        </w:rPr>
        <w:t xml:space="preserve">En consecuencia, corresponde a las entidades estatales, durante la etapa de planeación del contrato estatal, estudiar y </w:t>
      </w:r>
      <w:r w:rsidRPr="000F64AE">
        <w:rPr>
          <w:rFonts w:ascii="Century Gothic" w:eastAsia="Times New Roman" w:hAnsi="Century Gothic" w:cs="Arial"/>
          <w:bCs/>
          <w:iCs/>
          <w:color w:val="000000" w:themeColor="text1"/>
          <w:lang w:val="es-ES_tradnl" w:eastAsia="es-CO"/>
        </w:rPr>
        <w:t>determinar</w:t>
      </w:r>
      <w:r w:rsidRPr="000F64AE">
        <w:rPr>
          <w:rFonts w:ascii="Century Gothic" w:eastAsia="Times New Roman" w:hAnsi="Century Gothic" w:cs="Arial"/>
          <w:color w:val="000000" w:themeColor="text1"/>
          <w:lang w:val="es-ES_tradnl" w:eastAsia="es-CO"/>
        </w:rPr>
        <w:t xml:space="preserve"> los requisitos habilitantes que establecerán en los pliegos de condiciones, los cuales deben fijarse de forma adecuada y proporcional. Esto último, según se deriva de la lectura del artículo </w:t>
      </w:r>
      <w:r w:rsidRPr="000F64AE">
        <w:rPr>
          <w:rFonts w:ascii="Century Gothic" w:eastAsia="Times New Roman" w:hAnsi="Century Gothic" w:cs="Arial"/>
          <w:color w:val="000000" w:themeColor="text1"/>
          <w:lang w:val="es-ES_tradnl" w:eastAsia="es-CO"/>
        </w:rPr>
        <w:lastRenderedPageBreak/>
        <w:t xml:space="preserve">2.2.1.1.1.6.2 del Decreto 1082 de 2015, debe hacerse de acuerdo con la naturaleza, el valor del contrato, la forma de pago, los </w:t>
      </w:r>
      <w:r w:rsidRPr="000F64AE">
        <w:rPr>
          <w:rFonts w:ascii="Century Gothic" w:eastAsia="Times New Roman" w:hAnsi="Century Gothic" w:cs="Arial"/>
          <w:i/>
          <w:iCs/>
          <w:color w:val="000000" w:themeColor="text1"/>
          <w:lang w:val="es-ES_tradnl" w:eastAsia="es-CO"/>
        </w:rPr>
        <w:t>riesgos</w:t>
      </w:r>
      <w:r w:rsidRPr="000F64AE">
        <w:rPr>
          <w:rFonts w:ascii="Century Gothic" w:eastAsia="Times New Roman" w:hAnsi="Century Gothic" w:cs="Arial"/>
          <w:color w:val="000000" w:themeColor="text1"/>
          <w:lang w:val="es-ES_tradnl" w:eastAsia="es-CO"/>
        </w:rPr>
        <w:t xml:space="preserve"> </w:t>
      </w:r>
      <w:r w:rsidRPr="000F64AE">
        <w:rPr>
          <w:rFonts w:ascii="Century Gothic" w:eastAsia="Times New Roman" w:hAnsi="Century Gothic" w:cs="Arial"/>
          <w:i/>
          <w:iCs/>
          <w:color w:val="000000" w:themeColor="text1"/>
          <w:lang w:val="es-ES_tradnl" w:eastAsia="es-CO"/>
        </w:rPr>
        <w:t>asociados al contrato</w:t>
      </w:r>
      <w:r w:rsidRPr="000F64AE">
        <w:rPr>
          <w:rFonts w:ascii="Century Gothic" w:eastAsia="Times New Roman" w:hAnsi="Century Gothic" w:cs="Arial"/>
          <w:color w:val="000000" w:themeColor="text1"/>
          <w:lang w:val="es-ES_tradnl" w:eastAsia="es-CO"/>
        </w:rPr>
        <w:t>, el plazo y la complejidad de ejecución del objeto</w:t>
      </w:r>
      <w:r w:rsidRPr="000F64AE">
        <w:rPr>
          <w:rFonts w:ascii="Century Gothic" w:eastAsia="Times New Roman" w:hAnsi="Century Gothic" w:cs="Arial"/>
          <w:bCs/>
          <w:vertAlign w:val="superscript"/>
          <w:lang w:val="es-ES" w:eastAsia="es-ES_tradnl"/>
        </w:rPr>
        <w:footnoteReference w:id="10"/>
      </w:r>
      <w:r w:rsidRPr="000F64AE">
        <w:rPr>
          <w:rFonts w:ascii="Century Gothic" w:eastAsia="Times New Roman" w:hAnsi="Century Gothic" w:cs="Arial"/>
          <w:color w:val="000000" w:themeColor="text1"/>
          <w:lang w:val="es-ES_tradnl" w:eastAsia="es-CO"/>
        </w:rPr>
        <w:t>. Todo porque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establece el artículo 5, parágrafo 2, de la Ley 1150 de 2007, relacionado con la prohibición de exigir certificaciones de sistemas de gestión de calidad como requisito habilitante.</w:t>
      </w:r>
    </w:p>
    <w:p w14:paraId="2548B7D4" w14:textId="77777777" w:rsidR="000F64AE" w:rsidRPr="000F64AE" w:rsidRDefault="000F64AE" w:rsidP="000F64AE">
      <w:pPr>
        <w:spacing w:before="120" w:after="120" w:line="276" w:lineRule="auto"/>
        <w:ind w:firstLine="709"/>
        <w:jc w:val="both"/>
        <w:rPr>
          <w:rFonts w:ascii="Century Gothic" w:eastAsia="Times New Roman" w:hAnsi="Century Gothic" w:cs="Arial"/>
          <w:color w:val="000000" w:themeColor="text1"/>
          <w:szCs w:val="24"/>
          <w:lang w:val="es-ES_tradnl" w:eastAsia="es-CO"/>
        </w:rPr>
      </w:pPr>
      <w:r w:rsidRPr="000F64AE">
        <w:rPr>
          <w:rFonts w:ascii="Century Gothic" w:eastAsia="Times New Roman" w:hAnsi="Century Gothic" w:cs="Arial"/>
          <w:color w:val="000000" w:themeColor="text1"/>
          <w:szCs w:val="24"/>
          <w:lang w:val="es-ES_tradnl" w:eastAsia="es-CO"/>
        </w:rPr>
        <w:t xml:space="preserve">Al respecto, en la Sentencia C-004 de 2017, la Corte Constitucional señaló que </w:t>
      </w:r>
      <w:r w:rsidRPr="000F64AE">
        <w:rPr>
          <w:rFonts w:ascii="Century Gothic" w:eastAsia="Times New Roman" w:hAnsi="Century Gothic" w:cs="Arial"/>
          <w:i/>
          <w:iCs/>
          <w:color w:val="000000" w:themeColor="text1"/>
          <w:szCs w:val="24"/>
          <w:lang w:val="es-ES_tradnl" w:eastAsia="es-CO"/>
        </w:rPr>
        <w:t>“</w:t>
      </w:r>
      <w:r w:rsidRPr="000F64AE">
        <w:rPr>
          <w:rFonts w:ascii="Century Gothic" w:eastAsia="Times New Roman" w:hAnsi="Century Gothic" w:cs="Arial"/>
          <w:color w:val="000000" w:themeColor="text1"/>
          <w:szCs w:val="24"/>
          <w:lang w:val="es-ES_tradnl" w:eastAsia="es-CO"/>
        </w:rPr>
        <w:t>[l]a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r w:rsidRPr="000F64AE">
        <w:rPr>
          <w:rFonts w:ascii="Century Gothic" w:eastAsia="Times New Roman" w:hAnsi="Century Gothic" w:cs="Arial"/>
          <w:i/>
          <w:iCs/>
          <w:color w:val="000000" w:themeColor="text1"/>
          <w:szCs w:val="24"/>
          <w:lang w:val="es-ES_tradnl" w:eastAsia="es-CO"/>
        </w:rPr>
        <w:t>”</w:t>
      </w:r>
      <w:r w:rsidRPr="000F64AE">
        <w:rPr>
          <w:rFonts w:ascii="Century Gothic" w:eastAsia="Times New Roman" w:hAnsi="Century Gothic" w:cs="Arial"/>
          <w:color w:val="000000" w:themeColor="text1"/>
          <w:szCs w:val="24"/>
          <w:lang w:val="es-ES_tradnl" w:eastAsia="es-CO"/>
        </w:rPr>
        <w:t>.</w:t>
      </w:r>
    </w:p>
    <w:p w14:paraId="71C10BEA" w14:textId="77777777" w:rsidR="000F64AE" w:rsidRPr="000F64AE" w:rsidRDefault="000F64AE" w:rsidP="000F64AE">
      <w:pPr>
        <w:spacing w:before="120" w:after="120" w:line="276" w:lineRule="auto"/>
        <w:ind w:firstLine="709"/>
        <w:jc w:val="both"/>
        <w:rPr>
          <w:rFonts w:ascii="Century Gothic" w:eastAsia="Times New Roman" w:hAnsi="Century Gothic" w:cs="Arial"/>
          <w:color w:val="000000" w:themeColor="text1"/>
          <w:szCs w:val="24"/>
          <w:lang w:val="es-ES_tradnl" w:eastAsia="es-CO"/>
        </w:rPr>
      </w:pPr>
      <w:r w:rsidRPr="000F64AE">
        <w:rPr>
          <w:rFonts w:ascii="Century Gothic" w:eastAsia="Times New Roman" w:hAnsi="Century Gothic" w:cs="Arial"/>
          <w:color w:val="000000" w:themeColor="text1"/>
          <w:szCs w:val="24"/>
          <w:lang w:val="es-ES_tradnl" w:eastAsia="es-CO"/>
        </w:rPr>
        <w:t xml:space="preserve">El </w:t>
      </w:r>
      <w:r w:rsidRPr="000F64AE">
        <w:rPr>
          <w:rFonts w:ascii="Century Gothic" w:eastAsia="Times New Roman" w:hAnsi="Century Gothic" w:cs="Arial"/>
          <w:i/>
          <w:iCs/>
          <w:color w:val="000000" w:themeColor="text1"/>
          <w:szCs w:val="24"/>
          <w:lang w:val="es-ES_tradnl" w:eastAsia="es-CO"/>
        </w:rPr>
        <w:t>principio de autonomía de la voluntad</w:t>
      </w:r>
      <w:r w:rsidRPr="000F64AE">
        <w:rPr>
          <w:rFonts w:ascii="Century Gothic" w:eastAsia="Times New Roman" w:hAnsi="Century Gothic" w:cs="Arial"/>
          <w:color w:val="000000" w:themeColor="text1"/>
          <w:szCs w:val="24"/>
          <w:lang w:val="es-ES_tradnl" w:eastAsia="es-CO"/>
        </w:rPr>
        <w:t>, reconocido en los artículos 13, 32 y 40 de la Ley 80 de 1993 para las entidades sometidas a esta, y en el artículo 1602 del Código Civil, para las exceptuadas de aquella, actúa entonces como el fundamento normativo que otorga a las entidades estatales competencia para que puedan solicitar requisitos habilitantes adicionales o diferentes a los establecidos en el numeral 1º del artículo 5 de la Ley 1150 de 2007. En realidad, lo que este numeral establece es una limitación a la discrecionalidad administrativa para la estipulación de los requisitos de participación, bajo la óptica de que, si se incluyen los que aquel prevé, por regla general, no otorgan puntaje; pero tal enunciado no ha de interpretarse en el sentido de que las entidades solo pueden exigir, única y exclusivamente, dichos requisitos habilitantes. Esto en la medida en que además de los argumentos ya planteados,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15F3104A" w14:textId="77777777" w:rsidR="000F64AE" w:rsidRPr="000F64AE" w:rsidRDefault="000F64AE" w:rsidP="000F64AE">
      <w:pPr>
        <w:spacing w:before="120" w:after="0" w:line="276" w:lineRule="auto"/>
        <w:ind w:firstLine="709"/>
        <w:jc w:val="both"/>
        <w:rPr>
          <w:rFonts w:ascii="Century Gothic" w:eastAsia="Calibri" w:hAnsi="Century Gothic" w:cs="Arial"/>
          <w:color w:val="000000" w:themeColor="text1"/>
          <w:szCs w:val="24"/>
          <w:lang w:val="es-ES_tradnl" w:eastAsia="es-CO"/>
        </w:rPr>
      </w:pPr>
      <w:r w:rsidRPr="000F64AE">
        <w:rPr>
          <w:rFonts w:ascii="Century Gothic" w:eastAsia="Calibri" w:hAnsi="Century Gothic" w:cs="Arial"/>
          <w:color w:val="000000" w:themeColor="text1"/>
          <w:szCs w:val="24"/>
          <w:lang w:val="es-ES_tradnl" w:eastAsia="es-CO"/>
        </w:rPr>
        <w:lastRenderedPageBreak/>
        <w:t xml:space="preserve">Considerando la discrecionalidad para establecer requisitos habilitantes, es necesario tener en cuenta que </w:t>
      </w:r>
      <w:r w:rsidRPr="000F64AE">
        <w:rPr>
          <w:rFonts w:ascii="Century Gothic" w:eastAsia="Calibri" w:hAnsi="Century Gothic" w:cs="Arial"/>
          <w:szCs w:val="24"/>
          <w:lang w:eastAsia="es-CO"/>
        </w:rPr>
        <w:t xml:space="preserve">el artículo 44 de la Ley 1437 de 2011 –aplicable en los procedimientos contractuales en virtud del artículo 77 de la Ley 80 de 1993– dispone que </w:t>
      </w:r>
      <w:r w:rsidRPr="000F64AE">
        <w:rPr>
          <w:rFonts w:ascii="Century Gothic" w:eastAsia="Calibri" w:hAnsi="Century Gothic" w:cs="Arial"/>
          <w:i/>
          <w:iCs/>
          <w:szCs w:val="24"/>
          <w:lang w:eastAsia="es-CO"/>
        </w:rPr>
        <w:t>“</w:t>
      </w:r>
      <w:r w:rsidRPr="000F64AE">
        <w:rPr>
          <w:rFonts w:ascii="Century Gothic" w:eastAsia="Calibri" w:hAnsi="Century Gothic" w:cs="Arial"/>
          <w:szCs w:val="24"/>
          <w:lang w:eastAsia="es-CO"/>
        </w:rPr>
        <w:t>En la medida en que el contenido de una decisión de carácter general o particular sea discrecional, debe ser adecuada a los fines de la norma que la autoriza, y proporcional a los hechos que le sirven de causa</w:t>
      </w:r>
      <w:r w:rsidRPr="000F64AE">
        <w:rPr>
          <w:rFonts w:ascii="Century Gothic" w:eastAsia="Calibri" w:hAnsi="Century Gothic" w:cs="Arial"/>
          <w:i/>
          <w:iCs/>
          <w:szCs w:val="24"/>
          <w:lang w:eastAsia="es-CO"/>
        </w:rPr>
        <w:t>”</w:t>
      </w:r>
      <w:r w:rsidRPr="000F64AE">
        <w:rPr>
          <w:rFonts w:ascii="Century Gothic" w:eastAsia="Calibri" w:hAnsi="Century Gothic" w:cs="Arial"/>
          <w:szCs w:val="24"/>
          <w:lang w:eastAsia="es-CO"/>
        </w:rPr>
        <w:t>. Dado lo anterior, para efectos de configurar otra clase de requisitos habilitantes, la Entidad Estatal tiene la carga de justificar en los estudios previos y análisis del sector del proceso de selección su procedencia, de conformidad con el artículo</w:t>
      </w:r>
      <w:r w:rsidRPr="000F64AE">
        <w:rPr>
          <w:rFonts w:ascii="Century Gothic" w:eastAsia="Calibri" w:hAnsi="Century Gothic" w:cs="Arial"/>
          <w:color w:val="000000" w:themeColor="text1"/>
          <w:szCs w:val="24"/>
          <w:lang w:val="es-ES_tradnl" w:eastAsia="es-CO"/>
        </w:rPr>
        <w:t xml:space="preserve"> 2.2.1.1.1.6.2 del Decreto 1082 de 2015.</w:t>
      </w:r>
    </w:p>
    <w:p w14:paraId="28C49929" w14:textId="77777777" w:rsidR="000F64AE" w:rsidRPr="000F64AE" w:rsidRDefault="000F64AE" w:rsidP="000F64AE">
      <w:pPr>
        <w:spacing w:before="120" w:after="0" w:line="276" w:lineRule="auto"/>
        <w:ind w:firstLine="709"/>
        <w:jc w:val="both"/>
        <w:rPr>
          <w:rFonts w:ascii="Century Gothic" w:eastAsia="Calibri" w:hAnsi="Century Gothic" w:cs="Arial"/>
          <w:color w:val="000000" w:themeColor="text1"/>
          <w:szCs w:val="24"/>
          <w:lang w:val="es-ES_tradnl" w:eastAsia="es-CO"/>
        </w:rPr>
      </w:pPr>
      <w:r w:rsidRPr="000F64AE">
        <w:rPr>
          <w:rFonts w:ascii="Century Gothic" w:eastAsia="Calibri" w:hAnsi="Century Gothic" w:cs="Arial"/>
          <w:color w:val="000000" w:themeColor="text1"/>
          <w:szCs w:val="24"/>
          <w:lang w:val="es-ES_tradnl" w:eastAsia="es-CO"/>
        </w:rPr>
        <w:t>Recuérdese que esta Agencia ha indicado que las Entidades Estatales al momento de realizar sus Procesos de Contratación, podrán establecer reglas que les permitan conocer que el proponente a contratar cuenta con el cumplimiento de dicho requisito e incluso como obligaciones contractuales a cargo del contratista y a verificar por el supervisor o interventor del contrato, pero en todo caso, se recomienda no disponer dicho requisito a título de habilitante, dado que con él no se relaciona o acredita ningún criterio de capacidad del proponente para ejecutar el contrato.</w:t>
      </w:r>
    </w:p>
    <w:p w14:paraId="19348F2A" w14:textId="77777777" w:rsidR="000F64AE" w:rsidRPr="000F64AE" w:rsidRDefault="000F64AE" w:rsidP="000F64AE">
      <w:pPr>
        <w:spacing w:before="120" w:after="240" w:line="276" w:lineRule="auto"/>
        <w:ind w:firstLine="709"/>
        <w:jc w:val="both"/>
        <w:rPr>
          <w:rFonts w:ascii="Century Gothic" w:eastAsia="Calibri" w:hAnsi="Century Gothic" w:cs="Arial"/>
          <w:bCs/>
          <w:szCs w:val="24"/>
          <w:lang w:val="es-ES_tradnl" w:eastAsia="es-CO"/>
        </w:rPr>
      </w:pPr>
      <w:r w:rsidRPr="000F64AE">
        <w:rPr>
          <w:rFonts w:ascii="Century Gothic" w:eastAsia="Calibri" w:hAnsi="Century Gothic" w:cs="Arial"/>
          <w:color w:val="000000" w:themeColor="text1"/>
          <w:szCs w:val="24"/>
          <w:lang w:val="es-ES_tradnl" w:eastAsia="es-CO"/>
        </w:rPr>
        <w:t>Como conclusión de lo anterior, puede decirse que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 debidamente justificados y de acuerdo con los parámetros fijados en el Decreto 1082 de 2015; y que una vez establecidos los requisitos habilitantes, quienes presenten ofertas deben acreditar que cumplen con ellos, so pena de que sus propuestas sean rechazadas. Esto sin perjuicio de la posibilidad de subsanarlas, cuando a ello haya lugar.</w:t>
      </w:r>
    </w:p>
    <w:p w14:paraId="10650CDC" w14:textId="77777777" w:rsidR="000F64AE" w:rsidRPr="000F64AE" w:rsidRDefault="000F64AE" w:rsidP="000F64AE">
      <w:pPr>
        <w:spacing w:after="240" w:line="276" w:lineRule="auto"/>
        <w:jc w:val="both"/>
        <w:rPr>
          <w:rFonts w:ascii="Century Gothic" w:eastAsia="Times New Roman" w:hAnsi="Century Gothic" w:cs="Arial"/>
          <w:b/>
          <w:color w:val="000000" w:themeColor="text1"/>
          <w:lang w:eastAsia="es-MX"/>
        </w:rPr>
      </w:pPr>
      <w:r w:rsidRPr="000F64AE">
        <w:rPr>
          <w:rFonts w:ascii="Century Gothic" w:eastAsia="Times New Roman" w:hAnsi="Century Gothic" w:cs="Arial"/>
          <w:b/>
          <w:color w:val="000000" w:themeColor="text1"/>
          <w:lang w:eastAsia="es-MX"/>
        </w:rPr>
        <w:t>2.3. El Registro Único de Proponente –RUP–y otros documentos que acreditan el cumplimiento de requisitos habilitantes</w:t>
      </w:r>
    </w:p>
    <w:p w14:paraId="0FAB1C28" w14:textId="77777777" w:rsidR="000F64AE" w:rsidRPr="000F64AE" w:rsidRDefault="000F64AE" w:rsidP="000F64AE">
      <w:pPr>
        <w:spacing w:after="120" w:line="276" w:lineRule="auto"/>
        <w:jc w:val="both"/>
        <w:rPr>
          <w:rFonts w:ascii="Century Gothic" w:eastAsia="Times New Roman" w:hAnsi="Century Gothic" w:cs="Arial"/>
          <w:lang w:eastAsia="es-CO"/>
        </w:rPr>
      </w:pPr>
      <w:bookmarkStart w:id="28" w:name="_Hlk99548176"/>
      <w:r w:rsidRPr="000F64AE">
        <w:rPr>
          <w:rFonts w:ascii="Century Gothic" w:eastAsia="Times New Roman" w:hAnsi="Century Gothic" w:cs="Arial"/>
          <w:lang w:eastAsia="es-CO"/>
        </w:rPr>
        <w:t xml:space="preserve">En cuanto a la forma para acreditar el cumplimiento de los requisitos habilitantes, las entidades estatales sometidas al Estatuto General de Contratación de la Administración Pública -EGCAP-, en virtud de lo establecido en el artículo 5 y 6 de la Ley 1150 de 2007, están obligadas a efectuar la evaluación correspondiente teniendo en cuenta la información que reposa en el certificado del Registro Único </w:t>
      </w:r>
      <w:r w:rsidRPr="000F64AE">
        <w:rPr>
          <w:rFonts w:ascii="Century Gothic" w:eastAsia="Times New Roman" w:hAnsi="Century Gothic" w:cs="Arial"/>
          <w:lang w:eastAsia="es-CO"/>
        </w:rPr>
        <w:lastRenderedPageBreak/>
        <w:t>de Proponentes -en adelante RUP-, documento que constituye plena prueba de la información que contiene</w:t>
      </w:r>
      <w:r w:rsidRPr="000F64AE">
        <w:rPr>
          <w:rFonts w:ascii="Century Gothic" w:eastAsia="Times New Roman" w:hAnsi="Century Gothic" w:cs="Times New Roman"/>
          <w:vertAlign w:val="superscript"/>
          <w:lang w:eastAsia="es-CO"/>
        </w:rPr>
        <w:footnoteReference w:id="11"/>
      </w:r>
      <w:r w:rsidRPr="000F64AE">
        <w:rPr>
          <w:rFonts w:ascii="Century Gothic" w:eastAsia="Times New Roman" w:hAnsi="Century Gothic" w:cs="Arial"/>
          <w:lang w:eastAsia="es-CO"/>
        </w:rPr>
        <w:t>, tal como lo establece el artículo 6.1 de la Ley 1150 de 2007. Por su parte, el artículo 5.1 ibidem, al fijar los criterios que deben tener en cuenta las entidades estatales para garantizar la selección objetiva, dispone que las Cámaras de Comercio verificarán la información suministrada por las personas naturales o jurídicas para la inscripción en el Registro.</w:t>
      </w:r>
    </w:p>
    <w:bookmarkEnd w:id="28"/>
    <w:p w14:paraId="3263E1E8" w14:textId="77777777" w:rsidR="000F64AE" w:rsidRPr="000F64AE" w:rsidRDefault="000F64AE" w:rsidP="000F64AE">
      <w:pPr>
        <w:spacing w:after="12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Dicha información debe tenerse en cuenta por las entidades en los procedimientos de contratación en los que es exigible el RUP. Así las cosas, los requisitos habilitantes deberán ser verificadas exclusivamente a través del Registro Único de Proponentes, pues de acuerdo con lo expuesto, este documento es plena prueba de la información financiera, de experiencia y de capacidad acreditada por la persona natural o jurídica</w:t>
      </w:r>
      <w:r w:rsidRPr="000F64AE">
        <w:rPr>
          <w:rFonts w:ascii="Century Gothic" w:eastAsia="Times New Roman" w:hAnsi="Century Gothic" w:cs="Arial"/>
          <w:vertAlign w:val="superscript"/>
          <w:lang w:eastAsia="es-CO"/>
        </w:rPr>
        <w:footnoteReference w:id="12"/>
      </w:r>
      <w:r w:rsidRPr="000F64AE">
        <w:rPr>
          <w:rFonts w:ascii="Century Gothic" w:eastAsia="Times New Roman" w:hAnsi="Century Gothic" w:cs="Arial"/>
          <w:lang w:eastAsia="es-CO"/>
        </w:rPr>
        <w:t>.</w:t>
      </w:r>
    </w:p>
    <w:p w14:paraId="3CDE3DAD" w14:textId="77777777" w:rsidR="000F64AE" w:rsidRPr="000F64AE" w:rsidRDefault="000F64AE" w:rsidP="000F64AE">
      <w:pPr>
        <w:spacing w:after="120" w:line="276" w:lineRule="auto"/>
        <w:ind w:firstLine="709"/>
        <w:jc w:val="both"/>
        <w:rPr>
          <w:rFonts w:ascii="Century Gothic" w:eastAsia="Times New Roman" w:hAnsi="Century Gothic" w:cs="Arial"/>
          <w:lang w:eastAsia="es-CO"/>
        </w:rPr>
      </w:pPr>
      <w:bookmarkStart w:id="29" w:name="_Hlk99548308"/>
      <w:r w:rsidRPr="000F64AE">
        <w:rPr>
          <w:rFonts w:ascii="Century Gothic" w:eastAsia="Times New Roman" w:hAnsi="Century Gothic" w:cs="Arial"/>
          <w:lang w:eastAsia="es-CO"/>
        </w:rPr>
        <w:t>No obstante, por interesar a la presente causa, debe anotarse que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bookmarkEnd w:id="29"/>
      <w:r w:rsidRPr="000F64AE">
        <w:rPr>
          <w:rFonts w:ascii="Century Gothic" w:eastAsia="Times New Roman" w:hAnsi="Century Gothic" w:cs="Arial"/>
          <w:vertAlign w:val="superscript"/>
          <w:lang w:eastAsia="es-CO"/>
        </w:rPr>
        <w:footnoteReference w:id="13"/>
      </w:r>
      <w:r w:rsidRPr="000F64AE">
        <w:rPr>
          <w:rFonts w:ascii="Century Gothic" w:eastAsia="Times New Roman" w:hAnsi="Century Gothic" w:cs="Arial"/>
          <w:lang w:eastAsia="es-CO"/>
        </w:rPr>
        <w:t xml:space="preserve">. </w:t>
      </w:r>
      <w:r w:rsidRPr="000F64AE">
        <w:rPr>
          <w:rFonts w:ascii="Century Gothic" w:eastAsia="Times New Roman" w:hAnsi="Century Gothic" w:cs="Arial"/>
          <w:lang w:val="es-ES_tradnl" w:eastAsia="es-CO"/>
        </w:rPr>
        <w:t xml:space="preserve">Estas </w:t>
      </w:r>
      <w:r w:rsidRPr="000F64AE">
        <w:rPr>
          <w:rFonts w:ascii="Century Gothic" w:eastAsia="Times New Roman" w:hAnsi="Century Gothic" w:cs="Arial"/>
          <w:lang w:val="es-ES_tradnl" w:eastAsia="es-CO"/>
        </w:rPr>
        <w:lastRenderedPageBreak/>
        <w:t xml:space="preserve">excepciones son 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sidRPr="000F64AE">
        <w:rPr>
          <w:rFonts w:ascii="Century Gothic" w:eastAsia="Times New Roman" w:hAnsi="Century Gothic" w:cs="Arial"/>
          <w:lang w:eastAsia="es-CO"/>
        </w:rPr>
        <w:t>Adicionalmente, en el numeral 6.1. del artículo 6 de la Ley 1150 de 2007 establece que cuando sea necesario verificar requisitos o información que no reposa en RUP, la entidad podrá solicitar información adicional solo para complementar la información contenida en el RUP</w:t>
      </w:r>
      <w:r w:rsidRPr="000F64AE">
        <w:rPr>
          <w:rFonts w:ascii="Century Gothic" w:eastAsia="Times New Roman" w:hAnsi="Century Gothic" w:cs="Arial"/>
          <w:vertAlign w:val="superscript"/>
          <w:lang w:eastAsia="es-CO"/>
        </w:rPr>
        <w:footnoteReference w:id="14"/>
      </w:r>
      <w:r w:rsidRPr="000F64AE">
        <w:rPr>
          <w:rFonts w:ascii="Century Gothic" w:eastAsia="Times New Roman" w:hAnsi="Century Gothic" w:cs="Arial"/>
          <w:lang w:eastAsia="es-CO"/>
        </w:rPr>
        <w:t>.</w:t>
      </w:r>
    </w:p>
    <w:p w14:paraId="34F0D8C2" w14:textId="77777777" w:rsidR="000F64AE" w:rsidRPr="000F64AE" w:rsidRDefault="000F64AE" w:rsidP="000F64AE">
      <w:pPr>
        <w:spacing w:after="120" w:line="276" w:lineRule="auto"/>
        <w:ind w:firstLine="709"/>
        <w:jc w:val="both"/>
        <w:rPr>
          <w:rFonts w:ascii="Century Gothic" w:eastAsia="Calibri" w:hAnsi="Century Gothic" w:cs="Arial"/>
          <w:lang w:val="es-ES" w:eastAsia="es-CO"/>
        </w:rPr>
      </w:pPr>
      <w:r w:rsidRPr="000F64AE">
        <w:rPr>
          <w:rFonts w:ascii="Century Gothic" w:eastAsia="Calibri" w:hAnsi="Century Gothic" w:cs="Arial"/>
          <w:lang w:val="es-ES" w:eastAsia="es-CO"/>
        </w:rPr>
        <w:t>Por tanto, las entidades que se rigen por el Estatuto General de Contratación de la Administración Pública, como regla general, deben tener en cuenta el certificado del RUP en la determinación y evaluación de los requisitos habilitantes. Por su parte, las entidades exceptuadas de dicho régimen no están obligadas a utilizar el RUP, precisamente por ser un registro propio de los contratos sometidos al EGCAP.</w:t>
      </w:r>
    </w:p>
    <w:p w14:paraId="16B86C30" w14:textId="77777777" w:rsidR="000F64AE" w:rsidRPr="000F64AE" w:rsidRDefault="000F64AE" w:rsidP="000F64AE">
      <w:pPr>
        <w:spacing w:after="120" w:line="276" w:lineRule="auto"/>
        <w:ind w:firstLine="709"/>
        <w:jc w:val="both"/>
        <w:rPr>
          <w:rFonts w:ascii="Century Gothic" w:eastAsia="Calibri" w:hAnsi="Century Gothic" w:cs="Arial"/>
          <w:lang w:eastAsia="es-CO"/>
        </w:rPr>
      </w:pPr>
      <w:bookmarkStart w:id="30" w:name="_Hlk63643037"/>
      <w:r w:rsidRPr="000F64AE">
        <w:rPr>
          <w:rFonts w:ascii="Century Gothic" w:eastAsia="Calibri" w:hAnsi="Century Gothic" w:cs="Arial"/>
          <w:lang w:eastAsia="es-CO"/>
        </w:rPr>
        <w:t>Sin perjuicio de lo anterior, cuando por las características del objeto a contratar y con la finalidad de acreditar una debida idoneidad y experiencia del proponente, se requieran verificar requisitos o información adicional a los contenidos en el RUP, las entidades deben hacer la verificación de forma directa. Esto también sucede en los procedimientos de selección en los cuales no es exigible el RUP, de acuerdo con lo establecido en el inciso segundo del artículo 6 de la Ley 1150 de 2007</w:t>
      </w:r>
      <w:r w:rsidRPr="000F64AE">
        <w:rPr>
          <w:rFonts w:ascii="Century Gothic" w:eastAsia="Calibri" w:hAnsi="Century Gothic" w:cs="Arial"/>
          <w:vertAlign w:val="superscript"/>
          <w:lang w:eastAsia="es-CO"/>
        </w:rPr>
        <w:footnoteReference w:id="15"/>
      </w:r>
      <w:r w:rsidRPr="000F64AE">
        <w:rPr>
          <w:rFonts w:ascii="Century Gothic" w:eastAsia="Calibri" w:hAnsi="Century Gothic" w:cs="Arial"/>
          <w:lang w:eastAsia="es-CO"/>
        </w:rPr>
        <w:t xml:space="preserve">. En ambos supuestos, la Entidad Estatal, en el marco de la autonomía y la potestad de dirección que le asiste en los procesos de contratación que adelanta debe establecer en los Documentos del Proceso –particularmente en el pliego de condiciones o la invitación– los documentos o instrumentos que exigirá a los proponentes para acreditar dicha experiencia, contando con cierta discrecionalidad para establecer qué documentos son adecuados y proporcionales para verificar el requisito de experiencia establecido. Las entidades </w:t>
      </w:r>
      <w:r w:rsidRPr="000F64AE">
        <w:rPr>
          <w:rFonts w:ascii="Century Gothic" w:eastAsia="Calibri" w:hAnsi="Century Gothic" w:cs="Arial"/>
          <w:lang w:eastAsia="es-CO"/>
        </w:rPr>
        <w:lastRenderedPageBreak/>
        <w:t>por ejemplo suelen requerir documentos como actas de liquidación, actas de entrega, terminación, final o de recibo definitivo, certificaciones expedidas con posterioridad a la fecha de terminación del contrato, entre otros documentos.</w:t>
      </w:r>
    </w:p>
    <w:bookmarkEnd w:id="30"/>
    <w:p w14:paraId="3C1B1B85" w14:textId="77777777" w:rsidR="000F64AE" w:rsidRPr="000F64AE" w:rsidRDefault="000F64AE" w:rsidP="000F64AE">
      <w:pPr>
        <w:spacing w:after="240" w:line="276" w:lineRule="auto"/>
        <w:jc w:val="both"/>
        <w:rPr>
          <w:rFonts w:ascii="Century Gothic" w:eastAsia="Times New Roman" w:hAnsi="Century Gothic" w:cs="Arial"/>
          <w:b/>
          <w:color w:val="000000" w:themeColor="text1"/>
          <w:lang w:val="es-ES" w:eastAsia="es-CO"/>
        </w:rPr>
      </w:pPr>
      <w:r w:rsidRPr="000F64AE">
        <w:rPr>
          <w:rFonts w:ascii="Century Gothic" w:eastAsia="Times New Roman" w:hAnsi="Century Gothic" w:cs="Arial"/>
          <w:b/>
          <w:color w:val="000000" w:themeColor="text1"/>
          <w:lang w:eastAsia="es-MX"/>
        </w:rPr>
        <w:t>2.4.</w:t>
      </w:r>
      <w:r w:rsidRPr="000F64AE">
        <w:rPr>
          <w:rFonts w:ascii="Century Gothic" w:eastAsia="Times New Roman" w:hAnsi="Century Gothic" w:cs="Arial"/>
          <w:b/>
          <w:color w:val="000000" w:themeColor="text1"/>
          <w:lang w:eastAsia="es-MX"/>
        </w:rPr>
        <w:tab/>
        <w:t>Requisitos habilitantes de la capacidad financiera y organizacional</w:t>
      </w:r>
    </w:p>
    <w:p w14:paraId="76FB8BFD" w14:textId="77777777" w:rsidR="000F64AE" w:rsidRPr="000F64AE" w:rsidRDefault="000F64AE" w:rsidP="000F64AE">
      <w:pPr>
        <w:spacing w:before="120" w:after="120" w:line="276" w:lineRule="auto"/>
        <w:jc w:val="both"/>
        <w:rPr>
          <w:rFonts w:ascii="Century Gothic" w:eastAsia="Calibri" w:hAnsi="Century Gothic" w:cs="Arial"/>
          <w:color w:val="000000"/>
          <w:highlight w:val="yellow"/>
          <w:lang w:val="es-MX" w:eastAsia="es-ES_tradnl"/>
        </w:rPr>
      </w:pPr>
      <w:r w:rsidRPr="000F64AE">
        <w:rPr>
          <w:rFonts w:ascii="Century Gothic" w:eastAsia="Calibri" w:hAnsi="Century Gothic" w:cs="Arial"/>
          <w:color w:val="000000"/>
          <w:lang w:eastAsia="es-CO"/>
        </w:rPr>
        <w:t>Dentro de los requisitos habilitantes se destaca la capacidad financiera y organizacional del proponente. Al respecto, la entidad, como responsable de la estructuración de su procedimiento de selección, es autónoma para requerir la capacidad financiera y la capacidad organizacional necesaria de acuerdo con el objeto contractual que se pretende satisfacer. Según el artículo 2.2.1.1.1.6.2 del Decreto 1082 de 2015, la entidad debe tener en cuenta, para la determinación de la capacidad financiera y organizacional, el estudio del sector y sus componentes como la identificación de riesgos y el mercado y precio del bien, obra o servicio a contratar</w:t>
      </w:r>
      <w:r w:rsidRPr="000F64AE">
        <w:rPr>
          <w:rFonts w:ascii="Century Gothic" w:eastAsia="Calibri" w:hAnsi="Century Gothic" w:cs="Arial"/>
          <w:color w:val="000000"/>
          <w:vertAlign w:val="superscript"/>
          <w:lang w:eastAsia="es-CO"/>
        </w:rPr>
        <w:footnoteReference w:id="16"/>
      </w:r>
      <w:r w:rsidRPr="000F64AE">
        <w:rPr>
          <w:rFonts w:ascii="Century Gothic" w:eastAsia="Calibri" w:hAnsi="Century Gothic" w:cs="Arial"/>
          <w:color w:val="000000"/>
          <w:lang w:eastAsia="es-CO"/>
        </w:rPr>
        <w:t>.</w:t>
      </w:r>
    </w:p>
    <w:p w14:paraId="2B365E79" w14:textId="77777777" w:rsidR="000F64AE" w:rsidRPr="000F64AE" w:rsidRDefault="000F64AE" w:rsidP="000F64AE">
      <w:pPr>
        <w:spacing w:before="120" w:after="120" w:line="276" w:lineRule="auto"/>
        <w:ind w:firstLine="708"/>
        <w:jc w:val="both"/>
        <w:rPr>
          <w:rFonts w:ascii="Century Gothic" w:eastAsia="Calibri" w:hAnsi="Century Gothic" w:cs="Arial"/>
          <w:i/>
          <w:iCs/>
          <w:color w:val="000000"/>
          <w:lang w:val="es-ES_tradnl"/>
        </w:rPr>
      </w:pPr>
      <w:r w:rsidRPr="000F64AE">
        <w:rPr>
          <w:rFonts w:ascii="Century Gothic" w:eastAsia="Calibri" w:hAnsi="Century Gothic" w:cs="Arial"/>
          <w:color w:val="000000"/>
          <w:lang w:eastAsia="es-CO"/>
        </w:rPr>
        <w:t xml:space="preserve">La capacidad financiera se deriva del comportamiento contable de la empresa, su liquidez y endeudamiento, para determinar que sus recursos y solidez financiera le permita cumplir los compromisos que adquiera. </w:t>
      </w:r>
      <w:r w:rsidRPr="000F64AE">
        <w:rPr>
          <w:rFonts w:ascii="Century Gothic" w:eastAsia="Calibri" w:hAnsi="Century Gothic" w:cs="Arial"/>
          <w:color w:val="000000"/>
          <w:lang w:val="es-ES_tradnl" w:eastAsia="es-CO"/>
        </w:rPr>
        <w:t>Como explica la Agencia en el “</w:t>
      </w:r>
      <w:r w:rsidRPr="000F64AE">
        <w:rPr>
          <w:rFonts w:ascii="Century Gothic" w:eastAsia="Calibri" w:hAnsi="Century Gothic" w:cs="Arial"/>
          <w:i/>
          <w:iCs/>
          <w:color w:val="000000"/>
          <w:lang w:val="es-ES_tradnl" w:eastAsia="es-CO"/>
        </w:rPr>
        <w:t>Manual para determinar y verificar los requisitos habilitantes en los Procesos de Contratación”</w:t>
      </w:r>
      <w:r w:rsidRPr="000F64AE">
        <w:rPr>
          <w:rFonts w:ascii="Century Gothic" w:eastAsia="Calibri" w:hAnsi="Century Gothic" w:cs="Arial"/>
          <w:color w:val="000000"/>
          <w:lang w:val="es-ES_tradnl" w:eastAsia="es-CO"/>
        </w:rPr>
        <w:t>, l</w:t>
      </w:r>
      <w:r w:rsidRPr="000F64AE">
        <w:rPr>
          <w:rFonts w:ascii="Century Gothic" w:eastAsia="Calibri" w:hAnsi="Century Gothic" w:cs="Arial"/>
          <w:i/>
          <w:iCs/>
          <w:color w:val="000000"/>
          <w:lang w:val="es-ES_tradnl" w:eastAsia="es-CO"/>
        </w:rPr>
        <w:t xml:space="preserve">os indicadores </w:t>
      </w:r>
      <w:r w:rsidRPr="000F64AE">
        <w:rPr>
          <w:rFonts w:ascii="Century Gothic" w:eastAsia="Calibri" w:hAnsi="Century Gothic" w:cs="Arial"/>
          <w:color w:val="000000"/>
          <w:lang w:val="es-ES_tradnl" w:eastAsia="es-CO"/>
        </w:rPr>
        <w:t>de capacidad financiera</w:t>
      </w:r>
      <w:r w:rsidRPr="000F64AE">
        <w:rPr>
          <w:rFonts w:ascii="Century Gothic" w:eastAsia="Calibri" w:hAnsi="Century Gothic" w:cs="Arial"/>
          <w:i/>
          <w:iCs/>
          <w:color w:val="000000"/>
          <w:lang w:val="es-ES_tradnl" w:eastAsia="es-CO"/>
        </w:rPr>
        <w:t xml:space="preserve"> “buscan establecer unas condiciones mínimas que reflejan la salud financiera de los proponentes a través de su liquidez y endeudamiento. Estas condiciones muestran la aptitud del proponente para cumplir oportuna y cabalmente el objeto del contrato”</w:t>
      </w:r>
      <w:r w:rsidRPr="000F64AE">
        <w:rPr>
          <w:rFonts w:ascii="Century Gothic" w:eastAsia="Calibri" w:hAnsi="Century Gothic" w:cs="Arial"/>
          <w:i/>
          <w:iCs/>
          <w:color w:val="000000"/>
          <w:vertAlign w:val="superscript"/>
          <w:lang w:val="es-ES_tradnl" w:eastAsia="es-CO"/>
        </w:rPr>
        <w:footnoteReference w:id="17"/>
      </w:r>
      <w:r w:rsidRPr="000F64AE">
        <w:rPr>
          <w:rFonts w:ascii="Century Gothic" w:eastAsia="Calibri" w:hAnsi="Century Gothic" w:cs="Arial"/>
          <w:i/>
          <w:iCs/>
          <w:color w:val="000000"/>
          <w:lang w:val="es-ES_tradnl" w:eastAsia="es-CO"/>
        </w:rPr>
        <w:t>.</w:t>
      </w:r>
      <w:r w:rsidRPr="000F64AE">
        <w:rPr>
          <w:rFonts w:ascii="Century Gothic" w:eastAsia="Calibri" w:hAnsi="Century Gothic" w:cs="Arial"/>
          <w:color w:val="000000"/>
          <w:lang w:val="es-ES_tradnl" w:eastAsia="es-CO"/>
        </w:rPr>
        <w:t xml:space="preserve"> La capacidad organizacional, por su parte, </w:t>
      </w:r>
      <w:r w:rsidRPr="000F64AE">
        <w:rPr>
          <w:rFonts w:ascii="Century Gothic" w:eastAsia="Calibri" w:hAnsi="Century Gothic" w:cs="Arial"/>
          <w:i/>
          <w:iCs/>
          <w:color w:val="000000"/>
          <w:lang w:val="es-ES_tradnl" w:eastAsia="es-CO"/>
        </w:rPr>
        <w:t>“[…]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5FD321A5" w14:textId="77777777" w:rsidR="000F64AE" w:rsidRPr="000F64AE" w:rsidRDefault="000F64AE" w:rsidP="000F64AE">
      <w:pPr>
        <w:spacing w:before="120" w:after="120" w:line="276" w:lineRule="auto"/>
        <w:ind w:firstLine="709"/>
        <w:jc w:val="both"/>
        <w:rPr>
          <w:rFonts w:ascii="Century Gothic" w:eastAsia="Calibri" w:hAnsi="Century Gothic" w:cs="Arial"/>
          <w:color w:val="000000"/>
          <w:lang w:val="es-ES_tradnl" w:eastAsia="es-CO"/>
        </w:rPr>
      </w:pPr>
      <w:r w:rsidRPr="000F64AE">
        <w:rPr>
          <w:rFonts w:ascii="Century Gothic" w:eastAsia="Calibri" w:hAnsi="Century Gothic" w:cs="Arial"/>
          <w:color w:val="000000"/>
          <w:lang w:val="es-ES_tradnl" w:eastAsia="es-CO"/>
        </w:rPr>
        <w:t xml:space="preserve">Como se expuso previamente, tanto la capacidad financiera como organizacional debe acreditarse en el RUP, esto es, a través de los estados financieros del proponente, suscritos por el representante legal y el revisor fiscal, si cuenta con tales documentos. De este modo, lo que se verifica con el registro es </w:t>
      </w:r>
      <w:r w:rsidRPr="000F64AE">
        <w:rPr>
          <w:rFonts w:ascii="Century Gothic" w:eastAsia="Calibri" w:hAnsi="Century Gothic" w:cs="Arial"/>
          <w:color w:val="000000"/>
          <w:lang w:val="es-ES_tradnl" w:eastAsia="es-CO"/>
        </w:rPr>
        <w:lastRenderedPageBreak/>
        <w:t xml:space="preserve">que el proponente tenga los indicadores financieros y organizacionales mínimos solicitados por la entidad, que le permitan satisfacer la necesidad que se contratará una vez desarrollado el procedimiento de selección. </w:t>
      </w:r>
    </w:p>
    <w:p w14:paraId="41BEA10A" w14:textId="77777777" w:rsidR="000F64AE" w:rsidRPr="000F64AE" w:rsidRDefault="000F64AE" w:rsidP="000F64AE">
      <w:pPr>
        <w:spacing w:before="120" w:after="120" w:line="276" w:lineRule="auto"/>
        <w:ind w:firstLine="708"/>
        <w:jc w:val="both"/>
        <w:rPr>
          <w:rFonts w:ascii="Century Gothic" w:eastAsia="Calibri" w:hAnsi="Century Gothic" w:cs="Arial"/>
          <w:color w:val="000000"/>
          <w:lang w:val="es-ES_tradnl" w:eastAsia="es-CO"/>
        </w:rPr>
      </w:pPr>
      <w:r w:rsidRPr="000F64AE">
        <w:rPr>
          <w:rFonts w:ascii="Century Gothic" w:eastAsia="Calibri" w:hAnsi="Century Gothic" w:cs="Arial"/>
          <w:color w:val="000000"/>
          <w:lang w:val="es-ES_tradnl" w:eastAsia="es-CO"/>
        </w:rPr>
        <w:t xml:space="preserve">A manera de ejemplo, la Agencia puso a disposición de los interesados en el </w:t>
      </w:r>
      <w:r w:rsidRPr="000F64AE">
        <w:rPr>
          <w:rFonts w:ascii="Century Gothic" w:eastAsia="Calibri" w:hAnsi="Century Gothic" w:cs="Arial"/>
          <w:i/>
          <w:iCs/>
          <w:color w:val="000000"/>
          <w:lang w:val="es-ES_tradnl" w:eastAsia="es-CO"/>
        </w:rPr>
        <w:t>“Manual para determinar y verificar los requisitos habilitantes en los Procesos de Contratación”</w:t>
      </w:r>
      <w:r w:rsidRPr="000F64AE">
        <w:rPr>
          <w:rFonts w:ascii="Century Gothic" w:eastAsia="Calibri" w:hAnsi="Century Gothic" w:cs="Arial"/>
          <w:color w:val="000000"/>
          <w:lang w:val="es-ES_tradnl" w:eastAsia="es-CO"/>
        </w:rPr>
        <w:t xml:space="preserve"> definiciones para cada requisito habilitante propuesto, e indica lineamientos orientadores que las entidades pueden considerar para establecerlos, siempre y cuando su inclusión sea adecuada y proporcional a la naturaleza del contrato a suscribir, su valor, plazo, forma de pago y objeto contractual, por lo cual no es suficiente la aplicación mecánica de fórmulas financieras, pues la Entidad Estatal debe conocer cada indicador, sus fórmulas de cálculo y su interpretación. </w:t>
      </w:r>
    </w:p>
    <w:p w14:paraId="4934DE44" w14:textId="77777777" w:rsidR="000F64AE" w:rsidRPr="000F64AE" w:rsidRDefault="000F64AE" w:rsidP="000F64AE">
      <w:pPr>
        <w:spacing w:before="120" w:after="120" w:line="276" w:lineRule="auto"/>
        <w:ind w:firstLine="708"/>
        <w:jc w:val="both"/>
        <w:rPr>
          <w:rFonts w:ascii="Century Gothic" w:eastAsia="Calibri" w:hAnsi="Century Gothic" w:cs="Arial"/>
          <w:color w:val="000000"/>
          <w:lang w:val="es-ES_tradnl" w:eastAsia="es-CO"/>
        </w:rPr>
      </w:pPr>
      <w:r w:rsidRPr="000F64AE">
        <w:rPr>
          <w:rFonts w:ascii="Century Gothic" w:eastAsia="Calibri" w:hAnsi="Century Gothic" w:cs="Arial"/>
          <w:color w:val="000000"/>
          <w:lang w:val="es-ES_tradnl" w:eastAsia="es-CO"/>
        </w:rPr>
        <w:t xml:space="preserve">Según el artículo 2.2.1.1.1.5.3. del Decreto 1082 de 2015, son indicadores de capacidad financiera que las entidades pueden incluir en sus procesos de selección, los siguientes: i) el </w:t>
      </w:r>
      <w:r w:rsidRPr="000F64AE">
        <w:rPr>
          <w:rFonts w:ascii="Century Gothic" w:eastAsia="Calibri" w:hAnsi="Century Gothic" w:cs="Arial"/>
          <w:i/>
          <w:iCs/>
          <w:color w:val="000000"/>
          <w:lang w:val="es-ES_tradnl" w:eastAsia="es-CO"/>
        </w:rPr>
        <w:t>índice de liquidez</w:t>
      </w:r>
      <w:r w:rsidRPr="000F64AE">
        <w:rPr>
          <w:rFonts w:ascii="Century Gothic" w:eastAsia="Calibri" w:hAnsi="Century Gothic" w:cs="Arial"/>
          <w:color w:val="000000"/>
          <w:lang w:val="es-ES_tradnl" w:eastAsia="es-CO"/>
        </w:rPr>
        <w:t xml:space="preserve">, que corresponde a la división entre el activo corriente y el pasivo corriente, y que determina la capacidad que tiene el proponente para cumplir con sus obligaciones de corto plazo; ii) el </w:t>
      </w:r>
      <w:r w:rsidRPr="000F64AE">
        <w:rPr>
          <w:rFonts w:ascii="Century Gothic" w:eastAsia="Calibri" w:hAnsi="Century Gothic" w:cs="Arial"/>
          <w:i/>
          <w:iCs/>
          <w:color w:val="000000"/>
          <w:lang w:val="es-ES_tradnl" w:eastAsia="es-CO"/>
        </w:rPr>
        <w:t>índice de endeudamiento</w:t>
      </w:r>
      <w:r w:rsidRPr="000F64AE">
        <w:rPr>
          <w:rFonts w:ascii="Century Gothic" w:eastAsia="Calibri" w:hAnsi="Century Gothic" w:cs="Arial"/>
          <w:color w:val="000000"/>
          <w:lang w:val="es-ES_tradnl" w:eastAsia="es-CO"/>
        </w:rPr>
        <w:t xml:space="preserve">, que se calcula dividiendo el pasivo total por el activo total, el cual determina el grado de endeudamiento en la estructura de financiación del proponente; y iii) la </w:t>
      </w:r>
      <w:r w:rsidRPr="000F64AE">
        <w:rPr>
          <w:rFonts w:ascii="Century Gothic" w:eastAsia="Calibri" w:hAnsi="Century Gothic" w:cs="Arial"/>
          <w:i/>
          <w:iCs/>
          <w:color w:val="000000"/>
          <w:lang w:val="es-ES_tradnl" w:eastAsia="es-CO"/>
        </w:rPr>
        <w:t>razón de cobertura de intereses</w:t>
      </w:r>
      <w:r w:rsidRPr="000F64AE">
        <w:rPr>
          <w:rFonts w:ascii="Century Gothic" w:eastAsia="Calibri" w:hAnsi="Century Gothic" w:cs="Arial"/>
          <w:color w:val="000000"/>
          <w:lang w:val="es-ES_tradnl" w:eastAsia="es-CO"/>
        </w:rPr>
        <w:t xml:space="preserve">, que es igual a la utilidad operacional, sobre los gastos de intereses, y que refleja la capacidad del proponente para cumplir con sus obligaciones financieras. Adicionalmente, la Agencia recomienda valorar otro tipo de indicadores como el </w:t>
      </w:r>
      <w:r w:rsidRPr="000F64AE">
        <w:rPr>
          <w:rFonts w:ascii="Century Gothic" w:eastAsia="Calibri" w:hAnsi="Century Gothic" w:cs="Arial"/>
          <w:i/>
          <w:iCs/>
          <w:color w:val="000000"/>
          <w:lang w:val="es-ES_tradnl" w:eastAsia="es-CO"/>
        </w:rPr>
        <w:t>capital de trabajo</w:t>
      </w:r>
      <w:r w:rsidRPr="000F64AE">
        <w:rPr>
          <w:rFonts w:ascii="Century Gothic" w:eastAsia="Calibri" w:hAnsi="Century Gothic" w:cs="Arial"/>
          <w:color w:val="000000"/>
          <w:lang w:val="es-ES_tradnl" w:eastAsia="es-CO"/>
        </w:rPr>
        <w:t xml:space="preserve">, la </w:t>
      </w:r>
      <w:r w:rsidRPr="000F64AE">
        <w:rPr>
          <w:rFonts w:ascii="Century Gothic" w:eastAsia="Calibri" w:hAnsi="Century Gothic" w:cs="Arial"/>
          <w:i/>
          <w:iCs/>
          <w:color w:val="000000"/>
          <w:lang w:val="es-ES_tradnl" w:eastAsia="es-CO"/>
        </w:rPr>
        <w:t>razón de efectivo</w:t>
      </w:r>
      <w:r w:rsidRPr="000F64AE">
        <w:rPr>
          <w:rFonts w:ascii="Century Gothic" w:eastAsia="Calibri" w:hAnsi="Century Gothic" w:cs="Arial"/>
          <w:color w:val="000000"/>
          <w:lang w:val="es-ES_tradnl" w:eastAsia="es-CO"/>
        </w:rPr>
        <w:t xml:space="preserve">, la denominada </w:t>
      </w:r>
      <w:r w:rsidRPr="000F64AE">
        <w:rPr>
          <w:rFonts w:ascii="Century Gothic" w:eastAsia="Calibri" w:hAnsi="Century Gothic" w:cs="Arial"/>
          <w:i/>
          <w:iCs/>
          <w:color w:val="000000"/>
          <w:lang w:val="es-ES_tradnl" w:eastAsia="es-CO"/>
        </w:rPr>
        <w:t>prueba ácida</w:t>
      </w:r>
      <w:r w:rsidRPr="000F64AE">
        <w:rPr>
          <w:rFonts w:ascii="Century Gothic" w:eastAsia="Calibri" w:hAnsi="Century Gothic" w:cs="Arial"/>
          <w:color w:val="000000"/>
          <w:vertAlign w:val="superscript"/>
          <w:lang w:val="es-ES_tradnl" w:eastAsia="es-CO"/>
        </w:rPr>
        <w:footnoteReference w:id="18"/>
      </w:r>
      <w:r w:rsidRPr="000F64AE">
        <w:rPr>
          <w:rFonts w:ascii="Century Gothic" w:eastAsia="Calibri" w:hAnsi="Century Gothic" w:cs="Arial"/>
          <w:color w:val="000000"/>
          <w:lang w:val="es-ES_tradnl" w:eastAsia="es-CO"/>
        </w:rPr>
        <w:t xml:space="preserve">, la </w:t>
      </w:r>
      <w:r w:rsidRPr="000F64AE">
        <w:rPr>
          <w:rFonts w:ascii="Century Gothic" w:eastAsia="Calibri" w:hAnsi="Century Gothic" w:cs="Arial"/>
          <w:i/>
          <w:iCs/>
          <w:color w:val="000000"/>
          <w:lang w:val="es-ES_tradnl" w:eastAsia="es-CO"/>
        </w:rPr>
        <w:t xml:space="preserve">concentración de endeudamiento a corto </w:t>
      </w:r>
      <w:r w:rsidRPr="000F64AE">
        <w:rPr>
          <w:rFonts w:ascii="Century Gothic" w:eastAsia="Calibri" w:hAnsi="Century Gothic" w:cs="Arial"/>
          <w:color w:val="000000"/>
          <w:lang w:val="es-ES_tradnl" w:eastAsia="es-CO"/>
        </w:rPr>
        <w:t>y</w:t>
      </w:r>
      <w:r w:rsidRPr="000F64AE">
        <w:rPr>
          <w:rFonts w:ascii="Century Gothic" w:eastAsia="Calibri" w:hAnsi="Century Gothic" w:cs="Arial"/>
          <w:i/>
          <w:iCs/>
          <w:color w:val="000000"/>
          <w:lang w:val="es-ES_tradnl" w:eastAsia="es-CO"/>
        </w:rPr>
        <w:t xml:space="preserve"> a largo plazo</w:t>
      </w:r>
      <w:r w:rsidRPr="000F64AE">
        <w:rPr>
          <w:rFonts w:ascii="Century Gothic" w:eastAsia="Calibri" w:hAnsi="Century Gothic" w:cs="Arial"/>
          <w:color w:val="000000"/>
          <w:lang w:val="es-ES_tradnl" w:eastAsia="es-CO"/>
        </w:rPr>
        <w:t xml:space="preserve"> y el </w:t>
      </w:r>
      <w:r w:rsidRPr="000F64AE">
        <w:rPr>
          <w:rFonts w:ascii="Century Gothic" w:eastAsia="Calibri" w:hAnsi="Century Gothic" w:cs="Arial"/>
          <w:i/>
          <w:iCs/>
          <w:color w:val="000000"/>
          <w:lang w:val="es-ES_tradnl" w:eastAsia="es-CO"/>
        </w:rPr>
        <w:t>patrimonio</w:t>
      </w:r>
      <w:r w:rsidRPr="000F64AE">
        <w:rPr>
          <w:rFonts w:ascii="Century Gothic" w:eastAsia="Calibri" w:hAnsi="Century Gothic" w:cs="Arial"/>
          <w:i/>
          <w:iCs/>
          <w:color w:val="000000"/>
          <w:vertAlign w:val="superscript"/>
          <w:lang w:val="es-ES_tradnl" w:eastAsia="es-CO"/>
        </w:rPr>
        <w:footnoteReference w:id="19"/>
      </w:r>
      <w:r w:rsidRPr="000F64AE">
        <w:rPr>
          <w:rFonts w:ascii="Century Gothic" w:eastAsia="Calibri" w:hAnsi="Century Gothic" w:cs="Arial"/>
          <w:color w:val="000000"/>
          <w:lang w:val="es-ES_tradnl" w:eastAsia="es-CO"/>
        </w:rPr>
        <w:t>.</w:t>
      </w:r>
    </w:p>
    <w:p w14:paraId="0C3FA42F" w14:textId="77777777" w:rsidR="000F64AE" w:rsidRPr="000F64AE" w:rsidRDefault="000F64AE" w:rsidP="000F64AE">
      <w:pPr>
        <w:spacing w:before="120" w:after="120" w:line="276" w:lineRule="auto"/>
        <w:ind w:firstLine="708"/>
        <w:jc w:val="both"/>
        <w:rPr>
          <w:rFonts w:ascii="Century Gothic" w:eastAsia="Calibri" w:hAnsi="Century Gothic" w:cs="Arial"/>
          <w:color w:val="000000"/>
          <w:lang w:val="es-ES_tradnl" w:eastAsia="es-CO"/>
        </w:rPr>
      </w:pPr>
    </w:p>
    <w:p w14:paraId="008A4B83" w14:textId="77777777" w:rsidR="000F64AE" w:rsidRPr="000F64AE" w:rsidRDefault="000F64AE" w:rsidP="000F64AE">
      <w:pPr>
        <w:spacing w:before="120" w:after="120" w:line="276" w:lineRule="auto"/>
        <w:ind w:firstLine="709"/>
        <w:jc w:val="both"/>
        <w:rPr>
          <w:rFonts w:ascii="Century Gothic" w:eastAsia="Calibri" w:hAnsi="Century Gothic" w:cs="Arial"/>
          <w:color w:val="000000"/>
          <w:lang w:val="es-ES_tradnl" w:eastAsia="es-CO"/>
        </w:rPr>
      </w:pPr>
      <w:r w:rsidRPr="000F64AE">
        <w:rPr>
          <w:rFonts w:ascii="Century Gothic" w:eastAsia="Calibri" w:hAnsi="Century Gothic" w:cs="Arial"/>
          <w:color w:val="000000"/>
          <w:lang w:val="es-ES_tradnl" w:eastAsia="es-CO"/>
        </w:rPr>
        <w:t xml:space="preserve">Por su parte, según el artículo 2.2.1.1.1.5.3., numeral 4, del Decreto 1082 de 2015, los indicadores para medir la capacidad organizacional de un proponente son: por un lado, la </w:t>
      </w:r>
      <w:r w:rsidRPr="000F64AE">
        <w:rPr>
          <w:rFonts w:ascii="Century Gothic" w:eastAsia="Calibri" w:hAnsi="Century Gothic" w:cs="Arial"/>
          <w:i/>
          <w:iCs/>
          <w:color w:val="000000"/>
          <w:lang w:val="es-ES_tradnl" w:eastAsia="es-CO"/>
        </w:rPr>
        <w:t>rentabilidad del patrimonio</w:t>
      </w:r>
      <w:r w:rsidRPr="000F64AE">
        <w:rPr>
          <w:rFonts w:ascii="Century Gothic" w:eastAsia="Calibri" w:hAnsi="Century Gothic" w:cs="Arial"/>
          <w:color w:val="000000"/>
          <w:lang w:val="es-ES_tradnl" w:eastAsia="es-CO"/>
        </w:rPr>
        <w:t xml:space="preserve">, que corresponde a la utilidad operacional dividida por el patrimonio, y que determina la rentabilidad del patrimonio del proponente, es decir, la capacidad de generación de utilidad </w:t>
      </w:r>
      <w:r w:rsidRPr="000F64AE">
        <w:rPr>
          <w:rFonts w:ascii="Century Gothic" w:eastAsia="Calibri" w:hAnsi="Century Gothic" w:cs="Arial"/>
          <w:color w:val="000000"/>
          <w:lang w:val="es-ES_tradnl" w:eastAsia="es-CO"/>
        </w:rPr>
        <w:lastRenderedPageBreak/>
        <w:t xml:space="preserve">operacional por cada peso invertido en el patrimonio, del tal forma que, a mayor rentabilidad sobre el patrimonio, mayor es la rentabilidad de los accionistas y mejor la capacidad organizacional del proponente. </w:t>
      </w:r>
    </w:p>
    <w:p w14:paraId="547F890D" w14:textId="77777777" w:rsidR="000F64AE" w:rsidRPr="000F64AE" w:rsidRDefault="000F64AE" w:rsidP="000F64AE">
      <w:pPr>
        <w:spacing w:before="120" w:after="120" w:line="276" w:lineRule="auto"/>
        <w:ind w:firstLine="709"/>
        <w:jc w:val="both"/>
        <w:rPr>
          <w:rFonts w:ascii="Century Gothic" w:eastAsia="Calibri" w:hAnsi="Century Gothic" w:cs="Arial"/>
          <w:color w:val="000000"/>
          <w:lang w:val="es-ES_tradnl" w:eastAsia="es-CO"/>
        </w:rPr>
      </w:pPr>
      <w:r w:rsidRPr="000F64AE">
        <w:rPr>
          <w:rFonts w:ascii="Century Gothic" w:eastAsia="Calibri" w:hAnsi="Century Gothic" w:cs="Arial"/>
          <w:color w:val="000000"/>
          <w:lang w:val="es-ES_tradnl" w:eastAsia="es-CO"/>
        </w:rPr>
        <w:t xml:space="preserve">Por el otro, la </w:t>
      </w:r>
      <w:r w:rsidRPr="000F64AE">
        <w:rPr>
          <w:rFonts w:ascii="Century Gothic" w:eastAsia="Calibri" w:hAnsi="Century Gothic" w:cs="Arial"/>
          <w:i/>
          <w:iCs/>
          <w:color w:val="000000"/>
          <w:lang w:val="es-ES_tradnl" w:eastAsia="es-CO"/>
        </w:rPr>
        <w:t>rentabilidad del activo</w:t>
      </w:r>
      <w:r w:rsidRPr="000F64AE">
        <w:rPr>
          <w:rFonts w:ascii="Century Gothic" w:eastAsia="Calibri" w:hAnsi="Century Gothic" w:cs="Arial"/>
          <w:color w:val="000000"/>
          <w:lang w:val="es-ES_tradnl" w:eastAsia="es-CO"/>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3BB994DC" w14:textId="77777777" w:rsidR="000F64AE" w:rsidRPr="000F64AE" w:rsidRDefault="000F64AE" w:rsidP="000F64AE">
      <w:pPr>
        <w:spacing w:before="120" w:after="120" w:line="276" w:lineRule="auto"/>
        <w:ind w:firstLine="709"/>
        <w:jc w:val="both"/>
        <w:rPr>
          <w:rFonts w:ascii="Century Gothic" w:eastAsia="Calibri" w:hAnsi="Century Gothic" w:cs="Arial"/>
          <w:color w:val="000000"/>
          <w:lang w:val="es-ES_tradnl" w:eastAsia="es-CO"/>
        </w:rPr>
      </w:pPr>
      <w:r w:rsidRPr="000F64AE">
        <w:rPr>
          <w:rFonts w:ascii="Century Gothic" w:eastAsia="Calibri" w:hAnsi="Century Gothic" w:cs="Arial"/>
          <w:color w:val="000000"/>
          <w:lang w:val="es-ES_tradnl" w:eastAsia="es-CO"/>
        </w:rPr>
        <w:t xml:space="preserve">A juicio de esta Agencia, también son relevantes los siguientes indicadores, pero únicamente en aquellos casos en los que, por las características del objeto a contratar, la naturaleza o la complejidad del proceso de contratación, se requieran: i) margen bruto; ii) margen operacional; iii) margen neto; </w:t>
      </w:r>
      <w:proofErr w:type="spellStart"/>
      <w:r w:rsidRPr="000F64AE">
        <w:rPr>
          <w:rFonts w:ascii="Century Gothic" w:eastAsia="Calibri" w:hAnsi="Century Gothic" w:cs="Arial"/>
          <w:color w:val="000000"/>
          <w:lang w:val="es-ES_tradnl" w:eastAsia="es-CO"/>
        </w:rPr>
        <w:t>iv</w:t>
      </w:r>
      <w:proofErr w:type="spellEnd"/>
      <w:r w:rsidRPr="000F64AE">
        <w:rPr>
          <w:rFonts w:ascii="Century Gothic" w:eastAsia="Calibri" w:hAnsi="Century Gothic" w:cs="Arial"/>
          <w:color w:val="000000"/>
          <w:lang w:val="es-ES_tradnl" w:eastAsia="es-CO"/>
        </w:rPr>
        <w:t xml:space="preserve">) retorno sobre capital invertido; v) rotación de activos totales; vi) rotación de activos fijos; y </w:t>
      </w:r>
      <w:proofErr w:type="spellStart"/>
      <w:r w:rsidRPr="000F64AE">
        <w:rPr>
          <w:rFonts w:ascii="Century Gothic" w:eastAsia="Calibri" w:hAnsi="Century Gothic" w:cs="Arial"/>
          <w:color w:val="000000"/>
          <w:lang w:val="es-ES_tradnl" w:eastAsia="es-CO"/>
        </w:rPr>
        <w:t>vii</w:t>
      </w:r>
      <w:proofErr w:type="spellEnd"/>
      <w:r w:rsidRPr="000F64AE">
        <w:rPr>
          <w:rFonts w:ascii="Century Gothic" w:eastAsia="Calibri" w:hAnsi="Century Gothic" w:cs="Arial"/>
          <w:color w:val="000000"/>
          <w:lang w:val="es-ES_tradnl" w:eastAsia="es-CO"/>
        </w:rPr>
        <w:t>) rotación de inventarios</w:t>
      </w:r>
      <w:r w:rsidRPr="000F64AE">
        <w:rPr>
          <w:rFonts w:ascii="Century Gothic" w:eastAsia="Calibri" w:hAnsi="Century Gothic" w:cs="Arial"/>
          <w:color w:val="000000"/>
          <w:vertAlign w:val="superscript"/>
          <w:lang w:val="es-ES_tradnl" w:eastAsia="es-CO"/>
        </w:rPr>
        <w:footnoteReference w:id="20"/>
      </w:r>
      <w:r w:rsidRPr="000F64AE">
        <w:rPr>
          <w:rFonts w:ascii="Century Gothic" w:eastAsia="Calibri" w:hAnsi="Century Gothic" w:cs="Arial"/>
          <w:color w:val="000000"/>
          <w:lang w:val="es-ES_tradnl" w:eastAsia="es-CO"/>
        </w:rPr>
        <w:t>.</w:t>
      </w:r>
    </w:p>
    <w:p w14:paraId="599098C2" w14:textId="77777777" w:rsidR="000F64AE" w:rsidRPr="000F64AE" w:rsidRDefault="000F64AE" w:rsidP="000F64AE">
      <w:pPr>
        <w:spacing w:before="120" w:after="0" w:line="276" w:lineRule="auto"/>
        <w:ind w:firstLine="708"/>
        <w:jc w:val="both"/>
        <w:rPr>
          <w:rFonts w:ascii="Century Gothic" w:eastAsia="Calibri" w:hAnsi="Century Gothic" w:cs="Arial"/>
          <w:color w:val="000000"/>
          <w:lang w:val="es-ES_tradnl" w:eastAsia="es-CO"/>
        </w:rPr>
      </w:pPr>
      <w:r w:rsidRPr="000F64AE">
        <w:rPr>
          <w:rFonts w:ascii="Century Gothic" w:eastAsia="Calibri" w:hAnsi="Century Gothic" w:cs="Arial"/>
          <w:color w:val="000000"/>
          <w:lang w:val="es-ES_tradnl" w:eastAsia="es-CO"/>
        </w:rPr>
        <w:t>En ese sentido, para justificar la determinación de alguno de los requisitos anteriormente expuestos, tanto para capacidad financiera y organizacional, la Entidad Estatal debe tener en cuenta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0F64AE">
        <w:rPr>
          <w:rFonts w:ascii="Century Gothic" w:eastAsia="Calibri" w:hAnsi="Century Gothic" w:cs="Arial"/>
          <w:color w:val="000000"/>
          <w:vertAlign w:val="superscript"/>
          <w:lang w:val="es-ES_tradnl" w:eastAsia="es-CO"/>
        </w:rPr>
        <w:footnoteReference w:id="21"/>
      </w:r>
      <w:r w:rsidRPr="000F64AE">
        <w:rPr>
          <w:rFonts w:ascii="Century Gothic" w:eastAsia="Calibri" w:hAnsi="Century Gothic" w:cs="Arial"/>
          <w:color w:val="000000"/>
          <w:lang w:val="es-ES_tradnl" w:eastAsia="es-CO"/>
        </w:rPr>
        <w:t>. Esto permitirá que sus resultados se interpreten observando el riesgo que un indicador alto o bajo representa para el procedimiento de contratación. Por ende, la entidad debe establecer unos límites dentro de los cuales se garantice que el proponente pueda cumplir el contrato en caso de celebrarlo</w:t>
      </w:r>
      <w:r w:rsidRPr="000F64AE">
        <w:rPr>
          <w:rFonts w:ascii="Century Gothic" w:eastAsia="Calibri" w:hAnsi="Century Gothic" w:cs="Arial"/>
          <w:color w:val="000000"/>
          <w:vertAlign w:val="superscript"/>
          <w:lang w:val="es-ES_tradnl" w:eastAsia="es-CO"/>
        </w:rPr>
        <w:footnoteReference w:id="22"/>
      </w:r>
      <w:r w:rsidRPr="000F64AE">
        <w:rPr>
          <w:rFonts w:ascii="Century Gothic" w:eastAsia="Calibri" w:hAnsi="Century Gothic" w:cs="Arial"/>
          <w:color w:val="000000"/>
          <w:lang w:val="es-ES_tradnl" w:eastAsia="es-CO"/>
        </w:rPr>
        <w:t>.</w:t>
      </w:r>
    </w:p>
    <w:p w14:paraId="1B412657" w14:textId="77777777" w:rsidR="000F64AE" w:rsidRPr="000F64AE" w:rsidRDefault="000F64AE" w:rsidP="000F64AE">
      <w:pPr>
        <w:spacing w:before="120" w:after="0" w:line="276" w:lineRule="auto"/>
        <w:ind w:firstLine="708"/>
        <w:jc w:val="both"/>
        <w:rPr>
          <w:rFonts w:ascii="Century Gothic" w:eastAsia="Calibri" w:hAnsi="Century Gothic" w:cs="Arial"/>
          <w:lang w:eastAsia="es-CO"/>
        </w:rPr>
      </w:pPr>
      <w:r w:rsidRPr="000F64AE">
        <w:rPr>
          <w:rFonts w:ascii="Century Gothic" w:eastAsia="Calibri" w:hAnsi="Century Gothic" w:cs="Arial"/>
          <w:color w:val="000000"/>
          <w:lang w:val="es-ES_tradnl" w:eastAsia="es-CO"/>
        </w:rPr>
        <w:t xml:space="preserve">No obstante, como se ha expuesto, las Entidades Estatales son autónomas en la estructuración de sus procedimientos contractuales, por lo cual en sus pliegos de condiciones o documentos equivalentes pueden establecer los indicadores </w:t>
      </w:r>
      <w:r w:rsidRPr="000F64AE">
        <w:rPr>
          <w:rFonts w:ascii="Century Gothic" w:eastAsia="Calibri" w:hAnsi="Century Gothic" w:cs="Arial"/>
          <w:color w:val="000000"/>
          <w:lang w:val="es-ES_tradnl" w:eastAsia="es-CO"/>
        </w:rPr>
        <w:lastRenderedPageBreak/>
        <w:t xml:space="preserve">financieros y organizacionales necesarios, siempre que estos sean proporcionales y así lo justifiquen, en ese orden de ideas, resulta ser totalmente potestativo de la Entidad Estatal el exigir capital de trabajo e indicadores mínimos conforme dicho </w:t>
      </w:r>
      <w:r w:rsidRPr="000F64AE">
        <w:rPr>
          <w:rFonts w:ascii="Century Gothic" w:eastAsia="Calibri" w:hAnsi="Century Gothic" w:cs="Arial"/>
          <w:lang w:eastAsia="es-CO"/>
        </w:rPr>
        <w:t>indicador, de manera que entre más fuerte sea el nexo entre el objeto contractual y el indicador, con mayor rigurosidad debe ser el análisis por parte de la Entidad Estatal de los datos para establecer los límites de los requisitos habilitantes y su nivel de exigencia.</w:t>
      </w:r>
    </w:p>
    <w:p w14:paraId="2D68A59B" w14:textId="77777777" w:rsidR="000F64AE" w:rsidRPr="000F64AE" w:rsidRDefault="000F64AE" w:rsidP="000F64AE">
      <w:pPr>
        <w:spacing w:before="120" w:after="0" w:line="276" w:lineRule="auto"/>
        <w:ind w:firstLine="708"/>
        <w:jc w:val="both"/>
        <w:rPr>
          <w:rFonts w:ascii="Century Gothic" w:eastAsia="Times New Roman" w:hAnsi="Century Gothic" w:cs="Arial"/>
          <w:color w:val="000000" w:themeColor="text1"/>
          <w:lang w:val="es-ES_tradnl" w:eastAsia="es-CO"/>
        </w:rPr>
      </w:pPr>
      <w:r w:rsidRPr="000F64AE">
        <w:rPr>
          <w:rFonts w:ascii="Century Gothic" w:eastAsia="Times New Roman" w:hAnsi="Century Gothic" w:cs="Arial"/>
          <w:lang w:eastAsia="es-CO"/>
        </w:rPr>
        <w:t xml:space="preserve">En consecuencia, para efectos de los escenarios descritos en el párrafo precedente, la inclusión o exclusión de </w:t>
      </w:r>
      <w:r w:rsidRPr="000F64AE">
        <w:rPr>
          <w:rFonts w:ascii="Century Gothic" w:eastAsia="Times New Roman" w:hAnsi="Century Gothic" w:cs="Arial"/>
          <w:color w:val="000000" w:themeColor="text1"/>
          <w:lang w:val="es-ES_tradnl" w:eastAsia="es-CO"/>
        </w:rPr>
        <w:t>los indicadores previstos en el artículo 2.2.1.1.1.5.3. del Decreto 1082 de 2015</w:t>
      </w:r>
      <w:r w:rsidRPr="000F64AE">
        <w:rPr>
          <w:rFonts w:ascii="Century Gothic" w:eastAsia="Times New Roman" w:hAnsi="Century Gothic" w:cs="Arial"/>
          <w:lang w:eastAsia="es-CO"/>
        </w:rPr>
        <w:t xml:space="preserve"> está unida a la carga justificativa de la </w:t>
      </w:r>
      <w:r w:rsidRPr="000F64AE">
        <w:rPr>
          <w:rFonts w:ascii="Century Gothic" w:eastAsia="Times New Roman" w:hAnsi="Century Gothic" w:cs="Arial"/>
          <w:i/>
          <w:iCs/>
          <w:lang w:eastAsia="es-CO"/>
        </w:rPr>
        <w:t>Entidad Estatal</w:t>
      </w:r>
      <w:r w:rsidRPr="000F64AE">
        <w:rPr>
          <w:rFonts w:ascii="Century Gothic" w:eastAsia="Times New Roman" w:hAnsi="Century Gothic" w:cs="Arial"/>
          <w:lang w:eastAsia="es-CO"/>
        </w:rPr>
        <w:t xml:space="preserve"> en los estudios y documentos previos del proceso de selección.</w:t>
      </w:r>
    </w:p>
    <w:p w14:paraId="22A60886" w14:textId="77777777" w:rsidR="000F64AE" w:rsidRPr="000F64AE" w:rsidRDefault="000F64AE" w:rsidP="000F64AE">
      <w:pPr>
        <w:spacing w:after="0" w:line="276" w:lineRule="auto"/>
        <w:jc w:val="both"/>
        <w:rPr>
          <w:rFonts w:ascii="Century Gothic" w:hAnsi="Century Gothic" w:cs="Arial"/>
          <w:b/>
          <w:bCs/>
          <w:color w:val="000000" w:themeColor="text1"/>
        </w:rPr>
      </w:pPr>
    </w:p>
    <w:p w14:paraId="56A1AEA8" w14:textId="77777777" w:rsidR="000F64AE" w:rsidRPr="000F64AE" w:rsidRDefault="000F64AE" w:rsidP="000F64AE">
      <w:pPr>
        <w:spacing w:after="0" w:line="276" w:lineRule="auto"/>
        <w:jc w:val="both"/>
        <w:rPr>
          <w:rFonts w:ascii="Century Gothic" w:hAnsi="Century Gothic" w:cs="Arial"/>
          <w:b/>
          <w:bCs/>
          <w:color w:val="000000" w:themeColor="text1"/>
          <w:lang w:val="es-MX"/>
        </w:rPr>
      </w:pPr>
      <w:r w:rsidRPr="000F64AE">
        <w:rPr>
          <w:rFonts w:ascii="Century Gothic" w:eastAsia="Calibri" w:hAnsi="Century Gothic" w:cs="Arial"/>
          <w:b/>
          <w:bCs/>
          <w:color w:val="000000" w:themeColor="text1"/>
          <w:lang w:val="es-ES" w:eastAsia="es-MX"/>
        </w:rPr>
        <w:t>2.5.</w:t>
      </w:r>
      <w:r w:rsidRPr="000F64AE">
        <w:rPr>
          <w:rFonts w:ascii="Century Gothic" w:eastAsia="Calibri" w:hAnsi="Century Gothic" w:cs="Arial"/>
          <w:b/>
          <w:bCs/>
          <w:color w:val="000000" w:themeColor="text1"/>
          <w:lang w:val="es-ES" w:eastAsia="es-MX"/>
        </w:rPr>
        <w:tab/>
        <w:t>Aproximación general al concepto de experiencia en la contratación pública</w:t>
      </w:r>
    </w:p>
    <w:p w14:paraId="13B642CB" w14:textId="77777777" w:rsidR="000F64AE" w:rsidRPr="000F64AE" w:rsidRDefault="000F64AE" w:rsidP="000F64AE">
      <w:pPr>
        <w:spacing w:after="0" w:line="276" w:lineRule="auto"/>
        <w:jc w:val="both"/>
        <w:rPr>
          <w:rFonts w:ascii="Century Gothic" w:eastAsia="Calibri" w:hAnsi="Century Gothic" w:cs="Arial"/>
          <w:lang w:eastAsia="es-CO"/>
        </w:rPr>
      </w:pPr>
    </w:p>
    <w:p w14:paraId="522D1E77" w14:textId="77777777" w:rsidR="000F64AE" w:rsidRPr="000F64AE" w:rsidRDefault="000F64AE" w:rsidP="000F64AE">
      <w:pPr>
        <w:spacing w:after="240" w:line="276" w:lineRule="auto"/>
        <w:jc w:val="both"/>
        <w:rPr>
          <w:rFonts w:ascii="Century Gothic" w:eastAsia="Calibri" w:hAnsi="Century Gothic" w:cs="Arial"/>
          <w:lang w:eastAsia="es-CO"/>
        </w:rPr>
      </w:pPr>
      <w:r w:rsidRPr="000F64AE">
        <w:rPr>
          <w:rFonts w:ascii="Century Gothic" w:eastAsia="Calibri" w:hAnsi="Century Gothic" w:cs="Arial"/>
          <w:lang w:eastAsia="es-CO"/>
        </w:rPr>
        <w:t>El artículo 5 de la Ley 1150 de 2007 establece a la experiencia como requisito habilitante, y debe ser entendida como aquella que se deriva de los contratos que el proponente ha celebrado y ejecutado con diferentes contratantes, sin importar la naturaleza de estos y se verifica con el RUP</w:t>
      </w:r>
      <w:r w:rsidRPr="000F64AE">
        <w:rPr>
          <w:rFonts w:ascii="Century Gothic" w:eastAsia="Calibri" w:hAnsi="Century Gothic" w:cs="Arial"/>
          <w:vertAlign w:val="superscript"/>
          <w:lang w:eastAsia="es-CO"/>
        </w:rPr>
        <w:footnoteReference w:id="23"/>
      </w:r>
      <w:r w:rsidRPr="000F64AE">
        <w:rPr>
          <w:rFonts w:ascii="Century Gothic" w:eastAsia="Calibri" w:hAnsi="Century Gothic" w:cs="Arial"/>
          <w:lang w:eastAsia="es-CO"/>
        </w:rPr>
        <w:t>, siempre y cuando este sea exigible de acuerdo con la ley, sobre el cual se predica que los requisitos habilitantes que se evalúan exclusivamente con este documento son plena prueba, sin que la entidad o el proponente puedan solicitar o aportar otra documentación</w:t>
      </w:r>
      <w:r w:rsidRPr="000F64AE">
        <w:rPr>
          <w:rFonts w:ascii="Century Gothic" w:eastAsia="Calibri" w:hAnsi="Century Gothic" w:cs="Arial"/>
          <w:vertAlign w:val="superscript"/>
          <w:lang w:eastAsia="es-CO"/>
        </w:rPr>
        <w:footnoteReference w:id="24"/>
      </w:r>
      <w:r w:rsidRPr="000F64AE">
        <w:rPr>
          <w:rFonts w:ascii="Century Gothic" w:eastAsia="Calibri" w:hAnsi="Century Gothic" w:cs="Arial"/>
          <w:lang w:eastAsia="es-CO"/>
        </w:rPr>
        <w:t>.</w:t>
      </w:r>
    </w:p>
    <w:p w14:paraId="3CA463FA" w14:textId="0E0FA02E" w:rsidR="000F64AE" w:rsidRPr="000F64AE" w:rsidRDefault="000F64AE" w:rsidP="00A974F5">
      <w:pPr>
        <w:spacing w:after="120" w:line="276" w:lineRule="auto"/>
        <w:ind w:firstLine="708"/>
        <w:contextualSpacing/>
        <w:jc w:val="both"/>
        <w:rPr>
          <w:rFonts w:ascii="Century Gothic" w:eastAsia="Calibri" w:hAnsi="Century Gothic" w:cs="Arial"/>
          <w:lang w:val="es-ES" w:eastAsia="es-CO"/>
        </w:rPr>
      </w:pPr>
      <w:r w:rsidRPr="000F64AE">
        <w:rPr>
          <w:rFonts w:ascii="Century Gothic" w:eastAsia="Calibri" w:hAnsi="Century Gothic" w:cs="Arial"/>
          <w:lang w:val="es-ES" w:eastAsia="es-CO"/>
        </w:rPr>
        <w:t xml:space="preserve">Igualmente se ha indicado que la experiencia, esta debe inscribirse, renovarse o actualizarse en el RUP con copia de los contratos o con certificados de </w:t>
      </w:r>
      <w:r w:rsidRPr="000F64AE">
        <w:rPr>
          <w:rFonts w:ascii="Century Gothic" w:eastAsia="Calibri" w:hAnsi="Century Gothic" w:cs="Arial"/>
          <w:lang w:val="es-ES" w:eastAsia="es-CO"/>
        </w:rPr>
        <w:lastRenderedPageBreak/>
        <w:t>los contratos celebrados por el proponente con diferentes contratantes, quienes son terceros que los expiden cuando el contrato fue ejecutado y recibieron los bienes, obras o servicios de parte del proponente</w:t>
      </w:r>
      <w:r w:rsidRPr="000F64AE">
        <w:rPr>
          <w:rFonts w:ascii="Century Gothic" w:eastAsia="Calibri" w:hAnsi="Century Gothic" w:cs="Arial"/>
          <w:vertAlign w:val="superscript"/>
          <w:lang w:val="es-ES" w:eastAsia="es-CO"/>
        </w:rPr>
        <w:footnoteReference w:id="25"/>
      </w:r>
      <w:r w:rsidRPr="000F64AE">
        <w:rPr>
          <w:rFonts w:ascii="Century Gothic" w:eastAsia="Calibri" w:hAnsi="Century Gothic" w:cs="Arial"/>
          <w:lang w:val="es-ES" w:eastAsia="es-CO"/>
        </w:rPr>
        <w:t>.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0880CEF8" w14:textId="77777777" w:rsidR="00A974F5" w:rsidRPr="000F64AE" w:rsidRDefault="00A974F5" w:rsidP="00A974F5">
      <w:pPr>
        <w:spacing w:after="120" w:line="276" w:lineRule="auto"/>
        <w:ind w:firstLine="708"/>
        <w:contextualSpacing/>
        <w:jc w:val="both"/>
        <w:rPr>
          <w:rFonts w:ascii="Century Gothic" w:eastAsia="Calibri" w:hAnsi="Century Gothic" w:cs="Arial"/>
          <w:lang w:val="es-ES" w:eastAsia="es-CO"/>
        </w:rPr>
      </w:pPr>
    </w:p>
    <w:p w14:paraId="099C2FE9" w14:textId="77777777" w:rsidR="000F64AE" w:rsidRPr="000F64AE" w:rsidRDefault="000F64AE" w:rsidP="000F64AE">
      <w:pPr>
        <w:spacing w:after="0" w:line="276" w:lineRule="auto"/>
        <w:ind w:firstLine="708"/>
        <w:jc w:val="both"/>
        <w:rPr>
          <w:rFonts w:ascii="Century Gothic" w:eastAsia="Calibri" w:hAnsi="Century Gothic" w:cs="Arial"/>
          <w:lang w:eastAsia="es-CO"/>
        </w:rPr>
      </w:pPr>
      <w:r w:rsidRPr="000F64AE">
        <w:rPr>
          <w:rFonts w:ascii="Century Gothic" w:eastAsia="Calibri" w:hAnsi="Century Gothic" w:cs="Arial"/>
          <w:lang w:eastAsia="es-CO"/>
        </w:rPr>
        <w:t>Por lo demás, el “</w:t>
      </w:r>
      <w:r w:rsidRPr="000F64AE">
        <w:rPr>
          <w:rFonts w:ascii="Century Gothic" w:eastAsia="Calibri" w:hAnsi="Century Gothic" w:cs="Arial"/>
          <w:i/>
          <w:iCs/>
          <w:lang w:eastAsia="es-CO"/>
        </w:rPr>
        <w:t>Manual para determinar y verificar requisitos habilitantes en los procesos de contratación”,</w:t>
      </w:r>
      <w:r w:rsidRPr="000F64AE">
        <w:rPr>
          <w:rFonts w:ascii="Century Gothic" w:eastAsia="Calibri" w:hAnsi="Century Gothic" w:cs="Arial"/>
          <w:lang w:eastAsia="es-CO"/>
        </w:rPr>
        <w:t xml:space="preserve"> indica que la experiencia tiene un carácter personal, lo cual significa que la experiencia se obtiene en razón a la participación, con anterioridad, en actividades que le permitieron conocer cómo ejecutar determinado objeto contractual, que la entidad ahora pretende desarrollar</w:t>
      </w:r>
      <w:r w:rsidRPr="000F64AE">
        <w:rPr>
          <w:rFonts w:ascii="Century Gothic" w:eastAsia="Calibri" w:hAnsi="Century Gothic" w:cs="Arial"/>
          <w:vertAlign w:val="superscript"/>
          <w:lang w:eastAsia="es-CO"/>
        </w:rPr>
        <w:footnoteReference w:id="26"/>
      </w:r>
      <w:r w:rsidRPr="000F64AE">
        <w:rPr>
          <w:rFonts w:ascii="Century Gothic" w:eastAsia="Calibri" w:hAnsi="Century Gothic" w:cs="Arial"/>
          <w:lang w:eastAsia="es-CO"/>
        </w:rPr>
        <w:t>.</w:t>
      </w:r>
    </w:p>
    <w:p w14:paraId="47E6B910" w14:textId="77777777" w:rsidR="000F64AE" w:rsidRPr="000F64AE" w:rsidRDefault="000F64AE" w:rsidP="000F64AE">
      <w:pPr>
        <w:spacing w:before="120" w:after="120" w:line="276" w:lineRule="auto"/>
        <w:ind w:firstLine="708"/>
        <w:jc w:val="both"/>
        <w:rPr>
          <w:rFonts w:ascii="Century Gothic" w:eastAsia="Calibri" w:hAnsi="Century Gothic" w:cs="Arial"/>
          <w:lang w:eastAsia="es-CO"/>
        </w:rPr>
      </w:pPr>
      <w:r w:rsidRPr="000F64AE">
        <w:rPr>
          <w:rFonts w:ascii="Century Gothic" w:eastAsia="Calibri" w:hAnsi="Century Gothic" w:cs="Arial"/>
          <w:lang w:eastAsia="es-CO"/>
        </w:rPr>
        <w:t xml:space="preserve">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w:t>
      </w:r>
      <w:r w:rsidRPr="000F64AE">
        <w:rPr>
          <w:rFonts w:ascii="Century Gothic" w:eastAsia="Calibri" w:hAnsi="Century Gothic" w:cs="Arial"/>
          <w:lang w:eastAsia="es-CO"/>
        </w:rPr>
        <w:lastRenderedPageBreak/>
        <w:t>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w:t>
      </w:r>
      <w:bookmarkStart w:id="31" w:name="_Hlk132125885"/>
    </w:p>
    <w:bookmarkEnd w:id="31"/>
    <w:p w14:paraId="79567639" w14:textId="77777777" w:rsidR="000F64AE" w:rsidRPr="000F64AE" w:rsidRDefault="000F64AE" w:rsidP="000F64AE">
      <w:pPr>
        <w:spacing w:before="120" w:after="0" w:line="276" w:lineRule="auto"/>
        <w:ind w:firstLine="708"/>
        <w:jc w:val="both"/>
        <w:rPr>
          <w:rFonts w:ascii="Century Gothic" w:eastAsia="Calibri" w:hAnsi="Century Gothic" w:cs="Arial"/>
          <w:color w:val="000000" w:themeColor="text1"/>
          <w:lang w:eastAsia="es-CO"/>
        </w:rPr>
      </w:pPr>
      <w:r w:rsidRPr="000F64AE">
        <w:rPr>
          <w:rFonts w:ascii="Century Gothic" w:eastAsia="Calibri" w:hAnsi="Century Gothic" w:cs="Arial"/>
          <w:color w:val="000000" w:themeColor="text1"/>
          <w:lang w:eastAsia="es-CO"/>
        </w:rPr>
        <w:t>Así mismo, conviene recalcar que las entidades estatales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 Lo anterior, salvo que se trate de objetos contractuales regidos por documentos tipo, evento en el cual las reglas relativas a la experiencia exigida y a la forma de acreditación están allí previstas.</w:t>
      </w:r>
    </w:p>
    <w:p w14:paraId="050259A1" w14:textId="77777777" w:rsidR="000F64AE" w:rsidRPr="000F64AE" w:rsidRDefault="000F64AE" w:rsidP="000F64AE">
      <w:pPr>
        <w:spacing w:before="120" w:after="12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Ahora, como bien se expuso previamente, el RUP fue creado por el artículo 6 de la Ley 1150 de 2007 y constituye el medio idóneo para verificar las condiciones de los proponentes en procesos de contratación pública. 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dicho registro.</w:t>
      </w:r>
      <w:bookmarkStart w:id="32" w:name="_Hlk136958112"/>
    </w:p>
    <w:p w14:paraId="46351EC6" w14:textId="77777777" w:rsidR="000F64AE" w:rsidRPr="000F64AE" w:rsidRDefault="000F64AE" w:rsidP="000F64AE">
      <w:pPr>
        <w:spacing w:before="120" w:after="120" w:line="276" w:lineRule="auto"/>
        <w:jc w:val="both"/>
        <w:rPr>
          <w:rFonts w:ascii="Century Gothic" w:eastAsia="Times New Roman" w:hAnsi="Century Gothic" w:cs="Arial"/>
          <w:lang w:eastAsia="es-CO"/>
        </w:rPr>
      </w:pPr>
      <w:r w:rsidRPr="000F64AE">
        <w:rPr>
          <w:rFonts w:ascii="Century Gothic" w:eastAsia="Times New Roman" w:hAnsi="Century Gothic" w:cs="Arial"/>
          <w:b/>
          <w:bCs/>
          <w:lang w:eastAsia="es-CO"/>
        </w:rPr>
        <w:t>2.6.</w:t>
      </w:r>
      <w:r w:rsidRPr="000F64AE">
        <w:rPr>
          <w:rFonts w:ascii="Century Gothic" w:eastAsia="Times New Roman" w:hAnsi="Century Gothic" w:cs="Arial"/>
          <w:b/>
          <w:bCs/>
          <w:lang w:eastAsia="es-CO"/>
        </w:rPr>
        <w:tab/>
        <w:t>Acreditación de experiencia de socios por parte de sociedades con menos de tres años de constitución</w:t>
      </w:r>
      <w:bookmarkEnd w:id="32"/>
      <w:r w:rsidRPr="000F64AE">
        <w:rPr>
          <w:rFonts w:ascii="Century Gothic" w:eastAsia="Times New Roman" w:hAnsi="Century Gothic" w:cs="Arial"/>
          <w:b/>
          <w:bCs/>
          <w:lang w:eastAsia="es-CO"/>
        </w:rPr>
        <w:t xml:space="preserve"> y la </w:t>
      </w:r>
      <w:r w:rsidRPr="000F64AE">
        <w:rPr>
          <w:rFonts w:ascii="Century Gothic" w:eastAsia="Calibri" w:hAnsi="Century Gothic" w:cs="Arial"/>
          <w:b/>
          <w:bCs/>
          <w:color w:val="000000" w:themeColor="text1"/>
          <w:lang w:val="es-ES" w:eastAsia="es-MX"/>
        </w:rPr>
        <w:t xml:space="preserve">posibilidad </w:t>
      </w:r>
      <w:r w:rsidRPr="000F64AE">
        <w:rPr>
          <w:rFonts w:ascii="Century Gothic" w:eastAsia="Calibri" w:hAnsi="Century Gothic" w:cs="Arial"/>
          <w:b/>
          <w:bCs/>
          <w:lang w:val="es-MX" w:eastAsia="es-ES_tradnl"/>
        </w:rPr>
        <w:t>de acreditar la experiencia de los socios en procesos donde el RUP no es exigible</w:t>
      </w:r>
    </w:p>
    <w:p w14:paraId="7EEA6EFD" w14:textId="77777777" w:rsidR="000F64AE" w:rsidRPr="000F64AE" w:rsidRDefault="000F64AE" w:rsidP="000F64AE">
      <w:pPr>
        <w:spacing w:before="120" w:after="120" w:line="276" w:lineRule="auto"/>
        <w:jc w:val="both"/>
        <w:rPr>
          <w:rFonts w:ascii="Century Gothic" w:eastAsia="Times New Roman" w:hAnsi="Century Gothic" w:cs="Arial"/>
          <w:lang w:eastAsia="es-CO"/>
        </w:rPr>
      </w:pPr>
      <w:r w:rsidRPr="000F64AE">
        <w:rPr>
          <w:rFonts w:ascii="Century Gothic" w:eastAsia="Times New Roman" w:hAnsi="Century Gothic" w:cs="Arial"/>
          <w:lang w:eastAsia="es-CO"/>
        </w:rPr>
        <w:t xml:space="preserve">Dada las inquietudes presentadas en esta oportunidad, relacionadas principalmente con la promoción de microempresas, ha de señalarse que 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w:t>
      </w:r>
      <w:r w:rsidRPr="000F64AE">
        <w:rPr>
          <w:rFonts w:ascii="Century Gothic" w:eastAsia="Times New Roman" w:hAnsi="Century Gothic" w:cs="Arial"/>
          <w:lang w:eastAsia="es-CO"/>
        </w:rPr>
        <w:lastRenderedPageBreak/>
        <w:t>contratos ejecutados o copias de los contratos cuando el interesado no puede obtener tal certificado</w:t>
      </w:r>
      <w:r w:rsidRPr="000F64AE">
        <w:rPr>
          <w:rFonts w:ascii="Century Gothic" w:eastAsia="Times New Roman" w:hAnsi="Century Gothic" w:cs="Arial"/>
          <w:vertAlign w:val="superscript"/>
          <w:lang w:eastAsia="es-CO"/>
        </w:rPr>
        <w:footnoteReference w:id="27"/>
      </w:r>
      <w:r w:rsidRPr="000F64AE">
        <w:rPr>
          <w:rFonts w:ascii="Century Gothic" w:eastAsia="Times New Roman" w:hAnsi="Century Gothic" w:cs="Arial"/>
          <w:lang w:eastAsia="es-CO"/>
        </w:rPr>
        <w:t>.</w:t>
      </w:r>
    </w:p>
    <w:p w14:paraId="02B0D0AE" w14:textId="77777777" w:rsidR="000F64AE" w:rsidRPr="000F64AE" w:rsidRDefault="000F64AE" w:rsidP="000F64AE">
      <w:pPr>
        <w:spacing w:before="120" w:after="12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El numeral 2.5</w:t>
      </w:r>
      <w:r w:rsidRPr="000F64AE">
        <w:rPr>
          <w:rFonts w:ascii="Century Gothic" w:eastAsia="Times New Roman" w:hAnsi="Century Gothic" w:cs="Arial"/>
          <w:vertAlign w:val="superscript"/>
          <w:lang w:eastAsia="es-CO"/>
        </w:rPr>
        <w:footnoteReference w:id="28"/>
      </w:r>
      <w:r w:rsidRPr="000F64AE">
        <w:rPr>
          <w:rFonts w:ascii="Century Gothic" w:eastAsia="Times New Roman" w:hAnsi="Century Gothic" w:cs="Arial"/>
          <w:lang w:eastAsia="es-CO"/>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p>
    <w:p w14:paraId="544264EC" w14:textId="77777777" w:rsidR="000F64AE" w:rsidRPr="000F64AE" w:rsidRDefault="000F64AE" w:rsidP="000F64AE">
      <w:pPr>
        <w:spacing w:before="120" w:after="12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1226970B" w14:textId="77777777" w:rsidR="000F64AE" w:rsidRPr="000F64AE" w:rsidRDefault="000F64AE" w:rsidP="000F64AE">
      <w:pPr>
        <w:spacing w:before="120" w:after="120" w:line="276" w:lineRule="auto"/>
        <w:ind w:firstLine="708"/>
        <w:jc w:val="both"/>
        <w:rPr>
          <w:rFonts w:ascii="Century Gothic" w:eastAsia="Times New Roman" w:hAnsi="Century Gothic" w:cs="Arial"/>
          <w:lang w:eastAsia="es-CO"/>
        </w:rPr>
      </w:pPr>
      <w:bookmarkStart w:id="33" w:name="_Hlk132126019"/>
      <w:r w:rsidRPr="000F64AE">
        <w:rPr>
          <w:rFonts w:ascii="Century Gothic" w:eastAsia="Times New Roman" w:hAnsi="Century Gothic" w:cs="Arial"/>
          <w:lang w:eastAsia="es-CO"/>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0F64AE">
        <w:rPr>
          <w:rFonts w:ascii="Century Gothic" w:eastAsia="Calibri" w:hAnsi="Century Gothic" w:cs="Arial"/>
          <w:lang w:eastAsia="es-CO"/>
        </w:rPr>
        <w:t>─</w:t>
      </w:r>
      <w:r w:rsidRPr="000F64AE">
        <w:rPr>
          <w:rFonts w:ascii="Century Gothic" w:eastAsia="Times New Roman" w:hAnsi="Century Gothic" w:cs="Arial"/>
          <w:lang w:eastAsia="es-CO"/>
        </w:rPr>
        <w:t>con menos de 3 años de constitución</w:t>
      </w:r>
      <w:r w:rsidRPr="000F64AE">
        <w:rPr>
          <w:rFonts w:ascii="Century Gothic" w:eastAsia="Calibri" w:hAnsi="Century Gothic" w:cs="Arial"/>
          <w:lang w:eastAsia="es-CO"/>
        </w:rPr>
        <w:t>─</w:t>
      </w:r>
      <w:r w:rsidRPr="000F64AE">
        <w:rPr>
          <w:rFonts w:ascii="Century Gothic" w:eastAsia="Times New Roman" w:hAnsi="Century Gothic" w:cs="Arial"/>
          <w:lang w:eastAsia="es-CO"/>
        </w:rPr>
        <w:t xml:space="preserve">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D7D3B4A" w14:textId="77777777" w:rsidR="000F64AE" w:rsidRPr="000F64AE" w:rsidRDefault="000F64AE" w:rsidP="000F64AE">
      <w:pPr>
        <w:spacing w:before="120" w:after="12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 xml:space="preserve">La finalidad de esta norma es permitir que las sociedades que no cuentan con la experiencia suficiente para contratar con el Estado puedan apoyarse en la experiencia de sus accionistas, socios o constituyentes con el fin de incentivar la </w:t>
      </w:r>
      <w:r w:rsidRPr="000F64AE">
        <w:rPr>
          <w:rFonts w:ascii="Century Gothic" w:eastAsia="Times New Roman" w:hAnsi="Century Gothic" w:cs="Arial"/>
          <w:lang w:eastAsia="es-CO"/>
        </w:rPr>
        <w:lastRenderedPageBreak/>
        <w:t>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33"/>
    <w:p w14:paraId="78586BDB" w14:textId="77777777" w:rsidR="000F64AE" w:rsidRPr="000F64AE" w:rsidRDefault="000F64AE" w:rsidP="000F64AE">
      <w:pPr>
        <w:spacing w:before="120" w:after="12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 xml:space="preserve">Asimismo, esta Agencia ha indicado que la persona jurídica que tenga más de tres años de constituida y haya registrado inicialmente la experiencia de sus socios en el RUP </w:t>
      </w:r>
      <w:r w:rsidRPr="000F64AE">
        <w:rPr>
          <w:rFonts w:ascii="Century Gothic" w:eastAsia="Calibri" w:hAnsi="Century Gothic" w:cs="Arial"/>
          <w:lang w:eastAsia="es-CO"/>
        </w:rPr>
        <w:t>―</w:t>
      </w:r>
      <w:r w:rsidRPr="000F64AE">
        <w:rPr>
          <w:rFonts w:ascii="Century Gothic" w:eastAsia="Times New Roman" w:hAnsi="Century Gothic" w:cs="Arial"/>
          <w:lang w:eastAsia="es-CO"/>
        </w:rPr>
        <w:t>pues su constitución era inferior a tres años</w:t>
      </w:r>
      <w:r w:rsidRPr="000F64AE">
        <w:rPr>
          <w:rFonts w:ascii="Century Gothic" w:eastAsia="Calibri" w:hAnsi="Century Gothic" w:cs="Arial"/>
          <w:lang w:eastAsia="es-CO"/>
        </w:rPr>
        <w:t>―</w:t>
      </w:r>
      <w:r w:rsidRPr="000F64AE">
        <w:rPr>
          <w:rFonts w:ascii="Century Gothic" w:eastAsia="Times New Roman" w:hAnsi="Century Gothic" w:cs="Arial"/>
          <w:lang w:eastAsia="es-CO"/>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732EB900" w14:textId="77777777" w:rsidR="000F64AE" w:rsidRPr="000F64AE" w:rsidRDefault="000F64AE" w:rsidP="000F64AE">
      <w:pPr>
        <w:spacing w:before="120" w:after="12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Igualmente, se ha reiterado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0F64AE">
        <w:rPr>
          <w:rFonts w:ascii="Century Gothic" w:eastAsia="Times New Roman" w:hAnsi="Century Gothic" w:cs="Arial"/>
          <w:vertAlign w:val="superscript"/>
          <w:lang w:eastAsia="es-CO"/>
        </w:rPr>
        <w:footnoteReference w:id="29"/>
      </w:r>
      <w:r w:rsidRPr="000F64AE">
        <w:rPr>
          <w:rFonts w:ascii="Century Gothic" w:eastAsia="Times New Roman" w:hAnsi="Century Gothic" w:cs="Arial"/>
          <w:lang w:eastAsia="es-CO"/>
        </w:rPr>
        <w:t xml:space="preserve">.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 </w:t>
      </w:r>
    </w:p>
    <w:p w14:paraId="627C2C5C" w14:textId="77777777" w:rsidR="000F64AE" w:rsidRPr="000F64AE" w:rsidRDefault="000F64AE" w:rsidP="000F64AE">
      <w:pPr>
        <w:spacing w:before="120" w:after="12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50BEACE6" w14:textId="77777777" w:rsidR="000F64AE" w:rsidRPr="000F64AE" w:rsidRDefault="000F64AE" w:rsidP="000F64AE">
      <w:pPr>
        <w:spacing w:after="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lastRenderedPageBreak/>
        <w:t>Lo anterior, tiene fundamento en la Circular Única de la Superintendencia de Industria y Comercio, en el numeral 4.2, sobre el procedimiento para llevar el Registro Único de Proponentes, que establece:</w:t>
      </w:r>
    </w:p>
    <w:p w14:paraId="3DFBC77A" w14:textId="77777777" w:rsidR="000F64AE" w:rsidRPr="000F64AE" w:rsidRDefault="000F64AE" w:rsidP="000F64AE">
      <w:pPr>
        <w:spacing w:after="0" w:line="276" w:lineRule="auto"/>
        <w:ind w:left="360"/>
        <w:contextualSpacing/>
        <w:jc w:val="both"/>
        <w:rPr>
          <w:rFonts w:ascii="Century Gothic" w:eastAsia="Times New Roman" w:hAnsi="Century Gothic" w:cs="Arial"/>
          <w:lang w:val="es-ES" w:eastAsia="es-CO"/>
        </w:rPr>
      </w:pPr>
    </w:p>
    <w:p w14:paraId="7F205794" w14:textId="77777777" w:rsidR="000F64AE" w:rsidRPr="000F64AE" w:rsidRDefault="000F64AE" w:rsidP="000F64AE">
      <w:pPr>
        <w:spacing w:after="0" w:line="240" w:lineRule="auto"/>
        <w:ind w:left="709" w:right="709"/>
        <w:contextualSpacing/>
        <w:jc w:val="both"/>
        <w:rPr>
          <w:rFonts w:ascii="Century Gothic" w:eastAsia="Times New Roman" w:hAnsi="Century Gothic" w:cs="Arial"/>
          <w:sz w:val="21"/>
          <w:szCs w:val="21"/>
          <w:lang w:val="es-ES" w:eastAsia="es-CO"/>
        </w:rPr>
      </w:pPr>
      <w:r w:rsidRPr="000F64AE">
        <w:rPr>
          <w:rFonts w:ascii="Century Gothic" w:eastAsia="Times New Roman" w:hAnsi="Century Gothic" w:cs="Arial"/>
          <w:sz w:val="21"/>
          <w:szCs w:val="21"/>
          <w:lang w:val="es-ES" w:eastAsia="es-CO"/>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16CCB4D1" w14:textId="77777777" w:rsidR="000F64AE" w:rsidRPr="000F64AE" w:rsidRDefault="000F64AE" w:rsidP="000F64AE">
      <w:pPr>
        <w:spacing w:after="0" w:line="276" w:lineRule="auto"/>
        <w:ind w:left="360" w:right="709"/>
        <w:contextualSpacing/>
        <w:jc w:val="both"/>
        <w:rPr>
          <w:rFonts w:ascii="Century Gothic" w:eastAsia="Times New Roman" w:hAnsi="Century Gothic" w:cs="Arial"/>
          <w:sz w:val="21"/>
          <w:szCs w:val="21"/>
          <w:lang w:val="es-ES" w:eastAsia="es-CO"/>
        </w:rPr>
      </w:pPr>
    </w:p>
    <w:p w14:paraId="464166B4" w14:textId="77777777" w:rsidR="000F64AE" w:rsidRPr="000F64AE" w:rsidRDefault="000F64AE" w:rsidP="000F64AE">
      <w:pPr>
        <w:spacing w:after="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560DEABF" w14:textId="77777777" w:rsidR="000F64AE" w:rsidRPr="000F64AE" w:rsidRDefault="000F64AE" w:rsidP="000F64AE">
      <w:pPr>
        <w:spacing w:before="120" w:after="12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w:t>
      </w:r>
    </w:p>
    <w:p w14:paraId="6EF375AE" w14:textId="77777777" w:rsidR="000F64AE" w:rsidRPr="000F64AE" w:rsidRDefault="000F64AE" w:rsidP="000F64AE">
      <w:pPr>
        <w:spacing w:before="120" w:after="12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 xml:space="preserve">En línea con lo anterior, el numeral 2.5. del artículo 2.2.1.1.1.5.2 del Decreto 1082 de 2015 consagra, como se dijo, una prerrogativa para las sociedades nuevas, que busca fomentar la competencia de </w:t>
      </w:r>
      <w:proofErr w:type="gramStart"/>
      <w:r w:rsidRPr="000F64AE">
        <w:rPr>
          <w:rFonts w:ascii="Century Gothic" w:eastAsia="Times New Roman" w:hAnsi="Century Gothic" w:cs="Arial"/>
          <w:lang w:eastAsia="es-CO"/>
        </w:rPr>
        <w:t>las mismas</w:t>
      </w:r>
      <w:proofErr w:type="gramEnd"/>
      <w:r w:rsidRPr="000F64AE">
        <w:rPr>
          <w:rFonts w:ascii="Century Gothic" w:eastAsia="Times New Roman" w:hAnsi="Century Gothic" w:cs="Arial"/>
          <w:lang w:eastAsia="es-CO"/>
        </w:rPr>
        <w:t xml:space="preserve">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w:t>
      </w:r>
    </w:p>
    <w:p w14:paraId="0CF67B51" w14:textId="77777777" w:rsidR="000F64AE" w:rsidRPr="000F64AE" w:rsidRDefault="000F64AE" w:rsidP="00A974F5">
      <w:pPr>
        <w:spacing w:before="120" w:after="120" w:line="276" w:lineRule="auto"/>
        <w:ind w:firstLine="708"/>
        <w:jc w:val="both"/>
        <w:rPr>
          <w:rFonts w:ascii="Century Gothic" w:eastAsia="Times New Roman" w:hAnsi="Century Gothic" w:cs="Arial"/>
          <w:lang w:eastAsia="es-CO"/>
        </w:rPr>
      </w:pPr>
      <w:r w:rsidRPr="000F64AE">
        <w:rPr>
          <w:rFonts w:ascii="Century Gothic" w:eastAsia="Times New Roman" w:hAnsi="Century Gothic" w:cs="Arial"/>
          <w:lang w:eastAsia="es-CO"/>
        </w:rPr>
        <w:t xml:space="preserve">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en aquellos procesos que en principio no requieren de la presentación del RUP para verificar requisitos habilitantes, así haya vencido los 3 años de constitución, siempre </w:t>
      </w:r>
      <w:r w:rsidRPr="000F64AE">
        <w:rPr>
          <w:rFonts w:ascii="Century Gothic" w:eastAsia="Times New Roman" w:hAnsi="Century Gothic" w:cs="Arial"/>
          <w:lang w:eastAsia="es-CO"/>
        </w:rPr>
        <w:lastRenderedPageBreak/>
        <w:t>que no hayan cesado los efectos del RUP por el incumplimiento del deber de renovación.</w:t>
      </w:r>
    </w:p>
    <w:p w14:paraId="66E58380" w14:textId="77777777" w:rsidR="000F64AE" w:rsidRPr="000F64AE" w:rsidRDefault="000F64AE" w:rsidP="00A974F5">
      <w:pPr>
        <w:tabs>
          <w:tab w:val="left" w:pos="709"/>
        </w:tabs>
        <w:spacing w:after="120" w:line="276" w:lineRule="auto"/>
        <w:jc w:val="both"/>
        <w:rPr>
          <w:rFonts w:ascii="Century Gothic" w:eastAsia="Calibri" w:hAnsi="Century Gothic" w:cs="Arial"/>
          <w:lang w:eastAsia="es-CO"/>
        </w:rPr>
      </w:pPr>
      <w:r w:rsidRPr="000F64AE">
        <w:rPr>
          <w:rFonts w:ascii="Century Gothic" w:eastAsia="Calibri" w:hAnsi="Century Gothic" w:cs="Arial"/>
          <w:lang w:eastAsia="es-CO"/>
        </w:rPr>
        <w:tab/>
        <w:t xml:space="preserve">Lo anterior implica que, una vez en firme la inscripción, actualización o renovación en el marco del cual una sociedad con menos de tres años de constitución presenta certificados de experiencia adquirida por sus socios o constituyentes, de acuerdo con el numeral 2.5 del artículo 2.2.1.1.1.5.2 del Decreto 1082 de 2015, dicha experiencia queda consolidada en el RUP de la persona jurídica quien por el efecto de la prerrogativa podrá acreditar esa experiencia como propia, mientras no cesen los efectos del RUP por su no renovación. De esta manera la experiencia inscrita de acuerdo con la referida prerrogativa podrá ser acreditada en procesos de selección mediante el respectivo RUP, con efectos de plena prueba de las circunstancias de las que en el constan. En ese orden de ideas, en procesos de selección donde el RUP no es exigible por excepción de la Ley, </w:t>
      </w:r>
      <w:r w:rsidRPr="000F64AE">
        <w:rPr>
          <w:rFonts w:ascii="Century Gothic" w:eastAsia="Times New Roman" w:hAnsi="Century Gothic" w:cs="Arial"/>
          <w:lang w:eastAsia="es-CO"/>
        </w:rPr>
        <w:t xml:space="preserve">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entidades con régimen especial de contratación, podrá hacerse válida </w:t>
      </w:r>
      <w:r w:rsidRPr="000F64AE">
        <w:rPr>
          <w:rFonts w:ascii="Century Gothic" w:eastAsia="Calibri" w:hAnsi="Century Gothic" w:cs="Arial"/>
          <w:lang w:eastAsia="es-CO"/>
        </w:rPr>
        <w:t xml:space="preserve">la experiencia de los </w:t>
      </w:r>
      <w:r w:rsidRPr="000F64AE">
        <w:rPr>
          <w:rFonts w:ascii="Century Gothic" w:eastAsia="Times New Roman" w:hAnsi="Century Gothic" w:cs="Arial"/>
          <w:lang w:eastAsia="es-CO"/>
        </w:rPr>
        <w:t>socios, accionistas o constituyentes a nombre de la</w:t>
      </w:r>
      <w:r w:rsidRPr="000F64AE">
        <w:rPr>
          <w:rFonts w:ascii="Century Gothic" w:eastAsia="Calibri" w:hAnsi="Century Gothic" w:cs="Arial"/>
          <w:lang w:eastAsia="es-CO"/>
        </w:rPr>
        <w:t xml:space="preserve"> persona jurídica quien por el efecto de la prerrogativa acredita esa experiencia como propia, siempre y cuando la Entidad Estatal verifique en el RUP que no han cesado sus efectos por la no renovación de este registro. </w:t>
      </w:r>
    </w:p>
    <w:p w14:paraId="0DF2C4BB" w14:textId="77777777" w:rsidR="000F64AE" w:rsidRPr="000F64AE" w:rsidRDefault="000F64AE" w:rsidP="000F64AE">
      <w:pPr>
        <w:tabs>
          <w:tab w:val="left" w:pos="709"/>
        </w:tabs>
        <w:spacing w:after="240" w:line="276" w:lineRule="auto"/>
        <w:jc w:val="both"/>
        <w:rPr>
          <w:rFonts w:ascii="Century Gothic" w:eastAsia="Calibri" w:hAnsi="Century Gothic" w:cs="Arial"/>
          <w:lang w:eastAsia="es-CO"/>
        </w:rPr>
      </w:pPr>
      <w:r w:rsidRPr="000F64AE">
        <w:rPr>
          <w:rFonts w:ascii="Century Gothic" w:eastAsia="Calibri" w:hAnsi="Century Gothic" w:cs="Arial"/>
          <w:lang w:eastAsia="es-CO"/>
        </w:rPr>
        <w:tab/>
        <w:t xml:space="preserve">De esta manera, en los procesos de contratación que no es exigible ni obligatoria la presentación del RUP para acreditar requisitos habilitantes, deberán los proponentes aportar su RUP, además de los otros requisitos establecidos en el pliego de condiciones o invitación para acreditar requisitos habilitantes, con el fin de que las Entidades Estatales puedan validar la experiencia de los </w:t>
      </w:r>
      <w:r w:rsidRPr="000F64AE">
        <w:rPr>
          <w:rFonts w:ascii="Century Gothic" w:eastAsia="Times New Roman" w:hAnsi="Century Gothic" w:cs="Arial"/>
          <w:lang w:eastAsia="es-CO"/>
        </w:rPr>
        <w:t>socios, accionistas o constituyentes a nombre de la</w:t>
      </w:r>
      <w:r w:rsidRPr="000F64AE">
        <w:rPr>
          <w:rFonts w:ascii="Century Gothic" w:eastAsia="Calibri" w:hAnsi="Century Gothic" w:cs="Arial"/>
          <w:lang w:eastAsia="es-CO"/>
        </w:rPr>
        <w:t xml:space="preserve"> persona jurídica, quien por el efecto de la prerrogativa del numeral 2.5 del artículo 2.2.1.1.1.5.2 del Decreto 1082 de 2015, acredita esa experiencia como propia, siempre y cuando el RUP no se haya dejado de renovar a tiempo, pues en este caso, la norma estableció una tarifa legal probatoria en el RUP para la acreditación de dicha experiencia, sin distinción en su trámite frente a las distintas modalidades de selección de contratistas.</w:t>
      </w:r>
    </w:p>
    <w:p w14:paraId="3571FDBF" w14:textId="77777777" w:rsidR="000F64AE" w:rsidRPr="000F64AE" w:rsidRDefault="000F64AE" w:rsidP="000F64AE">
      <w:pPr>
        <w:spacing w:before="120" w:after="120" w:line="276" w:lineRule="auto"/>
        <w:jc w:val="both"/>
        <w:rPr>
          <w:rFonts w:ascii="Century Gothic" w:eastAsia="Calibri" w:hAnsi="Century Gothic" w:cs="Arial"/>
          <w:b/>
          <w:bCs/>
          <w:lang w:eastAsia="es-CO"/>
        </w:rPr>
      </w:pPr>
      <w:r w:rsidRPr="000F64AE">
        <w:rPr>
          <w:rFonts w:ascii="Century Gothic" w:eastAsia="Calibri" w:hAnsi="Century Gothic" w:cs="Arial"/>
          <w:b/>
          <w:bCs/>
          <w:color w:val="000000" w:themeColor="text1"/>
          <w:lang w:val="es-ES" w:eastAsia="es-MX"/>
        </w:rPr>
        <w:t>2.7.</w:t>
      </w:r>
      <w:r w:rsidRPr="000F64AE">
        <w:rPr>
          <w:rFonts w:ascii="Century Gothic" w:eastAsia="Calibri" w:hAnsi="Century Gothic" w:cs="Arial"/>
          <w:b/>
          <w:bCs/>
          <w:color w:val="000000" w:themeColor="text1"/>
          <w:lang w:val="es-ES" w:eastAsia="es-MX"/>
        </w:rPr>
        <w:tab/>
        <w:t>Limitación a MiPymes en los Procesos de Contratación adelantados bajo la modalidad de mínima cuantía y la no exigencia de garantía de seriedad de la oferta</w:t>
      </w:r>
    </w:p>
    <w:p w14:paraId="71204A9F" w14:textId="77777777" w:rsidR="000F64AE" w:rsidRPr="000F64AE" w:rsidRDefault="000F64AE" w:rsidP="000F64AE">
      <w:pPr>
        <w:tabs>
          <w:tab w:val="left" w:pos="709"/>
        </w:tabs>
        <w:spacing w:after="120" w:line="276" w:lineRule="auto"/>
        <w:jc w:val="both"/>
        <w:rPr>
          <w:rFonts w:ascii="Century Gothic" w:eastAsia="Calibri" w:hAnsi="Century Gothic" w:cs="Arial"/>
          <w:bCs/>
          <w:color w:val="000000"/>
          <w:lang w:val="es-ES_tradnl" w:eastAsia="es-CO"/>
        </w:rPr>
      </w:pPr>
      <w:r w:rsidRPr="000F64AE">
        <w:rPr>
          <w:rFonts w:ascii="Century Gothic" w:eastAsia="Calibri" w:hAnsi="Century Gothic" w:cs="Arial"/>
          <w:bCs/>
          <w:color w:val="000000"/>
          <w:lang w:val="es-ES_tradnl" w:eastAsia="es-CO"/>
        </w:rPr>
        <w:lastRenderedPageBreak/>
        <w:t xml:space="preserve">En este punto, conviene precisar que el artículo 30 de la Ley 2069 de 2020 modificó el numeral 5 del artículo 2 de la Ley 1150 de 2007, el cual regula la mínima cuantía. En esta modalidad de selección, la </w:t>
      </w:r>
      <w:r w:rsidRPr="000F64AE">
        <w:rPr>
          <w:rFonts w:ascii="Century Gothic" w:eastAsia="Calibri" w:hAnsi="Century Gothic" w:cs="Arial"/>
          <w:bCs/>
          <w:i/>
          <w:iCs/>
          <w:color w:val="000000"/>
          <w:lang w:val="es-ES_tradnl" w:eastAsia="es-CO"/>
        </w:rPr>
        <w:t>Entidad Estatal</w:t>
      </w:r>
      <w:r w:rsidRPr="000F64AE">
        <w:rPr>
          <w:rFonts w:ascii="Century Gothic" w:eastAsia="Calibri" w:hAnsi="Century Gothic" w:cs="Arial"/>
          <w:bCs/>
          <w:color w:val="000000"/>
          <w:lang w:val="es-ES_tradnl" w:eastAsia="es-CO"/>
        </w:rPr>
        <w:t xml:space="preserve"> realiza una convocatoria pública para recibir ofertas de bienes o servicios cuyo valor no excede el diez por ciento –10%– de la menor cuantía. Fue creada por el artículo 274 de la Ley 1450 de 2011 y modificada por </w:t>
      </w:r>
      <w:bookmarkStart w:id="34" w:name="_Hlk69566698"/>
      <w:r w:rsidRPr="000F64AE">
        <w:rPr>
          <w:rFonts w:ascii="Century Gothic" w:eastAsia="Calibri" w:hAnsi="Century Gothic" w:cs="Arial"/>
          <w:bCs/>
          <w:color w:val="000000"/>
          <w:lang w:val="es-ES_tradnl" w:eastAsia="es-CO"/>
        </w:rPr>
        <w:t>el artículo 94 de la Ley 1474 de 2011</w:t>
      </w:r>
      <w:bookmarkEnd w:id="34"/>
      <w:r w:rsidRPr="000F64AE">
        <w:rPr>
          <w:rFonts w:ascii="Century Gothic" w:eastAsia="Calibri" w:hAnsi="Century Gothic" w:cs="Arial"/>
          <w:bCs/>
          <w:color w:val="000000"/>
          <w:lang w:val="es-ES_tradnl" w:eastAsia="es-CO"/>
        </w:rPr>
        <w:t xml:space="preserve">, disponiendo que el factor determinante para adelantarla es el valor del presupuesto oficial con independencia de su objeto. Por lo demás, como en este procedimiento el contrato se perfecciona con la aceptación de la oferta, se considera un sucedáneo de los denominados </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contratos sin formalidades plenas</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vertAlign w:val="superscript"/>
          <w:lang w:val="es-ES_tradnl" w:eastAsia="es-CO"/>
        </w:rPr>
        <w:footnoteReference w:id="30"/>
      </w:r>
      <w:r w:rsidRPr="000F64AE">
        <w:rPr>
          <w:rFonts w:ascii="Century Gothic" w:eastAsia="Calibri" w:hAnsi="Century Gothic" w:cs="Arial"/>
          <w:bCs/>
          <w:color w:val="000000"/>
          <w:lang w:val="es-ES_tradnl" w:eastAsia="es-CO"/>
        </w:rPr>
        <w:t>.</w:t>
      </w:r>
    </w:p>
    <w:p w14:paraId="7EDBA57A" w14:textId="77777777" w:rsidR="000F64AE" w:rsidRPr="000F64AE" w:rsidRDefault="000F64AE" w:rsidP="000F64AE">
      <w:pPr>
        <w:tabs>
          <w:tab w:val="left" w:pos="709"/>
        </w:tabs>
        <w:spacing w:after="120" w:line="276" w:lineRule="auto"/>
        <w:jc w:val="both"/>
        <w:rPr>
          <w:rFonts w:ascii="Century Gothic" w:eastAsia="Calibri" w:hAnsi="Century Gothic" w:cs="Arial"/>
          <w:bCs/>
          <w:color w:val="000000"/>
          <w:lang w:val="es-ES_tradnl" w:eastAsia="es-CO"/>
        </w:rPr>
      </w:pPr>
      <w:r w:rsidRPr="000F64AE">
        <w:rPr>
          <w:rFonts w:ascii="Century Gothic" w:eastAsia="Calibri" w:hAnsi="Century Gothic" w:cs="Arial"/>
          <w:bCs/>
          <w:color w:val="000000"/>
          <w:lang w:val="es-ES_tradnl" w:eastAsia="es-CO"/>
        </w:rPr>
        <w:tab/>
        <w:t>En esencia, el artículo 30 de la Ley 2069 de 2020 conserva a grandes rasgos el procedimiento previsto en el derogado artículo 94 de la Ley 1474 de 2011, el cual define los aspectos generales del procedimiento contractual</w:t>
      </w:r>
      <w:r w:rsidRPr="000F64AE">
        <w:rPr>
          <w:rFonts w:ascii="Century Gothic" w:eastAsia="Calibri" w:hAnsi="Century Gothic" w:cs="Arial"/>
          <w:bCs/>
          <w:color w:val="000000"/>
          <w:vertAlign w:val="superscript"/>
          <w:lang w:val="es-ES_tradnl" w:eastAsia="es-CO"/>
        </w:rPr>
        <w:footnoteReference w:id="31"/>
      </w:r>
      <w:r w:rsidRPr="000F64AE">
        <w:rPr>
          <w:rFonts w:ascii="Century Gothic" w:eastAsia="Calibri" w:hAnsi="Century Gothic" w:cs="Arial"/>
          <w:bCs/>
          <w:color w:val="000000"/>
          <w:lang w:val="es-ES_tradnl" w:eastAsia="es-CO"/>
        </w:rPr>
        <w:t xml:space="preserve">. No obstante, aludiendo expresamente al desarrollo reglamentario, el parágrafo primero introduce el siguiente cambio: </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 xml:space="preserve">Las particularidades del procedimiento aquí previsto, así como la posibilidad que tengan las entidades de realizar estas adquisiciones </w:t>
      </w:r>
      <w:r w:rsidRPr="000F64AE">
        <w:rPr>
          <w:rFonts w:ascii="Century Gothic" w:eastAsia="Calibri" w:hAnsi="Century Gothic" w:cs="Arial"/>
          <w:bCs/>
          <w:i/>
          <w:iCs/>
          <w:color w:val="000000"/>
          <w:lang w:val="es-ES_tradnl" w:eastAsia="es-CO"/>
        </w:rPr>
        <w:t xml:space="preserve">a </w:t>
      </w:r>
      <w:proofErr w:type="spellStart"/>
      <w:r w:rsidRPr="000F64AE">
        <w:rPr>
          <w:rFonts w:ascii="Century Gothic" w:eastAsia="Calibri" w:hAnsi="Century Gothic" w:cs="Arial"/>
          <w:bCs/>
          <w:i/>
          <w:iCs/>
          <w:color w:val="000000"/>
          <w:lang w:val="es-ES_tradnl" w:eastAsia="es-CO"/>
        </w:rPr>
        <w:t>Mipymes</w:t>
      </w:r>
      <w:proofErr w:type="spellEnd"/>
      <w:r w:rsidRPr="000F64AE">
        <w:rPr>
          <w:rFonts w:ascii="Century Gothic" w:eastAsia="Calibri" w:hAnsi="Century Gothic" w:cs="Arial"/>
          <w:bCs/>
          <w:color w:val="000000"/>
          <w:lang w:val="es-ES_tradnl" w:eastAsia="es-CO"/>
        </w:rPr>
        <w:t xml:space="preserve"> o establecimientos que correspondan a la definición de "gran almacén" señalada por la Superintendencia de Industria y Comercio, se determinarán en el reglamento que para el efecto expida el Gobierno Nacional</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 xml:space="preserve"> (Énfasis fuera de texto). </w:t>
      </w:r>
    </w:p>
    <w:p w14:paraId="4B6832EE" w14:textId="77777777" w:rsidR="000F64AE" w:rsidRPr="000F64AE" w:rsidRDefault="000F64AE" w:rsidP="000F64AE">
      <w:pPr>
        <w:tabs>
          <w:tab w:val="left" w:pos="709"/>
        </w:tabs>
        <w:spacing w:after="120" w:line="276" w:lineRule="auto"/>
        <w:jc w:val="both"/>
        <w:rPr>
          <w:rFonts w:ascii="Century Gothic" w:eastAsia="Calibri" w:hAnsi="Century Gothic" w:cs="Arial"/>
          <w:bCs/>
          <w:color w:val="000000"/>
          <w:lang w:val="es-ES_tradnl" w:eastAsia="es-CO"/>
        </w:rPr>
      </w:pPr>
      <w:r w:rsidRPr="000F64AE">
        <w:rPr>
          <w:rFonts w:ascii="Century Gothic" w:eastAsia="Calibri" w:hAnsi="Century Gothic" w:cs="Arial"/>
          <w:bCs/>
          <w:color w:val="000000"/>
          <w:lang w:val="es-ES_tradnl" w:eastAsia="es-CO"/>
        </w:rPr>
        <w:tab/>
        <w:t xml:space="preserve">Esta modificación es importante, pues antes de la Ley de Emprendimiento era imposible limitar a </w:t>
      </w:r>
      <w:proofErr w:type="spellStart"/>
      <w:r w:rsidRPr="000F64AE">
        <w:rPr>
          <w:rFonts w:ascii="Century Gothic" w:eastAsia="Calibri" w:hAnsi="Century Gothic" w:cs="Arial"/>
          <w:bCs/>
          <w:color w:val="000000"/>
          <w:lang w:val="es-ES_tradnl" w:eastAsia="es-CO"/>
        </w:rPr>
        <w:t>Mipyme</w:t>
      </w:r>
      <w:proofErr w:type="spellEnd"/>
      <w:r w:rsidRPr="000F64AE">
        <w:rPr>
          <w:rFonts w:ascii="Century Gothic" w:eastAsia="Calibri" w:hAnsi="Century Gothic" w:cs="Arial"/>
          <w:bCs/>
          <w:color w:val="000000"/>
          <w:lang w:val="es-ES_tradnl" w:eastAsia="es-CO"/>
        </w:rPr>
        <w:t xml:space="preserve"> la mínima cuantía, especialmente, cuando el artículo 94 la Ley 1474 de 2011 disponía que no era aplicable la Ley 816 de 2003, </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 xml:space="preserve">Por medio de la cual se apoya a la industria nacional a través de la contratación </w:t>
      </w:r>
      <w:r w:rsidRPr="000F64AE">
        <w:rPr>
          <w:rFonts w:ascii="Century Gothic" w:eastAsia="Calibri" w:hAnsi="Century Gothic" w:cs="Arial"/>
          <w:bCs/>
          <w:color w:val="000000"/>
          <w:lang w:val="es-ES_tradnl" w:eastAsia="es-CO"/>
        </w:rPr>
        <w:lastRenderedPageBreak/>
        <w:t>pública</w:t>
      </w:r>
      <w:r w:rsidRPr="000F64AE">
        <w:rPr>
          <w:rFonts w:ascii="Century Gothic" w:eastAsia="Calibri" w:hAnsi="Century Gothic" w:cs="Arial"/>
          <w:i/>
          <w:iCs/>
          <w:color w:val="000000"/>
          <w:lang w:val="es-ES_tradnl" w:eastAsia="es-CO"/>
        </w:rPr>
        <w:t>”</w:t>
      </w:r>
      <w:r w:rsidRPr="000F64AE">
        <w:rPr>
          <w:rFonts w:ascii="Century Gothic" w:eastAsia="Calibri" w:hAnsi="Century Gothic" w:cs="Arial"/>
          <w:color w:val="000000"/>
          <w:lang w:val="es-ES_tradnl" w:eastAsia="es-CO"/>
        </w:rPr>
        <w:t xml:space="preserve">, ni </w:t>
      </w:r>
      <w:r w:rsidRPr="000F64AE">
        <w:rPr>
          <w:rFonts w:ascii="Century Gothic" w:eastAsia="Calibri" w:hAnsi="Century Gothic" w:cs="Arial"/>
          <w:bCs/>
          <w:color w:val="000000"/>
          <w:lang w:val="es-ES_tradnl" w:eastAsia="es-CO"/>
        </w:rPr>
        <w:t xml:space="preserve">el artículo 12 de la Ley 1150 de 2007, relacionado con la promoción del desarrollo en la contratación pública. A partir de la expedición del artículo 30, parágrafo 2, de la Ley 2069 de 2020, </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La contratación a que se refiere el presente artículo se realizará exclusivamente con las reglas en él contempladas y en su reglamentación. En particular no se aplicará lo previsto en la Ley 816 de 2003</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 xml:space="preserve">. Es decir, al no prohibir la aplicación del artículo 12 de la Ley 1150 de 2007, la norma –además de reiterar la importancia de su reglamentación posterior– permite las convocatorias limitadas a MiPymes en esta modalidad de selección. Como se observa, el parágrafo 1 del artículo 30 de la Ley 2069 de 2020 dispone que el reglamento es importante para regular: i) las </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particularidades del procedimiento de selección</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 xml:space="preserve"> y ii) la posibilidad de realizar estas adquisiciones a MiPymes o establecimientos que correspondan a la definición de </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gran almacén</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w:t>
      </w:r>
    </w:p>
    <w:p w14:paraId="7776A6CE" w14:textId="77777777" w:rsidR="000F64AE" w:rsidRPr="000F64AE" w:rsidRDefault="000F64AE" w:rsidP="000F64AE">
      <w:pPr>
        <w:tabs>
          <w:tab w:val="left" w:pos="709"/>
        </w:tabs>
        <w:spacing w:after="120" w:line="276" w:lineRule="auto"/>
        <w:ind w:firstLine="709"/>
        <w:jc w:val="both"/>
        <w:rPr>
          <w:rFonts w:ascii="Century Gothic" w:eastAsia="Calibri" w:hAnsi="Century Gothic" w:cs="Arial"/>
          <w:bCs/>
          <w:color w:val="000000"/>
          <w:lang w:val="es-ES_tradnl" w:eastAsia="es-CO"/>
        </w:rPr>
      </w:pPr>
      <w:r w:rsidRPr="000F64AE">
        <w:rPr>
          <w:rFonts w:ascii="Century Gothic" w:eastAsia="Calibri" w:hAnsi="Century Gothic" w:cs="Arial"/>
          <w:bCs/>
          <w:color w:val="000000"/>
          <w:lang w:val="es-ES_tradnl" w:eastAsia="es-CO"/>
        </w:rPr>
        <w:t xml:space="preserve">Con fundamento en lo anterior, </w:t>
      </w:r>
      <w:r w:rsidRPr="000F64AE">
        <w:rPr>
          <w:rFonts w:ascii="Century Gothic" w:eastAsia="Calibri" w:hAnsi="Century Gothic" w:cs="Arial"/>
          <w:color w:val="000000"/>
          <w:lang w:val="es-ES_tradnl" w:eastAsia="es-CO"/>
        </w:rPr>
        <w:t xml:space="preserve">el Gobierno Nacional expidió el Decreto 1860 del 24 de diciembre de 2021, </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 xml:space="preserve">. Entre los aspectos reglamentados por el mencionado decreto se encuentra el procedimiento de mínima cuantía. </w:t>
      </w:r>
    </w:p>
    <w:p w14:paraId="1DEA1E94" w14:textId="77777777" w:rsidR="000F64AE" w:rsidRPr="000F64AE" w:rsidRDefault="000F64AE" w:rsidP="000F64AE">
      <w:pPr>
        <w:tabs>
          <w:tab w:val="left" w:pos="709"/>
        </w:tabs>
        <w:spacing w:after="120" w:line="276" w:lineRule="auto"/>
        <w:ind w:firstLine="709"/>
        <w:jc w:val="both"/>
        <w:rPr>
          <w:rFonts w:ascii="Century Gothic" w:eastAsia="Calibri" w:hAnsi="Century Gothic" w:cs="Arial"/>
          <w:bCs/>
          <w:color w:val="000000"/>
          <w:lang w:val="es-ES_tradnl" w:eastAsia="es-CO"/>
        </w:rPr>
      </w:pPr>
      <w:r w:rsidRPr="000F64AE">
        <w:rPr>
          <w:rFonts w:ascii="Century Gothic" w:eastAsia="Calibri" w:hAnsi="Century Gothic" w:cs="Arial"/>
          <w:bCs/>
          <w:color w:val="000000"/>
          <w:lang w:val="es-ES_tradnl" w:eastAsia="es-CO"/>
        </w:rPr>
        <w:t xml:space="preserve">Así las cosas, el artículo 2 modificó la Subsección 5 de la Sección 1 del Capítulo 2 del Título 1 de la Parte 2 del Libro 2 del Decreto 1082 de 2015, que se titula </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mínima cuantía</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 xml:space="preserve">, por lo que reglamenta esta modalidad de selección con fundamento en lo establecido en el artículo 30 de la Ley 2069 de 2020. Teniendo en cuenta lo anterior, la nueva Subsección 5 a que se hizo referencia contiene los siguientes artículos: i) 2.2.1.2.1.5.1. que se ocupa de desarrollar el contenido de los estudios previos para la contratación de mínima cuantía. ii) 2.2.1.2.1.5.2. que contiene el procedimiento general de la mínima cuantía, señalando el contenido mínimo de la </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invitación</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 xml:space="preserve"> y las distintas etapas y reglas que estructuran esta modalidad de selección, incluyendo la forma en que procederán las convocatorias limitadas a </w:t>
      </w:r>
      <w:proofErr w:type="spellStart"/>
      <w:r w:rsidRPr="000F64AE">
        <w:rPr>
          <w:rFonts w:ascii="Century Gothic" w:eastAsia="Calibri" w:hAnsi="Century Gothic" w:cs="Arial"/>
          <w:bCs/>
          <w:color w:val="000000"/>
          <w:lang w:val="es-ES_tradnl" w:eastAsia="es-CO"/>
        </w:rPr>
        <w:t>Mipyme</w:t>
      </w:r>
      <w:proofErr w:type="spellEnd"/>
      <w:r w:rsidRPr="000F64AE">
        <w:rPr>
          <w:rFonts w:ascii="Century Gothic" w:eastAsia="Calibri" w:hAnsi="Century Gothic" w:cs="Arial"/>
          <w:bCs/>
          <w:color w:val="000000"/>
          <w:lang w:val="es-ES_tradnl" w:eastAsia="es-CO"/>
        </w:rPr>
        <w:t xml:space="preserve">, de acuerdo con el mandato del parágrafo 1 del artículo 30 de la Ley 2069 de 2020. iii) 2.2.1.2.1.5.3. que regula un procedimiento especial para las adquisiciones en grandes almacenes cuando se trate de mínima cuantía. </w:t>
      </w:r>
      <w:proofErr w:type="spellStart"/>
      <w:r w:rsidRPr="000F64AE">
        <w:rPr>
          <w:rFonts w:ascii="Century Gothic" w:eastAsia="Calibri" w:hAnsi="Century Gothic" w:cs="Arial"/>
          <w:bCs/>
          <w:color w:val="000000"/>
          <w:lang w:val="es-ES_tradnl" w:eastAsia="es-CO"/>
        </w:rPr>
        <w:t>iv</w:t>
      </w:r>
      <w:proofErr w:type="spellEnd"/>
      <w:r w:rsidRPr="000F64AE">
        <w:rPr>
          <w:rFonts w:ascii="Century Gothic" w:eastAsia="Calibri" w:hAnsi="Century Gothic" w:cs="Arial"/>
          <w:bCs/>
          <w:color w:val="000000"/>
          <w:lang w:val="es-ES_tradnl" w:eastAsia="es-CO"/>
        </w:rPr>
        <w:t xml:space="preserve">)  2.2.1.2.1.5.4. el cual establece la posibilidad de la Agencia Nacional de Contratación Pública – Colombia Compra Eficiente defina las reglas para la utilización de instrumentos de agregación de demanda en la Tienda Virtual del Estado Colombiano para adquisiciones hasta el monto de la mínima cuantía con </w:t>
      </w:r>
      <w:proofErr w:type="spellStart"/>
      <w:r w:rsidRPr="000F64AE">
        <w:rPr>
          <w:rFonts w:ascii="Century Gothic" w:eastAsia="Calibri" w:hAnsi="Century Gothic" w:cs="Arial"/>
          <w:bCs/>
          <w:color w:val="000000"/>
          <w:lang w:val="es-ES_tradnl" w:eastAsia="es-CO"/>
        </w:rPr>
        <w:t>Mipyme</w:t>
      </w:r>
      <w:proofErr w:type="spellEnd"/>
      <w:r w:rsidRPr="000F64AE">
        <w:rPr>
          <w:rFonts w:ascii="Century Gothic" w:eastAsia="Calibri" w:hAnsi="Century Gothic" w:cs="Arial"/>
          <w:bCs/>
          <w:color w:val="000000"/>
          <w:lang w:val="es-ES_tradnl" w:eastAsia="es-CO"/>
        </w:rPr>
        <w:t xml:space="preserve"> y con grandes almacenes. Y v) 2.2.1.2.1.5.5. el cual establece que la </w:t>
      </w:r>
      <w:r w:rsidRPr="000F64AE">
        <w:rPr>
          <w:rFonts w:ascii="Century Gothic" w:eastAsia="Calibri" w:hAnsi="Century Gothic" w:cs="Arial"/>
          <w:bCs/>
          <w:i/>
          <w:iCs/>
          <w:color w:val="000000"/>
          <w:lang w:val="es-ES_tradnl" w:eastAsia="es-CO"/>
        </w:rPr>
        <w:lastRenderedPageBreak/>
        <w:t>Entidad Estatal</w:t>
      </w:r>
      <w:r w:rsidRPr="000F64AE">
        <w:rPr>
          <w:rFonts w:ascii="Century Gothic" w:eastAsia="Calibri" w:hAnsi="Century Gothic" w:cs="Arial"/>
          <w:bCs/>
          <w:color w:val="000000"/>
          <w:lang w:val="es-ES_tradnl" w:eastAsia="es-CO"/>
        </w:rPr>
        <w:t xml:space="preserve"> es libre de exigir o no garantías en el proceso de selección de mínima cuantía y en la adquisición de </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grandes almacenes</w:t>
      </w:r>
      <w:r w:rsidRPr="000F64AE">
        <w:rPr>
          <w:rFonts w:ascii="Century Gothic" w:eastAsia="Calibri" w:hAnsi="Century Gothic" w:cs="Arial"/>
          <w:bCs/>
          <w:i/>
          <w:iCs/>
          <w:color w:val="000000"/>
          <w:lang w:val="es-ES_tradnl" w:eastAsia="es-CO"/>
        </w:rPr>
        <w:t>”</w:t>
      </w:r>
      <w:r w:rsidRPr="000F64AE">
        <w:rPr>
          <w:rFonts w:ascii="Century Gothic" w:eastAsia="Calibri" w:hAnsi="Century Gothic" w:cs="Arial"/>
          <w:bCs/>
          <w:color w:val="000000"/>
          <w:lang w:val="es-ES_tradnl" w:eastAsia="es-CO"/>
        </w:rPr>
        <w:t>.</w:t>
      </w:r>
    </w:p>
    <w:p w14:paraId="39A3E36A" w14:textId="77777777" w:rsidR="000F64AE" w:rsidRPr="000F64AE" w:rsidRDefault="000F64AE" w:rsidP="000F64AE">
      <w:pPr>
        <w:tabs>
          <w:tab w:val="left" w:pos="709"/>
        </w:tabs>
        <w:spacing w:after="120" w:line="276" w:lineRule="auto"/>
        <w:jc w:val="both"/>
        <w:rPr>
          <w:rFonts w:ascii="Century Gothic" w:eastAsia="Calibri" w:hAnsi="Century Gothic" w:cs="Arial"/>
          <w:color w:val="000000"/>
          <w:lang w:eastAsia="es-ES_tradnl"/>
        </w:rPr>
      </w:pPr>
      <w:r w:rsidRPr="000F64AE">
        <w:rPr>
          <w:rFonts w:ascii="Century Gothic" w:eastAsia="Calibri" w:hAnsi="Century Gothic" w:cs="Arial"/>
          <w:bCs/>
          <w:color w:val="000000"/>
          <w:lang w:val="es-ES_tradnl" w:eastAsia="es-CO"/>
        </w:rPr>
        <w:tab/>
      </w:r>
      <w:r w:rsidRPr="000F64AE">
        <w:rPr>
          <w:rFonts w:ascii="Century Gothic" w:eastAsia="Calibri" w:hAnsi="Century Gothic" w:cs="Arial"/>
          <w:color w:val="000000"/>
          <w:lang w:val="es-ES_tradnl" w:eastAsia="es-ES_tradnl"/>
        </w:rPr>
        <w:t xml:space="preserve">En efecto, a partir de las modificaciones reguladas en el Decreto 1860 de 2021, la invitación se debe publicar por un término no inferior a un (1) día hábil, para que </w:t>
      </w:r>
      <w:r w:rsidRPr="000F64AE">
        <w:rPr>
          <w:rFonts w:ascii="Century Gothic" w:eastAsia="Calibri" w:hAnsi="Century Gothic" w:cs="Arial"/>
          <w:color w:val="000000"/>
          <w:lang w:eastAsia="es-ES_tradnl"/>
        </w:rPr>
        <w:t>los interesados se informen de su contenido y formulen observaciones o comentarios.</w:t>
      </w:r>
      <w:r w:rsidRPr="000F64AE">
        <w:rPr>
          <w:rFonts w:ascii="Century Gothic" w:eastAsia="Calibri" w:hAnsi="Century Gothic" w:cs="Arial"/>
          <w:color w:val="000000"/>
          <w:lang w:val="es-ES_tradnl" w:eastAsia="es-ES_tradnl"/>
        </w:rPr>
        <w:t xml:space="preserve"> En este plazo </w:t>
      </w:r>
      <w:r w:rsidRPr="000F64AE">
        <w:rPr>
          <w:rFonts w:ascii="Century Gothic" w:eastAsia="Calibri" w:hAnsi="Century Gothic" w:cs="Arial"/>
          <w:color w:val="000000"/>
          <w:lang w:eastAsia="es-ES_tradnl"/>
        </w:rPr>
        <w:t>se podrán presentar las solicitudes para limitar la convocatoria a MiPymes colombianas, las cuales se tramitarán de conformidad a lo contemplado en el parágrafo de artículo 2.2.1.2.1.5.2. del Decreto 1082 de 2015, esto es, d</w:t>
      </w:r>
      <w:proofErr w:type="spellStart"/>
      <w:r w:rsidRPr="000F64AE">
        <w:rPr>
          <w:rFonts w:ascii="Century Gothic" w:eastAsia="Calibri" w:hAnsi="Century Gothic" w:cs="Arial"/>
          <w:color w:val="000000"/>
          <w:lang w:val="es-ES_tradnl" w:eastAsia="es-ES_tradnl"/>
        </w:rPr>
        <w:t>e</w:t>
      </w:r>
      <w:proofErr w:type="spellEnd"/>
      <w:r w:rsidRPr="000F64AE">
        <w:rPr>
          <w:rFonts w:ascii="Century Gothic" w:eastAsia="Calibri" w:hAnsi="Century Gothic" w:cs="Arial"/>
          <w:color w:val="000000"/>
          <w:lang w:val="es-ES_tradnl" w:eastAsia="es-ES_tradnl"/>
        </w:rPr>
        <w:t xml:space="preserve"> conformidad con lo prescrito en los artículos 2.2.1.2.4.2.2 a 2.2.1.2.4.2.4 del citado Decreto para la limitación a MiPymes en las otras modalidades de selección, con el único cambio de que las solicitudes para limitar el proceso a </w:t>
      </w:r>
      <w:proofErr w:type="spellStart"/>
      <w:r w:rsidRPr="000F64AE">
        <w:rPr>
          <w:rFonts w:ascii="Century Gothic" w:eastAsia="Calibri" w:hAnsi="Century Gothic" w:cs="Arial"/>
          <w:color w:val="000000"/>
          <w:lang w:val="es-ES_tradnl" w:eastAsia="es-ES_tradnl"/>
        </w:rPr>
        <w:t>MiPyme</w:t>
      </w:r>
      <w:proofErr w:type="spellEnd"/>
      <w:r w:rsidRPr="000F64AE">
        <w:rPr>
          <w:rFonts w:ascii="Century Gothic" w:eastAsia="Calibri" w:hAnsi="Century Gothic" w:cs="Arial"/>
          <w:color w:val="000000"/>
          <w:lang w:val="es-ES_tradnl" w:eastAsia="es-ES_tradnl"/>
        </w:rPr>
        <w:t xml:space="preserve"> se recibirán durante el término previsto para la publicación de la invitación. </w:t>
      </w:r>
    </w:p>
    <w:p w14:paraId="5F583691" w14:textId="77777777" w:rsidR="000F64AE" w:rsidRPr="000F64AE" w:rsidRDefault="000F64AE" w:rsidP="000F64AE">
      <w:pPr>
        <w:spacing w:after="120" w:line="276" w:lineRule="auto"/>
        <w:ind w:firstLine="709"/>
        <w:jc w:val="both"/>
        <w:rPr>
          <w:rFonts w:ascii="Century Gothic" w:eastAsia="Calibri" w:hAnsi="Century Gothic" w:cs="Arial"/>
          <w:color w:val="000000"/>
          <w:lang w:val="es-ES_tradnl" w:eastAsia="es-ES_tradnl"/>
        </w:rPr>
      </w:pPr>
      <w:r w:rsidRPr="000F64AE">
        <w:rPr>
          <w:rFonts w:ascii="Century Gothic" w:eastAsia="Calibri" w:hAnsi="Century Gothic" w:cs="Arial"/>
          <w:color w:val="000000"/>
          <w:lang w:val="es-ES_tradnl" w:eastAsia="es-ES_tradnl"/>
        </w:rPr>
        <w:t xml:space="preserve">En la invitación se deberá incluir un cronograma que tenga en cuenta los términos mínimos establecidos en el artículo </w:t>
      </w:r>
      <w:r w:rsidRPr="000F64AE">
        <w:rPr>
          <w:rFonts w:ascii="Century Gothic" w:eastAsia="Calibri" w:hAnsi="Century Gothic" w:cs="Arial"/>
          <w:bCs/>
          <w:color w:val="000000"/>
          <w:lang w:val="es-ES_tradnl" w:eastAsia="es-ES_tradnl"/>
        </w:rPr>
        <w:t>2.2.1.2.1.5.2. del Decreto 1082 de 2015</w:t>
      </w:r>
      <w:r w:rsidRPr="000F64AE">
        <w:rPr>
          <w:rFonts w:ascii="Century Gothic" w:eastAsia="Calibri" w:hAnsi="Century Gothic" w:cs="Arial"/>
          <w:color w:val="000000"/>
          <w:lang w:eastAsia="es-ES_tradnl"/>
        </w:rPr>
        <w:t xml:space="preserve">, entre ellos el momento en que publicará un aviso en el SECOP precisando si el proceso efectivamente se limitó a </w:t>
      </w:r>
      <w:proofErr w:type="spellStart"/>
      <w:r w:rsidRPr="000F64AE">
        <w:rPr>
          <w:rFonts w:ascii="Century Gothic" w:eastAsia="Calibri" w:hAnsi="Century Gothic" w:cs="Arial"/>
          <w:color w:val="000000"/>
          <w:lang w:eastAsia="es-ES_tradnl"/>
        </w:rPr>
        <w:t>MiPyme</w:t>
      </w:r>
      <w:proofErr w:type="spellEnd"/>
      <w:r w:rsidRPr="000F64AE">
        <w:rPr>
          <w:rFonts w:ascii="Century Gothic" w:eastAsia="Calibri" w:hAnsi="Century Gothic" w:cs="Arial"/>
          <w:color w:val="000000"/>
          <w:lang w:eastAsia="es-ES_tradnl"/>
        </w:rPr>
        <w:t xml:space="preserve"> o si podrá participar cualquier otro interesado y el término adicional dentro del cual los proponentes podrán presentar sus ofertas, el cual será de mínimo un (1) día hábil luego de publicado el aviso en que se informe si el proceso se limita o no a </w:t>
      </w:r>
      <w:proofErr w:type="spellStart"/>
      <w:r w:rsidRPr="000F64AE">
        <w:rPr>
          <w:rFonts w:ascii="Century Gothic" w:eastAsia="Calibri" w:hAnsi="Century Gothic" w:cs="Arial"/>
          <w:color w:val="000000"/>
          <w:lang w:eastAsia="es-ES_tradnl"/>
        </w:rPr>
        <w:t>MiPyme</w:t>
      </w:r>
      <w:proofErr w:type="spellEnd"/>
      <w:r w:rsidRPr="000F64AE">
        <w:rPr>
          <w:rFonts w:ascii="Century Gothic" w:eastAsia="Calibri" w:hAnsi="Century Gothic" w:cs="Arial"/>
          <w:color w:val="000000"/>
          <w:lang w:eastAsia="es-ES_tradnl"/>
        </w:rPr>
        <w:t>.</w:t>
      </w:r>
    </w:p>
    <w:p w14:paraId="56324971" w14:textId="77777777" w:rsidR="000F64AE" w:rsidRPr="000F64AE" w:rsidRDefault="000F64AE" w:rsidP="00A974F5">
      <w:pPr>
        <w:spacing w:after="120" w:line="276" w:lineRule="auto"/>
        <w:jc w:val="both"/>
        <w:rPr>
          <w:rFonts w:ascii="Century Gothic" w:eastAsia="Calibri" w:hAnsi="Century Gothic" w:cs="Arial"/>
          <w:color w:val="000000"/>
          <w:lang w:val="es-ES_tradnl" w:eastAsia="es-ES_tradnl"/>
        </w:rPr>
      </w:pPr>
      <w:r w:rsidRPr="000F64AE">
        <w:rPr>
          <w:rFonts w:ascii="Century Gothic" w:eastAsia="Calibri" w:hAnsi="Century Gothic" w:cs="Arial"/>
          <w:color w:val="000000"/>
          <w:lang w:val="es-ES_tradnl" w:eastAsia="es-ES_tradnl"/>
        </w:rPr>
        <w:tab/>
        <w:t xml:space="preserve">De esta forma encontramos que la limitación a </w:t>
      </w:r>
      <w:proofErr w:type="spellStart"/>
      <w:r w:rsidRPr="000F64AE">
        <w:rPr>
          <w:rFonts w:ascii="Century Gothic" w:eastAsia="Calibri" w:hAnsi="Century Gothic" w:cs="Arial"/>
          <w:color w:val="000000"/>
          <w:lang w:val="es-ES_tradnl" w:eastAsia="es-ES_tradnl"/>
        </w:rPr>
        <w:t>MiPyme</w:t>
      </w:r>
      <w:proofErr w:type="spellEnd"/>
      <w:r w:rsidRPr="000F64AE">
        <w:rPr>
          <w:rFonts w:ascii="Century Gothic" w:eastAsia="Calibri" w:hAnsi="Century Gothic" w:cs="Arial"/>
          <w:color w:val="000000"/>
          <w:lang w:val="es-ES_tradnl" w:eastAsia="es-ES_tradnl"/>
        </w:rPr>
        <w:t xml:space="preserve"> de procesos de contratación de mínima cuantía no es potestativa de la Entidad Estatal, toda vez que si se cumplen con los presupuestos establecidos en el artículo 2.2.1.2.4.2.2. del Decreto 1082 de 2015, esto es que se presenten por lo menos dos (2) solicitudes de MiPymes colombianas de mínimo un (1) año de existencia, dentro del término establecido en la invitación para limitar la convocatoria a </w:t>
      </w:r>
      <w:proofErr w:type="spellStart"/>
      <w:r w:rsidRPr="000F64AE">
        <w:rPr>
          <w:rFonts w:ascii="Century Gothic" w:eastAsia="Calibri" w:hAnsi="Century Gothic" w:cs="Arial"/>
          <w:color w:val="000000"/>
          <w:lang w:val="es-ES_tradnl" w:eastAsia="es-ES_tradnl"/>
        </w:rPr>
        <w:t>MiPyme</w:t>
      </w:r>
      <w:proofErr w:type="spellEnd"/>
      <w:r w:rsidRPr="000F64AE">
        <w:rPr>
          <w:rFonts w:ascii="Century Gothic" w:eastAsia="Calibri" w:hAnsi="Century Gothic" w:cs="Arial"/>
          <w:color w:val="000000"/>
          <w:lang w:val="es-ES_tradnl" w:eastAsia="es-ES_tradnl"/>
        </w:rPr>
        <w:t xml:space="preserve"> colombianas, y el valor del Proceso de Contratación sea menor a ciento veinticinco mil dólares de los Estados Unidos de América (US$125.000), liquidados con la tasa de cambio que para el efecto determina el Ministerio de Comercio, Industria y Turismo; la Entidad Estatal estará obligada a limitar la participación de la invitación a MiPymes. </w:t>
      </w:r>
    </w:p>
    <w:p w14:paraId="62385C0D" w14:textId="77777777" w:rsidR="000F64AE" w:rsidRPr="000F64AE" w:rsidRDefault="000F64AE" w:rsidP="00A974F5">
      <w:pPr>
        <w:spacing w:after="120" w:line="276" w:lineRule="auto"/>
        <w:ind w:firstLine="708"/>
        <w:jc w:val="both"/>
        <w:rPr>
          <w:rFonts w:ascii="Century Gothic" w:eastAsia="Times New Roman" w:hAnsi="Century Gothic" w:cs="Times New Roman"/>
          <w:lang w:eastAsia="es-CO"/>
        </w:rPr>
      </w:pPr>
      <w:r w:rsidRPr="000F64AE">
        <w:rPr>
          <w:rFonts w:ascii="Century Gothic" w:eastAsia="Times New Roman" w:hAnsi="Century Gothic" w:cs="Times New Roman"/>
          <w:lang w:eastAsia="es-CO"/>
        </w:rPr>
        <w:t>Por su parte, en lo que respecta a la potestad de exigir en los procesos de selección por mínima cuantía la garantía de seriedad de la oferta, es pertinente señalar que el artículo 2.2.1.2.1.5.5. del Decreto 1082 de 2015, indica que la Entidad Estatal es libre de exigir o no garantías en el proceso de selección de mínima cuantía y en la adquisición de "grandes almacenes".</w:t>
      </w:r>
    </w:p>
    <w:p w14:paraId="27303D0F" w14:textId="77777777" w:rsidR="000F64AE" w:rsidRPr="000F64AE" w:rsidRDefault="000F64AE" w:rsidP="000F64AE">
      <w:pPr>
        <w:spacing w:after="0" w:line="276" w:lineRule="auto"/>
        <w:ind w:firstLine="709"/>
        <w:jc w:val="both"/>
        <w:rPr>
          <w:rFonts w:ascii="Arial" w:eastAsia="Calibri" w:hAnsi="Arial" w:cs="Arial"/>
          <w:b/>
          <w:szCs w:val="24"/>
          <w:lang w:val="es-ES_tradnl" w:eastAsia="es-CO"/>
        </w:rPr>
      </w:pPr>
      <w:r w:rsidRPr="000F64AE">
        <w:rPr>
          <w:rFonts w:ascii="Century Gothic" w:eastAsia="Times New Roman" w:hAnsi="Century Gothic" w:cs="Arial"/>
          <w:color w:val="000000" w:themeColor="text1"/>
          <w:lang w:val="es-ES_tradnl" w:eastAsia="es-CO"/>
        </w:rPr>
        <w:t xml:space="preserve">Conforme lo anterior, es posible concluir que, para establecer la obligación de la </w:t>
      </w:r>
      <w:r w:rsidRPr="000F64AE">
        <w:rPr>
          <w:rFonts w:ascii="Century Gothic" w:eastAsia="Times New Roman" w:hAnsi="Century Gothic" w:cs="Arial"/>
          <w:i/>
          <w:iCs/>
          <w:color w:val="000000" w:themeColor="text1"/>
          <w:lang w:val="es-ES_tradnl" w:eastAsia="es-CO"/>
        </w:rPr>
        <w:t>Entidad Estatal</w:t>
      </w:r>
      <w:r w:rsidRPr="000F64AE">
        <w:rPr>
          <w:rFonts w:ascii="Century Gothic" w:eastAsia="Times New Roman" w:hAnsi="Century Gothic" w:cs="Arial"/>
          <w:color w:val="000000" w:themeColor="text1"/>
          <w:lang w:val="es-ES_tradnl" w:eastAsia="es-CO"/>
        </w:rPr>
        <w:t xml:space="preserve"> de exigir a los oferentes la constitución de la garantía de </w:t>
      </w:r>
      <w:r w:rsidRPr="000F64AE">
        <w:rPr>
          <w:rFonts w:ascii="Century Gothic" w:eastAsia="Times New Roman" w:hAnsi="Century Gothic" w:cs="Arial"/>
          <w:color w:val="000000" w:themeColor="text1"/>
          <w:lang w:val="es-ES_tradnl" w:eastAsia="es-CO"/>
        </w:rPr>
        <w:lastRenderedPageBreak/>
        <w:t xml:space="preserve">seriedad de oferta es necesario determinar la modalidad de selección del contratista a emplear. En los procesos de contratación que se adelanten mediante la modalidad de mínima cuantía, la </w:t>
      </w:r>
      <w:r w:rsidRPr="000F64AE">
        <w:rPr>
          <w:rFonts w:ascii="Century Gothic" w:eastAsia="Times New Roman" w:hAnsi="Century Gothic" w:cs="Arial"/>
          <w:i/>
          <w:iCs/>
          <w:color w:val="000000" w:themeColor="text1"/>
          <w:lang w:val="es-ES_tradnl" w:eastAsia="es-CO"/>
        </w:rPr>
        <w:t>Entidad Estatal</w:t>
      </w:r>
      <w:r w:rsidRPr="000F64AE">
        <w:rPr>
          <w:rFonts w:ascii="Century Gothic" w:eastAsia="Times New Roman" w:hAnsi="Century Gothic" w:cs="Arial"/>
          <w:color w:val="000000" w:themeColor="text1"/>
          <w:lang w:val="es-ES_tradnl" w:eastAsia="es-CO"/>
        </w:rPr>
        <w:t xml:space="preserve"> deberá justificar la exigencia o no de la garantía de seriedad de oferta en el estudio previo o documento equivalente.</w:t>
      </w:r>
    </w:p>
    <w:bookmarkEnd w:id="16"/>
    <w:bookmarkEnd w:id="17"/>
    <w:bookmarkEnd w:id="18"/>
    <w:bookmarkEnd w:id="19"/>
    <w:bookmarkEnd w:id="20"/>
    <w:bookmarkEnd w:id="21"/>
    <w:bookmarkEnd w:id="22"/>
    <w:bookmarkEnd w:id="23"/>
    <w:bookmarkEnd w:id="24"/>
    <w:bookmarkEnd w:id="25"/>
    <w:p w14:paraId="00A3363B" w14:textId="77777777" w:rsidR="000F64AE" w:rsidRPr="000F64AE" w:rsidRDefault="000F64AE" w:rsidP="000F64AE">
      <w:pPr>
        <w:spacing w:before="120" w:after="0" w:line="276" w:lineRule="auto"/>
        <w:jc w:val="both"/>
        <w:rPr>
          <w:rFonts w:ascii="Arial" w:eastAsia="Times New Roman" w:hAnsi="Arial" w:cs="Arial"/>
          <w:b/>
          <w:bCs/>
          <w:szCs w:val="24"/>
          <w:lang w:eastAsia="es-MX"/>
        </w:rPr>
      </w:pPr>
      <w:r w:rsidRPr="000F64AE">
        <w:rPr>
          <w:rFonts w:ascii="Arial" w:eastAsia="Times New Roman" w:hAnsi="Arial" w:cs="Arial"/>
          <w:b/>
          <w:bCs/>
          <w:szCs w:val="24"/>
          <w:lang w:eastAsia="es-MX"/>
        </w:rPr>
        <w:t>3.</w:t>
      </w:r>
      <w:r w:rsidRPr="000F64AE">
        <w:rPr>
          <w:rFonts w:ascii="Arial" w:eastAsia="Times New Roman" w:hAnsi="Arial" w:cs="Arial"/>
          <w:b/>
          <w:bCs/>
          <w:szCs w:val="24"/>
          <w:lang w:eastAsia="es-MX"/>
        </w:rPr>
        <w:tab/>
        <w:t>Respuesta</w:t>
      </w:r>
    </w:p>
    <w:p w14:paraId="10641761" w14:textId="77777777" w:rsidR="000F64AE" w:rsidRPr="000F64AE" w:rsidRDefault="000F64AE" w:rsidP="000F64AE">
      <w:pPr>
        <w:spacing w:after="0" w:line="240" w:lineRule="auto"/>
        <w:ind w:right="714"/>
        <w:jc w:val="both"/>
        <w:rPr>
          <w:rFonts w:ascii="Arial" w:eastAsia="Times New Roman" w:hAnsi="Arial" w:cs="Arial"/>
          <w:i/>
          <w:iCs/>
          <w:szCs w:val="24"/>
          <w:lang w:val="es-ES_tradnl" w:eastAsia="es-ES_tradnl"/>
        </w:rPr>
      </w:pPr>
    </w:p>
    <w:p w14:paraId="6D26F1E6" w14:textId="79906EB2" w:rsidR="000F64AE" w:rsidRPr="000F64AE" w:rsidRDefault="000F64AE" w:rsidP="00A974F5">
      <w:pPr>
        <w:spacing w:after="120" w:line="276" w:lineRule="auto"/>
        <w:jc w:val="both"/>
        <w:rPr>
          <w:rFonts w:ascii="Century Gothic" w:eastAsia="Times New Roman" w:hAnsi="Century Gothic" w:cs="Arial"/>
          <w:lang w:eastAsia="es-CO"/>
        </w:rPr>
      </w:pPr>
      <w:r w:rsidRPr="000F64AE">
        <w:rPr>
          <w:rFonts w:ascii="Century Gothic" w:eastAsia="Times New Roman" w:hAnsi="Century Gothic" w:cs="Arial"/>
          <w:lang w:val="es-ES" w:eastAsia="es-CO"/>
        </w:rPr>
        <w:t xml:space="preserve">En ejercicio de las competencias establecidas en los artículos 3.5 y 11.8 del Decreto 4170 de 2011, la Agencia Nacional de Contratación Pública -Colombia Compra Eficiente- solo tiene competencia para responder solicitudes sobre la aplicación de normas de carácter general en materia de compras y contratación pública. En ese sentido, esta Agencia no tiene competencia para </w:t>
      </w:r>
      <w:r w:rsidRPr="000F64AE">
        <w:rPr>
          <w:rFonts w:ascii="Century Gothic" w:eastAsia="Times New Roman" w:hAnsi="Century Gothic" w:cs="Arial"/>
          <w:lang w:eastAsia="es-CO"/>
        </w:rPr>
        <w:t xml:space="preserve">brindar asesorías, ni para pronunciarse sobre asuntos particulares, mucho menos para brindar directrices especiales sobre la </w:t>
      </w:r>
      <w:r w:rsidRPr="000F64AE">
        <w:rPr>
          <w:rFonts w:ascii="Century Gothic" w:eastAsia="Calibri" w:hAnsi="Century Gothic" w:cs="Arial"/>
          <w:lang w:eastAsia="es-CO"/>
        </w:rPr>
        <w:t xml:space="preserve">validez y/o pertinencia de solicitar ciertos requisitos en el marco de un proceso de selección contractual, por parte de las </w:t>
      </w:r>
      <w:r w:rsidRPr="000F64AE">
        <w:rPr>
          <w:rFonts w:ascii="Century Gothic" w:eastAsia="Calibri" w:hAnsi="Century Gothic" w:cs="Arial"/>
          <w:i/>
          <w:iCs/>
          <w:lang w:eastAsia="es-CO"/>
        </w:rPr>
        <w:t>Entidades Estatales</w:t>
      </w:r>
      <w:r w:rsidRPr="000F64AE">
        <w:rPr>
          <w:rFonts w:ascii="Century Gothic" w:eastAsia="Calibri" w:hAnsi="Century Gothic" w:cs="Arial"/>
          <w:lang w:eastAsia="es-CO"/>
        </w:rPr>
        <w:t xml:space="preserve"> como requisitos habilitantes.</w:t>
      </w:r>
    </w:p>
    <w:p w14:paraId="486765AC" w14:textId="33BDF6C7" w:rsidR="000F64AE" w:rsidRPr="000F64AE" w:rsidRDefault="000F64AE" w:rsidP="00A974F5">
      <w:pPr>
        <w:spacing w:after="120" w:line="276" w:lineRule="auto"/>
        <w:ind w:firstLine="709"/>
        <w:jc w:val="both"/>
        <w:rPr>
          <w:rFonts w:ascii="Century Gothic" w:eastAsia="Times New Roman" w:hAnsi="Century Gothic" w:cs="Arial"/>
          <w:color w:val="000000"/>
          <w:bdr w:val="none" w:sz="0" w:space="0" w:color="auto" w:frame="1"/>
          <w:lang w:eastAsia="es-MX"/>
        </w:rPr>
      </w:pPr>
      <w:r w:rsidRPr="000F64AE">
        <w:rPr>
          <w:rFonts w:ascii="Century Gothic" w:eastAsia="Calibri" w:hAnsi="Century Gothic" w:cs="Arial"/>
          <w:lang w:val="es-MX"/>
        </w:rPr>
        <w:t>Sin embargo, en línea con las precisiones normativas previamente realizadas, conviene</w:t>
      </w:r>
      <w:bookmarkStart w:id="35" w:name="_Hlk98489914"/>
      <w:r w:rsidRPr="000F64AE">
        <w:rPr>
          <w:rFonts w:ascii="Century Gothic" w:eastAsia="Calibri" w:hAnsi="Century Gothic" w:cs="Arial"/>
          <w:lang w:val="es-MX"/>
        </w:rPr>
        <w:t xml:space="preserve"> señalar que</w:t>
      </w:r>
      <w:bookmarkEnd w:id="35"/>
      <w:r w:rsidRPr="000F64AE">
        <w:rPr>
          <w:rFonts w:ascii="Century Gothic" w:eastAsia="Calibri" w:hAnsi="Century Gothic" w:cs="Arial"/>
          <w:lang w:val="es-MX"/>
        </w:rPr>
        <w:t xml:space="preserve"> </w:t>
      </w:r>
      <w:r w:rsidRPr="000F64AE">
        <w:rPr>
          <w:rFonts w:ascii="Century Gothic" w:eastAsia="Times New Roman" w:hAnsi="Century Gothic" w:cs="Arial"/>
          <w:color w:val="000000"/>
          <w:bdr w:val="none" w:sz="0" w:space="0" w:color="auto" w:frame="1"/>
          <w:lang w:eastAsia="es-MX"/>
        </w:rPr>
        <w:t>en nuestro ordenamiento jurídico no existe una configuración taxativa de los requisitos habilitantes en cada proceso contractual. Por el contrario, las entidades estatales, en ejercicio de su autonomía de la voluntad, deben decidir el contenido de los requisitos habilitantes que en cada caso o proceso de selección permitirán comprobar que los eventuales oferentes puedan estar habilitados para participar. En ese sentido, las entidades estatales podrán optar por aplicar los requisitos habilitantes señalados en el artículo 6 de la Ley 1150 de 2007, o si opta por aplicar requisitos adicionales a estos. En este último caso, la entidad deberá realizar directamente la verificación de la información relativa a la acreditación del correspondiente requisito adicional.</w:t>
      </w:r>
    </w:p>
    <w:p w14:paraId="41B45E70" w14:textId="2E3E1A4F" w:rsidR="000F64AE" w:rsidRPr="000F64AE" w:rsidRDefault="00F62508" w:rsidP="000F64AE">
      <w:pPr>
        <w:spacing w:after="0" w:line="276" w:lineRule="auto"/>
        <w:ind w:firstLine="709"/>
        <w:jc w:val="both"/>
        <w:rPr>
          <w:rFonts w:ascii="Century Gothic" w:eastAsia="Times New Roman" w:hAnsi="Century Gothic" w:cs="Arial"/>
          <w:color w:val="000000"/>
          <w:bdr w:val="none" w:sz="0" w:space="0" w:color="auto" w:frame="1"/>
          <w:lang w:eastAsia="es-MX"/>
        </w:rPr>
      </w:pPr>
      <w:r>
        <w:rPr>
          <w:rFonts w:ascii="Century Gothic" w:eastAsia="Calibri" w:hAnsi="Century Gothic" w:cs="Arial"/>
          <w:color w:val="000000" w:themeColor="text1"/>
          <w:lang w:val="es-ES_tradnl" w:eastAsia="es-CO"/>
        </w:rPr>
        <w:t xml:space="preserve">Así, </w:t>
      </w:r>
      <w:r w:rsidR="000F64AE" w:rsidRPr="000F64AE">
        <w:rPr>
          <w:rFonts w:ascii="Century Gothic" w:eastAsia="Calibri" w:hAnsi="Century Gothic" w:cs="Arial"/>
          <w:color w:val="000000" w:themeColor="text1"/>
          <w:lang w:val="es-ES_tradnl" w:eastAsia="es-CO"/>
        </w:rPr>
        <w:t xml:space="preserve">considerando la discrecionalidad para establecer requisitos habilitantes con la que cuentan las entidades estatales, es necesario tener en cuenta que </w:t>
      </w:r>
      <w:r w:rsidR="000F64AE" w:rsidRPr="000F64AE">
        <w:rPr>
          <w:rFonts w:ascii="Century Gothic" w:eastAsia="Calibri" w:hAnsi="Century Gothic" w:cs="Arial"/>
          <w:lang w:eastAsia="es-CO"/>
        </w:rPr>
        <w:t xml:space="preserve">el artículo 44 de la Ley 1437 de 2011 –aplicable en los procedimientos contractuales en virtud del artículo 77 de la Ley 80 de 1993– dispone que </w:t>
      </w:r>
      <w:r w:rsidR="000F64AE" w:rsidRPr="000F64AE">
        <w:rPr>
          <w:rFonts w:ascii="Century Gothic" w:eastAsia="Calibri" w:hAnsi="Century Gothic" w:cs="Arial"/>
          <w:i/>
          <w:iCs/>
          <w:lang w:eastAsia="es-CO"/>
        </w:rPr>
        <w:t>“</w:t>
      </w:r>
      <w:r w:rsidR="000F64AE" w:rsidRPr="000F64AE">
        <w:rPr>
          <w:rFonts w:ascii="Century Gothic" w:eastAsia="Calibri" w:hAnsi="Century Gothic" w:cs="Arial"/>
          <w:lang w:eastAsia="es-CO"/>
        </w:rPr>
        <w:t>En la medida en que el contenido de una decisión de carácter general o particular sea discrecional, debe ser adecuada a los fines de la norma que la autoriza, y proporcional a los hechos que le sirven de causa</w:t>
      </w:r>
      <w:r w:rsidR="000F64AE" w:rsidRPr="000F64AE">
        <w:rPr>
          <w:rFonts w:ascii="Century Gothic" w:eastAsia="Calibri" w:hAnsi="Century Gothic" w:cs="Arial"/>
          <w:i/>
          <w:iCs/>
          <w:lang w:eastAsia="es-CO"/>
        </w:rPr>
        <w:t>”</w:t>
      </w:r>
      <w:r w:rsidR="000F64AE" w:rsidRPr="000F64AE">
        <w:rPr>
          <w:rFonts w:ascii="Century Gothic" w:eastAsia="Calibri" w:hAnsi="Century Gothic" w:cs="Arial"/>
          <w:lang w:eastAsia="es-CO"/>
        </w:rPr>
        <w:t>. Para efectos de establecer requisitos habilitantes, entonces, le asiste a la Entidad Estatal la carga justificativa de su adopción en los estudios y documentos previos del proceso de selección.</w:t>
      </w:r>
    </w:p>
    <w:p w14:paraId="3F97B831" w14:textId="4D083415" w:rsidR="000F64AE" w:rsidRPr="000F64AE" w:rsidRDefault="00F62792" w:rsidP="000F64AE">
      <w:pPr>
        <w:spacing w:before="120" w:after="0" w:line="276" w:lineRule="auto"/>
        <w:ind w:firstLine="708"/>
        <w:jc w:val="both"/>
        <w:rPr>
          <w:rFonts w:ascii="Century Gothic" w:eastAsia="Calibri" w:hAnsi="Century Gothic" w:cs="Arial"/>
          <w:lang w:eastAsia="es-CO"/>
        </w:rPr>
      </w:pPr>
      <w:r>
        <w:rPr>
          <w:rFonts w:ascii="Century Gothic" w:eastAsia="Times New Roman" w:hAnsi="Century Gothic" w:cs="Arial"/>
          <w:lang w:eastAsia="es-CO"/>
        </w:rPr>
        <w:lastRenderedPageBreak/>
        <w:t>Sea</w:t>
      </w:r>
      <w:r w:rsidR="000F64AE" w:rsidRPr="000F64AE">
        <w:rPr>
          <w:rFonts w:ascii="Century Gothic" w:eastAsia="Times New Roman" w:hAnsi="Century Gothic" w:cs="Arial"/>
          <w:lang w:eastAsia="es-CO"/>
        </w:rPr>
        <w:t xml:space="preserve"> del caso </w:t>
      </w:r>
      <w:r>
        <w:rPr>
          <w:rFonts w:ascii="Century Gothic" w:eastAsia="Times New Roman" w:hAnsi="Century Gothic" w:cs="Arial"/>
          <w:lang w:eastAsia="es-CO"/>
        </w:rPr>
        <w:t xml:space="preserve">también </w:t>
      </w:r>
      <w:r w:rsidR="000F64AE" w:rsidRPr="000F64AE">
        <w:rPr>
          <w:rFonts w:ascii="Century Gothic" w:eastAsia="Times New Roman" w:hAnsi="Century Gothic" w:cs="Arial"/>
          <w:lang w:eastAsia="es-CO"/>
        </w:rPr>
        <w:t>señalar que el</w:t>
      </w:r>
      <w:r w:rsidR="000F64AE" w:rsidRPr="000F64AE">
        <w:rPr>
          <w:rFonts w:ascii="Century Gothic" w:eastAsia="Times New Roman" w:hAnsi="Century Gothic" w:cs="Arial"/>
          <w:i/>
          <w:iCs/>
          <w:lang w:eastAsia="es-CO"/>
        </w:rPr>
        <w:t xml:space="preserve"> “</w:t>
      </w:r>
      <w:r w:rsidR="000F64AE" w:rsidRPr="000F64AE">
        <w:rPr>
          <w:rFonts w:ascii="Century Gothic" w:eastAsia="Arial" w:hAnsi="Century Gothic" w:cs="Arial"/>
          <w:i/>
          <w:iCs/>
          <w:color w:val="000000"/>
          <w:lang w:eastAsia="es-CO"/>
        </w:rPr>
        <w:t>Manual para determinar y verificar los requisitos habilitantes en los Procesos de Contratación</w:t>
      </w:r>
      <w:r w:rsidR="000F64AE" w:rsidRPr="000F64AE">
        <w:rPr>
          <w:rFonts w:ascii="Century Gothic" w:eastAsia="Arial" w:hAnsi="Century Gothic" w:cs="Arial"/>
          <w:color w:val="000000"/>
          <w:lang w:eastAsia="es-CO"/>
        </w:rPr>
        <w:t xml:space="preserve">” adoptado por esta Agencia, contiene recomendaciones para determinar los requisitos habilitantes en los Procesos de Contratación y, por ende, su contenido no es de obligatorio cumplimiento. </w:t>
      </w:r>
      <w:r w:rsidR="000F64AE" w:rsidRPr="000F64AE">
        <w:rPr>
          <w:rFonts w:ascii="Century Gothic" w:eastAsia="Arial" w:hAnsi="Century Gothic" w:cs="Arial"/>
          <w:color w:val="000000"/>
          <w:lang w:val="es-ES_tradnl" w:eastAsia="es-CO"/>
        </w:rPr>
        <w:t xml:space="preserve">De esta manera, les corresponde a las Entidades Estatales, durante la etapa de planeación del contrato estatal, estudiar y </w:t>
      </w:r>
      <w:r w:rsidR="000F64AE" w:rsidRPr="000F64AE">
        <w:rPr>
          <w:rFonts w:ascii="Century Gothic" w:eastAsia="Arial" w:hAnsi="Century Gothic" w:cs="Arial"/>
          <w:iCs/>
          <w:color w:val="000000"/>
          <w:lang w:val="es-ES_tradnl" w:eastAsia="es-CO"/>
        </w:rPr>
        <w:t>determinar</w:t>
      </w:r>
      <w:r w:rsidR="000F64AE" w:rsidRPr="000F64AE">
        <w:rPr>
          <w:rFonts w:ascii="Century Gothic" w:eastAsia="Arial" w:hAnsi="Century Gothic" w:cs="Arial"/>
          <w:color w:val="000000"/>
          <w:lang w:val="es-ES_tradnl" w:eastAsia="es-CO"/>
        </w:rPr>
        <w:t xml:space="preserve"> los requisitos habilitantes que establecerán en los pliegos de condiciones, los cuales deben fijarse de forma adecuada y proporcional, para lo cual deberán tener en cuenta la naturaleza, el valor del contrato, la forma de pago, los riesgos asociados al contrato, el plazo y la complejidad de ejecución del objeto.</w:t>
      </w:r>
    </w:p>
    <w:p w14:paraId="3A8210E9" w14:textId="77777777" w:rsidR="000F64AE" w:rsidRPr="000F64AE" w:rsidRDefault="000F64AE" w:rsidP="000F64AE">
      <w:pPr>
        <w:spacing w:before="120" w:after="0" w:line="276" w:lineRule="auto"/>
        <w:ind w:firstLine="708"/>
        <w:jc w:val="both"/>
        <w:rPr>
          <w:rFonts w:ascii="Century Gothic" w:eastAsia="Calibri" w:hAnsi="Century Gothic" w:cs="Arial"/>
          <w:lang w:eastAsia="es-CO"/>
        </w:rPr>
      </w:pPr>
      <w:r w:rsidRPr="000F64AE">
        <w:rPr>
          <w:rFonts w:ascii="Century Gothic" w:eastAsia="Calibri" w:hAnsi="Century Gothic" w:cs="Arial"/>
          <w:lang w:eastAsia="es-CO"/>
        </w:rPr>
        <w:t xml:space="preserve">Con todo, a lo anterior debe sumarse el hecho de que, por ejemplo, para efectos de fijar los indicadores de capacidad financiera y organizacional, en la sección VI del citado Manual se indica que la </w:t>
      </w:r>
      <w:r w:rsidRPr="000F64AE">
        <w:rPr>
          <w:rFonts w:ascii="Century Gothic" w:eastAsia="Calibri" w:hAnsi="Century Gothic" w:cs="Arial"/>
          <w:i/>
          <w:iCs/>
          <w:lang w:eastAsia="es-CO"/>
        </w:rPr>
        <w:t>Entidad Estatal</w:t>
      </w:r>
      <w:r w:rsidRPr="000F64AE">
        <w:rPr>
          <w:rFonts w:ascii="Century Gothic" w:eastAsia="Calibri" w:hAnsi="Century Gothic" w:cs="Arial"/>
          <w:lang w:eastAsia="es-CO"/>
        </w:rPr>
        <w:t xml:space="preserve"> </w:t>
      </w:r>
      <w:r w:rsidRPr="000F64AE">
        <w:rPr>
          <w:rFonts w:ascii="Century Gothic" w:eastAsia="Calibri" w:hAnsi="Century Gothic" w:cs="Arial"/>
          <w:i/>
          <w:iCs/>
          <w:lang w:eastAsia="es-CO"/>
        </w:rPr>
        <w:t>“</w:t>
      </w:r>
      <w:r w:rsidRPr="000F64AE">
        <w:rPr>
          <w:rFonts w:ascii="Century Gothic" w:eastAsia="Calibri" w:hAnsi="Century Gothic" w:cs="Arial"/>
          <w:i/>
          <w:iCs/>
          <w:lang w:val="es-ES_tradnl" w:eastAsia="es-CO"/>
        </w:rPr>
        <w:t>debe establecer el límite para los indicadores de capacidad financiera y organizacional como resultado del análisis de los criterios previstos en la sección I.B. y evitar hacerlo de manera mecánica, pues cada Proceso de Contratación tiene una naturaleza distinta y está asociado a Riesgos particulares</w:t>
      </w:r>
      <w:r w:rsidRPr="000F64AE">
        <w:rPr>
          <w:rFonts w:ascii="Century Gothic" w:eastAsia="Calibri" w:hAnsi="Century Gothic" w:cs="Arial"/>
          <w:i/>
          <w:iCs/>
          <w:lang w:eastAsia="es-CO"/>
        </w:rPr>
        <w:t>”</w:t>
      </w:r>
      <w:r w:rsidRPr="000F64AE">
        <w:rPr>
          <w:rFonts w:ascii="Century Gothic" w:eastAsia="Calibri" w:hAnsi="Century Gothic" w:cs="Arial"/>
          <w:lang w:val="es-ES_tradnl" w:eastAsia="es-CO"/>
        </w:rPr>
        <w:t>. De esta manera, es deber de la entidad establecer en los pliegos de condiciones la forma en la cual se calcularán los indicadores de capacidad financiera y organizacional de los proponentes, para lo cual puede optar por exigir capital de trabajo, sin perjuicio de utilizar opciones distintas, pues como se indicó, existe discrecionalidad en las entidades estatales para determinar sus requisitos habilitantes.</w:t>
      </w:r>
    </w:p>
    <w:p w14:paraId="2ACF7DB5" w14:textId="0D5F5C1F" w:rsidR="000F64AE" w:rsidRPr="000F64AE" w:rsidRDefault="000F64AE" w:rsidP="000F64AE">
      <w:pPr>
        <w:spacing w:before="120" w:after="0" w:line="276" w:lineRule="auto"/>
        <w:ind w:firstLine="709"/>
        <w:jc w:val="both"/>
        <w:rPr>
          <w:rFonts w:ascii="Century Gothic" w:eastAsia="Calibri" w:hAnsi="Century Gothic" w:cs="Arial"/>
          <w:color w:val="000000" w:themeColor="text1"/>
          <w:lang w:val="es-ES_tradnl" w:eastAsia="es-CO"/>
        </w:rPr>
      </w:pPr>
      <w:r w:rsidRPr="000F64AE">
        <w:rPr>
          <w:rFonts w:ascii="Century Gothic" w:eastAsia="Calibri" w:hAnsi="Century Gothic" w:cs="Arial"/>
          <w:color w:val="000000" w:themeColor="text1"/>
          <w:lang w:eastAsia="es-CO"/>
        </w:rPr>
        <w:t xml:space="preserve">Ahora, se considera conveniente dejar en claro que </w:t>
      </w:r>
      <w:r w:rsidRPr="000F64AE">
        <w:rPr>
          <w:rFonts w:ascii="Century Gothic" w:eastAsia="Calibri" w:hAnsi="Century Gothic" w:cs="Arial"/>
          <w:lang w:eastAsia="es-CO"/>
        </w:rPr>
        <w:t xml:space="preserve">en los procesos de contratación en donde no es exigible ni obligatoria la presentación del RUP para acreditar requisitos habilitantes, deberán los proponentes aportar su RUP, además de los otros requisitos establecidos en el pliego de condiciones o invitación pública para acreditar los demás requisitos habilitantes, con el fin de que las Entidades Estatales puedan validar la experiencia de los </w:t>
      </w:r>
      <w:r w:rsidRPr="000F64AE">
        <w:rPr>
          <w:rFonts w:ascii="Century Gothic" w:eastAsia="Times New Roman" w:hAnsi="Century Gothic" w:cs="Arial"/>
          <w:lang w:eastAsia="es-CO"/>
        </w:rPr>
        <w:t>socios, accionistas o constituyentes a nombre de la</w:t>
      </w:r>
      <w:r w:rsidRPr="000F64AE">
        <w:rPr>
          <w:rFonts w:ascii="Century Gothic" w:eastAsia="Calibri" w:hAnsi="Century Gothic" w:cs="Arial"/>
          <w:lang w:eastAsia="es-CO"/>
        </w:rPr>
        <w:t xml:space="preserve"> persona jurídica, quien por el efecto de la prerrogativa  del numeral 2.5 del artículo 2.2.1.1.1.5.2 del Decreto 1082 de 2015, acredita esa experiencia como propia, siempre y cuando el RUP no se haya dejado de renovar a tiempo, pues en este caso, la norma estableció una tarifa legal probatoria en el RUP para la acreditación de dicha experiencia, sin distinción en su trámite frente a las diferentes modalidades de selección.</w:t>
      </w:r>
    </w:p>
    <w:p w14:paraId="75165208" w14:textId="77777777" w:rsidR="000F64AE" w:rsidRPr="000F64AE" w:rsidRDefault="000F64AE" w:rsidP="000F64AE">
      <w:pPr>
        <w:spacing w:before="120" w:after="0" w:line="276" w:lineRule="auto"/>
        <w:ind w:firstLine="709"/>
        <w:jc w:val="both"/>
        <w:rPr>
          <w:rFonts w:ascii="Century Gothic" w:eastAsia="Calibri" w:hAnsi="Century Gothic" w:cs="Arial"/>
          <w:color w:val="000000"/>
          <w:lang w:val="es-ES_tradnl" w:eastAsia="es-ES_tradnl"/>
        </w:rPr>
      </w:pPr>
      <w:r w:rsidRPr="000F64AE">
        <w:rPr>
          <w:rFonts w:ascii="Century Gothic" w:eastAsia="Calibri" w:hAnsi="Century Gothic" w:cs="Arial"/>
          <w:lang w:eastAsia="es-CO"/>
        </w:rPr>
        <w:t xml:space="preserve">Igualmente, </w:t>
      </w:r>
      <w:r w:rsidRPr="000F64AE">
        <w:rPr>
          <w:rFonts w:ascii="Century Gothic" w:eastAsia="Calibri" w:hAnsi="Century Gothic" w:cs="Arial"/>
          <w:color w:val="000000" w:themeColor="text1"/>
          <w:lang w:val="es-ES_tradnl" w:eastAsia="es-CO"/>
        </w:rPr>
        <w:t xml:space="preserve">la </w:t>
      </w:r>
      <w:r w:rsidRPr="000F64AE">
        <w:rPr>
          <w:rFonts w:ascii="Century Gothic" w:eastAsia="Calibri" w:hAnsi="Century Gothic" w:cs="Arial"/>
          <w:color w:val="000000"/>
          <w:lang w:val="es-ES_tradnl" w:eastAsia="es-ES_tradnl"/>
        </w:rPr>
        <w:t xml:space="preserve">limitación a </w:t>
      </w:r>
      <w:proofErr w:type="spellStart"/>
      <w:r w:rsidRPr="000F64AE">
        <w:rPr>
          <w:rFonts w:ascii="Century Gothic" w:eastAsia="Calibri" w:hAnsi="Century Gothic" w:cs="Arial"/>
          <w:color w:val="000000"/>
          <w:lang w:val="es-ES_tradnl" w:eastAsia="es-ES_tradnl"/>
        </w:rPr>
        <w:t>MiPyme</w:t>
      </w:r>
      <w:proofErr w:type="spellEnd"/>
      <w:r w:rsidRPr="000F64AE">
        <w:rPr>
          <w:rFonts w:ascii="Century Gothic" w:eastAsia="Calibri" w:hAnsi="Century Gothic" w:cs="Arial"/>
          <w:color w:val="000000"/>
          <w:lang w:val="es-ES_tradnl" w:eastAsia="es-ES_tradnl"/>
        </w:rPr>
        <w:t xml:space="preserve"> de procesos de contratación de mínima cuantía no es potestativa de la Entidad Estatal, toda vez que si se cumplen con los </w:t>
      </w:r>
      <w:r w:rsidRPr="000F64AE">
        <w:rPr>
          <w:rFonts w:ascii="Century Gothic" w:eastAsia="Calibri" w:hAnsi="Century Gothic" w:cs="Arial"/>
          <w:color w:val="000000"/>
          <w:lang w:val="es-ES_tradnl" w:eastAsia="es-ES_tradnl"/>
        </w:rPr>
        <w:lastRenderedPageBreak/>
        <w:t xml:space="preserve">presupuestos establecidos en el artículo 2.2.1.2.4.2.2. del Decreto 1082 de 2015, esto es que se presenten por lo menos dos (2) solicitudes de MiPymes colombianas de mínimo un (1) año de existencia, dentro del término establecido en la invitación para limitar la convocatoria a </w:t>
      </w:r>
      <w:proofErr w:type="spellStart"/>
      <w:r w:rsidRPr="000F64AE">
        <w:rPr>
          <w:rFonts w:ascii="Century Gothic" w:eastAsia="Calibri" w:hAnsi="Century Gothic" w:cs="Arial"/>
          <w:color w:val="000000"/>
          <w:lang w:val="es-ES_tradnl" w:eastAsia="es-ES_tradnl"/>
        </w:rPr>
        <w:t>MiPyme</w:t>
      </w:r>
      <w:proofErr w:type="spellEnd"/>
      <w:r w:rsidRPr="000F64AE">
        <w:rPr>
          <w:rFonts w:ascii="Century Gothic" w:eastAsia="Calibri" w:hAnsi="Century Gothic" w:cs="Arial"/>
          <w:color w:val="000000"/>
          <w:lang w:val="es-ES_tradnl" w:eastAsia="es-ES_tradnl"/>
        </w:rPr>
        <w:t xml:space="preserve"> colombianas, y el valor del Proceso de Contratación sea menor a ciento veinticinco mil dólares de los Estados Unidos de América (US$125.000), liquidados con la tasa de cambio que para el efecto determina el Ministerio de Comercio, Industria y Turismo; la entidad Estatal estará obligada a limitar la participación de la invitación a MiPymes.</w:t>
      </w:r>
    </w:p>
    <w:p w14:paraId="7455EF78" w14:textId="77777777" w:rsidR="000F64AE" w:rsidRPr="000F64AE" w:rsidRDefault="000F64AE" w:rsidP="000F64AE">
      <w:pPr>
        <w:spacing w:before="120" w:after="0" w:line="276" w:lineRule="auto"/>
        <w:ind w:firstLine="709"/>
        <w:jc w:val="both"/>
        <w:rPr>
          <w:rFonts w:ascii="Century Gothic" w:eastAsia="Calibri" w:hAnsi="Century Gothic" w:cs="Arial"/>
          <w:color w:val="000000"/>
          <w:lang w:val="es-ES_tradnl" w:eastAsia="es-ES_tradnl"/>
        </w:rPr>
      </w:pPr>
      <w:r w:rsidRPr="000F64AE">
        <w:rPr>
          <w:rFonts w:ascii="Century Gothic" w:eastAsia="Calibri" w:hAnsi="Century Gothic" w:cs="Arial"/>
          <w:color w:val="000000"/>
          <w:lang w:val="es-ES_tradnl" w:eastAsia="es-ES_tradnl"/>
        </w:rPr>
        <w:t xml:space="preserve">Con todo, recuérdese que, tal y como se expuso en líneas precedentes, los requisitos habilitantes, con arreglo a lo dispuesto </w:t>
      </w:r>
      <w:r w:rsidRPr="000F64AE">
        <w:rPr>
          <w:rFonts w:ascii="Century Gothic" w:eastAsia="Times New Roman" w:hAnsi="Century Gothic" w:cs="Arial"/>
          <w:color w:val="000000" w:themeColor="text1"/>
          <w:lang w:val="es-ES_tradnl" w:eastAsia="es-CO"/>
        </w:rPr>
        <w:t>en el artículo 5, numeral 1, de la Ley 1150 de 2007, tienen la característica de ser enunciativos, pues una lectura integral y sistemática de las normas en materia de contratación estatal permite colegir que existen otras condiciones que deben cumplirse para la contratación con una entidad pública, como pasa, por ejemplo, cuando quiera que en un caso concreto se exige capacidad residual a la que se refiere el artículo 6º, parágrafo 1, de la Ley 1150 de 2007</w:t>
      </w:r>
      <w:r w:rsidRPr="000F64AE">
        <w:rPr>
          <w:rFonts w:ascii="Century Gothic" w:eastAsia="Times New Roman" w:hAnsi="Century Gothic" w:cs="Arial"/>
          <w:color w:val="000000" w:themeColor="text1"/>
          <w:vertAlign w:val="superscript"/>
          <w:lang w:val="es-ES_tradnl" w:eastAsia="es-CO"/>
        </w:rPr>
        <w:footnoteReference w:id="32"/>
      </w:r>
      <w:r w:rsidRPr="000F64AE">
        <w:rPr>
          <w:rFonts w:ascii="Century Gothic" w:eastAsia="Times New Roman" w:hAnsi="Century Gothic" w:cs="Arial"/>
          <w:color w:val="000000" w:themeColor="text1"/>
          <w:lang w:val="es-ES_tradnl" w:eastAsia="es-CO"/>
        </w:rPr>
        <w:t>.</w:t>
      </w:r>
    </w:p>
    <w:p w14:paraId="1FD0C475" w14:textId="77777777" w:rsidR="000F64AE" w:rsidRPr="000F64AE" w:rsidRDefault="000F64AE" w:rsidP="000F64AE">
      <w:pPr>
        <w:spacing w:before="120" w:after="0" w:line="276" w:lineRule="auto"/>
        <w:ind w:firstLine="709"/>
        <w:jc w:val="both"/>
        <w:rPr>
          <w:rFonts w:ascii="Century Gothic" w:eastAsia="Calibri" w:hAnsi="Century Gothic" w:cs="Arial"/>
          <w:color w:val="000000"/>
          <w:lang w:val="es-ES_tradnl" w:eastAsia="es-ES_tradnl"/>
        </w:rPr>
      </w:pPr>
      <w:r w:rsidRPr="000F64AE">
        <w:rPr>
          <w:rFonts w:ascii="Century Gothic" w:eastAsia="Times New Roman" w:hAnsi="Century Gothic" w:cs="Arial"/>
          <w:szCs w:val="24"/>
          <w:lang w:eastAsia="es-CO"/>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bookmarkStart w:id="36" w:name="_Hlk34951122"/>
      <w:bookmarkEnd w:id="26"/>
    </w:p>
    <w:p w14:paraId="270D8BB4" w14:textId="77777777" w:rsidR="000F64AE" w:rsidRPr="000F64AE" w:rsidRDefault="000F64AE" w:rsidP="000F64AE">
      <w:pPr>
        <w:spacing w:after="0" w:line="276" w:lineRule="auto"/>
        <w:ind w:firstLine="709"/>
        <w:jc w:val="both"/>
        <w:rPr>
          <w:rFonts w:ascii="Century Gothic" w:eastAsia="Calibri" w:hAnsi="Century Gothic" w:cs="Arial"/>
          <w:lang w:val="es-MX"/>
        </w:rPr>
      </w:pPr>
    </w:p>
    <w:p w14:paraId="4DB55201" w14:textId="77777777" w:rsidR="000F64AE" w:rsidRPr="000F64AE" w:rsidRDefault="000F64AE" w:rsidP="000F64AE">
      <w:pPr>
        <w:spacing w:after="120" w:line="276" w:lineRule="auto"/>
        <w:jc w:val="both"/>
        <w:rPr>
          <w:rFonts w:ascii="Century Gothic" w:eastAsia="Calibri" w:hAnsi="Century Gothic" w:cs="Arial"/>
          <w:iCs/>
        </w:rPr>
      </w:pPr>
      <w:r w:rsidRPr="000F64AE">
        <w:rPr>
          <w:rFonts w:ascii="Century Gothic" w:eastAsia="Times New Roman" w:hAnsi="Century Gothic" w:cs="Arial"/>
          <w:lang w:val="es-MX" w:eastAsia="es-CO"/>
        </w:rPr>
        <w:t>Atentamente,</w:t>
      </w:r>
    </w:p>
    <w:p w14:paraId="4017D37E" w14:textId="5BCD7FF0" w:rsidR="000F64AE" w:rsidRPr="000F64AE" w:rsidRDefault="00607159" w:rsidP="000F64AE">
      <w:pPr>
        <w:spacing w:after="0" w:line="276" w:lineRule="auto"/>
        <w:jc w:val="center"/>
        <w:textAlignment w:val="baseline"/>
        <w:rPr>
          <w:rFonts w:ascii="Century Gothic" w:eastAsia="Times New Roman" w:hAnsi="Century Gothic" w:cs="Arial"/>
          <w:sz w:val="24"/>
          <w:szCs w:val="24"/>
          <w:lang w:eastAsia="es-CO"/>
        </w:rPr>
      </w:pPr>
      <w:r>
        <w:rPr>
          <w:noProof/>
        </w:rPr>
        <w:drawing>
          <wp:inline distT="0" distB="0" distL="0" distR="0" wp14:anchorId="7E996141" wp14:editId="5D34F173">
            <wp:extent cx="3161905" cy="1209524"/>
            <wp:effectExtent l="0" t="0" r="635" b="0"/>
            <wp:docPr id="4715744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74426" name="Imagen 1" descr="Texto&#10;&#10;Descripción generada automáticamente"/>
                    <pic:cNvPicPr/>
                  </pic:nvPicPr>
                  <pic:blipFill>
                    <a:blip r:embed="rId11"/>
                    <a:stretch>
                      <a:fillRect/>
                    </a:stretch>
                  </pic:blipFill>
                  <pic:spPr>
                    <a:xfrm>
                      <a:off x="0" y="0"/>
                      <a:ext cx="3161905" cy="1209524"/>
                    </a:xfrm>
                    <a:prstGeom prst="rect">
                      <a:avLst/>
                    </a:prstGeom>
                  </pic:spPr>
                </pic:pic>
              </a:graphicData>
            </a:graphic>
          </wp:inline>
        </w:drawing>
      </w:r>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0F64AE" w:rsidRPr="00B920E9" w14:paraId="7C8680C6" w14:textId="77777777" w:rsidTr="006D2198">
        <w:trPr>
          <w:trHeight w:val="315"/>
        </w:trPr>
        <w:tc>
          <w:tcPr>
            <w:tcW w:w="596" w:type="dxa"/>
            <w:tcBorders>
              <w:top w:val="nil"/>
              <w:left w:val="nil"/>
              <w:bottom w:val="nil"/>
              <w:right w:val="nil"/>
            </w:tcBorders>
            <w:shd w:val="clear" w:color="auto" w:fill="auto"/>
            <w:vAlign w:val="center"/>
            <w:hideMark/>
          </w:tcPr>
          <w:p w14:paraId="6D196E86" w14:textId="77777777" w:rsidR="000F64AE" w:rsidRPr="00B920E9" w:rsidRDefault="000F64AE" w:rsidP="000F64AE">
            <w:pPr>
              <w:spacing w:after="0" w:line="240" w:lineRule="auto"/>
              <w:textAlignment w:val="baseline"/>
              <w:rPr>
                <w:rFonts w:ascii="Century Gothic" w:eastAsia="Times New Roman" w:hAnsi="Century Gothic" w:cs="Arial"/>
                <w:sz w:val="14"/>
                <w:szCs w:val="14"/>
                <w:lang w:val="es-MX" w:eastAsia="es-CO"/>
              </w:rPr>
            </w:pPr>
            <w:bookmarkStart w:id="37" w:name="_Hlk140049914"/>
            <w:r w:rsidRPr="00B920E9">
              <w:rPr>
                <w:rFonts w:ascii="Century Gothic" w:eastAsia="Times New Roman" w:hAnsi="Century Gothic" w:cs="Arial"/>
                <w:sz w:val="14"/>
                <w:szCs w:val="14"/>
                <w:lang w:val="es-MX" w:eastAsia="es-CO"/>
              </w:rPr>
              <w:t>Elaboró:</w:t>
            </w:r>
          </w:p>
        </w:tc>
        <w:tc>
          <w:tcPr>
            <w:tcW w:w="5220" w:type="dxa"/>
            <w:tcBorders>
              <w:top w:val="nil"/>
              <w:left w:val="nil"/>
              <w:bottom w:val="dotted" w:sz="6" w:space="0" w:color="7F7F7F"/>
              <w:right w:val="nil"/>
            </w:tcBorders>
            <w:shd w:val="clear" w:color="auto" w:fill="auto"/>
            <w:vAlign w:val="center"/>
            <w:hideMark/>
          </w:tcPr>
          <w:p w14:paraId="03B1FE26" w14:textId="77777777" w:rsidR="000F64AE" w:rsidRPr="00B920E9" w:rsidRDefault="000F64AE" w:rsidP="000F64AE">
            <w:pPr>
              <w:spacing w:after="0" w:line="240" w:lineRule="auto"/>
              <w:textAlignment w:val="baseline"/>
              <w:rPr>
                <w:rFonts w:ascii="Century Gothic" w:eastAsia="Times New Roman" w:hAnsi="Century Gothic" w:cs="Arial"/>
                <w:sz w:val="14"/>
                <w:szCs w:val="14"/>
                <w:lang w:val="es-MX" w:eastAsia="es-CO"/>
              </w:rPr>
            </w:pPr>
            <w:r w:rsidRPr="00B920E9">
              <w:rPr>
                <w:rFonts w:ascii="Century Gothic" w:eastAsia="Times New Roman" w:hAnsi="Century Gothic" w:cs="Arial"/>
                <w:sz w:val="14"/>
                <w:szCs w:val="14"/>
                <w:lang w:val="es-MX" w:eastAsia="es-CO"/>
              </w:rPr>
              <w:t>Diego Andrés Zambrano Pérez</w:t>
            </w:r>
          </w:p>
          <w:p w14:paraId="5E6FA7D5" w14:textId="77777777" w:rsidR="000F64AE" w:rsidRPr="00B920E9" w:rsidRDefault="000F64AE" w:rsidP="000F64AE">
            <w:pPr>
              <w:spacing w:after="0" w:line="240" w:lineRule="auto"/>
              <w:textAlignment w:val="baseline"/>
              <w:rPr>
                <w:rFonts w:ascii="Century Gothic" w:eastAsia="Times New Roman" w:hAnsi="Century Gothic" w:cs="Arial"/>
                <w:sz w:val="14"/>
                <w:szCs w:val="14"/>
                <w:lang w:val="es-MX" w:eastAsia="es-CO"/>
              </w:rPr>
            </w:pPr>
            <w:r w:rsidRPr="00B920E9">
              <w:rPr>
                <w:rFonts w:ascii="Century Gothic" w:eastAsia="Times New Roman" w:hAnsi="Century Gothic" w:cs="Arial"/>
                <w:sz w:val="14"/>
                <w:szCs w:val="14"/>
                <w:lang w:val="es-MX" w:eastAsia="es-CO"/>
              </w:rPr>
              <w:t>Contratista de la Subdirección de Gestión Contractual</w:t>
            </w:r>
          </w:p>
        </w:tc>
      </w:tr>
      <w:tr w:rsidR="000F64AE" w:rsidRPr="00B920E9" w14:paraId="6B5CCADA" w14:textId="77777777" w:rsidTr="006D2198">
        <w:trPr>
          <w:trHeight w:val="315"/>
        </w:trPr>
        <w:tc>
          <w:tcPr>
            <w:tcW w:w="596" w:type="dxa"/>
            <w:tcBorders>
              <w:top w:val="nil"/>
              <w:left w:val="nil"/>
              <w:bottom w:val="nil"/>
              <w:right w:val="nil"/>
            </w:tcBorders>
            <w:shd w:val="clear" w:color="auto" w:fill="auto"/>
            <w:vAlign w:val="center"/>
            <w:hideMark/>
          </w:tcPr>
          <w:p w14:paraId="4F07296F" w14:textId="77777777" w:rsidR="000F64AE" w:rsidRPr="00B920E9" w:rsidRDefault="000F64AE" w:rsidP="000F64AE">
            <w:pPr>
              <w:spacing w:after="0" w:line="240" w:lineRule="auto"/>
              <w:textAlignment w:val="baseline"/>
              <w:rPr>
                <w:rFonts w:ascii="Century Gothic" w:eastAsia="Times New Roman" w:hAnsi="Century Gothic" w:cs="Arial"/>
                <w:sz w:val="14"/>
                <w:szCs w:val="14"/>
                <w:lang w:val="es-MX" w:eastAsia="es-CO"/>
              </w:rPr>
            </w:pPr>
            <w:r w:rsidRPr="00B920E9">
              <w:rPr>
                <w:rFonts w:ascii="Century Gothic" w:eastAsia="Times New Roman" w:hAnsi="Century Gothic" w:cs="Arial"/>
                <w:sz w:val="14"/>
                <w:szCs w:val="14"/>
                <w:lang w:val="es-MX" w:eastAsia="es-CO"/>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60CD6AC1" w14:textId="77777777" w:rsidR="000F64AE" w:rsidRPr="00B920E9" w:rsidRDefault="000F64AE" w:rsidP="000F64AE">
            <w:pPr>
              <w:spacing w:after="0" w:line="240" w:lineRule="auto"/>
              <w:textAlignment w:val="baseline"/>
              <w:rPr>
                <w:rFonts w:ascii="Century Gothic" w:eastAsia="Times New Roman" w:hAnsi="Century Gothic" w:cs="Arial"/>
                <w:sz w:val="14"/>
                <w:szCs w:val="14"/>
                <w:lang w:val="es-MX" w:eastAsia="es-CO"/>
              </w:rPr>
            </w:pPr>
            <w:r w:rsidRPr="00B920E9">
              <w:rPr>
                <w:rFonts w:ascii="Century Gothic" w:eastAsia="Times New Roman" w:hAnsi="Century Gothic" w:cs="Arial"/>
                <w:sz w:val="14"/>
                <w:szCs w:val="14"/>
                <w:lang w:val="es-MX" w:eastAsia="es-CO"/>
              </w:rPr>
              <w:t>Juan David Cárdenas Cabeza</w:t>
            </w:r>
          </w:p>
          <w:p w14:paraId="43854960" w14:textId="77777777" w:rsidR="000F64AE" w:rsidRPr="00B920E9" w:rsidRDefault="000F64AE" w:rsidP="000F64AE">
            <w:pPr>
              <w:spacing w:after="0" w:line="240" w:lineRule="auto"/>
              <w:textAlignment w:val="baseline"/>
              <w:rPr>
                <w:rFonts w:ascii="Century Gothic" w:eastAsia="Times New Roman" w:hAnsi="Century Gothic" w:cs="Arial"/>
                <w:sz w:val="14"/>
                <w:szCs w:val="14"/>
                <w:lang w:val="es-MX" w:eastAsia="es-CO"/>
              </w:rPr>
            </w:pPr>
            <w:r w:rsidRPr="00B920E9">
              <w:rPr>
                <w:rFonts w:ascii="Century Gothic" w:eastAsia="Times New Roman" w:hAnsi="Century Gothic" w:cs="Arial"/>
                <w:sz w:val="14"/>
                <w:szCs w:val="14"/>
                <w:lang w:val="es-MX" w:eastAsia="es-CO"/>
              </w:rPr>
              <w:t>Contratista de la Subdirección de Gestión Contractual</w:t>
            </w:r>
          </w:p>
        </w:tc>
      </w:tr>
      <w:tr w:rsidR="000F64AE" w:rsidRPr="00B920E9" w14:paraId="7C05B91D" w14:textId="77777777" w:rsidTr="006D2198">
        <w:trPr>
          <w:trHeight w:val="300"/>
        </w:trPr>
        <w:tc>
          <w:tcPr>
            <w:tcW w:w="596" w:type="dxa"/>
            <w:tcBorders>
              <w:top w:val="nil"/>
              <w:left w:val="nil"/>
              <w:bottom w:val="nil"/>
              <w:right w:val="nil"/>
            </w:tcBorders>
            <w:shd w:val="clear" w:color="auto" w:fill="auto"/>
            <w:vAlign w:val="center"/>
            <w:hideMark/>
          </w:tcPr>
          <w:p w14:paraId="61DF0B5F" w14:textId="77777777" w:rsidR="000F64AE" w:rsidRPr="00B920E9" w:rsidRDefault="000F64AE" w:rsidP="000F64AE">
            <w:pPr>
              <w:spacing w:after="0" w:line="240" w:lineRule="auto"/>
              <w:textAlignment w:val="baseline"/>
              <w:rPr>
                <w:rFonts w:ascii="Century Gothic" w:eastAsia="Times New Roman" w:hAnsi="Century Gothic" w:cs="Arial"/>
                <w:sz w:val="14"/>
                <w:szCs w:val="14"/>
                <w:lang w:val="es-MX" w:eastAsia="es-CO"/>
              </w:rPr>
            </w:pPr>
            <w:r w:rsidRPr="00B920E9">
              <w:rPr>
                <w:rFonts w:ascii="Century Gothic" w:eastAsia="Times New Roman" w:hAnsi="Century Gothic" w:cs="Arial"/>
                <w:sz w:val="14"/>
                <w:szCs w:val="14"/>
                <w:lang w:val="es-MX" w:eastAsia="es-CO"/>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44C43738" w14:textId="77777777" w:rsidR="000F64AE" w:rsidRPr="00B920E9" w:rsidRDefault="000F64AE" w:rsidP="000F64AE">
            <w:pPr>
              <w:spacing w:after="0" w:line="240" w:lineRule="auto"/>
              <w:textAlignment w:val="baseline"/>
              <w:rPr>
                <w:rFonts w:ascii="Century Gothic" w:eastAsia="Times New Roman" w:hAnsi="Century Gothic" w:cs="Arial"/>
                <w:sz w:val="14"/>
                <w:szCs w:val="14"/>
                <w:lang w:val="es-MX" w:eastAsia="es-CO"/>
              </w:rPr>
            </w:pPr>
            <w:r w:rsidRPr="00B920E9">
              <w:rPr>
                <w:rFonts w:ascii="Century Gothic" w:eastAsia="Times New Roman" w:hAnsi="Century Gothic" w:cs="Arial"/>
                <w:sz w:val="14"/>
                <w:szCs w:val="14"/>
                <w:lang w:val="es-MX" w:eastAsia="es-CO"/>
              </w:rPr>
              <w:t>Nohelia del Carmen Zawady Palacio</w:t>
            </w:r>
          </w:p>
          <w:p w14:paraId="368734EA" w14:textId="77777777" w:rsidR="000F64AE" w:rsidRPr="00B920E9" w:rsidRDefault="000F64AE" w:rsidP="000F64AE">
            <w:pPr>
              <w:spacing w:after="0" w:line="240" w:lineRule="auto"/>
              <w:textAlignment w:val="baseline"/>
              <w:rPr>
                <w:rFonts w:ascii="Century Gothic" w:eastAsia="Times New Roman" w:hAnsi="Century Gothic" w:cs="Arial"/>
                <w:sz w:val="14"/>
                <w:szCs w:val="14"/>
                <w:lang w:val="es-MX" w:eastAsia="es-CO"/>
              </w:rPr>
            </w:pPr>
            <w:r w:rsidRPr="00B920E9">
              <w:rPr>
                <w:rFonts w:ascii="Century Gothic" w:eastAsia="Times New Roman" w:hAnsi="Century Gothic" w:cs="Arial"/>
                <w:sz w:val="14"/>
                <w:szCs w:val="14"/>
                <w:lang w:val="es-MX" w:eastAsia="es-CO"/>
              </w:rPr>
              <w:t>Subdirectora de Gestión Contractual</w:t>
            </w:r>
          </w:p>
        </w:tc>
      </w:tr>
      <w:bookmarkEnd w:id="0"/>
      <w:bookmarkEnd w:id="36"/>
      <w:bookmarkEnd w:id="37"/>
    </w:tbl>
    <w:p w14:paraId="78325406" w14:textId="77777777" w:rsidR="000F64AE" w:rsidRPr="00322A85" w:rsidRDefault="000F64AE" w:rsidP="00607159">
      <w:pPr>
        <w:spacing w:after="0"/>
        <w:rPr>
          <w:rFonts w:ascii="Century Gothic" w:hAnsi="Century Gothic"/>
        </w:rPr>
      </w:pPr>
    </w:p>
    <w:sectPr w:rsidR="000F64AE" w:rsidRPr="00322A85"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A157" w14:textId="77777777" w:rsidR="009C2254" w:rsidRDefault="009C2254" w:rsidP="004A1847">
      <w:pPr>
        <w:spacing w:after="0" w:line="240" w:lineRule="auto"/>
      </w:pPr>
      <w:r>
        <w:separator/>
      </w:r>
    </w:p>
  </w:endnote>
  <w:endnote w:type="continuationSeparator" w:id="0">
    <w:p w14:paraId="413734D0" w14:textId="77777777" w:rsidR="009C2254" w:rsidRDefault="009C2254" w:rsidP="004A1847">
      <w:pPr>
        <w:spacing w:after="0" w:line="240" w:lineRule="auto"/>
      </w:pPr>
      <w:r>
        <w:continuationSeparator/>
      </w:r>
    </w:p>
  </w:endnote>
  <w:endnote w:type="continuationNotice" w:id="1">
    <w:p w14:paraId="41FBE3F7" w14:textId="77777777" w:rsidR="009C2254" w:rsidRDefault="009C2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8FC2" w14:textId="77777777" w:rsidR="009C2254" w:rsidRDefault="009C2254" w:rsidP="004A1847">
      <w:pPr>
        <w:spacing w:after="0" w:line="240" w:lineRule="auto"/>
      </w:pPr>
      <w:r>
        <w:separator/>
      </w:r>
    </w:p>
  </w:footnote>
  <w:footnote w:type="continuationSeparator" w:id="0">
    <w:p w14:paraId="373F036C" w14:textId="77777777" w:rsidR="009C2254" w:rsidRDefault="009C2254" w:rsidP="004A1847">
      <w:pPr>
        <w:spacing w:after="0" w:line="240" w:lineRule="auto"/>
      </w:pPr>
      <w:r>
        <w:continuationSeparator/>
      </w:r>
    </w:p>
  </w:footnote>
  <w:footnote w:type="continuationNotice" w:id="1">
    <w:p w14:paraId="667CEC41" w14:textId="77777777" w:rsidR="009C2254" w:rsidRDefault="009C2254">
      <w:pPr>
        <w:spacing w:after="0" w:line="240" w:lineRule="auto"/>
      </w:pPr>
    </w:p>
  </w:footnote>
  <w:footnote w:id="2">
    <w:p w14:paraId="54B79ADA" w14:textId="77777777" w:rsidR="000F64AE" w:rsidRPr="00051380" w:rsidRDefault="000F64AE" w:rsidP="000F64AE">
      <w:pPr>
        <w:pStyle w:val="Textonotapie"/>
        <w:ind w:firstLine="708"/>
        <w:jc w:val="both"/>
        <w:rPr>
          <w:rFonts w:ascii="Century Gothic" w:hAnsi="Century Gothic" w:cs="Arial"/>
          <w:sz w:val="14"/>
          <w:szCs w:val="14"/>
          <w:lang w:val="es-ES"/>
        </w:rPr>
      </w:pPr>
      <w:r w:rsidRPr="00051380">
        <w:rPr>
          <w:rStyle w:val="Refdenotaalpie"/>
          <w:rFonts w:ascii="Century Gothic" w:eastAsiaTheme="majorEastAsia" w:hAnsi="Century Gothic" w:cs="Arial"/>
          <w:sz w:val="14"/>
          <w:szCs w:val="14"/>
        </w:rPr>
        <w:footnoteRef/>
      </w:r>
      <w:r w:rsidRPr="00051380">
        <w:rPr>
          <w:rFonts w:ascii="Century Gothic" w:hAnsi="Century Gothic" w:cs="Arial"/>
          <w:sz w:val="14"/>
          <w:szCs w:val="14"/>
        </w:rPr>
        <w:t xml:space="preserve"> La Agencia Nacional de Contratación Pública -Colombia Compra Eficiente- fue creada por el Decreto-Ley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sidRPr="00051380">
        <w:rPr>
          <w:rFonts w:ascii="Century Gothic" w:hAnsi="Century Gothic" w:cs="Arial"/>
          <w:i/>
          <w:iCs/>
          <w:sz w:val="14"/>
          <w:szCs w:val="14"/>
        </w:rPr>
        <w:t xml:space="preserve">ibidem </w:t>
      </w:r>
      <w:r w:rsidRPr="00051380">
        <w:rPr>
          <w:rFonts w:ascii="Century Gothic" w:hAnsi="Century Gothic" w:cs="Arial"/>
          <w:sz w:val="14"/>
          <w:szCs w:val="14"/>
        </w:rPr>
        <w:t xml:space="preserve">señala, de manera precisa, las funciones de la entidad. Concretamente, el numeral 5º del citado artículo establece que le corresponde a esta entidad: </w:t>
      </w:r>
      <w:r w:rsidRPr="00051380">
        <w:rPr>
          <w:rFonts w:ascii="Century Gothic" w:hAnsi="Century Gothic" w:cs="Arial"/>
          <w:i/>
          <w:iCs/>
          <w:sz w:val="14"/>
          <w:szCs w:val="14"/>
        </w:rPr>
        <w:t>“[a]</w:t>
      </w:r>
      <w:proofErr w:type="spellStart"/>
      <w:r w:rsidRPr="00051380">
        <w:rPr>
          <w:rFonts w:ascii="Century Gothic" w:hAnsi="Century Gothic" w:cs="Arial"/>
          <w:i/>
          <w:iCs/>
          <w:sz w:val="14"/>
          <w:szCs w:val="14"/>
        </w:rPr>
        <w:t>bsolver</w:t>
      </w:r>
      <w:proofErr w:type="spellEnd"/>
      <w:r w:rsidRPr="00051380">
        <w:rPr>
          <w:rFonts w:ascii="Century Gothic" w:hAnsi="Century Gothic" w:cs="Arial"/>
          <w:i/>
          <w:iCs/>
          <w:sz w:val="14"/>
          <w:szCs w:val="14"/>
        </w:rPr>
        <w:t xml:space="preserve"> consultas sobre la aplicación de normas de carácter general y expedir circulares externas en materia de compras y contratación pública”</w:t>
      </w:r>
      <w:r w:rsidRPr="00051380">
        <w:rPr>
          <w:rFonts w:ascii="Century Gothic" w:hAnsi="Century Gothic" w:cs="Arial"/>
          <w:sz w:val="14"/>
          <w:szCs w:val="14"/>
        </w:rPr>
        <w:t xml:space="preserve">. A su turno, el numeral 8º del artículo 11 </w:t>
      </w:r>
      <w:r w:rsidRPr="00051380">
        <w:rPr>
          <w:rFonts w:ascii="Century Gothic" w:hAnsi="Century Gothic" w:cs="Arial"/>
          <w:i/>
          <w:iCs/>
          <w:sz w:val="14"/>
          <w:szCs w:val="14"/>
        </w:rPr>
        <w:t>ibidem</w:t>
      </w:r>
      <w:r w:rsidRPr="00051380">
        <w:rPr>
          <w:rFonts w:ascii="Century Gothic" w:hAnsi="Century Gothic" w:cs="Arial"/>
          <w:sz w:val="14"/>
          <w:szCs w:val="14"/>
        </w:rPr>
        <w:t xml:space="preserve"> indica que es función de la Subdirección de Gestión Contractual: </w:t>
      </w:r>
      <w:r w:rsidRPr="00051380">
        <w:rPr>
          <w:rFonts w:ascii="Century Gothic" w:hAnsi="Century Gothic" w:cs="Arial"/>
          <w:i/>
          <w:iCs/>
          <w:sz w:val="14"/>
          <w:szCs w:val="14"/>
        </w:rPr>
        <w:t>“[a]</w:t>
      </w:r>
      <w:proofErr w:type="spellStart"/>
      <w:r w:rsidRPr="00051380">
        <w:rPr>
          <w:rFonts w:ascii="Century Gothic" w:hAnsi="Century Gothic" w:cs="Arial"/>
          <w:i/>
          <w:iCs/>
          <w:sz w:val="14"/>
          <w:szCs w:val="14"/>
        </w:rPr>
        <w:t>bsolver</w:t>
      </w:r>
      <w:proofErr w:type="spellEnd"/>
      <w:r w:rsidRPr="00051380">
        <w:rPr>
          <w:rFonts w:ascii="Century Gothic" w:hAnsi="Century Gothic" w:cs="Arial"/>
          <w:i/>
          <w:iCs/>
          <w:sz w:val="14"/>
          <w:szCs w:val="14"/>
        </w:rPr>
        <w:t xml:space="preserve"> consultas sobre la aplicación de normas de carácter general”</w:t>
      </w:r>
      <w:r w:rsidRPr="00051380">
        <w:rPr>
          <w:rFonts w:ascii="Century Gothic" w:hAnsi="Century Gothic" w:cs="Arial"/>
          <w:sz w:val="14"/>
          <w:szCs w:val="14"/>
        </w:rPr>
        <w:t>.</w:t>
      </w:r>
    </w:p>
  </w:footnote>
  <w:footnote w:id="3">
    <w:p w14:paraId="22BC7D55" w14:textId="77777777" w:rsidR="000F64AE" w:rsidRPr="00051380" w:rsidRDefault="000F64AE" w:rsidP="000F64AE">
      <w:pPr>
        <w:pStyle w:val="Textonotapie"/>
        <w:spacing w:after="160"/>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051380">
          <w:rPr>
            <w:rStyle w:val="Hipervnculo"/>
            <w:rFonts w:ascii="Century Gothic" w:hAnsi="Century Gothic" w:cs="Arial"/>
            <w:sz w:val="14"/>
            <w:szCs w:val="14"/>
          </w:rPr>
          <w:t>https://relatoria.colombiacompra.gov.co/busqueda/conceptos</w:t>
        </w:r>
      </w:hyperlink>
      <w:r w:rsidRPr="00051380">
        <w:rPr>
          <w:rStyle w:val="Hipervnculo"/>
          <w:rFonts w:ascii="Century Gothic" w:hAnsi="Century Gothic" w:cs="Arial"/>
          <w:sz w:val="14"/>
          <w:szCs w:val="14"/>
        </w:rPr>
        <w:t>.</w:t>
      </w:r>
    </w:p>
  </w:footnote>
  <w:footnote w:id="4">
    <w:p w14:paraId="3420DB14" w14:textId="77777777" w:rsidR="000F64AE" w:rsidRPr="00051380" w:rsidRDefault="000F64AE" w:rsidP="000F64AE">
      <w:pPr>
        <w:pStyle w:val="NormalWeb"/>
        <w:spacing w:before="0" w:beforeAutospacing="0" w:after="0" w:afterAutospacing="0"/>
        <w:ind w:firstLine="709"/>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w:t>
      </w:r>
      <w:r w:rsidRPr="00051380">
        <w:rPr>
          <w:rFonts w:ascii="Century Gothic" w:hAnsi="Century Gothic" w:cs="Arial"/>
          <w:sz w:val="14"/>
          <w:szCs w:val="14"/>
          <w:lang w:val="es-ES"/>
        </w:rPr>
        <w:t>“</w:t>
      </w:r>
      <w:r w:rsidRPr="00051380">
        <w:rPr>
          <w:rFonts w:ascii="Century Gothic" w:hAnsi="Century Gothic" w:cs="Arial"/>
          <w:sz w:val="14"/>
          <w:szCs w:val="14"/>
        </w:rPr>
        <w:t>Para poder participar en los procesos de selección de los contratos de obra, la capacidad residual del proponente o K de contratación deberá ser igual o superior al que la entidad haya establecido para el efecto en los pliegos de condiciones. 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6B8166C1" w14:textId="77777777" w:rsidR="000F64AE" w:rsidRPr="00051380" w:rsidRDefault="000F64AE" w:rsidP="000F64AE">
      <w:pPr>
        <w:ind w:firstLine="709"/>
        <w:jc w:val="both"/>
        <w:rPr>
          <w:rFonts w:ascii="Century Gothic" w:hAnsi="Century Gothic" w:cs="Arial"/>
          <w:sz w:val="14"/>
          <w:szCs w:val="14"/>
        </w:rPr>
      </w:pPr>
    </w:p>
  </w:footnote>
  <w:footnote w:id="5">
    <w:p w14:paraId="5E4FE7CF" w14:textId="77777777" w:rsidR="000F64AE" w:rsidRPr="00051380" w:rsidRDefault="000F64AE" w:rsidP="000F64AE">
      <w:pPr>
        <w:pStyle w:val="Textonotapie"/>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Cfr. Corte Constitucional. Sentencia C-569 de 2004. M.P. Rodrigo Uprimny Yepes.</w:t>
      </w:r>
    </w:p>
    <w:p w14:paraId="3A7CC70B" w14:textId="77777777" w:rsidR="000F64AE" w:rsidRPr="00051380" w:rsidRDefault="000F64AE" w:rsidP="000F64AE">
      <w:pPr>
        <w:pStyle w:val="Textonotapie"/>
        <w:ind w:firstLine="708"/>
        <w:jc w:val="both"/>
        <w:rPr>
          <w:rFonts w:ascii="Century Gothic" w:hAnsi="Century Gothic" w:cs="Arial"/>
          <w:sz w:val="14"/>
          <w:szCs w:val="14"/>
          <w:lang w:val="es-ES"/>
        </w:rPr>
      </w:pPr>
    </w:p>
  </w:footnote>
  <w:footnote w:id="6">
    <w:p w14:paraId="5FECB87A" w14:textId="77777777" w:rsidR="000F64AE" w:rsidRPr="00051380" w:rsidRDefault="000F64AE" w:rsidP="000F64AE">
      <w:pPr>
        <w:pStyle w:val="Textonotapie"/>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Cfr. Consejo de Estado. Sección Tercera. Providencias del 11 de diciembre de 2002, dictada dentro del expediente AG-1683, y del 18 de octubre de 2001, proferida dentro del plenario AG-021.</w:t>
      </w:r>
    </w:p>
    <w:p w14:paraId="176E051A" w14:textId="77777777" w:rsidR="000F64AE" w:rsidRPr="00051380" w:rsidRDefault="000F64AE" w:rsidP="000F64AE">
      <w:pPr>
        <w:pStyle w:val="Textonotapie"/>
        <w:ind w:firstLine="708"/>
        <w:jc w:val="both"/>
        <w:rPr>
          <w:rFonts w:ascii="Century Gothic" w:hAnsi="Century Gothic" w:cs="Arial"/>
          <w:sz w:val="14"/>
          <w:szCs w:val="14"/>
          <w:lang w:val="es-ES"/>
        </w:rPr>
      </w:pPr>
    </w:p>
  </w:footnote>
  <w:footnote w:id="7">
    <w:p w14:paraId="72C675AF" w14:textId="77777777" w:rsidR="000F64AE" w:rsidRPr="00051380" w:rsidRDefault="000F64AE" w:rsidP="000F64AE">
      <w:pPr>
        <w:pStyle w:val="Textonotapie"/>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Gaceta 096 de 2007. Pág. 9. Allí se lee: </w:t>
      </w:r>
      <w:r w:rsidRPr="00051380">
        <w:rPr>
          <w:rFonts w:ascii="Century Gothic" w:hAnsi="Century Gothic" w:cs="Arial"/>
          <w:i/>
          <w:iCs/>
          <w:sz w:val="14"/>
          <w:szCs w:val="14"/>
        </w:rPr>
        <w:t>“</w:t>
      </w:r>
      <w:r w:rsidRPr="00051380">
        <w:rPr>
          <w:rFonts w:ascii="Century Gothic" w:hAnsi="Century Gothic" w:cs="Arial"/>
          <w:sz w:val="14"/>
          <w:szCs w:val="14"/>
        </w:rPr>
        <w:t xml:space="preserve">Parágrafo 2°. Nuevo. Se adiciona un parágrafo nuevo para </w:t>
      </w:r>
      <w:r w:rsidRPr="00051380">
        <w:rPr>
          <w:rFonts w:ascii="Century Gothic" w:hAnsi="Century Gothic" w:cs="Arial"/>
          <w:i/>
          <w:iCs/>
          <w:sz w:val="14"/>
          <w:szCs w:val="14"/>
        </w:rPr>
        <w:t>establecer de manera concreta</w:t>
      </w:r>
      <w:r w:rsidRPr="00051380">
        <w:rPr>
          <w:rFonts w:ascii="Century Gothic" w:hAnsi="Century Gothic" w:cs="Arial"/>
          <w:sz w:val="14"/>
          <w:szCs w:val="14"/>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w:t>
      </w:r>
      <w:r w:rsidRPr="00051380">
        <w:rPr>
          <w:rFonts w:ascii="Century Gothic" w:hAnsi="Century Gothic" w:cs="Arial"/>
          <w:i/>
          <w:iCs/>
          <w:sz w:val="14"/>
          <w:szCs w:val="14"/>
        </w:rPr>
        <w:t>”</w:t>
      </w:r>
      <w:r w:rsidRPr="00051380">
        <w:rPr>
          <w:rFonts w:ascii="Century Gothic" w:hAnsi="Century Gothic" w:cs="Arial"/>
          <w:sz w:val="14"/>
          <w:szCs w:val="14"/>
        </w:rPr>
        <w:t xml:space="preserve"> (Cursivas propias). </w:t>
      </w:r>
    </w:p>
    <w:p w14:paraId="429DA01A" w14:textId="77777777" w:rsidR="000F64AE" w:rsidRPr="00051380" w:rsidRDefault="000F64AE" w:rsidP="000F64AE">
      <w:pPr>
        <w:pStyle w:val="Textonotapie"/>
        <w:ind w:firstLine="708"/>
        <w:jc w:val="both"/>
        <w:rPr>
          <w:rFonts w:ascii="Century Gothic" w:hAnsi="Century Gothic" w:cs="Arial"/>
          <w:sz w:val="14"/>
          <w:szCs w:val="14"/>
          <w:lang w:val="es-ES"/>
        </w:rPr>
      </w:pPr>
    </w:p>
  </w:footnote>
  <w:footnote w:id="8">
    <w:p w14:paraId="3413E415" w14:textId="77777777" w:rsidR="000F64AE" w:rsidRPr="00051380" w:rsidRDefault="000F64AE" w:rsidP="000F64AE">
      <w:pPr>
        <w:pStyle w:val="NormalWeb"/>
        <w:spacing w:before="0" w:beforeAutospacing="0" w:after="0" w:afterAutospacing="0"/>
        <w:ind w:firstLine="708"/>
        <w:jc w:val="both"/>
        <w:rPr>
          <w:rFonts w:ascii="Century Gothic" w:hAnsi="Century Gothic" w:cs="Arial"/>
          <w:color w:val="000000"/>
          <w:sz w:val="14"/>
          <w:szCs w:val="14"/>
        </w:rPr>
      </w:pPr>
      <w:r w:rsidRPr="00051380">
        <w:rPr>
          <w:rStyle w:val="Refdenotaalpie"/>
          <w:rFonts w:ascii="Century Gothic" w:hAnsi="Century Gothic" w:cs="Arial"/>
          <w:sz w:val="14"/>
          <w:szCs w:val="14"/>
        </w:rPr>
        <w:footnoteRef/>
      </w:r>
      <w:r w:rsidRPr="00051380">
        <w:rPr>
          <w:rFonts w:ascii="Century Gothic" w:hAnsi="Century Gothic" w:cs="Arial"/>
          <w:i/>
          <w:iCs/>
          <w:sz w:val="14"/>
          <w:szCs w:val="14"/>
        </w:rPr>
        <w:t>“</w:t>
      </w:r>
      <w:r w:rsidRPr="00051380">
        <w:rPr>
          <w:rStyle w:val="Textoennegrita"/>
          <w:rFonts w:ascii="Century Gothic" w:hAnsi="Century Gothic" w:cs="Arial"/>
          <w:color w:val="000000"/>
          <w:sz w:val="14"/>
          <w:szCs w:val="14"/>
        </w:rPr>
        <w:t>Artículo 2.2.1.1.1.5.3. </w:t>
      </w:r>
      <w:r w:rsidRPr="00051380">
        <w:rPr>
          <w:rStyle w:val="nfasis"/>
          <w:rFonts w:ascii="Century Gothic" w:hAnsi="Century Gothic" w:cs="Arial"/>
          <w:color w:val="000000"/>
          <w:sz w:val="14"/>
          <w:szCs w:val="14"/>
        </w:rPr>
        <w:t>Requisitos habilitantes contenidos en el RUP. </w:t>
      </w:r>
      <w:r w:rsidRPr="00051380">
        <w:rPr>
          <w:rFonts w:ascii="Century Gothic" w:hAnsi="Century Gothic" w:cs="Arial"/>
          <w:color w:val="000000"/>
          <w:sz w:val="14"/>
          <w:szCs w:val="14"/>
        </w:rPr>
        <w:t>Las cámaras de comercio, con base en la información a la que hace referencia el artículo anterior, deben verificar y certificar los siguientes requisitos habilitantes:</w:t>
      </w:r>
    </w:p>
    <w:p w14:paraId="7A21BCE9" w14:textId="77777777" w:rsidR="000F64AE" w:rsidRPr="00051380" w:rsidRDefault="000F64AE" w:rsidP="000F64AE">
      <w:pPr>
        <w:pStyle w:val="NormalWeb"/>
        <w:spacing w:before="0" w:beforeAutospacing="0" w:after="0" w:afterAutospacing="0"/>
        <w:ind w:firstLine="708"/>
        <w:jc w:val="both"/>
        <w:rPr>
          <w:rFonts w:ascii="Century Gothic" w:hAnsi="Century Gothic" w:cs="Arial"/>
          <w:color w:val="000000"/>
          <w:sz w:val="14"/>
          <w:szCs w:val="14"/>
        </w:rPr>
      </w:pPr>
      <w:r w:rsidRPr="00051380">
        <w:rPr>
          <w:rFonts w:ascii="Century Gothic" w:hAnsi="Century Gothic" w:cs="Arial"/>
          <w:color w:val="000000"/>
          <w:sz w:val="14"/>
          <w:szCs w:val="14"/>
        </w:rPr>
        <w:t xml:space="preserve">1. Experiencia – Los contratos celebrados por el interesado para cada uno de los bienes, obras y servicios que ofrecerá a las Entidades Estatales, identificados con el Clasificador de Bienes y Servicios en el tercer nivel y su valor expresado en </w:t>
      </w:r>
      <w:proofErr w:type="spellStart"/>
      <w:r w:rsidRPr="00051380">
        <w:rPr>
          <w:rFonts w:ascii="Century Gothic" w:hAnsi="Century Gothic" w:cs="Arial"/>
          <w:color w:val="000000"/>
          <w:sz w:val="14"/>
          <w:szCs w:val="14"/>
        </w:rPr>
        <w:t>smmlv</w:t>
      </w:r>
      <w:proofErr w:type="spellEnd"/>
      <w:r w:rsidRPr="00051380">
        <w:rPr>
          <w:rFonts w:ascii="Century Gothic" w:hAnsi="Century Gothic" w:cs="Arial"/>
          <w:color w:val="000000"/>
          <w:sz w:val="14"/>
          <w:szCs w:val="14"/>
        </w:rPr>
        <w:t>.</w:t>
      </w:r>
    </w:p>
    <w:p w14:paraId="7B593B30" w14:textId="77777777" w:rsidR="000F64AE" w:rsidRPr="00051380" w:rsidRDefault="000F64AE" w:rsidP="000F64AE">
      <w:pPr>
        <w:pStyle w:val="NormalWeb"/>
        <w:spacing w:before="0" w:beforeAutospacing="0" w:after="0" w:afterAutospacing="0"/>
        <w:ind w:firstLine="708"/>
        <w:jc w:val="both"/>
        <w:rPr>
          <w:rFonts w:ascii="Century Gothic" w:hAnsi="Century Gothic" w:cs="Arial"/>
          <w:color w:val="000000"/>
          <w:sz w:val="14"/>
          <w:szCs w:val="14"/>
        </w:rPr>
      </w:pPr>
      <w:r w:rsidRPr="00051380">
        <w:rPr>
          <w:rFonts w:ascii="Century Gothic" w:hAnsi="Century Gothic" w:cs="Arial"/>
          <w:color w:val="000000"/>
          <w:sz w:val="14"/>
          <w:szCs w:val="14"/>
        </w:rPr>
        <w:t xml:space="preserve">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w:t>
      </w:r>
      <w:proofErr w:type="spellStart"/>
      <w:r w:rsidRPr="00051380">
        <w:rPr>
          <w:rFonts w:ascii="Century Gothic" w:hAnsi="Century Gothic" w:cs="Arial"/>
          <w:color w:val="000000"/>
          <w:sz w:val="14"/>
          <w:szCs w:val="14"/>
        </w:rPr>
        <w:t>smmlv</w:t>
      </w:r>
      <w:proofErr w:type="spellEnd"/>
      <w:r w:rsidRPr="00051380">
        <w:rPr>
          <w:rFonts w:ascii="Century Gothic" w:hAnsi="Century Gothic" w:cs="Arial"/>
          <w:color w:val="000000"/>
          <w:sz w:val="14"/>
          <w:szCs w:val="14"/>
        </w:rPr>
        <w:t>.</w:t>
      </w:r>
    </w:p>
    <w:p w14:paraId="2940AD14" w14:textId="77777777" w:rsidR="000F64AE" w:rsidRPr="00051380" w:rsidRDefault="000F64AE" w:rsidP="000F64AE">
      <w:pPr>
        <w:pStyle w:val="NormalWeb"/>
        <w:spacing w:before="0" w:beforeAutospacing="0" w:after="0" w:afterAutospacing="0"/>
        <w:ind w:firstLine="708"/>
        <w:jc w:val="both"/>
        <w:rPr>
          <w:rFonts w:ascii="Century Gothic" w:hAnsi="Century Gothic" w:cs="Arial"/>
          <w:color w:val="000000"/>
          <w:sz w:val="14"/>
          <w:szCs w:val="14"/>
        </w:rPr>
      </w:pPr>
      <w:r w:rsidRPr="00051380">
        <w:rPr>
          <w:rFonts w:ascii="Century Gothic" w:hAnsi="Century Gothic" w:cs="Arial"/>
          <w:color w:val="000000"/>
          <w:sz w:val="14"/>
          <w:szCs w:val="14"/>
        </w:rPr>
        <w:t>2. Capacidad Jurídica – La capacidad jurídica del proponente para prestar los bienes, obras, o servicios que ofrecerá a las Entidades Estatales y la capacidad del representante legal de las personas jurídicas para celebrar contratos y si requiere, autorizaciones para el efecto con ocasión de los límites a la capacidad del representante legal del interesado en relación con el monto y el tipo de las obligaciones que puede adquirir a nombre del interesado.</w:t>
      </w:r>
    </w:p>
    <w:p w14:paraId="313CAFDC" w14:textId="77777777" w:rsidR="000F64AE" w:rsidRPr="00051380" w:rsidRDefault="000F64AE" w:rsidP="000F64AE">
      <w:pPr>
        <w:pStyle w:val="NormalWeb"/>
        <w:spacing w:before="0" w:beforeAutospacing="0" w:after="0" w:afterAutospacing="0"/>
        <w:ind w:firstLine="708"/>
        <w:jc w:val="both"/>
        <w:rPr>
          <w:rFonts w:ascii="Century Gothic" w:hAnsi="Century Gothic" w:cs="Arial"/>
          <w:color w:val="000000"/>
          <w:sz w:val="14"/>
          <w:szCs w:val="14"/>
        </w:rPr>
      </w:pPr>
      <w:r w:rsidRPr="00051380">
        <w:rPr>
          <w:rFonts w:ascii="Century Gothic" w:hAnsi="Century Gothic" w:cs="Arial"/>
          <w:color w:val="000000"/>
          <w:sz w:val="14"/>
          <w:szCs w:val="14"/>
        </w:rPr>
        <w:t>3. Capacidad Financiera – los siguientes indicadores miden la fortaleza financiera del interesado:</w:t>
      </w:r>
    </w:p>
    <w:p w14:paraId="00334B5D" w14:textId="77777777" w:rsidR="000F64AE" w:rsidRPr="00051380" w:rsidRDefault="000F64AE" w:rsidP="000F64AE">
      <w:pPr>
        <w:pStyle w:val="NormalWeb"/>
        <w:spacing w:before="0" w:beforeAutospacing="0" w:after="0" w:afterAutospacing="0"/>
        <w:ind w:firstLine="708"/>
        <w:jc w:val="both"/>
        <w:rPr>
          <w:rFonts w:ascii="Century Gothic" w:hAnsi="Century Gothic" w:cs="Arial"/>
          <w:color w:val="000000"/>
          <w:sz w:val="14"/>
          <w:szCs w:val="14"/>
        </w:rPr>
      </w:pPr>
      <w:r w:rsidRPr="00051380">
        <w:rPr>
          <w:rFonts w:ascii="Century Gothic" w:hAnsi="Century Gothic" w:cs="Arial"/>
          <w:color w:val="000000"/>
          <w:sz w:val="14"/>
          <w:szCs w:val="14"/>
        </w:rPr>
        <w:t>3.1. Índice de liquidez: activo corriente dividido por el pasivo corriente.</w:t>
      </w:r>
    </w:p>
    <w:p w14:paraId="4ADEEA5A" w14:textId="77777777" w:rsidR="000F64AE" w:rsidRPr="00051380" w:rsidRDefault="000F64AE" w:rsidP="000F64AE">
      <w:pPr>
        <w:pStyle w:val="NormalWeb"/>
        <w:spacing w:before="0" w:beforeAutospacing="0" w:after="0" w:afterAutospacing="0"/>
        <w:ind w:firstLine="708"/>
        <w:jc w:val="both"/>
        <w:rPr>
          <w:rFonts w:ascii="Century Gothic" w:hAnsi="Century Gothic" w:cs="Arial"/>
          <w:color w:val="000000"/>
          <w:sz w:val="14"/>
          <w:szCs w:val="14"/>
        </w:rPr>
      </w:pPr>
      <w:r w:rsidRPr="00051380">
        <w:rPr>
          <w:rFonts w:ascii="Century Gothic" w:hAnsi="Century Gothic" w:cs="Arial"/>
          <w:color w:val="000000"/>
          <w:sz w:val="14"/>
          <w:szCs w:val="14"/>
        </w:rPr>
        <w:t>3.2. Índice de endeudamiento: pasivo total dividido por el activo total.</w:t>
      </w:r>
    </w:p>
    <w:p w14:paraId="64D1680B" w14:textId="77777777" w:rsidR="000F64AE" w:rsidRPr="00051380" w:rsidRDefault="000F64AE" w:rsidP="000F64AE">
      <w:pPr>
        <w:pStyle w:val="NormalWeb"/>
        <w:spacing w:before="0" w:beforeAutospacing="0" w:after="0" w:afterAutospacing="0"/>
        <w:ind w:firstLine="708"/>
        <w:jc w:val="both"/>
        <w:rPr>
          <w:rFonts w:ascii="Century Gothic" w:hAnsi="Century Gothic" w:cs="Arial"/>
          <w:color w:val="000000"/>
          <w:sz w:val="14"/>
          <w:szCs w:val="14"/>
        </w:rPr>
      </w:pPr>
      <w:r w:rsidRPr="00051380">
        <w:rPr>
          <w:rFonts w:ascii="Century Gothic" w:hAnsi="Century Gothic" w:cs="Arial"/>
          <w:color w:val="000000"/>
          <w:sz w:val="14"/>
          <w:szCs w:val="14"/>
        </w:rPr>
        <w:t>3.3. Razón de cobertura de intereses: utilidad operacional dividida por los gastos de intereses.</w:t>
      </w:r>
    </w:p>
    <w:p w14:paraId="5091650E" w14:textId="77777777" w:rsidR="000F64AE" w:rsidRPr="00051380" w:rsidRDefault="000F64AE" w:rsidP="000F64AE">
      <w:pPr>
        <w:pStyle w:val="NormalWeb"/>
        <w:spacing w:before="0" w:beforeAutospacing="0" w:after="0" w:afterAutospacing="0"/>
        <w:ind w:firstLine="708"/>
        <w:jc w:val="both"/>
        <w:rPr>
          <w:rFonts w:ascii="Century Gothic" w:hAnsi="Century Gothic" w:cs="Arial"/>
          <w:color w:val="000000"/>
          <w:sz w:val="14"/>
          <w:szCs w:val="14"/>
        </w:rPr>
      </w:pPr>
      <w:r w:rsidRPr="00051380">
        <w:rPr>
          <w:rFonts w:ascii="Century Gothic" w:hAnsi="Century Gothic" w:cs="Arial"/>
          <w:color w:val="000000"/>
          <w:sz w:val="14"/>
          <w:szCs w:val="14"/>
        </w:rPr>
        <w:t>4. Capacidad Organizacional – los siguientes indicadores miden el rendimiento de las inversiones y la eficiencia en el uso de activos del interesado:</w:t>
      </w:r>
    </w:p>
    <w:p w14:paraId="74DEBBF9" w14:textId="77777777" w:rsidR="000F64AE" w:rsidRPr="00051380" w:rsidRDefault="000F64AE" w:rsidP="000F64AE">
      <w:pPr>
        <w:pStyle w:val="NormalWeb"/>
        <w:spacing w:before="0" w:beforeAutospacing="0" w:after="0" w:afterAutospacing="0"/>
        <w:ind w:firstLine="708"/>
        <w:jc w:val="both"/>
        <w:rPr>
          <w:rFonts w:ascii="Century Gothic" w:hAnsi="Century Gothic" w:cs="Arial"/>
          <w:color w:val="000000"/>
          <w:sz w:val="14"/>
          <w:szCs w:val="14"/>
        </w:rPr>
      </w:pPr>
      <w:r w:rsidRPr="00051380">
        <w:rPr>
          <w:rFonts w:ascii="Century Gothic" w:hAnsi="Century Gothic" w:cs="Arial"/>
          <w:color w:val="000000"/>
          <w:sz w:val="14"/>
          <w:szCs w:val="14"/>
        </w:rPr>
        <w:t>4.1. Rentabilidad del patrimonio: utilidad operacional dividida por el patrimonio.</w:t>
      </w:r>
    </w:p>
    <w:p w14:paraId="1FDE4342" w14:textId="77777777" w:rsidR="000F64AE" w:rsidRPr="00051380" w:rsidRDefault="000F64AE" w:rsidP="000F64AE">
      <w:pPr>
        <w:pStyle w:val="NormalWeb"/>
        <w:spacing w:before="0" w:beforeAutospacing="0" w:after="0" w:afterAutospacing="0"/>
        <w:ind w:firstLine="708"/>
        <w:jc w:val="both"/>
        <w:rPr>
          <w:rFonts w:ascii="Century Gothic" w:hAnsi="Century Gothic" w:cs="Arial"/>
          <w:color w:val="000000"/>
          <w:sz w:val="14"/>
          <w:szCs w:val="14"/>
        </w:rPr>
      </w:pPr>
      <w:r w:rsidRPr="00051380">
        <w:rPr>
          <w:rFonts w:ascii="Century Gothic" w:hAnsi="Century Gothic" w:cs="Arial"/>
          <w:color w:val="000000"/>
          <w:sz w:val="14"/>
          <w:szCs w:val="14"/>
        </w:rPr>
        <w:t>4.2. Rentabilidad del activo: utilidad operacional dividida por el activo total</w:t>
      </w:r>
      <w:r w:rsidRPr="00051380">
        <w:rPr>
          <w:rFonts w:ascii="Century Gothic" w:hAnsi="Century Gothic" w:cs="Arial"/>
          <w:i/>
          <w:iCs/>
          <w:color w:val="000000"/>
          <w:sz w:val="14"/>
          <w:szCs w:val="14"/>
        </w:rPr>
        <w:t>”</w:t>
      </w:r>
      <w:r w:rsidRPr="00051380">
        <w:rPr>
          <w:rFonts w:ascii="Century Gothic" w:hAnsi="Century Gothic" w:cs="Arial"/>
          <w:color w:val="000000"/>
          <w:sz w:val="14"/>
          <w:szCs w:val="14"/>
        </w:rPr>
        <w:t>.</w:t>
      </w:r>
    </w:p>
    <w:p w14:paraId="2CC701EF" w14:textId="77777777" w:rsidR="000F64AE" w:rsidRPr="00051380" w:rsidRDefault="000F64AE" w:rsidP="000F64AE">
      <w:pPr>
        <w:pStyle w:val="NormalWeb"/>
        <w:spacing w:before="0" w:beforeAutospacing="0" w:after="0" w:afterAutospacing="0"/>
        <w:ind w:firstLine="708"/>
        <w:jc w:val="both"/>
        <w:rPr>
          <w:rFonts w:ascii="Century Gothic" w:hAnsi="Century Gothic" w:cs="Arial"/>
          <w:sz w:val="14"/>
          <w:szCs w:val="14"/>
        </w:rPr>
      </w:pPr>
      <w:r w:rsidRPr="00051380">
        <w:rPr>
          <w:rFonts w:ascii="Century Gothic" w:hAnsi="Century Gothic" w:cs="Arial"/>
          <w:sz w:val="14"/>
          <w:szCs w:val="14"/>
        </w:rPr>
        <w:t xml:space="preserve"> </w:t>
      </w:r>
    </w:p>
  </w:footnote>
  <w:footnote w:id="9">
    <w:p w14:paraId="69A2082F" w14:textId="77777777" w:rsidR="000F64AE" w:rsidRPr="00051380" w:rsidRDefault="000F64AE" w:rsidP="000F64AE">
      <w:pPr>
        <w:pStyle w:val="Textonotapie"/>
        <w:ind w:firstLine="708"/>
        <w:rPr>
          <w:rFonts w:ascii="Century Gothic" w:hAnsi="Century Gothic"/>
          <w:sz w:val="14"/>
          <w:szCs w:val="14"/>
          <w:lang w:val="es-CO"/>
        </w:rPr>
      </w:pPr>
      <w:r w:rsidRPr="00051380">
        <w:rPr>
          <w:rStyle w:val="Refdenotaalpie"/>
          <w:rFonts w:ascii="Century Gothic" w:hAnsi="Century Gothic"/>
          <w:sz w:val="14"/>
          <w:szCs w:val="14"/>
        </w:rPr>
        <w:footnoteRef/>
      </w:r>
      <w:r w:rsidRPr="00051380">
        <w:rPr>
          <w:rFonts w:ascii="Century Gothic" w:hAnsi="Century Gothic"/>
          <w:sz w:val="14"/>
          <w:szCs w:val="14"/>
        </w:rPr>
        <w:t xml:space="preserve"> </w:t>
      </w:r>
      <w:r w:rsidRPr="00051380">
        <w:rPr>
          <w:rFonts w:ascii="Century Gothic" w:hAnsi="Century Gothic"/>
          <w:sz w:val="14"/>
          <w:szCs w:val="14"/>
          <w:lang w:val="es-CO"/>
        </w:rPr>
        <w:t xml:space="preserve">Ver en línea: </w:t>
      </w:r>
      <w:hyperlink r:id="rId2" w:history="1">
        <w:r w:rsidRPr="00051380">
          <w:rPr>
            <w:rStyle w:val="Hipervnculo"/>
            <w:rFonts w:ascii="Century Gothic" w:hAnsi="Century Gothic"/>
            <w:sz w:val="14"/>
            <w:szCs w:val="14"/>
            <w:lang w:val="es-CO"/>
          </w:rPr>
          <w:t>https://colombiacompra.gov.co/manuales-guias-y-pliegos-tipo/manuales-y-guias/manual-para-determinar-y-verificar-los-requisitos</w:t>
        </w:r>
      </w:hyperlink>
      <w:r w:rsidRPr="00051380">
        <w:rPr>
          <w:rFonts w:ascii="Century Gothic" w:hAnsi="Century Gothic"/>
          <w:sz w:val="14"/>
          <w:szCs w:val="14"/>
          <w:lang w:val="es-CO"/>
        </w:rPr>
        <w:t xml:space="preserve"> </w:t>
      </w:r>
    </w:p>
    <w:p w14:paraId="0820F587" w14:textId="77777777" w:rsidR="000F64AE" w:rsidRPr="00051380" w:rsidRDefault="000F64AE" w:rsidP="000F64AE">
      <w:pPr>
        <w:pStyle w:val="Textonotapie"/>
        <w:ind w:firstLine="708"/>
        <w:rPr>
          <w:rFonts w:ascii="Century Gothic" w:hAnsi="Century Gothic"/>
          <w:sz w:val="14"/>
          <w:szCs w:val="14"/>
          <w:lang w:val="es-CO"/>
        </w:rPr>
      </w:pPr>
    </w:p>
  </w:footnote>
  <w:footnote w:id="10">
    <w:p w14:paraId="7377F895" w14:textId="77777777" w:rsidR="000F64AE" w:rsidRPr="00051380" w:rsidRDefault="000F64AE" w:rsidP="000F64AE">
      <w:pPr>
        <w:pStyle w:val="Textonotapie"/>
        <w:jc w:val="both"/>
        <w:rPr>
          <w:rFonts w:ascii="Century Gothic" w:hAnsi="Century Gothic" w:cs="Arial"/>
          <w:sz w:val="14"/>
          <w:szCs w:val="14"/>
        </w:rPr>
      </w:pPr>
      <w:r w:rsidRPr="00051380">
        <w:rPr>
          <w:rFonts w:ascii="Century Gothic" w:hAnsi="Century Gothic" w:cs="Arial"/>
          <w:sz w:val="14"/>
          <w:szCs w:val="14"/>
        </w:rPr>
        <w:tab/>
      </w: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w:t>
      </w:r>
      <w:r w:rsidRPr="00051380">
        <w:rPr>
          <w:rFonts w:ascii="Century Gothic" w:hAnsi="Century Gothic" w:cs="Arial"/>
          <w:i/>
          <w:iCs/>
          <w:sz w:val="14"/>
          <w:szCs w:val="14"/>
        </w:rPr>
        <w:t>“</w:t>
      </w:r>
      <w:r w:rsidRPr="00051380">
        <w:rPr>
          <w:rFonts w:ascii="Century Gothic" w:hAnsi="Century Gothic" w:cs="Arial"/>
          <w:sz w:val="14"/>
          <w:szCs w:val="14"/>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r w:rsidRPr="00051380">
        <w:rPr>
          <w:rFonts w:ascii="Century Gothic" w:hAnsi="Century Gothic" w:cs="Arial"/>
          <w:i/>
          <w:iCs/>
          <w:sz w:val="14"/>
          <w:szCs w:val="14"/>
        </w:rPr>
        <w:t>”</w:t>
      </w:r>
      <w:r w:rsidRPr="00051380">
        <w:rPr>
          <w:rFonts w:ascii="Century Gothic" w:hAnsi="Century Gothic" w:cs="Arial"/>
          <w:sz w:val="14"/>
          <w:szCs w:val="14"/>
        </w:rPr>
        <w:t>.</w:t>
      </w:r>
    </w:p>
  </w:footnote>
  <w:footnote w:id="11">
    <w:p w14:paraId="5C886357"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Ley 1150 de 2007: </w:t>
      </w:r>
      <w:r w:rsidRPr="00051380">
        <w:rPr>
          <w:rFonts w:ascii="Century Gothic" w:hAnsi="Century Gothic" w:cs="Arial"/>
          <w:i/>
          <w:iCs/>
          <w:sz w:val="14"/>
          <w:szCs w:val="14"/>
        </w:rPr>
        <w:t>“</w:t>
      </w:r>
      <w:r w:rsidRPr="00051380">
        <w:rPr>
          <w:rFonts w:ascii="Century Gothic" w:hAnsi="Century Gothic" w:cs="Arial"/>
          <w:sz w:val="14"/>
          <w:szCs w:val="14"/>
        </w:rPr>
        <w:t>Artículo 6. De la verificación de las condiciones de los proponentes.</w:t>
      </w:r>
    </w:p>
    <w:p w14:paraId="7757DA24"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Fonts w:ascii="Century Gothic" w:hAnsi="Century Gothic" w:cs="Arial"/>
          <w:sz w:val="14"/>
          <w:szCs w:val="14"/>
        </w:rPr>
        <w:t>[…]</w:t>
      </w:r>
    </w:p>
    <w:p w14:paraId="0058999C"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Fonts w:ascii="Century Gothic" w:hAnsi="Century Gothic" w:cs="Arial"/>
          <w:i/>
          <w:iCs/>
          <w:sz w:val="14"/>
          <w:szCs w:val="14"/>
        </w:rPr>
        <w:t>“</w:t>
      </w:r>
      <w:r w:rsidRPr="00051380">
        <w:rPr>
          <w:rFonts w:ascii="Century Gothic" w:hAnsi="Century Gothic" w:cs="Arial"/>
          <w:sz w:val="14"/>
          <w:szCs w:val="14"/>
        </w:rPr>
        <w:t>6.1. […]</w:t>
      </w:r>
    </w:p>
    <w:p w14:paraId="620992F8"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Fonts w:ascii="Century Gothic" w:hAnsi="Century Gothic" w:cs="Arial"/>
          <w:i/>
          <w:iCs/>
          <w:sz w:val="14"/>
          <w:szCs w:val="14"/>
        </w:rPr>
        <w:t>“</w:t>
      </w:r>
      <w:r w:rsidRPr="00051380">
        <w:rPr>
          <w:rFonts w:ascii="Century Gothic" w:hAnsi="Century Gothic" w:cs="Arial"/>
          <w:sz w:val="14"/>
          <w:szCs w:val="14"/>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24580EC3"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Fonts w:ascii="Century Gothic" w:hAnsi="Century Gothic" w:cs="Arial"/>
          <w:i/>
          <w:iCs/>
          <w:sz w:val="14"/>
          <w:szCs w:val="14"/>
        </w:rPr>
        <w:t>“</w:t>
      </w:r>
      <w:r w:rsidRPr="00051380">
        <w:rPr>
          <w:rFonts w:ascii="Century Gothic" w:hAnsi="Century Gothic" w:cs="Arial"/>
          <w:sz w:val="14"/>
          <w:szCs w:val="14"/>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613B0875"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Fonts w:ascii="Century Gothic" w:hAnsi="Century Gothic" w:cs="Arial"/>
          <w:sz w:val="14"/>
          <w:szCs w:val="14"/>
        </w:rPr>
        <w:t>[…]</w:t>
      </w:r>
      <w:r w:rsidRPr="00051380">
        <w:rPr>
          <w:rFonts w:ascii="Century Gothic" w:hAnsi="Century Gothic" w:cs="Arial"/>
          <w:i/>
          <w:iCs/>
          <w:sz w:val="14"/>
          <w:szCs w:val="14"/>
        </w:rPr>
        <w:t>”</w:t>
      </w:r>
      <w:r w:rsidRPr="00051380">
        <w:rPr>
          <w:rFonts w:ascii="Century Gothic" w:hAnsi="Century Gothic" w:cs="Arial"/>
          <w:sz w:val="14"/>
          <w:szCs w:val="14"/>
        </w:rPr>
        <w:t>.</w:t>
      </w:r>
    </w:p>
    <w:p w14:paraId="30C0647F" w14:textId="77777777" w:rsidR="000F64AE" w:rsidRPr="00051380" w:rsidRDefault="000F64AE" w:rsidP="000F64AE">
      <w:pPr>
        <w:pStyle w:val="Textonotapie"/>
        <w:ind w:firstLine="709"/>
        <w:contextualSpacing/>
        <w:jc w:val="both"/>
        <w:rPr>
          <w:rFonts w:ascii="Century Gothic" w:hAnsi="Century Gothic" w:cs="Arial"/>
          <w:sz w:val="14"/>
          <w:szCs w:val="14"/>
          <w:lang w:val="es-ES"/>
        </w:rPr>
      </w:pPr>
    </w:p>
  </w:footnote>
  <w:footnote w:id="12">
    <w:p w14:paraId="5FDC1681"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Consejo de Estado. Sección Tercera. Subsección A. Sentencia del 12 de febrero de 2014. </w:t>
      </w:r>
      <w:proofErr w:type="spellStart"/>
      <w:r w:rsidRPr="00051380">
        <w:rPr>
          <w:rFonts w:ascii="Century Gothic" w:hAnsi="Century Gothic" w:cs="Arial"/>
          <w:sz w:val="14"/>
          <w:szCs w:val="14"/>
        </w:rPr>
        <w:t>Exp</w:t>
      </w:r>
      <w:proofErr w:type="spellEnd"/>
      <w:r w:rsidRPr="00051380">
        <w:rPr>
          <w:rFonts w:ascii="Century Gothic" w:hAnsi="Century Gothic" w:cs="Arial"/>
          <w:sz w:val="14"/>
          <w:szCs w:val="14"/>
        </w:rPr>
        <w:t xml:space="preserve">. 31.753. C.P. Mauricio Fajardo Gómez: </w:t>
      </w:r>
      <w:r w:rsidRPr="00051380">
        <w:rPr>
          <w:rFonts w:ascii="Century Gothic" w:hAnsi="Century Gothic" w:cs="Arial"/>
          <w:i/>
          <w:iCs/>
          <w:sz w:val="14"/>
          <w:szCs w:val="14"/>
        </w:rPr>
        <w:t>“</w:t>
      </w:r>
      <w:r w:rsidRPr="00051380">
        <w:rPr>
          <w:rFonts w:ascii="Century Gothic" w:hAnsi="Century Gothic" w:cs="Arial"/>
          <w:sz w:val="14"/>
          <w:szCs w:val="14"/>
        </w:rPr>
        <w:t>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r w:rsidRPr="00051380">
        <w:rPr>
          <w:rFonts w:ascii="Century Gothic" w:hAnsi="Century Gothic" w:cs="Arial"/>
          <w:i/>
          <w:iCs/>
          <w:sz w:val="14"/>
          <w:szCs w:val="14"/>
        </w:rPr>
        <w:t>”</w:t>
      </w:r>
      <w:r w:rsidRPr="00051380">
        <w:rPr>
          <w:rFonts w:ascii="Century Gothic" w:hAnsi="Century Gothic" w:cs="Arial"/>
          <w:sz w:val="14"/>
          <w:szCs w:val="14"/>
        </w:rPr>
        <w:t>.</w:t>
      </w:r>
    </w:p>
    <w:p w14:paraId="19583FD0" w14:textId="77777777" w:rsidR="000F64AE" w:rsidRPr="00051380" w:rsidRDefault="000F64AE" w:rsidP="000F64AE">
      <w:pPr>
        <w:pStyle w:val="Textonotapie"/>
        <w:ind w:firstLine="709"/>
        <w:contextualSpacing/>
        <w:jc w:val="both"/>
        <w:rPr>
          <w:rFonts w:ascii="Century Gothic" w:hAnsi="Century Gothic" w:cs="Arial"/>
          <w:sz w:val="14"/>
          <w:szCs w:val="14"/>
          <w:lang w:val="es-ES"/>
        </w:rPr>
      </w:pPr>
    </w:p>
  </w:footnote>
  <w:footnote w:id="13">
    <w:p w14:paraId="6994C615"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Ley 1150 de 2007: </w:t>
      </w:r>
      <w:r w:rsidRPr="00051380">
        <w:rPr>
          <w:rFonts w:ascii="Century Gothic" w:hAnsi="Century Gothic" w:cs="Arial"/>
          <w:i/>
          <w:iCs/>
          <w:sz w:val="14"/>
          <w:szCs w:val="14"/>
        </w:rPr>
        <w:t>“</w:t>
      </w:r>
      <w:r w:rsidRPr="00051380">
        <w:rPr>
          <w:rFonts w:ascii="Century Gothic" w:hAnsi="Century Gothic" w:cs="Arial"/>
          <w:sz w:val="14"/>
          <w:szCs w:val="14"/>
        </w:rPr>
        <w:t xml:space="preserve">Artículo 6.  De la verificación de las condiciones de los proponentes. </w:t>
      </w:r>
    </w:p>
    <w:p w14:paraId="0B800453"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Fonts w:ascii="Century Gothic" w:hAnsi="Century Gothic" w:cs="Arial"/>
          <w:sz w:val="14"/>
          <w:szCs w:val="14"/>
        </w:rPr>
        <w:t xml:space="preserve">[...] </w:t>
      </w:r>
    </w:p>
    <w:p w14:paraId="49329ED2"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Fonts w:ascii="Century Gothic" w:hAnsi="Century Gothic" w:cs="Arial"/>
          <w:i/>
          <w:iCs/>
          <w:sz w:val="14"/>
          <w:szCs w:val="14"/>
        </w:rPr>
        <w:t>“</w:t>
      </w:r>
      <w:r w:rsidRPr="00051380">
        <w:rPr>
          <w:rFonts w:ascii="Century Gothic" w:hAnsi="Century Gothic" w:cs="Arial"/>
          <w:sz w:val="14"/>
          <w:szCs w:val="14"/>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603C0BF"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Fonts w:ascii="Century Gothic" w:hAnsi="Century Gothic" w:cs="Arial"/>
          <w:sz w:val="14"/>
          <w:szCs w:val="14"/>
        </w:rPr>
        <w:t>[...]</w:t>
      </w:r>
      <w:r w:rsidRPr="00051380">
        <w:rPr>
          <w:rFonts w:ascii="Century Gothic" w:hAnsi="Century Gothic" w:cs="Arial"/>
          <w:i/>
          <w:iCs/>
          <w:sz w:val="14"/>
          <w:szCs w:val="14"/>
        </w:rPr>
        <w:t>”</w:t>
      </w:r>
      <w:r w:rsidRPr="00051380">
        <w:rPr>
          <w:rFonts w:ascii="Century Gothic" w:hAnsi="Century Gothic" w:cs="Arial"/>
          <w:sz w:val="14"/>
          <w:szCs w:val="14"/>
        </w:rPr>
        <w:t xml:space="preserve">. </w:t>
      </w:r>
    </w:p>
    <w:p w14:paraId="49062CCA" w14:textId="77777777" w:rsidR="000F64AE" w:rsidRPr="00051380" w:rsidRDefault="000F64AE" w:rsidP="000F64AE">
      <w:pPr>
        <w:pStyle w:val="Textonotapie"/>
        <w:ind w:firstLine="709"/>
        <w:contextualSpacing/>
        <w:jc w:val="both"/>
        <w:rPr>
          <w:rFonts w:ascii="Century Gothic" w:hAnsi="Century Gothic" w:cs="Arial"/>
          <w:sz w:val="14"/>
          <w:szCs w:val="14"/>
        </w:rPr>
      </w:pPr>
    </w:p>
  </w:footnote>
  <w:footnote w:id="14">
    <w:p w14:paraId="0CF10D37" w14:textId="77777777" w:rsidR="000F64AE" w:rsidRPr="00051380" w:rsidRDefault="000F64AE" w:rsidP="000F64AE">
      <w:pPr>
        <w:pStyle w:val="Textonotapie"/>
        <w:ind w:firstLine="709"/>
        <w:contextualSpacing/>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w:t>
      </w:r>
      <w:r w:rsidRPr="00051380">
        <w:rPr>
          <w:rFonts w:ascii="Century Gothic" w:hAnsi="Century Gothic" w:cs="Arial"/>
          <w:i/>
          <w:iCs/>
          <w:sz w:val="14"/>
          <w:szCs w:val="14"/>
        </w:rPr>
        <w:t>“</w:t>
      </w:r>
      <w:r w:rsidRPr="00051380">
        <w:rPr>
          <w:rFonts w:ascii="Century Gothic" w:hAnsi="Century Gothic" w:cs="Arial"/>
          <w:sz w:val="14"/>
          <w:szCs w:val="14"/>
        </w:rPr>
        <w:t>6.1. [...] No obstante lo anterior, sólo en aquellos casos en que por las características del objeto a contratar se requiera la verificación de requisitos del proponente adicionales a los contenidos en el Registro, la entidad podrá hacer tal verificación en forma directa</w:t>
      </w:r>
      <w:r w:rsidRPr="00051380">
        <w:rPr>
          <w:rFonts w:ascii="Century Gothic" w:hAnsi="Century Gothic" w:cs="Arial"/>
          <w:i/>
          <w:iCs/>
          <w:sz w:val="14"/>
          <w:szCs w:val="14"/>
        </w:rPr>
        <w:t>”</w:t>
      </w:r>
      <w:r w:rsidRPr="00051380">
        <w:rPr>
          <w:rFonts w:ascii="Century Gothic" w:hAnsi="Century Gothic" w:cs="Arial"/>
          <w:sz w:val="14"/>
          <w:szCs w:val="14"/>
        </w:rPr>
        <w:t>.</w:t>
      </w:r>
    </w:p>
    <w:p w14:paraId="1694A391" w14:textId="77777777" w:rsidR="000F64AE" w:rsidRPr="00051380" w:rsidRDefault="000F64AE" w:rsidP="000F64AE">
      <w:pPr>
        <w:pStyle w:val="Textonotapie"/>
        <w:ind w:firstLine="709"/>
        <w:contextualSpacing/>
        <w:jc w:val="both"/>
        <w:rPr>
          <w:rFonts w:ascii="Century Gothic" w:hAnsi="Century Gothic" w:cs="Arial"/>
          <w:sz w:val="14"/>
          <w:szCs w:val="14"/>
        </w:rPr>
      </w:pPr>
    </w:p>
  </w:footnote>
  <w:footnote w:id="15">
    <w:p w14:paraId="5F53A812" w14:textId="77777777" w:rsidR="000F64AE" w:rsidRPr="00051380" w:rsidRDefault="000F64AE" w:rsidP="000F64AE">
      <w:pPr>
        <w:pStyle w:val="Textonotapie"/>
        <w:ind w:firstLine="708"/>
        <w:contextualSpacing/>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Como se señaló, el artículo 6 de la Ley 1150 de 2007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14:paraId="2763B5CC" w14:textId="77777777" w:rsidR="000F64AE" w:rsidRPr="00051380" w:rsidRDefault="000F64AE" w:rsidP="000F64AE">
      <w:pPr>
        <w:pStyle w:val="Textonotapie"/>
        <w:ind w:firstLine="708"/>
        <w:contextualSpacing/>
        <w:jc w:val="both"/>
        <w:rPr>
          <w:rFonts w:ascii="Century Gothic" w:hAnsi="Century Gothic" w:cs="Arial"/>
          <w:sz w:val="14"/>
          <w:szCs w:val="14"/>
          <w:lang w:val="es-CO"/>
        </w:rPr>
      </w:pPr>
    </w:p>
  </w:footnote>
  <w:footnote w:id="16">
    <w:p w14:paraId="3742253B" w14:textId="77777777" w:rsidR="000F64AE" w:rsidRPr="00051380" w:rsidRDefault="000F64AE" w:rsidP="000F64AE">
      <w:pPr>
        <w:pStyle w:val="Textonotapie"/>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Decreto 1082 de 2015: </w:t>
      </w:r>
      <w:r w:rsidRPr="00051380">
        <w:rPr>
          <w:rFonts w:ascii="Century Gothic" w:hAnsi="Century Gothic" w:cs="Arial"/>
          <w:i/>
          <w:iCs/>
          <w:sz w:val="14"/>
          <w:szCs w:val="14"/>
        </w:rPr>
        <w:t>“</w:t>
      </w:r>
      <w:r w:rsidRPr="00051380">
        <w:rPr>
          <w:rFonts w:ascii="Century Gothic" w:hAnsi="Century Gothic" w:cs="Arial"/>
          <w:sz w:val="14"/>
          <w:szCs w:val="14"/>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r w:rsidRPr="00051380">
        <w:rPr>
          <w:rFonts w:ascii="Century Gothic" w:hAnsi="Century Gothic" w:cs="Arial"/>
          <w:i/>
          <w:iCs/>
          <w:sz w:val="14"/>
          <w:szCs w:val="14"/>
        </w:rPr>
        <w:t>”</w:t>
      </w:r>
      <w:r w:rsidRPr="00051380">
        <w:rPr>
          <w:rFonts w:ascii="Century Gothic" w:hAnsi="Century Gothic" w:cs="Arial"/>
          <w:sz w:val="14"/>
          <w:szCs w:val="14"/>
        </w:rPr>
        <w:t>.</w:t>
      </w:r>
    </w:p>
    <w:p w14:paraId="7F9B2544" w14:textId="77777777" w:rsidR="000F64AE" w:rsidRPr="00051380" w:rsidRDefault="000F64AE" w:rsidP="000F64AE">
      <w:pPr>
        <w:pStyle w:val="Textonotapie"/>
        <w:ind w:firstLine="708"/>
        <w:jc w:val="both"/>
        <w:rPr>
          <w:rFonts w:ascii="Century Gothic" w:hAnsi="Century Gothic" w:cs="Arial"/>
          <w:sz w:val="14"/>
          <w:szCs w:val="14"/>
          <w:lang w:val="es-ES"/>
        </w:rPr>
      </w:pPr>
    </w:p>
  </w:footnote>
  <w:footnote w:id="17">
    <w:p w14:paraId="7DF1A3ED" w14:textId="77777777" w:rsidR="000F64AE" w:rsidRPr="00051380" w:rsidRDefault="000F64AE" w:rsidP="000F64AE">
      <w:pPr>
        <w:pStyle w:val="Textonotapie"/>
        <w:ind w:firstLine="709"/>
        <w:jc w:val="both"/>
        <w:rPr>
          <w:rFonts w:ascii="Century Gothic" w:hAnsi="Century Gothic" w:cs="Arial"/>
          <w:sz w:val="14"/>
          <w:szCs w:val="14"/>
          <w:lang w:val="es-ES"/>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w:t>
      </w:r>
      <w:r w:rsidRPr="00051380">
        <w:rPr>
          <w:rFonts w:ascii="Century Gothic" w:hAnsi="Century Gothic" w:cs="Arial"/>
          <w:sz w:val="14"/>
          <w:szCs w:val="14"/>
          <w:lang w:val="es-ES"/>
        </w:rPr>
        <w:t xml:space="preserve">Disponible en: </w:t>
      </w:r>
      <w:hyperlink r:id="rId3" w:history="1">
        <w:r w:rsidRPr="00051380">
          <w:rPr>
            <w:rStyle w:val="Hipervnculo"/>
            <w:rFonts w:ascii="Century Gothic" w:eastAsiaTheme="majorEastAsia" w:hAnsi="Century Gothic" w:cs="Arial"/>
            <w:sz w:val="14"/>
            <w:szCs w:val="14"/>
          </w:rPr>
          <w:t>https://www.colombiacompra.gov.co/sites/cce_public/files/cce_documents/cce_manual_requisitos_habilitantes.pdf</w:t>
        </w:r>
      </w:hyperlink>
      <w:r w:rsidRPr="00051380">
        <w:rPr>
          <w:rFonts w:ascii="Century Gothic" w:hAnsi="Century Gothic" w:cs="Arial"/>
          <w:sz w:val="14"/>
          <w:szCs w:val="14"/>
          <w:lang w:val="es-ES"/>
        </w:rPr>
        <w:t>.</w:t>
      </w:r>
    </w:p>
  </w:footnote>
  <w:footnote w:id="18">
    <w:p w14:paraId="3A2AAF9D" w14:textId="77777777" w:rsidR="000F64AE" w:rsidRPr="00051380" w:rsidRDefault="000F64AE" w:rsidP="000F64AE">
      <w:pPr>
        <w:pStyle w:val="Textonotapie"/>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129FDEE6" w14:textId="77777777" w:rsidR="000F64AE" w:rsidRPr="00051380" w:rsidRDefault="000F64AE" w:rsidP="000F64AE">
      <w:pPr>
        <w:pStyle w:val="Textonotapie"/>
        <w:ind w:firstLine="708"/>
        <w:jc w:val="both"/>
        <w:rPr>
          <w:rFonts w:ascii="Century Gothic" w:hAnsi="Century Gothic" w:cs="Arial"/>
          <w:sz w:val="14"/>
          <w:szCs w:val="14"/>
          <w:lang w:val="es-ES"/>
        </w:rPr>
      </w:pPr>
    </w:p>
  </w:footnote>
  <w:footnote w:id="19">
    <w:p w14:paraId="1A36CE43" w14:textId="77777777" w:rsidR="000F64AE" w:rsidRPr="00051380" w:rsidRDefault="000F64AE" w:rsidP="000F64AE">
      <w:pPr>
        <w:pStyle w:val="Textonotapie"/>
        <w:ind w:firstLine="708"/>
        <w:jc w:val="both"/>
        <w:rPr>
          <w:rFonts w:ascii="Century Gothic" w:hAnsi="Century Gothic" w:cs="Arial"/>
          <w:sz w:val="14"/>
          <w:szCs w:val="14"/>
          <w:lang w:val="es-ES"/>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w:t>
      </w:r>
      <w:r w:rsidRPr="00051380">
        <w:rPr>
          <w:rFonts w:ascii="Century Gothic" w:hAnsi="Century Gothic" w:cs="Arial"/>
          <w:sz w:val="14"/>
          <w:szCs w:val="14"/>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r:id="rId4" w:history="1">
        <w:r w:rsidRPr="00051380">
          <w:rPr>
            <w:rStyle w:val="Hipervnculo"/>
            <w:rFonts w:ascii="Century Gothic" w:eastAsiaTheme="majorEastAsia" w:hAnsi="Century Gothic" w:cs="Arial"/>
            <w:sz w:val="14"/>
            <w:szCs w:val="14"/>
          </w:rPr>
          <w:t>https://colombiacompra.gov.co/sites/default/files/manuales/20140901_manual_requisitos_habilitantes_4_web.pdf</w:t>
        </w:r>
      </w:hyperlink>
      <w:r w:rsidRPr="00051380">
        <w:rPr>
          <w:rFonts w:ascii="Century Gothic" w:hAnsi="Century Gothic" w:cs="Arial"/>
          <w:sz w:val="14"/>
          <w:szCs w:val="14"/>
          <w:lang w:val="es-ES"/>
        </w:rPr>
        <w:t xml:space="preserve">. </w:t>
      </w:r>
    </w:p>
    <w:p w14:paraId="4393965D" w14:textId="77777777" w:rsidR="000F64AE" w:rsidRPr="00051380" w:rsidRDefault="000F64AE" w:rsidP="000F64AE">
      <w:pPr>
        <w:pStyle w:val="Textonotapie"/>
        <w:ind w:firstLine="567"/>
        <w:jc w:val="both"/>
        <w:rPr>
          <w:rFonts w:ascii="Century Gothic" w:hAnsi="Century Gothic" w:cs="Arial"/>
          <w:sz w:val="14"/>
          <w:szCs w:val="14"/>
          <w:lang w:val="es-ES"/>
        </w:rPr>
      </w:pPr>
    </w:p>
  </w:footnote>
  <w:footnote w:id="20">
    <w:p w14:paraId="0FFC4634" w14:textId="77777777" w:rsidR="000F64AE" w:rsidRPr="00051380" w:rsidRDefault="000F64AE" w:rsidP="000F64AE">
      <w:pPr>
        <w:pStyle w:val="Textonotapie"/>
        <w:ind w:firstLine="709"/>
        <w:jc w:val="both"/>
        <w:rPr>
          <w:rFonts w:ascii="Century Gothic" w:hAnsi="Century Gothic" w:cs="Arial"/>
          <w:sz w:val="14"/>
          <w:szCs w:val="14"/>
          <w:lang w:val="es-ES"/>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Ibídem.</w:t>
      </w:r>
    </w:p>
  </w:footnote>
  <w:footnote w:id="21">
    <w:p w14:paraId="5C1DF941" w14:textId="77777777" w:rsidR="000F64AE" w:rsidRPr="00051380" w:rsidRDefault="000F64AE" w:rsidP="000F64AE">
      <w:pPr>
        <w:pStyle w:val="Textonotapie"/>
        <w:ind w:firstLine="709"/>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Dice el Manual que: </w:t>
      </w:r>
      <w:r w:rsidRPr="00051380">
        <w:rPr>
          <w:rFonts w:ascii="Century Gothic" w:hAnsi="Century Gothic" w:cs="Arial"/>
          <w:i/>
          <w:iCs/>
          <w:sz w:val="14"/>
          <w:szCs w:val="14"/>
        </w:rPr>
        <w:t>“</w:t>
      </w:r>
      <w:r w:rsidRPr="00051380">
        <w:rPr>
          <w:rFonts w:ascii="Century Gothic" w:hAnsi="Century Gothic" w:cs="Arial"/>
          <w:sz w:val="14"/>
          <w:szCs w:val="14"/>
        </w:rPr>
        <w:t>[...] En atención a la naturaleza del contrato a suscribir y de su valor, plazo y forma de pago, la Entidad Estatal debe hacer uso de los indicadores que considere adecuados respecto al objeto del Proceso de Contratación.</w:t>
      </w:r>
    </w:p>
    <w:p w14:paraId="04F00D95" w14:textId="77777777" w:rsidR="000F64AE" w:rsidRPr="00051380" w:rsidRDefault="000F64AE" w:rsidP="000F64AE">
      <w:pPr>
        <w:pStyle w:val="Textonotapie"/>
        <w:ind w:firstLine="709"/>
        <w:jc w:val="both"/>
        <w:rPr>
          <w:rFonts w:ascii="Century Gothic" w:hAnsi="Century Gothic" w:cs="Arial"/>
          <w:sz w:val="14"/>
          <w:szCs w:val="14"/>
        </w:rPr>
      </w:pPr>
      <w:r w:rsidRPr="00051380">
        <w:rPr>
          <w:rFonts w:ascii="Century Gothic" w:hAnsi="Century Gothic" w:cs="Arial"/>
          <w:i/>
          <w:iCs/>
          <w:sz w:val="14"/>
          <w:szCs w:val="14"/>
        </w:rPr>
        <w:t>“</w:t>
      </w:r>
      <w:r w:rsidRPr="00051380">
        <w:rPr>
          <w:rFonts w:ascii="Century Gothic" w:hAnsi="Century Gothic" w:cs="Arial"/>
          <w:sz w:val="14"/>
          <w:szCs w:val="14"/>
        </w:rPr>
        <w:t>Las Entidades Estatales no deben limitarse a determinar y aplicar de forma mecánica fórmulas financieras para determinar los indicadores. Deben conocer cada indicador, sus fórmulas de cálculo y su interpretación</w:t>
      </w:r>
      <w:r w:rsidRPr="00051380">
        <w:rPr>
          <w:rFonts w:ascii="Century Gothic" w:hAnsi="Century Gothic" w:cs="Arial"/>
          <w:i/>
          <w:iCs/>
          <w:sz w:val="14"/>
          <w:szCs w:val="14"/>
        </w:rPr>
        <w:t>”</w:t>
      </w:r>
      <w:r w:rsidRPr="00051380">
        <w:rPr>
          <w:rFonts w:ascii="Century Gothic" w:hAnsi="Century Gothic" w:cs="Arial"/>
          <w:sz w:val="14"/>
          <w:szCs w:val="14"/>
        </w:rPr>
        <w:t>.</w:t>
      </w:r>
    </w:p>
  </w:footnote>
  <w:footnote w:id="22">
    <w:p w14:paraId="0845ADE0" w14:textId="77777777" w:rsidR="000F64AE" w:rsidRPr="00051380" w:rsidRDefault="000F64AE" w:rsidP="000F64AE">
      <w:pPr>
        <w:pStyle w:val="Textonotapie"/>
        <w:ind w:firstLine="709"/>
        <w:jc w:val="both"/>
        <w:rPr>
          <w:rFonts w:ascii="Century Gothic" w:hAnsi="Century Gothic" w:cs="Arial"/>
          <w:sz w:val="14"/>
          <w:szCs w:val="14"/>
          <w:lang w:val="es-ES"/>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Al respecto, el Manual indica: </w:t>
      </w:r>
      <w:r w:rsidRPr="00051380">
        <w:rPr>
          <w:rFonts w:ascii="Century Gothic" w:hAnsi="Century Gothic" w:cs="Arial"/>
          <w:i/>
          <w:iCs/>
          <w:sz w:val="14"/>
          <w:szCs w:val="14"/>
        </w:rPr>
        <w:t>“</w:t>
      </w:r>
      <w:r w:rsidRPr="00051380">
        <w:rPr>
          <w:rFonts w:ascii="Century Gothic" w:hAnsi="Century Gothic" w:cs="Arial"/>
          <w:sz w:val="14"/>
          <w:szCs w:val="14"/>
        </w:rPr>
        <w:t>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r w:rsidRPr="00051380">
        <w:rPr>
          <w:rFonts w:ascii="Century Gothic" w:hAnsi="Century Gothic" w:cs="Arial"/>
          <w:i/>
          <w:iCs/>
          <w:sz w:val="14"/>
          <w:szCs w:val="14"/>
        </w:rPr>
        <w:t>”</w:t>
      </w:r>
      <w:r w:rsidRPr="00051380">
        <w:rPr>
          <w:rFonts w:ascii="Century Gothic" w:hAnsi="Century Gothic" w:cs="Arial"/>
          <w:sz w:val="14"/>
          <w:szCs w:val="14"/>
        </w:rPr>
        <w:t>.</w:t>
      </w:r>
    </w:p>
  </w:footnote>
  <w:footnote w:id="23">
    <w:p w14:paraId="742C2C4F" w14:textId="77777777" w:rsidR="000F64AE" w:rsidRPr="00051380" w:rsidRDefault="000F64AE" w:rsidP="000F64AE">
      <w:pPr>
        <w:pStyle w:val="Textonotapie"/>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DACCCE8"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1. Experiencia – Los contratos celebrados por el interesado para cada uno de los bienes, obras y servicios que ofrecerá a las Entidades Estatales, identificados con el Clasificador de Bienes y Servicios en el tercer nivel y su valor expresado en SMMLV.</w:t>
      </w:r>
    </w:p>
    <w:p w14:paraId="493DC403"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w:t>
      </w:r>
    </w:p>
    <w:p w14:paraId="619577DC" w14:textId="77777777" w:rsidR="000F64AE" w:rsidRPr="00051380" w:rsidRDefault="000F64AE" w:rsidP="000F64AE">
      <w:pPr>
        <w:pStyle w:val="Textonotapie"/>
        <w:ind w:firstLine="708"/>
        <w:jc w:val="both"/>
        <w:rPr>
          <w:rFonts w:ascii="Century Gothic" w:hAnsi="Century Gothic" w:cs="Arial"/>
          <w:sz w:val="14"/>
          <w:szCs w:val="14"/>
        </w:rPr>
      </w:pPr>
    </w:p>
  </w:footnote>
  <w:footnote w:id="24">
    <w:p w14:paraId="3E242BC8" w14:textId="77777777" w:rsidR="000F64AE" w:rsidRPr="00051380" w:rsidRDefault="000F64AE" w:rsidP="000F64AE">
      <w:pPr>
        <w:pStyle w:val="Textonotapie"/>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CB070F9"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w:t>
      </w:r>
    </w:p>
    <w:p w14:paraId="67EAC7B6"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34FC875B"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25">
    <w:p w14:paraId="56E179A9" w14:textId="77777777" w:rsidR="000F64AE" w:rsidRPr="00051380" w:rsidRDefault="000F64AE" w:rsidP="000F64AE">
      <w:pPr>
        <w:pStyle w:val="Textonotapie"/>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3052CCD"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1.    Si es una persona natural:</w:t>
      </w:r>
    </w:p>
    <w:p w14:paraId="1894773D"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1.1. Bienes, obras y servicios que ofrecerá a las Entidades Estatales, identificados con el Clasificador de Bienes y Servicios en el tercer nivel.</w:t>
      </w:r>
    </w:p>
    <w:p w14:paraId="12AF0C92"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081F35C" w14:textId="77777777" w:rsidR="000F64AE" w:rsidRPr="00051380" w:rsidRDefault="000F64AE" w:rsidP="000F64AE">
      <w:pPr>
        <w:pStyle w:val="Textonotapie"/>
        <w:ind w:firstLine="708"/>
        <w:jc w:val="both"/>
        <w:rPr>
          <w:rFonts w:ascii="Century Gothic" w:hAnsi="Century Gothic" w:cs="Arial"/>
          <w:sz w:val="14"/>
          <w:szCs w:val="14"/>
        </w:rPr>
      </w:pPr>
    </w:p>
  </w:footnote>
  <w:footnote w:id="26">
    <w:p w14:paraId="746204B5" w14:textId="77777777" w:rsidR="000F64AE" w:rsidRPr="00051380" w:rsidRDefault="000F64AE" w:rsidP="000F64AE">
      <w:pPr>
        <w:pStyle w:val="Textonotapie"/>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6F5B905B"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26BDF5F6"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w:t>
      </w:r>
    </w:p>
    <w:p w14:paraId="60919E6E"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D77C76A"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072A051A"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w:t>
      </w:r>
    </w:p>
  </w:footnote>
  <w:footnote w:id="27">
    <w:p w14:paraId="721276E2" w14:textId="77777777" w:rsidR="000F64AE" w:rsidRPr="00051380" w:rsidRDefault="000F64AE" w:rsidP="000F64AE">
      <w:pPr>
        <w:pStyle w:val="Textonotapie"/>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9679E08"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w:t>
      </w:r>
    </w:p>
    <w:p w14:paraId="27268255"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shd w:val="clear" w:color="auto" w:fill="FFFFFF"/>
        </w:rPr>
        <w:t>2.1.   Bienes, obras y servicios que ofrecerá a las Entidades Estatales, identificados con el Clasificador de Bienes y Servicios en el tercer nivel</w:t>
      </w:r>
      <w:r w:rsidRPr="00051380">
        <w:rPr>
          <w:rFonts w:ascii="Century Gothic" w:hAnsi="Century Gothic" w:cs="Arial"/>
          <w:sz w:val="14"/>
          <w:szCs w:val="14"/>
        </w:rPr>
        <w:t>”</w:t>
      </w:r>
      <w:r w:rsidRPr="00051380">
        <w:rPr>
          <w:rFonts w:ascii="Century Gothic" w:hAnsi="Century Gothic" w:cs="Arial"/>
          <w:sz w:val="14"/>
          <w:szCs w:val="14"/>
          <w:shd w:val="clear" w:color="auto" w:fill="FFFFFF"/>
        </w:rPr>
        <w:t>.</w:t>
      </w:r>
    </w:p>
  </w:footnote>
  <w:footnote w:id="28">
    <w:p w14:paraId="0B62C02A" w14:textId="77777777" w:rsidR="000F64AE" w:rsidRPr="00051380" w:rsidRDefault="000F64AE" w:rsidP="000F64AE">
      <w:pPr>
        <w:pStyle w:val="Textonotapie"/>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672B118" w14:textId="77777777" w:rsidR="000F64AE" w:rsidRPr="00051380" w:rsidRDefault="000F64AE" w:rsidP="000F64AE">
      <w:pPr>
        <w:pStyle w:val="Textonotapie"/>
        <w:ind w:firstLine="708"/>
        <w:jc w:val="both"/>
        <w:rPr>
          <w:rFonts w:ascii="Century Gothic" w:hAnsi="Century Gothic" w:cs="Arial"/>
          <w:sz w:val="14"/>
          <w:szCs w:val="14"/>
        </w:rPr>
      </w:pPr>
      <w:r w:rsidRPr="00051380">
        <w:rPr>
          <w:rFonts w:ascii="Century Gothic" w:hAnsi="Century Gothic" w:cs="Arial"/>
          <w:sz w:val="14"/>
          <w:szCs w:val="14"/>
        </w:rPr>
        <w:t>[…]</w:t>
      </w:r>
    </w:p>
    <w:p w14:paraId="5900DB81" w14:textId="77777777" w:rsidR="000F64AE" w:rsidRPr="00051380" w:rsidRDefault="000F64AE" w:rsidP="000F64AE">
      <w:pPr>
        <w:pStyle w:val="Textonotapie"/>
        <w:ind w:firstLine="708"/>
        <w:jc w:val="both"/>
        <w:rPr>
          <w:rFonts w:ascii="Century Gothic" w:hAnsi="Century Gothic" w:cs="Arial"/>
          <w:sz w:val="14"/>
          <w:szCs w:val="14"/>
          <w:lang w:val="es-CO"/>
        </w:rPr>
      </w:pPr>
      <w:r w:rsidRPr="00051380">
        <w:rPr>
          <w:rFonts w:ascii="Century Gothic" w:hAnsi="Century Gothic" w:cs="Arial"/>
          <w:sz w:val="14"/>
          <w:szCs w:val="14"/>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r w:rsidRPr="00051380">
        <w:rPr>
          <w:rFonts w:ascii="Century Gothic" w:hAnsi="Century Gothic" w:cs="Arial"/>
          <w:sz w:val="14"/>
          <w:szCs w:val="14"/>
        </w:rPr>
        <w:t>”.</w:t>
      </w:r>
    </w:p>
  </w:footnote>
  <w:footnote w:id="29">
    <w:p w14:paraId="10F1D263" w14:textId="77777777" w:rsidR="000F64AE" w:rsidRPr="00051380" w:rsidRDefault="000F64AE" w:rsidP="000F64AE">
      <w:pPr>
        <w:pStyle w:val="Textocomentario"/>
        <w:ind w:firstLine="708"/>
        <w:jc w:val="both"/>
        <w:rPr>
          <w:rFonts w:ascii="Century Gothic" w:hAnsi="Century Gothic" w:cs="Arial"/>
          <w:sz w:val="14"/>
          <w:szCs w:val="14"/>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En el marco del Estado de emergencia económica, social y ecológica declarado por el Gobierno Nacional a través del Decreto 417 de 2020, a causa de la pandemia mundial desatada por el virus del </w:t>
      </w:r>
      <w:proofErr w:type="spellStart"/>
      <w:r w:rsidRPr="00051380">
        <w:rPr>
          <w:rFonts w:ascii="Century Gothic" w:hAnsi="Century Gothic" w:cs="Arial"/>
          <w:sz w:val="14"/>
          <w:szCs w:val="14"/>
        </w:rPr>
        <w:t>Covid</w:t>
      </w:r>
      <w:proofErr w:type="spellEnd"/>
      <w:r w:rsidRPr="00051380">
        <w:rPr>
          <w:rFonts w:ascii="Century Gothic" w:hAnsi="Century Gothic" w:cs="Arial"/>
          <w:sz w:val="14"/>
          <w:szCs w:val="14"/>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30">
    <w:p w14:paraId="2820D05F" w14:textId="77777777" w:rsidR="000F64AE" w:rsidRPr="00051380" w:rsidRDefault="000F64AE" w:rsidP="000F64AE">
      <w:pPr>
        <w:pStyle w:val="Textonotapie"/>
        <w:ind w:firstLine="709"/>
        <w:jc w:val="both"/>
        <w:rPr>
          <w:rFonts w:ascii="Century Gothic" w:hAnsi="Century Gothic" w:cs="Arial"/>
          <w:color w:val="000000"/>
          <w:sz w:val="14"/>
          <w:szCs w:val="14"/>
        </w:rPr>
      </w:pPr>
      <w:r w:rsidRPr="00051380">
        <w:rPr>
          <w:rStyle w:val="Refdenotaalpie"/>
          <w:rFonts w:ascii="Century Gothic" w:hAnsi="Century Gothic" w:cs="Arial"/>
          <w:color w:val="000000"/>
          <w:sz w:val="14"/>
          <w:szCs w:val="14"/>
        </w:rPr>
        <w:footnoteRef/>
      </w:r>
      <w:r w:rsidRPr="00051380">
        <w:rPr>
          <w:rFonts w:ascii="Century Gothic" w:hAnsi="Century Gothic" w:cs="Arial"/>
          <w:color w:val="000000"/>
          <w:sz w:val="14"/>
          <w:szCs w:val="14"/>
        </w:rPr>
        <w:t xml:space="preserve"> Al respecto, la jurisprudencia explica que </w:t>
      </w:r>
      <w:r w:rsidRPr="00051380">
        <w:rPr>
          <w:rFonts w:ascii="Century Gothic" w:hAnsi="Century Gothic" w:cs="Arial"/>
          <w:i/>
          <w:iCs/>
          <w:color w:val="000000"/>
          <w:sz w:val="14"/>
          <w:szCs w:val="14"/>
        </w:rPr>
        <w:t>“</w:t>
      </w:r>
      <w:r w:rsidRPr="00051380">
        <w:rPr>
          <w:rFonts w:ascii="Century Gothic" w:hAnsi="Century Gothic" w:cs="Arial"/>
          <w:color w:val="000000"/>
          <w:sz w:val="14"/>
          <w:szCs w:val="14"/>
        </w:rPr>
        <w:t>[…]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sidRPr="00051380">
        <w:rPr>
          <w:rFonts w:ascii="Century Gothic" w:hAnsi="Century Gothic" w:cs="Arial"/>
          <w:i/>
          <w:iCs/>
          <w:color w:val="000000"/>
          <w:sz w:val="14"/>
          <w:szCs w:val="14"/>
        </w:rPr>
        <w:t>”</w:t>
      </w:r>
      <w:r w:rsidRPr="00051380">
        <w:rPr>
          <w:rFonts w:ascii="Century Gothic" w:hAnsi="Century Gothic" w:cs="Arial"/>
          <w:color w:val="000000"/>
          <w:sz w:val="14"/>
          <w:szCs w:val="14"/>
        </w:rPr>
        <w:t xml:space="preserve"> (CONSEJO DE ESTADO. Sección Tercera. Subsección A. Sentencia del 3 de octubre de 2012. </w:t>
      </w:r>
      <w:proofErr w:type="spellStart"/>
      <w:r w:rsidRPr="00051380">
        <w:rPr>
          <w:rFonts w:ascii="Century Gothic" w:hAnsi="Century Gothic" w:cs="Arial"/>
          <w:color w:val="000000"/>
          <w:sz w:val="14"/>
          <w:szCs w:val="14"/>
        </w:rPr>
        <w:t>Exp</w:t>
      </w:r>
      <w:proofErr w:type="spellEnd"/>
      <w:r w:rsidRPr="00051380">
        <w:rPr>
          <w:rFonts w:ascii="Century Gothic" w:hAnsi="Century Gothic" w:cs="Arial"/>
          <w:color w:val="000000"/>
          <w:sz w:val="14"/>
          <w:szCs w:val="14"/>
        </w:rPr>
        <w:t>. 26.140. C.P. Carlos Alberto Zambrano Barrera).</w:t>
      </w:r>
    </w:p>
    <w:p w14:paraId="0DE68D07" w14:textId="77777777" w:rsidR="000F64AE" w:rsidRPr="00051380" w:rsidRDefault="000F64AE" w:rsidP="000F64AE">
      <w:pPr>
        <w:pStyle w:val="Textonotapie"/>
        <w:ind w:firstLine="709"/>
        <w:jc w:val="both"/>
        <w:rPr>
          <w:rFonts w:ascii="Century Gothic" w:hAnsi="Century Gothic" w:cs="Arial"/>
          <w:color w:val="000000"/>
          <w:sz w:val="14"/>
          <w:szCs w:val="14"/>
        </w:rPr>
      </w:pPr>
    </w:p>
  </w:footnote>
  <w:footnote w:id="31">
    <w:p w14:paraId="60BD0814" w14:textId="77777777" w:rsidR="000F64AE" w:rsidRPr="00051380" w:rsidRDefault="000F64AE" w:rsidP="000F64AE">
      <w:pPr>
        <w:pStyle w:val="Textonotapie"/>
        <w:ind w:firstLine="709"/>
        <w:jc w:val="both"/>
        <w:rPr>
          <w:rFonts w:ascii="Century Gothic" w:hAnsi="Century Gothic" w:cs="Arial"/>
          <w:color w:val="000000"/>
          <w:sz w:val="14"/>
          <w:szCs w:val="14"/>
        </w:rPr>
      </w:pPr>
      <w:r w:rsidRPr="00051380">
        <w:rPr>
          <w:rStyle w:val="Refdenotaalpie"/>
          <w:rFonts w:ascii="Century Gothic" w:hAnsi="Century Gothic" w:cs="Arial"/>
          <w:color w:val="000000"/>
          <w:sz w:val="14"/>
          <w:szCs w:val="14"/>
        </w:rPr>
        <w:footnoteRef/>
      </w:r>
      <w:r w:rsidRPr="00051380">
        <w:rPr>
          <w:rFonts w:ascii="Century Gothic" w:hAnsi="Century Gothic" w:cs="Arial"/>
          <w:color w:val="000000"/>
          <w:sz w:val="14"/>
          <w:szCs w:val="14"/>
        </w:rPr>
        <w:t xml:space="preserve"> Ambas normas disponen lo siguiente: </w:t>
      </w:r>
      <w:r w:rsidRPr="00051380">
        <w:rPr>
          <w:rFonts w:ascii="Century Gothic" w:hAnsi="Century Gothic" w:cs="Arial"/>
          <w:i/>
          <w:iCs/>
          <w:color w:val="000000"/>
          <w:sz w:val="14"/>
          <w:szCs w:val="14"/>
        </w:rPr>
        <w:t>“</w:t>
      </w:r>
      <w:r w:rsidRPr="00051380">
        <w:rPr>
          <w:rFonts w:ascii="Century Gothic" w:hAnsi="Century Gothic" w:cs="Arial"/>
          <w:color w:val="000000"/>
          <w:sz w:val="14"/>
          <w:szCs w:val="14"/>
        </w:rPr>
        <w:t>5) Contratación mínima cuantía. La contratación cuyo valor no excede del 10 por ciento de la menor cuantía de la entidad independientemente de su objeto, se efectuará de conformidad con las siguientes reglas:</w:t>
      </w:r>
    </w:p>
    <w:p w14:paraId="4EEBCC7E" w14:textId="77777777" w:rsidR="000F64AE" w:rsidRPr="00051380" w:rsidRDefault="000F64AE" w:rsidP="000F64AE">
      <w:pPr>
        <w:pStyle w:val="Textonotapie"/>
        <w:ind w:firstLine="709"/>
        <w:jc w:val="both"/>
        <w:rPr>
          <w:rFonts w:ascii="Century Gothic" w:hAnsi="Century Gothic" w:cs="Arial"/>
          <w:color w:val="000000"/>
          <w:sz w:val="14"/>
          <w:szCs w:val="14"/>
        </w:rPr>
      </w:pPr>
      <w:r w:rsidRPr="00051380">
        <w:rPr>
          <w:rFonts w:ascii="Century Gothic" w:hAnsi="Century Gothic" w:cs="Arial"/>
          <w:i/>
          <w:iCs/>
          <w:color w:val="000000"/>
          <w:sz w:val="14"/>
          <w:szCs w:val="14"/>
        </w:rPr>
        <w:t>“</w:t>
      </w:r>
      <w:r w:rsidRPr="00051380">
        <w:rPr>
          <w:rFonts w:ascii="Century Gothic" w:hAnsi="Century Gothic" w:cs="Arial"/>
          <w:color w:val="000000"/>
          <w:sz w:val="14"/>
          <w:szCs w:val="14"/>
        </w:rPr>
        <w:t>a) Se publicará una invitación, por un término no inferior a un día hábil, en la cual se señalará el objeto a contratar, el presupuesto destinado para tal fin, así como las condiciones técnicas exigidas;</w:t>
      </w:r>
    </w:p>
    <w:p w14:paraId="4710E6D3" w14:textId="77777777" w:rsidR="000F64AE" w:rsidRPr="00051380" w:rsidRDefault="000F64AE" w:rsidP="000F64AE">
      <w:pPr>
        <w:pStyle w:val="Textonotapie"/>
        <w:ind w:firstLine="709"/>
        <w:jc w:val="both"/>
        <w:rPr>
          <w:rFonts w:ascii="Century Gothic" w:hAnsi="Century Gothic" w:cs="Arial"/>
          <w:color w:val="000000"/>
          <w:sz w:val="14"/>
          <w:szCs w:val="14"/>
        </w:rPr>
      </w:pPr>
      <w:r w:rsidRPr="00051380">
        <w:rPr>
          <w:rFonts w:ascii="Century Gothic" w:hAnsi="Century Gothic" w:cs="Arial"/>
          <w:i/>
          <w:iCs/>
          <w:color w:val="000000"/>
          <w:sz w:val="14"/>
          <w:szCs w:val="14"/>
        </w:rPr>
        <w:t>“</w:t>
      </w:r>
      <w:r w:rsidRPr="00051380">
        <w:rPr>
          <w:rFonts w:ascii="Century Gothic" w:hAnsi="Century Gothic" w:cs="Arial"/>
          <w:color w:val="000000"/>
          <w:sz w:val="14"/>
          <w:szCs w:val="14"/>
        </w:rPr>
        <w:t>b) El término previsto en la invitación para presentar la oferta no podrá ser inferior a un día hábil;</w:t>
      </w:r>
    </w:p>
    <w:p w14:paraId="6E73F974" w14:textId="77777777" w:rsidR="000F64AE" w:rsidRPr="00051380" w:rsidRDefault="000F64AE" w:rsidP="000F64AE">
      <w:pPr>
        <w:pStyle w:val="Textonotapie"/>
        <w:ind w:firstLine="709"/>
        <w:jc w:val="both"/>
        <w:rPr>
          <w:rFonts w:ascii="Century Gothic" w:hAnsi="Century Gothic" w:cs="Arial"/>
          <w:color w:val="000000"/>
          <w:sz w:val="14"/>
          <w:szCs w:val="14"/>
        </w:rPr>
      </w:pPr>
      <w:r w:rsidRPr="00051380">
        <w:rPr>
          <w:rFonts w:ascii="Century Gothic" w:hAnsi="Century Gothic" w:cs="Arial"/>
          <w:i/>
          <w:iCs/>
          <w:color w:val="000000"/>
          <w:sz w:val="14"/>
          <w:szCs w:val="14"/>
        </w:rPr>
        <w:t>“</w:t>
      </w:r>
      <w:r w:rsidRPr="00051380">
        <w:rPr>
          <w:rFonts w:ascii="Century Gothic" w:hAnsi="Century Gothic" w:cs="Arial"/>
          <w:color w:val="000000"/>
          <w:sz w:val="14"/>
          <w:szCs w:val="14"/>
        </w:rPr>
        <w:t>c) La entidad seleccionará, mediante comunicación de aceptación de la oferta, la propuesta con el menor precio, siempre y cuando cumpla con las condiciones exigidas;</w:t>
      </w:r>
    </w:p>
    <w:p w14:paraId="7235B7F2" w14:textId="77777777" w:rsidR="000F64AE" w:rsidRPr="00051380" w:rsidRDefault="000F64AE" w:rsidP="000F64AE">
      <w:pPr>
        <w:pStyle w:val="Textonotapie"/>
        <w:ind w:firstLine="709"/>
        <w:jc w:val="both"/>
        <w:rPr>
          <w:rFonts w:ascii="Century Gothic" w:hAnsi="Century Gothic" w:cs="Arial"/>
          <w:color w:val="000000"/>
          <w:sz w:val="14"/>
          <w:szCs w:val="14"/>
          <w:lang w:val="es-ES"/>
        </w:rPr>
      </w:pPr>
      <w:r w:rsidRPr="00051380">
        <w:rPr>
          <w:rFonts w:ascii="Century Gothic" w:hAnsi="Century Gothic" w:cs="Arial"/>
          <w:i/>
          <w:iCs/>
          <w:color w:val="000000"/>
          <w:sz w:val="14"/>
          <w:szCs w:val="14"/>
        </w:rPr>
        <w:t>“</w:t>
      </w:r>
      <w:r w:rsidRPr="00051380">
        <w:rPr>
          <w:rFonts w:ascii="Century Gothic" w:hAnsi="Century Gothic" w:cs="Arial"/>
          <w:color w:val="000000"/>
          <w:sz w:val="14"/>
          <w:szCs w:val="14"/>
        </w:rPr>
        <w:t>d) La comunicación de aceptación junto con la oferta constituye para todos los efectos el contrato celebrado, con base en lo cual se efectuará el respectivo registro presupuestal</w:t>
      </w:r>
      <w:r w:rsidRPr="00051380">
        <w:rPr>
          <w:rFonts w:ascii="Century Gothic" w:hAnsi="Century Gothic" w:cs="Arial"/>
          <w:i/>
          <w:iCs/>
          <w:color w:val="000000"/>
          <w:sz w:val="14"/>
          <w:szCs w:val="14"/>
        </w:rPr>
        <w:t>”</w:t>
      </w:r>
      <w:r w:rsidRPr="00051380">
        <w:rPr>
          <w:rFonts w:ascii="Century Gothic" w:hAnsi="Century Gothic" w:cs="Arial"/>
          <w:color w:val="000000"/>
          <w:sz w:val="14"/>
          <w:szCs w:val="14"/>
        </w:rPr>
        <w:t>.</w:t>
      </w:r>
    </w:p>
  </w:footnote>
  <w:footnote w:id="32">
    <w:p w14:paraId="11DEB2D5" w14:textId="77777777" w:rsidR="000F64AE" w:rsidRPr="00464ACB" w:rsidRDefault="000F64AE" w:rsidP="000F64AE">
      <w:pPr>
        <w:pStyle w:val="NormalWeb"/>
        <w:spacing w:before="0" w:beforeAutospacing="0" w:after="0" w:afterAutospacing="0"/>
        <w:ind w:firstLine="709"/>
        <w:jc w:val="both"/>
        <w:rPr>
          <w:rFonts w:ascii="Century Gothic" w:hAnsi="Century Gothic" w:cs="Arial"/>
          <w:sz w:val="18"/>
          <w:szCs w:val="18"/>
        </w:rPr>
      </w:pPr>
      <w:r w:rsidRPr="00051380">
        <w:rPr>
          <w:rStyle w:val="Refdenotaalpie"/>
          <w:rFonts w:ascii="Century Gothic" w:hAnsi="Century Gothic" w:cs="Arial"/>
          <w:sz w:val="14"/>
          <w:szCs w:val="14"/>
        </w:rPr>
        <w:footnoteRef/>
      </w:r>
      <w:r w:rsidRPr="00051380">
        <w:rPr>
          <w:rFonts w:ascii="Century Gothic" w:hAnsi="Century Gothic" w:cs="Arial"/>
          <w:sz w:val="14"/>
          <w:szCs w:val="14"/>
        </w:rPr>
        <w:t xml:space="preserve"> </w:t>
      </w:r>
      <w:r w:rsidRPr="00051380">
        <w:rPr>
          <w:rFonts w:ascii="Century Gothic" w:hAnsi="Century Gothic" w:cs="Arial"/>
          <w:sz w:val="14"/>
          <w:szCs w:val="14"/>
          <w:lang w:val="es-ES"/>
        </w:rPr>
        <w:t>“</w:t>
      </w:r>
      <w:r w:rsidRPr="00051380">
        <w:rPr>
          <w:rFonts w:ascii="Century Gothic" w:hAnsi="Century Gothic" w:cs="Arial"/>
          <w:sz w:val="14"/>
          <w:szCs w:val="14"/>
        </w:rPr>
        <w:t>Para poder participar en los procesos de selección de los contratos de obra, la capacidad residual del proponente o K de contratación deberá ser igual o superior al que la entidad haya establecido para el efecto en los pliegos de condiciones. 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7922075">
    <w:abstractNumId w:val="6"/>
  </w:num>
  <w:num w:numId="2" w16cid:durableId="791636488">
    <w:abstractNumId w:val="2"/>
  </w:num>
  <w:num w:numId="3" w16cid:durableId="398750486">
    <w:abstractNumId w:val="4"/>
  </w:num>
  <w:num w:numId="4" w16cid:durableId="52579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632853">
    <w:abstractNumId w:val="2"/>
  </w:num>
  <w:num w:numId="6" w16cid:durableId="1686594356">
    <w:abstractNumId w:val="12"/>
  </w:num>
  <w:num w:numId="7" w16cid:durableId="380598808">
    <w:abstractNumId w:val="5"/>
  </w:num>
  <w:num w:numId="8" w16cid:durableId="1634098481">
    <w:abstractNumId w:val="11"/>
  </w:num>
  <w:num w:numId="9" w16cid:durableId="307395885">
    <w:abstractNumId w:val="7"/>
  </w:num>
  <w:num w:numId="10" w16cid:durableId="152792917">
    <w:abstractNumId w:val="10"/>
  </w:num>
  <w:num w:numId="11" w16cid:durableId="1256016620">
    <w:abstractNumId w:val="8"/>
  </w:num>
  <w:num w:numId="12" w16cid:durableId="1886720220">
    <w:abstractNumId w:val="1"/>
  </w:num>
  <w:num w:numId="13" w16cid:durableId="2119133322">
    <w:abstractNumId w:val="3"/>
  </w:num>
  <w:num w:numId="14" w16cid:durableId="1199782276">
    <w:abstractNumId w:val="13"/>
  </w:num>
  <w:num w:numId="15" w16cid:durableId="1592591245">
    <w:abstractNumId w:val="9"/>
  </w:num>
  <w:num w:numId="16" w16cid:durableId="116624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3351A"/>
    <w:rsid w:val="00061B2A"/>
    <w:rsid w:val="00082362"/>
    <w:rsid w:val="000A683E"/>
    <w:rsid w:val="000B19B9"/>
    <w:rsid w:val="000D0334"/>
    <w:rsid w:val="000F6486"/>
    <w:rsid w:val="000F64AE"/>
    <w:rsid w:val="00125105"/>
    <w:rsid w:val="00127233"/>
    <w:rsid w:val="001E4177"/>
    <w:rsid w:val="001F7DC6"/>
    <w:rsid w:val="002421BB"/>
    <w:rsid w:val="002707A2"/>
    <w:rsid w:val="002951A0"/>
    <w:rsid w:val="002962BC"/>
    <w:rsid w:val="002A093D"/>
    <w:rsid w:val="002A0DD0"/>
    <w:rsid w:val="002A49AC"/>
    <w:rsid w:val="002A64FD"/>
    <w:rsid w:val="002C7A84"/>
    <w:rsid w:val="002E4FD9"/>
    <w:rsid w:val="00322A85"/>
    <w:rsid w:val="003448F4"/>
    <w:rsid w:val="00374F5E"/>
    <w:rsid w:val="00377E3E"/>
    <w:rsid w:val="003A779E"/>
    <w:rsid w:val="003D0F4D"/>
    <w:rsid w:val="003D5B0D"/>
    <w:rsid w:val="003E0499"/>
    <w:rsid w:val="003E1F8D"/>
    <w:rsid w:val="003F3941"/>
    <w:rsid w:val="00406575"/>
    <w:rsid w:val="0042722E"/>
    <w:rsid w:val="00462616"/>
    <w:rsid w:val="004A1847"/>
    <w:rsid w:val="004A305D"/>
    <w:rsid w:val="004F21C4"/>
    <w:rsid w:val="004F685F"/>
    <w:rsid w:val="005566E8"/>
    <w:rsid w:val="00574867"/>
    <w:rsid w:val="00591460"/>
    <w:rsid w:val="005A2340"/>
    <w:rsid w:val="005C3777"/>
    <w:rsid w:val="005C5CDC"/>
    <w:rsid w:val="005D476C"/>
    <w:rsid w:val="00607159"/>
    <w:rsid w:val="006219F8"/>
    <w:rsid w:val="00665D70"/>
    <w:rsid w:val="00675076"/>
    <w:rsid w:val="00684E49"/>
    <w:rsid w:val="006900D9"/>
    <w:rsid w:val="00706C16"/>
    <w:rsid w:val="00756841"/>
    <w:rsid w:val="007649AB"/>
    <w:rsid w:val="00771D0C"/>
    <w:rsid w:val="007833AC"/>
    <w:rsid w:val="007845D3"/>
    <w:rsid w:val="007B268C"/>
    <w:rsid w:val="007B7171"/>
    <w:rsid w:val="007C3DC2"/>
    <w:rsid w:val="007E5497"/>
    <w:rsid w:val="00806F5F"/>
    <w:rsid w:val="00820278"/>
    <w:rsid w:val="008843B6"/>
    <w:rsid w:val="00891928"/>
    <w:rsid w:val="008A446D"/>
    <w:rsid w:val="008D180B"/>
    <w:rsid w:val="008F0EA7"/>
    <w:rsid w:val="00923EEF"/>
    <w:rsid w:val="009419F9"/>
    <w:rsid w:val="00961B09"/>
    <w:rsid w:val="00965334"/>
    <w:rsid w:val="0097093E"/>
    <w:rsid w:val="009A6976"/>
    <w:rsid w:val="009C2254"/>
    <w:rsid w:val="009C71FA"/>
    <w:rsid w:val="009C72E7"/>
    <w:rsid w:val="009F3A13"/>
    <w:rsid w:val="00A122D3"/>
    <w:rsid w:val="00A17F13"/>
    <w:rsid w:val="00A20739"/>
    <w:rsid w:val="00A33C78"/>
    <w:rsid w:val="00A974F5"/>
    <w:rsid w:val="00AB02C6"/>
    <w:rsid w:val="00AB0ADB"/>
    <w:rsid w:val="00B72CD3"/>
    <w:rsid w:val="00B72FFF"/>
    <w:rsid w:val="00B920E9"/>
    <w:rsid w:val="00BC3D36"/>
    <w:rsid w:val="00BD7F72"/>
    <w:rsid w:val="00C04FB3"/>
    <w:rsid w:val="00C330EB"/>
    <w:rsid w:val="00C41F14"/>
    <w:rsid w:val="00C633A0"/>
    <w:rsid w:val="00C754BE"/>
    <w:rsid w:val="00C76B1C"/>
    <w:rsid w:val="00CB6357"/>
    <w:rsid w:val="00CC1B26"/>
    <w:rsid w:val="00D423A2"/>
    <w:rsid w:val="00D63AC2"/>
    <w:rsid w:val="00D7383B"/>
    <w:rsid w:val="00DA231B"/>
    <w:rsid w:val="00DF5254"/>
    <w:rsid w:val="00E16408"/>
    <w:rsid w:val="00E20894"/>
    <w:rsid w:val="00E245AB"/>
    <w:rsid w:val="00E2764C"/>
    <w:rsid w:val="00E27746"/>
    <w:rsid w:val="00E27F2E"/>
    <w:rsid w:val="00E50AFE"/>
    <w:rsid w:val="00E771DC"/>
    <w:rsid w:val="00E8772A"/>
    <w:rsid w:val="00E90F6B"/>
    <w:rsid w:val="00E92C27"/>
    <w:rsid w:val="00E97D30"/>
    <w:rsid w:val="00EA0E3D"/>
    <w:rsid w:val="00EE1AA8"/>
    <w:rsid w:val="00F31EDC"/>
    <w:rsid w:val="00F462B3"/>
    <w:rsid w:val="00F5664F"/>
    <w:rsid w:val="00F62508"/>
    <w:rsid w:val="00F62792"/>
    <w:rsid w:val="00F666C4"/>
    <w:rsid w:val="00F76AFC"/>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Textoennegrita">
    <w:name w:val="Strong"/>
    <w:basedOn w:val="Fuentedeprrafopredeter"/>
    <w:uiPriority w:val="22"/>
    <w:qFormat/>
    <w:rsid w:val="000F64AE"/>
    <w:rPr>
      <w:b/>
      <w:bCs/>
    </w:rPr>
  </w:style>
  <w:style w:type="paragraph" w:customStyle="1" w:styleId="Appelnotedebasde">
    <w:name w:val="Appel note de bas de..."/>
    <w:basedOn w:val="Normal"/>
    <w:link w:val="Refdenotaalpie"/>
    <w:uiPriority w:val="99"/>
    <w:rsid w:val="000F64AE"/>
    <w:pPr>
      <w:spacing w:line="240" w:lineRule="exact"/>
    </w:pPr>
    <w:rPr>
      <w:vertAlign w:val="superscript"/>
    </w:rPr>
  </w:style>
  <w:style w:type="paragraph" w:styleId="Textocomentario">
    <w:name w:val="annotation text"/>
    <w:basedOn w:val="Normal"/>
    <w:link w:val="TextocomentarioCar"/>
    <w:uiPriority w:val="99"/>
    <w:unhideWhenUsed/>
    <w:rsid w:val="000F64AE"/>
    <w:pPr>
      <w:spacing w:after="0" w:line="240" w:lineRule="auto"/>
    </w:pPr>
    <w:rPr>
      <w:rFonts w:ascii="Times New Roman" w:eastAsia="Times New Roman" w:hAnsi="Times New Roman" w:cs="Times New Roman"/>
      <w:sz w:val="20"/>
      <w:szCs w:val="20"/>
      <w:lang w:eastAsia="es-CO"/>
    </w:rPr>
  </w:style>
  <w:style w:type="character" w:customStyle="1" w:styleId="TextocomentarioCar">
    <w:name w:val="Texto comentario Car"/>
    <w:basedOn w:val="Fuentedeprrafopredeter"/>
    <w:link w:val="Textocomentario"/>
    <w:uiPriority w:val="99"/>
    <w:rsid w:val="000F64AE"/>
    <w:rPr>
      <w:rFonts w:ascii="Times New Roman" w:eastAsia="Times New Roman" w:hAnsi="Times New Roman" w:cs="Times New Roman"/>
      <w:sz w:val="20"/>
      <w:szCs w:val="20"/>
      <w:lang w:eastAsia="es-CO"/>
    </w:rPr>
  </w:style>
  <w:style w:type="character" w:styleId="nfasis">
    <w:name w:val="Emphasis"/>
    <w:basedOn w:val="Fuentedeprrafopredeter"/>
    <w:uiPriority w:val="20"/>
    <w:qFormat/>
    <w:rsid w:val="000F64AE"/>
    <w:rPr>
      <w:i/>
      <w:iCs/>
    </w:rPr>
  </w:style>
  <w:style w:type="character" w:customStyle="1" w:styleId="NormalWebCar">
    <w:name w:val="Normal (Web) Car"/>
    <w:link w:val="NormalWeb"/>
    <w:uiPriority w:val="99"/>
    <w:rsid w:val="000F64AE"/>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ximteconsultores@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manual_requisitos_habilitantes.pdf" TargetMode="External"/><Relationship Id="rId2" Type="http://schemas.openxmlformats.org/officeDocument/2006/relationships/hyperlink" Target="https://colombiacompra.gov.co/manuales-guias-y-pliegos-tipo/manuales-y-guias/manual-para-determinar-y-verificar-los-requisitos"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colombiacompra.gov.co/sites/default/files/manuales/20140901_manual_requisitos_habilitantes_4_web.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cabc2350-70b2-4dba-bb42-96a3175f4d5a"/>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8ae15d26-076e-464e-81a7-6f76a0fb3917"/>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4661571B-AABD-40CD-95F1-B400AF956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12091</Words>
  <Characters>66505</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2023-01-10T21:18:00Z</cp:lastPrinted>
  <dcterms:created xsi:type="dcterms:W3CDTF">2023-10-24T01:34:00Z</dcterms:created>
  <dcterms:modified xsi:type="dcterms:W3CDTF">2024-03-15T20:15:00Z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