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5891" w14:textId="77777777" w:rsidR="00464C4C" w:rsidRPr="00464C4C" w:rsidRDefault="00464C4C" w:rsidP="00F55E0B">
      <w:pPr>
        <w:tabs>
          <w:tab w:val="left" w:pos="4242"/>
        </w:tabs>
        <w:spacing w:after="0"/>
        <w:rPr>
          <w:rFonts w:ascii="Arial" w:hAnsi="Arial" w:cs="Arial"/>
        </w:rPr>
      </w:pPr>
      <w:bookmarkStart w:id="0" w:name="_Hlk143780582"/>
    </w:p>
    <w:p w14:paraId="6A635E80" w14:textId="77777777" w:rsidR="00464C4C" w:rsidRPr="00464C4C" w:rsidRDefault="00464C4C" w:rsidP="00464C4C">
      <w:pPr>
        <w:pStyle w:val="paragraph"/>
        <w:spacing w:before="0" w:beforeAutospacing="0" w:after="0" w:afterAutospacing="0"/>
        <w:jc w:val="both"/>
        <w:textAlignment w:val="baseline"/>
        <w:rPr>
          <w:rFonts w:ascii="Arial" w:hAnsi="Arial" w:cs="Arial"/>
          <w:sz w:val="18"/>
          <w:szCs w:val="18"/>
        </w:rPr>
      </w:pPr>
      <w:r w:rsidRPr="00464C4C">
        <w:rPr>
          <w:rStyle w:val="normaltextrun"/>
          <w:rFonts w:ascii="Arial" w:hAnsi="Arial" w:cs="Arial"/>
          <w:b/>
          <w:bCs/>
          <w:color w:val="000000"/>
          <w:sz w:val="22"/>
          <w:szCs w:val="22"/>
          <w:lang w:val="es-ES"/>
        </w:rPr>
        <w:t>CONCEPTO DE EXPERIENCIA EN LA CONTRATACIÓN PÚBLICA</w:t>
      </w:r>
      <w:r w:rsidRPr="00464C4C">
        <w:rPr>
          <w:rStyle w:val="eop"/>
          <w:rFonts w:ascii="Arial" w:hAnsi="Arial" w:cs="Arial"/>
          <w:color w:val="000000"/>
          <w:sz w:val="22"/>
          <w:szCs w:val="22"/>
        </w:rPr>
        <w:t> </w:t>
      </w:r>
    </w:p>
    <w:p w14:paraId="012D3370" w14:textId="77777777" w:rsidR="00464C4C" w:rsidRPr="00464C4C" w:rsidRDefault="00464C4C" w:rsidP="00464C4C">
      <w:pPr>
        <w:pStyle w:val="paragraph"/>
        <w:spacing w:before="0" w:beforeAutospacing="0" w:after="0" w:afterAutospacing="0"/>
        <w:jc w:val="both"/>
        <w:textAlignment w:val="baseline"/>
        <w:rPr>
          <w:rFonts w:ascii="Arial" w:hAnsi="Arial" w:cs="Arial"/>
          <w:sz w:val="18"/>
          <w:szCs w:val="18"/>
        </w:rPr>
      </w:pPr>
      <w:r w:rsidRPr="00464C4C">
        <w:rPr>
          <w:rStyle w:val="eop"/>
          <w:rFonts w:ascii="Arial" w:hAnsi="Arial" w:cs="Arial"/>
          <w:sz w:val="22"/>
          <w:szCs w:val="22"/>
        </w:rPr>
        <w:t> </w:t>
      </w:r>
    </w:p>
    <w:p w14:paraId="3E1B087C" w14:textId="77777777" w:rsidR="00464C4C" w:rsidRPr="00464C4C" w:rsidRDefault="00464C4C" w:rsidP="00464C4C">
      <w:pPr>
        <w:pStyle w:val="paragraph"/>
        <w:spacing w:before="0" w:beforeAutospacing="0" w:after="0" w:afterAutospacing="0"/>
        <w:jc w:val="both"/>
        <w:textAlignment w:val="baseline"/>
        <w:rPr>
          <w:rFonts w:ascii="Arial" w:hAnsi="Arial" w:cs="Arial"/>
          <w:sz w:val="20"/>
          <w:szCs w:val="20"/>
        </w:rPr>
      </w:pPr>
      <w:r w:rsidRPr="00464C4C">
        <w:rPr>
          <w:rStyle w:val="normaltextrun"/>
          <w:rFonts w:ascii="Arial" w:hAnsi="Arial" w:cs="Arial"/>
          <w:sz w:val="20"/>
          <w:szCs w:val="20"/>
        </w:rPr>
        <w:t>El artículo 5 de la Ley 1150 de 2007 establece los requisitos habilitantes para participar en un procedimiento contractual, dentro de los cuales se destaca la experiencia. El propósito es que las entidades fijen unos requisitos mínimos que debe tener y acreditar el proponente, para que la entidad pueda verificar su aptitud para participar en el procedimiento de contratación y, si se le adjudica, ejecutar el contrato estatal.</w:t>
      </w:r>
      <w:r w:rsidRPr="00464C4C">
        <w:rPr>
          <w:rStyle w:val="eop"/>
          <w:rFonts w:ascii="Arial" w:hAnsi="Arial" w:cs="Arial"/>
          <w:sz w:val="20"/>
          <w:szCs w:val="20"/>
        </w:rPr>
        <w:t> </w:t>
      </w:r>
    </w:p>
    <w:p w14:paraId="2E214AC0" w14:textId="77777777" w:rsidR="00464C4C" w:rsidRPr="00464C4C" w:rsidRDefault="00464C4C" w:rsidP="00464C4C">
      <w:pPr>
        <w:pStyle w:val="paragraph"/>
        <w:spacing w:before="0" w:beforeAutospacing="0" w:after="0" w:afterAutospacing="0"/>
        <w:textAlignment w:val="baseline"/>
        <w:rPr>
          <w:rFonts w:ascii="Arial" w:hAnsi="Arial" w:cs="Arial"/>
          <w:sz w:val="18"/>
          <w:szCs w:val="18"/>
        </w:rPr>
      </w:pPr>
      <w:r w:rsidRPr="00464C4C">
        <w:rPr>
          <w:rStyle w:val="eop"/>
          <w:rFonts w:ascii="Arial" w:hAnsi="Arial" w:cs="Arial"/>
          <w:sz w:val="22"/>
          <w:szCs w:val="22"/>
        </w:rPr>
        <w:t> </w:t>
      </w:r>
    </w:p>
    <w:p w14:paraId="4E3D748D" w14:textId="77777777" w:rsidR="00464C4C" w:rsidRPr="00464C4C" w:rsidRDefault="00464C4C" w:rsidP="00464C4C">
      <w:pPr>
        <w:pStyle w:val="paragraph"/>
        <w:spacing w:before="0" w:beforeAutospacing="0" w:after="0" w:afterAutospacing="0"/>
        <w:textAlignment w:val="baseline"/>
        <w:rPr>
          <w:rStyle w:val="eop"/>
          <w:rFonts w:ascii="Arial" w:hAnsi="Arial" w:cs="Arial"/>
          <w:sz w:val="22"/>
          <w:szCs w:val="22"/>
        </w:rPr>
      </w:pPr>
      <w:r w:rsidRPr="00464C4C">
        <w:rPr>
          <w:rStyle w:val="normaltextrun"/>
          <w:rFonts w:ascii="Arial" w:hAnsi="Arial" w:cs="Arial"/>
          <w:b/>
          <w:bCs/>
          <w:sz w:val="22"/>
          <w:szCs w:val="22"/>
        </w:rPr>
        <w:t xml:space="preserve">RUP </w:t>
      </w:r>
      <w:r w:rsidRPr="00464C4C">
        <w:rPr>
          <w:rStyle w:val="normaltextrun"/>
          <w:rFonts w:ascii="Arial" w:hAnsi="Arial" w:cs="Arial"/>
          <w:b/>
          <w:bCs/>
          <w:sz w:val="22"/>
          <w:szCs w:val="22"/>
          <w:lang w:val="es-MX"/>
        </w:rPr>
        <w:t>– CONSERVACIÓN – SOCIEDADES – MENOR A 3 AÑOS DE CONSTITUCIÓN</w:t>
      </w:r>
      <w:r w:rsidRPr="00464C4C">
        <w:rPr>
          <w:rStyle w:val="eop"/>
          <w:rFonts w:ascii="Arial" w:hAnsi="Arial" w:cs="Arial"/>
          <w:sz w:val="22"/>
          <w:szCs w:val="22"/>
        </w:rPr>
        <w:t> </w:t>
      </w:r>
    </w:p>
    <w:p w14:paraId="76D32E6A" w14:textId="77777777" w:rsidR="00464C4C" w:rsidRPr="00464C4C" w:rsidRDefault="00464C4C" w:rsidP="00464C4C">
      <w:pPr>
        <w:pStyle w:val="paragraph"/>
        <w:spacing w:before="0" w:beforeAutospacing="0" w:after="0" w:afterAutospacing="0"/>
        <w:textAlignment w:val="baseline"/>
        <w:rPr>
          <w:rFonts w:ascii="Arial" w:hAnsi="Arial" w:cs="Arial"/>
          <w:sz w:val="18"/>
          <w:szCs w:val="18"/>
        </w:rPr>
      </w:pPr>
    </w:p>
    <w:p w14:paraId="26AD2608" w14:textId="77777777" w:rsidR="00464C4C" w:rsidRPr="00464C4C" w:rsidRDefault="00464C4C" w:rsidP="00464C4C">
      <w:pPr>
        <w:pStyle w:val="paragraph"/>
        <w:spacing w:before="0" w:beforeAutospacing="0" w:after="0" w:afterAutospacing="0"/>
        <w:jc w:val="both"/>
        <w:textAlignment w:val="baseline"/>
        <w:rPr>
          <w:rFonts w:ascii="Arial" w:hAnsi="Arial" w:cs="Arial"/>
          <w:sz w:val="20"/>
          <w:szCs w:val="20"/>
        </w:rPr>
      </w:pPr>
      <w:r w:rsidRPr="00464C4C">
        <w:rPr>
          <w:rStyle w:val="normaltextrun"/>
          <w:rFonts w:ascii="Arial" w:hAnsi="Arial" w:cs="Arial"/>
          <w:sz w:val="20"/>
          <w:szCs w:val="20"/>
        </w:rPr>
        <w:t>El RUP fue creado por el artículo 6 de la Ley 1150 de 2007 y constituye el medio idóneo para verificar las condiciones de los proponentes en procesos de contratación pública. Este registro, conforme a lo señalado por la Corte Constitucional</w:t>
      </w:r>
      <w:r w:rsidRPr="00464C4C">
        <w:rPr>
          <w:rStyle w:val="superscript"/>
          <w:rFonts w:ascii="Arial" w:hAnsi="Arial" w:cs="Arial"/>
          <w:sz w:val="20"/>
          <w:szCs w:val="20"/>
          <w:vertAlign w:val="superscript"/>
        </w:rPr>
        <w:t>1</w:t>
      </w:r>
      <w:r w:rsidRPr="00464C4C">
        <w:rPr>
          <w:rStyle w:val="normaltextrun"/>
          <w:rFonts w:ascii="Arial" w:hAnsi="Arial" w:cs="Arial"/>
          <w:sz w:val="20"/>
          <w:szCs w:val="20"/>
        </w:rPr>
        <w:t>, es administrado por las Cámaras de Comercio y la actividad relacionada en el mismo está “sometid[a] a los principios de la función administrativa y de contratación estatal”. El artículo 6 de la Ley 1150 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cámaras para verificarlas</w:t>
      </w:r>
      <w:r w:rsidRPr="00464C4C">
        <w:rPr>
          <w:rStyle w:val="eop"/>
          <w:rFonts w:ascii="Arial" w:hAnsi="Arial" w:cs="Arial"/>
          <w:sz w:val="20"/>
          <w:szCs w:val="20"/>
        </w:rPr>
        <w:t> </w:t>
      </w:r>
    </w:p>
    <w:p w14:paraId="78E41352" w14:textId="77777777" w:rsidR="00464C4C" w:rsidRPr="00464C4C" w:rsidRDefault="00464C4C" w:rsidP="00464C4C">
      <w:pPr>
        <w:pStyle w:val="paragraph"/>
        <w:spacing w:before="0" w:beforeAutospacing="0" w:after="0" w:afterAutospacing="0"/>
        <w:jc w:val="both"/>
        <w:textAlignment w:val="baseline"/>
        <w:rPr>
          <w:rStyle w:val="normaltextrun"/>
          <w:rFonts w:ascii="Arial" w:hAnsi="Arial" w:cs="Arial"/>
          <w:sz w:val="20"/>
          <w:szCs w:val="20"/>
        </w:rPr>
      </w:pPr>
      <w:r w:rsidRPr="00464C4C">
        <w:rPr>
          <w:rStyle w:val="normaltextrun"/>
          <w:rFonts w:ascii="Arial" w:hAnsi="Arial" w:cs="Arial"/>
          <w:sz w:val="20"/>
          <w:szCs w:val="20"/>
        </w:rPr>
        <w:t>(…)La experiencia de los socios, accionistas o constituyentes, para las sociedades que al momento de inscribirse en el RUP tenían menos de 3 años de constituidas, puede seguir siendo acreditada por la persona jurídica después de transcurridos los 3 años del acto de constitución. Esta posición había sido reiterada por esta Subdirección en pronunciamientos posteriores a la acogida en el concepto del 3 de abril de 2018 antes citado y previos a la postura definida en el concepto del 19 de noviembre de 2019. </w:t>
      </w:r>
    </w:p>
    <w:p w14:paraId="5B98CE75" w14:textId="37D81D2D" w:rsidR="00464C4C" w:rsidRPr="00464C4C" w:rsidRDefault="00464C4C" w:rsidP="00464C4C">
      <w:pPr>
        <w:pStyle w:val="paragraph"/>
        <w:spacing w:before="0" w:beforeAutospacing="0" w:after="0" w:afterAutospacing="0"/>
        <w:jc w:val="both"/>
        <w:textAlignment w:val="baseline"/>
        <w:rPr>
          <w:rFonts w:ascii="Arial" w:hAnsi="Arial" w:cs="Arial"/>
          <w:sz w:val="20"/>
          <w:szCs w:val="20"/>
        </w:rPr>
      </w:pPr>
      <w:r w:rsidRPr="00464C4C">
        <w:rPr>
          <w:rStyle w:val="eop"/>
          <w:rFonts w:ascii="Arial" w:hAnsi="Arial" w:cs="Arial"/>
          <w:sz w:val="20"/>
          <w:szCs w:val="20"/>
        </w:rPr>
        <w:t> </w:t>
      </w:r>
    </w:p>
    <w:p w14:paraId="3D98E62C" w14:textId="77777777" w:rsidR="00464C4C" w:rsidRPr="00464C4C" w:rsidRDefault="00464C4C" w:rsidP="00464C4C">
      <w:pPr>
        <w:pStyle w:val="paragraph"/>
        <w:spacing w:before="0" w:beforeAutospacing="0" w:after="0" w:afterAutospacing="0"/>
        <w:jc w:val="both"/>
        <w:textAlignment w:val="baseline"/>
        <w:rPr>
          <w:rStyle w:val="normaltextrun"/>
          <w:rFonts w:ascii="Arial" w:hAnsi="Arial" w:cs="Arial"/>
          <w:sz w:val="20"/>
          <w:szCs w:val="20"/>
        </w:rPr>
      </w:pPr>
      <w:r w:rsidRPr="00464C4C">
        <w:rPr>
          <w:rStyle w:val="normaltextrun"/>
          <w:rFonts w:ascii="Arial" w:hAnsi="Arial" w:cs="Arial"/>
          <w:sz w:val="20"/>
          <w:szCs w:val="20"/>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464C4C">
        <w:rPr>
          <w:rStyle w:val="superscript"/>
          <w:rFonts w:ascii="Arial" w:hAnsi="Arial" w:cs="Arial"/>
          <w:sz w:val="20"/>
          <w:szCs w:val="20"/>
          <w:vertAlign w:val="superscript"/>
        </w:rPr>
        <w:t>2</w:t>
      </w:r>
      <w:r w:rsidRPr="00464C4C">
        <w:rPr>
          <w:rStyle w:val="normaltextrun"/>
          <w:rFonts w:ascii="Arial" w:hAnsi="Arial" w:cs="Arial"/>
          <w:sz w:val="20"/>
          <w:szCs w:val="20"/>
        </w:rPr>
        <w:t>. En la actualidad, las cámaras de comercio solo pueden eliminar la experiencia registrada en el RUP a solicitud del proponente, por tanto, les corresponde a las personas jurídicas mantener su RUP actualizado y a las entidades estatales verificar el RUP para efectos de evaluar la experiencia.</w:t>
      </w:r>
    </w:p>
    <w:p w14:paraId="10353845" w14:textId="3BEE3CA2" w:rsidR="00464C4C" w:rsidRPr="00464C4C" w:rsidRDefault="00464C4C" w:rsidP="00464C4C">
      <w:pPr>
        <w:pStyle w:val="paragraph"/>
        <w:spacing w:before="0" w:beforeAutospacing="0" w:after="0" w:afterAutospacing="0"/>
        <w:jc w:val="both"/>
        <w:textAlignment w:val="baseline"/>
        <w:rPr>
          <w:rFonts w:ascii="Arial" w:hAnsi="Arial" w:cs="Arial"/>
          <w:sz w:val="20"/>
          <w:szCs w:val="20"/>
        </w:rPr>
      </w:pPr>
      <w:r w:rsidRPr="00464C4C">
        <w:rPr>
          <w:rStyle w:val="normaltextrun"/>
          <w:rFonts w:ascii="Arial" w:hAnsi="Arial" w:cs="Arial"/>
          <w:sz w:val="20"/>
          <w:szCs w:val="20"/>
        </w:rPr>
        <w:t> </w:t>
      </w:r>
      <w:r w:rsidRPr="00464C4C">
        <w:rPr>
          <w:rStyle w:val="eop"/>
          <w:rFonts w:ascii="Arial" w:hAnsi="Arial" w:cs="Arial"/>
          <w:sz w:val="20"/>
          <w:szCs w:val="20"/>
        </w:rPr>
        <w:t> </w:t>
      </w:r>
    </w:p>
    <w:p w14:paraId="64BC79C5" w14:textId="77777777" w:rsidR="00464C4C" w:rsidRPr="00464C4C" w:rsidRDefault="00464C4C" w:rsidP="00464C4C">
      <w:pPr>
        <w:pStyle w:val="paragraph"/>
        <w:spacing w:before="0" w:beforeAutospacing="0" w:after="0" w:afterAutospacing="0"/>
        <w:jc w:val="both"/>
        <w:textAlignment w:val="baseline"/>
        <w:rPr>
          <w:rFonts w:ascii="Arial" w:hAnsi="Arial" w:cs="Arial"/>
          <w:sz w:val="20"/>
          <w:szCs w:val="20"/>
        </w:rPr>
      </w:pPr>
      <w:r w:rsidRPr="00464C4C">
        <w:rPr>
          <w:rStyle w:val="normaltextrun"/>
          <w:rFonts w:ascii="Arial" w:hAnsi="Arial" w:cs="Arial"/>
          <w:sz w:val="20"/>
          <w:szCs w:val="20"/>
        </w:rPr>
        <w:t>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r w:rsidRPr="00464C4C">
        <w:rPr>
          <w:rStyle w:val="eop"/>
          <w:rFonts w:ascii="Arial" w:hAnsi="Arial" w:cs="Arial"/>
          <w:sz w:val="20"/>
          <w:szCs w:val="20"/>
        </w:rPr>
        <w:t> </w:t>
      </w:r>
    </w:p>
    <w:p w14:paraId="2D985814" w14:textId="77777777" w:rsidR="00464C4C" w:rsidRPr="00464C4C" w:rsidRDefault="00464C4C" w:rsidP="00464C4C">
      <w:pPr>
        <w:pStyle w:val="paragraph"/>
        <w:spacing w:before="0" w:beforeAutospacing="0" w:after="0" w:afterAutospacing="0"/>
        <w:jc w:val="both"/>
        <w:textAlignment w:val="baseline"/>
        <w:rPr>
          <w:rFonts w:ascii="Arial" w:hAnsi="Arial" w:cs="Arial"/>
          <w:sz w:val="20"/>
          <w:szCs w:val="20"/>
        </w:rPr>
      </w:pPr>
      <w:r w:rsidRPr="00464C4C">
        <w:rPr>
          <w:rStyle w:val="eop"/>
          <w:rFonts w:ascii="Arial" w:hAnsi="Arial" w:cs="Arial"/>
          <w:color w:val="000000"/>
          <w:sz w:val="20"/>
          <w:szCs w:val="20"/>
        </w:rPr>
        <w:t> </w:t>
      </w:r>
    </w:p>
    <w:p w14:paraId="76AB4A0E" w14:textId="77777777" w:rsidR="00464C4C" w:rsidRPr="00464C4C" w:rsidRDefault="00464C4C" w:rsidP="00F55E0B">
      <w:pPr>
        <w:tabs>
          <w:tab w:val="left" w:pos="4242"/>
        </w:tabs>
        <w:spacing w:after="0"/>
        <w:rPr>
          <w:rFonts w:ascii="Arial" w:hAnsi="Arial" w:cs="Arial"/>
          <w:sz w:val="20"/>
          <w:szCs w:val="20"/>
        </w:rPr>
      </w:pPr>
    </w:p>
    <w:p w14:paraId="052F9A38" w14:textId="77777777" w:rsidR="00464C4C" w:rsidRPr="00464C4C" w:rsidRDefault="00464C4C" w:rsidP="00F55E0B">
      <w:pPr>
        <w:tabs>
          <w:tab w:val="left" w:pos="4242"/>
        </w:tabs>
        <w:spacing w:after="0"/>
        <w:rPr>
          <w:rFonts w:ascii="Arial" w:hAnsi="Arial" w:cs="Arial"/>
        </w:rPr>
      </w:pPr>
    </w:p>
    <w:p w14:paraId="322619E2" w14:textId="77777777" w:rsidR="00464C4C" w:rsidRPr="00464C4C" w:rsidRDefault="00464C4C" w:rsidP="00F55E0B">
      <w:pPr>
        <w:tabs>
          <w:tab w:val="left" w:pos="4242"/>
        </w:tabs>
        <w:spacing w:after="0"/>
        <w:rPr>
          <w:rFonts w:ascii="Arial" w:hAnsi="Arial" w:cs="Arial"/>
        </w:rPr>
      </w:pPr>
    </w:p>
    <w:p w14:paraId="2830C32D" w14:textId="77777777" w:rsidR="00464C4C" w:rsidRDefault="00464C4C" w:rsidP="00F55E0B">
      <w:pPr>
        <w:tabs>
          <w:tab w:val="left" w:pos="4242"/>
        </w:tabs>
        <w:spacing w:after="0"/>
        <w:rPr>
          <w:rFonts w:ascii="Arial" w:hAnsi="Arial" w:cs="Arial"/>
        </w:rPr>
      </w:pPr>
    </w:p>
    <w:p w14:paraId="4A6589C4" w14:textId="77777777" w:rsidR="00464C4C" w:rsidRPr="00464C4C" w:rsidRDefault="00464C4C" w:rsidP="00F55E0B">
      <w:pPr>
        <w:tabs>
          <w:tab w:val="left" w:pos="4242"/>
        </w:tabs>
        <w:spacing w:after="0"/>
        <w:rPr>
          <w:rFonts w:ascii="Arial" w:hAnsi="Arial" w:cs="Arial"/>
        </w:rPr>
      </w:pPr>
    </w:p>
    <w:p w14:paraId="61402D24" w14:textId="77777777" w:rsidR="00464C4C" w:rsidRPr="00464C4C" w:rsidRDefault="00464C4C" w:rsidP="00F55E0B">
      <w:pPr>
        <w:tabs>
          <w:tab w:val="left" w:pos="4242"/>
        </w:tabs>
        <w:spacing w:after="0"/>
        <w:rPr>
          <w:rFonts w:ascii="Arial" w:hAnsi="Arial" w:cs="Arial"/>
        </w:rPr>
      </w:pPr>
    </w:p>
    <w:p w14:paraId="3FE2184B" w14:textId="3560E50E" w:rsidR="00E245AB" w:rsidRPr="00464C4C" w:rsidRDefault="00E245AB" w:rsidP="00F55E0B">
      <w:pPr>
        <w:tabs>
          <w:tab w:val="left" w:pos="4242"/>
        </w:tabs>
        <w:spacing w:after="0"/>
        <w:rPr>
          <w:rFonts w:ascii="Arial" w:hAnsi="Arial" w:cs="Arial"/>
        </w:rPr>
      </w:pPr>
      <w:r w:rsidRPr="00464C4C">
        <w:rPr>
          <w:rFonts w:ascii="Arial" w:hAnsi="Arial" w:cs="Arial"/>
        </w:rPr>
        <w:lastRenderedPageBreak/>
        <w:t xml:space="preserve">Bogotá D.C., </w:t>
      </w:r>
      <w:r w:rsidR="00891928" w:rsidRPr="00464C4C">
        <w:rPr>
          <w:rFonts w:ascii="Arial" w:hAnsi="Arial" w:cs="Arial"/>
        </w:rPr>
        <w:t>[Día]</w:t>
      </w:r>
      <w:r w:rsidR="005A2340" w:rsidRPr="00464C4C">
        <w:rPr>
          <w:rFonts w:ascii="Arial" w:hAnsi="Arial" w:cs="Arial"/>
        </w:rPr>
        <w:t xml:space="preserve"> </w:t>
      </w:r>
      <w:r w:rsidR="00891928" w:rsidRPr="00464C4C">
        <w:rPr>
          <w:rFonts w:ascii="Arial" w:hAnsi="Arial" w:cs="Arial"/>
        </w:rPr>
        <w:t>[Mes</w:t>
      </w:r>
      <w:r w:rsidR="005A2340" w:rsidRPr="00464C4C">
        <w:rPr>
          <w:rFonts w:ascii="Arial" w:hAnsi="Arial" w:cs="Arial"/>
        </w:rPr>
        <w:t>.</w:t>
      </w:r>
      <w:r w:rsidR="00891928" w:rsidRPr="00464C4C">
        <w:rPr>
          <w:rFonts w:ascii="Arial" w:hAnsi="Arial" w:cs="Arial"/>
        </w:rPr>
        <w:t>NombreCapitalizado]</w:t>
      </w:r>
      <w:r w:rsidR="005A2340" w:rsidRPr="00464C4C">
        <w:rPr>
          <w:rFonts w:ascii="Arial" w:hAnsi="Arial" w:cs="Arial"/>
        </w:rPr>
        <w:t xml:space="preserve"> </w:t>
      </w:r>
      <w:r w:rsidR="00891928" w:rsidRPr="00464C4C">
        <w:rPr>
          <w:rFonts w:ascii="Arial" w:hAnsi="Arial" w:cs="Arial"/>
        </w:rPr>
        <w:t>[Año]</w:t>
      </w:r>
      <w:r w:rsidR="00891928" w:rsidRPr="00464C4C">
        <w:rPr>
          <w:rFonts w:ascii="Arial" w:hAnsi="Arial" w:cs="Arial"/>
        </w:rPr>
        <w:tab/>
      </w:r>
    </w:p>
    <w:p w14:paraId="5FCADBF9" w14:textId="77777777" w:rsidR="00E245AB" w:rsidRPr="00464C4C" w:rsidRDefault="00E245AB" w:rsidP="00E245AB">
      <w:pPr>
        <w:spacing w:after="0"/>
        <w:rPr>
          <w:rFonts w:ascii="Arial" w:hAnsi="Arial" w:cs="Arial"/>
        </w:rPr>
      </w:pPr>
    </w:p>
    <w:p w14:paraId="0465BA6D" w14:textId="77777777" w:rsidR="00E245AB" w:rsidRPr="00464C4C" w:rsidRDefault="00E245AB" w:rsidP="00E245AB">
      <w:pPr>
        <w:spacing w:after="0"/>
        <w:rPr>
          <w:rFonts w:ascii="Arial" w:hAnsi="Arial" w:cs="Arial"/>
        </w:rPr>
      </w:pPr>
    </w:p>
    <w:bookmarkEnd w:id="0"/>
    <w:p w14:paraId="22D45B90" w14:textId="77777777" w:rsidR="00745BA5" w:rsidRPr="00464C4C" w:rsidRDefault="00745BA5" w:rsidP="00D37FE1">
      <w:pPr>
        <w:spacing w:after="0" w:line="240" w:lineRule="auto"/>
        <w:jc w:val="both"/>
        <w:rPr>
          <w:rFonts w:ascii="Arial" w:eastAsia="Calibri" w:hAnsi="Arial" w:cs="Arial"/>
          <w:lang w:val="es-ES"/>
        </w:rPr>
      </w:pPr>
      <w:r w:rsidRPr="00464C4C">
        <w:rPr>
          <w:rFonts w:ascii="Arial" w:eastAsia="Calibri" w:hAnsi="Arial" w:cs="Arial"/>
          <w:lang w:val="es-ES"/>
        </w:rPr>
        <w:t>Señor</w:t>
      </w:r>
    </w:p>
    <w:p w14:paraId="47C971B0" w14:textId="77777777" w:rsidR="00745BA5" w:rsidRPr="00464C4C" w:rsidRDefault="00745BA5" w:rsidP="00D37FE1">
      <w:pPr>
        <w:spacing w:after="0" w:line="240" w:lineRule="auto"/>
        <w:rPr>
          <w:rFonts w:ascii="Arial" w:eastAsia="Calibri" w:hAnsi="Arial" w:cs="Arial"/>
          <w:b/>
          <w:bCs/>
          <w:lang w:val="es-ES"/>
        </w:rPr>
      </w:pPr>
      <w:r w:rsidRPr="00464C4C">
        <w:rPr>
          <w:rFonts w:ascii="Arial" w:eastAsia="Calibri" w:hAnsi="Arial" w:cs="Arial"/>
          <w:b/>
          <w:bCs/>
          <w:lang w:val="es-ES"/>
        </w:rPr>
        <w:t>Daniel Felipe Castañeda Cubides</w:t>
      </w:r>
    </w:p>
    <w:p w14:paraId="161B46A1" w14:textId="77777777" w:rsidR="00745BA5" w:rsidRPr="00464C4C" w:rsidRDefault="00745BA5" w:rsidP="00D37FE1">
      <w:pPr>
        <w:spacing w:after="0" w:line="240" w:lineRule="auto"/>
        <w:rPr>
          <w:rFonts w:ascii="Arial" w:eastAsia="Calibri" w:hAnsi="Arial" w:cs="Arial"/>
          <w:lang w:val="es-ES"/>
        </w:rPr>
      </w:pPr>
      <w:r w:rsidRPr="00464C4C">
        <w:rPr>
          <w:rFonts w:ascii="Arial" w:eastAsia="Calibri" w:hAnsi="Arial" w:cs="Arial"/>
          <w:lang w:val="es-ES"/>
        </w:rPr>
        <w:t xml:space="preserve">Bogotá D.C. </w:t>
      </w:r>
    </w:p>
    <w:p w14:paraId="376D7515" w14:textId="77777777" w:rsidR="00745BA5" w:rsidRPr="00464C4C" w:rsidRDefault="00745BA5" w:rsidP="00347889">
      <w:pPr>
        <w:spacing w:after="0"/>
        <w:rPr>
          <w:rFonts w:ascii="Arial" w:eastAsia="Calibri" w:hAnsi="Arial" w:cs="Arial"/>
          <w:lang w:val="es-ES"/>
        </w:rPr>
      </w:pPr>
    </w:p>
    <w:p w14:paraId="7D31796C" w14:textId="77777777" w:rsidR="00745BA5" w:rsidRPr="00464C4C" w:rsidRDefault="00745BA5" w:rsidP="0008607F">
      <w:pPr>
        <w:spacing w:after="0"/>
        <w:ind w:left="2694"/>
        <w:rPr>
          <w:rFonts w:ascii="Arial" w:eastAsia="Calibri" w:hAnsi="Arial" w:cs="Arial"/>
          <w:b/>
          <w:bCs/>
          <w:lang w:val="es-ES"/>
        </w:rPr>
      </w:pPr>
      <w:r w:rsidRPr="00464C4C">
        <w:rPr>
          <w:rFonts w:ascii="Arial" w:eastAsia="Calibri" w:hAnsi="Arial" w:cs="Arial"/>
          <w:b/>
          <w:bCs/>
          <w:lang w:val="es-ES"/>
        </w:rPr>
        <w:t>Concepto C-466 de 2023</w:t>
      </w:r>
    </w:p>
    <w:p w14:paraId="6E0C196B" w14:textId="77777777" w:rsidR="00745BA5" w:rsidRPr="00464C4C" w:rsidRDefault="00745BA5" w:rsidP="00347889">
      <w:pPr>
        <w:spacing w:after="0"/>
        <w:jc w:val="both"/>
        <w:rPr>
          <w:rFonts w:ascii="Arial" w:eastAsia="Calibri" w:hAnsi="Arial" w:cs="Arial"/>
          <w:lang w:val="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745BA5" w:rsidRPr="00464C4C" w14:paraId="5C6243DA" w14:textId="77777777" w:rsidTr="00694471">
        <w:trPr>
          <w:jc w:val="right"/>
        </w:trPr>
        <w:tc>
          <w:tcPr>
            <w:tcW w:w="1838" w:type="dxa"/>
          </w:tcPr>
          <w:p w14:paraId="6138215E" w14:textId="77777777" w:rsidR="00745BA5" w:rsidRPr="00464C4C" w:rsidRDefault="00745BA5" w:rsidP="00694471">
            <w:pPr>
              <w:jc w:val="center"/>
              <w:rPr>
                <w:rFonts w:ascii="Arial" w:eastAsia="Calibri" w:hAnsi="Arial" w:cs="Arial"/>
                <w:lang w:val="es-ES_tradnl"/>
              </w:rPr>
            </w:pPr>
            <w:r w:rsidRPr="00464C4C">
              <w:rPr>
                <w:rFonts w:ascii="Arial" w:eastAsia="Calibri" w:hAnsi="Arial" w:cs="Arial"/>
                <w:b/>
                <w:lang w:val="es-ES_tradnl"/>
              </w:rPr>
              <w:t>Temas:</w:t>
            </w:r>
          </w:p>
        </w:tc>
        <w:tc>
          <w:tcPr>
            <w:tcW w:w="6237" w:type="dxa"/>
          </w:tcPr>
          <w:p w14:paraId="41650AF6" w14:textId="36B08148" w:rsidR="00745BA5" w:rsidRPr="00464C4C" w:rsidRDefault="00745BA5" w:rsidP="00347889">
            <w:pPr>
              <w:spacing w:line="276" w:lineRule="auto"/>
              <w:jc w:val="both"/>
              <w:rPr>
                <w:rFonts w:ascii="Arial" w:eastAsia="Arial" w:hAnsi="Arial" w:cs="Arial"/>
                <w:lang w:val="es-ES"/>
              </w:rPr>
            </w:pPr>
            <w:r w:rsidRPr="00464C4C">
              <w:rPr>
                <w:rStyle w:val="normaltextrun"/>
                <w:rFonts w:ascii="Arial" w:hAnsi="Arial" w:cs="Arial"/>
                <w:color w:val="000000"/>
                <w:shd w:val="clear" w:color="auto" w:fill="FFFFFF"/>
              </w:rPr>
              <w:t xml:space="preserve">EXPERIENCIA – Noción ‒ Colombia Compra Eficiente / SOCIEDADES NUEVAS ‒ Experiencia ‒ Inferior a tres años ‒ Requisitos habilitantes ‒ Desarrollo de la empresa / EXPERIENCIA ‒ Conservación ‒ Renovación RUP ‒ Cesación efectos RUP / EXPERIENCIA – Conservación – Sociedades – Menor a 3 años de constitución / EXPERIENCIA – Conservación – Sociedades – Menor a 3 años de constitución </w:t>
            </w:r>
            <w:r w:rsidR="006B21CF" w:rsidRPr="00464C4C">
              <w:rPr>
                <w:rStyle w:val="normaltextrun"/>
                <w:rFonts w:ascii="Arial" w:hAnsi="Arial" w:cs="Arial"/>
                <w:color w:val="000000"/>
                <w:shd w:val="clear" w:color="auto" w:fill="FFFFFF"/>
              </w:rPr>
              <w:t>/ EXPERIENCIA – Retiro del socio − Sociedades – Menor a 3 años de constitución</w:t>
            </w:r>
            <w:r w:rsidRPr="00464C4C">
              <w:rPr>
                <w:rStyle w:val="normaltextrun"/>
                <w:rFonts w:ascii="Arial" w:hAnsi="Arial" w:cs="Arial"/>
                <w:color w:val="000000"/>
                <w:shd w:val="clear" w:color="auto" w:fill="FFFFFF"/>
              </w:rPr>
              <w:t xml:space="preserve"> </w:t>
            </w:r>
          </w:p>
        </w:tc>
      </w:tr>
      <w:tr w:rsidR="00745BA5" w:rsidRPr="00464C4C" w14:paraId="508417D9" w14:textId="77777777" w:rsidTr="00694471">
        <w:trPr>
          <w:jc w:val="right"/>
        </w:trPr>
        <w:tc>
          <w:tcPr>
            <w:tcW w:w="1838" w:type="dxa"/>
          </w:tcPr>
          <w:p w14:paraId="40D1DCC9" w14:textId="77777777" w:rsidR="00745BA5" w:rsidRPr="00464C4C" w:rsidRDefault="00745BA5" w:rsidP="00694471">
            <w:pPr>
              <w:spacing w:before="120"/>
              <w:jc w:val="center"/>
              <w:rPr>
                <w:rFonts w:ascii="Arial" w:eastAsia="Calibri" w:hAnsi="Arial" w:cs="Arial"/>
                <w:b/>
                <w:lang w:val="es-ES"/>
              </w:rPr>
            </w:pPr>
            <w:r w:rsidRPr="00464C4C">
              <w:rPr>
                <w:rFonts w:ascii="Arial" w:eastAsia="Calibri" w:hAnsi="Arial" w:cs="Arial"/>
                <w:b/>
                <w:lang w:val="es-ES"/>
              </w:rPr>
              <w:t>Radicación:</w:t>
            </w:r>
          </w:p>
        </w:tc>
        <w:tc>
          <w:tcPr>
            <w:tcW w:w="6237" w:type="dxa"/>
          </w:tcPr>
          <w:p w14:paraId="4E0FD5A6" w14:textId="77777777" w:rsidR="00745BA5" w:rsidRPr="00464C4C" w:rsidRDefault="00745BA5" w:rsidP="00694471">
            <w:pPr>
              <w:spacing w:before="120"/>
              <w:jc w:val="both"/>
              <w:rPr>
                <w:rFonts w:ascii="Arial" w:eastAsia="Arial" w:hAnsi="Arial" w:cs="Arial"/>
                <w:lang w:val="es-ES"/>
              </w:rPr>
            </w:pPr>
            <w:r w:rsidRPr="00464C4C">
              <w:rPr>
                <w:rFonts w:ascii="Arial" w:eastAsia="Calibri" w:hAnsi="Arial" w:cs="Arial"/>
                <w:lang w:val="es-ES"/>
              </w:rPr>
              <w:t xml:space="preserve">Respuesta a consulta </w:t>
            </w:r>
            <w:r w:rsidRPr="00464C4C">
              <w:rPr>
                <w:rFonts w:ascii="Arial" w:eastAsia="Arial" w:hAnsi="Arial" w:cs="Arial"/>
                <w:lang w:val="es"/>
              </w:rPr>
              <w:t>P20231019016163</w:t>
            </w:r>
          </w:p>
        </w:tc>
      </w:tr>
    </w:tbl>
    <w:p w14:paraId="2857E27A" w14:textId="77777777" w:rsidR="00745BA5" w:rsidRPr="00464C4C" w:rsidRDefault="00745BA5" w:rsidP="00745BA5">
      <w:pPr>
        <w:jc w:val="both"/>
        <w:rPr>
          <w:rFonts w:ascii="Arial" w:eastAsia="Calibri" w:hAnsi="Arial" w:cs="Arial"/>
          <w:lang w:val="es-ES"/>
        </w:rPr>
      </w:pPr>
    </w:p>
    <w:p w14:paraId="40712C44" w14:textId="5BB29971" w:rsidR="00745BA5" w:rsidRPr="00464C4C" w:rsidRDefault="00745BA5" w:rsidP="00745BA5">
      <w:pPr>
        <w:jc w:val="both"/>
        <w:rPr>
          <w:rFonts w:ascii="Arial" w:eastAsia="Calibri" w:hAnsi="Arial" w:cs="Arial"/>
          <w:lang w:val="es-ES"/>
        </w:rPr>
      </w:pPr>
      <w:r w:rsidRPr="00464C4C">
        <w:rPr>
          <w:rFonts w:ascii="Arial" w:eastAsia="Calibri" w:hAnsi="Arial" w:cs="Arial"/>
          <w:lang w:val="es-ES"/>
        </w:rPr>
        <w:t>Estimado señor Castañeda Cubides:</w:t>
      </w:r>
    </w:p>
    <w:p w14:paraId="5895F131" w14:textId="2E79CCEF" w:rsidR="00745BA5" w:rsidRPr="00464C4C" w:rsidRDefault="00745BA5" w:rsidP="00745BA5">
      <w:pPr>
        <w:spacing w:line="276" w:lineRule="auto"/>
        <w:jc w:val="both"/>
        <w:rPr>
          <w:rFonts w:ascii="Arial" w:eastAsia="Calibri" w:hAnsi="Arial" w:cs="Arial"/>
          <w:lang w:val="es-ES"/>
        </w:rPr>
      </w:pPr>
      <w:r w:rsidRPr="00464C4C">
        <w:rPr>
          <w:rFonts w:ascii="Arial" w:eastAsia="Calibri" w:hAnsi="Arial" w:cs="Arial"/>
          <w:lang w:val="es-ES"/>
        </w:rPr>
        <w:t>En ejercicio de la competencia otorgada por el numeral 8° del artículo 11 y el numeral 5° del artículo 3 del Decreto Ley 4170 de 2011</w:t>
      </w:r>
      <w:r w:rsidRPr="00464C4C">
        <w:rPr>
          <w:rFonts w:ascii="Arial" w:eastAsia="Calibri" w:hAnsi="Arial" w:cs="Arial"/>
        </w:rPr>
        <w:t xml:space="preserve">, </w:t>
      </w:r>
      <w:r w:rsidRPr="00464C4C">
        <w:rPr>
          <w:rFonts w:ascii="Arial" w:hAnsi="Arial" w:cs="Arial"/>
        </w:rPr>
        <w:t>así como lo establecido en la Resolución 1707 de 2018 expedida por esta Entidad</w:t>
      </w:r>
      <w:r w:rsidRPr="00464C4C">
        <w:rPr>
          <w:rFonts w:ascii="Arial" w:eastAsia="Calibri" w:hAnsi="Arial" w:cs="Arial"/>
          <w:lang w:val="es-ES"/>
        </w:rPr>
        <w:t>, la Agencia Nacional de Contratación Pública ― Colombia Compra Eficiente responde su consulta del 04 de agosto de 2023.</w:t>
      </w:r>
    </w:p>
    <w:p w14:paraId="0B52D280" w14:textId="77777777" w:rsidR="00745BA5" w:rsidRPr="00464C4C" w:rsidRDefault="00745BA5" w:rsidP="00745BA5">
      <w:pPr>
        <w:pStyle w:val="Prrafodelista"/>
        <w:numPr>
          <w:ilvl w:val="0"/>
          <w:numId w:val="17"/>
        </w:numPr>
        <w:tabs>
          <w:tab w:val="left" w:pos="0"/>
          <w:tab w:val="left" w:pos="142"/>
          <w:tab w:val="left" w:pos="284"/>
        </w:tabs>
        <w:spacing w:after="0" w:line="276" w:lineRule="auto"/>
        <w:ind w:left="0" w:firstLine="0"/>
        <w:jc w:val="both"/>
        <w:rPr>
          <w:rFonts w:ascii="Arial" w:eastAsia="Calibri" w:hAnsi="Arial" w:cs="Arial"/>
          <w:b/>
          <w:lang w:val="es-ES_tradnl"/>
        </w:rPr>
      </w:pPr>
      <w:r w:rsidRPr="00464C4C">
        <w:rPr>
          <w:rFonts w:ascii="Arial" w:eastAsia="Calibri" w:hAnsi="Arial" w:cs="Arial"/>
          <w:b/>
          <w:lang w:val="es-ES_tradnl"/>
        </w:rPr>
        <w:t xml:space="preserve">Problema planteado </w:t>
      </w:r>
    </w:p>
    <w:p w14:paraId="036228FC" w14:textId="77777777" w:rsidR="00745BA5" w:rsidRPr="00464C4C" w:rsidRDefault="00745BA5" w:rsidP="00347889">
      <w:pPr>
        <w:tabs>
          <w:tab w:val="left" w:pos="426"/>
        </w:tabs>
        <w:spacing w:after="0" w:line="276" w:lineRule="auto"/>
        <w:jc w:val="both"/>
        <w:rPr>
          <w:rFonts w:ascii="Arial" w:eastAsia="Calibri" w:hAnsi="Arial" w:cs="Arial"/>
          <w:b/>
          <w:lang w:val="es-ES_tradnl"/>
        </w:rPr>
      </w:pPr>
    </w:p>
    <w:p w14:paraId="17BB1673" w14:textId="2C5C698C" w:rsidR="0008607F" w:rsidRPr="00464C4C" w:rsidRDefault="00745BA5" w:rsidP="00745BA5">
      <w:pPr>
        <w:spacing w:line="276" w:lineRule="auto"/>
        <w:jc w:val="both"/>
        <w:rPr>
          <w:rFonts w:ascii="Arial" w:eastAsia="Arial" w:hAnsi="Arial" w:cs="Arial"/>
          <w:lang w:val="es"/>
        </w:rPr>
      </w:pPr>
      <w:r w:rsidRPr="00464C4C">
        <w:rPr>
          <w:rFonts w:ascii="Arial" w:eastAsia="Arial" w:hAnsi="Arial" w:cs="Arial"/>
          <w:lang w:val="es"/>
        </w:rPr>
        <w:t xml:space="preserve">Usted formula la siguiente consulta: </w:t>
      </w:r>
    </w:p>
    <w:p w14:paraId="67CAECAA" w14:textId="08A0B136" w:rsidR="00745BA5" w:rsidRPr="00464C4C" w:rsidRDefault="00745BA5" w:rsidP="00CD02D3">
      <w:pPr>
        <w:spacing w:after="0" w:line="240" w:lineRule="auto"/>
        <w:ind w:left="709" w:right="709"/>
        <w:jc w:val="both"/>
        <w:rPr>
          <w:rFonts w:ascii="Arial" w:eastAsia="Arial" w:hAnsi="Arial" w:cs="Arial"/>
          <w:sz w:val="20"/>
          <w:szCs w:val="20"/>
          <w:lang w:val="es"/>
        </w:rPr>
      </w:pPr>
      <w:r w:rsidRPr="00464C4C">
        <w:rPr>
          <w:rFonts w:ascii="Arial" w:eastAsia="Arial" w:hAnsi="Arial" w:cs="Arial"/>
          <w:sz w:val="20"/>
          <w:szCs w:val="20"/>
          <w:lang w:val="es"/>
        </w:rPr>
        <w:t>“[…] 1. ¿Es posible que la entidad recién constituida, la cual fue registrada en la Cámara de Comercio de Bogotá hace treinta (30) meses, pueda beneficiarse de la experiencia de uno de sus accionistas, una persona jurídica con aproximadamente treinta (30) años de experiencia registrada en el Registro Único de Proponentes?</w:t>
      </w:r>
    </w:p>
    <w:p w14:paraId="3B42F298" w14:textId="77777777" w:rsidR="00CD02D3" w:rsidRPr="00464C4C" w:rsidRDefault="00CD02D3" w:rsidP="00CD02D3">
      <w:pPr>
        <w:spacing w:after="0" w:line="240" w:lineRule="auto"/>
        <w:ind w:left="709" w:right="709"/>
        <w:jc w:val="both"/>
        <w:rPr>
          <w:rFonts w:ascii="Arial" w:eastAsia="Arial" w:hAnsi="Arial" w:cs="Arial"/>
          <w:sz w:val="20"/>
          <w:szCs w:val="20"/>
          <w:lang w:val="es"/>
        </w:rPr>
      </w:pPr>
    </w:p>
    <w:p w14:paraId="6EE61A89" w14:textId="12618DB9" w:rsidR="00745BA5" w:rsidRPr="00464C4C" w:rsidRDefault="00745BA5" w:rsidP="00CD02D3">
      <w:pPr>
        <w:spacing w:after="0" w:line="240" w:lineRule="auto"/>
        <w:ind w:left="709" w:right="709"/>
        <w:jc w:val="both"/>
        <w:rPr>
          <w:rFonts w:ascii="Arial" w:eastAsia="Arial" w:hAnsi="Arial" w:cs="Arial"/>
          <w:sz w:val="20"/>
          <w:szCs w:val="20"/>
          <w:lang w:val="es"/>
        </w:rPr>
      </w:pPr>
      <w:r w:rsidRPr="00464C4C">
        <w:rPr>
          <w:rFonts w:ascii="Arial" w:eastAsia="Arial" w:hAnsi="Arial" w:cs="Arial"/>
          <w:sz w:val="20"/>
          <w:szCs w:val="20"/>
          <w:lang w:val="es"/>
        </w:rPr>
        <w:t>2.</w:t>
      </w:r>
      <w:r w:rsidR="00CD02D3" w:rsidRPr="00464C4C">
        <w:rPr>
          <w:rFonts w:ascii="Arial" w:eastAsia="Arial" w:hAnsi="Arial" w:cs="Arial"/>
          <w:sz w:val="20"/>
          <w:szCs w:val="20"/>
          <w:lang w:val="es"/>
        </w:rPr>
        <w:t xml:space="preserve"> </w:t>
      </w:r>
      <w:r w:rsidRPr="00464C4C">
        <w:rPr>
          <w:rFonts w:ascii="Arial" w:eastAsia="Arial" w:hAnsi="Arial" w:cs="Arial"/>
          <w:sz w:val="20"/>
          <w:szCs w:val="20"/>
          <w:lang w:val="es"/>
        </w:rPr>
        <w:t xml:space="preserve">En caso de que la respuesta previa sea afirmativa y se renueve anualmente el Registro Único de Proponentes, considerando que esto se hace en los primeros cinco días hábiles del mes de abril de cada año, ¿Durante cuánto tiempo la nueva empresa puede aprovechar la experiencia transferida por uno de sus accionistas? ¿O esta experiencia tiene un alcance indefinido? </w:t>
      </w:r>
    </w:p>
    <w:p w14:paraId="1E0AEDB5" w14:textId="77777777" w:rsidR="00CD02D3" w:rsidRPr="00464C4C" w:rsidRDefault="00CD02D3" w:rsidP="00CD02D3">
      <w:pPr>
        <w:spacing w:after="0" w:line="240" w:lineRule="auto"/>
        <w:ind w:left="709" w:right="709"/>
        <w:jc w:val="both"/>
        <w:rPr>
          <w:rFonts w:ascii="Arial" w:eastAsia="Arial" w:hAnsi="Arial" w:cs="Arial"/>
          <w:sz w:val="20"/>
          <w:szCs w:val="20"/>
          <w:lang w:val="es"/>
        </w:rPr>
      </w:pPr>
    </w:p>
    <w:p w14:paraId="0C94DF60" w14:textId="77777777" w:rsidR="00745BA5" w:rsidRPr="00464C4C" w:rsidRDefault="00745BA5" w:rsidP="00CD02D3">
      <w:pPr>
        <w:spacing w:after="0" w:line="240" w:lineRule="auto"/>
        <w:ind w:left="709" w:right="709"/>
        <w:jc w:val="both"/>
        <w:rPr>
          <w:rFonts w:ascii="Arial" w:eastAsia="Arial" w:hAnsi="Arial" w:cs="Arial"/>
          <w:sz w:val="20"/>
          <w:szCs w:val="20"/>
          <w:lang w:val="es"/>
        </w:rPr>
      </w:pPr>
      <w:r w:rsidRPr="00464C4C">
        <w:rPr>
          <w:rFonts w:ascii="Arial" w:eastAsia="Arial" w:hAnsi="Arial" w:cs="Arial"/>
          <w:sz w:val="20"/>
          <w:szCs w:val="20"/>
          <w:lang w:val="es"/>
        </w:rPr>
        <w:t xml:space="preserve">3. ¿Qué sucede con la experiencia que el accionista (persona jurídica) que le transfirió a la nueva empresa si esta lleva más de tres (3) años constituida y ha renovado anualmente el Registro Único de Proponentes, siempre en los primeros </w:t>
      </w:r>
      <w:r w:rsidRPr="00464C4C">
        <w:rPr>
          <w:rFonts w:ascii="Arial" w:eastAsia="Arial" w:hAnsi="Arial" w:cs="Arial"/>
          <w:sz w:val="20"/>
          <w:szCs w:val="20"/>
          <w:lang w:val="es"/>
        </w:rPr>
        <w:lastRenderedPageBreak/>
        <w:t xml:space="preserve">cinco días hábiles del mes de abril de cada año? ¿Tiene la posibilidad de continuar beneficiándose de dicha experiencia? </w:t>
      </w:r>
    </w:p>
    <w:p w14:paraId="2B889B7D" w14:textId="77777777" w:rsidR="00CD02D3" w:rsidRPr="00464C4C" w:rsidRDefault="00CD02D3" w:rsidP="00CD02D3">
      <w:pPr>
        <w:spacing w:after="0" w:line="240" w:lineRule="auto"/>
        <w:ind w:left="709" w:right="709"/>
        <w:jc w:val="both"/>
        <w:rPr>
          <w:rFonts w:ascii="Arial" w:eastAsia="Arial" w:hAnsi="Arial" w:cs="Arial"/>
          <w:sz w:val="20"/>
          <w:szCs w:val="20"/>
          <w:lang w:val="es"/>
        </w:rPr>
      </w:pPr>
    </w:p>
    <w:p w14:paraId="257BCF32" w14:textId="5B74D127" w:rsidR="00745BA5" w:rsidRPr="00464C4C" w:rsidRDefault="00745BA5" w:rsidP="00CD02D3">
      <w:pPr>
        <w:spacing w:after="0" w:line="240" w:lineRule="auto"/>
        <w:ind w:left="709" w:right="709"/>
        <w:jc w:val="both"/>
        <w:rPr>
          <w:rFonts w:ascii="Arial" w:eastAsia="Arial" w:hAnsi="Arial" w:cs="Arial"/>
          <w:sz w:val="20"/>
          <w:szCs w:val="20"/>
          <w:lang w:val="es"/>
        </w:rPr>
      </w:pPr>
      <w:r w:rsidRPr="00464C4C">
        <w:rPr>
          <w:rFonts w:ascii="Arial" w:eastAsia="Arial" w:hAnsi="Arial" w:cs="Arial"/>
          <w:sz w:val="20"/>
          <w:szCs w:val="20"/>
          <w:lang w:val="es"/>
        </w:rPr>
        <w:t>4. ¿Qué sucede con la experiencia que accionista (persona jurídica) le transfirió a la nueva empresa si se ha renovado anualmente el Registro Único de Proponentes, siempre en los primeros cinco días hábiles del mes de abril de cada año y dicha accionista cede o vende sus acciones a otra persona natural o jurídica ¿Tiene la posibilidad de continuar utilizando dicha experiencia?”.</w:t>
      </w:r>
    </w:p>
    <w:p w14:paraId="4F0E6E95" w14:textId="77777777" w:rsidR="00CD02D3" w:rsidRPr="00464C4C" w:rsidRDefault="00CD02D3" w:rsidP="00CD02D3">
      <w:pPr>
        <w:spacing w:after="0" w:line="240" w:lineRule="auto"/>
        <w:ind w:left="709" w:right="709"/>
        <w:jc w:val="both"/>
        <w:rPr>
          <w:rFonts w:ascii="Arial" w:hAnsi="Arial" w:cs="Arial"/>
        </w:rPr>
      </w:pPr>
    </w:p>
    <w:p w14:paraId="19C86D7C" w14:textId="77777777" w:rsidR="00745BA5" w:rsidRPr="00464C4C" w:rsidRDefault="00745BA5" w:rsidP="00745BA5">
      <w:pPr>
        <w:pStyle w:val="Prrafodelista"/>
        <w:numPr>
          <w:ilvl w:val="0"/>
          <w:numId w:val="17"/>
        </w:numPr>
        <w:tabs>
          <w:tab w:val="left" w:pos="0"/>
          <w:tab w:val="left" w:pos="284"/>
        </w:tabs>
        <w:spacing w:after="0" w:line="240" w:lineRule="auto"/>
        <w:ind w:left="0" w:firstLine="0"/>
        <w:contextualSpacing w:val="0"/>
        <w:jc w:val="both"/>
        <w:rPr>
          <w:rFonts w:ascii="Arial" w:eastAsia="Calibri" w:hAnsi="Arial" w:cs="Arial"/>
          <w:b/>
          <w:lang w:val="es-ES_tradnl"/>
        </w:rPr>
      </w:pPr>
      <w:r w:rsidRPr="00464C4C">
        <w:rPr>
          <w:rFonts w:ascii="Arial" w:eastAsia="Calibri" w:hAnsi="Arial" w:cs="Arial"/>
          <w:b/>
          <w:lang w:val="es-ES_tradnl"/>
        </w:rPr>
        <w:t>Consideración</w:t>
      </w:r>
    </w:p>
    <w:p w14:paraId="391CE9FE" w14:textId="77777777" w:rsidR="00745BA5" w:rsidRPr="00464C4C" w:rsidRDefault="00745BA5" w:rsidP="00347889">
      <w:pPr>
        <w:pStyle w:val="Prrafodelista"/>
        <w:tabs>
          <w:tab w:val="left" w:pos="0"/>
          <w:tab w:val="left" w:pos="284"/>
        </w:tabs>
        <w:spacing w:after="0"/>
        <w:ind w:left="0"/>
        <w:contextualSpacing w:val="0"/>
        <w:jc w:val="both"/>
        <w:rPr>
          <w:rFonts w:ascii="Arial" w:eastAsia="Calibri" w:hAnsi="Arial" w:cs="Arial"/>
          <w:b/>
          <w:lang w:val="es-ES_tradnl"/>
        </w:rPr>
      </w:pPr>
    </w:p>
    <w:p w14:paraId="254974BD" w14:textId="77777777" w:rsidR="00745BA5" w:rsidRPr="00464C4C" w:rsidRDefault="00745BA5" w:rsidP="00745BA5">
      <w:pPr>
        <w:spacing w:after="120" w:line="276" w:lineRule="auto"/>
        <w:jc w:val="both"/>
        <w:rPr>
          <w:rFonts w:ascii="Arial" w:hAnsi="Arial" w:cs="Arial"/>
          <w:lang w:val="es-ES"/>
        </w:rPr>
      </w:pPr>
      <w:r w:rsidRPr="00464C4C">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1" w:name="_Hlk61701014"/>
      <w:bookmarkStart w:id="2" w:name="_Hlk62136649"/>
      <w:r w:rsidRPr="00464C4C">
        <w:rPr>
          <w:rFonts w:ascii="Arial" w:hAnsi="Arial" w:cs="Arial"/>
          <w:shd w:val="clear" w:color="auto" w:fill="E6E6E6"/>
        </w:rPr>
        <w:t xml:space="preserve"> </w:t>
      </w:r>
      <w:r w:rsidRPr="00464C4C">
        <w:rPr>
          <w:rFonts w:ascii="Arial" w:hAnsi="Arial" w:cs="Arial"/>
          <w:lang w:val="es-ES"/>
        </w:rPr>
        <w:t xml:space="preserve">Es necesario tener en cuenta que </w:t>
      </w:r>
      <w:bookmarkStart w:id="3" w:name="_Hlk61026958"/>
      <w:r w:rsidRPr="00464C4C">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464C4C">
        <w:rPr>
          <w:rFonts w:ascii="Arial" w:hAnsi="Arial" w:cs="Arial"/>
        </w:rPr>
        <w:t xml:space="preserve"> de todos los partícipes de la contratación estatal.</w:t>
      </w:r>
    </w:p>
    <w:p w14:paraId="0E104ABC" w14:textId="77777777" w:rsidR="00745BA5" w:rsidRPr="00464C4C" w:rsidRDefault="00745BA5" w:rsidP="00745BA5">
      <w:pPr>
        <w:spacing w:after="120" w:line="276" w:lineRule="auto"/>
        <w:ind w:firstLine="708"/>
        <w:jc w:val="both"/>
        <w:rPr>
          <w:rFonts w:ascii="Arial" w:hAnsi="Arial" w:cs="Arial"/>
          <w:lang w:val="es-ES"/>
        </w:rPr>
      </w:pPr>
      <w:r w:rsidRPr="00464C4C">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64C4C">
        <w:rPr>
          <w:rFonts w:ascii="Arial" w:hAnsi="Arial" w:cs="Arial"/>
          <w:vertAlign w:val="superscript"/>
          <w:lang w:val="es-ES"/>
        </w:rPr>
        <w:footnoteReference w:id="1"/>
      </w:r>
      <w:r w:rsidRPr="00464C4C">
        <w:rPr>
          <w:rFonts w:ascii="Arial" w:hAnsi="Arial" w:cs="Arial"/>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3"/>
      <w:r w:rsidRPr="00464C4C">
        <w:rPr>
          <w:rFonts w:ascii="Arial" w:hAnsi="Arial" w:cs="Arial"/>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1"/>
    </w:p>
    <w:bookmarkEnd w:id="2"/>
    <w:p w14:paraId="220FBA22" w14:textId="77777777" w:rsidR="00745BA5" w:rsidRPr="00464C4C" w:rsidRDefault="00745BA5" w:rsidP="00745BA5">
      <w:pPr>
        <w:tabs>
          <w:tab w:val="left" w:pos="426"/>
        </w:tabs>
        <w:spacing w:before="120" w:after="120" w:line="276" w:lineRule="auto"/>
        <w:jc w:val="both"/>
        <w:rPr>
          <w:rFonts w:ascii="Arial" w:eastAsia="Calibri" w:hAnsi="Arial" w:cs="Arial"/>
        </w:rPr>
      </w:pPr>
      <w:r w:rsidRPr="00464C4C">
        <w:rPr>
          <w:rFonts w:ascii="Arial" w:hAnsi="Arial" w:cs="Arial"/>
        </w:rPr>
        <w:tab/>
      </w:r>
      <w:r w:rsidRPr="00464C4C">
        <w:rPr>
          <w:rFonts w:ascii="Arial" w:hAnsi="Arial" w:cs="Arial"/>
        </w:rPr>
        <w:tab/>
        <w:t xml:space="preserve">Sin perjuicio de lo anterior, la Subdirección –dentro de los límites de sus atribuciones, esto es, haciendo abstracción del caso particular expuesto por el peticionario– </w:t>
      </w:r>
      <w:r w:rsidRPr="00464C4C">
        <w:rPr>
          <w:rFonts w:ascii="Arial" w:hAnsi="Arial" w:cs="Arial"/>
        </w:rPr>
        <w:lastRenderedPageBreak/>
        <w:t xml:space="preserve">resolverá la consulta conforme a las normas generales en materia de contratación estatal. Con este objetivo se analizarán </w:t>
      </w:r>
      <w:r w:rsidRPr="00464C4C">
        <w:rPr>
          <w:rFonts w:ascii="Arial" w:eastAsia="Calibri" w:hAnsi="Arial" w:cs="Arial"/>
          <w:lang w:val="es-ES"/>
        </w:rPr>
        <w:t>los siguientes temas</w:t>
      </w:r>
      <w:r w:rsidRPr="00464C4C">
        <w:rPr>
          <w:rFonts w:ascii="Arial" w:hAnsi="Arial" w:cs="Arial"/>
          <w:lang w:val="es-ES"/>
        </w:rPr>
        <w:t xml:space="preserve">: </w:t>
      </w:r>
      <w:r w:rsidRPr="00464C4C">
        <w:rPr>
          <w:rFonts w:ascii="Arial" w:eastAsia="Arial" w:hAnsi="Arial" w:cs="Arial"/>
          <w:lang w:val="es"/>
        </w:rPr>
        <w:t xml:space="preserve">i) </w:t>
      </w:r>
      <w:r w:rsidRPr="00464C4C">
        <w:rPr>
          <w:rStyle w:val="normaltextrun"/>
          <w:rFonts w:ascii="Arial" w:hAnsi="Arial" w:cs="Arial"/>
          <w:color w:val="000000"/>
          <w:bdr w:val="none" w:sz="0" w:space="0" w:color="auto" w:frame="1"/>
          <w:lang w:val="es-ES"/>
        </w:rPr>
        <w:t xml:space="preserve">Aproximación general al concepto de experiencia en la contratación pública y ii) </w:t>
      </w:r>
      <w:r w:rsidRPr="00464C4C">
        <w:rPr>
          <w:rStyle w:val="normaltextrun"/>
          <w:rFonts w:ascii="Arial" w:hAnsi="Arial" w:cs="Arial"/>
          <w:lang w:val="es-ES"/>
        </w:rPr>
        <w:t>Acreditación de experiencia de socios por parte de sociedades con menos de tres años de constitución. Posibilidad de pondera la experiencia transferida por los socios en función de su porcentaje participación.</w:t>
      </w:r>
      <w:r w:rsidRPr="00464C4C">
        <w:rPr>
          <w:rStyle w:val="eop"/>
          <w:rFonts w:ascii="Arial" w:hAnsi="Arial" w:cs="Arial"/>
        </w:rPr>
        <w:t> </w:t>
      </w:r>
    </w:p>
    <w:p w14:paraId="506467CB" w14:textId="77777777" w:rsidR="00745BA5" w:rsidRPr="00464C4C" w:rsidRDefault="00745BA5" w:rsidP="00745BA5">
      <w:pPr>
        <w:spacing w:line="276" w:lineRule="auto"/>
        <w:ind w:firstLine="709"/>
        <w:jc w:val="both"/>
        <w:rPr>
          <w:rFonts w:ascii="Arial" w:eastAsia="Calibri" w:hAnsi="Arial" w:cs="Arial"/>
          <w:lang w:val="es-ES"/>
        </w:rPr>
      </w:pPr>
      <w:r w:rsidRPr="00464C4C">
        <w:rPr>
          <w:rFonts w:ascii="Arial" w:eastAsia="Calibri" w:hAnsi="Arial" w:cs="Arial"/>
          <w:lang w:val="es-ES"/>
        </w:rPr>
        <w:t xml:space="preserve">La Agencia Nacional de Contratación Pública – Colombia Compra Eficiente, en los conceptos </w:t>
      </w:r>
      <w:r w:rsidRPr="00464C4C">
        <w:rPr>
          <w:rStyle w:val="normaltextrun"/>
          <w:rFonts w:ascii="Arial" w:hAnsi="Arial" w:cs="Arial"/>
          <w:color w:val="000000"/>
          <w:shd w:val="clear" w:color="auto" w:fill="FFFFFF"/>
          <w:lang w:val="es-ES"/>
        </w:rPr>
        <w:t xml:space="preserve">4201913000006797 del 19 de noviembre de 2019, </w:t>
      </w:r>
      <w:r w:rsidRPr="00464C4C">
        <w:rPr>
          <w:rStyle w:val="normaltextrun"/>
          <w:rFonts w:ascii="Arial" w:hAnsi="Arial" w:cs="Arial"/>
          <w:color w:val="000000"/>
          <w:shd w:val="clear" w:color="auto" w:fill="FFFFFF"/>
          <w:lang w:val="es-MX"/>
        </w:rPr>
        <w:t>C-025 del 16 de marzo de 2020, C-051 del 2 de marzo de 2020, C-113 del 25 de marzo de 2020, C-165 del 1 de abril de 2020, C-233 del 16 de abril de 2020, C-350 del 1° de junio de 2020, C-407 de 12 de junio de 2020, C-398 de 30 de junio de 2020, C-470 del 14 de julio de 2020 C-584 de 31 de agosto 2020, C-619 de 21 de septiembre 2020, C-662 del 9 de noviembre de 2020, C-710 del 9 de diciembre de 2020, C-717 del 10 de diciembre de 2020, C-729 del del 11 de diciembre de 2020, C-008 del 15 de febrero de 2021, C-103 del 24 de marzo de 2021, C-230 del 25 de mayo de 2021, C-316 del 29 de junio de 2021, C-318 del 29 de junio de 2021, C-474 del 6 de septiembre de 2021, C-589 del 19 de octubre de 2021, C-608 del 29 de octubre de 2021, C-696 del 31 de diciembre de 2021, C-725 del 25 de enero de 2022, C-034 del 2 de marzo de 2022, C-144 del 1° de abril de 2022, C-239 del 26 de julio de 2022, C-324 del 19 de mayo de 2022, C-447 del 19 de julio de 2022, C-456 del 15 de julio de 2022, C-592 del 20 de septiembre de 2022, C-623 del 29 de septiembre de 2022, C-837 del 6 de diciembre de 2022, C-841 del 6 de diciembre de 2022, C-929 del 30 de diciembre de 2022</w:t>
      </w:r>
      <w:r w:rsidRPr="00464C4C">
        <w:rPr>
          <w:rStyle w:val="normaltextrun"/>
          <w:rFonts w:ascii="Arial" w:hAnsi="Arial" w:cs="Arial"/>
          <w:color w:val="000000"/>
          <w:shd w:val="clear" w:color="auto" w:fill="FFFFFF"/>
          <w:lang w:val="es-ES"/>
        </w:rPr>
        <w:t>, C-128 del 18 de mayo de 2023, C-146 del 13 de junio de 2023, entre otros, analizó la acreditación de experiencia de socios por parte de sociedades con menos de tres años de constitución</w:t>
      </w:r>
      <w:r w:rsidRPr="00464C4C">
        <w:rPr>
          <w:rStyle w:val="normaltextrun"/>
          <w:rFonts w:ascii="Arial" w:hAnsi="Arial" w:cs="Arial"/>
          <w:color w:val="000000"/>
          <w:shd w:val="clear" w:color="auto" w:fill="FFFFFF"/>
          <w:lang w:val="es-MX"/>
        </w:rPr>
        <w:t>.</w:t>
      </w:r>
      <w:r w:rsidRPr="00464C4C">
        <w:rPr>
          <w:rFonts w:ascii="Arial" w:eastAsia="Arial" w:hAnsi="Arial" w:cs="Arial"/>
          <w:color w:val="000000" w:themeColor="text1"/>
          <w:lang w:val="es-ES"/>
        </w:rPr>
        <w:t xml:space="preserve"> </w:t>
      </w:r>
      <w:r w:rsidRPr="00464C4C">
        <w:rPr>
          <w:rFonts w:ascii="Arial" w:eastAsia="Calibri" w:hAnsi="Arial" w:cs="Arial"/>
          <w:lang w:val="es-ES"/>
        </w:rPr>
        <w:t xml:space="preserve">Las tesis expuestas en estos conceptos se reiteran a continuación y se complementan en lo pertinente, teniendo en cuenta los interrogantes planteados. </w:t>
      </w:r>
    </w:p>
    <w:p w14:paraId="7DA8BFC8" w14:textId="77777777" w:rsidR="00745BA5" w:rsidRPr="00464C4C" w:rsidRDefault="00745BA5" w:rsidP="00745BA5">
      <w:pPr>
        <w:pStyle w:val="paragraph"/>
        <w:spacing w:before="0" w:beforeAutospacing="0" w:after="0" w:afterAutospacing="0"/>
        <w:jc w:val="both"/>
        <w:textAlignment w:val="baseline"/>
        <w:rPr>
          <w:rFonts w:ascii="Arial" w:hAnsi="Arial" w:cs="Arial"/>
          <w:sz w:val="22"/>
          <w:szCs w:val="22"/>
        </w:rPr>
      </w:pPr>
      <w:r w:rsidRPr="00464C4C">
        <w:rPr>
          <w:rStyle w:val="normaltextrun"/>
          <w:rFonts w:ascii="Arial" w:hAnsi="Arial" w:cs="Arial"/>
          <w:b/>
          <w:bCs/>
          <w:color w:val="000000"/>
          <w:sz w:val="22"/>
          <w:szCs w:val="22"/>
        </w:rPr>
        <w:t xml:space="preserve">2.1. </w:t>
      </w:r>
      <w:r w:rsidRPr="00464C4C">
        <w:rPr>
          <w:rStyle w:val="normaltextrun"/>
          <w:rFonts w:ascii="Arial" w:hAnsi="Arial" w:cs="Arial"/>
          <w:b/>
          <w:bCs/>
          <w:color w:val="000000"/>
          <w:sz w:val="22"/>
          <w:szCs w:val="22"/>
          <w:lang w:val="es-ES"/>
        </w:rPr>
        <w:t>Aproximación general al concepto de experiencia en la contratación pública</w:t>
      </w:r>
      <w:r w:rsidRPr="00464C4C">
        <w:rPr>
          <w:rStyle w:val="eop"/>
          <w:rFonts w:ascii="Arial" w:hAnsi="Arial" w:cs="Arial"/>
          <w:color w:val="000000"/>
          <w:sz w:val="22"/>
          <w:szCs w:val="22"/>
        </w:rPr>
        <w:t> </w:t>
      </w:r>
    </w:p>
    <w:p w14:paraId="4DD25BB5" w14:textId="77777777" w:rsidR="00745BA5" w:rsidRPr="00464C4C" w:rsidRDefault="00745BA5" w:rsidP="00745BA5">
      <w:pPr>
        <w:pStyle w:val="paragraph"/>
        <w:spacing w:before="0" w:beforeAutospacing="0" w:after="0" w:afterAutospacing="0"/>
        <w:jc w:val="both"/>
        <w:textAlignment w:val="baseline"/>
        <w:rPr>
          <w:rFonts w:ascii="Arial" w:hAnsi="Arial" w:cs="Arial"/>
          <w:sz w:val="22"/>
          <w:szCs w:val="22"/>
        </w:rPr>
      </w:pPr>
      <w:r w:rsidRPr="00464C4C">
        <w:rPr>
          <w:rStyle w:val="eop"/>
          <w:rFonts w:ascii="Arial" w:hAnsi="Arial" w:cs="Arial"/>
          <w:sz w:val="22"/>
          <w:szCs w:val="22"/>
        </w:rPr>
        <w:t> </w:t>
      </w:r>
    </w:p>
    <w:p w14:paraId="1A1518EE" w14:textId="77777777" w:rsidR="00745BA5" w:rsidRPr="00464C4C" w:rsidRDefault="00745BA5" w:rsidP="00347889">
      <w:pPr>
        <w:pStyle w:val="paragraph"/>
        <w:spacing w:before="0" w:beforeAutospacing="0" w:after="120" w:afterAutospacing="0" w:line="276" w:lineRule="auto"/>
        <w:jc w:val="both"/>
        <w:textAlignment w:val="baseline"/>
        <w:rPr>
          <w:rStyle w:val="eop"/>
          <w:rFonts w:ascii="Arial" w:hAnsi="Arial" w:cs="Arial"/>
          <w:sz w:val="22"/>
          <w:szCs w:val="22"/>
        </w:rPr>
      </w:pPr>
      <w:r w:rsidRPr="00464C4C">
        <w:rPr>
          <w:rStyle w:val="normaltextrun"/>
          <w:rFonts w:ascii="Arial" w:hAnsi="Arial" w:cs="Arial"/>
          <w:sz w:val="22"/>
          <w:szCs w:val="22"/>
        </w:rPr>
        <w:t>El artículo 5 de la Ley 1150 de 2007 establece los requisitos habilitantes para participar en un procedimiento contractual, dentro de los cuales se destaca la experiencia. El propósito es que las entidades fijen unos requisitos mínimos que debe tener y acreditar el proponente, para que la entidad pueda verificar su aptitud para participar en el procedimiento de contratación y, si se le adjudica, ejecutar el contrato estatal</w:t>
      </w:r>
      <w:r w:rsidRPr="00464C4C">
        <w:rPr>
          <w:rStyle w:val="Refdenotaalpie"/>
          <w:rFonts w:ascii="Arial" w:eastAsiaTheme="majorEastAsia" w:hAnsi="Arial" w:cs="Arial"/>
          <w:sz w:val="22"/>
          <w:szCs w:val="22"/>
        </w:rPr>
        <w:footnoteReference w:id="2"/>
      </w:r>
      <w:r w:rsidRPr="00464C4C">
        <w:rPr>
          <w:rStyle w:val="normaltextrun"/>
          <w:rFonts w:ascii="Arial" w:hAnsi="Arial" w:cs="Arial"/>
          <w:sz w:val="22"/>
          <w:szCs w:val="22"/>
        </w:rPr>
        <w:t xml:space="preserve">. Con los matices requeridos </w:t>
      </w:r>
      <w:r w:rsidRPr="00464C4C">
        <w:rPr>
          <w:rStyle w:val="normaltextrun"/>
          <w:rFonts w:ascii="Arial" w:hAnsi="Arial" w:cs="Arial"/>
          <w:sz w:val="22"/>
          <w:szCs w:val="22"/>
        </w:rPr>
        <w:lastRenderedPageBreak/>
        <w:t>para la aplicación de los documentos tipo,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sidRPr="00464C4C">
        <w:rPr>
          <w:rStyle w:val="Refdenotaalpie"/>
          <w:rFonts w:ascii="Arial" w:eastAsiaTheme="majorEastAsia" w:hAnsi="Arial" w:cs="Arial"/>
          <w:sz w:val="22"/>
          <w:szCs w:val="22"/>
        </w:rPr>
        <w:footnoteReference w:id="3"/>
      </w:r>
      <w:r w:rsidRPr="00464C4C">
        <w:rPr>
          <w:rStyle w:val="normaltextrun"/>
          <w:rFonts w:ascii="Arial" w:hAnsi="Arial" w:cs="Arial"/>
          <w:sz w:val="22"/>
          <w:szCs w:val="22"/>
        </w:rPr>
        <w:t>.</w:t>
      </w:r>
      <w:r w:rsidRPr="00464C4C">
        <w:rPr>
          <w:rStyle w:val="eop"/>
          <w:rFonts w:ascii="Arial" w:hAnsi="Arial" w:cs="Arial"/>
          <w:sz w:val="22"/>
          <w:szCs w:val="22"/>
        </w:rPr>
        <w:t> </w:t>
      </w:r>
    </w:p>
    <w:p w14:paraId="210EB062" w14:textId="77777777" w:rsidR="00745BA5" w:rsidRPr="00464C4C" w:rsidRDefault="00745BA5" w:rsidP="00347889">
      <w:pPr>
        <w:pStyle w:val="paragraph"/>
        <w:spacing w:before="0" w:beforeAutospacing="0" w:after="120" w:afterAutospacing="0" w:line="276" w:lineRule="auto"/>
        <w:ind w:firstLine="703"/>
        <w:jc w:val="both"/>
        <w:textAlignment w:val="baseline"/>
        <w:rPr>
          <w:rStyle w:val="eop"/>
          <w:rFonts w:ascii="Arial" w:eastAsiaTheme="minorHAnsi" w:hAnsi="Arial" w:cs="Arial"/>
          <w:sz w:val="22"/>
          <w:szCs w:val="22"/>
          <w:lang w:eastAsia="en-US"/>
        </w:rPr>
      </w:pPr>
      <w:r w:rsidRPr="00464C4C">
        <w:rPr>
          <w:rStyle w:val="normaltextrun"/>
          <w:rFonts w:ascii="Arial" w:hAnsi="Arial" w:cs="Arial"/>
          <w:sz w:val="22"/>
          <w:szCs w:val="22"/>
        </w:rPr>
        <w:t>La experiencia que se deriva de los contratos que el proponente ha celebrado y ejecutado con diferentes contratantes, sin importar la naturaleza de estos, se verifica con el Registro Único de Proponentes –RUP–</w:t>
      </w:r>
      <w:r w:rsidRPr="00464C4C">
        <w:rPr>
          <w:rStyle w:val="Refdenotaalpie"/>
          <w:rFonts w:ascii="Arial" w:eastAsiaTheme="majorEastAsia" w:hAnsi="Arial" w:cs="Arial"/>
          <w:sz w:val="22"/>
          <w:szCs w:val="22"/>
        </w:rPr>
        <w:footnoteReference w:id="4"/>
      </w:r>
      <w:r w:rsidRPr="00464C4C">
        <w:rPr>
          <w:rStyle w:val="normaltextrun"/>
          <w:rFonts w:ascii="Arial" w:hAnsi="Arial" w:cs="Arial"/>
          <w:sz w:val="22"/>
          <w:szCs w:val="22"/>
        </w:rPr>
        <w:t>, cuando este certificado sea exigible de acuerdo con la ley, en el cual constan los requisitos habilitantes que se evalúan exclusivamente con este documento, que es plena prueba, sin que la entidad o el proponente puedan solicitar o aportar otra documentación</w:t>
      </w:r>
      <w:r w:rsidRPr="00464C4C">
        <w:rPr>
          <w:rStyle w:val="Refdenotaalpie"/>
          <w:rFonts w:ascii="Arial" w:eastAsiaTheme="majorEastAsia" w:hAnsi="Arial" w:cs="Arial"/>
          <w:sz w:val="22"/>
          <w:szCs w:val="22"/>
        </w:rPr>
        <w:footnoteReference w:id="5"/>
      </w:r>
      <w:r w:rsidRPr="00464C4C">
        <w:rPr>
          <w:rStyle w:val="normaltextrun"/>
          <w:rFonts w:ascii="Arial" w:hAnsi="Arial" w:cs="Arial"/>
          <w:sz w:val="22"/>
          <w:szCs w:val="22"/>
        </w:rPr>
        <w:t>.</w:t>
      </w:r>
      <w:r w:rsidRPr="00464C4C">
        <w:rPr>
          <w:rStyle w:val="eop"/>
          <w:rFonts w:ascii="Arial" w:hAnsi="Arial" w:cs="Arial"/>
          <w:sz w:val="22"/>
          <w:szCs w:val="22"/>
        </w:rPr>
        <w:t> </w:t>
      </w:r>
    </w:p>
    <w:p w14:paraId="25ECE13C" w14:textId="77777777" w:rsidR="00745BA5" w:rsidRPr="00464C4C" w:rsidRDefault="00745BA5" w:rsidP="00347889">
      <w:pPr>
        <w:pStyle w:val="paragraph"/>
        <w:spacing w:before="0" w:beforeAutospacing="0" w:after="120" w:afterAutospacing="0" w:line="276" w:lineRule="auto"/>
        <w:ind w:firstLine="703"/>
        <w:jc w:val="both"/>
        <w:textAlignment w:val="baseline"/>
        <w:rPr>
          <w:rStyle w:val="eop"/>
          <w:rFonts w:ascii="Arial" w:eastAsiaTheme="minorHAnsi" w:hAnsi="Arial" w:cs="Arial"/>
          <w:sz w:val="22"/>
          <w:szCs w:val="22"/>
          <w:lang w:eastAsia="en-US"/>
        </w:rPr>
      </w:pPr>
      <w:r w:rsidRPr="00464C4C">
        <w:rPr>
          <w:rStyle w:val="normaltextrun"/>
          <w:rFonts w:ascii="Arial" w:hAnsi="Arial" w:cs="Arial"/>
          <w:sz w:val="22"/>
          <w:szCs w:val="22"/>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sidRPr="00464C4C">
        <w:rPr>
          <w:rStyle w:val="Refdenotaalpie"/>
          <w:rFonts w:ascii="Arial" w:eastAsiaTheme="majorEastAsia" w:hAnsi="Arial" w:cs="Arial"/>
          <w:sz w:val="22"/>
          <w:szCs w:val="22"/>
        </w:rPr>
        <w:footnoteReference w:id="6"/>
      </w:r>
      <w:r w:rsidRPr="00464C4C">
        <w:rPr>
          <w:rStyle w:val="normaltextrun"/>
          <w:rFonts w:ascii="Arial" w:hAnsi="Arial" w:cs="Arial"/>
          <w:sz w:val="22"/>
          <w:szCs w:val="22"/>
        </w:rPr>
        <w:t xml:space="preserve">. </w:t>
      </w:r>
      <w:r w:rsidRPr="00464C4C">
        <w:rPr>
          <w:rStyle w:val="normaltextrun"/>
          <w:rFonts w:ascii="Arial" w:hAnsi="Arial" w:cs="Arial"/>
          <w:sz w:val="22"/>
          <w:szCs w:val="22"/>
        </w:rPr>
        <w:lastRenderedPageBreak/>
        <w:t>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r w:rsidRPr="00464C4C">
        <w:rPr>
          <w:rStyle w:val="eop"/>
          <w:rFonts w:ascii="Arial" w:hAnsi="Arial" w:cs="Arial"/>
          <w:sz w:val="22"/>
          <w:szCs w:val="22"/>
        </w:rPr>
        <w:t> </w:t>
      </w:r>
    </w:p>
    <w:p w14:paraId="358000C3" w14:textId="77777777" w:rsidR="00745BA5" w:rsidRPr="00464C4C" w:rsidRDefault="00745BA5" w:rsidP="00347889">
      <w:pPr>
        <w:pStyle w:val="paragraph"/>
        <w:spacing w:before="0" w:beforeAutospacing="0" w:after="120" w:afterAutospacing="0" w:line="276" w:lineRule="auto"/>
        <w:ind w:firstLine="703"/>
        <w:jc w:val="both"/>
        <w:textAlignment w:val="baseline"/>
        <w:rPr>
          <w:rStyle w:val="eop"/>
          <w:rFonts w:ascii="Arial" w:eastAsiaTheme="minorHAnsi" w:hAnsi="Arial" w:cs="Arial"/>
          <w:sz w:val="22"/>
          <w:szCs w:val="22"/>
          <w:lang w:eastAsia="en-US"/>
        </w:rPr>
      </w:pPr>
      <w:r w:rsidRPr="00464C4C">
        <w:rPr>
          <w:rStyle w:val="normaltextrun"/>
          <w:rFonts w:ascii="Arial" w:hAnsi="Arial" w:cs="Arial"/>
          <w:sz w:val="22"/>
          <w:szCs w:val="22"/>
        </w:rPr>
        <w:t>Por lo demás, 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sobre lo que las entidades pueden hacer para establecerlos. En relación con la experiencia, el Manual se centra en su carácter personal, lo cual significa que la experiencia se obtiene en razón a la participación, con anterioridad, en actividades que le permitieron conocer cómo ejecutar determinado objeto contractual, que la entidad ahora pretende desarrollar</w:t>
      </w:r>
      <w:r w:rsidRPr="00464C4C">
        <w:rPr>
          <w:rStyle w:val="Refdenotaalpie"/>
          <w:rFonts w:ascii="Arial" w:eastAsiaTheme="majorEastAsia" w:hAnsi="Arial" w:cs="Arial"/>
          <w:sz w:val="22"/>
          <w:szCs w:val="22"/>
        </w:rPr>
        <w:footnoteReference w:id="7"/>
      </w:r>
      <w:r w:rsidRPr="00464C4C">
        <w:rPr>
          <w:rStyle w:val="normaltextrun"/>
          <w:rFonts w:ascii="Arial" w:hAnsi="Arial" w:cs="Arial"/>
          <w:sz w:val="22"/>
          <w:szCs w:val="22"/>
        </w:rPr>
        <w:t>.</w:t>
      </w:r>
      <w:r w:rsidRPr="00464C4C">
        <w:rPr>
          <w:rStyle w:val="eop"/>
          <w:rFonts w:ascii="Arial" w:hAnsi="Arial" w:cs="Arial"/>
          <w:sz w:val="22"/>
          <w:szCs w:val="22"/>
        </w:rPr>
        <w:t> </w:t>
      </w:r>
    </w:p>
    <w:p w14:paraId="38791BF2" w14:textId="77777777" w:rsidR="00745BA5" w:rsidRPr="00464C4C" w:rsidRDefault="00745BA5" w:rsidP="00347889">
      <w:pPr>
        <w:pStyle w:val="paragraph"/>
        <w:spacing w:before="0" w:beforeAutospacing="0" w:after="120" w:afterAutospacing="0" w:line="276" w:lineRule="auto"/>
        <w:ind w:firstLine="703"/>
        <w:jc w:val="both"/>
        <w:textAlignment w:val="baseline"/>
        <w:rPr>
          <w:rStyle w:val="normaltextrun"/>
          <w:rFonts w:ascii="Arial" w:eastAsiaTheme="minorHAnsi" w:hAnsi="Arial" w:cs="Arial"/>
          <w:sz w:val="22"/>
          <w:szCs w:val="22"/>
          <w:lang w:eastAsia="en-US"/>
        </w:rPr>
      </w:pPr>
      <w:r w:rsidRPr="00464C4C">
        <w:rPr>
          <w:rStyle w:val="normaltextrun"/>
          <w:rFonts w:ascii="Arial" w:hAnsi="Arial" w:cs="Arial"/>
          <w:sz w:val="22"/>
          <w:szCs w:val="22"/>
        </w:rPr>
        <w:t xml:space="preserve">Lo anterior es determinante, porque no es posible tener experiencia si en la práctica no se han ejecutado actividades similares previas; y precisamente de la experiencia se deriva el conocimiento del proponente, y para la contratación pública es importante,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w:t>
      </w:r>
      <w:r w:rsidRPr="00464C4C">
        <w:rPr>
          <w:rStyle w:val="normaltextrun"/>
          <w:rFonts w:ascii="Arial" w:hAnsi="Arial" w:cs="Arial"/>
          <w:sz w:val="22"/>
          <w:szCs w:val="22"/>
        </w:rPr>
        <w:lastRenderedPageBreak/>
        <w:t>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 Finalmente, pueden extraerse cuatro (4) conclusiones relevantes para evaluar las figuras y reformas estatutarias de las sociedades comerciales, respecto de la experiencia:</w:t>
      </w:r>
    </w:p>
    <w:p w14:paraId="21FC987C" w14:textId="04D862FD" w:rsidR="00745BA5" w:rsidRPr="00670CCF" w:rsidRDefault="00745BA5" w:rsidP="00670CCF">
      <w:pPr>
        <w:pStyle w:val="paragraph"/>
        <w:spacing w:before="0" w:beforeAutospacing="0" w:after="120" w:afterAutospacing="0" w:line="276" w:lineRule="auto"/>
        <w:ind w:firstLine="703"/>
        <w:jc w:val="both"/>
        <w:textAlignment w:val="baseline"/>
        <w:rPr>
          <w:rFonts w:ascii="Arial" w:eastAsiaTheme="minorHAnsi" w:hAnsi="Arial" w:cs="Arial"/>
          <w:sz w:val="22"/>
          <w:szCs w:val="22"/>
          <w:lang w:eastAsia="en-US"/>
        </w:rPr>
      </w:pPr>
      <w:r w:rsidRPr="00464C4C">
        <w:rPr>
          <w:rStyle w:val="normaltextrun"/>
          <w:rFonts w:ascii="Arial" w:hAnsi="Arial" w:cs="Arial"/>
          <w:sz w:val="22"/>
          <w:szCs w:val="22"/>
        </w:rPr>
        <w:t> </w:t>
      </w:r>
      <w:r w:rsidRPr="00464C4C">
        <w:rPr>
          <w:rStyle w:val="eop"/>
          <w:rFonts w:ascii="Arial" w:hAnsi="Arial" w:cs="Arial"/>
          <w:sz w:val="22"/>
          <w:szCs w:val="22"/>
        </w:rPr>
        <w:t> </w:t>
      </w:r>
      <w:r w:rsidRPr="00464C4C">
        <w:rPr>
          <w:rStyle w:val="normaltextrun"/>
          <w:rFonts w:ascii="Arial" w:hAnsi="Arial" w:cs="Arial"/>
          <w:sz w:val="22"/>
          <w:szCs w:val="22"/>
        </w:rPr>
        <w:t xml:space="preserve">i) La experiencia es </w:t>
      </w:r>
      <w:r w:rsidRPr="00464C4C">
        <w:rPr>
          <w:rStyle w:val="normaltextrun"/>
          <w:rFonts w:ascii="Arial" w:hAnsi="Arial" w:cs="Arial"/>
          <w:i/>
          <w:iCs/>
          <w:sz w:val="22"/>
          <w:szCs w:val="22"/>
        </w:rPr>
        <w:t>personal</w:t>
      </w:r>
      <w:r w:rsidRPr="00464C4C">
        <w:rPr>
          <w:rStyle w:val="normaltextrun"/>
          <w:rFonts w:ascii="Arial" w:hAnsi="Arial" w:cs="Arial"/>
          <w:sz w:val="22"/>
          <w:szCs w:val="22"/>
        </w:rPr>
        <w:t>, esto es, se adquiere participando, directa o indirectamente, sin que sea posible no hacerlo y tener experiencia.</w:t>
      </w:r>
      <w:r w:rsidRPr="00464C4C">
        <w:rPr>
          <w:rStyle w:val="eop"/>
          <w:rFonts w:ascii="Arial" w:hAnsi="Arial" w:cs="Arial"/>
          <w:sz w:val="22"/>
          <w:szCs w:val="22"/>
        </w:rPr>
        <w:t> </w:t>
      </w:r>
    </w:p>
    <w:p w14:paraId="7272A28A" w14:textId="3300D78B" w:rsidR="00745BA5" w:rsidRPr="00464C4C" w:rsidRDefault="00745BA5" w:rsidP="00347889">
      <w:pPr>
        <w:pStyle w:val="paragraph"/>
        <w:spacing w:before="0" w:beforeAutospacing="0" w:after="120" w:afterAutospacing="0" w:line="276" w:lineRule="auto"/>
        <w:ind w:firstLine="703"/>
        <w:jc w:val="both"/>
        <w:textAlignment w:val="baseline"/>
        <w:rPr>
          <w:rStyle w:val="normaltextrun"/>
          <w:rFonts w:ascii="Arial" w:hAnsi="Arial" w:cs="Arial"/>
          <w:sz w:val="22"/>
          <w:szCs w:val="22"/>
        </w:rPr>
      </w:pPr>
      <w:r w:rsidRPr="00464C4C">
        <w:rPr>
          <w:rStyle w:val="normaltextrun"/>
          <w:rFonts w:ascii="Arial" w:hAnsi="Arial" w:cs="Arial"/>
          <w:sz w:val="22"/>
          <w:szCs w:val="22"/>
        </w:rPr>
        <w:t xml:space="preserve">ii) </w:t>
      </w:r>
      <w:r w:rsidRPr="00464C4C">
        <w:rPr>
          <w:rStyle w:val="normaltextrun"/>
          <w:rFonts w:ascii="Arial" w:hAnsi="Arial" w:cs="Arial"/>
          <w:sz w:val="22"/>
          <w:szCs w:val="22"/>
          <w:lang w:val="es-MX"/>
        </w:rPr>
        <w:t xml:space="preserve">La experiencia se puede </w:t>
      </w:r>
      <w:r w:rsidRPr="00464C4C">
        <w:rPr>
          <w:rStyle w:val="normaltextrun"/>
          <w:rFonts w:ascii="Arial" w:hAnsi="Arial" w:cs="Arial"/>
          <w:i/>
          <w:iCs/>
          <w:sz w:val="22"/>
          <w:szCs w:val="22"/>
          <w:lang w:val="es-MX"/>
        </w:rPr>
        <w:t>compartir</w:t>
      </w:r>
      <w:r w:rsidRPr="00464C4C">
        <w:rPr>
          <w:rStyle w:val="normaltextrun"/>
          <w:rFonts w:ascii="Arial" w:hAnsi="Arial" w:cs="Arial"/>
          <w:sz w:val="22"/>
          <w:szCs w:val="22"/>
          <w:lang w:val="es-MX"/>
        </w:rPr>
        <w:t xml:space="preserve">,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w:t>
      </w:r>
      <w:r w:rsidR="00E04D78" w:rsidRPr="00464C4C">
        <w:rPr>
          <w:rStyle w:val="normaltextrun"/>
          <w:rFonts w:ascii="Arial" w:hAnsi="Arial" w:cs="Arial"/>
          <w:sz w:val="22"/>
          <w:szCs w:val="22"/>
          <w:lang w:val="es-MX"/>
        </w:rPr>
        <w:t>asociativas ̶</w:t>
      </w:r>
      <w:r w:rsidRPr="00464C4C">
        <w:rPr>
          <w:rStyle w:val="normaltextrun"/>
          <w:rFonts w:ascii="Arial" w:hAnsi="Arial" w:cs="Arial"/>
          <w:sz w:val="22"/>
          <w:szCs w:val="22"/>
          <w:lang w:val="es-MX"/>
        </w:rPr>
        <w:t xml:space="preserve"> consorcios y uniones temporales ̶  que se verificará en el documento privado de constitución.</w:t>
      </w:r>
    </w:p>
    <w:p w14:paraId="4D782E72" w14:textId="0910DA81" w:rsidR="00745BA5" w:rsidRPr="00464C4C" w:rsidRDefault="00745BA5" w:rsidP="00347889">
      <w:pPr>
        <w:pStyle w:val="paragraph"/>
        <w:spacing w:before="0" w:beforeAutospacing="0" w:after="120" w:afterAutospacing="0" w:line="276" w:lineRule="auto"/>
        <w:ind w:firstLine="703"/>
        <w:jc w:val="both"/>
        <w:textAlignment w:val="baseline"/>
        <w:rPr>
          <w:rStyle w:val="eop"/>
          <w:rFonts w:ascii="Arial" w:eastAsiaTheme="minorHAnsi" w:hAnsi="Arial" w:cs="Arial"/>
          <w:sz w:val="22"/>
          <w:szCs w:val="22"/>
          <w:lang w:eastAsia="en-US"/>
        </w:rPr>
      </w:pPr>
      <w:r w:rsidRPr="00464C4C">
        <w:rPr>
          <w:rStyle w:val="eop"/>
          <w:rFonts w:ascii="Arial" w:hAnsi="Arial" w:cs="Arial"/>
          <w:sz w:val="22"/>
          <w:szCs w:val="22"/>
        </w:rPr>
        <w:t> </w:t>
      </w:r>
      <w:r w:rsidRPr="00464C4C">
        <w:rPr>
          <w:rStyle w:val="normaltextrun"/>
          <w:rFonts w:ascii="Arial" w:hAnsi="Arial" w:cs="Arial"/>
          <w:sz w:val="22"/>
          <w:szCs w:val="22"/>
        </w:rPr>
        <w:t xml:space="preserve">iii) La experiencia se puede </w:t>
      </w:r>
      <w:r w:rsidRPr="00464C4C">
        <w:rPr>
          <w:rStyle w:val="normaltextrun"/>
          <w:rFonts w:ascii="Arial" w:hAnsi="Arial" w:cs="Arial"/>
          <w:i/>
          <w:iCs/>
          <w:sz w:val="22"/>
          <w:szCs w:val="22"/>
        </w:rPr>
        <w:t>transferir</w:t>
      </w:r>
      <w:r w:rsidRPr="00464C4C">
        <w:rPr>
          <w:rStyle w:val="normaltextrun"/>
          <w:rFonts w:ascii="Arial" w:hAnsi="Arial" w:cs="Arial"/>
          <w:sz w:val="22"/>
          <w:szCs w:val="22"/>
        </w:rPr>
        <w:t>, y esto es diferente a compartir, lo que implica que la experiencia de una persona se traslada a otra, y esta última acredita la experiencia como propia, como sucede con algunas figuras y reformas estatutarias como la transformación, fusión o escisión.</w:t>
      </w:r>
      <w:r w:rsidRPr="00464C4C">
        <w:rPr>
          <w:rStyle w:val="eop"/>
          <w:rFonts w:ascii="Arial" w:hAnsi="Arial" w:cs="Arial"/>
          <w:sz w:val="22"/>
          <w:szCs w:val="22"/>
        </w:rPr>
        <w:t> </w:t>
      </w:r>
    </w:p>
    <w:p w14:paraId="4683179F" w14:textId="05DC0477" w:rsidR="00745BA5" w:rsidRPr="00464C4C" w:rsidRDefault="00745BA5" w:rsidP="00347889">
      <w:pPr>
        <w:pStyle w:val="paragraph"/>
        <w:spacing w:before="0" w:beforeAutospacing="0" w:after="120" w:afterAutospacing="0" w:line="276" w:lineRule="auto"/>
        <w:ind w:firstLine="703"/>
        <w:jc w:val="both"/>
        <w:textAlignment w:val="baseline"/>
        <w:rPr>
          <w:rFonts w:ascii="Arial" w:hAnsi="Arial" w:cs="Arial"/>
          <w:sz w:val="22"/>
          <w:szCs w:val="22"/>
        </w:rPr>
      </w:pPr>
      <w:r w:rsidRPr="00464C4C">
        <w:rPr>
          <w:rStyle w:val="normaltextrun"/>
          <w:rFonts w:ascii="Arial" w:hAnsi="Arial" w:cs="Arial"/>
          <w:sz w:val="22"/>
          <w:szCs w:val="22"/>
        </w:rPr>
        <w:t xml:space="preserve">iv) Solo es posible transferir o compartir la experiencia de una persona natural o jurídica a otra, en los casos señalados en los numerales anteriores, por lo cual no es posible que se acredite la experiencia adquirida por un </w:t>
      </w:r>
      <w:r w:rsidR="00E04D78" w:rsidRPr="00464C4C">
        <w:rPr>
          <w:rStyle w:val="normaltextrun"/>
          <w:rFonts w:ascii="Arial" w:hAnsi="Arial" w:cs="Arial"/>
          <w:sz w:val="22"/>
          <w:szCs w:val="22"/>
        </w:rPr>
        <w:t>tercero ̶</w:t>
      </w:r>
      <w:r w:rsidRPr="00464C4C">
        <w:rPr>
          <w:rStyle w:val="normaltextrun"/>
          <w:rFonts w:ascii="Arial" w:hAnsi="Arial" w:cs="Arial"/>
          <w:sz w:val="22"/>
          <w:szCs w:val="22"/>
        </w:rPr>
        <w:t xml:space="preserve"> que es otra persona diferente a la principal ̶  sin que se relacione con lo establecido, ya que la experiencia es personal, esto es, de quien la adquirió. Asimismo, cuando la persona que adquirió la experiencia </w:t>
      </w:r>
      <w:r w:rsidRPr="00464C4C">
        <w:rPr>
          <w:rStyle w:val="normaltextrun"/>
          <w:rFonts w:ascii="Arial" w:hAnsi="Arial" w:cs="Arial"/>
          <w:i/>
          <w:iCs/>
          <w:sz w:val="22"/>
          <w:szCs w:val="22"/>
        </w:rPr>
        <w:t>desaparece</w:t>
      </w:r>
      <w:r w:rsidRPr="00464C4C">
        <w:rPr>
          <w:rStyle w:val="normaltextrun"/>
          <w:rFonts w:ascii="Arial" w:hAnsi="Arial" w:cs="Arial"/>
          <w:sz w:val="22"/>
          <w:szCs w:val="22"/>
        </w:rPr>
        <w:t xml:space="preserve"> o se liquida no es posible que comparta o transfiera su experiencia, porque al ser personal sigue la suerte de quien la adquirió.</w:t>
      </w:r>
      <w:r w:rsidRPr="00464C4C">
        <w:rPr>
          <w:rStyle w:val="eop"/>
          <w:rFonts w:ascii="Arial" w:hAnsi="Arial" w:cs="Arial"/>
          <w:sz w:val="22"/>
          <w:szCs w:val="22"/>
        </w:rPr>
        <w:t> </w:t>
      </w:r>
    </w:p>
    <w:p w14:paraId="35D93B75" w14:textId="77777777" w:rsidR="00745BA5" w:rsidRPr="00464C4C" w:rsidRDefault="00745BA5" w:rsidP="00347889">
      <w:pPr>
        <w:pStyle w:val="paragraph"/>
        <w:spacing w:before="0" w:beforeAutospacing="0" w:after="120" w:afterAutospacing="0" w:line="276" w:lineRule="auto"/>
        <w:ind w:firstLine="703"/>
        <w:jc w:val="both"/>
        <w:textAlignment w:val="baseline"/>
        <w:rPr>
          <w:rStyle w:val="normaltextrun"/>
          <w:rFonts w:ascii="Arial" w:eastAsiaTheme="minorHAnsi" w:hAnsi="Arial" w:cs="Arial"/>
          <w:color w:val="000000"/>
          <w:sz w:val="22"/>
          <w:szCs w:val="22"/>
          <w:lang w:eastAsia="en-US"/>
        </w:rPr>
      </w:pPr>
      <w:r w:rsidRPr="00464C4C">
        <w:rPr>
          <w:rStyle w:val="normaltextrun"/>
          <w:rFonts w:ascii="Arial" w:hAnsi="Arial" w:cs="Arial"/>
          <w:color w:val="000000"/>
          <w:sz w:val="22"/>
          <w:szCs w:val="22"/>
        </w:rPr>
        <w:t>No obstante, las entidades estatales son autónomas en la estructuración de sus procedimientos contractuales, por lo cual en sus pliegos de condiciones pueden establecer una regla de acreditación de la experiencia que permita que el proponente incluya la de otras personas o terceros para cumplir el requisito habilitante. Lo anterior, salvo que se trate de objetos contractuales regidos por documentos tipo, evento en el cual las reglas relativas a la experiencia exigida y a la forma de acreditación están allí previstas.</w:t>
      </w:r>
    </w:p>
    <w:p w14:paraId="646545F1" w14:textId="550DC95C" w:rsidR="00745BA5" w:rsidRPr="00670CCF" w:rsidRDefault="00745BA5" w:rsidP="00670CCF">
      <w:pPr>
        <w:pStyle w:val="paragraph"/>
        <w:spacing w:before="0" w:beforeAutospacing="0" w:after="120" w:afterAutospacing="0" w:line="276" w:lineRule="auto"/>
        <w:ind w:firstLine="703"/>
        <w:jc w:val="both"/>
        <w:textAlignment w:val="baseline"/>
        <w:rPr>
          <w:rFonts w:ascii="Arial" w:eastAsiaTheme="minorHAnsi" w:hAnsi="Arial" w:cs="Arial"/>
          <w:sz w:val="22"/>
          <w:szCs w:val="22"/>
          <w:lang w:eastAsia="en-US"/>
        </w:rPr>
      </w:pPr>
      <w:r w:rsidRPr="00464C4C">
        <w:rPr>
          <w:rStyle w:val="eop"/>
          <w:rFonts w:ascii="Arial" w:hAnsi="Arial" w:cs="Arial"/>
          <w:color w:val="000000"/>
          <w:sz w:val="22"/>
          <w:szCs w:val="22"/>
        </w:rPr>
        <w:t> </w:t>
      </w:r>
      <w:r w:rsidRPr="00464C4C">
        <w:rPr>
          <w:rStyle w:val="normaltextrun"/>
          <w:rFonts w:ascii="Arial" w:hAnsi="Arial" w:cs="Arial"/>
          <w:sz w:val="22"/>
          <w:szCs w:val="22"/>
        </w:rPr>
        <w:t>Ahora, el RUP fue creado por el artículo 6 de la Ley 1150 de 2007 y constituye el medio idóneo para verificar las condiciones de los proponentes en procesos de contratación pública. Este registro, conforme a lo señalado por la Corte Constitucional</w:t>
      </w:r>
      <w:r w:rsidRPr="00464C4C">
        <w:rPr>
          <w:rStyle w:val="Refdenotaalpie"/>
          <w:rFonts w:ascii="Arial" w:eastAsiaTheme="majorEastAsia" w:hAnsi="Arial" w:cs="Arial"/>
          <w:sz w:val="22"/>
          <w:szCs w:val="22"/>
        </w:rPr>
        <w:footnoteReference w:id="8"/>
      </w:r>
      <w:r w:rsidRPr="00464C4C">
        <w:rPr>
          <w:rStyle w:val="normaltextrun"/>
          <w:rFonts w:ascii="Arial" w:hAnsi="Arial" w:cs="Arial"/>
          <w:sz w:val="22"/>
          <w:szCs w:val="22"/>
        </w:rPr>
        <w:t xml:space="preserve"> es administrado por las Cámaras de Comercio y la actividad relacionada en el mismo está “sometida a los principios de la función administrativa y de contratación estatal”. El artículo 6 de la Ley 1150 </w:t>
      </w:r>
      <w:r w:rsidRPr="00464C4C">
        <w:rPr>
          <w:rStyle w:val="normaltextrun"/>
          <w:rFonts w:ascii="Arial" w:hAnsi="Arial" w:cs="Arial"/>
          <w:sz w:val="22"/>
          <w:szCs w:val="22"/>
        </w:rPr>
        <w:lastRenderedPageBreak/>
        <w:t>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cámaras para verificarlas. </w:t>
      </w:r>
      <w:r w:rsidRPr="00464C4C">
        <w:rPr>
          <w:rStyle w:val="eop"/>
          <w:rFonts w:ascii="Arial" w:hAnsi="Arial" w:cs="Arial"/>
          <w:sz w:val="22"/>
          <w:szCs w:val="22"/>
        </w:rPr>
        <w:t> </w:t>
      </w:r>
    </w:p>
    <w:p w14:paraId="1C390C97" w14:textId="77777777" w:rsidR="00745BA5" w:rsidRPr="00464C4C" w:rsidRDefault="00745BA5" w:rsidP="00347889">
      <w:pPr>
        <w:pStyle w:val="paragraph"/>
        <w:spacing w:before="0" w:beforeAutospacing="0" w:after="120" w:afterAutospacing="0" w:line="276" w:lineRule="auto"/>
        <w:ind w:firstLine="703"/>
        <w:jc w:val="both"/>
        <w:textAlignment w:val="baseline"/>
        <w:rPr>
          <w:rStyle w:val="eop"/>
          <w:rFonts w:ascii="Arial" w:hAnsi="Arial" w:cs="Arial"/>
          <w:sz w:val="22"/>
          <w:szCs w:val="22"/>
        </w:rPr>
      </w:pPr>
      <w:r w:rsidRPr="00464C4C">
        <w:rPr>
          <w:rStyle w:val="normaltextrun"/>
          <w:rFonts w:ascii="Arial" w:hAnsi="Arial" w:cs="Arial"/>
          <w:sz w:val="22"/>
          <w:szCs w:val="22"/>
        </w:rPr>
        <w:t>La norma impuso la obligación a todos los proponentes de inscribirse en el registro único de proponentes, salvo en los casos de contratación directa, contratos para la prestación de servicios de salud, contratos de mínima cuantía, enajenación de bienes del Estado, y los contratos que tengan por objeto la adquisición de productos de origen o destinación agropecuaria que se ofrezcan en bolsas de productos legalmente constituidas. De igual forma, están exceptuados los actos y contratos que tengan por objeto directo las actividades comerciales e industriales propias de las empresas industriales y comerciales del Estado y las sociedades de economía mixta y los contratos de concesión de cualquier índole. </w:t>
      </w:r>
      <w:r w:rsidRPr="00464C4C">
        <w:rPr>
          <w:rStyle w:val="eop"/>
          <w:rFonts w:ascii="Arial" w:hAnsi="Arial" w:cs="Arial"/>
          <w:sz w:val="22"/>
          <w:szCs w:val="22"/>
        </w:rPr>
        <w:t> </w:t>
      </w:r>
    </w:p>
    <w:p w14:paraId="6FD12144" w14:textId="77777777" w:rsidR="00745BA5" w:rsidRPr="00464C4C" w:rsidRDefault="00745BA5" w:rsidP="00347889">
      <w:pPr>
        <w:pStyle w:val="paragraph"/>
        <w:spacing w:before="0" w:beforeAutospacing="0" w:after="120" w:afterAutospacing="0" w:line="276" w:lineRule="auto"/>
        <w:ind w:firstLine="703"/>
        <w:jc w:val="both"/>
        <w:textAlignment w:val="baseline"/>
        <w:rPr>
          <w:rStyle w:val="normaltextrun"/>
          <w:rFonts w:ascii="Arial" w:eastAsiaTheme="minorHAnsi" w:hAnsi="Arial" w:cs="Arial"/>
          <w:sz w:val="22"/>
          <w:szCs w:val="22"/>
          <w:lang w:eastAsia="en-US"/>
        </w:rPr>
      </w:pPr>
      <w:r w:rsidRPr="00464C4C">
        <w:rPr>
          <w:rStyle w:val="normaltextrun"/>
          <w:rFonts w:ascii="Arial" w:hAnsi="Arial" w:cs="Arial"/>
          <w:sz w:val="22"/>
          <w:szCs w:val="22"/>
        </w:rPr>
        <w:t>Asimismo, correlativo a este deber de los proponentes, la norma impuso a las cámaras de comercio la obligación de verificar los requisitos habilitantes de quienes se registren. El inciso 2 del numeral 6.1. le otorga carácter de plena prueba a la información contenida en el registro que haya sido verificada por las cámaras de comercio y, además, dispuso que la verificación de las condiciones de que trata el numeral 1 el artículo 5 de la Ley 1150 de 2007 se demostrará “exclusivamente con el respectivo certificado del RUP en donde deberán constar dichas condiciones”. </w:t>
      </w:r>
    </w:p>
    <w:p w14:paraId="2EF38101" w14:textId="4BDE2D89" w:rsidR="00745BA5" w:rsidRPr="00464C4C" w:rsidRDefault="00745BA5" w:rsidP="00347889">
      <w:pPr>
        <w:pStyle w:val="paragraph"/>
        <w:spacing w:before="0" w:beforeAutospacing="0" w:after="0" w:afterAutospacing="0" w:line="276" w:lineRule="auto"/>
        <w:ind w:firstLine="705"/>
        <w:jc w:val="both"/>
        <w:textAlignment w:val="baseline"/>
        <w:rPr>
          <w:rFonts w:ascii="Arial" w:hAnsi="Arial" w:cs="Arial"/>
          <w:sz w:val="22"/>
          <w:szCs w:val="22"/>
        </w:rPr>
      </w:pPr>
      <w:r w:rsidRPr="00464C4C">
        <w:rPr>
          <w:rStyle w:val="eop"/>
          <w:rFonts w:ascii="Arial" w:hAnsi="Arial" w:cs="Arial"/>
          <w:sz w:val="22"/>
          <w:szCs w:val="22"/>
        </w:rPr>
        <w:t> </w:t>
      </w:r>
      <w:r w:rsidRPr="00464C4C">
        <w:rPr>
          <w:rStyle w:val="normaltextrun"/>
          <w:rFonts w:ascii="Arial" w:hAnsi="Arial" w:cs="Arial"/>
          <w:sz w:val="22"/>
          <w:szCs w:val="22"/>
        </w:rPr>
        <w:t>En consecuencia, la norma dispone que a las entidades les está prohibido exigir otros documentos para efectuar la inscripción en el registro, salvo lo dispuesto en el inciso 3 del numeral 6.1.</w:t>
      </w:r>
      <w:r w:rsidR="00F15C7B" w:rsidRPr="00464C4C">
        <w:rPr>
          <w:rStyle w:val="normaltextrun"/>
          <w:rFonts w:ascii="Arial" w:hAnsi="Arial" w:cs="Arial"/>
          <w:sz w:val="22"/>
          <w:szCs w:val="22"/>
        </w:rPr>
        <w:t xml:space="preserve"> </w:t>
      </w:r>
      <w:r w:rsidRPr="00464C4C">
        <w:rPr>
          <w:rStyle w:val="normaltextrun"/>
          <w:rFonts w:ascii="Arial" w:hAnsi="Arial" w:cs="Arial"/>
          <w:sz w:val="22"/>
          <w:szCs w:val="22"/>
        </w:rPr>
        <w:t>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 registro. De lo anterior se concluye que la regla general es que la experiencia se acredite a través del RUP y, en consecuencia, la evaluación de la experiencia, como requisito habilitante, no puede ser evaluada nuevamente por la entidad pública a partir de otros criterios distintos a los contenidos en el registro único de proponentes. </w:t>
      </w:r>
      <w:r w:rsidRPr="00464C4C">
        <w:rPr>
          <w:rStyle w:val="eop"/>
          <w:rFonts w:ascii="Arial" w:hAnsi="Arial" w:cs="Arial"/>
          <w:sz w:val="22"/>
          <w:szCs w:val="22"/>
        </w:rPr>
        <w:t> </w:t>
      </w:r>
    </w:p>
    <w:p w14:paraId="4EA8CC58" w14:textId="77777777" w:rsidR="00745BA5" w:rsidRPr="00464C4C" w:rsidRDefault="00745BA5" w:rsidP="00745BA5">
      <w:pPr>
        <w:pStyle w:val="paragraph"/>
        <w:spacing w:before="0" w:beforeAutospacing="0" w:after="0" w:afterAutospacing="0"/>
        <w:ind w:firstLine="705"/>
        <w:jc w:val="both"/>
        <w:textAlignment w:val="baseline"/>
        <w:rPr>
          <w:rFonts w:ascii="Arial" w:hAnsi="Arial" w:cs="Arial"/>
          <w:sz w:val="22"/>
          <w:szCs w:val="22"/>
        </w:rPr>
      </w:pPr>
      <w:r w:rsidRPr="00464C4C">
        <w:rPr>
          <w:rStyle w:val="eop"/>
          <w:rFonts w:ascii="Arial" w:hAnsi="Arial" w:cs="Arial"/>
          <w:sz w:val="22"/>
          <w:szCs w:val="22"/>
        </w:rPr>
        <w:t> </w:t>
      </w:r>
    </w:p>
    <w:p w14:paraId="3CB422A9" w14:textId="078E6591" w:rsidR="00745BA5" w:rsidRPr="00464C4C" w:rsidRDefault="00745BA5" w:rsidP="00347889">
      <w:pPr>
        <w:pStyle w:val="paragraph"/>
        <w:spacing w:before="0" w:beforeAutospacing="0" w:after="0" w:afterAutospacing="0" w:line="276" w:lineRule="auto"/>
        <w:jc w:val="both"/>
        <w:textAlignment w:val="baseline"/>
        <w:rPr>
          <w:rFonts w:ascii="Arial" w:hAnsi="Arial" w:cs="Arial"/>
          <w:sz w:val="22"/>
          <w:szCs w:val="22"/>
        </w:rPr>
      </w:pPr>
      <w:r w:rsidRPr="00464C4C">
        <w:rPr>
          <w:rStyle w:val="normaltextrun"/>
          <w:rFonts w:ascii="Arial" w:hAnsi="Arial" w:cs="Arial"/>
          <w:b/>
          <w:bCs/>
          <w:sz w:val="22"/>
          <w:szCs w:val="22"/>
          <w:lang w:val="es-ES"/>
        </w:rPr>
        <w:t>2.2. Acreditación de experiencia de socios por parte de sociedades con menos de tres años de constitución. Posibilidad de pondera la experiencia transferida por los socios en función de su porcentaje participación</w:t>
      </w:r>
      <w:r w:rsidRPr="00464C4C">
        <w:rPr>
          <w:rStyle w:val="eop"/>
          <w:rFonts w:ascii="Arial" w:hAnsi="Arial" w:cs="Arial"/>
          <w:sz w:val="22"/>
          <w:szCs w:val="22"/>
        </w:rPr>
        <w:t> </w:t>
      </w:r>
    </w:p>
    <w:p w14:paraId="65A28D4D" w14:textId="77777777" w:rsidR="00745BA5" w:rsidRPr="00464C4C" w:rsidRDefault="00745BA5" w:rsidP="00347889">
      <w:pPr>
        <w:pStyle w:val="paragraph"/>
        <w:spacing w:before="0" w:beforeAutospacing="0" w:after="0" w:afterAutospacing="0" w:line="276" w:lineRule="auto"/>
        <w:ind w:right="45"/>
        <w:jc w:val="both"/>
        <w:textAlignment w:val="baseline"/>
        <w:rPr>
          <w:rFonts w:ascii="Arial" w:hAnsi="Arial" w:cs="Arial"/>
          <w:sz w:val="22"/>
          <w:szCs w:val="22"/>
        </w:rPr>
      </w:pPr>
      <w:r w:rsidRPr="00464C4C">
        <w:rPr>
          <w:rStyle w:val="eop"/>
          <w:rFonts w:ascii="Arial" w:hAnsi="Arial" w:cs="Arial"/>
          <w:color w:val="000000"/>
          <w:sz w:val="22"/>
          <w:szCs w:val="22"/>
        </w:rPr>
        <w:t> </w:t>
      </w:r>
    </w:p>
    <w:p w14:paraId="2813AFFF" w14:textId="77777777" w:rsidR="00745BA5" w:rsidRPr="00464C4C" w:rsidRDefault="00745BA5" w:rsidP="00347889">
      <w:pPr>
        <w:pStyle w:val="paragraph"/>
        <w:spacing w:before="0" w:beforeAutospacing="0" w:after="120" w:afterAutospacing="0" w:line="276" w:lineRule="auto"/>
        <w:jc w:val="both"/>
        <w:textAlignment w:val="baseline"/>
        <w:rPr>
          <w:rStyle w:val="eop"/>
          <w:rFonts w:ascii="Arial" w:hAnsi="Arial" w:cs="Arial"/>
          <w:sz w:val="22"/>
          <w:szCs w:val="22"/>
        </w:rPr>
      </w:pPr>
      <w:r w:rsidRPr="00464C4C">
        <w:rPr>
          <w:rStyle w:val="normaltextrun"/>
          <w:rFonts w:ascii="Arial" w:hAnsi="Arial" w:cs="Arial"/>
          <w:sz w:val="22"/>
          <w:szCs w:val="22"/>
        </w:rPr>
        <w:t xml:space="preserve">La Ley 1150 de 2007, en el artículo 5, establece que la capacidad jurídica y las condiciones de experiencia, capacidad financiera y de organización de los proponentes serán objeto de verificación por parte de las entidades como requisitos habilitantes para participar en los </w:t>
      </w:r>
      <w:r w:rsidRPr="00464C4C">
        <w:rPr>
          <w:rStyle w:val="normaltextrun"/>
          <w:rFonts w:ascii="Arial" w:hAnsi="Arial" w:cs="Arial"/>
          <w:sz w:val="22"/>
          <w:szCs w:val="22"/>
        </w:rPr>
        <w:lastRenderedPageBreak/>
        <w:t>procesos de selección y no otorgarán puntaje. Esto con excepción de la selección de consultores mediante un concurso de méritos, donde es posible otorgar puntaje al criterio de experiencia. </w:t>
      </w:r>
      <w:r w:rsidRPr="00464C4C">
        <w:rPr>
          <w:rStyle w:val="eop"/>
          <w:rFonts w:ascii="Arial" w:hAnsi="Arial" w:cs="Arial"/>
          <w:sz w:val="22"/>
          <w:szCs w:val="22"/>
        </w:rPr>
        <w:t> </w:t>
      </w:r>
    </w:p>
    <w:p w14:paraId="1D9A2033" w14:textId="77777777" w:rsidR="00745BA5" w:rsidRPr="00464C4C" w:rsidRDefault="00745BA5" w:rsidP="00347889">
      <w:pPr>
        <w:pStyle w:val="paragraph"/>
        <w:spacing w:before="0" w:beforeAutospacing="0" w:after="120" w:afterAutospacing="0" w:line="276" w:lineRule="auto"/>
        <w:ind w:firstLine="705"/>
        <w:jc w:val="both"/>
        <w:textAlignment w:val="baseline"/>
        <w:rPr>
          <w:rStyle w:val="eop"/>
          <w:rFonts w:ascii="Arial" w:eastAsiaTheme="minorHAnsi" w:hAnsi="Arial" w:cs="Arial"/>
          <w:sz w:val="22"/>
          <w:szCs w:val="22"/>
          <w:lang w:eastAsia="en-US"/>
        </w:rPr>
      </w:pPr>
      <w:r w:rsidRPr="00464C4C">
        <w:rPr>
          <w:rStyle w:val="normaltextrun"/>
          <w:rFonts w:ascii="Arial" w:hAnsi="Arial" w:cs="Arial"/>
          <w:sz w:val="22"/>
          <w:szCs w:val="22"/>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r w:rsidRPr="00464C4C">
        <w:rPr>
          <w:rStyle w:val="eop"/>
          <w:rFonts w:ascii="Arial" w:hAnsi="Arial" w:cs="Arial"/>
          <w:sz w:val="22"/>
          <w:szCs w:val="22"/>
        </w:rPr>
        <w:t> </w:t>
      </w:r>
    </w:p>
    <w:p w14:paraId="5F4662F9" w14:textId="77777777" w:rsidR="00745BA5" w:rsidRPr="00464C4C" w:rsidRDefault="00745BA5" w:rsidP="00347889">
      <w:pPr>
        <w:pStyle w:val="paragraph"/>
        <w:spacing w:before="0" w:beforeAutospacing="0" w:after="120" w:afterAutospacing="0" w:line="276" w:lineRule="auto"/>
        <w:ind w:firstLine="705"/>
        <w:jc w:val="both"/>
        <w:textAlignment w:val="baseline"/>
        <w:rPr>
          <w:rStyle w:val="normaltextrun"/>
          <w:rFonts w:ascii="Arial" w:eastAsiaTheme="minorHAnsi" w:hAnsi="Arial" w:cs="Arial"/>
          <w:sz w:val="22"/>
          <w:szCs w:val="22"/>
          <w:lang w:eastAsia="en-US"/>
        </w:rPr>
      </w:pPr>
      <w:r w:rsidRPr="00464C4C">
        <w:rPr>
          <w:rStyle w:val="normaltextrun"/>
          <w:rFonts w:ascii="Arial" w:hAnsi="Arial" w:cs="Arial"/>
          <w:sz w:val="22"/>
          <w:szCs w:val="22"/>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464C4C">
        <w:rPr>
          <w:rStyle w:val="Refdenotaalpie"/>
          <w:rFonts w:ascii="Arial" w:eastAsiaTheme="majorEastAsia" w:hAnsi="Arial" w:cs="Arial"/>
          <w:sz w:val="22"/>
          <w:szCs w:val="22"/>
        </w:rPr>
        <w:footnoteReference w:id="9"/>
      </w:r>
      <w:r w:rsidRPr="00464C4C">
        <w:rPr>
          <w:rStyle w:val="normaltextrun"/>
          <w:rFonts w:ascii="Arial" w:hAnsi="Arial" w:cs="Arial"/>
          <w:sz w:val="22"/>
          <w:szCs w:val="22"/>
        </w:rPr>
        <w:t>. </w:t>
      </w:r>
    </w:p>
    <w:p w14:paraId="51F68019" w14:textId="47502695" w:rsidR="00745BA5" w:rsidRPr="00464C4C" w:rsidRDefault="00745BA5" w:rsidP="00347889">
      <w:pPr>
        <w:pStyle w:val="paragraph"/>
        <w:spacing w:before="0" w:beforeAutospacing="0" w:after="120" w:afterAutospacing="0" w:line="276" w:lineRule="auto"/>
        <w:ind w:firstLine="705"/>
        <w:jc w:val="both"/>
        <w:textAlignment w:val="baseline"/>
        <w:rPr>
          <w:rStyle w:val="normaltextrun"/>
          <w:rFonts w:ascii="Arial" w:eastAsiaTheme="minorHAnsi" w:hAnsi="Arial" w:cs="Arial"/>
          <w:sz w:val="22"/>
          <w:szCs w:val="22"/>
          <w:lang w:eastAsia="en-US"/>
        </w:rPr>
      </w:pPr>
      <w:r w:rsidRPr="00464C4C">
        <w:rPr>
          <w:rStyle w:val="normaltextrun"/>
          <w:rFonts w:ascii="Arial" w:hAnsi="Arial" w:cs="Arial"/>
          <w:sz w:val="22"/>
          <w:szCs w:val="22"/>
        </w:rPr>
        <w:t> </w:t>
      </w:r>
      <w:r w:rsidRPr="00464C4C">
        <w:rPr>
          <w:rStyle w:val="eop"/>
          <w:rFonts w:ascii="Arial" w:hAnsi="Arial" w:cs="Arial"/>
          <w:sz w:val="22"/>
          <w:szCs w:val="22"/>
        </w:rPr>
        <w:t> </w:t>
      </w:r>
      <w:r w:rsidRPr="00464C4C">
        <w:rPr>
          <w:rStyle w:val="normaltextrun"/>
          <w:rFonts w:ascii="Arial" w:hAnsi="Arial" w:cs="Arial"/>
          <w:sz w:val="22"/>
          <w:szCs w:val="22"/>
        </w:rPr>
        <w:t>El numeral 2.5</w:t>
      </w:r>
      <w:r w:rsidRPr="00464C4C">
        <w:rPr>
          <w:rStyle w:val="Refdenotaalpie"/>
          <w:rFonts w:ascii="Arial" w:eastAsiaTheme="majorEastAsia" w:hAnsi="Arial" w:cs="Arial"/>
          <w:sz w:val="22"/>
          <w:szCs w:val="22"/>
        </w:rPr>
        <w:footnoteReference w:id="10"/>
      </w:r>
      <w:r w:rsidRPr="00464C4C">
        <w:rPr>
          <w:rStyle w:val="normaltextrun"/>
          <w:rFonts w:ascii="Arial" w:hAnsi="Arial" w:cs="Arial"/>
          <w:sz w:val="22"/>
          <w:szCs w:val="22"/>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3FE5AF7B" w14:textId="7BF9FCE7" w:rsidR="00745BA5" w:rsidRPr="00464C4C" w:rsidRDefault="00745BA5" w:rsidP="00347889">
      <w:pPr>
        <w:pStyle w:val="paragraph"/>
        <w:spacing w:before="0" w:beforeAutospacing="0" w:after="120" w:afterAutospacing="0" w:line="276" w:lineRule="auto"/>
        <w:ind w:firstLine="705"/>
        <w:jc w:val="both"/>
        <w:textAlignment w:val="baseline"/>
        <w:rPr>
          <w:rStyle w:val="normaltextrun"/>
          <w:rFonts w:ascii="Arial" w:eastAsiaTheme="minorHAnsi" w:hAnsi="Arial" w:cs="Arial"/>
          <w:sz w:val="22"/>
          <w:szCs w:val="22"/>
          <w:lang w:eastAsia="en-US"/>
        </w:rPr>
      </w:pPr>
      <w:r w:rsidRPr="00464C4C">
        <w:rPr>
          <w:rStyle w:val="eop"/>
          <w:rFonts w:ascii="Arial" w:hAnsi="Arial" w:cs="Arial"/>
          <w:sz w:val="22"/>
          <w:szCs w:val="22"/>
        </w:rPr>
        <w:t> </w:t>
      </w:r>
      <w:r w:rsidRPr="00464C4C">
        <w:rPr>
          <w:rStyle w:val="normaltextrun"/>
          <w:rFonts w:ascii="Arial" w:hAnsi="Arial" w:cs="Arial"/>
          <w:sz w:val="22"/>
          <w:szCs w:val="22"/>
        </w:rPr>
        <w:t xml:space="preserve">El interesado debe indicar en cada certificado, o en cada copia de los contratos, los bienes, obras y servicios a los cuales corresponde la experiencia que pretende acreditar, identificándolos con el Clasificador de Bienes y Servicios, en el tercer nivel. Si la constitución </w:t>
      </w:r>
      <w:r w:rsidRPr="00464C4C">
        <w:rPr>
          <w:rStyle w:val="normaltextrun"/>
          <w:rFonts w:ascii="Arial" w:hAnsi="Arial" w:cs="Arial"/>
          <w:sz w:val="22"/>
          <w:szCs w:val="22"/>
        </w:rPr>
        <w:lastRenderedPageBreak/>
        <w:t>del interesado es menor a 3 años, puede acreditar la experiencia de sus accionistas, socios o constituyentes.</w:t>
      </w:r>
    </w:p>
    <w:p w14:paraId="6963ED97" w14:textId="11B8F0BD" w:rsidR="00745BA5" w:rsidRPr="00464C4C" w:rsidRDefault="00745BA5" w:rsidP="00347889">
      <w:pPr>
        <w:pStyle w:val="paragraph"/>
        <w:spacing w:before="0" w:beforeAutospacing="0" w:after="120" w:afterAutospacing="0" w:line="276" w:lineRule="auto"/>
        <w:ind w:firstLine="703"/>
        <w:jc w:val="both"/>
        <w:textAlignment w:val="baseline"/>
        <w:rPr>
          <w:rStyle w:val="normaltextrun"/>
          <w:rFonts w:ascii="Arial" w:eastAsiaTheme="minorHAnsi" w:hAnsi="Arial" w:cs="Arial"/>
          <w:sz w:val="22"/>
          <w:szCs w:val="22"/>
          <w:lang w:eastAsia="en-US"/>
        </w:rPr>
      </w:pPr>
      <w:r w:rsidRPr="00464C4C">
        <w:rPr>
          <w:rStyle w:val="eop"/>
          <w:rFonts w:ascii="Arial" w:hAnsi="Arial" w:cs="Arial"/>
          <w:sz w:val="22"/>
          <w:szCs w:val="22"/>
        </w:rPr>
        <w:t> </w:t>
      </w:r>
      <w:r w:rsidRPr="00464C4C">
        <w:rPr>
          <w:rStyle w:val="normaltextrun"/>
          <w:rFonts w:ascii="Arial" w:hAnsi="Arial" w:cs="Arial"/>
          <w:sz w:val="22"/>
          <w:szCs w:val="22"/>
        </w:rPr>
        <w:t>La parte final del numeral 2.5 del artículo citado incluye una medida diferenciada para las personas jurídicas cuya constitución sea menor a 3 años al momento del registro. Esta prerrogativa, que puede ser entendida como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16B40163" w14:textId="0B49FCD1" w:rsidR="00745BA5" w:rsidRPr="00464C4C" w:rsidRDefault="00745BA5" w:rsidP="00347889">
      <w:pPr>
        <w:pStyle w:val="paragraph"/>
        <w:spacing w:before="0" w:beforeAutospacing="0" w:after="120" w:afterAutospacing="0" w:line="276" w:lineRule="auto"/>
        <w:ind w:firstLine="705"/>
        <w:jc w:val="both"/>
        <w:textAlignment w:val="baseline"/>
        <w:rPr>
          <w:rStyle w:val="normaltextrun"/>
          <w:rFonts w:ascii="Arial" w:eastAsiaTheme="minorHAnsi" w:hAnsi="Arial" w:cs="Arial"/>
          <w:sz w:val="22"/>
          <w:szCs w:val="22"/>
          <w:lang w:eastAsia="en-US"/>
        </w:rPr>
      </w:pPr>
      <w:r w:rsidRPr="00464C4C">
        <w:rPr>
          <w:rStyle w:val="eop"/>
          <w:rFonts w:ascii="Arial" w:hAnsi="Arial" w:cs="Arial"/>
          <w:sz w:val="22"/>
          <w:szCs w:val="22"/>
        </w:rPr>
        <w:t> </w:t>
      </w:r>
      <w:r w:rsidRPr="00464C4C">
        <w:rPr>
          <w:rStyle w:val="normaltextrun"/>
          <w:rFonts w:ascii="Arial" w:hAnsi="Arial" w:cs="Arial"/>
          <w:sz w:val="22"/>
          <w:szCs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023E4673" w14:textId="4E5DD0E9" w:rsidR="00745BA5" w:rsidRPr="00464C4C" w:rsidRDefault="00745BA5" w:rsidP="00347889">
      <w:pPr>
        <w:pStyle w:val="paragraph"/>
        <w:spacing w:before="0" w:beforeAutospacing="0" w:after="120" w:afterAutospacing="0" w:line="276" w:lineRule="auto"/>
        <w:ind w:firstLine="703"/>
        <w:jc w:val="both"/>
        <w:textAlignment w:val="baseline"/>
        <w:rPr>
          <w:rFonts w:ascii="Arial" w:hAnsi="Arial" w:cs="Arial"/>
          <w:sz w:val="22"/>
          <w:szCs w:val="22"/>
        </w:rPr>
      </w:pPr>
      <w:r w:rsidRPr="00464C4C">
        <w:rPr>
          <w:rStyle w:val="eop"/>
          <w:rFonts w:ascii="Arial" w:hAnsi="Arial" w:cs="Arial"/>
          <w:sz w:val="22"/>
          <w:szCs w:val="22"/>
        </w:rPr>
        <w:t> </w:t>
      </w:r>
      <w:r w:rsidRPr="00464C4C">
        <w:rPr>
          <w:rStyle w:val="normaltextrun"/>
          <w:rFonts w:ascii="Arial" w:hAnsi="Arial" w:cs="Arial"/>
          <w:sz w:val="22"/>
          <w:szCs w:val="22"/>
        </w:rPr>
        <w:t>Este aspecto ofrece meridiana claridad en cuanto a su aplicación, pero el interrogante que ha generado la norma es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w:t>
      </w:r>
      <w:r w:rsidRPr="00464C4C">
        <w:rPr>
          <w:rStyle w:val="eop"/>
          <w:rFonts w:ascii="Arial" w:hAnsi="Arial" w:cs="Arial"/>
          <w:sz w:val="22"/>
          <w:szCs w:val="22"/>
        </w:rPr>
        <w:t> </w:t>
      </w:r>
    </w:p>
    <w:p w14:paraId="2A21619A" w14:textId="77777777" w:rsidR="00745BA5" w:rsidRPr="00464C4C" w:rsidRDefault="00745BA5" w:rsidP="00347889">
      <w:pPr>
        <w:pStyle w:val="paragraph"/>
        <w:spacing w:before="0" w:beforeAutospacing="0" w:after="120" w:afterAutospacing="0" w:line="276" w:lineRule="auto"/>
        <w:ind w:firstLine="703"/>
        <w:jc w:val="both"/>
        <w:textAlignment w:val="baseline"/>
        <w:rPr>
          <w:rStyle w:val="normaltextrun"/>
          <w:rFonts w:ascii="Arial" w:hAnsi="Arial" w:cs="Arial"/>
          <w:sz w:val="22"/>
          <w:szCs w:val="22"/>
        </w:rPr>
      </w:pPr>
      <w:r w:rsidRPr="00464C4C">
        <w:rPr>
          <w:rStyle w:val="normaltextrun"/>
          <w:rFonts w:ascii="Arial" w:hAnsi="Arial" w:cs="Arial"/>
          <w:sz w:val="22"/>
          <w:szCs w:val="22"/>
        </w:rPr>
        <w:t>Estos interrogantes han sido planteados a la Subdirección de Gestión Contractual, y se ha dado respuestas en uno y otro sentido. Así, en el concepto del 7 de febrero de 2018 se sostuvo que las personas jurídicas que hubieran sido beneficiarias de la norma podían seguir acreditando la experiencia de sus socios o accionistas, inclusive después de transcurridos 3 años desde la constitución de la sociedad, siempre que se renovara el RUP.  </w:t>
      </w:r>
    </w:p>
    <w:p w14:paraId="6052D692" w14:textId="6A10F943" w:rsidR="00745BA5" w:rsidRPr="00464C4C" w:rsidRDefault="00745BA5" w:rsidP="00347889">
      <w:pPr>
        <w:pStyle w:val="paragraph"/>
        <w:spacing w:before="0" w:beforeAutospacing="0" w:after="120" w:afterAutospacing="0" w:line="276" w:lineRule="auto"/>
        <w:ind w:firstLine="703"/>
        <w:jc w:val="both"/>
        <w:textAlignment w:val="baseline"/>
        <w:rPr>
          <w:rStyle w:val="eop"/>
          <w:rFonts w:ascii="Arial" w:eastAsiaTheme="minorHAnsi" w:hAnsi="Arial" w:cs="Arial"/>
          <w:sz w:val="22"/>
          <w:szCs w:val="22"/>
          <w:lang w:eastAsia="en-US"/>
        </w:rPr>
      </w:pPr>
      <w:r w:rsidRPr="00464C4C">
        <w:rPr>
          <w:rStyle w:val="eop"/>
          <w:rFonts w:ascii="Arial" w:hAnsi="Arial" w:cs="Arial"/>
          <w:sz w:val="22"/>
          <w:szCs w:val="22"/>
        </w:rPr>
        <w:t> </w:t>
      </w:r>
      <w:r w:rsidRPr="00464C4C">
        <w:rPr>
          <w:rStyle w:val="normaltextrun"/>
          <w:rFonts w:ascii="Arial" w:hAnsi="Arial" w:cs="Arial"/>
          <w:sz w:val="22"/>
          <w:szCs w:val="22"/>
        </w:rPr>
        <w:t>Teniendo en cuenta lo anterior, aunque la persona jurídica tenga más de tres años de constituida y haya registrado inicialmente la experiencia de sus socios en el RUP ―pues su constitución era inferior a tres años― y este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r w:rsidRPr="00464C4C">
        <w:rPr>
          <w:rStyle w:val="eop"/>
          <w:rFonts w:ascii="Arial" w:hAnsi="Arial" w:cs="Arial"/>
          <w:sz w:val="22"/>
          <w:szCs w:val="22"/>
        </w:rPr>
        <w:t> </w:t>
      </w:r>
    </w:p>
    <w:p w14:paraId="11985F9A" w14:textId="77777777" w:rsidR="00745BA5" w:rsidRPr="00464C4C" w:rsidRDefault="00745BA5" w:rsidP="00347889">
      <w:pPr>
        <w:pStyle w:val="paragraph"/>
        <w:spacing w:before="0" w:beforeAutospacing="0" w:after="120" w:afterAutospacing="0" w:line="276" w:lineRule="auto"/>
        <w:ind w:firstLine="703"/>
        <w:jc w:val="both"/>
        <w:textAlignment w:val="baseline"/>
        <w:rPr>
          <w:rStyle w:val="normaltextrun"/>
          <w:rFonts w:ascii="Arial" w:eastAsiaTheme="minorHAnsi" w:hAnsi="Arial" w:cs="Arial"/>
          <w:sz w:val="22"/>
          <w:szCs w:val="22"/>
          <w:lang w:eastAsia="en-US"/>
        </w:rPr>
      </w:pPr>
      <w:r w:rsidRPr="00464C4C">
        <w:rPr>
          <w:rStyle w:val="normaltextrun"/>
          <w:rFonts w:ascii="Arial" w:hAnsi="Arial" w:cs="Arial"/>
          <w:sz w:val="22"/>
          <w:szCs w:val="22"/>
        </w:rPr>
        <w:lastRenderedPageBreak/>
        <w:t>Posición contraria se adoptó en un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78234C8D" w14:textId="479B5DDD" w:rsidR="00745BA5" w:rsidRPr="00464C4C" w:rsidRDefault="00745BA5" w:rsidP="00347889">
      <w:pPr>
        <w:pStyle w:val="paragraph"/>
        <w:spacing w:before="0" w:beforeAutospacing="0" w:after="120" w:afterAutospacing="0" w:line="276" w:lineRule="auto"/>
        <w:ind w:firstLine="703"/>
        <w:jc w:val="both"/>
        <w:textAlignment w:val="baseline"/>
        <w:rPr>
          <w:rFonts w:ascii="Arial" w:hAnsi="Arial" w:cs="Arial"/>
          <w:sz w:val="22"/>
          <w:szCs w:val="22"/>
        </w:rPr>
      </w:pPr>
      <w:r w:rsidRPr="00464C4C">
        <w:rPr>
          <w:rStyle w:val="eop"/>
          <w:rFonts w:ascii="Arial" w:hAnsi="Arial" w:cs="Arial"/>
          <w:sz w:val="22"/>
          <w:szCs w:val="22"/>
        </w:rPr>
        <w:t> </w:t>
      </w:r>
      <w:r w:rsidRPr="00464C4C">
        <w:rPr>
          <w:rStyle w:val="normaltextrun"/>
          <w:rFonts w:ascii="Arial" w:hAnsi="Arial" w:cs="Arial"/>
          <w:sz w:val="22"/>
          <w:szCs w:val="22"/>
        </w:rPr>
        <w:t>i) La posición de Colombia Compra Eficiente respecto a la validez de la experiencia de los accionistas, socios o constituyentes, acreditada en el RUP por una sociedad nueva, cuando está ya superó los 3 años de constituida, ha variado</w:t>
      </w:r>
      <w:r w:rsidR="00BD4057" w:rsidRPr="00464C4C">
        <w:rPr>
          <w:rStyle w:val="normaltextrun"/>
          <w:rFonts w:ascii="Arial" w:hAnsi="Arial" w:cs="Arial"/>
          <w:sz w:val="22"/>
          <w:szCs w:val="22"/>
        </w:rPr>
        <w:t>.</w:t>
      </w:r>
    </w:p>
    <w:p w14:paraId="7D3CC211" w14:textId="77777777" w:rsidR="00745BA5" w:rsidRPr="00464C4C" w:rsidRDefault="00745BA5" w:rsidP="00347889">
      <w:pPr>
        <w:pStyle w:val="paragraph"/>
        <w:spacing w:before="0" w:beforeAutospacing="0" w:after="120" w:afterAutospacing="0" w:line="276" w:lineRule="auto"/>
        <w:ind w:firstLine="703"/>
        <w:jc w:val="both"/>
        <w:textAlignment w:val="baseline"/>
        <w:rPr>
          <w:rStyle w:val="normaltextrun"/>
          <w:rFonts w:ascii="Arial" w:hAnsi="Arial" w:cs="Arial"/>
          <w:sz w:val="22"/>
          <w:szCs w:val="22"/>
        </w:rPr>
      </w:pPr>
      <w:r w:rsidRPr="00464C4C">
        <w:rPr>
          <w:rStyle w:val="normaltextrun"/>
          <w:rFonts w:ascii="Arial" w:hAnsi="Arial" w:cs="Arial"/>
          <w:sz w:val="22"/>
          <w:szCs w:val="22"/>
        </w:rPr>
        <w:t>ii) El Decreto 1082 de 2015 establece que, para la inscripción en el RUP de una persona jurídica, si su constitución es menor a 3 años, puede acreditar la experiencia de sus accionistas, socios o constituyentes. </w:t>
      </w:r>
    </w:p>
    <w:p w14:paraId="2CC245A0" w14:textId="11932770" w:rsidR="00745BA5" w:rsidRPr="00464C4C" w:rsidRDefault="00745BA5" w:rsidP="00347889">
      <w:pPr>
        <w:pStyle w:val="paragraph"/>
        <w:spacing w:before="0" w:beforeAutospacing="0" w:after="120" w:afterAutospacing="0" w:line="276" w:lineRule="auto"/>
        <w:ind w:firstLine="703"/>
        <w:jc w:val="both"/>
        <w:textAlignment w:val="baseline"/>
        <w:rPr>
          <w:rStyle w:val="normaltextrun"/>
          <w:rFonts w:ascii="Arial" w:eastAsiaTheme="minorHAnsi" w:hAnsi="Arial" w:cs="Arial"/>
          <w:sz w:val="22"/>
          <w:szCs w:val="22"/>
          <w:lang w:eastAsia="en-US"/>
        </w:rPr>
      </w:pPr>
      <w:r w:rsidRPr="00464C4C">
        <w:rPr>
          <w:rStyle w:val="eop"/>
          <w:rFonts w:ascii="Arial" w:hAnsi="Arial" w:cs="Arial"/>
          <w:sz w:val="22"/>
          <w:szCs w:val="22"/>
        </w:rPr>
        <w:t> </w:t>
      </w:r>
      <w:r w:rsidRPr="00464C4C">
        <w:rPr>
          <w:rStyle w:val="normaltextrun"/>
          <w:rFonts w:ascii="Arial" w:hAnsi="Arial" w:cs="Arial"/>
          <w:sz w:val="22"/>
          <w:szCs w:val="22"/>
        </w:rPr>
        <w:t>iii)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w:t>
      </w:r>
    </w:p>
    <w:p w14:paraId="77C8B2A7" w14:textId="78053400" w:rsidR="00745BA5" w:rsidRPr="00464C4C" w:rsidRDefault="00745BA5" w:rsidP="00347889">
      <w:pPr>
        <w:pStyle w:val="paragraph"/>
        <w:spacing w:before="0" w:beforeAutospacing="0" w:after="120" w:afterAutospacing="0" w:line="276" w:lineRule="auto"/>
        <w:ind w:firstLine="703"/>
        <w:jc w:val="both"/>
        <w:textAlignment w:val="baseline"/>
        <w:rPr>
          <w:rStyle w:val="normaltextrun"/>
          <w:rFonts w:ascii="Arial" w:eastAsiaTheme="minorHAnsi" w:hAnsi="Arial" w:cs="Arial"/>
          <w:sz w:val="22"/>
          <w:szCs w:val="22"/>
          <w:lang w:eastAsia="en-US"/>
        </w:rPr>
      </w:pPr>
      <w:r w:rsidRPr="00464C4C">
        <w:rPr>
          <w:rStyle w:val="normaltextrun"/>
          <w:rFonts w:ascii="Arial" w:hAnsi="Arial" w:cs="Arial"/>
          <w:sz w:val="22"/>
          <w:szCs w:val="22"/>
        </w:rPr>
        <w:t> </w:t>
      </w:r>
      <w:r w:rsidRPr="00464C4C">
        <w:rPr>
          <w:rStyle w:val="eop"/>
          <w:rFonts w:ascii="Arial" w:hAnsi="Arial" w:cs="Arial"/>
          <w:sz w:val="22"/>
          <w:szCs w:val="22"/>
        </w:rPr>
        <w:t> </w:t>
      </w:r>
      <w:r w:rsidRPr="00464C4C">
        <w:rPr>
          <w:rStyle w:val="normaltextrun"/>
          <w:rFonts w:ascii="Arial" w:hAnsi="Arial" w:cs="Arial"/>
          <w:sz w:val="22"/>
          <w:szCs w:val="22"/>
        </w:rPr>
        <w:t>iv)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2458BBE5" w14:textId="0612824F" w:rsidR="00745BA5" w:rsidRPr="00464C4C" w:rsidRDefault="00745BA5" w:rsidP="00347889">
      <w:pPr>
        <w:pStyle w:val="paragraph"/>
        <w:spacing w:before="0" w:beforeAutospacing="0" w:after="120" w:afterAutospacing="0" w:line="276" w:lineRule="auto"/>
        <w:ind w:firstLine="703"/>
        <w:jc w:val="both"/>
        <w:textAlignment w:val="baseline"/>
        <w:rPr>
          <w:rStyle w:val="normaltextrun"/>
          <w:rFonts w:ascii="Arial" w:eastAsiaTheme="minorHAnsi" w:hAnsi="Arial" w:cs="Arial"/>
          <w:sz w:val="22"/>
          <w:szCs w:val="22"/>
          <w:lang w:eastAsia="en-US"/>
        </w:rPr>
      </w:pPr>
      <w:r w:rsidRPr="00464C4C">
        <w:rPr>
          <w:rStyle w:val="eop"/>
          <w:rFonts w:ascii="Arial" w:hAnsi="Arial" w:cs="Arial"/>
          <w:sz w:val="22"/>
          <w:szCs w:val="22"/>
        </w:rPr>
        <w:t> </w:t>
      </w:r>
      <w:r w:rsidRPr="00464C4C">
        <w:rPr>
          <w:rStyle w:val="normaltextrun"/>
          <w:rFonts w:ascii="Arial" w:hAnsi="Arial" w:cs="Arial"/>
          <w:sz w:val="22"/>
          <w:szCs w:val="22"/>
        </w:rPr>
        <w:t>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0827C64E" w14:textId="1A2CFF48" w:rsidR="00745BA5" w:rsidRPr="00464C4C" w:rsidRDefault="00745BA5" w:rsidP="00347889">
      <w:pPr>
        <w:pStyle w:val="paragraph"/>
        <w:spacing w:before="0" w:beforeAutospacing="0" w:after="120" w:afterAutospacing="0" w:line="276" w:lineRule="auto"/>
        <w:ind w:firstLine="705"/>
        <w:jc w:val="both"/>
        <w:textAlignment w:val="baseline"/>
        <w:rPr>
          <w:rStyle w:val="normaltextrun"/>
          <w:rFonts w:ascii="Arial" w:eastAsiaTheme="minorHAnsi" w:hAnsi="Arial" w:cs="Arial"/>
          <w:sz w:val="22"/>
          <w:szCs w:val="22"/>
          <w:lang w:eastAsia="en-US"/>
        </w:rPr>
      </w:pPr>
      <w:r w:rsidRPr="00464C4C">
        <w:rPr>
          <w:rStyle w:val="eop"/>
          <w:rFonts w:ascii="Arial" w:hAnsi="Arial" w:cs="Arial"/>
          <w:sz w:val="22"/>
          <w:szCs w:val="22"/>
        </w:rPr>
        <w:t> </w:t>
      </w:r>
      <w:r w:rsidRPr="00464C4C">
        <w:rPr>
          <w:rStyle w:val="normaltextrun"/>
          <w:rFonts w:ascii="Arial" w:hAnsi="Arial" w:cs="Arial"/>
          <w:sz w:val="22"/>
          <w:szCs w:val="22"/>
        </w:rPr>
        <w:t>Ante esta disparidad de criterios, la Subdirección de Gestión Contractual estimó necesario recoger estos pronunciamientos y unificar la posición en el concepto con radicado No. 4201913000006797 del 19 de noviembre de 2019, en torno a la posibilidad de que las sociedades nuevas puedan seguir acreditando la experiencia de sus socios, accionistas o constituyentes, incluso después de cumplidos 3 años de constitución de la persona jurídica. </w:t>
      </w:r>
    </w:p>
    <w:p w14:paraId="0E0042CF" w14:textId="6C4BABB6" w:rsidR="00745BA5" w:rsidRPr="00464C4C" w:rsidRDefault="00745BA5" w:rsidP="00347889">
      <w:pPr>
        <w:pStyle w:val="paragraph"/>
        <w:spacing w:before="0" w:beforeAutospacing="0" w:after="120" w:afterAutospacing="0" w:line="276" w:lineRule="auto"/>
        <w:ind w:firstLine="705"/>
        <w:jc w:val="both"/>
        <w:textAlignment w:val="baseline"/>
        <w:rPr>
          <w:rStyle w:val="eop"/>
          <w:rFonts w:ascii="Arial" w:eastAsiaTheme="minorHAnsi" w:hAnsi="Arial" w:cs="Arial"/>
          <w:sz w:val="22"/>
          <w:szCs w:val="22"/>
          <w:lang w:eastAsia="en-US"/>
        </w:rPr>
      </w:pPr>
      <w:r w:rsidRPr="00464C4C">
        <w:rPr>
          <w:rStyle w:val="eop"/>
          <w:rFonts w:ascii="Arial" w:hAnsi="Arial" w:cs="Arial"/>
          <w:sz w:val="22"/>
          <w:szCs w:val="22"/>
        </w:rPr>
        <w:t> </w:t>
      </w:r>
      <w:r w:rsidRPr="00464C4C">
        <w:rPr>
          <w:rStyle w:val="normaltextrun"/>
          <w:rFonts w:ascii="Arial" w:hAnsi="Arial" w:cs="Arial"/>
          <w:sz w:val="22"/>
          <w:szCs w:val="22"/>
        </w:rPr>
        <w:t xml:space="preserve">El criterio que se adoptó fue que la experiencia de los socios, accionistas o constituyentes, para las sociedades que al momento de inscribirse en el RUP tenían menos de 3 años de constituidas, puede seguir siendo acreditada por la persona jurídica después de transcurridos los 3 años del acto de constitución. Esta posición había sido reiterada por esta Subdirección en pronunciamientos posteriores a la acogida en el concepto del 3 de </w:t>
      </w:r>
      <w:r w:rsidRPr="00464C4C">
        <w:rPr>
          <w:rStyle w:val="normaltextrun"/>
          <w:rFonts w:ascii="Arial" w:hAnsi="Arial" w:cs="Arial"/>
          <w:sz w:val="22"/>
          <w:szCs w:val="22"/>
        </w:rPr>
        <w:lastRenderedPageBreak/>
        <w:t>abril de 2018 antes citado y previos a la postura definida en el concepto del 19 de noviembre de 2019</w:t>
      </w:r>
      <w:r w:rsidRPr="00464C4C">
        <w:rPr>
          <w:rStyle w:val="Refdenotaalpie"/>
          <w:rFonts w:ascii="Arial" w:eastAsiaTheme="majorEastAsia" w:hAnsi="Arial" w:cs="Arial"/>
          <w:sz w:val="22"/>
          <w:szCs w:val="22"/>
        </w:rPr>
        <w:footnoteReference w:id="11"/>
      </w:r>
      <w:r w:rsidRPr="00464C4C">
        <w:rPr>
          <w:rStyle w:val="normaltextrun"/>
          <w:rFonts w:ascii="Arial" w:hAnsi="Arial" w:cs="Arial"/>
          <w:sz w:val="22"/>
          <w:szCs w:val="22"/>
        </w:rPr>
        <w:t>. </w:t>
      </w:r>
      <w:r w:rsidRPr="00464C4C">
        <w:rPr>
          <w:rStyle w:val="eop"/>
          <w:rFonts w:ascii="Arial" w:hAnsi="Arial" w:cs="Arial"/>
          <w:sz w:val="22"/>
          <w:szCs w:val="22"/>
        </w:rPr>
        <w:t> </w:t>
      </w:r>
    </w:p>
    <w:p w14:paraId="6690CE23" w14:textId="77777777" w:rsidR="00745BA5" w:rsidRPr="00464C4C" w:rsidRDefault="00745BA5" w:rsidP="00347889">
      <w:pPr>
        <w:pStyle w:val="paragraph"/>
        <w:spacing w:before="0" w:beforeAutospacing="0" w:after="120" w:afterAutospacing="0" w:line="276" w:lineRule="auto"/>
        <w:ind w:firstLine="705"/>
        <w:jc w:val="both"/>
        <w:textAlignment w:val="baseline"/>
        <w:rPr>
          <w:rStyle w:val="normaltextrun"/>
          <w:rFonts w:ascii="Arial" w:eastAsiaTheme="minorHAnsi" w:hAnsi="Arial" w:cs="Arial"/>
          <w:sz w:val="22"/>
          <w:szCs w:val="22"/>
          <w:lang w:eastAsia="en-US"/>
        </w:rPr>
      </w:pPr>
      <w:r w:rsidRPr="00464C4C">
        <w:rPr>
          <w:rStyle w:val="normaltextrun"/>
          <w:rFonts w:ascii="Arial" w:hAnsi="Arial" w:cs="Arial"/>
          <w:sz w:val="22"/>
          <w:szCs w:val="22"/>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464C4C">
        <w:rPr>
          <w:rStyle w:val="Refdenotaalpie"/>
          <w:rFonts w:ascii="Arial" w:eastAsiaTheme="majorEastAsia" w:hAnsi="Arial" w:cs="Arial"/>
          <w:sz w:val="22"/>
          <w:szCs w:val="22"/>
        </w:rPr>
        <w:footnoteReference w:id="12"/>
      </w:r>
      <w:r w:rsidRPr="00464C4C">
        <w:rPr>
          <w:rStyle w:val="normaltextrun"/>
          <w:rFonts w:ascii="Arial" w:hAnsi="Arial" w:cs="Arial"/>
          <w:sz w:val="22"/>
          <w:szCs w:val="22"/>
        </w:rPr>
        <w:t>. En la actualidad, las cámaras de comercio solo pueden eliminar la experiencia registrada en el RUP a solicitud del proponente, por tanto, les corresponde a las personas jurídicas mantener su RUP actualizado y a las entidades estatales verificar el RUP para efectos de evaluar la experiencia. </w:t>
      </w:r>
    </w:p>
    <w:p w14:paraId="4279CA58" w14:textId="1EC18A7E" w:rsidR="00745BA5" w:rsidRPr="00464C4C" w:rsidRDefault="00745BA5" w:rsidP="00347889">
      <w:pPr>
        <w:pStyle w:val="paragraph"/>
        <w:spacing w:before="0" w:beforeAutospacing="0" w:after="120" w:afterAutospacing="0" w:line="276" w:lineRule="auto"/>
        <w:ind w:firstLine="705"/>
        <w:jc w:val="both"/>
        <w:textAlignment w:val="baseline"/>
        <w:rPr>
          <w:rStyle w:val="normaltextrun"/>
          <w:rFonts w:ascii="Arial" w:eastAsiaTheme="minorHAnsi" w:hAnsi="Arial" w:cs="Arial"/>
          <w:sz w:val="22"/>
          <w:szCs w:val="22"/>
          <w:lang w:eastAsia="en-US"/>
        </w:rPr>
      </w:pPr>
      <w:r w:rsidRPr="00464C4C">
        <w:rPr>
          <w:rStyle w:val="eop"/>
          <w:rFonts w:ascii="Arial" w:hAnsi="Arial" w:cs="Arial"/>
          <w:sz w:val="22"/>
          <w:szCs w:val="22"/>
        </w:rPr>
        <w:t> </w:t>
      </w:r>
      <w:r w:rsidRPr="00464C4C">
        <w:rPr>
          <w:rStyle w:val="normaltextrun"/>
          <w:rFonts w:ascii="Arial" w:hAnsi="Arial" w:cs="Arial"/>
          <w:sz w:val="22"/>
          <w:szCs w:val="22"/>
        </w:rPr>
        <w:t>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665B04E9" w14:textId="0D49C245" w:rsidR="00745BA5" w:rsidRPr="00464C4C" w:rsidRDefault="00745BA5" w:rsidP="00347889">
      <w:pPr>
        <w:pStyle w:val="paragraph"/>
        <w:spacing w:before="0" w:beforeAutospacing="0" w:after="120" w:afterAutospacing="0" w:line="276" w:lineRule="auto"/>
        <w:ind w:firstLine="709"/>
        <w:jc w:val="both"/>
        <w:textAlignment w:val="baseline"/>
        <w:rPr>
          <w:rFonts w:ascii="Arial" w:hAnsi="Arial" w:cs="Arial"/>
          <w:i/>
          <w:iCs/>
          <w:sz w:val="22"/>
          <w:szCs w:val="22"/>
        </w:rPr>
      </w:pPr>
      <w:r w:rsidRPr="00464C4C">
        <w:rPr>
          <w:rStyle w:val="normaltextrun"/>
          <w:rFonts w:ascii="Arial" w:hAnsi="Arial" w:cs="Arial"/>
          <w:sz w:val="22"/>
          <w:szCs w:val="22"/>
        </w:rPr>
        <w:t> </w:t>
      </w:r>
      <w:r w:rsidRPr="00464C4C">
        <w:rPr>
          <w:rStyle w:val="eop"/>
          <w:rFonts w:ascii="Arial" w:hAnsi="Arial" w:cs="Arial"/>
          <w:sz w:val="22"/>
          <w:szCs w:val="22"/>
        </w:rPr>
        <w:t> </w:t>
      </w:r>
      <w:r w:rsidRPr="00464C4C">
        <w:rPr>
          <w:rStyle w:val="normaltextrun"/>
          <w:rFonts w:ascii="Arial" w:hAnsi="Arial" w:cs="Arial"/>
          <w:sz w:val="22"/>
          <w:szCs w:val="22"/>
        </w:rPr>
        <w:t>Lo anterior, tiene fundamento en la Circular Única de la Superintendencia de Industria y Comercio, en el numeral 4.2, sobre el procedimiento para llevar el registro único de proponentes, que establece:  </w:t>
      </w:r>
      <w:r w:rsidRPr="00464C4C">
        <w:rPr>
          <w:rStyle w:val="normaltextrun"/>
          <w:rFonts w:ascii="Arial" w:hAnsi="Arial" w:cs="Arial"/>
          <w:i/>
          <w:iCs/>
          <w:sz w:val="22"/>
          <w:szCs w:val="22"/>
        </w:rPr>
        <w:t>“4.2.5.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r w:rsidRPr="00464C4C">
        <w:rPr>
          <w:rStyle w:val="eop"/>
          <w:rFonts w:ascii="Arial" w:hAnsi="Arial" w:cs="Arial"/>
          <w:i/>
          <w:iCs/>
          <w:sz w:val="22"/>
          <w:szCs w:val="22"/>
        </w:rPr>
        <w:t> </w:t>
      </w:r>
    </w:p>
    <w:p w14:paraId="1E353C22" w14:textId="77777777" w:rsidR="00745BA5" w:rsidRPr="00464C4C" w:rsidRDefault="00745BA5" w:rsidP="00347889">
      <w:pPr>
        <w:pStyle w:val="paragraph"/>
        <w:spacing w:before="0" w:beforeAutospacing="0" w:after="120" w:afterAutospacing="0" w:line="276" w:lineRule="auto"/>
        <w:ind w:firstLine="709"/>
        <w:jc w:val="both"/>
        <w:textAlignment w:val="baseline"/>
        <w:rPr>
          <w:rStyle w:val="eop"/>
          <w:rFonts w:ascii="Arial" w:eastAsiaTheme="minorHAnsi" w:hAnsi="Arial" w:cs="Arial"/>
          <w:sz w:val="22"/>
          <w:szCs w:val="22"/>
          <w:lang w:eastAsia="en-US"/>
        </w:rPr>
      </w:pPr>
      <w:r w:rsidRPr="00464C4C">
        <w:rPr>
          <w:rStyle w:val="normaltextrun"/>
          <w:rFonts w:ascii="Arial" w:hAnsi="Arial" w:cs="Arial"/>
          <w:sz w:val="22"/>
          <w:szCs w:val="22"/>
        </w:rPr>
        <w:t>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w:t>
      </w:r>
      <w:r w:rsidRPr="00464C4C">
        <w:rPr>
          <w:rStyle w:val="eop"/>
          <w:rFonts w:ascii="Arial" w:hAnsi="Arial" w:cs="Arial"/>
          <w:sz w:val="22"/>
          <w:szCs w:val="22"/>
        </w:rPr>
        <w:t> </w:t>
      </w:r>
    </w:p>
    <w:p w14:paraId="62B17A13" w14:textId="77777777" w:rsidR="00745BA5" w:rsidRPr="00464C4C" w:rsidRDefault="00745BA5" w:rsidP="00347889">
      <w:pPr>
        <w:pStyle w:val="paragraph"/>
        <w:spacing w:before="0" w:beforeAutospacing="0" w:after="120" w:afterAutospacing="0" w:line="276" w:lineRule="auto"/>
        <w:ind w:firstLine="709"/>
        <w:jc w:val="both"/>
        <w:textAlignment w:val="baseline"/>
        <w:rPr>
          <w:rStyle w:val="normaltextrun"/>
          <w:rFonts w:ascii="Arial" w:eastAsiaTheme="minorHAnsi" w:hAnsi="Arial" w:cs="Arial"/>
          <w:sz w:val="22"/>
          <w:szCs w:val="22"/>
          <w:lang w:eastAsia="en-US"/>
        </w:rPr>
      </w:pPr>
      <w:r w:rsidRPr="00464C4C">
        <w:rPr>
          <w:rStyle w:val="normaltextrun"/>
          <w:rFonts w:ascii="Arial" w:hAnsi="Arial" w:cs="Arial"/>
          <w:sz w:val="22"/>
          <w:szCs w:val="22"/>
        </w:rPr>
        <w:lastRenderedPageBreak/>
        <w:t>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14:paraId="534889EE" w14:textId="525736E5" w:rsidR="00745BA5" w:rsidRPr="00464C4C" w:rsidRDefault="00745BA5" w:rsidP="00347889">
      <w:pPr>
        <w:pStyle w:val="paragraph"/>
        <w:spacing w:before="0" w:beforeAutospacing="0" w:after="120" w:afterAutospacing="0" w:line="276" w:lineRule="auto"/>
        <w:ind w:firstLine="709"/>
        <w:jc w:val="both"/>
        <w:textAlignment w:val="baseline"/>
        <w:rPr>
          <w:rStyle w:val="normaltextrun"/>
          <w:rFonts w:ascii="Arial" w:eastAsiaTheme="minorHAnsi" w:hAnsi="Arial" w:cs="Arial"/>
          <w:sz w:val="22"/>
          <w:szCs w:val="22"/>
          <w:lang w:eastAsia="en-US"/>
        </w:rPr>
      </w:pPr>
      <w:r w:rsidRPr="00464C4C">
        <w:rPr>
          <w:rStyle w:val="eop"/>
          <w:rFonts w:ascii="Arial" w:hAnsi="Arial" w:cs="Arial"/>
          <w:sz w:val="22"/>
          <w:szCs w:val="22"/>
        </w:rPr>
        <w:t> </w:t>
      </w:r>
      <w:r w:rsidRPr="00464C4C">
        <w:rPr>
          <w:rStyle w:val="normaltextrun"/>
          <w:rFonts w:ascii="Arial" w:hAnsi="Arial" w:cs="Arial"/>
          <w:sz w:val="22"/>
          <w:szCs w:val="22"/>
        </w:rPr>
        <w:t>En línea con lo anterior, el numeral 2.5. del artículo 2.2.1.1.1.5.2 del Decreto 1082 de 2015 consagra, como se dijo, una prerrogativa para las sociedades nuevas, que busca fomentar la competencia de las mismas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w:t>
      </w:r>
    </w:p>
    <w:p w14:paraId="5854960A" w14:textId="14F9A821" w:rsidR="00745BA5" w:rsidRPr="00464C4C" w:rsidRDefault="00745BA5" w:rsidP="00347889">
      <w:pPr>
        <w:pStyle w:val="paragraph"/>
        <w:spacing w:before="0" w:beforeAutospacing="0" w:after="120" w:afterAutospacing="0" w:line="276" w:lineRule="auto"/>
        <w:ind w:firstLine="703"/>
        <w:jc w:val="both"/>
        <w:textAlignment w:val="baseline"/>
        <w:rPr>
          <w:rStyle w:val="normaltextrun"/>
          <w:rFonts w:ascii="Arial" w:eastAsiaTheme="minorHAnsi" w:hAnsi="Arial" w:cs="Arial"/>
          <w:sz w:val="22"/>
          <w:szCs w:val="22"/>
          <w:lang w:eastAsia="en-US"/>
        </w:rPr>
      </w:pPr>
      <w:r w:rsidRPr="00464C4C">
        <w:rPr>
          <w:rStyle w:val="normaltextrun"/>
          <w:rFonts w:ascii="Arial" w:hAnsi="Arial" w:cs="Arial"/>
          <w:sz w:val="22"/>
          <w:szCs w:val="22"/>
        </w:rPr>
        <w:t> </w:t>
      </w:r>
      <w:r w:rsidRPr="00464C4C">
        <w:rPr>
          <w:rStyle w:val="eop"/>
          <w:rFonts w:ascii="Arial" w:hAnsi="Arial" w:cs="Arial"/>
          <w:sz w:val="22"/>
          <w:szCs w:val="22"/>
        </w:rPr>
        <w:t> </w:t>
      </w:r>
      <w:r w:rsidRPr="00464C4C">
        <w:rPr>
          <w:rStyle w:val="normaltextrun"/>
          <w:rFonts w:ascii="Arial" w:hAnsi="Arial" w:cs="Arial"/>
          <w:sz w:val="22"/>
          <w:szCs w:val="22"/>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5C931DD1" w14:textId="6648F88B" w:rsidR="00745BA5" w:rsidRPr="00464C4C" w:rsidRDefault="00745BA5" w:rsidP="00347889">
      <w:pPr>
        <w:pStyle w:val="paragraph"/>
        <w:spacing w:before="0" w:beforeAutospacing="0" w:after="120" w:afterAutospacing="0" w:line="276" w:lineRule="auto"/>
        <w:ind w:firstLine="703"/>
        <w:jc w:val="both"/>
        <w:textAlignment w:val="baseline"/>
        <w:rPr>
          <w:rStyle w:val="eop"/>
          <w:rFonts w:ascii="Arial" w:eastAsiaTheme="minorHAnsi" w:hAnsi="Arial" w:cs="Arial"/>
          <w:sz w:val="22"/>
          <w:szCs w:val="22"/>
          <w:lang w:eastAsia="en-US"/>
        </w:rPr>
      </w:pPr>
      <w:r w:rsidRPr="00464C4C">
        <w:rPr>
          <w:rStyle w:val="eop"/>
          <w:rFonts w:ascii="Arial" w:hAnsi="Arial" w:cs="Arial"/>
          <w:sz w:val="22"/>
          <w:szCs w:val="22"/>
        </w:rPr>
        <w:t> </w:t>
      </w:r>
      <w:r w:rsidRPr="00464C4C">
        <w:rPr>
          <w:rStyle w:val="normaltextrun"/>
          <w:rFonts w:ascii="Arial" w:hAnsi="Arial" w:cs="Arial"/>
          <w:sz w:val="22"/>
          <w:szCs w:val="22"/>
          <w:lang w:val="es-ES"/>
        </w:rPr>
        <w:t>  </w:t>
      </w:r>
      <w:r w:rsidRPr="00464C4C">
        <w:rPr>
          <w:rStyle w:val="eop"/>
          <w:rFonts w:ascii="Arial" w:hAnsi="Arial" w:cs="Arial"/>
          <w:sz w:val="22"/>
          <w:szCs w:val="22"/>
        </w:rPr>
        <w:t> </w:t>
      </w:r>
      <w:r w:rsidRPr="00464C4C">
        <w:rPr>
          <w:rStyle w:val="normaltextrun"/>
          <w:rFonts w:ascii="Arial" w:hAnsi="Arial" w:cs="Arial"/>
          <w:sz w:val="22"/>
          <w:szCs w:val="22"/>
          <w:lang w:val="es-ES"/>
        </w:rPr>
        <w:t>Lo anterior implica que, una vez en firme la inscripción, actualización o renovación en el marco del cual una sociedad con menos de tres años de constitución presenta certificados de experiencia adquirida por sus socios o constituyentes, de acuerdo con el numeral 2.5 del artículo 2.2.1.1.1.5.2 del Decreto 1082 de 2015, dicha experiencia queda consolidada en el RUP de la persona jurídica quien por el efecto de la prerrogativa podrá acreditar esa experiencia como propia, mientras no cesen los efectos del RUP por su no renovación. De esta manera la experiencia inscrita de acuerdo con la referida prerrogativa podrá ser acreditada en procesos de selección mediante el respectivo RUP, con efectos de plena prueba de las circunstancias de las que en el constan. </w:t>
      </w:r>
      <w:r w:rsidRPr="00464C4C">
        <w:rPr>
          <w:rStyle w:val="eop"/>
          <w:rFonts w:ascii="Arial" w:hAnsi="Arial" w:cs="Arial"/>
          <w:sz w:val="22"/>
          <w:szCs w:val="22"/>
        </w:rPr>
        <w:t>  </w:t>
      </w:r>
    </w:p>
    <w:p w14:paraId="3154AA2E" w14:textId="77777777" w:rsidR="005A7589" w:rsidRPr="00464C4C" w:rsidRDefault="005A7589" w:rsidP="00347889">
      <w:pPr>
        <w:spacing w:after="120" w:line="276" w:lineRule="auto"/>
        <w:ind w:firstLine="708"/>
        <w:jc w:val="both"/>
        <w:rPr>
          <w:rFonts w:ascii="Arial" w:hAnsi="Arial" w:cs="Arial"/>
          <w:lang w:val="es-MX"/>
        </w:rPr>
      </w:pPr>
      <w:r w:rsidRPr="00464C4C">
        <w:rPr>
          <w:rFonts w:ascii="Arial" w:hAnsi="Arial" w:cs="Arial"/>
          <w:lang w:val="es-MX"/>
        </w:rPr>
        <w:t xml:space="preserve">Sin perjuicio de lo anterior, no debe perderse de vista que el Decreto 1082 de 2015 solo permite que una sociedad acredite la experiencia de quienes tienen la calidad de accionistas, socios o constituyentes durante los primeros tres años de su constitución. Por tanto, si se pierden estas calidades, como sucedería cuando un socio se retira por venta o cesión de su participación y pierde su calidad de socio, ya no sería posible que la sociedad acredite la experiencia aportada por dicha persona. </w:t>
      </w:r>
    </w:p>
    <w:p w14:paraId="18117324" w14:textId="77777777" w:rsidR="005A7589" w:rsidRPr="00464C4C" w:rsidRDefault="005A7589" w:rsidP="00347889">
      <w:pPr>
        <w:spacing w:after="120" w:line="276" w:lineRule="auto"/>
        <w:ind w:firstLine="708"/>
        <w:jc w:val="both"/>
        <w:rPr>
          <w:rFonts w:ascii="Arial" w:hAnsi="Arial" w:cs="Arial"/>
          <w:lang w:val="es-MX"/>
        </w:rPr>
      </w:pPr>
      <w:r w:rsidRPr="00464C4C">
        <w:rPr>
          <w:rFonts w:ascii="Arial" w:hAnsi="Arial" w:cs="Arial"/>
          <w:lang w:val="es-MX"/>
        </w:rPr>
        <w:t xml:space="preserve">Esta interpretación además se impone en atención al fin de evitar prácticas corruptas o que atenten contra la transparencia en la contratación estatal, por lo que la experiencia aportada por quien se retira no deberá ser tenida en cuenta por las entidades estatales, y no debería ser utilizada por el proponente en procesos de contratación, ya que es inherente a la persona que la ha obtenido. En ese sentido si el socio se retira de la sociedad por venta </w:t>
      </w:r>
      <w:r w:rsidRPr="00464C4C">
        <w:rPr>
          <w:rFonts w:ascii="Arial" w:hAnsi="Arial" w:cs="Arial"/>
          <w:lang w:val="es-MX"/>
        </w:rPr>
        <w:lastRenderedPageBreak/>
        <w:t>o cesión de su participación accionaria, no puede vender o ceder su experiencia para que el adquirente o cesionario de la participación accionaria la aporte a la sociedad.  En consecuencia, el proponente debería actualizar la experiencia en el RUP, actuando de buena fe en el proceso de contratación.</w:t>
      </w:r>
    </w:p>
    <w:p w14:paraId="6ED9E3E7" w14:textId="77777777" w:rsidR="002F5E25" w:rsidRPr="00464C4C" w:rsidRDefault="002F5E25" w:rsidP="002F5E25">
      <w:pPr>
        <w:pStyle w:val="paragraph"/>
        <w:spacing w:before="0" w:beforeAutospacing="0" w:after="0" w:afterAutospacing="0"/>
        <w:ind w:firstLine="705"/>
        <w:jc w:val="both"/>
        <w:textAlignment w:val="baseline"/>
        <w:rPr>
          <w:rFonts w:ascii="Arial" w:hAnsi="Arial" w:cs="Arial"/>
          <w:sz w:val="22"/>
          <w:szCs w:val="22"/>
        </w:rPr>
      </w:pPr>
    </w:p>
    <w:p w14:paraId="7AEF4D6D" w14:textId="5A835E7B" w:rsidR="00745BA5" w:rsidRPr="00464C4C" w:rsidRDefault="00745BA5" w:rsidP="00745BA5">
      <w:pPr>
        <w:jc w:val="both"/>
        <w:rPr>
          <w:rFonts w:ascii="Arial" w:eastAsia="Calibri" w:hAnsi="Arial" w:cs="Arial"/>
          <w:b/>
          <w:bCs/>
          <w:lang w:val="es-ES"/>
        </w:rPr>
      </w:pPr>
      <w:r w:rsidRPr="00464C4C">
        <w:rPr>
          <w:rFonts w:ascii="Arial" w:eastAsia="Calibri" w:hAnsi="Arial" w:cs="Arial"/>
          <w:b/>
          <w:bCs/>
          <w:lang w:val="es-ES"/>
        </w:rPr>
        <w:t>3. Respuesta</w:t>
      </w:r>
    </w:p>
    <w:p w14:paraId="5B61A651" w14:textId="77777777" w:rsidR="00295779" w:rsidRPr="00464C4C" w:rsidRDefault="00295779" w:rsidP="00295779">
      <w:pPr>
        <w:spacing w:after="0" w:line="240" w:lineRule="auto"/>
        <w:ind w:left="709" w:right="709"/>
        <w:jc w:val="both"/>
        <w:rPr>
          <w:rFonts w:ascii="Arial" w:eastAsia="Arial" w:hAnsi="Arial" w:cs="Arial"/>
          <w:sz w:val="20"/>
          <w:szCs w:val="20"/>
          <w:lang w:val="es"/>
        </w:rPr>
      </w:pPr>
      <w:r w:rsidRPr="00464C4C">
        <w:rPr>
          <w:rFonts w:ascii="Arial" w:eastAsia="Arial" w:hAnsi="Arial" w:cs="Arial"/>
          <w:sz w:val="20"/>
          <w:szCs w:val="20"/>
          <w:lang w:val="es"/>
        </w:rPr>
        <w:t>“[…] 1. ¿Es posible que la entidad recién constituida, la cual fue registrada en la Cámara de Comercio de Bogotá hace treinta (30) meses, pueda beneficiarse de la experiencia de uno de sus accionistas, una persona jurídica con aproximadamente treinta (30) años de experiencia registrada en el Registro Único de Proponentes?</w:t>
      </w:r>
    </w:p>
    <w:p w14:paraId="4C365E4C" w14:textId="77777777" w:rsidR="00295779" w:rsidRPr="00464C4C" w:rsidRDefault="00295779" w:rsidP="00295779">
      <w:pPr>
        <w:spacing w:after="0" w:line="240" w:lineRule="auto"/>
        <w:ind w:left="709" w:right="709"/>
        <w:jc w:val="both"/>
        <w:rPr>
          <w:rFonts w:ascii="Arial" w:eastAsia="Arial" w:hAnsi="Arial" w:cs="Arial"/>
          <w:sz w:val="20"/>
          <w:szCs w:val="20"/>
          <w:lang w:val="es"/>
        </w:rPr>
      </w:pPr>
    </w:p>
    <w:p w14:paraId="5CCC6086" w14:textId="77777777" w:rsidR="00295779" w:rsidRPr="00464C4C" w:rsidRDefault="00295779" w:rsidP="00295779">
      <w:pPr>
        <w:spacing w:after="0" w:line="240" w:lineRule="auto"/>
        <w:ind w:left="709" w:right="709"/>
        <w:jc w:val="both"/>
        <w:rPr>
          <w:rFonts w:ascii="Arial" w:eastAsia="Arial" w:hAnsi="Arial" w:cs="Arial"/>
          <w:sz w:val="20"/>
          <w:szCs w:val="20"/>
          <w:lang w:val="es"/>
        </w:rPr>
      </w:pPr>
      <w:r w:rsidRPr="00464C4C">
        <w:rPr>
          <w:rFonts w:ascii="Arial" w:eastAsia="Arial" w:hAnsi="Arial" w:cs="Arial"/>
          <w:sz w:val="20"/>
          <w:szCs w:val="20"/>
          <w:lang w:val="es"/>
        </w:rPr>
        <w:t xml:space="preserve">2. En caso de que la respuesta previa sea afirmativa y se renueve anualmente el Registro Único de Proponentes, considerando que esto se hace en los primeros cinco días hábiles del mes de abril de cada año, ¿Durante cuánto tiempo la nueva empresa puede aprovechar la experiencia transferida por uno de sus accionistas? ¿O esta experiencia tiene un alcance indefinido? </w:t>
      </w:r>
    </w:p>
    <w:p w14:paraId="279FE97F" w14:textId="77777777" w:rsidR="00295779" w:rsidRPr="00464C4C" w:rsidRDefault="00295779" w:rsidP="00295779">
      <w:pPr>
        <w:spacing w:after="0" w:line="240" w:lineRule="auto"/>
        <w:ind w:left="709" w:right="709"/>
        <w:jc w:val="both"/>
        <w:rPr>
          <w:rFonts w:ascii="Arial" w:eastAsia="Arial" w:hAnsi="Arial" w:cs="Arial"/>
          <w:sz w:val="20"/>
          <w:szCs w:val="20"/>
          <w:lang w:val="es"/>
        </w:rPr>
      </w:pPr>
    </w:p>
    <w:p w14:paraId="3CCD676E" w14:textId="77777777" w:rsidR="00295779" w:rsidRPr="00464C4C" w:rsidRDefault="00295779" w:rsidP="00295779">
      <w:pPr>
        <w:spacing w:after="0" w:line="240" w:lineRule="auto"/>
        <w:ind w:left="709" w:right="709"/>
        <w:jc w:val="both"/>
        <w:rPr>
          <w:rFonts w:ascii="Arial" w:eastAsia="Arial" w:hAnsi="Arial" w:cs="Arial"/>
          <w:sz w:val="20"/>
          <w:szCs w:val="20"/>
          <w:lang w:val="es"/>
        </w:rPr>
      </w:pPr>
      <w:r w:rsidRPr="00464C4C">
        <w:rPr>
          <w:rFonts w:ascii="Arial" w:eastAsia="Arial" w:hAnsi="Arial" w:cs="Arial"/>
          <w:sz w:val="20"/>
          <w:szCs w:val="20"/>
          <w:lang w:val="es"/>
        </w:rPr>
        <w:t xml:space="preserve">3. ¿Qué sucede con la experiencia que el accionista (persona jurídica) que le transfirió a la nueva empresa si esta lleva más de tres (3) años constituida y ha renovado anualmente el Registro Único de Proponentes, siempre en los primeros cinco días hábiles del mes de abril de cada año? ¿Tiene la posibilidad de continuar beneficiándose de dicha experiencia? </w:t>
      </w:r>
    </w:p>
    <w:p w14:paraId="2F05CCF1" w14:textId="77777777" w:rsidR="00295779" w:rsidRPr="00464C4C" w:rsidRDefault="00295779" w:rsidP="00295779">
      <w:pPr>
        <w:spacing w:after="0" w:line="240" w:lineRule="auto"/>
        <w:ind w:left="709" w:right="709"/>
        <w:jc w:val="both"/>
        <w:rPr>
          <w:rFonts w:ascii="Arial" w:eastAsia="Arial" w:hAnsi="Arial" w:cs="Arial"/>
          <w:sz w:val="20"/>
          <w:szCs w:val="20"/>
          <w:lang w:val="es"/>
        </w:rPr>
      </w:pPr>
    </w:p>
    <w:p w14:paraId="0C93F532" w14:textId="77777777" w:rsidR="00295779" w:rsidRPr="00464C4C" w:rsidRDefault="00295779" w:rsidP="00295779">
      <w:pPr>
        <w:spacing w:after="0" w:line="240" w:lineRule="auto"/>
        <w:ind w:left="709" w:right="709"/>
        <w:jc w:val="both"/>
        <w:rPr>
          <w:rFonts w:ascii="Arial" w:eastAsia="Arial" w:hAnsi="Arial" w:cs="Arial"/>
          <w:sz w:val="20"/>
          <w:szCs w:val="20"/>
          <w:lang w:val="es"/>
        </w:rPr>
      </w:pPr>
      <w:r w:rsidRPr="00464C4C">
        <w:rPr>
          <w:rFonts w:ascii="Arial" w:eastAsia="Arial" w:hAnsi="Arial" w:cs="Arial"/>
          <w:sz w:val="20"/>
          <w:szCs w:val="20"/>
          <w:lang w:val="es"/>
        </w:rPr>
        <w:t>4. ¿Qué sucede con la experiencia que accionista (persona jurídica) le transfirió a la nueva empresa si se ha renovado anualmente el Registro Único de Proponentes, siempre en los primeros cinco días hábiles del mes de abril de cada año y dicha accionista cede o vende sus acciones a otra persona natural o jurídica ¿Tiene la posibilidad de continuar utilizando dicha experiencia?”.</w:t>
      </w:r>
    </w:p>
    <w:p w14:paraId="384597C9" w14:textId="5F0E16B5" w:rsidR="00782515" w:rsidRPr="00464C4C" w:rsidRDefault="00295779" w:rsidP="00347889">
      <w:pPr>
        <w:spacing w:after="0"/>
        <w:jc w:val="both"/>
        <w:rPr>
          <w:rFonts w:ascii="Arial" w:eastAsia="Arial" w:hAnsi="Arial" w:cs="Arial"/>
          <w:lang w:val="es"/>
        </w:rPr>
      </w:pPr>
      <w:r w:rsidRPr="00464C4C">
        <w:rPr>
          <w:rFonts w:ascii="Arial" w:eastAsia="Calibri" w:hAnsi="Arial" w:cs="Arial"/>
          <w:b/>
          <w:bCs/>
          <w:lang w:val="es-ES"/>
        </w:rPr>
        <w:tab/>
      </w:r>
    </w:p>
    <w:p w14:paraId="6BBC3792" w14:textId="6839302B" w:rsidR="00C906CF" w:rsidRPr="00464C4C" w:rsidRDefault="00745BA5" w:rsidP="00347889">
      <w:pPr>
        <w:spacing w:line="276" w:lineRule="auto"/>
        <w:jc w:val="both"/>
        <w:rPr>
          <w:rFonts w:ascii="Arial" w:eastAsia="Calibri" w:hAnsi="Arial" w:cs="Arial"/>
          <w:b/>
          <w:bCs/>
          <w:lang w:val="es-ES"/>
        </w:rPr>
      </w:pPr>
      <w:r w:rsidRPr="00464C4C">
        <w:rPr>
          <w:rFonts w:ascii="Arial" w:eastAsia="Arial" w:hAnsi="Arial" w:cs="Arial"/>
          <w:lang w:val="es"/>
        </w:rPr>
        <w:t>En ejercicio de las competencias establecidas en los artículos 3, numeral 5° y 11, numeral 8° del Decreto 4170 de 2011, la Agencia Nacional de Contratación Pública – Colombia Compra Eficiente solo tiene competencia para responder solicitudes sobre la aplicación de normas de carácter general en materia de compras y contratación pública. En ese sentido, esta Agencia no tiene competencia para brindar asesorías</w:t>
      </w:r>
      <w:r w:rsidR="00782515" w:rsidRPr="00464C4C">
        <w:rPr>
          <w:rFonts w:ascii="Arial" w:eastAsia="Arial" w:hAnsi="Arial" w:cs="Arial"/>
          <w:lang w:val="es"/>
        </w:rPr>
        <w:t xml:space="preserve"> </w:t>
      </w:r>
      <w:r w:rsidR="002F7370" w:rsidRPr="00464C4C">
        <w:rPr>
          <w:rFonts w:ascii="Arial" w:eastAsia="Arial" w:hAnsi="Arial" w:cs="Arial"/>
          <w:lang w:val="es"/>
        </w:rPr>
        <w:t>o emitir juicios valor sobre la exp</w:t>
      </w:r>
      <w:r w:rsidR="00EA03BA" w:rsidRPr="00464C4C">
        <w:rPr>
          <w:rFonts w:ascii="Arial" w:eastAsia="Arial" w:hAnsi="Arial" w:cs="Arial"/>
          <w:lang w:val="es"/>
        </w:rPr>
        <w:t xml:space="preserve">eriencia o la capacidad de una empresa para </w:t>
      </w:r>
      <w:r w:rsidR="00C906CF" w:rsidRPr="00464C4C">
        <w:rPr>
          <w:rFonts w:ascii="Arial" w:eastAsia="Arial" w:hAnsi="Arial" w:cs="Arial"/>
          <w:lang w:val="es"/>
        </w:rPr>
        <w:t>participar en procesos de contratación</w:t>
      </w:r>
      <w:r w:rsidRPr="00464C4C">
        <w:rPr>
          <w:rFonts w:ascii="Arial" w:eastAsia="Arial" w:hAnsi="Arial" w:cs="Arial"/>
          <w:lang w:val="es"/>
        </w:rPr>
        <w:t>.</w:t>
      </w:r>
      <w:r w:rsidR="00C906CF" w:rsidRPr="00464C4C">
        <w:rPr>
          <w:rFonts w:ascii="Arial" w:eastAsia="Arial" w:hAnsi="Arial" w:cs="Arial"/>
          <w:lang w:val="es"/>
        </w:rPr>
        <w:t xml:space="preserve"> </w:t>
      </w:r>
    </w:p>
    <w:p w14:paraId="7A005E72" w14:textId="77777777" w:rsidR="00CD06CF" w:rsidRPr="00464C4C" w:rsidRDefault="00CD06CF" w:rsidP="00347889">
      <w:pPr>
        <w:spacing w:after="120" w:line="276" w:lineRule="auto"/>
        <w:ind w:firstLine="708"/>
        <w:jc w:val="both"/>
        <w:rPr>
          <w:rFonts w:ascii="Arial" w:hAnsi="Arial" w:cs="Arial"/>
          <w:lang w:val="es-ES"/>
        </w:rPr>
      </w:pPr>
      <w:r w:rsidRPr="00464C4C">
        <w:rPr>
          <w:rFonts w:ascii="Arial" w:hAnsi="Arial" w:cs="Arial"/>
          <w:lang w:val="es-ES"/>
        </w:rPr>
        <w:t xml:space="preserve">De acuerdo con lo expuesto y reiterando la tesis de la Agencia Nacional de Contratación Pública – Colombia Compra Eficiente, las sociedades constituidas con un tiempo inferior a tres (3) años, pueden beneficiarse de lo dispuesto en el numeral 2.5 del artículo 2.2.1.1.1.5.2 del Decreto 1082 de 2015, acreditando la experiencia de sus accionistas, socios y constituyentes para inscribirla en el RUP, y </w:t>
      </w:r>
      <w:r w:rsidRPr="00464C4C">
        <w:rPr>
          <w:rFonts w:ascii="Arial" w:hAnsi="Arial" w:cs="Arial"/>
          <w:lang w:val="es-ES_tradnl"/>
        </w:rPr>
        <w:t xml:space="preserve">pueden continuar utilizando dicha experiencia en los procedimientos de selección, aun cuando hayan transcurrido tres (3) años luego de la constitución de la persona jurídica, siempre que hayan continuado renovado oportunamente el RUP, de manera que este </w:t>
      </w:r>
      <w:r w:rsidRPr="00464C4C">
        <w:rPr>
          <w:rFonts w:ascii="Arial" w:hAnsi="Arial" w:cs="Arial"/>
          <w:lang w:val="es-ES"/>
        </w:rPr>
        <w:t xml:space="preserve">no haya cesado en sus efectos.            </w:t>
      </w:r>
    </w:p>
    <w:p w14:paraId="7B34383E" w14:textId="192A9368" w:rsidR="00CD06CF" w:rsidRPr="00464C4C" w:rsidRDefault="00CD06CF" w:rsidP="00CD06CF">
      <w:pPr>
        <w:spacing w:after="120" w:line="276" w:lineRule="auto"/>
        <w:ind w:firstLine="709"/>
        <w:jc w:val="both"/>
        <w:rPr>
          <w:rFonts w:ascii="Arial" w:hAnsi="Arial" w:cs="Arial"/>
          <w:lang w:val="es-ES"/>
        </w:rPr>
      </w:pPr>
      <w:r w:rsidRPr="00464C4C">
        <w:rPr>
          <w:rFonts w:ascii="Arial" w:hAnsi="Arial" w:cs="Arial"/>
          <w:lang w:val="es-ES"/>
        </w:rPr>
        <w:lastRenderedPageBreak/>
        <w:t xml:space="preserve">En suma, si la persona jurídica con menos de tres años de constituida registra la experiencia de sus socios, accionistas o constituyentes en el RUP y este es renovado, puede continuar utilizando la experiencia inscrita mientras no cesen los efectos de dicho registro. Por el contrario, si no se renueva y la persona jurídica supera los tres años de constituida, la experiencia que registró de sus socios no puede ser inscrita nuevamente, puesto que el RUP ha cesado sus efectos. En efecto, en este último caso el supuesto de hecho previsto en la norma habría terminado y la cámara de comercio tendría que hacer nuevamente la verificación documental de la información presentada al momento de la inscripción, de modo </w:t>
      </w:r>
      <w:r w:rsidR="00640081" w:rsidRPr="00464C4C">
        <w:rPr>
          <w:rFonts w:ascii="Arial" w:hAnsi="Arial" w:cs="Arial"/>
          <w:lang w:val="es-ES"/>
        </w:rPr>
        <w:t>que,</w:t>
      </w:r>
      <w:r w:rsidRPr="00464C4C">
        <w:rPr>
          <w:rFonts w:ascii="Arial" w:hAnsi="Arial" w:cs="Arial"/>
          <w:lang w:val="es-ES"/>
        </w:rPr>
        <w:t xml:space="preserve"> si para dicho momento la persona jurídica no tuviera menos de 3 años de constitución, ya no podría hacer uso de la facultad establecida en la parte final del numeral 2.5 del artículo 2.2.1.1.1.5.2 del Decreto 1082 de 2015.</w:t>
      </w:r>
    </w:p>
    <w:p w14:paraId="7A844A60" w14:textId="49C9933E" w:rsidR="00D36B0D" w:rsidRPr="00464C4C" w:rsidRDefault="00D36B0D" w:rsidP="00347889">
      <w:pPr>
        <w:spacing w:after="0" w:line="276" w:lineRule="auto"/>
        <w:ind w:firstLine="709"/>
        <w:jc w:val="both"/>
        <w:rPr>
          <w:rFonts w:ascii="Arial" w:hAnsi="Arial" w:cs="Arial"/>
          <w:lang w:val="es-MX"/>
        </w:rPr>
      </w:pPr>
      <w:r w:rsidRPr="00464C4C">
        <w:rPr>
          <w:rFonts w:ascii="Arial" w:hAnsi="Arial" w:cs="Arial"/>
          <w:lang w:val="es-ES"/>
        </w:rPr>
        <w:t>Sin embargo, el numeral 2.5 del artículo 2.2.1.1.1.5.2 del Decreto 1082 de 2015, indica de forma clara que una sociedad con menos de tres años de constituida puede aportar la experiencia de sus accionistas, socios o constituyentes. Por lo anterior, si se pierde esta calidad, la experiencia aportada por quien se retira no deberá ser tenida en cuenta por las entidades estatales, y no debería ser utilizada por el proponente en procesos de contratación. Así las cosas, si el socio se retira de la sociedad por venta o cesión de su participación accionaria, no puede vender o ceder su experiencia para que el adquirente o cesionario de la participación accionaria la aporte a la sociedad.</w:t>
      </w:r>
    </w:p>
    <w:p w14:paraId="73E0EA5C" w14:textId="77777777" w:rsidR="00CD06CF" w:rsidRPr="00464C4C" w:rsidRDefault="00CD06CF" w:rsidP="00347889">
      <w:pPr>
        <w:spacing w:after="0"/>
        <w:ind w:firstLine="705"/>
        <w:jc w:val="both"/>
        <w:rPr>
          <w:rStyle w:val="normaltextrun"/>
          <w:rFonts w:ascii="Arial" w:hAnsi="Arial" w:cs="Arial"/>
        </w:rPr>
      </w:pPr>
    </w:p>
    <w:p w14:paraId="51231B5F" w14:textId="4A52DBEC" w:rsidR="00745BA5" w:rsidRPr="00464C4C" w:rsidRDefault="00745BA5" w:rsidP="002F5E25">
      <w:pPr>
        <w:spacing w:before="120" w:line="276" w:lineRule="auto"/>
        <w:jc w:val="both"/>
        <w:rPr>
          <w:rFonts w:ascii="Arial" w:hAnsi="Arial" w:cs="Arial"/>
        </w:rPr>
      </w:pPr>
      <w:r w:rsidRPr="00464C4C">
        <w:rPr>
          <w:rFonts w:ascii="Arial" w:eastAsia="Arial" w:hAnsi="Arial" w:cs="Arial"/>
          <w:lang w:val="es"/>
        </w:rPr>
        <w:t>Este concepto tiene el alcance previsto en el artículo 28 del Código de Procedimiento Administrativo y de lo Contencioso Administrativo.</w:t>
      </w:r>
    </w:p>
    <w:p w14:paraId="4ADDFCF4" w14:textId="77777777" w:rsidR="00745BA5" w:rsidRPr="00464C4C" w:rsidRDefault="00745BA5" w:rsidP="00745BA5">
      <w:pPr>
        <w:pStyle w:val="NormalWeb"/>
        <w:spacing w:before="0" w:beforeAutospacing="0" w:after="0" w:afterAutospacing="0" w:line="276" w:lineRule="auto"/>
        <w:jc w:val="both"/>
        <w:rPr>
          <w:rFonts w:ascii="Arial" w:hAnsi="Arial" w:cs="Arial"/>
          <w:sz w:val="22"/>
          <w:szCs w:val="22"/>
          <w:lang w:val="es-ES"/>
        </w:rPr>
      </w:pPr>
      <w:r w:rsidRPr="00464C4C">
        <w:rPr>
          <w:rFonts w:ascii="Arial" w:hAnsi="Arial" w:cs="Arial"/>
          <w:sz w:val="22"/>
          <w:szCs w:val="22"/>
          <w:lang w:val="es-ES"/>
        </w:rPr>
        <w:t>Atentamente,</w:t>
      </w:r>
    </w:p>
    <w:p w14:paraId="413DF6A1" w14:textId="44B4A48C" w:rsidR="00745BA5" w:rsidRPr="00464C4C" w:rsidRDefault="002D098E" w:rsidP="00745BA5">
      <w:pPr>
        <w:spacing w:before="240" w:after="120" w:line="276" w:lineRule="auto"/>
        <w:jc w:val="center"/>
        <w:rPr>
          <w:rFonts w:ascii="Arial" w:eastAsia="Calibri" w:hAnsi="Arial" w:cs="Arial"/>
        </w:rPr>
      </w:pPr>
      <w:r>
        <w:rPr>
          <w:noProof/>
        </w:rPr>
        <w:drawing>
          <wp:inline distT="0" distB="0" distL="0" distR="0" wp14:anchorId="5AC6C8EC" wp14:editId="1716F29C">
            <wp:extent cx="3161665" cy="1209040"/>
            <wp:effectExtent l="0" t="0" r="635" b="0"/>
            <wp:docPr id="54863959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39599" name="Imagen 1" descr="Texto&#10;&#10;Descripción generada automáticamente"/>
                    <pic:cNvPicPr>
                      <a:picLocks noChangeAspect="1"/>
                    </pic:cNvPicPr>
                  </pic:nvPicPr>
                  <pic:blipFill>
                    <a:blip r:embed="rId10"/>
                    <a:stretch>
                      <a:fillRect/>
                    </a:stretch>
                  </pic:blipFill>
                  <pic:spPr>
                    <a:xfrm>
                      <a:off x="0" y="0"/>
                      <a:ext cx="3161665" cy="1209040"/>
                    </a:xfrm>
                    <a:prstGeom prst="rect">
                      <a:avLst/>
                    </a:prstGeom>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5524"/>
      </w:tblGrid>
      <w:tr w:rsidR="00745BA5" w:rsidRPr="00464C4C" w14:paraId="19DCAADA" w14:textId="77777777" w:rsidTr="00347889">
        <w:trPr>
          <w:trHeight w:val="300"/>
        </w:trPr>
        <w:tc>
          <w:tcPr>
            <w:tcW w:w="855" w:type="dxa"/>
            <w:vAlign w:val="center"/>
          </w:tcPr>
          <w:p w14:paraId="012B5E1A" w14:textId="77777777" w:rsidR="00745BA5" w:rsidRPr="00464C4C" w:rsidRDefault="00745BA5" w:rsidP="00694471">
            <w:pPr>
              <w:rPr>
                <w:rFonts w:ascii="Arial" w:hAnsi="Arial" w:cs="Arial"/>
                <w:sz w:val="16"/>
                <w:szCs w:val="16"/>
              </w:rPr>
            </w:pPr>
            <w:r w:rsidRPr="00464C4C">
              <w:rPr>
                <w:rFonts w:ascii="Arial" w:hAnsi="Arial" w:cs="Arial"/>
                <w:sz w:val="16"/>
                <w:szCs w:val="16"/>
              </w:rPr>
              <w:t>Elaboró:</w:t>
            </w:r>
          </w:p>
        </w:tc>
        <w:tc>
          <w:tcPr>
            <w:tcW w:w="5524" w:type="dxa"/>
            <w:tcBorders>
              <w:bottom w:val="dotted" w:sz="4" w:space="0" w:color="7F7F7F" w:themeColor="text1" w:themeTint="80"/>
            </w:tcBorders>
            <w:vAlign w:val="center"/>
          </w:tcPr>
          <w:p w14:paraId="77C5B63A" w14:textId="77777777" w:rsidR="00745BA5" w:rsidRPr="00464C4C" w:rsidRDefault="00745BA5" w:rsidP="00694471">
            <w:pPr>
              <w:pStyle w:val="paragraph"/>
              <w:spacing w:before="0" w:beforeAutospacing="0" w:after="0" w:afterAutospacing="0"/>
              <w:textAlignment w:val="baseline"/>
              <w:rPr>
                <w:rStyle w:val="eop"/>
                <w:rFonts w:ascii="Arial" w:hAnsi="Arial" w:cs="Arial"/>
                <w:color w:val="FF0000"/>
                <w:sz w:val="16"/>
                <w:szCs w:val="16"/>
              </w:rPr>
            </w:pPr>
          </w:p>
          <w:p w14:paraId="76ECC468" w14:textId="77777777" w:rsidR="00745BA5" w:rsidRPr="00464C4C" w:rsidRDefault="00745BA5" w:rsidP="00694471">
            <w:pPr>
              <w:pStyle w:val="paragraph"/>
              <w:spacing w:before="0" w:beforeAutospacing="0" w:after="0" w:afterAutospacing="0"/>
              <w:rPr>
                <w:rStyle w:val="eop"/>
                <w:rFonts w:ascii="Arial" w:hAnsi="Arial" w:cs="Arial"/>
                <w:sz w:val="16"/>
                <w:szCs w:val="16"/>
              </w:rPr>
            </w:pPr>
            <w:r w:rsidRPr="00464C4C">
              <w:rPr>
                <w:rStyle w:val="eop"/>
                <w:rFonts w:ascii="Arial" w:hAnsi="Arial" w:cs="Arial"/>
                <w:sz w:val="16"/>
                <w:szCs w:val="16"/>
              </w:rPr>
              <w:t>Johanna Ovalle Clavijo </w:t>
            </w:r>
          </w:p>
          <w:p w14:paraId="7437C064" w14:textId="77777777" w:rsidR="00745BA5" w:rsidRPr="00464C4C" w:rsidRDefault="00745BA5" w:rsidP="00694471">
            <w:pPr>
              <w:pStyle w:val="paragraph"/>
              <w:spacing w:before="0" w:beforeAutospacing="0" w:after="0" w:afterAutospacing="0"/>
              <w:rPr>
                <w:rFonts w:ascii="Arial" w:hAnsi="Arial" w:cs="Arial"/>
                <w:sz w:val="16"/>
                <w:szCs w:val="16"/>
              </w:rPr>
            </w:pPr>
            <w:r w:rsidRPr="00464C4C">
              <w:rPr>
                <w:rStyle w:val="normaltextrun"/>
                <w:rFonts w:ascii="Arial" w:hAnsi="Arial" w:cs="Arial"/>
                <w:sz w:val="16"/>
                <w:szCs w:val="16"/>
              </w:rPr>
              <w:t>Contratista de la Subdirección de Gestión Contractual </w:t>
            </w:r>
            <w:r w:rsidRPr="00464C4C">
              <w:rPr>
                <w:rStyle w:val="eop"/>
                <w:rFonts w:ascii="Arial" w:hAnsi="Arial" w:cs="Arial"/>
                <w:sz w:val="16"/>
                <w:szCs w:val="16"/>
              </w:rPr>
              <w:t> </w:t>
            </w:r>
          </w:p>
        </w:tc>
      </w:tr>
      <w:tr w:rsidR="00745BA5" w:rsidRPr="00464C4C" w14:paraId="096AB6DA" w14:textId="77777777" w:rsidTr="00347889">
        <w:trPr>
          <w:trHeight w:val="286"/>
        </w:trPr>
        <w:tc>
          <w:tcPr>
            <w:tcW w:w="855" w:type="dxa"/>
            <w:vAlign w:val="center"/>
          </w:tcPr>
          <w:p w14:paraId="41931DAD" w14:textId="77777777" w:rsidR="00745BA5" w:rsidRPr="00464C4C" w:rsidRDefault="00745BA5" w:rsidP="00694471">
            <w:pPr>
              <w:rPr>
                <w:rFonts w:ascii="Arial" w:hAnsi="Arial" w:cs="Arial"/>
                <w:sz w:val="16"/>
                <w:szCs w:val="16"/>
              </w:rPr>
            </w:pPr>
            <w:r w:rsidRPr="00464C4C">
              <w:rPr>
                <w:rFonts w:ascii="Arial" w:hAnsi="Arial" w:cs="Arial"/>
                <w:sz w:val="16"/>
                <w:szCs w:val="16"/>
              </w:rPr>
              <w:t>Revisó:</w:t>
            </w:r>
          </w:p>
        </w:tc>
        <w:tc>
          <w:tcPr>
            <w:tcW w:w="5524" w:type="dxa"/>
            <w:tcBorders>
              <w:bottom w:val="dotted" w:sz="4" w:space="0" w:color="7F7F7F" w:themeColor="text1" w:themeTint="80"/>
            </w:tcBorders>
            <w:vAlign w:val="center"/>
          </w:tcPr>
          <w:p w14:paraId="43E63D54" w14:textId="77777777" w:rsidR="00745BA5" w:rsidRPr="00464C4C" w:rsidRDefault="00745BA5" w:rsidP="00694471">
            <w:pPr>
              <w:pStyle w:val="paragraph"/>
              <w:spacing w:before="0" w:beforeAutospacing="0" w:after="0" w:afterAutospacing="0"/>
              <w:textAlignment w:val="baseline"/>
              <w:rPr>
                <w:rFonts w:ascii="Arial" w:hAnsi="Arial" w:cs="Arial"/>
                <w:sz w:val="18"/>
                <w:szCs w:val="18"/>
              </w:rPr>
            </w:pPr>
            <w:r w:rsidRPr="00464C4C">
              <w:rPr>
                <w:rStyle w:val="normaltextrun"/>
                <w:rFonts w:ascii="Arial" w:hAnsi="Arial" w:cs="Arial"/>
                <w:sz w:val="16"/>
                <w:szCs w:val="16"/>
              </w:rPr>
              <w:t>Alejandro Sarmiento Cantillo</w:t>
            </w:r>
            <w:r w:rsidRPr="00464C4C">
              <w:rPr>
                <w:rStyle w:val="eop"/>
                <w:rFonts w:ascii="Arial" w:hAnsi="Arial" w:cs="Arial"/>
                <w:sz w:val="16"/>
                <w:szCs w:val="16"/>
              </w:rPr>
              <w:t> </w:t>
            </w:r>
          </w:p>
          <w:p w14:paraId="72CBA44B" w14:textId="77777777" w:rsidR="00745BA5" w:rsidRPr="00464C4C" w:rsidRDefault="00745BA5" w:rsidP="00694471">
            <w:pPr>
              <w:rPr>
                <w:rStyle w:val="eop"/>
                <w:rFonts w:ascii="Arial" w:hAnsi="Arial" w:cs="Arial"/>
                <w:sz w:val="16"/>
                <w:szCs w:val="16"/>
              </w:rPr>
            </w:pPr>
            <w:r w:rsidRPr="00464C4C">
              <w:rPr>
                <w:rStyle w:val="normaltextrun"/>
                <w:rFonts w:ascii="Arial" w:hAnsi="Arial" w:cs="Arial"/>
                <w:sz w:val="16"/>
                <w:szCs w:val="16"/>
              </w:rPr>
              <w:t>Gestor T1-15 de la Subdirección de Gestión Contractual</w:t>
            </w:r>
            <w:r w:rsidRPr="00464C4C">
              <w:rPr>
                <w:rStyle w:val="eop"/>
                <w:rFonts w:ascii="Arial" w:hAnsi="Arial" w:cs="Arial"/>
                <w:sz w:val="16"/>
                <w:szCs w:val="16"/>
              </w:rPr>
              <w:t> </w:t>
            </w:r>
          </w:p>
        </w:tc>
      </w:tr>
      <w:tr w:rsidR="00745BA5" w:rsidRPr="00464C4C" w14:paraId="49A3EA97" w14:textId="77777777" w:rsidTr="00347889">
        <w:trPr>
          <w:trHeight w:val="299"/>
        </w:trPr>
        <w:tc>
          <w:tcPr>
            <w:tcW w:w="855" w:type="dxa"/>
            <w:vAlign w:val="center"/>
          </w:tcPr>
          <w:p w14:paraId="5DF5885C" w14:textId="77777777" w:rsidR="00745BA5" w:rsidRPr="00464C4C" w:rsidRDefault="00745BA5" w:rsidP="00694471">
            <w:pPr>
              <w:rPr>
                <w:rFonts w:ascii="Arial" w:hAnsi="Arial" w:cs="Arial"/>
                <w:sz w:val="16"/>
                <w:szCs w:val="16"/>
              </w:rPr>
            </w:pPr>
            <w:r w:rsidRPr="00464C4C">
              <w:rPr>
                <w:rFonts w:ascii="Arial" w:hAnsi="Arial" w:cs="Arial"/>
                <w:sz w:val="16"/>
                <w:szCs w:val="16"/>
              </w:rPr>
              <w:t>Aprobó:</w:t>
            </w:r>
          </w:p>
        </w:tc>
        <w:tc>
          <w:tcPr>
            <w:tcW w:w="5524" w:type="dxa"/>
            <w:tcBorders>
              <w:top w:val="dotted" w:sz="4" w:space="0" w:color="7F7F7F" w:themeColor="text1" w:themeTint="80"/>
              <w:bottom w:val="dotted" w:sz="4" w:space="0" w:color="7F7F7F" w:themeColor="text1" w:themeTint="80"/>
            </w:tcBorders>
            <w:vAlign w:val="center"/>
          </w:tcPr>
          <w:p w14:paraId="2F7D0FFC" w14:textId="77777777" w:rsidR="00745BA5" w:rsidRPr="00464C4C" w:rsidRDefault="00745BA5" w:rsidP="00694471">
            <w:pPr>
              <w:rPr>
                <w:rFonts w:ascii="Arial" w:hAnsi="Arial" w:cs="Arial"/>
                <w:sz w:val="16"/>
                <w:szCs w:val="16"/>
              </w:rPr>
            </w:pPr>
            <w:r w:rsidRPr="00464C4C">
              <w:rPr>
                <w:rFonts w:ascii="Arial" w:hAnsi="Arial" w:cs="Arial"/>
                <w:sz w:val="16"/>
                <w:szCs w:val="16"/>
              </w:rPr>
              <w:t>Nohelia Del Carmen Zawady Palacio</w:t>
            </w:r>
          </w:p>
          <w:p w14:paraId="6BDAF2DD" w14:textId="77777777" w:rsidR="00745BA5" w:rsidRPr="00464C4C" w:rsidRDefault="00745BA5" w:rsidP="00694471">
            <w:pPr>
              <w:rPr>
                <w:rFonts w:ascii="Arial" w:hAnsi="Arial" w:cs="Arial"/>
                <w:sz w:val="16"/>
                <w:szCs w:val="16"/>
              </w:rPr>
            </w:pPr>
            <w:r w:rsidRPr="00464C4C">
              <w:rPr>
                <w:rFonts w:ascii="Arial" w:hAnsi="Arial" w:cs="Arial"/>
                <w:sz w:val="16"/>
                <w:szCs w:val="16"/>
              </w:rPr>
              <w:t xml:space="preserve">Subdirectora de Gestión Contractual ANCP – CCE </w:t>
            </w:r>
          </w:p>
        </w:tc>
      </w:tr>
    </w:tbl>
    <w:p w14:paraId="0F293BF4" w14:textId="7BBFAB11" w:rsidR="00127233" w:rsidRPr="00464C4C" w:rsidRDefault="00127233" w:rsidP="00745BA5">
      <w:pPr>
        <w:spacing w:after="0"/>
        <w:rPr>
          <w:rFonts w:ascii="Arial" w:hAnsi="Arial" w:cs="Arial"/>
        </w:rPr>
      </w:pPr>
    </w:p>
    <w:sectPr w:rsidR="00127233" w:rsidRPr="00464C4C" w:rsidSect="002E4FD9">
      <w:headerReference w:type="default" r:id="rId11"/>
      <w:footerReference w:type="default" r:id="rId12"/>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08FAB" w14:textId="77777777" w:rsidR="00090043" w:rsidRDefault="00090043" w:rsidP="004A1847">
      <w:pPr>
        <w:spacing w:after="0" w:line="240" w:lineRule="auto"/>
      </w:pPr>
      <w:r>
        <w:separator/>
      </w:r>
    </w:p>
  </w:endnote>
  <w:endnote w:type="continuationSeparator" w:id="0">
    <w:p w14:paraId="70F9761B" w14:textId="77777777" w:rsidR="00090043" w:rsidRDefault="00090043"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A756B" w14:textId="77777777" w:rsidR="00090043" w:rsidRDefault="00090043" w:rsidP="004A1847">
      <w:pPr>
        <w:spacing w:after="0" w:line="240" w:lineRule="auto"/>
      </w:pPr>
      <w:r>
        <w:separator/>
      </w:r>
    </w:p>
  </w:footnote>
  <w:footnote w:type="continuationSeparator" w:id="0">
    <w:p w14:paraId="28A82ED2" w14:textId="77777777" w:rsidR="00090043" w:rsidRDefault="00090043" w:rsidP="004A1847">
      <w:pPr>
        <w:spacing w:after="0" w:line="240" w:lineRule="auto"/>
      </w:pPr>
      <w:r>
        <w:continuationSeparator/>
      </w:r>
    </w:p>
  </w:footnote>
  <w:footnote w:id="1">
    <w:p w14:paraId="24190D24" w14:textId="77777777" w:rsidR="00745BA5" w:rsidRPr="00347889" w:rsidRDefault="00745BA5" w:rsidP="00745BA5">
      <w:pPr>
        <w:pStyle w:val="Textonotapie"/>
        <w:ind w:firstLine="708"/>
        <w:jc w:val="both"/>
        <w:rPr>
          <w:rFonts w:ascii="Century Gothic" w:hAnsi="Century Gothic" w:cs="Arial"/>
          <w:sz w:val="16"/>
          <w:szCs w:val="16"/>
          <w:lang w:val="es-ES"/>
        </w:rPr>
      </w:pPr>
      <w:r w:rsidRPr="00347889">
        <w:rPr>
          <w:rFonts w:ascii="Century Gothic" w:eastAsia="Calibri" w:hAnsi="Century Gothic" w:cs="Arial"/>
          <w:sz w:val="16"/>
          <w:szCs w:val="16"/>
          <w:vertAlign w:val="superscript"/>
          <w:lang w:val="es-ES" w:eastAsia="es-ES_tradnl"/>
        </w:rPr>
        <w:footnoteRef/>
      </w:r>
      <w:r w:rsidRPr="00347889">
        <w:rPr>
          <w:rFonts w:ascii="Century Gothic" w:eastAsia="Calibri" w:hAnsi="Century Gothic" w:cs="Arial"/>
          <w:sz w:val="16"/>
          <w:szCs w:val="16"/>
          <w:lang w:val="es-ES" w:eastAsia="es-ES_tradnl"/>
        </w:rPr>
        <w:t xml:space="preserve"> La Agencia Nacional de Contratación Pública </w:t>
      </w:r>
      <w:r w:rsidRPr="00347889">
        <w:rPr>
          <w:rFonts w:ascii="Arial" w:eastAsia="Calibri" w:hAnsi="Arial" w:cs="Arial"/>
          <w:sz w:val="16"/>
          <w:szCs w:val="16"/>
          <w:lang w:val="es-ES" w:eastAsia="es-ES_tradnl"/>
        </w:rPr>
        <w:t>‒</w:t>
      </w:r>
      <w:r w:rsidRPr="00347889">
        <w:rPr>
          <w:rFonts w:ascii="Century Gothic" w:eastAsia="Calibri" w:hAnsi="Century Gothic" w:cs="Arial"/>
          <w:sz w:val="16"/>
          <w:szCs w:val="16"/>
          <w:lang w:val="es-ES" w:eastAsia="es-ES_tradnl"/>
        </w:rPr>
        <w:t xml:space="preserve"> Colombia Compra Eficiente fue creada por el Decreto Ley 4170 de 2011. Su objetivo es servir como ente rector de la pol</w:t>
      </w:r>
      <w:r w:rsidRPr="00347889">
        <w:rPr>
          <w:rFonts w:ascii="Century Gothic" w:eastAsia="Calibri" w:hAnsi="Century Gothic" w:cs="Century Gothic"/>
          <w:sz w:val="16"/>
          <w:szCs w:val="16"/>
          <w:lang w:val="es-ES" w:eastAsia="es-ES_tradnl"/>
        </w:rPr>
        <w:t>í</w:t>
      </w:r>
      <w:r w:rsidRPr="00347889">
        <w:rPr>
          <w:rFonts w:ascii="Century Gothic" w:eastAsia="Calibri" w:hAnsi="Century Gothic" w:cs="Arial"/>
          <w:sz w:val="16"/>
          <w:szCs w:val="16"/>
          <w:lang w:val="es-ES" w:eastAsia="es-ES_tradnl"/>
        </w:rPr>
        <w:t>tica de compras y contrataci</w:t>
      </w:r>
      <w:r w:rsidRPr="00347889">
        <w:rPr>
          <w:rFonts w:ascii="Century Gothic" w:eastAsia="Calibri" w:hAnsi="Century Gothic" w:cs="Century Gothic"/>
          <w:sz w:val="16"/>
          <w:szCs w:val="16"/>
          <w:lang w:val="es-ES" w:eastAsia="es-ES_tradnl"/>
        </w:rPr>
        <w:t>ó</w:t>
      </w:r>
      <w:r w:rsidRPr="00347889">
        <w:rPr>
          <w:rFonts w:ascii="Century Gothic" w:eastAsia="Calibri" w:hAnsi="Century Gothic" w:cs="Arial"/>
          <w:sz w:val="16"/>
          <w:szCs w:val="16"/>
          <w:lang w:val="es-ES" w:eastAsia="es-ES_tradnl"/>
        </w:rPr>
        <w:t xml:space="preserve">n del Estado. Para tales fines, como </w:t>
      </w:r>
      <w:r w:rsidRPr="00347889">
        <w:rPr>
          <w:rFonts w:ascii="Century Gothic" w:eastAsia="Calibri" w:hAnsi="Century Gothic" w:cs="Century Gothic"/>
          <w:sz w:val="16"/>
          <w:szCs w:val="16"/>
          <w:lang w:val="es-ES" w:eastAsia="es-ES_tradnl"/>
        </w:rPr>
        <w:t>ó</w:t>
      </w:r>
      <w:r w:rsidRPr="00347889">
        <w:rPr>
          <w:rFonts w:ascii="Century Gothic" w:eastAsia="Calibri" w:hAnsi="Century Gothic" w:cs="Arial"/>
          <w:sz w:val="16"/>
          <w:szCs w:val="16"/>
          <w:lang w:val="es-ES" w:eastAsia="es-ES_tradnl"/>
        </w:rPr>
        <w:t>rgano t</w:t>
      </w:r>
      <w:r w:rsidRPr="00347889">
        <w:rPr>
          <w:rFonts w:ascii="Century Gothic" w:eastAsia="Calibri" w:hAnsi="Century Gothic" w:cs="Century Gothic"/>
          <w:sz w:val="16"/>
          <w:szCs w:val="16"/>
          <w:lang w:val="es-ES" w:eastAsia="es-ES_tradnl"/>
        </w:rPr>
        <w:t>é</w:t>
      </w:r>
      <w:r w:rsidRPr="00347889">
        <w:rPr>
          <w:rFonts w:ascii="Century Gothic" w:eastAsia="Calibri" w:hAnsi="Century Gothic" w:cs="Arial"/>
          <w:sz w:val="16"/>
          <w:szCs w:val="16"/>
          <w:lang w:val="es-ES" w:eastAsia="es-ES_tradnl"/>
        </w:rPr>
        <w:t>cnico especializado, le corresponde formular pol</w:t>
      </w:r>
      <w:r w:rsidRPr="00347889">
        <w:rPr>
          <w:rFonts w:ascii="Century Gothic" w:eastAsia="Calibri" w:hAnsi="Century Gothic" w:cs="Century Gothic"/>
          <w:sz w:val="16"/>
          <w:szCs w:val="16"/>
          <w:lang w:val="es-ES" w:eastAsia="es-ES_tradnl"/>
        </w:rPr>
        <w:t>í</w:t>
      </w:r>
      <w:r w:rsidRPr="00347889">
        <w:rPr>
          <w:rFonts w:ascii="Century Gothic" w:eastAsia="Calibri" w:hAnsi="Century Gothic" w:cs="Arial"/>
          <w:sz w:val="16"/>
          <w:szCs w:val="16"/>
          <w:lang w:val="es-ES" w:eastAsia="es-ES_tradnl"/>
        </w:rPr>
        <w:t>ticas p</w:t>
      </w:r>
      <w:r w:rsidRPr="00347889">
        <w:rPr>
          <w:rFonts w:ascii="Century Gothic" w:eastAsia="Calibri" w:hAnsi="Century Gothic" w:cs="Century Gothic"/>
          <w:sz w:val="16"/>
          <w:szCs w:val="16"/>
          <w:lang w:val="es-ES" w:eastAsia="es-ES_tradnl"/>
        </w:rPr>
        <w:t>ú</w:t>
      </w:r>
      <w:r w:rsidRPr="00347889">
        <w:rPr>
          <w:rFonts w:ascii="Century Gothic" w:eastAsia="Calibri" w:hAnsi="Century Gothic" w:cs="Arial"/>
          <w:sz w:val="16"/>
          <w:szCs w:val="16"/>
          <w:lang w:val="es-ES" w:eastAsia="es-ES_tradnl"/>
        </w:rPr>
        <w:t>blicas y normas y unificar los procesos de contrataci</w:t>
      </w:r>
      <w:r w:rsidRPr="00347889">
        <w:rPr>
          <w:rFonts w:ascii="Century Gothic" w:eastAsia="Calibri" w:hAnsi="Century Gothic" w:cs="Century Gothic"/>
          <w:sz w:val="16"/>
          <w:szCs w:val="16"/>
          <w:lang w:val="es-ES" w:eastAsia="es-ES_tradnl"/>
        </w:rPr>
        <w:t>ó</w:t>
      </w:r>
      <w:r w:rsidRPr="00347889">
        <w:rPr>
          <w:rFonts w:ascii="Century Gothic" w:eastAsia="Calibri" w:hAnsi="Century Gothic" w:cs="Arial"/>
          <w:sz w:val="16"/>
          <w:szCs w:val="16"/>
          <w:lang w:val="es-ES" w:eastAsia="es-ES_tradnl"/>
        </w:rPr>
        <w:t>n estatal, con el fin de lograr una mayor eficiencia, transparencia y optimizaci</w:t>
      </w:r>
      <w:r w:rsidRPr="00347889">
        <w:rPr>
          <w:rFonts w:ascii="Century Gothic" w:eastAsia="Calibri" w:hAnsi="Century Gothic" w:cs="Century Gothic"/>
          <w:sz w:val="16"/>
          <w:szCs w:val="16"/>
          <w:lang w:val="es-ES" w:eastAsia="es-ES_tradnl"/>
        </w:rPr>
        <w:t>ó</w:t>
      </w:r>
      <w:r w:rsidRPr="00347889">
        <w:rPr>
          <w:rFonts w:ascii="Century Gothic" w:eastAsia="Calibri" w:hAnsi="Century Gothic" w:cs="Arial"/>
          <w:sz w:val="16"/>
          <w:szCs w:val="16"/>
          <w:lang w:val="es-ES" w:eastAsia="es-ES_tradnl"/>
        </w:rPr>
        <w:t>n de los recursos del Estado. El art</w:t>
      </w:r>
      <w:r w:rsidRPr="00347889">
        <w:rPr>
          <w:rFonts w:ascii="Century Gothic" w:eastAsia="Calibri" w:hAnsi="Century Gothic" w:cs="Century Gothic"/>
          <w:sz w:val="16"/>
          <w:szCs w:val="16"/>
          <w:lang w:val="es-ES" w:eastAsia="es-ES_tradnl"/>
        </w:rPr>
        <w:t>í</w:t>
      </w:r>
      <w:r w:rsidRPr="00347889">
        <w:rPr>
          <w:rFonts w:ascii="Century Gothic" w:eastAsia="Calibri" w:hAnsi="Century Gothic" w:cs="Arial"/>
          <w:sz w:val="16"/>
          <w:szCs w:val="16"/>
          <w:lang w:val="es-ES" w:eastAsia="es-ES_tradnl"/>
        </w:rPr>
        <w:t>culo 3 ibidem se</w:t>
      </w:r>
      <w:r w:rsidRPr="00347889">
        <w:rPr>
          <w:rFonts w:ascii="Century Gothic" w:eastAsia="Calibri" w:hAnsi="Century Gothic" w:cs="Century Gothic"/>
          <w:sz w:val="16"/>
          <w:szCs w:val="16"/>
          <w:lang w:val="es-ES" w:eastAsia="es-ES_tradnl"/>
        </w:rPr>
        <w:t>ñ</w:t>
      </w:r>
      <w:r w:rsidRPr="00347889">
        <w:rPr>
          <w:rFonts w:ascii="Century Gothic" w:eastAsia="Calibri" w:hAnsi="Century Gothic" w:cs="Arial"/>
          <w:sz w:val="16"/>
          <w:szCs w:val="16"/>
          <w:lang w:val="es-ES" w:eastAsia="es-ES_tradnl"/>
        </w:rPr>
        <w:t>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7019DB84" w14:textId="77777777" w:rsidR="00745BA5" w:rsidRPr="00464C4C"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464C4C">
        <w:rPr>
          <w:rStyle w:val="Refdenotaalpie"/>
          <w:rFonts w:ascii="Arial" w:eastAsiaTheme="majorEastAsia" w:hAnsi="Arial" w:cs="Arial"/>
          <w:sz w:val="16"/>
          <w:szCs w:val="16"/>
        </w:rPr>
        <w:footnoteRef/>
      </w:r>
      <w:r w:rsidRPr="00464C4C">
        <w:rPr>
          <w:rFonts w:ascii="Arial" w:hAnsi="Arial" w:cs="Arial"/>
          <w:sz w:val="16"/>
          <w:szCs w:val="16"/>
        </w:rPr>
        <w:t xml:space="preserve"> </w:t>
      </w:r>
      <w:r w:rsidRPr="00464C4C">
        <w:rPr>
          <w:rStyle w:val="normaltextrun"/>
          <w:rFonts w:ascii="Arial" w:hAnsi="Arial" w:cs="Arial"/>
          <w:sz w:val="16"/>
          <w:szCs w:val="16"/>
          <w:lang w:val="es-MX"/>
        </w:rPr>
        <w:t>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r w:rsidRPr="00464C4C">
        <w:rPr>
          <w:rStyle w:val="eop"/>
          <w:rFonts w:ascii="Arial" w:hAnsi="Arial" w:cs="Arial"/>
          <w:sz w:val="16"/>
          <w:szCs w:val="16"/>
        </w:rPr>
        <w:t> </w:t>
      </w:r>
    </w:p>
    <w:p w14:paraId="2B07550F" w14:textId="77777777" w:rsidR="00745BA5" w:rsidRPr="00464C4C"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464C4C">
        <w:rPr>
          <w:rStyle w:val="normaltextrun"/>
          <w:rFonts w:ascii="Arial" w:hAnsi="Arial" w:cs="Arial"/>
          <w:sz w:val="16"/>
          <w:szCs w:val="16"/>
          <w:lang w:val="es-MX"/>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r w:rsidRPr="00464C4C">
        <w:rPr>
          <w:rStyle w:val="eop"/>
          <w:rFonts w:ascii="Arial" w:hAnsi="Arial" w:cs="Arial"/>
          <w:sz w:val="16"/>
          <w:szCs w:val="16"/>
        </w:rPr>
        <w:t>  </w:t>
      </w:r>
    </w:p>
    <w:p w14:paraId="5356EEE6" w14:textId="77777777" w:rsidR="00745BA5" w:rsidRPr="00464C4C" w:rsidRDefault="00745BA5" w:rsidP="00745BA5">
      <w:pPr>
        <w:pStyle w:val="Textonotapie"/>
        <w:rPr>
          <w:rFonts w:ascii="Arial" w:hAnsi="Arial" w:cs="Arial"/>
          <w:sz w:val="16"/>
          <w:szCs w:val="16"/>
          <w:lang w:val="es-ES"/>
        </w:rPr>
      </w:pPr>
    </w:p>
  </w:footnote>
  <w:footnote w:id="3">
    <w:p w14:paraId="4917CE36" w14:textId="77777777" w:rsidR="00745BA5" w:rsidRPr="00464C4C"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464C4C">
        <w:rPr>
          <w:rStyle w:val="Refdenotaalpie"/>
          <w:rFonts w:ascii="Arial" w:eastAsiaTheme="majorEastAsia" w:hAnsi="Arial" w:cs="Arial"/>
          <w:sz w:val="16"/>
          <w:szCs w:val="16"/>
        </w:rPr>
        <w:footnoteRef/>
      </w:r>
      <w:r w:rsidRPr="00464C4C">
        <w:rPr>
          <w:rFonts w:ascii="Arial" w:hAnsi="Arial" w:cs="Arial"/>
          <w:sz w:val="16"/>
          <w:szCs w:val="16"/>
        </w:rPr>
        <w:t xml:space="preserve"> </w:t>
      </w:r>
      <w:r w:rsidRPr="00464C4C">
        <w:rPr>
          <w:rStyle w:val="normaltextrun"/>
          <w:rFonts w:ascii="Arial" w:hAnsi="Arial" w:cs="Arial"/>
          <w:sz w:val="16"/>
          <w:szCs w:val="16"/>
          <w:lang w:val="es-MX"/>
        </w:rPr>
        <w:t>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r w:rsidRPr="00464C4C">
        <w:rPr>
          <w:rStyle w:val="eop"/>
          <w:rFonts w:ascii="Arial" w:hAnsi="Arial" w:cs="Arial"/>
          <w:sz w:val="16"/>
          <w:szCs w:val="16"/>
        </w:rPr>
        <w:t>  </w:t>
      </w:r>
    </w:p>
    <w:p w14:paraId="314ED399" w14:textId="77777777" w:rsidR="00745BA5" w:rsidRPr="00464C4C" w:rsidRDefault="00745BA5" w:rsidP="00745BA5">
      <w:pPr>
        <w:pStyle w:val="Textonotapie"/>
        <w:rPr>
          <w:rFonts w:ascii="Arial" w:hAnsi="Arial" w:cs="Arial"/>
          <w:sz w:val="16"/>
          <w:szCs w:val="16"/>
          <w:lang w:val="es-ES"/>
        </w:rPr>
      </w:pPr>
    </w:p>
  </w:footnote>
  <w:footnote w:id="4">
    <w:p w14:paraId="3818503A" w14:textId="77777777" w:rsidR="00745BA5" w:rsidRPr="00464C4C"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464C4C">
        <w:rPr>
          <w:rStyle w:val="Refdenotaalpie"/>
          <w:rFonts w:ascii="Arial" w:eastAsiaTheme="majorEastAsia" w:hAnsi="Arial" w:cs="Arial"/>
          <w:sz w:val="16"/>
          <w:szCs w:val="16"/>
        </w:rPr>
        <w:footnoteRef/>
      </w:r>
      <w:r w:rsidRPr="00464C4C">
        <w:rPr>
          <w:rFonts w:ascii="Arial" w:hAnsi="Arial" w:cs="Arial"/>
          <w:sz w:val="16"/>
          <w:szCs w:val="16"/>
        </w:rPr>
        <w:t xml:space="preserve"> </w:t>
      </w:r>
      <w:r w:rsidRPr="00464C4C">
        <w:rPr>
          <w:rStyle w:val="normaltextrun"/>
          <w:rFonts w:ascii="Arial" w:hAnsi="Arial" w:cs="Arial"/>
          <w:sz w:val="16"/>
          <w:szCs w:val="16"/>
          <w:lang w:val="es-MX"/>
        </w:rPr>
        <w:t>Decreto 1082 de 2015: “Artículo 2.2.1.1.1.5.3. Requisitos habilitantes contenidos en el RUP. Las cámaras de comercio, con base en la información a la que hace referencia el artículo anterior, deben verificar y certificar los siguientes requisitos habilitantes:</w:t>
      </w:r>
      <w:r w:rsidRPr="00464C4C">
        <w:rPr>
          <w:rStyle w:val="eop"/>
          <w:rFonts w:ascii="Arial" w:hAnsi="Arial" w:cs="Arial"/>
          <w:sz w:val="16"/>
          <w:szCs w:val="16"/>
        </w:rPr>
        <w:t> </w:t>
      </w:r>
    </w:p>
    <w:p w14:paraId="17CA8B07" w14:textId="77777777" w:rsidR="00745BA5" w:rsidRPr="00464C4C"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464C4C">
        <w:rPr>
          <w:rStyle w:val="normaltextrun"/>
          <w:rFonts w:ascii="Arial" w:hAnsi="Arial" w:cs="Arial"/>
          <w:sz w:val="16"/>
          <w:szCs w:val="16"/>
          <w:lang w:val="es-MX"/>
        </w:rPr>
        <w:t>1. Experiencia – Los contratos celebrados por el interesado para cada uno de los bienes, obras y servicios que ofrecerá a las Entidades Estatales, identificados con el Clasificador de Bienes y Servicios en el tercer nivel y su valor expresado en SMMLV.</w:t>
      </w:r>
      <w:r w:rsidRPr="00464C4C">
        <w:rPr>
          <w:rStyle w:val="eop"/>
          <w:rFonts w:ascii="Arial" w:hAnsi="Arial" w:cs="Arial"/>
          <w:sz w:val="16"/>
          <w:szCs w:val="16"/>
        </w:rPr>
        <w:t> </w:t>
      </w:r>
    </w:p>
    <w:p w14:paraId="504449BC" w14:textId="77777777" w:rsidR="00745BA5" w:rsidRPr="00464C4C"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464C4C">
        <w:rPr>
          <w:rStyle w:val="normaltextrun"/>
          <w:rFonts w:ascii="Arial" w:hAnsi="Arial" w:cs="Arial"/>
          <w:sz w:val="16"/>
          <w:szCs w:val="16"/>
          <w:lang w:val="es-MX"/>
        </w:rPr>
        <w:t>[...]”.</w:t>
      </w:r>
      <w:r w:rsidRPr="00464C4C">
        <w:rPr>
          <w:rStyle w:val="eop"/>
          <w:rFonts w:ascii="Arial" w:hAnsi="Arial" w:cs="Arial"/>
          <w:sz w:val="16"/>
          <w:szCs w:val="16"/>
        </w:rPr>
        <w:t> </w:t>
      </w:r>
    </w:p>
    <w:p w14:paraId="66CD81FE" w14:textId="77777777" w:rsidR="00745BA5" w:rsidRPr="00464C4C"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464C4C">
        <w:rPr>
          <w:rStyle w:val="eop"/>
          <w:rFonts w:ascii="Arial" w:hAnsi="Arial" w:cs="Arial"/>
          <w:sz w:val="16"/>
          <w:szCs w:val="16"/>
        </w:rPr>
        <w:t> </w:t>
      </w:r>
    </w:p>
  </w:footnote>
  <w:footnote w:id="5">
    <w:p w14:paraId="7500DF29" w14:textId="77777777" w:rsidR="00745BA5" w:rsidRPr="00464C4C"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464C4C">
        <w:rPr>
          <w:rStyle w:val="Refdenotaalpie"/>
          <w:rFonts w:ascii="Arial" w:eastAsiaTheme="majorEastAsia" w:hAnsi="Arial" w:cs="Arial"/>
          <w:sz w:val="16"/>
          <w:szCs w:val="16"/>
        </w:rPr>
        <w:footnoteRef/>
      </w:r>
      <w:r w:rsidRPr="00464C4C">
        <w:rPr>
          <w:rStyle w:val="normaltextrun"/>
          <w:rFonts w:ascii="Arial" w:hAnsi="Arial" w:cs="Arial"/>
          <w:sz w:val="16"/>
          <w:szCs w:val="16"/>
          <w:lang w:val="es-MX"/>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r w:rsidRPr="00464C4C">
        <w:rPr>
          <w:rStyle w:val="eop"/>
          <w:rFonts w:ascii="Arial" w:hAnsi="Arial" w:cs="Arial"/>
          <w:sz w:val="16"/>
          <w:szCs w:val="16"/>
        </w:rPr>
        <w:t> </w:t>
      </w:r>
    </w:p>
    <w:p w14:paraId="3D7E2BB2" w14:textId="77777777" w:rsidR="00745BA5" w:rsidRPr="00464C4C"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464C4C">
        <w:rPr>
          <w:rStyle w:val="normaltextrun"/>
          <w:rFonts w:ascii="Arial" w:hAnsi="Arial" w:cs="Arial"/>
          <w:sz w:val="16"/>
          <w:szCs w:val="16"/>
          <w:lang w:val="es-MX"/>
        </w:rPr>
        <w:t>[...]</w:t>
      </w:r>
      <w:r w:rsidRPr="00464C4C">
        <w:rPr>
          <w:rStyle w:val="eop"/>
          <w:rFonts w:ascii="Arial" w:hAnsi="Arial" w:cs="Arial"/>
          <w:sz w:val="16"/>
          <w:szCs w:val="16"/>
        </w:rPr>
        <w:t> </w:t>
      </w:r>
    </w:p>
    <w:p w14:paraId="2C5F129F" w14:textId="77777777" w:rsidR="00745BA5" w:rsidRPr="00464C4C"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464C4C">
        <w:rPr>
          <w:rStyle w:val="normaltextrun"/>
          <w:rFonts w:ascii="Arial" w:hAnsi="Arial" w:cs="Arial"/>
          <w:sz w:val="16"/>
          <w:szCs w:val="16"/>
          <w:lang w:val="es-MX"/>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r w:rsidRPr="00464C4C">
        <w:rPr>
          <w:rStyle w:val="eop"/>
          <w:rFonts w:ascii="Arial" w:hAnsi="Arial" w:cs="Arial"/>
          <w:sz w:val="16"/>
          <w:szCs w:val="16"/>
        </w:rPr>
        <w:t> </w:t>
      </w:r>
    </w:p>
    <w:p w14:paraId="5E27FFB6" w14:textId="174C5310" w:rsidR="00745BA5" w:rsidRPr="00464C4C" w:rsidRDefault="00745BA5" w:rsidP="00156391">
      <w:pPr>
        <w:pStyle w:val="paragraph"/>
        <w:spacing w:before="0" w:beforeAutospacing="0" w:after="0" w:afterAutospacing="0"/>
        <w:ind w:firstLine="705"/>
        <w:jc w:val="both"/>
        <w:textAlignment w:val="baseline"/>
        <w:rPr>
          <w:rFonts w:ascii="Arial" w:hAnsi="Arial" w:cs="Arial"/>
          <w:sz w:val="16"/>
          <w:szCs w:val="16"/>
        </w:rPr>
      </w:pPr>
      <w:r w:rsidRPr="00464C4C">
        <w:rPr>
          <w:rStyle w:val="normaltextrun"/>
          <w:rFonts w:ascii="Arial" w:hAnsi="Arial" w:cs="Arial"/>
          <w:sz w:val="16"/>
          <w:szCs w:val="16"/>
          <w:lang w:val="es-MX"/>
        </w:rPr>
        <w:t>No obstante lo anterior, sólo en aquellos casos en que por las características del objeto a contratar se requiera la verificación de requisitos del proponente adicionales a los contenidos en el Registro, la entidad podrá hacer tal verificación en forma directa”.</w:t>
      </w:r>
      <w:r w:rsidRPr="00464C4C">
        <w:rPr>
          <w:rStyle w:val="eop"/>
          <w:rFonts w:ascii="Arial" w:hAnsi="Arial" w:cs="Arial"/>
          <w:sz w:val="16"/>
          <w:szCs w:val="16"/>
        </w:rPr>
        <w:t> </w:t>
      </w:r>
    </w:p>
  </w:footnote>
  <w:footnote w:id="6">
    <w:p w14:paraId="3F89CC06" w14:textId="77777777" w:rsidR="00745BA5" w:rsidRPr="00464C4C"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464C4C">
        <w:rPr>
          <w:rStyle w:val="Refdenotaalpie"/>
          <w:rFonts w:ascii="Arial" w:eastAsiaTheme="majorEastAsia" w:hAnsi="Arial" w:cs="Arial"/>
          <w:sz w:val="16"/>
          <w:szCs w:val="16"/>
        </w:rPr>
        <w:footnoteRef/>
      </w:r>
      <w:r w:rsidRPr="00464C4C">
        <w:rPr>
          <w:rFonts w:ascii="Arial" w:hAnsi="Arial" w:cs="Arial"/>
          <w:sz w:val="16"/>
          <w:szCs w:val="16"/>
        </w:rPr>
        <w:t xml:space="preserve"> </w:t>
      </w:r>
      <w:r w:rsidRPr="00464C4C">
        <w:rPr>
          <w:rStyle w:val="normaltextrun"/>
          <w:rFonts w:ascii="Arial" w:hAnsi="Arial" w:cs="Arial"/>
          <w:sz w:val="16"/>
          <w:szCs w:val="16"/>
          <w:lang w:val="es-MX"/>
        </w:rPr>
        <w:t>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r w:rsidRPr="00464C4C">
        <w:rPr>
          <w:rStyle w:val="eop"/>
          <w:rFonts w:ascii="Arial" w:hAnsi="Arial" w:cs="Arial"/>
          <w:sz w:val="16"/>
          <w:szCs w:val="16"/>
        </w:rPr>
        <w:t> </w:t>
      </w:r>
    </w:p>
    <w:p w14:paraId="2464D308" w14:textId="77777777" w:rsidR="00745BA5" w:rsidRPr="00464C4C"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464C4C">
        <w:rPr>
          <w:rStyle w:val="normaltextrun"/>
          <w:rFonts w:ascii="Arial" w:hAnsi="Arial" w:cs="Arial"/>
          <w:sz w:val="16"/>
          <w:szCs w:val="16"/>
          <w:lang w:val="es-MX"/>
        </w:rPr>
        <w:t>1.    Si es una persona natural:</w:t>
      </w:r>
      <w:r w:rsidRPr="00464C4C">
        <w:rPr>
          <w:rStyle w:val="eop"/>
          <w:rFonts w:ascii="Arial" w:hAnsi="Arial" w:cs="Arial"/>
          <w:sz w:val="16"/>
          <w:szCs w:val="16"/>
        </w:rPr>
        <w:t> </w:t>
      </w:r>
    </w:p>
    <w:p w14:paraId="4B008D02" w14:textId="77777777" w:rsidR="00745BA5" w:rsidRPr="00464C4C"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464C4C">
        <w:rPr>
          <w:rStyle w:val="normaltextrun"/>
          <w:rFonts w:ascii="Arial" w:hAnsi="Arial" w:cs="Arial"/>
          <w:sz w:val="16"/>
          <w:szCs w:val="16"/>
          <w:lang w:val="es-MX"/>
        </w:rPr>
        <w:t>1.1. Bienes, obras y servicios que ofrecerá a las Entidades Estatales, identificados con el Clasificador de Bienes y Servicios en el tercer nivel.</w:t>
      </w:r>
      <w:r w:rsidRPr="00464C4C">
        <w:rPr>
          <w:rStyle w:val="eop"/>
          <w:rFonts w:ascii="Arial" w:hAnsi="Arial" w:cs="Arial"/>
          <w:sz w:val="16"/>
          <w:szCs w:val="16"/>
        </w:rPr>
        <w:t> </w:t>
      </w:r>
    </w:p>
    <w:p w14:paraId="6F2E5AEB" w14:textId="77777777" w:rsidR="00745BA5" w:rsidRPr="00464C4C"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464C4C">
        <w:rPr>
          <w:rStyle w:val="normaltextrun"/>
          <w:rFonts w:ascii="Arial" w:hAnsi="Arial" w:cs="Arial"/>
          <w:sz w:val="16"/>
          <w:szCs w:val="16"/>
          <w:lang w:val="es-MX"/>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w:t>
      </w:r>
      <w:r w:rsidRPr="00464C4C">
        <w:rPr>
          <w:rStyle w:val="normaltextrun"/>
          <w:rFonts w:ascii="Arial" w:hAnsi="Arial" w:cs="Arial"/>
          <w:sz w:val="16"/>
          <w:szCs w:val="16"/>
          <w:lang w:val="es-MX"/>
        </w:rPr>
        <w:softHyphen/>
        <w:t>sificador de Bienes y Servicios en el tercer nivel”.</w:t>
      </w:r>
      <w:r w:rsidRPr="00464C4C">
        <w:rPr>
          <w:rStyle w:val="eop"/>
          <w:rFonts w:ascii="Arial" w:hAnsi="Arial" w:cs="Arial"/>
          <w:sz w:val="16"/>
          <w:szCs w:val="16"/>
        </w:rPr>
        <w:t> </w:t>
      </w:r>
    </w:p>
    <w:p w14:paraId="6062D75D" w14:textId="77777777" w:rsidR="00745BA5" w:rsidRPr="00464C4C"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464C4C">
        <w:rPr>
          <w:rStyle w:val="eop"/>
          <w:rFonts w:ascii="Arial" w:hAnsi="Arial" w:cs="Arial"/>
          <w:sz w:val="16"/>
          <w:szCs w:val="16"/>
        </w:rPr>
        <w:t> </w:t>
      </w:r>
    </w:p>
  </w:footnote>
  <w:footnote w:id="7">
    <w:p w14:paraId="4AECFD80" w14:textId="77777777" w:rsidR="00745BA5" w:rsidRPr="00464C4C"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464C4C">
        <w:rPr>
          <w:rStyle w:val="Refdenotaalpie"/>
          <w:rFonts w:ascii="Arial" w:eastAsiaTheme="majorEastAsia" w:hAnsi="Arial" w:cs="Arial"/>
          <w:sz w:val="16"/>
          <w:szCs w:val="16"/>
        </w:rPr>
        <w:footnoteRef/>
      </w:r>
      <w:r w:rsidRPr="00464C4C">
        <w:rPr>
          <w:rFonts w:ascii="Arial" w:hAnsi="Arial" w:cs="Arial"/>
          <w:sz w:val="16"/>
          <w:szCs w:val="16"/>
        </w:rPr>
        <w:t xml:space="preserve"> </w:t>
      </w:r>
      <w:r w:rsidRPr="00464C4C">
        <w:rPr>
          <w:rStyle w:val="normaltextrun"/>
          <w:rFonts w:ascii="Arial" w:hAnsi="Arial" w:cs="Arial"/>
          <w:sz w:val="16"/>
          <w:szCs w:val="16"/>
          <w:lang w:val="es-MX"/>
        </w:rPr>
        <w:t>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r w:rsidRPr="00464C4C">
        <w:rPr>
          <w:rStyle w:val="eop"/>
          <w:rFonts w:ascii="Arial" w:hAnsi="Arial" w:cs="Arial"/>
          <w:sz w:val="16"/>
          <w:szCs w:val="16"/>
        </w:rPr>
        <w:t> </w:t>
      </w:r>
    </w:p>
    <w:p w14:paraId="00C5F4DD" w14:textId="77777777" w:rsidR="00745BA5" w:rsidRPr="00464C4C"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464C4C">
        <w:rPr>
          <w:rStyle w:val="normaltextrun"/>
          <w:rFonts w:ascii="Arial" w:hAnsi="Arial" w:cs="Arial"/>
          <w:sz w:val="16"/>
          <w:szCs w:val="16"/>
          <w:lang w:val="es-MX"/>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r w:rsidRPr="00464C4C">
        <w:rPr>
          <w:rStyle w:val="eop"/>
          <w:rFonts w:ascii="Arial" w:hAnsi="Arial" w:cs="Arial"/>
          <w:sz w:val="16"/>
          <w:szCs w:val="16"/>
        </w:rPr>
        <w:t> </w:t>
      </w:r>
    </w:p>
    <w:p w14:paraId="454F8233" w14:textId="77777777" w:rsidR="00745BA5" w:rsidRPr="00464C4C"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464C4C">
        <w:rPr>
          <w:rStyle w:val="normaltextrun"/>
          <w:rFonts w:ascii="Arial" w:hAnsi="Arial" w:cs="Arial"/>
          <w:sz w:val="16"/>
          <w:szCs w:val="16"/>
          <w:lang w:val="es-MX"/>
        </w:rPr>
        <w:t>[...]</w:t>
      </w:r>
      <w:r w:rsidRPr="00464C4C">
        <w:rPr>
          <w:rStyle w:val="eop"/>
          <w:rFonts w:ascii="Arial" w:hAnsi="Arial" w:cs="Arial"/>
          <w:sz w:val="16"/>
          <w:szCs w:val="16"/>
        </w:rPr>
        <w:t> </w:t>
      </w:r>
    </w:p>
    <w:p w14:paraId="1642B60C" w14:textId="77777777" w:rsidR="00745BA5" w:rsidRPr="00464C4C"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464C4C">
        <w:rPr>
          <w:rStyle w:val="normaltextrun"/>
          <w:rFonts w:ascii="Arial" w:hAnsi="Arial" w:cs="Arial"/>
          <w:sz w:val="16"/>
          <w:szCs w:val="16"/>
          <w:lang w:val="es-MX"/>
        </w:rPr>
        <w:t>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r w:rsidRPr="00464C4C">
        <w:rPr>
          <w:rStyle w:val="eop"/>
          <w:rFonts w:ascii="Arial" w:hAnsi="Arial" w:cs="Arial"/>
          <w:sz w:val="16"/>
          <w:szCs w:val="16"/>
        </w:rPr>
        <w:t> </w:t>
      </w:r>
    </w:p>
    <w:p w14:paraId="184EAF4C" w14:textId="77777777" w:rsidR="00745BA5" w:rsidRPr="00464C4C"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464C4C">
        <w:rPr>
          <w:rStyle w:val="normaltextrun"/>
          <w:rFonts w:ascii="Arial" w:hAnsi="Arial" w:cs="Arial"/>
          <w:sz w:val="16"/>
          <w:szCs w:val="16"/>
          <w:lang w:val="es-MX"/>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r w:rsidRPr="00464C4C">
        <w:rPr>
          <w:rStyle w:val="eop"/>
          <w:rFonts w:ascii="Arial" w:hAnsi="Arial" w:cs="Arial"/>
          <w:sz w:val="16"/>
          <w:szCs w:val="16"/>
        </w:rPr>
        <w:t> </w:t>
      </w:r>
    </w:p>
    <w:p w14:paraId="1DA7AE49" w14:textId="77777777" w:rsidR="00745BA5" w:rsidRPr="00464C4C"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464C4C">
        <w:rPr>
          <w:rStyle w:val="normaltextrun"/>
          <w:rFonts w:ascii="Arial" w:hAnsi="Arial" w:cs="Arial"/>
          <w:sz w:val="16"/>
          <w:szCs w:val="16"/>
          <w:lang w:val="es-MX"/>
        </w:rPr>
        <w:t>[...]”.</w:t>
      </w:r>
      <w:r w:rsidRPr="00464C4C">
        <w:rPr>
          <w:rStyle w:val="eop"/>
          <w:rFonts w:ascii="Arial" w:hAnsi="Arial" w:cs="Arial"/>
          <w:sz w:val="16"/>
          <w:szCs w:val="16"/>
        </w:rPr>
        <w:t> </w:t>
      </w:r>
    </w:p>
    <w:p w14:paraId="44D5D86C" w14:textId="77777777" w:rsidR="00745BA5" w:rsidRPr="00464C4C" w:rsidRDefault="00745BA5" w:rsidP="00745BA5">
      <w:pPr>
        <w:pStyle w:val="Textonotapie"/>
        <w:rPr>
          <w:rFonts w:ascii="Arial" w:hAnsi="Arial" w:cs="Arial"/>
          <w:sz w:val="16"/>
          <w:szCs w:val="16"/>
          <w:lang w:val="es-ES"/>
        </w:rPr>
      </w:pPr>
    </w:p>
  </w:footnote>
  <w:footnote w:id="8">
    <w:p w14:paraId="5ADC8006" w14:textId="77777777" w:rsidR="00745BA5" w:rsidRPr="00347889" w:rsidRDefault="00745BA5" w:rsidP="00745BA5">
      <w:pPr>
        <w:pStyle w:val="Textonotapie"/>
        <w:rPr>
          <w:rFonts w:ascii="Century Gothic" w:hAnsi="Century Gothic"/>
          <w:sz w:val="16"/>
          <w:szCs w:val="16"/>
          <w:lang w:val="es-ES"/>
        </w:rPr>
      </w:pPr>
      <w:r w:rsidRPr="00347889">
        <w:rPr>
          <w:rStyle w:val="Refdenotaalpie"/>
          <w:rFonts w:ascii="Century Gothic" w:hAnsi="Century Gothic"/>
          <w:sz w:val="16"/>
          <w:szCs w:val="16"/>
        </w:rPr>
        <w:footnoteRef/>
      </w:r>
      <w:r w:rsidRPr="00347889">
        <w:rPr>
          <w:rFonts w:ascii="Century Gothic" w:hAnsi="Century Gothic"/>
          <w:sz w:val="16"/>
          <w:szCs w:val="16"/>
        </w:rPr>
        <w:t xml:space="preserve"> </w:t>
      </w:r>
      <w:r w:rsidRPr="00347889">
        <w:rPr>
          <w:rStyle w:val="normaltextrun"/>
          <w:rFonts w:ascii="Century Gothic" w:hAnsi="Century Gothic" w:cs="Arial"/>
          <w:color w:val="000000"/>
          <w:sz w:val="16"/>
          <w:szCs w:val="16"/>
          <w:shd w:val="clear" w:color="auto" w:fill="FFFFFF"/>
        </w:rPr>
        <w:t>Corte Constitucional. Sentencia C - 259 del 11 de marzo 2008. M.P. Jaime Córdoba Triviño. </w:t>
      </w:r>
      <w:r w:rsidRPr="00347889">
        <w:rPr>
          <w:rStyle w:val="eop"/>
          <w:rFonts w:ascii="Century Gothic" w:hAnsi="Century Gothic" w:cs="Arial"/>
          <w:color w:val="000000"/>
          <w:sz w:val="16"/>
          <w:szCs w:val="16"/>
          <w:shd w:val="clear" w:color="auto" w:fill="FFFFFF"/>
        </w:rPr>
        <w:t> </w:t>
      </w:r>
    </w:p>
  </w:footnote>
  <w:footnote w:id="9">
    <w:p w14:paraId="58284962" w14:textId="77777777" w:rsidR="00745BA5" w:rsidRPr="00670CCF"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670CCF">
        <w:rPr>
          <w:rStyle w:val="Refdenotaalpie"/>
          <w:rFonts w:ascii="Arial" w:eastAsiaTheme="majorEastAsia" w:hAnsi="Arial" w:cs="Arial"/>
          <w:sz w:val="16"/>
          <w:szCs w:val="16"/>
        </w:rPr>
        <w:footnoteRef/>
      </w:r>
      <w:r w:rsidRPr="00670CCF">
        <w:rPr>
          <w:rFonts w:ascii="Arial" w:hAnsi="Arial" w:cs="Arial"/>
          <w:sz w:val="16"/>
          <w:szCs w:val="16"/>
        </w:rPr>
        <w:t xml:space="preserve"> </w:t>
      </w:r>
      <w:r w:rsidRPr="00670CCF">
        <w:rPr>
          <w:rStyle w:val="normaltextrun"/>
          <w:rFonts w:ascii="Arial" w:hAnsi="Arial" w:cs="Arial"/>
          <w:sz w:val="16"/>
          <w:szCs w:val="16"/>
          <w:lang w:val="es-MX"/>
        </w:rPr>
        <w:t>“Artículo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r w:rsidRPr="00670CCF">
        <w:rPr>
          <w:rStyle w:val="eop"/>
          <w:rFonts w:ascii="Arial" w:hAnsi="Arial" w:cs="Arial"/>
          <w:sz w:val="16"/>
          <w:szCs w:val="16"/>
        </w:rPr>
        <w:t> </w:t>
      </w:r>
    </w:p>
    <w:p w14:paraId="1C942153" w14:textId="77777777" w:rsidR="00745BA5" w:rsidRPr="00670CCF"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670CCF">
        <w:rPr>
          <w:rStyle w:val="normaltextrun"/>
          <w:rFonts w:ascii="Arial" w:hAnsi="Arial" w:cs="Arial"/>
          <w:sz w:val="16"/>
          <w:szCs w:val="16"/>
          <w:lang w:val="es-MX"/>
        </w:rPr>
        <w:t>[…]</w:t>
      </w:r>
      <w:r w:rsidRPr="00670CCF">
        <w:rPr>
          <w:rStyle w:val="eop"/>
          <w:rFonts w:ascii="Arial" w:hAnsi="Arial" w:cs="Arial"/>
          <w:sz w:val="16"/>
          <w:szCs w:val="16"/>
        </w:rPr>
        <w:t> </w:t>
      </w:r>
    </w:p>
    <w:p w14:paraId="79CF3621" w14:textId="77777777" w:rsidR="00745BA5" w:rsidRPr="00670CCF"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670CCF">
        <w:rPr>
          <w:rStyle w:val="normaltextrun"/>
          <w:rFonts w:ascii="Arial" w:hAnsi="Arial" w:cs="Arial"/>
          <w:sz w:val="16"/>
          <w:szCs w:val="16"/>
          <w:shd w:val="clear" w:color="auto" w:fill="FFFFFF"/>
          <w:lang w:val="es-MX"/>
        </w:rPr>
        <w:t>2.1.   Bienes, obras y servicios que ofrecerá a las Entidades Estatales, identificados con el Clasificador de Bienes y Servicios en el tercer nivel</w:t>
      </w:r>
      <w:r w:rsidRPr="00670CCF">
        <w:rPr>
          <w:rStyle w:val="normaltextrun"/>
          <w:rFonts w:ascii="Arial" w:hAnsi="Arial" w:cs="Arial"/>
          <w:sz w:val="16"/>
          <w:szCs w:val="16"/>
          <w:lang w:val="es-MX"/>
        </w:rPr>
        <w:t>”</w:t>
      </w:r>
      <w:r w:rsidRPr="00670CCF">
        <w:rPr>
          <w:rStyle w:val="normaltextrun"/>
          <w:rFonts w:ascii="Arial" w:hAnsi="Arial" w:cs="Arial"/>
          <w:sz w:val="16"/>
          <w:szCs w:val="16"/>
          <w:shd w:val="clear" w:color="auto" w:fill="FFFFFF"/>
          <w:lang w:val="es-MX"/>
        </w:rPr>
        <w:t>.</w:t>
      </w:r>
      <w:r w:rsidRPr="00670CCF">
        <w:rPr>
          <w:rStyle w:val="eop"/>
          <w:rFonts w:ascii="Arial" w:hAnsi="Arial" w:cs="Arial"/>
          <w:sz w:val="16"/>
          <w:szCs w:val="16"/>
        </w:rPr>
        <w:t> </w:t>
      </w:r>
    </w:p>
  </w:footnote>
  <w:footnote w:id="10">
    <w:p w14:paraId="1D5C8D0C" w14:textId="77777777" w:rsidR="00745BA5" w:rsidRPr="00670CCF"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670CCF">
        <w:rPr>
          <w:rStyle w:val="Refdenotaalpie"/>
          <w:rFonts w:ascii="Arial" w:eastAsiaTheme="majorEastAsia" w:hAnsi="Arial" w:cs="Arial"/>
          <w:sz w:val="16"/>
          <w:szCs w:val="16"/>
        </w:rPr>
        <w:footnoteRef/>
      </w:r>
      <w:r w:rsidRPr="00670CCF">
        <w:rPr>
          <w:rFonts w:ascii="Arial" w:hAnsi="Arial" w:cs="Arial"/>
          <w:sz w:val="16"/>
          <w:szCs w:val="16"/>
        </w:rPr>
        <w:t xml:space="preserve"> </w:t>
      </w:r>
      <w:r w:rsidRPr="00670CCF">
        <w:rPr>
          <w:rStyle w:val="normaltextrun"/>
          <w:rFonts w:ascii="Arial" w:hAnsi="Arial" w:cs="Arial"/>
          <w:sz w:val="16"/>
          <w:szCs w:val="16"/>
          <w:lang w:val="es-MX"/>
        </w:rPr>
        <w:t>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r w:rsidRPr="00670CCF">
        <w:rPr>
          <w:rStyle w:val="eop"/>
          <w:rFonts w:ascii="Arial" w:hAnsi="Arial" w:cs="Arial"/>
          <w:sz w:val="16"/>
          <w:szCs w:val="16"/>
        </w:rPr>
        <w:t> </w:t>
      </w:r>
    </w:p>
    <w:p w14:paraId="029BBEFC" w14:textId="77777777" w:rsidR="00745BA5" w:rsidRPr="00670CCF"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670CCF">
        <w:rPr>
          <w:rStyle w:val="normaltextrun"/>
          <w:rFonts w:ascii="Arial" w:hAnsi="Arial" w:cs="Arial"/>
          <w:sz w:val="16"/>
          <w:szCs w:val="16"/>
          <w:lang w:val="es-MX"/>
        </w:rPr>
        <w:t>[…]</w:t>
      </w:r>
      <w:r w:rsidRPr="00670CCF">
        <w:rPr>
          <w:rStyle w:val="eop"/>
          <w:rFonts w:ascii="Arial" w:hAnsi="Arial" w:cs="Arial"/>
          <w:sz w:val="16"/>
          <w:szCs w:val="16"/>
        </w:rPr>
        <w:t> </w:t>
      </w:r>
    </w:p>
    <w:p w14:paraId="2BFA70D0" w14:textId="77777777" w:rsidR="00745BA5" w:rsidRPr="00670CCF" w:rsidRDefault="00745BA5" w:rsidP="00745BA5">
      <w:pPr>
        <w:pStyle w:val="paragraph"/>
        <w:spacing w:before="0" w:beforeAutospacing="0" w:after="0" w:afterAutospacing="0"/>
        <w:ind w:firstLine="705"/>
        <w:jc w:val="both"/>
        <w:textAlignment w:val="baseline"/>
        <w:rPr>
          <w:rFonts w:ascii="Arial" w:hAnsi="Arial" w:cs="Arial"/>
          <w:sz w:val="16"/>
          <w:szCs w:val="16"/>
        </w:rPr>
      </w:pPr>
      <w:r w:rsidRPr="00670CCF">
        <w:rPr>
          <w:rStyle w:val="normaltextrun"/>
          <w:rFonts w:ascii="Arial" w:hAnsi="Arial" w:cs="Arial"/>
          <w:sz w:val="16"/>
          <w:szCs w:val="16"/>
          <w:shd w:val="clear" w:color="auto" w:fill="FFFFFF"/>
          <w:lang w:val="es-MX"/>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r w:rsidRPr="00670CCF">
        <w:rPr>
          <w:rStyle w:val="normaltextrun"/>
          <w:rFonts w:ascii="Arial" w:hAnsi="Arial" w:cs="Arial"/>
          <w:sz w:val="16"/>
          <w:szCs w:val="16"/>
          <w:lang w:val="es-MX"/>
        </w:rPr>
        <w:t>”.</w:t>
      </w:r>
      <w:r w:rsidRPr="00670CCF">
        <w:rPr>
          <w:rStyle w:val="eop"/>
          <w:rFonts w:ascii="Arial" w:hAnsi="Arial" w:cs="Arial"/>
          <w:sz w:val="16"/>
          <w:szCs w:val="16"/>
        </w:rPr>
        <w:t> </w:t>
      </w:r>
    </w:p>
    <w:p w14:paraId="41C695EF" w14:textId="77777777" w:rsidR="00745BA5" w:rsidRPr="00670CCF" w:rsidRDefault="00745BA5" w:rsidP="00745BA5">
      <w:pPr>
        <w:pStyle w:val="Textonotapie"/>
        <w:rPr>
          <w:rFonts w:ascii="Arial" w:hAnsi="Arial" w:cs="Arial"/>
          <w:sz w:val="16"/>
          <w:szCs w:val="16"/>
          <w:lang w:val="es-ES"/>
        </w:rPr>
      </w:pPr>
    </w:p>
  </w:footnote>
  <w:footnote w:id="11">
    <w:p w14:paraId="09E9A5E3" w14:textId="2899FE0A" w:rsidR="00745BA5" w:rsidRPr="00670CCF" w:rsidRDefault="00745BA5" w:rsidP="00670CCF">
      <w:pPr>
        <w:pStyle w:val="paragraph"/>
        <w:spacing w:before="0" w:beforeAutospacing="0" w:after="0" w:afterAutospacing="0"/>
        <w:ind w:firstLine="705"/>
        <w:jc w:val="both"/>
        <w:textAlignment w:val="baseline"/>
        <w:rPr>
          <w:rFonts w:ascii="Arial" w:hAnsi="Arial" w:cs="Arial"/>
          <w:sz w:val="16"/>
          <w:szCs w:val="16"/>
        </w:rPr>
      </w:pPr>
      <w:r w:rsidRPr="00670CCF">
        <w:rPr>
          <w:rStyle w:val="Refdenotaalpie"/>
          <w:rFonts w:ascii="Arial" w:eastAsiaTheme="majorEastAsia" w:hAnsi="Arial" w:cs="Arial"/>
          <w:sz w:val="16"/>
          <w:szCs w:val="16"/>
        </w:rPr>
        <w:footnoteRef/>
      </w:r>
      <w:r w:rsidRPr="00670CCF">
        <w:rPr>
          <w:rFonts w:ascii="Arial" w:hAnsi="Arial" w:cs="Arial"/>
          <w:sz w:val="16"/>
          <w:szCs w:val="16"/>
        </w:rPr>
        <w:t xml:space="preserve"> </w:t>
      </w:r>
      <w:r w:rsidRPr="00670CCF">
        <w:rPr>
          <w:rStyle w:val="normaltextrun"/>
          <w:rFonts w:ascii="Arial" w:hAnsi="Arial" w:cs="Arial"/>
          <w:sz w:val="16"/>
          <w:szCs w:val="16"/>
          <w:lang w:val="es-MX"/>
        </w:rPr>
        <w:t>Al respecto, consultar, entre otros: los conceptos identificados con radicado No. 4201912000007512 del 3 de noviembre de 2019, 4201913000007182 del 18 de octubre de 2019 y 4201913000006797 del 3 de octubre de 2019. </w:t>
      </w:r>
      <w:r w:rsidRPr="00670CCF">
        <w:rPr>
          <w:rStyle w:val="eop"/>
          <w:rFonts w:ascii="Arial" w:hAnsi="Arial" w:cs="Arial"/>
          <w:sz w:val="16"/>
          <w:szCs w:val="16"/>
        </w:rPr>
        <w:t> </w:t>
      </w:r>
    </w:p>
  </w:footnote>
  <w:footnote w:id="12">
    <w:p w14:paraId="638DB00F" w14:textId="77777777" w:rsidR="00745BA5" w:rsidRPr="00670CCF" w:rsidRDefault="00745BA5" w:rsidP="002F5E25">
      <w:pPr>
        <w:pStyle w:val="Textonotapie"/>
        <w:ind w:firstLine="709"/>
        <w:jc w:val="both"/>
        <w:rPr>
          <w:rFonts w:ascii="Arial" w:hAnsi="Arial" w:cs="Arial"/>
          <w:sz w:val="16"/>
          <w:szCs w:val="16"/>
          <w:lang w:val="es-ES"/>
        </w:rPr>
      </w:pPr>
      <w:r w:rsidRPr="00670CCF">
        <w:rPr>
          <w:rStyle w:val="Refdenotaalpie"/>
          <w:rFonts w:ascii="Arial" w:hAnsi="Arial" w:cs="Arial"/>
          <w:sz w:val="16"/>
          <w:szCs w:val="16"/>
        </w:rPr>
        <w:footnoteRef/>
      </w:r>
      <w:r w:rsidRPr="00670CCF">
        <w:rPr>
          <w:rFonts w:ascii="Arial" w:hAnsi="Arial" w:cs="Arial"/>
          <w:sz w:val="16"/>
          <w:szCs w:val="16"/>
        </w:rPr>
        <w:t xml:space="preserve"> </w:t>
      </w:r>
      <w:r w:rsidRPr="00670CCF">
        <w:rPr>
          <w:rStyle w:val="normaltextrun"/>
          <w:rFonts w:ascii="Arial" w:hAnsi="Arial" w:cs="Arial"/>
          <w:color w:val="000000"/>
          <w:sz w:val="16"/>
          <w:szCs w:val="16"/>
          <w:shd w:val="clear" w:color="auto" w:fill="FFFFFF"/>
        </w:rPr>
        <w:t>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r w:rsidRPr="00670CCF">
        <w:rPr>
          <w:rStyle w:val="eop"/>
          <w:rFonts w:ascii="Arial" w:hAnsi="Arial" w:cs="Arial"/>
          <w:color w:val="000000"/>
          <w:sz w:val="16"/>
          <w:szCs w:val="16"/>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6438770">
    <w:abstractNumId w:val="7"/>
  </w:num>
  <w:num w:numId="2" w16cid:durableId="1177354298">
    <w:abstractNumId w:val="3"/>
  </w:num>
  <w:num w:numId="3" w16cid:durableId="604652369">
    <w:abstractNumId w:val="5"/>
  </w:num>
  <w:num w:numId="4" w16cid:durableId="853763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9370553">
    <w:abstractNumId w:val="3"/>
  </w:num>
  <w:num w:numId="6" w16cid:durableId="1217351694">
    <w:abstractNumId w:val="13"/>
  </w:num>
  <w:num w:numId="7" w16cid:durableId="714626479">
    <w:abstractNumId w:val="6"/>
  </w:num>
  <w:num w:numId="8" w16cid:durableId="1599947083">
    <w:abstractNumId w:val="12"/>
  </w:num>
  <w:num w:numId="9" w16cid:durableId="291059871">
    <w:abstractNumId w:val="8"/>
  </w:num>
  <w:num w:numId="10" w16cid:durableId="764351246">
    <w:abstractNumId w:val="11"/>
  </w:num>
  <w:num w:numId="11" w16cid:durableId="1332367559">
    <w:abstractNumId w:val="9"/>
  </w:num>
  <w:num w:numId="12" w16cid:durableId="261649369">
    <w:abstractNumId w:val="2"/>
  </w:num>
  <w:num w:numId="13" w16cid:durableId="1529756075">
    <w:abstractNumId w:val="4"/>
  </w:num>
  <w:num w:numId="14" w16cid:durableId="599603510">
    <w:abstractNumId w:val="14"/>
  </w:num>
  <w:num w:numId="15" w16cid:durableId="2036804702">
    <w:abstractNumId w:val="10"/>
  </w:num>
  <w:num w:numId="16" w16cid:durableId="1401756077">
    <w:abstractNumId w:val="0"/>
  </w:num>
  <w:num w:numId="17" w16cid:durableId="1263343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61B2A"/>
    <w:rsid w:val="00082362"/>
    <w:rsid w:val="0008607F"/>
    <w:rsid w:val="00090043"/>
    <w:rsid w:val="000A683E"/>
    <w:rsid w:val="000B19B9"/>
    <w:rsid w:val="000D0334"/>
    <w:rsid w:val="000F6486"/>
    <w:rsid w:val="00117440"/>
    <w:rsid w:val="00125105"/>
    <w:rsid w:val="00127233"/>
    <w:rsid w:val="001425D5"/>
    <w:rsid w:val="00156391"/>
    <w:rsid w:val="001C582D"/>
    <w:rsid w:val="001E4177"/>
    <w:rsid w:val="001E7C89"/>
    <w:rsid w:val="001F7DC6"/>
    <w:rsid w:val="002421BB"/>
    <w:rsid w:val="002707A2"/>
    <w:rsid w:val="002951A0"/>
    <w:rsid w:val="00295779"/>
    <w:rsid w:val="002962BC"/>
    <w:rsid w:val="002A093D"/>
    <w:rsid w:val="002A0DD0"/>
    <w:rsid w:val="002A49AC"/>
    <w:rsid w:val="002A64FD"/>
    <w:rsid w:val="002C7A84"/>
    <w:rsid w:val="002D098E"/>
    <w:rsid w:val="002E4FD9"/>
    <w:rsid w:val="002F5E25"/>
    <w:rsid w:val="002F7370"/>
    <w:rsid w:val="00322A85"/>
    <w:rsid w:val="003448F4"/>
    <w:rsid w:val="00347889"/>
    <w:rsid w:val="00374F5E"/>
    <w:rsid w:val="00377E3E"/>
    <w:rsid w:val="003A779E"/>
    <w:rsid w:val="003D0F4D"/>
    <w:rsid w:val="003D5B0D"/>
    <w:rsid w:val="003E0499"/>
    <w:rsid w:val="003E1F8D"/>
    <w:rsid w:val="003F3941"/>
    <w:rsid w:val="003F5711"/>
    <w:rsid w:val="00406575"/>
    <w:rsid w:val="0042722E"/>
    <w:rsid w:val="00464C4C"/>
    <w:rsid w:val="00496C46"/>
    <w:rsid w:val="004A1847"/>
    <w:rsid w:val="004A305D"/>
    <w:rsid w:val="004F21C4"/>
    <w:rsid w:val="004F685F"/>
    <w:rsid w:val="005566E8"/>
    <w:rsid w:val="00574867"/>
    <w:rsid w:val="00591460"/>
    <w:rsid w:val="005A2340"/>
    <w:rsid w:val="005A7589"/>
    <w:rsid w:val="005C3777"/>
    <w:rsid w:val="005C4126"/>
    <w:rsid w:val="005C5CDC"/>
    <w:rsid w:val="005D476C"/>
    <w:rsid w:val="005E1B7A"/>
    <w:rsid w:val="006219F8"/>
    <w:rsid w:val="00640081"/>
    <w:rsid w:val="00665D70"/>
    <w:rsid w:val="00670CCF"/>
    <w:rsid w:val="006900D9"/>
    <w:rsid w:val="006B21CF"/>
    <w:rsid w:val="006F496B"/>
    <w:rsid w:val="00706C16"/>
    <w:rsid w:val="00720080"/>
    <w:rsid w:val="00745BA5"/>
    <w:rsid w:val="00756841"/>
    <w:rsid w:val="007649AB"/>
    <w:rsid w:val="00765063"/>
    <w:rsid w:val="00771D0C"/>
    <w:rsid w:val="00776229"/>
    <w:rsid w:val="00782515"/>
    <w:rsid w:val="007833AC"/>
    <w:rsid w:val="007845D3"/>
    <w:rsid w:val="007B268C"/>
    <w:rsid w:val="007B7171"/>
    <w:rsid w:val="007C3DC2"/>
    <w:rsid w:val="007E5497"/>
    <w:rsid w:val="00806F5F"/>
    <w:rsid w:val="00820278"/>
    <w:rsid w:val="008843B6"/>
    <w:rsid w:val="00891928"/>
    <w:rsid w:val="008A446D"/>
    <w:rsid w:val="008B22BF"/>
    <w:rsid w:val="008D180B"/>
    <w:rsid w:val="008F0EA7"/>
    <w:rsid w:val="00923EEF"/>
    <w:rsid w:val="009419F9"/>
    <w:rsid w:val="00961B09"/>
    <w:rsid w:val="00965334"/>
    <w:rsid w:val="0097093E"/>
    <w:rsid w:val="009A6976"/>
    <w:rsid w:val="009C71FA"/>
    <w:rsid w:val="009C72E7"/>
    <w:rsid w:val="009F3A13"/>
    <w:rsid w:val="00A122D3"/>
    <w:rsid w:val="00A17F13"/>
    <w:rsid w:val="00A20739"/>
    <w:rsid w:val="00A33C78"/>
    <w:rsid w:val="00A41564"/>
    <w:rsid w:val="00A93797"/>
    <w:rsid w:val="00A93D7D"/>
    <w:rsid w:val="00AB02C6"/>
    <w:rsid w:val="00AB0ADB"/>
    <w:rsid w:val="00B4074D"/>
    <w:rsid w:val="00B72CD3"/>
    <w:rsid w:val="00B72FFF"/>
    <w:rsid w:val="00BB24C3"/>
    <w:rsid w:val="00BC3D36"/>
    <w:rsid w:val="00BD4057"/>
    <w:rsid w:val="00BD7F72"/>
    <w:rsid w:val="00BE6802"/>
    <w:rsid w:val="00C04FB3"/>
    <w:rsid w:val="00C330EB"/>
    <w:rsid w:val="00C633A0"/>
    <w:rsid w:val="00C754BE"/>
    <w:rsid w:val="00C76B1C"/>
    <w:rsid w:val="00C906CF"/>
    <w:rsid w:val="00CB6357"/>
    <w:rsid w:val="00CC1B26"/>
    <w:rsid w:val="00CD02D3"/>
    <w:rsid w:val="00CD06CF"/>
    <w:rsid w:val="00D36B0D"/>
    <w:rsid w:val="00D37FE1"/>
    <w:rsid w:val="00D423A2"/>
    <w:rsid w:val="00D63AC2"/>
    <w:rsid w:val="00D7383B"/>
    <w:rsid w:val="00D8788C"/>
    <w:rsid w:val="00DA231B"/>
    <w:rsid w:val="00DE4E01"/>
    <w:rsid w:val="00DF5254"/>
    <w:rsid w:val="00E04D78"/>
    <w:rsid w:val="00E16408"/>
    <w:rsid w:val="00E20894"/>
    <w:rsid w:val="00E245AB"/>
    <w:rsid w:val="00E2764C"/>
    <w:rsid w:val="00E27F2E"/>
    <w:rsid w:val="00E50AFE"/>
    <w:rsid w:val="00E771DC"/>
    <w:rsid w:val="00E8772A"/>
    <w:rsid w:val="00E90F6B"/>
    <w:rsid w:val="00E92C27"/>
    <w:rsid w:val="00E97D30"/>
    <w:rsid w:val="00EA03BA"/>
    <w:rsid w:val="00EA0E3D"/>
    <w:rsid w:val="00EE1AA8"/>
    <w:rsid w:val="00F15C7B"/>
    <w:rsid w:val="00F31EDC"/>
    <w:rsid w:val="00F462B3"/>
    <w:rsid w:val="00F55E0B"/>
    <w:rsid w:val="00F5664F"/>
    <w:rsid w:val="00F666C4"/>
    <w:rsid w:val="00F75F68"/>
    <w:rsid w:val="00F76AFC"/>
    <w:rsid w:val="00F830B4"/>
    <w:rsid w:val="00F84632"/>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45BA5"/>
    <w:rPr>
      <w:rFonts w:ascii="Geomanist Light" w:hAnsi="Geomanist Light"/>
      <w:lang w:val="es-ES"/>
    </w:rPr>
  </w:style>
  <w:style w:type="table" w:customStyle="1" w:styleId="Tablaconcuadrcula1">
    <w:name w:val="Tabla con cuadrícula1"/>
    <w:basedOn w:val="Tablanormal"/>
    <w:next w:val="Tablaconcuadrcula"/>
    <w:uiPriority w:val="59"/>
    <w:rsid w:val="00745BA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745BA5"/>
    <w:pPr>
      <w:spacing w:line="240" w:lineRule="exact"/>
    </w:pPr>
    <w:rPr>
      <w:vertAlign w:val="superscript"/>
    </w:rPr>
  </w:style>
  <w:style w:type="character" w:customStyle="1" w:styleId="NormalWebCar">
    <w:name w:val="Normal (Web) Car"/>
    <w:link w:val="NormalWeb"/>
    <w:uiPriority w:val="99"/>
    <w:rsid w:val="00745BA5"/>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640081"/>
    <w:rPr>
      <w:sz w:val="16"/>
      <w:szCs w:val="16"/>
    </w:rPr>
  </w:style>
  <w:style w:type="paragraph" w:styleId="Textocomentario">
    <w:name w:val="annotation text"/>
    <w:basedOn w:val="Normal"/>
    <w:link w:val="TextocomentarioCar"/>
    <w:uiPriority w:val="99"/>
    <w:unhideWhenUsed/>
    <w:rsid w:val="00640081"/>
    <w:pPr>
      <w:spacing w:line="240" w:lineRule="auto"/>
    </w:pPr>
    <w:rPr>
      <w:sz w:val="20"/>
      <w:szCs w:val="20"/>
    </w:rPr>
  </w:style>
  <w:style w:type="character" w:customStyle="1" w:styleId="TextocomentarioCar">
    <w:name w:val="Texto comentario Car"/>
    <w:basedOn w:val="Fuentedeprrafopredeter"/>
    <w:link w:val="Textocomentario"/>
    <w:uiPriority w:val="99"/>
    <w:rsid w:val="00640081"/>
    <w:rPr>
      <w:sz w:val="20"/>
      <w:szCs w:val="20"/>
    </w:rPr>
  </w:style>
  <w:style w:type="paragraph" w:styleId="Asuntodelcomentario">
    <w:name w:val="annotation subject"/>
    <w:basedOn w:val="Textocomentario"/>
    <w:next w:val="Textocomentario"/>
    <w:link w:val="AsuntodelcomentarioCar"/>
    <w:uiPriority w:val="99"/>
    <w:semiHidden/>
    <w:unhideWhenUsed/>
    <w:rsid w:val="00640081"/>
    <w:rPr>
      <w:b/>
      <w:bCs/>
    </w:rPr>
  </w:style>
  <w:style w:type="character" w:customStyle="1" w:styleId="AsuntodelcomentarioCar">
    <w:name w:val="Asunto del comentario Car"/>
    <w:basedOn w:val="TextocomentarioCar"/>
    <w:link w:val="Asuntodelcomentario"/>
    <w:uiPriority w:val="99"/>
    <w:semiHidden/>
    <w:rsid w:val="00640081"/>
    <w:rPr>
      <w:b/>
      <w:bCs/>
      <w:sz w:val="20"/>
      <w:szCs w:val="20"/>
    </w:rPr>
  </w:style>
  <w:style w:type="character" w:customStyle="1" w:styleId="superscript">
    <w:name w:val="superscript"/>
    <w:basedOn w:val="Fuentedeprrafopredeter"/>
    <w:rsid w:val="00464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6126">
      <w:bodyDiv w:val="1"/>
      <w:marLeft w:val="0"/>
      <w:marRight w:val="0"/>
      <w:marTop w:val="0"/>
      <w:marBottom w:val="0"/>
      <w:divBdr>
        <w:top w:val="none" w:sz="0" w:space="0" w:color="auto"/>
        <w:left w:val="none" w:sz="0" w:space="0" w:color="auto"/>
        <w:bottom w:val="none" w:sz="0" w:space="0" w:color="auto"/>
        <w:right w:val="none" w:sz="0" w:space="0" w:color="auto"/>
      </w:divBdr>
      <w:divsChild>
        <w:div w:id="1633247143">
          <w:marLeft w:val="0"/>
          <w:marRight w:val="0"/>
          <w:marTop w:val="0"/>
          <w:marBottom w:val="0"/>
          <w:divBdr>
            <w:top w:val="none" w:sz="0" w:space="0" w:color="auto"/>
            <w:left w:val="none" w:sz="0" w:space="0" w:color="auto"/>
            <w:bottom w:val="none" w:sz="0" w:space="0" w:color="auto"/>
            <w:right w:val="none" w:sz="0" w:space="0" w:color="auto"/>
          </w:divBdr>
        </w:div>
        <w:div w:id="513614170">
          <w:marLeft w:val="0"/>
          <w:marRight w:val="0"/>
          <w:marTop w:val="0"/>
          <w:marBottom w:val="0"/>
          <w:divBdr>
            <w:top w:val="none" w:sz="0" w:space="0" w:color="auto"/>
            <w:left w:val="none" w:sz="0" w:space="0" w:color="auto"/>
            <w:bottom w:val="none" w:sz="0" w:space="0" w:color="auto"/>
            <w:right w:val="none" w:sz="0" w:space="0" w:color="auto"/>
          </w:divBdr>
        </w:div>
        <w:div w:id="78983813">
          <w:marLeft w:val="0"/>
          <w:marRight w:val="0"/>
          <w:marTop w:val="0"/>
          <w:marBottom w:val="0"/>
          <w:divBdr>
            <w:top w:val="none" w:sz="0" w:space="0" w:color="auto"/>
            <w:left w:val="none" w:sz="0" w:space="0" w:color="auto"/>
            <w:bottom w:val="none" w:sz="0" w:space="0" w:color="auto"/>
            <w:right w:val="none" w:sz="0" w:space="0" w:color="auto"/>
          </w:divBdr>
        </w:div>
        <w:div w:id="544870027">
          <w:marLeft w:val="0"/>
          <w:marRight w:val="0"/>
          <w:marTop w:val="0"/>
          <w:marBottom w:val="0"/>
          <w:divBdr>
            <w:top w:val="none" w:sz="0" w:space="0" w:color="auto"/>
            <w:left w:val="none" w:sz="0" w:space="0" w:color="auto"/>
            <w:bottom w:val="none" w:sz="0" w:space="0" w:color="auto"/>
            <w:right w:val="none" w:sz="0" w:space="0" w:color="auto"/>
          </w:divBdr>
        </w:div>
        <w:div w:id="27801091">
          <w:marLeft w:val="0"/>
          <w:marRight w:val="0"/>
          <w:marTop w:val="0"/>
          <w:marBottom w:val="0"/>
          <w:divBdr>
            <w:top w:val="none" w:sz="0" w:space="0" w:color="auto"/>
            <w:left w:val="none" w:sz="0" w:space="0" w:color="auto"/>
            <w:bottom w:val="none" w:sz="0" w:space="0" w:color="auto"/>
            <w:right w:val="none" w:sz="0" w:space="0" w:color="auto"/>
          </w:divBdr>
        </w:div>
        <w:div w:id="462234633">
          <w:marLeft w:val="0"/>
          <w:marRight w:val="0"/>
          <w:marTop w:val="0"/>
          <w:marBottom w:val="0"/>
          <w:divBdr>
            <w:top w:val="none" w:sz="0" w:space="0" w:color="auto"/>
            <w:left w:val="none" w:sz="0" w:space="0" w:color="auto"/>
            <w:bottom w:val="none" w:sz="0" w:space="0" w:color="auto"/>
            <w:right w:val="none" w:sz="0" w:space="0" w:color="auto"/>
          </w:divBdr>
        </w:div>
        <w:div w:id="281615903">
          <w:marLeft w:val="0"/>
          <w:marRight w:val="0"/>
          <w:marTop w:val="0"/>
          <w:marBottom w:val="0"/>
          <w:divBdr>
            <w:top w:val="none" w:sz="0" w:space="0" w:color="auto"/>
            <w:left w:val="none" w:sz="0" w:space="0" w:color="auto"/>
            <w:bottom w:val="none" w:sz="0" w:space="0" w:color="auto"/>
            <w:right w:val="none" w:sz="0" w:space="0" w:color="auto"/>
          </w:divBdr>
        </w:div>
        <w:div w:id="629172769">
          <w:marLeft w:val="0"/>
          <w:marRight w:val="0"/>
          <w:marTop w:val="0"/>
          <w:marBottom w:val="0"/>
          <w:divBdr>
            <w:top w:val="none" w:sz="0" w:space="0" w:color="auto"/>
            <w:left w:val="none" w:sz="0" w:space="0" w:color="auto"/>
            <w:bottom w:val="none" w:sz="0" w:space="0" w:color="auto"/>
            <w:right w:val="none" w:sz="0" w:space="0" w:color="auto"/>
          </w:divBdr>
        </w:div>
        <w:div w:id="721634407">
          <w:marLeft w:val="0"/>
          <w:marRight w:val="0"/>
          <w:marTop w:val="0"/>
          <w:marBottom w:val="0"/>
          <w:divBdr>
            <w:top w:val="none" w:sz="0" w:space="0" w:color="auto"/>
            <w:left w:val="none" w:sz="0" w:space="0" w:color="auto"/>
            <w:bottom w:val="none" w:sz="0" w:space="0" w:color="auto"/>
            <w:right w:val="none" w:sz="0" w:space="0" w:color="auto"/>
          </w:divBdr>
        </w:div>
        <w:div w:id="863900750">
          <w:marLeft w:val="0"/>
          <w:marRight w:val="0"/>
          <w:marTop w:val="0"/>
          <w:marBottom w:val="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SharedWithUsers xmlns="a6cb9e4b-f1d1-4245-83ec-6cad768d538a">
      <UserInfo>
        <DisplayName>Johanna Ovalle Clavijo</DisplayName>
        <AccountId>770</AccountId>
        <AccountType/>
      </UserInfo>
      <UserInfo>
        <DisplayName>Alejandro Sarmiento</DisplayName>
        <AccountId>119</AccountId>
        <AccountType/>
      </UserInfo>
      <UserInfo>
        <DisplayName>Nohelia Del Carmen Zawady Palacio</DisplayName>
        <AccountId>289</AccountId>
        <AccountType/>
      </UserInfo>
    </SharedWithUsers>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981EA050-E3B1-4C33-9DC4-A5BEB4320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51ffb7fd-4899-4472-8c42-8dade94ea362"/>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5884</Words>
  <Characters>32366</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3</cp:revision>
  <cp:lastPrinted>2023-01-10T21:18:00Z</cp:lastPrinted>
  <dcterms:created xsi:type="dcterms:W3CDTF">2023-12-03T23:42:00Z</dcterms:created>
  <dcterms:modified xsi:type="dcterms:W3CDTF">2024-03-15T20:21:00Z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