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09AD" w14:textId="77777777" w:rsidR="002E5907" w:rsidRPr="00C6607A" w:rsidRDefault="002E5907" w:rsidP="00C6607A">
      <w:pPr>
        <w:pStyle w:val="paragraph"/>
        <w:spacing w:before="0" w:beforeAutospacing="0" w:after="0" w:afterAutospacing="0"/>
        <w:jc w:val="both"/>
        <w:textAlignment w:val="baseline"/>
        <w:rPr>
          <w:rFonts w:ascii="Century Gothic" w:hAnsi="Century Gothic" w:cs="Segoe UI"/>
          <w:sz w:val="16"/>
          <w:szCs w:val="16"/>
        </w:rPr>
      </w:pPr>
      <w:bookmarkStart w:id="0" w:name="_Hlk143780582"/>
      <w:r w:rsidRPr="00C6607A">
        <w:rPr>
          <w:rStyle w:val="normaltextrun"/>
          <w:rFonts w:ascii="Century Gothic" w:hAnsi="Century Gothic" w:cs="Arial"/>
          <w:b/>
          <w:bCs/>
          <w:color w:val="000000"/>
          <w:sz w:val="18"/>
          <w:szCs w:val="18"/>
          <w:lang w:val="es-ES"/>
        </w:rPr>
        <w:t>CONTRATO DE PRESTACIÓN DE SERVICIOS – Características</w:t>
      </w:r>
      <w:r w:rsidRPr="00C6607A">
        <w:rPr>
          <w:rStyle w:val="eop"/>
          <w:rFonts w:ascii="Century Gothic" w:hAnsi="Century Gothic" w:cs="Arial"/>
          <w:color w:val="000000"/>
          <w:sz w:val="18"/>
          <w:szCs w:val="18"/>
        </w:rPr>
        <w:t> </w:t>
      </w:r>
    </w:p>
    <w:p w14:paraId="2C05F7E8" w14:textId="77777777" w:rsidR="002E5907" w:rsidRPr="00C6607A" w:rsidRDefault="002E5907" w:rsidP="00C6607A">
      <w:pPr>
        <w:pStyle w:val="paragraph"/>
        <w:spacing w:before="0" w:beforeAutospacing="0" w:after="0" w:afterAutospacing="0"/>
        <w:jc w:val="both"/>
        <w:textAlignment w:val="baseline"/>
        <w:rPr>
          <w:rFonts w:ascii="Century Gothic" w:hAnsi="Century Gothic" w:cs="Segoe UI"/>
          <w:sz w:val="16"/>
          <w:szCs w:val="16"/>
        </w:rPr>
      </w:pPr>
      <w:r w:rsidRPr="00C6607A">
        <w:rPr>
          <w:rStyle w:val="eop"/>
          <w:rFonts w:ascii="Century Gothic" w:hAnsi="Century Gothic" w:cs="Arial"/>
          <w:color w:val="000000"/>
          <w:sz w:val="18"/>
          <w:szCs w:val="18"/>
        </w:rPr>
        <w:t> </w:t>
      </w:r>
    </w:p>
    <w:p w14:paraId="7C0452BF" w14:textId="77777777" w:rsidR="002E5907" w:rsidRPr="00C6607A" w:rsidRDefault="002E5907" w:rsidP="00C6607A">
      <w:pPr>
        <w:pStyle w:val="paragraph"/>
        <w:spacing w:before="0" w:beforeAutospacing="0" w:after="0" w:afterAutospacing="0"/>
        <w:jc w:val="both"/>
        <w:textAlignment w:val="baseline"/>
        <w:rPr>
          <w:rFonts w:ascii="Century Gothic" w:hAnsi="Century Gothic" w:cs="Segoe UI"/>
          <w:sz w:val="16"/>
          <w:szCs w:val="16"/>
        </w:rPr>
      </w:pPr>
      <w:r w:rsidRPr="00C6607A">
        <w:rPr>
          <w:rStyle w:val="normaltextrun"/>
          <w:rFonts w:ascii="Century Gothic" w:hAnsi="Century Gothic" w:cs="Arial"/>
          <w:color w:val="000000"/>
          <w:sz w:val="18"/>
          <w:szCs w:val="18"/>
          <w:lang w:val="es-MX"/>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C6607A">
        <w:rPr>
          <w:rStyle w:val="normaltextrun"/>
          <w:rFonts w:ascii="Century Gothic" w:hAnsi="Century Gothic" w:cs="Arial"/>
          <w:color w:val="000000"/>
          <w:sz w:val="18"/>
          <w:szCs w:val="18"/>
          <w:lang w:val="es-ES"/>
        </w:rPr>
        <w:t xml:space="preserve"> La celebración de dicho contrato debe efectuarse a través de la modalidad de contratación directa. </w:t>
      </w:r>
      <w:r w:rsidRPr="00C6607A">
        <w:rPr>
          <w:rStyle w:val="eop"/>
          <w:rFonts w:ascii="Century Gothic" w:hAnsi="Century Gothic" w:cs="Arial"/>
          <w:color w:val="000000"/>
          <w:sz w:val="18"/>
          <w:szCs w:val="18"/>
        </w:rPr>
        <w:t> </w:t>
      </w:r>
    </w:p>
    <w:p w14:paraId="4CE776ED" w14:textId="77777777" w:rsidR="002E5907" w:rsidRPr="00C6607A" w:rsidRDefault="002E5907" w:rsidP="00C6607A">
      <w:pPr>
        <w:pStyle w:val="paragraph"/>
        <w:spacing w:before="0" w:beforeAutospacing="0" w:after="0" w:afterAutospacing="0"/>
        <w:jc w:val="both"/>
        <w:textAlignment w:val="baseline"/>
        <w:rPr>
          <w:rFonts w:ascii="Century Gothic" w:hAnsi="Century Gothic" w:cs="Segoe UI"/>
          <w:sz w:val="16"/>
          <w:szCs w:val="16"/>
        </w:rPr>
      </w:pPr>
      <w:r w:rsidRPr="00C6607A">
        <w:rPr>
          <w:rStyle w:val="eop"/>
          <w:rFonts w:ascii="Century Gothic" w:hAnsi="Century Gothic" w:cs="Arial"/>
          <w:color w:val="000000"/>
          <w:sz w:val="18"/>
          <w:szCs w:val="18"/>
        </w:rPr>
        <w:t> </w:t>
      </w:r>
    </w:p>
    <w:p w14:paraId="66CA4095" w14:textId="77777777" w:rsidR="002E5907" w:rsidRPr="00C6607A" w:rsidRDefault="002E5907" w:rsidP="00C6607A">
      <w:pPr>
        <w:pStyle w:val="paragraph"/>
        <w:spacing w:before="0" w:beforeAutospacing="0" w:after="0" w:afterAutospacing="0"/>
        <w:jc w:val="both"/>
        <w:textAlignment w:val="baseline"/>
        <w:rPr>
          <w:rFonts w:ascii="Century Gothic" w:hAnsi="Century Gothic" w:cs="Segoe UI"/>
          <w:sz w:val="16"/>
          <w:szCs w:val="16"/>
        </w:rPr>
      </w:pPr>
      <w:r w:rsidRPr="00C6607A">
        <w:rPr>
          <w:rStyle w:val="normaltextrun"/>
          <w:rFonts w:ascii="Century Gothic" w:hAnsi="Century Gothic" w:cs="Arial"/>
          <w:sz w:val="18"/>
          <w:szCs w:val="18"/>
          <w:shd w:val="clear" w:color="auto" w:fill="FFFFFF"/>
          <w:lang w:val="es-ES"/>
        </w:rPr>
        <w:t xml:space="preserve">[…] </w:t>
      </w:r>
      <w:r w:rsidRPr="00C6607A">
        <w:rPr>
          <w:rStyle w:val="normaltextrun"/>
          <w:rFonts w:ascii="Century Gothic" w:hAnsi="Century Gothic" w:cs="Arial"/>
          <w:sz w:val="18"/>
          <w:szCs w:val="18"/>
          <w:lang w:val="es-ES"/>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C6607A">
        <w:rPr>
          <w:rStyle w:val="normaltextrun"/>
          <w:rFonts w:ascii="Century Gothic" w:hAnsi="Century Gothic" w:cs="Arial"/>
          <w:i/>
          <w:iCs/>
          <w:sz w:val="18"/>
          <w:szCs w:val="18"/>
          <w:lang w:val="es-ES"/>
        </w:rPr>
        <w:t xml:space="preserve">subordinación </w:t>
      </w:r>
      <w:r w:rsidRPr="00C6607A">
        <w:rPr>
          <w:rStyle w:val="normaltextrun"/>
          <w:rFonts w:ascii="Century Gothic" w:hAnsi="Century Gothic" w:cs="Arial"/>
          <w:sz w:val="18"/>
          <w:szCs w:val="18"/>
          <w:lang w:val="es-ES"/>
        </w:rPr>
        <w:t>ni</w:t>
      </w:r>
      <w:r w:rsidRPr="00C6607A">
        <w:rPr>
          <w:rStyle w:val="normaltextrun"/>
          <w:rFonts w:ascii="Century Gothic" w:hAnsi="Century Gothic" w:cs="Arial"/>
          <w:i/>
          <w:iCs/>
          <w:sz w:val="18"/>
          <w:szCs w:val="18"/>
          <w:lang w:val="es-ES"/>
        </w:rPr>
        <w:t xml:space="preserve"> dependencia</w:t>
      </w:r>
      <w:r w:rsidRPr="00C6607A">
        <w:rPr>
          <w:rStyle w:val="normaltextrun"/>
          <w:rFonts w:ascii="Century Gothic" w:hAnsi="Century Gothic" w:cs="Arial"/>
          <w:sz w:val="18"/>
          <w:szCs w:val="18"/>
          <w:lang w:val="es-ES"/>
        </w:rPr>
        <w:t xml:space="preserve">, que es uno de los elementos constitutivos del vínculo laboral.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C6607A">
        <w:rPr>
          <w:rStyle w:val="normaltextrun"/>
          <w:rFonts w:ascii="Century Gothic" w:hAnsi="Century Gothic" w:cs="Arial"/>
          <w:i/>
          <w:iCs/>
          <w:sz w:val="18"/>
          <w:szCs w:val="18"/>
          <w:lang w:val="es-ES"/>
        </w:rPr>
        <w:t>no pueden</w:t>
      </w:r>
      <w:r w:rsidRPr="00C6607A">
        <w:rPr>
          <w:rStyle w:val="normaltextrun"/>
          <w:rFonts w:ascii="Century Gothic" w:hAnsi="Century Gothic" w:cs="Arial"/>
          <w:sz w:val="18"/>
          <w:szCs w:val="18"/>
          <w:lang w:val="es-ES"/>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C6607A">
        <w:rPr>
          <w:rStyle w:val="eop"/>
          <w:rFonts w:ascii="Century Gothic" w:hAnsi="Century Gothic" w:cs="Arial"/>
          <w:sz w:val="18"/>
          <w:szCs w:val="18"/>
        </w:rPr>
        <w:t> </w:t>
      </w:r>
    </w:p>
    <w:p w14:paraId="5044E481" w14:textId="77777777" w:rsidR="002E5907" w:rsidRPr="00C6607A" w:rsidRDefault="002E5907" w:rsidP="00C6607A">
      <w:pPr>
        <w:spacing w:after="0" w:line="240" w:lineRule="auto"/>
        <w:rPr>
          <w:rFonts w:ascii="Century Gothic" w:hAnsi="Century Gothic"/>
          <w:sz w:val="20"/>
          <w:szCs w:val="20"/>
        </w:rPr>
      </w:pPr>
    </w:p>
    <w:p w14:paraId="762225A0" w14:textId="77777777" w:rsidR="008F6921" w:rsidRPr="00C6607A" w:rsidRDefault="008F6921" w:rsidP="00C6607A">
      <w:pPr>
        <w:pStyle w:val="paragraph"/>
        <w:spacing w:before="0" w:beforeAutospacing="0" w:after="0" w:afterAutospacing="0"/>
        <w:jc w:val="both"/>
        <w:textAlignment w:val="baseline"/>
        <w:rPr>
          <w:rFonts w:ascii="Century Gothic" w:hAnsi="Century Gothic" w:cs="Segoe UI"/>
          <w:sz w:val="16"/>
          <w:szCs w:val="16"/>
        </w:rPr>
      </w:pPr>
      <w:r w:rsidRPr="00C6607A">
        <w:rPr>
          <w:rStyle w:val="normaltextrun"/>
          <w:rFonts w:ascii="Century Gothic" w:hAnsi="Century Gothic" w:cs="Arial"/>
          <w:b/>
          <w:bCs/>
          <w:sz w:val="20"/>
          <w:szCs w:val="20"/>
          <w:lang w:val="es-ES"/>
        </w:rPr>
        <w:t xml:space="preserve">CONTRATOS DE PRESTACIÓN DE SERVICIOS PROFESIONALES Y DE APOYO A LA GESTIÓN </w:t>
      </w:r>
      <w:r w:rsidRPr="00C6607A">
        <w:rPr>
          <w:rStyle w:val="normaltextrun"/>
          <w:rFonts w:ascii="Century Gothic" w:hAnsi="Century Gothic" w:cs="Arial"/>
          <w:b/>
          <w:bCs/>
          <w:color w:val="000000"/>
          <w:sz w:val="20"/>
          <w:szCs w:val="20"/>
          <w:lang w:val="es-MX"/>
        </w:rPr>
        <w:t xml:space="preserve">– </w:t>
      </w:r>
      <w:r w:rsidRPr="00C6607A">
        <w:rPr>
          <w:rStyle w:val="normaltextrun"/>
          <w:rFonts w:ascii="Century Gothic" w:hAnsi="Century Gothic" w:cs="Arial"/>
          <w:color w:val="000000"/>
          <w:sz w:val="20"/>
          <w:szCs w:val="20"/>
          <w:lang w:val="es-ES"/>
        </w:rPr>
        <w:t>posibilidad de celebrar varios contratos con entidades diferentes de forma simultánea</w:t>
      </w:r>
      <w:r w:rsidRPr="00C6607A">
        <w:rPr>
          <w:rStyle w:val="eop"/>
          <w:rFonts w:ascii="Century Gothic" w:hAnsi="Century Gothic" w:cs="Arial"/>
          <w:color w:val="000000"/>
          <w:sz w:val="20"/>
          <w:szCs w:val="20"/>
        </w:rPr>
        <w:t> </w:t>
      </w:r>
    </w:p>
    <w:p w14:paraId="056B2B33" w14:textId="1C697E10" w:rsidR="008F6921" w:rsidRPr="00C6607A" w:rsidRDefault="008F6921" w:rsidP="00C6607A">
      <w:pPr>
        <w:pStyle w:val="paragraph"/>
        <w:spacing w:before="0" w:beforeAutospacing="0" w:after="0" w:afterAutospacing="0"/>
        <w:jc w:val="both"/>
        <w:textAlignment w:val="baseline"/>
        <w:rPr>
          <w:rFonts w:ascii="Century Gothic" w:hAnsi="Century Gothic" w:cs="Segoe UI"/>
          <w:sz w:val="16"/>
          <w:szCs w:val="16"/>
        </w:rPr>
      </w:pPr>
      <w:r w:rsidRPr="00C6607A">
        <w:rPr>
          <w:rStyle w:val="eop"/>
          <w:rFonts w:ascii="Century Gothic" w:hAnsi="Century Gothic" w:cs="Arial"/>
          <w:sz w:val="20"/>
          <w:szCs w:val="20"/>
        </w:rPr>
        <w:t> </w:t>
      </w:r>
      <w:r w:rsidRPr="00C6607A">
        <w:rPr>
          <w:rStyle w:val="normaltextrun"/>
          <w:rFonts w:ascii="Century Gothic" w:hAnsi="Century Gothic" w:cs="Arial"/>
          <w:sz w:val="18"/>
          <w:szCs w:val="18"/>
        </w:rPr>
        <w:t>(…) no existe inhabilidad, incompatibilidad o prohibición alguna de otra naturaleza para que una entidad estatal celebre dos o más contratos de prestación de servicios profesionales con una misma persona, así dichos contratos coexistan en el tiempo. Ello, por cuanto, como ya se señaló, las inhabilidades e incompatibilidades, al ser limitaciones a la capacidad contractual que afectan derechos como la libre concurrencia o la libertad de ejercicio de la profesión u oficio, es decir, al ser enunciados normativos gravosos, deben interpretarse de forma restrictiva. Esto supone que su aplicación no admite una interpretación amplia, extensiva o analógica.</w:t>
      </w:r>
      <w:r w:rsidRPr="00C6607A">
        <w:rPr>
          <w:rStyle w:val="eop"/>
          <w:rFonts w:ascii="Century Gothic" w:hAnsi="Century Gothic" w:cs="Arial"/>
          <w:sz w:val="18"/>
          <w:szCs w:val="18"/>
        </w:rPr>
        <w:t> </w:t>
      </w:r>
    </w:p>
    <w:p w14:paraId="7B650337" w14:textId="77777777" w:rsidR="008F6921" w:rsidRPr="00C6607A" w:rsidRDefault="008F6921" w:rsidP="00C6607A">
      <w:pPr>
        <w:pStyle w:val="paragraph"/>
        <w:spacing w:before="0" w:beforeAutospacing="0" w:after="0" w:afterAutospacing="0"/>
        <w:jc w:val="both"/>
        <w:textAlignment w:val="baseline"/>
        <w:rPr>
          <w:rFonts w:ascii="Century Gothic" w:hAnsi="Century Gothic" w:cs="Segoe UI"/>
          <w:sz w:val="16"/>
          <w:szCs w:val="16"/>
        </w:rPr>
      </w:pPr>
      <w:r w:rsidRPr="00C6607A">
        <w:rPr>
          <w:rStyle w:val="eop"/>
          <w:rFonts w:ascii="Century Gothic" w:hAnsi="Century Gothic" w:cs="Arial"/>
          <w:sz w:val="18"/>
          <w:szCs w:val="18"/>
        </w:rPr>
        <w:t> </w:t>
      </w:r>
    </w:p>
    <w:p w14:paraId="6D393DF4" w14:textId="77777777" w:rsidR="008F6921" w:rsidRPr="00C6607A" w:rsidRDefault="008F6921" w:rsidP="00C6607A">
      <w:pPr>
        <w:pStyle w:val="paragraph"/>
        <w:spacing w:before="0" w:beforeAutospacing="0" w:after="0" w:afterAutospacing="0"/>
        <w:jc w:val="both"/>
        <w:textAlignment w:val="baseline"/>
        <w:rPr>
          <w:rFonts w:ascii="Century Gothic" w:hAnsi="Century Gothic" w:cs="Segoe UI"/>
          <w:sz w:val="16"/>
          <w:szCs w:val="16"/>
        </w:rPr>
      </w:pPr>
      <w:r w:rsidRPr="00C6607A">
        <w:rPr>
          <w:rStyle w:val="normaltextrun"/>
          <w:rFonts w:ascii="Century Gothic" w:hAnsi="Century Gothic" w:cs="Arial"/>
          <w:sz w:val="18"/>
          <w:szCs w:val="18"/>
        </w:rPr>
        <w:t>(…)</w:t>
      </w:r>
      <w:r w:rsidRPr="00C6607A">
        <w:rPr>
          <w:rStyle w:val="eop"/>
          <w:rFonts w:ascii="Century Gothic" w:hAnsi="Century Gothic" w:cs="Arial"/>
          <w:sz w:val="18"/>
          <w:szCs w:val="18"/>
        </w:rPr>
        <w:t> </w:t>
      </w:r>
    </w:p>
    <w:p w14:paraId="121F8267" w14:textId="1774D3F6" w:rsidR="00C6607A" w:rsidRPr="00C6607A" w:rsidRDefault="008F6921" w:rsidP="00C6607A">
      <w:pPr>
        <w:pStyle w:val="paragraph"/>
        <w:spacing w:before="0" w:beforeAutospacing="0" w:after="0" w:afterAutospacing="0"/>
        <w:jc w:val="both"/>
        <w:textAlignment w:val="baseline"/>
        <w:rPr>
          <w:rFonts w:ascii="Century Gothic" w:hAnsi="Century Gothic" w:cs="Arial"/>
          <w:sz w:val="18"/>
          <w:szCs w:val="18"/>
        </w:rPr>
      </w:pPr>
      <w:r w:rsidRPr="00C6607A">
        <w:rPr>
          <w:rStyle w:val="eop"/>
          <w:rFonts w:ascii="Century Gothic" w:hAnsi="Century Gothic" w:cs="Arial"/>
          <w:sz w:val="18"/>
          <w:szCs w:val="18"/>
        </w:rPr>
        <w:t> </w:t>
      </w:r>
      <w:r w:rsidRPr="00C6607A">
        <w:rPr>
          <w:rStyle w:val="normaltextrun"/>
          <w:rFonts w:ascii="Century Gothic" w:hAnsi="Century Gothic" w:cs="Arial"/>
          <w:sz w:val="18"/>
          <w:szCs w:val="18"/>
        </w:rPr>
        <w:t>Tratándose de contratos de prestación de servicios de apoyo a la gestión, debe tomarse en consideración que la Directiva Presidencial No. 2 del 30 de marzo de 2023 dispuso dejar sin efectos las medidas establecidas, entre otras, en la Directiva Presidencial No. 08 del 17 de septiembre de 2022, hasta tanto el Gobierno Nacional expida nuevas directrices en materia de gasto, austeridad y eficiencia del Estado conforme a la reglamentación recientemente expedida para la vigencia 2023. (…) Al haberse dejado sin efectos la disposición anteriormente citada, en la actualidad no se encuentra vigente la restricción consistente en la celebración de más de un contrato de prestación de servicios de apoyo a la gestión allí contenida, la cual, en todo caso, había sido objeto de una medida cautelar de suspensión provisional decretada por parte del Consejo de Estado -Sala de lo Contencioso Administrativo, Sección Tercera, Subsección A- en providencia del 22 de febrero de 2023</w:t>
      </w:r>
    </w:p>
    <w:p w14:paraId="12EF8E51" w14:textId="77777777" w:rsidR="008F6921" w:rsidRDefault="008F6921" w:rsidP="00E245AB">
      <w:pPr>
        <w:spacing w:after="0"/>
        <w:rPr>
          <w:rFonts w:ascii="Century Gothic" w:hAnsi="Century Gothic"/>
        </w:rPr>
      </w:pPr>
    </w:p>
    <w:p w14:paraId="6E3D711E" w14:textId="77777777" w:rsidR="00C6607A" w:rsidRDefault="00C6607A" w:rsidP="00E245AB">
      <w:pPr>
        <w:spacing w:after="0"/>
        <w:rPr>
          <w:rFonts w:ascii="Century Gothic" w:hAnsi="Century Gothic"/>
        </w:rPr>
      </w:pPr>
    </w:p>
    <w:p w14:paraId="3F0B1FFE" w14:textId="77777777" w:rsidR="00C6607A" w:rsidRDefault="00C6607A" w:rsidP="00E245AB">
      <w:pPr>
        <w:spacing w:after="0"/>
        <w:rPr>
          <w:rFonts w:ascii="Century Gothic" w:hAnsi="Century Gothic"/>
        </w:rPr>
      </w:pPr>
    </w:p>
    <w:p w14:paraId="636E91BF" w14:textId="77777777" w:rsidR="00C6607A" w:rsidRDefault="00C6607A" w:rsidP="00E245AB">
      <w:pPr>
        <w:spacing w:after="0"/>
        <w:rPr>
          <w:rFonts w:ascii="Century Gothic" w:hAnsi="Century Gothic"/>
        </w:rPr>
      </w:pPr>
    </w:p>
    <w:p w14:paraId="6349E446" w14:textId="77777777" w:rsidR="00C6607A" w:rsidRDefault="00C6607A" w:rsidP="00E245AB">
      <w:pPr>
        <w:spacing w:after="0"/>
        <w:rPr>
          <w:rFonts w:ascii="Century Gothic" w:hAnsi="Century Gothic"/>
        </w:rPr>
      </w:pPr>
    </w:p>
    <w:p w14:paraId="3FE2184B" w14:textId="7DFEFE94" w:rsidR="00E245AB" w:rsidRPr="00A45A38" w:rsidRDefault="00E245AB" w:rsidP="00E245AB">
      <w:pPr>
        <w:spacing w:after="0"/>
        <w:rPr>
          <w:rFonts w:ascii="Century Gothic" w:hAnsi="Century Gothic"/>
        </w:rPr>
      </w:pPr>
      <w:r w:rsidRPr="00A45A38">
        <w:rPr>
          <w:rFonts w:ascii="Century Gothic" w:hAnsi="Century Gothic"/>
        </w:rPr>
        <w:lastRenderedPageBreak/>
        <w:t xml:space="preserve">Bogotá D.C., </w:t>
      </w:r>
      <w:r w:rsidR="00891928" w:rsidRPr="00A45A38">
        <w:rPr>
          <w:rFonts w:ascii="Century Gothic" w:hAnsi="Century Gothic"/>
        </w:rPr>
        <w:t>[Día]</w:t>
      </w:r>
      <w:r w:rsidR="005A2340" w:rsidRPr="00A45A38">
        <w:rPr>
          <w:rFonts w:ascii="Century Gothic" w:hAnsi="Century Gothic"/>
        </w:rPr>
        <w:t xml:space="preserve"> </w:t>
      </w:r>
      <w:r w:rsidR="00891928" w:rsidRPr="00A45A38">
        <w:rPr>
          <w:rFonts w:ascii="Century Gothic" w:hAnsi="Century Gothic"/>
        </w:rPr>
        <w:t>[Mes</w:t>
      </w:r>
      <w:r w:rsidR="005A2340" w:rsidRPr="00A45A38">
        <w:rPr>
          <w:rFonts w:ascii="Century Gothic" w:hAnsi="Century Gothic"/>
        </w:rPr>
        <w:t>.</w:t>
      </w:r>
      <w:r w:rsidR="00891928" w:rsidRPr="00A45A38">
        <w:rPr>
          <w:rFonts w:ascii="Century Gothic" w:hAnsi="Century Gothic"/>
        </w:rPr>
        <w:t>NombreCapitalizado]</w:t>
      </w:r>
      <w:r w:rsidR="005A2340" w:rsidRPr="00A45A38">
        <w:rPr>
          <w:rFonts w:ascii="Century Gothic" w:hAnsi="Century Gothic"/>
        </w:rPr>
        <w:t xml:space="preserve"> </w:t>
      </w:r>
      <w:r w:rsidR="00891928" w:rsidRPr="00A45A38">
        <w:rPr>
          <w:rFonts w:ascii="Century Gothic" w:hAnsi="Century Gothic"/>
        </w:rPr>
        <w:t>[Año]</w:t>
      </w:r>
      <w:r w:rsidR="00891928" w:rsidRPr="00A45A38">
        <w:rPr>
          <w:rFonts w:ascii="Century Gothic" w:hAnsi="Century Gothic"/>
        </w:rPr>
        <w:tab/>
      </w:r>
    </w:p>
    <w:p w14:paraId="5FCADBF9" w14:textId="77777777" w:rsidR="00E245AB" w:rsidRPr="00A45A38" w:rsidRDefault="00E245AB" w:rsidP="00E245AB">
      <w:pPr>
        <w:spacing w:after="0"/>
        <w:rPr>
          <w:rFonts w:ascii="Century Gothic" w:hAnsi="Century Gothic"/>
        </w:rPr>
      </w:pPr>
    </w:p>
    <w:p w14:paraId="4327E65A" w14:textId="77777777" w:rsidR="007959BC" w:rsidRPr="00A45A38" w:rsidRDefault="007959BC" w:rsidP="007959BC">
      <w:pPr>
        <w:spacing w:after="0"/>
        <w:rPr>
          <w:rFonts w:ascii="Century Gothic" w:eastAsia="Calibri" w:hAnsi="Century Gothic" w:cs="Arial"/>
        </w:rPr>
      </w:pPr>
    </w:p>
    <w:p w14:paraId="6CBCDF96" w14:textId="3390ECD9" w:rsidR="007959BC" w:rsidRPr="00A45A38" w:rsidRDefault="007959BC" w:rsidP="007959BC">
      <w:pPr>
        <w:spacing w:after="0"/>
        <w:rPr>
          <w:rFonts w:ascii="Century Gothic" w:eastAsia="Calibri" w:hAnsi="Century Gothic" w:cs="Arial"/>
        </w:rPr>
      </w:pPr>
      <w:r w:rsidRPr="00A45A38">
        <w:rPr>
          <w:rFonts w:ascii="Century Gothic" w:eastAsia="Calibri" w:hAnsi="Century Gothic" w:cs="Arial"/>
        </w:rPr>
        <w:t>Señor</w:t>
      </w:r>
      <w:r w:rsidR="00AB628B" w:rsidRPr="00A45A38">
        <w:rPr>
          <w:rFonts w:ascii="Century Gothic" w:eastAsia="Calibri" w:hAnsi="Century Gothic" w:cs="Arial"/>
        </w:rPr>
        <w:t>a</w:t>
      </w:r>
    </w:p>
    <w:p w14:paraId="24DA75FB" w14:textId="40CC6875" w:rsidR="007959BC" w:rsidRPr="00A45A38" w:rsidRDefault="00AB628B" w:rsidP="007959BC">
      <w:pPr>
        <w:spacing w:after="0"/>
        <w:rPr>
          <w:rFonts w:ascii="Century Gothic" w:eastAsia="Calibri" w:hAnsi="Century Gothic" w:cs="Arial"/>
          <w:bCs/>
        </w:rPr>
      </w:pPr>
      <w:r w:rsidRPr="00A45A38">
        <w:rPr>
          <w:rFonts w:ascii="Century Gothic" w:eastAsia="Calibri" w:hAnsi="Century Gothic" w:cs="Arial"/>
          <w:bCs/>
        </w:rPr>
        <w:t>Ana María Moreno Marín</w:t>
      </w:r>
    </w:p>
    <w:p w14:paraId="5651C208" w14:textId="435B0677" w:rsidR="00AB628B" w:rsidRPr="00A45A38" w:rsidRDefault="00AB628B" w:rsidP="007959BC">
      <w:pPr>
        <w:spacing w:after="0"/>
        <w:rPr>
          <w:rFonts w:ascii="Century Gothic" w:eastAsia="Calibri" w:hAnsi="Century Gothic" w:cs="Arial"/>
          <w:bCs/>
        </w:rPr>
      </w:pPr>
      <w:r w:rsidRPr="00A45A38">
        <w:rPr>
          <w:rFonts w:ascii="Century Gothic" w:eastAsia="Calibri" w:hAnsi="Century Gothic" w:cs="Arial"/>
          <w:bCs/>
        </w:rPr>
        <w:t>Secretaria Gestión de Talento Humano y Control Interno</w:t>
      </w:r>
    </w:p>
    <w:p w14:paraId="433A5EF9" w14:textId="4791CD21" w:rsidR="005C4160" w:rsidRPr="00A45A38" w:rsidRDefault="005C4160" w:rsidP="007959BC">
      <w:pPr>
        <w:spacing w:after="0"/>
        <w:rPr>
          <w:rFonts w:ascii="Century Gothic" w:eastAsia="Calibri" w:hAnsi="Century Gothic" w:cs="Arial"/>
          <w:bCs/>
        </w:rPr>
      </w:pPr>
      <w:r w:rsidRPr="00A45A38">
        <w:rPr>
          <w:rFonts w:ascii="Century Gothic" w:eastAsia="Calibri" w:hAnsi="Century Gothic" w:cs="Arial"/>
          <w:bCs/>
        </w:rPr>
        <w:t>Alcaldía Municipal de Guática</w:t>
      </w:r>
    </w:p>
    <w:p w14:paraId="6BECD4A7" w14:textId="57F339AB" w:rsidR="007959BC" w:rsidRPr="00A45A38" w:rsidRDefault="005C4160" w:rsidP="007959BC">
      <w:pPr>
        <w:spacing w:after="0"/>
        <w:rPr>
          <w:rFonts w:ascii="Century Gothic" w:eastAsia="Calibri" w:hAnsi="Century Gothic" w:cs="Arial"/>
        </w:rPr>
      </w:pPr>
      <w:r w:rsidRPr="00A45A38">
        <w:rPr>
          <w:rFonts w:ascii="Century Gothic" w:eastAsia="Calibri" w:hAnsi="Century Gothic" w:cs="Arial"/>
        </w:rPr>
        <w:t>Guática</w:t>
      </w:r>
      <w:r w:rsidR="007959BC" w:rsidRPr="00A45A38">
        <w:rPr>
          <w:rFonts w:ascii="Century Gothic" w:eastAsia="Calibri" w:hAnsi="Century Gothic" w:cs="Arial"/>
        </w:rPr>
        <w:t xml:space="preserve">, </w:t>
      </w:r>
      <w:r w:rsidRPr="00A45A38">
        <w:rPr>
          <w:rFonts w:ascii="Century Gothic" w:eastAsia="Calibri" w:hAnsi="Century Gothic" w:cs="Arial"/>
        </w:rPr>
        <w:t>Risaralda</w:t>
      </w:r>
    </w:p>
    <w:p w14:paraId="77A70CE4" w14:textId="77777777" w:rsidR="007959BC" w:rsidRPr="00A45A38" w:rsidRDefault="007959BC" w:rsidP="007959BC">
      <w:pPr>
        <w:rPr>
          <w:rFonts w:ascii="Century Gothic" w:eastAsia="Calibri" w:hAnsi="Century Gothic" w:cs="Arial"/>
        </w:rPr>
      </w:pPr>
    </w:p>
    <w:p w14:paraId="5EA67B57" w14:textId="23218D9F" w:rsidR="007959BC" w:rsidRPr="00A45A38" w:rsidRDefault="007959BC" w:rsidP="007959BC">
      <w:pPr>
        <w:jc w:val="center"/>
        <w:rPr>
          <w:rFonts w:ascii="Century Gothic" w:eastAsia="Calibri" w:hAnsi="Century Gothic" w:cs="Arial"/>
          <w:b/>
        </w:rPr>
      </w:pPr>
      <w:r w:rsidRPr="00A45A38">
        <w:rPr>
          <w:rFonts w:ascii="Century Gothic" w:eastAsia="Calibri" w:hAnsi="Century Gothic" w:cs="Arial"/>
          <w:b/>
        </w:rPr>
        <w:t xml:space="preserve">Concepto C ─ </w:t>
      </w:r>
      <w:r w:rsidR="005C4160" w:rsidRPr="00A45A38">
        <w:rPr>
          <w:rFonts w:ascii="Century Gothic" w:eastAsia="Calibri" w:hAnsi="Century Gothic" w:cs="Arial"/>
          <w:b/>
        </w:rPr>
        <w:t>472</w:t>
      </w:r>
      <w:r w:rsidRPr="00A45A38">
        <w:rPr>
          <w:rFonts w:ascii="Century Gothic" w:eastAsia="Calibri" w:hAnsi="Century Gothic" w:cs="Arial"/>
          <w:b/>
        </w:rPr>
        <w:t xml:space="preserve"> de 2023</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959BC" w:rsidRPr="00A45A38" w14:paraId="04E5D6DF" w14:textId="77777777" w:rsidTr="00AB68AC">
        <w:tc>
          <w:tcPr>
            <w:tcW w:w="2689" w:type="dxa"/>
            <w:hideMark/>
          </w:tcPr>
          <w:p w14:paraId="4C57D315" w14:textId="77777777" w:rsidR="007959BC" w:rsidRPr="00A45A38" w:rsidRDefault="007959BC" w:rsidP="00AB68AC">
            <w:pPr>
              <w:rPr>
                <w:rFonts w:ascii="Century Gothic" w:eastAsia="Calibri" w:hAnsi="Century Gothic" w:cs="Arial"/>
              </w:rPr>
            </w:pPr>
            <w:r w:rsidRPr="00A45A38">
              <w:rPr>
                <w:rFonts w:ascii="Century Gothic" w:eastAsia="Calibri" w:hAnsi="Century Gothic" w:cs="Arial"/>
                <w:b/>
              </w:rPr>
              <w:t>Temas:</w:t>
            </w:r>
            <w:r w:rsidRPr="00A45A38">
              <w:rPr>
                <w:rFonts w:ascii="Century Gothic" w:eastAsia="Calibri" w:hAnsi="Century Gothic" w:cs="Arial"/>
              </w:rPr>
              <w:t xml:space="preserve">           </w:t>
            </w:r>
          </w:p>
        </w:tc>
        <w:tc>
          <w:tcPr>
            <w:tcW w:w="6237" w:type="dxa"/>
            <w:hideMark/>
          </w:tcPr>
          <w:p w14:paraId="788F9313" w14:textId="075C468F" w:rsidR="007032EE" w:rsidRPr="00A45A38" w:rsidRDefault="00C71270" w:rsidP="007032EE">
            <w:pPr>
              <w:jc w:val="both"/>
              <w:rPr>
                <w:rFonts w:ascii="Century Gothic" w:eastAsia="Calibri" w:hAnsi="Century Gothic" w:cs="Arial"/>
              </w:rPr>
            </w:pPr>
            <w:r w:rsidRPr="00A45A38">
              <w:rPr>
                <w:rFonts w:ascii="Century Gothic" w:eastAsia="Arial" w:hAnsi="Century Gothic" w:cs="Arial"/>
                <w:color w:val="000000"/>
                <w:lang w:val="es-MX" w:eastAsia="es-ES_tradnl"/>
              </w:rPr>
              <w:t xml:space="preserve">CONTRATO DE PRESTACIÓN DE SERVICIOS – Concepto / Características / CONTRATOS DE PRESTACIÓN DE SERVICIOS </w:t>
            </w:r>
            <w:r w:rsidR="006F3297" w:rsidRPr="00A45A38">
              <w:rPr>
                <w:rFonts w:ascii="Century Gothic" w:eastAsia="Arial" w:hAnsi="Century Gothic" w:cs="Arial"/>
                <w:color w:val="000000"/>
                <w:lang w:val="es-MX" w:eastAsia="es-ES_tradnl"/>
              </w:rPr>
              <w:t>– Profesionales – Apoyo a la gestión</w:t>
            </w:r>
            <w:r w:rsidR="00E478E0" w:rsidRPr="00A45A38">
              <w:rPr>
                <w:rFonts w:ascii="Century Gothic" w:eastAsia="Arial" w:hAnsi="Century Gothic" w:cs="Arial"/>
                <w:color w:val="000000"/>
                <w:lang w:val="es-MX" w:eastAsia="es-ES_tradnl"/>
              </w:rPr>
              <w:t xml:space="preserve"> – </w:t>
            </w:r>
            <w:r w:rsidR="00D77B33" w:rsidRPr="00A45A38">
              <w:rPr>
                <w:rFonts w:ascii="Century Gothic" w:eastAsia="Arial" w:hAnsi="Century Gothic" w:cs="Arial"/>
                <w:color w:val="000000"/>
                <w:lang w:val="es-MX" w:eastAsia="es-ES_tradnl"/>
              </w:rPr>
              <w:t>Servicios artísticos</w:t>
            </w:r>
            <w:r w:rsidR="00D21915" w:rsidRPr="00A45A38">
              <w:rPr>
                <w:rFonts w:ascii="Century Gothic" w:eastAsia="Arial" w:hAnsi="Century Gothic" w:cs="Arial"/>
                <w:color w:val="000000"/>
                <w:lang w:val="es-MX" w:eastAsia="es-ES_tradnl"/>
              </w:rPr>
              <w:t xml:space="preserve"> que sólo pueden encomendarse a determinadas personas naturales</w:t>
            </w:r>
            <w:r w:rsidR="00E478E0" w:rsidRPr="00A45A38">
              <w:rPr>
                <w:rFonts w:ascii="Century Gothic" w:eastAsia="Arial" w:hAnsi="Century Gothic" w:cs="Arial"/>
                <w:color w:val="000000"/>
                <w:lang w:val="es-MX" w:eastAsia="es-ES_tradnl"/>
              </w:rPr>
              <w:t xml:space="preserve"> / CONTRATOS DE </w:t>
            </w:r>
            <w:r w:rsidR="007032EE" w:rsidRPr="00A45A38">
              <w:rPr>
                <w:rFonts w:ascii="Century Gothic" w:eastAsia="Arial" w:hAnsi="Century Gothic" w:cs="Arial"/>
                <w:color w:val="000000"/>
                <w:lang w:val="es-MX" w:eastAsia="es-ES_tradnl"/>
              </w:rPr>
              <w:t xml:space="preserve">PRESTACIÓN DE SERVICIOS - </w:t>
            </w:r>
            <w:r w:rsidRPr="00A45A38">
              <w:rPr>
                <w:rFonts w:ascii="Century Gothic" w:eastAsia="Arial" w:hAnsi="Century Gothic" w:cs="Arial"/>
                <w:color w:val="000000"/>
                <w:lang w:val="es-MX" w:eastAsia="es-ES_tradnl"/>
              </w:rPr>
              <w:t>Fijación de honorarios</w:t>
            </w:r>
            <w:r w:rsidR="007032EE" w:rsidRPr="00A45A38">
              <w:rPr>
                <w:rFonts w:ascii="Century Gothic" w:eastAsia="Arial" w:hAnsi="Century Gothic" w:cs="Arial"/>
                <w:color w:val="000000"/>
                <w:lang w:val="es-MX" w:eastAsia="es-ES_tradnl"/>
              </w:rPr>
              <w:t xml:space="preserve">/ ESTAMPILLAS – </w:t>
            </w:r>
            <w:r w:rsidR="00D21915" w:rsidRPr="00A45A38">
              <w:rPr>
                <w:rFonts w:ascii="Century Gothic" w:eastAsia="Arial" w:hAnsi="Century Gothic" w:cs="Arial"/>
                <w:color w:val="000000"/>
                <w:lang w:val="es-MX" w:eastAsia="es-ES_tradnl"/>
              </w:rPr>
              <w:t>Hecho generador - N</w:t>
            </w:r>
            <w:r w:rsidR="007032EE" w:rsidRPr="00A45A38">
              <w:rPr>
                <w:rFonts w:ascii="Century Gothic" w:eastAsia="Arial" w:hAnsi="Century Gothic" w:cs="Arial"/>
                <w:color w:val="000000"/>
                <w:lang w:val="es-MX" w:eastAsia="es-ES_tradnl"/>
              </w:rPr>
              <w:t>oción</w:t>
            </w:r>
            <w:r w:rsidR="00D21915" w:rsidRPr="00A45A38">
              <w:rPr>
                <w:rFonts w:ascii="Century Gothic" w:eastAsia="Arial" w:hAnsi="Century Gothic" w:cs="Arial"/>
                <w:color w:val="000000"/>
                <w:lang w:val="es-MX" w:eastAsia="es-ES_tradnl"/>
              </w:rPr>
              <w:t xml:space="preserve"> general</w:t>
            </w:r>
          </w:p>
          <w:p w14:paraId="6049A904" w14:textId="487F6A70" w:rsidR="007959BC" w:rsidRPr="00A45A38" w:rsidRDefault="007959BC" w:rsidP="00C71270">
            <w:pPr>
              <w:jc w:val="both"/>
              <w:rPr>
                <w:rFonts w:ascii="Century Gothic" w:eastAsia="Calibri" w:hAnsi="Century Gothic" w:cs="Arial"/>
                <w:highlight w:val="yellow"/>
              </w:rPr>
            </w:pPr>
          </w:p>
        </w:tc>
      </w:tr>
      <w:tr w:rsidR="007959BC" w:rsidRPr="00A45A38" w14:paraId="0ACC1938" w14:textId="77777777" w:rsidTr="00AB68AC">
        <w:tc>
          <w:tcPr>
            <w:tcW w:w="2689" w:type="dxa"/>
          </w:tcPr>
          <w:p w14:paraId="0070E961" w14:textId="77777777" w:rsidR="007959BC" w:rsidRPr="00A45A38" w:rsidRDefault="007959BC" w:rsidP="00AB68AC">
            <w:pPr>
              <w:rPr>
                <w:rFonts w:ascii="Century Gothic" w:eastAsia="Calibri" w:hAnsi="Century Gothic" w:cs="Arial"/>
                <w:b/>
              </w:rPr>
            </w:pPr>
            <w:r w:rsidRPr="00A45A38">
              <w:rPr>
                <w:rFonts w:ascii="Century Gothic" w:eastAsia="Calibri" w:hAnsi="Century Gothic" w:cs="Arial"/>
                <w:b/>
              </w:rPr>
              <w:t>Radicación:</w:t>
            </w:r>
            <w:r w:rsidRPr="00A45A38">
              <w:rPr>
                <w:rFonts w:ascii="Century Gothic" w:eastAsia="Calibri" w:hAnsi="Century Gothic" w:cs="Arial"/>
              </w:rPr>
              <w:t xml:space="preserve">                              </w:t>
            </w:r>
          </w:p>
        </w:tc>
        <w:tc>
          <w:tcPr>
            <w:tcW w:w="6237" w:type="dxa"/>
          </w:tcPr>
          <w:p w14:paraId="06B5E2D7" w14:textId="0A64BC33" w:rsidR="007959BC" w:rsidRPr="00A45A38" w:rsidRDefault="007959BC" w:rsidP="00AB68AC">
            <w:pPr>
              <w:jc w:val="both"/>
              <w:rPr>
                <w:rFonts w:ascii="Century Gothic" w:eastAsia="Calibri" w:hAnsi="Century Gothic" w:cs="Arial"/>
              </w:rPr>
            </w:pPr>
            <w:r w:rsidRPr="00A45A38">
              <w:rPr>
                <w:rFonts w:ascii="Century Gothic" w:eastAsia="Calibri" w:hAnsi="Century Gothic" w:cs="Arial"/>
              </w:rPr>
              <w:t xml:space="preserve">Respuesta a consulta No. </w:t>
            </w:r>
            <w:r w:rsidR="00F36044" w:rsidRPr="00A45A38">
              <w:rPr>
                <w:rFonts w:ascii="Century Gothic" w:eastAsia="Calibri" w:hAnsi="Century Gothic" w:cs="Arial"/>
              </w:rPr>
              <w:t>P20231025016308</w:t>
            </w:r>
          </w:p>
        </w:tc>
      </w:tr>
    </w:tbl>
    <w:p w14:paraId="52F0206B" w14:textId="77777777" w:rsidR="007959BC" w:rsidRPr="00A45A38" w:rsidRDefault="007959BC" w:rsidP="007959BC">
      <w:pPr>
        <w:jc w:val="both"/>
        <w:rPr>
          <w:rFonts w:ascii="Century Gothic" w:eastAsia="Calibri" w:hAnsi="Century Gothic" w:cs="Arial"/>
        </w:rPr>
      </w:pPr>
    </w:p>
    <w:p w14:paraId="61188B5D" w14:textId="07482C07" w:rsidR="007959BC" w:rsidRPr="00A45A38" w:rsidRDefault="007959BC" w:rsidP="007959BC">
      <w:pPr>
        <w:rPr>
          <w:rFonts w:ascii="Century Gothic" w:eastAsia="Calibri" w:hAnsi="Century Gothic" w:cs="Arial"/>
        </w:rPr>
      </w:pPr>
      <w:r w:rsidRPr="00A45A38">
        <w:rPr>
          <w:rFonts w:ascii="Century Gothic" w:eastAsia="Calibri" w:hAnsi="Century Gothic" w:cs="Arial"/>
        </w:rPr>
        <w:t>Estimad</w:t>
      </w:r>
      <w:r w:rsidR="00F36044" w:rsidRPr="00A45A38">
        <w:rPr>
          <w:rFonts w:ascii="Century Gothic" w:eastAsia="Calibri" w:hAnsi="Century Gothic" w:cs="Arial"/>
        </w:rPr>
        <w:t>a señora Moreno</w:t>
      </w:r>
      <w:r w:rsidRPr="00A45A38">
        <w:rPr>
          <w:rFonts w:ascii="Century Gothic" w:eastAsia="Calibri" w:hAnsi="Century Gothic" w:cs="Arial"/>
        </w:rPr>
        <w:t>,</w:t>
      </w:r>
    </w:p>
    <w:p w14:paraId="7F23C213" w14:textId="4946BCFC" w:rsidR="007959BC" w:rsidRPr="00A45A38" w:rsidRDefault="007959BC" w:rsidP="007959BC">
      <w:pPr>
        <w:spacing w:line="276" w:lineRule="auto"/>
        <w:ind w:right="49"/>
        <w:jc w:val="both"/>
        <w:rPr>
          <w:rFonts w:ascii="Century Gothic" w:eastAsia="Calibri" w:hAnsi="Century Gothic" w:cs="Arial"/>
        </w:rPr>
      </w:pPr>
      <w:r w:rsidRPr="00A45A38">
        <w:rPr>
          <w:rFonts w:ascii="Century Gothic" w:eastAsia="Calibri" w:hAnsi="Century Gothic" w:cs="Arial"/>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301EEC12" w:rsidRPr="680F7C78">
        <w:rPr>
          <w:rFonts w:ascii="Century Gothic" w:eastAsia="Calibri" w:hAnsi="Century Gothic" w:cs="Arial"/>
        </w:rPr>
        <w:t>25</w:t>
      </w:r>
      <w:r w:rsidRPr="00A45A38">
        <w:rPr>
          <w:rFonts w:ascii="Century Gothic" w:eastAsia="Calibri" w:hAnsi="Century Gothic" w:cs="Arial"/>
        </w:rPr>
        <w:t xml:space="preserve"> de </w:t>
      </w:r>
      <w:r w:rsidR="00F36044" w:rsidRPr="009619D5">
        <w:rPr>
          <w:rFonts w:ascii="Century Gothic" w:eastAsia="Calibri" w:hAnsi="Century Gothic" w:cs="Arial"/>
        </w:rPr>
        <w:t>octubre</w:t>
      </w:r>
      <w:r w:rsidRPr="009619D5">
        <w:rPr>
          <w:rFonts w:ascii="Century Gothic" w:eastAsia="Calibri" w:hAnsi="Century Gothic" w:cs="Arial"/>
        </w:rPr>
        <w:t xml:space="preserve"> de 2023</w:t>
      </w:r>
      <w:r w:rsidR="00156046" w:rsidRPr="009619D5">
        <w:rPr>
          <w:rFonts w:ascii="Century Gothic" w:eastAsia="Calibri" w:hAnsi="Century Gothic" w:cs="Arial"/>
        </w:rPr>
        <w:t>, trasladada por el Departamento Administrativo de la Función Pública</w:t>
      </w:r>
      <w:r w:rsidR="003200E8" w:rsidRPr="009619D5">
        <w:rPr>
          <w:rFonts w:ascii="Century Gothic" w:eastAsia="Calibri" w:hAnsi="Century Gothic" w:cs="Arial"/>
        </w:rPr>
        <w:t xml:space="preserve"> </w:t>
      </w:r>
      <w:r w:rsidR="301EEC12" w:rsidRPr="009619D5">
        <w:rPr>
          <w:rFonts w:ascii="Century Gothic" w:eastAsia="Calibri" w:hAnsi="Century Gothic" w:cs="Arial"/>
        </w:rPr>
        <w:t xml:space="preserve">con oficio remisorio No. </w:t>
      </w:r>
      <w:r w:rsidR="009619D5" w:rsidRPr="009619D5">
        <w:rPr>
          <w:rFonts w:ascii="Century Gothic" w:eastAsia="Calibri" w:hAnsi="Century Gothic" w:cs="Arial"/>
        </w:rPr>
        <w:t>20234000498571.</w:t>
      </w:r>
    </w:p>
    <w:p w14:paraId="42E592A7" w14:textId="77777777" w:rsidR="007959BC" w:rsidRPr="00A45A38" w:rsidRDefault="007959BC" w:rsidP="007959BC">
      <w:pPr>
        <w:pStyle w:val="Prrafodelista"/>
        <w:tabs>
          <w:tab w:val="left" w:pos="284"/>
        </w:tabs>
        <w:spacing w:line="276" w:lineRule="auto"/>
        <w:ind w:left="0"/>
        <w:jc w:val="both"/>
        <w:rPr>
          <w:rFonts w:ascii="Century Gothic" w:eastAsia="Calibri" w:hAnsi="Century Gothic" w:cs="Arial"/>
          <w:b/>
        </w:rPr>
      </w:pPr>
      <w:r w:rsidRPr="00A45A38">
        <w:rPr>
          <w:rFonts w:ascii="Century Gothic" w:eastAsia="Calibri" w:hAnsi="Century Gothic" w:cs="Arial"/>
          <w:b/>
        </w:rPr>
        <w:t xml:space="preserve">1. Problemas planteados </w:t>
      </w:r>
    </w:p>
    <w:p w14:paraId="7C37FA9D" w14:textId="51705472" w:rsidR="007959BC" w:rsidRPr="00A45A38" w:rsidRDefault="007959BC" w:rsidP="007959BC">
      <w:pPr>
        <w:tabs>
          <w:tab w:val="left" w:pos="426"/>
        </w:tabs>
        <w:spacing w:line="276" w:lineRule="auto"/>
        <w:jc w:val="both"/>
        <w:rPr>
          <w:rFonts w:ascii="Century Gothic" w:eastAsia="Calibri" w:hAnsi="Century Gothic" w:cs="Arial"/>
        </w:rPr>
      </w:pPr>
      <w:r w:rsidRPr="00A45A38">
        <w:rPr>
          <w:rFonts w:ascii="Century Gothic" w:eastAsia="Calibri" w:hAnsi="Century Gothic" w:cs="Arial"/>
        </w:rPr>
        <w:t xml:space="preserve">En la consulta previamente identificada Usted </w:t>
      </w:r>
      <w:r w:rsidR="00740F5B" w:rsidRPr="00A45A38">
        <w:rPr>
          <w:rFonts w:ascii="Century Gothic" w:eastAsia="Calibri" w:hAnsi="Century Gothic" w:cs="Arial"/>
        </w:rPr>
        <w:t>formula la siguiente pregunta:</w:t>
      </w:r>
    </w:p>
    <w:p w14:paraId="1EA0E7D3" w14:textId="77777777" w:rsidR="005A4FBB" w:rsidRPr="00A45A38" w:rsidRDefault="007959BC" w:rsidP="0049409F">
      <w:pPr>
        <w:tabs>
          <w:tab w:val="left" w:pos="426"/>
        </w:tabs>
        <w:spacing w:line="240" w:lineRule="auto"/>
        <w:ind w:left="709" w:right="709"/>
        <w:jc w:val="both"/>
        <w:rPr>
          <w:rFonts w:ascii="Century Gothic" w:eastAsia="Calibri" w:hAnsi="Century Gothic" w:cs="Arial"/>
          <w:sz w:val="21"/>
          <w:szCs w:val="21"/>
        </w:rPr>
      </w:pPr>
      <w:r w:rsidRPr="00A45A38">
        <w:rPr>
          <w:rFonts w:ascii="Century Gothic" w:eastAsia="Calibri" w:hAnsi="Century Gothic" w:cs="Arial"/>
          <w:sz w:val="21"/>
          <w:szCs w:val="21"/>
        </w:rPr>
        <w:t>“</w:t>
      </w:r>
      <w:r w:rsidR="000A7971" w:rsidRPr="00A45A38">
        <w:rPr>
          <w:rFonts w:ascii="Century Gothic" w:eastAsia="Calibri" w:hAnsi="Century Gothic" w:cs="Arial"/>
          <w:sz w:val="21"/>
          <w:szCs w:val="21"/>
        </w:rPr>
        <w:t>La presente es con el fin de aclar</w:t>
      </w:r>
      <w:r w:rsidR="000E1F9B" w:rsidRPr="00A45A38">
        <w:rPr>
          <w:rFonts w:ascii="Century Gothic" w:eastAsia="Calibri" w:hAnsi="Century Gothic" w:cs="Arial"/>
          <w:sz w:val="21"/>
          <w:szCs w:val="21"/>
        </w:rPr>
        <w:t>ar dudas con respecto al parágrafo único del artículo 23 de la ley 2126 de 2021 “POR LA CUAL SE REGULA LA CREACIÓN, CONFORMACIÓN Y FUNCIONAMIENTO DE LAS COMISARIAS DE FAMILIA, SE ESTABLECE EL ORGANO RECOR Y SE DICTAN OTRAS DISPOSICIONES</w:t>
      </w:r>
      <w:r w:rsidRPr="00A45A38">
        <w:rPr>
          <w:rFonts w:ascii="Century Gothic" w:eastAsia="Calibri" w:hAnsi="Century Gothic" w:cs="Arial"/>
          <w:sz w:val="21"/>
          <w:szCs w:val="21"/>
        </w:rPr>
        <w:t>”</w:t>
      </w:r>
      <w:r w:rsidR="005A4FBB" w:rsidRPr="00A45A38">
        <w:rPr>
          <w:rFonts w:ascii="Century Gothic" w:eastAsia="Calibri" w:hAnsi="Century Gothic" w:cs="Arial"/>
          <w:sz w:val="21"/>
          <w:szCs w:val="21"/>
        </w:rPr>
        <w:t>, por medio de la cual se estipula lo siguiente:</w:t>
      </w:r>
    </w:p>
    <w:p w14:paraId="45117DE6" w14:textId="77777777" w:rsidR="001E2CE3" w:rsidRPr="00A45A38" w:rsidRDefault="005A4FBB" w:rsidP="0049409F">
      <w:pPr>
        <w:tabs>
          <w:tab w:val="left" w:pos="426"/>
        </w:tabs>
        <w:spacing w:line="240" w:lineRule="auto"/>
        <w:ind w:left="709" w:right="709"/>
        <w:jc w:val="both"/>
        <w:rPr>
          <w:rFonts w:ascii="Century Gothic" w:eastAsia="Calibri" w:hAnsi="Century Gothic" w:cs="Arial"/>
          <w:sz w:val="21"/>
          <w:szCs w:val="21"/>
        </w:rPr>
      </w:pPr>
      <w:r w:rsidRPr="00A45A38">
        <w:rPr>
          <w:rFonts w:ascii="Century Gothic" w:eastAsia="Calibri" w:hAnsi="Century Gothic" w:cs="Arial"/>
          <w:sz w:val="21"/>
          <w:szCs w:val="21"/>
        </w:rPr>
        <w:t>ARTÍCULO 23. Hecho generador. El hecho generador de la estampilla está constituido por los contratos y las adiciones a los mismos, suscritos, con las entidades que conforman el presupuesto anual del Departamento, Municipio y Distrito</w:t>
      </w:r>
      <w:r w:rsidR="001E2CE3" w:rsidRPr="00A45A38">
        <w:rPr>
          <w:rFonts w:ascii="Century Gothic" w:eastAsia="Calibri" w:hAnsi="Century Gothic" w:cs="Arial"/>
          <w:sz w:val="21"/>
          <w:szCs w:val="21"/>
        </w:rPr>
        <w:t>.</w:t>
      </w:r>
    </w:p>
    <w:p w14:paraId="11607D52" w14:textId="77777777" w:rsidR="00420B61" w:rsidRPr="00A45A38" w:rsidRDefault="001E2CE3" w:rsidP="0049409F">
      <w:pPr>
        <w:tabs>
          <w:tab w:val="left" w:pos="426"/>
        </w:tabs>
        <w:spacing w:line="240" w:lineRule="auto"/>
        <w:ind w:left="709" w:right="709"/>
        <w:jc w:val="both"/>
        <w:rPr>
          <w:rFonts w:ascii="Century Gothic" w:eastAsia="Calibri" w:hAnsi="Century Gothic" w:cs="Arial"/>
          <w:sz w:val="21"/>
          <w:szCs w:val="21"/>
        </w:rPr>
      </w:pPr>
      <w:r w:rsidRPr="00A45A38">
        <w:rPr>
          <w:rFonts w:ascii="Century Gothic" w:eastAsia="Calibri" w:hAnsi="Century Gothic" w:cs="Arial"/>
          <w:sz w:val="21"/>
          <w:szCs w:val="21"/>
        </w:rPr>
        <w:lastRenderedPageBreak/>
        <w:t>PARÁGRAFO. Quedarán excluidos los contratos de prestación de servicios cuyo pago de honorarios mensual sea inferior a diez (10) SML</w:t>
      </w:r>
      <w:r w:rsidR="00420B61" w:rsidRPr="00A45A38">
        <w:rPr>
          <w:rFonts w:ascii="Century Gothic" w:eastAsia="Calibri" w:hAnsi="Century Gothic" w:cs="Arial"/>
          <w:sz w:val="21"/>
          <w:szCs w:val="21"/>
        </w:rPr>
        <w:t>MV.</w:t>
      </w:r>
    </w:p>
    <w:p w14:paraId="0A965319" w14:textId="3C8FC81D" w:rsidR="007959BC" w:rsidRPr="00A45A38" w:rsidRDefault="00420B61" w:rsidP="0049409F">
      <w:pPr>
        <w:tabs>
          <w:tab w:val="left" w:pos="426"/>
        </w:tabs>
        <w:spacing w:line="240" w:lineRule="auto"/>
        <w:ind w:left="709" w:right="709"/>
        <w:jc w:val="both"/>
        <w:rPr>
          <w:rFonts w:ascii="Century Gothic" w:eastAsia="Calibri" w:hAnsi="Century Gothic" w:cs="Arial"/>
          <w:sz w:val="21"/>
          <w:szCs w:val="21"/>
        </w:rPr>
      </w:pPr>
      <w:r w:rsidRPr="00A45A38">
        <w:rPr>
          <w:rFonts w:ascii="Century Gothic" w:eastAsia="Calibri" w:hAnsi="Century Gothic" w:cs="Arial"/>
          <w:sz w:val="21"/>
          <w:szCs w:val="21"/>
        </w:rPr>
        <w:t xml:space="preserve">Con respecto al parágrafo queda la siguiente inquietud, cuando se expresa la idea de </w:t>
      </w:r>
      <w:r w:rsidRPr="00A45A38">
        <w:rPr>
          <w:rFonts w:ascii="Century Gothic" w:eastAsia="Calibri" w:hAnsi="Century Gothic" w:cs="Arial"/>
          <w:b/>
          <w:bCs/>
          <w:sz w:val="21"/>
          <w:szCs w:val="21"/>
        </w:rPr>
        <w:t>honorarios</w:t>
      </w:r>
      <w:r w:rsidR="007959BC" w:rsidRPr="00A45A38">
        <w:rPr>
          <w:rFonts w:ascii="Century Gothic" w:eastAsia="Calibri" w:hAnsi="Century Gothic" w:cs="Arial"/>
          <w:sz w:val="21"/>
          <w:szCs w:val="21"/>
        </w:rPr>
        <w:t xml:space="preserve"> </w:t>
      </w:r>
      <w:r w:rsidRPr="00A45A38">
        <w:rPr>
          <w:rFonts w:ascii="Century Gothic" w:eastAsia="Calibri" w:hAnsi="Century Gothic" w:cs="Arial"/>
          <w:sz w:val="21"/>
          <w:szCs w:val="21"/>
        </w:rPr>
        <w:t xml:space="preserve">se hace referencia solo a los contratos que se deriven de especialidades como el de abogados, </w:t>
      </w:r>
      <w:r w:rsidR="00A13247" w:rsidRPr="00A45A38">
        <w:rPr>
          <w:rFonts w:ascii="Century Gothic" w:eastAsia="Calibri" w:hAnsi="Century Gothic" w:cs="Arial"/>
          <w:sz w:val="21"/>
          <w:szCs w:val="21"/>
        </w:rPr>
        <w:t>contadores, pero a los contratos de prestación de servicios como guadañeros, enlaces y demás si les descontará la estampilla</w:t>
      </w:r>
      <w:r w:rsidR="0049409F" w:rsidRPr="00A45A38">
        <w:rPr>
          <w:rFonts w:ascii="Century Gothic" w:eastAsia="Calibri" w:hAnsi="Century Gothic" w:cs="Arial"/>
          <w:sz w:val="21"/>
          <w:szCs w:val="21"/>
        </w:rPr>
        <w:t xml:space="preserve"> aun cuando sus ingresos no superaran los 10 salarios mínimos, sin embargo, no tienen el concepto de honorarios para desarrollo de su actividad, o por el contrario se aplicaría para todos </w:t>
      </w:r>
      <w:r w:rsidR="0049409F" w:rsidRPr="00A45A38">
        <w:rPr>
          <w:rFonts w:ascii="Century Gothic" w:eastAsia="Calibri" w:hAnsi="Century Gothic" w:cs="Arial"/>
          <w:b/>
          <w:bCs/>
          <w:sz w:val="21"/>
          <w:szCs w:val="21"/>
        </w:rPr>
        <w:t>los contratos de prestación de servicios que sean inferiores a</w:t>
      </w:r>
      <w:r w:rsidR="0049409F" w:rsidRPr="00A45A38">
        <w:rPr>
          <w:rFonts w:ascii="Century Gothic" w:eastAsia="Calibri" w:hAnsi="Century Gothic" w:cs="Arial"/>
          <w:sz w:val="21"/>
          <w:szCs w:val="21"/>
        </w:rPr>
        <w:t xml:space="preserve"> 10 salarios mínimos?”</w:t>
      </w:r>
      <w:r w:rsidR="007959BC" w:rsidRPr="00A45A38">
        <w:rPr>
          <w:rFonts w:ascii="Century Gothic" w:eastAsia="Calibri" w:hAnsi="Century Gothic" w:cs="Arial"/>
          <w:sz w:val="21"/>
          <w:szCs w:val="21"/>
        </w:rPr>
        <w:t>(Sic).</w:t>
      </w:r>
    </w:p>
    <w:p w14:paraId="18BA9B9B" w14:textId="77777777" w:rsidR="007959BC" w:rsidRPr="00A45A38" w:rsidRDefault="007959BC" w:rsidP="007959BC">
      <w:pPr>
        <w:tabs>
          <w:tab w:val="left" w:pos="426"/>
        </w:tabs>
        <w:spacing w:line="276" w:lineRule="auto"/>
        <w:jc w:val="both"/>
        <w:rPr>
          <w:rFonts w:ascii="Century Gothic" w:eastAsia="Calibri" w:hAnsi="Century Gothic" w:cs="Arial"/>
          <w:b/>
        </w:rPr>
      </w:pPr>
      <w:bookmarkStart w:id="1" w:name="_Hlk38500171"/>
      <w:r w:rsidRPr="00A45A38">
        <w:rPr>
          <w:rFonts w:ascii="Century Gothic" w:eastAsia="Calibri" w:hAnsi="Century Gothic" w:cs="Arial"/>
          <w:b/>
        </w:rPr>
        <w:t>2. Consideraciones</w:t>
      </w:r>
    </w:p>
    <w:p w14:paraId="49F05B0E" w14:textId="77777777" w:rsidR="007959BC" w:rsidRPr="00A45A38" w:rsidRDefault="007959BC" w:rsidP="007959BC">
      <w:pPr>
        <w:shd w:val="clear" w:color="auto" w:fill="FFFFFF" w:themeFill="background1"/>
        <w:spacing w:line="276" w:lineRule="auto"/>
        <w:jc w:val="both"/>
        <w:rPr>
          <w:rFonts w:ascii="Century Gothic" w:eastAsia="Calibri" w:hAnsi="Century Gothic" w:cs="Arial"/>
          <w:color w:val="000000" w:themeColor="text1"/>
        </w:rPr>
      </w:pPr>
      <w:r w:rsidRPr="00A45A38">
        <w:rPr>
          <w:rFonts w:ascii="Century Gothic" w:eastAsia="Calibri" w:hAnsi="Century Gothic" w:cs="Arial"/>
          <w:color w:val="000000" w:themeColor="text1"/>
        </w:rPr>
        <w:t>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24E20872" w14:textId="77777777" w:rsidR="007959BC" w:rsidRPr="00A45A38" w:rsidRDefault="007959BC" w:rsidP="007959BC">
      <w:pPr>
        <w:shd w:val="clear" w:color="auto" w:fill="FFFFFF" w:themeFill="background1"/>
        <w:spacing w:line="276" w:lineRule="auto"/>
        <w:ind w:firstLine="708"/>
        <w:jc w:val="both"/>
        <w:rPr>
          <w:rFonts w:ascii="Century Gothic" w:eastAsia="Calibri" w:hAnsi="Century Gothic" w:cs="Arial"/>
          <w:color w:val="000000" w:themeColor="text1"/>
        </w:rPr>
      </w:pPr>
      <w:r w:rsidRPr="00A45A38">
        <w:rPr>
          <w:rFonts w:ascii="Century Gothic" w:eastAsia="Calibri" w:hAnsi="Century Gothic" w:cs="Arial"/>
          <w:color w:val="000000" w:themeColor="text1"/>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14:paraId="0E6AC786" w14:textId="5DC0DC3E" w:rsidR="007959BC" w:rsidRPr="00A45A38" w:rsidRDefault="007959BC" w:rsidP="007959BC">
      <w:pPr>
        <w:spacing w:line="276" w:lineRule="auto"/>
        <w:jc w:val="both"/>
        <w:rPr>
          <w:rFonts w:ascii="Century Gothic" w:eastAsia="Calibri" w:hAnsi="Century Gothic" w:cs="Arial"/>
        </w:rPr>
      </w:pPr>
      <w:r w:rsidRPr="00A45A38">
        <w:rPr>
          <w:rFonts w:ascii="Century Gothic" w:eastAsia="Calibri" w:hAnsi="Century Gothic" w:cs="Arial"/>
          <w:color w:val="000000" w:themeColor="text1"/>
        </w:rPr>
        <w:tab/>
        <w:t>En este contexto, la Subdirección de Gestión Contractual, dentro de los límites de sus atribuciones, esto es, haciendo abstracción a las preguntas de casos particulares expuestos, resolverá la consulta conforme a las normas generales en materia de contratación estatal. Con este objetivo se analizarán</w:t>
      </w:r>
      <w:r w:rsidRPr="00A45A38">
        <w:rPr>
          <w:rFonts w:ascii="Century Gothic" w:eastAsia="Calibri" w:hAnsi="Century Gothic" w:cs="Arial"/>
          <w:color w:val="000000" w:themeColor="text1"/>
          <w:lang w:val="es-ES"/>
        </w:rPr>
        <w:t xml:space="preserve"> los siguientes temas</w:t>
      </w:r>
      <w:r w:rsidRPr="00A45A38">
        <w:rPr>
          <w:rFonts w:ascii="Century Gothic" w:hAnsi="Century Gothic" w:cs="Arial"/>
          <w:color w:val="000000" w:themeColor="text1"/>
          <w:lang w:val="es-ES"/>
        </w:rPr>
        <w:t xml:space="preserve">: </w:t>
      </w:r>
      <w:bookmarkEnd w:id="1"/>
      <w:r w:rsidR="00F118DC" w:rsidRPr="00A45A38">
        <w:rPr>
          <w:rFonts w:ascii="Century Gothic" w:hAnsi="Century Gothic" w:cs="Arial"/>
          <w:color w:val="000000" w:themeColor="text1"/>
          <w:lang w:val="es-ES"/>
        </w:rPr>
        <w:t xml:space="preserve">i) </w:t>
      </w:r>
      <w:r w:rsidR="00506091" w:rsidRPr="00A45A38">
        <w:rPr>
          <w:rFonts w:ascii="Century Gothic" w:eastAsia="Calibri" w:hAnsi="Century Gothic" w:cs="Arial"/>
          <w:color w:val="000000"/>
          <w:lang w:val="es-ES_tradnl"/>
        </w:rPr>
        <w:t xml:space="preserve">competencia </w:t>
      </w:r>
      <w:r w:rsidR="00506091" w:rsidRPr="00A45A38">
        <w:rPr>
          <w:rFonts w:ascii="Century Gothic" w:eastAsia="Calibri" w:hAnsi="Century Gothic" w:cs="Arial"/>
          <w:bCs/>
        </w:rPr>
        <w:t>consultiva de la Agencia Nacional de Contratación Pública</w:t>
      </w:r>
      <w:r w:rsidR="00506091" w:rsidRPr="00A45A38">
        <w:rPr>
          <w:rStyle w:val="normaltextrun"/>
          <w:rFonts w:ascii="Century Gothic" w:hAnsi="Century Gothic" w:cs="Arial"/>
          <w:lang w:val="es-ES"/>
        </w:rPr>
        <w:t xml:space="preserve"> ; ii) c</w:t>
      </w:r>
      <w:r w:rsidR="00F118DC" w:rsidRPr="00A45A38">
        <w:rPr>
          <w:rStyle w:val="normaltextrun"/>
          <w:rFonts w:ascii="Century Gothic" w:hAnsi="Century Gothic" w:cs="Arial"/>
          <w:lang w:val="es-ES"/>
        </w:rPr>
        <w:t>aracterísticas generales del contrato de prestación de servicios; ii</w:t>
      </w:r>
      <w:r w:rsidR="00506091" w:rsidRPr="00A45A38">
        <w:rPr>
          <w:rStyle w:val="normaltextrun"/>
          <w:rFonts w:ascii="Century Gothic" w:hAnsi="Century Gothic" w:cs="Arial"/>
          <w:lang w:val="es-ES"/>
        </w:rPr>
        <w:t>i</w:t>
      </w:r>
      <w:r w:rsidR="00F118DC" w:rsidRPr="00A45A38">
        <w:rPr>
          <w:rStyle w:val="normaltextrun"/>
          <w:rFonts w:ascii="Century Gothic" w:hAnsi="Century Gothic" w:cs="Arial"/>
          <w:lang w:val="es-ES"/>
        </w:rPr>
        <w:t xml:space="preserve">) </w:t>
      </w:r>
      <w:r w:rsidR="000021D3" w:rsidRPr="00A45A38">
        <w:rPr>
          <w:rStyle w:val="normaltextrun"/>
          <w:rFonts w:ascii="Century Gothic" w:hAnsi="Century Gothic" w:cs="Arial"/>
          <w:lang w:val="es-ES"/>
        </w:rPr>
        <w:t>e</w:t>
      </w:r>
      <w:r w:rsidR="006F0726" w:rsidRPr="00A45A38">
        <w:rPr>
          <w:rStyle w:val="normaltextrun"/>
          <w:rFonts w:ascii="Century Gothic" w:hAnsi="Century Gothic" w:cs="Arial"/>
          <w:lang w:val="es-ES"/>
        </w:rPr>
        <w:t>species del género</w:t>
      </w:r>
      <w:r w:rsidR="00E56626" w:rsidRPr="00A45A38">
        <w:rPr>
          <w:rStyle w:val="normaltextrun"/>
          <w:rFonts w:ascii="Century Gothic" w:hAnsi="Century Gothic" w:cs="Arial"/>
          <w:lang w:val="es-ES"/>
        </w:rPr>
        <w:t xml:space="preserve"> de los contratos de prestación de servicios</w:t>
      </w:r>
      <w:r w:rsidR="005F3FA3" w:rsidRPr="00A45A38">
        <w:rPr>
          <w:rStyle w:val="normaltextrun"/>
          <w:rFonts w:ascii="Century Gothic" w:hAnsi="Century Gothic" w:cs="Arial"/>
          <w:lang w:val="es-ES"/>
        </w:rPr>
        <w:t xml:space="preserve">: </w:t>
      </w:r>
      <w:r w:rsidR="00E56626" w:rsidRPr="00A45A38">
        <w:rPr>
          <w:rStyle w:val="normaltextrun"/>
          <w:rFonts w:ascii="Century Gothic" w:hAnsi="Century Gothic" w:cs="Arial"/>
          <w:lang w:val="es-ES"/>
        </w:rPr>
        <w:t xml:space="preserve">Profesionales, </w:t>
      </w:r>
      <w:r w:rsidR="006F0726" w:rsidRPr="00A45A38">
        <w:rPr>
          <w:rStyle w:val="normaltextrun"/>
          <w:rFonts w:ascii="Century Gothic" w:hAnsi="Century Gothic" w:cs="Arial"/>
          <w:lang w:val="es-ES"/>
        </w:rPr>
        <w:t>A</w:t>
      </w:r>
      <w:r w:rsidR="00E56626" w:rsidRPr="00A45A38">
        <w:rPr>
          <w:rStyle w:val="normaltextrun"/>
          <w:rFonts w:ascii="Century Gothic" w:hAnsi="Century Gothic" w:cs="Arial"/>
          <w:lang w:val="es-ES"/>
        </w:rPr>
        <w:t xml:space="preserve">poyo a la gestión y </w:t>
      </w:r>
      <w:r w:rsidR="00A055B6" w:rsidRPr="00A45A38">
        <w:rPr>
          <w:rFonts w:ascii="Century Gothic" w:eastAsia="Arial" w:hAnsi="Century Gothic" w:cs="Arial"/>
          <w:color w:val="000000"/>
          <w:lang w:val="es-MX" w:eastAsia="es-ES_tradnl"/>
        </w:rPr>
        <w:t>Servicios artísticos que sólo pueden encomendarse a determinadas personas naturales</w:t>
      </w:r>
      <w:r w:rsidR="00E56626" w:rsidRPr="00A45A38">
        <w:rPr>
          <w:rStyle w:val="normaltextrun"/>
          <w:rFonts w:ascii="Century Gothic" w:hAnsi="Century Gothic" w:cs="Arial"/>
          <w:lang w:val="es-ES"/>
        </w:rPr>
        <w:t>; i</w:t>
      </w:r>
      <w:r w:rsidR="00506091" w:rsidRPr="00A45A38">
        <w:rPr>
          <w:rStyle w:val="normaltextrun"/>
          <w:rFonts w:ascii="Century Gothic" w:hAnsi="Century Gothic" w:cs="Arial"/>
          <w:lang w:val="es-ES"/>
        </w:rPr>
        <w:t>v</w:t>
      </w:r>
      <w:r w:rsidR="00E56626" w:rsidRPr="00A45A38">
        <w:rPr>
          <w:rStyle w:val="normaltextrun"/>
          <w:rFonts w:ascii="Century Gothic" w:hAnsi="Century Gothic" w:cs="Arial"/>
          <w:lang w:val="es-ES"/>
        </w:rPr>
        <w:t xml:space="preserve">) </w:t>
      </w:r>
      <w:r w:rsidR="00F118DC" w:rsidRPr="00A45A38">
        <w:rPr>
          <w:rStyle w:val="normaltextrun"/>
          <w:rFonts w:ascii="Century Gothic" w:hAnsi="Century Gothic" w:cs="Arial"/>
          <w:lang w:val="es-ES"/>
        </w:rPr>
        <w:t xml:space="preserve">la fijación de honorarios en los contratos de prestación de </w:t>
      </w:r>
      <w:r w:rsidR="00F118DC" w:rsidRPr="00A45A38">
        <w:rPr>
          <w:rStyle w:val="normaltextrun"/>
          <w:rFonts w:ascii="Century Gothic" w:hAnsi="Century Gothic" w:cs="Arial"/>
          <w:lang w:val="es-ES"/>
        </w:rPr>
        <w:lastRenderedPageBreak/>
        <w:t>servicios</w:t>
      </w:r>
      <w:r w:rsidR="00A055B6" w:rsidRPr="00A45A38">
        <w:rPr>
          <w:rStyle w:val="normaltextrun"/>
          <w:rFonts w:ascii="Century Gothic" w:hAnsi="Century Gothic" w:cs="Arial"/>
          <w:lang w:val="es-ES"/>
        </w:rPr>
        <w:t>;</w:t>
      </w:r>
      <w:r w:rsidR="009F7337" w:rsidRPr="00A45A38">
        <w:rPr>
          <w:rStyle w:val="normaltextrun"/>
          <w:rFonts w:ascii="Century Gothic" w:hAnsi="Century Gothic" w:cs="Arial"/>
          <w:lang w:val="es-ES"/>
        </w:rPr>
        <w:t xml:space="preserve"> y, v) </w:t>
      </w:r>
      <w:r w:rsidR="00F67F62" w:rsidRPr="00A45A38">
        <w:rPr>
          <w:rStyle w:val="normaltextrun"/>
          <w:rFonts w:ascii="Century Gothic" w:hAnsi="Century Gothic" w:cs="Arial"/>
          <w:lang w:val="es-ES"/>
        </w:rPr>
        <w:t>noción general sobre estampillas</w:t>
      </w:r>
      <w:r w:rsidR="00C8319D" w:rsidRPr="00A45A38">
        <w:rPr>
          <w:rStyle w:val="normaltextrun"/>
          <w:rFonts w:ascii="Century Gothic" w:hAnsi="Century Gothic" w:cs="Arial"/>
          <w:lang w:val="es-ES"/>
        </w:rPr>
        <w:t xml:space="preserve"> cuyo hecho generador sea la celebración de contratos</w:t>
      </w:r>
      <w:r w:rsidR="00412F56" w:rsidRPr="00A45A38">
        <w:rPr>
          <w:rStyle w:val="normaltextrun"/>
          <w:rFonts w:ascii="Century Gothic" w:hAnsi="Century Gothic" w:cs="Arial"/>
          <w:lang w:val="es-ES"/>
        </w:rPr>
        <w:t xml:space="preserve"> estatales</w:t>
      </w:r>
      <w:r w:rsidR="00F67F62" w:rsidRPr="00A45A38">
        <w:rPr>
          <w:rStyle w:val="normaltextrun"/>
          <w:rFonts w:ascii="Century Gothic" w:hAnsi="Century Gothic" w:cs="Arial"/>
          <w:lang w:val="es-ES"/>
        </w:rPr>
        <w:t>.</w:t>
      </w:r>
    </w:p>
    <w:p w14:paraId="332F40CC" w14:textId="2E40F390" w:rsidR="00894BBF" w:rsidRPr="00A45A38" w:rsidRDefault="007A6E93" w:rsidP="00894BBF">
      <w:pPr>
        <w:spacing w:after="0" w:line="276" w:lineRule="auto"/>
        <w:ind w:firstLine="709"/>
        <w:jc w:val="both"/>
        <w:rPr>
          <w:rFonts w:ascii="Century Gothic" w:eastAsia="Calibri" w:hAnsi="Century Gothic" w:cs="Arial"/>
          <w:color w:val="000000"/>
        </w:rPr>
      </w:pPr>
      <w:r w:rsidRPr="00A45A38">
        <w:rPr>
          <w:rFonts w:ascii="Century Gothic" w:eastAsia="Times New Roman" w:hAnsi="Century Gothic" w:cs="Arial"/>
          <w:lang w:eastAsia="es-CO"/>
        </w:rPr>
        <w:t>Sobre las características de los contratos de prestación de servicios esta Agencia ha emitido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2020,C−379 del 30 de junio de 2020, C−414 del 30 de junio de 2020, C-661 del 17 de noviembre de 2020 C−685 del 18 de diciembre de 2020, C- 004 del 12 de febrero de 2021, C−106 del 7 de abril de 2021, C-181 del 07 de abril de 2022, C-214 del 22 de abril de 2022</w:t>
      </w:r>
      <w:r w:rsidR="0004082E" w:rsidRPr="00A45A38">
        <w:rPr>
          <w:rFonts w:ascii="Century Gothic" w:eastAsia="Times New Roman" w:hAnsi="Century Gothic" w:cs="Arial"/>
          <w:lang w:eastAsia="es-CO"/>
        </w:rPr>
        <w:t>,</w:t>
      </w:r>
      <w:r w:rsidRPr="00A45A38">
        <w:rPr>
          <w:rFonts w:ascii="Century Gothic" w:eastAsia="Times New Roman" w:hAnsi="Century Gothic" w:cs="Arial"/>
          <w:lang w:eastAsia="es-CO"/>
        </w:rPr>
        <w:t xml:space="preserve"> C-491 de 01 de agosto de 2022</w:t>
      </w:r>
      <w:r w:rsidR="0004082E" w:rsidRPr="00A45A38">
        <w:rPr>
          <w:rFonts w:ascii="Century Gothic" w:eastAsia="Times New Roman" w:hAnsi="Century Gothic" w:cs="Arial"/>
          <w:lang w:eastAsia="es-CO"/>
        </w:rPr>
        <w:t>,</w:t>
      </w:r>
      <w:r w:rsidRPr="00A45A38">
        <w:rPr>
          <w:rFonts w:ascii="Century Gothic" w:eastAsia="Times New Roman" w:hAnsi="Century Gothic" w:cs="Arial"/>
          <w:lang w:eastAsia="es-CO"/>
        </w:rPr>
        <w:t xml:space="preserve"> C- 936 de 19 de diciembre de 2022, </w:t>
      </w:r>
      <w:r w:rsidR="00E56DF6" w:rsidRPr="00A45A38">
        <w:rPr>
          <w:rFonts w:ascii="Century Gothic" w:eastAsia="Times New Roman" w:hAnsi="Century Gothic" w:cs="Arial"/>
          <w:lang w:eastAsia="es-CO"/>
        </w:rPr>
        <w:t xml:space="preserve">C- 057 de 29 de marzo de 2023, C-102 de 5 de mayo de 2023, </w:t>
      </w:r>
      <w:r w:rsidR="00BC5A28" w:rsidRPr="00A45A38">
        <w:rPr>
          <w:rFonts w:ascii="Century Gothic" w:eastAsia="Times New Roman" w:hAnsi="Century Gothic" w:cs="Arial"/>
          <w:lang w:eastAsia="es-CO"/>
        </w:rPr>
        <w:t xml:space="preserve">C-135 de </w:t>
      </w:r>
      <w:r w:rsidR="00B75B5E" w:rsidRPr="00A45A38">
        <w:rPr>
          <w:rFonts w:ascii="Century Gothic" w:eastAsia="Times New Roman" w:hAnsi="Century Gothic" w:cs="Arial"/>
          <w:lang w:eastAsia="es-CO"/>
        </w:rPr>
        <w:t>25 de mayo de 2023, C-178 de 8 de junio de 2023, C-192 de 13 de junio de 2023, C-</w:t>
      </w:r>
      <w:r w:rsidR="00E45FCF" w:rsidRPr="00A45A38">
        <w:rPr>
          <w:rFonts w:ascii="Century Gothic" w:eastAsia="Times New Roman" w:hAnsi="Century Gothic" w:cs="Arial"/>
          <w:lang w:eastAsia="es-CO"/>
        </w:rPr>
        <w:t>334 de 17 de agosto de 2023, C-420 de 10 de octubre de 2023, C-443 de 21 de octubre de 2023</w:t>
      </w:r>
      <w:r w:rsidR="00ED7D71" w:rsidRPr="00A45A38">
        <w:rPr>
          <w:rFonts w:ascii="Century Gothic" w:eastAsia="Times New Roman" w:hAnsi="Century Gothic" w:cs="Arial"/>
          <w:lang w:eastAsia="es-CO"/>
        </w:rPr>
        <w:t xml:space="preserve">, </w:t>
      </w:r>
      <w:r w:rsidRPr="00A45A38">
        <w:rPr>
          <w:rFonts w:ascii="Century Gothic" w:eastAsia="Times New Roman" w:hAnsi="Century Gothic" w:cs="Arial"/>
          <w:lang w:eastAsia="es-CO"/>
        </w:rPr>
        <w:t>entre otros</w:t>
      </w:r>
      <w:r w:rsidRPr="00A45A38">
        <w:rPr>
          <w:rStyle w:val="Refdenotaalpie"/>
          <w:rFonts w:ascii="Century Gothic" w:eastAsia="Times New Roman" w:hAnsi="Century Gothic" w:cs="Arial"/>
          <w:lang w:eastAsia="es-CO"/>
        </w:rPr>
        <w:footnoteReference w:id="2"/>
      </w:r>
      <w:r w:rsidRPr="00A45A38">
        <w:rPr>
          <w:rFonts w:ascii="Century Gothic" w:eastAsia="Times New Roman" w:hAnsi="Century Gothic" w:cs="Arial"/>
          <w:lang w:eastAsia="es-CO"/>
        </w:rPr>
        <w:t xml:space="preserve">. </w:t>
      </w:r>
      <w:r w:rsidR="00894BBF" w:rsidRPr="00A45A38">
        <w:rPr>
          <w:rFonts w:ascii="Century Gothic" w:eastAsia="Calibri" w:hAnsi="Century Gothic" w:cs="Arial"/>
          <w:color w:val="000000"/>
        </w:rPr>
        <w:t xml:space="preserve">Las tesis expuestas en estos conceptos se reiteran y se complementan en lo pertinente para dar respuesta a su </w:t>
      </w:r>
      <w:r w:rsidR="009E54A5" w:rsidRPr="00A45A38">
        <w:rPr>
          <w:rFonts w:ascii="Century Gothic" w:eastAsia="Calibri" w:hAnsi="Century Gothic" w:cs="Arial"/>
          <w:color w:val="000000"/>
        </w:rPr>
        <w:t>consulta.</w:t>
      </w:r>
    </w:p>
    <w:p w14:paraId="1BE7B740" w14:textId="77777777" w:rsidR="00C96336" w:rsidRPr="00A45A38" w:rsidRDefault="00C96336" w:rsidP="00894BBF">
      <w:pPr>
        <w:spacing w:after="0" w:line="276" w:lineRule="auto"/>
        <w:ind w:firstLine="709"/>
        <w:jc w:val="both"/>
        <w:rPr>
          <w:rFonts w:ascii="Century Gothic" w:eastAsia="Calibri" w:hAnsi="Century Gothic" w:cs="Arial"/>
          <w:color w:val="000000"/>
        </w:rPr>
      </w:pPr>
    </w:p>
    <w:p w14:paraId="2DD4AD60" w14:textId="77777777" w:rsidR="009E54A5" w:rsidRPr="00A45A38" w:rsidRDefault="00C96336" w:rsidP="009E54A5">
      <w:pPr>
        <w:spacing w:line="276" w:lineRule="auto"/>
        <w:jc w:val="both"/>
        <w:rPr>
          <w:rFonts w:ascii="Century Gothic" w:eastAsia="Calibri" w:hAnsi="Century Gothic" w:cs="Arial"/>
          <w:b/>
        </w:rPr>
      </w:pPr>
      <w:r w:rsidRPr="00A45A38">
        <w:rPr>
          <w:rFonts w:ascii="Century Gothic" w:eastAsia="Calibri" w:hAnsi="Century Gothic" w:cs="Arial"/>
          <w:b/>
        </w:rPr>
        <w:t>2.1. Competencia consultiva de la Agencia Nacional de Contratación Pública – Colombia Compra Eficiente. Reiteración de Línea.</w:t>
      </w:r>
    </w:p>
    <w:p w14:paraId="311A7045" w14:textId="77777777" w:rsidR="001C5A63" w:rsidRPr="00A45A38" w:rsidRDefault="009E54A5" w:rsidP="001C5A63">
      <w:pPr>
        <w:spacing w:line="276" w:lineRule="auto"/>
        <w:jc w:val="both"/>
        <w:rPr>
          <w:rFonts w:ascii="Century Gothic" w:eastAsia="Calibri" w:hAnsi="Century Gothic" w:cs="Arial"/>
          <w:b/>
        </w:rPr>
      </w:pPr>
      <w:r w:rsidRPr="00A45A38">
        <w:rPr>
          <w:rFonts w:ascii="Century Gothic" w:eastAsia="Calibri" w:hAnsi="Century Gothic" w:cs="Arial"/>
          <w:bCs/>
        </w:rPr>
        <w:t>En primer lugar, esta Subdirección procede</w:t>
      </w:r>
      <w:r w:rsidR="00216BCE" w:rsidRPr="00A45A38">
        <w:rPr>
          <w:rFonts w:ascii="Century Gothic" w:hAnsi="Century Gothic" w:cs="Arial"/>
        </w:rPr>
        <w:t xml:space="preserve"> aclarar que su competencia consultiva se suscribe al objetivo y funciones de la Agencia Nacional de Contratación Pública – Colombia Compra Eficiente, esto quiere decir, que la función asignada a esta dependencia para </w:t>
      </w:r>
      <w:r w:rsidR="00216BCE" w:rsidRPr="00A45A38">
        <w:rPr>
          <w:rFonts w:ascii="Century Gothic" w:hAnsi="Century Gothic" w:cs="Arial"/>
          <w:i/>
        </w:rPr>
        <w:t>“Absolver consultas sobre la aplicación de normas de carácter general”</w:t>
      </w:r>
      <w:r w:rsidR="00216BCE" w:rsidRPr="00A45A38">
        <w:rPr>
          <w:rFonts w:ascii="Century Gothic" w:hAnsi="Century Gothic" w:cs="Arial"/>
        </w:rPr>
        <w:t xml:space="preserve"> se centra únicamente en consultas relacionadas con la interpretación de las normas que tratan sobre temáticas de la contratación estatal y compras </w:t>
      </w:r>
      <w:r w:rsidR="00216BCE" w:rsidRPr="00A45A38">
        <w:rPr>
          <w:rFonts w:ascii="Century Gothic" w:hAnsi="Century Gothic" w:cs="Arial"/>
        </w:rPr>
        <w:lastRenderedPageBreak/>
        <w:t>públicas. Por lo tanto, el alcance de la competencia consultiva a cargo de esta dependencia, y los conceptos emitidos con fundamento en ello, contienen la posición hermenéutica de la Subdirección de Gestión Contractual en relación con determinado aspecto del ordenamiento jurídico sobre contratación estatal y compras públicas, que no puede extenderse a la resolución de controversias, ni a brindar asesorías sobre casos puntuales</w:t>
      </w:r>
      <w:r w:rsidR="00632BAF" w:rsidRPr="00A45A38">
        <w:rPr>
          <w:rFonts w:ascii="Century Gothic" w:hAnsi="Century Gothic" w:cs="Arial"/>
        </w:rPr>
        <w:t xml:space="preserve"> o sobre normes ajenas a es</w:t>
      </w:r>
      <w:r w:rsidR="008D67E2" w:rsidRPr="00A45A38">
        <w:rPr>
          <w:rFonts w:ascii="Century Gothic" w:hAnsi="Century Gothic" w:cs="Arial"/>
        </w:rPr>
        <w:t>ta temática</w:t>
      </w:r>
      <w:r w:rsidR="00216BCE" w:rsidRPr="00A45A38">
        <w:rPr>
          <w:rFonts w:ascii="Century Gothic" w:hAnsi="Century Gothic" w:cs="Arial"/>
        </w:rPr>
        <w:t>, ni mucho menos ser vinculantes o de obligatorio cumplimiento para el destinatario.</w:t>
      </w:r>
    </w:p>
    <w:p w14:paraId="7314D616" w14:textId="553E6787" w:rsidR="00C96336" w:rsidRPr="00A45A38" w:rsidRDefault="001C5A63" w:rsidP="001C5A63">
      <w:pPr>
        <w:spacing w:line="276" w:lineRule="auto"/>
        <w:ind w:firstLine="708"/>
        <w:jc w:val="both"/>
        <w:rPr>
          <w:rFonts w:ascii="Century Gothic" w:eastAsia="Calibri" w:hAnsi="Century Gothic" w:cs="Arial"/>
          <w:b/>
        </w:rPr>
      </w:pPr>
      <w:r w:rsidRPr="00A45A38">
        <w:rPr>
          <w:rFonts w:ascii="Century Gothic" w:eastAsia="Calibri" w:hAnsi="Century Gothic" w:cs="Arial"/>
          <w:bCs/>
        </w:rPr>
        <w:t xml:space="preserve">En ese contexto, </w:t>
      </w:r>
      <w:r w:rsidR="00C96336" w:rsidRPr="00A45A38">
        <w:rPr>
          <w:rFonts w:ascii="Century Gothic" w:eastAsia="Times New Roman" w:hAnsi="Century Gothic" w:cs="Arial"/>
          <w:color w:val="000000"/>
          <w:lang w:eastAsia="es-MX"/>
        </w:rPr>
        <w:t>es preciso advertir que los conceptos contienen la posición hermenéutica de la Subdirección de Gestión Contractual en relación con determinad</w:t>
      </w:r>
      <w:r w:rsidR="00062934" w:rsidRPr="00A45A38">
        <w:rPr>
          <w:rFonts w:ascii="Century Gothic" w:eastAsia="Times New Roman" w:hAnsi="Century Gothic" w:cs="Arial"/>
          <w:color w:val="000000"/>
          <w:lang w:eastAsia="es-MX"/>
        </w:rPr>
        <w:t xml:space="preserve">a norma general </w:t>
      </w:r>
      <w:r w:rsidR="00DB4AA2">
        <w:rPr>
          <w:rFonts w:ascii="Century Gothic" w:eastAsia="Times New Roman" w:hAnsi="Century Gothic" w:cs="Arial"/>
          <w:color w:val="000000"/>
          <w:lang w:eastAsia="es-MX"/>
        </w:rPr>
        <w:t>de contratación pública</w:t>
      </w:r>
      <w:r w:rsidR="00C96336" w:rsidRPr="00A45A38">
        <w:rPr>
          <w:rFonts w:ascii="Century Gothic" w:eastAsia="Times New Roman" w:hAnsi="Century Gothic" w:cs="Arial"/>
          <w:color w:val="000000"/>
          <w:lang w:eastAsia="es-MX"/>
        </w:rPr>
        <w:t>. Esta competencia de interpretación de normas generales, por definición, no puede extenderse a la resolución de controversias, ni a brindar asesorías sobre casos puntuales.</w:t>
      </w:r>
    </w:p>
    <w:p w14:paraId="4303AD84" w14:textId="32CC1801" w:rsidR="00C96336" w:rsidRPr="00A45A38" w:rsidRDefault="00062934" w:rsidP="00C96336">
      <w:pPr>
        <w:tabs>
          <w:tab w:val="left" w:pos="709"/>
        </w:tabs>
        <w:spacing w:before="120" w:line="276" w:lineRule="auto"/>
        <w:jc w:val="both"/>
        <w:rPr>
          <w:rFonts w:ascii="Century Gothic" w:eastAsia="Times New Roman" w:hAnsi="Century Gothic" w:cs="Arial"/>
          <w:color w:val="000000"/>
          <w:lang w:eastAsia="es-MX"/>
        </w:rPr>
      </w:pPr>
      <w:r w:rsidRPr="00A45A38">
        <w:rPr>
          <w:rFonts w:ascii="Century Gothic" w:eastAsia="Times New Roman" w:hAnsi="Century Gothic" w:cs="Arial"/>
          <w:color w:val="000000"/>
          <w:shd w:val="clear" w:color="auto" w:fill="FFFFFF"/>
          <w:lang w:eastAsia="es-MX"/>
        </w:rPr>
        <w:tab/>
      </w:r>
      <w:r w:rsidR="00C96336" w:rsidRPr="00A45A38">
        <w:rPr>
          <w:rFonts w:ascii="Century Gothic" w:eastAsia="Times New Roman" w:hAnsi="Century Gothic" w:cs="Arial"/>
          <w:color w:val="000000"/>
          <w:shd w:val="clear" w:color="auto" w:fill="FFFFFF"/>
          <w:lang w:eastAsia="es-MX"/>
        </w:rPr>
        <w:t>En concordancia con ello, es importante resaltar que e</w:t>
      </w:r>
      <w:r w:rsidR="00C96336" w:rsidRPr="00A45A38">
        <w:rPr>
          <w:rFonts w:ascii="Century Gothic" w:eastAsia="Times New Roman" w:hAnsi="Century Gothic" w:cs="Arial"/>
          <w:color w:val="000000"/>
          <w:lang w:eastAsia="es-MX"/>
        </w:rPr>
        <w:t>sta posición es compartida por varias entidades públicas que ejercen similar función. Por ejemplo, la Procuraduría General de la Nación</w:t>
      </w:r>
      <w:r w:rsidR="00C96336" w:rsidRPr="00A45A38">
        <w:rPr>
          <w:rFonts w:ascii="Century Gothic" w:eastAsia="Times New Roman" w:hAnsi="Century Gothic" w:cs="Arial"/>
          <w:color w:val="000000"/>
          <w:vertAlign w:val="superscript"/>
          <w:lang w:eastAsia="es-MX"/>
        </w:rPr>
        <w:footnoteReference w:id="3"/>
      </w:r>
      <w:r w:rsidR="00C96336" w:rsidRPr="00A45A38">
        <w:rPr>
          <w:rFonts w:ascii="Century Gothic" w:eastAsia="Times New Roman" w:hAnsi="Century Gothic" w:cs="Arial"/>
          <w:color w:val="000000"/>
          <w:lang w:eastAsia="es-MX"/>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00C96336" w:rsidRPr="00A45A38">
        <w:rPr>
          <w:rFonts w:ascii="Century Gothic" w:eastAsia="Times New Roman" w:hAnsi="Century Gothic" w:cs="Arial"/>
          <w:color w:val="000000"/>
          <w:vertAlign w:val="superscript"/>
          <w:lang w:eastAsia="es-MX"/>
        </w:rPr>
        <w:footnoteReference w:id="4"/>
      </w:r>
      <w:r w:rsidR="00C96336" w:rsidRPr="00A45A38">
        <w:rPr>
          <w:rFonts w:ascii="Century Gothic" w:eastAsia="Times New Roman" w:hAnsi="Century Gothic" w:cs="Arial"/>
          <w:color w:val="000000"/>
          <w:lang w:eastAsia="es-MX"/>
        </w:rPr>
        <w:t xml:space="preserve"> de la República precisó que los </w:t>
      </w:r>
      <w:r w:rsidR="00C96336" w:rsidRPr="00A45A38">
        <w:rPr>
          <w:rFonts w:ascii="Century Gothic" w:eastAsia="Times New Roman" w:hAnsi="Century Gothic" w:cs="Arial"/>
          <w:i/>
          <w:color w:val="000000"/>
          <w:lang w:eastAsia="es-MX"/>
        </w:rPr>
        <w:t>“[…]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p>
    <w:p w14:paraId="7F246848" w14:textId="77777777" w:rsidR="00C96336" w:rsidRPr="00A45A38" w:rsidRDefault="00C96336" w:rsidP="00C96336">
      <w:pPr>
        <w:tabs>
          <w:tab w:val="left" w:pos="709"/>
        </w:tabs>
        <w:spacing w:before="120" w:line="276" w:lineRule="auto"/>
        <w:jc w:val="both"/>
        <w:rPr>
          <w:rFonts w:ascii="Century Gothic" w:eastAsia="Times New Roman" w:hAnsi="Century Gothic" w:cs="Arial"/>
          <w:color w:val="000000"/>
          <w:lang w:eastAsia="es-MX"/>
        </w:rPr>
      </w:pPr>
      <w:r w:rsidRPr="00A45A38">
        <w:rPr>
          <w:rFonts w:ascii="Century Gothic" w:eastAsia="Calibri" w:hAnsi="Century Gothic" w:cs="Arial"/>
          <w:color w:val="000000"/>
          <w:lang w:eastAsia="es-MX"/>
        </w:rPr>
        <w:tab/>
      </w:r>
      <w:r w:rsidRPr="00A45A38">
        <w:rPr>
          <w:rFonts w:ascii="Century Gothic" w:eastAsia="Times New Roman" w:hAnsi="Century Gothic" w:cs="Arial"/>
          <w:color w:val="000000"/>
          <w:lang w:eastAsia="es-MX"/>
        </w:rPr>
        <w:t xml:space="preserve">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w:t>
      </w:r>
      <w:r w:rsidRPr="00A45A38">
        <w:rPr>
          <w:rFonts w:ascii="Century Gothic" w:eastAsia="Times New Roman" w:hAnsi="Century Gothic" w:cs="Arial"/>
          <w:color w:val="000000"/>
          <w:lang w:eastAsia="es-MX"/>
        </w:rPr>
        <w:lastRenderedPageBreak/>
        <w:t>las partes o la persona que solicita la consulta, circunstancia que no descarta interpretaciones diferentes</w:t>
      </w:r>
      <w:r w:rsidRPr="00A45A38">
        <w:rPr>
          <w:rFonts w:ascii="Century Gothic" w:eastAsia="Times New Roman" w:hAnsi="Century Gothic" w:cs="Arial"/>
          <w:color w:val="000000"/>
          <w:vertAlign w:val="superscript"/>
          <w:lang w:eastAsia="es-MX"/>
        </w:rPr>
        <w:footnoteReference w:id="5"/>
      </w:r>
      <w:r w:rsidRPr="00A45A38">
        <w:rPr>
          <w:rFonts w:ascii="Century Gothic" w:eastAsia="Times New Roman" w:hAnsi="Century Gothic" w:cs="Arial"/>
          <w:color w:val="000000"/>
          <w:lang w:eastAsia="es-MX"/>
        </w:rPr>
        <w:t xml:space="preserve">. </w:t>
      </w:r>
    </w:p>
    <w:p w14:paraId="32C19AD4" w14:textId="295F284A" w:rsidR="00C96336" w:rsidRPr="00A45A38" w:rsidRDefault="00C96336" w:rsidP="00C96336">
      <w:pPr>
        <w:spacing w:before="120" w:after="120" w:line="276" w:lineRule="auto"/>
        <w:ind w:firstLine="709"/>
        <w:jc w:val="both"/>
        <w:rPr>
          <w:rFonts w:ascii="Century Gothic" w:eastAsia="Times New Roman" w:hAnsi="Century Gothic" w:cs="Arial"/>
          <w:color w:val="000000"/>
          <w:lang w:eastAsia="es-MX"/>
        </w:rPr>
      </w:pPr>
      <w:r w:rsidRPr="00A45A38">
        <w:rPr>
          <w:rFonts w:ascii="Century Gothic" w:eastAsia="Times New Roman" w:hAnsi="Century Gothic" w:cs="Arial"/>
          <w:color w:val="000000"/>
          <w:lang w:eastAsia="es-MX"/>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485D767B" w14:textId="5CEABBA8" w:rsidR="00C96336" w:rsidRPr="00A45A38" w:rsidRDefault="00C0645D" w:rsidP="00C96336">
      <w:pPr>
        <w:spacing w:line="276" w:lineRule="auto"/>
        <w:ind w:firstLine="708"/>
        <w:jc w:val="both"/>
        <w:rPr>
          <w:rFonts w:ascii="Century Gothic" w:eastAsia="Times New Roman" w:hAnsi="Century Gothic" w:cs="Arial"/>
          <w:color w:val="000000"/>
          <w:szCs w:val="24"/>
          <w:lang w:eastAsia="es-MX"/>
        </w:rPr>
      </w:pPr>
      <w:r w:rsidRPr="00A45A38">
        <w:rPr>
          <w:rFonts w:ascii="Century Gothic" w:eastAsia="Times New Roman" w:hAnsi="Century Gothic" w:cs="Arial"/>
          <w:color w:val="000000"/>
          <w:lang w:eastAsia="es-MX"/>
        </w:rPr>
        <w:t>Lo anterior,</w:t>
      </w:r>
      <w:r w:rsidR="00C96336" w:rsidRPr="00A45A38">
        <w:rPr>
          <w:rFonts w:ascii="Century Gothic" w:eastAsia="Times New Roman" w:hAnsi="Century Gothic" w:cs="Arial"/>
          <w:color w:val="000000"/>
          <w:lang w:eastAsia="es-MX"/>
        </w:rPr>
        <w:t xml:space="preserve">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w:t>
      </w:r>
    </w:p>
    <w:p w14:paraId="59775F02" w14:textId="7630A6C0" w:rsidR="000310B7" w:rsidRPr="00A45A38" w:rsidRDefault="000310B7" w:rsidP="000310B7">
      <w:pPr>
        <w:spacing w:after="0" w:line="276" w:lineRule="auto"/>
        <w:jc w:val="both"/>
        <w:rPr>
          <w:rFonts w:ascii="Century Gothic" w:hAnsi="Century Gothic" w:cs="Arial"/>
          <w:b/>
          <w:bCs/>
          <w:color w:val="000000"/>
          <w:lang w:val="es-ES_tradnl"/>
        </w:rPr>
      </w:pPr>
      <w:r w:rsidRPr="00A45A38">
        <w:rPr>
          <w:rFonts w:ascii="Century Gothic" w:eastAsia="Calibri" w:hAnsi="Century Gothic" w:cs="Arial"/>
          <w:b/>
          <w:bCs/>
          <w:color w:val="000000"/>
          <w:lang w:val="es-ES_tradnl"/>
        </w:rPr>
        <w:t>2.</w:t>
      </w:r>
      <w:r w:rsidR="00C0645D" w:rsidRPr="00A45A38">
        <w:rPr>
          <w:rFonts w:ascii="Century Gothic" w:eastAsia="Calibri" w:hAnsi="Century Gothic" w:cs="Arial"/>
          <w:b/>
          <w:bCs/>
          <w:color w:val="000000"/>
          <w:lang w:val="es-ES_tradnl"/>
        </w:rPr>
        <w:t>2</w:t>
      </w:r>
      <w:r w:rsidRPr="00A45A38">
        <w:rPr>
          <w:rFonts w:ascii="Century Gothic" w:eastAsia="Calibri" w:hAnsi="Century Gothic" w:cs="Arial"/>
          <w:b/>
          <w:bCs/>
          <w:color w:val="000000"/>
          <w:lang w:val="es-ES_tradnl"/>
        </w:rPr>
        <w:t xml:space="preserve">. </w:t>
      </w:r>
      <w:r w:rsidRPr="00A45A38">
        <w:rPr>
          <w:rFonts w:ascii="Century Gothic" w:hAnsi="Century Gothic" w:cs="Arial"/>
          <w:b/>
          <w:bCs/>
          <w:color w:val="000000"/>
          <w:lang w:val="es-ES_tradnl"/>
        </w:rPr>
        <w:t>Características generales del contrato de prestación de servicios</w:t>
      </w:r>
    </w:p>
    <w:p w14:paraId="5384A25F" w14:textId="77777777" w:rsidR="000310B7" w:rsidRPr="00A45A38" w:rsidRDefault="000310B7" w:rsidP="000310B7">
      <w:pPr>
        <w:spacing w:after="0" w:line="276" w:lineRule="auto"/>
        <w:jc w:val="both"/>
        <w:rPr>
          <w:rFonts w:ascii="Century Gothic" w:eastAsia="Calibri" w:hAnsi="Century Gothic" w:cs="Arial"/>
          <w:b/>
          <w:bCs/>
          <w:color w:val="000000"/>
          <w:lang w:val="es-ES_tradnl"/>
        </w:rPr>
      </w:pPr>
    </w:p>
    <w:p w14:paraId="2255FDC4" w14:textId="77777777" w:rsidR="000310B7" w:rsidRPr="00A45A38" w:rsidRDefault="000310B7" w:rsidP="000310B7">
      <w:pPr>
        <w:tabs>
          <w:tab w:val="left" w:pos="0"/>
        </w:tabs>
        <w:spacing w:line="276" w:lineRule="auto"/>
        <w:contextualSpacing/>
        <w:jc w:val="both"/>
        <w:rPr>
          <w:rFonts w:ascii="Century Gothic" w:eastAsia="Calibri" w:hAnsi="Century Gothic" w:cs="Arial"/>
          <w:color w:val="000000" w:themeColor="text1"/>
          <w:lang w:val="es-ES_tradnl"/>
        </w:rPr>
      </w:pPr>
      <w:r w:rsidRPr="00A45A38">
        <w:rPr>
          <w:rFonts w:ascii="Century Gothic" w:hAnsi="Century Gothic" w:cs="Arial"/>
          <w:color w:val="000000" w:themeColor="text1"/>
          <w:lang w:val="es-MX"/>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A45A38">
        <w:rPr>
          <w:rFonts w:ascii="Century Gothic" w:eastAsia="Calibri" w:hAnsi="Century Gothic" w:cs="Arial"/>
          <w:color w:val="000000" w:themeColor="text1"/>
          <w:lang w:val="es-ES_tradnl"/>
        </w:rPr>
        <w:t xml:space="preserve"> La celebración de dicho </w:t>
      </w:r>
      <w:r w:rsidRPr="00A45A38">
        <w:rPr>
          <w:rFonts w:ascii="Century Gothic" w:eastAsia="Calibri" w:hAnsi="Century Gothic" w:cs="Arial"/>
          <w:color w:val="000000" w:themeColor="text1"/>
          <w:lang w:val="es-ES_tradnl"/>
        </w:rPr>
        <w:lastRenderedPageBreak/>
        <w:t>contrato debe efectuarse a través de la modalidad de contratación directa. Así lo dispone el artículo 2, numeral 4º, literal h), de la Ley 1150 de 2007:</w:t>
      </w:r>
    </w:p>
    <w:p w14:paraId="57F50737" w14:textId="77777777" w:rsidR="000310B7" w:rsidRPr="00A45A38" w:rsidRDefault="000310B7" w:rsidP="000310B7">
      <w:pPr>
        <w:spacing w:after="0" w:line="276" w:lineRule="auto"/>
        <w:ind w:right="709"/>
        <w:contextualSpacing/>
        <w:jc w:val="both"/>
        <w:rPr>
          <w:rFonts w:ascii="Century Gothic" w:eastAsia="Calibri" w:hAnsi="Century Gothic" w:cs="Arial"/>
          <w:color w:val="000000" w:themeColor="text1"/>
          <w:lang w:val="es-ES_tradnl"/>
        </w:rPr>
      </w:pPr>
    </w:p>
    <w:p w14:paraId="6E22BFF7" w14:textId="77777777" w:rsidR="000310B7" w:rsidRPr="00A45A38" w:rsidRDefault="000310B7" w:rsidP="000310B7">
      <w:pPr>
        <w:spacing w:after="0" w:line="240" w:lineRule="auto"/>
        <w:ind w:left="709" w:right="709"/>
        <w:contextualSpacing/>
        <w:jc w:val="both"/>
        <w:rPr>
          <w:rFonts w:ascii="Century Gothic" w:eastAsia="Calibri" w:hAnsi="Century Gothic" w:cs="Arial"/>
          <w:color w:val="000000" w:themeColor="text1"/>
          <w:sz w:val="21"/>
          <w:szCs w:val="21"/>
          <w:lang w:val="es-MX"/>
        </w:rPr>
      </w:pPr>
      <w:r w:rsidRPr="00A45A38">
        <w:rPr>
          <w:rFonts w:ascii="Century Gothic" w:eastAsia="Yu Gothic UI Semibold" w:hAnsi="Century Gothic" w:cs="Arial"/>
          <w:iCs/>
          <w:sz w:val="21"/>
          <w:szCs w:val="21"/>
          <w:lang w:eastAsia="es-MX"/>
        </w:rPr>
        <w:t>“</w:t>
      </w:r>
      <w:r w:rsidRPr="00A45A38">
        <w:rPr>
          <w:rFonts w:ascii="Century Gothic" w:eastAsia="Calibri" w:hAnsi="Century Gothic" w:cs="Arial"/>
          <w:color w:val="000000" w:themeColor="text1"/>
          <w:sz w:val="21"/>
          <w:szCs w:val="21"/>
          <w:lang w:val="es-MX"/>
        </w:rPr>
        <w:t>La escogencia del contratista se efectuará con arreglo a las modalidades de selección de licitación pública, selección abreviada, concurso de méritos y contratación directa, con base en las siguientes reglas:</w:t>
      </w:r>
    </w:p>
    <w:p w14:paraId="462B51A7" w14:textId="77777777" w:rsidR="000310B7" w:rsidRPr="00A45A38" w:rsidRDefault="000310B7" w:rsidP="000310B7">
      <w:pPr>
        <w:spacing w:after="0" w:line="240" w:lineRule="auto"/>
        <w:ind w:left="709" w:right="709"/>
        <w:contextualSpacing/>
        <w:jc w:val="both"/>
        <w:rPr>
          <w:rFonts w:ascii="Century Gothic" w:eastAsia="Calibri" w:hAnsi="Century Gothic" w:cs="Arial"/>
          <w:color w:val="000000" w:themeColor="text1"/>
          <w:sz w:val="21"/>
          <w:szCs w:val="21"/>
          <w:lang w:val="es-MX"/>
        </w:rPr>
      </w:pPr>
      <w:r w:rsidRPr="00A45A38">
        <w:rPr>
          <w:rFonts w:ascii="Century Gothic" w:eastAsia="Calibri" w:hAnsi="Century Gothic" w:cs="Arial"/>
          <w:color w:val="000000" w:themeColor="text1"/>
          <w:sz w:val="21"/>
          <w:szCs w:val="21"/>
          <w:lang w:val="es-MX"/>
        </w:rPr>
        <w:t>[…]</w:t>
      </w:r>
    </w:p>
    <w:p w14:paraId="06E8554E" w14:textId="77777777" w:rsidR="000310B7" w:rsidRPr="00A45A38" w:rsidRDefault="000310B7" w:rsidP="000310B7">
      <w:pPr>
        <w:spacing w:after="0" w:line="240" w:lineRule="auto"/>
        <w:ind w:left="709" w:right="709"/>
        <w:contextualSpacing/>
        <w:jc w:val="both"/>
        <w:rPr>
          <w:rFonts w:ascii="Century Gothic" w:eastAsia="Calibri" w:hAnsi="Century Gothic" w:cs="Arial"/>
          <w:color w:val="000000" w:themeColor="text1"/>
          <w:sz w:val="12"/>
          <w:szCs w:val="12"/>
          <w:lang w:val="es-MX"/>
        </w:rPr>
      </w:pPr>
    </w:p>
    <w:p w14:paraId="1A1D3873" w14:textId="77777777" w:rsidR="000310B7" w:rsidRPr="00A45A38" w:rsidRDefault="000310B7" w:rsidP="000310B7">
      <w:pPr>
        <w:spacing w:after="0" w:line="240" w:lineRule="auto"/>
        <w:ind w:left="709" w:right="709"/>
        <w:contextualSpacing/>
        <w:jc w:val="both"/>
        <w:rPr>
          <w:rFonts w:ascii="Century Gothic" w:eastAsia="Calibri" w:hAnsi="Century Gothic" w:cs="Arial"/>
          <w:color w:val="000000" w:themeColor="text1"/>
          <w:sz w:val="21"/>
          <w:szCs w:val="21"/>
          <w:lang w:val="es-MX"/>
        </w:rPr>
      </w:pPr>
      <w:r w:rsidRPr="00A45A38">
        <w:rPr>
          <w:rFonts w:ascii="Century Gothic" w:eastAsia="Calibri" w:hAnsi="Century Gothic" w:cs="Arial"/>
          <w:color w:val="000000" w:themeColor="text1"/>
          <w:sz w:val="21"/>
          <w:szCs w:val="21"/>
          <w:lang w:val="es-MX"/>
        </w:rPr>
        <w:t>4. Contratación directa. La modalidad de selección de contratación directa, solamente procederá en los siguientes casos:</w:t>
      </w:r>
    </w:p>
    <w:p w14:paraId="6E0B6692" w14:textId="77777777" w:rsidR="000310B7" w:rsidRPr="00A45A38" w:rsidRDefault="000310B7" w:rsidP="000310B7">
      <w:pPr>
        <w:spacing w:after="0" w:line="240" w:lineRule="auto"/>
        <w:ind w:left="709" w:right="709"/>
        <w:contextualSpacing/>
        <w:jc w:val="both"/>
        <w:rPr>
          <w:rFonts w:ascii="Century Gothic" w:eastAsia="Calibri" w:hAnsi="Century Gothic" w:cs="Arial"/>
          <w:color w:val="000000" w:themeColor="text1"/>
          <w:sz w:val="21"/>
          <w:szCs w:val="21"/>
          <w:lang w:val="es-MX"/>
        </w:rPr>
      </w:pPr>
      <w:r w:rsidRPr="00A45A38">
        <w:rPr>
          <w:rFonts w:ascii="Century Gothic" w:eastAsia="Calibri" w:hAnsi="Century Gothic" w:cs="Arial"/>
          <w:color w:val="000000" w:themeColor="text1"/>
          <w:sz w:val="21"/>
          <w:szCs w:val="21"/>
          <w:lang w:val="es-MX"/>
        </w:rPr>
        <w:t>[…]</w:t>
      </w:r>
    </w:p>
    <w:p w14:paraId="466AE43A" w14:textId="77777777" w:rsidR="000310B7" w:rsidRPr="00A45A38" w:rsidRDefault="000310B7" w:rsidP="000310B7">
      <w:pPr>
        <w:spacing w:after="0" w:line="240" w:lineRule="auto"/>
        <w:ind w:left="709" w:right="709"/>
        <w:contextualSpacing/>
        <w:jc w:val="both"/>
        <w:rPr>
          <w:rFonts w:ascii="Century Gothic" w:eastAsia="Calibri" w:hAnsi="Century Gothic" w:cs="Arial"/>
          <w:color w:val="000000" w:themeColor="text1"/>
          <w:sz w:val="12"/>
          <w:szCs w:val="12"/>
          <w:lang w:val="es-MX"/>
        </w:rPr>
      </w:pPr>
    </w:p>
    <w:p w14:paraId="0DC26236" w14:textId="77777777" w:rsidR="000310B7" w:rsidRPr="00A45A38" w:rsidRDefault="000310B7" w:rsidP="000310B7">
      <w:pPr>
        <w:spacing w:after="0" w:line="240" w:lineRule="auto"/>
        <w:ind w:left="709" w:right="709"/>
        <w:contextualSpacing/>
        <w:jc w:val="both"/>
        <w:rPr>
          <w:rFonts w:ascii="Century Gothic" w:eastAsia="Calibri" w:hAnsi="Century Gothic" w:cs="Arial"/>
          <w:color w:val="000000" w:themeColor="text1"/>
          <w:sz w:val="21"/>
          <w:szCs w:val="21"/>
          <w:lang w:val="es-MX"/>
        </w:rPr>
      </w:pPr>
      <w:r w:rsidRPr="00A45A38">
        <w:rPr>
          <w:rFonts w:ascii="Century Gothic" w:eastAsia="Calibri" w:hAnsi="Century Gothic" w:cs="Arial"/>
          <w:color w:val="000000" w:themeColor="text1"/>
          <w:sz w:val="21"/>
          <w:szCs w:val="21"/>
          <w:lang w:val="es-MX"/>
        </w:rPr>
        <w:t>h) Para la prestación de servicios profesionales y de apoyo a la gestión, o para la ejecución de trabajos artísticos que sólo puedan encomendarse a determinadas personas naturales</w:t>
      </w:r>
      <w:r w:rsidRPr="00A45A38">
        <w:rPr>
          <w:rFonts w:ascii="Century Gothic" w:eastAsia="Yu Gothic UI Semibold" w:hAnsi="Century Gothic" w:cs="Arial"/>
          <w:iCs/>
          <w:sz w:val="21"/>
          <w:szCs w:val="21"/>
          <w:lang w:eastAsia="es-MX"/>
        </w:rPr>
        <w:t>”</w:t>
      </w:r>
      <w:r w:rsidRPr="00A45A38">
        <w:rPr>
          <w:rFonts w:ascii="Century Gothic" w:eastAsia="Calibri" w:hAnsi="Century Gothic" w:cs="Arial"/>
          <w:color w:val="000000" w:themeColor="text1"/>
          <w:sz w:val="21"/>
          <w:szCs w:val="21"/>
          <w:lang w:val="es-MX"/>
        </w:rPr>
        <w:t>.</w:t>
      </w:r>
    </w:p>
    <w:p w14:paraId="753E5CA0" w14:textId="77777777" w:rsidR="000310B7" w:rsidRPr="00A45A38" w:rsidRDefault="000310B7" w:rsidP="000310B7">
      <w:pPr>
        <w:spacing w:after="0"/>
        <w:ind w:left="709" w:right="709"/>
        <w:contextualSpacing/>
        <w:jc w:val="both"/>
        <w:rPr>
          <w:rFonts w:ascii="Century Gothic" w:eastAsia="Calibri" w:hAnsi="Century Gothic" w:cs="Arial"/>
          <w:color w:val="000000" w:themeColor="text1"/>
          <w:sz w:val="21"/>
          <w:szCs w:val="21"/>
          <w:lang w:val="es-MX"/>
        </w:rPr>
      </w:pPr>
    </w:p>
    <w:p w14:paraId="74744A00" w14:textId="77777777" w:rsidR="000310B7" w:rsidRPr="00A45A38" w:rsidRDefault="000310B7" w:rsidP="000310B7">
      <w:pPr>
        <w:tabs>
          <w:tab w:val="left" w:pos="0"/>
        </w:tabs>
        <w:spacing w:line="276" w:lineRule="auto"/>
        <w:contextualSpacing/>
        <w:jc w:val="both"/>
        <w:rPr>
          <w:rFonts w:ascii="Century Gothic" w:hAnsi="Century Gothic" w:cs="Arial"/>
          <w:noProof/>
          <w:lang w:val="es-ES_tradnl"/>
        </w:rPr>
      </w:pPr>
      <w:r w:rsidRPr="00A45A38">
        <w:rPr>
          <w:rFonts w:ascii="Century Gothic" w:hAnsi="Century Gothic" w:cs="Arial"/>
          <w:noProof/>
          <w:lang w:val="es-ES_tradnl"/>
        </w:rPr>
        <w:tab/>
        <w:t>En tal sentido, el artículo 2.2.1.2.1.4.9 del Decreto 1082 de 2015 reglamenta la contratación directa para los contratos de servicios profesionales y de apoyo a la gestión, o para la ejecución de trabajos artísticos que solo puedan encomendarse a determinadas personas naturales, en los siguientes términos:</w:t>
      </w:r>
    </w:p>
    <w:p w14:paraId="2C47E726" w14:textId="77777777" w:rsidR="000310B7" w:rsidRPr="00A45A38" w:rsidRDefault="000310B7" w:rsidP="000310B7">
      <w:pPr>
        <w:tabs>
          <w:tab w:val="left" w:pos="0"/>
        </w:tabs>
        <w:spacing w:line="276" w:lineRule="auto"/>
        <w:contextualSpacing/>
        <w:jc w:val="both"/>
        <w:rPr>
          <w:rFonts w:ascii="Century Gothic" w:hAnsi="Century Gothic" w:cs="Arial"/>
          <w:noProof/>
          <w:lang w:val="es-ES_tradnl"/>
        </w:rPr>
      </w:pPr>
    </w:p>
    <w:p w14:paraId="5D7B6E1A" w14:textId="77777777" w:rsidR="000310B7" w:rsidRPr="00A45A38" w:rsidRDefault="000310B7" w:rsidP="000310B7">
      <w:pPr>
        <w:spacing w:after="0" w:line="240" w:lineRule="auto"/>
        <w:ind w:left="709" w:right="709"/>
        <w:contextualSpacing/>
        <w:jc w:val="both"/>
        <w:rPr>
          <w:rFonts w:ascii="Century Gothic" w:hAnsi="Century Gothic" w:cs="Arial"/>
          <w:sz w:val="21"/>
          <w:szCs w:val="21"/>
          <w:lang w:val="es-MX"/>
        </w:rPr>
      </w:pPr>
      <w:r w:rsidRPr="00A45A38">
        <w:rPr>
          <w:rFonts w:ascii="Century Gothic" w:eastAsia="Yu Gothic UI Semibold" w:hAnsi="Century Gothic" w:cs="Arial"/>
          <w:iCs/>
          <w:sz w:val="21"/>
          <w:szCs w:val="21"/>
          <w:lang w:eastAsia="es-MX"/>
        </w:rPr>
        <w:t>“</w:t>
      </w:r>
      <w:r w:rsidRPr="00A45A38">
        <w:rPr>
          <w:rFonts w:ascii="Century Gothic" w:hAnsi="Century Gothic" w:cs="Arial"/>
          <w:sz w:val="21"/>
          <w:szCs w:val="21"/>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33BB85B" w14:textId="77777777" w:rsidR="000310B7" w:rsidRPr="00A45A38" w:rsidRDefault="000310B7" w:rsidP="000310B7">
      <w:pPr>
        <w:spacing w:after="0" w:line="240" w:lineRule="auto"/>
        <w:ind w:left="709" w:right="709"/>
        <w:contextualSpacing/>
        <w:jc w:val="both"/>
        <w:rPr>
          <w:rFonts w:ascii="Century Gothic" w:hAnsi="Century Gothic" w:cs="Arial"/>
          <w:sz w:val="12"/>
          <w:szCs w:val="12"/>
          <w:lang w:val="es-MX"/>
        </w:rPr>
      </w:pPr>
    </w:p>
    <w:p w14:paraId="051C5DE5" w14:textId="77777777" w:rsidR="000310B7" w:rsidRPr="00A45A38" w:rsidRDefault="000310B7" w:rsidP="000310B7">
      <w:pPr>
        <w:spacing w:after="0" w:line="240" w:lineRule="auto"/>
        <w:ind w:left="709" w:right="709"/>
        <w:contextualSpacing/>
        <w:jc w:val="both"/>
        <w:rPr>
          <w:rFonts w:ascii="Century Gothic" w:hAnsi="Century Gothic" w:cs="Arial"/>
          <w:sz w:val="21"/>
          <w:szCs w:val="21"/>
          <w:lang w:val="es-MX"/>
        </w:rPr>
      </w:pPr>
      <w:r w:rsidRPr="00A45A38">
        <w:rPr>
          <w:rFonts w:ascii="Century Gothic" w:hAnsi="Century Gothic" w:cs="Arial"/>
          <w:sz w:val="21"/>
          <w:szCs w:val="21"/>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C4ABDB5" w14:textId="77777777" w:rsidR="000310B7" w:rsidRPr="00A45A38" w:rsidRDefault="000310B7" w:rsidP="000310B7">
      <w:pPr>
        <w:spacing w:after="0" w:line="240" w:lineRule="auto"/>
        <w:ind w:left="709" w:right="709"/>
        <w:contextualSpacing/>
        <w:jc w:val="both"/>
        <w:rPr>
          <w:rFonts w:ascii="Century Gothic" w:hAnsi="Century Gothic" w:cs="Arial"/>
          <w:sz w:val="12"/>
          <w:szCs w:val="12"/>
          <w:lang w:val="es-MX"/>
        </w:rPr>
      </w:pPr>
    </w:p>
    <w:p w14:paraId="4A5CA657" w14:textId="77777777" w:rsidR="000310B7" w:rsidRPr="00A45A38" w:rsidRDefault="000310B7" w:rsidP="000310B7">
      <w:pPr>
        <w:spacing w:after="0" w:line="240" w:lineRule="auto"/>
        <w:ind w:left="709" w:right="709"/>
        <w:contextualSpacing/>
        <w:jc w:val="both"/>
        <w:rPr>
          <w:rFonts w:ascii="Century Gothic" w:hAnsi="Century Gothic" w:cs="Arial"/>
          <w:sz w:val="21"/>
          <w:szCs w:val="21"/>
          <w:lang w:val="es-MX"/>
        </w:rPr>
      </w:pPr>
      <w:r w:rsidRPr="00A45A38">
        <w:rPr>
          <w:rFonts w:ascii="Century Gothic" w:hAnsi="Century Gothic" w:cs="Arial"/>
          <w:sz w:val="21"/>
          <w:szCs w:val="21"/>
          <w:lang w:val="es-MX"/>
        </w:rPr>
        <w:t>La Entidad Estatal, para la contratación de trabajos artísticos que solamente puedan en</w:t>
      </w:r>
      <w:r w:rsidRPr="00A45A38">
        <w:rPr>
          <w:rFonts w:ascii="Century Gothic" w:hAnsi="Century Gothic" w:cs="Arial"/>
          <w:sz w:val="21"/>
          <w:szCs w:val="21"/>
          <w:lang w:val="es-MX"/>
        </w:rPr>
        <w:softHyphen/>
        <w:t>comendarse a determinadas personas naturales, debe justificar esta situación en los estudios y documentos previos</w:t>
      </w:r>
      <w:r w:rsidRPr="00A45A38">
        <w:rPr>
          <w:rFonts w:ascii="Century Gothic" w:eastAsia="Yu Gothic UI Semibold" w:hAnsi="Century Gothic" w:cs="Arial"/>
          <w:iCs/>
          <w:sz w:val="21"/>
          <w:szCs w:val="21"/>
          <w:lang w:eastAsia="es-MX"/>
        </w:rPr>
        <w:t>”</w:t>
      </w:r>
      <w:r w:rsidRPr="00A45A38">
        <w:rPr>
          <w:rFonts w:ascii="Century Gothic" w:hAnsi="Century Gothic" w:cs="Arial"/>
          <w:sz w:val="21"/>
          <w:szCs w:val="21"/>
          <w:lang w:val="es-MX"/>
        </w:rPr>
        <w:t>.</w:t>
      </w:r>
    </w:p>
    <w:p w14:paraId="5F662C6C" w14:textId="77777777" w:rsidR="000310B7" w:rsidRPr="00A45A38" w:rsidRDefault="000310B7" w:rsidP="000310B7">
      <w:pPr>
        <w:tabs>
          <w:tab w:val="left" w:pos="0"/>
        </w:tabs>
        <w:spacing w:line="276" w:lineRule="auto"/>
        <w:jc w:val="both"/>
        <w:rPr>
          <w:rFonts w:ascii="Century Gothic" w:hAnsi="Century Gothic" w:cs="Arial"/>
          <w:noProof/>
          <w:sz w:val="21"/>
          <w:szCs w:val="21"/>
        </w:rPr>
      </w:pPr>
    </w:p>
    <w:p w14:paraId="6DC31CC0" w14:textId="77777777" w:rsidR="000310B7" w:rsidRPr="00A45A38" w:rsidRDefault="000310B7" w:rsidP="000310B7">
      <w:pPr>
        <w:tabs>
          <w:tab w:val="left" w:pos="0"/>
        </w:tabs>
        <w:spacing w:after="120" w:line="276" w:lineRule="auto"/>
        <w:jc w:val="both"/>
        <w:rPr>
          <w:rFonts w:ascii="Century Gothic" w:hAnsi="Century Gothic" w:cs="Arial"/>
          <w:color w:val="000000" w:themeColor="text1"/>
          <w:lang w:val="es-ES_tradnl"/>
        </w:rPr>
      </w:pPr>
      <w:r w:rsidRPr="00A45A38">
        <w:rPr>
          <w:rFonts w:ascii="Century Gothic" w:hAnsi="Century Gothic" w:cs="Arial"/>
          <w:color w:val="000000" w:themeColor="text1"/>
          <w:lang w:val="es-ES_tradnl"/>
        </w:rPr>
        <w:tab/>
        <w:t xml:space="preserve">A partir de las disposiciones citadas, así como de la reciente Sentencia de Unificación Jurisprudencial del 9 de septiembre de 2021, proferida por el Consejo </w:t>
      </w:r>
      <w:r w:rsidRPr="00A45A38">
        <w:rPr>
          <w:rFonts w:ascii="Century Gothic" w:hAnsi="Century Gothic" w:cs="Arial"/>
          <w:color w:val="000000" w:themeColor="text1"/>
          <w:lang w:val="es-ES_tradnl"/>
        </w:rPr>
        <w:lastRenderedPageBreak/>
        <w:t>de Estado</w:t>
      </w:r>
      <w:r w:rsidRPr="00A45A38">
        <w:rPr>
          <w:rFonts w:ascii="Century Gothic" w:hAnsi="Century Gothic" w:cs="Arial"/>
          <w:bCs/>
          <w:vertAlign w:val="superscript"/>
          <w:lang w:val="es-ES"/>
        </w:rPr>
        <w:footnoteReference w:id="6"/>
      </w:r>
      <w:r w:rsidRPr="00A45A38">
        <w:rPr>
          <w:rFonts w:ascii="Century Gothic" w:hAnsi="Century Gothic" w:cs="Arial"/>
          <w:color w:val="000000" w:themeColor="text1"/>
          <w:lang w:val="es-ES_tradnl"/>
        </w:rPr>
        <w:t>, es posible señalar las siguientes características del contrato de prestación de servicios</w:t>
      </w:r>
      <w:r w:rsidRPr="00A45A38">
        <w:rPr>
          <w:rFonts w:ascii="Century Gothic" w:hAnsi="Century Gothic" w:cs="Arial"/>
          <w:noProof/>
          <w:lang w:val="es-ES_tradnl"/>
        </w:rPr>
        <w:t>:</w:t>
      </w:r>
    </w:p>
    <w:p w14:paraId="7132D2B4" w14:textId="77777777" w:rsidR="000310B7" w:rsidRPr="00A45A38" w:rsidRDefault="000310B7" w:rsidP="000310B7">
      <w:pPr>
        <w:spacing w:after="120" w:line="276" w:lineRule="auto"/>
        <w:ind w:firstLine="709"/>
        <w:jc w:val="both"/>
        <w:rPr>
          <w:rFonts w:ascii="Century Gothic" w:hAnsi="Century Gothic" w:cs="Arial"/>
          <w:noProof/>
          <w:lang w:val="es-ES_tradnl"/>
        </w:rPr>
      </w:pPr>
      <w:r w:rsidRPr="00A45A38">
        <w:rPr>
          <w:rFonts w:ascii="Century Gothic" w:hAnsi="Century Gothic" w:cs="Arial"/>
          <w:noProof/>
          <w:lang w:val="es-ES_tradnl"/>
        </w:rPr>
        <w:t>i) Solo puede celebrarse para realizar “actividades relacionadas con la administración o funcionamiento de la entidad”, es decir, que hagan parte de su giro ordinario o quehacer cotidiano</w:t>
      </w:r>
      <w:r w:rsidRPr="00A45A38">
        <w:rPr>
          <w:rFonts w:ascii="Century Gothic" w:hAnsi="Century Gothic" w:cs="Arial"/>
          <w:noProof/>
          <w:vertAlign w:val="superscript"/>
          <w:lang w:val="es-ES_tradnl"/>
        </w:rPr>
        <w:footnoteReference w:id="7"/>
      </w:r>
      <w:r w:rsidRPr="00A45A38">
        <w:rPr>
          <w:rFonts w:ascii="Century Gothic" w:hAnsi="Century Gothic" w:cs="Arial"/>
          <w:noProof/>
          <w:lang w:val="es-ES_tradnl"/>
        </w:rPr>
        <w:t>.</w:t>
      </w:r>
    </w:p>
    <w:p w14:paraId="45CA4564" w14:textId="77777777" w:rsidR="000310B7" w:rsidRPr="00A45A38" w:rsidRDefault="000310B7" w:rsidP="000310B7">
      <w:pPr>
        <w:spacing w:after="120" w:line="276" w:lineRule="auto"/>
        <w:ind w:firstLine="709"/>
        <w:jc w:val="both"/>
        <w:rPr>
          <w:rFonts w:ascii="Century Gothic" w:hAnsi="Century Gothic" w:cs="Arial"/>
          <w:noProof/>
          <w:lang w:val="es-ES_tradnl"/>
        </w:rPr>
      </w:pPr>
      <w:r w:rsidRPr="00A45A38">
        <w:rPr>
          <w:rFonts w:ascii="Century Gothic" w:hAnsi="Century Gothic" w:cs="Arial"/>
          <w:noProof/>
          <w:lang w:val="es-ES_tradnl"/>
        </w:rPr>
        <w:t xml:space="preserve">ii) Respecto del tipo de personas que pueden ser contratadas, admite que se suscriba con personas naturales o jurídicas. Sin embargo, cuando se celebre con personas naturales la entidad estatal debe justificar, en los estudios previos, que las actividades “no puedan realizarse con personal de planta o requieran conocimientos especializados”. </w:t>
      </w:r>
    </w:p>
    <w:p w14:paraId="7BD4ECDC" w14:textId="77777777" w:rsidR="000310B7" w:rsidRPr="00A45A38" w:rsidRDefault="000310B7" w:rsidP="000310B7">
      <w:pPr>
        <w:spacing w:after="120" w:line="276" w:lineRule="auto"/>
        <w:ind w:firstLine="709"/>
        <w:jc w:val="both"/>
        <w:rPr>
          <w:rFonts w:ascii="Century Gothic" w:hAnsi="Century Gothic" w:cs="Arial"/>
          <w:noProof/>
          <w:lang w:val="es-ES_tradnl"/>
        </w:rPr>
      </w:pPr>
      <w:r w:rsidRPr="00A45A38">
        <w:rPr>
          <w:rFonts w:ascii="Century Gothic" w:hAnsi="Century Gothic"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A45A38">
        <w:rPr>
          <w:rFonts w:ascii="Century Gothic" w:hAnsi="Century Gothic" w:cs="Arial"/>
          <w:i/>
          <w:noProof/>
          <w:lang w:val="es-ES_tradnl"/>
        </w:rPr>
        <w:t xml:space="preserve">subordinación </w:t>
      </w:r>
      <w:r w:rsidRPr="00A45A38">
        <w:rPr>
          <w:rFonts w:ascii="Century Gothic" w:hAnsi="Century Gothic" w:cs="Arial"/>
          <w:iCs/>
          <w:noProof/>
          <w:lang w:val="es-ES_tradnl"/>
        </w:rPr>
        <w:t>ni</w:t>
      </w:r>
      <w:r w:rsidRPr="00A45A38">
        <w:rPr>
          <w:rFonts w:ascii="Century Gothic" w:hAnsi="Century Gothic" w:cs="Arial"/>
          <w:i/>
          <w:noProof/>
          <w:lang w:val="es-ES_tradnl"/>
        </w:rPr>
        <w:t xml:space="preserve"> dependencia</w:t>
      </w:r>
      <w:r w:rsidRPr="00A45A38">
        <w:rPr>
          <w:rFonts w:ascii="Century Gothic" w:hAnsi="Century Gothic" w:cs="Arial"/>
          <w:iCs/>
          <w:noProof/>
          <w:lang w:val="es-ES_tradnl"/>
        </w:rPr>
        <w:t>,</w:t>
      </w:r>
      <w:r w:rsidRPr="00A45A38">
        <w:rPr>
          <w:rFonts w:ascii="Century Gothic" w:hAnsi="Century Gothic" w:cs="Arial"/>
          <w:noProof/>
          <w:lang w:val="es-ES_tradnl"/>
        </w:rPr>
        <w:t xml:space="preserve"> que es uno de los elementos constitutivos del vínculo laboral</w:t>
      </w:r>
      <w:r w:rsidRPr="00A45A38">
        <w:rPr>
          <w:rFonts w:ascii="Century Gothic" w:hAnsi="Century Gothic" w:cs="Arial"/>
          <w:noProof/>
          <w:vertAlign w:val="superscript"/>
          <w:lang w:val="es-ES_tradnl"/>
        </w:rPr>
        <w:footnoteReference w:id="8"/>
      </w:r>
      <w:r w:rsidRPr="00A45A38">
        <w:rPr>
          <w:rFonts w:ascii="Century Gothic" w:hAnsi="Century Gothic"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A45A38">
        <w:rPr>
          <w:rFonts w:ascii="Century Gothic" w:hAnsi="Century Gothic" w:cs="Arial"/>
          <w:i/>
          <w:noProof/>
          <w:lang w:val="es-ES_tradnl"/>
        </w:rPr>
        <w:t>no pueden</w:t>
      </w:r>
      <w:r w:rsidRPr="00A45A38">
        <w:rPr>
          <w:rFonts w:ascii="Century Gothic" w:hAnsi="Century Gothic"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w:t>
      </w:r>
      <w:r w:rsidRPr="00A45A38">
        <w:rPr>
          <w:rFonts w:ascii="Century Gothic" w:hAnsi="Century Gothic" w:cs="Arial"/>
          <w:noProof/>
          <w:lang w:val="es-ES_tradnl"/>
        </w:rPr>
        <w:lastRenderedPageBreak/>
        <w:t>como lo califican las normas de la seguridad social– debe cotizar por su cuenta y riesgo al Sistema de Seguridad Social Integral</w:t>
      </w:r>
      <w:r w:rsidRPr="00A45A38">
        <w:rPr>
          <w:rFonts w:ascii="Century Gothic" w:hAnsi="Century Gothic" w:cs="Arial"/>
          <w:noProof/>
          <w:vertAlign w:val="superscript"/>
          <w:lang w:val="es-ES_tradnl"/>
        </w:rPr>
        <w:footnoteReference w:id="9"/>
      </w:r>
      <w:r w:rsidRPr="00A45A38">
        <w:rPr>
          <w:rFonts w:ascii="Century Gothic" w:hAnsi="Century Gothic" w:cs="Arial"/>
          <w:noProof/>
          <w:lang w:val="es-ES_tradnl"/>
        </w:rPr>
        <w:t xml:space="preserve">. </w:t>
      </w:r>
    </w:p>
    <w:p w14:paraId="328FA477" w14:textId="77777777" w:rsidR="000310B7" w:rsidRPr="00A45A38" w:rsidRDefault="000310B7" w:rsidP="000310B7">
      <w:pPr>
        <w:spacing w:after="120" w:line="276" w:lineRule="auto"/>
        <w:ind w:firstLine="709"/>
        <w:jc w:val="both"/>
        <w:rPr>
          <w:rFonts w:ascii="Century Gothic" w:hAnsi="Century Gothic" w:cs="Arial"/>
          <w:noProof/>
          <w:lang w:val="es-ES_tradnl"/>
        </w:rPr>
      </w:pPr>
      <w:r w:rsidRPr="00A45A38">
        <w:rPr>
          <w:rFonts w:ascii="Century Gothic" w:hAnsi="Century Gothic" w:cs="Arial"/>
          <w:noProof/>
          <w:lang w:val="es-ES_tradnl"/>
        </w:rPr>
        <w:t xml:space="preserve">A pesar de este mandato deontológico, es posible que en la práctica se configure una relación laboral, pues el contrato de trabajo es </w:t>
      </w:r>
      <w:r w:rsidRPr="00A45A38">
        <w:rPr>
          <w:rFonts w:ascii="Century Gothic" w:hAnsi="Century Gothic" w:cs="Arial"/>
          <w:i/>
          <w:iCs/>
          <w:noProof/>
          <w:lang w:val="es-ES_tradnl"/>
        </w:rPr>
        <w:t xml:space="preserve">de </w:t>
      </w:r>
      <w:r w:rsidRPr="00A45A38">
        <w:rPr>
          <w:rFonts w:ascii="Century Gothic" w:hAnsi="Century Gothic" w:cs="Arial"/>
          <w:i/>
          <w:noProof/>
          <w:lang w:val="es-ES_tradnl"/>
        </w:rPr>
        <w:t>realidad</w:t>
      </w:r>
      <w:r w:rsidRPr="00A45A38">
        <w:rPr>
          <w:rFonts w:ascii="Century Gothic" w:hAnsi="Century Gothic" w:cs="Arial"/>
          <w:noProof/>
          <w:lang w:val="es-ES_tradnl"/>
        </w:rPr>
        <w:t xml:space="preserve">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A45A38">
        <w:rPr>
          <w:rFonts w:ascii="Century Gothic" w:hAnsi="Century Gothic" w:cs="Arial"/>
          <w:noProof/>
          <w:vertAlign w:val="superscript"/>
          <w:lang w:val="es-ES_tradnl"/>
        </w:rPr>
        <w:footnoteReference w:id="10"/>
      </w:r>
      <w:r w:rsidRPr="00A45A38">
        <w:rPr>
          <w:rFonts w:ascii="Century Gothic" w:hAnsi="Century Gothic" w:cs="Arial"/>
          <w:noProof/>
          <w:lang w:val="es-ES_tradnl"/>
        </w:rPr>
        <w:t>.</w:t>
      </w:r>
    </w:p>
    <w:p w14:paraId="4BA53C7A" w14:textId="77777777" w:rsidR="000310B7" w:rsidRPr="00A45A38" w:rsidRDefault="000310B7" w:rsidP="000310B7">
      <w:pPr>
        <w:spacing w:line="276" w:lineRule="auto"/>
        <w:ind w:firstLine="709"/>
        <w:jc w:val="both"/>
        <w:rPr>
          <w:rFonts w:ascii="Century Gothic" w:hAnsi="Century Gothic" w:cs="Arial"/>
          <w:noProof/>
          <w:lang w:val="es-ES_tradnl"/>
        </w:rPr>
      </w:pPr>
      <w:r w:rsidRPr="00A45A38">
        <w:rPr>
          <w:rFonts w:ascii="Century Gothic" w:hAnsi="Century Gothic" w:cs="Arial"/>
          <w:noProof/>
          <w:lang w:val="es-ES_tradnl"/>
        </w:rPr>
        <w:t xml:space="preserve">iv) Deben ser temporales. La mencionada 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 </w:t>
      </w:r>
      <w:r w:rsidRPr="00A45A38">
        <w:rPr>
          <w:rFonts w:ascii="Century Gothic" w:hAnsi="Century Gothic" w:cs="Arial"/>
          <w:lang w:val="es-MX"/>
        </w:rPr>
        <w:t xml:space="preserve">De igual manera, señaló que “no cabe su empleo para la cobertura indefinida de </w:t>
      </w:r>
      <w:r w:rsidRPr="00A45A38">
        <w:rPr>
          <w:rFonts w:ascii="Century Gothic" w:hAnsi="Century Gothic" w:cs="Arial"/>
          <w:lang w:val="es-MX"/>
        </w:rPr>
        <w:lastRenderedPageBreak/>
        <w:t xml:space="preserve">necesidades permanentes o recurrentes”. </w:t>
      </w:r>
      <w:r w:rsidRPr="00A45A38">
        <w:rPr>
          <w:rFonts w:ascii="Century Gothic" w:hAnsi="Century Gothic" w:cs="Arial"/>
          <w:noProof/>
          <w:lang w:val="es-ES_tradnl"/>
        </w:rPr>
        <w:t>En sentido similar se manifestó la Corte Constitucional en la sentencia C-154 de 1997, expresando que:</w:t>
      </w:r>
    </w:p>
    <w:p w14:paraId="1D0DE698" w14:textId="77777777" w:rsidR="000310B7" w:rsidRPr="00A45A38" w:rsidRDefault="000310B7" w:rsidP="000310B7">
      <w:pPr>
        <w:spacing w:after="0"/>
        <w:ind w:left="709" w:right="709"/>
        <w:contextualSpacing/>
        <w:jc w:val="both"/>
        <w:rPr>
          <w:rFonts w:ascii="Century Gothic" w:hAnsi="Century Gothic" w:cs="Arial"/>
          <w:noProof/>
          <w:sz w:val="21"/>
          <w:szCs w:val="21"/>
          <w:lang w:val="es-ES_tradnl"/>
        </w:rPr>
      </w:pPr>
      <w:r w:rsidRPr="00A45A38">
        <w:rPr>
          <w:rFonts w:ascii="Century Gothic" w:eastAsia="Yu Gothic UI Semibold" w:hAnsi="Century Gothic" w:cs="Arial"/>
          <w:iCs/>
          <w:sz w:val="21"/>
          <w:szCs w:val="21"/>
          <w:lang w:eastAsia="es-MX"/>
        </w:rPr>
        <w:t>“</w:t>
      </w:r>
      <w:r w:rsidRPr="00A45A38">
        <w:rPr>
          <w:rFonts w:ascii="Century Gothic" w:hAnsi="Century Gothic"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A45A38">
        <w:rPr>
          <w:rFonts w:ascii="Century Gothic" w:hAnsi="Century Gothic" w:cs="Arial"/>
          <w:noProof/>
          <w:sz w:val="21"/>
          <w:szCs w:val="21"/>
          <w:vertAlign w:val="superscript"/>
          <w:lang w:val="es-ES_tradnl"/>
        </w:rPr>
        <w:footnoteReference w:id="11"/>
      </w:r>
      <w:r w:rsidRPr="00A45A38">
        <w:rPr>
          <w:rFonts w:ascii="Century Gothic" w:hAnsi="Century Gothic" w:cs="Arial"/>
          <w:noProof/>
          <w:sz w:val="21"/>
          <w:szCs w:val="21"/>
          <w:lang w:val="es-ES_tradnl"/>
        </w:rPr>
        <w:t>.</w:t>
      </w:r>
    </w:p>
    <w:p w14:paraId="395419A1" w14:textId="77777777" w:rsidR="000310B7" w:rsidRPr="00A45A38" w:rsidRDefault="000310B7" w:rsidP="000310B7">
      <w:pPr>
        <w:spacing w:after="0" w:line="276" w:lineRule="auto"/>
        <w:ind w:left="709" w:right="709"/>
        <w:contextualSpacing/>
        <w:jc w:val="both"/>
        <w:rPr>
          <w:rFonts w:ascii="Century Gothic" w:hAnsi="Century Gothic" w:cs="Arial"/>
          <w:noProof/>
          <w:lang w:val="es-ES_tradnl"/>
        </w:rPr>
      </w:pPr>
    </w:p>
    <w:p w14:paraId="6A68091B" w14:textId="77777777" w:rsidR="000310B7" w:rsidRPr="00A45A38" w:rsidRDefault="000310B7" w:rsidP="000310B7">
      <w:pPr>
        <w:spacing w:after="120" w:line="276" w:lineRule="auto"/>
        <w:ind w:firstLine="709"/>
        <w:jc w:val="both"/>
        <w:rPr>
          <w:rFonts w:ascii="Century Gothic" w:hAnsi="Century Gothic" w:cs="Arial"/>
          <w:noProof/>
          <w:lang w:val="es-ES_tradnl"/>
        </w:rPr>
      </w:pPr>
      <w:r w:rsidRPr="00A45A38">
        <w:rPr>
          <w:rFonts w:ascii="Century Gothic" w:hAnsi="Century Gothic"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A45A38">
        <w:rPr>
          <w:rFonts w:ascii="Century Gothic" w:hAnsi="Century Gothic" w:cs="Arial"/>
          <w:noProof/>
          <w:vertAlign w:val="superscript"/>
          <w:lang w:val="es-ES_tradnl"/>
        </w:rPr>
        <w:footnoteReference w:id="12"/>
      </w:r>
      <w:r w:rsidRPr="00A45A38">
        <w:rPr>
          <w:rFonts w:ascii="Century Gothic" w:hAnsi="Century Gothic" w:cs="Arial"/>
          <w:noProof/>
          <w:lang w:val="es-ES_tradnl"/>
        </w:rPr>
        <w:t>. Esto también se deriva d</w:t>
      </w:r>
      <w:r w:rsidRPr="00A45A38">
        <w:rPr>
          <w:rFonts w:ascii="Century Gothic" w:eastAsia="Calibri" w:hAnsi="Century Gothic"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343245EC" w14:textId="77777777" w:rsidR="000310B7" w:rsidRPr="00A45A38" w:rsidRDefault="000310B7" w:rsidP="000310B7">
      <w:pPr>
        <w:spacing w:after="120" w:line="276" w:lineRule="auto"/>
        <w:ind w:firstLine="709"/>
        <w:jc w:val="both"/>
        <w:rPr>
          <w:rFonts w:ascii="Century Gothic" w:hAnsi="Century Gothic" w:cs="Arial"/>
          <w:noProof/>
          <w:lang w:val="es-ES_tradnl"/>
        </w:rPr>
      </w:pPr>
      <w:r w:rsidRPr="00A45A38">
        <w:rPr>
          <w:rFonts w:ascii="Century Gothic" w:hAnsi="Century Gothic" w:cs="Arial"/>
          <w:noProof/>
          <w:lang w:val="es-ES_tradnl"/>
        </w:rPr>
        <w:lastRenderedPageBreak/>
        <w:t>vi) Para su celebración no se requiere expedir un acto administrativo de justificación de la contratación directa</w:t>
      </w:r>
      <w:r w:rsidRPr="00A45A38">
        <w:rPr>
          <w:rFonts w:ascii="Century Gothic" w:hAnsi="Century Gothic" w:cs="Arial"/>
          <w:noProof/>
          <w:vertAlign w:val="superscript"/>
          <w:lang w:val="es-ES_tradnl"/>
        </w:rPr>
        <w:footnoteReference w:id="13"/>
      </w:r>
      <w:r w:rsidRPr="00A45A38">
        <w:rPr>
          <w:rFonts w:ascii="Century Gothic" w:hAnsi="Century Gothic" w:cs="Arial"/>
          <w:noProof/>
          <w:lang w:val="es-ES_tradnl"/>
        </w:rPr>
        <w:t>.</w:t>
      </w:r>
    </w:p>
    <w:p w14:paraId="07B144E8" w14:textId="77777777" w:rsidR="000310B7" w:rsidRPr="00A45A38" w:rsidRDefault="000310B7" w:rsidP="000310B7">
      <w:pPr>
        <w:spacing w:after="120" w:line="276" w:lineRule="auto"/>
        <w:ind w:firstLine="709"/>
        <w:jc w:val="both"/>
        <w:rPr>
          <w:rFonts w:ascii="Century Gothic" w:hAnsi="Century Gothic" w:cs="Arial"/>
          <w:noProof/>
          <w:lang w:val="es-ES_tradnl"/>
        </w:rPr>
      </w:pPr>
      <w:r w:rsidRPr="00A45A38">
        <w:rPr>
          <w:rFonts w:ascii="Century Gothic" w:hAnsi="Century Gothic" w:cs="Arial"/>
          <w:noProof/>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A45A38">
        <w:rPr>
          <w:rFonts w:ascii="Century Gothic" w:hAnsi="Century Gothic" w:cs="Arial"/>
          <w:noProof/>
          <w:vertAlign w:val="superscript"/>
          <w:lang w:val="es-ES_tradnl"/>
        </w:rPr>
        <w:footnoteReference w:id="14"/>
      </w:r>
      <w:r w:rsidRPr="00A45A38">
        <w:rPr>
          <w:rFonts w:ascii="Century Gothic" w:hAnsi="Century Gothic" w:cs="Arial"/>
          <w:noProof/>
          <w:lang w:val="es-ES_tradnl"/>
        </w:rPr>
        <w:t>.</w:t>
      </w:r>
    </w:p>
    <w:p w14:paraId="36AD2769" w14:textId="77777777" w:rsidR="000310B7" w:rsidRPr="00A45A38" w:rsidRDefault="000310B7" w:rsidP="000310B7">
      <w:pPr>
        <w:spacing w:after="120" w:line="276" w:lineRule="auto"/>
        <w:ind w:firstLine="709"/>
        <w:jc w:val="both"/>
        <w:rPr>
          <w:rFonts w:ascii="Century Gothic" w:hAnsi="Century Gothic" w:cs="Arial"/>
          <w:noProof/>
          <w:lang w:val="es-ES_tradnl"/>
        </w:rPr>
      </w:pPr>
      <w:r w:rsidRPr="00A45A38">
        <w:rPr>
          <w:rFonts w:ascii="Century Gothic" w:hAnsi="Century Gothic" w:cs="Arial"/>
          <w:noProof/>
          <w:lang w:val="es-ES_tradnl"/>
        </w:rPr>
        <w:t>viii) No es obligatoria la liquidación de estos contratos, como lo establece el artículo 217 del Decreto 019 de 2012, que modificó el artículo 60 de la Ley 80 de 1993</w:t>
      </w:r>
      <w:r w:rsidRPr="00A45A38">
        <w:rPr>
          <w:rFonts w:ascii="Century Gothic" w:hAnsi="Century Gothic" w:cs="Arial"/>
          <w:noProof/>
          <w:vertAlign w:val="superscript"/>
          <w:lang w:val="es-ES_tradnl"/>
        </w:rPr>
        <w:footnoteReference w:id="15"/>
      </w:r>
      <w:r w:rsidRPr="00A45A38">
        <w:rPr>
          <w:rFonts w:ascii="Century Gothic" w:hAnsi="Century Gothic" w:cs="Arial"/>
          <w:noProof/>
          <w:lang w:val="es-ES_tradnl"/>
        </w:rPr>
        <w:t>.</w:t>
      </w:r>
    </w:p>
    <w:p w14:paraId="2BCDCAA7" w14:textId="77777777" w:rsidR="000310B7" w:rsidRPr="00A45A38" w:rsidRDefault="000310B7" w:rsidP="000310B7">
      <w:pPr>
        <w:spacing w:after="120" w:line="276" w:lineRule="auto"/>
        <w:ind w:firstLine="709"/>
        <w:jc w:val="both"/>
        <w:rPr>
          <w:rFonts w:ascii="Century Gothic" w:hAnsi="Century Gothic" w:cs="Arial"/>
          <w:noProof/>
          <w:lang w:val="es-ES_tradnl"/>
        </w:rPr>
      </w:pPr>
      <w:r w:rsidRPr="00A45A38">
        <w:rPr>
          <w:rFonts w:ascii="Century Gothic" w:hAnsi="Century Gothic" w:cs="Arial"/>
          <w:noProof/>
          <w:lang w:val="es-ES_tradnl"/>
        </w:rPr>
        <w:lastRenderedPageBreak/>
        <w:t>ix) Para su celebración el contratista no requiere estar inscrito en el Registro Único de Proponentes –en adelante RUP–, como lo señala el artículo 6 de la Ley 1150 de 2007</w:t>
      </w:r>
      <w:r w:rsidRPr="00A45A38">
        <w:rPr>
          <w:rFonts w:ascii="Century Gothic" w:hAnsi="Century Gothic" w:cs="Arial"/>
          <w:noProof/>
          <w:vertAlign w:val="superscript"/>
          <w:lang w:val="es-ES_tradnl"/>
        </w:rPr>
        <w:footnoteReference w:id="16"/>
      </w:r>
      <w:r w:rsidRPr="00A45A38">
        <w:rPr>
          <w:rFonts w:ascii="Century Gothic" w:hAnsi="Century Gothic" w:cs="Arial"/>
          <w:noProof/>
          <w:lang w:val="es-ES_tradnl"/>
        </w:rPr>
        <w:t>.</w:t>
      </w:r>
    </w:p>
    <w:p w14:paraId="10E4248A" w14:textId="2ED96DDC" w:rsidR="000310B7" w:rsidRPr="00A45A38" w:rsidRDefault="000310B7" w:rsidP="000310B7">
      <w:pPr>
        <w:spacing w:after="120" w:line="276" w:lineRule="auto"/>
        <w:ind w:firstLine="708"/>
        <w:jc w:val="both"/>
        <w:rPr>
          <w:rFonts w:ascii="Century Gothic" w:hAnsi="Century Gothic" w:cs="Arial"/>
          <w:noProof/>
          <w:lang w:val="es-ES_tradnl"/>
        </w:rPr>
      </w:pPr>
      <w:r w:rsidRPr="00A45A38">
        <w:rPr>
          <w:rFonts w:ascii="Century Gothic" w:hAnsi="Century Gothic" w:cs="Arial"/>
          <w:noProof/>
          <w:lang w:val="es-ES_tradnl"/>
        </w:rPr>
        <w:t>x) No es obligtoria la exigencia de garantías</w:t>
      </w:r>
      <w:r w:rsidRPr="00A45A38">
        <w:rPr>
          <w:rFonts w:ascii="Century Gothic" w:hAnsi="Century Gothic" w:cs="Arial"/>
          <w:noProof/>
          <w:vertAlign w:val="superscript"/>
          <w:lang w:val="es-ES_tradnl"/>
        </w:rPr>
        <w:footnoteReference w:id="17"/>
      </w:r>
      <w:r w:rsidR="0068164C" w:rsidRPr="00A45A38">
        <w:rPr>
          <w:rFonts w:ascii="Century Gothic" w:hAnsi="Century Gothic" w:cs="Arial"/>
          <w:noProof/>
          <w:lang w:val="es-ES_tradnl"/>
        </w:rPr>
        <w:t>, y</w:t>
      </w:r>
    </w:p>
    <w:p w14:paraId="1B5A7AA2" w14:textId="77777777" w:rsidR="000310B7" w:rsidRPr="00A45A38" w:rsidRDefault="000310B7" w:rsidP="000310B7">
      <w:pPr>
        <w:spacing w:after="120" w:line="276" w:lineRule="auto"/>
        <w:ind w:firstLine="708"/>
        <w:jc w:val="both"/>
        <w:rPr>
          <w:rFonts w:ascii="Century Gothic" w:hAnsi="Century Gothic" w:cs="Arial"/>
          <w:noProof/>
          <w:lang w:val="es-ES_tradnl"/>
        </w:rPr>
      </w:pPr>
      <w:r w:rsidRPr="00A45A38">
        <w:rPr>
          <w:rFonts w:ascii="Century Gothic" w:hAnsi="Century Gothic" w:cs="Arial"/>
          <w:noProof/>
          <w:lang w:val="es-ES_tradnl"/>
        </w:rPr>
        <w:t>xi) Como los demás contratos estatales, se trata de un contrato solemne que debe constar por escrito y debe ser publicado en el SECOP.</w:t>
      </w:r>
    </w:p>
    <w:p w14:paraId="6B694738" w14:textId="5C401CF2" w:rsidR="002F6600" w:rsidRPr="00A45A38" w:rsidRDefault="002F6600" w:rsidP="002F6600">
      <w:pPr>
        <w:spacing w:after="120" w:line="276" w:lineRule="auto"/>
        <w:jc w:val="both"/>
        <w:rPr>
          <w:rStyle w:val="normaltextrun"/>
          <w:rFonts w:ascii="Century Gothic" w:hAnsi="Century Gothic" w:cs="Arial"/>
          <w:b/>
          <w:bCs/>
          <w:i/>
          <w:iCs/>
          <w:lang w:val="es-ES"/>
        </w:rPr>
      </w:pPr>
      <w:r w:rsidRPr="00A45A38">
        <w:rPr>
          <w:rStyle w:val="normaltextrun"/>
          <w:rFonts w:ascii="Century Gothic" w:hAnsi="Century Gothic" w:cs="Arial"/>
          <w:b/>
          <w:bCs/>
          <w:lang w:val="es-ES"/>
        </w:rPr>
        <w:t xml:space="preserve">2.3. Especies del género de los contratos de prestación de servicios: (i) </w:t>
      </w:r>
      <w:r w:rsidRPr="00A45A38">
        <w:rPr>
          <w:rStyle w:val="normaltextrun"/>
          <w:rFonts w:ascii="Century Gothic" w:hAnsi="Century Gothic" w:cs="Arial"/>
          <w:b/>
          <w:bCs/>
          <w:i/>
          <w:iCs/>
          <w:lang w:val="es-ES"/>
        </w:rPr>
        <w:t xml:space="preserve">Profesionales, (ii) Apoyo a la gestión y (iii) </w:t>
      </w:r>
      <w:r w:rsidRPr="680F7C78">
        <w:rPr>
          <w:rFonts w:ascii="Century Gothic" w:eastAsia="Arial" w:hAnsi="Century Gothic" w:cs="Arial"/>
          <w:b/>
          <w:i/>
          <w:color w:val="000000" w:themeColor="text1"/>
          <w:lang w:val="es-MX" w:eastAsia="es-ES"/>
        </w:rPr>
        <w:t>Servicios artísticos que sólo pueden encomendarse a determinadas personas naturales</w:t>
      </w:r>
    </w:p>
    <w:p w14:paraId="4192B88E" w14:textId="77777777" w:rsidR="0035074A" w:rsidRPr="00A45A38" w:rsidRDefault="0035074A" w:rsidP="001F42FE">
      <w:pPr>
        <w:tabs>
          <w:tab w:val="left" w:pos="0"/>
        </w:tabs>
        <w:spacing w:before="120" w:line="276" w:lineRule="auto"/>
        <w:jc w:val="both"/>
        <w:rPr>
          <w:rFonts w:ascii="Century Gothic" w:hAnsi="Century Gothic" w:cs="Arial"/>
          <w:color w:val="000000" w:themeColor="text1"/>
          <w:lang w:val="es-MX"/>
        </w:rPr>
      </w:pPr>
      <w:r w:rsidRPr="00A45A38">
        <w:rPr>
          <w:rFonts w:ascii="Century Gothic" w:hAnsi="Century Gothic" w:cs="Arial"/>
          <w:color w:val="000000" w:themeColor="text1"/>
          <w:lang w:val="es-ES"/>
        </w:rPr>
        <w:t>Como</w:t>
      </w:r>
      <w:r w:rsidRPr="00A45A38">
        <w:rPr>
          <w:rFonts w:ascii="Century Gothic" w:hAnsi="Century Gothic" w:cs="Arial"/>
          <w:color w:val="000000" w:themeColor="text1"/>
          <w:lang w:val="es-MX"/>
        </w:rPr>
        <w:t xml:space="preserve"> especies del género </w:t>
      </w:r>
      <w:r w:rsidRPr="00A45A38">
        <w:rPr>
          <w:rFonts w:ascii="Century Gothic" w:hAnsi="Century Gothic" w:cs="Arial"/>
          <w:i/>
          <w:color w:val="000000" w:themeColor="text1"/>
          <w:lang w:val="es-MX"/>
        </w:rPr>
        <w:t>prestación de servicios,</w:t>
      </w:r>
      <w:r w:rsidRPr="00A45A38">
        <w:rPr>
          <w:rFonts w:ascii="Century Gothic" w:hAnsi="Century Gothic" w:cs="Arial"/>
          <w:color w:val="000000" w:themeColor="text1"/>
          <w:lang w:val="es-MX"/>
        </w:rPr>
        <w:t xml:space="preserve"> se incluyen </w:t>
      </w:r>
      <w:r w:rsidRPr="00A45A38">
        <w:rPr>
          <w:rFonts w:ascii="Century Gothic" w:hAnsi="Century Gothic" w:cs="Arial"/>
          <w:color w:val="000000" w:themeColor="text1"/>
          <w:lang w:val="es-ES_tradnl"/>
        </w:rPr>
        <w:t xml:space="preserve">los </w:t>
      </w:r>
      <w:r w:rsidRPr="00A45A38">
        <w:rPr>
          <w:rFonts w:ascii="Century Gothic" w:hAnsi="Century Gothic" w:cs="Arial"/>
          <w:i/>
          <w:iCs/>
          <w:color w:val="000000" w:themeColor="text1"/>
          <w:lang w:val="es-ES_tradnl"/>
        </w:rPr>
        <w:t>contratos de prestación de servicios profesionales, los contratos de prestación de servicios de apoyo a la gestión</w:t>
      </w:r>
      <w:r w:rsidRPr="00A45A38">
        <w:rPr>
          <w:rFonts w:ascii="Century Gothic" w:hAnsi="Century Gothic" w:cs="Arial"/>
          <w:color w:val="000000" w:themeColor="text1"/>
          <w:lang w:val="es-ES_tradnl"/>
        </w:rPr>
        <w:t xml:space="preserve"> y los </w:t>
      </w:r>
      <w:r w:rsidRPr="00A45A38">
        <w:rPr>
          <w:rFonts w:ascii="Century Gothic" w:hAnsi="Century Gothic" w:cs="Arial"/>
          <w:i/>
          <w:iCs/>
          <w:color w:val="000000" w:themeColor="text1"/>
          <w:lang w:val="es-ES_tradnl"/>
        </w:rPr>
        <w:t>contratos de prestación de servicios artísticos que solo pueden encomendarse a determinadas personas naturales</w:t>
      </w:r>
      <w:r w:rsidRPr="00A45A38">
        <w:rPr>
          <w:rFonts w:ascii="Century Gothic" w:hAnsi="Century Gothic" w:cs="Arial"/>
          <w:color w:val="000000" w:themeColor="text1"/>
          <w:vertAlign w:val="superscript"/>
          <w:lang w:val="es-ES_tradnl"/>
        </w:rPr>
        <w:footnoteReference w:id="18"/>
      </w:r>
      <w:r w:rsidRPr="00A45A38">
        <w:rPr>
          <w:rFonts w:ascii="Century Gothic" w:hAnsi="Century Gothic" w:cs="Arial"/>
          <w:color w:val="000000" w:themeColor="text1"/>
          <w:lang w:val="es-MX"/>
        </w:rPr>
        <w:t xml:space="preserve">. </w:t>
      </w:r>
      <w:r w:rsidRPr="00A45A38">
        <w:rPr>
          <w:rFonts w:ascii="Century Gothic" w:hAnsi="Century Gothic" w:cs="Arial"/>
          <w:color w:val="000000" w:themeColor="text1"/>
          <w:lang w:val="es-ES_tradnl"/>
        </w:rPr>
        <w:t xml:space="preserve">La diferencia entre </w:t>
      </w:r>
      <w:r w:rsidRPr="00A45A38">
        <w:rPr>
          <w:rFonts w:ascii="Century Gothic" w:hAnsi="Century Gothic" w:cs="Arial"/>
          <w:color w:val="000000" w:themeColor="text1"/>
          <w:lang w:val="es-ES_tradnl"/>
        </w:rPr>
        <w:lastRenderedPageBreak/>
        <w:t xml:space="preserve">el contrato de prestación de servicios </w:t>
      </w:r>
      <w:r w:rsidRPr="00A45A38">
        <w:rPr>
          <w:rFonts w:ascii="Century Gothic" w:hAnsi="Century Gothic" w:cs="Arial"/>
          <w:i/>
          <w:color w:val="000000" w:themeColor="text1"/>
          <w:lang w:val="es-ES_tradnl"/>
        </w:rPr>
        <w:t>profesionales</w:t>
      </w:r>
      <w:r w:rsidRPr="00A45A38">
        <w:rPr>
          <w:rFonts w:ascii="Century Gothic" w:hAnsi="Century Gothic" w:cs="Arial"/>
          <w:color w:val="000000" w:themeColor="text1"/>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34BEFCB9" w14:textId="77777777" w:rsidR="0035074A" w:rsidRPr="00A45A38" w:rsidRDefault="0035074A" w:rsidP="0035074A">
      <w:pPr>
        <w:spacing w:after="0" w:line="240" w:lineRule="auto"/>
        <w:ind w:left="709" w:right="709"/>
        <w:contextualSpacing/>
        <w:jc w:val="both"/>
        <w:rPr>
          <w:rFonts w:ascii="Century Gothic" w:hAnsi="Century Gothic" w:cs="Arial"/>
          <w:color w:val="000000" w:themeColor="text1"/>
          <w:sz w:val="21"/>
          <w:szCs w:val="21"/>
          <w:lang w:val="es-ES_tradnl"/>
        </w:rPr>
      </w:pPr>
      <w:r w:rsidRPr="00A45A38">
        <w:rPr>
          <w:rFonts w:ascii="Century Gothic" w:eastAsia="Yu Gothic UI Semibold" w:hAnsi="Century Gothic" w:cs="Arial"/>
          <w:iCs/>
          <w:sz w:val="21"/>
          <w:szCs w:val="21"/>
          <w:lang w:eastAsia="es-MX"/>
        </w:rPr>
        <w:t>“</w:t>
      </w:r>
      <w:r w:rsidRPr="00A45A38">
        <w:rPr>
          <w:rFonts w:ascii="Century Gothic" w:hAnsi="Century Gothic"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A45A38">
        <w:rPr>
          <w:rFonts w:ascii="Century Gothic" w:hAnsi="Century Gothic" w:cs="Arial"/>
          <w:noProof/>
          <w:sz w:val="21"/>
          <w:szCs w:val="21"/>
          <w:lang w:val="es-ES_tradnl"/>
        </w:rPr>
        <w:t>”</w:t>
      </w:r>
      <w:r w:rsidRPr="00A45A38">
        <w:rPr>
          <w:rFonts w:ascii="Century Gothic" w:hAnsi="Century Gothic" w:cs="Arial"/>
          <w:color w:val="000000" w:themeColor="text1"/>
          <w:sz w:val="21"/>
          <w:szCs w:val="21"/>
          <w:vertAlign w:val="superscript"/>
          <w:lang w:val="es-ES_tradnl"/>
        </w:rPr>
        <w:footnoteReference w:id="19"/>
      </w:r>
      <w:r w:rsidRPr="00A45A38">
        <w:rPr>
          <w:rFonts w:ascii="Century Gothic" w:hAnsi="Century Gothic" w:cs="Arial"/>
          <w:color w:val="000000" w:themeColor="text1"/>
          <w:sz w:val="21"/>
          <w:szCs w:val="21"/>
          <w:lang w:val="es-ES_tradnl"/>
        </w:rPr>
        <w:t>.</w:t>
      </w:r>
    </w:p>
    <w:p w14:paraId="1DF21695" w14:textId="77777777" w:rsidR="0035074A" w:rsidRPr="00A45A38" w:rsidRDefault="0035074A" w:rsidP="0035074A">
      <w:pPr>
        <w:ind w:firstLine="709"/>
        <w:contextualSpacing/>
        <w:jc w:val="both"/>
        <w:rPr>
          <w:rFonts w:ascii="Century Gothic" w:hAnsi="Century Gothic" w:cs="Arial"/>
          <w:color w:val="000000" w:themeColor="text1"/>
          <w:lang w:val="es-ES_tradnl"/>
        </w:rPr>
      </w:pPr>
    </w:p>
    <w:p w14:paraId="6B590FA5" w14:textId="77777777" w:rsidR="0035074A" w:rsidRPr="00A45A38" w:rsidRDefault="0035074A" w:rsidP="0035074A">
      <w:pPr>
        <w:spacing w:line="276" w:lineRule="auto"/>
        <w:ind w:firstLine="709"/>
        <w:contextualSpacing/>
        <w:jc w:val="both"/>
        <w:rPr>
          <w:rFonts w:ascii="Century Gothic" w:hAnsi="Century Gothic" w:cs="Arial"/>
          <w:color w:val="000000" w:themeColor="text1"/>
          <w:lang w:val="es-ES_tradnl"/>
        </w:rPr>
      </w:pPr>
      <w:r w:rsidRPr="00A45A38">
        <w:rPr>
          <w:rFonts w:ascii="Century Gothic" w:hAnsi="Century Gothic" w:cs="Arial"/>
          <w:color w:val="000000" w:themeColor="text1"/>
          <w:lang w:val="es-ES_tradnl"/>
        </w:rPr>
        <w:t xml:space="preserve">Lo expuesto, según la jurisprudencia citada, se diferencia del objeto del </w:t>
      </w:r>
      <w:r w:rsidRPr="00A45A38">
        <w:rPr>
          <w:rFonts w:ascii="Century Gothic" w:hAnsi="Century Gothic" w:cs="Arial"/>
          <w:i/>
          <w:iCs/>
          <w:color w:val="000000" w:themeColor="text1"/>
          <w:lang w:val="es-ES_tradnl"/>
        </w:rPr>
        <w:t>contrato de prestación de servicios de apoyo a la gestión</w:t>
      </w:r>
      <w:r w:rsidRPr="00A45A38">
        <w:rPr>
          <w:rFonts w:ascii="Century Gothic" w:hAnsi="Century Gothic" w:cs="Arial"/>
          <w:color w:val="000000" w:themeColor="text1"/>
          <w:lang w:val="es-ES_tradnl"/>
        </w:rPr>
        <w:t>, en los siguientes aspectos:</w:t>
      </w:r>
    </w:p>
    <w:p w14:paraId="52BA0BA6" w14:textId="77777777" w:rsidR="0035074A" w:rsidRPr="00A45A38" w:rsidRDefault="0035074A" w:rsidP="0035074A">
      <w:pPr>
        <w:spacing w:line="276" w:lineRule="auto"/>
        <w:ind w:firstLine="709"/>
        <w:contextualSpacing/>
        <w:jc w:val="both"/>
        <w:rPr>
          <w:rFonts w:ascii="Century Gothic" w:hAnsi="Century Gothic" w:cs="Arial"/>
          <w:color w:val="000000" w:themeColor="text1"/>
          <w:lang w:val="es-ES_tradnl"/>
        </w:rPr>
      </w:pPr>
    </w:p>
    <w:p w14:paraId="465DCFEC" w14:textId="77777777" w:rsidR="0035074A" w:rsidRPr="00A45A38" w:rsidRDefault="0035074A" w:rsidP="0035074A">
      <w:pPr>
        <w:spacing w:after="0" w:line="240" w:lineRule="auto"/>
        <w:ind w:left="709" w:right="709"/>
        <w:contextualSpacing/>
        <w:jc w:val="both"/>
        <w:rPr>
          <w:rFonts w:ascii="Century Gothic" w:hAnsi="Century Gothic" w:cs="Arial"/>
          <w:color w:val="000000" w:themeColor="text1"/>
          <w:sz w:val="21"/>
          <w:szCs w:val="21"/>
          <w:lang w:val="es-ES_tradnl"/>
        </w:rPr>
      </w:pPr>
      <w:r w:rsidRPr="00A45A38">
        <w:rPr>
          <w:rFonts w:ascii="Century Gothic" w:eastAsia="Yu Gothic UI Semibold" w:hAnsi="Century Gothic" w:cs="Arial"/>
          <w:iCs/>
          <w:sz w:val="21"/>
          <w:szCs w:val="21"/>
          <w:lang w:eastAsia="es-MX"/>
        </w:rPr>
        <w:t>“</w:t>
      </w:r>
      <w:r w:rsidRPr="00A45A38">
        <w:rPr>
          <w:rFonts w:ascii="Century Gothic" w:hAnsi="Century Gothic"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17FE6ACD" w14:textId="77777777" w:rsidR="0035074A" w:rsidRPr="00A45A38" w:rsidRDefault="0035074A" w:rsidP="0035074A">
      <w:pPr>
        <w:spacing w:after="0" w:line="240" w:lineRule="auto"/>
        <w:ind w:left="709" w:right="709"/>
        <w:contextualSpacing/>
        <w:jc w:val="both"/>
        <w:rPr>
          <w:rFonts w:ascii="Century Gothic" w:hAnsi="Century Gothic" w:cs="Arial"/>
          <w:color w:val="000000" w:themeColor="text1"/>
          <w:sz w:val="12"/>
          <w:szCs w:val="12"/>
          <w:lang w:val="es-ES_tradnl"/>
        </w:rPr>
      </w:pPr>
    </w:p>
    <w:p w14:paraId="1653FAB0" w14:textId="77777777" w:rsidR="0035074A" w:rsidRPr="00A45A38" w:rsidRDefault="0035074A" w:rsidP="0035074A">
      <w:pPr>
        <w:spacing w:after="0" w:line="240" w:lineRule="auto"/>
        <w:ind w:left="709" w:right="709"/>
        <w:contextualSpacing/>
        <w:jc w:val="both"/>
        <w:rPr>
          <w:rFonts w:ascii="Century Gothic" w:hAnsi="Century Gothic" w:cs="Arial"/>
          <w:color w:val="000000" w:themeColor="text1"/>
          <w:sz w:val="21"/>
          <w:szCs w:val="21"/>
          <w:lang w:val="es-ES_tradnl"/>
        </w:rPr>
      </w:pPr>
      <w:r w:rsidRPr="00A45A38">
        <w:rPr>
          <w:rFonts w:ascii="Century Gothic" w:hAnsi="Century Gothic"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2EC4FEF7" w14:textId="77777777" w:rsidR="0035074A" w:rsidRPr="00A45A38" w:rsidRDefault="0035074A" w:rsidP="0035074A">
      <w:pPr>
        <w:spacing w:after="0" w:line="240" w:lineRule="auto"/>
        <w:ind w:left="709" w:right="709"/>
        <w:contextualSpacing/>
        <w:jc w:val="both"/>
        <w:rPr>
          <w:rFonts w:ascii="Century Gothic" w:hAnsi="Century Gothic" w:cs="Arial"/>
          <w:color w:val="000000" w:themeColor="text1"/>
          <w:sz w:val="12"/>
          <w:szCs w:val="12"/>
          <w:lang w:val="es-ES_tradnl"/>
        </w:rPr>
      </w:pPr>
    </w:p>
    <w:p w14:paraId="56761914" w14:textId="77777777" w:rsidR="0035074A" w:rsidRPr="00A45A38" w:rsidRDefault="0035074A" w:rsidP="0035074A">
      <w:pPr>
        <w:spacing w:after="0" w:line="240" w:lineRule="auto"/>
        <w:ind w:left="709" w:right="709"/>
        <w:contextualSpacing/>
        <w:jc w:val="both"/>
        <w:rPr>
          <w:rFonts w:ascii="Century Gothic" w:hAnsi="Century Gothic" w:cs="Arial"/>
          <w:color w:val="000000" w:themeColor="text1"/>
          <w:sz w:val="21"/>
          <w:szCs w:val="21"/>
          <w:lang w:val="es-ES_tradnl"/>
        </w:rPr>
      </w:pPr>
      <w:r w:rsidRPr="00A45A38">
        <w:rPr>
          <w:rFonts w:ascii="Century Gothic" w:hAnsi="Century Gothic" w:cs="Arial"/>
          <w:color w:val="000000" w:themeColor="text1"/>
          <w:sz w:val="21"/>
          <w:szCs w:val="21"/>
          <w:lang w:val="es-ES_tradnl"/>
        </w:rPr>
        <w:t xml:space="preserve">Dentro de su objeto contractual pueden tener lugar actividades operativas, logísticas o asistenciales, siempre que satisfaga los requisitos </w:t>
      </w:r>
      <w:r w:rsidRPr="00A45A38">
        <w:rPr>
          <w:rFonts w:ascii="Century Gothic" w:hAnsi="Century Gothic" w:cs="Arial"/>
          <w:color w:val="000000" w:themeColor="text1"/>
          <w:sz w:val="21"/>
          <w:szCs w:val="21"/>
          <w:lang w:val="es-ES_tradnl"/>
        </w:rPr>
        <w:lastRenderedPageBreak/>
        <w:t>antes mencionados y sea acorde con las necesidades de la Administración y el principio de planeación</w:t>
      </w:r>
      <w:r w:rsidRPr="00A45A38">
        <w:rPr>
          <w:rFonts w:ascii="Century Gothic" w:hAnsi="Century Gothic" w:cs="Arial"/>
          <w:noProof/>
          <w:sz w:val="21"/>
          <w:szCs w:val="21"/>
          <w:lang w:val="es-ES_tradnl"/>
        </w:rPr>
        <w:t>”</w:t>
      </w:r>
      <w:r w:rsidRPr="00A45A38">
        <w:rPr>
          <w:rFonts w:ascii="Century Gothic" w:hAnsi="Century Gothic" w:cs="Arial"/>
          <w:color w:val="000000" w:themeColor="text1"/>
          <w:sz w:val="21"/>
          <w:szCs w:val="21"/>
          <w:vertAlign w:val="superscript"/>
          <w:lang w:val="es-ES_tradnl"/>
        </w:rPr>
        <w:footnoteReference w:id="20"/>
      </w:r>
      <w:r w:rsidRPr="00A45A38">
        <w:rPr>
          <w:rFonts w:ascii="Century Gothic" w:hAnsi="Century Gothic" w:cs="Arial"/>
          <w:color w:val="000000" w:themeColor="text1"/>
          <w:sz w:val="21"/>
          <w:szCs w:val="21"/>
          <w:lang w:val="es-ES_tradnl"/>
        </w:rPr>
        <w:t>.</w:t>
      </w:r>
    </w:p>
    <w:p w14:paraId="0BACFBD2" w14:textId="77777777" w:rsidR="0035074A" w:rsidRPr="00A45A38" w:rsidRDefault="0035074A" w:rsidP="0035074A">
      <w:pPr>
        <w:spacing w:line="276" w:lineRule="auto"/>
        <w:ind w:firstLine="709"/>
        <w:contextualSpacing/>
        <w:jc w:val="both"/>
        <w:rPr>
          <w:rFonts w:ascii="Century Gothic" w:hAnsi="Century Gothic" w:cs="Arial"/>
          <w:color w:val="000000" w:themeColor="text1"/>
          <w:lang w:val="es-ES_tradnl"/>
        </w:rPr>
      </w:pPr>
    </w:p>
    <w:p w14:paraId="06455BD1" w14:textId="77777777" w:rsidR="0035074A" w:rsidRPr="00A45A38" w:rsidRDefault="0035074A" w:rsidP="0035074A">
      <w:pPr>
        <w:spacing w:line="276" w:lineRule="auto"/>
        <w:ind w:firstLine="709"/>
        <w:contextualSpacing/>
        <w:jc w:val="both"/>
        <w:rPr>
          <w:rFonts w:ascii="Century Gothic" w:hAnsi="Century Gothic" w:cs="Arial"/>
          <w:color w:val="000000" w:themeColor="text1"/>
          <w:lang w:val="es-ES_tradnl"/>
        </w:rPr>
      </w:pPr>
      <w:r w:rsidRPr="00A45A38">
        <w:rPr>
          <w:rFonts w:ascii="Century Gothic" w:hAnsi="Century Gothic" w:cs="Arial"/>
          <w:color w:val="000000" w:themeColor="text1"/>
          <w:lang w:val="es-ES_tradnl"/>
        </w:rPr>
        <w:t xml:space="preserve">En relación con el </w:t>
      </w:r>
      <w:r w:rsidRPr="00A45A38">
        <w:rPr>
          <w:rFonts w:ascii="Century Gothic" w:hAnsi="Century Gothic" w:cs="Arial"/>
          <w:i/>
          <w:iCs/>
          <w:color w:val="000000" w:themeColor="text1"/>
          <w:lang w:val="es-ES_tradnl"/>
        </w:rPr>
        <w:t>contrato de prestación de servicios artísticos que solo pueden encomendarse a determinadas personas naturales</w:t>
      </w:r>
      <w:r w:rsidRPr="00A45A38">
        <w:rPr>
          <w:rFonts w:ascii="Century Gothic" w:hAnsi="Century Gothic" w:cs="Arial"/>
          <w:color w:val="000000" w:themeColor="text1"/>
          <w:lang w:val="es-ES_tradnl"/>
        </w:rPr>
        <w:t>, señala la mencionada decisión judicial lo siguiente:</w:t>
      </w:r>
    </w:p>
    <w:p w14:paraId="2DE02111" w14:textId="77777777" w:rsidR="0035074A" w:rsidRPr="00A45A38" w:rsidRDefault="0035074A" w:rsidP="0035074A">
      <w:pPr>
        <w:spacing w:after="0" w:line="276" w:lineRule="auto"/>
        <w:ind w:left="709" w:right="709"/>
        <w:contextualSpacing/>
        <w:jc w:val="both"/>
        <w:rPr>
          <w:rFonts w:ascii="Century Gothic" w:hAnsi="Century Gothic" w:cs="Arial"/>
          <w:color w:val="000000" w:themeColor="text1"/>
          <w:lang w:val="es-ES_tradnl"/>
        </w:rPr>
      </w:pPr>
    </w:p>
    <w:p w14:paraId="0A614F3D" w14:textId="77777777" w:rsidR="0035074A" w:rsidRPr="00A45A38" w:rsidRDefault="0035074A" w:rsidP="0035074A">
      <w:pPr>
        <w:spacing w:after="0" w:line="240" w:lineRule="auto"/>
        <w:ind w:left="709" w:right="709"/>
        <w:jc w:val="both"/>
        <w:rPr>
          <w:rFonts w:ascii="Century Gothic" w:hAnsi="Century Gothic" w:cs="Arial"/>
          <w:color w:val="000000" w:themeColor="text1"/>
          <w:sz w:val="21"/>
          <w:szCs w:val="21"/>
          <w:lang w:val="es-ES_tradnl"/>
        </w:rPr>
      </w:pPr>
      <w:r w:rsidRPr="00A45A38">
        <w:rPr>
          <w:rFonts w:ascii="Century Gothic" w:eastAsia="Yu Gothic UI Semibold" w:hAnsi="Century Gothic" w:cs="Arial"/>
          <w:iCs/>
          <w:sz w:val="21"/>
          <w:szCs w:val="21"/>
          <w:lang w:eastAsia="es-MX"/>
        </w:rPr>
        <w:t>“</w:t>
      </w:r>
      <w:r w:rsidRPr="00A45A38">
        <w:rPr>
          <w:rFonts w:ascii="Century Gothic" w:hAnsi="Century Gothic"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A45A38">
        <w:rPr>
          <w:rFonts w:ascii="Century Gothic" w:hAnsi="Century Gothic" w:cs="Arial"/>
          <w:noProof/>
          <w:sz w:val="21"/>
          <w:szCs w:val="21"/>
          <w:lang w:val="es-ES_tradnl"/>
        </w:rPr>
        <w:t>”</w:t>
      </w:r>
      <w:r w:rsidRPr="00A45A38">
        <w:rPr>
          <w:rFonts w:ascii="Century Gothic" w:hAnsi="Century Gothic" w:cs="Arial"/>
          <w:color w:val="000000" w:themeColor="text1"/>
          <w:sz w:val="21"/>
          <w:szCs w:val="21"/>
          <w:vertAlign w:val="superscript"/>
          <w:lang w:val="es-ES_tradnl"/>
        </w:rPr>
        <w:footnoteReference w:id="21"/>
      </w:r>
      <w:r w:rsidRPr="00A45A38">
        <w:rPr>
          <w:rFonts w:ascii="Century Gothic" w:hAnsi="Century Gothic" w:cs="Arial"/>
          <w:color w:val="000000" w:themeColor="text1"/>
          <w:sz w:val="21"/>
          <w:szCs w:val="21"/>
          <w:lang w:val="es-ES_tradnl"/>
        </w:rPr>
        <w:t>.</w:t>
      </w:r>
    </w:p>
    <w:p w14:paraId="52298444" w14:textId="77777777" w:rsidR="0035074A" w:rsidRPr="00A45A38" w:rsidRDefault="0035074A" w:rsidP="0035074A">
      <w:pPr>
        <w:spacing w:after="0" w:line="276" w:lineRule="auto"/>
        <w:ind w:left="709" w:right="709"/>
        <w:contextualSpacing/>
        <w:jc w:val="both"/>
        <w:rPr>
          <w:rFonts w:ascii="Century Gothic" w:hAnsi="Century Gothic" w:cs="Arial"/>
          <w:color w:val="000000" w:themeColor="text1"/>
          <w:lang w:val="es-ES_tradnl"/>
        </w:rPr>
      </w:pPr>
    </w:p>
    <w:p w14:paraId="1DC40BE2" w14:textId="77777777" w:rsidR="0035074A" w:rsidRPr="00A45A38" w:rsidRDefault="0035074A" w:rsidP="0035074A">
      <w:pPr>
        <w:spacing w:line="276" w:lineRule="auto"/>
        <w:ind w:firstLine="709"/>
        <w:contextualSpacing/>
        <w:jc w:val="both"/>
        <w:rPr>
          <w:rFonts w:ascii="Century Gothic" w:hAnsi="Century Gothic" w:cs="Arial"/>
          <w:color w:val="000000" w:themeColor="text1"/>
          <w:lang w:val="es-MX"/>
        </w:rPr>
      </w:pPr>
      <w:r w:rsidRPr="00A45A38">
        <w:rPr>
          <w:rFonts w:ascii="Century Gothic" w:hAnsi="Century Gothic" w:cs="Arial"/>
          <w:color w:val="000000" w:themeColor="text1"/>
          <w:lang w:val="es-ES_tradnl"/>
        </w:rPr>
        <w:t xml:space="preserve">En este sentido, el contrato de prestación de servicios </w:t>
      </w:r>
      <w:r w:rsidRPr="00A45A38">
        <w:rPr>
          <w:rFonts w:ascii="Century Gothic" w:hAnsi="Century Gothic" w:cs="Arial"/>
          <w:i/>
          <w:iCs/>
          <w:color w:val="000000" w:themeColor="text1"/>
          <w:lang w:val="es-ES_tradnl"/>
        </w:rPr>
        <w:t>profesionales</w:t>
      </w:r>
      <w:r w:rsidRPr="00A45A38">
        <w:rPr>
          <w:rFonts w:ascii="Century Gothic" w:hAnsi="Century Gothic" w:cs="Arial"/>
          <w:color w:val="000000" w:themeColor="text1"/>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A45A38">
        <w:rPr>
          <w:rFonts w:ascii="Century Gothic" w:hAnsi="Century Gothic" w:cs="Arial"/>
          <w:i/>
          <w:iCs/>
          <w:color w:val="000000" w:themeColor="text1"/>
          <w:lang w:val="es-ES_tradnl"/>
        </w:rPr>
        <w:t>saber intelectivo cualificado.</w:t>
      </w:r>
      <w:r w:rsidRPr="00A45A38">
        <w:rPr>
          <w:rFonts w:ascii="Century Gothic" w:hAnsi="Century Gothic" w:cs="Arial"/>
          <w:color w:val="000000" w:themeColor="text1"/>
          <w:lang w:val="es-ES_tradnl"/>
        </w:rPr>
        <w:t xml:space="preserve"> En cambio, los contratos de prestación de servicios de </w:t>
      </w:r>
      <w:r w:rsidRPr="00A45A38">
        <w:rPr>
          <w:rFonts w:ascii="Century Gothic" w:hAnsi="Century Gothic" w:cs="Arial"/>
          <w:i/>
          <w:iCs/>
          <w:color w:val="000000" w:themeColor="text1"/>
          <w:lang w:val="es-ES_tradnl"/>
        </w:rPr>
        <w:t>apoyo a la gestión</w:t>
      </w:r>
      <w:r w:rsidRPr="00A45A38">
        <w:rPr>
          <w:rFonts w:ascii="Century Gothic" w:hAnsi="Century Gothic" w:cs="Arial"/>
          <w:color w:val="000000" w:themeColor="text1"/>
          <w:lang w:val="es-ES_tradnl"/>
        </w:rPr>
        <w:t xml:space="preserve"> y de </w:t>
      </w:r>
      <w:r w:rsidRPr="00A45A38">
        <w:rPr>
          <w:rFonts w:ascii="Century Gothic" w:hAnsi="Century Gothic" w:cs="Arial"/>
          <w:i/>
          <w:iCs/>
          <w:color w:val="000000" w:themeColor="text1"/>
          <w:lang w:val="es-ES_tradnl"/>
        </w:rPr>
        <w:t>servicios artísticos</w:t>
      </w:r>
      <w:r w:rsidRPr="00A45A38">
        <w:rPr>
          <w:rFonts w:ascii="Century Gothic" w:hAnsi="Century Gothic" w:cs="Arial"/>
          <w:color w:val="000000" w:themeColor="text1"/>
          <w:lang w:val="es-ES_tradnl"/>
        </w:rPr>
        <w:t xml:space="preserve"> no involucran ese conocimiento profesional </w:t>
      </w:r>
      <w:r w:rsidRPr="00A45A38">
        <w:rPr>
          <w:rFonts w:ascii="Century Gothic" w:hAnsi="Century Gothic" w:cs="Arial"/>
          <w:color w:val="000000" w:themeColor="text1"/>
          <w:lang w:val="es-MX"/>
        </w:rPr>
        <w:t xml:space="preserve">o especializados para su ejecución. En los contratos de apoyo a la gestión </w:t>
      </w:r>
      <w:r w:rsidRPr="00A45A38">
        <w:rPr>
          <w:rFonts w:ascii="Century Gothic" w:hAnsi="Century Gothic" w:cs="Arial"/>
          <w:color w:val="000000" w:themeColor="text1"/>
          <w:lang w:val="es-ES_tradnl"/>
        </w:rPr>
        <w:t xml:space="preserve">el contratista desempeña un esfuerzo o actividad de apoyo, acompañamiento, o soporte, </w:t>
      </w:r>
      <w:r w:rsidRPr="00A45A38">
        <w:rPr>
          <w:rFonts w:ascii="Century Gothic" w:hAnsi="Century Gothic" w:cs="Arial"/>
          <w:color w:val="000000" w:themeColor="text1"/>
          <w:lang w:val="es-MX"/>
        </w:rPr>
        <w:t xml:space="preserve">donde </w:t>
      </w:r>
      <w:r w:rsidRPr="00A45A38">
        <w:rPr>
          <w:rFonts w:ascii="Century Gothic" w:hAnsi="Century Gothic" w:cs="Arial"/>
          <w:color w:val="000000" w:themeColor="text1"/>
          <w:lang w:val="es-ES_tradnl"/>
        </w:rPr>
        <w:t>“lo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 Finalmente, en el contrato de prestación de servicios artísticos lo prevalente es que la persona que lo ejecute se trate de un artista, es decir, “una persona reconocida como realizador o productor de arte, de obras de arte, ejecutor de trabajos artísticos”, para lo cual es indiferente el carácter de profesional.</w:t>
      </w:r>
    </w:p>
    <w:p w14:paraId="475F5D19" w14:textId="77777777" w:rsidR="001F42FE" w:rsidRPr="00A45A38" w:rsidRDefault="001F42FE" w:rsidP="002B3C8F">
      <w:pPr>
        <w:spacing w:after="0" w:line="276" w:lineRule="auto"/>
        <w:contextualSpacing/>
        <w:jc w:val="both"/>
        <w:rPr>
          <w:rFonts w:ascii="Century Gothic" w:eastAsia="Calibri" w:hAnsi="Century Gothic" w:cs="Arial"/>
          <w:b/>
          <w:color w:val="000000"/>
          <w:kern w:val="2"/>
          <w14:ligatures w14:val="standardContextual"/>
        </w:rPr>
      </w:pPr>
    </w:p>
    <w:p w14:paraId="24DFE28D" w14:textId="56D7E246" w:rsidR="002B3C8F" w:rsidRPr="00A45A38" w:rsidRDefault="002B3C8F" w:rsidP="002B3C8F">
      <w:pPr>
        <w:spacing w:after="0" w:line="276" w:lineRule="auto"/>
        <w:contextualSpacing/>
        <w:jc w:val="both"/>
        <w:rPr>
          <w:rFonts w:ascii="Century Gothic" w:eastAsia="Calibri" w:hAnsi="Century Gothic" w:cs="Arial"/>
          <w:b/>
          <w:color w:val="000000"/>
          <w:kern w:val="2"/>
          <w14:ligatures w14:val="standardContextual"/>
        </w:rPr>
      </w:pPr>
      <w:r w:rsidRPr="00A45A38">
        <w:rPr>
          <w:rFonts w:ascii="Century Gothic" w:eastAsia="Calibri" w:hAnsi="Century Gothic" w:cs="Arial"/>
          <w:b/>
          <w:color w:val="000000"/>
          <w:kern w:val="2"/>
          <w14:ligatures w14:val="standardContextual"/>
        </w:rPr>
        <w:t>2.</w:t>
      </w:r>
      <w:r w:rsidR="00AE5E65">
        <w:rPr>
          <w:rFonts w:ascii="Century Gothic" w:eastAsia="Calibri" w:hAnsi="Century Gothic" w:cs="Arial"/>
          <w:b/>
          <w:color w:val="000000"/>
          <w:kern w:val="2"/>
          <w14:ligatures w14:val="standardContextual"/>
        </w:rPr>
        <w:t>4</w:t>
      </w:r>
      <w:r w:rsidRPr="00A45A38">
        <w:rPr>
          <w:rFonts w:ascii="Century Gothic" w:eastAsia="Calibri" w:hAnsi="Century Gothic" w:cs="Arial"/>
          <w:b/>
          <w:color w:val="000000"/>
          <w:kern w:val="2"/>
          <w14:ligatures w14:val="standardContextual"/>
        </w:rPr>
        <w:t>. Fijación de honorarios en los contratos de prestación de servicios</w:t>
      </w:r>
    </w:p>
    <w:p w14:paraId="3C030028" w14:textId="77777777" w:rsidR="002B3C8F" w:rsidRPr="00A45A38" w:rsidRDefault="002B3C8F" w:rsidP="002B3C8F">
      <w:pPr>
        <w:spacing w:before="120" w:after="0" w:line="276" w:lineRule="auto"/>
        <w:contextualSpacing/>
        <w:jc w:val="both"/>
        <w:rPr>
          <w:rFonts w:ascii="Century Gothic" w:eastAsia="Calibri" w:hAnsi="Century Gothic" w:cs="Arial"/>
          <w:b/>
          <w:color w:val="000000"/>
          <w:kern w:val="2"/>
          <w14:ligatures w14:val="standardContextual"/>
        </w:rPr>
      </w:pPr>
    </w:p>
    <w:p w14:paraId="5A29DC91" w14:textId="4727FE55" w:rsidR="002B3C8F" w:rsidRPr="00A45A38" w:rsidRDefault="00DA7211" w:rsidP="002B3C8F">
      <w:pPr>
        <w:spacing w:after="0" w:line="276" w:lineRule="auto"/>
        <w:contextualSpacing/>
        <w:jc w:val="both"/>
        <w:rPr>
          <w:rFonts w:ascii="Century Gothic" w:eastAsia="Calibri" w:hAnsi="Century Gothic" w:cs="Arial"/>
          <w:bCs/>
          <w:color w:val="000000"/>
          <w:kern w:val="2"/>
          <w14:ligatures w14:val="standardContextual"/>
        </w:rPr>
      </w:pPr>
      <w:r w:rsidRPr="00A45A38">
        <w:rPr>
          <w:rFonts w:ascii="Century Gothic" w:eastAsia="Calibri" w:hAnsi="Century Gothic" w:cs="Arial"/>
          <w:bCs/>
          <w:color w:val="000000"/>
          <w:kern w:val="2"/>
          <w14:ligatures w14:val="standardContextual"/>
        </w:rPr>
        <w:lastRenderedPageBreak/>
        <w:t>La</w:t>
      </w:r>
      <w:r w:rsidR="000447C6" w:rsidRPr="00A45A38">
        <w:rPr>
          <w:rFonts w:ascii="Century Gothic" w:eastAsia="Calibri" w:hAnsi="Century Gothic" w:cs="Arial"/>
          <w:bCs/>
          <w:color w:val="000000"/>
          <w:kern w:val="2"/>
          <w14:ligatures w14:val="standardContextual"/>
        </w:rPr>
        <w:t xml:space="preserve"> fijación de</w:t>
      </w:r>
      <w:r w:rsidR="002B3C8F" w:rsidRPr="00A45A38">
        <w:rPr>
          <w:rFonts w:ascii="Century Gothic" w:eastAsia="Calibri" w:hAnsi="Century Gothic" w:cs="Arial"/>
          <w:bCs/>
          <w:color w:val="000000"/>
          <w:kern w:val="2"/>
          <w14:ligatures w14:val="standardContextual"/>
        </w:rPr>
        <w:t xml:space="preserve"> los honorarios de los contratistas de prestación de servicios profesionales, de apoyo a la gestión y de trabajas artísticos</w:t>
      </w:r>
      <w:r w:rsidRPr="00A45A38">
        <w:rPr>
          <w:rFonts w:ascii="Century Gothic" w:eastAsia="Calibri" w:hAnsi="Century Gothic" w:cs="Arial"/>
          <w:bCs/>
          <w:color w:val="000000"/>
          <w:kern w:val="2"/>
          <w14:ligatures w14:val="standardContextual"/>
        </w:rPr>
        <w:t xml:space="preserve"> nace, en primer lugar,</w:t>
      </w:r>
      <w:r w:rsidR="000447C6" w:rsidRPr="00A45A38">
        <w:rPr>
          <w:rFonts w:ascii="Century Gothic" w:eastAsia="Calibri" w:hAnsi="Century Gothic" w:cs="Arial"/>
          <w:bCs/>
          <w:color w:val="000000"/>
          <w:kern w:val="2"/>
          <w14:ligatures w14:val="standardContextual"/>
        </w:rPr>
        <w:t xml:space="preserve"> </w:t>
      </w:r>
      <w:r w:rsidRPr="00A45A38">
        <w:rPr>
          <w:rFonts w:ascii="Century Gothic" w:eastAsia="Calibri" w:hAnsi="Century Gothic" w:cs="Arial"/>
          <w:bCs/>
          <w:color w:val="000000"/>
          <w:kern w:val="2"/>
          <w14:ligatures w14:val="standardContextual"/>
        </w:rPr>
        <w:t xml:space="preserve">de la </w:t>
      </w:r>
      <w:r w:rsidR="002B3C8F" w:rsidRPr="00A45A38">
        <w:rPr>
          <w:rFonts w:ascii="Century Gothic" w:eastAsia="Calibri" w:hAnsi="Century Gothic" w:cs="Arial"/>
          <w:bCs/>
          <w:color w:val="000000"/>
          <w:kern w:val="2"/>
          <w14:ligatures w14:val="standardContextual"/>
        </w:rPr>
        <w:t>autonomía de la voluntad las partes</w:t>
      </w:r>
      <w:r w:rsidRPr="00A45A38">
        <w:rPr>
          <w:rFonts w:ascii="Century Gothic" w:eastAsia="Calibri" w:hAnsi="Century Gothic" w:cs="Arial"/>
          <w:bCs/>
          <w:color w:val="000000"/>
          <w:kern w:val="2"/>
          <w14:ligatures w14:val="standardContextual"/>
        </w:rPr>
        <w:t xml:space="preserve">, quienes </w:t>
      </w:r>
      <w:r w:rsidR="002B3C8F" w:rsidRPr="00A45A38">
        <w:rPr>
          <w:rFonts w:ascii="Century Gothic" w:eastAsia="Calibri" w:hAnsi="Century Gothic" w:cs="Arial"/>
          <w:bCs/>
          <w:color w:val="000000"/>
          <w:kern w:val="2"/>
          <w14:ligatures w14:val="standardContextual"/>
        </w:rPr>
        <w:t>determina</w:t>
      </w:r>
      <w:r w:rsidRPr="00A45A38">
        <w:rPr>
          <w:rFonts w:ascii="Century Gothic" w:eastAsia="Calibri" w:hAnsi="Century Gothic" w:cs="Arial"/>
          <w:bCs/>
          <w:color w:val="000000"/>
          <w:kern w:val="2"/>
          <w14:ligatures w14:val="standardContextual"/>
        </w:rPr>
        <w:t>n</w:t>
      </w:r>
      <w:r w:rsidR="002B3C8F" w:rsidRPr="00A45A38">
        <w:rPr>
          <w:rFonts w:ascii="Century Gothic" w:eastAsia="Calibri" w:hAnsi="Century Gothic" w:cs="Arial"/>
          <w:bCs/>
          <w:color w:val="000000"/>
          <w:kern w:val="2"/>
          <w14:ligatures w14:val="standardContextual"/>
        </w:rPr>
        <w:t xml:space="preserve"> el contenido de los contratos estatales </w:t>
      </w:r>
      <w:r w:rsidR="00D6560C" w:rsidRPr="00A45A38">
        <w:rPr>
          <w:rFonts w:ascii="Century Gothic" w:eastAsia="Calibri" w:hAnsi="Century Gothic" w:cs="Arial"/>
          <w:bCs/>
          <w:color w:val="000000"/>
          <w:kern w:val="2"/>
          <w14:ligatures w14:val="standardContextual"/>
        </w:rPr>
        <w:t xml:space="preserve">que suscriben y pueden </w:t>
      </w:r>
      <w:r w:rsidR="002B3C8F" w:rsidRPr="00A45A38">
        <w:rPr>
          <w:rFonts w:ascii="Century Gothic" w:eastAsia="Calibri" w:hAnsi="Century Gothic" w:cs="Arial"/>
          <w:bCs/>
          <w:color w:val="000000"/>
          <w:kern w:val="2"/>
          <w14:ligatures w14:val="standardContextual"/>
        </w:rPr>
        <w:t>incluir las condiciones, cláusulas o estipulaciones que consideren necesarias para desarrollar el objeto contractual, siempre que no sean contrarias a la Constitución Política, la ley y el orden público.</w:t>
      </w:r>
    </w:p>
    <w:p w14:paraId="12FF7EF2" w14:textId="77777777" w:rsidR="002B3C8F" w:rsidRPr="00A45A38" w:rsidRDefault="002B3C8F" w:rsidP="002B3C8F">
      <w:pPr>
        <w:spacing w:before="120" w:after="120" w:line="276" w:lineRule="auto"/>
        <w:ind w:firstLine="709"/>
        <w:jc w:val="both"/>
        <w:rPr>
          <w:rFonts w:ascii="Century Gothic" w:eastAsia="Calibri" w:hAnsi="Century Gothic" w:cs="Arial"/>
          <w:bCs/>
          <w:color w:val="000000"/>
          <w:kern w:val="2"/>
          <w14:ligatures w14:val="standardContextual"/>
        </w:rPr>
      </w:pPr>
      <w:r w:rsidRPr="00A45A38">
        <w:rPr>
          <w:rFonts w:ascii="Century Gothic" w:eastAsia="Calibri" w:hAnsi="Century Gothic" w:cs="Arial"/>
          <w:bCs/>
          <w:color w:val="000000"/>
          <w:kern w:val="2"/>
          <w14:ligatures w14:val="standardContextual"/>
        </w:rPr>
        <w:t>Los entes estatales durante la etapa de planeación, tienen el deber de realizar el análisis del sector y justificar la modalidad de contratación en los documentos del proceso, que para el caso de los procesos que impliquen una contratación directa y en lo concerniente a los contratos de prestación de servicios profesionales, de apoyo a la gestión y de trabajos artísticos, se constata en los estudios y documentos previos, los cuales deben indicar, entre otras, las condiciones mínimas exigidas para suplir la necesidad de la entidad así como los requisitos que debe acreditar el futuro contratista para el cumplimiento del objeto contractual.</w:t>
      </w:r>
    </w:p>
    <w:p w14:paraId="6EB5BC57" w14:textId="77777777" w:rsidR="002B3C8F" w:rsidRPr="00A45A38" w:rsidRDefault="002B3C8F" w:rsidP="002B3C8F">
      <w:pPr>
        <w:spacing w:before="120" w:after="120" w:line="276" w:lineRule="auto"/>
        <w:ind w:firstLine="709"/>
        <w:jc w:val="both"/>
        <w:rPr>
          <w:rFonts w:ascii="Century Gothic" w:eastAsia="Calibri" w:hAnsi="Century Gothic" w:cs="Arial"/>
          <w:bCs/>
          <w:color w:val="000000"/>
          <w:kern w:val="2"/>
          <w14:ligatures w14:val="standardContextual"/>
        </w:rPr>
      </w:pPr>
      <w:r w:rsidRPr="00A45A38">
        <w:rPr>
          <w:rFonts w:ascii="Century Gothic" w:eastAsia="Calibri" w:hAnsi="Century Gothic" w:cs="Arial"/>
          <w:bCs/>
          <w:color w:val="000000"/>
          <w:kern w:val="2"/>
          <w14:ligatures w14:val="standardContextual"/>
        </w:rPr>
        <w:t>En ese sentido, las entidades públicas determinan el monto de los honorarios de los contratos de prestación de servicios profesionales, de apoyo a la gestión y trabajos artísticos de conformidad con lo establecido en el análisis del sector y en los documentos o estudios previos. Así pues, cabe resaltar, que en la Ley 80 de 1993, Ley 1150 de 2007 y en el Decreto 1082 de 2015 no se encuentran disposiciones que establezcan la obligatoriedad de implementar tablas de honorarios o estandarizar perfiles para los contratos de prestación de servicios, pero, lo anterior, no significa que las entidades no puedan hacerlo.</w:t>
      </w:r>
    </w:p>
    <w:p w14:paraId="4D0738CF" w14:textId="0485DC92" w:rsidR="002B3C8F" w:rsidRPr="00A45A38" w:rsidRDefault="002B3C8F" w:rsidP="002B3C8F">
      <w:pPr>
        <w:spacing w:before="120" w:after="120" w:line="276" w:lineRule="auto"/>
        <w:ind w:firstLine="709"/>
        <w:jc w:val="both"/>
        <w:rPr>
          <w:rFonts w:ascii="Century Gothic" w:eastAsia="Calibri" w:hAnsi="Century Gothic" w:cs="Arial"/>
          <w:bCs/>
          <w:color w:val="000000"/>
          <w:kern w:val="2"/>
          <w14:ligatures w14:val="standardContextual"/>
        </w:rPr>
      </w:pPr>
      <w:r w:rsidRPr="00A45A38">
        <w:rPr>
          <w:rFonts w:ascii="Century Gothic" w:eastAsia="Calibri" w:hAnsi="Century Gothic" w:cs="Arial"/>
          <w:bCs/>
          <w:color w:val="000000"/>
          <w:kern w:val="2"/>
          <w14:ligatures w14:val="standardContextual"/>
        </w:rPr>
        <w:t xml:space="preserve">Ahora bien, teniendo en cuenta lo consultado por el peticionario, </w:t>
      </w:r>
      <w:r w:rsidR="008F2D5D" w:rsidRPr="00A45A38">
        <w:rPr>
          <w:rFonts w:ascii="Century Gothic" w:eastAsia="Calibri" w:hAnsi="Century Gothic" w:cs="Arial"/>
          <w:bCs/>
          <w:color w:val="000000"/>
          <w:kern w:val="2"/>
          <w14:ligatures w14:val="standardContextual"/>
        </w:rPr>
        <w:t>es importante tener en cuenta que esta Agencia recomienda</w:t>
      </w:r>
      <w:r w:rsidRPr="00A45A38">
        <w:rPr>
          <w:rFonts w:ascii="Century Gothic" w:eastAsia="Calibri" w:hAnsi="Century Gothic" w:cs="Arial"/>
          <w:bCs/>
          <w:color w:val="000000"/>
          <w:kern w:val="2"/>
          <w14:ligatures w14:val="standardContextual"/>
        </w:rPr>
        <w:t xml:space="preserve"> que </w:t>
      </w:r>
      <w:r w:rsidR="004702AD" w:rsidRPr="00A45A38">
        <w:rPr>
          <w:rFonts w:ascii="Century Gothic" w:eastAsia="Calibri" w:hAnsi="Century Gothic" w:cs="Arial"/>
          <w:bCs/>
          <w:color w:val="000000"/>
          <w:kern w:val="2"/>
          <w14:ligatures w14:val="standardContextual"/>
        </w:rPr>
        <w:t xml:space="preserve">en </w:t>
      </w:r>
      <w:r w:rsidRPr="00A45A38">
        <w:rPr>
          <w:rFonts w:ascii="Century Gothic" w:eastAsia="Calibri" w:hAnsi="Century Gothic" w:cs="Arial"/>
          <w:bCs/>
          <w:color w:val="000000"/>
          <w:kern w:val="2"/>
          <w14:ligatures w14:val="standardContextual"/>
        </w:rPr>
        <w:t xml:space="preserve">la fijación de honorarios </w:t>
      </w:r>
      <w:r w:rsidR="004702AD" w:rsidRPr="00A45A38">
        <w:rPr>
          <w:rFonts w:ascii="Century Gothic" w:eastAsia="Calibri" w:hAnsi="Century Gothic" w:cs="Arial"/>
          <w:bCs/>
          <w:color w:val="000000"/>
          <w:kern w:val="2"/>
          <w14:ligatures w14:val="standardContextual"/>
        </w:rPr>
        <w:t xml:space="preserve">se </w:t>
      </w:r>
      <w:r w:rsidRPr="00A45A38">
        <w:rPr>
          <w:rFonts w:ascii="Century Gothic" w:eastAsia="Calibri" w:hAnsi="Century Gothic" w:cs="Arial"/>
          <w:bCs/>
          <w:color w:val="000000"/>
          <w:kern w:val="2"/>
          <w14:ligatures w14:val="standardContextual"/>
        </w:rPr>
        <w:t>incluy</w:t>
      </w:r>
      <w:r w:rsidR="004702AD" w:rsidRPr="00A45A38">
        <w:rPr>
          <w:rFonts w:ascii="Century Gothic" w:eastAsia="Calibri" w:hAnsi="Century Gothic" w:cs="Arial"/>
          <w:bCs/>
          <w:color w:val="000000"/>
          <w:kern w:val="2"/>
          <w14:ligatures w14:val="standardContextual"/>
        </w:rPr>
        <w:t>a</w:t>
      </w:r>
      <w:r w:rsidRPr="00A45A38">
        <w:rPr>
          <w:rFonts w:ascii="Century Gothic" w:eastAsia="Calibri" w:hAnsi="Century Gothic" w:cs="Arial"/>
          <w:bCs/>
          <w:color w:val="000000"/>
          <w:kern w:val="2"/>
          <w14:ligatures w14:val="standardContextual"/>
        </w:rPr>
        <w:t xml:space="preserve"> impuestos</w:t>
      </w:r>
      <w:r w:rsidR="004702AD" w:rsidRPr="00A45A38">
        <w:rPr>
          <w:rFonts w:ascii="Century Gothic" w:eastAsia="Calibri" w:hAnsi="Century Gothic" w:cs="Arial"/>
          <w:bCs/>
          <w:color w:val="000000"/>
          <w:kern w:val="2"/>
          <w14:ligatures w14:val="standardContextual"/>
        </w:rPr>
        <w:t>, tasas</w:t>
      </w:r>
      <w:r w:rsidRPr="00A45A38">
        <w:rPr>
          <w:rFonts w:ascii="Century Gothic" w:eastAsia="Calibri" w:hAnsi="Century Gothic" w:cs="Arial"/>
          <w:bCs/>
          <w:color w:val="000000"/>
          <w:kern w:val="2"/>
          <w14:ligatures w14:val="standardContextual"/>
        </w:rPr>
        <w:t xml:space="preserve"> y otros costos que se generen para el contratista con ocasión de la </w:t>
      </w:r>
      <w:r w:rsidR="004702AD" w:rsidRPr="00A45A38">
        <w:rPr>
          <w:rFonts w:ascii="Century Gothic" w:eastAsia="Calibri" w:hAnsi="Century Gothic" w:cs="Arial"/>
          <w:bCs/>
          <w:color w:val="000000"/>
          <w:kern w:val="2"/>
          <w14:ligatures w14:val="standardContextual"/>
        </w:rPr>
        <w:t xml:space="preserve">celebración </w:t>
      </w:r>
      <w:r w:rsidR="00210A8F" w:rsidRPr="00A45A38">
        <w:rPr>
          <w:rFonts w:ascii="Century Gothic" w:eastAsia="Calibri" w:hAnsi="Century Gothic" w:cs="Arial"/>
          <w:bCs/>
          <w:color w:val="000000"/>
          <w:kern w:val="2"/>
          <w14:ligatures w14:val="standardContextual"/>
        </w:rPr>
        <w:t xml:space="preserve">y </w:t>
      </w:r>
      <w:r w:rsidRPr="00A45A38">
        <w:rPr>
          <w:rFonts w:ascii="Century Gothic" w:eastAsia="Calibri" w:hAnsi="Century Gothic" w:cs="Arial"/>
          <w:bCs/>
          <w:color w:val="000000"/>
          <w:kern w:val="2"/>
          <w14:ligatures w14:val="standardContextual"/>
        </w:rPr>
        <w:t>ejecución del contrato, por las siguientes razones:</w:t>
      </w:r>
    </w:p>
    <w:p w14:paraId="291B49EC" w14:textId="0DD16D11" w:rsidR="002B3C8F" w:rsidRPr="00A45A38" w:rsidRDefault="002B3C8F" w:rsidP="002B3C8F">
      <w:pPr>
        <w:spacing w:before="120" w:after="120" w:line="276" w:lineRule="auto"/>
        <w:ind w:firstLine="709"/>
        <w:jc w:val="both"/>
        <w:rPr>
          <w:rFonts w:ascii="Century Gothic" w:eastAsia="Calibri" w:hAnsi="Century Gothic" w:cs="Arial"/>
          <w:bCs/>
          <w:color w:val="000000"/>
          <w:kern w:val="2"/>
          <w14:ligatures w14:val="standardContextual"/>
        </w:rPr>
      </w:pPr>
      <w:r w:rsidRPr="00A45A38">
        <w:rPr>
          <w:rFonts w:ascii="Century Gothic" w:eastAsia="Calibri" w:hAnsi="Century Gothic" w:cs="Arial"/>
          <w:bCs/>
          <w:color w:val="000000"/>
          <w:kern w:val="2"/>
          <w14:ligatures w14:val="standardContextual"/>
        </w:rPr>
        <w:t xml:space="preserve">i) Se entiende por honorarios el pago o la retribución económica –contraprestación– efectuada en favor de quien realiza en forma independiente una actividad, en este caso, mediante un contrato de prestación de servicios, es preciso indicar que el precio o el valor que se da por el objeto del contrato, generalmente en dinero, debe ser determinado o determinable, en los términos de los artículos 1864 y 1865 del Código Civil y, de manera general, está compuesto por dos elementos esenciales, a) </w:t>
      </w:r>
      <w:r w:rsidRPr="00A45A38">
        <w:rPr>
          <w:rFonts w:ascii="Century Gothic" w:eastAsia="Calibri" w:hAnsi="Century Gothic" w:cs="Arial"/>
          <w:bCs/>
          <w:i/>
          <w:iCs/>
          <w:color w:val="000000"/>
          <w:kern w:val="2"/>
          <w14:ligatures w14:val="standardContextual"/>
        </w:rPr>
        <w:t>los costos</w:t>
      </w:r>
      <w:r w:rsidRPr="00A45A38">
        <w:rPr>
          <w:rFonts w:ascii="Century Gothic" w:eastAsia="Calibri" w:hAnsi="Century Gothic" w:cs="Arial"/>
          <w:bCs/>
          <w:color w:val="000000"/>
          <w:kern w:val="2"/>
          <w14:ligatures w14:val="standardContextual"/>
        </w:rPr>
        <w:t xml:space="preserve"> y b) </w:t>
      </w:r>
      <w:r w:rsidRPr="00A45A38">
        <w:rPr>
          <w:rFonts w:ascii="Century Gothic" w:eastAsia="Calibri" w:hAnsi="Century Gothic" w:cs="Arial"/>
          <w:bCs/>
          <w:i/>
          <w:iCs/>
          <w:color w:val="000000"/>
          <w:kern w:val="2"/>
          <w14:ligatures w14:val="standardContextual"/>
        </w:rPr>
        <w:t>la utilidad</w:t>
      </w:r>
      <w:r w:rsidRPr="00A45A38">
        <w:rPr>
          <w:rFonts w:ascii="Century Gothic" w:eastAsia="Calibri" w:hAnsi="Century Gothic" w:cs="Arial"/>
          <w:bCs/>
          <w:color w:val="000000"/>
          <w:kern w:val="2"/>
          <w14:ligatures w14:val="standardContextual"/>
        </w:rPr>
        <w:t xml:space="preserve">, cuya estructuración interna depende de las condiciones técnicas, financieras, regulatorias, etc. de cada </w:t>
      </w:r>
      <w:r w:rsidRPr="00A45A38">
        <w:rPr>
          <w:rFonts w:ascii="Century Gothic" w:eastAsia="Calibri" w:hAnsi="Century Gothic" w:cs="Arial"/>
          <w:bCs/>
          <w:color w:val="000000"/>
          <w:kern w:val="2"/>
          <w14:ligatures w14:val="standardContextual"/>
        </w:rPr>
        <w:lastRenderedPageBreak/>
        <w:t>contrato. Por tanto, se puede afirmar que el precio, contraprestación o remuneración es el total del valor que paga el comprador por un bien o servicio, y eso incluye impuestos</w:t>
      </w:r>
      <w:r w:rsidR="00210A8F" w:rsidRPr="00A45A38">
        <w:rPr>
          <w:rFonts w:ascii="Century Gothic" w:eastAsia="Calibri" w:hAnsi="Century Gothic" w:cs="Arial"/>
          <w:bCs/>
          <w:color w:val="000000"/>
          <w:kern w:val="2"/>
          <w14:ligatures w14:val="standardContextual"/>
        </w:rPr>
        <w:t xml:space="preserve">, tasas o cualquier otro </w:t>
      </w:r>
      <w:r w:rsidR="008E4DF8" w:rsidRPr="00A45A38">
        <w:rPr>
          <w:rFonts w:ascii="Century Gothic" w:eastAsia="Calibri" w:hAnsi="Century Gothic" w:cs="Arial"/>
          <w:bCs/>
          <w:color w:val="000000"/>
          <w:kern w:val="2"/>
          <w14:ligatures w14:val="standardContextual"/>
        </w:rPr>
        <w:t>tributo que deba incurrir el contratista por la celebración o ejecución del contrato estatal</w:t>
      </w:r>
      <w:r w:rsidRPr="00A45A38">
        <w:rPr>
          <w:rFonts w:ascii="Century Gothic" w:eastAsia="Calibri" w:hAnsi="Century Gothic" w:cs="Arial"/>
          <w:bCs/>
          <w:color w:val="000000"/>
          <w:kern w:val="2"/>
          <w14:ligatures w14:val="standardContextual"/>
        </w:rPr>
        <w:t>.</w:t>
      </w:r>
    </w:p>
    <w:p w14:paraId="16EFABB8" w14:textId="6A9AB3B1" w:rsidR="002B3C8F" w:rsidRPr="00A45A38" w:rsidRDefault="002B3C8F" w:rsidP="002B3C8F">
      <w:pPr>
        <w:spacing w:before="120" w:after="120" w:line="276" w:lineRule="auto"/>
        <w:ind w:firstLine="709"/>
        <w:jc w:val="both"/>
        <w:rPr>
          <w:rFonts w:ascii="Century Gothic" w:eastAsia="Calibri" w:hAnsi="Century Gothic" w:cs="Arial"/>
          <w:bCs/>
          <w:color w:val="000000"/>
          <w:kern w:val="2"/>
          <w14:ligatures w14:val="standardContextual"/>
        </w:rPr>
      </w:pPr>
      <w:r w:rsidRPr="00A45A38">
        <w:rPr>
          <w:rFonts w:ascii="Century Gothic" w:eastAsia="Calibri" w:hAnsi="Century Gothic" w:cs="Arial"/>
          <w:bCs/>
          <w:color w:val="000000"/>
          <w:kern w:val="2"/>
          <w14:ligatures w14:val="standardContextual"/>
        </w:rPr>
        <w:t xml:space="preserve">ii) La ejecución de un contrato de prestación de servicios puede involucrar múltiples tributos –impuestos (v. gr. Renta, IVA, ICA), tasas y contribuciones– para las partes del contrato, de ahí que, la Entidad Estatal al establecer el valor del contrato debe incluir </w:t>
      </w:r>
      <w:r w:rsidR="001D43B9" w:rsidRPr="00A45A38">
        <w:rPr>
          <w:rFonts w:ascii="Century Gothic" w:eastAsia="Calibri" w:hAnsi="Century Gothic" w:cs="Arial"/>
          <w:bCs/>
          <w:color w:val="000000"/>
          <w:kern w:val="2"/>
          <w14:ligatures w14:val="standardContextual"/>
        </w:rPr>
        <w:t>estos valores,</w:t>
      </w:r>
      <w:r w:rsidRPr="00A45A38">
        <w:rPr>
          <w:rFonts w:ascii="Century Gothic" w:eastAsia="Calibri" w:hAnsi="Century Gothic" w:cs="Arial"/>
          <w:bCs/>
          <w:color w:val="000000"/>
          <w:kern w:val="2"/>
          <w14:ligatures w14:val="standardContextual"/>
        </w:rPr>
        <w:t xml:space="preserve"> siempre que las actividades derivadas de su ejecución o </w:t>
      </w:r>
      <w:r w:rsidR="001D43B9" w:rsidRPr="00A45A38">
        <w:rPr>
          <w:rFonts w:ascii="Century Gothic" w:eastAsia="Calibri" w:hAnsi="Century Gothic" w:cs="Arial"/>
          <w:bCs/>
          <w:color w:val="000000"/>
          <w:kern w:val="2"/>
          <w14:ligatures w14:val="standardContextual"/>
        </w:rPr>
        <w:t>celebración del contrato</w:t>
      </w:r>
      <w:r w:rsidRPr="00A45A38">
        <w:rPr>
          <w:rFonts w:ascii="Century Gothic" w:eastAsia="Calibri" w:hAnsi="Century Gothic" w:cs="Arial"/>
          <w:bCs/>
          <w:color w:val="000000"/>
          <w:kern w:val="2"/>
          <w14:ligatures w14:val="standardContextual"/>
        </w:rPr>
        <w:t xml:space="preserve"> de</w:t>
      </w:r>
      <w:r w:rsidR="001D43B9" w:rsidRPr="00A45A38">
        <w:rPr>
          <w:rFonts w:ascii="Century Gothic" w:eastAsia="Calibri" w:hAnsi="Century Gothic" w:cs="Arial"/>
          <w:bCs/>
          <w:color w:val="000000"/>
          <w:kern w:val="2"/>
          <w14:ligatures w14:val="standardContextual"/>
        </w:rPr>
        <w:t>n lugar a un hecho generador de estos conceptos tributarios, de</w:t>
      </w:r>
      <w:r w:rsidRPr="00A45A38">
        <w:rPr>
          <w:rFonts w:ascii="Century Gothic" w:eastAsia="Calibri" w:hAnsi="Century Gothic" w:cs="Arial"/>
          <w:bCs/>
          <w:color w:val="000000"/>
          <w:kern w:val="2"/>
          <w14:ligatures w14:val="standardContextual"/>
        </w:rPr>
        <w:t xml:space="preserve"> lo contrario no debe incluirlo.</w:t>
      </w:r>
    </w:p>
    <w:p w14:paraId="039B622D" w14:textId="77777777" w:rsidR="002B3C8F" w:rsidRPr="00A45A38" w:rsidRDefault="002B3C8F" w:rsidP="002B3C8F">
      <w:pPr>
        <w:spacing w:before="120" w:after="120" w:line="276" w:lineRule="auto"/>
        <w:ind w:firstLine="709"/>
        <w:jc w:val="both"/>
        <w:rPr>
          <w:rFonts w:ascii="Century Gothic" w:eastAsia="Calibri" w:hAnsi="Century Gothic" w:cs="Arial"/>
          <w:bCs/>
          <w:color w:val="000000"/>
          <w:kern w:val="2"/>
          <w14:ligatures w14:val="standardContextual"/>
        </w:rPr>
      </w:pPr>
      <w:r w:rsidRPr="00A45A38">
        <w:rPr>
          <w:rFonts w:ascii="Century Gothic" w:eastAsia="Calibri" w:hAnsi="Century Gothic" w:cs="Arial"/>
          <w:bCs/>
          <w:color w:val="000000"/>
          <w:kern w:val="2"/>
          <w14:ligatures w14:val="standardContextual"/>
        </w:rPr>
        <w:t>iii) De conformidad con la noción de honorarios establecido en el Diccionario de la Lengua Española –DEL–, que es concepto utilizado en las limitaciones analizadas, este término se define como: “5. m. pl. Importe de los servicios de algunas profesiones liberales”, adicionalmente, la palabra importe se define como: “1. m. Cuantía de un precio, crédito, deuda o saldo “.</w:t>
      </w:r>
    </w:p>
    <w:p w14:paraId="7B1211E4" w14:textId="73D70A9D" w:rsidR="002B3C8F" w:rsidRPr="00A45A38" w:rsidRDefault="002B3C8F" w:rsidP="002B3C8F">
      <w:pPr>
        <w:spacing w:before="120" w:after="120" w:line="276" w:lineRule="auto"/>
        <w:ind w:firstLine="709"/>
        <w:jc w:val="both"/>
        <w:rPr>
          <w:rFonts w:ascii="Century Gothic" w:eastAsia="Calibri" w:hAnsi="Century Gothic" w:cs="Arial"/>
          <w:bCs/>
          <w:color w:val="000000"/>
          <w:kern w:val="2"/>
          <w14:ligatures w14:val="standardContextual"/>
        </w:rPr>
      </w:pPr>
      <w:r w:rsidRPr="00A45A38">
        <w:rPr>
          <w:rFonts w:ascii="Century Gothic" w:eastAsia="Calibri" w:hAnsi="Century Gothic" w:cs="Arial"/>
          <w:bCs/>
          <w:color w:val="000000"/>
          <w:kern w:val="2"/>
          <w14:ligatures w14:val="standardContextual"/>
        </w:rPr>
        <w:t xml:space="preserve">Corolario de lo anterior, debe entenderse entonces, </w:t>
      </w:r>
      <w:r w:rsidR="00A5509F" w:rsidRPr="00A45A38">
        <w:rPr>
          <w:rFonts w:ascii="Century Gothic" w:eastAsia="Calibri" w:hAnsi="Century Gothic" w:cs="Arial"/>
          <w:bCs/>
          <w:color w:val="000000"/>
          <w:kern w:val="2"/>
          <w14:ligatures w14:val="standardContextual"/>
        </w:rPr>
        <w:t>que,</w:t>
      </w:r>
      <w:r w:rsidRPr="00A45A38">
        <w:rPr>
          <w:rFonts w:ascii="Century Gothic" w:eastAsia="Calibri" w:hAnsi="Century Gothic" w:cs="Arial"/>
          <w:bCs/>
          <w:color w:val="000000"/>
          <w:kern w:val="2"/>
          <w14:ligatures w14:val="standardContextual"/>
        </w:rPr>
        <w:t xml:space="preserve"> dentro del valor de los honorarios fijados en los contratos de prestación de servicios sin distinción de su especie, están incluidos los costos</w:t>
      </w:r>
      <w:r w:rsidR="00A5509F" w:rsidRPr="00A45A38">
        <w:rPr>
          <w:rFonts w:ascii="Century Gothic" w:eastAsia="Calibri" w:hAnsi="Century Gothic" w:cs="Arial"/>
          <w:bCs/>
          <w:color w:val="000000"/>
          <w:kern w:val="2"/>
          <w14:ligatures w14:val="standardContextual"/>
        </w:rPr>
        <w:t xml:space="preserve">, impuestos, tasas o contribuciones </w:t>
      </w:r>
      <w:r w:rsidRPr="00A45A38">
        <w:rPr>
          <w:rFonts w:ascii="Century Gothic" w:eastAsia="Calibri" w:hAnsi="Century Gothic" w:cs="Arial"/>
          <w:bCs/>
          <w:color w:val="000000"/>
          <w:kern w:val="2"/>
          <w14:ligatures w14:val="standardContextual"/>
        </w:rPr>
        <w:t xml:space="preserve">generados con ocasión </w:t>
      </w:r>
      <w:r w:rsidR="00A5509F" w:rsidRPr="00A45A38">
        <w:rPr>
          <w:rFonts w:ascii="Century Gothic" w:eastAsia="Calibri" w:hAnsi="Century Gothic" w:cs="Arial"/>
          <w:bCs/>
          <w:color w:val="000000"/>
          <w:kern w:val="2"/>
          <w14:ligatures w14:val="standardContextual"/>
        </w:rPr>
        <w:t xml:space="preserve">de la celebración o </w:t>
      </w:r>
      <w:r w:rsidRPr="00A45A38">
        <w:rPr>
          <w:rFonts w:ascii="Century Gothic" w:eastAsia="Calibri" w:hAnsi="Century Gothic" w:cs="Arial"/>
          <w:bCs/>
          <w:color w:val="000000"/>
          <w:kern w:val="2"/>
          <w14:ligatures w14:val="standardContextual"/>
        </w:rPr>
        <w:t>ejecución del contrato, por hacer parte del precio.</w:t>
      </w:r>
    </w:p>
    <w:p w14:paraId="1A1C9C34" w14:textId="2E99ACA6" w:rsidR="002B3C8F" w:rsidRPr="00A45A38" w:rsidRDefault="002B3C8F" w:rsidP="002B3C8F">
      <w:pPr>
        <w:spacing w:line="276" w:lineRule="auto"/>
        <w:jc w:val="both"/>
        <w:rPr>
          <w:rFonts w:ascii="Century Gothic" w:eastAsia="Calibri" w:hAnsi="Century Gothic" w:cs="Arial"/>
          <w:b/>
          <w:bCs/>
        </w:rPr>
      </w:pPr>
      <w:r w:rsidRPr="00A45A38">
        <w:rPr>
          <w:rStyle w:val="normaltextrun"/>
          <w:rFonts w:ascii="Century Gothic" w:hAnsi="Century Gothic" w:cs="Arial"/>
          <w:b/>
          <w:bCs/>
          <w:lang w:val="es-ES"/>
        </w:rPr>
        <w:t>2.5. Noción general sobre estampillas cuyo hecho generador sea la celebración de contratos estatales</w:t>
      </w:r>
    </w:p>
    <w:p w14:paraId="5E536ED5" w14:textId="57267312" w:rsidR="006E7889" w:rsidRPr="00A45A38" w:rsidRDefault="00CF5891" w:rsidP="00CF5891">
      <w:pPr>
        <w:spacing w:after="120" w:line="276" w:lineRule="auto"/>
        <w:jc w:val="both"/>
        <w:rPr>
          <w:rFonts w:ascii="Century Gothic" w:hAnsi="Century Gothic" w:cs="Arial"/>
        </w:rPr>
      </w:pPr>
      <w:r w:rsidRPr="00A45A38">
        <w:rPr>
          <w:rFonts w:ascii="Century Gothic" w:hAnsi="Century Gothic" w:cs="Arial"/>
        </w:rPr>
        <w:t xml:space="preserve">La incorporación en nuestro ordenamiento jurídico de </w:t>
      </w:r>
      <w:r w:rsidR="00AD5941" w:rsidRPr="00A45A38">
        <w:rPr>
          <w:rFonts w:ascii="Century Gothic" w:hAnsi="Century Gothic" w:cs="Arial"/>
        </w:rPr>
        <w:t>las denominadas “</w:t>
      </w:r>
      <w:r w:rsidRPr="00A45A38">
        <w:rPr>
          <w:rFonts w:ascii="Century Gothic" w:hAnsi="Century Gothic" w:cs="Arial"/>
        </w:rPr>
        <w:t>estampillas</w:t>
      </w:r>
      <w:r w:rsidR="00AD5941" w:rsidRPr="00A45A38">
        <w:rPr>
          <w:rFonts w:ascii="Century Gothic" w:hAnsi="Century Gothic" w:cs="Arial"/>
        </w:rPr>
        <w:t>”</w:t>
      </w:r>
      <w:r w:rsidRPr="00A45A38">
        <w:rPr>
          <w:rFonts w:ascii="Century Gothic" w:hAnsi="Century Gothic" w:cs="Arial"/>
        </w:rPr>
        <w:t xml:space="preserve"> tan </w:t>
      </w:r>
      <w:r w:rsidR="00AD5941" w:rsidRPr="00A45A38">
        <w:rPr>
          <w:rFonts w:ascii="Century Gothic" w:hAnsi="Century Gothic" w:cs="Arial"/>
        </w:rPr>
        <w:t xml:space="preserve">sólo puede darse por disposición legal </w:t>
      </w:r>
      <w:r w:rsidR="006E7889" w:rsidRPr="00A45A38">
        <w:rPr>
          <w:rFonts w:ascii="Century Gothic" w:hAnsi="Century Gothic" w:cs="Arial"/>
        </w:rPr>
        <w:t xml:space="preserve">o por </w:t>
      </w:r>
      <w:r w:rsidR="00AD5941" w:rsidRPr="00A45A38">
        <w:rPr>
          <w:rFonts w:ascii="Century Gothic" w:hAnsi="Century Gothic" w:cs="Arial"/>
        </w:rPr>
        <w:t xml:space="preserve">disposición expresa de </w:t>
      </w:r>
      <w:r w:rsidR="006E7889" w:rsidRPr="00A45A38">
        <w:rPr>
          <w:rFonts w:ascii="Century Gothic" w:hAnsi="Century Gothic" w:cs="Arial"/>
        </w:rPr>
        <w:t xml:space="preserve">ordenanzas departamentales o acuerdos distritales o municipales, </w:t>
      </w:r>
      <w:r w:rsidR="00AD5941" w:rsidRPr="00A45A38">
        <w:rPr>
          <w:rFonts w:ascii="Century Gothic" w:hAnsi="Century Gothic" w:cs="Arial"/>
        </w:rPr>
        <w:t xml:space="preserve">en las que se debe indicar a detalle las condiciones de su </w:t>
      </w:r>
      <w:r w:rsidR="006E7889" w:rsidRPr="00A45A38">
        <w:rPr>
          <w:rFonts w:ascii="Century Gothic" w:hAnsi="Century Gothic" w:cs="Arial"/>
        </w:rPr>
        <w:t>emisión o pago o adherencia</w:t>
      </w:r>
      <w:r w:rsidR="00AD5941" w:rsidRPr="00A45A38">
        <w:rPr>
          <w:rFonts w:ascii="Century Gothic" w:hAnsi="Century Gothic" w:cs="Arial"/>
        </w:rPr>
        <w:t xml:space="preserve">, y si dicha </w:t>
      </w:r>
      <w:r w:rsidR="006E7889" w:rsidRPr="00A45A38">
        <w:rPr>
          <w:rFonts w:ascii="Century Gothic" w:hAnsi="Century Gothic" w:cs="Arial"/>
        </w:rPr>
        <w:t xml:space="preserve">estampilla, </w:t>
      </w:r>
      <w:r w:rsidR="00AD5941" w:rsidRPr="00A45A38">
        <w:rPr>
          <w:rFonts w:ascii="Century Gothic" w:hAnsi="Century Gothic" w:cs="Arial"/>
        </w:rPr>
        <w:t xml:space="preserve">se concibe </w:t>
      </w:r>
      <w:r w:rsidR="006E7889" w:rsidRPr="00A45A38">
        <w:rPr>
          <w:rFonts w:ascii="Century Gothic" w:hAnsi="Century Gothic" w:cs="Arial"/>
        </w:rPr>
        <w:t xml:space="preserve">como </w:t>
      </w:r>
      <w:r w:rsidR="00AD5941" w:rsidRPr="00A45A38">
        <w:rPr>
          <w:rFonts w:ascii="Century Gothic" w:hAnsi="Century Gothic" w:cs="Arial"/>
        </w:rPr>
        <w:t xml:space="preserve">una </w:t>
      </w:r>
      <w:r w:rsidR="006E7889" w:rsidRPr="00A45A38">
        <w:rPr>
          <w:rFonts w:ascii="Century Gothic" w:hAnsi="Century Gothic" w:cs="Arial"/>
        </w:rPr>
        <w:t>tasa parafiscal</w:t>
      </w:r>
      <w:r w:rsidR="006E7889" w:rsidRPr="00A45A38">
        <w:rPr>
          <w:rStyle w:val="Refdenotaalpie"/>
          <w:rFonts w:ascii="Century Gothic" w:hAnsi="Century Gothic" w:cs="Arial"/>
        </w:rPr>
        <w:footnoteReference w:id="22"/>
      </w:r>
      <w:r w:rsidR="006E7889" w:rsidRPr="00A45A38">
        <w:rPr>
          <w:rFonts w:ascii="Century Gothic" w:hAnsi="Century Gothic" w:cs="Arial"/>
        </w:rPr>
        <w:t xml:space="preserve">, o como impuesto con </w:t>
      </w:r>
      <w:r w:rsidR="006E7889" w:rsidRPr="00A45A38">
        <w:rPr>
          <w:rFonts w:ascii="Century Gothic" w:hAnsi="Century Gothic" w:cs="Arial"/>
        </w:rPr>
        <w:lastRenderedPageBreak/>
        <w:t>destinación específica</w:t>
      </w:r>
      <w:r w:rsidR="006E7889" w:rsidRPr="00A45A38">
        <w:rPr>
          <w:rStyle w:val="Refdenotaalpie"/>
          <w:rFonts w:ascii="Century Gothic" w:hAnsi="Century Gothic" w:cs="Arial"/>
        </w:rPr>
        <w:footnoteReference w:id="23"/>
      </w:r>
      <w:r w:rsidR="006E7889" w:rsidRPr="00A45A38">
        <w:rPr>
          <w:rFonts w:ascii="Century Gothic" w:hAnsi="Century Gothic" w:cs="Arial"/>
        </w:rPr>
        <w:t xml:space="preserve">. Sobre el tema, es importante indicar que tanto la naturaleza de cada estampilla, como las condiciones que se deben tener en cuenta para su recaudo, así como su causación y objetivos pueden diferir en función de las decisiones que en su configuración adoptó el Legislador y, de manera complementaria, de aquellas que aprueben </w:t>
      </w:r>
      <w:r w:rsidR="007B0B3C" w:rsidRPr="00A45A38">
        <w:rPr>
          <w:rFonts w:ascii="Century Gothic" w:hAnsi="Century Gothic" w:cs="Arial"/>
        </w:rPr>
        <w:t>los órganos colegiados de las</w:t>
      </w:r>
      <w:r w:rsidR="006E7889" w:rsidRPr="00A45A38">
        <w:rPr>
          <w:rFonts w:ascii="Century Gothic" w:hAnsi="Century Gothic" w:cs="Arial"/>
        </w:rPr>
        <w:t xml:space="preserve"> autoridades territoriales en ejercicio de sus competencias en la estructuración de cuerpos normativos que contienen política fiscal. </w:t>
      </w:r>
    </w:p>
    <w:p w14:paraId="1AE5974E" w14:textId="0F817E79" w:rsidR="007441D7" w:rsidRPr="00403896" w:rsidRDefault="006E7889" w:rsidP="006E7889">
      <w:pPr>
        <w:spacing w:after="120" w:line="276" w:lineRule="auto"/>
        <w:ind w:firstLine="720"/>
        <w:jc w:val="both"/>
        <w:rPr>
          <w:rFonts w:ascii="Century Gothic" w:hAnsi="Century Gothic" w:cs="Arial"/>
        </w:rPr>
      </w:pPr>
      <w:r w:rsidRPr="00403896">
        <w:rPr>
          <w:rFonts w:ascii="Century Gothic" w:hAnsi="Century Gothic" w:cs="Arial"/>
        </w:rPr>
        <w:t xml:space="preserve">En ese orden de ideas, cuando en su pregunta solicita </w:t>
      </w:r>
      <w:r w:rsidR="00602D16" w:rsidRPr="00403896">
        <w:rPr>
          <w:rFonts w:ascii="Century Gothic" w:hAnsi="Century Gothic" w:cs="Arial"/>
        </w:rPr>
        <w:t xml:space="preserve">a la Agencia analizar la procedencia y aplicación de </w:t>
      </w:r>
      <w:r w:rsidR="00202914" w:rsidRPr="00403896">
        <w:rPr>
          <w:rFonts w:ascii="Century Gothic" w:hAnsi="Century Gothic" w:cs="Arial"/>
        </w:rPr>
        <w:t>la estampilla prevista en el artículo 23 de la Ley 2126 de 2021</w:t>
      </w:r>
      <w:r w:rsidR="00602D16" w:rsidRPr="00403896">
        <w:rPr>
          <w:rFonts w:ascii="Century Gothic" w:hAnsi="Century Gothic" w:cs="Arial"/>
        </w:rPr>
        <w:t xml:space="preserve">, cuyo hecho generador </w:t>
      </w:r>
      <w:r w:rsidR="00F51292" w:rsidRPr="00403896">
        <w:rPr>
          <w:rFonts w:ascii="Century Gothic" w:hAnsi="Century Gothic" w:cs="Arial"/>
        </w:rPr>
        <w:t xml:space="preserve">está constituido por los contratos y las adiciones a los mismos, suscritos, con las entidades que conforman el presupuesto anual del Departamento, Municipio y Distrito, esta </w:t>
      </w:r>
      <w:r w:rsidRPr="00403896">
        <w:rPr>
          <w:rFonts w:ascii="Century Gothic" w:hAnsi="Century Gothic" w:cs="Arial"/>
        </w:rPr>
        <w:t xml:space="preserve">Subdirección encuentra pertinente indicar </w:t>
      </w:r>
      <w:r w:rsidR="007441D7" w:rsidRPr="00403896">
        <w:rPr>
          <w:rFonts w:ascii="Century Gothic" w:hAnsi="Century Gothic" w:cs="Arial"/>
        </w:rPr>
        <w:t>que,</w:t>
      </w:r>
      <w:r w:rsidRPr="00403896">
        <w:rPr>
          <w:rFonts w:ascii="Century Gothic" w:hAnsi="Century Gothic" w:cs="Arial"/>
        </w:rPr>
        <w:t xml:space="preserve"> bajo nuestra perspectiva interpretativa, </w:t>
      </w:r>
      <w:r w:rsidR="007441D7" w:rsidRPr="00403896">
        <w:rPr>
          <w:rFonts w:ascii="Century Gothic" w:hAnsi="Century Gothic" w:cs="Arial"/>
        </w:rPr>
        <w:t xml:space="preserve">se está refiriendo a todos los contratos estatales suscritos por dichas entidades. </w:t>
      </w:r>
      <w:r w:rsidR="00202914" w:rsidRPr="00403896">
        <w:rPr>
          <w:rFonts w:ascii="Century Gothic" w:hAnsi="Century Gothic" w:cs="Arial"/>
        </w:rPr>
        <w:t>Ahora bien</w:t>
      </w:r>
      <w:r w:rsidR="00C32214" w:rsidRPr="00403896">
        <w:rPr>
          <w:rFonts w:ascii="Century Gothic" w:hAnsi="Century Gothic" w:cs="Arial"/>
        </w:rPr>
        <w:t>,</w:t>
      </w:r>
      <w:r w:rsidR="00202914" w:rsidRPr="00403896">
        <w:rPr>
          <w:rFonts w:ascii="Century Gothic" w:hAnsi="Century Gothic" w:cs="Arial"/>
        </w:rPr>
        <w:t xml:space="preserve"> la norma bajo estudio</w:t>
      </w:r>
      <w:r w:rsidR="00C32214" w:rsidRPr="00403896">
        <w:rPr>
          <w:rFonts w:ascii="Century Gothic" w:hAnsi="Century Gothic" w:cs="Arial"/>
        </w:rPr>
        <w:t xml:space="preserve"> </w:t>
      </w:r>
      <w:r w:rsidR="00202914" w:rsidRPr="00403896">
        <w:rPr>
          <w:rFonts w:ascii="Century Gothic" w:hAnsi="Century Gothic" w:cs="Arial"/>
        </w:rPr>
        <w:t xml:space="preserve">contempló en </w:t>
      </w:r>
      <w:r w:rsidR="00C32214" w:rsidRPr="00403896">
        <w:rPr>
          <w:rFonts w:ascii="Century Gothic" w:hAnsi="Century Gothic" w:cs="Arial"/>
        </w:rPr>
        <w:t xml:space="preserve">su parágrafo que estarían excluidos de dicha tasa los </w:t>
      </w:r>
      <w:r w:rsidR="00202914" w:rsidRPr="00403896">
        <w:rPr>
          <w:rFonts w:ascii="Century Gothic" w:eastAsia="Calibri" w:hAnsi="Century Gothic" w:cs="Arial"/>
        </w:rPr>
        <w:t>contratos de prestación de servicios cuyo pago de honorarios mensual sea inferior a diez (10) SMLMV.</w:t>
      </w:r>
    </w:p>
    <w:p w14:paraId="47F2E739" w14:textId="38C44902" w:rsidR="007441D7" w:rsidRPr="00D74836" w:rsidRDefault="00C32214" w:rsidP="006E7889">
      <w:pPr>
        <w:spacing w:after="120" w:line="276" w:lineRule="auto"/>
        <w:ind w:firstLine="720"/>
        <w:jc w:val="both"/>
        <w:rPr>
          <w:rFonts w:ascii="Century Gothic" w:hAnsi="Century Gothic" w:cs="Arial"/>
          <w:i/>
        </w:rPr>
      </w:pPr>
      <w:r w:rsidRPr="00A45A38">
        <w:rPr>
          <w:rFonts w:ascii="Century Gothic" w:hAnsi="Century Gothic" w:cs="Arial"/>
        </w:rPr>
        <w:t xml:space="preserve">En ese contexto la norma es clara y no hace distinción alguna </w:t>
      </w:r>
      <w:r w:rsidR="005A560C" w:rsidRPr="00A45A38">
        <w:rPr>
          <w:rFonts w:ascii="Century Gothic" w:hAnsi="Century Gothic" w:cs="Arial"/>
        </w:rPr>
        <w:t xml:space="preserve">de las especies de los contratos de prestación de servicios suscritos por las entidades estatales a los </w:t>
      </w:r>
      <w:r w:rsidR="0056325A" w:rsidRPr="00A45A38">
        <w:rPr>
          <w:rFonts w:ascii="Century Gothic" w:hAnsi="Century Gothic" w:cs="Arial"/>
        </w:rPr>
        <w:t>c</w:t>
      </w:r>
      <w:r w:rsidR="005A560C" w:rsidRPr="00A45A38">
        <w:rPr>
          <w:rFonts w:ascii="Century Gothic" w:hAnsi="Century Gothic" w:cs="Arial"/>
        </w:rPr>
        <w:t xml:space="preserve">uales se les aplicaría </w:t>
      </w:r>
      <w:r w:rsidRPr="00A45A38">
        <w:rPr>
          <w:rFonts w:ascii="Century Gothic" w:hAnsi="Century Gothic" w:cs="Arial"/>
        </w:rPr>
        <w:t>esta ex</w:t>
      </w:r>
      <w:r w:rsidR="005A560C" w:rsidRPr="00A45A38">
        <w:rPr>
          <w:rFonts w:ascii="Century Gothic" w:hAnsi="Century Gothic" w:cs="Arial"/>
        </w:rPr>
        <w:t>clusión</w:t>
      </w:r>
      <w:r w:rsidR="009007C6" w:rsidRPr="00A45A38">
        <w:rPr>
          <w:rFonts w:ascii="Century Gothic" w:hAnsi="Century Gothic" w:cs="Arial"/>
        </w:rPr>
        <w:t xml:space="preserve">, por lo cual no es necesario generar ninguna </w:t>
      </w:r>
      <w:r w:rsidR="00494B11">
        <w:rPr>
          <w:rFonts w:ascii="Century Gothic" w:hAnsi="Century Gothic" w:cs="Arial"/>
        </w:rPr>
        <w:t>distinción entre contratos prestación de servicios profesionales, o de apoyo a la gestión o de servicios artísticos</w:t>
      </w:r>
      <w:r w:rsidR="00D74836">
        <w:rPr>
          <w:rFonts w:ascii="Century Gothic" w:hAnsi="Century Gothic" w:cs="Arial"/>
        </w:rPr>
        <w:t xml:space="preserve"> como </w:t>
      </w:r>
      <w:r w:rsidR="009007C6" w:rsidRPr="00A45A38">
        <w:rPr>
          <w:rFonts w:ascii="Century Gothic" w:hAnsi="Century Gothic" w:cs="Arial"/>
        </w:rPr>
        <w:t xml:space="preserve">interpretación adicional, puesto que cuando </w:t>
      </w:r>
      <w:r w:rsidR="000E078B" w:rsidRPr="00A45A38">
        <w:rPr>
          <w:rFonts w:ascii="Century Gothic" w:hAnsi="Century Gothic" w:cs="Arial"/>
        </w:rPr>
        <w:t>l</w:t>
      </w:r>
      <w:r w:rsidR="000E078B" w:rsidRPr="00A45A38">
        <w:rPr>
          <w:rFonts w:ascii="Century Gothic" w:hAnsi="Century Gothic"/>
        </w:rPr>
        <w:t xml:space="preserve">a </w:t>
      </w:r>
      <w:r w:rsidR="000E078B" w:rsidRPr="00D74836">
        <w:rPr>
          <w:rStyle w:val="nfasis"/>
          <w:rFonts w:ascii="Century Gothic" w:hAnsi="Century Gothic"/>
          <w:i w:val="0"/>
          <w:iCs w:val="0"/>
        </w:rPr>
        <w:t>ley</w:t>
      </w:r>
      <w:r w:rsidR="00D74836" w:rsidRPr="00D74836">
        <w:rPr>
          <w:rStyle w:val="nfasis"/>
          <w:rFonts w:ascii="Century Gothic" w:hAnsi="Century Gothic"/>
          <w:i w:val="0"/>
          <w:iCs w:val="0"/>
        </w:rPr>
        <w:t xml:space="preserve"> es</w:t>
      </w:r>
      <w:r w:rsidR="000E078B" w:rsidRPr="00D74836">
        <w:rPr>
          <w:rStyle w:val="nfasis"/>
          <w:rFonts w:ascii="Century Gothic" w:hAnsi="Century Gothic"/>
          <w:i w:val="0"/>
          <w:iCs w:val="0"/>
        </w:rPr>
        <w:t xml:space="preserve"> clara</w:t>
      </w:r>
      <w:r w:rsidR="000E078B" w:rsidRPr="00A45A38">
        <w:rPr>
          <w:rFonts w:ascii="Century Gothic" w:hAnsi="Century Gothic"/>
        </w:rPr>
        <w:t xml:space="preserve"> no necesita ser interpretada – </w:t>
      </w:r>
      <w:r w:rsidR="000E078B" w:rsidRPr="00A45A38">
        <w:rPr>
          <w:rFonts w:ascii="Century Gothic" w:hAnsi="Century Gothic"/>
          <w:i/>
          <w:iCs/>
        </w:rPr>
        <w:t>in claris non fit interpretatio</w:t>
      </w:r>
      <w:r w:rsidR="000E078B" w:rsidRPr="00A45A38">
        <w:rPr>
          <w:rFonts w:ascii="Century Gothic" w:hAnsi="Century Gothic"/>
        </w:rPr>
        <w:t>.</w:t>
      </w:r>
      <w:r w:rsidR="000E0A56" w:rsidRPr="00A45A38">
        <w:rPr>
          <w:rFonts w:ascii="Century Gothic" w:hAnsi="Century Gothic"/>
        </w:rPr>
        <w:t xml:space="preserve"> Aunado a ello, no es procedente realizar alguna distinción del hecho </w:t>
      </w:r>
      <w:r w:rsidR="00D74836" w:rsidRPr="00A45A38">
        <w:rPr>
          <w:rFonts w:ascii="Century Gothic" w:hAnsi="Century Gothic"/>
        </w:rPr>
        <w:t>generado</w:t>
      </w:r>
      <w:r w:rsidR="00D74836">
        <w:rPr>
          <w:rFonts w:ascii="Century Gothic" w:hAnsi="Century Gothic"/>
        </w:rPr>
        <w:t>r</w:t>
      </w:r>
      <w:r w:rsidR="000E0A56" w:rsidRPr="00A45A38">
        <w:rPr>
          <w:rFonts w:ascii="Century Gothic" w:hAnsi="Century Gothic"/>
        </w:rPr>
        <w:t xml:space="preserve"> de esta estampilla </w:t>
      </w:r>
      <w:r w:rsidR="00D74836">
        <w:rPr>
          <w:rFonts w:ascii="Century Gothic" w:hAnsi="Century Gothic"/>
        </w:rPr>
        <w:t>en relación con los</w:t>
      </w:r>
      <w:r w:rsidR="000E0A56" w:rsidRPr="00A45A38">
        <w:rPr>
          <w:rFonts w:ascii="Century Gothic" w:hAnsi="Century Gothic"/>
        </w:rPr>
        <w:t xml:space="preserve"> contratos de prestación de servicios </w:t>
      </w:r>
      <w:r w:rsidR="00D74836">
        <w:rPr>
          <w:rFonts w:ascii="Century Gothic" w:hAnsi="Century Gothic"/>
        </w:rPr>
        <w:t>que lleguen a celebrar las</w:t>
      </w:r>
      <w:r w:rsidR="000E0A56" w:rsidRPr="00A45A38">
        <w:rPr>
          <w:rFonts w:ascii="Century Gothic" w:hAnsi="Century Gothic"/>
        </w:rPr>
        <w:t xml:space="preserve"> entidades estatales</w:t>
      </w:r>
      <w:r w:rsidR="00D74836">
        <w:rPr>
          <w:rFonts w:ascii="Century Gothic" w:hAnsi="Century Gothic"/>
        </w:rPr>
        <w:t xml:space="preserve"> obligadas a esta estampilla</w:t>
      </w:r>
      <w:r w:rsidR="000E0A56" w:rsidRPr="00A45A38">
        <w:rPr>
          <w:rFonts w:ascii="Century Gothic" w:hAnsi="Century Gothic"/>
        </w:rPr>
        <w:t>,</w:t>
      </w:r>
      <w:r w:rsidR="00D74836">
        <w:rPr>
          <w:rFonts w:ascii="Century Gothic" w:hAnsi="Century Gothic"/>
        </w:rPr>
        <w:t xml:space="preserve"> </w:t>
      </w:r>
      <w:r w:rsidR="000E0A56" w:rsidRPr="00A45A38">
        <w:rPr>
          <w:rFonts w:ascii="Century Gothic" w:hAnsi="Century Gothic"/>
        </w:rPr>
        <w:lastRenderedPageBreak/>
        <w:t>e</w:t>
      </w:r>
      <w:r w:rsidR="0056325A" w:rsidRPr="00A45A38">
        <w:rPr>
          <w:rFonts w:ascii="Century Gothic" w:eastAsia="Times New Roman" w:hAnsi="Century Gothic" w:cs="Arial"/>
          <w:iCs/>
          <w:lang w:val="es-ES_tradnl" w:eastAsia="es-ES_tradnl"/>
          <w14:ligatures w14:val="standardContextual"/>
        </w:rPr>
        <w:t>sto es así como consecuencia del “</w:t>
      </w:r>
      <w:r w:rsidR="0056325A" w:rsidRPr="00D74836">
        <w:rPr>
          <w:rFonts w:ascii="Century Gothic" w:eastAsia="Times New Roman" w:hAnsi="Century Gothic" w:cs="Arial"/>
          <w:i/>
          <w:lang w:val="es-ES_tradnl" w:eastAsia="es-ES_tradnl"/>
          <w14:ligatures w14:val="standardContextual"/>
        </w:rPr>
        <w:t>principio general de interpretación jurídica según el cual donde la norma no distingue, no le corresponde distinguir al intérprete”</w:t>
      </w:r>
      <w:r w:rsidR="0056325A" w:rsidRPr="00D74836">
        <w:rPr>
          <w:rFonts w:ascii="Century Gothic" w:eastAsia="Times New Roman" w:hAnsi="Century Gothic" w:cs="Arial"/>
          <w:i/>
          <w:vertAlign w:val="superscript"/>
          <w:lang w:eastAsia="es-ES_tradnl"/>
          <w14:ligatures w14:val="standardContextual"/>
        </w:rPr>
        <w:footnoteReference w:id="24"/>
      </w:r>
      <w:r w:rsidR="0056325A" w:rsidRPr="00D74836">
        <w:rPr>
          <w:rFonts w:ascii="Century Gothic" w:eastAsia="Times New Roman" w:hAnsi="Century Gothic" w:cs="Arial"/>
          <w:i/>
          <w:lang w:val="es-ES_tradnl" w:eastAsia="es-ES_tradnl"/>
          <w14:ligatures w14:val="standardContextual"/>
        </w:rPr>
        <w:t>.</w:t>
      </w:r>
    </w:p>
    <w:p w14:paraId="2C044A88" w14:textId="7B066EB5" w:rsidR="00000998" w:rsidRPr="00A45A38" w:rsidRDefault="000E0A56" w:rsidP="00D46A9F">
      <w:pPr>
        <w:spacing w:after="120" w:line="276" w:lineRule="auto"/>
        <w:ind w:firstLine="720"/>
        <w:jc w:val="both"/>
        <w:rPr>
          <w:rFonts w:ascii="Century Gothic" w:hAnsi="Century Gothic" w:cs="Arial"/>
        </w:rPr>
      </w:pPr>
      <w:r w:rsidRPr="00A45A38">
        <w:rPr>
          <w:rFonts w:ascii="Century Gothic" w:hAnsi="Century Gothic" w:cs="Arial"/>
        </w:rPr>
        <w:t xml:space="preserve">En ese orden de ideas, </w:t>
      </w:r>
      <w:r w:rsidR="006E7889" w:rsidRPr="00A45A38">
        <w:rPr>
          <w:rFonts w:ascii="Century Gothic" w:hAnsi="Century Gothic" w:cs="Arial"/>
        </w:rPr>
        <w:t>ser</w:t>
      </w:r>
      <w:r w:rsidRPr="00A45A38">
        <w:rPr>
          <w:rFonts w:ascii="Century Gothic" w:hAnsi="Century Gothic" w:cs="Arial"/>
        </w:rPr>
        <w:t xml:space="preserve">á cada Entidad Estatal la obligada a analizar </w:t>
      </w:r>
      <w:r w:rsidR="00D46A9F" w:rsidRPr="00A45A38">
        <w:rPr>
          <w:rFonts w:ascii="Century Gothic" w:hAnsi="Century Gothic" w:cs="Arial"/>
        </w:rPr>
        <w:t xml:space="preserve">en cada contrato estatal que celebre, si por su sola celebración se constituye el hecho generador de la estampilla bajo estudio. </w:t>
      </w:r>
      <w:r w:rsidR="00000998" w:rsidRPr="00A45A38">
        <w:rPr>
          <w:rFonts w:ascii="Century Gothic" w:hAnsi="Century Gothic" w:cs="Arial"/>
        </w:rPr>
        <w:t xml:space="preserve">De igual forma, consideramos pertinente indicar que las entidades estatales cuando actúan como entidades contratantes deben realizar, durante la etapa de planeación, el análisis necesario para conocer el sector relativo al objeto del Proceso de Contratación, y con fundamento en dicho estudio establecer el presupuesto oficial </w:t>
      </w:r>
      <w:r w:rsidR="002620E4" w:rsidRPr="00A45A38">
        <w:rPr>
          <w:rFonts w:ascii="Century Gothic" w:hAnsi="Century Gothic" w:cs="Arial"/>
        </w:rPr>
        <w:t>que cubrirá el valor del contrato a suscribir,</w:t>
      </w:r>
      <w:r w:rsidR="00F547BB" w:rsidRPr="00A45A38">
        <w:rPr>
          <w:rFonts w:ascii="Century Gothic" w:hAnsi="Century Gothic" w:cs="Arial"/>
        </w:rPr>
        <w:t xml:space="preserve"> que deberá preferiblemente </w:t>
      </w:r>
      <w:r w:rsidR="003663E7" w:rsidRPr="00A45A38">
        <w:rPr>
          <w:rFonts w:ascii="Century Gothic" w:hAnsi="Century Gothic" w:cs="Arial"/>
        </w:rPr>
        <w:t>incluir todos</w:t>
      </w:r>
      <w:r w:rsidR="00000998" w:rsidRPr="00A45A38">
        <w:rPr>
          <w:rFonts w:ascii="Century Gothic" w:hAnsi="Century Gothic" w:cs="Arial"/>
        </w:rPr>
        <w:t xml:space="preserve"> los impuestos, tasas o contribuciones que haya lugar</w:t>
      </w:r>
      <w:r w:rsidR="003663E7" w:rsidRPr="00A45A38">
        <w:rPr>
          <w:rFonts w:ascii="Century Gothic" w:hAnsi="Century Gothic" w:cs="Arial"/>
        </w:rPr>
        <w:t>.</w:t>
      </w:r>
    </w:p>
    <w:p w14:paraId="67E6DDA8" w14:textId="0877013A" w:rsidR="007959BC" w:rsidRPr="00A45A38" w:rsidRDefault="007959BC" w:rsidP="007959BC">
      <w:pPr>
        <w:spacing w:line="276" w:lineRule="auto"/>
        <w:jc w:val="both"/>
        <w:rPr>
          <w:rFonts w:ascii="Century Gothic" w:hAnsi="Century Gothic" w:cs="Arial"/>
          <w:b/>
          <w:bCs/>
        </w:rPr>
      </w:pPr>
      <w:r w:rsidRPr="00A45A38">
        <w:rPr>
          <w:rFonts w:ascii="Century Gothic" w:hAnsi="Century Gothic" w:cs="Arial"/>
          <w:b/>
          <w:bCs/>
        </w:rPr>
        <w:t>3. Respuesta</w:t>
      </w:r>
    </w:p>
    <w:p w14:paraId="3CC786BB" w14:textId="77777777" w:rsidR="00B01695" w:rsidRPr="00A45A38" w:rsidRDefault="00B01695" w:rsidP="00B01695">
      <w:pPr>
        <w:tabs>
          <w:tab w:val="left" w:pos="426"/>
        </w:tabs>
        <w:spacing w:line="240" w:lineRule="auto"/>
        <w:ind w:left="709" w:right="709"/>
        <w:jc w:val="both"/>
        <w:rPr>
          <w:rFonts w:ascii="Century Gothic" w:eastAsia="Calibri" w:hAnsi="Century Gothic" w:cs="Arial"/>
          <w:sz w:val="21"/>
          <w:szCs w:val="21"/>
        </w:rPr>
      </w:pPr>
      <w:r w:rsidRPr="00A45A38">
        <w:rPr>
          <w:rFonts w:ascii="Century Gothic" w:eastAsia="Calibri" w:hAnsi="Century Gothic" w:cs="Arial"/>
          <w:sz w:val="21"/>
          <w:szCs w:val="21"/>
        </w:rPr>
        <w:t>“La presente es con el fin de aclarar dudas con respecto al parágrafo único del artículo 23 de la ley 2126 de 2021 “POR LA CUAL SE REGULA LA CREACIÓN, CONFORMACIÓN Y FUNCIONAMIENTO DE LAS COMISARIAS DE FAMILIA, SE ESTABLECE EL ORGANO RECOR Y SE DICTAN OTRAS DISPOSICIONES”, por medio de la cual se estipula lo siguiente:</w:t>
      </w:r>
    </w:p>
    <w:p w14:paraId="4D88980A" w14:textId="77777777" w:rsidR="00B01695" w:rsidRPr="00A45A38" w:rsidRDefault="00B01695" w:rsidP="00B01695">
      <w:pPr>
        <w:tabs>
          <w:tab w:val="left" w:pos="426"/>
        </w:tabs>
        <w:spacing w:line="240" w:lineRule="auto"/>
        <w:ind w:left="709" w:right="709"/>
        <w:jc w:val="both"/>
        <w:rPr>
          <w:rFonts w:ascii="Century Gothic" w:eastAsia="Calibri" w:hAnsi="Century Gothic" w:cs="Arial"/>
          <w:sz w:val="21"/>
          <w:szCs w:val="21"/>
        </w:rPr>
      </w:pPr>
      <w:r w:rsidRPr="00A45A38">
        <w:rPr>
          <w:rFonts w:ascii="Century Gothic" w:eastAsia="Calibri" w:hAnsi="Century Gothic" w:cs="Arial"/>
          <w:sz w:val="21"/>
          <w:szCs w:val="21"/>
        </w:rPr>
        <w:t>ARTÍCULO 23. Hecho generador. El hecho generador de la estampilla está constituido por los contratos y las adiciones a los mismos, suscritos, con las entidades que conforman el presupuesto anual del Departamento, Municipio y Distrito.</w:t>
      </w:r>
    </w:p>
    <w:p w14:paraId="0C3D84E3" w14:textId="77777777" w:rsidR="00B01695" w:rsidRPr="00A45A38" w:rsidRDefault="00B01695" w:rsidP="00B01695">
      <w:pPr>
        <w:tabs>
          <w:tab w:val="left" w:pos="426"/>
        </w:tabs>
        <w:spacing w:line="240" w:lineRule="auto"/>
        <w:ind w:left="709" w:right="709"/>
        <w:jc w:val="both"/>
        <w:rPr>
          <w:rFonts w:ascii="Century Gothic" w:eastAsia="Calibri" w:hAnsi="Century Gothic" w:cs="Arial"/>
          <w:sz w:val="21"/>
          <w:szCs w:val="21"/>
        </w:rPr>
      </w:pPr>
      <w:r w:rsidRPr="00A45A38">
        <w:rPr>
          <w:rFonts w:ascii="Century Gothic" w:eastAsia="Calibri" w:hAnsi="Century Gothic" w:cs="Arial"/>
          <w:sz w:val="21"/>
          <w:szCs w:val="21"/>
        </w:rPr>
        <w:t>PARÁGRAFO. Quedarán excluidos los contratos de prestación de servicios cuyo pago de honorarios mensual sea inferior a diez (10) SMLMV.</w:t>
      </w:r>
    </w:p>
    <w:p w14:paraId="2F1FB65B" w14:textId="77777777" w:rsidR="00B01695" w:rsidRPr="00A45A38" w:rsidRDefault="00B01695" w:rsidP="00B01695">
      <w:pPr>
        <w:tabs>
          <w:tab w:val="left" w:pos="426"/>
        </w:tabs>
        <w:spacing w:line="240" w:lineRule="auto"/>
        <w:ind w:left="709" w:right="709"/>
        <w:jc w:val="both"/>
        <w:rPr>
          <w:rFonts w:ascii="Century Gothic" w:eastAsia="Calibri" w:hAnsi="Century Gothic" w:cs="Arial"/>
          <w:sz w:val="21"/>
          <w:szCs w:val="21"/>
        </w:rPr>
      </w:pPr>
      <w:r w:rsidRPr="00A45A38">
        <w:rPr>
          <w:rFonts w:ascii="Century Gothic" w:eastAsia="Calibri" w:hAnsi="Century Gothic" w:cs="Arial"/>
          <w:sz w:val="21"/>
          <w:szCs w:val="21"/>
        </w:rPr>
        <w:t xml:space="preserve">Con respecto al parágrafo queda la siguiente inquietud, cuando se expresa la idea de </w:t>
      </w:r>
      <w:r w:rsidRPr="00A45A38">
        <w:rPr>
          <w:rFonts w:ascii="Century Gothic" w:eastAsia="Calibri" w:hAnsi="Century Gothic" w:cs="Arial"/>
          <w:b/>
          <w:bCs/>
          <w:sz w:val="21"/>
          <w:szCs w:val="21"/>
        </w:rPr>
        <w:t>honorarios</w:t>
      </w:r>
      <w:r w:rsidRPr="00A45A38">
        <w:rPr>
          <w:rFonts w:ascii="Century Gothic" w:eastAsia="Calibri" w:hAnsi="Century Gothic" w:cs="Arial"/>
          <w:sz w:val="21"/>
          <w:szCs w:val="21"/>
        </w:rPr>
        <w:t xml:space="preserve"> se hace referencia solo a los contratos que se deriven de especialidades como el de abogados, contadores, pero a los contratos de prestación de servicios como guadañeros, enlaces y demás si les descontará la estampilla aun cuando sus ingresos no superaran los 10 salarios mínimos, sin embargo, no tienen el concepto de honorarios para desarrollo de su actividad, o por el contrario se aplicaría para todos </w:t>
      </w:r>
      <w:r w:rsidRPr="00A45A38">
        <w:rPr>
          <w:rFonts w:ascii="Century Gothic" w:eastAsia="Calibri" w:hAnsi="Century Gothic" w:cs="Arial"/>
          <w:b/>
          <w:bCs/>
          <w:sz w:val="21"/>
          <w:szCs w:val="21"/>
        </w:rPr>
        <w:t>los contratos de prestación de servicios que sean inferiores a</w:t>
      </w:r>
      <w:r w:rsidRPr="00A45A38">
        <w:rPr>
          <w:rFonts w:ascii="Century Gothic" w:eastAsia="Calibri" w:hAnsi="Century Gothic" w:cs="Arial"/>
          <w:sz w:val="21"/>
          <w:szCs w:val="21"/>
        </w:rPr>
        <w:t xml:space="preserve"> 10 salarios mínimos?”(Sic).</w:t>
      </w:r>
    </w:p>
    <w:p w14:paraId="3965BCA4" w14:textId="530300C9" w:rsidR="00A45A38" w:rsidRPr="00A45A38" w:rsidRDefault="007959BC" w:rsidP="00A45A38">
      <w:pPr>
        <w:pStyle w:val="NormalWeb"/>
        <w:spacing w:line="276" w:lineRule="auto"/>
        <w:jc w:val="both"/>
        <w:rPr>
          <w:rFonts w:ascii="Century Gothic" w:hAnsi="Century Gothic"/>
          <w:sz w:val="22"/>
          <w:szCs w:val="22"/>
        </w:rPr>
      </w:pPr>
      <w:r w:rsidRPr="00A45A38">
        <w:rPr>
          <w:rFonts w:ascii="Century Gothic" w:eastAsia="Calibri" w:hAnsi="Century Gothic"/>
          <w:sz w:val="22"/>
          <w:szCs w:val="22"/>
        </w:rPr>
        <w:t xml:space="preserve">De conformidad con lo expuesto en el presente concepto, </w:t>
      </w:r>
      <w:r w:rsidR="00A45A38" w:rsidRPr="00A45A38">
        <w:rPr>
          <w:rFonts w:ascii="Century Gothic" w:hAnsi="Century Gothic"/>
          <w:sz w:val="22"/>
          <w:szCs w:val="22"/>
        </w:rPr>
        <w:t xml:space="preserve">la estampilla establecida en el artículo 23 de la Ley 2126 de 2021 </w:t>
      </w:r>
      <w:r w:rsidR="00F3368E">
        <w:rPr>
          <w:rFonts w:ascii="Century Gothic" w:hAnsi="Century Gothic"/>
          <w:sz w:val="22"/>
          <w:szCs w:val="22"/>
        </w:rPr>
        <w:t xml:space="preserve">cuyo hecho generador está </w:t>
      </w:r>
      <w:r w:rsidR="6C7CE118" w:rsidRPr="680F7C78">
        <w:rPr>
          <w:rFonts w:ascii="Century Gothic" w:hAnsi="Century Gothic"/>
          <w:sz w:val="22"/>
          <w:szCs w:val="22"/>
        </w:rPr>
        <w:lastRenderedPageBreak/>
        <w:t>vinculad</w:t>
      </w:r>
      <w:r w:rsidR="29BEF383" w:rsidRPr="680F7C78">
        <w:rPr>
          <w:rFonts w:ascii="Century Gothic" w:hAnsi="Century Gothic"/>
          <w:sz w:val="22"/>
          <w:szCs w:val="22"/>
        </w:rPr>
        <w:t>o</w:t>
      </w:r>
      <w:r w:rsidR="00A45A38" w:rsidRPr="00A45A38">
        <w:rPr>
          <w:rFonts w:ascii="Century Gothic" w:hAnsi="Century Gothic"/>
          <w:sz w:val="22"/>
          <w:szCs w:val="22"/>
        </w:rPr>
        <w:t xml:space="preserve"> a </w:t>
      </w:r>
      <w:r w:rsidR="00F3368E">
        <w:rPr>
          <w:rFonts w:ascii="Century Gothic" w:hAnsi="Century Gothic"/>
          <w:sz w:val="22"/>
          <w:szCs w:val="22"/>
        </w:rPr>
        <w:t xml:space="preserve">los </w:t>
      </w:r>
      <w:r w:rsidR="00A45A38" w:rsidRPr="00A45A38">
        <w:rPr>
          <w:rFonts w:ascii="Century Gothic" w:hAnsi="Century Gothic"/>
          <w:sz w:val="22"/>
          <w:szCs w:val="22"/>
        </w:rPr>
        <w:t xml:space="preserve">contratos y sus adiciones </w:t>
      </w:r>
      <w:r w:rsidR="00F3368E">
        <w:rPr>
          <w:rFonts w:ascii="Century Gothic" w:hAnsi="Century Gothic"/>
          <w:sz w:val="22"/>
          <w:szCs w:val="22"/>
        </w:rPr>
        <w:t xml:space="preserve">que las </w:t>
      </w:r>
      <w:r w:rsidR="00A45A38" w:rsidRPr="00A45A38">
        <w:rPr>
          <w:rFonts w:ascii="Century Gothic" w:hAnsi="Century Gothic"/>
          <w:sz w:val="22"/>
          <w:szCs w:val="22"/>
        </w:rPr>
        <w:t>entidades del presupuesto anual de Departamentos, Municipios y Distritos</w:t>
      </w:r>
      <w:r w:rsidR="00F3368E">
        <w:rPr>
          <w:rFonts w:ascii="Century Gothic" w:hAnsi="Century Gothic"/>
          <w:sz w:val="22"/>
          <w:szCs w:val="22"/>
        </w:rPr>
        <w:t xml:space="preserve"> celebran</w:t>
      </w:r>
      <w:r w:rsidR="00A45A38" w:rsidRPr="00A45A38">
        <w:rPr>
          <w:rFonts w:ascii="Century Gothic" w:hAnsi="Century Gothic"/>
          <w:sz w:val="22"/>
          <w:szCs w:val="22"/>
        </w:rPr>
        <w:t xml:space="preserve">, </w:t>
      </w:r>
      <w:r w:rsidR="00333EDB">
        <w:rPr>
          <w:rFonts w:ascii="Century Gothic" w:hAnsi="Century Gothic"/>
          <w:sz w:val="22"/>
          <w:szCs w:val="22"/>
        </w:rPr>
        <w:t>contempla</w:t>
      </w:r>
      <w:r w:rsidR="00906D8C">
        <w:rPr>
          <w:rFonts w:ascii="Century Gothic" w:hAnsi="Century Gothic"/>
          <w:sz w:val="22"/>
          <w:szCs w:val="22"/>
        </w:rPr>
        <w:t>, sin distinción alguna,</w:t>
      </w:r>
      <w:r w:rsidR="00A45A38" w:rsidRPr="00A45A38">
        <w:rPr>
          <w:rFonts w:ascii="Century Gothic" w:hAnsi="Century Gothic"/>
          <w:sz w:val="22"/>
          <w:szCs w:val="22"/>
        </w:rPr>
        <w:t xml:space="preserve"> a todos los contratos estatales suscritos por </w:t>
      </w:r>
      <w:r w:rsidR="00333EDB">
        <w:rPr>
          <w:rFonts w:ascii="Century Gothic" w:hAnsi="Century Gothic"/>
          <w:sz w:val="22"/>
          <w:szCs w:val="22"/>
        </w:rPr>
        <w:t>aquellas</w:t>
      </w:r>
      <w:r w:rsidR="00A45A38" w:rsidRPr="00A45A38">
        <w:rPr>
          <w:rFonts w:ascii="Century Gothic" w:hAnsi="Century Gothic"/>
          <w:sz w:val="22"/>
          <w:szCs w:val="22"/>
        </w:rPr>
        <w:t>.</w:t>
      </w:r>
    </w:p>
    <w:p w14:paraId="0F02B3E0" w14:textId="64D6E1D5" w:rsidR="00A45A38" w:rsidRPr="00A45A38" w:rsidRDefault="00906D8C" w:rsidP="00906D8C">
      <w:pPr>
        <w:pStyle w:val="NormalWeb"/>
        <w:spacing w:line="276" w:lineRule="auto"/>
        <w:ind w:firstLine="708"/>
        <w:jc w:val="both"/>
        <w:rPr>
          <w:rFonts w:ascii="Century Gothic" w:hAnsi="Century Gothic"/>
          <w:sz w:val="22"/>
          <w:szCs w:val="22"/>
        </w:rPr>
      </w:pPr>
      <w:r>
        <w:rPr>
          <w:rFonts w:ascii="Century Gothic" w:hAnsi="Century Gothic"/>
          <w:sz w:val="22"/>
          <w:szCs w:val="22"/>
        </w:rPr>
        <w:t>Ahora bien, l</w:t>
      </w:r>
      <w:r w:rsidR="00A45A38" w:rsidRPr="00A45A38">
        <w:rPr>
          <w:rFonts w:ascii="Century Gothic" w:hAnsi="Century Gothic"/>
          <w:sz w:val="22"/>
          <w:szCs w:val="22"/>
        </w:rPr>
        <w:t xml:space="preserve">a norma mencionada excluye los contratos de prestación de servicios con pagos mensuales inferiores a diez (10) SMLMV. Esta disposición no distingue entre tipos de contratos </w:t>
      </w:r>
      <w:r w:rsidR="002D39B0">
        <w:rPr>
          <w:rFonts w:ascii="Century Gothic" w:hAnsi="Century Gothic"/>
          <w:sz w:val="22"/>
          <w:szCs w:val="22"/>
        </w:rPr>
        <w:t xml:space="preserve">de prestación de </w:t>
      </w:r>
      <w:r w:rsidR="000E1B4C">
        <w:rPr>
          <w:rFonts w:ascii="Century Gothic" w:hAnsi="Century Gothic"/>
          <w:sz w:val="22"/>
          <w:szCs w:val="22"/>
        </w:rPr>
        <w:t xml:space="preserve">servicios, </w:t>
      </w:r>
      <w:r w:rsidR="000E1B4C" w:rsidRPr="00A45A38">
        <w:rPr>
          <w:rFonts w:ascii="Century Gothic" w:hAnsi="Century Gothic"/>
          <w:sz w:val="22"/>
          <w:szCs w:val="22"/>
        </w:rPr>
        <w:t>por</w:t>
      </w:r>
      <w:r w:rsidR="00A45A38" w:rsidRPr="00A45A38">
        <w:rPr>
          <w:rFonts w:ascii="Century Gothic" w:hAnsi="Century Gothic"/>
          <w:sz w:val="22"/>
          <w:szCs w:val="22"/>
        </w:rPr>
        <w:t xml:space="preserve"> lo que no requiere una interpretación adicional</w:t>
      </w:r>
      <w:r w:rsidR="002D39B0">
        <w:rPr>
          <w:rFonts w:ascii="Century Gothic" w:hAnsi="Century Gothic"/>
          <w:sz w:val="22"/>
          <w:szCs w:val="22"/>
        </w:rPr>
        <w:t>, s</w:t>
      </w:r>
      <w:r w:rsidR="00A45A38" w:rsidRPr="00A45A38">
        <w:rPr>
          <w:rFonts w:ascii="Century Gothic" w:hAnsi="Century Gothic"/>
          <w:sz w:val="22"/>
          <w:szCs w:val="22"/>
        </w:rPr>
        <w:t>iguiendo</w:t>
      </w:r>
      <w:r w:rsidR="000E1B4C">
        <w:rPr>
          <w:rFonts w:ascii="Century Gothic" w:hAnsi="Century Gothic"/>
          <w:sz w:val="22"/>
          <w:szCs w:val="22"/>
        </w:rPr>
        <w:t xml:space="preserve"> los</w:t>
      </w:r>
      <w:r w:rsidR="00A45A38" w:rsidRPr="00A45A38">
        <w:rPr>
          <w:rFonts w:ascii="Century Gothic" w:hAnsi="Century Gothic"/>
          <w:sz w:val="22"/>
          <w:szCs w:val="22"/>
        </w:rPr>
        <w:t xml:space="preserve"> principio</w:t>
      </w:r>
      <w:r w:rsidR="000E1B4C">
        <w:rPr>
          <w:rFonts w:ascii="Century Gothic" w:hAnsi="Century Gothic"/>
          <w:sz w:val="22"/>
          <w:szCs w:val="22"/>
        </w:rPr>
        <w:t>s</w:t>
      </w:r>
      <w:r w:rsidR="00A45A38" w:rsidRPr="00A45A38">
        <w:rPr>
          <w:rFonts w:ascii="Century Gothic" w:hAnsi="Century Gothic"/>
          <w:sz w:val="22"/>
          <w:szCs w:val="22"/>
        </w:rPr>
        <w:t xml:space="preserve"> de que</w:t>
      </w:r>
      <w:r w:rsidR="000E1B4C">
        <w:rPr>
          <w:rFonts w:ascii="Century Gothic" w:hAnsi="Century Gothic"/>
          <w:sz w:val="22"/>
          <w:szCs w:val="22"/>
        </w:rPr>
        <w:t xml:space="preserve"> </w:t>
      </w:r>
      <w:r w:rsidR="00A45A38" w:rsidRPr="00A45A38">
        <w:rPr>
          <w:rFonts w:ascii="Century Gothic" w:hAnsi="Century Gothic"/>
          <w:sz w:val="22"/>
          <w:szCs w:val="22"/>
        </w:rPr>
        <w:t>donde la ley es clara, no se necesita interpretación y donde la norma no distingue, no corresponde al intérprete hacerlo</w:t>
      </w:r>
      <w:r w:rsidR="000E1B4C">
        <w:rPr>
          <w:rFonts w:ascii="Century Gothic" w:hAnsi="Century Gothic"/>
          <w:sz w:val="22"/>
          <w:szCs w:val="22"/>
        </w:rPr>
        <w:t>.</w:t>
      </w:r>
    </w:p>
    <w:p w14:paraId="75BB591C" w14:textId="23F4F1C9" w:rsidR="00A45A38" w:rsidRPr="00A45A38" w:rsidRDefault="00A45A38" w:rsidP="000E1B4C">
      <w:pPr>
        <w:pStyle w:val="NormalWeb"/>
        <w:spacing w:line="276" w:lineRule="auto"/>
        <w:ind w:firstLine="708"/>
        <w:jc w:val="both"/>
        <w:rPr>
          <w:rFonts w:ascii="Century Gothic" w:hAnsi="Century Gothic"/>
          <w:sz w:val="22"/>
          <w:szCs w:val="22"/>
        </w:rPr>
      </w:pPr>
      <w:r w:rsidRPr="00A45A38">
        <w:rPr>
          <w:rFonts w:ascii="Century Gothic" w:hAnsi="Century Gothic"/>
          <w:sz w:val="22"/>
          <w:szCs w:val="22"/>
        </w:rPr>
        <w:t>En consecuencia, cada entidad estatal debe analizar s</w:t>
      </w:r>
      <w:r w:rsidR="00C34063">
        <w:rPr>
          <w:rFonts w:ascii="Century Gothic" w:hAnsi="Century Gothic"/>
          <w:sz w:val="22"/>
          <w:szCs w:val="22"/>
        </w:rPr>
        <w:t>i</w:t>
      </w:r>
      <w:r w:rsidR="00322907">
        <w:rPr>
          <w:rFonts w:ascii="Century Gothic" w:hAnsi="Century Gothic"/>
          <w:sz w:val="22"/>
          <w:szCs w:val="22"/>
        </w:rPr>
        <w:t xml:space="preserve"> en </w:t>
      </w:r>
      <w:r w:rsidRPr="00A45A38">
        <w:rPr>
          <w:rFonts w:ascii="Century Gothic" w:hAnsi="Century Gothic"/>
          <w:sz w:val="22"/>
          <w:szCs w:val="22"/>
        </w:rPr>
        <w:t xml:space="preserve">cada contrato estatal </w:t>
      </w:r>
      <w:r w:rsidR="00322907">
        <w:rPr>
          <w:rFonts w:ascii="Century Gothic" w:hAnsi="Century Gothic"/>
          <w:sz w:val="22"/>
          <w:szCs w:val="22"/>
        </w:rPr>
        <w:t xml:space="preserve">que celebre se </w:t>
      </w:r>
      <w:r w:rsidRPr="00A45A38">
        <w:rPr>
          <w:rFonts w:ascii="Century Gothic" w:hAnsi="Century Gothic"/>
          <w:sz w:val="22"/>
          <w:szCs w:val="22"/>
        </w:rPr>
        <w:t>constituye el hecho generador de la estampilla en cuestión. Además, es pertinente que las entidades estatales, al actuar como contratantes, realicen un análisis durante la etapa de planificación para comprender el sector relacionado con el objeto del proceso contractual</w:t>
      </w:r>
      <w:r w:rsidR="00C93A6A">
        <w:rPr>
          <w:rFonts w:ascii="Century Gothic" w:hAnsi="Century Gothic"/>
          <w:sz w:val="22"/>
          <w:szCs w:val="22"/>
        </w:rPr>
        <w:t>, y b</w:t>
      </w:r>
      <w:r w:rsidRPr="00A45A38">
        <w:rPr>
          <w:rFonts w:ascii="Century Gothic" w:hAnsi="Century Gothic"/>
          <w:sz w:val="22"/>
          <w:szCs w:val="22"/>
        </w:rPr>
        <w:t xml:space="preserve">asándose en este análisis, establecer un presupuesto oficial </w:t>
      </w:r>
      <w:r w:rsidR="00C93A6A">
        <w:rPr>
          <w:rFonts w:ascii="Century Gothic" w:hAnsi="Century Gothic"/>
          <w:sz w:val="22"/>
          <w:szCs w:val="22"/>
        </w:rPr>
        <w:t xml:space="preserve">o valor del contrato </w:t>
      </w:r>
      <w:r w:rsidRPr="00A45A38">
        <w:rPr>
          <w:rFonts w:ascii="Century Gothic" w:hAnsi="Century Gothic"/>
          <w:sz w:val="22"/>
          <w:szCs w:val="22"/>
        </w:rPr>
        <w:t>que incluya preferiblemente todos los impuestos, tasas o contribuciones aplicables</w:t>
      </w:r>
      <w:r w:rsidR="00C93A6A">
        <w:rPr>
          <w:rFonts w:ascii="Century Gothic" w:hAnsi="Century Gothic"/>
          <w:sz w:val="22"/>
          <w:szCs w:val="22"/>
        </w:rPr>
        <w:t>.</w:t>
      </w:r>
    </w:p>
    <w:p w14:paraId="31656C5C" w14:textId="45B2394F" w:rsidR="007959BC" w:rsidRPr="00A45A38" w:rsidRDefault="007959BC" w:rsidP="00B01695">
      <w:pPr>
        <w:shd w:val="clear" w:color="auto" w:fill="FFFFFF" w:themeFill="background1"/>
        <w:spacing w:after="0" w:line="276" w:lineRule="auto"/>
        <w:ind w:firstLine="708"/>
        <w:jc w:val="both"/>
        <w:textAlignment w:val="baseline"/>
        <w:rPr>
          <w:rFonts w:ascii="Century Gothic" w:hAnsi="Century Gothic" w:cs="Arial"/>
          <w:color w:val="000000" w:themeColor="text1"/>
          <w:lang w:eastAsia="es-MX"/>
        </w:rPr>
      </w:pPr>
      <w:r w:rsidRPr="00A45A38">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AFAC856" w14:textId="77777777" w:rsidR="007959BC" w:rsidRPr="00A45A38" w:rsidRDefault="007959BC" w:rsidP="007959BC">
      <w:pPr>
        <w:spacing w:after="0" w:line="276" w:lineRule="auto"/>
        <w:contextualSpacing/>
        <w:jc w:val="both"/>
        <w:textAlignment w:val="baseline"/>
        <w:rPr>
          <w:rFonts w:ascii="Century Gothic" w:hAnsi="Century Gothic" w:cs="Arial"/>
          <w:lang w:val="es-ES"/>
        </w:rPr>
      </w:pPr>
    </w:p>
    <w:p w14:paraId="21E44696" w14:textId="77777777" w:rsidR="007959BC" w:rsidRPr="00A45A38" w:rsidRDefault="007959BC" w:rsidP="007959BC">
      <w:pPr>
        <w:spacing w:after="0" w:line="276" w:lineRule="auto"/>
        <w:contextualSpacing/>
        <w:jc w:val="both"/>
        <w:textAlignment w:val="baseline"/>
        <w:rPr>
          <w:rFonts w:ascii="Century Gothic" w:eastAsia="Times New Roman" w:hAnsi="Century Gothic" w:cs="Arial"/>
          <w:lang w:eastAsia="es-CO"/>
        </w:rPr>
      </w:pPr>
      <w:r w:rsidRPr="00A45A38">
        <w:rPr>
          <w:rFonts w:ascii="Century Gothic" w:hAnsi="Century Gothic" w:cs="Arial"/>
          <w:lang w:val="es-ES"/>
        </w:rPr>
        <w:t>Atentamente</w:t>
      </w:r>
      <w:r w:rsidRPr="00A45A38">
        <w:rPr>
          <w:rFonts w:ascii="Century Gothic" w:eastAsia="Times New Roman" w:hAnsi="Century Gothic" w:cs="Arial"/>
          <w:lang w:val="es-MX" w:eastAsia="es-CO"/>
        </w:rPr>
        <w:t>,</w:t>
      </w:r>
      <w:r w:rsidRPr="00A45A38">
        <w:rPr>
          <w:rFonts w:ascii="Century Gothic" w:eastAsia="Times New Roman" w:hAnsi="Century Gothic" w:cs="Arial"/>
          <w:lang w:eastAsia="es-CO"/>
        </w:rPr>
        <w:t> </w:t>
      </w:r>
    </w:p>
    <w:p w14:paraId="4D74BCF0" w14:textId="1FF494DC" w:rsidR="007959BC" w:rsidRPr="00A45A38" w:rsidRDefault="00962E4E" w:rsidP="007959BC">
      <w:pPr>
        <w:spacing w:after="0" w:line="276" w:lineRule="auto"/>
        <w:jc w:val="center"/>
        <w:textAlignment w:val="baseline"/>
        <w:rPr>
          <w:rFonts w:ascii="Century Gothic" w:eastAsia="Times New Roman" w:hAnsi="Century Gothic" w:cs="Arial"/>
          <w:sz w:val="18"/>
          <w:szCs w:val="18"/>
          <w:lang w:eastAsia="es-CO"/>
        </w:rPr>
      </w:pPr>
      <w:r>
        <w:rPr>
          <w:noProof/>
        </w:rPr>
        <w:drawing>
          <wp:inline distT="0" distB="0" distL="0" distR="0" wp14:anchorId="2EBADD1F" wp14:editId="51C1A94E">
            <wp:extent cx="3161905" cy="1209524"/>
            <wp:effectExtent l="0" t="0" r="635" b="0"/>
            <wp:docPr id="214230982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09821" name="Imagen 1" descr="Texto&#10;&#10;Descripción generada automáticamente"/>
                    <pic:cNvPicPr/>
                  </pic:nvPicPr>
                  <pic:blipFill>
                    <a:blip r:embed="rId10"/>
                    <a:stretch>
                      <a:fillRect/>
                    </a:stretch>
                  </pic:blipFill>
                  <pic:spPr>
                    <a:xfrm>
                      <a:off x="0" y="0"/>
                      <a:ext cx="3161905" cy="1209524"/>
                    </a:xfrm>
                    <a:prstGeom prst="rect">
                      <a:avLst/>
                    </a:prstGeom>
                  </pic:spPr>
                </pic:pic>
              </a:graphicData>
            </a:graphic>
          </wp:inline>
        </w:drawing>
      </w:r>
    </w:p>
    <w:tbl>
      <w:tblPr>
        <w:tblW w:w="74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2"/>
        <w:gridCol w:w="6287"/>
      </w:tblGrid>
      <w:tr w:rsidR="007959BC" w:rsidRPr="00A45A38" w14:paraId="1F2D786F" w14:textId="77777777" w:rsidTr="00AB68AC">
        <w:trPr>
          <w:trHeight w:val="441"/>
        </w:trPr>
        <w:tc>
          <w:tcPr>
            <w:tcW w:w="1122" w:type="dxa"/>
            <w:tcBorders>
              <w:top w:val="nil"/>
              <w:left w:val="nil"/>
              <w:bottom w:val="nil"/>
              <w:right w:val="nil"/>
            </w:tcBorders>
            <w:vAlign w:val="center"/>
            <w:hideMark/>
          </w:tcPr>
          <w:p w14:paraId="7C971A7B" w14:textId="77777777" w:rsidR="007959BC" w:rsidRPr="00A45A38" w:rsidRDefault="007959BC" w:rsidP="00AB68AC">
            <w:pPr>
              <w:spacing w:after="0" w:line="276" w:lineRule="auto"/>
              <w:jc w:val="both"/>
              <w:textAlignment w:val="baseline"/>
              <w:rPr>
                <w:rFonts w:ascii="Century Gothic" w:eastAsia="Times New Roman" w:hAnsi="Century Gothic" w:cs="Arial"/>
                <w:sz w:val="18"/>
                <w:szCs w:val="18"/>
                <w:lang w:eastAsia="es-CO"/>
              </w:rPr>
            </w:pPr>
            <w:r w:rsidRPr="00A45A38">
              <w:rPr>
                <w:rFonts w:ascii="Century Gothic" w:eastAsia="Times New Roman" w:hAnsi="Century Gothic" w:cs="Arial"/>
                <w:sz w:val="18"/>
                <w:szCs w:val="18"/>
                <w:lang w:val="es-MX" w:eastAsia="es-CO"/>
              </w:rPr>
              <w:t>Elaboró:</w:t>
            </w:r>
            <w:r w:rsidRPr="00A45A38">
              <w:rPr>
                <w:rFonts w:ascii="Century Gothic" w:eastAsia="Times New Roman" w:hAnsi="Century Gothic" w:cs="Arial"/>
                <w:sz w:val="18"/>
                <w:szCs w:val="18"/>
                <w:lang w:eastAsia="es-CO"/>
              </w:rPr>
              <w:t> </w:t>
            </w:r>
          </w:p>
        </w:tc>
        <w:tc>
          <w:tcPr>
            <w:tcW w:w="6287" w:type="dxa"/>
            <w:tcBorders>
              <w:top w:val="nil"/>
              <w:left w:val="nil"/>
              <w:bottom w:val="dotted" w:sz="6" w:space="0" w:color="7F7F7F"/>
              <w:right w:val="nil"/>
            </w:tcBorders>
            <w:vAlign w:val="center"/>
            <w:hideMark/>
          </w:tcPr>
          <w:p w14:paraId="4BDFE0A9" w14:textId="77777777" w:rsidR="007959BC" w:rsidRPr="00A45A38" w:rsidRDefault="007959BC" w:rsidP="00AB68AC">
            <w:pPr>
              <w:spacing w:after="0" w:line="240" w:lineRule="auto"/>
              <w:jc w:val="both"/>
              <w:textAlignment w:val="baseline"/>
              <w:rPr>
                <w:rFonts w:ascii="Century Gothic" w:eastAsia="Times New Roman" w:hAnsi="Century Gothic" w:cs="Arial"/>
                <w:sz w:val="18"/>
                <w:szCs w:val="18"/>
                <w:lang w:val="es-MX" w:eastAsia="es-CO"/>
              </w:rPr>
            </w:pPr>
            <w:r w:rsidRPr="00A45A38">
              <w:rPr>
                <w:rFonts w:ascii="Century Gothic" w:eastAsia="Times New Roman" w:hAnsi="Century Gothic" w:cs="Arial"/>
                <w:sz w:val="18"/>
                <w:szCs w:val="18"/>
                <w:lang w:val="es-MX" w:eastAsia="es-CO"/>
              </w:rPr>
              <w:t>Any Alejandra Tovar Castillo</w:t>
            </w:r>
          </w:p>
          <w:p w14:paraId="66BA9686" w14:textId="77777777" w:rsidR="007959BC" w:rsidRPr="00A45A38" w:rsidRDefault="007959BC" w:rsidP="00AB68AC">
            <w:pPr>
              <w:spacing w:after="0" w:line="240" w:lineRule="auto"/>
              <w:jc w:val="both"/>
              <w:textAlignment w:val="baseline"/>
              <w:rPr>
                <w:rFonts w:ascii="Century Gothic" w:eastAsia="Times New Roman" w:hAnsi="Century Gothic" w:cs="Arial"/>
                <w:sz w:val="18"/>
                <w:szCs w:val="18"/>
                <w:lang w:eastAsia="es-CO"/>
              </w:rPr>
            </w:pPr>
            <w:r w:rsidRPr="00A45A38">
              <w:rPr>
                <w:rFonts w:ascii="Century Gothic" w:eastAsia="Times New Roman" w:hAnsi="Century Gothic" w:cs="Arial"/>
                <w:sz w:val="18"/>
                <w:szCs w:val="18"/>
                <w:lang w:val="es-MX" w:eastAsia="es-CO"/>
              </w:rPr>
              <w:t xml:space="preserve">Contratista </w:t>
            </w:r>
            <w:r w:rsidRPr="00A45A38">
              <w:rPr>
                <w:rFonts w:ascii="Century Gothic" w:eastAsia="Times New Roman" w:hAnsi="Century Gothic" w:cs="Arial"/>
                <w:sz w:val="18"/>
                <w:szCs w:val="18"/>
                <w:lang w:eastAsia="es-CO"/>
              </w:rPr>
              <w:t>Subdirección de Gestión Contractual</w:t>
            </w:r>
          </w:p>
        </w:tc>
      </w:tr>
      <w:tr w:rsidR="007959BC" w:rsidRPr="00A45A38" w14:paraId="44192DF3" w14:textId="77777777" w:rsidTr="00AB68AC">
        <w:trPr>
          <w:trHeight w:val="441"/>
        </w:trPr>
        <w:tc>
          <w:tcPr>
            <w:tcW w:w="1122" w:type="dxa"/>
            <w:tcBorders>
              <w:top w:val="nil"/>
              <w:left w:val="nil"/>
              <w:bottom w:val="nil"/>
              <w:right w:val="nil"/>
            </w:tcBorders>
            <w:vAlign w:val="center"/>
            <w:hideMark/>
          </w:tcPr>
          <w:p w14:paraId="2E72076D" w14:textId="77777777" w:rsidR="007959BC" w:rsidRPr="00A45A38" w:rsidRDefault="007959BC" w:rsidP="00AB68AC">
            <w:pPr>
              <w:spacing w:after="0" w:line="276" w:lineRule="auto"/>
              <w:jc w:val="both"/>
              <w:textAlignment w:val="baseline"/>
              <w:rPr>
                <w:rFonts w:ascii="Century Gothic" w:eastAsia="Times New Roman" w:hAnsi="Century Gothic" w:cs="Arial"/>
                <w:sz w:val="18"/>
                <w:szCs w:val="18"/>
                <w:lang w:eastAsia="es-CO"/>
              </w:rPr>
            </w:pPr>
            <w:r w:rsidRPr="00A45A38">
              <w:rPr>
                <w:rFonts w:ascii="Century Gothic" w:eastAsia="Times New Roman" w:hAnsi="Century Gothic" w:cs="Arial"/>
                <w:sz w:val="18"/>
                <w:szCs w:val="18"/>
                <w:lang w:val="es-MX" w:eastAsia="es-CO"/>
              </w:rPr>
              <w:t>Revisó:</w:t>
            </w:r>
            <w:r w:rsidRPr="00A45A38">
              <w:rPr>
                <w:rFonts w:ascii="Century Gothic" w:eastAsia="Times New Roman" w:hAnsi="Century Gothic" w:cs="Arial"/>
                <w:sz w:val="18"/>
                <w:szCs w:val="18"/>
                <w:lang w:eastAsia="es-CO"/>
              </w:rPr>
              <w:t> </w:t>
            </w:r>
          </w:p>
        </w:tc>
        <w:tc>
          <w:tcPr>
            <w:tcW w:w="6287" w:type="dxa"/>
            <w:tcBorders>
              <w:top w:val="dotted" w:sz="6" w:space="0" w:color="7F7F7F"/>
              <w:left w:val="nil"/>
              <w:bottom w:val="dotted" w:sz="6" w:space="0" w:color="7F7F7F"/>
              <w:right w:val="nil"/>
            </w:tcBorders>
            <w:vAlign w:val="center"/>
            <w:hideMark/>
          </w:tcPr>
          <w:p w14:paraId="6793B6EA" w14:textId="77777777" w:rsidR="007959BC" w:rsidRPr="00A45A38" w:rsidRDefault="007959BC" w:rsidP="00AB68AC">
            <w:pPr>
              <w:spacing w:after="0" w:line="276" w:lineRule="auto"/>
              <w:rPr>
                <w:rFonts w:ascii="Century Gothic" w:eastAsia="Times New Roman" w:hAnsi="Century Gothic" w:cs="Arial"/>
                <w:sz w:val="18"/>
                <w:szCs w:val="18"/>
                <w:lang w:eastAsia="es-ES"/>
              </w:rPr>
            </w:pPr>
            <w:r w:rsidRPr="00A45A38">
              <w:rPr>
                <w:rFonts w:ascii="Century Gothic" w:eastAsia="Times New Roman" w:hAnsi="Century Gothic" w:cs="Arial"/>
                <w:sz w:val="18"/>
                <w:szCs w:val="18"/>
                <w:lang w:eastAsia="es-ES"/>
              </w:rPr>
              <w:t>Ximena Ríos López</w:t>
            </w:r>
          </w:p>
          <w:p w14:paraId="28DD1270" w14:textId="77777777" w:rsidR="007959BC" w:rsidRPr="00A45A38" w:rsidRDefault="007959BC" w:rsidP="00AB68AC">
            <w:pPr>
              <w:spacing w:after="0" w:line="276" w:lineRule="auto"/>
              <w:rPr>
                <w:rFonts w:ascii="Century Gothic" w:eastAsia="Times New Roman" w:hAnsi="Century Gothic" w:cs="Arial"/>
                <w:sz w:val="18"/>
                <w:szCs w:val="18"/>
                <w:lang w:eastAsia="es-CO"/>
              </w:rPr>
            </w:pPr>
            <w:r w:rsidRPr="00A45A38">
              <w:rPr>
                <w:rFonts w:ascii="Century Gothic" w:eastAsia="Times New Roman" w:hAnsi="Century Gothic" w:cs="Arial"/>
                <w:sz w:val="18"/>
                <w:szCs w:val="18"/>
                <w:lang w:eastAsia="es-ES"/>
              </w:rPr>
              <w:t>Gestor código T1 grado 11 de la Subdirección de Gestión Contractual</w:t>
            </w:r>
          </w:p>
        </w:tc>
      </w:tr>
      <w:tr w:rsidR="007959BC" w:rsidRPr="00A45A38" w14:paraId="541BF5FF" w14:textId="77777777" w:rsidTr="00AB68AC">
        <w:trPr>
          <w:trHeight w:val="420"/>
        </w:trPr>
        <w:tc>
          <w:tcPr>
            <w:tcW w:w="1122" w:type="dxa"/>
            <w:tcBorders>
              <w:top w:val="nil"/>
              <w:left w:val="nil"/>
              <w:bottom w:val="nil"/>
              <w:right w:val="nil"/>
            </w:tcBorders>
            <w:vAlign w:val="center"/>
            <w:hideMark/>
          </w:tcPr>
          <w:p w14:paraId="1504A643" w14:textId="77777777" w:rsidR="007959BC" w:rsidRPr="00A45A38" w:rsidRDefault="007959BC" w:rsidP="00AB68AC">
            <w:pPr>
              <w:spacing w:after="0" w:line="276" w:lineRule="auto"/>
              <w:jc w:val="both"/>
              <w:textAlignment w:val="baseline"/>
              <w:rPr>
                <w:rFonts w:ascii="Century Gothic" w:eastAsia="Times New Roman" w:hAnsi="Century Gothic" w:cs="Arial"/>
                <w:sz w:val="18"/>
                <w:szCs w:val="18"/>
                <w:lang w:eastAsia="es-CO"/>
              </w:rPr>
            </w:pPr>
            <w:r w:rsidRPr="00A45A38">
              <w:rPr>
                <w:rFonts w:ascii="Century Gothic" w:eastAsia="Times New Roman" w:hAnsi="Century Gothic" w:cs="Arial"/>
                <w:sz w:val="18"/>
                <w:szCs w:val="18"/>
                <w:lang w:val="es-MX" w:eastAsia="es-CO"/>
              </w:rPr>
              <w:t>Aprobó:</w:t>
            </w:r>
            <w:r w:rsidRPr="00A45A38">
              <w:rPr>
                <w:rFonts w:ascii="Century Gothic" w:eastAsia="Times New Roman" w:hAnsi="Century Gothic" w:cs="Arial"/>
                <w:sz w:val="18"/>
                <w:szCs w:val="18"/>
                <w:lang w:eastAsia="es-CO"/>
              </w:rPr>
              <w:t> </w:t>
            </w:r>
          </w:p>
        </w:tc>
        <w:tc>
          <w:tcPr>
            <w:tcW w:w="6287" w:type="dxa"/>
            <w:tcBorders>
              <w:top w:val="dotted" w:sz="6" w:space="0" w:color="7F7F7F"/>
              <w:left w:val="nil"/>
              <w:bottom w:val="dotted" w:sz="6" w:space="0" w:color="7F7F7F"/>
              <w:right w:val="nil"/>
            </w:tcBorders>
            <w:vAlign w:val="center"/>
            <w:hideMark/>
          </w:tcPr>
          <w:p w14:paraId="6E6B09CA" w14:textId="77777777" w:rsidR="007959BC" w:rsidRPr="00A45A38" w:rsidRDefault="007959BC" w:rsidP="00AB68AC">
            <w:pPr>
              <w:spacing w:after="0" w:line="240" w:lineRule="auto"/>
              <w:jc w:val="both"/>
              <w:textAlignment w:val="baseline"/>
              <w:rPr>
                <w:rFonts w:ascii="Century Gothic" w:eastAsia="Times New Roman" w:hAnsi="Century Gothic" w:cs="Arial"/>
                <w:sz w:val="18"/>
                <w:szCs w:val="18"/>
                <w:lang w:val="es-ES_tradnl" w:eastAsia="es-CO"/>
              </w:rPr>
            </w:pPr>
            <w:r w:rsidRPr="00A45A38">
              <w:rPr>
                <w:rFonts w:ascii="Century Gothic" w:eastAsia="Times New Roman" w:hAnsi="Century Gothic" w:cs="Arial"/>
                <w:sz w:val="18"/>
                <w:szCs w:val="18"/>
                <w:lang w:val="es-ES_tradnl" w:eastAsia="es-CO"/>
              </w:rPr>
              <w:t>Nohelia del Carmen Zawady Palacio</w:t>
            </w:r>
          </w:p>
          <w:p w14:paraId="1B638618" w14:textId="77777777" w:rsidR="007959BC" w:rsidRPr="00A45A38" w:rsidRDefault="007959BC" w:rsidP="00AB68AC">
            <w:pPr>
              <w:spacing w:after="0" w:line="240" w:lineRule="auto"/>
              <w:jc w:val="both"/>
              <w:textAlignment w:val="baseline"/>
              <w:rPr>
                <w:rFonts w:ascii="Century Gothic" w:eastAsia="Times New Roman" w:hAnsi="Century Gothic" w:cs="Arial"/>
                <w:sz w:val="18"/>
                <w:szCs w:val="18"/>
                <w:lang w:eastAsia="es-CO"/>
              </w:rPr>
            </w:pPr>
            <w:r w:rsidRPr="00A45A38">
              <w:rPr>
                <w:rFonts w:ascii="Century Gothic" w:eastAsia="Times New Roman" w:hAnsi="Century Gothic" w:cs="Arial"/>
                <w:sz w:val="18"/>
                <w:szCs w:val="18"/>
                <w:lang w:val="es-ES_tradnl" w:eastAsia="es-CO"/>
              </w:rPr>
              <w:t>Subdirectora de Gestión Contractual ANCP-CCE</w:t>
            </w:r>
          </w:p>
        </w:tc>
      </w:tr>
      <w:bookmarkEnd w:id="0"/>
    </w:tbl>
    <w:p w14:paraId="0F293BF4" w14:textId="7BBFAB11" w:rsidR="00127233" w:rsidRPr="00A45A38" w:rsidRDefault="00127233" w:rsidP="007959BC">
      <w:pPr>
        <w:spacing w:after="0"/>
        <w:jc w:val="both"/>
        <w:rPr>
          <w:rFonts w:ascii="Century Gothic" w:hAnsi="Century Gothic"/>
        </w:rPr>
      </w:pPr>
    </w:p>
    <w:sectPr w:rsidR="00127233" w:rsidRPr="00A45A38" w:rsidSect="002E4FD9">
      <w:headerReference w:type="default" r:id="rId11"/>
      <w:footerReference w:type="default" r:id="rId12"/>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A3AA" w14:textId="77777777" w:rsidR="00CF2527" w:rsidRDefault="00CF2527" w:rsidP="004A1847">
      <w:pPr>
        <w:spacing w:after="0" w:line="240" w:lineRule="auto"/>
      </w:pPr>
      <w:r>
        <w:separator/>
      </w:r>
    </w:p>
  </w:endnote>
  <w:endnote w:type="continuationSeparator" w:id="0">
    <w:p w14:paraId="7F5567FA" w14:textId="77777777" w:rsidR="00CF2527" w:rsidRDefault="00CF2527" w:rsidP="004A1847">
      <w:pPr>
        <w:spacing w:after="0" w:line="240" w:lineRule="auto"/>
      </w:pPr>
      <w:r>
        <w:continuationSeparator/>
      </w:r>
    </w:p>
  </w:endnote>
  <w:endnote w:type="continuationNotice" w:id="1">
    <w:p w14:paraId="57B32E1E" w14:textId="77777777" w:rsidR="007D14A8" w:rsidRDefault="007D1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D02E" w14:textId="77777777" w:rsidR="00CF2527" w:rsidRDefault="00CF2527" w:rsidP="004A1847">
      <w:pPr>
        <w:spacing w:after="0" w:line="240" w:lineRule="auto"/>
      </w:pPr>
      <w:r>
        <w:separator/>
      </w:r>
    </w:p>
  </w:footnote>
  <w:footnote w:type="continuationSeparator" w:id="0">
    <w:p w14:paraId="795E5446" w14:textId="77777777" w:rsidR="00CF2527" w:rsidRDefault="00CF2527" w:rsidP="004A1847">
      <w:pPr>
        <w:spacing w:after="0" w:line="240" w:lineRule="auto"/>
      </w:pPr>
      <w:r>
        <w:continuationSeparator/>
      </w:r>
    </w:p>
  </w:footnote>
  <w:footnote w:type="continuationNotice" w:id="1">
    <w:p w14:paraId="07195A97" w14:textId="77777777" w:rsidR="007D14A8" w:rsidRDefault="007D14A8">
      <w:pPr>
        <w:spacing w:after="0" w:line="240" w:lineRule="auto"/>
      </w:pPr>
    </w:p>
  </w:footnote>
  <w:footnote w:id="2">
    <w:p w14:paraId="1371A85C" w14:textId="77777777" w:rsidR="007A6E93" w:rsidRPr="00A45A38" w:rsidRDefault="007A6E93" w:rsidP="00A45A38">
      <w:pPr>
        <w:spacing w:after="0" w:line="240" w:lineRule="auto"/>
        <w:ind w:firstLine="708"/>
        <w:jc w:val="both"/>
        <w:rPr>
          <w:rFonts w:ascii="Century Gothic" w:eastAsia="Times New Roman" w:hAnsi="Century Gothic" w:cs="Arial"/>
          <w:sz w:val="18"/>
          <w:szCs w:val="18"/>
          <w:lang w:eastAsia="es-CO"/>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eastAsia="Times New Roman" w:hAnsi="Century Gothic" w:cs="Arial"/>
          <w:sz w:val="18"/>
          <w:szCs w:val="18"/>
          <w:lang w:eastAsia="es-CO"/>
        </w:rPr>
        <w:t>Estos conceptos pueden ser consultados en la relatoría de Colombia Compra Eficiente en el siguiente enlace:</w:t>
      </w:r>
      <w:r w:rsidRPr="00A45A38">
        <w:rPr>
          <w:rFonts w:ascii="Century Gothic" w:eastAsia="Times New Roman" w:hAnsi="Century Gothic" w:cs="Arial"/>
          <w:sz w:val="18"/>
          <w:szCs w:val="18"/>
          <w:lang w:eastAsia="es-CO"/>
        </w:rPr>
        <w:br/>
      </w:r>
      <w:hyperlink r:id="rId1" w:history="1">
        <w:r w:rsidRPr="00A45A38">
          <w:rPr>
            <w:rStyle w:val="Hipervnculo"/>
            <w:rFonts w:ascii="Century Gothic" w:eastAsia="Times New Roman" w:hAnsi="Century Gothic" w:cs="Arial"/>
            <w:sz w:val="18"/>
            <w:szCs w:val="18"/>
            <w:lang w:eastAsia="es-CO"/>
          </w:rPr>
          <w:t>http://relatoria.colombiacompra.gov.co/busqueda/conceptos</w:t>
        </w:r>
      </w:hyperlink>
      <w:r w:rsidRPr="00A45A38">
        <w:rPr>
          <w:rFonts w:ascii="Century Gothic" w:eastAsia="Times New Roman" w:hAnsi="Century Gothic" w:cs="Arial"/>
          <w:sz w:val="18"/>
          <w:szCs w:val="18"/>
          <w:lang w:eastAsia="es-CO"/>
        </w:rPr>
        <w:t xml:space="preserve"> </w:t>
      </w:r>
    </w:p>
  </w:footnote>
  <w:footnote w:id="3">
    <w:p w14:paraId="449720C1" w14:textId="77777777" w:rsidR="00C96336" w:rsidRDefault="00C96336" w:rsidP="00A45A38">
      <w:pPr>
        <w:pStyle w:val="Textonotapie"/>
        <w:ind w:firstLine="708"/>
        <w:jc w:val="both"/>
        <w:rPr>
          <w:rFonts w:ascii="Century Gothic" w:hAnsi="Century Gothic" w:cs="Arial"/>
          <w:color w:val="000000"/>
          <w:sz w:val="18"/>
          <w:szCs w:val="18"/>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color w:val="000000"/>
          <w:sz w:val="18"/>
          <w:szCs w:val="18"/>
        </w:rPr>
        <w:t>Procuraduría General de la Nación. Concepto del 15 de octubre de 2014. Procuraduría Delegada para Asuntos Disciplinarios. Radicado PAD C-114-2014.</w:t>
      </w:r>
    </w:p>
    <w:p w14:paraId="3DFF01B4" w14:textId="77777777" w:rsidR="00C96336" w:rsidRPr="00A45A38" w:rsidRDefault="00C96336" w:rsidP="00A45A38">
      <w:pPr>
        <w:pStyle w:val="Textonotapie"/>
        <w:ind w:firstLine="708"/>
        <w:jc w:val="both"/>
        <w:rPr>
          <w:rFonts w:ascii="Century Gothic" w:hAnsi="Century Gothic" w:cs="Arial"/>
          <w:sz w:val="18"/>
          <w:szCs w:val="18"/>
          <w:lang w:val="es-ES"/>
        </w:rPr>
      </w:pPr>
    </w:p>
  </w:footnote>
  <w:footnote w:id="4">
    <w:p w14:paraId="74D05E4F" w14:textId="77777777" w:rsidR="00C96336" w:rsidRDefault="00C96336" w:rsidP="00A45A38">
      <w:pPr>
        <w:pStyle w:val="Textonotapie"/>
        <w:ind w:firstLine="708"/>
        <w:jc w:val="both"/>
        <w:rPr>
          <w:rFonts w:ascii="Century Gothic" w:hAnsi="Century Gothic" w:cs="Arial"/>
          <w:color w:val="000000"/>
          <w:sz w:val="18"/>
          <w:szCs w:val="18"/>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color w:val="000000"/>
          <w:sz w:val="18"/>
          <w:szCs w:val="18"/>
        </w:rPr>
        <w:t>Contraloría General de la República. Oficina Jurídica. Concepto 80112-OJ-008 2017.</w:t>
      </w:r>
    </w:p>
    <w:p w14:paraId="0FB1F1AE" w14:textId="77777777" w:rsidR="00C96336" w:rsidRPr="00A45A38" w:rsidRDefault="00C96336" w:rsidP="00A45A38">
      <w:pPr>
        <w:pStyle w:val="Textonotapie"/>
        <w:ind w:firstLine="708"/>
        <w:jc w:val="both"/>
        <w:rPr>
          <w:rFonts w:ascii="Century Gothic" w:hAnsi="Century Gothic" w:cs="Arial"/>
          <w:sz w:val="18"/>
          <w:szCs w:val="18"/>
          <w:lang w:val="es-ES"/>
        </w:rPr>
      </w:pPr>
    </w:p>
  </w:footnote>
  <w:footnote w:id="5">
    <w:p w14:paraId="78BEE080" w14:textId="77777777" w:rsidR="00C96336" w:rsidRDefault="00C96336" w:rsidP="00A45A38">
      <w:pPr>
        <w:pStyle w:val="Textonotapie"/>
        <w:ind w:firstLine="708"/>
        <w:jc w:val="both"/>
        <w:rPr>
          <w:rFonts w:ascii="Century Gothic" w:hAnsi="Century Gothic" w:cs="Arial"/>
          <w:color w:val="000000"/>
          <w:sz w:val="18"/>
          <w:szCs w:val="18"/>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color w:val="000000"/>
          <w:sz w:val="18"/>
          <w:szCs w:val="18"/>
        </w:rPr>
        <w:t>ARBOLEDA PERDOMO, Enrique José. Comentarios al Nuevo Código de Procedimiento Administrativo y de lo Contencioso Administrativo (2ª ed.). Editorial Legis. Bogotá. 2012. p. 59</w:t>
      </w:r>
    </w:p>
    <w:p w14:paraId="2763CFF9" w14:textId="77777777" w:rsidR="00C96336" w:rsidRPr="00A45A38" w:rsidRDefault="00C96336" w:rsidP="00A45A38">
      <w:pPr>
        <w:pStyle w:val="Textonotapie"/>
        <w:ind w:firstLine="708"/>
        <w:jc w:val="both"/>
        <w:rPr>
          <w:rFonts w:ascii="Century Gothic" w:hAnsi="Century Gothic" w:cs="Arial"/>
          <w:sz w:val="18"/>
          <w:szCs w:val="18"/>
          <w:lang w:val="es-ES"/>
        </w:rPr>
      </w:pPr>
    </w:p>
  </w:footnote>
  <w:footnote w:id="6">
    <w:p w14:paraId="791F4AAD" w14:textId="77777777" w:rsidR="000310B7" w:rsidRPr="00A45A38" w:rsidRDefault="000310B7" w:rsidP="00A45A38">
      <w:pPr>
        <w:pStyle w:val="Textonotapie"/>
        <w:ind w:firstLine="708"/>
        <w:jc w:val="both"/>
        <w:rPr>
          <w:rFonts w:ascii="Century Gothic" w:hAnsi="Century Gothic" w:cs="Arial"/>
          <w:sz w:val="18"/>
          <w:szCs w:val="18"/>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Consejo de Estado. Sección Segunda. Sentencia del 9 de septiembre de 2021. Expediente No. 05001-23-33-000-2013-01143-01(1317-16). M.P. Dra. Sandra Lisset Ibarra Vélez.</w:t>
      </w:r>
    </w:p>
    <w:p w14:paraId="4080C708" w14:textId="77777777" w:rsidR="000310B7" w:rsidRPr="00A45A38" w:rsidRDefault="000310B7" w:rsidP="00A45A38">
      <w:pPr>
        <w:pStyle w:val="Textonotapie"/>
        <w:ind w:firstLine="708"/>
        <w:jc w:val="both"/>
        <w:rPr>
          <w:rFonts w:ascii="Century Gothic" w:hAnsi="Century Gothic" w:cs="Arial"/>
          <w:sz w:val="18"/>
          <w:szCs w:val="18"/>
        </w:rPr>
      </w:pPr>
    </w:p>
  </w:footnote>
  <w:footnote w:id="7">
    <w:p w14:paraId="2760653C" w14:textId="77777777" w:rsidR="000310B7" w:rsidRPr="00A45A38" w:rsidRDefault="000310B7" w:rsidP="00A45A38">
      <w:pPr>
        <w:pStyle w:val="Textonotapie"/>
        <w:ind w:firstLine="708"/>
        <w:jc w:val="both"/>
        <w:rPr>
          <w:rFonts w:ascii="Century Gothic" w:hAnsi="Century Gothic" w:cs="Arial"/>
          <w:sz w:val="18"/>
          <w:szCs w:val="18"/>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p w14:paraId="381874C8" w14:textId="77777777" w:rsidR="000310B7" w:rsidRPr="00A45A38" w:rsidRDefault="000310B7" w:rsidP="00A45A38">
      <w:pPr>
        <w:pStyle w:val="Textonotapie"/>
        <w:ind w:firstLine="708"/>
        <w:jc w:val="both"/>
        <w:rPr>
          <w:rFonts w:ascii="Century Gothic" w:hAnsi="Century Gothic" w:cs="Arial"/>
          <w:sz w:val="18"/>
          <w:szCs w:val="18"/>
          <w:lang w:val="es-ES_tradnl"/>
        </w:rPr>
      </w:pPr>
    </w:p>
  </w:footnote>
  <w:footnote w:id="8">
    <w:p w14:paraId="1D44E929" w14:textId="77777777" w:rsidR="000310B7" w:rsidRPr="00A45A38" w:rsidRDefault="000310B7" w:rsidP="00A45A38">
      <w:pPr>
        <w:pStyle w:val="Textonotapie"/>
        <w:ind w:firstLine="708"/>
        <w:jc w:val="both"/>
        <w:rPr>
          <w:rFonts w:ascii="Century Gothic" w:hAnsi="Century Gothic" w:cs="Arial"/>
          <w:sz w:val="18"/>
          <w:szCs w:val="18"/>
          <w:lang w:val="es-ES"/>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77B18ED3" w14:textId="77777777" w:rsidR="000310B7" w:rsidRPr="00A45A38" w:rsidRDefault="000310B7" w:rsidP="00A45A38">
      <w:pPr>
        <w:pStyle w:val="Textonotapie"/>
        <w:ind w:firstLine="709"/>
        <w:jc w:val="both"/>
        <w:rPr>
          <w:rFonts w:ascii="Century Gothic" w:hAnsi="Century Gothic" w:cs="Arial"/>
          <w:sz w:val="18"/>
          <w:szCs w:val="18"/>
          <w:lang w:val="es-ES"/>
        </w:rPr>
      </w:pPr>
    </w:p>
  </w:footnote>
  <w:footnote w:id="9">
    <w:p w14:paraId="71C1390C"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sz w:val="18"/>
          <w:szCs w:val="18"/>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CB68011"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05BC5A6"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El Gobierno nacional reglamentará el mecanismo para realizar la mensualización de que trata el presente artículo.</w:t>
      </w:r>
    </w:p>
    <w:p w14:paraId="7BBA30FE" w14:textId="77777777" w:rsidR="000310B7" w:rsidRPr="00A45A38" w:rsidRDefault="000310B7" w:rsidP="00A45A38">
      <w:pPr>
        <w:pStyle w:val="Textonotapie"/>
        <w:ind w:firstLine="709"/>
        <w:jc w:val="both"/>
        <w:rPr>
          <w:rFonts w:ascii="Century Gothic" w:hAnsi="Century Gothic" w:cs="Arial"/>
          <w:sz w:val="18"/>
          <w:szCs w:val="18"/>
          <w:lang w:val="pt-BR"/>
        </w:rPr>
      </w:pPr>
      <w:r w:rsidRPr="00A45A38">
        <w:rPr>
          <w:rFonts w:ascii="Century Gothic" w:hAnsi="Century Gothic" w:cs="Arial"/>
          <w:sz w:val="18"/>
          <w:szCs w:val="18"/>
          <w:lang w:val="pt-BR"/>
        </w:rPr>
        <w:t>[…]”.</w:t>
      </w:r>
    </w:p>
    <w:p w14:paraId="30F66940" w14:textId="77777777" w:rsidR="000310B7" w:rsidRPr="00A45A38" w:rsidRDefault="000310B7" w:rsidP="00A45A38">
      <w:pPr>
        <w:pStyle w:val="Textonotapie"/>
        <w:ind w:firstLine="709"/>
        <w:jc w:val="both"/>
        <w:rPr>
          <w:rFonts w:ascii="Century Gothic" w:hAnsi="Century Gothic" w:cs="Arial"/>
          <w:sz w:val="18"/>
          <w:szCs w:val="18"/>
          <w:lang w:val="pt-BR"/>
        </w:rPr>
      </w:pPr>
    </w:p>
  </w:footnote>
  <w:footnote w:id="10">
    <w:p w14:paraId="78308228"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Style w:val="Refdenotaalpie"/>
          <w:rFonts w:ascii="Century Gothic" w:hAnsi="Century Gothic" w:cs="Arial"/>
          <w:sz w:val="18"/>
          <w:szCs w:val="18"/>
        </w:rPr>
        <w:footnoteRef/>
      </w:r>
      <w:r w:rsidRPr="00A45A38">
        <w:rPr>
          <w:rFonts w:ascii="Century Gothic" w:hAnsi="Century Gothic" w:cs="Arial"/>
          <w:sz w:val="18"/>
          <w:szCs w:val="18"/>
          <w:lang w:val="pt-BR"/>
        </w:rPr>
        <w:t xml:space="preserve"> Corte Constitucional. Sentencia C-154 de 1997. </w:t>
      </w:r>
      <w:r w:rsidRPr="00A45A38">
        <w:rPr>
          <w:rFonts w:ascii="Century Gothic" w:hAnsi="Century Gothic" w:cs="Arial"/>
          <w:sz w:val="18"/>
          <w:szCs w:val="18"/>
          <w:lang w:val="es-ES"/>
        </w:rPr>
        <w:t>M.P.: Hernando Herrera Vergara.</w:t>
      </w:r>
    </w:p>
    <w:p w14:paraId="77FE246D" w14:textId="77777777" w:rsidR="000310B7" w:rsidRPr="00A45A38" w:rsidRDefault="000310B7" w:rsidP="00A45A38">
      <w:pPr>
        <w:pStyle w:val="Textonotapie"/>
        <w:ind w:firstLine="709"/>
        <w:jc w:val="both"/>
        <w:rPr>
          <w:rFonts w:ascii="Century Gothic" w:hAnsi="Century Gothic" w:cs="Arial"/>
          <w:sz w:val="18"/>
          <w:szCs w:val="18"/>
          <w:lang w:val="es-ES"/>
        </w:rPr>
      </w:pPr>
    </w:p>
  </w:footnote>
  <w:footnote w:id="11">
    <w:p w14:paraId="6BC85904"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sz w:val="18"/>
          <w:szCs w:val="18"/>
          <w:lang w:val="es-ES"/>
        </w:rPr>
        <w:t>Ibíd.</w:t>
      </w:r>
    </w:p>
    <w:p w14:paraId="000BCC31" w14:textId="77777777" w:rsidR="000310B7" w:rsidRPr="00A45A38" w:rsidRDefault="000310B7" w:rsidP="00A45A38">
      <w:pPr>
        <w:pStyle w:val="Textonotapie"/>
        <w:ind w:firstLine="709"/>
        <w:jc w:val="both"/>
        <w:rPr>
          <w:rFonts w:ascii="Century Gothic" w:hAnsi="Century Gothic" w:cs="Arial"/>
          <w:sz w:val="18"/>
          <w:szCs w:val="18"/>
          <w:lang w:val="es-ES"/>
        </w:rPr>
      </w:pPr>
    </w:p>
  </w:footnote>
  <w:footnote w:id="12">
    <w:p w14:paraId="5FA53044" w14:textId="77777777" w:rsidR="000310B7" w:rsidRPr="00A45A38" w:rsidRDefault="000310B7" w:rsidP="00A45A38">
      <w:pPr>
        <w:pStyle w:val="Textonotapie"/>
        <w:ind w:firstLine="709"/>
        <w:jc w:val="both"/>
        <w:rPr>
          <w:rFonts w:ascii="Century Gothic" w:hAnsi="Century Gothic" w:cs="Arial"/>
          <w:sz w:val="18"/>
          <w:szCs w:val="18"/>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sz w:val="18"/>
          <w:szCs w:val="18"/>
          <w:lang w:val="es-ES"/>
        </w:rPr>
        <w:t xml:space="preserve">Consejo de Estado. Sección Tercera. Subsección C. Sentencia de Unificación del 2 de diciembre de 2013. Exp. 41.719. C.P. Jaime Orlando Santofimio Gamboa. </w:t>
      </w:r>
    </w:p>
    <w:p w14:paraId="5F3990F2"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E7A7F23"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Son también contratos de consultoría los que tienen por objeto la interventoría, asesoría, gerencia de obra o de proyectos, dirección, programación y la ejecución de diseños, planos, anteproyectos y proyectos.</w:t>
      </w:r>
    </w:p>
    <w:p w14:paraId="7C6C38C7"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Ninguna orden del interventor de una obra podrá darse verbalmente. Es obligatorio para el interventor entregar por escrito sus órdenes o sugerencias y ellas deben enmarcarse dentro de los términos del respectivo contrato”.</w:t>
      </w:r>
    </w:p>
    <w:p w14:paraId="5ECB2D0B" w14:textId="77777777" w:rsidR="000310B7" w:rsidRPr="00A45A38" w:rsidRDefault="000310B7" w:rsidP="00A45A38">
      <w:pPr>
        <w:pStyle w:val="Textonotapie"/>
        <w:ind w:firstLine="709"/>
        <w:jc w:val="both"/>
        <w:rPr>
          <w:rFonts w:ascii="Century Gothic" w:hAnsi="Century Gothic" w:cs="Arial"/>
          <w:sz w:val="18"/>
          <w:szCs w:val="18"/>
          <w:lang w:val="es-ES"/>
        </w:rPr>
      </w:pPr>
    </w:p>
  </w:footnote>
  <w:footnote w:id="13">
    <w:p w14:paraId="338BD77D"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sz w:val="18"/>
          <w:szCs w:val="18"/>
          <w:lang w:val="es-ES"/>
        </w:rPr>
        <w:t>Así lo dispone el artículo 2.2.1.2.1.4.1. del Decreto 1082 de 2015: “La Entidad Estatal debe señalar en un acto administrativo la justificación para contratar bajo la modalidad de contratación directa, el cual debe contener:</w:t>
      </w:r>
    </w:p>
    <w:p w14:paraId="16D69DBF"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1. La causal que invoca para contratar directamente.</w:t>
      </w:r>
    </w:p>
    <w:p w14:paraId="426E58DE"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2. El objeto del contrato.</w:t>
      </w:r>
    </w:p>
    <w:p w14:paraId="1E540422"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3. El presupuesto para la contratación y las condiciones que exigirá al contratista.</w:t>
      </w:r>
    </w:p>
    <w:p w14:paraId="182F4AC5"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4. El lugar en el cual los interesados pueden consultar los estudios y documentos previos.</w:t>
      </w:r>
    </w:p>
    <w:p w14:paraId="695426CE" w14:textId="77777777" w:rsidR="000310B7"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43D0657F" w14:textId="77777777" w:rsidR="000310B7" w:rsidRPr="00A45A38" w:rsidRDefault="000310B7" w:rsidP="00A45A38">
      <w:pPr>
        <w:pStyle w:val="Textonotapie"/>
        <w:ind w:firstLine="709"/>
        <w:jc w:val="both"/>
        <w:rPr>
          <w:rFonts w:ascii="Century Gothic" w:hAnsi="Century Gothic" w:cs="Arial"/>
          <w:sz w:val="18"/>
          <w:szCs w:val="18"/>
          <w:lang w:val="es-ES"/>
        </w:rPr>
      </w:pPr>
    </w:p>
  </w:footnote>
  <w:footnote w:id="14">
    <w:p w14:paraId="5C61925D"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sz w:val="18"/>
          <w:szCs w:val="18"/>
          <w:lang w:val="es-ES"/>
        </w:rPr>
        <w:t xml:space="preserve">La norma expresa: “Art. 14. </w:t>
      </w:r>
      <w:r w:rsidRPr="00A45A38">
        <w:rPr>
          <w:rFonts w:ascii="Century Gothic" w:hAnsi="Century Gothic" w:cs="Arial"/>
          <w:sz w:val="18"/>
          <w:szCs w:val="18"/>
        </w:rPr>
        <w:t>P</w:t>
      </w:r>
      <w:r w:rsidRPr="00A45A38">
        <w:rPr>
          <w:rFonts w:ascii="Century Gothic" w:hAnsi="Century Gothic" w:cs="Arial"/>
          <w:sz w:val="18"/>
          <w:szCs w:val="18"/>
          <w:lang w:val="es-ES"/>
        </w:rPr>
        <w:t>ara el cumplimiento de los fines de la contratación, las entidades estatales al celebrar un contrato:</w:t>
      </w:r>
    </w:p>
    <w:p w14:paraId="2638D859"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w:t>
      </w:r>
    </w:p>
    <w:p w14:paraId="6DD08AA6"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463E49C"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Las entidades estatales podrán pactar estas cláusulas en los contratos de suministro y de prestación de servicios.</w:t>
      </w:r>
    </w:p>
    <w:p w14:paraId="37461A80"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w:t>
      </w:r>
    </w:p>
    <w:p w14:paraId="177374A6" w14:textId="77777777" w:rsidR="000310B7" w:rsidRPr="00A45A38" w:rsidRDefault="000310B7" w:rsidP="00A45A38">
      <w:pPr>
        <w:pStyle w:val="Textonotapie"/>
        <w:ind w:firstLine="709"/>
        <w:jc w:val="both"/>
        <w:rPr>
          <w:rFonts w:ascii="Century Gothic" w:hAnsi="Century Gothic" w:cs="Arial"/>
          <w:sz w:val="18"/>
          <w:szCs w:val="18"/>
          <w:lang w:val="es-ES"/>
        </w:rPr>
      </w:pPr>
    </w:p>
  </w:footnote>
  <w:footnote w:id="15">
    <w:p w14:paraId="434EB71B"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sz w:val="18"/>
          <w:szCs w:val="18"/>
          <w:lang w:val="es-ES"/>
        </w:rPr>
        <w:t>La norma dispone: “La liquidación a que se refiere el presente artículo no será obligatoria en los contratos de prestación de servicios profesionales y de apoyo a la gestión”.</w:t>
      </w:r>
    </w:p>
    <w:p w14:paraId="3DD3667E" w14:textId="77777777" w:rsidR="000310B7" w:rsidRPr="00A45A38" w:rsidRDefault="000310B7" w:rsidP="00A45A38">
      <w:pPr>
        <w:pStyle w:val="Textonotapie"/>
        <w:ind w:firstLine="709"/>
        <w:jc w:val="both"/>
        <w:rPr>
          <w:rFonts w:ascii="Century Gothic" w:hAnsi="Century Gothic" w:cs="Arial"/>
          <w:sz w:val="18"/>
          <w:szCs w:val="18"/>
          <w:lang w:val="es-ES"/>
        </w:rPr>
      </w:pPr>
    </w:p>
  </w:footnote>
  <w:footnote w:id="16">
    <w:p w14:paraId="720FC7E3" w14:textId="77777777" w:rsidR="000310B7" w:rsidRPr="00A45A38" w:rsidRDefault="000310B7" w:rsidP="00A45A38">
      <w:pPr>
        <w:pStyle w:val="Textonotapie"/>
        <w:ind w:firstLine="709"/>
        <w:jc w:val="both"/>
        <w:rPr>
          <w:rFonts w:ascii="Century Gothic" w:hAnsi="Century Gothic" w:cs="Arial"/>
          <w:sz w:val="18"/>
          <w:szCs w:val="18"/>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27440AE" w14:textId="77777777" w:rsidR="000310B7" w:rsidRPr="00A45A38" w:rsidRDefault="000310B7" w:rsidP="00A45A38">
      <w:pPr>
        <w:pStyle w:val="Textonotapie"/>
        <w:ind w:firstLine="709"/>
        <w:jc w:val="both"/>
        <w:rPr>
          <w:rFonts w:ascii="Century Gothic" w:hAnsi="Century Gothic" w:cs="Arial"/>
          <w:sz w:val="18"/>
          <w:szCs w:val="18"/>
        </w:rPr>
      </w:pPr>
      <w:r w:rsidRPr="00A45A38">
        <w:rPr>
          <w:rFonts w:ascii="Century Gothic" w:hAnsi="Century Gothic"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20E23EBC" w14:textId="77777777" w:rsidR="000310B7" w:rsidRPr="00A45A38" w:rsidRDefault="000310B7" w:rsidP="00A45A38">
      <w:pPr>
        <w:pStyle w:val="Textonotapie"/>
        <w:ind w:firstLine="709"/>
        <w:jc w:val="both"/>
        <w:rPr>
          <w:rFonts w:ascii="Century Gothic" w:hAnsi="Century Gothic" w:cs="Arial"/>
          <w:sz w:val="18"/>
          <w:szCs w:val="18"/>
        </w:rPr>
      </w:pPr>
      <w:r w:rsidRPr="00A45A38">
        <w:rPr>
          <w:rFonts w:ascii="Century Gothic" w:hAnsi="Century Gothic" w:cs="Arial"/>
          <w:sz w:val="18"/>
          <w:szCs w:val="18"/>
        </w:rPr>
        <w:t>[…]”.</w:t>
      </w:r>
    </w:p>
    <w:p w14:paraId="228D7EE0" w14:textId="77777777" w:rsidR="000310B7" w:rsidRPr="00A45A38" w:rsidRDefault="000310B7" w:rsidP="00A45A38">
      <w:pPr>
        <w:pStyle w:val="Textonotapie"/>
        <w:ind w:firstLine="709"/>
        <w:jc w:val="both"/>
        <w:rPr>
          <w:rFonts w:ascii="Century Gothic" w:hAnsi="Century Gothic" w:cs="Arial"/>
          <w:sz w:val="18"/>
          <w:szCs w:val="18"/>
          <w:lang w:val="es-ES"/>
        </w:rPr>
      </w:pPr>
    </w:p>
  </w:footnote>
  <w:footnote w:id="17">
    <w:p w14:paraId="29492347" w14:textId="77777777" w:rsidR="000310B7" w:rsidRPr="00A45A38" w:rsidRDefault="000310B7" w:rsidP="00A45A38">
      <w:pPr>
        <w:pStyle w:val="Textonotapie"/>
        <w:ind w:firstLine="709"/>
        <w:jc w:val="both"/>
        <w:rPr>
          <w:rFonts w:ascii="Century Gothic" w:hAnsi="Century Gothic" w:cs="Arial"/>
          <w:sz w:val="18"/>
          <w:szCs w:val="18"/>
          <w:lang w:val="es-ES"/>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sz w:val="18"/>
          <w:szCs w:val="18"/>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75DB34B4" w14:textId="77777777" w:rsidR="000310B7" w:rsidRPr="00A45A38" w:rsidRDefault="000310B7" w:rsidP="00A45A38">
      <w:pPr>
        <w:pStyle w:val="Textonotapie"/>
        <w:ind w:firstLine="709"/>
        <w:jc w:val="both"/>
        <w:rPr>
          <w:rFonts w:ascii="Century Gothic" w:hAnsi="Century Gothic" w:cs="Arial"/>
          <w:sz w:val="18"/>
          <w:szCs w:val="18"/>
          <w:lang w:val="es-ES"/>
        </w:rPr>
      </w:pPr>
    </w:p>
  </w:footnote>
  <w:footnote w:id="18">
    <w:p w14:paraId="05089527" w14:textId="77777777" w:rsidR="0035074A" w:rsidRPr="00A45A38" w:rsidRDefault="0035074A" w:rsidP="00A45A38">
      <w:pPr>
        <w:pStyle w:val="Textonotapie"/>
        <w:ind w:firstLine="709"/>
        <w:jc w:val="both"/>
        <w:rPr>
          <w:rFonts w:ascii="Century Gothic" w:hAnsi="Century Gothic" w:cs="Arial"/>
          <w:sz w:val="18"/>
          <w:szCs w:val="18"/>
          <w:lang w:val="es-ES"/>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sz w:val="18"/>
          <w:szCs w:val="18"/>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354EA78D" w14:textId="77777777" w:rsidR="0035074A" w:rsidRPr="00A45A38" w:rsidRDefault="0035074A"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57E9069" w14:textId="77777777" w:rsidR="0035074A" w:rsidRPr="00A45A38" w:rsidRDefault="0035074A" w:rsidP="00A45A38">
      <w:pPr>
        <w:pStyle w:val="Textonotapie"/>
        <w:ind w:firstLine="709"/>
        <w:jc w:val="both"/>
        <w:rPr>
          <w:rFonts w:ascii="Century Gothic" w:hAnsi="Century Gothic" w:cs="Arial"/>
          <w:sz w:val="18"/>
          <w:szCs w:val="18"/>
          <w:lang w:val="es-ES"/>
        </w:rPr>
      </w:pPr>
      <w:r w:rsidRPr="00A45A38">
        <w:rPr>
          <w:rFonts w:ascii="Century Gothic" w:hAnsi="Century Gothic" w:cs="Arial"/>
          <w:sz w:val="18"/>
          <w:szCs w:val="18"/>
          <w:lang w:val="es-ES"/>
        </w:rPr>
        <w:t>La Entidad Estatal, para la contratación de trabajos artísticos que solamente puedan en</w:t>
      </w:r>
      <w:r w:rsidRPr="00A45A38">
        <w:rPr>
          <w:rFonts w:ascii="Century Gothic" w:hAnsi="Century Gothic" w:cs="Arial"/>
          <w:sz w:val="18"/>
          <w:szCs w:val="18"/>
          <w:lang w:val="es-ES"/>
        </w:rPr>
        <w:softHyphen/>
        <w:t>comendarse a determinadas personas naturales, debe justificar esta situación en los estudios y documentos previos”.</w:t>
      </w:r>
    </w:p>
    <w:p w14:paraId="0376CADD" w14:textId="77777777" w:rsidR="0035074A" w:rsidRPr="00A45A38" w:rsidRDefault="0035074A" w:rsidP="00A45A38">
      <w:pPr>
        <w:pStyle w:val="Textonotapie"/>
        <w:ind w:firstLine="709"/>
        <w:jc w:val="both"/>
        <w:rPr>
          <w:rFonts w:ascii="Century Gothic" w:hAnsi="Century Gothic" w:cs="Arial"/>
          <w:sz w:val="18"/>
          <w:szCs w:val="18"/>
          <w:lang w:val="es-ES"/>
        </w:rPr>
      </w:pPr>
    </w:p>
  </w:footnote>
  <w:footnote w:id="19">
    <w:p w14:paraId="7F513508" w14:textId="77777777" w:rsidR="0035074A" w:rsidRPr="00A45A38" w:rsidRDefault="0035074A" w:rsidP="00A45A38">
      <w:pPr>
        <w:pStyle w:val="Textonotapie"/>
        <w:ind w:firstLine="709"/>
        <w:jc w:val="both"/>
        <w:rPr>
          <w:rFonts w:ascii="Century Gothic" w:hAnsi="Century Gothic" w:cs="Arial"/>
          <w:sz w:val="18"/>
          <w:szCs w:val="18"/>
          <w:lang w:val="es-ES"/>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sz w:val="18"/>
          <w:szCs w:val="18"/>
          <w:lang w:val="es-ES"/>
        </w:rPr>
        <w:t>Consejo de Estado. Sección Tercera. Subsección C. Sentencia de Unificación del 2 de diciembre de 2013. Exp. 41.719. C.P. Jaime Orlando Santofimio Gamboa.</w:t>
      </w:r>
    </w:p>
    <w:p w14:paraId="696C6F50" w14:textId="77777777" w:rsidR="0035074A" w:rsidRPr="00A45A38" w:rsidRDefault="0035074A" w:rsidP="00A45A38">
      <w:pPr>
        <w:pStyle w:val="Textonotapie"/>
        <w:ind w:firstLine="709"/>
        <w:jc w:val="both"/>
        <w:rPr>
          <w:rFonts w:ascii="Century Gothic" w:hAnsi="Century Gothic" w:cs="Arial"/>
          <w:sz w:val="18"/>
          <w:szCs w:val="18"/>
          <w:lang w:val="es-ES"/>
        </w:rPr>
      </w:pPr>
    </w:p>
  </w:footnote>
  <w:footnote w:id="20">
    <w:p w14:paraId="7FF73031" w14:textId="77777777" w:rsidR="0035074A" w:rsidRPr="00A45A38" w:rsidRDefault="0035074A" w:rsidP="00A45A38">
      <w:pPr>
        <w:pStyle w:val="Textonotapie"/>
        <w:ind w:firstLine="709"/>
        <w:jc w:val="both"/>
        <w:rPr>
          <w:rFonts w:ascii="Century Gothic" w:hAnsi="Century Gothic" w:cs="Arial"/>
          <w:sz w:val="18"/>
          <w:szCs w:val="18"/>
          <w:lang w:val="es-ES"/>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sz w:val="18"/>
          <w:szCs w:val="18"/>
          <w:lang w:val="es-ES"/>
        </w:rPr>
        <w:t>Ibíd.</w:t>
      </w:r>
    </w:p>
    <w:p w14:paraId="4900C9BA" w14:textId="77777777" w:rsidR="0035074A" w:rsidRPr="00A45A38" w:rsidRDefault="0035074A" w:rsidP="00A45A38">
      <w:pPr>
        <w:pStyle w:val="Textonotapie"/>
        <w:ind w:firstLine="709"/>
        <w:jc w:val="both"/>
        <w:rPr>
          <w:rFonts w:ascii="Century Gothic" w:hAnsi="Century Gothic" w:cs="Arial"/>
          <w:sz w:val="18"/>
          <w:szCs w:val="18"/>
          <w:lang w:val="es-ES"/>
        </w:rPr>
      </w:pPr>
    </w:p>
  </w:footnote>
  <w:footnote w:id="21">
    <w:p w14:paraId="3E47BD36" w14:textId="77777777" w:rsidR="0035074A" w:rsidRPr="00A45A38" w:rsidRDefault="0035074A" w:rsidP="00A45A38">
      <w:pPr>
        <w:pStyle w:val="Textonotapie"/>
        <w:ind w:firstLine="709"/>
        <w:jc w:val="both"/>
        <w:rPr>
          <w:rFonts w:ascii="Century Gothic" w:hAnsi="Century Gothic" w:cs="Arial"/>
          <w:sz w:val="18"/>
          <w:szCs w:val="18"/>
          <w:lang w:val="es-ES"/>
        </w:rPr>
      </w:pPr>
      <w:r w:rsidRPr="00A45A38">
        <w:rPr>
          <w:rStyle w:val="Refdenotaalpi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hAnsi="Century Gothic" w:cs="Arial"/>
          <w:sz w:val="18"/>
          <w:szCs w:val="18"/>
          <w:lang w:val="es-ES"/>
        </w:rPr>
        <w:t>Ibíd.</w:t>
      </w:r>
    </w:p>
  </w:footnote>
  <w:footnote w:id="22">
    <w:p w14:paraId="30FAE4E8" w14:textId="77777777" w:rsidR="006E7889" w:rsidRPr="00A45A38" w:rsidRDefault="006E7889" w:rsidP="00A45A38">
      <w:pPr>
        <w:pStyle w:val="Textonotapie"/>
        <w:ind w:right="-141" w:firstLine="720"/>
        <w:jc w:val="both"/>
        <w:rPr>
          <w:rFonts w:ascii="Century Gothic" w:hAnsi="Century Gothic" w:cs="Arial"/>
          <w:sz w:val="18"/>
          <w:szCs w:val="18"/>
          <w:lang w:val="es-ES_tradnl"/>
        </w:rPr>
      </w:pPr>
      <w:r w:rsidRPr="00A45A38">
        <w:rPr>
          <w:rStyle w:val="Refdenotaalpie"/>
          <w:rFonts w:ascii="Century Gothic" w:hAnsi="Century Gothic" w:cs="Arial"/>
          <w:sz w:val="18"/>
          <w:szCs w:val="18"/>
        </w:rPr>
        <w:footnoteRef/>
      </w:r>
      <w:r w:rsidRPr="00A45A38">
        <w:rPr>
          <w:rFonts w:ascii="Century Gothic" w:hAnsi="Century Gothic" w:cs="Arial"/>
          <w:sz w:val="18"/>
          <w:szCs w:val="18"/>
          <w:lang w:val="es-CO"/>
        </w:rPr>
        <w:t xml:space="preserve"> CORTE CONSTITUCIONAL, </w:t>
      </w:r>
      <w:r w:rsidRPr="00A45A38">
        <w:rPr>
          <w:rFonts w:ascii="Century Gothic" w:hAnsi="Century Gothic" w:cs="Arial"/>
          <w:sz w:val="18"/>
          <w:szCs w:val="18"/>
          <w:lang w:val="es-ES_tradnl"/>
        </w:rPr>
        <w:t xml:space="preserve">Sentencia C-768 de 23 de septiembre de 2010. </w:t>
      </w:r>
      <w:r w:rsidRPr="00A45A38">
        <w:rPr>
          <w:rFonts w:ascii="Century Gothic" w:hAnsi="Century Gothic" w:cs="Arial"/>
          <w:sz w:val="18"/>
          <w:szCs w:val="18"/>
          <w:lang w:val="es-CO"/>
        </w:rPr>
        <w:t>M.P.: Juan Carlos Henao Pérez</w:t>
      </w:r>
      <w:r w:rsidRPr="00A45A38">
        <w:rPr>
          <w:rFonts w:ascii="Century Gothic" w:hAnsi="Century Gothic" w:cs="Arial"/>
          <w:sz w:val="18"/>
          <w:szCs w:val="18"/>
          <w:lang w:val="es-ES_tradnl"/>
        </w:rPr>
        <w:t xml:space="preserve"> indicó: “</w:t>
      </w:r>
      <w:r w:rsidRPr="00A45A38">
        <w:rPr>
          <w:rFonts w:ascii="Century Gothic" w:hAnsi="Century Gothic" w:cs="Arial"/>
          <w:i/>
          <w:sz w:val="18"/>
          <w:szCs w:val="18"/>
          <w:lang w:val="es-ES_tradnl"/>
        </w:rPr>
        <w:t>Para explicar esta afirmación conviene señalar que las estampillas han sido definidas por la jurisprudencia del Consejo de Estado</w:t>
      </w:r>
      <w:r w:rsidRPr="00A45A38">
        <w:rPr>
          <w:rFonts w:ascii="Century Gothic" w:hAnsi="Century Gothic" w:cs="Arial"/>
          <w:sz w:val="18"/>
          <w:szCs w:val="18"/>
          <w:lang w:val="es-ES_tradnl"/>
        </w:rPr>
        <w:t xml:space="preserve"> (…) </w:t>
      </w:r>
      <w:r w:rsidRPr="00A45A38">
        <w:rPr>
          <w:rFonts w:ascii="Century Gothic" w:hAnsi="Century Gothic" w:cs="Arial"/>
          <w:i/>
          <w:sz w:val="18"/>
          <w:szCs w:val="18"/>
          <w:lang w:val="es-ES_tradnl"/>
        </w:rPr>
        <w:t>como tributos dentro de la especie de “tasas parafiscales”, en la medida en que participan de la naturaleza de las contribuciones parafiscales, pues constituyen un gravamen cuyo pago obligatorio deben realizar los usuarios de algunas operaciones o actividades que se realizan frente a organismos de carácter público; son de carácter excepcional en cuanto al sujeto pasivo del tributo; los recursos se revierten en beneficio de un sector específico; y están destinados a sufragar gastos en que incurran las entidades que desarrollan o prestan un servicio público, como función propia del Estado.</w:t>
      </w:r>
      <w:r w:rsidRPr="00A45A38">
        <w:rPr>
          <w:rFonts w:ascii="Century Gothic" w:hAnsi="Century Gothic" w:cs="Arial"/>
          <w:sz w:val="18"/>
          <w:szCs w:val="18"/>
          <w:lang w:val="es-ES_tradnl"/>
        </w:rPr>
        <w:t xml:space="preserve"> //</w:t>
      </w:r>
      <w:r w:rsidRPr="00A45A38">
        <w:rPr>
          <w:rFonts w:ascii="Century Gothic" w:hAnsi="Century Gothic" w:cs="Arial"/>
          <w:i/>
          <w:sz w:val="18"/>
          <w:szCs w:val="18"/>
          <w:lang w:val="es-ES_tradnl"/>
        </w:rPr>
        <w:t xml:space="preserve"> La “tasa” si bien puede corresponder a la prestación directa de un servicio </w:t>
      </w:r>
      <w:r w:rsidRPr="00A45A38">
        <w:rPr>
          <w:rFonts w:ascii="Century Gothic" w:hAnsi="Century Gothic" w:cs="Arial"/>
          <w:sz w:val="18"/>
          <w:szCs w:val="18"/>
          <w:lang w:val="es-CO"/>
        </w:rPr>
        <w:t>público</w:t>
      </w:r>
      <w:r w:rsidRPr="00A45A38">
        <w:rPr>
          <w:rFonts w:ascii="Century Gothic" w:hAnsi="Century Gothic" w:cs="Arial"/>
          <w:i/>
          <w:sz w:val="18"/>
          <w:szCs w:val="18"/>
          <w:lang w:val="es-ES_tradnl"/>
        </w:rPr>
        <w:t>, del cual es usuario el contribuyente que se beneficia efectivamente, también puede corresponder al beneficio potencial por la utilización de servicios de aprovechamiento común, como la educación, la salud, el deporte, la cultura, es decir, que el gravamen se revierte en beneficio social. Las primeras se definen como tasas administrativas en cuanto equivalen a la remuneración pagada por los servicios administrativos y, las segundas, como tasas parafiscales que son las percibidas en beneficio de organismos públicos o privados, pero no por la prestación de un servicio propiamente dicho, sino por contener un carácter social</w:t>
      </w:r>
      <w:r w:rsidRPr="00A45A38">
        <w:rPr>
          <w:rFonts w:ascii="Century Gothic" w:hAnsi="Century Gothic" w:cs="Arial"/>
          <w:sz w:val="18"/>
          <w:szCs w:val="18"/>
          <w:lang w:val="es-ES_tradnl"/>
        </w:rPr>
        <w:t>”.</w:t>
      </w:r>
    </w:p>
    <w:p w14:paraId="242C6708" w14:textId="77777777" w:rsidR="006E7889" w:rsidRPr="00A45A38" w:rsidRDefault="006E7889" w:rsidP="00A45A38">
      <w:pPr>
        <w:pStyle w:val="Textonotapie"/>
        <w:ind w:firstLine="720"/>
        <w:jc w:val="both"/>
        <w:rPr>
          <w:rFonts w:ascii="Century Gothic" w:hAnsi="Century Gothic" w:cs="Arial"/>
          <w:sz w:val="18"/>
          <w:szCs w:val="18"/>
          <w:lang w:val="es-CO"/>
        </w:rPr>
      </w:pPr>
    </w:p>
  </w:footnote>
  <w:footnote w:id="23">
    <w:p w14:paraId="56797413" w14:textId="77777777" w:rsidR="006E7889" w:rsidRDefault="006E7889" w:rsidP="00A45A38">
      <w:pPr>
        <w:pStyle w:val="Textonotapie"/>
        <w:ind w:firstLine="720"/>
        <w:jc w:val="both"/>
        <w:rPr>
          <w:rFonts w:ascii="Century Gothic" w:hAnsi="Century Gothic" w:cs="Arial"/>
          <w:sz w:val="18"/>
          <w:szCs w:val="18"/>
          <w:lang w:val="es-CO"/>
        </w:rPr>
      </w:pPr>
      <w:r w:rsidRPr="00A45A38">
        <w:rPr>
          <w:rStyle w:val="Refdenotaalpie"/>
          <w:rFonts w:ascii="Century Gothic" w:hAnsi="Century Gothic" w:cs="Arial"/>
          <w:sz w:val="18"/>
          <w:szCs w:val="18"/>
        </w:rPr>
        <w:footnoteRef/>
      </w:r>
      <w:r w:rsidRPr="00A45A38">
        <w:rPr>
          <w:rFonts w:ascii="Century Gothic" w:hAnsi="Century Gothic" w:cs="Arial"/>
          <w:sz w:val="18"/>
          <w:szCs w:val="18"/>
          <w:lang w:val="es-CO"/>
        </w:rPr>
        <w:t xml:space="preserve"> CORTE CONSTITUCIONAL, </w:t>
      </w:r>
      <w:r w:rsidRPr="00A45A38">
        <w:rPr>
          <w:rFonts w:ascii="Century Gothic" w:hAnsi="Century Gothic" w:cs="Arial"/>
          <w:sz w:val="18"/>
          <w:szCs w:val="18"/>
          <w:lang w:val="es-ES_tradnl"/>
        </w:rPr>
        <w:t>Sentencia C-221 de 22 de mayo de 2019. M.P. Carlos Bernal Pulido. En la sentencia se indicó que la estampilla ‘</w:t>
      </w:r>
      <w:r w:rsidRPr="00A45A38">
        <w:rPr>
          <w:rFonts w:ascii="Century Gothic" w:hAnsi="Century Gothic" w:cs="Arial"/>
          <w:i/>
          <w:sz w:val="18"/>
          <w:szCs w:val="18"/>
          <w:lang w:val="es-ES_tradnl"/>
        </w:rPr>
        <w:t>Pro-Universidad Nacional de Colombia y demás universidades estatales de Colombia</w:t>
      </w:r>
      <w:r w:rsidRPr="00A45A38">
        <w:rPr>
          <w:rFonts w:ascii="Century Gothic" w:hAnsi="Century Gothic" w:cs="Arial"/>
          <w:sz w:val="18"/>
          <w:szCs w:val="18"/>
          <w:lang w:val="es-ES_tradnl"/>
        </w:rPr>
        <w:t xml:space="preserve">’ indicó que se trataba de un impuesto </w:t>
      </w:r>
      <w:r w:rsidRPr="00A45A38">
        <w:rPr>
          <w:rFonts w:ascii="Century Gothic" w:hAnsi="Century Gothic" w:cs="Arial"/>
          <w:sz w:val="18"/>
          <w:szCs w:val="18"/>
          <w:lang w:val="es-CO"/>
        </w:rPr>
        <w:t>con destinación específica “</w:t>
      </w:r>
      <w:r w:rsidRPr="00A45A38">
        <w:rPr>
          <w:rFonts w:ascii="Century Gothic" w:hAnsi="Century Gothic" w:cs="Arial"/>
          <w:i/>
          <w:sz w:val="18"/>
          <w:szCs w:val="18"/>
          <w:lang w:val="es-CO"/>
        </w:rPr>
        <w:t>pues se trata de una</w:t>
      </w:r>
      <w:r w:rsidRPr="00A45A38">
        <w:rPr>
          <w:rFonts w:ascii="Century Gothic" w:hAnsi="Century Gothic" w:cs="Arial"/>
          <w:sz w:val="18"/>
          <w:szCs w:val="18"/>
          <w:lang w:val="es-CO"/>
        </w:rPr>
        <w:t xml:space="preserve"> “</w:t>
      </w:r>
      <w:r w:rsidRPr="00A45A38">
        <w:rPr>
          <w:rFonts w:ascii="Century Gothic" w:hAnsi="Century Gothic" w:cs="Arial"/>
          <w:i/>
          <w:sz w:val="18"/>
          <w:szCs w:val="18"/>
          <w:bdr w:val="none" w:sz="0" w:space="0" w:color="auto" w:frame="1"/>
          <w:lang w:val="es-CO"/>
        </w:rPr>
        <w:t>imposición obligatoria y definitiva que no guarda relación directa e inmediata con la prestación de un bien o un servicio por parte del Estado al ciudadano”</w:t>
      </w:r>
      <w:r w:rsidRPr="00A45A38">
        <w:rPr>
          <w:rFonts w:ascii="Century Gothic" w:hAnsi="Century Gothic" w:cs="Arial"/>
          <w:sz w:val="18"/>
          <w:szCs w:val="18"/>
          <w:lang w:val="es-CO"/>
        </w:rPr>
        <w:t xml:space="preserve"> (…)”</w:t>
      </w:r>
    </w:p>
    <w:p w14:paraId="5F37CED3" w14:textId="77777777" w:rsidR="006E7889" w:rsidRPr="00A45A38" w:rsidRDefault="006E7889" w:rsidP="00A45A38">
      <w:pPr>
        <w:pStyle w:val="Textonotapie"/>
        <w:ind w:firstLine="720"/>
        <w:jc w:val="both"/>
        <w:rPr>
          <w:rFonts w:ascii="Century Gothic" w:hAnsi="Century Gothic" w:cs="Arial"/>
          <w:sz w:val="18"/>
          <w:szCs w:val="18"/>
          <w:lang w:val="es-CO"/>
        </w:rPr>
      </w:pPr>
    </w:p>
  </w:footnote>
  <w:footnote w:id="24">
    <w:p w14:paraId="71CD6708" w14:textId="77777777" w:rsidR="0056325A" w:rsidRPr="00A45A38" w:rsidRDefault="0056325A" w:rsidP="00A45A38">
      <w:pPr>
        <w:pStyle w:val="Textonotapie"/>
        <w:ind w:firstLine="709"/>
        <w:contextualSpacing/>
        <w:jc w:val="both"/>
        <w:rPr>
          <w:rFonts w:ascii="Century Gothic" w:hAnsi="Century Gothic" w:cs="Arial"/>
          <w:color w:val="000000" w:themeColor="text1"/>
          <w:sz w:val="18"/>
          <w:szCs w:val="18"/>
        </w:rPr>
      </w:pPr>
      <w:r w:rsidRPr="00A45A38">
        <w:rPr>
          <w:rStyle w:val="Refdenotaalpie"/>
          <w:rFonts w:ascii="Century Gothic" w:hAnsi="Century Gothic" w:cs="Arial"/>
          <w:color w:val="000000" w:themeColor="text1"/>
          <w:sz w:val="18"/>
          <w:szCs w:val="18"/>
        </w:rPr>
        <w:footnoteRef/>
      </w:r>
      <w:r w:rsidRPr="00A45A38">
        <w:rPr>
          <w:rFonts w:ascii="Century Gothic" w:hAnsi="Century Gothic" w:cs="Arial"/>
          <w:color w:val="000000" w:themeColor="text1"/>
          <w:sz w:val="18"/>
          <w:szCs w:val="18"/>
        </w:rPr>
        <w:t xml:space="preserve"> Corte Constitucional. Sentencia C-317 de 2012. M.P. María Victoria Calle Correa. </w:t>
      </w:r>
    </w:p>
    <w:p w14:paraId="6FF699E9" w14:textId="77777777" w:rsidR="0056325A" w:rsidRPr="00A45A38" w:rsidRDefault="0056325A" w:rsidP="00A45A38">
      <w:pPr>
        <w:pStyle w:val="Textonotapie"/>
        <w:ind w:firstLine="709"/>
        <w:contextualSpacing/>
        <w:jc w:val="both"/>
        <w:rPr>
          <w:rFonts w:ascii="Century Gothic" w:hAnsi="Century Gothic" w:cs="Arial"/>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1B13"/>
      </v:shape>
    </w:pict>
  </w:numPicBullet>
  <w:abstractNum w:abstractNumId="0" w15:restartNumberingAfterBreak="0">
    <w:nsid w:val="0075455F"/>
    <w:multiLevelType w:val="multilevel"/>
    <w:tmpl w:val="97C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4202804">
    <w:abstractNumId w:val="6"/>
  </w:num>
  <w:num w:numId="2" w16cid:durableId="2138595451">
    <w:abstractNumId w:val="2"/>
  </w:num>
  <w:num w:numId="3" w16cid:durableId="1119177380">
    <w:abstractNumId w:val="4"/>
  </w:num>
  <w:num w:numId="4" w16cid:durableId="411048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4615800">
    <w:abstractNumId w:val="2"/>
  </w:num>
  <w:num w:numId="6" w16cid:durableId="1736972793">
    <w:abstractNumId w:val="12"/>
  </w:num>
  <w:num w:numId="7" w16cid:durableId="807239573">
    <w:abstractNumId w:val="5"/>
  </w:num>
  <w:num w:numId="8" w16cid:durableId="488711543">
    <w:abstractNumId w:val="11"/>
  </w:num>
  <w:num w:numId="9" w16cid:durableId="643241845">
    <w:abstractNumId w:val="7"/>
  </w:num>
  <w:num w:numId="10" w16cid:durableId="1179320593">
    <w:abstractNumId w:val="10"/>
  </w:num>
  <w:num w:numId="11" w16cid:durableId="598803929">
    <w:abstractNumId w:val="8"/>
  </w:num>
  <w:num w:numId="12" w16cid:durableId="1961108719">
    <w:abstractNumId w:val="1"/>
  </w:num>
  <w:num w:numId="13" w16cid:durableId="603001266">
    <w:abstractNumId w:val="3"/>
  </w:num>
  <w:num w:numId="14" w16cid:durableId="836118555">
    <w:abstractNumId w:val="13"/>
  </w:num>
  <w:num w:numId="15" w16cid:durableId="700131612">
    <w:abstractNumId w:val="9"/>
  </w:num>
  <w:num w:numId="16" w16cid:durableId="75092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998"/>
    <w:rsid w:val="000021D3"/>
    <w:rsid w:val="00004E30"/>
    <w:rsid w:val="000310B7"/>
    <w:rsid w:val="0004082E"/>
    <w:rsid w:val="000447C6"/>
    <w:rsid w:val="00061B2A"/>
    <w:rsid w:val="00062934"/>
    <w:rsid w:val="00076662"/>
    <w:rsid w:val="00082362"/>
    <w:rsid w:val="000A683E"/>
    <w:rsid w:val="000A7971"/>
    <w:rsid w:val="000B19B9"/>
    <w:rsid w:val="000D0334"/>
    <w:rsid w:val="000D3EE5"/>
    <w:rsid w:val="000E078B"/>
    <w:rsid w:val="000E0A56"/>
    <w:rsid w:val="000E1B4C"/>
    <w:rsid w:val="000E1F9B"/>
    <w:rsid w:val="000F6486"/>
    <w:rsid w:val="00125105"/>
    <w:rsid w:val="00127233"/>
    <w:rsid w:val="001276DB"/>
    <w:rsid w:val="00132AA8"/>
    <w:rsid w:val="0014008D"/>
    <w:rsid w:val="00156046"/>
    <w:rsid w:val="001C5A63"/>
    <w:rsid w:val="001D43B9"/>
    <w:rsid w:val="001E2CE3"/>
    <w:rsid w:val="001E4177"/>
    <w:rsid w:val="001F42FE"/>
    <w:rsid w:val="001F7DC6"/>
    <w:rsid w:val="00202914"/>
    <w:rsid w:val="00210A8F"/>
    <w:rsid w:val="00216BCE"/>
    <w:rsid w:val="002421BB"/>
    <w:rsid w:val="0025572D"/>
    <w:rsid w:val="002620E4"/>
    <w:rsid w:val="002707A2"/>
    <w:rsid w:val="002951A0"/>
    <w:rsid w:val="002962BC"/>
    <w:rsid w:val="002A093D"/>
    <w:rsid w:val="002A0DD0"/>
    <w:rsid w:val="002A49AC"/>
    <w:rsid w:val="002A64FD"/>
    <w:rsid w:val="002B3C8F"/>
    <w:rsid w:val="002B48E6"/>
    <w:rsid w:val="002B6F6C"/>
    <w:rsid w:val="002C7A84"/>
    <w:rsid w:val="002D39B0"/>
    <w:rsid w:val="002E4FD9"/>
    <w:rsid w:val="002E5907"/>
    <w:rsid w:val="002F1AB4"/>
    <w:rsid w:val="002F43E1"/>
    <w:rsid w:val="002F6600"/>
    <w:rsid w:val="003200E8"/>
    <w:rsid w:val="00322907"/>
    <w:rsid w:val="00322A85"/>
    <w:rsid w:val="00333EDB"/>
    <w:rsid w:val="003448F4"/>
    <w:rsid w:val="0035074A"/>
    <w:rsid w:val="00354E47"/>
    <w:rsid w:val="003663E7"/>
    <w:rsid w:val="0037438B"/>
    <w:rsid w:val="00374F5E"/>
    <w:rsid w:val="00377E3E"/>
    <w:rsid w:val="003A779E"/>
    <w:rsid w:val="003D0F4D"/>
    <w:rsid w:val="003D5B0D"/>
    <w:rsid w:val="003E0499"/>
    <w:rsid w:val="003E1F8D"/>
    <w:rsid w:val="003F3941"/>
    <w:rsid w:val="004015B9"/>
    <w:rsid w:val="00403896"/>
    <w:rsid w:val="00406575"/>
    <w:rsid w:val="00412F56"/>
    <w:rsid w:val="00420B61"/>
    <w:rsid w:val="0042722E"/>
    <w:rsid w:val="004702AD"/>
    <w:rsid w:val="0049409F"/>
    <w:rsid w:val="00494B11"/>
    <w:rsid w:val="004A1847"/>
    <w:rsid w:val="004A305D"/>
    <w:rsid w:val="004D69D9"/>
    <w:rsid w:val="004F21C4"/>
    <w:rsid w:val="004F5C9B"/>
    <w:rsid w:val="004F685F"/>
    <w:rsid w:val="00506091"/>
    <w:rsid w:val="00510895"/>
    <w:rsid w:val="005566E8"/>
    <w:rsid w:val="0056325A"/>
    <w:rsid w:val="00574867"/>
    <w:rsid w:val="00591460"/>
    <w:rsid w:val="005A2340"/>
    <w:rsid w:val="005A4FBB"/>
    <w:rsid w:val="005A560C"/>
    <w:rsid w:val="005C3777"/>
    <w:rsid w:val="005C4160"/>
    <w:rsid w:val="005C5CDC"/>
    <w:rsid w:val="005C7CE6"/>
    <w:rsid w:val="005D476C"/>
    <w:rsid w:val="005F3FA3"/>
    <w:rsid w:val="00602D16"/>
    <w:rsid w:val="006219F8"/>
    <w:rsid w:val="00632BAF"/>
    <w:rsid w:val="0064519C"/>
    <w:rsid w:val="00665D70"/>
    <w:rsid w:val="0068164C"/>
    <w:rsid w:val="0068782F"/>
    <w:rsid w:val="006900D9"/>
    <w:rsid w:val="0069037E"/>
    <w:rsid w:val="006A3680"/>
    <w:rsid w:val="006B262B"/>
    <w:rsid w:val="006E7889"/>
    <w:rsid w:val="006F0726"/>
    <w:rsid w:val="006F3297"/>
    <w:rsid w:val="006F6651"/>
    <w:rsid w:val="007032EE"/>
    <w:rsid w:val="00706C16"/>
    <w:rsid w:val="00740F5B"/>
    <w:rsid w:val="007441D7"/>
    <w:rsid w:val="00756841"/>
    <w:rsid w:val="007649AB"/>
    <w:rsid w:val="00771D0C"/>
    <w:rsid w:val="00782AA7"/>
    <w:rsid w:val="007833AC"/>
    <w:rsid w:val="007845D3"/>
    <w:rsid w:val="00793CE7"/>
    <w:rsid w:val="007959BC"/>
    <w:rsid w:val="007A6E93"/>
    <w:rsid w:val="007B0B3C"/>
    <w:rsid w:val="007B268C"/>
    <w:rsid w:val="007B5D94"/>
    <w:rsid w:val="007B7171"/>
    <w:rsid w:val="007C3DC2"/>
    <w:rsid w:val="007D14A8"/>
    <w:rsid w:val="007D77D6"/>
    <w:rsid w:val="007E5497"/>
    <w:rsid w:val="00806F5F"/>
    <w:rsid w:val="00820278"/>
    <w:rsid w:val="0087282A"/>
    <w:rsid w:val="008843B6"/>
    <w:rsid w:val="00891928"/>
    <w:rsid w:val="00894BBF"/>
    <w:rsid w:val="008A446D"/>
    <w:rsid w:val="008A6174"/>
    <w:rsid w:val="008B1C8C"/>
    <w:rsid w:val="008D180B"/>
    <w:rsid w:val="008D67E2"/>
    <w:rsid w:val="008E4029"/>
    <w:rsid w:val="008E4DF8"/>
    <w:rsid w:val="008F0EA7"/>
    <w:rsid w:val="008F2D5D"/>
    <w:rsid w:val="008F6921"/>
    <w:rsid w:val="009007C6"/>
    <w:rsid w:val="00906D8C"/>
    <w:rsid w:val="00923EEF"/>
    <w:rsid w:val="0093465A"/>
    <w:rsid w:val="009419F9"/>
    <w:rsid w:val="00943998"/>
    <w:rsid w:val="009619D5"/>
    <w:rsid w:val="00961B09"/>
    <w:rsid w:val="00962E4E"/>
    <w:rsid w:val="00965334"/>
    <w:rsid w:val="0097093E"/>
    <w:rsid w:val="009A6976"/>
    <w:rsid w:val="009C71FA"/>
    <w:rsid w:val="009C72E7"/>
    <w:rsid w:val="009E54A5"/>
    <w:rsid w:val="009F3A13"/>
    <w:rsid w:val="009F7337"/>
    <w:rsid w:val="00A055B6"/>
    <w:rsid w:val="00A122D3"/>
    <w:rsid w:val="00A13247"/>
    <w:rsid w:val="00A17F13"/>
    <w:rsid w:val="00A20739"/>
    <w:rsid w:val="00A33C78"/>
    <w:rsid w:val="00A45A38"/>
    <w:rsid w:val="00A5509F"/>
    <w:rsid w:val="00AB02C6"/>
    <w:rsid w:val="00AB0ADB"/>
    <w:rsid w:val="00AB628B"/>
    <w:rsid w:val="00AD5941"/>
    <w:rsid w:val="00AE5E65"/>
    <w:rsid w:val="00B01695"/>
    <w:rsid w:val="00B0526B"/>
    <w:rsid w:val="00B72CD3"/>
    <w:rsid w:val="00B72FFF"/>
    <w:rsid w:val="00B75B5E"/>
    <w:rsid w:val="00B77FF8"/>
    <w:rsid w:val="00B936D9"/>
    <w:rsid w:val="00B95016"/>
    <w:rsid w:val="00BC2073"/>
    <w:rsid w:val="00BC3D36"/>
    <w:rsid w:val="00BC5A28"/>
    <w:rsid w:val="00BD7F72"/>
    <w:rsid w:val="00C04FB3"/>
    <w:rsid w:val="00C0645D"/>
    <w:rsid w:val="00C32214"/>
    <w:rsid w:val="00C330EB"/>
    <w:rsid w:val="00C33BDD"/>
    <w:rsid w:val="00C34063"/>
    <w:rsid w:val="00C633A0"/>
    <w:rsid w:val="00C6607A"/>
    <w:rsid w:val="00C71270"/>
    <w:rsid w:val="00C732CC"/>
    <w:rsid w:val="00C754BE"/>
    <w:rsid w:val="00C76B1C"/>
    <w:rsid w:val="00C77821"/>
    <w:rsid w:val="00C8319D"/>
    <w:rsid w:val="00C93A6A"/>
    <w:rsid w:val="00C96336"/>
    <w:rsid w:val="00CB6357"/>
    <w:rsid w:val="00CC1B26"/>
    <w:rsid w:val="00CF2527"/>
    <w:rsid w:val="00CF5891"/>
    <w:rsid w:val="00CF74D3"/>
    <w:rsid w:val="00D06760"/>
    <w:rsid w:val="00D21915"/>
    <w:rsid w:val="00D423A2"/>
    <w:rsid w:val="00D46A9F"/>
    <w:rsid w:val="00D63AC2"/>
    <w:rsid w:val="00D6560C"/>
    <w:rsid w:val="00D7383B"/>
    <w:rsid w:val="00D74836"/>
    <w:rsid w:val="00D77B33"/>
    <w:rsid w:val="00DA231B"/>
    <w:rsid w:val="00DA7211"/>
    <w:rsid w:val="00DB4AA2"/>
    <w:rsid w:val="00DD5095"/>
    <w:rsid w:val="00DF1D65"/>
    <w:rsid w:val="00DF5254"/>
    <w:rsid w:val="00E16408"/>
    <w:rsid w:val="00E20894"/>
    <w:rsid w:val="00E245AB"/>
    <w:rsid w:val="00E2764C"/>
    <w:rsid w:val="00E27F2E"/>
    <w:rsid w:val="00E45FCF"/>
    <w:rsid w:val="00E478E0"/>
    <w:rsid w:val="00E50AFE"/>
    <w:rsid w:val="00E56626"/>
    <w:rsid w:val="00E56DF6"/>
    <w:rsid w:val="00E771DC"/>
    <w:rsid w:val="00E8772A"/>
    <w:rsid w:val="00E90F6B"/>
    <w:rsid w:val="00E92C27"/>
    <w:rsid w:val="00E97D30"/>
    <w:rsid w:val="00EA0E3D"/>
    <w:rsid w:val="00ED7D71"/>
    <w:rsid w:val="00EE1AA8"/>
    <w:rsid w:val="00F118DC"/>
    <w:rsid w:val="00F31EDC"/>
    <w:rsid w:val="00F3368E"/>
    <w:rsid w:val="00F36044"/>
    <w:rsid w:val="00F462B3"/>
    <w:rsid w:val="00F51292"/>
    <w:rsid w:val="00F547BB"/>
    <w:rsid w:val="00F5664F"/>
    <w:rsid w:val="00F666C4"/>
    <w:rsid w:val="00F67F62"/>
    <w:rsid w:val="00F76AFC"/>
    <w:rsid w:val="00FB5DD1"/>
    <w:rsid w:val="00FC2B5D"/>
    <w:rsid w:val="00FF1449"/>
    <w:rsid w:val="00FF57AF"/>
    <w:rsid w:val="1629CCB3"/>
    <w:rsid w:val="1C69E5A6"/>
    <w:rsid w:val="276504BA"/>
    <w:rsid w:val="29BEF383"/>
    <w:rsid w:val="2DAC8686"/>
    <w:rsid w:val="301EEC12"/>
    <w:rsid w:val="380EBE75"/>
    <w:rsid w:val="3C00DBA2"/>
    <w:rsid w:val="3D87E757"/>
    <w:rsid w:val="40A8037B"/>
    <w:rsid w:val="4624F1D7"/>
    <w:rsid w:val="4DD82FCA"/>
    <w:rsid w:val="6162D00D"/>
    <w:rsid w:val="680F7C78"/>
    <w:rsid w:val="6A999FAD"/>
    <w:rsid w:val="6AA97D3F"/>
    <w:rsid w:val="6C7CE1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959BC"/>
    <w:rPr>
      <w:rFonts w:ascii="Geomanist Light" w:hAnsi="Geomanist Light"/>
      <w:lang w:val="es-ES"/>
    </w:rPr>
  </w:style>
  <w:style w:type="paragraph" w:styleId="Textoindependiente">
    <w:name w:val="Body Text"/>
    <w:basedOn w:val="Normal"/>
    <w:link w:val="TextoindependienteCar"/>
    <w:uiPriority w:val="1"/>
    <w:unhideWhenUsed/>
    <w:qFormat/>
    <w:rsid w:val="007959BC"/>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7959BC"/>
    <w:rPr>
      <w:rFonts w:ascii="Arial" w:eastAsia="Arial" w:hAnsi="Arial" w:cs="Arial"/>
      <w:lang w:val="es-ES" w:eastAsia="es-ES" w:bidi="es-ES"/>
    </w:rPr>
  </w:style>
  <w:style w:type="paragraph" w:customStyle="1" w:styleId="Appelnotedebasde">
    <w:name w:val="Appel note de bas de..."/>
    <w:basedOn w:val="Normal"/>
    <w:link w:val="Refdenotaalpie"/>
    <w:rsid w:val="007959BC"/>
    <w:pPr>
      <w:spacing w:line="240" w:lineRule="exact"/>
    </w:pPr>
    <w:rPr>
      <w:vertAlign w:val="superscript"/>
    </w:rPr>
  </w:style>
  <w:style w:type="paragraph" w:customStyle="1" w:styleId="xmsonospacing">
    <w:name w:val="x_msonospacing"/>
    <w:basedOn w:val="Normal"/>
    <w:rsid w:val="007959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0E078B"/>
    <w:rPr>
      <w:i/>
      <w:iCs/>
    </w:rPr>
  </w:style>
  <w:style w:type="character" w:styleId="Refdecomentario">
    <w:name w:val="annotation reference"/>
    <w:basedOn w:val="Fuentedeprrafopredeter"/>
    <w:uiPriority w:val="99"/>
    <w:semiHidden/>
    <w:unhideWhenUsed/>
    <w:rsid w:val="007D14A8"/>
    <w:rPr>
      <w:sz w:val="16"/>
      <w:szCs w:val="16"/>
    </w:rPr>
  </w:style>
  <w:style w:type="paragraph" w:styleId="Textocomentario">
    <w:name w:val="annotation text"/>
    <w:basedOn w:val="Normal"/>
    <w:link w:val="TextocomentarioCar"/>
    <w:uiPriority w:val="99"/>
    <w:unhideWhenUsed/>
    <w:rsid w:val="007D14A8"/>
    <w:pPr>
      <w:spacing w:line="240" w:lineRule="auto"/>
    </w:pPr>
    <w:rPr>
      <w:sz w:val="20"/>
      <w:szCs w:val="20"/>
    </w:rPr>
  </w:style>
  <w:style w:type="character" w:customStyle="1" w:styleId="TextocomentarioCar">
    <w:name w:val="Texto comentario Car"/>
    <w:basedOn w:val="Fuentedeprrafopredeter"/>
    <w:link w:val="Textocomentario"/>
    <w:uiPriority w:val="99"/>
    <w:rsid w:val="007D14A8"/>
    <w:rPr>
      <w:sz w:val="20"/>
      <w:szCs w:val="20"/>
    </w:rPr>
  </w:style>
  <w:style w:type="paragraph" w:styleId="Asuntodelcomentario">
    <w:name w:val="annotation subject"/>
    <w:basedOn w:val="Textocomentario"/>
    <w:next w:val="Textocomentario"/>
    <w:link w:val="AsuntodelcomentarioCar"/>
    <w:uiPriority w:val="99"/>
    <w:semiHidden/>
    <w:unhideWhenUsed/>
    <w:rsid w:val="007D14A8"/>
    <w:rPr>
      <w:b/>
      <w:bCs/>
    </w:rPr>
  </w:style>
  <w:style w:type="character" w:customStyle="1" w:styleId="AsuntodelcomentarioCar">
    <w:name w:val="Asunto del comentario Car"/>
    <w:basedOn w:val="TextocomentarioCar"/>
    <w:link w:val="Asuntodelcomentario"/>
    <w:uiPriority w:val="99"/>
    <w:semiHidden/>
    <w:rsid w:val="007D14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71188094">
      <w:bodyDiv w:val="1"/>
      <w:marLeft w:val="0"/>
      <w:marRight w:val="0"/>
      <w:marTop w:val="0"/>
      <w:marBottom w:val="0"/>
      <w:divBdr>
        <w:top w:val="none" w:sz="0" w:space="0" w:color="auto"/>
        <w:left w:val="none" w:sz="0" w:space="0" w:color="auto"/>
        <w:bottom w:val="none" w:sz="0" w:space="0" w:color="auto"/>
        <w:right w:val="none" w:sz="0" w:space="0" w:color="auto"/>
      </w:divBdr>
      <w:divsChild>
        <w:div w:id="1888760207">
          <w:marLeft w:val="0"/>
          <w:marRight w:val="0"/>
          <w:marTop w:val="0"/>
          <w:marBottom w:val="0"/>
          <w:divBdr>
            <w:top w:val="none" w:sz="0" w:space="0" w:color="auto"/>
            <w:left w:val="none" w:sz="0" w:space="0" w:color="auto"/>
            <w:bottom w:val="none" w:sz="0" w:space="0" w:color="auto"/>
            <w:right w:val="none" w:sz="0" w:space="0" w:color="auto"/>
          </w:divBdr>
        </w:div>
        <w:div w:id="1243679342">
          <w:marLeft w:val="0"/>
          <w:marRight w:val="0"/>
          <w:marTop w:val="0"/>
          <w:marBottom w:val="0"/>
          <w:divBdr>
            <w:top w:val="none" w:sz="0" w:space="0" w:color="auto"/>
            <w:left w:val="none" w:sz="0" w:space="0" w:color="auto"/>
            <w:bottom w:val="none" w:sz="0" w:space="0" w:color="auto"/>
            <w:right w:val="none" w:sz="0" w:space="0" w:color="auto"/>
          </w:divBdr>
        </w:div>
        <w:div w:id="429007679">
          <w:marLeft w:val="0"/>
          <w:marRight w:val="0"/>
          <w:marTop w:val="0"/>
          <w:marBottom w:val="0"/>
          <w:divBdr>
            <w:top w:val="none" w:sz="0" w:space="0" w:color="auto"/>
            <w:left w:val="none" w:sz="0" w:space="0" w:color="auto"/>
            <w:bottom w:val="none" w:sz="0" w:space="0" w:color="auto"/>
            <w:right w:val="none" w:sz="0" w:space="0" w:color="auto"/>
          </w:divBdr>
        </w:div>
        <w:div w:id="854225939">
          <w:marLeft w:val="0"/>
          <w:marRight w:val="0"/>
          <w:marTop w:val="0"/>
          <w:marBottom w:val="0"/>
          <w:divBdr>
            <w:top w:val="none" w:sz="0" w:space="0" w:color="auto"/>
            <w:left w:val="none" w:sz="0" w:space="0" w:color="auto"/>
            <w:bottom w:val="none" w:sz="0" w:space="0" w:color="auto"/>
            <w:right w:val="none" w:sz="0" w:space="0" w:color="auto"/>
          </w:divBdr>
        </w:div>
        <w:div w:id="591822019">
          <w:marLeft w:val="0"/>
          <w:marRight w:val="0"/>
          <w:marTop w:val="0"/>
          <w:marBottom w:val="0"/>
          <w:divBdr>
            <w:top w:val="none" w:sz="0" w:space="0" w:color="auto"/>
            <w:left w:val="none" w:sz="0" w:space="0" w:color="auto"/>
            <w:bottom w:val="none" w:sz="0" w:space="0" w:color="auto"/>
            <w:right w:val="none" w:sz="0" w:space="0" w:color="auto"/>
          </w:divBdr>
        </w:div>
        <w:div w:id="1860658836">
          <w:marLeft w:val="0"/>
          <w:marRight w:val="0"/>
          <w:marTop w:val="0"/>
          <w:marBottom w:val="0"/>
          <w:divBdr>
            <w:top w:val="none" w:sz="0" w:space="0" w:color="auto"/>
            <w:left w:val="none" w:sz="0" w:space="0" w:color="auto"/>
            <w:bottom w:val="none" w:sz="0" w:space="0" w:color="auto"/>
            <w:right w:val="none" w:sz="0" w:space="0" w:color="auto"/>
          </w:divBdr>
        </w:div>
        <w:div w:id="1447430903">
          <w:marLeft w:val="0"/>
          <w:marRight w:val="0"/>
          <w:marTop w:val="0"/>
          <w:marBottom w:val="0"/>
          <w:divBdr>
            <w:top w:val="none" w:sz="0" w:space="0" w:color="auto"/>
            <w:left w:val="none" w:sz="0" w:space="0" w:color="auto"/>
            <w:bottom w:val="none" w:sz="0" w:space="0" w:color="auto"/>
            <w:right w:val="none" w:sz="0" w:space="0" w:color="auto"/>
          </w:divBdr>
        </w:div>
      </w:divsChild>
    </w:div>
    <w:div w:id="890002207">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25822097">
      <w:bodyDiv w:val="1"/>
      <w:marLeft w:val="0"/>
      <w:marRight w:val="0"/>
      <w:marTop w:val="0"/>
      <w:marBottom w:val="0"/>
      <w:divBdr>
        <w:top w:val="none" w:sz="0" w:space="0" w:color="auto"/>
        <w:left w:val="none" w:sz="0" w:space="0" w:color="auto"/>
        <w:bottom w:val="none" w:sz="0" w:space="0" w:color="auto"/>
        <w:right w:val="none" w:sz="0" w:space="0" w:color="auto"/>
      </w:divBdr>
    </w:div>
    <w:div w:id="1403529917">
      <w:bodyDiv w:val="1"/>
      <w:marLeft w:val="0"/>
      <w:marRight w:val="0"/>
      <w:marTop w:val="0"/>
      <w:marBottom w:val="0"/>
      <w:divBdr>
        <w:top w:val="none" w:sz="0" w:space="0" w:color="auto"/>
        <w:left w:val="none" w:sz="0" w:space="0" w:color="auto"/>
        <w:bottom w:val="none" w:sz="0" w:space="0" w:color="auto"/>
        <w:right w:val="none" w:sz="0" w:space="0" w:color="auto"/>
      </w:divBdr>
      <w:divsChild>
        <w:div w:id="2033533023">
          <w:marLeft w:val="0"/>
          <w:marRight w:val="0"/>
          <w:marTop w:val="0"/>
          <w:marBottom w:val="0"/>
          <w:divBdr>
            <w:top w:val="none" w:sz="0" w:space="0" w:color="auto"/>
            <w:left w:val="none" w:sz="0" w:space="0" w:color="auto"/>
            <w:bottom w:val="none" w:sz="0" w:space="0" w:color="auto"/>
            <w:right w:val="none" w:sz="0" w:space="0" w:color="auto"/>
          </w:divBdr>
        </w:div>
        <w:div w:id="280958949">
          <w:marLeft w:val="0"/>
          <w:marRight w:val="0"/>
          <w:marTop w:val="0"/>
          <w:marBottom w:val="0"/>
          <w:divBdr>
            <w:top w:val="none" w:sz="0" w:space="0" w:color="auto"/>
            <w:left w:val="none" w:sz="0" w:space="0" w:color="auto"/>
            <w:bottom w:val="none" w:sz="0" w:space="0" w:color="auto"/>
            <w:right w:val="none" w:sz="0" w:space="0" w:color="auto"/>
          </w:divBdr>
        </w:div>
        <w:div w:id="789321740">
          <w:marLeft w:val="0"/>
          <w:marRight w:val="0"/>
          <w:marTop w:val="0"/>
          <w:marBottom w:val="0"/>
          <w:divBdr>
            <w:top w:val="none" w:sz="0" w:space="0" w:color="auto"/>
            <w:left w:val="none" w:sz="0" w:space="0" w:color="auto"/>
            <w:bottom w:val="none" w:sz="0" w:space="0" w:color="auto"/>
            <w:right w:val="none" w:sz="0" w:space="0" w:color="auto"/>
          </w:divBdr>
        </w:div>
        <w:div w:id="105122983">
          <w:marLeft w:val="0"/>
          <w:marRight w:val="0"/>
          <w:marTop w:val="0"/>
          <w:marBottom w:val="0"/>
          <w:divBdr>
            <w:top w:val="none" w:sz="0" w:space="0" w:color="auto"/>
            <w:left w:val="none" w:sz="0" w:space="0" w:color="auto"/>
            <w:bottom w:val="none" w:sz="0" w:space="0" w:color="auto"/>
            <w:right w:val="none" w:sz="0" w:space="0" w:color="auto"/>
          </w:divBdr>
        </w:div>
        <w:div w:id="2105572032">
          <w:marLeft w:val="0"/>
          <w:marRight w:val="0"/>
          <w:marTop w:val="0"/>
          <w:marBottom w:val="0"/>
          <w:divBdr>
            <w:top w:val="none" w:sz="0" w:space="0" w:color="auto"/>
            <w:left w:val="none" w:sz="0" w:space="0" w:color="auto"/>
            <w:bottom w:val="none" w:sz="0" w:space="0" w:color="auto"/>
            <w:right w:val="none" w:sz="0" w:space="0" w:color="auto"/>
          </w:divBdr>
        </w:div>
        <w:div w:id="1347945658">
          <w:marLeft w:val="0"/>
          <w:marRight w:val="0"/>
          <w:marTop w:val="0"/>
          <w:marBottom w:val="0"/>
          <w:divBdr>
            <w:top w:val="none" w:sz="0" w:space="0" w:color="auto"/>
            <w:left w:val="none" w:sz="0" w:space="0" w:color="auto"/>
            <w:bottom w:val="none" w:sz="0" w:space="0" w:color="auto"/>
            <w:right w:val="none" w:sz="0" w:space="0" w:color="auto"/>
          </w:divBdr>
        </w:div>
        <w:div w:id="1556115920">
          <w:marLeft w:val="0"/>
          <w:marRight w:val="0"/>
          <w:marTop w:val="0"/>
          <w:marBottom w:val="0"/>
          <w:divBdr>
            <w:top w:val="none" w:sz="0" w:space="0" w:color="auto"/>
            <w:left w:val="none" w:sz="0" w:space="0" w:color="auto"/>
            <w:bottom w:val="none" w:sz="0" w:space="0" w:color="auto"/>
            <w:right w:val="none" w:sz="0" w:space="0" w:color="auto"/>
          </w:divBdr>
        </w:div>
      </w:divsChild>
    </w:div>
    <w:div w:id="1627276350">
      <w:bodyDiv w:val="1"/>
      <w:marLeft w:val="0"/>
      <w:marRight w:val="0"/>
      <w:marTop w:val="0"/>
      <w:marBottom w:val="0"/>
      <w:divBdr>
        <w:top w:val="none" w:sz="0" w:space="0" w:color="auto"/>
        <w:left w:val="none" w:sz="0" w:space="0" w:color="auto"/>
        <w:bottom w:val="none" w:sz="0" w:space="0" w:color="auto"/>
        <w:right w:val="none" w:sz="0" w:space="0" w:color="auto"/>
      </w:divBdr>
      <w:divsChild>
        <w:div w:id="701712410">
          <w:marLeft w:val="0"/>
          <w:marRight w:val="0"/>
          <w:marTop w:val="0"/>
          <w:marBottom w:val="0"/>
          <w:divBdr>
            <w:top w:val="none" w:sz="0" w:space="0" w:color="auto"/>
            <w:left w:val="none" w:sz="0" w:space="0" w:color="auto"/>
            <w:bottom w:val="none" w:sz="0" w:space="0" w:color="auto"/>
            <w:right w:val="none" w:sz="0" w:space="0" w:color="auto"/>
          </w:divBdr>
        </w:div>
        <w:div w:id="413017600">
          <w:marLeft w:val="0"/>
          <w:marRight w:val="0"/>
          <w:marTop w:val="0"/>
          <w:marBottom w:val="0"/>
          <w:divBdr>
            <w:top w:val="none" w:sz="0" w:space="0" w:color="auto"/>
            <w:left w:val="none" w:sz="0" w:space="0" w:color="auto"/>
            <w:bottom w:val="none" w:sz="0" w:space="0" w:color="auto"/>
            <w:right w:val="none" w:sz="0" w:space="0" w:color="auto"/>
          </w:divBdr>
        </w:div>
        <w:div w:id="1420981105">
          <w:marLeft w:val="0"/>
          <w:marRight w:val="0"/>
          <w:marTop w:val="0"/>
          <w:marBottom w:val="0"/>
          <w:divBdr>
            <w:top w:val="none" w:sz="0" w:space="0" w:color="auto"/>
            <w:left w:val="none" w:sz="0" w:space="0" w:color="auto"/>
            <w:bottom w:val="none" w:sz="0" w:space="0" w:color="auto"/>
            <w:right w:val="none" w:sz="0" w:space="0" w:color="auto"/>
          </w:divBdr>
        </w:div>
        <w:div w:id="1432778460">
          <w:marLeft w:val="0"/>
          <w:marRight w:val="0"/>
          <w:marTop w:val="0"/>
          <w:marBottom w:val="0"/>
          <w:divBdr>
            <w:top w:val="none" w:sz="0" w:space="0" w:color="auto"/>
            <w:left w:val="none" w:sz="0" w:space="0" w:color="auto"/>
            <w:bottom w:val="none" w:sz="0" w:space="0" w:color="auto"/>
            <w:right w:val="none" w:sz="0" w:space="0" w:color="auto"/>
          </w:divBdr>
        </w:div>
        <w:div w:id="169103044">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Any Alejandra Tovar Castillo</DisplayName>
        <AccountId>539</AccountId>
        <AccountType/>
      </UserInfo>
      <UserInfo>
        <DisplayName>Ximena Ríos López</DisplayName>
        <AccountId>48</AccountId>
        <AccountType/>
      </UserInfo>
      <UserInfo>
        <DisplayName>Nohelia Del Carmen Zawady Palacio</DisplayName>
        <AccountId>289</AccountId>
        <AccountType/>
      </UserInfo>
    </SharedWithUsers>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4C872193-A59E-4B12-9EF8-50D777385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purl.org/dc/elements/1.1/"/>
    <ds:schemaRef ds:uri="http://purl.org/dc/dcmitype/"/>
    <ds:schemaRef ds:uri="http://purl.org/dc/terms/"/>
    <ds:schemaRef ds:uri="9d85dbaf-23eb-4e57-a637-93dcacc8b1a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a6cb9e4b-f1d1-4245-83ec-6cad768d538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5905</Words>
  <Characters>32479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38308</CharactersWithSpaces>
  <SharedDoc>false</SharedDoc>
  <HLinks>
    <vt:vector size="6" baseType="variant">
      <vt:variant>
        <vt:i4>1638425</vt:i4>
      </vt:variant>
      <vt:variant>
        <vt:i4>0</vt:i4>
      </vt:variant>
      <vt:variant>
        <vt:i4>0</vt:i4>
      </vt:variant>
      <vt:variant>
        <vt:i4>5</vt:i4>
      </vt:variant>
      <vt:variant>
        <vt:lpwstr>http://relatoria.colombiacompra.gov.co/busqueda/conceptos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10</cp:revision>
  <cp:lastPrinted>2023-01-10T21:18:00Z</cp:lastPrinted>
  <dcterms:created xsi:type="dcterms:W3CDTF">2023-12-12T00:09:00Z</dcterms:created>
  <dcterms:modified xsi:type="dcterms:W3CDTF">2024-03-15T20:23:00Z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